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mbeddings/Microsoft_Visio_2003-2010___2.vsd" ContentType="application/vnd.visio"/>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6CD081B">
      <w:pPr>
        <w:rPr>
          <w:rFonts w:ascii="Times New Roman" w:hAnsi="Times New Roman" w:eastAsia="仿宋_GB2312" w:cs="Times New Roman"/>
          <w:sz w:val="36"/>
          <w:szCs w:val="36"/>
        </w:rPr>
      </w:pPr>
      <w:r>
        <w:drawing>
          <wp:inline distT="0" distB="0" distL="0" distR="0">
            <wp:extent cx="5615940" cy="7879080"/>
            <wp:effectExtent l="0" t="0" r="381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615940" cy="7879080"/>
                    </a:xfrm>
                    <a:prstGeom prst="rect">
                      <a:avLst/>
                    </a:prstGeom>
                  </pic:spPr>
                </pic:pic>
              </a:graphicData>
            </a:graphic>
          </wp:inline>
        </w:drawing>
      </w:r>
    </w:p>
    <w:p w14:paraId="12BCD66B">
      <w:pPr>
        <w:rPr>
          <w:rFonts w:ascii="Times New Roman" w:hAnsi="Times New Roman" w:eastAsia="仿宋_GB2312" w:cs="Times New Roman"/>
          <w:sz w:val="36"/>
          <w:szCs w:val="36"/>
        </w:rPr>
      </w:pPr>
    </w:p>
    <w:p w14:paraId="717A7BD8">
      <w:pPr>
        <w:rPr>
          <w:rFonts w:ascii="Times New Roman" w:hAnsi="Times New Roman" w:eastAsia="仿宋_GB2312" w:cs="Times New Roman"/>
          <w:sz w:val="36"/>
          <w:szCs w:val="36"/>
        </w:rPr>
      </w:pPr>
    </w:p>
    <w:p w14:paraId="06F696A7">
      <w:pPr>
        <w:adjustRightInd w:val="0"/>
        <w:snapToGrid w:val="0"/>
        <w:spacing w:line="288" w:lineRule="auto"/>
        <w:ind w:firstLine="1040"/>
        <w:rPr>
          <w:rFonts w:ascii="Times New Roman" w:hAnsi="Times New Roman" w:eastAsia="仿宋_GB2312" w:cs="Times New Roman"/>
          <w:sz w:val="36"/>
          <w:szCs w:val="36"/>
        </w:rPr>
        <w:sectPr>
          <w:footerReference r:id="rId3" w:type="default"/>
          <w:footerReference r:id="rId4" w:type="even"/>
          <w:pgSz w:w="11906" w:h="16838"/>
          <w:pgMar w:top="1701" w:right="1531" w:bottom="1701" w:left="1531" w:header="851" w:footer="1077" w:gutter="0"/>
          <w:pgNumType w:start="3"/>
          <w:cols w:space="720" w:num="1"/>
          <w:titlePg/>
          <w:docGrid w:linePitch="312" w:charSpace="0"/>
        </w:sectPr>
      </w:pPr>
      <w:r>
        <w:drawing>
          <wp:inline distT="0" distB="0" distL="0" distR="0">
            <wp:extent cx="5615940" cy="7936865"/>
            <wp:effectExtent l="0" t="0" r="381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615940" cy="7936865"/>
                    </a:xfrm>
                    <a:prstGeom prst="rect">
                      <a:avLst/>
                    </a:prstGeom>
                    <a:noFill/>
                    <a:ln>
                      <a:noFill/>
                    </a:ln>
                  </pic:spPr>
                </pic:pic>
              </a:graphicData>
            </a:graphic>
          </wp:inline>
        </w:drawing>
      </w:r>
    </w:p>
    <w:p w14:paraId="3CFE3752">
      <w:pPr>
        <w:pStyle w:val="76"/>
        <w:jc w:val="center"/>
        <w:outlineLvl w:val="0"/>
        <w:rPr>
          <w:rFonts w:ascii="Times New Roman" w:hAnsi="Times New Roman" w:eastAsia="黑体" w:cs="Times New Roman"/>
          <w:snapToGrid w:val="0"/>
          <w:sz w:val="30"/>
          <w:szCs w:val="30"/>
        </w:rPr>
      </w:pPr>
      <w:r>
        <w:rPr>
          <w:rFonts w:ascii="Times New Roman" w:hAnsi="Times New Roman" w:eastAsia="黑体" w:cs="Times New Roman"/>
          <w:snapToGrid w:val="0"/>
          <w:sz w:val="30"/>
          <w:szCs w:val="30"/>
        </w:rPr>
        <w:t>一、建设项目基本情况</w:t>
      </w:r>
    </w:p>
    <w:tbl>
      <w:tblPr>
        <w:tblStyle w:val="8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382"/>
        <w:gridCol w:w="1742"/>
        <w:gridCol w:w="2107"/>
        <w:gridCol w:w="2639"/>
      </w:tblGrid>
      <w:tr w14:paraId="0138CA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7F9D1688">
            <w:pPr>
              <w:adjustRightInd w:val="0"/>
              <w:snapToGrid w:val="0"/>
              <w:jc w:val="center"/>
              <w:rPr>
                <w:rFonts w:ascii="Times New Roman" w:hAnsi="Times New Roman" w:cs="Times New Roman"/>
                <w:szCs w:val="21"/>
              </w:rPr>
            </w:pPr>
            <w:r>
              <w:rPr>
                <w:rFonts w:ascii="Times New Roman" w:hAnsi="Times New Roman" w:cs="Times New Roman"/>
                <w:szCs w:val="21"/>
              </w:rPr>
              <w:t>建设项目名称</w:t>
            </w:r>
          </w:p>
        </w:tc>
        <w:tc>
          <w:tcPr>
            <w:tcW w:w="6488" w:type="dxa"/>
            <w:gridSpan w:val="3"/>
            <w:vAlign w:val="center"/>
          </w:tcPr>
          <w:p w14:paraId="48766621">
            <w:pPr>
              <w:adjustRightInd w:val="0"/>
              <w:snapToGrid w:val="0"/>
              <w:jc w:val="center"/>
              <w:rPr>
                <w:rFonts w:ascii="Times New Roman" w:hAnsi="Times New Roman" w:cs="Times New Roman"/>
                <w:szCs w:val="21"/>
              </w:rPr>
            </w:pPr>
            <w:r>
              <w:rPr>
                <w:rFonts w:ascii="Times New Roman" w:hAnsi="Times New Roman" w:cs="Times New Roman"/>
                <w:szCs w:val="21"/>
              </w:rPr>
              <w:t>涪陵液化天然气（LNG）工厂二期项目</w:t>
            </w:r>
          </w:p>
        </w:tc>
      </w:tr>
      <w:tr w14:paraId="1231FE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7AB38696">
            <w:pPr>
              <w:adjustRightInd w:val="0"/>
              <w:snapToGrid w:val="0"/>
              <w:jc w:val="center"/>
              <w:rPr>
                <w:rFonts w:ascii="Times New Roman" w:hAnsi="Times New Roman" w:cs="Times New Roman"/>
                <w:szCs w:val="21"/>
              </w:rPr>
            </w:pPr>
            <w:r>
              <w:rPr>
                <w:rFonts w:ascii="Times New Roman" w:hAnsi="Times New Roman" w:cs="Times New Roman"/>
                <w:szCs w:val="21"/>
              </w:rPr>
              <w:t>项目代码</w:t>
            </w:r>
          </w:p>
        </w:tc>
        <w:tc>
          <w:tcPr>
            <w:tcW w:w="6488" w:type="dxa"/>
            <w:gridSpan w:val="3"/>
            <w:vAlign w:val="center"/>
          </w:tcPr>
          <w:p w14:paraId="543F0F12">
            <w:pPr>
              <w:adjustRightInd w:val="0"/>
              <w:snapToGrid w:val="0"/>
              <w:jc w:val="center"/>
              <w:rPr>
                <w:rFonts w:ascii="Times New Roman" w:hAnsi="Times New Roman" w:cs="Times New Roman"/>
                <w:szCs w:val="21"/>
              </w:rPr>
            </w:pPr>
            <w:r>
              <w:rPr>
                <w:rFonts w:ascii="Times New Roman" w:hAnsi="Times New Roman" w:cs="Times New Roman"/>
                <w:szCs w:val="21"/>
              </w:rPr>
              <w:t>2209-500102-04-01-544573</w:t>
            </w:r>
          </w:p>
        </w:tc>
      </w:tr>
      <w:tr w14:paraId="1BBA6F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22F0FFFB">
            <w:pPr>
              <w:adjustRightInd w:val="0"/>
              <w:snapToGrid w:val="0"/>
              <w:jc w:val="center"/>
              <w:rPr>
                <w:rFonts w:ascii="Times New Roman" w:hAnsi="Times New Roman" w:cs="Times New Roman"/>
                <w:szCs w:val="21"/>
              </w:rPr>
            </w:pPr>
            <w:r>
              <w:rPr>
                <w:rFonts w:ascii="Times New Roman" w:hAnsi="Times New Roman" w:cs="Times New Roman"/>
                <w:szCs w:val="21"/>
              </w:rPr>
              <w:t>建设单位联系人</w:t>
            </w:r>
          </w:p>
        </w:tc>
        <w:tc>
          <w:tcPr>
            <w:tcW w:w="1742" w:type="dxa"/>
            <w:vAlign w:val="center"/>
          </w:tcPr>
          <w:p w14:paraId="12990EC9">
            <w:pPr>
              <w:adjustRightInd w:val="0"/>
              <w:snapToGrid w:val="0"/>
              <w:jc w:val="center"/>
              <w:rPr>
                <w:rFonts w:ascii="Times New Roman" w:hAnsi="Times New Roman" w:cs="Times New Roman"/>
                <w:szCs w:val="21"/>
              </w:rPr>
            </w:pPr>
            <w:r>
              <w:rPr>
                <w:rFonts w:hint="eastAsia" w:ascii="Times New Roman" w:hAnsi="Times New Roman" w:cs="Times New Roman"/>
                <w:szCs w:val="21"/>
              </w:rPr>
              <w:t>安老师</w:t>
            </w:r>
          </w:p>
        </w:tc>
        <w:tc>
          <w:tcPr>
            <w:tcW w:w="2107" w:type="dxa"/>
            <w:vAlign w:val="center"/>
          </w:tcPr>
          <w:p w14:paraId="14D8FD41">
            <w:pPr>
              <w:adjustRightInd w:val="0"/>
              <w:snapToGrid w:val="0"/>
              <w:jc w:val="center"/>
              <w:rPr>
                <w:rFonts w:ascii="Times New Roman" w:hAnsi="Times New Roman" w:cs="Times New Roman"/>
                <w:szCs w:val="21"/>
              </w:rPr>
            </w:pPr>
            <w:r>
              <w:rPr>
                <w:rFonts w:ascii="Times New Roman" w:hAnsi="Times New Roman" w:cs="Times New Roman"/>
                <w:szCs w:val="21"/>
              </w:rPr>
              <w:t>联系方式</w:t>
            </w:r>
          </w:p>
        </w:tc>
        <w:tc>
          <w:tcPr>
            <w:tcW w:w="2639" w:type="dxa"/>
            <w:vAlign w:val="center"/>
          </w:tcPr>
          <w:p w14:paraId="63785DFC">
            <w:pPr>
              <w:adjustRightInd w:val="0"/>
              <w:snapToGrid w:val="0"/>
              <w:jc w:val="center"/>
              <w:rPr>
                <w:rFonts w:ascii="Times New Roman" w:hAnsi="Times New Roman" w:cs="Times New Roman"/>
                <w:szCs w:val="21"/>
              </w:rPr>
            </w:pPr>
            <w:r>
              <w:rPr>
                <w:rFonts w:hint="eastAsia" w:ascii="Times New Roman" w:hAnsi="Times New Roman" w:cs="Times New Roman"/>
                <w:szCs w:val="21"/>
              </w:rPr>
              <w:t>18290568527</w:t>
            </w:r>
            <w:r>
              <w:rPr>
                <w:rFonts w:ascii="Times New Roman" w:hAnsi="Times New Roman" w:cs="Times New Roman"/>
                <w:szCs w:val="21"/>
              </w:rPr>
              <w:t>7</w:t>
            </w:r>
          </w:p>
        </w:tc>
      </w:tr>
      <w:tr w14:paraId="10E0DB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5A4CC63F">
            <w:pPr>
              <w:adjustRightInd w:val="0"/>
              <w:snapToGrid w:val="0"/>
              <w:jc w:val="center"/>
              <w:rPr>
                <w:rFonts w:ascii="Times New Roman" w:hAnsi="Times New Roman" w:cs="Times New Roman"/>
                <w:szCs w:val="21"/>
              </w:rPr>
            </w:pPr>
            <w:r>
              <w:rPr>
                <w:rFonts w:ascii="Times New Roman" w:hAnsi="Times New Roman" w:cs="Times New Roman"/>
                <w:szCs w:val="21"/>
              </w:rPr>
              <w:t>建设地点</w:t>
            </w:r>
          </w:p>
        </w:tc>
        <w:tc>
          <w:tcPr>
            <w:tcW w:w="6488" w:type="dxa"/>
            <w:gridSpan w:val="3"/>
            <w:vAlign w:val="center"/>
          </w:tcPr>
          <w:p w14:paraId="4E5E4098">
            <w:pPr>
              <w:adjustRightInd w:val="0"/>
              <w:snapToGrid w:val="0"/>
              <w:jc w:val="center"/>
              <w:rPr>
                <w:rFonts w:ascii="Times New Roman" w:hAnsi="Times New Roman" w:cs="Times New Roman"/>
                <w:spacing w:val="-6"/>
                <w:kern w:val="0"/>
              </w:rPr>
            </w:pPr>
            <w:r>
              <w:rPr>
                <w:rFonts w:ascii="Times New Roman" w:hAnsi="Times New Roman" w:cs="Times New Roman"/>
                <w:spacing w:val="-6"/>
                <w:kern w:val="0"/>
              </w:rPr>
              <w:t>重庆市涪陵区白涛工业园区石化大道1号</w:t>
            </w:r>
          </w:p>
        </w:tc>
      </w:tr>
      <w:tr w14:paraId="204BCA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1D57D76F">
            <w:pPr>
              <w:adjustRightInd w:val="0"/>
              <w:snapToGrid w:val="0"/>
              <w:jc w:val="center"/>
              <w:rPr>
                <w:rFonts w:ascii="Times New Roman" w:hAnsi="Times New Roman" w:cs="Times New Roman"/>
                <w:szCs w:val="21"/>
              </w:rPr>
            </w:pPr>
            <w:r>
              <w:rPr>
                <w:rFonts w:ascii="Times New Roman" w:hAnsi="Times New Roman" w:cs="Times New Roman"/>
                <w:szCs w:val="21"/>
              </w:rPr>
              <w:t>地理坐标</w:t>
            </w:r>
          </w:p>
        </w:tc>
        <w:tc>
          <w:tcPr>
            <w:tcW w:w="6488" w:type="dxa"/>
            <w:gridSpan w:val="3"/>
            <w:vAlign w:val="center"/>
          </w:tcPr>
          <w:p w14:paraId="4DF08C86">
            <w:pPr>
              <w:jc w:val="center"/>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u w:val="single"/>
              </w:rPr>
              <w:t>107度32分49.1461秒，29度35分25.8543秒</w:t>
            </w:r>
            <w:r>
              <w:rPr>
                <w:rFonts w:ascii="Times New Roman" w:hAnsi="Times New Roman" w:cs="Times New Roman"/>
                <w:szCs w:val="21"/>
              </w:rPr>
              <w:t>）</w:t>
            </w:r>
          </w:p>
        </w:tc>
      </w:tr>
      <w:tr w14:paraId="11FAAE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382" w:type="dxa"/>
            <w:tcMar>
              <w:top w:w="16" w:type="dxa"/>
              <w:left w:w="16" w:type="dxa"/>
              <w:right w:w="16" w:type="dxa"/>
            </w:tcMar>
            <w:vAlign w:val="center"/>
          </w:tcPr>
          <w:p w14:paraId="169C8261">
            <w:pPr>
              <w:adjustRightInd w:val="0"/>
              <w:snapToGrid w:val="0"/>
              <w:jc w:val="center"/>
              <w:rPr>
                <w:rFonts w:ascii="Times New Roman" w:hAnsi="Times New Roman" w:cs="Times New Roman"/>
                <w:szCs w:val="21"/>
              </w:rPr>
            </w:pPr>
            <w:r>
              <w:rPr>
                <w:rFonts w:ascii="Times New Roman" w:hAnsi="Times New Roman" w:cs="Times New Roman"/>
                <w:szCs w:val="21"/>
              </w:rPr>
              <w:t>国民经济</w:t>
            </w:r>
          </w:p>
          <w:p w14:paraId="0D4282A2">
            <w:pPr>
              <w:adjustRightInd w:val="0"/>
              <w:snapToGrid w:val="0"/>
              <w:jc w:val="center"/>
              <w:rPr>
                <w:rFonts w:ascii="Times New Roman" w:hAnsi="Times New Roman" w:cs="Times New Roman"/>
                <w:szCs w:val="21"/>
              </w:rPr>
            </w:pPr>
            <w:r>
              <w:rPr>
                <w:rFonts w:ascii="Times New Roman" w:hAnsi="Times New Roman" w:cs="Times New Roman"/>
                <w:szCs w:val="21"/>
              </w:rPr>
              <w:t>行业类别</w:t>
            </w:r>
          </w:p>
        </w:tc>
        <w:tc>
          <w:tcPr>
            <w:tcW w:w="1742" w:type="dxa"/>
            <w:vAlign w:val="center"/>
          </w:tcPr>
          <w:p w14:paraId="4B9A2797">
            <w:pPr>
              <w:adjustRightInd w:val="0"/>
              <w:snapToGrid w:val="0"/>
              <w:jc w:val="center"/>
              <w:rPr>
                <w:rFonts w:ascii="Times New Roman" w:hAnsi="Times New Roman" w:cs="Times New Roman"/>
                <w:szCs w:val="21"/>
              </w:rPr>
            </w:pPr>
            <w:r>
              <w:rPr>
                <w:rFonts w:ascii="Times New Roman" w:hAnsi="Times New Roman" w:cs="Times New Roman"/>
                <w:szCs w:val="21"/>
              </w:rPr>
              <w:t>0721陆地天然气开采</w:t>
            </w:r>
          </w:p>
        </w:tc>
        <w:tc>
          <w:tcPr>
            <w:tcW w:w="2107" w:type="dxa"/>
            <w:vAlign w:val="center"/>
          </w:tcPr>
          <w:p w14:paraId="73EDA22C">
            <w:pPr>
              <w:adjustRightInd w:val="0"/>
              <w:snapToGrid w:val="0"/>
              <w:jc w:val="center"/>
              <w:rPr>
                <w:rFonts w:ascii="Times New Roman" w:hAnsi="Times New Roman" w:cs="Times New Roman"/>
                <w:szCs w:val="21"/>
              </w:rPr>
            </w:pPr>
            <w:bookmarkStart w:id="0" w:name="_Hlk49843745"/>
            <w:r>
              <w:rPr>
                <w:rFonts w:ascii="Times New Roman" w:hAnsi="Times New Roman" w:cs="Times New Roman"/>
                <w:szCs w:val="21"/>
              </w:rPr>
              <w:t>建设项目</w:t>
            </w:r>
          </w:p>
          <w:p w14:paraId="7E735569">
            <w:pPr>
              <w:adjustRightInd w:val="0"/>
              <w:snapToGrid w:val="0"/>
              <w:jc w:val="center"/>
              <w:rPr>
                <w:rFonts w:ascii="Times New Roman" w:hAnsi="Times New Roman" w:cs="Times New Roman"/>
                <w:szCs w:val="21"/>
              </w:rPr>
            </w:pPr>
            <w:r>
              <w:rPr>
                <w:rFonts w:ascii="Times New Roman" w:hAnsi="Times New Roman" w:cs="Times New Roman"/>
                <w:szCs w:val="21"/>
              </w:rPr>
              <w:t>行业类别</w:t>
            </w:r>
            <w:bookmarkEnd w:id="0"/>
          </w:p>
        </w:tc>
        <w:tc>
          <w:tcPr>
            <w:tcW w:w="2639" w:type="dxa"/>
            <w:vAlign w:val="center"/>
          </w:tcPr>
          <w:p w14:paraId="29A09ED9">
            <w:pPr>
              <w:adjustRightInd w:val="0"/>
              <w:snapToGrid w:val="0"/>
              <w:rPr>
                <w:rFonts w:ascii="Times New Roman" w:hAnsi="Times New Roman" w:cs="Times New Roman"/>
                <w:szCs w:val="21"/>
              </w:rPr>
            </w:pPr>
            <w:r>
              <w:rPr>
                <w:rFonts w:ascii="Times New Roman" w:hAnsi="Times New Roman" w:cs="Times New Roman"/>
                <w:szCs w:val="21"/>
              </w:rPr>
              <w:t>五、石油和天然气开采业07-陆地天然气开采0721</w:t>
            </w:r>
          </w:p>
        </w:tc>
      </w:tr>
      <w:tr w14:paraId="41C581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382" w:type="dxa"/>
            <w:tcMar>
              <w:top w:w="16" w:type="dxa"/>
              <w:left w:w="16" w:type="dxa"/>
              <w:right w:w="16" w:type="dxa"/>
            </w:tcMar>
            <w:vAlign w:val="center"/>
          </w:tcPr>
          <w:p w14:paraId="5904F26F">
            <w:pPr>
              <w:adjustRightInd w:val="0"/>
              <w:snapToGrid w:val="0"/>
              <w:jc w:val="center"/>
              <w:rPr>
                <w:rFonts w:ascii="Times New Roman" w:hAnsi="Times New Roman" w:cs="Times New Roman"/>
                <w:szCs w:val="21"/>
              </w:rPr>
            </w:pPr>
            <w:r>
              <w:rPr>
                <w:rFonts w:ascii="Times New Roman" w:hAnsi="Times New Roman" w:cs="Times New Roman"/>
                <w:szCs w:val="21"/>
              </w:rPr>
              <w:t>建设性质</w:t>
            </w:r>
          </w:p>
        </w:tc>
        <w:tc>
          <w:tcPr>
            <w:tcW w:w="1742" w:type="dxa"/>
            <w:vAlign w:val="center"/>
          </w:tcPr>
          <w:p w14:paraId="2DD58449">
            <w:pPr>
              <w:jc w:val="left"/>
              <w:rPr>
                <w:rFonts w:ascii="Times New Roman" w:hAnsi="Times New Roman" w:cs="Times New Roman"/>
                <w:szCs w:val="21"/>
              </w:rPr>
            </w:pPr>
            <w:r>
              <w:rPr>
                <w:rFonts w:ascii="Times New Roman" w:hAnsi="Times New Roman" w:cs="Times New Roman"/>
                <w:szCs w:val="21"/>
              </w:rPr>
              <w:t>□新建（迁建）</w:t>
            </w:r>
          </w:p>
          <w:p w14:paraId="7340B6F0">
            <w:pPr>
              <w:jc w:val="left"/>
              <w:rPr>
                <w:rFonts w:ascii="Times New Roman" w:hAnsi="Times New Roman" w:cs="Times New Roman"/>
                <w:szCs w:val="21"/>
              </w:rPr>
            </w:pPr>
            <w:r>
              <w:rPr>
                <w:rFonts w:ascii="Times New Roman" w:hAnsi="Times New Roman" w:cs="Times New Roman"/>
                <w:szCs w:val="21"/>
              </w:rPr>
              <w:t>□改建</w:t>
            </w:r>
          </w:p>
          <w:p w14:paraId="14B70DE6">
            <w:pPr>
              <w:jc w:val="left"/>
              <w:rPr>
                <w:rFonts w:ascii="Times New Roman" w:hAnsi="Times New Roman" w:cs="Times New Roman"/>
                <w:szCs w:val="21"/>
              </w:rPr>
            </w:pPr>
            <w:r>
              <w:rPr>
                <w:rFonts w:ascii="Times New Roman" w:hAnsi="Times New Roman" w:cs="Times New Roman"/>
                <w:szCs w:val="21"/>
              </w:rPr>
              <w:t>■扩建</w:t>
            </w:r>
          </w:p>
          <w:p w14:paraId="4D9CFC02">
            <w:pPr>
              <w:jc w:val="left"/>
              <w:rPr>
                <w:rFonts w:ascii="Times New Roman" w:hAnsi="Times New Roman" w:cs="Times New Roman"/>
                <w:szCs w:val="21"/>
              </w:rPr>
            </w:pPr>
            <w:r>
              <w:rPr>
                <w:rFonts w:ascii="Times New Roman" w:hAnsi="Times New Roman" w:cs="Times New Roman"/>
                <w:szCs w:val="21"/>
              </w:rPr>
              <w:t>□技术改造</w:t>
            </w:r>
          </w:p>
        </w:tc>
        <w:tc>
          <w:tcPr>
            <w:tcW w:w="2107" w:type="dxa"/>
            <w:vAlign w:val="center"/>
          </w:tcPr>
          <w:p w14:paraId="1A7CAF32">
            <w:pPr>
              <w:adjustRightInd w:val="0"/>
              <w:snapToGrid w:val="0"/>
              <w:jc w:val="center"/>
              <w:rPr>
                <w:rFonts w:ascii="Times New Roman" w:hAnsi="Times New Roman" w:cs="Times New Roman"/>
                <w:szCs w:val="21"/>
              </w:rPr>
            </w:pPr>
            <w:r>
              <w:rPr>
                <w:rFonts w:ascii="Times New Roman" w:hAnsi="Times New Roman" w:cs="Times New Roman"/>
                <w:szCs w:val="21"/>
              </w:rPr>
              <w:t>建设项目</w:t>
            </w:r>
          </w:p>
          <w:p w14:paraId="3C59DC2B">
            <w:pPr>
              <w:adjustRightInd w:val="0"/>
              <w:snapToGrid w:val="0"/>
              <w:jc w:val="center"/>
              <w:rPr>
                <w:rFonts w:ascii="Times New Roman" w:hAnsi="Times New Roman" w:cs="Times New Roman"/>
                <w:szCs w:val="21"/>
              </w:rPr>
            </w:pPr>
            <w:r>
              <w:rPr>
                <w:rFonts w:ascii="Times New Roman" w:hAnsi="Times New Roman" w:cs="Times New Roman"/>
                <w:szCs w:val="21"/>
              </w:rPr>
              <w:t>申报情形</w:t>
            </w:r>
          </w:p>
        </w:tc>
        <w:tc>
          <w:tcPr>
            <w:tcW w:w="2639" w:type="dxa"/>
            <w:vAlign w:val="center"/>
          </w:tcPr>
          <w:p w14:paraId="5E6030A4">
            <w:pPr>
              <w:jc w:val="left"/>
              <w:rPr>
                <w:rFonts w:ascii="Times New Roman" w:hAnsi="Times New Roman" w:cs="Times New Roman"/>
                <w:szCs w:val="21"/>
              </w:rPr>
            </w:pPr>
            <w:r>
              <w:rPr>
                <w:rFonts w:ascii="Times New Roman" w:hAnsi="Times New Roman" w:cs="Times New Roman"/>
                <w:szCs w:val="21"/>
              </w:rPr>
              <w:t xml:space="preserve">■首次申报项目             </w:t>
            </w:r>
          </w:p>
          <w:p w14:paraId="2B36E74F">
            <w:pPr>
              <w:jc w:val="left"/>
              <w:rPr>
                <w:rFonts w:ascii="Times New Roman" w:hAnsi="Times New Roman" w:cs="Times New Roman"/>
                <w:szCs w:val="21"/>
              </w:rPr>
            </w:pPr>
            <w:r>
              <w:rPr>
                <w:rFonts w:ascii="Times New Roman" w:hAnsi="Times New Roman" w:cs="Times New Roman"/>
                <w:szCs w:val="21"/>
              </w:rPr>
              <w:t>□不予批准后再次申报项目</w:t>
            </w:r>
          </w:p>
          <w:p w14:paraId="74549278">
            <w:pPr>
              <w:jc w:val="left"/>
              <w:rPr>
                <w:rFonts w:ascii="Times New Roman" w:hAnsi="Times New Roman" w:cs="Times New Roman"/>
                <w:szCs w:val="21"/>
              </w:rPr>
            </w:pPr>
            <w:r>
              <w:rPr>
                <w:rFonts w:ascii="Times New Roman" w:hAnsi="Times New Roman" w:cs="Times New Roman"/>
                <w:szCs w:val="21"/>
              </w:rPr>
              <w:sym w:font="Wingdings 2" w:char="00A3"/>
            </w:r>
            <w:r>
              <w:rPr>
                <w:rFonts w:ascii="Times New Roman" w:hAnsi="Times New Roman" w:cs="Times New Roman"/>
                <w:szCs w:val="21"/>
              </w:rPr>
              <w:t xml:space="preserve">超五年重新审核项目     </w:t>
            </w:r>
          </w:p>
          <w:p w14:paraId="6B83FE73">
            <w:pPr>
              <w:jc w:val="left"/>
              <w:rPr>
                <w:rFonts w:ascii="Times New Roman" w:hAnsi="Times New Roman" w:cs="Times New Roman"/>
                <w:szCs w:val="21"/>
              </w:rPr>
            </w:pPr>
            <w:r>
              <w:rPr>
                <w:rFonts w:ascii="Times New Roman" w:hAnsi="Times New Roman" w:cs="Times New Roman"/>
                <w:szCs w:val="21"/>
              </w:rPr>
              <w:t>□重大变动重新报批项目</w:t>
            </w:r>
          </w:p>
        </w:tc>
      </w:tr>
      <w:tr w14:paraId="1B76FE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382" w:type="dxa"/>
            <w:tcMar>
              <w:top w:w="16" w:type="dxa"/>
              <w:left w:w="16" w:type="dxa"/>
              <w:right w:w="16" w:type="dxa"/>
            </w:tcMar>
            <w:vAlign w:val="center"/>
          </w:tcPr>
          <w:p w14:paraId="51070CB5">
            <w:pPr>
              <w:adjustRightInd w:val="0"/>
              <w:snapToGrid w:val="0"/>
              <w:jc w:val="center"/>
              <w:rPr>
                <w:rFonts w:ascii="Times New Roman" w:hAnsi="Times New Roman" w:cs="Times New Roman"/>
                <w:szCs w:val="21"/>
              </w:rPr>
            </w:pPr>
            <w:r>
              <w:rPr>
                <w:rFonts w:ascii="Times New Roman" w:hAnsi="Times New Roman" w:cs="Times New Roman"/>
                <w:szCs w:val="21"/>
              </w:rPr>
              <w:t>项目审批（核准/</w:t>
            </w:r>
          </w:p>
          <w:p w14:paraId="167F4E7A">
            <w:pPr>
              <w:adjustRightInd w:val="0"/>
              <w:snapToGrid w:val="0"/>
              <w:jc w:val="center"/>
              <w:rPr>
                <w:rFonts w:ascii="Times New Roman" w:hAnsi="Times New Roman" w:cs="Times New Roman"/>
                <w:szCs w:val="21"/>
              </w:rPr>
            </w:pPr>
            <w:r>
              <w:rPr>
                <w:rFonts w:ascii="Times New Roman" w:hAnsi="Times New Roman" w:cs="Times New Roman"/>
                <w:szCs w:val="21"/>
              </w:rPr>
              <w:t>备案）部门（选填）</w:t>
            </w:r>
          </w:p>
        </w:tc>
        <w:tc>
          <w:tcPr>
            <w:tcW w:w="1742" w:type="dxa"/>
            <w:vAlign w:val="center"/>
          </w:tcPr>
          <w:p w14:paraId="2CF2662E">
            <w:pPr>
              <w:adjustRightInd w:val="0"/>
              <w:snapToGrid w:val="0"/>
              <w:jc w:val="center"/>
              <w:rPr>
                <w:rFonts w:ascii="Times New Roman" w:hAnsi="Times New Roman" w:cs="Times New Roman"/>
                <w:szCs w:val="21"/>
              </w:rPr>
            </w:pPr>
            <w:r>
              <w:rPr>
                <w:rFonts w:ascii="Times New Roman" w:hAnsi="Times New Roman" w:cs="Times New Roman"/>
                <w:szCs w:val="21"/>
              </w:rPr>
              <w:t>重庆市涪陵区发展和改革委员会</w:t>
            </w:r>
          </w:p>
        </w:tc>
        <w:tc>
          <w:tcPr>
            <w:tcW w:w="2107" w:type="dxa"/>
            <w:vAlign w:val="center"/>
          </w:tcPr>
          <w:p w14:paraId="6A46AD9A">
            <w:pPr>
              <w:adjustRightInd w:val="0"/>
              <w:snapToGrid w:val="0"/>
              <w:jc w:val="center"/>
              <w:rPr>
                <w:rFonts w:ascii="Times New Roman" w:hAnsi="Times New Roman" w:cs="Times New Roman"/>
                <w:szCs w:val="21"/>
              </w:rPr>
            </w:pPr>
            <w:r>
              <w:rPr>
                <w:rFonts w:ascii="Times New Roman" w:hAnsi="Times New Roman" w:cs="Times New Roman"/>
                <w:szCs w:val="21"/>
              </w:rPr>
              <w:t>项目审批（核准/</w:t>
            </w:r>
          </w:p>
          <w:p w14:paraId="347EE44F">
            <w:pPr>
              <w:adjustRightInd w:val="0"/>
              <w:snapToGrid w:val="0"/>
              <w:jc w:val="center"/>
              <w:rPr>
                <w:rFonts w:ascii="Times New Roman" w:hAnsi="Times New Roman" w:cs="Times New Roman"/>
                <w:szCs w:val="21"/>
              </w:rPr>
            </w:pPr>
            <w:r>
              <w:rPr>
                <w:rFonts w:ascii="Times New Roman" w:hAnsi="Times New Roman" w:cs="Times New Roman"/>
                <w:szCs w:val="21"/>
              </w:rPr>
              <w:t>备案）文号（选填）</w:t>
            </w:r>
          </w:p>
        </w:tc>
        <w:tc>
          <w:tcPr>
            <w:tcW w:w="2639" w:type="dxa"/>
            <w:vAlign w:val="center"/>
          </w:tcPr>
          <w:p w14:paraId="03096BBE">
            <w:pPr>
              <w:adjustRightInd w:val="0"/>
              <w:snapToGrid w:val="0"/>
              <w:jc w:val="center"/>
              <w:rPr>
                <w:rFonts w:ascii="Times New Roman" w:hAnsi="Times New Roman" w:cs="Times New Roman"/>
                <w:szCs w:val="21"/>
              </w:rPr>
            </w:pPr>
            <w:r>
              <w:rPr>
                <w:rFonts w:ascii="Times New Roman" w:hAnsi="Times New Roman" w:cs="Times New Roman"/>
                <w:szCs w:val="21"/>
              </w:rPr>
              <w:t>2209-500102-04-01-544573</w:t>
            </w:r>
          </w:p>
        </w:tc>
      </w:tr>
      <w:tr w14:paraId="57D2D4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3F12956B">
            <w:pPr>
              <w:adjustRightInd w:val="0"/>
              <w:snapToGrid w:val="0"/>
              <w:jc w:val="center"/>
              <w:rPr>
                <w:rFonts w:ascii="Times New Roman" w:hAnsi="Times New Roman" w:cs="Times New Roman"/>
                <w:szCs w:val="21"/>
              </w:rPr>
            </w:pPr>
            <w:r>
              <w:rPr>
                <w:rFonts w:ascii="Times New Roman" w:hAnsi="Times New Roman" w:cs="Times New Roman"/>
                <w:szCs w:val="21"/>
              </w:rPr>
              <w:t>总投资（万元）</w:t>
            </w:r>
          </w:p>
        </w:tc>
        <w:tc>
          <w:tcPr>
            <w:tcW w:w="1742" w:type="dxa"/>
            <w:vAlign w:val="center"/>
          </w:tcPr>
          <w:p w14:paraId="46FB062F">
            <w:pPr>
              <w:adjustRightInd w:val="0"/>
              <w:snapToGrid w:val="0"/>
              <w:jc w:val="center"/>
              <w:rPr>
                <w:rFonts w:ascii="Times New Roman" w:hAnsi="Times New Roman" w:cs="Times New Roman"/>
                <w:szCs w:val="21"/>
                <w:highlight w:val="yellow"/>
              </w:rPr>
            </w:pPr>
            <w:r>
              <w:rPr>
                <w:rFonts w:ascii="Times New Roman" w:hAnsi="Times New Roman" w:cs="Times New Roman"/>
                <w:szCs w:val="21"/>
              </w:rPr>
              <w:t>49539</w:t>
            </w:r>
          </w:p>
        </w:tc>
        <w:tc>
          <w:tcPr>
            <w:tcW w:w="2107" w:type="dxa"/>
            <w:tcMar>
              <w:top w:w="16" w:type="dxa"/>
              <w:left w:w="16" w:type="dxa"/>
              <w:right w:w="16" w:type="dxa"/>
            </w:tcMar>
            <w:vAlign w:val="center"/>
          </w:tcPr>
          <w:p w14:paraId="27290A86">
            <w:pPr>
              <w:adjustRightInd w:val="0"/>
              <w:snapToGrid w:val="0"/>
              <w:jc w:val="center"/>
              <w:rPr>
                <w:rFonts w:ascii="Times New Roman" w:hAnsi="Times New Roman" w:cs="Times New Roman"/>
                <w:szCs w:val="21"/>
              </w:rPr>
            </w:pPr>
            <w:r>
              <w:rPr>
                <w:rFonts w:ascii="Times New Roman" w:hAnsi="Times New Roman" w:cs="Times New Roman"/>
                <w:szCs w:val="21"/>
              </w:rPr>
              <w:t>环保投资（万元）</w:t>
            </w:r>
          </w:p>
        </w:tc>
        <w:tc>
          <w:tcPr>
            <w:tcW w:w="2639" w:type="dxa"/>
            <w:vAlign w:val="center"/>
          </w:tcPr>
          <w:p w14:paraId="6C857B29">
            <w:pPr>
              <w:adjustRightInd w:val="0"/>
              <w:snapToGrid w:val="0"/>
              <w:jc w:val="center"/>
              <w:rPr>
                <w:rFonts w:ascii="Times New Roman" w:hAnsi="Times New Roman" w:cs="Times New Roman"/>
                <w:szCs w:val="21"/>
              </w:rPr>
            </w:pPr>
            <w:r>
              <w:rPr>
                <w:rFonts w:ascii="Times New Roman" w:hAnsi="Times New Roman" w:cs="Times New Roman"/>
                <w:szCs w:val="21"/>
              </w:rPr>
              <w:t>260</w:t>
            </w:r>
          </w:p>
        </w:tc>
      </w:tr>
      <w:tr w14:paraId="5BED00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4E3C5389">
            <w:pPr>
              <w:adjustRightInd w:val="0"/>
              <w:snapToGrid w:val="0"/>
              <w:jc w:val="center"/>
              <w:rPr>
                <w:rFonts w:ascii="Times New Roman" w:hAnsi="Times New Roman" w:cs="Times New Roman"/>
                <w:szCs w:val="21"/>
              </w:rPr>
            </w:pPr>
            <w:r>
              <w:rPr>
                <w:rFonts w:ascii="Times New Roman" w:hAnsi="Times New Roman" w:cs="Times New Roman"/>
                <w:szCs w:val="21"/>
              </w:rPr>
              <w:t>环保投资占比（%）</w:t>
            </w:r>
          </w:p>
        </w:tc>
        <w:tc>
          <w:tcPr>
            <w:tcW w:w="1742" w:type="dxa"/>
            <w:vAlign w:val="center"/>
          </w:tcPr>
          <w:p w14:paraId="7B5D8C47">
            <w:pPr>
              <w:adjustRightInd w:val="0"/>
              <w:snapToGrid w:val="0"/>
              <w:jc w:val="center"/>
              <w:rPr>
                <w:rFonts w:ascii="Times New Roman" w:hAnsi="Times New Roman" w:cs="Times New Roman"/>
                <w:szCs w:val="21"/>
                <w:highlight w:val="yellow"/>
              </w:rPr>
            </w:pPr>
            <w:r>
              <w:rPr>
                <w:rFonts w:ascii="Times New Roman" w:hAnsi="Times New Roman" w:cs="Times New Roman"/>
                <w:szCs w:val="21"/>
              </w:rPr>
              <w:t>0.52%</w:t>
            </w:r>
          </w:p>
        </w:tc>
        <w:tc>
          <w:tcPr>
            <w:tcW w:w="2107" w:type="dxa"/>
            <w:tcMar>
              <w:top w:w="16" w:type="dxa"/>
              <w:left w:w="16" w:type="dxa"/>
              <w:right w:w="16" w:type="dxa"/>
            </w:tcMar>
            <w:vAlign w:val="center"/>
          </w:tcPr>
          <w:p w14:paraId="4EDB7402">
            <w:pPr>
              <w:adjustRightInd w:val="0"/>
              <w:snapToGrid w:val="0"/>
              <w:jc w:val="center"/>
              <w:rPr>
                <w:rFonts w:ascii="Times New Roman" w:hAnsi="Times New Roman" w:cs="Times New Roman"/>
                <w:szCs w:val="21"/>
              </w:rPr>
            </w:pPr>
            <w:r>
              <w:rPr>
                <w:rFonts w:ascii="Times New Roman" w:hAnsi="Times New Roman" w:cs="Times New Roman"/>
                <w:szCs w:val="21"/>
              </w:rPr>
              <w:t>施工工期</w:t>
            </w:r>
          </w:p>
        </w:tc>
        <w:tc>
          <w:tcPr>
            <w:tcW w:w="2639" w:type="dxa"/>
            <w:vAlign w:val="center"/>
          </w:tcPr>
          <w:p w14:paraId="53FE4013">
            <w:pPr>
              <w:adjustRightInd w:val="0"/>
              <w:snapToGrid w:val="0"/>
              <w:jc w:val="center"/>
              <w:rPr>
                <w:rFonts w:ascii="Times New Roman" w:hAnsi="Times New Roman" w:cs="Times New Roman"/>
                <w:szCs w:val="21"/>
              </w:rPr>
            </w:pPr>
            <w:r>
              <w:rPr>
                <w:rFonts w:ascii="Times New Roman" w:hAnsi="Times New Roman" w:cs="Times New Roman"/>
                <w:szCs w:val="21"/>
              </w:rPr>
              <w:t>24个月</w:t>
            </w:r>
          </w:p>
        </w:tc>
      </w:tr>
      <w:tr w14:paraId="787D55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2E373D08">
            <w:pPr>
              <w:adjustRightInd w:val="0"/>
              <w:snapToGrid w:val="0"/>
              <w:jc w:val="center"/>
              <w:rPr>
                <w:rFonts w:ascii="Times New Roman" w:hAnsi="Times New Roman" w:cs="Times New Roman"/>
                <w:szCs w:val="21"/>
              </w:rPr>
            </w:pPr>
            <w:r>
              <w:rPr>
                <w:rFonts w:ascii="Times New Roman" w:hAnsi="Times New Roman" w:cs="Times New Roman"/>
                <w:szCs w:val="21"/>
              </w:rPr>
              <w:t>是否开工建设</w:t>
            </w:r>
          </w:p>
        </w:tc>
        <w:tc>
          <w:tcPr>
            <w:tcW w:w="1742" w:type="dxa"/>
            <w:vAlign w:val="center"/>
          </w:tcPr>
          <w:p w14:paraId="182D1C0C">
            <w:pPr>
              <w:adjustRightInd w:val="0"/>
              <w:snapToGrid w:val="0"/>
              <w:rPr>
                <w:rFonts w:ascii="Times New Roman" w:hAnsi="Times New Roman" w:cs="Times New Roman"/>
                <w:szCs w:val="21"/>
              </w:rPr>
            </w:pPr>
            <w:r>
              <w:rPr>
                <w:rFonts w:ascii="Times New Roman" w:hAnsi="Times New Roman" w:cs="Times New Roman"/>
                <w:szCs w:val="21"/>
              </w:rPr>
              <w:t>■否</w:t>
            </w:r>
          </w:p>
          <w:p w14:paraId="1599BE6C">
            <w:pPr>
              <w:adjustRightInd w:val="0"/>
              <w:snapToGrid w:val="0"/>
              <w:rPr>
                <w:rFonts w:ascii="Times New Roman" w:hAnsi="Times New Roman" w:cs="Times New Roman"/>
                <w:szCs w:val="21"/>
              </w:rPr>
            </w:pPr>
            <w:r>
              <w:rPr>
                <w:rFonts w:ascii="Times New Roman" w:hAnsi="Times New Roman" w:cs="Times New Roman"/>
                <w:szCs w:val="21"/>
              </w:rPr>
              <w:sym w:font="Wingdings 2" w:char="00A3"/>
            </w:r>
            <w:r>
              <w:rPr>
                <w:rFonts w:ascii="Times New Roman" w:hAnsi="Times New Roman" w:cs="Times New Roman"/>
                <w:szCs w:val="21"/>
              </w:rPr>
              <w:t>是：</w:t>
            </w:r>
            <w:r>
              <w:rPr>
                <w:rFonts w:ascii="Times New Roman" w:hAnsi="Times New Roman" w:cs="Times New Roman"/>
                <w:szCs w:val="21"/>
                <w:u w:val="single"/>
              </w:rPr>
              <w:t xml:space="preserve">             </w:t>
            </w:r>
          </w:p>
        </w:tc>
        <w:tc>
          <w:tcPr>
            <w:tcW w:w="2107" w:type="dxa"/>
            <w:tcMar>
              <w:top w:w="16" w:type="dxa"/>
              <w:left w:w="16" w:type="dxa"/>
              <w:right w:w="16" w:type="dxa"/>
            </w:tcMar>
            <w:vAlign w:val="center"/>
          </w:tcPr>
          <w:p w14:paraId="462AE257">
            <w:pPr>
              <w:adjustRightInd w:val="0"/>
              <w:snapToGrid w:val="0"/>
              <w:jc w:val="center"/>
              <w:rPr>
                <w:rFonts w:ascii="Times New Roman" w:hAnsi="Times New Roman" w:cs="Times New Roman"/>
                <w:spacing w:val="-6"/>
                <w:szCs w:val="21"/>
              </w:rPr>
            </w:pPr>
            <w:r>
              <w:rPr>
                <w:rFonts w:ascii="Times New Roman" w:hAnsi="Times New Roman" w:cs="Times New Roman"/>
                <w:spacing w:val="-6"/>
                <w:szCs w:val="21"/>
              </w:rPr>
              <w:t>用地（用海）</w:t>
            </w:r>
          </w:p>
          <w:p w14:paraId="763A0AC7">
            <w:pPr>
              <w:adjustRightInd w:val="0"/>
              <w:snapToGrid w:val="0"/>
              <w:jc w:val="center"/>
              <w:rPr>
                <w:rFonts w:ascii="Times New Roman" w:hAnsi="Times New Roman" w:cs="Times New Roman"/>
                <w:szCs w:val="21"/>
              </w:rPr>
            </w:pPr>
            <w:r>
              <w:rPr>
                <w:rFonts w:ascii="Times New Roman" w:hAnsi="Times New Roman" w:cs="Times New Roman"/>
                <w:spacing w:val="-6"/>
                <w:szCs w:val="21"/>
              </w:rPr>
              <w:t>面积（m</w:t>
            </w:r>
            <w:r>
              <w:rPr>
                <w:rFonts w:ascii="Times New Roman" w:hAnsi="Times New Roman" w:cs="Times New Roman"/>
                <w:spacing w:val="-6"/>
                <w:szCs w:val="21"/>
                <w:vertAlign w:val="superscript"/>
              </w:rPr>
              <w:t>2</w:t>
            </w:r>
            <w:r>
              <w:rPr>
                <w:rFonts w:ascii="Times New Roman" w:hAnsi="Times New Roman" w:cs="Times New Roman"/>
                <w:spacing w:val="-6"/>
                <w:szCs w:val="21"/>
              </w:rPr>
              <w:t>）</w:t>
            </w:r>
          </w:p>
        </w:tc>
        <w:tc>
          <w:tcPr>
            <w:tcW w:w="2639" w:type="dxa"/>
            <w:vAlign w:val="center"/>
          </w:tcPr>
          <w:p w14:paraId="2BBC7911">
            <w:pPr>
              <w:adjustRightInd w:val="0"/>
              <w:snapToGrid w:val="0"/>
              <w:jc w:val="center"/>
              <w:rPr>
                <w:rFonts w:ascii="Times New Roman" w:hAnsi="Times New Roman" w:cs="Times New Roman"/>
                <w:szCs w:val="21"/>
              </w:rPr>
            </w:pPr>
            <w:r>
              <w:rPr>
                <w:rFonts w:ascii="Times New Roman" w:hAnsi="Times New Roman" w:cs="Times New Roman"/>
                <w:szCs w:val="21"/>
              </w:rPr>
              <w:t>11603</w:t>
            </w:r>
          </w:p>
        </w:tc>
      </w:tr>
      <w:tr w14:paraId="73C794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14:paraId="7B5602EA">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专项评价设置情况</w:t>
            </w:r>
          </w:p>
        </w:tc>
        <w:tc>
          <w:tcPr>
            <w:tcW w:w="6488" w:type="dxa"/>
            <w:gridSpan w:val="3"/>
            <w:vAlign w:val="center"/>
          </w:tcPr>
          <w:p w14:paraId="2DBAD69A">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无</w:t>
            </w:r>
          </w:p>
        </w:tc>
      </w:tr>
      <w:tr w14:paraId="2228DF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2382" w:type="dxa"/>
            <w:vAlign w:val="center"/>
          </w:tcPr>
          <w:p w14:paraId="4AA0B786">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szCs w:val="21"/>
              </w:rPr>
              <w:t>规划情况</w:t>
            </w:r>
          </w:p>
        </w:tc>
        <w:tc>
          <w:tcPr>
            <w:tcW w:w="6488" w:type="dxa"/>
            <w:gridSpan w:val="3"/>
            <w:vAlign w:val="center"/>
          </w:tcPr>
          <w:p w14:paraId="12AD6C85">
            <w:pPr>
              <w:autoSpaceDE w:val="0"/>
              <w:autoSpaceDN w:val="0"/>
              <w:adjustRightInd w:val="0"/>
              <w:snapToGrid w:val="0"/>
              <w:rPr>
                <w:rFonts w:ascii="Times New Roman" w:hAnsi="Times New Roman" w:cs="Times New Roman"/>
                <w:kern w:val="0"/>
                <w:szCs w:val="21"/>
              </w:rPr>
            </w:pPr>
            <w:r>
              <w:rPr>
                <w:rFonts w:ascii="Times New Roman" w:hAnsi="Times New Roman" w:cs="Times New Roman"/>
                <w:kern w:val="0"/>
                <w:szCs w:val="21"/>
              </w:rPr>
              <w:t>名称：</w:t>
            </w:r>
            <w:r>
              <w:rPr>
                <w:rFonts w:ascii="Times New Roman" w:hAnsi="Times New Roman" w:cs="Times New Roman"/>
              </w:rPr>
              <w:t>重庆白涛工业园区规划</w:t>
            </w:r>
          </w:p>
        </w:tc>
      </w:tr>
      <w:tr w14:paraId="2FACE5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14:paraId="151F22EE">
            <w:pPr>
              <w:adjustRightInd w:val="0"/>
              <w:snapToGrid w:val="0"/>
              <w:jc w:val="center"/>
              <w:rPr>
                <w:rFonts w:ascii="Times New Roman" w:hAnsi="Times New Roman" w:cs="Times New Roman"/>
                <w:szCs w:val="21"/>
              </w:rPr>
            </w:pPr>
            <w:r>
              <w:rPr>
                <w:rFonts w:ascii="Times New Roman" w:hAnsi="Times New Roman" w:cs="Times New Roman"/>
                <w:szCs w:val="21"/>
              </w:rPr>
              <w:t>规划环境影响</w:t>
            </w:r>
          </w:p>
          <w:p w14:paraId="668BBB4E">
            <w:pPr>
              <w:adjustRightInd w:val="0"/>
              <w:snapToGrid w:val="0"/>
              <w:jc w:val="center"/>
              <w:rPr>
                <w:rFonts w:ascii="Times New Roman" w:hAnsi="Times New Roman" w:cs="Times New Roman"/>
                <w:kern w:val="0"/>
                <w:szCs w:val="21"/>
              </w:rPr>
            </w:pPr>
            <w:r>
              <w:rPr>
                <w:rFonts w:ascii="Times New Roman" w:hAnsi="Times New Roman" w:cs="Times New Roman"/>
                <w:szCs w:val="21"/>
              </w:rPr>
              <w:t>评价情况</w:t>
            </w:r>
          </w:p>
        </w:tc>
        <w:tc>
          <w:tcPr>
            <w:tcW w:w="6488" w:type="dxa"/>
            <w:gridSpan w:val="3"/>
            <w:vAlign w:val="center"/>
          </w:tcPr>
          <w:p w14:paraId="199D9E0B">
            <w:pPr>
              <w:autoSpaceDE w:val="0"/>
              <w:autoSpaceDN w:val="0"/>
              <w:adjustRightInd w:val="0"/>
              <w:snapToGrid w:val="0"/>
              <w:rPr>
                <w:rFonts w:ascii="Times New Roman" w:hAnsi="Times New Roman" w:cs="Times New Roman"/>
                <w:kern w:val="0"/>
                <w:szCs w:val="21"/>
              </w:rPr>
            </w:pPr>
            <w:r>
              <w:rPr>
                <w:rFonts w:ascii="Times New Roman" w:hAnsi="Times New Roman" w:cs="Times New Roman"/>
                <w:kern w:val="0"/>
                <w:szCs w:val="21"/>
              </w:rPr>
              <w:t>名称：重庆白涛工业园区规划修编环境影响告书</w:t>
            </w:r>
          </w:p>
          <w:p w14:paraId="4EC4C564">
            <w:pPr>
              <w:autoSpaceDE w:val="0"/>
              <w:autoSpaceDN w:val="0"/>
              <w:adjustRightInd w:val="0"/>
              <w:snapToGrid w:val="0"/>
              <w:rPr>
                <w:rFonts w:ascii="Times New Roman" w:hAnsi="Times New Roman" w:cs="Times New Roman"/>
                <w:kern w:val="0"/>
                <w:szCs w:val="21"/>
              </w:rPr>
            </w:pPr>
            <w:r>
              <w:rPr>
                <w:rFonts w:ascii="Times New Roman" w:hAnsi="Times New Roman" w:cs="Times New Roman"/>
                <w:kern w:val="0"/>
                <w:szCs w:val="21"/>
              </w:rPr>
              <w:t>审查机关：重庆市生态环境局</w:t>
            </w:r>
          </w:p>
          <w:p w14:paraId="6DD56C69">
            <w:pPr>
              <w:autoSpaceDE w:val="0"/>
              <w:autoSpaceDN w:val="0"/>
              <w:adjustRightInd w:val="0"/>
              <w:snapToGrid w:val="0"/>
              <w:rPr>
                <w:rFonts w:ascii="Times New Roman" w:hAnsi="Times New Roman" w:cs="Times New Roman"/>
                <w:kern w:val="0"/>
                <w:szCs w:val="21"/>
              </w:rPr>
            </w:pPr>
            <w:r>
              <w:rPr>
                <w:rFonts w:ascii="Times New Roman" w:hAnsi="Times New Roman" w:cs="Times New Roman"/>
                <w:kern w:val="0"/>
                <w:szCs w:val="21"/>
              </w:rPr>
              <w:t>审批文号：渝环函[2021]391号</w:t>
            </w:r>
          </w:p>
        </w:tc>
      </w:tr>
      <w:tr w14:paraId="7FEC24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14:paraId="16E340FC">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规划及规划环境</w:t>
            </w:r>
          </w:p>
          <w:p w14:paraId="2740C5A3">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影响评价符合性分析</w:t>
            </w:r>
          </w:p>
        </w:tc>
        <w:tc>
          <w:tcPr>
            <w:tcW w:w="6488" w:type="dxa"/>
            <w:gridSpan w:val="3"/>
            <w:vAlign w:val="center"/>
          </w:tcPr>
          <w:p w14:paraId="7AEAB9A1">
            <w:pPr>
              <w:adjustRightInd w:val="0"/>
              <w:snapToGrid w:val="0"/>
              <w:spacing w:line="360" w:lineRule="auto"/>
              <w:rPr>
                <w:rFonts w:ascii="Times New Roman" w:hAnsi="Times New Roman" w:cs="Times New Roman"/>
                <w:b/>
                <w:sz w:val="24"/>
              </w:rPr>
            </w:pPr>
            <w:r>
              <w:rPr>
                <w:rFonts w:ascii="Times New Roman" w:hAnsi="Times New Roman" w:cs="Times New Roman"/>
                <w:b/>
                <w:sz w:val="24"/>
              </w:rPr>
              <w:t>1.1与《重庆白涛工业园区规划修编环境影响告书》符合性分析</w:t>
            </w:r>
          </w:p>
          <w:p w14:paraId="19E05744">
            <w:pPr>
              <w:widowControl/>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（1）规划基本情况</w:t>
            </w:r>
          </w:p>
          <w:p w14:paraId="4E809642">
            <w:pPr>
              <w:widowControl/>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规划名称：重庆白涛化工园区规划修编。</w:t>
            </w:r>
          </w:p>
          <w:p w14:paraId="3611318D">
            <w:pPr>
              <w:widowControl/>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规划面积：总规划面积15.0km</w:t>
            </w:r>
            <w:r>
              <w:rPr>
                <w:rFonts w:ascii="Times New Roman" w:hAnsi="Times New Roman" w:cs="Times New Roman"/>
                <w:sz w:val="24"/>
                <w:vertAlign w:val="superscript"/>
              </w:rPr>
              <w:t>2</w:t>
            </w:r>
            <w:r>
              <w:rPr>
                <w:rFonts w:ascii="Times New Roman" w:hAnsi="Times New Roman" w:cs="Times New Roman"/>
                <w:sz w:val="24"/>
              </w:rPr>
              <w:t>，其中建设用地面积13.04km</w:t>
            </w:r>
            <w:r>
              <w:rPr>
                <w:rFonts w:ascii="Times New Roman" w:hAnsi="Times New Roman" w:cs="Times New Roman"/>
                <w:sz w:val="24"/>
                <w:vertAlign w:val="superscript"/>
              </w:rPr>
              <w:t>2</w:t>
            </w:r>
            <w:r>
              <w:rPr>
                <w:rFonts w:ascii="Times New Roman" w:hAnsi="Times New Roman" w:cs="Times New Roman"/>
                <w:sz w:val="24"/>
              </w:rPr>
              <w:t>。</w:t>
            </w:r>
          </w:p>
          <w:p w14:paraId="4CA6C451">
            <w:pPr>
              <w:widowControl/>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四至范围：规划区西起乌江边界，东至白涛街道山窝场镇，北至规划铁路编组站沿线，南至后溪河以南规划道路。</w:t>
            </w:r>
          </w:p>
          <w:p w14:paraId="34C625F4">
            <w:pPr>
              <w:widowControl/>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地理位置：重庆白涛化工园区位于重庆市白涛街道的王家坝片区，地处乌江东岸，距白涛老街1.5km（直线距离），新街约2.5km（乌江西岸），距涪陵城区约26km，距渝怀铁路白涛火车站约3km，距其现有码头作业区约1km。</w:t>
            </w:r>
          </w:p>
          <w:p w14:paraId="30AAC2E8">
            <w:pPr>
              <w:widowControl/>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发展目标：白涛化工园区主要发展天然气化工、氯氟化工及石油化工下游产品，将园区规划建设成为产业链完整，配套设施完善，产业布局、结构合理的循环型、集约型、生态型化工园区，具有较强的国内竞争力和可持续发展能力，形成长江上游和重庆市重要的化工生产基地。</w:t>
            </w:r>
          </w:p>
          <w:p w14:paraId="2203F9C7">
            <w:pPr>
              <w:widowControl/>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（2）规划布局</w:t>
            </w:r>
          </w:p>
          <w:p w14:paraId="0D920350">
            <w:pPr>
              <w:widowControl/>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功能分区：园区规划区整体呈“两轴、一带、六区”的结构。一带：指沿后溪河形成的绿色生态廊带。两轴：贯穿规划区的园区主干道为产业发展轴和铁路专用线形成的物流发展轴线；六区：指仓储物流区、化肥化工区、氯氟化工区、天然气化工区、石油下游产品化工区以及发展预留区。</w:t>
            </w:r>
          </w:p>
          <w:p w14:paraId="3595DA7F">
            <w:pPr>
              <w:widowControl/>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用地布局：规划区城市建设用地主要为工业用地、公共管理与公共服务设施用地、物流仓储用地、道路与交通设施用地、公用设施用地、绿地与广场用地等。园区内不设置居住用地，员工生活居住区将在规划区范围外集中布置（集中布置在白涛街道江西片区）。</w:t>
            </w:r>
          </w:p>
          <w:p w14:paraId="50EC0A16">
            <w:pPr>
              <w:widowControl/>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（3）产业发展规划与布局</w:t>
            </w:r>
          </w:p>
          <w:p w14:paraId="0A4BC091">
            <w:pPr>
              <w:widowControl/>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园区重点发展天然气化工、氯氟化工、石化下游产品。</w:t>
            </w:r>
          </w:p>
          <w:p w14:paraId="17273499">
            <w:pPr>
              <w:widowControl/>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本项目位于涪陵区白涛工业园区石化大道1号（涪陵LNG工厂内），依托现有LNG工厂BOG尾气等公辅条件建设提氦装置生产高纯氦气，属于化工行业，位于天然气化工及石化下游产品区域，符合园区发展产业定位及布局，符合《重庆白涛化工园区规划修编》要求。</w:t>
            </w:r>
          </w:p>
          <w:p w14:paraId="561994B7">
            <w:pPr>
              <w:adjustRightInd w:val="0"/>
              <w:snapToGrid w:val="0"/>
              <w:spacing w:line="360" w:lineRule="auto"/>
              <w:ind w:firstLine="480" w:firstLineChars="200"/>
              <w:rPr>
                <w:rFonts w:ascii="Times New Roman" w:hAnsi="Times New Roman" w:cs="Times New Roman"/>
                <w:bCs/>
                <w:sz w:val="24"/>
              </w:rPr>
            </w:pPr>
            <w:r>
              <w:rPr>
                <w:rFonts w:ascii="Times New Roman" w:hAnsi="Times New Roman" w:cs="Times New Roman"/>
                <w:bCs/>
                <w:sz w:val="24"/>
              </w:rPr>
              <w:t>本项目位于涪陵区白涛工业园区石化大道1号（涪陵LNG工厂内），位于天然气化工及石化下游产品区域，</w:t>
            </w:r>
            <w:r>
              <w:rPr>
                <w:rFonts w:ascii="Times New Roman" w:hAnsi="Times New Roman" w:cs="Times New Roman"/>
                <w:sz w:val="24"/>
              </w:rPr>
              <w:t>拟建项目为天然气液化项目，</w:t>
            </w:r>
            <w:r>
              <w:rPr>
                <w:rFonts w:ascii="Times New Roman" w:hAnsi="Times New Roman" w:cs="Times New Roman"/>
                <w:bCs/>
                <w:sz w:val="24"/>
              </w:rPr>
              <w:t>符合园区发展产业定位及布局，符合《重庆白涛化工园区规划修编》要求。</w:t>
            </w:r>
          </w:p>
          <w:p w14:paraId="2E6B2718">
            <w:pPr>
              <w:adjustRightInd w:val="0"/>
              <w:snapToGrid w:val="0"/>
              <w:spacing w:line="360" w:lineRule="auto"/>
              <w:rPr>
                <w:rFonts w:ascii="Times New Roman" w:hAnsi="Times New Roman" w:cs="Times New Roman"/>
                <w:bCs/>
                <w:sz w:val="24"/>
              </w:rPr>
            </w:pPr>
            <w:r>
              <w:rPr>
                <w:rFonts w:ascii="Times New Roman" w:hAnsi="Times New Roman" w:cs="Times New Roman"/>
                <w:bCs/>
                <w:sz w:val="24"/>
              </w:rPr>
              <w:t>（2）与规划评价“三线一单”符合性分析</w:t>
            </w:r>
          </w:p>
          <w:p w14:paraId="5FC78BCC">
            <w:pPr>
              <w:adjustRightInd w:val="0"/>
              <w:snapToGrid w:val="0"/>
              <w:spacing w:line="360" w:lineRule="auto"/>
              <w:ind w:firstLine="480" w:firstLineChars="200"/>
              <w:rPr>
                <w:rFonts w:ascii="Times New Roman" w:hAnsi="Times New Roman" w:cs="Times New Roman"/>
                <w:bCs/>
                <w:sz w:val="24"/>
              </w:rPr>
            </w:pPr>
            <w:r>
              <w:rPr>
                <w:rFonts w:ascii="Times New Roman" w:hAnsi="Times New Roman" w:cs="Times New Roman"/>
                <w:bCs/>
                <w:sz w:val="24"/>
              </w:rPr>
              <w:t>与规划评价“三线一单”符合性分析见表1.1-1，根据表1.1-1，</w:t>
            </w:r>
            <w:r>
              <w:rPr>
                <w:rFonts w:ascii="Times New Roman" w:hAnsi="Times New Roman" w:cs="Times New Roman"/>
                <w:sz w:val="24"/>
              </w:rPr>
              <w:t>拟建项目为天然气液化项目</w:t>
            </w:r>
            <w:r>
              <w:rPr>
                <w:rFonts w:ascii="Times New Roman" w:hAnsi="Times New Roman" w:cs="Times New Roman"/>
                <w:bCs/>
                <w:sz w:val="24"/>
              </w:rPr>
              <w:t>，不属于“限制”、“禁止”清单，与规划评价中“三线一单”的内容是相符的。</w:t>
            </w:r>
          </w:p>
          <w:p w14:paraId="054B0746">
            <w:pPr>
              <w:adjustRightInd w:val="0"/>
              <w:snapToGrid w:val="0"/>
              <w:spacing w:line="360" w:lineRule="auto"/>
              <w:ind w:firstLine="480" w:firstLineChars="200"/>
              <w:rPr>
                <w:rFonts w:ascii="Times New Roman" w:hAnsi="Times New Roman" w:cs="Times New Roman"/>
                <w:bCs/>
                <w:sz w:val="24"/>
              </w:rPr>
            </w:pPr>
            <w:r>
              <w:rPr>
                <w:rFonts w:ascii="Times New Roman" w:hAnsi="Times New Roman" w:cs="Times New Roman"/>
                <w:bCs/>
                <w:sz w:val="24"/>
              </w:rPr>
              <w:t>项目符合园区“生态保护红线、环境质量底线、资源利用上线和生态环境准入清单”等要求。</w:t>
            </w:r>
          </w:p>
          <w:p w14:paraId="2A62CD11">
            <w:pPr>
              <w:adjustRightInd w:val="0"/>
              <w:snapToGrid w:val="0"/>
              <w:spacing w:line="360" w:lineRule="auto"/>
              <w:rPr>
                <w:rFonts w:ascii="Times New Roman" w:hAnsi="Times New Roman" w:cs="Times New Roman"/>
                <w:b/>
                <w:sz w:val="24"/>
              </w:rPr>
            </w:pPr>
            <w:r>
              <w:rPr>
                <w:rFonts w:ascii="Times New Roman" w:hAnsi="Times New Roman" w:cs="Times New Roman"/>
                <w:b/>
                <w:sz w:val="24"/>
              </w:rPr>
              <w:t>1.2与《重庆白涛工业园区规划修编环境影响报告书》审查意见符合性分析</w:t>
            </w:r>
          </w:p>
          <w:p w14:paraId="2B61C757">
            <w:pPr>
              <w:widowControl/>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根据《重庆白涛化工园区规划修编环境影响报告书》（2021年6月），“规划区西起乌江边界，东至白涛街道办事处山窝场，北至规划铁路编组站沿线，南至后溪河以南规划道路。园区产业定位为天然气化工（包括现有的化肥化工、乙炔/DBO产业链等）、石油化工下游产品（包括聚酰胺和聚氨酯产业、碳四加工、高分子产业链等）、氯氟化工（包括氯碱化工产业、氟化工、氯硅产业等）为主的三大产业。”“即：园区规划区整体呈“两轴、一带、六区”的结构。一带：指沿后溪河形成的绿色生态廊带。两轴：贯穿规划区的园区主干道为产业发展轴和铁路专用线形成的物流发展轴线；六区：指仓储物流区、化肥化工区、氯氟化工区、天然气化工区、石油下游产品化工区以及发展预留区”，“规划区的六区主要是指由西向东的仓储物流区、化肥产业区、氯氟产业区、天然气化工区、石油化工区以及发展预留区。”</w:t>
            </w:r>
          </w:p>
          <w:p w14:paraId="612916FE">
            <w:pPr>
              <w:widowControl/>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白涛化工</w:t>
            </w:r>
            <w:r>
              <w:rPr>
                <w:rFonts w:hint="eastAsia" w:ascii="Times New Roman" w:hAnsi="Times New Roman" w:cs="Times New Roman"/>
                <w:sz w:val="24"/>
              </w:rPr>
              <w:t>园区</w:t>
            </w:r>
            <w:r>
              <w:rPr>
                <w:rFonts w:ascii="Times New Roman" w:hAnsi="Times New Roman" w:cs="Times New Roman"/>
                <w:sz w:val="24"/>
              </w:rPr>
              <w:t>内禁止新建以天然气为原料生产甲醇装置（天然气制1,4-丁二醇副产甲醇、甲醛除外）；禁止新建或扩建以化肥为产品的合成氨项目（区域规划搬迁、综合利用项目除外）。</w:t>
            </w:r>
          </w:p>
          <w:p w14:paraId="0063E592">
            <w:pPr>
              <w:widowControl/>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本项目位于涪陵区白涛工业园区石化大道1号（涪陵LNG工厂内），属于天然气化工区，项目</w:t>
            </w:r>
            <w:r>
              <w:rPr>
                <w:rFonts w:hint="eastAsia" w:ascii="Times New Roman" w:hAnsi="Times New Roman" w:cs="Times New Roman"/>
                <w:sz w:val="24"/>
              </w:rPr>
              <w:t>为二期液化天气项目</w:t>
            </w:r>
            <w:r>
              <w:rPr>
                <w:rFonts w:ascii="Times New Roman" w:hAnsi="Times New Roman" w:cs="Times New Roman"/>
                <w:sz w:val="24"/>
              </w:rPr>
              <w:t>，不属于园区禁止建设项目，符合《重庆白涛化工园区规划修编环境影响报告书》相关要求。</w:t>
            </w:r>
          </w:p>
          <w:p w14:paraId="136AB69B">
            <w:pPr>
              <w:adjustRightInd w:val="0"/>
              <w:snapToGrid w:val="0"/>
              <w:spacing w:line="360" w:lineRule="auto"/>
              <w:ind w:firstLine="480" w:firstLineChars="200"/>
              <w:rPr>
                <w:rFonts w:ascii="Times New Roman" w:hAnsi="Times New Roman" w:cs="Times New Roman"/>
                <w:bCs/>
                <w:sz w:val="24"/>
              </w:rPr>
            </w:pPr>
            <w:r>
              <w:rPr>
                <w:rFonts w:ascii="Times New Roman" w:hAnsi="Times New Roman" w:cs="Times New Roman"/>
                <w:bCs/>
                <w:sz w:val="24"/>
              </w:rPr>
              <w:t>本项目与规划环评审查意见符合性详见表1.2-1，经分析，本项目符合跟踪评价审查意见要求。</w:t>
            </w:r>
          </w:p>
        </w:tc>
      </w:tr>
      <w:tr w14:paraId="037D28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14:paraId="213BD3A4">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其他符合性分析</w:t>
            </w:r>
          </w:p>
        </w:tc>
        <w:tc>
          <w:tcPr>
            <w:tcW w:w="6488" w:type="dxa"/>
            <w:gridSpan w:val="3"/>
            <w:vAlign w:val="center"/>
          </w:tcPr>
          <w:p w14:paraId="0F330E20">
            <w:pPr>
              <w:adjustRightInd w:val="0"/>
              <w:snapToGrid w:val="0"/>
              <w:spacing w:line="360" w:lineRule="auto"/>
              <w:rPr>
                <w:rFonts w:ascii="Times New Roman" w:hAnsi="Times New Roman" w:cs="Times New Roman"/>
                <w:b/>
                <w:sz w:val="24"/>
              </w:rPr>
            </w:pPr>
            <w:r>
              <w:rPr>
                <w:rFonts w:ascii="Times New Roman" w:hAnsi="Times New Roman" w:cs="Times New Roman"/>
                <w:b/>
                <w:sz w:val="24"/>
              </w:rPr>
              <w:t>1.3与重庆市及涪陵区“三线一单”的符合性分析</w:t>
            </w:r>
          </w:p>
          <w:p w14:paraId="34B1A968">
            <w:pPr>
              <w:adjustRightInd w:val="0"/>
              <w:snapToGrid w:val="0"/>
              <w:spacing w:line="360" w:lineRule="auto"/>
              <w:ind w:firstLine="480" w:firstLineChars="200"/>
              <w:rPr>
                <w:rFonts w:ascii="Times New Roman" w:hAnsi="Times New Roman" w:cs="Times New Roman"/>
                <w:bCs/>
                <w:sz w:val="24"/>
              </w:rPr>
            </w:pPr>
            <w:r>
              <w:rPr>
                <w:rFonts w:ascii="Times New Roman" w:hAnsi="Times New Roman" w:cs="Times New Roman"/>
                <w:bCs/>
                <w:sz w:val="24"/>
              </w:rPr>
              <w:t>（1）与重庆市“三线一单”符合性分析</w:t>
            </w:r>
          </w:p>
          <w:p w14:paraId="1EBCD512">
            <w:pPr>
              <w:adjustRightInd w:val="0"/>
              <w:snapToGrid w:val="0"/>
              <w:spacing w:line="360" w:lineRule="auto"/>
              <w:ind w:firstLine="480" w:firstLineChars="200"/>
              <w:rPr>
                <w:rFonts w:ascii="Times New Roman" w:hAnsi="Times New Roman" w:cs="Times New Roman"/>
                <w:bCs/>
                <w:sz w:val="24"/>
                <w:highlight w:val="yellow"/>
              </w:rPr>
            </w:pPr>
            <w:r>
              <w:rPr>
                <w:rFonts w:ascii="Times New Roman" w:hAnsi="Times New Roman" w:cs="Times New Roman"/>
                <w:bCs/>
                <w:sz w:val="24"/>
              </w:rPr>
              <w:t>根据《重庆市人民政府关于落实生态保护红线、环境质量底线、资源利用上线制定生态环境准入清单实施生态环境分区管控的实施意见》渝府发〔2020〕11号：环境管控单元划分。环境管控单元包括优先保护单元、重点管控单元、一般管控单元三类。优先保护单元指以生态环境保护为主的区域，主要包括饮用水水源保护区、环境空气一类功能区等。重点管控单元指涉及水、大气、土壤、自然资源等资源环境要素重点管控的区域，主要包括人口密集的城镇规划区和产业集聚的工业园区（工业集聚区）。一般管控单元指除优先保护单元和重点管控单元之外的其他区域。</w:t>
            </w:r>
            <w:r>
              <w:rPr>
                <w:rFonts w:ascii="Times New Roman" w:hAnsi="Times New Roman" w:cs="Times New Roman"/>
                <w:kern w:val="0"/>
                <w:sz w:val="24"/>
              </w:rPr>
              <w:t>项目所在地为</w:t>
            </w:r>
            <w:r>
              <w:rPr>
                <w:rFonts w:ascii="Times New Roman" w:hAnsi="Times New Roman" w:cs="Times New Roman"/>
                <w:bCs/>
                <w:sz w:val="24"/>
              </w:rPr>
              <w:t>“涪陵区重点管控单元1-乌江麻柳嘴—— 重点管控单元1”</w:t>
            </w:r>
            <w:r>
              <w:rPr>
                <w:rFonts w:ascii="Times New Roman" w:hAnsi="Times New Roman" w:cs="Times New Roman"/>
                <w:kern w:val="0"/>
                <w:sz w:val="24"/>
              </w:rPr>
              <w:t>。</w:t>
            </w:r>
          </w:p>
          <w:p w14:paraId="4D46E8A8">
            <w:pPr>
              <w:adjustRightInd w:val="0"/>
              <w:snapToGrid w:val="0"/>
              <w:spacing w:line="360" w:lineRule="auto"/>
              <w:ind w:firstLine="480" w:firstLineChars="200"/>
              <w:rPr>
                <w:rFonts w:ascii="Times New Roman" w:hAnsi="Times New Roman" w:cs="Times New Roman"/>
                <w:bCs/>
                <w:sz w:val="24"/>
              </w:rPr>
            </w:pPr>
            <w:r>
              <w:rPr>
                <w:rFonts w:ascii="Times New Roman" w:hAnsi="Times New Roman" w:cs="Times New Roman"/>
                <w:bCs/>
                <w:sz w:val="24"/>
              </w:rPr>
              <w:t>（2）与涪陵区“三线一单”符合性分析</w:t>
            </w:r>
          </w:p>
          <w:p w14:paraId="34585C0F">
            <w:pPr>
              <w:adjustRightInd w:val="0"/>
              <w:snapToGrid w:val="0"/>
              <w:spacing w:line="360" w:lineRule="auto"/>
              <w:ind w:firstLine="480" w:firstLineChars="200"/>
              <w:rPr>
                <w:rFonts w:ascii="Times New Roman" w:hAnsi="Times New Roman" w:cs="Times New Roman"/>
                <w:bCs/>
                <w:sz w:val="24"/>
              </w:rPr>
            </w:pPr>
            <w:r>
              <w:rPr>
                <w:rFonts w:ascii="Times New Roman" w:hAnsi="Times New Roman" w:cs="Times New Roman"/>
                <w:bCs/>
                <w:sz w:val="24"/>
              </w:rPr>
              <w:t>根据《重庆市人民政府关于 落实生态保护红线、环境质量底线、资源利用上线制定生态环境准入清单 实施生态环境分区管控的实施意见》（渝府发〔2020〕11号），项目位于涪陵白涛工业园区，属于重点管控单元，重点管控单元指涉及水、大气、土壤、自然资源等资源环境要素重点管控的区域，主要包括人口密集的城镇规划区和产业集聚的工业园区（工业集聚区）。</w:t>
            </w:r>
          </w:p>
          <w:p w14:paraId="3CD07BEC">
            <w:pPr>
              <w:adjustRightInd w:val="0"/>
              <w:snapToGrid w:val="0"/>
              <w:spacing w:line="360" w:lineRule="auto"/>
              <w:ind w:firstLine="480" w:firstLineChars="200"/>
              <w:rPr>
                <w:rFonts w:ascii="Times New Roman" w:hAnsi="Times New Roman" w:cs="Times New Roman"/>
                <w:bCs/>
                <w:sz w:val="24"/>
              </w:rPr>
            </w:pPr>
            <w:r>
              <w:rPr>
                <w:rFonts w:ascii="Times New Roman" w:hAnsi="Times New Roman" w:cs="Times New Roman"/>
                <w:bCs/>
                <w:sz w:val="24"/>
              </w:rPr>
              <w:t>根据《重庆市涪陵区人民政府办公室关于印发涪陵区落实“三线一单”实施生态环境分区管控实施方案的通知》（涪陵府办发〔2020〕118号），项目所在的白涛工业园区属于“涪陵区重点管控单元1-乌江麻柳嘴—— 重点管控单元1”，项目与该管控单元的管控要求符合性见表1.3-1。</w:t>
            </w:r>
          </w:p>
          <w:p w14:paraId="252EE9B9">
            <w:pPr>
              <w:numPr>
                <w:ilvl w:val="0"/>
                <w:numId w:val="11"/>
              </w:numPr>
              <w:adjustRightInd w:val="0"/>
              <w:snapToGrid w:val="0"/>
              <w:spacing w:line="360" w:lineRule="auto"/>
              <w:rPr>
                <w:rFonts w:ascii="Times New Roman" w:hAnsi="Times New Roman" w:cs="Times New Roman"/>
                <w:bCs/>
                <w:sz w:val="24"/>
              </w:rPr>
            </w:pPr>
            <w:r>
              <w:rPr>
                <w:rFonts w:ascii="Times New Roman" w:hAnsi="Times New Roman" w:cs="Times New Roman"/>
                <w:bCs/>
                <w:sz w:val="24"/>
              </w:rPr>
              <w:t>生态保护红线</w:t>
            </w:r>
          </w:p>
          <w:p w14:paraId="13C921A5">
            <w:pPr>
              <w:adjustRightInd w:val="0"/>
              <w:snapToGrid w:val="0"/>
              <w:spacing w:line="360" w:lineRule="auto"/>
              <w:ind w:firstLine="480" w:firstLineChars="200"/>
              <w:rPr>
                <w:rFonts w:ascii="Times New Roman" w:hAnsi="Times New Roman" w:cs="Times New Roman"/>
                <w:bCs/>
                <w:sz w:val="24"/>
              </w:rPr>
            </w:pPr>
            <w:r>
              <w:rPr>
                <w:rFonts w:ascii="Times New Roman" w:hAnsi="Times New Roman" w:cs="Times New Roman"/>
                <w:bCs/>
                <w:sz w:val="24"/>
              </w:rPr>
              <w:t>本项目位于重庆白涛工业园区，根据涪陵区“三线一单”图集可知规划区不涉及生态保护红线及一般生态空间。</w:t>
            </w:r>
          </w:p>
          <w:p w14:paraId="261C7CB4">
            <w:pPr>
              <w:numPr>
                <w:ilvl w:val="0"/>
                <w:numId w:val="11"/>
              </w:numPr>
              <w:adjustRightInd w:val="0"/>
              <w:snapToGrid w:val="0"/>
              <w:spacing w:line="360" w:lineRule="auto"/>
              <w:rPr>
                <w:rFonts w:ascii="Times New Roman" w:hAnsi="Times New Roman" w:cs="Times New Roman"/>
                <w:bCs/>
                <w:sz w:val="24"/>
              </w:rPr>
            </w:pPr>
            <w:r>
              <w:rPr>
                <w:rFonts w:ascii="Times New Roman" w:hAnsi="Times New Roman" w:cs="Times New Roman"/>
                <w:bCs/>
                <w:sz w:val="24"/>
              </w:rPr>
              <w:t>环境质量底线</w:t>
            </w:r>
          </w:p>
          <w:p w14:paraId="2DE8BCFD">
            <w:pPr>
              <w:adjustRightInd w:val="0"/>
              <w:snapToGrid w:val="0"/>
              <w:spacing w:line="360" w:lineRule="auto"/>
              <w:ind w:firstLine="480" w:firstLineChars="200"/>
              <w:rPr>
                <w:rFonts w:ascii="Times New Roman" w:hAnsi="Times New Roman" w:cs="Times New Roman"/>
                <w:bCs/>
                <w:sz w:val="24"/>
              </w:rPr>
            </w:pPr>
            <w:r>
              <w:rPr>
                <w:rFonts w:ascii="Times New Roman" w:hAnsi="Times New Roman" w:cs="Times New Roman"/>
                <w:bCs/>
                <w:sz w:val="24"/>
              </w:rPr>
              <w:t>本项目位于重庆白涛工业园区，本项目产生少量颗粒物和生产废水，采取相应的环保措施后，项目建设后不会改变区域环境空气、地表水环境质量。</w:t>
            </w:r>
          </w:p>
          <w:p w14:paraId="54A70735">
            <w:pPr>
              <w:numPr>
                <w:ilvl w:val="0"/>
                <w:numId w:val="11"/>
              </w:numPr>
              <w:adjustRightInd w:val="0"/>
              <w:snapToGrid w:val="0"/>
              <w:spacing w:line="360" w:lineRule="auto"/>
              <w:rPr>
                <w:rFonts w:ascii="Times New Roman" w:hAnsi="Times New Roman" w:cs="Times New Roman"/>
                <w:bCs/>
                <w:sz w:val="24"/>
              </w:rPr>
            </w:pPr>
            <w:r>
              <w:rPr>
                <w:rFonts w:ascii="Times New Roman" w:hAnsi="Times New Roman" w:cs="Times New Roman"/>
                <w:bCs/>
                <w:sz w:val="24"/>
              </w:rPr>
              <w:t>资源利用上线</w:t>
            </w:r>
          </w:p>
          <w:p w14:paraId="26CC592B">
            <w:pPr>
              <w:adjustRightInd w:val="0"/>
              <w:snapToGrid w:val="0"/>
              <w:spacing w:line="360" w:lineRule="auto"/>
              <w:ind w:firstLine="480" w:firstLineChars="200"/>
              <w:rPr>
                <w:rFonts w:ascii="Times New Roman" w:hAnsi="Times New Roman" w:cs="Times New Roman"/>
                <w:bCs/>
                <w:sz w:val="24"/>
              </w:rPr>
            </w:pPr>
            <w:r>
              <w:rPr>
                <w:rFonts w:ascii="Times New Roman" w:hAnsi="Times New Roman" w:cs="Times New Roman"/>
                <w:bCs/>
                <w:sz w:val="24"/>
              </w:rPr>
              <w:t>项目位于重庆白涛工业园区，本项目发展不涉及资源的“瓶颈”，各类资源可满足本项目的发展需要。</w:t>
            </w:r>
          </w:p>
          <w:p w14:paraId="08858318">
            <w:pPr>
              <w:numPr>
                <w:ilvl w:val="0"/>
                <w:numId w:val="11"/>
              </w:numPr>
              <w:adjustRightInd w:val="0"/>
              <w:snapToGrid w:val="0"/>
              <w:spacing w:line="360" w:lineRule="auto"/>
              <w:rPr>
                <w:rFonts w:ascii="Times New Roman" w:hAnsi="Times New Roman" w:cs="Times New Roman"/>
                <w:bCs/>
                <w:sz w:val="24"/>
              </w:rPr>
            </w:pPr>
            <w:r>
              <w:rPr>
                <w:rFonts w:ascii="Times New Roman" w:hAnsi="Times New Roman" w:cs="Times New Roman"/>
                <w:bCs/>
                <w:sz w:val="24"/>
              </w:rPr>
              <w:t>环境准入负面清单</w:t>
            </w:r>
          </w:p>
          <w:p w14:paraId="0502D33D">
            <w:pPr>
              <w:adjustRightInd w:val="0"/>
              <w:snapToGrid w:val="0"/>
              <w:spacing w:line="360" w:lineRule="auto"/>
              <w:ind w:firstLine="480" w:firstLineChars="200"/>
              <w:rPr>
                <w:rFonts w:ascii="Times New Roman" w:hAnsi="Times New Roman" w:cs="Times New Roman"/>
                <w:bCs/>
                <w:sz w:val="24"/>
              </w:rPr>
            </w:pPr>
            <w:r>
              <w:rPr>
                <w:rFonts w:ascii="Times New Roman" w:hAnsi="Times New Roman" w:cs="Times New Roman"/>
                <w:bCs/>
                <w:sz w:val="24"/>
              </w:rPr>
              <w:t>本项目属于《建设项目环境影响评价分类管理名录》（2021年版）中“</w:t>
            </w:r>
            <w:r>
              <w:rPr>
                <w:rFonts w:hint="eastAsia" w:ascii="Times New Roman" w:hAnsi="Times New Roman" w:cs="Times New Roman"/>
                <w:bCs/>
                <w:sz w:val="24"/>
              </w:rPr>
              <w:t>五、石油和天然气开采业07-陆地天然气开采0721</w:t>
            </w:r>
            <w:r>
              <w:rPr>
                <w:rFonts w:ascii="Times New Roman" w:hAnsi="Times New Roman" w:cs="Times New Roman"/>
                <w:bCs/>
                <w:sz w:val="24"/>
              </w:rPr>
              <w:t>”，本项目符合涪陵区生态环境准入清单的要求。</w:t>
            </w:r>
          </w:p>
          <w:p w14:paraId="586E8262">
            <w:pPr>
              <w:adjustRightInd w:val="0"/>
              <w:snapToGrid w:val="0"/>
              <w:spacing w:line="360" w:lineRule="auto"/>
              <w:rPr>
                <w:rFonts w:ascii="Times New Roman" w:hAnsi="Times New Roman" w:cs="Times New Roman"/>
                <w:b/>
                <w:sz w:val="24"/>
              </w:rPr>
            </w:pPr>
            <w:r>
              <w:rPr>
                <w:rFonts w:ascii="Times New Roman" w:hAnsi="Times New Roman" w:cs="Times New Roman"/>
                <w:b/>
                <w:sz w:val="24"/>
              </w:rPr>
              <w:t>1.4《产业结构调整指导目录（2019本）》符合性分析</w:t>
            </w:r>
          </w:p>
          <w:p w14:paraId="228CBE6C">
            <w:pPr>
              <w:spacing w:line="360" w:lineRule="auto"/>
              <w:ind w:firstLine="570"/>
              <w:rPr>
                <w:rFonts w:ascii="Times New Roman" w:hAnsi="Times New Roman" w:cs="Times New Roman"/>
                <w:sz w:val="24"/>
              </w:rPr>
            </w:pPr>
            <w:r>
              <w:rPr>
                <w:rFonts w:ascii="Times New Roman" w:hAnsi="Times New Roman" w:cs="Times New Roman"/>
                <w:sz w:val="24"/>
              </w:rPr>
              <w:t>本项目为</w:t>
            </w:r>
            <w:r>
              <w:rPr>
                <w:rFonts w:hint="eastAsia" w:ascii="Times New Roman" w:hAnsi="Times New Roman" w:cs="Times New Roman"/>
                <w:bCs/>
                <w:sz w:val="24"/>
              </w:rPr>
              <w:t>液化天然气项目</w:t>
            </w:r>
            <w:r>
              <w:rPr>
                <w:rFonts w:ascii="Times New Roman" w:hAnsi="Times New Roman" w:cs="Times New Roman"/>
                <w:sz w:val="24"/>
              </w:rPr>
              <w:t>，不属于《产业结构调整指导目录（2019年本）中鼓励类、限制类和淘汰类，为允许类项目，并已取得《重庆市涪陵区发展和改革委员会备案证》（2209-500102-04-01-544573），因此，符合该目录规定。</w:t>
            </w:r>
          </w:p>
          <w:p w14:paraId="0C720064">
            <w:pPr>
              <w:adjustRightInd w:val="0"/>
              <w:snapToGrid w:val="0"/>
              <w:spacing w:line="360" w:lineRule="auto"/>
              <w:rPr>
                <w:rFonts w:ascii="Times New Roman" w:hAnsi="Times New Roman" w:cs="Times New Roman"/>
                <w:b/>
                <w:sz w:val="24"/>
              </w:rPr>
            </w:pPr>
            <w:r>
              <w:rPr>
                <w:rFonts w:ascii="Times New Roman" w:hAnsi="Times New Roman" w:cs="Times New Roman"/>
                <w:b/>
                <w:sz w:val="24"/>
              </w:rPr>
              <w:t>1.5与《重庆市发展和改革委员会关于重庆市产业投资准入工作手册的通知》（渝发改投[2018]541号）符合性分析</w:t>
            </w:r>
          </w:p>
          <w:p w14:paraId="0C85B6ED">
            <w:pPr>
              <w:spacing w:line="360" w:lineRule="auto"/>
              <w:ind w:firstLine="570"/>
              <w:rPr>
                <w:rFonts w:ascii="Times New Roman" w:hAnsi="Times New Roman" w:cs="Times New Roman"/>
                <w:sz w:val="24"/>
              </w:rPr>
            </w:pPr>
            <w:r>
              <w:rPr>
                <w:rFonts w:ascii="Times New Roman" w:hAnsi="Times New Roman" w:cs="Times New Roman"/>
                <w:sz w:val="24"/>
              </w:rPr>
              <w:t>本项目与重庆市产业投资准入工作手册的符合性分析详见表1.5-1，根据分析结果可知，本项目符合《重庆市发展和改革委员会关于重庆市产业投资准入工作手册的通知》（渝发改投[2018]541号）文件规定。</w:t>
            </w:r>
          </w:p>
          <w:p w14:paraId="00C7573A">
            <w:pPr>
              <w:adjustRightInd w:val="0"/>
              <w:snapToGrid w:val="0"/>
              <w:spacing w:line="360" w:lineRule="auto"/>
              <w:rPr>
                <w:rFonts w:ascii="Times New Roman" w:hAnsi="Times New Roman" w:cs="Times New Roman"/>
                <w:b/>
                <w:sz w:val="24"/>
              </w:rPr>
            </w:pPr>
            <w:r>
              <w:rPr>
                <w:rFonts w:ascii="Times New Roman" w:hAnsi="Times New Roman" w:cs="Times New Roman"/>
                <w:b/>
                <w:sz w:val="24"/>
              </w:rPr>
              <w:t>1.6与《重庆市发展和改革委员会、重庆市经济和信息化委员会关于严格工业布局和准入的通知》（渝发改工[2018]781号）符合性分析</w:t>
            </w:r>
          </w:p>
          <w:p w14:paraId="7A69F73A">
            <w:pPr>
              <w:spacing w:line="360" w:lineRule="auto"/>
              <w:ind w:firstLine="570"/>
              <w:rPr>
                <w:rFonts w:ascii="Times New Roman" w:hAnsi="Times New Roman" w:cs="Times New Roman"/>
                <w:sz w:val="24"/>
              </w:rPr>
            </w:pPr>
            <w:r>
              <w:rPr>
                <w:rFonts w:ascii="Times New Roman" w:hAnsi="Times New Roman" w:cs="Times New Roman"/>
                <w:sz w:val="24"/>
              </w:rPr>
              <w:t>本项目符合《重庆市发展和改革委员会、重庆市经济和信息化委员会关于严格工业布局和准入的通知》（渝发改工[2018]781号）文件规定，具体符合分析性详见表1.6-1。</w:t>
            </w:r>
          </w:p>
          <w:p w14:paraId="4E3E5DE3">
            <w:pPr>
              <w:adjustRightInd w:val="0"/>
              <w:snapToGrid w:val="0"/>
              <w:spacing w:line="360" w:lineRule="auto"/>
              <w:rPr>
                <w:rFonts w:ascii="Times New Roman" w:hAnsi="Times New Roman" w:cs="Times New Roman"/>
                <w:b/>
                <w:sz w:val="24"/>
              </w:rPr>
            </w:pPr>
            <w:r>
              <w:rPr>
                <w:rFonts w:ascii="Times New Roman" w:hAnsi="Times New Roman" w:cs="Times New Roman"/>
                <w:b/>
                <w:sz w:val="24"/>
              </w:rPr>
              <w:t>1.7与水十条、气十条、土十条符合性分析</w:t>
            </w:r>
          </w:p>
          <w:p w14:paraId="49A4AF8C">
            <w:pPr>
              <w:spacing w:line="360" w:lineRule="auto"/>
              <w:ind w:firstLine="570"/>
              <w:rPr>
                <w:rFonts w:ascii="Times New Roman" w:hAnsi="Times New Roman" w:cs="Times New Roman"/>
                <w:sz w:val="24"/>
              </w:rPr>
            </w:pPr>
            <w:r>
              <w:rPr>
                <w:rFonts w:ascii="Times New Roman" w:hAnsi="Times New Roman" w:cs="Times New Roman"/>
                <w:sz w:val="24"/>
              </w:rPr>
              <w:t>本项目符合水十条、气十条、土十条，符合性分析详见表1.7-1。</w:t>
            </w:r>
          </w:p>
          <w:p w14:paraId="4DEF5EC8">
            <w:pPr>
              <w:adjustRightInd w:val="0"/>
              <w:snapToGrid w:val="0"/>
              <w:spacing w:line="360" w:lineRule="auto"/>
              <w:rPr>
                <w:rFonts w:ascii="Times New Roman" w:hAnsi="Times New Roman" w:cs="Times New Roman"/>
                <w:b/>
                <w:sz w:val="24"/>
              </w:rPr>
            </w:pPr>
            <w:r>
              <w:rPr>
                <w:rFonts w:ascii="Times New Roman" w:hAnsi="Times New Roman" w:cs="Times New Roman"/>
                <w:b/>
                <w:sz w:val="24"/>
              </w:rPr>
              <w:t>1.8与《推动长江经济带发展领导小组办公室关于印发&lt;长江经济带发展负面清单指南&gt;(试行，2022版)》（长江办〔2022〕7号）符合性分析</w:t>
            </w:r>
          </w:p>
          <w:p w14:paraId="7313FF16">
            <w:pPr>
              <w:spacing w:line="360" w:lineRule="auto"/>
              <w:ind w:firstLine="480" w:firstLineChars="200"/>
              <w:rPr>
                <w:rFonts w:ascii="Times New Roman" w:hAnsi="Times New Roman" w:cs="Times New Roman"/>
                <w:sz w:val="24"/>
              </w:rPr>
            </w:pPr>
            <w:r>
              <w:rPr>
                <w:rFonts w:ascii="Times New Roman" w:hAnsi="Times New Roman" w:cs="Times New Roman"/>
                <w:sz w:val="24"/>
              </w:rPr>
              <w:t>项目与《推动长江经济带发展领导小组办公室关于印发&lt;长江经济带发展负面清单指南&gt;(试行，2022版)》（长江办〔2022〕7号）的符合性分析见表1.8-1。</w:t>
            </w:r>
          </w:p>
          <w:p w14:paraId="612DE66D">
            <w:pPr>
              <w:adjustRightInd w:val="0"/>
              <w:snapToGrid w:val="0"/>
              <w:spacing w:line="360" w:lineRule="auto"/>
              <w:rPr>
                <w:rFonts w:ascii="Times New Roman" w:hAnsi="Times New Roman" w:cs="Times New Roman"/>
                <w:b/>
                <w:sz w:val="24"/>
              </w:rPr>
            </w:pPr>
            <w:r>
              <w:rPr>
                <w:rFonts w:ascii="Times New Roman" w:hAnsi="Times New Roman" w:cs="Times New Roman"/>
                <w:b/>
                <w:sz w:val="24"/>
              </w:rPr>
              <w:t>1.9与《中华人民共和国长江保护法》符合性分析</w:t>
            </w:r>
          </w:p>
          <w:p w14:paraId="38EDD21E">
            <w:pPr>
              <w:spacing w:line="480" w:lineRule="exact"/>
              <w:ind w:firstLine="570"/>
              <w:rPr>
                <w:rFonts w:ascii="Times New Roman" w:hAnsi="Times New Roman" w:cs="Times New Roman"/>
                <w:sz w:val="24"/>
              </w:rPr>
            </w:pPr>
            <w:r>
              <w:rPr>
                <w:rFonts w:ascii="Times New Roman" w:hAnsi="Times New Roman" w:cs="Times New Roman"/>
                <w:sz w:val="24"/>
              </w:rPr>
              <w:t>本项目符合《中华人民共和国长江保护法》的相关要求，与《中华人民共和国长江保护法》的符合性分析详见表1.9-1。</w:t>
            </w:r>
          </w:p>
          <w:p w14:paraId="16A29FAB">
            <w:pPr>
              <w:spacing w:line="360" w:lineRule="auto"/>
              <w:jc w:val="left"/>
              <w:rPr>
                <w:rFonts w:ascii="Times New Roman" w:hAnsi="Times New Roman" w:cs="Times New Roman"/>
                <w:sz w:val="24"/>
              </w:rPr>
            </w:pPr>
          </w:p>
          <w:p w14:paraId="77D423A2">
            <w:pPr>
              <w:adjustRightInd w:val="0"/>
              <w:snapToGrid w:val="0"/>
              <w:spacing w:line="360" w:lineRule="auto"/>
              <w:rPr>
                <w:rFonts w:ascii="Times New Roman" w:hAnsi="Times New Roman" w:cs="Times New Roman"/>
                <w:b/>
                <w:sz w:val="24"/>
              </w:rPr>
            </w:pPr>
            <w:r>
              <w:rPr>
                <w:rFonts w:ascii="Times New Roman" w:hAnsi="Times New Roman" w:cs="Times New Roman"/>
                <w:b/>
                <w:sz w:val="24"/>
              </w:rPr>
              <w:t>1.10与《挥发性有机污染物防治技术政策》的符合性分析</w:t>
            </w:r>
          </w:p>
          <w:p w14:paraId="2067E6C1">
            <w:pPr>
              <w:autoSpaceDE w:val="0"/>
              <w:autoSpaceDN w:val="0"/>
              <w:adjustRightInd w:val="0"/>
              <w:snapToGrid w:val="0"/>
              <w:spacing w:line="360" w:lineRule="auto"/>
              <w:ind w:firstLine="480" w:firstLineChars="200"/>
              <w:rPr>
                <w:rFonts w:ascii="Times New Roman" w:hAnsi="Times New Roman" w:cs="Times New Roman"/>
                <w:kern w:val="0"/>
                <w:sz w:val="24"/>
                <w:szCs w:val="20"/>
              </w:rPr>
            </w:pPr>
            <w:r>
              <w:rPr>
                <w:rFonts w:ascii="Times New Roman" w:hAnsi="Times New Roman" w:cs="Times New Roman"/>
                <w:kern w:val="0"/>
                <w:sz w:val="24"/>
                <w:szCs w:val="20"/>
              </w:rPr>
              <w:t>对照《挥发性有机污染物防治技术政策》，拟建项目符合《挥发性有机污染物防治技术政策》相关要求，见表1.10-1。</w:t>
            </w:r>
          </w:p>
          <w:p w14:paraId="4D0C38FA">
            <w:pPr>
              <w:adjustRightInd w:val="0"/>
              <w:snapToGrid w:val="0"/>
              <w:spacing w:line="360" w:lineRule="auto"/>
              <w:rPr>
                <w:rFonts w:ascii="Times New Roman" w:hAnsi="Times New Roman" w:cs="Times New Roman"/>
                <w:b/>
                <w:sz w:val="24"/>
              </w:rPr>
            </w:pPr>
            <w:r>
              <w:rPr>
                <w:rFonts w:ascii="Times New Roman" w:hAnsi="Times New Roman" w:cs="Times New Roman"/>
                <w:b/>
                <w:sz w:val="24"/>
              </w:rPr>
              <w:t>1.11与《重庆市“十三五”挥发性有机物大气污染防治工作实施方案》的符合性分析</w:t>
            </w:r>
          </w:p>
          <w:p w14:paraId="68F2B7DE">
            <w:pPr>
              <w:pStyle w:val="2821"/>
              <w:autoSpaceDE/>
              <w:autoSpaceDN/>
              <w:ind w:firstLine="480"/>
              <w:textAlignment w:val="auto"/>
              <w:rPr>
                <w:rFonts w:cs="Times New Roman"/>
                <w:color w:val="auto"/>
              </w:rPr>
            </w:pPr>
            <w:r>
              <w:rPr>
                <w:rFonts w:cs="Times New Roman"/>
                <w:color w:val="auto"/>
              </w:rPr>
              <w:t>对照《重庆市“十三五”挥发性有机物大气污染防治工作实施方案》，拟建项目符合《重庆市“十三五”挥发性有机物大气污染防治工作实施方案》相关要求，见表1.11-1。</w:t>
            </w:r>
          </w:p>
          <w:p w14:paraId="4284B2D0">
            <w:pPr>
              <w:spacing w:line="360" w:lineRule="auto"/>
              <w:jc w:val="left"/>
              <w:rPr>
                <w:rFonts w:ascii="Times New Roman" w:hAnsi="Times New Roman" w:cs="Times New Roman"/>
                <w:sz w:val="24"/>
              </w:rPr>
            </w:pPr>
          </w:p>
          <w:p w14:paraId="77CCB65E">
            <w:pPr>
              <w:spacing w:line="360" w:lineRule="auto"/>
              <w:rPr>
                <w:rFonts w:ascii="Times New Roman" w:hAnsi="Times New Roman" w:cs="Times New Roman"/>
                <w:b/>
                <w:sz w:val="24"/>
              </w:rPr>
            </w:pPr>
          </w:p>
        </w:tc>
      </w:tr>
    </w:tbl>
    <w:p w14:paraId="7376C7A6">
      <w:pPr>
        <w:spacing w:line="360" w:lineRule="auto"/>
        <w:outlineLvl w:val="0"/>
        <w:rPr>
          <w:rFonts w:ascii="Times New Roman" w:hAnsi="Times New Roman" w:eastAsia="黑体" w:cs="Times New Roman"/>
          <w:sz w:val="30"/>
        </w:rPr>
        <w:sectPr>
          <w:footerReference r:id="rId5" w:type="default"/>
          <w:pgSz w:w="11906" w:h="16838"/>
          <w:pgMar w:top="1701" w:right="1531" w:bottom="1701" w:left="1531" w:header="851" w:footer="1077" w:gutter="0"/>
          <w:pgNumType w:start="1"/>
          <w:cols w:space="720" w:num="1"/>
          <w:docGrid w:linePitch="312" w:charSpace="0"/>
        </w:sectPr>
      </w:pPr>
    </w:p>
    <w:p w14:paraId="2ED62357">
      <w:pPr>
        <w:adjustRightInd w:val="0"/>
        <w:snapToGrid w:val="0"/>
        <w:spacing w:line="480" w:lineRule="exact"/>
        <w:jc w:val="center"/>
        <w:rPr>
          <w:rFonts w:ascii="Times New Roman" w:hAnsi="Times New Roman" w:cs="Times New Roman"/>
          <w:b/>
          <w:sz w:val="24"/>
          <w:szCs w:val="20"/>
          <w:lang w:val="zh-CN"/>
        </w:rPr>
      </w:pPr>
      <w:r>
        <w:rPr>
          <w:rFonts w:ascii="Times New Roman" w:hAnsi="Times New Roman" w:cs="Times New Roman"/>
          <w:b/>
          <w:sz w:val="24"/>
          <w:szCs w:val="20"/>
          <w:lang w:val="zh-CN"/>
        </w:rPr>
        <w:t>表1.1-1  与规划评价“三线一单”符合性分析</w:t>
      </w:r>
    </w:p>
    <w:tbl>
      <w:tblPr>
        <w:tblStyle w:val="81"/>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17"/>
        <w:gridCol w:w="852"/>
        <w:gridCol w:w="5103"/>
        <w:gridCol w:w="1703"/>
        <w:gridCol w:w="585"/>
      </w:tblGrid>
      <w:tr w14:paraId="4FA8E6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30" w:hRule="atLeast"/>
          <w:jc w:val="center"/>
        </w:trPr>
        <w:tc>
          <w:tcPr>
            <w:tcW w:w="451" w:type="pct"/>
            <w:vAlign w:val="center"/>
          </w:tcPr>
          <w:p w14:paraId="68169A25">
            <w:pPr>
              <w:adjustRightInd w:val="0"/>
              <w:snapToGrid w:val="0"/>
              <w:jc w:val="center"/>
              <w:rPr>
                <w:rFonts w:ascii="Times New Roman" w:hAnsi="Times New Roman" w:cs="Times New Roman"/>
                <w:b/>
                <w:bCs/>
                <w:szCs w:val="21"/>
              </w:rPr>
            </w:pPr>
            <w:r>
              <w:rPr>
                <w:rFonts w:ascii="Times New Roman" w:hAnsi="Times New Roman" w:cs="Times New Roman"/>
                <w:b/>
                <w:bCs/>
                <w:szCs w:val="21"/>
              </w:rPr>
              <w:t>项目</w:t>
            </w:r>
          </w:p>
        </w:tc>
        <w:tc>
          <w:tcPr>
            <w:tcW w:w="3286" w:type="pct"/>
            <w:gridSpan w:val="2"/>
            <w:vAlign w:val="center"/>
          </w:tcPr>
          <w:p w14:paraId="4624599A">
            <w:pPr>
              <w:adjustRightInd w:val="0"/>
              <w:snapToGrid w:val="0"/>
              <w:jc w:val="center"/>
              <w:rPr>
                <w:rFonts w:ascii="Times New Roman" w:hAnsi="Times New Roman" w:cs="Times New Roman"/>
                <w:b/>
                <w:bCs/>
                <w:szCs w:val="21"/>
              </w:rPr>
            </w:pPr>
            <w:r>
              <w:rPr>
                <w:rFonts w:ascii="Times New Roman" w:hAnsi="Times New Roman" w:cs="Times New Roman"/>
                <w:b/>
                <w:bCs/>
                <w:szCs w:val="21"/>
              </w:rPr>
              <w:t>规划环评情况</w:t>
            </w:r>
          </w:p>
        </w:tc>
        <w:tc>
          <w:tcPr>
            <w:tcW w:w="940" w:type="pct"/>
            <w:vAlign w:val="center"/>
          </w:tcPr>
          <w:p w14:paraId="7B8E52D1">
            <w:pPr>
              <w:adjustRightInd w:val="0"/>
              <w:snapToGrid w:val="0"/>
              <w:jc w:val="center"/>
              <w:rPr>
                <w:rFonts w:ascii="Times New Roman" w:hAnsi="Times New Roman" w:cs="Times New Roman"/>
                <w:b/>
                <w:bCs/>
                <w:szCs w:val="21"/>
              </w:rPr>
            </w:pPr>
            <w:r>
              <w:rPr>
                <w:rFonts w:ascii="Times New Roman" w:hAnsi="Times New Roman" w:cs="Times New Roman"/>
                <w:b/>
                <w:bCs/>
                <w:szCs w:val="21"/>
              </w:rPr>
              <w:t>本项目情况</w:t>
            </w:r>
          </w:p>
        </w:tc>
        <w:tc>
          <w:tcPr>
            <w:tcW w:w="323" w:type="pct"/>
            <w:vAlign w:val="center"/>
          </w:tcPr>
          <w:p w14:paraId="1E0C0F05">
            <w:pPr>
              <w:adjustRightInd w:val="0"/>
              <w:snapToGrid w:val="0"/>
              <w:ind w:left="-105" w:leftChars="-50" w:right="-105" w:rightChars="-50"/>
              <w:jc w:val="center"/>
              <w:rPr>
                <w:rFonts w:ascii="Times New Roman" w:hAnsi="Times New Roman" w:cs="Times New Roman"/>
                <w:b/>
                <w:bCs/>
                <w:szCs w:val="21"/>
              </w:rPr>
            </w:pPr>
            <w:r>
              <w:rPr>
                <w:rFonts w:ascii="Times New Roman" w:hAnsi="Times New Roman" w:cs="Times New Roman"/>
                <w:b/>
                <w:bCs/>
                <w:szCs w:val="21"/>
              </w:rPr>
              <w:t>符合性</w:t>
            </w:r>
          </w:p>
        </w:tc>
      </w:tr>
      <w:tr w14:paraId="37D23C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30" w:hRule="atLeast"/>
          <w:jc w:val="center"/>
        </w:trPr>
        <w:tc>
          <w:tcPr>
            <w:tcW w:w="451" w:type="pct"/>
            <w:vAlign w:val="center"/>
          </w:tcPr>
          <w:p w14:paraId="1D979CEC">
            <w:pPr>
              <w:adjustRightInd w:val="0"/>
              <w:snapToGrid w:val="0"/>
              <w:jc w:val="center"/>
              <w:rPr>
                <w:rFonts w:ascii="Times New Roman" w:hAnsi="Times New Roman" w:cs="Times New Roman"/>
                <w:b/>
                <w:bCs/>
                <w:szCs w:val="21"/>
              </w:rPr>
            </w:pPr>
            <w:r>
              <w:rPr>
                <w:rFonts w:ascii="Times New Roman" w:hAnsi="Times New Roman" w:cs="Times New Roman"/>
                <w:b/>
                <w:bCs/>
                <w:szCs w:val="21"/>
              </w:rPr>
              <w:t>生态保护红线</w:t>
            </w:r>
          </w:p>
        </w:tc>
        <w:tc>
          <w:tcPr>
            <w:tcW w:w="3286" w:type="pct"/>
            <w:gridSpan w:val="2"/>
            <w:vAlign w:val="center"/>
          </w:tcPr>
          <w:p w14:paraId="5C6BBCC2">
            <w:pPr>
              <w:adjustRightInd w:val="0"/>
              <w:snapToGrid w:val="0"/>
              <w:jc w:val="center"/>
              <w:rPr>
                <w:rFonts w:ascii="Times New Roman" w:hAnsi="Times New Roman" w:cs="Times New Roman"/>
                <w:szCs w:val="21"/>
              </w:rPr>
            </w:pPr>
            <w:r>
              <w:rPr>
                <w:rFonts w:ascii="Times New Roman" w:hAnsi="Times New Roman" w:cs="Times New Roman"/>
                <w:szCs w:val="21"/>
              </w:rPr>
              <w:t>涪陵区共划定生态保护红线233.23km</w:t>
            </w:r>
            <w:r>
              <w:rPr>
                <w:rFonts w:ascii="Times New Roman" w:hAnsi="Times New Roman" w:cs="Times New Roman"/>
                <w:szCs w:val="21"/>
                <w:vertAlign w:val="superscript"/>
              </w:rPr>
              <w:t>2</w:t>
            </w:r>
            <w:r>
              <w:rPr>
                <w:rFonts w:ascii="Times New Roman" w:hAnsi="Times New Roman" w:cs="Times New Roman"/>
                <w:szCs w:val="21"/>
              </w:rPr>
              <w:t>，占涪陵区国土面积的7.92%。</w:t>
            </w:r>
          </w:p>
        </w:tc>
        <w:tc>
          <w:tcPr>
            <w:tcW w:w="940" w:type="pct"/>
            <w:vAlign w:val="center"/>
          </w:tcPr>
          <w:p w14:paraId="2C355311">
            <w:pPr>
              <w:adjustRightInd w:val="0"/>
              <w:snapToGrid w:val="0"/>
              <w:ind w:left="-105" w:leftChars="-50" w:right="-105" w:rightChars="-50"/>
              <w:jc w:val="center"/>
              <w:rPr>
                <w:rFonts w:ascii="Times New Roman" w:hAnsi="Times New Roman" w:cs="Times New Roman"/>
                <w:szCs w:val="21"/>
              </w:rPr>
            </w:pPr>
            <w:r>
              <w:rPr>
                <w:rFonts w:ascii="Times New Roman" w:hAnsi="Times New Roman" w:cs="Times New Roman"/>
                <w:szCs w:val="21"/>
              </w:rPr>
              <w:t>本项目位于重庆白涛工业园区内，不在生态保护红线内。</w:t>
            </w:r>
          </w:p>
        </w:tc>
        <w:tc>
          <w:tcPr>
            <w:tcW w:w="323" w:type="pct"/>
            <w:vAlign w:val="center"/>
          </w:tcPr>
          <w:p w14:paraId="14C07EEE">
            <w:pPr>
              <w:adjustRightInd w:val="0"/>
              <w:snapToGrid w:val="0"/>
              <w:ind w:left="-105" w:leftChars="-50" w:right="-105" w:rightChars="-50"/>
              <w:jc w:val="center"/>
              <w:rPr>
                <w:rFonts w:ascii="Times New Roman" w:hAnsi="Times New Roman" w:cs="Times New Roman"/>
                <w:szCs w:val="21"/>
              </w:rPr>
            </w:pPr>
            <w:r>
              <w:rPr>
                <w:rFonts w:ascii="Times New Roman" w:hAnsi="Times New Roman" w:cs="Times New Roman"/>
                <w:szCs w:val="21"/>
              </w:rPr>
              <w:t>符合</w:t>
            </w:r>
          </w:p>
        </w:tc>
      </w:tr>
      <w:tr w14:paraId="350AF0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30" w:hRule="atLeast"/>
          <w:jc w:val="center"/>
        </w:trPr>
        <w:tc>
          <w:tcPr>
            <w:tcW w:w="451" w:type="pct"/>
            <w:vAlign w:val="center"/>
          </w:tcPr>
          <w:p w14:paraId="17657593">
            <w:pPr>
              <w:adjustRightInd w:val="0"/>
              <w:snapToGrid w:val="0"/>
              <w:jc w:val="center"/>
              <w:rPr>
                <w:rFonts w:ascii="Times New Roman" w:hAnsi="Times New Roman" w:cs="Times New Roman"/>
                <w:b/>
                <w:bCs/>
                <w:szCs w:val="21"/>
              </w:rPr>
            </w:pPr>
            <w:r>
              <w:rPr>
                <w:rFonts w:ascii="Times New Roman" w:hAnsi="Times New Roman" w:cs="Times New Roman"/>
                <w:b/>
                <w:bCs/>
                <w:szCs w:val="21"/>
              </w:rPr>
              <w:t>资源利用上限</w:t>
            </w:r>
          </w:p>
        </w:tc>
        <w:tc>
          <w:tcPr>
            <w:tcW w:w="3286" w:type="pct"/>
            <w:gridSpan w:val="2"/>
            <w:vAlign w:val="center"/>
          </w:tcPr>
          <w:p w14:paraId="2A5C368F">
            <w:pPr>
              <w:adjustRightInd w:val="0"/>
              <w:snapToGrid w:val="0"/>
              <w:rPr>
                <w:rFonts w:ascii="Times New Roman" w:hAnsi="Times New Roman" w:cs="Times New Roman"/>
                <w:szCs w:val="21"/>
              </w:rPr>
            </w:pPr>
            <w:r>
              <w:rPr>
                <w:rFonts w:ascii="Times New Roman" w:hAnsi="Times New Roman" w:cs="Times New Roman"/>
                <w:szCs w:val="21"/>
              </w:rPr>
              <w:t>根据规划区发展目标和规模分析，规划区主要利用的资源涉及水资源、电、煤炭和天然气等能源，经统计，规划区工业新鲜水耗5974.61万m</w:t>
            </w:r>
            <w:r>
              <w:rPr>
                <w:rFonts w:ascii="Times New Roman" w:hAnsi="Times New Roman" w:cs="Times New Roman"/>
                <w:szCs w:val="21"/>
                <w:vertAlign w:val="superscript"/>
              </w:rPr>
              <w:t>3</w:t>
            </w:r>
            <w:r>
              <w:rPr>
                <w:rFonts w:ascii="Times New Roman" w:hAnsi="Times New Roman" w:cs="Times New Roman"/>
                <w:szCs w:val="21"/>
              </w:rPr>
              <w:t>/a，天然气消耗量22.1亿m</w:t>
            </w:r>
            <w:r>
              <w:rPr>
                <w:rFonts w:ascii="Times New Roman" w:hAnsi="Times New Roman" w:cs="Times New Roman"/>
                <w:szCs w:val="21"/>
                <w:vertAlign w:val="superscript"/>
              </w:rPr>
              <w:t>3</w:t>
            </w:r>
            <w:r>
              <w:rPr>
                <w:rFonts w:ascii="Times New Roman" w:hAnsi="Times New Roman" w:cs="Times New Roman"/>
                <w:szCs w:val="21"/>
              </w:rPr>
              <w:t>/年，燃煤量为472.2万吨/年。</w:t>
            </w:r>
          </w:p>
        </w:tc>
        <w:tc>
          <w:tcPr>
            <w:tcW w:w="940" w:type="pct"/>
            <w:vAlign w:val="center"/>
          </w:tcPr>
          <w:p w14:paraId="2EA5E198">
            <w:pPr>
              <w:adjustRightInd w:val="0"/>
              <w:snapToGrid w:val="0"/>
              <w:jc w:val="center"/>
              <w:rPr>
                <w:rFonts w:ascii="Times New Roman" w:hAnsi="Times New Roman" w:cs="Times New Roman"/>
                <w:szCs w:val="21"/>
                <w:highlight w:val="yellow"/>
              </w:rPr>
            </w:pPr>
            <w:r>
              <w:rPr>
                <w:rFonts w:ascii="Times New Roman" w:hAnsi="Times New Roman" w:cs="Times New Roman"/>
                <w:szCs w:val="21"/>
              </w:rPr>
              <w:t>本</w:t>
            </w:r>
            <w:r>
              <w:rPr>
                <w:rFonts w:ascii="Times New Roman" w:hAnsi="Times New Roman" w:cs="Times New Roman"/>
                <w:bCs/>
                <w:szCs w:val="21"/>
              </w:rPr>
              <w:t>项目</w:t>
            </w:r>
            <w:r>
              <w:rPr>
                <w:rFonts w:hint="eastAsia" w:ascii="Times New Roman" w:hAnsi="Times New Roman" w:cs="Times New Roman"/>
                <w:bCs/>
                <w:szCs w:val="21"/>
              </w:rPr>
              <w:t>为液化天然气项目，</w:t>
            </w:r>
            <w:r>
              <w:rPr>
                <w:rFonts w:ascii="Times New Roman" w:hAnsi="Times New Roman" w:cs="Times New Roman"/>
                <w:bCs/>
                <w:szCs w:val="21"/>
              </w:rPr>
              <w:t>新增少量用水。</w:t>
            </w:r>
          </w:p>
        </w:tc>
        <w:tc>
          <w:tcPr>
            <w:tcW w:w="323" w:type="pct"/>
            <w:vAlign w:val="center"/>
          </w:tcPr>
          <w:p w14:paraId="2CCC4F4C">
            <w:pPr>
              <w:adjustRightInd w:val="0"/>
              <w:snapToGrid w:val="0"/>
              <w:ind w:left="-105" w:leftChars="-50" w:right="-105" w:rightChars="-50"/>
              <w:jc w:val="center"/>
              <w:rPr>
                <w:rFonts w:ascii="Times New Roman" w:hAnsi="Times New Roman" w:cs="Times New Roman"/>
                <w:szCs w:val="21"/>
              </w:rPr>
            </w:pPr>
            <w:r>
              <w:rPr>
                <w:rFonts w:ascii="Times New Roman" w:hAnsi="Times New Roman" w:cs="Times New Roman"/>
                <w:bCs/>
                <w:szCs w:val="21"/>
              </w:rPr>
              <w:t>符合</w:t>
            </w:r>
          </w:p>
        </w:tc>
      </w:tr>
      <w:tr w14:paraId="1F83AE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30" w:hRule="atLeast"/>
          <w:jc w:val="center"/>
        </w:trPr>
        <w:tc>
          <w:tcPr>
            <w:tcW w:w="451" w:type="pct"/>
            <w:vAlign w:val="center"/>
          </w:tcPr>
          <w:p w14:paraId="7FBCFD30">
            <w:pPr>
              <w:adjustRightInd w:val="0"/>
              <w:snapToGrid w:val="0"/>
              <w:jc w:val="center"/>
              <w:rPr>
                <w:rFonts w:ascii="Times New Roman" w:hAnsi="Times New Roman" w:cs="Times New Roman"/>
                <w:b/>
                <w:bCs/>
                <w:szCs w:val="21"/>
              </w:rPr>
            </w:pPr>
            <w:r>
              <w:rPr>
                <w:rFonts w:ascii="Times New Roman" w:hAnsi="Times New Roman" w:cs="Times New Roman"/>
                <w:b/>
                <w:bCs/>
                <w:szCs w:val="21"/>
              </w:rPr>
              <w:t>环境质量底线</w:t>
            </w:r>
          </w:p>
        </w:tc>
        <w:tc>
          <w:tcPr>
            <w:tcW w:w="3286" w:type="pct"/>
            <w:gridSpan w:val="2"/>
            <w:vAlign w:val="center"/>
          </w:tcPr>
          <w:p w14:paraId="104A11F4">
            <w:pPr>
              <w:adjustRightInd w:val="0"/>
              <w:snapToGrid w:val="0"/>
              <w:jc w:val="left"/>
              <w:rPr>
                <w:rFonts w:ascii="Times New Roman" w:hAnsi="Times New Roman" w:cs="Times New Roman"/>
                <w:szCs w:val="21"/>
              </w:rPr>
            </w:pPr>
            <w:r>
              <w:rPr>
                <w:rFonts w:ascii="Times New Roman" w:hAnsi="Times New Roman" w:cs="Times New Roman"/>
                <w:szCs w:val="21"/>
              </w:rPr>
              <w:fldChar w:fldCharType="begin"/>
            </w:r>
            <w:r>
              <w:rPr>
                <w:rFonts w:ascii="Times New Roman" w:hAnsi="Times New Roman" w:cs="Times New Roman"/>
                <w:szCs w:val="21"/>
              </w:rPr>
              <w:instrText xml:space="preserve"> = 1 \* GB3 </w:instrText>
            </w:r>
            <w:r>
              <w:rPr>
                <w:rFonts w:ascii="Times New Roman" w:hAnsi="Times New Roman" w:cs="Times New Roman"/>
                <w:szCs w:val="21"/>
              </w:rPr>
              <w:fldChar w:fldCharType="separate"/>
            </w:r>
            <w:r>
              <w:rPr>
                <w:rFonts w:hint="eastAsia" w:ascii="宋体" w:hAnsi="宋体" w:cs="宋体"/>
                <w:szCs w:val="21"/>
              </w:rPr>
              <w:t>①</w:t>
            </w:r>
            <w:r>
              <w:rPr>
                <w:rFonts w:ascii="Times New Roman" w:hAnsi="Times New Roman" w:cs="Times New Roman"/>
                <w:szCs w:val="21"/>
              </w:rPr>
              <w:fldChar w:fldCharType="end"/>
            </w:r>
            <w:r>
              <w:rPr>
                <w:rFonts w:ascii="Times New Roman" w:hAnsi="Times New Roman" w:cs="Times New Roman"/>
                <w:szCs w:val="21"/>
              </w:rPr>
              <w:t>环境空气质量底线为SO</w:t>
            </w:r>
            <w:r>
              <w:rPr>
                <w:rFonts w:ascii="Times New Roman" w:hAnsi="Times New Roman" w:cs="Times New Roman"/>
                <w:szCs w:val="21"/>
                <w:vertAlign w:val="subscript"/>
              </w:rPr>
              <w:t>2</w:t>
            </w:r>
            <w:r>
              <w:rPr>
                <w:rFonts w:ascii="Times New Roman" w:hAnsi="Times New Roman" w:cs="Times New Roman"/>
                <w:szCs w:val="21"/>
              </w:rPr>
              <w:t>年均浓度达到60µg/m</w:t>
            </w:r>
            <w:r>
              <w:rPr>
                <w:rFonts w:ascii="Times New Roman" w:hAnsi="Times New Roman" w:cs="Times New Roman"/>
                <w:szCs w:val="21"/>
                <w:vertAlign w:val="superscript"/>
              </w:rPr>
              <w:t>3</w:t>
            </w:r>
            <w:r>
              <w:rPr>
                <w:rFonts w:ascii="Times New Roman" w:hAnsi="Times New Roman" w:cs="Times New Roman"/>
                <w:szCs w:val="21"/>
              </w:rPr>
              <w:t>；PM</w:t>
            </w:r>
            <w:r>
              <w:rPr>
                <w:rFonts w:ascii="Times New Roman" w:hAnsi="Times New Roman" w:cs="Times New Roman"/>
                <w:szCs w:val="21"/>
                <w:vertAlign w:val="subscript"/>
              </w:rPr>
              <w:t>10</w:t>
            </w:r>
            <w:r>
              <w:rPr>
                <w:rFonts w:ascii="Times New Roman" w:hAnsi="Times New Roman" w:cs="Times New Roman"/>
                <w:szCs w:val="21"/>
              </w:rPr>
              <w:t>年均浓度达到70µg/m</w:t>
            </w:r>
            <w:r>
              <w:rPr>
                <w:rFonts w:ascii="Times New Roman" w:hAnsi="Times New Roman" w:cs="Times New Roman"/>
                <w:szCs w:val="21"/>
                <w:vertAlign w:val="superscript"/>
              </w:rPr>
              <w:t>3</w:t>
            </w:r>
            <w:r>
              <w:rPr>
                <w:rFonts w:ascii="Times New Roman" w:hAnsi="Times New Roman" w:cs="Times New Roman"/>
                <w:szCs w:val="21"/>
              </w:rPr>
              <w:t>；NO</w:t>
            </w:r>
            <w:r>
              <w:rPr>
                <w:rFonts w:ascii="Times New Roman" w:hAnsi="Times New Roman" w:cs="Times New Roman"/>
                <w:szCs w:val="21"/>
                <w:vertAlign w:val="subscript"/>
              </w:rPr>
              <w:t>2</w:t>
            </w:r>
            <w:r>
              <w:rPr>
                <w:rFonts w:ascii="Times New Roman" w:hAnsi="Times New Roman" w:cs="Times New Roman"/>
                <w:szCs w:val="21"/>
              </w:rPr>
              <w:t>年均浓度达到40µg/m</w:t>
            </w:r>
            <w:r>
              <w:rPr>
                <w:rFonts w:ascii="Times New Roman" w:hAnsi="Times New Roman" w:cs="Times New Roman"/>
                <w:szCs w:val="21"/>
                <w:vertAlign w:val="superscript"/>
              </w:rPr>
              <w:t>3</w:t>
            </w:r>
            <w:r>
              <w:rPr>
                <w:rFonts w:ascii="Times New Roman" w:hAnsi="Times New Roman" w:cs="Times New Roman"/>
                <w:szCs w:val="21"/>
              </w:rPr>
              <w:t>；PM</w:t>
            </w:r>
            <w:r>
              <w:rPr>
                <w:rFonts w:ascii="Times New Roman" w:hAnsi="Times New Roman" w:cs="Times New Roman"/>
                <w:szCs w:val="21"/>
                <w:vertAlign w:val="subscript"/>
              </w:rPr>
              <w:t>2.5</w:t>
            </w:r>
            <w:r>
              <w:rPr>
                <w:rFonts w:ascii="Times New Roman" w:hAnsi="Times New Roman" w:cs="Times New Roman"/>
                <w:szCs w:val="21"/>
              </w:rPr>
              <w:t>年均浓度达到35µg/m</w:t>
            </w:r>
            <w:r>
              <w:rPr>
                <w:rFonts w:ascii="Times New Roman" w:hAnsi="Times New Roman" w:cs="Times New Roman"/>
                <w:szCs w:val="21"/>
                <w:vertAlign w:val="superscript"/>
              </w:rPr>
              <w:t>3</w:t>
            </w:r>
            <w:r>
              <w:rPr>
                <w:rFonts w:ascii="Times New Roman" w:hAnsi="Times New Roman" w:cs="Times New Roman"/>
                <w:szCs w:val="21"/>
              </w:rPr>
              <w:t>。大木山自然保护区、武陵山森林公园环境空气质量底线为SO</w:t>
            </w:r>
            <w:r>
              <w:rPr>
                <w:rFonts w:ascii="Times New Roman" w:hAnsi="Times New Roman" w:cs="Times New Roman"/>
                <w:szCs w:val="21"/>
                <w:vertAlign w:val="subscript"/>
              </w:rPr>
              <w:t>2</w:t>
            </w:r>
            <w:r>
              <w:rPr>
                <w:rFonts w:ascii="Times New Roman" w:hAnsi="Times New Roman" w:cs="Times New Roman"/>
                <w:szCs w:val="21"/>
              </w:rPr>
              <w:t>年均浓度达到20ug/m</w:t>
            </w:r>
            <w:r>
              <w:rPr>
                <w:rFonts w:ascii="Times New Roman" w:hAnsi="Times New Roman" w:cs="Times New Roman"/>
                <w:szCs w:val="21"/>
                <w:vertAlign w:val="superscript"/>
              </w:rPr>
              <w:t>3</w:t>
            </w:r>
            <w:r>
              <w:rPr>
                <w:rFonts w:ascii="Times New Roman" w:hAnsi="Times New Roman" w:cs="Times New Roman"/>
                <w:szCs w:val="21"/>
              </w:rPr>
              <w:t>；PM</w:t>
            </w:r>
            <w:r>
              <w:rPr>
                <w:rFonts w:ascii="Times New Roman" w:hAnsi="Times New Roman" w:cs="Times New Roman"/>
                <w:szCs w:val="21"/>
                <w:vertAlign w:val="subscript"/>
              </w:rPr>
              <w:t>10</w:t>
            </w:r>
            <w:r>
              <w:rPr>
                <w:rFonts w:ascii="Times New Roman" w:hAnsi="Times New Roman" w:cs="Times New Roman"/>
                <w:szCs w:val="21"/>
              </w:rPr>
              <w:t>年均浓度达到40ug/m</w:t>
            </w:r>
            <w:r>
              <w:rPr>
                <w:rFonts w:ascii="Times New Roman" w:hAnsi="Times New Roman" w:cs="Times New Roman"/>
                <w:szCs w:val="21"/>
                <w:vertAlign w:val="superscript"/>
              </w:rPr>
              <w:t>3</w:t>
            </w:r>
            <w:r>
              <w:rPr>
                <w:rFonts w:ascii="Times New Roman" w:hAnsi="Times New Roman" w:cs="Times New Roman"/>
                <w:szCs w:val="21"/>
              </w:rPr>
              <w:t>；NO</w:t>
            </w:r>
            <w:r>
              <w:rPr>
                <w:rFonts w:ascii="Times New Roman" w:hAnsi="Times New Roman" w:cs="Times New Roman"/>
                <w:szCs w:val="21"/>
                <w:vertAlign w:val="subscript"/>
              </w:rPr>
              <w:t>2</w:t>
            </w:r>
            <w:r>
              <w:rPr>
                <w:rFonts w:ascii="Times New Roman" w:hAnsi="Times New Roman" w:cs="Times New Roman"/>
                <w:szCs w:val="21"/>
              </w:rPr>
              <w:t>年均浓度达到40ug/m</w:t>
            </w:r>
            <w:r>
              <w:rPr>
                <w:rFonts w:ascii="Times New Roman" w:hAnsi="Times New Roman" w:cs="Times New Roman"/>
                <w:szCs w:val="21"/>
                <w:vertAlign w:val="superscript"/>
              </w:rPr>
              <w:t>3</w:t>
            </w:r>
            <w:r>
              <w:rPr>
                <w:rFonts w:ascii="Times New Roman" w:hAnsi="Times New Roman" w:cs="Times New Roman"/>
                <w:szCs w:val="21"/>
              </w:rPr>
              <w:t>；PM</w:t>
            </w:r>
            <w:r>
              <w:rPr>
                <w:rFonts w:ascii="Times New Roman" w:hAnsi="Times New Roman" w:cs="Times New Roman"/>
                <w:szCs w:val="21"/>
                <w:vertAlign w:val="subscript"/>
              </w:rPr>
              <w:t>2.5</w:t>
            </w:r>
            <w:r>
              <w:rPr>
                <w:rFonts w:ascii="Times New Roman" w:hAnsi="Times New Roman" w:cs="Times New Roman"/>
                <w:szCs w:val="21"/>
              </w:rPr>
              <w:t>年均浓度达到15ug/m</w:t>
            </w:r>
            <w:r>
              <w:rPr>
                <w:rFonts w:ascii="Times New Roman" w:hAnsi="Times New Roman" w:cs="Times New Roman"/>
                <w:szCs w:val="21"/>
                <w:vertAlign w:val="superscript"/>
              </w:rPr>
              <w:t>3</w:t>
            </w:r>
            <w:r>
              <w:rPr>
                <w:rFonts w:ascii="Times New Roman" w:hAnsi="Times New Roman" w:cs="Times New Roman"/>
                <w:szCs w:val="21"/>
              </w:rPr>
              <w:t>。</w:t>
            </w:r>
          </w:p>
          <w:p w14:paraId="049F6655">
            <w:pPr>
              <w:adjustRightInd w:val="0"/>
              <w:snapToGrid w:val="0"/>
              <w:jc w:val="left"/>
              <w:rPr>
                <w:rFonts w:ascii="Times New Roman" w:hAnsi="Times New Roman" w:cs="Times New Roman"/>
                <w:szCs w:val="21"/>
              </w:rPr>
            </w:pPr>
            <w:r>
              <w:rPr>
                <w:rFonts w:ascii="Times New Roman" w:hAnsi="Times New Roman" w:cs="Times New Roman"/>
                <w:szCs w:val="21"/>
              </w:rPr>
              <w:fldChar w:fldCharType="begin"/>
            </w:r>
            <w:r>
              <w:rPr>
                <w:rFonts w:ascii="Times New Roman" w:hAnsi="Times New Roman" w:cs="Times New Roman"/>
                <w:szCs w:val="21"/>
              </w:rPr>
              <w:instrText xml:space="preserve"> = 2 \* GB3 </w:instrText>
            </w:r>
            <w:r>
              <w:rPr>
                <w:rFonts w:ascii="Times New Roman" w:hAnsi="Times New Roman" w:cs="Times New Roman"/>
                <w:szCs w:val="21"/>
              </w:rPr>
              <w:fldChar w:fldCharType="separate"/>
            </w:r>
            <w:r>
              <w:rPr>
                <w:rFonts w:hint="eastAsia" w:ascii="宋体" w:hAnsi="宋体" w:cs="宋体"/>
                <w:szCs w:val="21"/>
              </w:rPr>
              <w:t>②</w:t>
            </w:r>
            <w:r>
              <w:rPr>
                <w:rFonts w:ascii="Times New Roman" w:hAnsi="Times New Roman" w:cs="Times New Roman"/>
                <w:szCs w:val="21"/>
              </w:rPr>
              <w:fldChar w:fldCharType="end"/>
            </w:r>
            <w:r>
              <w:rPr>
                <w:rFonts w:ascii="Times New Roman" w:hAnsi="Times New Roman" w:cs="Times New Roman"/>
                <w:szCs w:val="21"/>
              </w:rPr>
              <w:t>水环境质量底线为乌江评价段水环境功能类别满足Ⅲ类，后溪河水环境功能类别满足Ⅲ类。</w:t>
            </w:r>
          </w:p>
          <w:p w14:paraId="72257031">
            <w:pPr>
              <w:adjustRightInd w:val="0"/>
              <w:snapToGrid w:val="0"/>
              <w:jc w:val="left"/>
              <w:rPr>
                <w:rFonts w:ascii="Times New Roman" w:hAnsi="Times New Roman" w:cs="Times New Roman"/>
                <w:szCs w:val="21"/>
              </w:rPr>
            </w:pPr>
            <w:r>
              <w:rPr>
                <w:rFonts w:ascii="Times New Roman" w:hAnsi="Times New Roman" w:cs="Times New Roman"/>
                <w:szCs w:val="21"/>
              </w:rPr>
              <w:fldChar w:fldCharType="begin"/>
            </w:r>
            <w:r>
              <w:rPr>
                <w:rFonts w:ascii="Times New Roman" w:hAnsi="Times New Roman" w:cs="Times New Roman"/>
                <w:szCs w:val="21"/>
              </w:rPr>
              <w:instrText xml:space="preserve"> = 3 \* GB3 </w:instrText>
            </w:r>
            <w:r>
              <w:rPr>
                <w:rFonts w:ascii="Times New Roman" w:hAnsi="Times New Roman" w:cs="Times New Roman"/>
                <w:szCs w:val="21"/>
              </w:rPr>
              <w:fldChar w:fldCharType="separate"/>
            </w:r>
            <w:r>
              <w:rPr>
                <w:rFonts w:hint="eastAsia" w:ascii="宋体" w:hAnsi="宋体" w:cs="宋体"/>
                <w:szCs w:val="21"/>
              </w:rPr>
              <w:t>③</w:t>
            </w:r>
            <w:r>
              <w:rPr>
                <w:rFonts w:ascii="Times New Roman" w:hAnsi="Times New Roman" w:cs="Times New Roman"/>
                <w:szCs w:val="21"/>
              </w:rPr>
              <w:fldChar w:fldCharType="end"/>
            </w:r>
            <w:r>
              <w:rPr>
                <w:rFonts w:ascii="Times New Roman" w:hAnsi="Times New Roman" w:cs="Times New Roman"/>
                <w:szCs w:val="21"/>
              </w:rPr>
              <w:t>土壤环境质量不恶化，土壤质量满足《土壤环境质量 建设用地土壤污染风险管控标准》(GB36600-2018)中筛选值标准限值要求。</w:t>
            </w:r>
          </w:p>
          <w:p w14:paraId="214DF32D">
            <w:pPr>
              <w:adjustRightInd w:val="0"/>
              <w:snapToGrid w:val="0"/>
              <w:jc w:val="left"/>
              <w:rPr>
                <w:rFonts w:ascii="Times New Roman" w:hAnsi="Times New Roman" w:cs="Times New Roman"/>
                <w:szCs w:val="21"/>
              </w:rPr>
            </w:pPr>
            <w:r>
              <w:rPr>
                <w:rFonts w:ascii="Times New Roman" w:hAnsi="Times New Roman" w:cs="Times New Roman"/>
                <w:szCs w:val="21"/>
              </w:rPr>
              <w:fldChar w:fldCharType="begin"/>
            </w:r>
            <w:r>
              <w:rPr>
                <w:rFonts w:ascii="Times New Roman" w:hAnsi="Times New Roman" w:cs="Times New Roman"/>
                <w:szCs w:val="21"/>
              </w:rPr>
              <w:instrText xml:space="preserve"> = 4 \* GB3 </w:instrText>
            </w:r>
            <w:r>
              <w:rPr>
                <w:rFonts w:ascii="Times New Roman" w:hAnsi="Times New Roman" w:cs="Times New Roman"/>
                <w:szCs w:val="21"/>
              </w:rPr>
              <w:fldChar w:fldCharType="separate"/>
            </w:r>
            <w:r>
              <w:rPr>
                <w:rFonts w:hint="eastAsia" w:ascii="宋体" w:hAnsi="宋体" w:cs="宋体"/>
                <w:szCs w:val="21"/>
              </w:rPr>
              <w:t>④</w:t>
            </w:r>
            <w:r>
              <w:rPr>
                <w:rFonts w:ascii="Times New Roman" w:hAnsi="Times New Roman" w:cs="Times New Roman"/>
                <w:szCs w:val="21"/>
              </w:rPr>
              <w:fldChar w:fldCharType="end"/>
            </w:r>
            <w:r>
              <w:rPr>
                <w:rFonts w:ascii="Times New Roman" w:hAnsi="Times New Roman" w:cs="Times New Roman"/>
                <w:szCs w:val="21"/>
              </w:rPr>
              <w:t>声环境质量底线为工业区满足3类声环境功能区，交通干线两侧一定距离之内，需要防止交通噪声对周围环境产生严重影响的区域，分别满足4a类和4b类声环境功能区。</w:t>
            </w:r>
          </w:p>
          <w:p w14:paraId="4676C410">
            <w:pPr>
              <w:adjustRightInd w:val="0"/>
              <w:snapToGrid w:val="0"/>
              <w:jc w:val="left"/>
              <w:rPr>
                <w:rFonts w:ascii="Times New Roman" w:hAnsi="Times New Roman" w:cs="Times New Roman"/>
                <w:szCs w:val="21"/>
              </w:rPr>
            </w:pPr>
            <w:r>
              <w:rPr>
                <w:rFonts w:ascii="Times New Roman" w:hAnsi="Times New Roman" w:cs="Times New Roman"/>
                <w:szCs w:val="21"/>
              </w:rPr>
              <w:t>规划环评考虑从源头进行管控，污染物排放总量管控均以规划区现有投产企业和在建、拟建企业核定总量作为园区的总量管控限值，后续规划实施严格控制规划区污染物的排放量。</w:t>
            </w:r>
          </w:p>
        </w:tc>
        <w:tc>
          <w:tcPr>
            <w:tcW w:w="940" w:type="pct"/>
            <w:vAlign w:val="center"/>
          </w:tcPr>
          <w:p w14:paraId="554C74ED">
            <w:pPr>
              <w:adjustRightInd w:val="0"/>
              <w:snapToGrid w:val="0"/>
              <w:jc w:val="center"/>
              <w:rPr>
                <w:rFonts w:ascii="Times New Roman" w:hAnsi="Times New Roman" w:cs="Times New Roman"/>
                <w:szCs w:val="21"/>
                <w:highlight w:val="yellow"/>
              </w:rPr>
            </w:pPr>
            <w:r>
              <w:rPr>
                <w:rFonts w:ascii="Times New Roman" w:hAnsi="Times New Roman" w:cs="Times New Roman"/>
                <w:szCs w:val="21"/>
              </w:rPr>
              <w:t>本项目</w:t>
            </w:r>
            <w:r>
              <w:rPr>
                <w:rFonts w:hint="eastAsia" w:ascii="Times New Roman" w:hAnsi="Times New Roman" w:cs="Times New Roman"/>
                <w:szCs w:val="21"/>
              </w:rPr>
              <w:t>废气</w:t>
            </w:r>
            <w:r>
              <w:rPr>
                <w:rFonts w:ascii="Times New Roman" w:hAnsi="Times New Roman" w:cs="Times New Roman"/>
                <w:szCs w:val="21"/>
              </w:rPr>
              <w:t>经</w:t>
            </w:r>
            <w:r>
              <w:rPr>
                <w:rFonts w:ascii="Times New Roman" w:hAnsi="Times New Roman" w:cs="Times New Roman"/>
                <w:kern w:val="0"/>
                <w:szCs w:val="21"/>
              </w:rPr>
              <w:t>收集处理措施处理后可达标排放；废水</w:t>
            </w:r>
            <w:r>
              <w:rPr>
                <w:rFonts w:ascii="Times New Roman" w:hAnsi="Times New Roman" w:cs="Times New Roman"/>
                <w:szCs w:val="21"/>
              </w:rPr>
              <w:t>依托现有污水处理</w:t>
            </w:r>
            <w:r>
              <w:rPr>
                <w:rFonts w:hint="eastAsia" w:ascii="Times New Roman" w:hAnsi="Times New Roman" w:cs="Times New Roman"/>
                <w:szCs w:val="21"/>
              </w:rPr>
              <w:t>设施</w:t>
            </w:r>
            <w:r>
              <w:rPr>
                <w:rFonts w:ascii="Times New Roman" w:hAnsi="Times New Roman" w:cs="Times New Roman"/>
                <w:szCs w:val="21"/>
              </w:rPr>
              <w:t>处理后可达标排放，根据现状监测数据可知，符合环境质量底线的要求。</w:t>
            </w:r>
          </w:p>
        </w:tc>
        <w:tc>
          <w:tcPr>
            <w:tcW w:w="323" w:type="pct"/>
            <w:vAlign w:val="center"/>
          </w:tcPr>
          <w:p w14:paraId="712E7D23">
            <w:pPr>
              <w:adjustRightInd w:val="0"/>
              <w:snapToGrid w:val="0"/>
              <w:ind w:left="-105" w:leftChars="-50" w:right="-105" w:rightChars="-50"/>
              <w:jc w:val="center"/>
              <w:rPr>
                <w:rFonts w:ascii="Times New Roman" w:hAnsi="Times New Roman" w:cs="Times New Roman"/>
                <w:szCs w:val="21"/>
              </w:rPr>
            </w:pPr>
            <w:r>
              <w:rPr>
                <w:rFonts w:ascii="Times New Roman" w:hAnsi="Times New Roman" w:cs="Times New Roman"/>
                <w:szCs w:val="21"/>
              </w:rPr>
              <w:t>符合</w:t>
            </w:r>
          </w:p>
        </w:tc>
      </w:tr>
      <w:tr w14:paraId="7AFE66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38" w:hRule="atLeast"/>
          <w:jc w:val="center"/>
        </w:trPr>
        <w:tc>
          <w:tcPr>
            <w:tcW w:w="3737" w:type="pct"/>
            <w:gridSpan w:val="3"/>
            <w:vAlign w:val="center"/>
          </w:tcPr>
          <w:p w14:paraId="19BC4976">
            <w:pPr>
              <w:adjustRightInd w:val="0"/>
              <w:snapToGrid w:val="0"/>
              <w:jc w:val="center"/>
              <w:rPr>
                <w:rFonts w:ascii="Times New Roman" w:hAnsi="Times New Roman" w:cs="Times New Roman"/>
                <w:b/>
                <w:bCs/>
                <w:szCs w:val="21"/>
              </w:rPr>
            </w:pPr>
            <w:r>
              <w:rPr>
                <w:rFonts w:ascii="Times New Roman" w:hAnsi="Times New Roman" w:cs="Times New Roman"/>
                <w:b/>
                <w:bCs/>
                <w:szCs w:val="21"/>
              </w:rPr>
              <w:t>生态环境准入清单</w:t>
            </w:r>
          </w:p>
        </w:tc>
        <w:tc>
          <w:tcPr>
            <w:tcW w:w="940" w:type="pct"/>
            <w:vAlign w:val="center"/>
          </w:tcPr>
          <w:p w14:paraId="675AF80D">
            <w:pPr>
              <w:adjustRightInd w:val="0"/>
              <w:snapToGrid w:val="0"/>
              <w:jc w:val="center"/>
              <w:rPr>
                <w:rFonts w:ascii="Times New Roman" w:hAnsi="Times New Roman" w:cs="Times New Roman"/>
                <w:b/>
                <w:bCs/>
                <w:kern w:val="0"/>
                <w:szCs w:val="21"/>
              </w:rPr>
            </w:pPr>
            <w:r>
              <w:rPr>
                <w:rFonts w:ascii="Times New Roman" w:hAnsi="Times New Roman" w:cs="Times New Roman"/>
                <w:b/>
                <w:bCs/>
                <w:szCs w:val="21"/>
              </w:rPr>
              <w:t>本项目情况</w:t>
            </w:r>
          </w:p>
        </w:tc>
        <w:tc>
          <w:tcPr>
            <w:tcW w:w="323" w:type="pct"/>
            <w:vAlign w:val="center"/>
          </w:tcPr>
          <w:p w14:paraId="27EAEFCD">
            <w:pPr>
              <w:adjustRightInd w:val="0"/>
              <w:snapToGrid w:val="0"/>
              <w:ind w:left="-105" w:leftChars="-50" w:right="-105" w:rightChars="-50"/>
              <w:jc w:val="center"/>
              <w:rPr>
                <w:rFonts w:ascii="Times New Roman" w:hAnsi="Times New Roman" w:cs="Times New Roman"/>
                <w:b/>
                <w:bCs/>
                <w:szCs w:val="21"/>
              </w:rPr>
            </w:pPr>
            <w:r>
              <w:rPr>
                <w:rFonts w:ascii="Times New Roman" w:hAnsi="Times New Roman" w:cs="Times New Roman"/>
                <w:b/>
                <w:bCs/>
                <w:szCs w:val="21"/>
              </w:rPr>
              <w:t>符合性</w:t>
            </w:r>
          </w:p>
        </w:tc>
      </w:tr>
      <w:tr w14:paraId="0BBD41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21" w:hRule="atLeast"/>
          <w:jc w:val="center"/>
        </w:trPr>
        <w:tc>
          <w:tcPr>
            <w:tcW w:w="451" w:type="pct"/>
            <w:vMerge w:val="restart"/>
            <w:vAlign w:val="center"/>
          </w:tcPr>
          <w:p w14:paraId="0CB25D8A">
            <w:pPr>
              <w:adjustRightInd w:val="0"/>
              <w:snapToGrid w:val="0"/>
              <w:jc w:val="center"/>
              <w:rPr>
                <w:rFonts w:ascii="Times New Roman" w:hAnsi="Times New Roman" w:cs="Times New Roman"/>
                <w:szCs w:val="21"/>
              </w:rPr>
            </w:pPr>
            <w:r>
              <w:rPr>
                <w:rFonts w:ascii="Times New Roman" w:hAnsi="Times New Roman" w:cs="Times New Roman"/>
                <w:kern w:val="0"/>
                <w:szCs w:val="21"/>
                <w:lang w:bidi="ar"/>
              </w:rPr>
              <w:t>空间布局约束</w:t>
            </w:r>
          </w:p>
        </w:tc>
        <w:tc>
          <w:tcPr>
            <w:tcW w:w="3286" w:type="pct"/>
            <w:gridSpan w:val="2"/>
          </w:tcPr>
          <w:p w14:paraId="31BB30E7">
            <w:pPr>
              <w:adjustRightInd w:val="0"/>
              <w:snapToGrid w:val="0"/>
              <w:jc w:val="left"/>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rPr>
              <w:t>重庆白涛工业园区不规划食品加工企业等与园区主导产业环境相冲突的项目。</w:t>
            </w:r>
          </w:p>
        </w:tc>
        <w:tc>
          <w:tcPr>
            <w:tcW w:w="940" w:type="pct"/>
            <w:vMerge w:val="restart"/>
            <w:vAlign w:val="center"/>
          </w:tcPr>
          <w:p w14:paraId="754FE97A">
            <w:pPr>
              <w:adjustRightInd w:val="0"/>
              <w:snapToGrid w:val="0"/>
              <w:ind w:left="-105" w:leftChars="-50" w:right="-105" w:rightChars="-50"/>
              <w:jc w:val="center"/>
              <w:rPr>
                <w:rFonts w:ascii="Times New Roman" w:hAnsi="Times New Roman" w:cs="Times New Roman"/>
                <w:szCs w:val="21"/>
              </w:rPr>
            </w:pPr>
            <w:r>
              <w:rPr>
                <w:rFonts w:ascii="Times New Roman" w:hAnsi="Times New Roman" w:cs="Times New Roman"/>
                <w:szCs w:val="21"/>
              </w:rPr>
              <w:t>本项目不属于该类企业</w:t>
            </w:r>
          </w:p>
        </w:tc>
        <w:tc>
          <w:tcPr>
            <w:tcW w:w="323" w:type="pct"/>
            <w:vMerge w:val="restart"/>
            <w:vAlign w:val="center"/>
          </w:tcPr>
          <w:p w14:paraId="15BCEC2D">
            <w:pPr>
              <w:adjustRightInd w:val="0"/>
              <w:snapToGrid w:val="0"/>
              <w:ind w:left="-105" w:leftChars="-50" w:right="-105" w:rightChars="-50"/>
              <w:jc w:val="center"/>
              <w:rPr>
                <w:rFonts w:ascii="Times New Roman" w:hAnsi="Times New Roman" w:cs="Times New Roman"/>
                <w:szCs w:val="21"/>
              </w:rPr>
            </w:pPr>
            <w:r>
              <w:rPr>
                <w:rFonts w:ascii="Times New Roman" w:hAnsi="Times New Roman" w:cs="Times New Roman"/>
                <w:szCs w:val="21"/>
              </w:rPr>
              <w:t>符合</w:t>
            </w:r>
          </w:p>
        </w:tc>
      </w:tr>
      <w:tr w14:paraId="0A1844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451" w:type="pct"/>
            <w:vMerge w:val="continue"/>
            <w:vAlign w:val="center"/>
          </w:tcPr>
          <w:p w14:paraId="769066EC">
            <w:pPr>
              <w:adjustRightInd w:val="0"/>
              <w:snapToGrid w:val="0"/>
              <w:jc w:val="center"/>
              <w:rPr>
                <w:rFonts w:ascii="Times New Roman" w:hAnsi="Times New Roman" w:cs="Times New Roman"/>
                <w:szCs w:val="21"/>
              </w:rPr>
            </w:pPr>
          </w:p>
        </w:tc>
        <w:tc>
          <w:tcPr>
            <w:tcW w:w="3286" w:type="pct"/>
            <w:gridSpan w:val="2"/>
          </w:tcPr>
          <w:p w14:paraId="1CC95576">
            <w:pPr>
              <w:adjustRightInd w:val="0"/>
              <w:snapToGrid w:val="0"/>
              <w:jc w:val="left"/>
              <w:rPr>
                <w:rFonts w:ascii="Times New Roman" w:hAnsi="Times New Roman" w:cs="Times New Roman"/>
                <w:szCs w:val="21"/>
              </w:rPr>
            </w:pPr>
            <w:r>
              <w:rPr>
                <w:rFonts w:ascii="Times New Roman" w:hAnsi="Times New Roman" w:cs="Times New Roman"/>
                <w:szCs w:val="21"/>
              </w:rPr>
              <w:t>2.</w:t>
            </w:r>
            <w:r>
              <w:rPr>
                <w:rFonts w:ascii="Times New Roman" w:hAnsi="Times New Roman" w:cs="Times New Roman"/>
              </w:rPr>
              <w:t>禁止新建或扩建以化肥为产品的合成氨项目（区域规划搬迁、综合利用项目除外）。</w:t>
            </w:r>
          </w:p>
        </w:tc>
        <w:tc>
          <w:tcPr>
            <w:tcW w:w="940" w:type="pct"/>
            <w:vMerge w:val="continue"/>
            <w:vAlign w:val="center"/>
          </w:tcPr>
          <w:p w14:paraId="72E04EBB">
            <w:pPr>
              <w:adjustRightInd w:val="0"/>
              <w:snapToGrid w:val="0"/>
              <w:ind w:left="-105" w:leftChars="-50" w:right="-105" w:rightChars="-50"/>
              <w:jc w:val="center"/>
              <w:rPr>
                <w:rFonts w:ascii="Times New Roman" w:hAnsi="Times New Roman" w:cs="Times New Roman"/>
                <w:kern w:val="0"/>
                <w:szCs w:val="21"/>
              </w:rPr>
            </w:pPr>
          </w:p>
        </w:tc>
        <w:tc>
          <w:tcPr>
            <w:tcW w:w="323" w:type="pct"/>
            <w:vMerge w:val="continue"/>
            <w:vAlign w:val="center"/>
          </w:tcPr>
          <w:p w14:paraId="223944FC">
            <w:pPr>
              <w:adjustRightInd w:val="0"/>
              <w:snapToGrid w:val="0"/>
              <w:ind w:left="-105" w:leftChars="-50" w:right="-105" w:rightChars="-50"/>
              <w:jc w:val="center"/>
              <w:rPr>
                <w:rFonts w:ascii="Times New Roman" w:hAnsi="Times New Roman" w:cs="Times New Roman"/>
                <w:szCs w:val="21"/>
              </w:rPr>
            </w:pPr>
          </w:p>
        </w:tc>
      </w:tr>
      <w:tr w14:paraId="61390D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51" w:type="pct"/>
            <w:vMerge w:val="continue"/>
            <w:vAlign w:val="center"/>
          </w:tcPr>
          <w:p w14:paraId="6008AAE1">
            <w:pPr>
              <w:adjustRightInd w:val="0"/>
              <w:snapToGrid w:val="0"/>
              <w:jc w:val="center"/>
              <w:rPr>
                <w:rFonts w:ascii="Times New Roman" w:hAnsi="Times New Roman" w:cs="Times New Roman"/>
                <w:szCs w:val="21"/>
              </w:rPr>
            </w:pPr>
          </w:p>
        </w:tc>
        <w:tc>
          <w:tcPr>
            <w:tcW w:w="3286" w:type="pct"/>
            <w:gridSpan w:val="2"/>
            <w:vAlign w:val="center"/>
          </w:tcPr>
          <w:p w14:paraId="47906569">
            <w:pPr>
              <w:adjustRightInd w:val="0"/>
              <w:snapToGrid w:val="0"/>
              <w:jc w:val="left"/>
              <w:rPr>
                <w:rFonts w:ascii="Times New Roman" w:hAnsi="Times New Roman" w:cs="Times New Roman"/>
                <w:szCs w:val="21"/>
              </w:rPr>
            </w:pPr>
            <w:r>
              <w:rPr>
                <w:rFonts w:ascii="Times New Roman" w:hAnsi="Times New Roman" w:cs="Times New Roman"/>
                <w:szCs w:val="21"/>
              </w:rPr>
              <w:t>3.</w:t>
            </w:r>
            <w:r>
              <w:rPr>
                <w:rFonts w:ascii="Times New Roman" w:hAnsi="Times New Roman" w:cs="Times New Roman"/>
              </w:rPr>
              <w:t>禁止在乌江干流岸线1公里范围内新建重化工、纺织、造纸等存在污染风险的工业项目。</w:t>
            </w:r>
          </w:p>
        </w:tc>
        <w:tc>
          <w:tcPr>
            <w:tcW w:w="940" w:type="pct"/>
            <w:vAlign w:val="center"/>
          </w:tcPr>
          <w:p w14:paraId="098F47A9">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本项目不属于</w:t>
            </w:r>
            <w:r>
              <w:rPr>
                <w:rFonts w:ascii="Times New Roman" w:hAnsi="Times New Roman" w:cs="Times New Roman"/>
              </w:rPr>
              <w:t>重化工、纺织、造纸等存在污染风险的工业项目</w:t>
            </w:r>
          </w:p>
        </w:tc>
        <w:tc>
          <w:tcPr>
            <w:tcW w:w="323" w:type="pct"/>
            <w:vAlign w:val="center"/>
          </w:tcPr>
          <w:p w14:paraId="58BCE20E">
            <w:pPr>
              <w:adjustRightInd w:val="0"/>
              <w:snapToGrid w:val="0"/>
              <w:ind w:left="-105" w:leftChars="-50" w:right="-105" w:rightChars="-50"/>
              <w:jc w:val="center"/>
              <w:rPr>
                <w:rFonts w:ascii="Times New Roman" w:hAnsi="Times New Roman" w:cs="Times New Roman"/>
                <w:szCs w:val="21"/>
              </w:rPr>
            </w:pPr>
            <w:r>
              <w:rPr>
                <w:rFonts w:ascii="Times New Roman" w:hAnsi="Times New Roman" w:cs="Times New Roman"/>
                <w:szCs w:val="21"/>
              </w:rPr>
              <w:t>符合</w:t>
            </w:r>
          </w:p>
        </w:tc>
      </w:tr>
      <w:tr w14:paraId="5725D8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51" w:type="pct"/>
            <w:vMerge w:val="continue"/>
            <w:vAlign w:val="center"/>
          </w:tcPr>
          <w:p w14:paraId="64D15058">
            <w:pPr>
              <w:adjustRightInd w:val="0"/>
              <w:snapToGrid w:val="0"/>
              <w:jc w:val="center"/>
              <w:rPr>
                <w:rFonts w:ascii="Times New Roman" w:hAnsi="Times New Roman" w:cs="Times New Roman"/>
                <w:szCs w:val="21"/>
              </w:rPr>
            </w:pPr>
          </w:p>
        </w:tc>
        <w:tc>
          <w:tcPr>
            <w:tcW w:w="3286" w:type="pct"/>
            <w:gridSpan w:val="2"/>
            <w:vAlign w:val="center"/>
          </w:tcPr>
          <w:p w14:paraId="4D0438C1">
            <w:pPr>
              <w:adjustRightInd w:val="0"/>
              <w:snapToGrid w:val="0"/>
              <w:jc w:val="left"/>
              <w:rPr>
                <w:rFonts w:ascii="Times New Roman" w:hAnsi="Times New Roman" w:cs="Times New Roman"/>
                <w:szCs w:val="21"/>
              </w:rPr>
            </w:pPr>
            <w:r>
              <w:rPr>
                <w:rFonts w:ascii="Times New Roman" w:hAnsi="Times New Roman" w:cs="Times New Roman"/>
                <w:szCs w:val="21"/>
              </w:rPr>
              <w:t>4.</w:t>
            </w:r>
            <w:r>
              <w:rPr>
                <w:rFonts w:ascii="Times New Roman" w:hAnsi="Times New Roman" w:cs="Times New Roman"/>
              </w:rPr>
              <w:t>化工园区外禁止新建、扩建化工项目。</w:t>
            </w:r>
          </w:p>
        </w:tc>
        <w:tc>
          <w:tcPr>
            <w:tcW w:w="940" w:type="pct"/>
            <w:vAlign w:val="center"/>
          </w:tcPr>
          <w:p w14:paraId="36021676">
            <w:pPr>
              <w:adjustRightInd w:val="0"/>
              <w:snapToGrid w:val="0"/>
              <w:ind w:left="-105" w:leftChars="-50" w:right="-105" w:rightChars="-50"/>
              <w:jc w:val="center"/>
              <w:rPr>
                <w:rFonts w:ascii="Times New Roman" w:hAnsi="Times New Roman" w:cs="Times New Roman"/>
                <w:szCs w:val="21"/>
              </w:rPr>
            </w:pPr>
            <w:r>
              <w:rPr>
                <w:rFonts w:ascii="Times New Roman" w:hAnsi="Times New Roman" w:cs="Times New Roman"/>
                <w:kern w:val="0"/>
                <w:szCs w:val="21"/>
              </w:rPr>
              <w:t>本项目不属于化工项目。</w:t>
            </w:r>
          </w:p>
        </w:tc>
        <w:tc>
          <w:tcPr>
            <w:tcW w:w="323" w:type="pct"/>
            <w:vAlign w:val="center"/>
          </w:tcPr>
          <w:p w14:paraId="09247840">
            <w:pPr>
              <w:adjustRightInd w:val="0"/>
              <w:snapToGrid w:val="0"/>
              <w:ind w:left="-105" w:leftChars="-50" w:right="-105" w:rightChars="-50"/>
              <w:jc w:val="center"/>
              <w:rPr>
                <w:rFonts w:ascii="Times New Roman" w:hAnsi="Times New Roman" w:cs="Times New Roman"/>
                <w:szCs w:val="21"/>
              </w:rPr>
            </w:pPr>
            <w:r>
              <w:rPr>
                <w:rFonts w:ascii="Times New Roman" w:hAnsi="Times New Roman" w:cs="Times New Roman"/>
                <w:szCs w:val="21"/>
              </w:rPr>
              <w:t>符合</w:t>
            </w:r>
          </w:p>
        </w:tc>
      </w:tr>
      <w:tr w14:paraId="2B3B62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82" w:hRule="atLeast"/>
          <w:jc w:val="center"/>
        </w:trPr>
        <w:tc>
          <w:tcPr>
            <w:tcW w:w="451" w:type="pct"/>
            <w:vMerge w:val="continue"/>
            <w:vAlign w:val="center"/>
          </w:tcPr>
          <w:p w14:paraId="61EB1D16">
            <w:pPr>
              <w:adjustRightInd w:val="0"/>
              <w:snapToGrid w:val="0"/>
              <w:jc w:val="center"/>
              <w:rPr>
                <w:rFonts w:ascii="Times New Roman" w:hAnsi="Times New Roman" w:cs="Times New Roman"/>
                <w:szCs w:val="21"/>
              </w:rPr>
            </w:pPr>
          </w:p>
        </w:tc>
        <w:tc>
          <w:tcPr>
            <w:tcW w:w="3286" w:type="pct"/>
            <w:gridSpan w:val="2"/>
            <w:vAlign w:val="center"/>
          </w:tcPr>
          <w:p w14:paraId="13C7CE01">
            <w:pPr>
              <w:adjustRightInd w:val="0"/>
              <w:snapToGrid w:val="0"/>
              <w:jc w:val="left"/>
              <w:rPr>
                <w:rFonts w:ascii="Times New Roman" w:hAnsi="Times New Roman" w:cs="Times New Roman"/>
                <w:szCs w:val="21"/>
              </w:rPr>
            </w:pPr>
            <w:r>
              <w:rPr>
                <w:rFonts w:ascii="Times New Roman" w:hAnsi="Times New Roman" w:cs="Times New Roman"/>
                <w:szCs w:val="21"/>
              </w:rPr>
              <w:t>5.</w:t>
            </w:r>
            <w:r>
              <w:rPr>
                <w:rFonts w:ascii="Times New Roman" w:hAnsi="Times New Roman" w:cs="Times New Roman"/>
              </w:rPr>
              <w:t>禁止在乌江干岸线175米库岸沿线至第一山脊线范围内建设露天采矿项目。</w:t>
            </w:r>
          </w:p>
        </w:tc>
        <w:tc>
          <w:tcPr>
            <w:tcW w:w="940" w:type="pct"/>
            <w:vMerge w:val="restart"/>
            <w:vAlign w:val="center"/>
          </w:tcPr>
          <w:p w14:paraId="7336BD40">
            <w:pPr>
              <w:autoSpaceDE w:val="0"/>
              <w:autoSpaceDN w:val="0"/>
              <w:adjustRightInd w:val="0"/>
              <w:jc w:val="left"/>
              <w:rPr>
                <w:rFonts w:ascii="Times New Roman" w:hAnsi="Times New Roman" w:cs="Times New Roman"/>
                <w:szCs w:val="21"/>
              </w:rPr>
            </w:pPr>
            <w:r>
              <w:rPr>
                <w:rFonts w:ascii="Times New Roman" w:hAnsi="Times New Roman" w:cs="Times New Roman"/>
                <w:kern w:val="0"/>
                <w:szCs w:val="21"/>
              </w:rPr>
              <w:t>本项目不属于露天采矿项目，不涉及环境防护距离</w:t>
            </w:r>
          </w:p>
        </w:tc>
        <w:tc>
          <w:tcPr>
            <w:tcW w:w="323" w:type="pct"/>
            <w:vMerge w:val="restart"/>
            <w:vAlign w:val="center"/>
          </w:tcPr>
          <w:p w14:paraId="160725A2">
            <w:pPr>
              <w:adjustRightInd w:val="0"/>
              <w:snapToGrid w:val="0"/>
              <w:ind w:left="-105" w:leftChars="-50" w:right="-105" w:rightChars="-50"/>
              <w:jc w:val="center"/>
              <w:rPr>
                <w:rFonts w:ascii="Times New Roman" w:hAnsi="Times New Roman" w:cs="Times New Roman"/>
                <w:szCs w:val="21"/>
              </w:rPr>
            </w:pPr>
            <w:r>
              <w:rPr>
                <w:rFonts w:ascii="Times New Roman" w:hAnsi="Times New Roman" w:cs="Times New Roman"/>
                <w:szCs w:val="21"/>
              </w:rPr>
              <w:t>符合</w:t>
            </w:r>
          </w:p>
        </w:tc>
      </w:tr>
      <w:tr w14:paraId="4C8C1F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51" w:type="pct"/>
            <w:vMerge w:val="continue"/>
            <w:vAlign w:val="center"/>
          </w:tcPr>
          <w:p w14:paraId="203296F8">
            <w:pPr>
              <w:adjustRightInd w:val="0"/>
              <w:snapToGrid w:val="0"/>
              <w:jc w:val="center"/>
              <w:rPr>
                <w:rFonts w:ascii="Times New Roman" w:hAnsi="Times New Roman" w:cs="Times New Roman"/>
                <w:szCs w:val="21"/>
              </w:rPr>
            </w:pPr>
          </w:p>
        </w:tc>
        <w:tc>
          <w:tcPr>
            <w:tcW w:w="3286" w:type="pct"/>
            <w:gridSpan w:val="2"/>
          </w:tcPr>
          <w:p w14:paraId="4FD65F2A">
            <w:pPr>
              <w:adjustRightInd w:val="0"/>
              <w:snapToGrid w:val="0"/>
              <w:jc w:val="left"/>
              <w:rPr>
                <w:rFonts w:ascii="Times New Roman" w:hAnsi="Times New Roman" w:cs="Times New Roman"/>
                <w:szCs w:val="21"/>
              </w:rPr>
            </w:pPr>
            <w:r>
              <w:rPr>
                <w:rFonts w:ascii="Times New Roman" w:hAnsi="Times New Roman" w:cs="Times New Roman"/>
                <w:szCs w:val="21"/>
              </w:rPr>
              <w:t>6.</w:t>
            </w:r>
            <w:r>
              <w:rPr>
                <w:rFonts w:ascii="Times New Roman" w:hAnsi="Times New Roman" w:cs="Times New Roman"/>
              </w:rPr>
              <w:t>入驻企业应优化布局，涉及环境防护距离的新建工业企业或项目，应通过选址或调整布局严格控制环境防护距离，具体环境防护距离由项目环评阶段确定。</w:t>
            </w:r>
          </w:p>
        </w:tc>
        <w:tc>
          <w:tcPr>
            <w:tcW w:w="940" w:type="pct"/>
            <w:vMerge w:val="continue"/>
            <w:vAlign w:val="center"/>
          </w:tcPr>
          <w:p w14:paraId="6E0DBB80">
            <w:pPr>
              <w:adjustRightInd w:val="0"/>
              <w:snapToGrid w:val="0"/>
              <w:jc w:val="center"/>
              <w:rPr>
                <w:rFonts w:ascii="Times New Roman" w:hAnsi="Times New Roman" w:cs="Times New Roman"/>
                <w:szCs w:val="21"/>
              </w:rPr>
            </w:pPr>
          </w:p>
        </w:tc>
        <w:tc>
          <w:tcPr>
            <w:tcW w:w="323" w:type="pct"/>
            <w:vMerge w:val="continue"/>
            <w:vAlign w:val="center"/>
          </w:tcPr>
          <w:p w14:paraId="1FDF1743">
            <w:pPr>
              <w:adjustRightInd w:val="0"/>
              <w:snapToGrid w:val="0"/>
              <w:ind w:left="-105" w:leftChars="-50" w:right="-105" w:rightChars="-50"/>
              <w:jc w:val="center"/>
              <w:rPr>
                <w:rFonts w:ascii="Times New Roman" w:hAnsi="Times New Roman" w:cs="Times New Roman"/>
                <w:szCs w:val="21"/>
              </w:rPr>
            </w:pPr>
          </w:p>
        </w:tc>
      </w:tr>
      <w:tr w14:paraId="5EB0FB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51" w:type="pct"/>
            <w:vMerge w:val="restart"/>
            <w:vAlign w:val="center"/>
          </w:tcPr>
          <w:p w14:paraId="3698107A">
            <w:pPr>
              <w:adjustRightInd w:val="0"/>
              <w:snapToGrid w:val="0"/>
              <w:jc w:val="center"/>
              <w:rPr>
                <w:rFonts w:ascii="Times New Roman" w:hAnsi="Times New Roman" w:cs="Times New Roman"/>
                <w:szCs w:val="21"/>
              </w:rPr>
            </w:pPr>
            <w:r>
              <w:rPr>
                <w:rFonts w:ascii="Times New Roman" w:hAnsi="Times New Roman" w:cs="Times New Roman"/>
                <w:szCs w:val="21"/>
              </w:rPr>
              <w:t>污染物排放管控</w:t>
            </w:r>
          </w:p>
        </w:tc>
        <w:tc>
          <w:tcPr>
            <w:tcW w:w="3286" w:type="pct"/>
            <w:gridSpan w:val="2"/>
            <w:vAlign w:val="center"/>
          </w:tcPr>
          <w:p w14:paraId="02BCE893">
            <w:pPr>
              <w:adjustRightInd w:val="0"/>
              <w:snapToGrid w:val="0"/>
              <w:jc w:val="left"/>
              <w:rPr>
                <w:rFonts w:ascii="Times New Roman" w:hAnsi="Times New Roman" w:cs="Times New Roman"/>
                <w:szCs w:val="21"/>
              </w:rPr>
            </w:pPr>
            <w:r>
              <w:rPr>
                <w:rFonts w:ascii="Times New Roman" w:hAnsi="Times New Roman" w:cs="Times New Roman"/>
                <w:kern w:val="0"/>
                <w:szCs w:val="21"/>
                <w:lang w:bidi="ar"/>
              </w:rPr>
              <w:t>1.后续规划新建热电项目应采取超低排放，进一步控制</w:t>
            </w:r>
            <w:r>
              <w:rPr>
                <w:rStyle w:val="226"/>
                <w:rFonts w:hint="default" w:ascii="Times New Roman" w:hAnsi="Times New Roman" w:cs="Times New Roman"/>
                <w:color w:val="auto"/>
                <w:sz w:val="21"/>
                <w:szCs w:val="21"/>
                <w:lang w:bidi="ar"/>
              </w:rPr>
              <w:t>SO</w:t>
            </w:r>
            <w:r>
              <w:rPr>
                <w:rStyle w:val="227"/>
                <w:rFonts w:hint="default" w:ascii="Times New Roman" w:hAnsi="Times New Roman" w:cs="Times New Roman"/>
                <w:color w:val="auto"/>
                <w:sz w:val="21"/>
                <w:szCs w:val="21"/>
                <w:vertAlign w:val="subscript"/>
                <w:lang w:bidi="ar"/>
              </w:rPr>
              <w:t>2</w:t>
            </w:r>
            <w:r>
              <w:rPr>
                <w:rStyle w:val="225"/>
                <w:rFonts w:hint="default" w:ascii="Times New Roman" w:hAnsi="Times New Roman" w:cs="Times New Roman"/>
                <w:color w:val="auto"/>
                <w:sz w:val="21"/>
                <w:szCs w:val="21"/>
                <w:lang w:bidi="ar"/>
              </w:rPr>
              <w:t>、</w:t>
            </w:r>
            <w:r>
              <w:rPr>
                <w:rStyle w:val="226"/>
                <w:rFonts w:hint="default" w:ascii="Times New Roman" w:hAnsi="Times New Roman" w:cs="Times New Roman"/>
                <w:color w:val="auto"/>
                <w:sz w:val="21"/>
                <w:szCs w:val="21"/>
                <w:lang w:bidi="ar"/>
              </w:rPr>
              <w:t>NO</w:t>
            </w:r>
            <w:r>
              <w:rPr>
                <w:rStyle w:val="227"/>
                <w:rFonts w:hint="default" w:ascii="Times New Roman" w:hAnsi="Times New Roman" w:cs="Times New Roman"/>
                <w:color w:val="auto"/>
                <w:sz w:val="21"/>
                <w:szCs w:val="21"/>
                <w:vertAlign w:val="subscript"/>
                <w:lang w:bidi="ar"/>
              </w:rPr>
              <w:t>X</w:t>
            </w:r>
            <w:r>
              <w:rPr>
                <w:rStyle w:val="225"/>
                <w:rFonts w:hint="default" w:ascii="Times New Roman" w:hAnsi="Times New Roman" w:cs="Times New Roman"/>
                <w:color w:val="auto"/>
                <w:sz w:val="21"/>
                <w:szCs w:val="21"/>
                <w:lang w:bidi="ar"/>
              </w:rPr>
              <w:t>及颗粒物排放量。</w:t>
            </w:r>
          </w:p>
        </w:tc>
        <w:tc>
          <w:tcPr>
            <w:tcW w:w="940" w:type="pct"/>
            <w:vAlign w:val="center"/>
          </w:tcPr>
          <w:p w14:paraId="2432F11F">
            <w:pPr>
              <w:autoSpaceDE w:val="0"/>
              <w:autoSpaceDN w:val="0"/>
              <w:adjustRightInd w:val="0"/>
              <w:jc w:val="left"/>
              <w:rPr>
                <w:rFonts w:ascii="Times New Roman" w:hAnsi="Times New Roman" w:cs="Times New Roman"/>
                <w:szCs w:val="21"/>
              </w:rPr>
            </w:pPr>
            <w:r>
              <w:rPr>
                <w:rFonts w:ascii="Times New Roman" w:hAnsi="Times New Roman" w:cs="Times New Roman"/>
                <w:kern w:val="0"/>
                <w:szCs w:val="21"/>
              </w:rPr>
              <w:t>本项目不属于热电项目</w:t>
            </w:r>
          </w:p>
        </w:tc>
        <w:tc>
          <w:tcPr>
            <w:tcW w:w="323" w:type="pct"/>
            <w:vAlign w:val="center"/>
          </w:tcPr>
          <w:p w14:paraId="51590210">
            <w:pPr>
              <w:adjustRightInd w:val="0"/>
              <w:snapToGrid w:val="0"/>
              <w:ind w:left="-105" w:leftChars="-50" w:right="-105" w:rightChars="-50"/>
              <w:jc w:val="center"/>
              <w:rPr>
                <w:rFonts w:ascii="Times New Roman" w:hAnsi="Times New Roman" w:cs="Times New Roman"/>
                <w:szCs w:val="21"/>
              </w:rPr>
            </w:pPr>
            <w:r>
              <w:rPr>
                <w:rFonts w:ascii="Times New Roman" w:hAnsi="Times New Roman" w:cs="Times New Roman"/>
                <w:szCs w:val="21"/>
              </w:rPr>
              <w:t>符合</w:t>
            </w:r>
          </w:p>
        </w:tc>
      </w:tr>
      <w:tr w14:paraId="5EA1FE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51" w:type="pct"/>
            <w:vMerge w:val="continue"/>
            <w:vAlign w:val="center"/>
          </w:tcPr>
          <w:p w14:paraId="46AB4A3C">
            <w:pPr>
              <w:adjustRightInd w:val="0"/>
              <w:snapToGrid w:val="0"/>
              <w:jc w:val="center"/>
              <w:rPr>
                <w:rFonts w:ascii="Times New Roman" w:hAnsi="Times New Roman" w:cs="Times New Roman"/>
                <w:szCs w:val="21"/>
              </w:rPr>
            </w:pPr>
          </w:p>
        </w:tc>
        <w:tc>
          <w:tcPr>
            <w:tcW w:w="3286" w:type="pct"/>
            <w:gridSpan w:val="2"/>
            <w:vAlign w:val="center"/>
          </w:tcPr>
          <w:p w14:paraId="344BC95F">
            <w:pPr>
              <w:adjustRightInd w:val="0"/>
              <w:snapToGrid w:val="0"/>
              <w:jc w:val="left"/>
              <w:rPr>
                <w:rFonts w:ascii="Times New Roman" w:hAnsi="Times New Roman" w:cs="Times New Roman"/>
                <w:szCs w:val="21"/>
              </w:rPr>
            </w:pPr>
            <w:r>
              <w:rPr>
                <w:rFonts w:ascii="Times New Roman" w:hAnsi="Times New Roman" w:cs="Times New Roman"/>
                <w:kern w:val="0"/>
                <w:szCs w:val="21"/>
                <w:lang w:bidi="ar"/>
              </w:rPr>
              <w:t>2.禁止类：废水排放重金属</w:t>
            </w:r>
            <w:r>
              <w:rPr>
                <w:rFonts w:ascii="Times New Roman" w:hAnsi="Times New Roman" w:cs="Times New Roman"/>
                <w:kern w:val="0"/>
                <w:szCs w:val="21"/>
                <w:vertAlign w:val="superscript"/>
                <w:lang w:bidi="ar"/>
              </w:rPr>
              <w:t>a</w:t>
            </w:r>
            <w:r>
              <w:rPr>
                <w:rFonts w:ascii="Times New Roman" w:hAnsi="Times New Roman" w:cs="Times New Roman"/>
                <w:kern w:val="0"/>
                <w:szCs w:val="21"/>
                <w:lang w:bidi="ar"/>
              </w:rPr>
              <w:t>的项目、持久性有机污染物</w:t>
            </w:r>
            <w:r>
              <w:rPr>
                <w:rFonts w:ascii="Times New Roman" w:hAnsi="Times New Roman" w:cs="Times New Roman"/>
                <w:kern w:val="0"/>
                <w:szCs w:val="21"/>
                <w:vertAlign w:val="superscript"/>
                <w:lang w:bidi="ar"/>
              </w:rPr>
              <w:t>b</w:t>
            </w:r>
            <w:r>
              <w:rPr>
                <w:rFonts w:ascii="Times New Roman" w:hAnsi="Times New Roman" w:cs="Times New Roman"/>
                <w:kern w:val="0"/>
                <w:szCs w:val="21"/>
                <w:lang w:bidi="ar"/>
              </w:rPr>
              <w:t>的项目（包括危险废物综合利用及处置项目），但园区内企业或集团内部危险废物集中暂存设施、综合利用、处置项目除外。</w:t>
            </w:r>
          </w:p>
        </w:tc>
        <w:tc>
          <w:tcPr>
            <w:tcW w:w="940" w:type="pct"/>
            <w:vAlign w:val="center"/>
          </w:tcPr>
          <w:p w14:paraId="5A7918BA">
            <w:pPr>
              <w:autoSpaceDE w:val="0"/>
              <w:autoSpaceDN w:val="0"/>
              <w:adjustRightInd w:val="0"/>
              <w:jc w:val="left"/>
              <w:rPr>
                <w:rFonts w:ascii="Times New Roman" w:hAnsi="Times New Roman" w:cs="Times New Roman"/>
                <w:szCs w:val="21"/>
              </w:rPr>
            </w:pPr>
            <w:r>
              <w:rPr>
                <w:rFonts w:ascii="Times New Roman" w:hAnsi="Times New Roman" w:cs="Times New Roman"/>
                <w:kern w:val="0"/>
                <w:szCs w:val="21"/>
              </w:rPr>
              <w:t>本项目不属于废水排放重金属和持久性有机污染物的项目及危废利用处置项目。</w:t>
            </w:r>
          </w:p>
        </w:tc>
        <w:tc>
          <w:tcPr>
            <w:tcW w:w="323" w:type="pct"/>
            <w:vAlign w:val="center"/>
          </w:tcPr>
          <w:p w14:paraId="72B681E4">
            <w:pPr>
              <w:adjustRightInd w:val="0"/>
              <w:snapToGrid w:val="0"/>
              <w:ind w:left="-105" w:leftChars="-50" w:right="-105" w:rightChars="-50"/>
              <w:jc w:val="center"/>
              <w:rPr>
                <w:rFonts w:ascii="Times New Roman" w:hAnsi="Times New Roman" w:cs="Times New Roman"/>
                <w:szCs w:val="21"/>
              </w:rPr>
            </w:pPr>
            <w:r>
              <w:rPr>
                <w:rFonts w:ascii="Times New Roman" w:hAnsi="Times New Roman" w:cs="Times New Roman"/>
                <w:szCs w:val="21"/>
              </w:rPr>
              <w:t>符合</w:t>
            </w:r>
          </w:p>
        </w:tc>
      </w:tr>
      <w:tr w14:paraId="066D3C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51" w:type="pct"/>
            <w:vMerge w:val="restart"/>
            <w:vAlign w:val="center"/>
          </w:tcPr>
          <w:p w14:paraId="07A81D6A">
            <w:pPr>
              <w:adjustRightInd w:val="0"/>
              <w:snapToGrid w:val="0"/>
              <w:jc w:val="center"/>
              <w:rPr>
                <w:rFonts w:ascii="Times New Roman" w:hAnsi="Times New Roman" w:cs="Times New Roman"/>
                <w:szCs w:val="21"/>
              </w:rPr>
            </w:pPr>
            <w:r>
              <w:rPr>
                <w:rFonts w:ascii="Times New Roman" w:hAnsi="Times New Roman" w:cs="Times New Roman"/>
                <w:kern w:val="0"/>
                <w:szCs w:val="21"/>
                <w:lang w:bidi="ar"/>
              </w:rPr>
              <w:t>环境风险防控</w:t>
            </w:r>
          </w:p>
        </w:tc>
        <w:tc>
          <w:tcPr>
            <w:tcW w:w="3286" w:type="pct"/>
            <w:gridSpan w:val="2"/>
          </w:tcPr>
          <w:p w14:paraId="577D2700">
            <w:pPr>
              <w:adjustRightInd w:val="0"/>
              <w:snapToGrid w:val="0"/>
              <w:rPr>
                <w:rFonts w:ascii="Times New Roman" w:hAnsi="Times New Roman" w:cs="Times New Roman"/>
                <w:szCs w:val="21"/>
              </w:rPr>
            </w:pPr>
            <w:r>
              <w:rPr>
                <w:rFonts w:ascii="Times New Roman" w:hAnsi="Times New Roman" w:cs="Times New Roman"/>
                <w:kern w:val="0"/>
                <w:szCs w:val="21"/>
                <w:lang w:bidi="ar"/>
              </w:rPr>
              <w:t>1.</w:t>
            </w:r>
            <w:r>
              <w:rPr>
                <w:rStyle w:val="225"/>
                <w:rFonts w:hint="default" w:ascii="Times New Roman" w:hAnsi="Times New Roman" w:cs="Times New Roman"/>
                <w:color w:val="auto"/>
                <w:sz w:val="21"/>
                <w:szCs w:val="21"/>
                <w:lang w:bidi="ar"/>
              </w:rPr>
              <w:t>园区入驻企业应满足三级风险防控要求。</w:t>
            </w:r>
          </w:p>
        </w:tc>
        <w:tc>
          <w:tcPr>
            <w:tcW w:w="940" w:type="pct"/>
            <w:vAlign w:val="center"/>
          </w:tcPr>
          <w:p w14:paraId="774E0D61">
            <w:pPr>
              <w:autoSpaceDE w:val="0"/>
              <w:autoSpaceDN w:val="0"/>
              <w:adjustRightInd w:val="0"/>
              <w:jc w:val="left"/>
              <w:rPr>
                <w:rFonts w:ascii="Times New Roman" w:hAnsi="Times New Roman" w:cs="Times New Roman"/>
                <w:szCs w:val="21"/>
              </w:rPr>
            </w:pPr>
            <w:r>
              <w:rPr>
                <w:rFonts w:ascii="Times New Roman" w:hAnsi="Times New Roman" w:cs="Times New Roman"/>
                <w:kern w:val="0"/>
                <w:szCs w:val="21"/>
              </w:rPr>
              <w:t>企业满足</w:t>
            </w:r>
            <w:r>
              <w:rPr>
                <w:rStyle w:val="225"/>
                <w:rFonts w:hint="default" w:ascii="Times New Roman" w:hAnsi="Times New Roman" w:cs="Times New Roman"/>
                <w:color w:val="auto"/>
                <w:sz w:val="21"/>
                <w:szCs w:val="21"/>
                <w:lang w:bidi="ar"/>
              </w:rPr>
              <w:t>三级风险防控要求。</w:t>
            </w:r>
          </w:p>
        </w:tc>
        <w:tc>
          <w:tcPr>
            <w:tcW w:w="323" w:type="pct"/>
            <w:vAlign w:val="center"/>
          </w:tcPr>
          <w:p w14:paraId="08642F0A">
            <w:pPr>
              <w:adjustRightInd w:val="0"/>
              <w:snapToGrid w:val="0"/>
              <w:ind w:left="-105" w:leftChars="-50" w:right="-105" w:rightChars="-50"/>
              <w:jc w:val="center"/>
              <w:rPr>
                <w:rFonts w:ascii="Times New Roman" w:hAnsi="Times New Roman" w:cs="Times New Roman"/>
                <w:szCs w:val="21"/>
              </w:rPr>
            </w:pPr>
            <w:r>
              <w:rPr>
                <w:rFonts w:ascii="Times New Roman" w:hAnsi="Times New Roman" w:cs="Times New Roman"/>
                <w:szCs w:val="21"/>
              </w:rPr>
              <w:t>符合</w:t>
            </w:r>
          </w:p>
        </w:tc>
      </w:tr>
      <w:tr w14:paraId="7E4FED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51" w:type="pct"/>
            <w:vMerge w:val="continue"/>
            <w:vAlign w:val="center"/>
          </w:tcPr>
          <w:p w14:paraId="27AC02EB">
            <w:pPr>
              <w:adjustRightInd w:val="0"/>
              <w:snapToGrid w:val="0"/>
              <w:jc w:val="center"/>
              <w:rPr>
                <w:rFonts w:ascii="Times New Roman" w:hAnsi="Times New Roman" w:cs="Times New Roman"/>
                <w:szCs w:val="21"/>
              </w:rPr>
            </w:pPr>
          </w:p>
        </w:tc>
        <w:tc>
          <w:tcPr>
            <w:tcW w:w="3286" w:type="pct"/>
            <w:gridSpan w:val="2"/>
          </w:tcPr>
          <w:p w14:paraId="0CF8AB4B">
            <w:pPr>
              <w:adjustRightInd w:val="0"/>
              <w:snapToGrid w:val="0"/>
              <w:rPr>
                <w:rFonts w:ascii="Times New Roman" w:hAnsi="Times New Roman" w:cs="Times New Roman"/>
                <w:szCs w:val="21"/>
              </w:rPr>
            </w:pPr>
            <w:r>
              <w:rPr>
                <w:rFonts w:ascii="Times New Roman" w:hAnsi="Times New Roman" w:cs="Times New Roman"/>
                <w:kern w:val="0"/>
                <w:szCs w:val="21"/>
                <w:lang w:bidi="ar"/>
              </w:rPr>
              <w:t>2.</w:t>
            </w:r>
            <w:r>
              <w:rPr>
                <w:rStyle w:val="225"/>
                <w:rFonts w:hint="default" w:ascii="Times New Roman" w:hAnsi="Times New Roman" w:cs="Times New Roman"/>
                <w:color w:val="auto"/>
                <w:sz w:val="21"/>
                <w:szCs w:val="21"/>
                <w:lang w:bidi="ar"/>
              </w:rPr>
              <w:t>完善白涛园区环境风险防范体系，严格控制项目环境风险，合理布局生产装置及危险化学品仓储等设施。</w:t>
            </w:r>
          </w:p>
        </w:tc>
        <w:tc>
          <w:tcPr>
            <w:tcW w:w="940" w:type="pct"/>
            <w:vAlign w:val="center"/>
          </w:tcPr>
          <w:p w14:paraId="3AD01F62">
            <w:pPr>
              <w:adjustRightInd w:val="0"/>
              <w:snapToGrid w:val="0"/>
              <w:jc w:val="center"/>
              <w:rPr>
                <w:rFonts w:ascii="Times New Roman" w:hAnsi="Times New Roman" w:cs="Times New Roman"/>
                <w:szCs w:val="21"/>
              </w:rPr>
            </w:pPr>
            <w:r>
              <w:rPr>
                <w:rFonts w:ascii="Times New Roman" w:hAnsi="Times New Roman" w:cs="Times New Roman"/>
                <w:kern w:val="0"/>
                <w:szCs w:val="21"/>
              </w:rPr>
              <w:t>本项目不属于危险化学品仓储</w:t>
            </w:r>
          </w:p>
        </w:tc>
        <w:tc>
          <w:tcPr>
            <w:tcW w:w="323" w:type="pct"/>
            <w:vAlign w:val="center"/>
          </w:tcPr>
          <w:p w14:paraId="5D50C2D9">
            <w:pPr>
              <w:adjustRightInd w:val="0"/>
              <w:snapToGrid w:val="0"/>
              <w:ind w:left="-105" w:leftChars="-50" w:right="-105" w:rightChars="-50"/>
              <w:jc w:val="center"/>
              <w:rPr>
                <w:rFonts w:ascii="Times New Roman" w:hAnsi="Times New Roman" w:cs="Times New Roman"/>
                <w:szCs w:val="21"/>
              </w:rPr>
            </w:pPr>
            <w:r>
              <w:rPr>
                <w:rFonts w:ascii="Times New Roman" w:hAnsi="Times New Roman" w:cs="Times New Roman"/>
                <w:szCs w:val="21"/>
              </w:rPr>
              <w:t>符合</w:t>
            </w:r>
          </w:p>
        </w:tc>
      </w:tr>
      <w:tr w14:paraId="2A740B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51" w:type="pct"/>
            <w:vMerge w:val="continue"/>
            <w:vAlign w:val="center"/>
          </w:tcPr>
          <w:p w14:paraId="5B4E8C97">
            <w:pPr>
              <w:adjustRightInd w:val="0"/>
              <w:snapToGrid w:val="0"/>
              <w:jc w:val="center"/>
              <w:rPr>
                <w:rFonts w:ascii="Times New Roman" w:hAnsi="Times New Roman" w:cs="Times New Roman"/>
                <w:szCs w:val="21"/>
              </w:rPr>
            </w:pPr>
          </w:p>
        </w:tc>
        <w:tc>
          <w:tcPr>
            <w:tcW w:w="3286" w:type="pct"/>
            <w:gridSpan w:val="2"/>
          </w:tcPr>
          <w:p w14:paraId="6F7467ED">
            <w:pPr>
              <w:adjustRightInd w:val="0"/>
              <w:snapToGrid w:val="0"/>
              <w:rPr>
                <w:rFonts w:ascii="Times New Roman" w:hAnsi="Times New Roman" w:cs="Times New Roman"/>
                <w:szCs w:val="21"/>
              </w:rPr>
            </w:pPr>
            <w:r>
              <w:rPr>
                <w:rFonts w:ascii="Times New Roman" w:hAnsi="Times New Roman" w:cs="Times New Roman"/>
                <w:kern w:val="0"/>
                <w:szCs w:val="21"/>
                <w:lang w:bidi="ar"/>
              </w:rPr>
              <w:t>3.</w:t>
            </w:r>
            <w:r>
              <w:rPr>
                <w:rStyle w:val="225"/>
                <w:rFonts w:hint="default" w:ascii="Times New Roman" w:hAnsi="Times New Roman" w:cs="Times New Roman"/>
                <w:color w:val="auto"/>
                <w:sz w:val="21"/>
                <w:szCs w:val="21"/>
                <w:lang w:bidi="ar"/>
              </w:rPr>
              <w:t>强化乌江岸线</w:t>
            </w:r>
            <w:r>
              <w:rPr>
                <w:rStyle w:val="226"/>
                <w:rFonts w:hint="default" w:ascii="Times New Roman" w:hAnsi="Times New Roman" w:cs="Times New Roman"/>
                <w:color w:val="auto"/>
                <w:sz w:val="21"/>
                <w:szCs w:val="21"/>
                <w:lang w:bidi="ar"/>
              </w:rPr>
              <w:t>1</w:t>
            </w:r>
            <w:r>
              <w:rPr>
                <w:rStyle w:val="225"/>
                <w:rFonts w:hint="default" w:ascii="Times New Roman" w:hAnsi="Times New Roman" w:cs="Times New Roman"/>
                <w:color w:val="auto"/>
                <w:sz w:val="21"/>
                <w:szCs w:val="21"/>
                <w:lang w:bidi="ar"/>
              </w:rPr>
              <w:t>公里范围内危化品码头的环境风险防范措施。</w:t>
            </w:r>
          </w:p>
        </w:tc>
        <w:tc>
          <w:tcPr>
            <w:tcW w:w="940" w:type="pct"/>
            <w:vAlign w:val="center"/>
          </w:tcPr>
          <w:p w14:paraId="5FC3DE97">
            <w:pPr>
              <w:adjustRightInd w:val="0"/>
              <w:snapToGrid w:val="0"/>
              <w:jc w:val="center"/>
              <w:rPr>
                <w:rFonts w:ascii="Times New Roman" w:hAnsi="Times New Roman" w:cs="Times New Roman"/>
                <w:szCs w:val="21"/>
              </w:rPr>
            </w:pPr>
            <w:r>
              <w:rPr>
                <w:rFonts w:ascii="Times New Roman" w:hAnsi="Times New Roman" w:cs="Times New Roman"/>
                <w:kern w:val="0"/>
                <w:szCs w:val="21"/>
              </w:rPr>
              <w:t>本项目不属于危险化学品仓储</w:t>
            </w:r>
          </w:p>
        </w:tc>
        <w:tc>
          <w:tcPr>
            <w:tcW w:w="323" w:type="pct"/>
            <w:vAlign w:val="center"/>
          </w:tcPr>
          <w:p w14:paraId="783F2B7B">
            <w:pPr>
              <w:adjustRightInd w:val="0"/>
              <w:snapToGrid w:val="0"/>
              <w:ind w:left="-105" w:leftChars="-50" w:right="-105" w:rightChars="-50"/>
              <w:jc w:val="center"/>
              <w:rPr>
                <w:rFonts w:ascii="Times New Roman" w:hAnsi="Times New Roman" w:cs="Times New Roman"/>
                <w:szCs w:val="21"/>
              </w:rPr>
            </w:pPr>
            <w:r>
              <w:rPr>
                <w:rFonts w:ascii="Times New Roman" w:hAnsi="Times New Roman" w:cs="Times New Roman"/>
                <w:szCs w:val="21"/>
              </w:rPr>
              <w:t>符合</w:t>
            </w:r>
          </w:p>
        </w:tc>
      </w:tr>
      <w:tr w14:paraId="51F59E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51" w:type="pct"/>
            <w:vMerge w:val="restart"/>
            <w:vAlign w:val="center"/>
          </w:tcPr>
          <w:p w14:paraId="40F2330A">
            <w:pPr>
              <w:adjustRightInd w:val="0"/>
              <w:snapToGrid w:val="0"/>
              <w:jc w:val="center"/>
              <w:rPr>
                <w:rFonts w:ascii="Times New Roman" w:hAnsi="Times New Roman" w:cs="Times New Roman"/>
                <w:szCs w:val="21"/>
              </w:rPr>
            </w:pPr>
            <w:r>
              <w:rPr>
                <w:rFonts w:ascii="Times New Roman" w:hAnsi="Times New Roman" w:cs="Times New Roman"/>
                <w:szCs w:val="21"/>
              </w:rPr>
              <w:t>资源开发利用要求</w:t>
            </w:r>
          </w:p>
        </w:tc>
        <w:tc>
          <w:tcPr>
            <w:tcW w:w="3286" w:type="pct"/>
            <w:gridSpan w:val="2"/>
          </w:tcPr>
          <w:p w14:paraId="269CCC05">
            <w:pPr>
              <w:adjustRightInd w:val="0"/>
              <w:snapToGrid w:val="0"/>
              <w:rPr>
                <w:rFonts w:ascii="Times New Roman" w:hAnsi="Times New Roman" w:cs="Times New Roman"/>
                <w:szCs w:val="21"/>
              </w:rPr>
            </w:pPr>
            <w:r>
              <w:rPr>
                <w:rFonts w:ascii="Times New Roman" w:hAnsi="Times New Roman" w:cs="Times New Roman"/>
                <w:kern w:val="0"/>
                <w:szCs w:val="21"/>
                <w:lang w:bidi="ar"/>
              </w:rPr>
              <w:t>1.除热电项目及工艺特殊需求外，禁止引入煤炭作为燃料的企业。</w:t>
            </w:r>
          </w:p>
        </w:tc>
        <w:tc>
          <w:tcPr>
            <w:tcW w:w="940" w:type="pct"/>
            <w:vAlign w:val="center"/>
          </w:tcPr>
          <w:p w14:paraId="684B96EF">
            <w:pPr>
              <w:adjustRightInd w:val="0"/>
              <w:snapToGrid w:val="0"/>
              <w:jc w:val="center"/>
              <w:rPr>
                <w:rFonts w:ascii="Times New Roman" w:hAnsi="Times New Roman" w:cs="Times New Roman"/>
                <w:szCs w:val="21"/>
              </w:rPr>
            </w:pPr>
            <w:r>
              <w:rPr>
                <w:rFonts w:ascii="Times New Roman" w:hAnsi="Times New Roman" w:cs="Times New Roman"/>
                <w:kern w:val="0"/>
                <w:szCs w:val="21"/>
              </w:rPr>
              <w:t>本项目</w:t>
            </w:r>
            <w:r>
              <w:rPr>
                <w:rFonts w:hint="eastAsia" w:ascii="Times New Roman" w:hAnsi="Times New Roman" w:cs="Times New Roman"/>
                <w:kern w:val="0"/>
                <w:szCs w:val="21"/>
              </w:rPr>
              <w:t>使用煤炭</w:t>
            </w:r>
          </w:p>
        </w:tc>
        <w:tc>
          <w:tcPr>
            <w:tcW w:w="323" w:type="pct"/>
            <w:vAlign w:val="center"/>
          </w:tcPr>
          <w:p w14:paraId="36EA34BA">
            <w:pPr>
              <w:adjustRightInd w:val="0"/>
              <w:snapToGrid w:val="0"/>
              <w:ind w:left="-105" w:leftChars="-50" w:right="-105" w:rightChars="-50"/>
              <w:jc w:val="center"/>
              <w:rPr>
                <w:rFonts w:ascii="Times New Roman" w:hAnsi="Times New Roman" w:cs="Times New Roman"/>
                <w:szCs w:val="21"/>
              </w:rPr>
            </w:pPr>
            <w:r>
              <w:rPr>
                <w:rFonts w:ascii="Times New Roman" w:hAnsi="Times New Roman" w:cs="Times New Roman"/>
                <w:szCs w:val="21"/>
              </w:rPr>
              <w:t>符合</w:t>
            </w:r>
          </w:p>
        </w:tc>
      </w:tr>
      <w:tr w14:paraId="4A19F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51" w:type="pct"/>
            <w:vMerge w:val="continue"/>
            <w:vAlign w:val="center"/>
          </w:tcPr>
          <w:p w14:paraId="56D294BF">
            <w:pPr>
              <w:adjustRightInd w:val="0"/>
              <w:snapToGrid w:val="0"/>
              <w:jc w:val="center"/>
              <w:rPr>
                <w:rFonts w:ascii="Times New Roman" w:hAnsi="Times New Roman" w:cs="Times New Roman"/>
                <w:szCs w:val="21"/>
              </w:rPr>
            </w:pPr>
          </w:p>
        </w:tc>
        <w:tc>
          <w:tcPr>
            <w:tcW w:w="3286" w:type="pct"/>
            <w:gridSpan w:val="2"/>
          </w:tcPr>
          <w:p w14:paraId="67A14790">
            <w:pPr>
              <w:adjustRightInd w:val="0"/>
              <w:snapToGrid w:val="0"/>
              <w:rPr>
                <w:rFonts w:ascii="Times New Roman" w:hAnsi="Times New Roman" w:cs="Times New Roman"/>
                <w:szCs w:val="21"/>
              </w:rPr>
            </w:pPr>
            <w:r>
              <w:rPr>
                <w:rFonts w:ascii="Times New Roman" w:hAnsi="Times New Roman" w:cs="Times New Roman"/>
                <w:kern w:val="0"/>
                <w:szCs w:val="21"/>
                <w:lang w:bidi="ar"/>
              </w:rPr>
              <w:t>2.对建峰化工自来水厂、蒿枝坝自来水厂、马脚溪自来水厂集中式饮用水源保护区，以及小溪风景名胜区、乌江森林公园、乌江沿线自然生态岸线要严加保护，不得违规侵占，严禁进行影响饮用水源保护和破坏生态环境的开发活动。</w:t>
            </w:r>
          </w:p>
        </w:tc>
        <w:tc>
          <w:tcPr>
            <w:tcW w:w="940" w:type="pct"/>
            <w:vAlign w:val="center"/>
          </w:tcPr>
          <w:p w14:paraId="314359E5">
            <w:pPr>
              <w:adjustRightInd w:val="0"/>
              <w:snapToGrid w:val="0"/>
              <w:jc w:val="center"/>
              <w:rPr>
                <w:rFonts w:ascii="Times New Roman" w:hAnsi="Times New Roman" w:cs="Times New Roman"/>
                <w:szCs w:val="21"/>
              </w:rPr>
            </w:pPr>
            <w:r>
              <w:rPr>
                <w:rFonts w:ascii="Times New Roman" w:hAnsi="Times New Roman" w:cs="Times New Roman"/>
                <w:kern w:val="0"/>
                <w:szCs w:val="21"/>
              </w:rPr>
              <w:t>本项目不涉及相关内容</w:t>
            </w:r>
          </w:p>
        </w:tc>
        <w:tc>
          <w:tcPr>
            <w:tcW w:w="323" w:type="pct"/>
            <w:vAlign w:val="center"/>
          </w:tcPr>
          <w:p w14:paraId="7FDC8652">
            <w:pPr>
              <w:adjustRightInd w:val="0"/>
              <w:snapToGrid w:val="0"/>
              <w:ind w:left="-105" w:leftChars="-50" w:right="-105" w:rightChars="-50"/>
              <w:jc w:val="center"/>
              <w:rPr>
                <w:rFonts w:ascii="Times New Roman" w:hAnsi="Times New Roman" w:cs="Times New Roman"/>
                <w:szCs w:val="21"/>
              </w:rPr>
            </w:pPr>
            <w:r>
              <w:rPr>
                <w:rFonts w:ascii="Times New Roman" w:hAnsi="Times New Roman" w:cs="Times New Roman"/>
                <w:szCs w:val="21"/>
              </w:rPr>
              <w:t>符合</w:t>
            </w:r>
          </w:p>
        </w:tc>
      </w:tr>
      <w:tr w14:paraId="607A69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51" w:type="pct"/>
            <w:vAlign w:val="center"/>
          </w:tcPr>
          <w:p w14:paraId="618DBA1E">
            <w:pPr>
              <w:adjustRightInd w:val="0"/>
              <w:snapToGrid w:val="0"/>
              <w:jc w:val="center"/>
              <w:rPr>
                <w:rFonts w:ascii="Times New Roman" w:hAnsi="Times New Roman" w:cs="Times New Roman"/>
                <w:szCs w:val="21"/>
              </w:rPr>
            </w:pPr>
            <w:r>
              <w:rPr>
                <w:rFonts w:ascii="Times New Roman" w:hAnsi="Times New Roman" w:cs="Times New Roman"/>
                <w:kern w:val="0"/>
                <w:szCs w:val="21"/>
                <w:lang w:bidi="ar"/>
              </w:rPr>
              <w:t>禁止准入产业</w:t>
            </w:r>
          </w:p>
        </w:tc>
        <w:tc>
          <w:tcPr>
            <w:tcW w:w="470" w:type="pct"/>
            <w:vMerge w:val="restart"/>
            <w:vAlign w:val="center"/>
          </w:tcPr>
          <w:p w14:paraId="152A0C88">
            <w:pPr>
              <w:adjustRightInd w:val="0"/>
              <w:snapToGrid w:val="0"/>
              <w:jc w:val="center"/>
              <w:rPr>
                <w:rFonts w:ascii="Times New Roman" w:hAnsi="Times New Roman" w:cs="Times New Roman"/>
                <w:kern w:val="0"/>
                <w:szCs w:val="21"/>
                <w:lang w:bidi="ar"/>
              </w:rPr>
            </w:pPr>
            <w:r>
              <w:rPr>
                <w:rFonts w:ascii="Times New Roman" w:hAnsi="Times New Roman" w:cs="Times New Roman"/>
                <w:kern w:val="0"/>
                <w:szCs w:val="21"/>
                <w:lang w:bidi="ar"/>
              </w:rPr>
              <w:t>天然气化工</w:t>
            </w:r>
          </w:p>
        </w:tc>
        <w:tc>
          <w:tcPr>
            <w:tcW w:w="2816" w:type="pct"/>
            <w:vAlign w:val="center"/>
          </w:tcPr>
          <w:p w14:paraId="092F8C02">
            <w:pPr>
              <w:adjustRightInd w:val="0"/>
              <w:snapToGrid w:val="0"/>
              <w:rPr>
                <w:rFonts w:ascii="Times New Roman" w:hAnsi="Times New Roman" w:cs="Times New Roman"/>
                <w:kern w:val="0"/>
                <w:szCs w:val="21"/>
                <w:lang w:bidi="ar"/>
              </w:rPr>
            </w:pPr>
            <w:r>
              <w:rPr>
                <w:rFonts w:ascii="Times New Roman" w:hAnsi="Times New Roman" w:cs="Times New Roman"/>
                <w:kern w:val="0"/>
                <w:szCs w:val="21"/>
                <w:lang w:bidi="ar"/>
              </w:rPr>
              <w:t>新建以天然气为原料生产甲醇装置</w:t>
            </w:r>
            <w:r>
              <w:rPr>
                <w:rStyle w:val="225"/>
                <w:rFonts w:hint="default" w:ascii="Times New Roman" w:hAnsi="Times New Roman" w:cs="Times New Roman"/>
                <w:color w:val="auto"/>
                <w:sz w:val="21"/>
                <w:szCs w:val="21"/>
                <w:lang w:bidi="ar"/>
              </w:rPr>
              <w:t>（天然气制1,4-丁二醇副产甲醇、甲醛除外）；</w:t>
            </w:r>
          </w:p>
        </w:tc>
        <w:tc>
          <w:tcPr>
            <w:tcW w:w="940" w:type="pct"/>
            <w:vMerge w:val="restart"/>
            <w:vAlign w:val="center"/>
          </w:tcPr>
          <w:p w14:paraId="001AF0F6">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本项目</w:t>
            </w:r>
            <w:r>
              <w:rPr>
                <w:rFonts w:hint="eastAsia" w:ascii="Times New Roman" w:hAnsi="Times New Roman" w:cs="Times New Roman"/>
                <w:kern w:val="0"/>
                <w:szCs w:val="21"/>
              </w:rPr>
              <w:t>为液化天然气项目</w:t>
            </w:r>
            <w:r>
              <w:rPr>
                <w:rFonts w:ascii="Times New Roman" w:hAnsi="Times New Roman" w:cs="Times New Roman"/>
                <w:kern w:val="0"/>
                <w:szCs w:val="21"/>
              </w:rPr>
              <w:t>，不涉及禁止、限值准入项目和装置</w:t>
            </w:r>
          </w:p>
        </w:tc>
        <w:tc>
          <w:tcPr>
            <w:tcW w:w="323" w:type="pct"/>
            <w:vMerge w:val="restart"/>
            <w:vAlign w:val="center"/>
          </w:tcPr>
          <w:p w14:paraId="249AC4BE">
            <w:pPr>
              <w:adjustRightInd w:val="0"/>
              <w:snapToGrid w:val="0"/>
              <w:ind w:left="-105" w:leftChars="-50" w:right="-105" w:rightChars="-50"/>
              <w:jc w:val="center"/>
              <w:rPr>
                <w:rFonts w:ascii="Times New Roman" w:hAnsi="Times New Roman" w:cs="Times New Roman"/>
                <w:szCs w:val="21"/>
              </w:rPr>
            </w:pPr>
            <w:r>
              <w:rPr>
                <w:rFonts w:ascii="Times New Roman" w:hAnsi="Times New Roman" w:cs="Times New Roman"/>
                <w:szCs w:val="21"/>
              </w:rPr>
              <w:t>符合</w:t>
            </w:r>
          </w:p>
        </w:tc>
      </w:tr>
      <w:tr w14:paraId="2C05F5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51" w:type="pct"/>
            <w:vAlign w:val="center"/>
          </w:tcPr>
          <w:p w14:paraId="532AFF2B">
            <w:pPr>
              <w:adjustRightInd w:val="0"/>
              <w:snapToGrid w:val="0"/>
              <w:jc w:val="center"/>
              <w:rPr>
                <w:rFonts w:ascii="Times New Roman" w:hAnsi="Times New Roman" w:cs="Times New Roman"/>
                <w:szCs w:val="21"/>
              </w:rPr>
            </w:pPr>
            <w:r>
              <w:rPr>
                <w:rFonts w:ascii="Times New Roman" w:hAnsi="Times New Roman" w:cs="Times New Roman"/>
                <w:kern w:val="0"/>
                <w:szCs w:val="21"/>
                <w:lang w:bidi="ar"/>
              </w:rPr>
              <w:t>限制准入条件</w:t>
            </w:r>
          </w:p>
        </w:tc>
        <w:tc>
          <w:tcPr>
            <w:tcW w:w="470" w:type="pct"/>
            <w:vMerge w:val="continue"/>
          </w:tcPr>
          <w:p w14:paraId="338BF189">
            <w:pPr>
              <w:adjustRightInd w:val="0"/>
              <w:snapToGrid w:val="0"/>
              <w:rPr>
                <w:rFonts w:ascii="Times New Roman" w:hAnsi="Times New Roman" w:cs="Times New Roman"/>
                <w:kern w:val="0"/>
                <w:szCs w:val="21"/>
                <w:lang w:bidi="ar"/>
              </w:rPr>
            </w:pPr>
          </w:p>
        </w:tc>
        <w:tc>
          <w:tcPr>
            <w:tcW w:w="2816" w:type="pct"/>
            <w:vAlign w:val="center"/>
          </w:tcPr>
          <w:p w14:paraId="1ABDD13D">
            <w:pPr>
              <w:adjustRightInd w:val="0"/>
              <w:snapToGrid w:val="0"/>
              <w:rPr>
                <w:rFonts w:ascii="Times New Roman" w:hAnsi="Times New Roman" w:cs="Times New Roman"/>
                <w:kern w:val="0"/>
                <w:szCs w:val="21"/>
                <w:lang w:bidi="ar"/>
              </w:rPr>
            </w:pPr>
            <w:r>
              <w:rPr>
                <w:rFonts w:ascii="Times New Roman" w:hAnsi="Times New Roman" w:cs="Times New Roman"/>
                <w:kern w:val="0"/>
                <w:szCs w:val="21"/>
                <w:lang w:bidi="ar"/>
              </w:rPr>
              <w:t>禁止新建或扩建以化肥为产品的合成氨项目（区域规划搬迁、综合利用项目除外）</w:t>
            </w:r>
            <w:r>
              <w:rPr>
                <w:rStyle w:val="225"/>
                <w:rFonts w:hint="default" w:ascii="Times New Roman" w:hAnsi="Times New Roman" w:cs="Times New Roman"/>
                <w:color w:val="auto"/>
                <w:sz w:val="21"/>
                <w:szCs w:val="21"/>
                <w:lang w:bidi="ar"/>
              </w:rPr>
              <w:t>。</w:t>
            </w:r>
          </w:p>
        </w:tc>
        <w:tc>
          <w:tcPr>
            <w:tcW w:w="940" w:type="pct"/>
            <w:vMerge w:val="continue"/>
            <w:vAlign w:val="center"/>
          </w:tcPr>
          <w:p w14:paraId="7F10DB09">
            <w:pPr>
              <w:adjustRightInd w:val="0"/>
              <w:snapToGrid w:val="0"/>
              <w:jc w:val="center"/>
              <w:rPr>
                <w:rFonts w:ascii="Times New Roman" w:hAnsi="Times New Roman" w:cs="Times New Roman"/>
                <w:kern w:val="0"/>
                <w:szCs w:val="21"/>
              </w:rPr>
            </w:pPr>
          </w:p>
        </w:tc>
        <w:tc>
          <w:tcPr>
            <w:tcW w:w="323" w:type="pct"/>
            <w:vMerge w:val="continue"/>
            <w:vAlign w:val="center"/>
          </w:tcPr>
          <w:p w14:paraId="44AFEC38">
            <w:pPr>
              <w:adjustRightInd w:val="0"/>
              <w:snapToGrid w:val="0"/>
              <w:ind w:left="-105" w:leftChars="-50" w:right="-105" w:rightChars="-50"/>
              <w:jc w:val="center"/>
              <w:rPr>
                <w:rFonts w:ascii="Times New Roman" w:hAnsi="Times New Roman" w:cs="Times New Roman"/>
                <w:szCs w:val="21"/>
              </w:rPr>
            </w:pPr>
          </w:p>
        </w:tc>
      </w:tr>
    </w:tbl>
    <w:p w14:paraId="7B9DF747">
      <w:pPr>
        <w:pStyle w:val="228"/>
        <w:numPr>
          <w:ilvl w:val="0"/>
          <w:numId w:val="0"/>
        </w:numPr>
        <w:spacing w:line="240" w:lineRule="auto"/>
        <w:jc w:val="left"/>
        <w:rPr>
          <w:rFonts w:cs="Times New Roman"/>
          <w:b/>
          <w:bCs/>
          <w:sz w:val="18"/>
          <w:szCs w:val="18"/>
        </w:rPr>
      </w:pPr>
      <w:r>
        <w:rPr>
          <w:rFonts w:cs="Times New Roman"/>
          <w:b/>
          <w:bCs/>
          <w:sz w:val="18"/>
          <w:szCs w:val="18"/>
        </w:rPr>
        <w:t>注：a重金属指《重庆市工业项目环境准入规定》中明确铅、汞、铬、镉、类金属砷五类；b持久性污染物指人类合成的能够持久存在于环境中、通过生物食物链（网）累积，并对人类健康造成有害影响的化学物质，本清单中特指国际POPs公约中明确的物质。</w:t>
      </w:r>
    </w:p>
    <w:p w14:paraId="762461FD">
      <w:pPr>
        <w:adjustRightInd w:val="0"/>
        <w:snapToGrid w:val="0"/>
        <w:spacing w:line="480" w:lineRule="exact"/>
        <w:jc w:val="center"/>
        <w:rPr>
          <w:rFonts w:ascii="Times New Roman" w:hAnsi="Times New Roman" w:cs="Times New Roman"/>
          <w:b/>
          <w:sz w:val="24"/>
          <w:szCs w:val="20"/>
          <w:lang w:val="zh-CN"/>
        </w:rPr>
      </w:pPr>
    </w:p>
    <w:p w14:paraId="6CD02935">
      <w:pPr>
        <w:adjustRightInd w:val="0"/>
        <w:snapToGrid w:val="0"/>
        <w:spacing w:line="480" w:lineRule="exact"/>
        <w:jc w:val="center"/>
        <w:rPr>
          <w:rFonts w:ascii="Times New Roman" w:hAnsi="Times New Roman" w:cs="Times New Roman"/>
          <w:b/>
          <w:sz w:val="24"/>
          <w:szCs w:val="20"/>
          <w:lang w:val="zh-CN"/>
        </w:rPr>
      </w:pPr>
    </w:p>
    <w:p w14:paraId="08C9D1AA">
      <w:pPr>
        <w:adjustRightInd w:val="0"/>
        <w:snapToGrid w:val="0"/>
        <w:spacing w:line="480" w:lineRule="exact"/>
        <w:jc w:val="center"/>
        <w:rPr>
          <w:rFonts w:ascii="Times New Roman" w:hAnsi="Times New Roman" w:cs="Times New Roman"/>
          <w:b/>
          <w:sz w:val="24"/>
          <w:szCs w:val="20"/>
          <w:lang w:val="zh-CN"/>
        </w:rPr>
      </w:pPr>
      <w:r>
        <w:rPr>
          <w:rFonts w:ascii="Times New Roman" w:hAnsi="Times New Roman" w:cs="Times New Roman"/>
          <w:b/>
          <w:sz w:val="24"/>
          <w:szCs w:val="20"/>
          <w:lang w:val="zh-CN"/>
        </w:rPr>
        <w:t>表1.2-1   与规划环评审查意见的函符合性分析</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4090"/>
        <w:gridCol w:w="3484"/>
        <w:gridCol w:w="772"/>
      </w:tblGrid>
      <w:tr w14:paraId="1F4E6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tcBorders>
              <w:top w:val="single" w:color="auto" w:sz="4" w:space="0"/>
              <w:left w:val="single" w:color="auto" w:sz="4" w:space="0"/>
              <w:bottom w:val="single" w:color="auto" w:sz="4" w:space="0"/>
              <w:right w:val="single" w:color="auto" w:sz="4" w:space="0"/>
            </w:tcBorders>
            <w:vAlign w:val="center"/>
          </w:tcPr>
          <w:p w14:paraId="417D2087">
            <w:pPr>
              <w:jc w:val="center"/>
              <w:rPr>
                <w:rFonts w:ascii="Times New Roman" w:hAnsi="Times New Roman" w:cs="Times New Roman"/>
                <w:b/>
                <w:bCs/>
                <w:szCs w:val="21"/>
              </w:rPr>
            </w:pPr>
            <w:r>
              <w:rPr>
                <w:rFonts w:ascii="Times New Roman" w:hAnsi="Times New Roman" w:cs="Times New Roman"/>
                <w:b/>
                <w:bCs/>
                <w:szCs w:val="21"/>
              </w:rPr>
              <w:t>类别</w:t>
            </w:r>
          </w:p>
        </w:tc>
        <w:tc>
          <w:tcPr>
            <w:tcW w:w="2257" w:type="pct"/>
            <w:tcBorders>
              <w:top w:val="single" w:color="auto" w:sz="4" w:space="0"/>
              <w:left w:val="single" w:color="auto" w:sz="4" w:space="0"/>
              <w:bottom w:val="single" w:color="auto" w:sz="4" w:space="0"/>
              <w:right w:val="single" w:color="auto" w:sz="4" w:space="0"/>
            </w:tcBorders>
            <w:vAlign w:val="center"/>
          </w:tcPr>
          <w:p w14:paraId="7855B69A">
            <w:pPr>
              <w:jc w:val="center"/>
              <w:rPr>
                <w:rFonts w:ascii="Times New Roman" w:hAnsi="Times New Roman" w:cs="Times New Roman"/>
                <w:b/>
                <w:bCs/>
                <w:szCs w:val="21"/>
              </w:rPr>
            </w:pPr>
            <w:r>
              <w:rPr>
                <w:rFonts w:ascii="Times New Roman" w:hAnsi="Times New Roman" w:cs="Times New Roman"/>
                <w:b/>
                <w:bCs/>
                <w:szCs w:val="21"/>
              </w:rPr>
              <w:t>审查意见的函中相关要求</w:t>
            </w:r>
          </w:p>
        </w:tc>
        <w:tc>
          <w:tcPr>
            <w:tcW w:w="1923" w:type="pct"/>
            <w:tcBorders>
              <w:top w:val="single" w:color="auto" w:sz="4" w:space="0"/>
              <w:left w:val="single" w:color="auto" w:sz="4" w:space="0"/>
              <w:bottom w:val="single" w:color="auto" w:sz="4" w:space="0"/>
              <w:right w:val="single" w:color="auto" w:sz="4" w:space="0"/>
            </w:tcBorders>
            <w:vAlign w:val="center"/>
          </w:tcPr>
          <w:p w14:paraId="0B4B30CD">
            <w:pPr>
              <w:jc w:val="center"/>
              <w:rPr>
                <w:rFonts w:ascii="Times New Roman" w:hAnsi="Times New Roman" w:cs="Times New Roman"/>
                <w:b/>
                <w:bCs/>
                <w:szCs w:val="21"/>
              </w:rPr>
            </w:pPr>
            <w:r>
              <w:rPr>
                <w:rFonts w:ascii="Times New Roman" w:hAnsi="Times New Roman" w:cs="Times New Roman"/>
                <w:b/>
                <w:bCs/>
                <w:szCs w:val="21"/>
              </w:rPr>
              <w:t>本项目情况</w:t>
            </w:r>
          </w:p>
        </w:tc>
        <w:tc>
          <w:tcPr>
            <w:tcW w:w="426" w:type="pct"/>
            <w:tcBorders>
              <w:top w:val="single" w:color="auto" w:sz="4" w:space="0"/>
              <w:left w:val="single" w:color="auto" w:sz="4" w:space="0"/>
              <w:bottom w:val="single" w:color="auto" w:sz="4" w:space="0"/>
              <w:right w:val="single" w:color="auto" w:sz="4" w:space="0"/>
            </w:tcBorders>
            <w:vAlign w:val="center"/>
          </w:tcPr>
          <w:p w14:paraId="5E9BEFE1">
            <w:pPr>
              <w:jc w:val="center"/>
              <w:rPr>
                <w:rFonts w:ascii="Times New Roman" w:hAnsi="Times New Roman" w:cs="Times New Roman"/>
                <w:b/>
                <w:bCs/>
                <w:szCs w:val="21"/>
              </w:rPr>
            </w:pPr>
            <w:r>
              <w:rPr>
                <w:rFonts w:ascii="Times New Roman" w:hAnsi="Times New Roman" w:cs="Times New Roman"/>
                <w:b/>
                <w:bCs/>
                <w:szCs w:val="21"/>
              </w:rPr>
              <w:t>符合情况</w:t>
            </w:r>
          </w:p>
        </w:tc>
      </w:tr>
      <w:tr w14:paraId="3EC47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tcBorders>
              <w:top w:val="single" w:color="auto" w:sz="4" w:space="0"/>
              <w:left w:val="single" w:color="auto" w:sz="4" w:space="0"/>
              <w:bottom w:val="single" w:color="auto" w:sz="4" w:space="0"/>
              <w:right w:val="single" w:color="auto" w:sz="4" w:space="0"/>
            </w:tcBorders>
            <w:vAlign w:val="center"/>
          </w:tcPr>
          <w:p w14:paraId="1E0DAC96">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区域</w:t>
            </w:r>
          </w:p>
          <w:p w14:paraId="0DA2B549">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环境</w:t>
            </w:r>
          </w:p>
          <w:p w14:paraId="36116D3D">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承载</w:t>
            </w:r>
          </w:p>
          <w:p w14:paraId="55988E15">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力及</w:t>
            </w:r>
          </w:p>
          <w:p w14:paraId="588F9C0F">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总量</w:t>
            </w:r>
          </w:p>
          <w:p w14:paraId="1862E2E3">
            <w:pPr>
              <w:jc w:val="center"/>
              <w:rPr>
                <w:rFonts w:ascii="Times New Roman" w:hAnsi="Times New Roman" w:cs="Times New Roman"/>
                <w:szCs w:val="21"/>
              </w:rPr>
            </w:pPr>
            <w:r>
              <w:rPr>
                <w:rFonts w:ascii="Times New Roman" w:hAnsi="Times New Roman" w:cs="Times New Roman"/>
                <w:kern w:val="0"/>
                <w:szCs w:val="21"/>
              </w:rPr>
              <w:t>管控</w:t>
            </w:r>
          </w:p>
        </w:tc>
        <w:tc>
          <w:tcPr>
            <w:tcW w:w="2257" w:type="pct"/>
            <w:tcBorders>
              <w:top w:val="single" w:color="auto" w:sz="4" w:space="0"/>
              <w:left w:val="single" w:color="auto" w:sz="4" w:space="0"/>
              <w:bottom w:val="single" w:color="auto" w:sz="4" w:space="0"/>
              <w:right w:val="single" w:color="auto" w:sz="4" w:space="0"/>
            </w:tcBorders>
            <w:vAlign w:val="center"/>
          </w:tcPr>
          <w:p w14:paraId="24A6E679">
            <w:pPr>
              <w:autoSpaceDE w:val="0"/>
              <w:autoSpaceDN w:val="0"/>
              <w:adjustRightInd w:val="0"/>
              <w:jc w:val="left"/>
              <w:rPr>
                <w:rFonts w:ascii="Times New Roman" w:hAnsi="Times New Roman" w:cs="Times New Roman"/>
                <w:szCs w:val="21"/>
              </w:rPr>
            </w:pPr>
            <w:r>
              <w:rPr>
                <w:rFonts w:ascii="Times New Roman" w:hAnsi="Times New Roman" w:cs="Times New Roman"/>
                <w:kern w:val="0"/>
                <w:szCs w:val="21"/>
              </w:rPr>
              <w:t>考虑到未来发展需求和环境质量改善要求，规划实施排放的SO</w:t>
            </w:r>
            <w:r>
              <w:rPr>
                <w:rFonts w:ascii="Times New Roman" w:hAnsi="Times New Roman" w:cs="Times New Roman"/>
                <w:kern w:val="0"/>
                <w:szCs w:val="21"/>
                <w:vertAlign w:val="subscript"/>
              </w:rPr>
              <w:t>2</w:t>
            </w:r>
            <w:r>
              <w:rPr>
                <w:rFonts w:ascii="Times New Roman" w:hAnsi="Times New Roman" w:cs="Times New Roman"/>
                <w:kern w:val="0"/>
                <w:szCs w:val="21"/>
              </w:rPr>
              <w:t>、NO</w:t>
            </w:r>
            <w:r>
              <w:rPr>
                <w:rFonts w:ascii="Times New Roman" w:hAnsi="Times New Roman" w:cs="Times New Roman"/>
                <w:kern w:val="0"/>
                <w:szCs w:val="21"/>
                <w:vertAlign w:val="subscript"/>
              </w:rPr>
              <w:t>x</w:t>
            </w:r>
            <w:r>
              <w:rPr>
                <w:rFonts w:ascii="Times New Roman" w:hAnsi="Times New Roman" w:cs="Times New Roman"/>
                <w:kern w:val="0"/>
                <w:szCs w:val="21"/>
              </w:rPr>
              <w:t>、COD、NH</w:t>
            </w:r>
            <w:r>
              <w:rPr>
                <w:rFonts w:ascii="Times New Roman" w:hAnsi="Times New Roman" w:cs="Times New Roman"/>
                <w:kern w:val="0"/>
                <w:szCs w:val="21"/>
                <w:vertAlign w:val="subscript"/>
              </w:rPr>
              <w:t>3</w:t>
            </w:r>
            <w:r>
              <w:rPr>
                <w:rFonts w:ascii="Times New Roman" w:hAnsi="Times New Roman" w:cs="Times New Roman"/>
                <w:kern w:val="0"/>
                <w:szCs w:val="21"/>
              </w:rPr>
              <w:t>-N等主要污染物和VOCs等特征污染物排放量不得突破《报告书》确定的总量管控指标。</w:t>
            </w:r>
          </w:p>
        </w:tc>
        <w:tc>
          <w:tcPr>
            <w:tcW w:w="1923" w:type="pct"/>
            <w:tcBorders>
              <w:top w:val="single" w:color="auto" w:sz="4" w:space="0"/>
              <w:left w:val="single" w:color="auto" w:sz="4" w:space="0"/>
              <w:bottom w:val="single" w:color="auto" w:sz="4" w:space="0"/>
              <w:right w:val="single" w:color="auto" w:sz="4" w:space="0"/>
            </w:tcBorders>
            <w:vAlign w:val="center"/>
          </w:tcPr>
          <w:p w14:paraId="31E478CA">
            <w:pPr>
              <w:rPr>
                <w:rFonts w:ascii="Times New Roman" w:hAnsi="Times New Roman" w:cs="Times New Roman"/>
                <w:szCs w:val="21"/>
                <w:highlight w:val="yellow"/>
              </w:rPr>
            </w:pPr>
            <w:r>
              <w:rPr>
                <w:rFonts w:ascii="Times New Roman" w:hAnsi="Times New Roman" w:cs="Times New Roman"/>
                <w:szCs w:val="21"/>
              </w:rPr>
              <w:t>本项目新增少量废水，废气</w:t>
            </w:r>
            <w:r>
              <w:rPr>
                <w:rFonts w:hint="eastAsia" w:ascii="Times New Roman" w:hAnsi="Times New Roman" w:cs="Times New Roman"/>
                <w:szCs w:val="21"/>
              </w:rPr>
              <w:t>，均经处理后达标排放</w:t>
            </w:r>
            <w:r>
              <w:rPr>
                <w:rFonts w:ascii="Times New Roman" w:hAnsi="Times New Roman" w:cs="Times New Roman"/>
                <w:szCs w:val="21"/>
              </w:rPr>
              <w:t>，未</w:t>
            </w:r>
            <w:r>
              <w:rPr>
                <w:rFonts w:ascii="Times New Roman" w:hAnsi="Times New Roman" w:cs="Times New Roman"/>
                <w:kern w:val="0"/>
                <w:szCs w:val="21"/>
              </w:rPr>
              <w:t>突破《报告书》确定的总量管控指标。</w:t>
            </w:r>
          </w:p>
        </w:tc>
        <w:tc>
          <w:tcPr>
            <w:tcW w:w="426" w:type="pct"/>
            <w:tcBorders>
              <w:top w:val="single" w:color="auto" w:sz="4" w:space="0"/>
              <w:left w:val="single" w:color="auto" w:sz="4" w:space="0"/>
              <w:bottom w:val="single" w:color="auto" w:sz="4" w:space="0"/>
              <w:right w:val="single" w:color="auto" w:sz="4" w:space="0"/>
            </w:tcBorders>
            <w:vAlign w:val="center"/>
          </w:tcPr>
          <w:p w14:paraId="24FAA624">
            <w:pPr>
              <w:rPr>
                <w:rFonts w:ascii="Times New Roman" w:hAnsi="Times New Roman" w:cs="Times New Roman"/>
                <w:szCs w:val="21"/>
              </w:rPr>
            </w:pPr>
            <w:r>
              <w:rPr>
                <w:rFonts w:ascii="Times New Roman" w:hAnsi="Times New Roman" w:cs="Times New Roman"/>
                <w:szCs w:val="21"/>
              </w:rPr>
              <w:t>符合</w:t>
            </w:r>
          </w:p>
        </w:tc>
      </w:tr>
      <w:tr w14:paraId="24C48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394" w:type="pct"/>
            <w:tcBorders>
              <w:top w:val="single" w:color="auto" w:sz="4" w:space="0"/>
              <w:left w:val="single" w:color="auto" w:sz="4" w:space="0"/>
              <w:bottom w:val="single" w:color="auto" w:sz="4" w:space="0"/>
              <w:right w:val="single" w:color="auto" w:sz="4" w:space="0"/>
            </w:tcBorders>
            <w:vAlign w:val="center"/>
          </w:tcPr>
          <w:p w14:paraId="11C42E8F">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关于</w:t>
            </w:r>
          </w:p>
          <w:p w14:paraId="2E3AE97C">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资源</w:t>
            </w:r>
          </w:p>
          <w:p w14:paraId="251C031B">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利用</w:t>
            </w:r>
          </w:p>
          <w:p w14:paraId="3EAFDA1B">
            <w:pPr>
              <w:jc w:val="center"/>
              <w:rPr>
                <w:rFonts w:ascii="Times New Roman" w:hAnsi="Times New Roman" w:cs="Times New Roman"/>
                <w:szCs w:val="21"/>
              </w:rPr>
            </w:pPr>
            <w:r>
              <w:rPr>
                <w:rFonts w:ascii="Times New Roman" w:hAnsi="Times New Roman" w:cs="Times New Roman"/>
                <w:kern w:val="0"/>
                <w:szCs w:val="21"/>
              </w:rPr>
              <w:t>上限</w:t>
            </w:r>
          </w:p>
        </w:tc>
        <w:tc>
          <w:tcPr>
            <w:tcW w:w="2257" w:type="pct"/>
            <w:tcBorders>
              <w:top w:val="single" w:color="auto" w:sz="4" w:space="0"/>
              <w:left w:val="single" w:color="auto" w:sz="4" w:space="0"/>
              <w:bottom w:val="single" w:color="auto" w:sz="4" w:space="0"/>
              <w:right w:val="single" w:color="auto" w:sz="4" w:space="0"/>
            </w:tcBorders>
            <w:vAlign w:val="center"/>
          </w:tcPr>
          <w:p w14:paraId="7B4F1998">
            <w:pPr>
              <w:autoSpaceDE w:val="0"/>
              <w:autoSpaceDN w:val="0"/>
              <w:adjustRightInd w:val="0"/>
              <w:jc w:val="left"/>
              <w:rPr>
                <w:rFonts w:ascii="Times New Roman" w:hAnsi="Times New Roman" w:cs="Times New Roman"/>
                <w:szCs w:val="21"/>
              </w:rPr>
            </w:pPr>
            <w:r>
              <w:rPr>
                <w:rFonts w:ascii="Times New Roman" w:hAnsi="Times New Roman" w:cs="Times New Roman"/>
                <w:kern w:val="0"/>
                <w:szCs w:val="21"/>
              </w:rPr>
              <w:t>大力发展循环经济，提高资源利用效率，严格控制规划区燃煤、天然气消耗总量和新鲜水消耗总量。规划实施不得突破有关部门制定的能源消耗上限和水资源消耗上限，确保规划实施后区域大气和水环境质量保持稳中向好转变。规划区土地资源、水资源、能源总体能满足规划发展的需要。规划区要探索建立能源利用效率及碳排放强度的核算机制，逐渐适应低碳发展和2030年后碳排放稳步下降和实现碳中和的要求。</w:t>
            </w:r>
          </w:p>
        </w:tc>
        <w:tc>
          <w:tcPr>
            <w:tcW w:w="1923" w:type="pct"/>
            <w:tcBorders>
              <w:top w:val="single" w:color="auto" w:sz="4" w:space="0"/>
              <w:left w:val="single" w:color="auto" w:sz="4" w:space="0"/>
              <w:bottom w:val="single" w:color="auto" w:sz="4" w:space="0"/>
              <w:right w:val="single" w:color="auto" w:sz="4" w:space="0"/>
            </w:tcBorders>
            <w:vAlign w:val="center"/>
          </w:tcPr>
          <w:p w14:paraId="2495C99E">
            <w:pPr>
              <w:rPr>
                <w:rFonts w:ascii="Times New Roman" w:hAnsi="Times New Roman" w:cs="Times New Roman"/>
                <w:szCs w:val="21"/>
                <w:highlight w:val="yellow"/>
              </w:rPr>
            </w:pPr>
            <w:r>
              <w:rPr>
                <w:rFonts w:ascii="Times New Roman" w:hAnsi="Times New Roman" w:cs="Times New Roman"/>
                <w:szCs w:val="21"/>
              </w:rPr>
              <w:t>根据“三线一单”的符合性分析可知，本项目</w:t>
            </w:r>
            <w:r>
              <w:rPr>
                <w:rFonts w:hint="eastAsia" w:ascii="Times New Roman" w:hAnsi="Times New Roman" w:cs="Times New Roman"/>
                <w:szCs w:val="21"/>
              </w:rPr>
              <w:t>为液化天然气项目</w:t>
            </w:r>
            <w:r>
              <w:rPr>
                <w:rFonts w:ascii="Times New Roman" w:hAnsi="Times New Roman" w:cs="Times New Roman"/>
                <w:szCs w:val="21"/>
              </w:rPr>
              <w:t>。符合“规划评价”关于资源利用上线的要求。</w:t>
            </w:r>
          </w:p>
        </w:tc>
        <w:tc>
          <w:tcPr>
            <w:tcW w:w="426" w:type="pct"/>
            <w:tcBorders>
              <w:top w:val="single" w:color="auto" w:sz="4" w:space="0"/>
              <w:left w:val="single" w:color="auto" w:sz="4" w:space="0"/>
              <w:bottom w:val="single" w:color="auto" w:sz="4" w:space="0"/>
              <w:right w:val="single" w:color="auto" w:sz="4" w:space="0"/>
            </w:tcBorders>
            <w:vAlign w:val="center"/>
          </w:tcPr>
          <w:p w14:paraId="21646D5F">
            <w:pPr>
              <w:rPr>
                <w:rFonts w:ascii="Times New Roman" w:hAnsi="Times New Roman" w:cs="Times New Roman"/>
                <w:szCs w:val="21"/>
              </w:rPr>
            </w:pPr>
            <w:r>
              <w:rPr>
                <w:rFonts w:ascii="Times New Roman" w:hAnsi="Times New Roman" w:cs="Times New Roman"/>
                <w:szCs w:val="21"/>
              </w:rPr>
              <w:t>符合</w:t>
            </w:r>
          </w:p>
        </w:tc>
      </w:tr>
      <w:tr w14:paraId="2E298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228046D1">
            <w:pPr>
              <w:rPr>
                <w:rFonts w:ascii="Times New Roman" w:hAnsi="Times New Roman" w:cs="Times New Roman"/>
                <w:szCs w:val="21"/>
              </w:rPr>
            </w:pPr>
            <w:r>
              <w:rPr>
                <w:rFonts w:ascii="Times New Roman" w:hAnsi="Times New Roman" w:cs="Times New Roman"/>
                <w:kern w:val="0"/>
                <w:szCs w:val="21"/>
              </w:rPr>
              <w:t>规划调整优化建议及实施的管控要求</w:t>
            </w:r>
          </w:p>
        </w:tc>
      </w:tr>
      <w:tr w14:paraId="116B9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tcBorders>
              <w:top w:val="single" w:color="auto" w:sz="4" w:space="0"/>
              <w:left w:val="single" w:color="auto" w:sz="4" w:space="0"/>
              <w:bottom w:val="single" w:color="auto" w:sz="4" w:space="0"/>
              <w:right w:val="single" w:color="auto" w:sz="4" w:space="0"/>
            </w:tcBorders>
            <w:vAlign w:val="center"/>
          </w:tcPr>
          <w:p w14:paraId="0B1CBB7A">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严格</w:t>
            </w:r>
          </w:p>
          <w:p w14:paraId="6850E806">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执行</w:t>
            </w:r>
          </w:p>
          <w:p w14:paraId="02E20A92">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生态环境</w:t>
            </w:r>
          </w:p>
          <w:p w14:paraId="34BC3518">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准入</w:t>
            </w:r>
          </w:p>
          <w:p w14:paraId="334D9A16">
            <w:pPr>
              <w:jc w:val="center"/>
              <w:rPr>
                <w:rFonts w:ascii="Times New Roman" w:hAnsi="Times New Roman" w:cs="Times New Roman"/>
                <w:szCs w:val="21"/>
              </w:rPr>
            </w:pPr>
            <w:r>
              <w:rPr>
                <w:rFonts w:ascii="Times New Roman" w:hAnsi="Times New Roman" w:cs="Times New Roman"/>
                <w:kern w:val="0"/>
                <w:szCs w:val="21"/>
              </w:rPr>
              <w:t>清单</w:t>
            </w:r>
          </w:p>
        </w:tc>
        <w:tc>
          <w:tcPr>
            <w:tcW w:w="2257" w:type="pct"/>
            <w:tcBorders>
              <w:top w:val="single" w:color="auto" w:sz="4" w:space="0"/>
              <w:left w:val="single" w:color="auto" w:sz="4" w:space="0"/>
              <w:bottom w:val="single" w:color="auto" w:sz="4" w:space="0"/>
              <w:right w:val="single" w:color="auto" w:sz="4" w:space="0"/>
            </w:tcBorders>
            <w:vAlign w:val="center"/>
          </w:tcPr>
          <w:p w14:paraId="431D0998">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按照《报告书》提出的管理要求，以生态保护红线、资源利用上线、环境质量底线为约束，严格建设项目环境准入，入驻工业企业应满足《重庆市工业项目环境准入规定（修订）》以及《报告书》确定的生态环境准入清单要求，禁止引进不符合国家产能置换、规划布局等要求的高耗能、高排放建设项目。园区入驻项目应符合国家《长江经济带发展负面清单指南（试行）》及我市出台的相关规范性要求。</w:t>
            </w:r>
          </w:p>
        </w:tc>
        <w:tc>
          <w:tcPr>
            <w:tcW w:w="1923" w:type="pct"/>
            <w:tcBorders>
              <w:top w:val="single" w:color="auto" w:sz="4" w:space="0"/>
              <w:left w:val="single" w:color="auto" w:sz="4" w:space="0"/>
              <w:bottom w:val="single" w:color="auto" w:sz="4" w:space="0"/>
              <w:right w:val="single" w:color="auto" w:sz="4" w:space="0"/>
            </w:tcBorders>
            <w:vAlign w:val="center"/>
          </w:tcPr>
          <w:p w14:paraId="4C05F09F">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根据“三线一单”的符合性分析可知，本项目符合“规划评价”关于生态保护红线、环境质量底线、资源利用上线和生态环境准入清单的要求。</w:t>
            </w:r>
          </w:p>
          <w:p w14:paraId="1AECECE4">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本项目不属于“两高”项目，满足《长江经济带发展负面清单指南（试行）》及我市出台的相关规范性要求，与重庆白涛工业园区产业定位不冲突。</w:t>
            </w:r>
          </w:p>
        </w:tc>
        <w:tc>
          <w:tcPr>
            <w:tcW w:w="426" w:type="pct"/>
            <w:tcBorders>
              <w:top w:val="single" w:color="auto" w:sz="4" w:space="0"/>
              <w:left w:val="single" w:color="auto" w:sz="4" w:space="0"/>
              <w:bottom w:val="single" w:color="auto" w:sz="4" w:space="0"/>
              <w:right w:val="single" w:color="auto" w:sz="4" w:space="0"/>
            </w:tcBorders>
            <w:vAlign w:val="center"/>
          </w:tcPr>
          <w:p w14:paraId="0E48943D">
            <w:pPr>
              <w:rPr>
                <w:rFonts w:ascii="Times New Roman" w:hAnsi="Times New Roman" w:cs="Times New Roman"/>
                <w:szCs w:val="21"/>
              </w:rPr>
            </w:pPr>
            <w:r>
              <w:rPr>
                <w:rFonts w:ascii="Times New Roman" w:hAnsi="Times New Roman" w:cs="Times New Roman"/>
                <w:szCs w:val="21"/>
              </w:rPr>
              <w:t>符合</w:t>
            </w:r>
          </w:p>
        </w:tc>
      </w:tr>
      <w:tr w14:paraId="6F3EA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vMerge w:val="restart"/>
            <w:tcBorders>
              <w:top w:val="single" w:color="auto" w:sz="4" w:space="0"/>
              <w:left w:val="single" w:color="auto" w:sz="4" w:space="0"/>
              <w:right w:val="single" w:color="auto" w:sz="4" w:space="0"/>
            </w:tcBorders>
            <w:vAlign w:val="center"/>
          </w:tcPr>
          <w:p w14:paraId="68ABC8F8">
            <w:pPr>
              <w:jc w:val="center"/>
              <w:rPr>
                <w:rFonts w:ascii="Times New Roman" w:hAnsi="Times New Roman" w:cs="Times New Roman"/>
                <w:szCs w:val="21"/>
              </w:rPr>
            </w:pPr>
            <w:r>
              <w:rPr>
                <w:rFonts w:ascii="Times New Roman" w:hAnsi="Times New Roman" w:cs="Times New Roman"/>
                <w:kern w:val="0"/>
                <w:szCs w:val="21"/>
              </w:rPr>
              <w:t>强化生态环境空间管控</w:t>
            </w:r>
          </w:p>
        </w:tc>
        <w:tc>
          <w:tcPr>
            <w:tcW w:w="2257" w:type="pct"/>
            <w:tcBorders>
              <w:top w:val="single" w:color="auto" w:sz="4" w:space="0"/>
              <w:left w:val="single" w:color="auto" w:sz="4" w:space="0"/>
              <w:bottom w:val="single" w:color="auto" w:sz="4" w:space="0"/>
              <w:right w:val="single" w:color="auto" w:sz="4" w:space="0"/>
            </w:tcBorders>
            <w:vAlign w:val="center"/>
          </w:tcPr>
          <w:p w14:paraId="2149CEB4">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根据规划实施和后续引入项目情况，逐步推进山窝场镇搬迁工作。在山窝场镇搬迁前，临近山窝场镇和山窝场镇所在的工业地块不得布置环境空气影响相对较大的企业或生产车间，优先布局对居住、医疗卫生、文化教育等环境敏感区域基本无干扰和污染的工业项目。</w:t>
            </w:r>
          </w:p>
        </w:tc>
        <w:tc>
          <w:tcPr>
            <w:tcW w:w="1923" w:type="pct"/>
            <w:tcBorders>
              <w:top w:val="single" w:color="auto" w:sz="4" w:space="0"/>
              <w:left w:val="single" w:color="auto" w:sz="4" w:space="0"/>
              <w:bottom w:val="single" w:color="auto" w:sz="4" w:space="0"/>
              <w:right w:val="single" w:color="auto" w:sz="4" w:space="0"/>
            </w:tcBorders>
            <w:vAlign w:val="center"/>
          </w:tcPr>
          <w:p w14:paraId="278B857E">
            <w:pPr>
              <w:autoSpaceDE w:val="0"/>
              <w:autoSpaceDN w:val="0"/>
              <w:adjustRightInd w:val="0"/>
              <w:jc w:val="left"/>
              <w:rPr>
                <w:rFonts w:ascii="Times New Roman" w:hAnsi="Times New Roman" w:cs="Times New Roman"/>
                <w:kern w:val="0"/>
                <w:szCs w:val="21"/>
              </w:rPr>
            </w:pPr>
            <w:r>
              <w:rPr>
                <w:rFonts w:hint="eastAsia" w:ascii="Times New Roman" w:hAnsi="Times New Roman" w:cs="Times New Roman"/>
                <w:kern w:val="0"/>
                <w:szCs w:val="21"/>
              </w:rPr>
              <w:t>不涉及</w:t>
            </w:r>
          </w:p>
        </w:tc>
        <w:tc>
          <w:tcPr>
            <w:tcW w:w="426" w:type="pct"/>
            <w:tcBorders>
              <w:top w:val="single" w:color="auto" w:sz="4" w:space="0"/>
              <w:left w:val="single" w:color="auto" w:sz="4" w:space="0"/>
              <w:bottom w:val="single" w:color="auto" w:sz="4" w:space="0"/>
              <w:right w:val="single" w:color="auto" w:sz="4" w:space="0"/>
            </w:tcBorders>
            <w:vAlign w:val="center"/>
          </w:tcPr>
          <w:p w14:paraId="2E8CEBCC">
            <w:pPr>
              <w:rPr>
                <w:rFonts w:ascii="Times New Roman" w:hAnsi="Times New Roman" w:cs="Times New Roman"/>
                <w:szCs w:val="21"/>
              </w:rPr>
            </w:pPr>
            <w:r>
              <w:rPr>
                <w:rFonts w:ascii="Times New Roman" w:hAnsi="Times New Roman" w:cs="Times New Roman"/>
                <w:szCs w:val="21"/>
              </w:rPr>
              <w:t>符合</w:t>
            </w:r>
          </w:p>
        </w:tc>
      </w:tr>
      <w:tr w14:paraId="69356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vMerge w:val="continue"/>
            <w:tcBorders>
              <w:left w:val="single" w:color="auto" w:sz="4" w:space="0"/>
              <w:right w:val="single" w:color="auto" w:sz="4" w:space="0"/>
            </w:tcBorders>
            <w:vAlign w:val="center"/>
          </w:tcPr>
          <w:p w14:paraId="528D3108">
            <w:pPr>
              <w:jc w:val="center"/>
              <w:rPr>
                <w:rFonts w:ascii="Times New Roman" w:hAnsi="Times New Roman" w:cs="Times New Roman"/>
                <w:kern w:val="0"/>
                <w:szCs w:val="21"/>
              </w:rPr>
            </w:pPr>
          </w:p>
        </w:tc>
        <w:tc>
          <w:tcPr>
            <w:tcW w:w="2257" w:type="pct"/>
            <w:tcBorders>
              <w:top w:val="single" w:color="auto" w:sz="4" w:space="0"/>
              <w:left w:val="single" w:color="auto" w:sz="4" w:space="0"/>
              <w:bottom w:val="single" w:color="auto" w:sz="4" w:space="0"/>
              <w:right w:val="single" w:color="auto" w:sz="4" w:space="0"/>
            </w:tcBorders>
            <w:vAlign w:val="center"/>
          </w:tcPr>
          <w:p w14:paraId="0D9EE9EF">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严格执行《中华人民共和国长江保护法》，落实化工园区建设和化工项目准入要求。规划区所在区域为岩溶区域，规划范围内涉及地下暗河和溶洞。为保护地下水生态环境，入园企业原则应规避地下暗河及溶洞区域布置；如因地块限制需要布置的情况下，地下暗河通道及溶洞正上方区域不宜布置化工生产装置、污水处理站、危化品储存区、危险废物暂存区等需要重点防渗的建构筑物。不得引入废水排放五类重点重金属和持久性有机污染物的危险废物综合利用及处置项目（园区内企业或集团内部危险废物集中暂存设施、综合利用、处置项目除外）。</w:t>
            </w:r>
          </w:p>
        </w:tc>
        <w:tc>
          <w:tcPr>
            <w:tcW w:w="1923" w:type="pct"/>
            <w:tcBorders>
              <w:top w:val="single" w:color="auto" w:sz="4" w:space="0"/>
              <w:left w:val="single" w:color="auto" w:sz="4" w:space="0"/>
              <w:bottom w:val="single" w:color="auto" w:sz="4" w:space="0"/>
              <w:right w:val="single" w:color="auto" w:sz="4" w:space="0"/>
            </w:tcBorders>
            <w:vAlign w:val="center"/>
          </w:tcPr>
          <w:p w14:paraId="24812A20">
            <w:pPr>
              <w:autoSpaceDE w:val="0"/>
              <w:autoSpaceDN w:val="0"/>
              <w:adjustRightInd w:val="0"/>
              <w:jc w:val="left"/>
              <w:rPr>
                <w:rFonts w:ascii="Times New Roman" w:hAnsi="Times New Roman" w:cs="Times New Roman"/>
                <w:kern w:val="0"/>
                <w:szCs w:val="21"/>
              </w:rPr>
            </w:pPr>
            <w:r>
              <w:rPr>
                <w:rFonts w:hint="eastAsia" w:ascii="Times New Roman" w:hAnsi="Times New Roman" w:cs="Times New Roman"/>
                <w:color w:val="000000"/>
                <w:szCs w:val="21"/>
              </w:rPr>
              <w:t>拟建</w:t>
            </w:r>
            <w:r>
              <w:rPr>
                <w:rFonts w:ascii="Times New Roman" w:hAnsi="Times New Roman" w:cs="Times New Roman"/>
                <w:color w:val="000000"/>
                <w:szCs w:val="21"/>
              </w:rPr>
              <w:t>项目位于重庆白涛化工园区涪陵LNG工厂内，不新增占地，LNG工厂内分布有</w:t>
            </w:r>
            <w:r>
              <w:rPr>
                <w:rFonts w:hint="eastAsia" w:ascii="Times New Roman" w:hAnsi="Times New Roman" w:cs="Times New Roman"/>
                <w:color w:val="000000"/>
                <w:szCs w:val="21"/>
              </w:rPr>
              <w:t>地下</w:t>
            </w:r>
            <w:r>
              <w:rPr>
                <w:rFonts w:ascii="Times New Roman" w:hAnsi="Times New Roman" w:cs="Times New Roman"/>
                <w:color w:val="000000"/>
                <w:szCs w:val="21"/>
              </w:rPr>
              <w:t>溶洞及暗河，</w:t>
            </w:r>
            <w:r>
              <w:rPr>
                <w:rFonts w:hint="eastAsia" w:ascii="Times New Roman" w:hAnsi="Times New Roman" w:cs="Times New Roman"/>
                <w:color w:val="000000"/>
                <w:szCs w:val="21"/>
              </w:rPr>
              <w:t>地下溶洞均已封填，拟建</w:t>
            </w:r>
            <w:r>
              <w:rPr>
                <w:rFonts w:ascii="Times New Roman" w:hAnsi="Times New Roman" w:cs="Times New Roman"/>
                <w:color w:val="000000"/>
                <w:szCs w:val="21"/>
              </w:rPr>
              <w:t>项目装置区距离地下暗河水平距离约90米，装车及储存单元区距离地下暗河水平距离约160米。</w:t>
            </w:r>
            <w:r>
              <w:rPr>
                <w:rFonts w:hint="eastAsia" w:ascii="Times New Roman" w:hAnsi="Times New Roman" w:cs="Times New Roman"/>
                <w:color w:val="000000"/>
                <w:szCs w:val="21"/>
              </w:rPr>
              <w:t>均</w:t>
            </w:r>
            <w:r>
              <w:rPr>
                <w:rFonts w:ascii="Times New Roman" w:hAnsi="Times New Roman" w:cs="Times New Roman"/>
                <w:color w:val="000000"/>
                <w:szCs w:val="21"/>
              </w:rPr>
              <w:t>不位于其正上方，项目</w:t>
            </w:r>
            <w:r>
              <w:rPr>
                <w:rFonts w:hint="eastAsia" w:ascii="Times New Roman" w:hAnsi="Times New Roman" w:cs="Times New Roman"/>
                <w:color w:val="000000"/>
                <w:szCs w:val="21"/>
              </w:rPr>
              <w:t>依托现有</w:t>
            </w:r>
            <w:r>
              <w:rPr>
                <w:rFonts w:ascii="Times New Roman" w:hAnsi="Times New Roman" w:cs="Times New Roman"/>
                <w:color w:val="000000"/>
                <w:szCs w:val="21"/>
              </w:rPr>
              <w:t>危废暂存间。项目不涉及重金属排放。</w:t>
            </w:r>
          </w:p>
        </w:tc>
        <w:tc>
          <w:tcPr>
            <w:tcW w:w="426" w:type="pct"/>
            <w:tcBorders>
              <w:top w:val="single" w:color="auto" w:sz="4" w:space="0"/>
              <w:left w:val="single" w:color="auto" w:sz="4" w:space="0"/>
              <w:bottom w:val="single" w:color="auto" w:sz="4" w:space="0"/>
              <w:right w:val="single" w:color="auto" w:sz="4" w:space="0"/>
            </w:tcBorders>
            <w:vAlign w:val="center"/>
          </w:tcPr>
          <w:p w14:paraId="0A39DF3A">
            <w:pPr>
              <w:rPr>
                <w:rFonts w:ascii="Times New Roman" w:hAnsi="Times New Roman" w:cs="Times New Roman"/>
                <w:szCs w:val="21"/>
              </w:rPr>
            </w:pPr>
          </w:p>
        </w:tc>
      </w:tr>
      <w:tr w14:paraId="6973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vMerge w:val="continue"/>
            <w:tcBorders>
              <w:left w:val="single" w:color="auto" w:sz="4" w:space="0"/>
              <w:right w:val="single" w:color="auto" w:sz="4" w:space="0"/>
            </w:tcBorders>
            <w:vAlign w:val="center"/>
          </w:tcPr>
          <w:p w14:paraId="3FB5A456">
            <w:pPr>
              <w:jc w:val="center"/>
              <w:rPr>
                <w:rFonts w:ascii="Times New Roman" w:hAnsi="Times New Roman" w:cs="Times New Roman"/>
                <w:kern w:val="0"/>
                <w:szCs w:val="21"/>
              </w:rPr>
            </w:pPr>
          </w:p>
        </w:tc>
        <w:tc>
          <w:tcPr>
            <w:tcW w:w="2257" w:type="pct"/>
            <w:tcBorders>
              <w:top w:val="single" w:color="auto" w:sz="4" w:space="0"/>
              <w:left w:val="single" w:color="auto" w:sz="4" w:space="0"/>
              <w:bottom w:val="single" w:color="auto" w:sz="4" w:space="0"/>
              <w:right w:val="single" w:color="auto" w:sz="4" w:space="0"/>
            </w:tcBorders>
            <w:vAlign w:val="center"/>
          </w:tcPr>
          <w:p w14:paraId="366E429F">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园区向东南侧大木山自然保护区方向扩展应保持一定环境防护距离，禁止占用保护区范围用地，确保保护区生态系统完整性。新增大石溪码头区域规划的工业用地应调整为仓储用地，禁止布局工业企业。</w:t>
            </w:r>
          </w:p>
        </w:tc>
        <w:tc>
          <w:tcPr>
            <w:tcW w:w="1923" w:type="pct"/>
            <w:tcBorders>
              <w:top w:val="single" w:color="auto" w:sz="4" w:space="0"/>
              <w:left w:val="single" w:color="auto" w:sz="4" w:space="0"/>
              <w:bottom w:val="single" w:color="auto" w:sz="4" w:space="0"/>
              <w:right w:val="single" w:color="auto" w:sz="4" w:space="0"/>
            </w:tcBorders>
            <w:vAlign w:val="center"/>
          </w:tcPr>
          <w:p w14:paraId="3EFE9D4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本项目未占用保护区范围用地。</w:t>
            </w:r>
          </w:p>
        </w:tc>
        <w:tc>
          <w:tcPr>
            <w:tcW w:w="426" w:type="pct"/>
            <w:tcBorders>
              <w:top w:val="single" w:color="auto" w:sz="4" w:space="0"/>
              <w:left w:val="single" w:color="auto" w:sz="4" w:space="0"/>
              <w:bottom w:val="single" w:color="auto" w:sz="4" w:space="0"/>
              <w:right w:val="single" w:color="auto" w:sz="4" w:space="0"/>
            </w:tcBorders>
            <w:vAlign w:val="center"/>
          </w:tcPr>
          <w:p w14:paraId="48E3E277">
            <w:pPr>
              <w:rPr>
                <w:rFonts w:ascii="Times New Roman" w:hAnsi="Times New Roman" w:cs="Times New Roman"/>
                <w:szCs w:val="21"/>
              </w:rPr>
            </w:pPr>
          </w:p>
        </w:tc>
      </w:tr>
      <w:tr w14:paraId="1B193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vMerge w:val="continue"/>
            <w:tcBorders>
              <w:left w:val="single" w:color="auto" w:sz="4" w:space="0"/>
              <w:bottom w:val="single" w:color="auto" w:sz="4" w:space="0"/>
              <w:right w:val="single" w:color="auto" w:sz="4" w:space="0"/>
            </w:tcBorders>
            <w:vAlign w:val="center"/>
          </w:tcPr>
          <w:p w14:paraId="18E195A1">
            <w:pPr>
              <w:jc w:val="center"/>
              <w:rPr>
                <w:rFonts w:ascii="Times New Roman" w:hAnsi="Times New Roman" w:cs="Times New Roman"/>
                <w:kern w:val="0"/>
                <w:szCs w:val="21"/>
              </w:rPr>
            </w:pPr>
          </w:p>
        </w:tc>
        <w:tc>
          <w:tcPr>
            <w:tcW w:w="2257" w:type="pct"/>
            <w:tcBorders>
              <w:top w:val="single" w:color="auto" w:sz="4" w:space="0"/>
              <w:left w:val="single" w:color="auto" w:sz="4" w:space="0"/>
              <w:bottom w:val="single" w:color="auto" w:sz="4" w:space="0"/>
              <w:right w:val="single" w:color="auto" w:sz="4" w:space="0"/>
            </w:tcBorders>
            <w:vAlign w:val="center"/>
          </w:tcPr>
          <w:p w14:paraId="21360081">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临近敏感点的规划区边界地块应布局废气排放量相对较小和噪声影响小的项目或者布局企业内部的办公楼、仓库、实验室等公辅设施。</w:t>
            </w:r>
          </w:p>
        </w:tc>
        <w:tc>
          <w:tcPr>
            <w:tcW w:w="1923" w:type="pct"/>
            <w:tcBorders>
              <w:top w:val="single" w:color="auto" w:sz="4" w:space="0"/>
              <w:left w:val="single" w:color="auto" w:sz="4" w:space="0"/>
              <w:bottom w:val="single" w:color="auto" w:sz="4" w:space="0"/>
              <w:right w:val="single" w:color="auto" w:sz="4" w:space="0"/>
            </w:tcBorders>
            <w:vAlign w:val="center"/>
          </w:tcPr>
          <w:p w14:paraId="2FBE257D">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本项目为</w:t>
            </w:r>
            <w:r>
              <w:rPr>
                <w:rFonts w:hint="eastAsia" w:ascii="Times New Roman" w:hAnsi="Times New Roman" w:cs="Times New Roman"/>
                <w:kern w:val="0"/>
                <w:szCs w:val="21"/>
              </w:rPr>
              <w:t>液化天然气项目</w:t>
            </w:r>
            <w:r>
              <w:rPr>
                <w:rFonts w:ascii="Times New Roman" w:hAnsi="Times New Roman" w:cs="Times New Roman"/>
                <w:kern w:val="0"/>
                <w:szCs w:val="21"/>
              </w:rPr>
              <w:t>，属于废气排放量相对较小和噪声影响小的项目，且距离最近的敏感点超过500m。</w:t>
            </w:r>
          </w:p>
        </w:tc>
        <w:tc>
          <w:tcPr>
            <w:tcW w:w="426" w:type="pct"/>
            <w:tcBorders>
              <w:top w:val="single" w:color="auto" w:sz="4" w:space="0"/>
              <w:left w:val="single" w:color="auto" w:sz="4" w:space="0"/>
              <w:bottom w:val="single" w:color="auto" w:sz="4" w:space="0"/>
              <w:right w:val="single" w:color="auto" w:sz="4" w:space="0"/>
            </w:tcBorders>
            <w:vAlign w:val="center"/>
          </w:tcPr>
          <w:p w14:paraId="2CB0F0F9">
            <w:pPr>
              <w:rPr>
                <w:rFonts w:ascii="Times New Roman" w:hAnsi="Times New Roman" w:cs="Times New Roman"/>
                <w:szCs w:val="21"/>
              </w:rPr>
            </w:pPr>
          </w:p>
        </w:tc>
      </w:tr>
      <w:tr w14:paraId="126B8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tcBorders>
              <w:top w:val="single" w:color="auto" w:sz="4" w:space="0"/>
              <w:left w:val="single" w:color="auto" w:sz="4" w:space="0"/>
              <w:bottom w:val="single" w:color="auto" w:sz="4" w:space="0"/>
              <w:right w:val="single" w:color="auto" w:sz="4" w:space="0"/>
            </w:tcBorders>
            <w:vAlign w:val="center"/>
          </w:tcPr>
          <w:p w14:paraId="32123C2D">
            <w:pPr>
              <w:jc w:val="center"/>
              <w:rPr>
                <w:rFonts w:ascii="Times New Roman" w:hAnsi="Times New Roman" w:cs="Times New Roman"/>
                <w:szCs w:val="21"/>
              </w:rPr>
            </w:pPr>
            <w:r>
              <w:rPr>
                <w:rFonts w:ascii="Times New Roman" w:hAnsi="Times New Roman" w:cs="Times New Roman"/>
                <w:szCs w:val="21"/>
              </w:rPr>
              <w:t>加强大气污染防治</w:t>
            </w:r>
          </w:p>
        </w:tc>
        <w:tc>
          <w:tcPr>
            <w:tcW w:w="2257" w:type="pct"/>
            <w:tcBorders>
              <w:top w:val="single" w:color="auto" w:sz="4" w:space="0"/>
              <w:left w:val="single" w:color="auto" w:sz="4" w:space="0"/>
              <w:bottom w:val="single" w:color="auto" w:sz="4" w:space="0"/>
              <w:right w:val="single" w:color="auto" w:sz="4" w:space="0"/>
            </w:tcBorders>
            <w:vAlign w:val="center"/>
          </w:tcPr>
          <w:p w14:paraId="009B6145">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后续新建园区热电项目应采取超低排放，进一步削减SO</w:t>
            </w:r>
            <w:r>
              <w:rPr>
                <w:rFonts w:ascii="Times New Roman" w:hAnsi="Times New Roman" w:cs="Times New Roman"/>
                <w:kern w:val="0"/>
                <w:szCs w:val="21"/>
                <w:vertAlign w:val="subscript"/>
              </w:rPr>
              <w:t>2</w:t>
            </w:r>
            <w:r>
              <w:rPr>
                <w:rFonts w:ascii="Times New Roman" w:hAnsi="Times New Roman" w:cs="Times New Roman"/>
                <w:kern w:val="0"/>
                <w:szCs w:val="21"/>
              </w:rPr>
              <w:t>、NO</w:t>
            </w:r>
            <w:r>
              <w:rPr>
                <w:rFonts w:ascii="Times New Roman" w:hAnsi="Times New Roman" w:cs="Times New Roman"/>
                <w:kern w:val="0"/>
                <w:szCs w:val="21"/>
                <w:vertAlign w:val="subscript"/>
              </w:rPr>
              <w:t>x</w:t>
            </w:r>
            <w:r>
              <w:rPr>
                <w:rFonts w:ascii="Times New Roman" w:hAnsi="Times New Roman" w:cs="Times New Roman"/>
                <w:kern w:val="0"/>
                <w:szCs w:val="21"/>
              </w:rPr>
              <w:t>及颗粒物排放量。除园区热电项目外，规划区应采用天然气等清洁能源，禁止使用燃煤等高污染燃料；各入驻企业生产废气应采取有效的防治措施，涉及挥发性有机污染物排放的项目应严格落实高效处理和收集措施；加强规划区粉尘的收集和处理，严格控制无组织排放粉尘，加强厂内外运输扬尘控制，减少对周围环境敏感点的影响。</w:t>
            </w:r>
          </w:p>
        </w:tc>
        <w:tc>
          <w:tcPr>
            <w:tcW w:w="1923" w:type="pct"/>
            <w:tcBorders>
              <w:top w:val="single" w:color="auto" w:sz="4" w:space="0"/>
              <w:left w:val="single" w:color="auto" w:sz="4" w:space="0"/>
              <w:bottom w:val="single" w:color="auto" w:sz="4" w:space="0"/>
              <w:right w:val="single" w:color="auto" w:sz="4" w:space="0"/>
            </w:tcBorders>
            <w:vAlign w:val="center"/>
          </w:tcPr>
          <w:p w14:paraId="63EF3C27">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本项目不使用煤、重油等燃料。</w:t>
            </w:r>
            <w:r>
              <w:rPr>
                <w:rFonts w:ascii="Times New Roman" w:hAnsi="Times New Roman" w:cs="Times New Roman"/>
                <w:szCs w:val="21"/>
              </w:rPr>
              <w:t>项目采取有效的大气污染防治措施。</w:t>
            </w:r>
          </w:p>
        </w:tc>
        <w:tc>
          <w:tcPr>
            <w:tcW w:w="426" w:type="pct"/>
            <w:tcBorders>
              <w:top w:val="single" w:color="auto" w:sz="4" w:space="0"/>
              <w:left w:val="single" w:color="auto" w:sz="4" w:space="0"/>
              <w:bottom w:val="single" w:color="auto" w:sz="4" w:space="0"/>
              <w:right w:val="single" w:color="auto" w:sz="4" w:space="0"/>
            </w:tcBorders>
            <w:vAlign w:val="center"/>
          </w:tcPr>
          <w:p w14:paraId="6BE384D3">
            <w:pPr>
              <w:rPr>
                <w:rFonts w:ascii="Times New Roman" w:hAnsi="Times New Roman" w:cs="Times New Roman"/>
                <w:szCs w:val="21"/>
              </w:rPr>
            </w:pPr>
            <w:r>
              <w:rPr>
                <w:rFonts w:ascii="Times New Roman" w:hAnsi="Times New Roman" w:cs="Times New Roman"/>
                <w:szCs w:val="21"/>
              </w:rPr>
              <w:t>符合</w:t>
            </w:r>
          </w:p>
        </w:tc>
      </w:tr>
      <w:tr w14:paraId="0941F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tcBorders>
              <w:top w:val="single" w:color="auto" w:sz="4" w:space="0"/>
              <w:left w:val="single" w:color="auto" w:sz="4" w:space="0"/>
              <w:bottom w:val="single" w:color="auto" w:sz="4" w:space="0"/>
              <w:right w:val="single" w:color="auto" w:sz="4" w:space="0"/>
            </w:tcBorders>
            <w:vAlign w:val="center"/>
          </w:tcPr>
          <w:p w14:paraId="41B766DC">
            <w:pPr>
              <w:jc w:val="center"/>
              <w:rPr>
                <w:rFonts w:ascii="Times New Roman" w:hAnsi="Times New Roman" w:cs="Times New Roman"/>
                <w:szCs w:val="21"/>
              </w:rPr>
            </w:pPr>
            <w:r>
              <w:rPr>
                <w:rFonts w:ascii="Times New Roman" w:hAnsi="Times New Roman" w:cs="Times New Roman"/>
                <w:szCs w:val="21"/>
              </w:rPr>
              <w:t>落实水污染防治</w:t>
            </w:r>
          </w:p>
        </w:tc>
        <w:tc>
          <w:tcPr>
            <w:tcW w:w="2257" w:type="pct"/>
            <w:tcBorders>
              <w:top w:val="single" w:color="auto" w:sz="4" w:space="0"/>
              <w:left w:val="single" w:color="auto" w:sz="4" w:space="0"/>
              <w:bottom w:val="single" w:color="auto" w:sz="4" w:space="0"/>
              <w:right w:val="single" w:color="auto" w:sz="4" w:space="0"/>
            </w:tcBorders>
            <w:vAlign w:val="center"/>
          </w:tcPr>
          <w:p w14:paraId="33F1CD1B">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潘家坝污水处理厂应根据规划区后续开发进程，适时扩建规模以满足规划区后续污废水的处理需求。氯氟片区应当修建污水集中处理设施对片区污水进行集中收集处理。严格污水接管要求。进入污水处理厂的企业废水有行业排放标准的需自行处理达相应的行业排放标准，无行业排放标准的需自行处理达《污水综合排放标准》（GB8978—1996）三级标准后方可接入潘家坝污水处理厂进一步处理，达《化工园区主要水污染物排放标准》</w:t>
            </w:r>
          </w:p>
          <w:p w14:paraId="5E564DB6">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（DB50/457-2012）中表1的规定（表1未规定的指标执行《污水综合排放标准》（GB8978-1996）中一级标准）限值要求后排放。</w:t>
            </w:r>
          </w:p>
        </w:tc>
        <w:tc>
          <w:tcPr>
            <w:tcW w:w="1923" w:type="pct"/>
            <w:tcBorders>
              <w:top w:val="single" w:color="auto" w:sz="4" w:space="0"/>
              <w:left w:val="single" w:color="auto" w:sz="4" w:space="0"/>
              <w:bottom w:val="single" w:color="auto" w:sz="4" w:space="0"/>
              <w:right w:val="single" w:color="auto" w:sz="4" w:space="0"/>
            </w:tcBorders>
            <w:vAlign w:val="center"/>
          </w:tcPr>
          <w:p w14:paraId="2FF03535">
            <w:pPr>
              <w:autoSpaceDE w:val="0"/>
              <w:autoSpaceDN w:val="0"/>
              <w:adjustRightInd w:val="0"/>
              <w:jc w:val="left"/>
              <w:rPr>
                <w:rFonts w:ascii="Times New Roman" w:hAnsi="Times New Roman" w:cs="Times New Roman"/>
                <w:kern w:val="0"/>
                <w:szCs w:val="21"/>
              </w:rPr>
            </w:pPr>
            <w:r>
              <w:rPr>
                <w:rFonts w:ascii="Times New Roman" w:hAnsi="Times New Roman" w:cs="Times New Roman"/>
                <w:color w:val="000000"/>
                <w:szCs w:val="21"/>
              </w:rPr>
              <w:t>本项目位于天然气化工区域，废水产生量较少，污染物相对简单，可以做到达标排放</w:t>
            </w:r>
            <w:r>
              <w:rPr>
                <w:rFonts w:ascii="Times New Roman" w:hAnsi="Times New Roman" w:cs="Times New Roman"/>
                <w:color w:val="000000"/>
                <w:kern w:val="0"/>
                <w:szCs w:val="21"/>
              </w:rPr>
              <w:t>，不会对潘家坝污水处理厂造成冲击</w:t>
            </w:r>
          </w:p>
        </w:tc>
        <w:tc>
          <w:tcPr>
            <w:tcW w:w="426" w:type="pct"/>
            <w:tcBorders>
              <w:top w:val="single" w:color="auto" w:sz="4" w:space="0"/>
              <w:left w:val="single" w:color="auto" w:sz="4" w:space="0"/>
              <w:bottom w:val="single" w:color="auto" w:sz="4" w:space="0"/>
              <w:right w:val="single" w:color="auto" w:sz="4" w:space="0"/>
            </w:tcBorders>
            <w:vAlign w:val="center"/>
          </w:tcPr>
          <w:p w14:paraId="2D35EFEC">
            <w:pPr>
              <w:rPr>
                <w:rFonts w:ascii="Times New Roman" w:hAnsi="Times New Roman" w:cs="Times New Roman"/>
                <w:szCs w:val="21"/>
              </w:rPr>
            </w:pPr>
            <w:r>
              <w:rPr>
                <w:rFonts w:ascii="Times New Roman" w:hAnsi="Times New Roman" w:cs="Times New Roman"/>
                <w:szCs w:val="21"/>
              </w:rPr>
              <w:t>符合</w:t>
            </w:r>
          </w:p>
        </w:tc>
      </w:tr>
      <w:tr w14:paraId="21EB7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tcBorders>
              <w:top w:val="single" w:color="auto" w:sz="4" w:space="0"/>
              <w:left w:val="single" w:color="auto" w:sz="4" w:space="0"/>
              <w:bottom w:val="single" w:color="auto" w:sz="4" w:space="0"/>
              <w:right w:val="single" w:color="auto" w:sz="4" w:space="0"/>
            </w:tcBorders>
            <w:vAlign w:val="center"/>
          </w:tcPr>
          <w:p w14:paraId="42AE3CD4">
            <w:pPr>
              <w:jc w:val="center"/>
              <w:rPr>
                <w:rFonts w:ascii="Times New Roman" w:hAnsi="Times New Roman" w:cs="Times New Roman"/>
                <w:szCs w:val="21"/>
              </w:rPr>
            </w:pPr>
            <w:r>
              <w:rPr>
                <w:rFonts w:ascii="Times New Roman" w:hAnsi="Times New Roman" w:cs="Times New Roman"/>
                <w:szCs w:val="21"/>
              </w:rPr>
              <w:t>强化噪声污染防控</w:t>
            </w:r>
          </w:p>
        </w:tc>
        <w:tc>
          <w:tcPr>
            <w:tcW w:w="2257" w:type="pct"/>
            <w:tcBorders>
              <w:top w:val="single" w:color="auto" w:sz="4" w:space="0"/>
              <w:left w:val="single" w:color="auto" w:sz="4" w:space="0"/>
              <w:bottom w:val="single" w:color="auto" w:sz="4" w:space="0"/>
              <w:right w:val="single" w:color="auto" w:sz="4" w:space="0"/>
            </w:tcBorders>
            <w:vAlign w:val="center"/>
          </w:tcPr>
          <w:p w14:paraId="31606BD4">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合理布局企业噪声源，高噪声源企业选址和布局应满足相应的环境防护距离要求；选择低噪声设备，采取消声、隔声、减震等措施，确保厂界噪声达标；合理布局、科学设定建筑物与交通干线的噪声防护距离。</w:t>
            </w:r>
          </w:p>
        </w:tc>
        <w:tc>
          <w:tcPr>
            <w:tcW w:w="1923" w:type="pct"/>
            <w:tcBorders>
              <w:top w:val="single" w:color="auto" w:sz="4" w:space="0"/>
              <w:left w:val="single" w:color="auto" w:sz="4" w:space="0"/>
              <w:bottom w:val="single" w:color="auto" w:sz="4" w:space="0"/>
              <w:right w:val="single" w:color="auto" w:sz="4" w:space="0"/>
            </w:tcBorders>
            <w:vAlign w:val="center"/>
          </w:tcPr>
          <w:p w14:paraId="5B15838C">
            <w:pPr>
              <w:autoSpaceDE w:val="0"/>
              <w:autoSpaceDN w:val="0"/>
              <w:adjustRightInd w:val="0"/>
              <w:jc w:val="left"/>
              <w:rPr>
                <w:rFonts w:ascii="Times New Roman" w:hAnsi="Times New Roman" w:cs="Times New Roman"/>
                <w:kern w:val="0"/>
                <w:szCs w:val="21"/>
              </w:rPr>
            </w:pPr>
            <w:r>
              <w:rPr>
                <w:rFonts w:ascii="Times New Roman" w:hAnsi="Times New Roman" w:cs="Times New Roman"/>
                <w:color w:val="000000"/>
                <w:szCs w:val="21"/>
              </w:rPr>
              <w:t>本项目采取隔声、减振、消声等措施，厂界可达标</w:t>
            </w:r>
          </w:p>
        </w:tc>
        <w:tc>
          <w:tcPr>
            <w:tcW w:w="426" w:type="pct"/>
            <w:tcBorders>
              <w:top w:val="single" w:color="auto" w:sz="4" w:space="0"/>
              <w:left w:val="single" w:color="auto" w:sz="4" w:space="0"/>
              <w:bottom w:val="single" w:color="auto" w:sz="4" w:space="0"/>
              <w:right w:val="single" w:color="auto" w:sz="4" w:space="0"/>
            </w:tcBorders>
            <w:vAlign w:val="center"/>
          </w:tcPr>
          <w:p w14:paraId="63648266">
            <w:pPr>
              <w:rPr>
                <w:rFonts w:ascii="Times New Roman" w:hAnsi="Times New Roman" w:cs="Times New Roman"/>
                <w:szCs w:val="21"/>
              </w:rPr>
            </w:pPr>
            <w:r>
              <w:rPr>
                <w:rFonts w:ascii="Times New Roman" w:hAnsi="Times New Roman" w:cs="Times New Roman"/>
                <w:szCs w:val="21"/>
              </w:rPr>
              <w:t>符合</w:t>
            </w:r>
          </w:p>
        </w:tc>
      </w:tr>
      <w:tr w14:paraId="5A76E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vMerge w:val="restart"/>
            <w:tcBorders>
              <w:top w:val="single" w:color="auto" w:sz="4" w:space="0"/>
              <w:left w:val="single" w:color="auto" w:sz="4" w:space="0"/>
              <w:right w:val="single" w:color="auto" w:sz="4" w:space="0"/>
            </w:tcBorders>
            <w:vAlign w:val="center"/>
          </w:tcPr>
          <w:p w14:paraId="62149849">
            <w:pPr>
              <w:jc w:val="center"/>
              <w:rPr>
                <w:rFonts w:ascii="Times New Roman" w:hAnsi="Times New Roman" w:cs="Times New Roman"/>
                <w:szCs w:val="21"/>
              </w:rPr>
            </w:pPr>
            <w:r>
              <w:rPr>
                <w:rFonts w:ascii="Times New Roman" w:hAnsi="Times New Roman" w:cs="Times New Roman"/>
                <w:szCs w:val="21"/>
              </w:rPr>
              <w:t>做好土壤（地下水）和固体废物污染防控</w:t>
            </w:r>
          </w:p>
        </w:tc>
        <w:tc>
          <w:tcPr>
            <w:tcW w:w="2257" w:type="pct"/>
            <w:tcBorders>
              <w:top w:val="single" w:color="auto" w:sz="4" w:space="0"/>
              <w:left w:val="single" w:color="auto" w:sz="4" w:space="0"/>
              <w:bottom w:val="single" w:color="auto" w:sz="4" w:space="0"/>
              <w:right w:val="single" w:color="auto" w:sz="4" w:space="0"/>
            </w:tcBorders>
            <w:vAlign w:val="center"/>
          </w:tcPr>
          <w:p w14:paraId="4B231B89">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固体废物应按资源化、减量化、无害化方式进行妥善收集、处置。生活垃圾经分类收集后由涪陵区环卫部门统一清运处置；餐厨垃圾应妥善收集、处理。一般工业固废综合利用或进入一般工业固废处置场；入园项目应按照《危险废物贮存污染控制标准》</w:t>
            </w:r>
          </w:p>
          <w:p w14:paraId="1CE429A5">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GB18597-2001）以及修改单等规定设置专门的危险废物暂存点，严格落实“防扬散、防流失、防渗漏”等要求，不得污染环境；危险废物依法依规交有资质单位处理。园区应定期督促对危废的转移，严禁在厂区内过量堆存，确保危险废物得到妥善处置。</w:t>
            </w:r>
          </w:p>
        </w:tc>
        <w:tc>
          <w:tcPr>
            <w:tcW w:w="1923" w:type="pct"/>
            <w:tcBorders>
              <w:top w:val="single" w:color="auto" w:sz="4" w:space="0"/>
              <w:left w:val="single" w:color="auto" w:sz="4" w:space="0"/>
              <w:bottom w:val="single" w:color="auto" w:sz="4" w:space="0"/>
              <w:right w:val="single" w:color="auto" w:sz="4" w:space="0"/>
            </w:tcBorders>
            <w:vAlign w:val="center"/>
          </w:tcPr>
          <w:p w14:paraId="781E4E5E">
            <w:pPr>
              <w:autoSpaceDE w:val="0"/>
              <w:autoSpaceDN w:val="0"/>
              <w:adjustRightInd w:val="0"/>
              <w:jc w:val="left"/>
              <w:rPr>
                <w:rFonts w:ascii="Times New Roman" w:hAnsi="Times New Roman" w:cs="Times New Roman"/>
                <w:kern w:val="0"/>
                <w:szCs w:val="21"/>
              </w:rPr>
            </w:pPr>
            <w:r>
              <w:rPr>
                <w:rFonts w:hint="eastAsia" w:ascii="Times New Roman" w:hAnsi="Times New Roman" w:cs="Times New Roman"/>
                <w:kern w:val="0"/>
                <w:szCs w:val="21"/>
              </w:rPr>
              <w:t>本项目固废交一般固废处置单位处理，生活垃圾交环卫部门处理，危废暂存于危废间交危废单位处理，并按要求落实危废暂存间相关措施，制定转移联单。项目提出了地下水、土壤污染防治措施。</w:t>
            </w:r>
          </w:p>
        </w:tc>
        <w:tc>
          <w:tcPr>
            <w:tcW w:w="426" w:type="pct"/>
            <w:tcBorders>
              <w:top w:val="single" w:color="auto" w:sz="4" w:space="0"/>
              <w:left w:val="single" w:color="auto" w:sz="4" w:space="0"/>
              <w:bottom w:val="single" w:color="auto" w:sz="4" w:space="0"/>
              <w:right w:val="single" w:color="auto" w:sz="4" w:space="0"/>
            </w:tcBorders>
            <w:vAlign w:val="center"/>
          </w:tcPr>
          <w:p w14:paraId="3DB16B87">
            <w:pPr>
              <w:rPr>
                <w:rFonts w:ascii="Times New Roman" w:hAnsi="Times New Roman" w:cs="Times New Roman"/>
                <w:szCs w:val="21"/>
              </w:rPr>
            </w:pPr>
            <w:r>
              <w:rPr>
                <w:rFonts w:ascii="Times New Roman" w:hAnsi="Times New Roman" w:cs="Times New Roman"/>
                <w:szCs w:val="21"/>
              </w:rPr>
              <w:t>符合</w:t>
            </w:r>
          </w:p>
        </w:tc>
      </w:tr>
      <w:tr w14:paraId="130D7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vMerge w:val="continue"/>
            <w:tcBorders>
              <w:left w:val="single" w:color="auto" w:sz="4" w:space="0"/>
              <w:right w:val="single" w:color="auto" w:sz="4" w:space="0"/>
            </w:tcBorders>
            <w:vAlign w:val="center"/>
          </w:tcPr>
          <w:p w14:paraId="1F4084BE">
            <w:pPr>
              <w:jc w:val="center"/>
              <w:rPr>
                <w:rFonts w:ascii="Times New Roman" w:hAnsi="Times New Roman" w:cs="Times New Roman"/>
                <w:szCs w:val="21"/>
              </w:rPr>
            </w:pPr>
          </w:p>
        </w:tc>
        <w:tc>
          <w:tcPr>
            <w:tcW w:w="2257" w:type="pct"/>
            <w:tcBorders>
              <w:top w:val="single" w:color="auto" w:sz="4" w:space="0"/>
              <w:left w:val="single" w:color="auto" w:sz="4" w:space="0"/>
              <w:bottom w:val="single" w:color="auto" w:sz="4" w:space="0"/>
              <w:right w:val="single" w:color="auto" w:sz="4" w:space="0"/>
            </w:tcBorders>
            <w:vAlign w:val="center"/>
          </w:tcPr>
          <w:p w14:paraId="09313722">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规划区应尽快开展岩土工程地质详细勘察和进一步的详细水文地质勘察；入园项目采取源头控制为主的原则，落实分区、分级防渗措施，防止规划实施对区域地下水及土壤的污染。规划区内应布设地下水环境监控井，并定期开展地下水、土壤跟踪监测工作；根据监测结论动态优化并落实相应的地下水和土壤环境污染防控措施。</w:t>
            </w:r>
          </w:p>
        </w:tc>
        <w:tc>
          <w:tcPr>
            <w:tcW w:w="1923" w:type="pct"/>
            <w:tcBorders>
              <w:top w:val="single" w:color="auto" w:sz="4" w:space="0"/>
              <w:left w:val="single" w:color="auto" w:sz="4" w:space="0"/>
              <w:bottom w:val="single" w:color="auto" w:sz="4" w:space="0"/>
              <w:right w:val="single" w:color="auto" w:sz="4" w:space="0"/>
            </w:tcBorders>
            <w:vAlign w:val="center"/>
          </w:tcPr>
          <w:p w14:paraId="401CB91E">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本项目按照分区防渗的要求，对煤堆场地面进行水泥硬化处理。</w:t>
            </w:r>
          </w:p>
        </w:tc>
        <w:tc>
          <w:tcPr>
            <w:tcW w:w="426" w:type="pct"/>
            <w:tcBorders>
              <w:top w:val="single" w:color="auto" w:sz="4" w:space="0"/>
              <w:left w:val="single" w:color="auto" w:sz="4" w:space="0"/>
              <w:bottom w:val="single" w:color="auto" w:sz="4" w:space="0"/>
              <w:right w:val="single" w:color="auto" w:sz="4" w:space="0"/>
            </w:tcBorders>
            <w:vAlign w:val="center"/>
          </w:tcPr>
          <w:p w14:paraId="28F67C5B">
            <w:pPr>
              <w:rPr>
                <w:rFonts w:ascii="Times New Roman" w:hAnsi="Times New Roman" w:cs="Times New Roman"/>
                <w:szCs w:val="21"/>
              </w:rPr>
            </w:pPr>
            <w:r>
              <w:rPr>
                <w:rFonts w:ascii="Times New Roman" w:hAnsi="Times New Roman" w:cs="Times New Roman"/>
                <w:szCs w:val="21"/>
              </w:rPr>
              <w:t>符合</w:t>
            </w:r>
          </w:p>
        </w:tc>
      </w:tr>
      <w:tr w14:paraId="33762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vMerge w:val="continue"/>
            <w:tcBorders>
              <w:left w:val="single" w:color="auto" w:sz="4" w:space="0"/>
              <w:bottom w:val="single" w:color="auto" w:sz="4" w:space="0"/>
              <w:right w:val="single" w:color="auto" w:sz="4" w:space="0"/>
            </w:tcBorders>
            <w:vAlign w:val="center"/>
          </w:tcPr>
          <w:p w14:paraId="074168A3">
            <w:pPr>
              <w:jc w:val="center"/>
              <w:rPr>
                <w:rFonts w:ascii="Times New Roman" w:hAnsi="Times New Roman" w:cs="Times New Roman"/>
                <w:szCs w:val="21"/>
              </w:rPr>
            </w:pPr>
          </w:p>
        </w:tc>
        <w:tc>
          <w:tcPr>
            <w:tcW w:w="2257" w:type="pct"/>
            <w:tcBorders>
              <w:top w:val="single" w:color="auto" w:sz="4" w:space="0"/>
              <w:left w:val="single" w:color="auto" w:sz="4" w:space="0"/>
              <w:bottom w:val="single" w:color="auto" w:sz="4" w:space="0"/>
              <w:right w:val="single" w:color="auto" w:sz="4" w:space="0"/>
            </w:tcBorders>
            <w:vAlign w:val="center"/>
          </w:tcPr>
          <w:p w14:paraId="7357F93F">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规划区内土地利用性质调整，应严格执行土壤风险评估和污染土壤修复制度，落实《重庆市建设用地土壤污染防治办法》等相关要求。规划区内工业企业关闭或搬迁完成前需按照国家和重庆市规定开展地块调查和风险评估，经评估确定为污染地块的，应当开展治理修复。园区要建立污染地块目录及其开发利用管控清单，土地开发利用必须满足规划用地土壤环境质量要求。</w:t>
            </w:r>
          </w:p>
        </w:tc>
        <w:tc>
          <w:tcPr>
            <w:tcW w:w="1923" w:type="pct"/>
            <w:tcBorders>
              <w:top w:val="single" w:color="auto" w:sz="4" w:space="0"/>
              <w:left w:val="single" w:color="auto" w:sz="4" w:space="0"/>
              <w:bottom w:val="single" w:color="auto" w:sz="4" w:space="0"/>
              <w:right w:val="single" w:color="auto" w:sz="4" w:space="0"/>
            </w:tcBorders>
            <w:vAlign w:val="center"/>
          </w:tcPr>
          <w:p w14:paraId="1101E365">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本项目不涉及土地利用性质调整。</w:t>
            </w:r>
          </w:p>
        </w:tc>
        <w:tc>
          <w:tcPr>
            <w:tcW w:w="426" w:type="pct"/>
            <w:tcBorders>
              <w:top w:val="single" w:color="auto" w:sz="4" w:space="0"/>
              <w:left w:val="single" w:color="auto" w:sz="4" w:space="0"/>
              <w:bottom w:val="single" w:color="auto" w:sz="4" w:space="0"/>
              <w:right w:val="single" w:color="auto" w:sz="4" w:space="0"/>
            </w:tcBorders>
            <w:vAlign w:val="center"/>
          </w:tcPr>
          <w:p w14:paraId="107D56C3">
            <w:pPr>
              <w:rPr>
                <w:rFonts w:ascii="Times New Roman" w:hAnsi="Times New Roman" w:cs="Times New Roman"/>
                <w:szCs w:val="21"/>
              </w:rPr>
            </w:pPr>
            <w:r>
              <w:rPr>
                <w:rFonts w:ascii="Times New Roman" w:hAnsi="Times New Roman" w:cs="Times New Roman"/>
                <w:szCs w:val="21"/>
              </w:rPr>
              <w:t>符合</w:t>
            </w:r>
          </w:p>
        </w:tc>
      </w:tr>
      <w:tr w14:paraId="7C799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tcBorders>
              <w:top w:val="single" w:color="auto" w:sz="4" w:space="0"/>
              <w:left w:val="single" w:color="auto" w:sz="4" w:space="0"/>
              <w:bottom w:val="single" w:color="auto" w:sz="4" w:space="0"/>
              <w:right w:val="single" w:color="auto" w:sz="4" w:space="0"/>
            </w:tcBorders>
            <w:vAlign w:val="center"/>
          </w:tcPr>
          <w:p w14:paraId="5778D4A4">
            <w:pPr>
              <w:jc w:val="center"/>
              <w:rPr>
                <w:rFonts w:ascii="Times New Roman" w:hAnsi="Times New Roman" w:cs="Times New Roman"/>
                <w:szCs w:val="21"/>
              </w:rPr>
            </w:pPr>
            <w:r>
              <w:rPr>
                <w:rFonts w:ascii="Times New Roman" w:hAnsi="Times New Roman" w:cs="Times New Roman"/>
                <w:szCs w:val="21"/>
              </w:rPr>
              <w:t>强化环境风险防范</w:t>
            </w:r>
          </w:p>
        </w:tc>
        <w:tc>
          <w:tcPr>
            <w:tcW w:w="2257" w:type="pct"/>
            <w:tcBorders>
              <w:top w:val="single" w:color="auto" w:sz="4" w:space="0"/>
              <w:left w:val="single" w:color="auto" w:sz="4" w:space="0"/>
              <w:bottom w:val="single" w:color="auto" w:sz="4" w:space="0"/>
              <w:right w:val="single" w:color="auto" w:sz="4" w:space="0"/>
            </w:tcBorders>
            <w:vAlign w:val="center"/>
          </w:tcPr>
          <w:p w14:paraId="51826F65">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规划区及其企业应当严格执行环境风险防范的相关法律法规和政策要求，严格落实各类环境风险防范措施。规划区应当加强环境风险监控，进一步完善已经建立的“单元一企业一片区级一流域”四级事故废水风险防范体系和“政府一流域一园区一企业”的四级环境风险应急体系，修订应急预案，督导区内企业应定期开展教育培训和应急演练，全面提升环境风险防范和事故应急处置能力。加强对企业环境风险源的监督管理，开展园区老企业治污排查，对现有老旧设备及时检修，不能继续使用的及时更换；根据规划区入驻企业，强化、优化区域环境风险防控措施；加强道路、危化品码头及水运运输环境污染风险防范举措，切实提高环境风险防范意识，防范突发性环境风险事故。</w:t>
            </w:r>
          </w:p>
        </w:tc>
        <w:tc>
          <w:tcPr>
            <w:tcW w:w="1923" w:type="pct"/>
            <w:tcBorders>
              <w:top w:val="single" w:color="auto" w:sz="4" w:space="0"/>
              <w:left w:val="single" w:color="auto" w:sz="4" w:space="0"/>
              <w:bottom w:val="single" w:color="auto" w:sz="4" w:space="0"/>
              <w:right w:val="single" w:color="auto" w:sz="4" w:space="0"/>
            </w:tcBorders>
            <w:vAlign w:val="center"/>
          </w:tcPr>
          <w:p w14:paraId="13F84B0A">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企业已严格落实了各类环境风险防范措施。</w:t>
            </w:r>
          </w:p>
        </w:tc>
        <w:tc>
          <w:tcPr>
            <w:tcW w:w="426" w:type="pct"/>
            <w:tcBorders>
              <w:top w:val="single" w:color="auto" w:sz="4" w:space="0"/>
              <w:left w:val="single" w:color="auto" w:sz="4" w:space="0"/>
              <w:bottom w:val="single" w:color="auto" w:sz="4" w:space="0"/>
              <w:right w:val="single" w:color="auto" w:sz="4" w:space="0"/>
            </w:tcBorders>
            <w:vAlign w:val="center"/>
          </w:tcPr>
          <w:p w14:paraId="37636DD7">
            <w:pPr>
              <w:rPr>
                <w:rFonts w:ascii="Times New Roman" w:hAnsi="Times New Roman" w:cs="Times New Roman"/>
                <w:szCs w:val="21"/>
              </w:rPr>
            </w:pPr>
            <w:r>
              <w:rPr>
                <w:rFonts w:ascii="Times New Roman" w:hAnsi="Times New Roman" w:cs="Times New Roman"/>
                <w:szCs w:val="21"/>
              </w:rPr>
              <w:t>符合</w:t>
            </w:r>
          </w:p>
        </w:tc>
      </w:tr>
      <w:tr w14:paraId="122D2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tcBorders>
              <w:top w:val="single" w:color="auto" w:sz="4" w:space="0"/>
              <w:left w:val="single" w:color="auto" w:sz="4" w:space="0"/>
              <w:bottom w:val="single" w:color="auto" w:sz="4" w:space="0"/>
              <w:right w:val="single" w:color="auto" w:sz="4" w:space="0"/>
            </w:tcBorders>
            <w:vAlign w:val="center"/>
          </w:tcPr>
          <w:p w14:paraId="5F5E3D17">
            <w:pPr>
              <w:jc w:val="center"/>
              <w:rPr>
                <w:rFonts w:ascii="Times New Roman" w:hAnsi="Times New Roman" w:cs="Times New Roman"/>
                <w:szCs w:val="21"/>
              </w:rPr>
            </w:pPr>
            <w:r>
              <w:rPr>
                <w:rFonts w:ascii="Times New Roman" w:hAnsi="Times New Roman" w:cs="Times New Roman"/>
                <w:szCs w:val="21"/>
              </w:rPr>
              <w:t>推行碳排放管控措施</w:t>
            </w:r>
          </w:p>
        </w:tc>
        <w:tc>
          <w:tcPr>
            <w:tcW w:w="2257" w:type="pct"/>
            <w:tcBorders>
              <w:top w:val="single" w:color="auto" w:sz="4" w:space="0"/>
              <w:left w:val="single" w:color="auto" w:sz="4" w:space="0"/>
              <w:bottom w:val="single" w:color="auto" w:sz="4" w:space="0"/>
              <w:right w:val="single" w:color="auto" w:sz="4" w:space="0"/>
            </w:tcBorders>
            <w:vAlign w:val="center"/>
          </w:tcPr>
          <w:p w14:paraId="3D5A7A97">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围绕“碳达峰、碳中和”目标，统筹抓好碳排放控制管理和生态环境保护工作，推动实现减污降碳。优化能源结构，禁止新建单纯燃煤火电项目；督促园区内重点碳排放企业实施涉碳节能减排举施，并采取清洁生产先进工艺，改进能源利用技术，降低能量损失，提高能源综合利用效率，从源头减少和控制温室气体排放推动减污降碳协同共治。要探索建立能源利用效率及碳排放强度的核算机制，适应低碳发展的要求，促进园区产业绿色低碳循环发展。</w:t>
            </w:r>
          </w:p>
        </w:tc>
        <w:tc>
          <w:tcPr>
            <w:tcW w:w="1923" w:type="pct"/>
            <w:tcBorders>
              <w:top w:val="single" w:color="auto" w:sz="4" w:space="0"/>
              <w:left w:val="single" w:color="auto" w:sz="4" w:space="0"/>
              <w:bottom w:val="single" w:color="auto" w:sz="4" w:space="0"/>
              <w:right w:val="single" w:color="auto" w:sz="4" w:space="0"/>
            </w:tcBorders>
            <w:vAlign w:val="center"/>
          </w:tcPr>
          <w:p w14:paraId="531DC786">
            <w:pPr>
              <w:autoSpaceDE w:val="0"/>
              <w:autoSpaceDN w:val="0"/>
              <w:adjustRightInd w:val="0"/>
              <w:jc w:val="left"/>
              <w:rPr>
                <w:rFonts w:ascii="Times New Roman" w:hAnsi="Times New Roman" w:cs="Times New Roman"/>
                <w:kern w:val="0"/>
                <w:szCs w:val="21"/>
              </w:rPr>
            </w:pPr>
            <w:r>
              <w:rPr>
                <w:rFonts w:ascii="Times New Roman" w:hAnsi="Times New Roman" w:cs="Times New Roman"/>
                <w:color w:val="000000"/>
                <w:kern w:val="0"/>
                <w:szCs w:val="21"/>
              </w:rPr>
              <w:t>项目不属于燃煤火电项目，项目采用了清洁生产先进工艺，降低了能耗。</w:t>
            </w:r>
          </w:p>
        </w:tc>
        <w:tc>
          <w:tcPr>
            <w:tcW w:w="426" w:type="pct"/>
            <w:tcBorders>
              <w:top w:val="single" w:color="auto" w:sz="4" w:space="0"/>
              <w:left w:val="single" w:color="auto" w:sz="4" w:space="0"/>
              <w:bottom w:val="single" w:color="auto" w:sz="4" w:space="0"/>
              <w:right w:val="single" w:color="auto" w:sz="4" w:space="0"/>
            </w:tcBorders>
            <w:vAlign w:val="center"/>
          </w:tcPr>
          <w:p w14:paraId="387C4343">
            <w:pPr>
              <w:rPr>
                <w:rFonts w:ascii="Times New Roman" w:hAnsi="Times New Roman" w:cs="Times New Roman"/>
                <w:szCs w:val="21"/>
              </w:rPr>
            </w:pPr>
            <w:r>
              <w:rPr>
                <w:rFonts w:ascii="Times New Roman" w:hAnsi="Times New Roman" w:cs="Times New Roman"/>
                <w:szCs w:val="21"/>
              </w:rPr>
              <w:t>符合</w:t>
            </w:r>
          </w:p>
        </w:tc>
      </w:tr>
      <w:tr w14:paraId="7D534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tcBorders>
              <w:top w:val="single" w:color="auto" w:sz="4" w:space="0"/>
              <w:left w:val="single" w:color="auto" w:sz="4" w:space="0"/>
              <w:bottom w:val="single" w:color="auto" w:sz="4" w:space="0"/>
              <w:right w:val="single" w:color="auto" w:sz="4" w:space="0"/>
            </w:tcBorders>
            <w:vAlign w:val="center"/>
          </w:tcPr>
          <w:p w14:paraId="68D1AD15">
            <w:pPr>
              <w:jc w:val="center"/>
              <w:rPr>
                <w:rFonts w:ascii="Times New Roman" w:hAnsi="Times New Roman" w:cs="Times New Roman"/>
                <w:szCs w:val="21"/>
              </w:rPr>
            </w:pPr>
            <w:r>
              <w:rPr>
                <w:rFonts w:ascii="Times New Roman" w:hAnsi="Times New Roman" w:cs="Times New Roman"/>
                <w:szCs w:val="21"/>
              </w:rPr>
              <w:t>严格执行“三线一单”管控要求和环评管理制度</w:t>
            </w:r>
          </w:p>
        </w:tc>
        <w:tc>
          <w:tcPr>
            <w:tcW w:w="2257" w:type="pct"/>
            <w:tcBorders>
              <w:top w:val="single" w:color="auto" w:sz="4" w:space="0"/>
              <w:left w:val="single" w:color="auto" w:sz="4" w:space="0"/>
              <w:bottom w:val="single" w:color="auto" w:sz="4" w:space="0"/>
              <w:right w:val="single" w:color="auto" w:sz="4" w:space="0"/>
            </w:tcBorders>
            <w:vAlign w:val="center"/>
          </w:tcPr>
          <w:p w14:paraId="4EE9FD8F">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建立健全“三线一单”（生态保护红线、环境质量底线、资源利用上线和生态环境准入清单）对规划环评、项目环评的指导和约束机制，严格执行重庆市和涪陵区“三线一单”的有关规定。规划区内建设项目在开展环境影响评价时，应结合生态空间保护与管控要求，在落实环境质量底线的基础上深入论证项目建设可能产生的生态环境影响，严格生态环境准入要求，执行切实可行的污染防治和环境风险防控措施，预防或者减轻建设项目实施可能产生的不良环境影响。对与规划主导产业定位相符的建设项目，环境政策符合性、环境现状调查等环评内容可适当简化。</w:t>
            </w:r>
          </w:p>
        </w:tc>
        <w:tc>
          <w:tcPr>
            <w:tcW w:w="1923" w:type="pct"/>
            <w:tcBorders>
              <w:top w:val="single" w:color="auto" w:sz="4" w:space="0"/>
              <w:left w:val="single" w:color="auto" w:sz="4" w:space="0"/>
              <w:bottom w:val="single" w:color="auto" w:sz="4" w:space="0"/>
              <w:right w:val="single" w:color="auto" w:sz="4" w:space="0"/>
            </w:tcBorders>
            <w:vAlign w:val="center"/>
          </w:tcPr>
          <w:p w14:paraId="01B12541">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本项目符合“三线一单”的要求，符合规划环评的产业定位，满足生态环境准入要求。</w:t>
            </w:r>
          </w:p>
        </w:tc>
        <w:tc>
          <w:tcPr>
            <w:tcW w:w="426" w:type="pct"/>
            <w:tcBorders>
              <w:top w:val="single" w:color="auto" w:sz="4" w:space="0"/>
              <w:left w:val="single" w:color="auto" w:sz="4" w:space="0"/>
              <w:bottom w:val="single" w:color="auto" w:sz="4" w:space="0"/>
              <w:right w:val="single" w:color="auto" w:sz="4" w:space="0"/>
            </w:tcBorders>
            <w:vAlign w:val="center"/>
          </w:tcPr>
          <w:p w14:paraId="03EEDAFA">
            <w:pPr>
              <w:rPr>
                <w:rFonts w:ascii="Times New Roman" w:hAnsi="Times New Roman" w:cs="Times New Roman"/>
                <w:szCs w:val="21"/>
              </w:rPr>
            </w:pPr>
            <w:r>
              <w:rPr>
                <w:rFonts w:ascii="Times New Roman" w:hAnsi="Times New Roman" w:cs="Times New Roman"/>
                <w:szCs w:val="21"/>
              </w:rPr>
              <w:t>符合</w:t>
            </w:r>
          </w:p>
        </w:tc>
      </w:tr>
    </w:tbl>
    <w:p w14:paraId="7F56D74F">
      <w:pPr>
        <w:adjustRightInd w:val="0"/>
        <w:snapToGrid w:val="0"/>
        <w:spacing w:line="480" w:lineRule="exact"/>
        <w:jc w:val="center"/>
        <w:rPr>
          <w:rFonts w:ascii="Times New Roman" w:hAnsi="Times New Roman" w:cs="Times New Roman"/>
          <w:b/>
          <w:sz w:val="24"/>
          <w:szCs w:val="20"/>
          <w:lang w:val="zh-CN"/>
        </w:rPr>
        <w:sectPr>
          <w:pgSz w:w="11906" w:h="16838"/>
          <w:pgMar w:top="1701" w:right="1531" w:bottom="1701" w:left="1531" w:header="851" w:footer="851" w:gutter="0"/>
          <w:cols w:space="720" w:num="1"/>
          <w:docGrid w:linePitch="312" w:charSpace="0"/>
        </w:sectPr>
      </w:pPr>
    </w:p>
    <w:p w14:paraId="418EF726">
      <w:pPr>
        <w:adjustRightInd w:val="0"/>
        <w:snapToGrid w:val="0"/>
        <w:spacing w:line="360" w:lineRule="auto"/>
        <w:jc w:val="center"/>
        <w:rPr>
          <w:sz w:val="24"/>
        </w:rPr>
      </w:pPr>
      <w:r>
        <w:rPr>
          <w:b/>
          <w:bCs/>
          <w:szCs w:val="21"/>
        </w:rPr>
        <w:t>表</w:t>
      </w:r>
      <w:r>
        <w:rPr>
          <w:b/>
          <w:szCs w:val="21"/>
        </w:rPr>
        <w:t>1.3-1</w:t>
      </w:r>
      <w:r>
        <w:rPr>
          <w:rFonts w:eastAsia="方正仿宋_GBK"/>
          <w:b/>
          <w:bCs/>
          <w:szCs w:val="21"/>
        </w:rPr>
        <w:t>建设项目与</w:t>
      </w:r>
      <w:r>
        <w:rPr>
          <w:rFonts w:hint="eastAsia" w:eastAsia="方正仿宋_GBK"/>
          <w:b/>
          <w:bCs/>
          <w:szCs w:val="21"/>
        </w:rPr>
        <w:t>“</w:t>
      </w:r>
      <w:r>
        <w:rPr>
          <w:rFonts w:eastAsia="方正仿宋_GBK"/>
          <w:b/>
          <w:bCs/>
          <w:szCs w:val="21"/>
        </w:rPr>
        <w:t>三线一单</w:t>
      </w:r>
      <w:r>
        <w:rPr>
          <w:rFonts w:hint="eastAsia" w:eastAsia="方正仿宋_GBK"/>
          <w:b/>
          <w:bCs/>
          <w:szCs w:val="21"/>
        </w:rPr>
        <w:t>”</w:t>
      </w:r>
      <w:r>
        <w:rPr>
          <w:rFonts w:eastAsia="方正仿宋_GBK"/>
          <w:b/>
          <w:bCs/>
          <w:szCs w:val="21"/>
        </w:rPr>
        <w:t>管控要求的符合性分析表</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3"/>
        <w:gridCol w:w="1488"/>
        <w:gridCol w:w="7367"/>
        <w:gridCol w:w="2264"/>
        <w:gridCol w:w="1180"/>
      </w:tblGrid>
      <w:tr w14:paraId="5502F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41" w:type="pct"/>
            <w:gridSpan w:val="2"/>
            <w:vAlign w:val="center"/>
          </w:tcPr>
          <w:p w14:paraId="24AC339D">
            <w:pPr>
              <w:adjustRightInd w:val="0"/>
              <w:snapToGrid w:val="0"/>
              <w:spacing w:before="24" w:beforeLines="10"/>
              <w:jc w:val="left"/>
              <w:rPr>
                <w:kern w:val="0"/>
                <w:szCs w:val="21"/>
              </w:rPr>
            </w:pPr>
            <w:r>
              <w:rPr>
                <w:kern w:val="0"/>
                <w:szCs w:val="21"/>
              </w:rPr>
              <w:t>环境管控单元编码</w:t>
            </w:r>
          </w:p>
        </w:tc>
        <w:tc>
          <w:tcPr>
            <w:tcW w:w="2698" w:type="pct"/>
            <w:vAlign w:val="center"/>
          </w:tcPr>
          <w:p w14:paraId="7D44DA75">
            <w:pPr>
              <w:adjustRightInd w:val="0"/>
              <w:snapToGrid w:val="0"/>
              <w:spacing w:before="24" w:beforeLines="10"/>
              <w:jc w:val="left"/>
              <w:rPr>
                <w:kern w:val="0"/>
                <w:szCs w:val="21"/>
              </w:rPr>
            </w:pPr>
            <w:r>
              <w:rPr>
                <w:kern w:val="0"/>
                <w:szCs w:val="21"/>
              </w:rPr>
              <w:t>环境管控单元名称</w:t>
            </w:r>
          </w:p>
        </w:tc>
        <w:tc>
          <w:tcPr>
            <w:tcW w:w="1261" w:type="pct"/>
            <w:gridSpan w:val="2"/>
            <w:vAlign w:val="center"/>
          </w:tcPr>
          <w:p w14:paraId="557DC532">
            <w:pPr>
              <w:adjustRightInd w:val="0"/>
              <w:snapToGrid w:val="0"/>
              <w:spacing w:before="24" w:beforeLines="10"/>
              <w:jc w:val="left"/>
              <w:rPr>
                <w:kern w:val="0"/>
                <w:szCs w:val="21"/>
              </w:rPr>
            </w:pPr>
            <w:r>
              <w:rPr>
                <w:kern w:val="0"/>
                <w:szCs w:val="21"/>
              </w:rPr>
              <w:t>环境管控单元类型</w:t>
            </w:r>
          </w:p>
        </w:tc>
      </w:tr>
      <w:tr w14:paraId="52750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41" w:type="pct"/>
            <w:gridSpan w:val="2"/>
            <w:vAlign w:val="center"/>
          </w:tcPr>
          <w:p w14:paraId="6CF38E8C">
            <w:pPr>
              <w:adjustRightInd w:val="0"/>
              <w:snapToGrid w:val="0"/>
              <w:spacing w:before="24" w:beforeLines="10"/>
              <w:jc w:val="left"/>
              <w:rPr>
                <w:kern w:val="0"/>
                <w:szCs w:val="21"/>
              </w:rPr>
            </w:pPr>
            <w:r>
              <w:rPr>
                <w:rFonts w:ascii="Times New Roman" w:hAnsi="Times New Roman" w:cs="Times New Roman"/>
                <w:szCs w:val="21"/>
              </w:rPr>
              <w:t>ZH50010220001</w:t>
            </w:r>
          </w:p>
        </w:tc>
        <w:tc>
          <w:tcPr>
            <w:tcW w:w="2698" w:type="pct"/>
            <w:vAlign w:val="center"/>
          </w:tcPr>
          <w:p w14:paraId="56B08F6A">
            <w:pPr>
              <w:snapToGrid w:val="0"/>
              <w:spacing w:before="24" w:beforeLines="10"/>
              <w:jc w:val="left"/>
              <w:rPr>
                <w:kern w:val="0"/>
                <w:szCs w:val="21"/>
              </w:rPr>
            </w:pPr>
            <w:r>
              <w:rPr>
                <w:rFonts w:ascii="Times New Roman" w:hAnsi="Times New Roman" w:cs="Times New Roman"/>
                <w:szCs w:val="21"/>
              </w:rPr>
              <w:t>涪陵区重点管控单元1-乌江麻柳嘴</w:t>
            </w:r>
          </w:p>
        </w:tc>
        <w:tc>
          <w:tcPr>
            <w:tcW w:w="1261" w:type="pct"/>
            <w:gridSpan w:val="2"/>
            <w:vAlign w:val="center"/>
          </w:tcPr>
          <w:p w14:paraId="4E7AA767">
            <w:pPr>
              <w:snapToGrid w:val="0"/>
              <w:spacing w:before="24" w:beforeLines="10"/>
              <w:jc w:val="left"/>
              <w:rPr>
                <w:kern w:val="0"/>
                <w:szCs w:val="21"/>
              </w:rPr>
            </w:pPr>
            <w:r>
              <w:rPr>
                <w:rFonts w:ascii="Times New Roman" w:hAnsi="Times New Roman" w:cs="Times New Roman"/>
                <w:kern w:val="0"/>
                <w:szCs w:val="21"/>
              </w:rPr>
              <w:t>重点管控单元1</w:t>
            </w:r>
          </w:p>
        </w:tc>
      </w:tr>
      <w:tr w14:paraId="05B80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6" w:type="pct"/>
            <w:vAlign w:val="center"/>
          </w:tcPr>
          <w:p w14:paraId="6EDC1657">
            <w:pPr>
              <w:adjustRightInd w:val="0"/>
              <w:snapToGrid w:val="0"/>
              <w:spacing w:before="24" w:beforeLines="10"/>
              <w:jc w:val="left"/>
              <w:rPr>
                <w:kern w:val="0"/>
                <w:szCs w:val="21"/>
              </w:rPr>
            </w:pPr>
            <w:r>
              <w:rPr>
                <w:kern w:val="0"/>
                <w:szCs w:val="21"/>
              </w:rPr>
              <w:t>管控要求层级</w:t>
            </w:r>
          </w:p>
        </w:tc>
        <w:tc>
          <w:tcPr>
            <w:tcW w:w="545" w:type="pct"/>
            <w:vAlign w:val="center"/>
          </w:tcPr>
          <w:p w14:paraId="0C51FAD9">
            <w:pPr>
              <w:adjustRightInd w:val="0"/>
              <w:snapToGrid w:val="0"/>
              <w:spacing w:before="24" w:beforeLines="10"/>
              <w:jc w:val="left"/>
              <w:rPr>
                <w:kern w:val="0"/>
                <w:szCs w:val="21"/>
              </w:rPr>
            </w:pPr>
            <w:r>
              <w:rPr>
                <w:kern w:val="0"/>
                <w:szCs w:val="21"/>
              </w:rPr>
              <w:t>管控类型</w:t>
            </w:r>
          </w:p>
        </w:tc>
        <w:tc>
          <w:tcPr>
            <w:tcW w:w="2698" w:type="pct"/>
            <w:vAlign w:val="center"/>
          </w:tcPr>
          <w:p w14:paraId="40111865">
            <w:pPr>
              <w:snapToGrid w:val="0"/>
              <w:jc w:val="center"/>
              <w:rPr>
                <w:kern w:val="0"/>
                <w:szCs w:val="21"/>
              </w:rPr>
            </w:pPr>
            <w:r>
              <w:rPr>
                <w:kern w:val="0"/>
                <w:szCs w:val="21"/>
              </w:rPr>
              <w:t>管控要求</w:t>
            </w:r>
          </w:p>
        </w:tc>
        <w:tc>
          <w:tcPr>
            <w:tcW w:w="829" w:type="pct"/>
            <w:vAlign w:val="center"/>
          </w:tcPr>
          <w:p w14:paraId="6AE1B20E">
            <w:pPr>
              <w:snapToGrid w:val="0"/>
              <w:jc w:val="center"/>
              <w:rPr>
                <w:kern w:val="0"/>
                <w:szCs w:val="21"/>
              </w:rPr>
            </w:pPr>
            <w:r>
              <w:rPr>
                <w:kern w:val="0"/>
                <w:szCs w:val="21"/>
              </w:rPr>
              <w:t>建设项目</w:t>
            </w:r>
            <w:r>
              <w:rPr>
                <w:rFonts w:hint="eastAsia"/>
                <w:kern w:val="0"/>
                <w:szCs w:val="21"/>
              </w:rPr>
              <w:t>相关情况</w:t>
            </w:r>
          </w:p>
        </w:tc>
        <w:tc>
          <w:tcPr>
            <w:tcW w:w="432" w:type="pct"/>
            <w:vAlign w:val="center"/>
          </w:tcPr>
          <w:p w14:paraId="6F78BB58">
            <w:pPr>
              <w:snapToGrid w:val="0"/>
              <w:jc w:val="center"/>
              <w:rPr>
                <w:kern w:val="0"/>
                <w:szCs w:val="21"/>
              </w:rPr>
            </w:pPr>
            <w:r>
              <w:rPr>
                <w:kern w:val="0"/>
                <w:szCs w:val="21"/>
              </w:rPr>
              <w:t>符合性分析结论</w:t>
            </w:r>
          </w:p>
        </w:tc>
      </w:tr>
      <w:tr w14:paraId="592EB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496" w:type="pct"/>
            <w:vMerge w:val="restart"/>
            <w:vAlign w:val="center"/>
          </w:tcPr>
          <w:p w14:paraId="00E48B84">
            <w:pPr>
              <w:adjustRightInd w:val="0"/>
              <w:snapToGrid w:val="0"/>
              <w:spacing w:before="24" w:beforeLines="10"/>
              <w:jc w:val="left"/>
              <w:rPr>
                <w:kern w:val="0"/>
                <w:szCs w:val="21"/>
              </w:rPr>
            </w:pPr>
            <w:r>
              <w:rPr>
                <w:kern w:val="0"/>
                <w:szCs w:val="21"/>
              </w:rPr>
              <w:t>全市总体管控要求</w:t>
            </w:r>
          </w:p>
        </w:tc>
        <w:tc>
          <w:tcPr>
            <w:tcW w:w="545" w:type="pct"/>
            <w:vMerge w:val="restart"/>
            <w:vAlign w:val="center"/>
          </w:tcPr>
          <w:p w14:paraId="5AC8F050">
            <w:pPr>
              <w:adjustRightInd w:val="0"/>
              <w:snapToGrid w:val="0"/>
              <w:spacing w:before="24" w:beforeLines="10"/>
              <w:jc w:val="left"/>
              <w:rPr>
                <w:kern w:val="0"/>
                <w:szCs w:val="21"/>
              </w:rPr>
            </w:pPr>
            <w:r>
              <w:rPr>
                <w:kern w:val="0"/>
                <w:szCs w:val="21"/>
              </w:rPr>
              <w:t>空间布局约束</w:t>
            </w:r>
          </w:p>
        </w:tc>
        <w:tc>
          <w:tcPr>
            <w:tcW w:w="2698" w:type="pct"/>
            <w:vAlign w:val="center"/>
          </w:tcPr>
          <w:p w14:paraId="69B81117">
            <w:pPr>
              <w:jc w:val="left"/>
              <w:rPr>
                <w:kern w:val="0"/>
                <w:szCs w:val="21"/>
              </w:rPr>
            </w:pPr>
            <w:r>
              <w:rPr>
                <w:kern w:val="0"/>
                <w:szCs w:val="21"/>
              </w:rPr>
              <w:t>1.</w:t>
            </w:r>
            <w:r>
              <w:rPr>
                <w:rFonts w:hint="eastAsia"/>
                <w:kern w:val="0"/>
                <w:szCs w:val="21"/>
              </w:rPr>
              <w:t>严格执行《产业结构调整指导目录》、《重庆市产业投资准入工作手册》、《重庆市工业项目环境准入规定》、《重庆市长江经济带发展负面清单指南实施细则（试行）》等文件要求，优化重点区域、流域、产业的空间布局。对不符合准入要求的既有项目，依法依规实施整改、退出等分类治理方案。</w:t>
            </w:r>
          </w:p>
        </w:tc>
        <w:tc>
          <w:tcPr>
            <w:tcW w:w="829" w:type="pct"/>
            <w:vAlign w:val="center"/>
          </w:tcPr>
          <w:p w14:paraId="55749777">
            <w:pPr>
              <w:jc w:val="left"/>
              <w:rPr>
                <w:kern w:val="0"/>
                <w:szCs w:val="21"/>
              </w:rPr>
            </w:pPr>
            <w:r>
              <w:rPr>
                <w:rFonts w:hint="eastAsia"/>
                <w:kern w:val="0"/>
                <w:szCs w:val="21"/>
              </w:rPr>
              <w:t>符合。本项目符合国家及重庆市产业政策。</w:t>
            </w:r>
          </w:p>
        </w:tc>
        <w:tc>
          <w:tcPr>
            <w:tcW w:w="432" w:type="pct"/>
            <w:vAlign w:val="center"/>
          </w:tcPr>
          <w:p w14:paraId="74E39096">
            <w:pPr>
              <w:snapToGrid w:val="0"/>
              <w:jc w:val="center"/>
              <w:rPr>
                <w:kern w:val="0"/>
                <w:szCs w:val="21"/>
              </w:rPr>
            </w:pPr>
            <w:r>
              <w:rPr>
                <w:rFonts w:hint="eastAsia"/>
                <w:kern w:val="0"/>
                <w:szCs w:val="21"/>
              </w:rPr>
              <w:t>符合</w:t>
            </w:r>
          </w:p>
        </w:tc>
      </w:tr>
      <w:tr w14:paraId="5DF01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496" w:type="pct"/>
            <w:vMerge w:val="continue"/>
            <w:vAlign w:val="center"/>
          </w:tcPr>
          <w:p w14:paraId="70C73B91">
            <w:pPr>
              <w:adjustRightInd w:val="0"/>
              <w:snapToGrid w:val="0"/>
              <w:spacing w:before="24" w:beforeLines="10"/>
              <w:jc w:val="left"/>
              <w:rPr>
                <w:kern w:val="0"/>
                <w:szCs w:val="21"/>
              </w:rPr>
            </w:pPr>
          </w:p>
        </w:tc>
        <w:tc>
          <w:tcPr>
            <w:tcW w:w="545" w:type="pct"/>
            <w:vMerge w:val="continue"/>
            <w:vAlign w:val="center"/>
          </w:tcPr>
          <w:p w14:paraId="26451F77">
            <w:pPr>
              <w:adjustRightInd w:val="0"/>
              <w:snapToGrid w:val="0"/>
              <w:spacing w:before="24" w:beforeLines="10"/>
              <w:jc w:val="left"/>
              <w:rPr>
                <w:kern w:val="0"/>
                <w:szCs w:val="21"/>
              </w:rPr>
            </w:pPr>
          </w:p>
        </w:tc>
        <w:tc>
          <w:tcPr>
            <w:tcW w:w="2698" w:type="pct"/>
            <w:vAlign w:val="center"/>
          </w:tcPr>
          <w:p w14:paraId="44D4E063">
            <w:pPr>
              <w:adjustRightInd w:val="0"/>
              <w:spacing w:before="24" w:beforeLines="10"/>
              <w:jc w:val="left"/>
              <w:rPr>
                <w:kern w:val="0"/>
                <w:szCs w:val="21"/>
              </w:rPr>
            </w:pPr>
            <w:r>
              <w:rPr>
                <w:kern w:val="0"/>
                <w:szCs w:val="21"/>
              </w:rPr>
              <w:t>2.</w:t>
            </w:r>
            <w:r>
              <w:rPr>
                <w:rFonts w:hint="eastAsia"/>
                <w:kern w:val="0"/>
                <w:szCs w:val="21"/>
              </w:rPr>
              <w:t>禁止在长江干流及主要支流岸线</w:t>
            </w:r>
            <w:r>
              <w:rPr>
                <w:kern w:val="0"/>
                <w:szCs w:val="21"/>
              </w:rPr>
              <w:t>1</w:t>
            </w:r>
            <w:r>
              <w:rPr>
                <w:rFonts w:hint="eastAsia"/>
                <w:kern w:val="0"/>
                <w:szCs w:val="21"/>
              </w:rPr>
              <w:t>公里范围内新建重化工、纺织、造纸等存在污染风险的工业项目，禁止在长江干支流</w:t>
            </w:r>
            <w:r>
              <w:rPr>
                <w:kern w:val="0"/>
                <w:szCs w:val="21"/>
              </w:rPr>
              <w:t>1</w:t>
            </w:r>
            <w:r>
              <w:rPr>
                <w:rFonts w:hint="eastAsia"/>
                <w:kern w:val="0"/>
                <w:szCs w:val="21"/>
              </w:rPr>
              <w:t>公里范围内新建、扩建化工园区和化工项目。</w:t>
            </w:r>
            <w:r>
              <w:rPr>
                <w:kern w:val="0"/>
                <w:szCs w:val="21"/>
              </w:rPr>
              <w:t>5</w:t>
            </w:r>
            <w:r>
              <w:rPr>
                <w:rFonts w:hint="eastAsia"/>
                <w:kern w:val="0"/>
                <w:szCs w:val="21"/>
              </w:rPr>
              <w:t>公里范围内除经国家和市政府批准设立、仍在建设的工业园区外，不再新布局工业园区（不包括现有工业园区拓展）。新建有污染物排放的工业项目应进入工业园区或工业集中区，不得在工业园区（集聚区）以外区域实施单纯增加产能的技改（扩建）项目。</w:t>
            </w:r>
          </w:p>
        </w:tc>
        <w:tc>
          <w:tcPr>
            <w:tcW w:w="829" w:type="pct"/>
            <w:vAlign w:val="center"/>
          </w:tcPr>
          <w:p w14:paraId="35B10CBC">
            <w:pPr>
              <w:adjustRightInd w:val="0"/>
              <w:spacing w:before="24" w:beforeLines="10"/>
              <w:jc w:val="left"/>
              <w:rPr>
                <w:kern w:val="0"/>
                <w:szCs w:val="21"/>
              </w:rPr>
            </w:pPr>
            <w:r>
              <w:rPr>
                <w:rFonts w:hint="eastAsia"/>
                <w:kern w:val="0"/>
                <w:szCs w:val="21"/>
              </w:rPr>
              <w:t>符合，</w:t>
            </w:r>
            <w:r>
              <w:rPr>
                <w:kern w:val="0"/>
                <w:szCs w:val="21"/>
              </w:rPr>
              <w:t>拟建项目</w:t>
            </w:r>
            <w:r>
              <w:rPr>
                <w:rFonts w:hint="eastAsia"/>
                <w:kern w:val="0"/>
                <w:szCs w:val="21"/>
              </w:rPr>
              <w:t>位于重庆白涛工业园区，为液化天然气项目。</w:t>
            </w:r>
          </w:p>
        </w:tc>
        <w:tc>
          <w:tcPr>
            <w:tcW w:w="432" w:type="pct"/>
            <w:vAlign w:val="center"/>
          </w:tcPr>
          <w:p w14:paraId="644248CF">
            <w:pPr>
              <w:adjustRightInd w:val="0"/>
              <w:snapToGrid w:val="0"/>
              <w:spacing w:before="24" w:beforeLines="10"/>
              <w:jc w:val="left"/>
              <w:rPr>
                <w:kern w:val="0"/>
                <w:szCs w:val="21"/>
              </w:rPr>
            </w:pPr>
            <w:r>
              <w:rPr>
                <w:rFonts w:hint="eastAsia"/>
                <w:kern w:val="0"/>
                <w:szCs w:val="21"/>
              </w:rPr>
              <w:t>符合</w:t>
            </w:r>
          </w:p>
        </w:tc>
      </w:tr>
      <w:tr w14:paraId="2178B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496" w:type="pct"/>
            <w:vMerge w:val="continue"/>
            <w:vAlign w:val="center"/>
          </w:tcPr>
          <w:p w14:paraId="5E8CA24F">
            <w:pPr>
              <w:adjustRightInd w:val="0"/>
              <w:snapToGrid w:val="0"/>
              <w:spacing w:before="24" w:beforeLines="10"/>
              <w:jc w:val="left"/>
              <w:rPr>
                <w:kern w:val="0"/>
                <w:szCs w:val="21"/>
              </w:rPr>
            </w:pPr>
          </w:p>
        </w:tc>
        <w:tc>
          <w:tcPr>
            <w:tcW w:w="545" w:type="pct"/>
            <w:vMerge w:val="continue"/>
            <w:vAlign w:val="center"/>
          </w:tcPr>
          <w:p w14:paraId="543B99BF">
            <w:pPr>
              <w:adjustRightInd w:val="0"/>
              <w:snapToGrid w:val="0"/>
              <w:spacing w:before="24" w:beforeLines="10"/>
              <w:jc w:val="left"/>
              <w:rPr>
                <w:kern w:val="0"/>
                <w:szCs w:val="21"/>
              </w:rPr>
            </w:pPr>
          </w:p>
        </w:tc>
        <w:tc>
          <w:tcPr>
            <w:tcW w:w="2698" w:type="pct"/>
            <w:vAlign w:val="center"/>
          </w:tcPr>
          <w:p w14:paraId="0D86278E">
            <w:pPr>
              <w:adjustRightInd w:val="0"/>
              <w:spacing w:before="24" w:beforeLines="10"/>
              <w:jc w:val="left"/>
              <w:rPr>
                <w:kern w:val="0"/>
                <w:szCs w:val="21"/>
              </w:rPr>
            </w:pPr>
            <w:r>
              <w:rPr>
                <w:kern w:val="0"/>
                <w:szCs w:val="21"/>
              </w:rPr>
              <w:t>3.</w:t>
            </w:r>
            <w:r>
              <w:rPr>
                <w:rFonts w:hint="eastAsia"/>
                <w:kern w:val="0"/>
                <w:szCs w:val="21"/>
              </w:rPr>
              <w:t>在长江鱼嘴以上江段及其一级支流汇入口上游</w:t>
            </w:r>
            <w:r>
              <w:rPr>
                <w:kern w:val="0"/>
                <w:szCs w:val="21"/>
              </w:rPr>
              <w:t>20</w:t>
            </w:r>
            <w:r>
              <w:rPr>
                <w:rFonts w:hint="eastAsia"/>
                <w:kern w:val="0"/>
                <w:szCs w:val="21"/>
              </w:rPr>
              <w:t>公里、嘉陵江及其一级支流汇入口上游</w:t>
            </w:r>
            <w:r>
              <w:rPr>
                <w:kern w:val="0"/>
                <w:szCs w:val="21"/>
              </w:rPr>
              <w:t>20</w:t>
            </w:r>
            <w:r>
              <w:rPr>
                <w:rFonts w:hint="eastAsia"/>
                <w:kern w:val="0"/>
                <w:szCs w:val="21"/>
              </w:rPr>
              <w:t>公里、集中式饮用水水源取水口上游</w:t>
            </w:r>
            <w:r>
              <w:rPr>
                <w:kern w:val="0"/>
                <w:szCs w:val="21"/>
              </w:rPr>
              <w:t>20</w:t>
            </w:r>
            <w:r>
              <w:rPr>
                <w:rFonts w:hint="eastAsia"/>
                <w:kern w:val="0"/>
                <w:szCs w:val="21"/>
              </w:rPr>
              <w:t>公里范围内的沿岸地区（江河</w:t>
            </w:r>
            <w:r>
              <w:rPr>
                <w:kern w:val="0"/>
                <w:szCs w:val="21"/>
              </w:rPr>
              <w:t>50</w:t>
            </w:r>
            <w:r>
              <w:rPr>
                <w:rFonts w:hint="eastAsia"/>
                <w:kern w:val="0"/>
                <w:szCs w:val="21"/>
              </w:rPr>
              <w:t>年一遇洪水位向陆域一侧</w:t>
            </w:r>
            <w:r>
              <w:rPr>
                <w:kern w:val="0"/>
                <w:szCs w:val="21"/>
              </w:rPr>
              <w:t>1</w:t>
            </w:r>
            <w:r>
              <w:rPr>
                <w:rFonts w:hint="eastAsia"/>
                <w:kern w:val="0"/>
                <w:szCs w:val="21"/>
              </w:rPr>
              <w:t>公里范围内），禁止新建、扩建排放重点重金属（铬、镉、汞、砷、铅等五类重金属）、剧毒物质和持久性有机污染物的工业项目。</w:t>
            </w:r>
          </w:p>
        </w:tc>
        <w:tc>
          <w:tcPr>
            <w:tcW w:w="829" w:type="pct"/>
            <w:vAlign w:val="center"/>
          </w:tcPr>
          <w:p w14:paraId="6EA82D07">
            <w:pPr>
              <w:adjustRightInd w:val="0"/>
              <w:spacing w:before="24" w:beforeLines="10"/>
              <w:jc w:val="left"/>
              <w:rPr>
                <w:kern w:val="0"/>
                <w:szCs w:val="21"/>
              </w:rPr>
            </w:pPr>
            <w:r>
              <w:rPr>
                <w:rFonts w:hint="eastAsia"/>
                <w:kern w:val="0"/>
                <w:szCs w:val="21"/>
              </w:rPr>
              <w:t>符合，本项目不涉及排放重点重金属、剧毒物质和持久性有机污染物</w:t>
            </w:r>
          </w:p>
        </w:tc>
        <w:tc>
          <w:tcPr>
            <w:tcW w:w="432" w:type="pct"/>
            <w:vAlign w:val="center"/>
          </w:tcPr>
          <w:p w14:paraId="44D45975">
            <w:pPr>
              <w:adjustRightInd w:val="0"/>
              <w:snapToGrid w:val="0"/>
              <w:spacing w:before="24" w:beforeLines="10"/>
              <w:jc w:val="left"/>
              <w:rPr>
                <w:kern w:val="0"/>
                <w:szCs w:val="21"/>
              </w:rPr>
            </w:pPr>
            <w:r>
              <w:rPr>
                <w:rFonts w:hint="eastAsia"/>
                <w:kern w:val="0"/>
                <w:szCs w:val="21"/>
              </w:rPr>
              <w:t>符合</w:t>
            </w:r>
          </w:p>
        </w:tc>
      </w:tr>
      <w:tr w14:paraId="664C6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496" w:type="pct"/>
            <w:vMerge w:val="continue"/>
            <w:vAlign w:val="center"/>
          </w:tcPr>
          <w:p w14:paraId="2F1E7CA4">
            <w:pPr>
              <w:adjustRightInd w:val="0"/>
              <w:snapToGrid w:val="0"/>
              <w:spacing w:before="24" w:beforeLines="10"/>
              <w:jc w:val="left"/>
              <w:rPr>
                <w:kern w:val="0"/>
                <w:szCs w:val="21"/>
              </w:rPr>
            </w:pPr>
          </w:p>
        </w:tc>
        <w:tc>
          <w:tcPr>
            <w:tcW w:w="545" w:type="pct"/>
            <w:vMerge w:val="continue"/>
            <w:vAlign w:val="center"/>
          </w:tcPr>
          <w:p w14:paraId="3FA078F8">
            <w:pPr>
              <w:adjustRightInd w:val="0"/>
              <w:snapToGrid w:val="0"/>
              <w:spacing w:before="24" w:beforeLines="10"/>
              <w:jc w:val="left"/>
              <w:rPr>
                <w:kern w:val="0"/>
                <w:szCs w:val="21"/>
              </w:rPr>
            </w:pPr>
          </w:p>
        </w:tc>
        <w:tc>
          <w:tcPr>
            <w:tcW w:w="2698" w:type="pct"/>
            <w:vAlign w:val="center"/>
          </w:tcPr>
          <w:p w14:paraId="0A4D9053">
            <w:pPr>
              <w:adjustRightInd w:val="0"/>
              <w:spacing w:before="24" w:beforeLines="10"/>
              <w:jc w:val="left"/>
              <w:rPr>
                <w:kern w:val="0"/>
                <w:szCs w:val="21"/>
              </w:rPr>
            </w:pPr>
            <w:r>
              <w:rPr>
                <w:kern w:val="0"/>
                <w:szCs w:val="21"/>
              </w:rPr>
              <w:t>4.</w:t>
            </w:r>
            <w:r>
              <w:rPr>
                <w:rFonts w:hint="eastAsia"/>
                <w:kern w:val="0"/>
                <w:szCs w:val="21"/>
              </w:rPr>
              <w:t>严格执行相关行业企业布局选址要求，优化环境防护距离设置，按要求设置生态隔离带，防范工业园区（工业集聚区）涉生态环境</w:t>
            </w:r>
            <w:r>
              <w:rPr>
                <w:kern w:val="0"/>
                <w:szCs w:val="21"/>
              </w:rPr>
              <w:t>“</w:t>
            </w:r>
            <w:r>
              <w:rPr>
                <w:rFonts w:hint="eastAsia"/>
                <w:kern w:val="0"/>
                <w:szCs w:val="21"/>
              </w:rPr>
              <w:t>邻避</w:t>
            </w:r>
            <w:r>
              <w:rPr>
                <w:kern w:val="0"/>
                <w:szCs w:val="21"/>
              </w:rPr>
              <w:t>”</w:t>
            </w:r>
            <w:r>
              <w:rPr>
                <w:rFonts w:hint="eastAsia"/>
                <w:kern w:val="0"/>
                <w:szCs w:val="21"/>
              </w:rPr>
              <w:t>问题，将环境防护距离优化控制在园区边界或用地红线以内。</w:t>
            </w:r>
          </w:p>
        </w:tc>
        <w:tc>
          <w:tcPr>
            <w:tcW w:w="829" w:type="pct"/>
            <w:vAlign w:val="center"/>
          </w:tcPr>
          <w:p w14:paraId="5CA6658A">
            <w:pPr>
              <w:adjustRightInd w:val="0"/>
              <w:spacing w:before="24" w:beforeLines="10"/>
              <w:jc w:val="left"/>
              <w:rPr>
                <w:kern w:val="0"/>
                <w:szCs w:val="21"/>
              </w:rPr>
            </w:pPr>
            <w:r>
              <w:rPr>
                <w:rFonts w:hint="eastAsia"/>
                <w:kern w:val="0"/>
                <w:szCs w:val="21"/>
              </w:rPr>
              <w:t>符合。</w:t>
            </w:r>
          </w:p>
        </w:tc>
        <w:tc>
          <w:tcPr>
            <w:tcW w:w="432" w:type="pct"/>
            <w:vAlign w:val="center"/>
          </w:tcPr>
          <w:p w14:paraId="76925178">
            <w:pPr>
              <w:adjustRightInd w:val="0"/>
              <w:snapToGrid w:val="0"/>
              <w:spacing w:before="24" w:beforeLines="10"/>
              <w:jc w:val="left"/>
              <w:rPr>
                <w:kern w:val="0"/>
                <w:szCs w:val="21"/>
              </w:rPr>
            </w:pPr>
            <w:r>
              <w:rPr>
                <w:rFonts w:hint="eastAsia"/>
                <w:kern w:val="0"/>
                <w:szCs w:val="21"/>
              </w:rPr>
              <w:t>符合</w:t>
            </w:r>
          </w:p>
        </w:tc>
      </w:tr>
      <w:tr w14:paraId="3A6FD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496" w:type="pct"/>
            <w:vMerge w:val="continue"/>
            <w:vAlign w:val="center"/>
          </w:tcPr>
          <w:p w14:paraId="1D6B5FB4">
            <w:pPr>
              <w:adjustRightInd w:val="0"/>
              <w:snapToGrid w:val="0"/>
              <w:spacing w:before="24" w:beforeLines="10"/>
              <w:jc w:val="left"/>
              <w:rPr>
                <w:kern w:val="0"/>
                <w:szCs w:val="21"/>
              </w:rPr>
            </w:pPr>
          </w:p>
        </w:tc>
        <w:tc>
          <w:tcPr>
            <w:tcW w:w="545" w:type="pct"/>
            <w:vMerge w:val="continue"/>
            <w:vAlign w:val="center"/>
          </w:tcPr>
          <w:p w14:paraId="3B4332A4">
            <w:pPr>
              <w:adjustRightInd w:val="0"/>
              <w:snapToGrid w:val="0"/>
              <w:spacing w:before="24" w:beforeLines="10"/>
              <w:jc w:val="left"/>
              <w:rPr>
                <w:kern w:val="0"/>
                <w:szCs w:val="21"/>
              </w:rPr>
            </w:pPr>
          </w:p>
        </w:tc>
        <w:tc>
          <w:tcPr>
            <w:tcW w:w="2698" w:type="pct"/>
            <w:vAlign w:val="center"/>
          </w:tcPr>
          <w:p w14:paraId="1BFA848A">
            <w:pPr>
              <w:adjustRightInd w:val="0"/>
              <w:spacing w:before="24" w:beforeLines="10"/>
              <w:jc w:val="left"/>
              <w:rPr>
                <w:kern w:val="0"/>
                <w:szCs w:val="21"/>
              </w:rPr>
            </w:pPr>
            <w:r>
              <w:rPr>
                <w:kern w:val="0"/>
                <w:szCs w:val="21"/>
              </w:rPr>
              <w:t>5.</w:t>
            </w:r>
            <w:r>
              <w:rPr>
                <w:rFonts w:hint="eastAsia"/>
                <w:kern w:val="0"/>
                <w:szCs w:val="21"/>
              </w:rPr>
              <w:t>加快布局分散的企业向园区集中，鼓励现有工业项目、化工项目分别搬入工业集聚区、化工产业集聚区。</w:t>
            </w:r>
          </w:p>
        </w:tc>
        <w:tc>
          <w:tcPr>
            <w:tcW w:w="829" w:type="pct"/>
            <w:vAlign w:val="center"/>
          </w:tcPr>
          <w:p w14:paraId="74BB5621">
            <w:pPr>
              <w:adjustRightInd w:val="0"/>
              <w:spacing w:before="24" w:beforeLines="10"/>
              <w:jc w:val="left"/>
              <w:rPr>
                <w:kern w:val="0"/>
                <w:szCs w:val="21"/>
              </w:rPr>
            </w:pPr>
            <w:r>
              <w:rPr>
                <w:rFonts w:hint="eastAsia"/>
                <w:kern w:val="0"/>
                <w:szCs w:val="21"/>
              </w:rPr>
              <w:t>符合，</w:t>
            </w:r>
            <w:r>
              <w:rPr>
                <w:kern w:val="0"/>
                <w:szCs w:val="21"/>
              </w:rPr>
              <w:t>拟建项目</w:t>
            </w:r>
            <w:r>
              <w:rPr>
                <w:rFonts w:hint="eastAsia"/>
                <w:kern w:val="0"/>
                <w:szCs w:val="21"/>
              </w:rPr>
              <w:t>位于重庆白涛工业园区，为液化天然气项目。</w:t>
            </w:r>
          </w:p>
        </w:tc>
        <w:tc>
          <w:tcPr>
            <w:tcW w:w="432" w:type="pct"/>
            <w:vAlign w:val="center"/>
          </w:tcPr>
          <w:p w14:paraId="51E43270">
            <w:pPr>
              <w:adjustRightInd w:val="0"/>
              <w:snapToGrid w:val="0"/>
              <w:spacing w:before="24" w:beforeLines="10"/>
              <w:jc w:val="left"/>
              <w:rPr>
                <w:kern w:val="0"/>
                <w:szCs w:val="21"/>
              </w:rPr>
            </w:pPr>
            <w:r>
              <w:rPr>
                <w:rFonts w:hint="eastAsia"/>
                <w:kern w:val="0"/>
                <w:szCs w:val="21"/>
              </w:rPr>
              <w:t>符合</w:t>
            </w:r>
          </w:p>
        </w:tc>
      </w:tr>
      <w:tr w14:paraId="383E9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496" w:type="pct"/>
            <w:vMerge w:val="continue"/>
            <w:vAlign w:val="center"/>
          </w:tcPr>
          <w:p w14:paraId="6F64D8EF">
            <w:pPr>
              <w:adjustRightInd w:val="0"/>
              <w:snapToGrid w:val="0"/>
              <w:spacing w:before="24" w:beforeLines="10"/>
              <w:jc w:val="left"/>
              <w:rPr>
                <w:kern w:val="0"/>
                <w:szCs w:val="21"/>
              </w:rPr>
            </w:pPr>
          </w:p>
        </w:tc>
        <w:tc>
          <w:tcPr>
            <w:tcW w:w="545" w:type="pct"/>
            <w:vMerge w:val="continue"/>
            <w:vAlign w:val="center"/>
          </w:tcPr>
          <w:p w14:paraId="0AE34489">
            <w:pPr>
              <w:adjustRightInd w:val="0"/>
              <w:snapToGrid w:val="0"/>
              <w:spacing w:before="24" w:beforeLines="10"/>
              <w:jc w:val="left"/>
              <w:rPr>
                <w:kern w:val="0"/>
                <w:szCs w:val="21"/>
              </w:rPr>
            </w:pPr>
          </w:p>
        </w:tc>
        <w:tc>
          <w:tcPr>
            <w:tcW w:w="2698" w:type="pct"/>
            <w:vAlign w:val="center"/>
          </w:tcPr>
          <w:p w14:paraId="4BC8EB0D">
            <w:pPr>
              <w:adjustRightInd w:val="0"/>
              <w:spacing w:before="24" w:beforeLines="10"/>
              <w:jc w:val="left"/>
              <w:rPr>
                <w:kern w:val="0"/>
                <w:szCs w:val="21"/>
              </w:rPr>
            </w:pPr>
            <w:r>
              <w:rPr>
                <w:kern w:val="0"/>
                <w:szCs w:val="21"/>
              </w:rPr>
              <w:t>6.</w:t>
            </w:r>
            <w:r>
              <w:rPr>
                <w:rFonts w:hint="eastAsia"/>
                <w:kern w:val="0"/>
                <w:szCs w:val="21"/>
              </w:rPr>
              <w:t>优化城镇功能布局，开发活动限制在资源环境承载能力之内。科学确定城镇开发强度，提高城镇土地利用效率、建成区人口密度，划定城镇开发边界，从严供给城市建设用地，推动城镇化发展由外延扩张式向内涵提升式转变。精心维护自然山水和城乡人居环境，凸显历史文化底蕴，充分塑造和着力体现重庆的山水自然人文特色。</w:t>
            </w:r>
          </w:p>
        </w:tc>
        <w:tc>
          <w:tcPr>
            <w:tcW w:w="829" w:type="pct"/>
            <w:vAlign w:val="center"/>
          </w:tcPr>
          <w:p w14:paraId="75EE1CCC">
            <w:pPr>
              <w:adjustRightInd w:val="0"/>
              <w:spacing w:before="24" w:beforeLines="10"/>
              <w:jc w:val="left"/>
              <w:rPr>
                <w:kern w:val="0"/>
                <w:szCs w:val="21"/>
              </w:rPr>
            </w:pPr>
            <w:r>
              <w:rPr>
                <w:rFonts w:hint="eastAsia"/>
                <w:kern w:val="0"/>
                <w:szCs w:val="21"/>
              </w:rPr>
              <w:t>符合。本项目不涉及。</w:t>
            </w:r>
          </w:p>
        </w:tc>
        <w:tc>
          <w:tcPr>
            <w:tcW w:w="432" w:type="pct"/>
            <w:vAlign w:val="center"/>
          </w:tcPr>
          <w:p w14:paraId="4AD3BE76">
            <w:pPr>
              <w:adjustRightInd w:val="0"/>
              <w:snapToGrid w:val="0"/>
              <w:spacing w:before="24" w:beforeLines="10"/>
              <w:jc w:val="left"/>
              <w:rPr>
                <w:kern w:val="0"/>
                <w:szCs w:val="21"/>
              </w:rPr>
            </w:pPr>
            <w:r>
              <w:rPr>
                <w:rFonts w:hint="eastAsia"/>
                <w:kern w:val="0"/>
                <w:szCs w:val="21"/>
              </w:rPr>
              <w:t>符合</w:t>
            </w:r>
          </w:p>
        </w:tc>
      </w:tr>
      <w:tr w14:paraId="5E407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496" w:type="pct"/>
            <w:vMerge w:val="continue"/>
            <w:vAlign w:val="center"/>
          </w:tcPr>
          <w:p w14:paraId="53D5BD56">
            <w:pPr>
              <w:adjustRightInd w:val="0"/>
              <w:snapToGrid w:val="0"/>
              <w:spacing w:before="24" w:beforeLines="10"/>
              <w:jc w:val="left"/>
              <w:rPr>
                <w:kern w:val="0"/>
                <w:szCs w:val="21"/>
              </w:rPr>
            </w:pPr>
          </w:p>
        </w:tc>
        <w:tc>
          <w:tcPr>
            <w:tcW w:w="545" w:type="pct"/>
            <w:vMerge w:val="restart"/>
            <w:vAlign w:val="center"/>
          </w:tcPr>
          <w:p w14:paraId="49CD7D75">
            <w:pPr>
              <w:adjustRightInd w:val="0"/>
              <w:snapToGrid w:val="0"/>
              <w:spacing w:before="24" w:beforeLines="10"/>
              <w:jc w:val="left"/>
              <w:rPr>
                <w:kern w:val="0"/>
                <w:szCs w:val="21"/>
              </w:rPr>
            </w:pPr>
            <w:r>
              <w:rPr>
                <w:kern w:val="0"/>
                <w:szCs w:val="21"/>
              </w:rPr>
              <w:t>污染物排放管控</w:t>
            </w:r>
          </w:p>
        </w:tc>
        <w:tc>
          <w:tcPr>
            <w:tcW w:w="2698" w:type="pct"/>
            <w:vAlign w:val="center"/>
          </w:tcPr>
          <w:p w14:paraId="6B52DCF3">
            <w:pPr>
              <w:adjustRightInd w:val="0"/>
              <w:spacing w:before="24" w:beforeLines="10"/>
              <w:jc w:val="left"/>
              <w:rPr>
                <w:kern w:val="0"/>
                <w:szCs w:val="21"/>
              </w:rPr>
            </w:pPr>
            <w:r>
              <w:rPr>
                <w:kern w:val="0"/>
                <w:szCs w:val="21"/>
              </w:rPr>
              <w:t>7.</w:t>
            </w:r>
            <w:r>
              <w:rPr>
                <w:rFonts w:hint="eastAsia"/>
                <w:kern w:val="0"/>
                <w:szCs w:val="21"/>
              </w:rPr>
              <w:t>未达到国家环境质量标准的重点区域、流域的有关地方人民政府，应当制定限期达标规划，并采取措施按期达标。</w:t>
            </w:r>
          </w:p>
        </w:tc>
        <w:tc>
          <w:tcPr>
            <w:tcW w:w="829" w:type="pct"/>
            <w:vAlign w:val="center"/>
          </w:tcPr>
          <w:p w14:paraId="64F3423F">
            <w:pPr>
              <w:adjustRightInd w:val="0"/>
              <w:spacing w:before="24" w:beforeLines="10"/>
              <w:jc w:val="left"/>
              <w:rPr>
                <w:kern w:val="0"/>
                <w:szCs w:val="21"/>
              </w:rPr>
            </w:pPr>
            <w:r>
              <w:rPr>
                <w:rFonts w:hint="eastAsia"/>
                <w:kern w:val="0"/>
                <w:szCs w:val="21"/>
              </w:rPr>
              <w:t>符合。本项目区域大气环境、声环境、地表水环境等现状均满足相关标准。</w:t>
            </w:r>
          </w:p>
        </w:tc>
        <w:tc>
          <w:tcPr>
            <w:tcW w:w="432" w:type="pct"/>
            <w:vAlign w:val="center"/>
          </w:tcPr>
          <w:p w14:paraId="63416159">
            <w:pPr>
              <w:adjustRightInd w:val="0"/>
              <w:snapToGrid w:val="0"/>
              <w:spacing w:before="24" w:beforeLines="10"/>
              <w:jc w:val="left"/>
              <w:rPr>
                <w:kern w:val="0"/>
                <w:szCs w:val="21"/>
              </w:rPr>
            </w:pPr>
            <w:r>
              <w:rPr>
                <w:rFonts w:hint="eastAsia"/>
                <w:kern w:val="0"/>
                <w:szCs w:val="21"/>
              </w:rPr>
              <w:t>符合</w:t>
            </w:r>
          </w:p>
        </w:tc>
      </w:tr>
      <w:tr w14:paraId="4AE43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496" w:type="pct"/>
            <w:vMerge w:val="continue"/>
            <w:vAlign w:val="center"/>
          </w:tcPr>
          <w:p w14:paraId="69A8D725">
            <w:pPr>
              <w:adjustRightInd w:val="0"/>
              <w:snapToGrid w:val="0"/>
              <w:spacing w:before="24" w:beforeLines="10"/>
              <w:jc w:val="left"/>
              <w:rPr>
                <w:kern w:val="0"/>
                <w:szCs w:val="21"/>
              </w:rPr>
            </w:pPr>
          </w:p>
        </w:tc>
        <w:tc>
          <w:tcPr>
            <w:tcW w:w="545" w:type="pct"/>
            <w:vMerge w:val="continue"/>
            <w:vAlign w:val="center"/>
          </w:tcPr>
          <w:p w14:paraId="0D5290B1">
            <w:pPr>
              <w:adjustRightInd w:val="0"/>
              <w:snapToGrid w:val="0"/>
              <w:spacing w:before="24" w:beforeLines="10"/>
              <w:jc w:val="left"/>
              <w:rPr>
                <w:kern w:val="0"/>
                <w:szCs w:val="21"/>
              </w:rPr>
            </w:pPr>
          </w:p>
        </w:tc>
        <w:tc>
          <w:tcPr>
            <w:tcW w:w="2698" w:type="pct"/>
            <w:vAlign w:val="center"/>
          </w:tcPr>
          <w:p w14:paraId="33859F82">
            <w:pPr>
              <w:adjustRightInd w:val="0"/>
              <w:spacing w:before="24" w:beforeLines="10"/>
              <w:jc w:val="left"/>
              <w:rPr>
                <w:kern w:val="0"/>
                <w:szCs w:val="21"/>
              </w:rPr>
            </w:pPr>
            <w:r>
              <w:rPr>
                <w:kern w:val="0"/>
                <w:szCs w:val="21"/>
              </w:rPr>
              <w:t>8.</w:t>
            </w:r>
            <w:r>
              <w:rPr>
                <w:rFonts w:hint="eastAsia"/>
                <w:kern w:val="0"/>
                <w:szCs w:val="21"/>
              </w:rPr>
              <w:t>巩固</w:t>
            </w:r>
            <w:r>
              <w:rPr>
                <w:kern w:val="0"/>
                <w:szCs w:val="21"/>
              </w:rPr>
              <w:t>“</w:t>
            </w:r>
            <w:r>
              <w:rPr>
                <w:rFonts w:hint="eastAsia"/>
                <w:kern w:val="0"/>
                <w:szCs w:val="21"/>
              </w:rPr>
              <w:t>十一小</w:t>
            </w:r>
            <w:r>
              <w:rPr>
                <w:kern w:val="0"/>
                <w:szCs w:val="21"/>
              </w:rPr>
              <w:t>”</w:t>
            </w:r>
            <w:r>
              <w:rPr>
                <w:rFonts w:hint="eastAsia"/>
                <w:kern w:val="0"/>
                <w:szCs w:val="21"/>
              </w:rPr>
              <w:t>（不符合国家产业政策的小型造纸、制革、印染、染料、炼焦、炼硫、炼砷、炼油、电镀、农药、涉磷生产和使用等企业）取缔成果，防止死灰复燃。巩固</w:t>
            </w:r>
            <w:r>
              <w:rPr>
                <w:kern w:val="0"/>
                <w:szCs w:val="21"/>
              </w:rPr>
              <w:t>“</w:t>
            </w:r>
            <w:r>
              <w:rPr>
                <w:rFonts w:hint="eastAsia"/>
                <w:kern w:val="0"/>
                <w:szCs w:val="21"/>
              </w:rPr>
              <w:t>十一大</w:t>
            </w:r>
            <w:r>
              <w:rPr>
                <w:kern w:val="0"/>
                <w:szCs w:val="21"/>
              </w:rPr>
              <w:t>”</w:t>
            </w:r>
            <w:r>
              <w:rPr>
                <w:rFonts w:hint="eastAsia"/>
                <w:kern w:val="0"/>
                <w:szCs w:val="21"/>
              </w:rPr>
              <w:t>（造纸、焦化、氮肥、有色金属、印染、农副产品及食品加工、原料药制造</w:t>
            </w:r>
            <w:r>
              <w:rPr>
                <w:kern w:val="0"/>
                <w:szCs w:val="21"/>
              </w:rPr>
              <w:t>(</w:t>
            </w:r>
            <w:r>
              <w:rPr>
                <w:rFonts w:hint="eastAsia"/>
                <w:kern w:val="0"/>
                <w:szCs w:val="21"/>
              </w:rPr>
              <w:t>生化制药</w:t>
            </w:r>
            <w:r>
              <w:rPr>
                <w:kern w:val="0"/>
                <w:szCs w:val="21"/>
              </w:rPr>
              <w:t>)</w:t>
            </w:r>
            <w:r>
              <w:rPr>
                <w:rFonts w:hint="eastAsia"/>
                <w:kern w:val="0"/>
                <w:szCs w:val="21"/>
              </w:rPr>
              <w:t>、制革、农药、电镀以及涉磷产品等）企业污染整治成果。</w:t>
            </w:r>
          </w:p>
        </w:tc>
        <w:tc>
          <w:tcPr>
            <w:tcW w:w="829" w:type="pct"/>
            <w:vAlign w:val="center"/>
          </w:tcPr>
          <w:p w14:paraId="28450376">
            <w:pPr>
              <w:adjustRightInd w:val="0"/>
              <w:spacing w:before="24" w:beforeLines="10"/>
              <w:jc w:val="left"/>
              <w:rPr>
                <w:kern w:val="0"/>
                <w:szCs w:val="21"/>
              </w:rPr>
            </w:pPr>
            <w:r>
              <w:rPr>
                <w:rFonts w:hint="eastAsia"/>
                <w:kern w:val="0"/>
                <w:szCs w:val="21"/>
              </w:rPr>
              <w:t>符合。本项目不属于。</w:t>
            </w:r>
          </w:p>
        </w:tc>
        <w:tc>
          <w:tcPr>
            <w:tcW w:w="432" w:type="pct"/>
            <w:vAlign w:val="center"/>
          </w:tcPr>
          <w:p w14:paraId="7AA29969">
            <w:pPr>
              <w:adjustRightInd w:val="0"/>
              <w:snapToGrid w:val="0"/>
              <w:spacing w:before="24" w:beforeLines="10"/>
              <w:jc w:val="left"/>
              <w:rPr>
                <w:kern w:val="0"/>
                <w:szCs w:val="21"/>
              </w:rPr>
            </w:pPr>
            <w:r>
              <w:rPr>
                <w:rFonts w:hint="eastAsia"/>
                <w:kern w:val="0"/>
                <w:szCs w:val="21"/>
              </w:rPr>
              <w:t>符合</w:t>
            </w:r>
          </w:p>
        </w:tc>
      </w:tr>
      <w:tr w14:paraId="5FB7E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496" w:type="pct"/>
            <w:vMerge w:val="continue"/>
            <w:vAlign w:val="center"/>
          </w:tcPr>
          <w:p w14:paraId="315CD453">
            <w:pPr>
              <w:adjustRightInd w:val="0"/>
              <w:snapToGrid w:val="0"/>
              <w:spacing w:before="24" w:beforeLines="10"/>
              <w:jc w:val="left"/>
              <w:rPr>
                <w:kern w:val="0"/>
                <w:szCs w:val="21"/>
              </w:rPr>
            </w:pPr>
          </w:p>
        </w:tc>
        <w:tc>
          <w:tcPr>
            <w:tcW w:w="545" w:type="pct"/>
            <w:vMerge w:val="continue"/>
            <w:vAlign w:val="center"/>
          </w:tcPr>
          <w:p w14:paraId="514A30D8">
            <w:pPr>
              <w:adjustRightInd w:val="0"/>
              <w:snapToGrid w:val="0"/>
              <w:spacing w:before="24" w:beforeLines="10"/>
              <w:jc w:val="left"/>
              <w:rPr>
                <w:kern w:val="0"/>
                <w:szCs w:val="21"/>
              </w:rPr>
            </w:pPr>
          </w:p>
        </w:tc>
        <w:tc>
          <w:tcPr>
            <w:tcW w:w="2698" w:type="pct"/>
            <w:vAlign w:val="center"/>
          </w:tcPr>
          <w:p w14:paraId="2640AD41">
            <w:pPr>
              <w:adjustRightInd w:val="0"/>
              <w:spacing w:before="24" w:beforeLines="10"/>
              <w:jc w:val="left"/>
              <w:rPr>
                <w:kern w:val="0"/>
                <w:szCs w:val="21"/>
              </w:rPr>
            </w:pPr>
            <w:r>
              <w:rPr>
                <w:kern w:val="0"/>
                <w:szCs w:val="21"/>
              </w:rPr>
              <w:t>9.</w:t>
            </w:r>
            <w:r>
              <w:rPr>
                <w:rFonts w:hint="eastAsia"/>
                <w:kern w:val="0"/>
                <w:szCs w:val="21"/>
              </w:rPr>
              <w:t>主城区及江津区、合川区、璧山区、铜梁区二氧化硫、氮氧化物、颗粒物、挥发性有机物严格执行大气污染物特别排放限值，并逐步将执行范围扩大到重点控制区重点行业。</w:t>
            </w:r>
          </w:p>
        </w:tc>
        <w:tc>
          <w:tcPr>
            <w:tcW w:w="829" w:type="pct"/>
            <w:vAlign w:val="center"/>
          </w:tcPr>
          <w:p w14:paraId="1A4367D7">
            <w:pPr>
              <w:adjustRightInd w:val="0"/>
              <w:spacing w:before="24" w:beforeLines="10"/>
              <w:jc w:val="left"/>
              <w:rPr>
                <w:kern w:val="0"/>
                <w:szCs w:val="21"/>
              </w:rPr>
            </w:pPr>
            <w:r>
              <w:rPr>
                <w:rFonts w:hint="eastAsia"/>
                <w:kern w:val="0"/>
                <w:szCs w:val="21"/>
              </w:rPr>
              <w:t>符合。本项目不属于重点控制区重点行业。</w:t>
            </w:r>
          </w:p>
        </w:tc>
        <w:tc>
          <w:tcPr>
            <w:tcW w:w="432" w:type="pct"/>
            <w:vAlign w:val="center"/>
          </w:tcPr>
          <w:p w14:paraId="26F352B0">
            <w:pPr>
              <w:adjustRightInd w:val="0"/>
              <w:snapToGrid w:val="0"/>
              <w:spacing w:before="24" w:beforeLines="10"/>
              <w:jc w:val="left"/>
              <w:rPr>
                <w:kern w:val="0"/>
                <w:szCs w:val="21"/>
              </w:rPr>
            </w:pPr>
            <w:r>
              <w:rPr>
                <w:rFonts w:hint="eastAsia"/>
                <w:kern w:val="0"/>
                <w:szCs w:val="21"/>
              </w:rPr>
              <w:t>符合</w:t>
            </w:r>
          </w:p>
        </w:tc>
      </w:tr>
      <w:tr w14:paraId="0BEF2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496" w:type="pct"/>
            <w:vMerge w:val="continue"/>
            <w:vAlign w:val="center"/>
          </w:tcPr>
          <w:p w14:paraId="2DAD068D">
            <w:pPr>
              <w:adjustRightInd w:val="0"/>
              <w:snapToGrid w:val="0"/>
              <w:spacing w:before="24" w:beforeLines="10"/>
              <w:jc w:val="left"/>
              <w:rPr>
                <w:kern w:val="0"/>
                <w:szCs w:val="21"/>
              </w:rPr>
            </w:pPr>
          </w:p>
        </w:tc>
        <w:tc>
          <w:tcPr>
            <w:tcW w:w="545" w:type="pct"/>
            <w:vMerge w:val="continue"/>
            <w:vAlign w:val="center"/>
          </w:tcPr>
          <w:p w14:paraId="61E109F7">
            <w:pPr>
              <w:adjustRightInd w:val="0"/>
              <w:snapToGrid w:val="0"/>
              <w:spacing w:before="24" w:beforeLines="10"/>
              <w:jc w:val="left"/>
              <w:rPr>
                <w:kern w:val="0"/>
                <w:szCs w:val="21"/>
              </w:rPr>
            </w:pPr>
          </w:p>
        </w:tc>
        <w:tc>
          <w:tcPr>
            <w:tcW w:w="2698" w:type="pct"/>
            <w:vAlign w:val="center"/>
          </w:tcPr>
          <w:p w14:paraId="11483228">
            <w:pPr>
              <w:adjustRightInd w:val="0"/>
              <w:spacing w:before="24" w:beforeLines="10"/>
              <w:jc w:val="left"/>
              <w:rPr>
                <w:kern w:val="0"/>
                <w:szCs w:val="21"/>
              </w:rPr>
            </w:pPr>
            <w:r>
              <w:rPr>
                <w:kern w:val="0"/>
                <w:szCs w:val="21"/>
              </w:rPr>
              <w:t>10.</w:t>
            </w:r>
            <w:r>
              <w:rPr>
                <w:rFonts w:hint="eastAsia"/>
                <w:kern w:val="0"/>
                <w:szCs w:val="21"/>
              </w:rPr>
              <w:t>新建、改建、扩建涉</w:t>
            </w:r>
            <w:r>
              <w:rPr>
                <w:kern w:val="0"/>
                <w:szCs w:val="21"/>
              </w:rPr>
              <w:t>VOCs</w:t>
            </w:r>
            <w:r>
              <w:rPr>
                <w:rFonts w:hint="eastAsia"/>
                <w:kern w:val="0"/>
                <w:szCs w:val="21"/>
              </w:rPr>
              <w:t>排放的项目，加强源头控制，使用低（无）</w:t>
            </w:r>
            <w:r>
              <w:rPr>
                <w:kern w:val="0"/>
                <w:szCs w:val="21"/>
              </w:rPr>
              <w:t>VOCs</w:t>
            </w:r>
            <w:r>
              <w:rPr>
                <w:rFonts w:hint="eastAsia"/>
                <w:kern w:val="0"/>
                <w:szCs w:val="21"/>
              </w:rPr>
              <w:t>含量的原辅料，加强废气收集，安装高效治理设施。有条件的工业集聚区建设集中喷涂中心，配备高效治污设施，替代企业独立喷涂工序。</w:t>
            </w:r>
          </w:p>
        </w:tc>
        <w:tc>
          <w:tcPr>
            <w:tcW w:w="829" w:type="pct"/>
            <w:vAlign w:val="center"/>
          </w:tcPr>
          <w:p w14:paraId="19B8F1D0">
            <w:pPr>
              <w:adjustRightInd w:val="0"/>
              <w:spacing w:before="24" w:beforeLines="10"/>
              <w:jc w:val="left"/>
              <w:rPr>
                <w:kern w:val="0"/>
                <w:szCs w:val="21"/>
              </w:rPr>
            </w:pPr>
            <w:r>
              <w:rPr>
                <w:rFonts w:hint="eastAsia"/>
                <w:kern w:val="0"/>
                <w:szCs w:val="21"/>
              </w:rPr>
              <w:t>符合。本项目废气经处置达标后排放。</w:t>
            </w:r>
          </w:p>
        </w:tc>
        <w:tc>
          <w:tcPr>
            <w:tcW w:w="432" w:type="pct"/>
            <w:vAlign w:val="center"/>
          </w:tcPr>
          <w:p w14:paraId="672184C3">
            <w:pPr>
              <w:adjustRightInd w:val="0"/>
              <w:snapToGrid w:val="0"/>
              <w:spacing w:before="24" w:beforeLines="10"/>
              <w:jc w:val="left"/>
              <w:rPr>
                <w:kern w:val="0"/>
                <w:szCs w:val="21"/>
              </w:rPr>
            </w:pPr>
            <w:r>
              <w:rPr>
                <w:rFonts w:hint="eastAsia"/>
                <w:kern w:val="0"/>
                <w:szCs w:val="21"/>
              </w:rPr>
              <w:t>符合</w:t>
            </w:r>
          </w:p>
        </w:tc>
      </w:tr>
      <w:tr w14:paraId="07D2A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496" w:type="pct"/>
            <w:vMerge w:val="continue"/>
            <w:vAlign w:val="center"/>
          </w:tcPr>
          <w:p w14:paraId="701042A4">
            <w:pPr>
              <w:adjustRightInd w:val="0"/>
              <w:snapToGrid w:val="0"/>
              <w:spacing w:before="24" w:beforeLines="10"/>
              <w:jc w:val="left"/>
              <w:rPr>
                <w:kern w:val="0"/>
                <w:szCs w:val="21"/>
              </w:rPr>
            </w:pPr>
          </w:p>
        </w:tc>
        <w:tc>
          <w:tcPr>
            <w:tcW w:w="545" w:type="pct"/>
            <w:vMerge w:val="continue"/>
            <w:vAlign w:val="center"/>
          </w:tcPr>
          <w:p w14:paraId="3AD98AB6">
            <w:pPr>
              <w:adjustRightInd w:val="0"/>
              <w:snapToGrid w:val="0"/>
              <w:spacing w:before="24" w:beforeLines="10"/>
              <w:jc w:val="left"/>
              <w:rPr>
                <w:kern w:val="0"/>
                <w:szCs w:val="21"/>
              </w:rPr>
            </w:pPr>
          </w:p>
        </w:tc>
        <w:tc>
          <w:tcPr>
            <w:tcW w:w="2698" w:type="pct"/>
            <w:vAlign w:val="center"/>
          </w:tcPr>
          <w:p w14:paraId="46AB28C8">
            <w:pPr>
              <w:adjustRightInd w:val="0"/>
              <w:spacing w:before="24" w:beforeLines="10"/>
              <w:jc w:val="left"/>
              <w:rPr>
                <w:kern w:val="0"/>
                <w:szCs w:val="21"/>
              </w:rPr>
            </w:pPr>
            <w:r>
              <w:rPr>
                <w:kern w:val="0"/>
                <w:szCs w:val="21"/>
              </w:rPr>
              <w:t>11.</w:t>
            </w:r>
            <w:r>
              <w:rPr>
                <w:rFonts w:hint="eastAsia"/>
                <w:kern w:val="0"/>
                <w:szCs w:val="21"/>
              </w:rPr>
              <w:t>集中治理工业集聚区水污染，新建、升级工业集聚区应同步规划建设污水集中处理设施并安装自动在线监控装置。组织评估依托城镇生活污水处理设施处理园区工业废水对出水的影响，导致出水不能稳定达标的，要限期退出城镇污水处理设施并另行专门处理。</w:t>
            </w:r>
          </w:p>
        </w:tc>
        <w:tc>
          <w:tcPr>
            <w:tcW w:w="829" w:type="pct"/>
            <w:vAlign w:val="center"/>
          </w:tcPr>
          <w:p w14:paraId="2F485121">
            <w:pPr>
              <w:adjustRightInd w:val="0"/>
              <w:spacing w:before="24" w:beforeLines="10"/>
              <w:jc w:val="left"/>
              <w:rPr>
                <w:kern w:val="0"/>
                <w:szCs w:val="21"/>
              </w:rPr>
            </w:pPr>
            <w:r>
              <w:rPr>
                <w:rFonts w:hint="eastAsia"/>
                <w:kern w:val="0"/>
                <w:szCs w:val="21"/>
              </w:rPr>
              <w:t>符合。本项目不涉及。</w:t>
            </w:r>
          </w:p>
        </w:tc>
        <w:tc>
          <w:tcPr>
            <w:tcW w:w="432" w:type="pct"/>
            <w:vAlign w:val="center"/>
          </w:tcPr>
          <w:p w14:paraId="045D3BFA">
            <w:pPr>
              <w:adjustRightInd w:val="0"/>
              <w:snapToGrid w:val="0"/>
              <w:spacing w:before="24" w:beforeLines="10"/>
              <w:jc w:val="left"/>
              <w:rPr>
                <w:kern w:val="0"/>
                <w:szCs w:val="21"/>
              </w:rPr>
            </w:pPr>
            <w:r>
              <w:rPr>
                <w:rFonts w:hint="eastAsia"/>
                <w:kern w:val="0"/>
                <w:szCs w:val="21"/>
              </w:rPr>
              <w:t>符合</w:t>
            </w:r>
          </w:p>
        </w:tc>
      </w:tr>
      <w:tr w14:paraId="28B1A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496" w:type="pct"/>
            <w:vMerge w:val="continue"/>
            <w:vAlign w:val="center"/>
          </w:tcPr>
          <w:p w14:paraId="37B40EBC">
            <w:pPr>
              <w:adjustRightInd w:val="0"/>
              <w:snapToGrid w:val="0"/>
              <w:spacing w:before="24" w:beforeLines="10"/>
              <w:jc w:val="left"/>
              <w:rPr>
                <w:kern w:val="0"/>
                <w:szCs w:val="21"/>
              </w:rPr>
            </w:pPr>
          </w:p>
        </w:tc>
        <w:tc>
          <w:tcPr>
            <w:tcW w:w="545" w:type="pct"/>
            <w:vMerge w:val="restart"/>
            <w:vAlign w:val="center"/>
          </w:tcPr>
          <w:p w14:paraId="11A62043">
            <w:pPr>
              <w:adjustRightInd w:val="0"/>
              <w:snapToGrid w:val="0"/>
              <w:spacing w:before="24" w:beforeLines="10"/>
              <w:jc w:val="left"/>
              <w:rPr>
                <w:kern w:val="0"/>
                <w:szCs w:val="21"/>
              </w:rPr>
            </w:pPr>
            <w:r>
              <w:rPr>
                <w:kern w:val="0"/>
                <w:szCs w:val="21"/>
              </w:rPr>
              <w:t>环境风险防控</w:t>
            </w:r>
          </w:p>
        </w:tc>
        <w:tc>
          <w:tcPr>
            <w:tcW w:w="2698" w:type="pct"/>
            <w:vAlign w:val="center"/>
          </w:tcPr>
          <w:p w14:paraId="2D305546">
            <w:pPr>
              <w:adjustRightInd w:val="0"/>
              <w:spacing w:before="24" w:beforeLines="10"/>
              <w:jc w:val="left"/>
              <w:rPr>
                <w:kern w:val="0"/>
                <w:szCs w:val="21"/>
              </w:rPr>
            </w:pPr>
            <w:r>
              <w:rPr>
                <w:kern w:val="0"/>
                <w:szCs w:val="21"/>
              </w:rPr>
              <w:t>12.</w:t>
            </w:r>
            <w:r>
              <w:rPr>
                <w:rFonts w:hint="eastAsia"/>
                <w:kern w:val="0"/>
                <w:szCs w:val="21"/>
              </w:rPr>
              <w:t>健全风险防范体系，制定环境风险防范协调联动工作机制。开展涉及化工生产的工业园区突发环境事件风险评估。长江三峡库区干流流域、城市集中式饮用水源、涉及化工生产的化工园区等按要求开展突发环境事件风险评估。</w:t>
            </w:r>
          </w:p>
        </w:tc>
        <w:tc>
          <w:tcPr>
            <w:tcW w:w="829" w:type="pct"/>
            <w:vAlign w:val="center"/>
          </w:tcPr>
          <w:p w14:paraId="32443B58">
            <w:pPr>
              <w:adjustRightInd w:val="0"/>
              <w:spacing w:before="24" w:beforeLines="10"/>
              <w:jc w:val="left"/>
              <w:rPr>
                <w:kern w:val="0"/>
                <w:szCs w:val="21"/>
              </w:rPr>
            </w:pPr>
            <w:r>
              <w:rPr>
                <w:rFonts w:hint="eastAsia"/>
                <w:kern w:val="0"/>
                <w:szCs w:val="21"/>
              </w:rPr>
              <w:t>符合。本项目不属于化工项目。</w:t>
            </w:r>
          </w:p>
        </w:tc>
        <w:tc>
          <w:tcPr>
            <w:tcW w:w="432" w:type="pct"/>
            <w:vAlign w:val="center"/>
          </w:tcPr>
          <w:p w14:paraId="7EA55B6F">
            <w:pPr>
              <w:adjustRightInd w:val="0"/>
              <w:snapToGrid w:val="0"/>
              <w:spacing w:before="24" w:beforeLines="10"/>
              <w:jc w:val="left"/>
              <w:rPr>
                <w:kern w:val="0"/>
                <w:szCs w:val="21"/>
              </w:rPr>
            </w:pPr>
            <w:r>
              <w:rPr>
                <w:rFonts w:hint="eastAsia"/>
                <w:kern w:val="0"/>
                <w:szCs w:val="21"/>
              </w:rPr>
              <w:t>符合</w:t>
            </w:r>
          </w:p>
        </w:tc>
      </w:tr>
      <w:tr w14:paraId="7D16B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496" w:type="pct"/>
            <w:vMerge w:val="continue"/>
            <w:vAlign w:val="center"/>
          </w:tcPr>
          <w:p w14:paraId="41901569">
            <w:pPr>
              <w:adjustRightInd w:val="0"/>
              <w:snapToGrid w:val="0"/>
              <w:spacing w:before="24" w:beforeLines="10"/>
              <w:jc w:val="left"/>
              <w:rPr>
                <w:kern w:val="0"/>
                <w:szCs w:val="21"/>
              </w:rPr>
            </w:pPr>
          </w:p>
        </w:tc>
        <w:tc>
          <w:tcPr>
            <w:tcW w:w="545" w:type="pct"/>
            <w:vMerge w:val="continue"/>
            <w:vAlign w:val="center"/>
          </w:tcPr>
          <w:p w14:paraId="4F923FE6">
            <w:pPr>
              <w:adjustRightInd w:val="0"/>
              <w:snapToGrid w:val="0"/>
              <w:spacing w:before="24" w:beforeLines="10"/>
              <w:jc w:val="left"/>
              <w:rPr>
                <w:kern w:val="0"/>
                <w:szCs w:val="21"/>
              </w:rPr>
            </w:pPr>
          </w:p>
        </w:tc>
        <w:tc>
          <w:tcPr>
            <w:tcW w:w="2698" w:type="pct"/>
            <w:vAlign w:val="center"/>
          </w:tcPr>
          <w:p w14:paraId="38AA43D4">
            <w:pPr>
              <w:adjustRightInd w:val="0"/>
              <w:spacing w:before="24" w:beforeLines="10"/>
              <w:jc w:val="left"/>
              <w:rPr>
                <w:kern w:val="0"/>
                <w:szCs w:val="21"/>
              </w:rPr>
            </w:pPr>
            <w:r>
              <w:rPr>
                <w:kern w:val="0"/>
                <w:szCs w:val="21"/>
              </w:rPr>
              <w:t>13.</w:t>
            </w:r>
            <w:r>
              <w:rPr>
                <w:rFonts w:hint="eastAsia"/>
                <w:kern w:val="0"/>
                <w:szCs w:val="21"/>
              </w:rPr>
              <w:t>禁止建设存在重大环境安全隐患的工业项目。严禁工艺技术落后、环境风险高的化工企业向我市转移。</w:t>
            </w:r>
          </w:p>
        </w:tc>
        <w:tc>
          <w:tcPr>
            <w:tcW w:w="829" w:type="pct"/>
            <w:vAlign w:val="center"/>
          </w:tcPr>
          <w:p w14:paraId="76F8FDB8">
            <w:pPr>
              <w:adjustRightInd w:val="0"/>
              <w:spacing w:before="24" w:beforeLines="10"/>
              <w:jc w:val="left"/>
              <w:rPr>
                <w:kern w:val="0"/>
                <w:szCs w:val="21"/>
              </w:rPr>
            </w:pPr>
            <w:r>
              <w:rPr>
                <w:rFonts w:hint="eastAsia"/>
                <w:kern w:val="0"/>
                <w:szCs w:val="21"/>
              </w:rPr>
              <w:t>符合。本项目不属于重大环境安全隐患项目。</w:t>
            </w:r>
          </w:p>
        </w:tc>
        <w:tc>
          <w:tcPr>
            <w:tcW w:w="432" w:type="pct"/>
            <w:vAlign w:val="center"/>
          </w:tcPr>
          <w:p w14:paraId="492A76A7">
            <w:pPr>
              <w:adjustRightInd w:val="0"/>
              <w:snapToGrid w:val="0"/>
              <w:spacing w:before="24" w:beforeLines="10"/>
              <w:jc w:val="left"/>
              <w:rPr>
                <w:kern w:val="0"/>
                <w:szCs w:val="21"/>
              </w:rPr>
            </w:pPr>
            <w:r>
              <w:rPr>
                <w:rFonts w:hint="eastAsia"/>
                <w:kern w:val="0"/>
                <w:szCs w:val="21"/>
              </w:rPr>
              <w:t>符合</w:t>
            </w:r>
          </w:p>
        </w:tc>
      </w:tr>
      <w:tr w14:paraId="57EE2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496" w:type="pct"/>
            <w:vMerge w:val="continue"/>
            <w:vAlign w:val="center"/>
          </w:tcPr>
          <w:p w14:paraId="6AEDE609">
            <w:pPr>
              <w:adjustRightInd w:val="0"/>
              <w:snapToGrid w:val="0"/>
              <w:spacing w:before="24" w:beforeLines="10"/>
              <w:jc w:val="left"/>
              <w:rPr>
                <w:kern w:val="0"/>
                <w:szCs w:val="21"/>
              </w:rPr>
            </w:pPr>
          </w:p>
        </w:tc>
        <w:tc>
          <w:tcPr>
            <w:tcW w:w="545" w:type="pct"/>
            <w:vMerge w:val="restart"/>
            <w:vAlign w:val="center"/>
          </w:tcPr>
          <w:p w14:paraId="439EE347">
            <w:pPr>
              <w:adjustRightInd w:val="0"/>
              <w:snapToGrid w:val="0"/>
              <w:spacing w:before="24" w:beforeLines="10"/>
              <w:jc w:val="left"/>
              <w:rPr>
                <w:kern w:val="0"/>
                <w:szCs w:val="21"/>
              </w:rPr>
            </w:pPr>
            <w:r>
              <w:rPr>
                <w:kern w:val="0"/>
                <w:szCs w:val="21"/>
              </w:rPr>
              <w:t>资源开发利用效率</w:t>
            </w:r>
          </w:p>
        </w:tc>
        <w:tc>
          <w:tcPr>
            <w:tcW w:w="2698" w:type="pct"/>
            <w:vAlign w:val="center"/>
          </w:tcPr>
          <w:p w14:paraId="4181E5F2">
            <w:pPr>
              <w:adjustRightInd w:val="0"/>
              <w:spacing w:before="24" w:beforeLines="10"/>
              <w:jc w:val="left"/>
              <w:rPr>
                <w:kern w:val="0"/>
                <w:szCs w:val="21"/>
              </w:rPr>
            </w:pPr>
            <w:r>
              <w:rPr>
                <w:kern w:val="0"/>
                <w:szCs w:val="21"/>
              </w:rPr>
              <w:t>14.</w:t>
            </w:r>
            <w:r>
              <w:rPr>
                <w:rFonts w:hint="eastAsia"/>
                <w:kern w:val="0"/>
                <w:szCs w:val="21"/>
              </w:rPr>
              <w:t>加强资源节约集约利用。实行能源、水资源、建设用地总量和强度双控行动，推进节能、节水、节地、节材等节约自然资源行动，从源头减少污染物排放。</w:t>
            </w:r>
          </w:p>
        </w:tc>
        <w:tc>
          <w:tcPr>
            <w:tcW w:w="829" w:type="pct"/>
            <w:vAlign w:val="center"/>
          </w:tcPr>
          <w:p w14:paraId="2F5F55DF">
            <w:pPr>
              <w:adjustRightInd w:val="0"/>
              <w:spacing w:before="24" w:beforeLines="10"/>
              <w:jc w:val="left"/>
              <w:rPr>
                <w:kern w:val="0"/>
                <w:szCs w:val="21"/>
              </w:rPr>
            </w:pPr>
            <w:r>
              <w:rPr>
                <w:rFonts w:hint="eastAsia"/>
                <w:kern w:val="0"/>
                <w:szCs w:val="21"/>
              </w:rPr>
              <w:t>符合。本项目不属于高耗水项目。</w:t>
            </w:r>
          </w:p>
        </w:tc>
        <w:tc>
          <w:tcPr>
            <w:tcW w:w="432" w:type="pct"/>
            <w:vAlign w:val="center"/>
          </w:tcPr>
          <w:p w14:paraId="776E277F">
            <w:pPr>
              <w:adjustRightInd w:val="0"/>
              <w:snapToGrid w:val="0"/>
              <w:spacing w:before="24" w:beforeLines="10"/>
              <w:jc w:val="left"/>
              <w:rPr>
                <w:kern w:val="0"/>
                <w:szCs w:val="21"/>
              </w:rPr>
            </w:pPr>
            <w:r>
              <w:rPr>
                <w:rFonts w:hint="eastAsia"/>
                <w:kern w:val="0"/>
                <w:szCs w:val="21"/>
              </w:rPr>
              <w:t>符合</w:t>
            </w:r>
          </w:p>
        </w:tc>
      </w:tr>
      <w:tr w14:paraId="5C46D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496" w:type="pct"/>
            <w:vMerge w:val="continue"/>
            <w:vAlign w:val="center"/>
          </w:tcPr>
          <w:p w14:paraId="66F550A1">
            <w:pPr>
              <w:adjustRightInd w:val="0"/>
              <w:snapToGrid w:val="0"/>
              <w:spacing w:before="24" w:beforeLines="10"/>
              <w:jc w:val="left"/>
              <w:rPr>
                <w:kern w:val="0"/>
                <w:szCs w:val="21"/>
              </w:rPr>
            </w:pPr>
          </w:p>
        </w:tc>
        <w:tc>
          <w:tcPr>
            <w:tcW w:w="545" w:type="pct"/>
            <w:vMerge w:val="continue"/>
            <w:vAlign w:val="center"/>
          </w:tcPr>
          <w:p w14:paraId="6C232D51">
            <w:pPr>
              <w:adjustRightInd w:val="0"/>
              <w:snapToGrid w:val="0"/>
              <w:spacing w:before="24" w:beforeLines="10"/>
              <w:jc w:val="left"/>
              <w:rPr>
                <w:kern w:val="0"/>
                <w:szCs w:val="21"/>
              </w:rPr>
            </w:pPr>
          </w:p>
        </w:tc>
        <w:tc>
          <w:tcPr>
            <w:tcW w:w="2698" w:type="pct"/>
            <w:vAlign w:val="center"/>
          </w:tcPr>
          <w:p w14:paraId="1C8E6DCB">
            <w:pPr>
              <w:adjustRightInd w:val="0"/>
              <w:spacing w:before="24" w:beforeLines="10"/>
              <w:jc w:val="left"/>
              <w:rPr>
                <w:kern w:val="0"/>
                <w:szCs w:val="21"/>
              </w:rPr>
            </w:pPr>
            <w:r>
              <w:rPr>
                <w:kern w:val="0"/>
                <w:szCs w:val="21"/>
              </w:rPr>
              <w:t>15.</w:t>
            </w:r>
            <w:r>
              <w:rPr>
                <w:rFonts w:hint="eastAsia"/>
                <w:kern w:val="0"/>
                <w:szCs w:val="21"/>
              </w:rPr>
              <w:t>在禁燃区内，禁止销售、燃用高污染燃料，禁止新建、改建、扩建任何燃用高污染燃料的项目和设备，已建成使用高污染燃料的各类设备应当拆除或者改用管道天然气、页岩气、液化石油气、电或者其他清洁能源；在不具备使用清洁能源条件的区域，可使用配备专用锅炉和除尘装置的生物质成型燃料</w:t>
            </w:r>
          </w:p>
        </w:tc>
        <w:tc>
          <w:tcPr>
            <w:tcW w:w="829" w:type="pct"/>
            <w:vAlign w:val="center"/>
          </w:tcPr>
          <w:p w14:paraId="1F16D7D8">
            <w:pPr>
              <w:adjustRightInd w:val="0"/>
              <w:spacing w:before="24" w:beforeLines="10"/>
              <w:jc w:val="left"/>
              <w:rPr>
                <w:kern w:val="0"/>
                <w:szCs w:val="21"/>
              </w:rPr>
            </w:pPr>
            <w:r>
              <w:rPr>
                <w:rFonts w:hint="eastAsia"/>
                <w:kern w:val="0"/>
                <w:szCs w:val="21"/>
              </w:rPr>
              <w:t>符合。本项目不使用高污染燃料。</w:t>
            </w:r>
          </w:p>
        </w:tc>
        <w:tc>
          <w:tcPr>
            <w:tcW w:w="432" w:type="pct"/>
            <w:vAlign w:val="center"/>
          </w:tcPr>
          <w:p w14:paraId="4A633DCE">
            <w:pPr>
              <w:adjustRightInd w:val="0"/>
              <w:snapToGrid w:val="0"/>
              <w:spacing w:before="24" w:beforeLines="10"/>
              <w:jc w:val="left"/>
              <w:rPr>
                <w:kern w:val="0"/>
                <w:szCs w:val="21"/>
              </w:rPr>
            </w:pPr>
            <w:r>
              <w:rPr>
                <w:rFonts w:hint="eastAsia"/>
                <w:kern w:val="0"/>
                <w:szCs w:val="21"/>
              </w:rPr>
              <w:t>符合</w:t>
            </w:r>
          </w:p>
        </w:tc>
      </w:tr>
      <w:tr w14:paraId="42B88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496" w:type="pct"/>
            <w:vMerge w:val="continue"/>
            <w:vAlign w:val="center"/>
          </w:tcPr>
          <w:p w14:paraId="24529248">
            <w:pPr>
              <w:adjustRightInd w:val="0"/>
              <w:snapToGrid w:val="0"/>
              <w:spacing w:before="24" w:beforeLines="10"/>
              <w:jc w:val="left"/>
              <w:rPr>
                <w:kern w:val="0"/>
                <w:szCs w:val="21"/>
              </w:rPr>
            </w:pPr>
          </w:p>
        </w:tc>
        <w:tc>
          <w:tcPr>
            <w:tcW w:w="545" w:type="pct"/>
            <w:vMerge w:val="continue"/>
            <w:vAlign w:val="center"/>
          </w:tcPr>
          <w:p w14:paraId="0EC2A9F4">
            <w:pPr>
              <w:adjustRightInd w:val="0"/>
              <w:snapToGrid w:val="0"/>
              <w:spacing w:before="24" w:beforeLines="10"/>
              <w:jc w:val="left"/>
              <w:rPr>
                <w:kern w:val="0"/>
                <w:szCs w:val="21"/>
              </w:rPr>
            </w:pPr>
          </w:p>
        </w:tc>
        <w:tc>
          <w:tcPr>
            <w:tcW w:w="2698" w:type="pct"/>
            <w:vAlign w:val="center"/>
          </w:tcPr>
          <w:p w14:paraId="5CFEA84A">
            <w:pPr>
              <w:adjustRightInd w:val="0"/>
              <w:spacing w:before="24" w:beforeLines="10"/>
              <w:jc w:val="left"/>
              <w:rPr>
                <w:kern w:val="0"/>
                <w:szCs w:val="21"/>
              </w:rPr>
            </w:pPr>
            <w:r>
              <w:rPr>
                <w:kern w:val="0"/>
                <w:szCs w:val="21"/>
              </w:rPr>
              <w:t>16.</w:t>
            </w:r>
            <w:r>
              <w:rPr>
                <w:rFonts w:hint="eastAsia"/>
                <w:kern w:val="0"/>
                <w:szCs w:val="21"/>
              </w:rPr>
              <w:t>电力、钢铁、纺织、造纸、石油石化、化工、食品发酵等高耗水行业达到先进定额标准。</w:t>
            </w:r>
          </w:p>
        </w:tc>
        <w:tc>
          <w:tcPr>
            <w:tcW w:w="829" w:type="pct"/>
            <w:vAlign w:val="center"/>
          </w:tcPr>
          <w:p w14:paraId="308B16FE">
            <w:pPr>
              <w:adjustRightInd w:val="0"/>
              <w:spacing w:before="24" w:beforeLines="10"/>
              <w:jc w:val="left"/>
              <w:rPr>
                <w:kern w:val="0"/>
                <w:szCs w:val="21"/>
              </w:rPr>
            </w:pPr>
            <w:r>
              <w:rPr>
                <w:rFonts w:hint="eastAsia"/>
                <w:kern w:val="0"/>
                <w:szCs w:val="21"/>
              </w:rPr>
              <w:t>符合。本项目不属于高耗水项目。</w:t>
            </w:r>
          </w:p>
        </w:tc>
        <w:tc>
          <w:tcPr>
            <w:tcW w:w="432" w:type="pct"/>
            <w:vAlign w:val="center"/>
          </w:tcPr>
          <w:p w14:paraId="62FDEEA1">
            <w:pPr>
              <w:adjustRightInd w:val="0"/>
              <w:snapToGrid w:val="0"/>
              <w:spacing w:before="24" w:beforeLines="10"/>
              <w:jc w:val="left"/>
              <w:rPr>
                <w:kern w:val="0"/>
                <w:szCs w:val="21"/>
              </w:rPr>
            </w:pPr>
            <w:r>
              <w:rPr>
                <w:rFonts w:hint="eastAsia"/>
                <w:kern w:val="0"/>
                <w:szCs w:val="21"/>
              </w:rPr>
              <w:t>符合</w:t>
            </w:r>
          </w:p>
        </w:tc>
      </w:tr>
      <w:tr w14:paraId="65C5C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496" w:type="pct"/>
            <w:vMerge w:val="continue"/>
            <w:vAlign w:val="center"/>
          </w:tcPr>
          <w:p w14:paraId="3C1E3122">
            <w:pPr>
              <w:adjustRightInd w:val="0"/>
              <w:snapToGrid w:val="0"/>
              <w:spacing w:before="24" w:beforeLines="10"/>
              <w:jc w:val="left"/>
              <w:rPr>
                <w:kern w:val="0"/>
                <w:szCs w:val="21"/>
              </w:rPr>
            </w:pPr>
          </w:p>
        </w:tc>
        <w:tc>
          <w:tcPr>
            <w:tcW w:w="545" w:type="pct"/>
            <w:vMerge w:val="continue"/>
            <w:vAlign w:val="center"/>
          </w:tcPr>
          <w:p w14:paraId="6D4FADCE">
            <w:pPr>
              <w:adjustRightInd w:val="0"/>
              <w:snapToGrid w:val="0"/>
              <w:spacing w:before="24" w:beforeLines="10"/>
              <w:jc w:val="left"/>
              <w:rPr>
                <w:kern w:val="0"/>
                <w:szCs w:val="21"/>
              </w:rPr>
            </w:pPr>
          </w:p>
        </w:tc>
        <w:tc>
          <w:tcPr>
            <w:tcW w:w="2698" w:type="pct"/>
            <w:vAlign w:val="center"/>
          </w:tcPr>
          <w:p w14:paraId="24CBAA7A">
            <w:pPr>
              <w:adjustRightInd w:val="0"/>
              <w:spacing w:before="24" w:beforeLines="10"/>
              <w:jc w:val="left"/>
              <w:rPr>
                <w:kern w:val="0"/>
                <w:szCs w:val="21"/>
              </w:rPr>
            </w:pPr>
            <w:r>
              <w:rPr>
                <w:kern w:val="0"/>
                <w:szCs w:val="21"/>
              </w:rPr>
              <w:t>17.</w:t>
            </w:r>
            <w:r>
              <w:rPr>
                <w:rFonts w:hint="eastAsia"/>
                <w:kern w:val="0"/>
                <w:szCs w:val="21"/>
              </w:rPr>
              <w:t>重点控制区域新建高耗能项目单位产品（产值）能耗要达到国际先进水平。</w:t>
            </w:r>
          </w:p>
        </w:tc>
        <w:tc>
          <w:tcPr>
            <w:tcW w:w="829" w:type="pct"/>
            <w:vAlign w:val="center"/>
          </w:tcPr>
          <w:p w14:paraId="3457E0DD">
            <w:pPr>
              <w:adjustRightInd w:val="0"/>
              <w:spacing w:before="24" w:beforeLines="10"/>
              <w:jc w:val="left"/>
              <w:rPr>
                <w:kern w:val="0"/>
                <w:szCs w:val="21"/>
              </w:rPr>
            </w:pPr>
            <w:r>
              <w:rPr>
                <w:rFonts w:hint="eastAsia"/>
                <w:kern w:val="0"/>
                <w:szCs w:val="21"/>
              </w:rPr>
              <w:t>符合。本项目不属于高耗能项目。</w:t>
            </w:r>
          </w:p>
        </w:tc>
        <w:tc>
          <w:tcPr>
            <w:tcW w:w="432" w:type="pct"/>
            <w:vAlign w:val="center"/>
          </w:tcPr>
          <w:p w14:paraId="2A5A5042">
            <w:pPr>
              <w:adjustRightInd w:val="0"/>
              <w:snapToGrid w:val="0"/>
              <w:spacing w:before="24" w:beforeLines="10"/>
              <w:jc w:val="left"/>
              <w:rPr>
                <w:kern w:val="0"/>
                <w:szCs w:val="21"/>
              </w:rPr>
            </w:pPr>
            <w:r>
              <w:rPr>
                <w:rFonts w:hint="eastAsia"/>
                <w:kern w:val="0"/>
                <w:szCs w:val="21"/>
              </w:rPr>
              <w:t>符合</w:t>
            </w:r>
          </w:p>
        </w:tc>
      </w:tr>
      <w:tr w14:paraId="1E69A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496" w:type="pct"/>
            <w:vMerge w:val="continue"/>
            <w:vAlign w:val="center"/>
          </w:tcPr>
          <w:p w14:paraId="6ED1EF7A">
            <w:pPr>
              <w:adjustRightInd w:val="0"/>
              <w:snapToGrid w:val="0"/>
              <w:spacing w:before="24" w:beforeLines="10"/>
              <w:jc w:val="left"/>
              <w:rPr>
                <w:kern w:val="0"/>
                <w:szCs w:val="21"/>
              </w:rPr>
            </w:pPr>
          </w:p>
        </w:tc>
        <w:tc>
          <w:tcPr>
            <w:tcW w:w="545" w:type="pct"/>
            <w:vMerge w:val="continue"/>
            <w:vAlign w:val="center"/>
          </w:tcPr>
          <w:p w14:paraId="06DD0EF0">
            <w:pPr>
              <w:adjustRightInd w:val="0"/>
              <w:snapToGrid w:val="0"/>
              <w:spacing w:before="24" w:beforeLines="10"/>
              <w:jc w:val="left"/>
              <w:rPr>
                <w:kern w:val="0"/>
                <w:szCs w:val="21"/>
              </w:rPr>
            </w:pPr>
          </w:p>
        </w:tc>
        <w:tc>
          <w:tcPr>
            <w:tcW w:w="2698" w:type="pct"/>
            <w:vAlign w:val="center"/>
          </w:tcPr>
          <w:p w14:paraId="6992CB27">
            <w:pPr>
              <w:adjustRightInd w:val="0"/>
              <w:spacing w:before="24" w:beforeLines="10"/>
              <w:jc w:val="left"/>
              <w:rPr>
                <w:kern w:val="0"/>
                <w:szCs w:val="21"/>
              </w:rPr>
            </w:pPr>
            <w:r>
              <w:rPr>
                <w:kern w:val="0"/>
                <w:szCs w:val="21"/>
              </w:rPr>
              <w:t>18.</w:t>
            </w:r>
            <w:r>
              <w:rPr>
                <w:rFonts w:hint="eastAsia"/>
                <w:kern w:val="0"/>
                <w:szCs w:val="21"/>
              </w:rPr>
              <w:t>水利水电工程应保证合理的生态流量，具备条件的都应实施生态流量监测监控。</w:t>
            </w:r>
          </w:p>
        </w:tc>
        <w:tc>
          <w:tcPr>
            <w:tcW w:w="829" w:type="pct"/>
            <w:vAlign w:val="center"/>
          </w:tcPr>
          <w:p w14:paraId="3F887953">
            <w:pPr>
              <w:adjustRightInd w:val="0"/>
              <w:spacing w:before="24" w:beforeLines="10"/>
              <w:jc w:val="left"/>
              <w:rPr>
                <w:kern w:val="0"/>
                <w:szCs w:val="21"/>
              </w:rPr>
            </w:pPr>
            <w:r>
              <w:rPr>
                <w:rFonts w:hint="eastAsia"/>
                <w:kern w:val="0"/>
                <w:szCs w:val="21"/>
              </w:rPr>
              <w:t>符合。本项目不属于高耗能项目。</w:t>
            </w:r>
          </w:p>
        </w:tc>
        <w:tc>
          <w:tcPr>
            <w:tcW w:w="432" w:type="pct"/>
            <w:vAlign w:val="center"/>
          </w:tcPr>
          <w:p w14:paraId="71A33D0A">
            <w:pPr>
              <w:adjustRightInd w:val="0"/>
              <w:snapToGrid w:val="0"/>
              <w:spacing w:before="24" w:beforeLines="10"/>
              <w:jc w:val="left"/>
              <w:rPr>
                <w:kern w:val="0"/>
                <w:szCs w:val="21"/>
              </w:rPr>
            </w:pPr>
            <w:r>
              <w:rPr>
                <w:rFonts w:hint="eastAsia"/>
                <w:kern w:val="0"/>
                <w:szCs w:val="21"/>
              </w:rPr>
              <w:t>符合</w:t>
            </w:r>
          </w:p>
        </w:tc>
      </w:tr>
      <w:tr w14:paraId="1A2D2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496" w:type="pct"/>
            <w:vMerge w:val="restart"/>
            <w:vAlign w:val="center"/>
          </w:tcPr>
          <w:p w14:paraId="56DDC725">
            <w:pPr>
              <w:adjustRightInd w:val="0"/>
              <w:snapToGrid w:val="0"/>
              <w:spacing w:before="24" w:beforeLines="10"/>
              <w:jc w:val="left"/>
              <w:rPr>
                <w:kern w:val="0"/>
                <w:szCs w:val="21"/>
              </w:rPr>
            </w:pPr>
            <w:r>
              <w:rPr>
                <w:kern w:val="0"/>
                <w:szCs w:val="21"/>
              </w:rPr>
              <w:t>区县总体管控要求</w:t>
            </w:r>
          </w:p>
        </w:tc>
        <w:tc>
          <w:tcPr>
            <w:tcW w:w="545" w:type="pct"/>
            <w:vMerge w:val="restart"/>
            <w:vAlign w:val="center"/>
          </w:tcPr>
          <w:p w14:paraId="152DC14B">
            <w:pPr>
              <w:adjustRightInd w:val="0"/>
              <w:snapToGrid w:val="0"/>
              <w:spacing w:before="24" w:beforeLines="10"/>
              <w:jc w:val="left"/>
              <w:rPr>
                <w:kern w:val="0"/>
                <w:szCs w:val="21"/>
              </w:rPr>
            </w:pPr>
            <w:r>
              <w:rPr>
                <w:kern w:val="0"/>
                <w:szCs w:val="21"/>
              </w:rPr>
              <w:t>空间布局约束</w:t>
            </w:r>
          </w:p>
        </w:tc>
        <w:tc>
          <w:tcPr>
            <w:tcW w:w="2698" w:type="pct"/>
            <w:vAlign w:val="center"/>
          </w:tcPr>
          <w:p w14:paraId="175D0E79">
            <w:pPr>
              <w:pStyle w:val="2"/>
              <w:adjustRightInd w:val="0"/>
              <w:spacing w:before="24" w:beforeLines="10"/>
              <w:rPr>
                <w:rFonts w:ascii="Times New Roman" w:hAnsi="Times New Roman" w:cs="Times New Roman"/>
                <w:color w:val="auto"/>
                <w:sz w:val="21"/>
                <w:szCs w:val="21"/>
              </w:rPr>
            </w:pPr>
            <w:r>
              <w:rPr>
                <w:rFonts w:hint="eastAsia"/>
                <w:color w:val="auto"/>
                <w:sz w:val="22"/>
                <w:szCs w:val="22"/>
              </w:rPr>
              <w:t>页岩气勘探开发项目应符合城乡总体规划、土地利用规划、页岩气发展规划和生态环境功能区划等相关规划要求，禁止在生态红线内进行页岩气开发活动，页岩气平台选址应避开地下水饮用水源地及其主要补给、径流区。</w:t>
            </w:r>
          </w:p>
        </w:tc>
        <w:tc>
          <w:tcPr>
            <w:tcW w:w="829" w:type="pct"/>
            <w:vAlign w:val="center"/>
          </w:tcPr>
          <w:p w14:paraId="68010295">
            <w:pPr>
              <w:adjustRightInd w:val="0"/>
              <w:spacing w:before="24" w:beforeLines="10"/>
              <w:jc w:val="left"/>
              <w:textAlignment w:val="baseline"/>
              <w:rPr>
                <w:kern w:val="0"/>
                <w:szCs w:val="21"/>
              </w:rPr>
            </w:pPr>
            <w:r>
              <w:rPr>
                <w:rFonts w:hint="eastAsia"/>
                <w:kern w:val="0"/>
                <w:szCs w:val="21"/>
              </w:rPr>
              <w:t>不涉及</w:t>
            </w:r>
          </w:p>
        </w:tc>
        <w:tc>
          <w:tcPr>
            <w:tcW w:w="432" w:type="pct"/>
            <w:vAlign w:val="center"/>
          </w:tcPr>
          <w:p w14:paraId="09CD0B0A">
            <w:pPr>
              <w:adjustRightInd w:val="0"/>
              <w:spacing w:before="24" w:beforeLines="10"/>
              <w:jc w:val="left"/>
              <w:textAlignment w:val="baseline"/>
              <w:rPr>
                <w:kern w:val="0"/>
                <w:szCs w:val="21"/>
              </w:rPr>
            </w:pPr>
            <w:r>
              <w:rPr>
                <w:rFonts w:hint="eastAsia"/>
                <w:kern w:val="0"/>
                <w:szCs w:val="21"/>
              </w:rPr>
              <w:t>符合</w:t>
            </w:r>
          </w:p>
        </w:tc>
      </w:tr>
      <w:tr w14:paraId="3E462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496" w:type="pct"/>
            <w:vMerge w:val="continue"/>
            <w:vAlign w:val="center"/>
          </w:tcPr>
          <w:p w14:paraId="51BA5B6C">
            <w:pPr>
              <w:adjustRightInd w:val="0"/>
              <w:snapToGrid w:val="0"/>
              <w:spacing w:before="24" w:beforeLines="10"/>
              <w:jc w:val="left"/>
              <w:rPr>
                <w:kern w:val="0"/>
                <w:szCs w:val="21"/>
              </w:rPr>
            </w:pPr>
          </w:p>
        </w:tc>
        <w:tc>
          <w:tcPr>
            <w:tcW w:w="545" w:type="pct"/>
            <w:vMerge w:val="continue"/>
            <w:vAlign w:val="center"/>
          </w:tcPr>
          <w:p w14:paraId="75522256">
            <w:pPr>
              <w:adjustRightInd w:val="0"/>
              <w:snapToGrid w:val="0"/>
              <w:spacing w:before="24" w:beforeLines="10"/>
              <w:jc w:val="left"/>
              <w:rPr>
                <w:kern w:val="0"/>
                <w:szCs w:val="21"/>
              </w:rPr>
            </w:pPr>
          </w:p>
        </w:tc>
        <w:tc>
          <w:tcPr>
            <w:tcW w:w="2698" w:type="pct"/>
            <w:vAlign w:val="center"/>
          </w:tcPr>
          <w:p w14:paraId="6AFC30DB">
            <w:pPr>
              <w:adjustRightInd w:val="0"/>
              <w:snapToGrid w:val="0"/>
              <w:spacing w:before="24" w:beforeLines="10"/>
              <w:jc w:val="left"/>
              <w:rPr>
                <w:kern w:val="0"/>
                <w:szCs w:val="21"/>
              </w:rPr>
            </w:pPr>
            <w:r>
              <w:rPr>
                <w:rFonts w:hint="eastAsia"/>
                <w:sz w:val="22"/>
                <w:szCs w:val="22"/>
              </w:rPr>
              <w:t>禁止在长江、乌江干流岸线1公里范围内新建重化工、纺织、造纸等存在污染风险的工业项目，5公里范围内除现有园区拓展外严禁新布局工业园区。</w:t>
            </w:r>
            <w:r>
              <w:rPr>
                <w:rFonts w:hint="eastAsia" w:ascii="Times New Roman" w:hAnsi="Times New Roman"/>
                <w:sz w:val="22"/>
                <w:szCs w:val="22"/>
              </w:rPr>
              <w:t>对工业用地上“零土地”（不涉及新征建设用地）技术改造升级且“两不增”（不增加污染物排放总量、不增大环境风险）的建设项目，对原老工业企业集聚区（地）在城乡规划未改变其工业用地性质的前提和期限内，且列入所在区县工业发展等规划并依法开展了规划环评的项目，依法依规加快推进环评文件审批，帮助企业解决困难。</w:t>
            </w:r>
          </w:p>
        </w:tc>
        <w:tc>
          <w:tcPr>
            <w:tcW w:w="829" w:type="pct"/>
            <w:vAlign w:val="center"/>
          </w:tcPr>
          <w:p w14:paraId="67EB25E3">
            <w:pPr>
              <w:adjustRightInd w:val="0"/>
              <w:spacing w:before="24" w:beforeLines="10"/>
              <w:jc w:val="left"/>
              <w:textAlignment w:val="baseline"/>
              <w:rPr>
                <w:kern w:val="0"/>
                <w:szCs w:val="21"/>
              </w:rPr>
            </w:pPr>
            <w:r>
              <w:rPr>
                <w:rFonts w:hint="eastAsia"/>
                <w:kern w:val="0"/>
                <w:szCs w:val="21"/>
              </w:rPr>
              <w:t>符合，</w:t>
            </w:r>
            <w:r>
              <w:rPr>
                <w:kern w:val="0"/>
                <w:szCs w:val="21"/>
              </w:rPr>
              <w:t>拟建项目</w:t>
            </w:r>
            <w:r>
              <w:rPr>
                <w:rFonts w:hint="eastAsia"/>
                <w:kern w:val="0"/>
                <w:szCs w:val="21"/>
              </w:rPr>
              <w:t>位于重庆白涛工业园区，为液化天然气项目。</w:t>
            </w:r>
            <w:r>
              <w:rPr>
                <w:rFonts w:ascii="Times New Roman" w:hAnsi="Times New Roman" w:cs="Times New Roman"/>
                <w:szCs w:val="21"/>
              </w:rPr>
              <w:t>距离乌江6.</w:t>
            </w:r>
            <w:r>
              <w:rPr>
                <w:rFonts w:hint="eastAsia" w:ascii="Times New Roman" w:hAnsi="Times New Roman" w:cs="Times New Roman"/>
                <w:szCs w:val="21"/>
              </w:rPr>
              <w:t>44</w:t>
            </w:r>
            <w:r>
              <w:rPr>
                <w:rFonts w:ascii="Times New Roman" w:hAnsi="Times New Roman" w:cs="Times New Roman"/>
                <w:szCs w:val="21"/>
              </w:rPr>
              <w:t>km，项目不属于上述禁止建设的项目。</w:t>
            </w:r>
          </w:p>
        </w:tc>
        <w:tc>
          <w:tcPr>
            <w:tcW w:w="432" w:type="pct"/>
            <w:vAlign w:val="center"/>
          </w:tcPr>
          <w:p w14:paraId="431957B2">
            <w:pPr>
              <w:adjustRightInd w:val="0"/>
              <w:spacing w:before="24" w:beforeLines="10"/>
              <w:jc w:val="left"/>
              <w:textAlignment w:val="baseline"/>
              <w:rPr>
                <w:kern w:val="0"/>
                <w:szCs w:val="21"/>
              </w:rPr>
            </w:pPr>
            <w:r>
              <w:rPr>
                <w:rFonts w:hint="eastAsia"/>
                <w:kern w:val="0"/>
                <w:szCs w:val="21"/>
              </w:rPr>
              <w:t>符合</w:t>
            </w:r>
          </w:p>
        </w:tc>
      </w:tr>
      <w:tr w14:paraId="28A4D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496" w:type="pct"/>
            <w:vMerge w:val="continue"/>
            <w:vAlign w:val="center"/>
          </w:tcPr>
          <w:p w14:paraId="2440BADF">
            <w:pPr>
              <w:adjustRightInd w:val="0"/>
              <w:snapToGrid w:val="0"/>
              <w:spacing w:before="24" w:beforeLines="10"/>
              <w:jc w:val="left"/>
              <w:rPr>
                <w:kern w:val="0"/>
                <w:szCs w:val="21"/>
              </w:rPr>
            </w:pPr>
          </w:p>
        </w:tc>
        <w:tc>
          <w:tcPr>
            <w:tcW w:w="545" w:type="pct"/>
            <w:vMerge w:val="continue"/>
            <w:vAlign w:val="center"/>
          </w:tcPr>
          <w:p w14:paraId="624DCED5">
            <w:pPr>
              <w:adjustRightInd w:val="0"/>
              <w:snapToGrid w:val="0"/>
              <w:spacing w:before="24" w:beforeLines="10"/>
              <w:jc w:val="left"/>
              <w:rPr>
                <w:kern w:val="0"/>
                <w:szCs w:val="21"/>
              </w:rPr>
            </w:pPr>
          </w:p>
        </w:tc>
        <w:tc>
          <w:tcPr>
            <w:tcW w:w="2698" w:type="pct"/>
            <w:vAlign w:val="center"/>
          </w:tcPr>
          <w:p w14:paraId="5E04A8B4">
            <w:pPr>
              <w:pStyle w:val="76"/>
              <w:adjustRightInd w:val="0"/>
              <w:snapToGrid w:val="0"/>
              <w:spacing w:before="0" w:beforeAutospacing="0" w:after="0" w:afterAutospacing="0"/>
              <w:jc w:val="both"/>
              <w:rPr>
                <w:sz w:val="22"/>
                <w:szCs w:val="22"/>
              </w:rPr>
            </w:pPr>
            <w:r>
              <w:rPr>
                <w:rFonts w:hint="eastAsia"/>
                <w:sz w:val="22"/>
                <w:szCs w:val="22"/>
              </w:rPr>
              <w:t>重庆白涛工业园区：禁止新建或扩建合成氨项目（区域规划搬迁、综合利用项目除外），不规划食品加工企业等与园区主导产业环境相冲突的项目。</w:t>
            </w:r>
          </w:p>
          <w:p w14:paraId="73C8EDBC">
            <w:pPr>
              <w:adjustRightInd w:val="0"/>
              <w:snapToGrid w:val="0"/>
              <w:spacing w:before="24" w:beforeLines="10"/>
              <w:jc w:val="left"/>
              <w:rPr>
                <w:kern w:val="0"/>
                <w:szCs w:val="21"/>
              </w:rPr>
            </w:pPr>
            <w:r>
              <w:rPr>
                <w:rFonts w:hint="eastAsia"/>
                <w:sz w:val="22"/>
                <w:szCs w:val="22"/>
              </w:rPr>
              <w:t>涪陵工业园区李渡工业园区：禁止新建化工、印染业、燃煤电厂、造纸、水泥生产等重污染项目，禁止新建、扩建排放重金属（铬、镉、汞、砷、铅等五类重金属，下同）、剧毒物质和持久性有机污染物的工业项目。涪陵工业园区龙桥组团：南岸浦片区维持现有燃煤锅炉容量，不新增大型燃煤项目。</w:t>
            </w:r>
          </w:p>
        </w:tc>
        <w:tc>
          <w:tcPr>
            <w:tcW w:w="829" w:type="pct"/>
            <w:vAlign w:val="center"/>
          </w:tcPr>
          <w:p w14:paraId="7E553829">
            <w:pPr>
              <w:adjustRightInd w:val="0"/>
              <w:spacing w:before="24" w:beforeLines="10"/>
              <w:jc w:val="left"/>
              <w:textAlignment w:val="baseline"/>
              <w:rPr>
                <w:kern w:val="0"/>
                <w:szCs w:val="21"/>
              </w:rPr>
            </w:pPr>
            <w:r>
              <w:rPr>
                <w:kern w:val="0"/>
                <w:szCs w:val="21"/>
              </w:rPr>
              <w:t>拟建项目</w:t>
            </w:r>
            <w:r>
              <w:rPr>
                <w:rFonts w:hint="eastAsia"/>
                <w:kern w:val="0"/>
                <w:szCs w:val="21"/>
              </w:rPr>
              <w:t>位于重庆白涛工业园区，为液化天然气项目，</w:t>
            </w:r>
            <w:r>
              <w:rPr>
                <w:kern w:val="0"/>
                <w:szCs w:val="21"/>
              </w:rPr>
              <w:t>不涉及。</w:t>
            </w:r>
          </w:p>
        </w:tc>
        <w:tc>
          <w:tcPr>
            <w:tcW w:w="432" w:type="pct"/>
            <w:vAlign w:val="center"/>
          </w:tcPr>
          <w:p w14:paraId="26586845">
            <w:pPr>
              <w:adjustRightInd w:val="0"/>
              <w:spacing w:before="24" w:beforeLines="10"/>
              <w:jc w:val="left"/>
              <w:textAlignment w:val="baseline"/>
              <w:rPr>
                <w:kern w:val="0"/>
                <w:szCs w:val="21"/>
              </w:rPr>
            </w:pPr>
            <w:r>
              <w:rPr>
                <w:rFonts w:hint="eastAsia"/>
                <w:kern w:val="0"/>
                <w:szCs w:val="21"/>
              </w:rPr>
              <w:t>符合</w:t>
            </w:r>
          </w:p>
        </w:tc>
      </w:tr>
      <w:tr w14:paraId="535C1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496" w:type="pct"/>
            <w:vMerge w:val="continue"/>
            <w:vAlign w:val="center"/>
          </w:tcPr>
          <w:p w14:paraId="57DD1CC5">
            <w:pPr>
              <w:adjustRightInd w:val="0"/>
              <w:snapToGrid w:val="0"/>
              <w:spacing w:before="24" w:beforeLines="10"/>
              <w:jc w:val="left"/>
              <w:rPr>
                <w:kern w:val="0"/>
                <w:szCs w:val="21"/>
              </w:rPr>
            </w:pPr>
          </w:p>
        </w:tc>
        <w:tc>
          <w:tcPr>
            <w:tcW w:w="545" w:type="pct"/>
            <w:vMerge w:val="restart"/>
            <w:vAlign w:val="center"/>
          </w:tcPr>
          <w:p w14:paraId="58A5869C">
            <w:pPr>
              <w:adjustRightInd w:val="0"/>
              <w:snapToGrid w:val="0"/>
              <w:spacing w:before="24" w:beforeLines="10"/>
              <w:jc w:val="left"/>
              <w:rPr>
                <w:kern w:val="0"/>
                <w:szCs w:val="21"/>
              </w:rPr>
            </w:pPr>
            <w:r>
              <w:rPr>
                <w:kern w:val="0"/>
                <w:szCs w:val="21"/>
              </w:rPr>
              <w:t>污染物排放管控</w:t>
            </w:r>
          </w:p>
        </w:tc>
        <w:tc>
          <w:tcPr>
            <w:tcW w:w="2698" w:type="pct"/>
            <w:vAlign w:val="center"/>
          </w:tcPr>
          <w:p w14:paraId="6129EEBA">
            <w:pPr>
              <w:adjustRightInd w:val="0"/>
              <w:snapToGrid w:val="0"/>
              <w:spacing w:before="24" w:beforeLines="10"/>
              <w:jc w:val="left"/>
              <w:rPr>
                <w:kern w:val="0"/>
                <w:szCs w:val="21"/>
              </w:rPr>
            </w:pPr>
            <w:r>
              <w:rPr>
                <w:rFonts w:hint="eastAsia"/>
                <w:sz w:val="22"/>
                <w:szCs w:val="22"/>
              </w:rPr>
              <w:t>改扩建沿江城镇污水处理厂；持续完善二、三家级污水管网。</w:t>
            </w:r>
          </w:p>
        </w:tc>
        <w:tc>
          <w:tcPr>
            <w:tcW w:w="829" w:type="pct"/>
            <w:vAlign w:val="center"/>
          </w:tcPr>
          <w:p w14:paraId="20B85088">
            <w:pPr>
              <w:adjustRightInd w:val="0"/>
              <w:spacing w:before="24" w:beforeLines="10"/>
              <w:jc w:val="left"/>
              <w:textAlignment w:val="baseline"/>
              <w:rPr>
                <w:kern w:val="0"/>
                <w:szCs w:val="21"/>
              </w:rPr>
            </w:pPr>
            <w:r>
              <w:rPr>
                <w:rFonts w:hint="eastAsia"/>
                <w:kern w:val="0"/>
                <w:szCs w:val="21"/>
              </w:rPr>
              <w:t>不涉及</w:t>
            </w:r>
          </w:p>
        </w:tc>
        <w:tc>
          <w:tcPr>
            <w:tcW w:w="432" w:type="pct"/>
            <w:vAlign w:val="center"/>
          </w:tcPr>
          <w:p w14:paraId="59F627A7">
            <w:pPr>
              <w:adjustRightInd w:val="0"/>
              <w:spacing w:before="24" w:beforeLines="10"/>
              <w:jc w:val="left"/>
              <w:textAlignment w:val="baseline"/>
              <w:rPr>
                <w:kern w:val="0"/>
                <w:szCs w:val="21"/>
              </w:rPr>
            </w:pPr>
          </w:p>
        </w:tc>
      </w:tr>
      <w:tr w14:paraId="2CC6F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496" w:type="pct"/>
            <w:vMerge w:val="continue"/>
            <w:vAlign w:val="center"/>
          </w:tcPr>
          <w:p w14:paraId="101DAA47">
            <w:pPr>
              <w:adjustRightInd w:val="0"/>
              <w:snapToGrid w:val="0"/>
              <w:spacing w:before="24" w:beforeLines="10"/>
              <w:jc w:val="left"/>
              <w:rPr>
                <w:kern w:val="0"/>
                <w:szCs w:val="21"/>
              </w:rPr>
            </w:pPr>
          </w:p>
        </w:tc>
        <w:tc>
          <w:tcPr>
            <w:tcW w:w="545" w:type="pct"/>
            <w:vMerge w:val="continue"/>
            <w:vAlign w:val="center"/>
          </w:tcPr>
          <w:p w14:paraId="5D1A1B84">
            <w:pPr>
              <w:adjustRightInd w:val="0"/>
              <w:snapToGrid w:val="0"/>
              <w:spacing w:before="24" w:beforeLines="10"/>
              <w:jc w:val="left"/>
              <w:rPr>
                <w:kern w:val="0"/>
                <w:szCs w:val="21"/>
              </w:rPr>
            </w:pPr>
          </w:p>
        </w:tc>
        <w:tc>
          <w:tcPr>
            <w:tcW w:w="2698" w:type="pct"/>
            <w:vAlign w:val="center"/>
          </w:tcPr>
          <w:p w14:paraId="4D9E79DC">
            <w:pPr>
              <w:adjustRightInd w:val="0"/>
              <w:snapToGrid w:val="0"/>
              <w:spacing w:before="24" w:beforeLines="10"/>
              <w:jc w:val="left"/>
              <w:rPr>
                <w:kern w:val="0"/>
                <w:szCs w:val="21"/>
              </w:rPr>
            </w:pPr>
            <w:r>
              <w:rPr>
                <w:rFonts w:cs="仿宋"/>
                <w:sz w:val="22"/>
                <w:szCs w:val="22"/>
              </w:rPr>
              <w:t>页岩气勘探开发</w:t>
            </w:r>
            <w:r>
              <w:rPr>
                <w:rFonts w:hint="eastAsia" w:cs="仿宋"/>
                <w:sz w:val="22"/>
                <w:szCs w:val="22"/>
              </w:rPr>
              <w:t>产出水</w:t>
            </w:r>
            <w:r>
              <w:rPr>
                <w:rFonts w:cs="仿宋"/>
                <w:sz w:val="22"/>
                <w:szCs w:val="22"/>
              </w:rPr>
              <w:t>应优先进行回用</w:t>
            </w:r>
            <w:r>
              <w:rPr>
                <w:rFonts w:hint="eastAsia" w:cs="仿宋"/>
                <w:sz w:val="22"/>
                <w:szCs w:val="22"/>
              </w:rPr>
              <w:t>。优化页岩气井场内高噪声设备布局，推广网电钻机和网电压裂等先进钻井工艺。</w:t>
            </w:r>
          </w:p>
        </w:tc>
        <w:tc>
          <w:tcPr>
            <w:tcW w:w="829" w:type="pct"/>
            <w:vAlign w:val="center"/>
          </w:tcPr>
          <w:p w14:paraId="53B5BDC5">
            <w:pPr>
              <w:adjustRightInd w:val="0"/>
              <w:spacing w:before="24" w:beforeLines="10"/>
              <w:jc w:val="left"/>
              <w:textAlignment w:val="baseline"/>
              <w:rPr>
                <w:kern w:val="0"/>
                <w:szCs w:val="21"/>
              </w:rPr>
            </w:pPr>
            <w:r>
              <w:rPr>
                <w:rFonts w:hint="eastAsia"/>
                <w:kern w:val="0"/>
                <w:szCs w:val="21"/>
              </w:rPr>
              <w:t>不涉及</w:t>
            </w:r>
          </w:p>
        </w:tc>
        <w:tc>
          <w:tcPr>
            <w:tcW w:w="432" w:type="pct"/>
            <w:vAlign w:val="center"/>
          </w:tcPr>
          <w:p w14:paraId="7E3E0807">
            <w:pPr>
              <w:adjustRightInd w:val="0"/>
              <w:spacing w:before="24" w:beforeLines="10"/>
              <w:jc w:val="left"/>
              <w:textAlignment w:val="baseline"/>
              <w:rPr>
                <w:kern w:val="0"/>
                <w:szCs w:val="21"/>
              </w:rPr>
            </w:pPr>
            <w:r>
              <w:rPr>
                <w:rFonts w:hint="eastAsia"/>
                <w:kern w:val="0"/>
                <w:szCs w:val="21"/>
              </w:rPr>
              <w:t>符合</w:t>
            </w:r>
          </w:p>
        </w:tc>
      </w:tr>
      <w:tr w14:paraId="08718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496" w:type="pct"/>
            <w:vMerge w:val="continue"/>
            <w:vAlign w:val="center"/>
          </w:tcPr>
          <w:p w14:paraId="66F5DD26">
            <w:pPr>
              <w:adjustRightInd w:val="0"/>
              <w:snapToGrid w:val="0"/>
              <w:spacing w:before="24" w:beforeLines="10"/>
              <w:jc w:val="left"/>
              <w:rPr>
                <w:kern w:val="0"/>
                <w:szCs w:val="21"/>
              </w:rPr>
            </w:pPr>
          </w:p>
        </w:tc>
        <w:tc>
          <w:tcPr>
            <w:tcW w:w="545" w:type="pct"/>
            <w:vMerge w:val="continue"/>
            <w:vAlign w:val="center"/>
          </w:tcPr>
          <w:p w14:paraId="0131F47E">
            <w:pPr>
              <w:adjustRightInd w:val="0"/>
              <w:snapToGrid w:val="0"/>
              <w:spacing w:before="24" w:beforeLines="10"/>
              <w:jc w:val="left"/>
              <w:rPr>
                <w:kern w:val="0"/>
                <w:szCs w:val="21"/>
              </w:rPr>
            </w:pPr>
          </w:p>
        </w:tc>
        <w:tc>
          <w:tcPr>
            <w:tcW w:w="2698" w:type="pct"/>
            <w:vAlign w:val="center"/>
          </w:tcPr>
          <w:p w14:paraId="747D38A6">
            <w:pPr>
              <w:adjustRightInd w:val="0"/>
              <w:snapToGrid w:val="0"/>
              <w:spacing w:before="24" w:beforeLines="10"/>
              <w:jc w:val="left"/>
              <w:rPr>
                <w:kern w:val="0"/>
                <w:szCs w:val="21"/>
              </w:rPr>
            </w:pPr>
            <w:r>
              <w:rPr>
                <w:rFonts w:hint="eastAsia" w:cs="仿宋"/>
                <w:sz w:val="22"/>
                <w:szCs w:val="22"/>
              </w:rPr>
              <w:t xml:space="preserve"> 加强涪陵区榨菜废水污染治理。</w:t>
            </w:r>
          </w:p>
        </w:tc>
        <w:tc>
          <w:tcPr>
            <w:tcW w:w="829" w:type="pct"/>
            <w:vAlign w:val="center"/>
          </w:tcPr>
          <w:p w14:paraId="02F31EF6">
            <w:pPr>
              <w:adjustRightInd w:val="0"/>
              <w:spacing w:before="24" w:beforeLines="10"/>
              <w:jc w:val="left"/>
              <w:textAlignment w:val="baseline"/>
              <w:rPr>
                <w:kern w:val="0"/>
                <w:szCs w:val="21"/>
              </w:rPr>
            </w:pPr>
            <w:r>
              <w:rPr>
                <w:rFonts w:hint="eastAsia"/>
                <w:kern w:val="0"/>
                <w:szCs w:val="21"/>
              </w:rPr>
              <w:t>不涉及</w:t>
            </w:r>
          </w:p>
        </w:tc>
        <w:tc>
          <w:tcPr>
            <w:tcW w:w="432" w:type="pct"/>
            <w:vAlign w:val="center"/>
          </w:tcPr>
          <w:p w14:paraId="43F77C8A">
            <w:pPr>
              <w:adjustRightInd w:val="0"/>
              <w:spacing w:before="24" w:beforeLines="10"/>
              <w:jc w:val="left"/>
              <w:textAlignment w:val="baseline"/>
              <w:rPr>
                <w:kern w:val="0"/>
                <w:szCs w:val="21"/>
              </w:rPr>
            </w:pPr>
            <w:r>
              <w:rPr>
                <w:rFonts w:hint="eastAsia"/>
                <w:kern w:val="0"/>
                <w:szCs w:val="21"/>
              </w:rPr>
              <w:t>符合</w:t>
            </w:r>
          </w:p>
        </w:tc>
      </w:tr>
      <w:tr w14:paraId="6A360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496" w:type="pct"/>
            <w:vMerge w:val="continue"/>
            <w:vAlign w:val="center"/>
          </w:tcPr>
          <w:p w14:paraId="05EDDB2A">
            <w:pPr>
              <w:adjustRightInd w:val="0"/>
              <w:snapToGrid w:val="0"/>
              <w:spacing w:before="24" w:beforeLines="10"/>
              <w:jc w:val="left"/>
              <w:rPr>
                <w:kern w:val="0"/>
                <w:szCs w:val="21"/>
              </w:rPr>
            </w:pPr>
          </w:p>
        </w:tc>
        <w:tc>
          <w:tcPr>
            <w:tcW w:w="545" w:type="pct"/>
            <w:vMerge w:val="restart"/>
            <w:vAlign w:val="center"/>
          </w:tcPr>
          <w:p w14:paraId="10FD9587">
            <w:pPr>
              <w:adjustRightInd w:val="0"/>
              <w:snapToGrid w:val="0"/>
              <w:spacing w:before="24" w:beforeLines="10"/>
              <w:jc w:val="left"/>
              <w:rPr>
                <w:kern w:val="0"/>
                <w:szCs w:val="21"/>
              </w:rPr>
            </w:pPr>
            <w:r>
              <w:rPr>
                <w:kern w:val="0"/>
                <w:szCs w:val="21"/>
              </w:rPr>
              <w:t>环境风险防控</w:t>
            </w:r>
          </w:p>
        </w:tc>
        <w:tc>
          <w:tcPr>
            <w:tcW w:w="2698" w:type="pct"/>
            <w:vAlign w:val="center"/>
          </w:tcPr>
          <w:p w14:paraId="6B5E2984">
            <w:pPr>
              <w:adjustRightInd w:val="0"/>
              <w:snapToGrid w:val="0"/>
              <w:spacing w:before="24" w:beforeLines="10"/>
              <w:jc w:val="left"/>
              <w:rPr>
                <w:kern w:val="0"/>
                <w:szCs w:val="21"/>
              </w:rPr>
            </w:pPr>
            <w:r>
              <w:rPr>
                <w:rFonts w:hint="eastAsia" w:cs="仿宋"/>
                <w:sz w:val="22"/>
                <w:szCs w:val="22"/>
              </w:rPr>
              <w:t>加强工业园区水环境风险防范。完善水污染事故预警预报与响应程序。</w:t>
            </w:r>
          </w:p>
        </w:tc>
        <w:tc>
          <w:tcPr>
            <w:tcW w:w="829" w:type="pct"/>
            <w:vAlign w:val="center"/>
          </w:tcPr>
          <w:p w14:paraId="166BA61D">
            <w:pPr>
              <w:adjustRightInd w:val="0"/>
              <w:spacing w:before="24" w:beforeLines="10"/>
              <w:jc w:val="left"/>
              <w:textAlignment w:val="baseline"/>
              <w:rPr>
                <w:kern w:val="0"/>
                <w:szCs w:val="21"/>
              </w:rPr>
            </w:pPr>
            <w:r>
              <w:rPr>
                <w:kern w:val="0"/>
                <w:szCs w:val="21"/>
              </w:rPr>
              <w:t>符合</w:t>
            </w:r>
            <w:r>
              <w:rPr>
                <w:rFonts w:hint="eastAsia"/>
                <w:kern w:val="0"/>
                <w:szCs w:val="21"/>
              </w:rPr>
              <w:t>，本项目环境风险不大</w:t>
            </w:r>
            <w:r>
              <w:rPr>
                <w:kern w:val="0"/>
                <w:szCs w:val="21"/>
              </w:rPr>
              <w:t>。</w:t>
            </w:r>
          </w:p>
        </w:tc>
        <w:tc>
          <w:tcPr>
            <w:tcW w:w="432" w:type="pct"/>
            <w:vAlign w:val="center"/>
          </w:tcPr>
          <w:p w14:paraId="3AD0756F">
            <w:pPr>
              <w:adjustRightInd w:val="0"/>
              <w:spacing w:before="24" w:beforeLines="10"/>
              <w:jc w:val="left"/>
              <w:textAlignment w:val="baseline"/>
              <w:rPr>
                <w:kern w:val="0"/>
                <w:szCs w:val="21"/>
              </w:rPr>
            </w:pPr>
            <w:r>
              <w:rPr>
                <w:rFonts w:hint="eastAsia"/>
                <w:kern w:val="0"/>
                <w:szCs w:val="21"/>
              </w:rPr>
              <w:t>符合</w:t>
            </w:r>
          </w:p>
        </w:tc>
      </w:tr>
      <w:tr w14:paraId="45B7B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96" w:type="pct"/>
            <w:vMerge w:val="continue"/>
            <w:vAlign w:val="center"/>
          </w:tcPr>
          <w:p w14:paraId="35C7D437">
            <w:pPr>
              <w:adjustRightInd w:val="0"/>
              <w:snapToGrid w:val="0"/>
              <w:spacing w:before="24" w:beforeLines="10"/>
              <w:jc w:val="left"/>
              <w:rPr>
                <w:kern w:val="0"/>
                <w:szCs w:val="21"/>
              </w:rPr>
            </w:pPr>
          </w:p>
        </w:tc>
        <w:tc>
          <w:tcPr>
            <w:tcW w:w="545" w:type="pct"/>
            <w:vMerge w:val="continue"/>
            <w:vAlign w:val="center"/>
          </w:tcPr>
          <w:p w14:paraId="4E24FFDF">
            <w:pPr>
              <w:adjustRightInd w:val="0"/>
              <w:snapToGrid w:val="0"/>
              <w:spacing w:before="24" w:beforeLines="10"/>
              <w:jc w:val="left"/>
              <w:rPr>
                <w:kern w:val="0"/>
                <w:szCs w:val="21"/>
              </w:rPr>
            </w:pPr>
          </w:p>
        </w:tc>
        <w:tc>
          <w:tcPr>
            <w:tcW w:w="2698" w:type="pct"/>
            <w:vAlign w:val="center"/>
          </w:tcPr>
          <w:p w14:paraId="7C78E932">
            <w:pPr>
              <w:adjustRightInd w:val="0"/>
              <w:snapToGrid w:val="0"/>
              <w:spacing w:before="24" w:beforeLines="10"/>
              <w:jc w:val="left"/>
              <w:rPr>
                <w:kern w:val="0"/>
                <w:szCs w:val="21"/>
              </w:rPr>
            </w:pPr>
            <w:r>
              <w:rPr>
                <w:rFonts w:hint="eastAsia" w:cs="仿宋"/>
                <w:sz w:val="22"/>
                <w:szCs w:val="22"/>
              </w:rPr>
              <w:t>推进涪陵江南主城和涪陵新城区的双水源建设。</w:t>
            </w:r>
          </w:p>
        </w:tc>
        <w:tc>
          <w:tcPr>
            <w:tcW w:w="829" w:type="pct"/>
            <w:vAlign w:val="center"/>
          </w:tcPr>
          <w:p w14:paraId="4597258A">
            <w:pPr>
              <w:adjustRightInd w:val="0"/>
              <w:spacing w:before="24" w:beforeLines="10"/>
              <w:jc w:val="left"/>
              <w:textAlignment w:val="baseline"/>
              <w:rPr>
                <w:kern w:val="0"/>
                <w:szCs w:val="21"/>
              </w:rPr>
            </w:pPr>
            <w:r>
              <w:rPr>
                <w:rFonts w:hint="eastAsia"/>
                <w:kern w:val="0"/>
                <w:szCs w:val="21"/>
              </w:rPr>
              <w:t>不涉及</w:t>
            </w:r>
          </w:p>
        </w:tc>
        <w:tc>
          <w:tcPr>
            <w:tcW w:w="432" w:type="pct"/>
            <w:vAlign w:val="center"/>
          </w:tcPr>
          <w:p w14:paraId="5287FB12">
            <w:pPr>
              <w:adjustRightInd w:val="0"/>
              <w:spacing w:before="24" w:beforeLines="10"/>
              <w:jc w:val="left"/>
              <w:textAlignment w:val="baseline"/>
              <w:rPr>
                <w:kern w:val="0"/>
                <w:szCs w:val="21"/>
              </w:rPr>
            </w:pPr>
          </w:p>
        </w:tc>
      </w:tr>
      <w:tr w14:paraId="1669C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trPr>
        <w:tc>
          <w:tcPr>
            <w:tcW w:w="496" w:type="pct"/>
            <w:vMerge w:val="continue"/>
            <w:vAlign w:val="center"/>
          </w:tcPr>
          <w:p w14:paraId="33E17251">
            <w:pPr>
              <w:adjustRightInd w:val="0"/>
              <w:snapToGrid w:val="0"/>
              <w:spacing w:before="24" w:beforeLines="10"/>
              <w:jc w:val="left"/>
              <w:rPr>
                <w:kern w:val="0"/>
                <w:szCs w:val="21"/>
              </w:rPr>
            </w:pPr>
          </w:p>
        </w:tc>
        <w:tc>
          <w:tcPr>
            <w:tcW w:w="545" w:type="pct"/>
            <w:vAlign w:val="center"/>
          </w:tcPr>
          <w:p w14:paraId="6AEB6623">
            <w:pPr>
              <w:adjustRightInd w:val="0"/>
              <w:snapToGrid w:val="0"/>
              <w:spacing w:before="24" w:beforeLines="10"/>
              <w:jc w:val="left"/>
              <w:rPr>
                <w:kern w:val="0"/>
                <w:szCs w:val="21"/>
              </w:rPr>
            </w:pPr>
            <w:r>
              <w:rPr>
                <w:kern w:val="0"/>
                <w:szCs w:val="21"/>
              </w:rPr>
              <w:t>资源开发利用效率</w:t>
            </w:r>
          </w:p>
        </w:tc>
        <w:tc>
          <w:tcPr>
            <w:tcW w:w="2698" w:type="pct"/>
            <w:vAlign w:val="center"/>
          </w:tcPr>
          <w:p w14:paraId="63BA4F50">
            <w:pPr>
              <w:adjustRightInd w:val="0"/>
              <w:snapToGrid w:val="0"/>
              <w:spacing w:before="24" w:beforeLines="10"/>
              <w:jc w:val="left"/>
              <w:rPr>
                <w:kern w:val="0"/>
                <w:szCs w:val="21"/>
              </w:rPr>
            </w:pPr>
            <w:r>
              <w:rPr>
                <w:rFonts w:hint="eastAsia"/>
                <w:snapToGrid w:val="0"/>
                <w:sz w:val="22"/>
                <w:szCs w:val="22"/>
              </w:rPr>
              <w:t>火电机组供电煤耗低于310克/千瓦时。</w:t>
            </w:r>
          </w:p>
        </w:tc>
        <w:tc>
          <w:tcPr>
            <w:tcW w:w="829" w:type="pct"/>
            <w:vAlign w:val="center"/>
          </w:tcPr>
          <w:p w14:paraId="7D81A0FA">
            <w:pPr>
              <w:adjustRightInd w:val="0"/>
              <w:spacing w:before="24" w:beforeLines="10"/>
              <w:jc w:val="left"/>
              <w:textAlignment w:val="baseline"/>
              <w:rPr>
                <w:kern w:val="0"/>
                <w:szCs w:val="21"/>
              </w:rPr>
            </w:pPr>
            <w:r>
              <w:rPr>
                <w:rFonts w:hint="eastAsia"/>
                <w:kern w:val="0"/>
                <w:szCs w:val="21"/>
              </w:rPr>
              <w:t>不涉及</w:t>
            </w:r>
          </w:p>
        </w:tc>
        <w:tc>
          <w:tcPr>
            <w:tcW w:w="432" w:type="pct"/>
            <w:vAlign w:val="center"/>
          </w:tcPr>
          <w:p w14:paraId="71098CC1">
            <w:pPr>
              <w:adjustRightInd w:val="0"/>
              <w:spacing w:before="24" w:beforeLines="10"/>
              <w:jc w:val="left"/>
              <w:textAlignment w:val="baseline"/>
              <w:rPr>
                <w:kern w:val="0"/>
                <w:szCs w:val="21"/>
              </w:rPr>
            </w:pPr>
            <w:r>
              <w:rPr>
                <w:rFonts w:hint="eastAsia"/>
                <w:kern w:val="0"/>
                <w:szCs w:val="21"/>
              </w:rPr>
              <w:t>符合</w:t>
            </w:r>
          </w:p>
        </w:tc>
      </w:tr>
      <w:tr w14:paraId="28194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6" w:type="pct"/>
            <w:vMerge w:val="restart"/>
            <w:vAlign w:val="center"/>
          </w:tcPr>
          <w:p w14:paraId="72ACA361">
            <w:pPr>
              <w:adjustRightInd w:val="0"/>
              <w:snapToGrid w:val="0"/>
              <w:spacing w:before="24" w:beforeLines="10"/>
              <w:jc w:val="left"/>
              <w:rPr>
                <w:kern w:val="0"/>
                <w:szCs w:val="21"/>
              </w:rPr>
            </w:pPr>
            <w:r>
              <w:rPr>
                <w:kern w:val="0"/>
                <w:szCs w:val="21"/>
              </w:rPr>
              <w:t>单元管控要求</w:t>
            </w:r>
          </w:p>
        </w:tc>
        <w:tc>
          <w:tcPr>
            <w:tcW w:w="545" w:type="pct"/>
            <w:vAlign w:val="center"/>
          </w:tcPr>
          <w:p w14:paraId="6404A697">
            <w:pPr>
              <w:adjustRightInd w:val="0"/>
              <w:snapToGrid w:val="0"/>
              <w:spacing w:before="24" w:beforeLines="10"/>
              <w:jc w:val="left"/>
              <w:rPr>
                <w:kern w:val="0"/>
                <w:szCs w:val="21"/>
              </w:rPr>
            </w:pPr>
            <w:r>
              <w:rPr>
                <w:kern w:val="0"/>
                <w:szCs w:val="21"/>
              </w:rPr>
              <w:t>空间布局约束</w:t>
            </w:r>
          </w:p>
        </w:tc>
        <w:tc>
          <w:tcPr>
            <w:tcW w:w="2698" w:type="pct"/>
            <w:vAlign w:val="center"/>
          </w:tcPr>
          <w:p w14:paraId="2177CD7E">
            <w:pPr>
              <w:adjustRightInd w:val="0"/>
              <w:spacing w:before="24" w:beforeLines="10"/>
              <w:jc w:val="left"/>
              <w:textAlignment w:val="baseline"/>
              <w:rPr>
                <w:kern w:val="0"/>
                <w:szCs w:val="21"/>
              </w:rPr>
            </w:pPr>
            <w:r>
              <w:rPr>
                <w:rFonts w:ascii="Times New Roman" w:hAnsi="Times New Roman" w:cs="Times New Roman"/>
                <w:szCs w:val="21"/>
              </w:rPr>
              <w:t>1.重庆白涛园区不得规划食品加工企业等与园区主导产业环境相冲突的项目；2.禁止新建或扩建合成氨项目（区域规划搬迁、综合利用项目除外）；3.禁止在乌江干流岸线1公里范围内新建重化工、纺织、造纸等存在污染风险的工业项目；4.化工园区外禁止新建、扩建化工项目；5.禁止在乌江干岸线175米库岸沿线至第一山脊线范围内建设露天采矿项目。</w:t>
            </w:r>
          </w:p>
        </w:tc>
        <w:tc>
          <w:tcPr>
            <w:tcW w:w="829" w:type="pct"/>
            <w:vAlign w:val="center"/>
          </w:tcPr>
          <w:p w14:paraId="0C131E10">
            <w:pPr>
              <w:adjustRightInd w:val="0"/>
              <w:spacing w:before="24" w:beforeLines="10"/>
              <w:jc w:val="left"/>
              <w:textAlignment w:val="baseline"/>
              <w:rPr>
                <w:kern w:val="0"/>
                <w:szCs w:val="21"/>
              </w:rPr>
            </w:pPr>
            <w:r>
              <w:rPr>
                <w:rFonts w:ascii="Times New Roman" w:hAnsi="Times New Roman" w:cs="Times New Roman"/>
                <w:szCs w:val="21"/>
              </w:rPr>
              <w:t>项目位于重庆白涛化工园区涪陵LNG工厂内，</w:t>
            </w:r>
            <w:r>
              <w:rPr>
                <w:rFonts w:hint="eastAsia" w:ascii="Times New Roman" w:hAnsi="Times New Roman" w:cs="Times New Roman"/>
                <w:szCs w:val="21"/>
              </w:rPr>
              <w:t>为液化天然气项目</w:t>
            </w:r>
            <w:r>
              <w:rPr>
                <w:rFonts w:ascii="Times New Roman" w:hAnsi="Times New Roman" w:cs="Times New Roman"/>
                <w:szCs w:val="21"/>
              </w:rPr>
              <w:t>，不属于食品加工等与园区主导产业环境相冲突的项目。项目距离乌江6.</w:t>
            </w:r>
            <w:r>
              <w:rPr>
                <w:rFonts w:hint="eastAsia" w:ascii="Times New Roman" w:hAnsi="Times New Roman" w:cs="Times New Roman"/>
                <w:szCs w:val="21"/>
              </w:rPr>
              <w:t>44</w:t>
            </w:r>
            <w:r>
              <w:rPr>
                <w:rFonts w:ascii="Times New Roman" w:hAnsi="Times New Roman" w:cs="Times New Roman"/>
                <w:szCs w:val="21"/>
              </w:rPr>
              <w:t>km，项目不属于上述禁止建设的项目。</w:t>
            </w:r>
          </w:p>
        </w:tc>
        <w:tc>
          <w:tcPr>
            <w:tcW w:w="432" w:type="pct"/>
            <w:vAlign w:val="center"/>
          </w:tcPr>
          <w:p w14:paraId="547503A2">
            <w:pPr>
              <w:adjustRightInd w:val="0"/>
              <w:spacing w:before="24" w:beforeLines="10"/>
              <w:jc w:val="left"/>
              <w:textAlignment w:val="baseline"/>
              <w:rPr>
                <w:kern w:val="0"/>
                <w:szCs w:val="21"/>
              </w:rPr>
            </w:pPr>
            <w:r>
              <w:rPr>
                <w:kern w:val="0"/>
                <w:szCs w:val="21"/>
              </w:rPr>
              <w:t>符合</w:t>
            </w:r>
          </w:p>
        </w:tc>
      </w:tr>
      <w:tr w14:paraId="6976C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6" w:type="pct"/>
            <w:vMerge w:val="continue"/>
            <w:vAlign w:val="center"/>
          </w:tcPr>
          <w:p w14:paraId="6C549DA2">
            <w:pPr>
              <w:adjustRightInd w:val="0"/>
              <w:snapToGrid w:val="0"/>
              <w:spacing w:before="24" w:beforeLines="10"/>
              <w:jc w:val="left"/>
              <w:rPr>
                <w:kern w:val="0"/>
                <w:szCs w:val="21"/>
              </w:rPr>
            </w:pPr>
          </w:p>
        </w:tc>
        <w:tc>
          <w:tcPr>
            <w:tcW w:w="545" w:type="pct"/>
            <w:vAlign w:val="center"/>
          </w:tcPr>
          <w:p w14:paraId="053033CF">
            <w:pPr>
              <w:adjustRightInd w:val="0"/>
              <w:snapToGrid w:val="0"/>
              <w:spacing w:before="24" w:beforeLines="10"/>
              <w:jc w:val="left"/>
              <w:rPr>
                <w:kern w:val="0"/>
                <w:szCs w:val="21"/>
              </w:rPr>
            </w:pPr>
            <w:r>
              <w:rPr>
                <w:kern w:val="0"/>
                <w:szCs w:val="21"/>
              </w:rPr>
              <w:t>污染物排放管控</w:t>
            </w:r>
          </w:p>
        </w:tc>
        <w:tc>
          <w:tcPr>
            <w:tcW w:w="2698" w:type="pct"/>
            <w:vAlign w:val="center"/>
          </w:tcPr>
          <w:p w14:paraId="25404BAA">
            <w:pPr>
              <w:adjustRightInd w:val="0"/>
              <w:spacing w:before="24" w:beforeLines="10"/>
              <w:jc w:val="left"/>
              <w:textAlignment w:val="baseline"/>
              <w:rPr>
                <w:kern w:val="0"/>
                <w:szCs w:val="21"/>
              </w:rPr>
            </w:pPr>
            <w:r>
              <w:rPr>
                <w:rFonts w:ascii="Times New Roman" w:hAnsi="Times New Roman" w:cs="Times New Roman"/>
                <w:spacing w:val="-4"/>
                <w:szCs w:val="21"/>
              </w:rPr>
              <w:t>1.严控涪陵工业园区龙桥组团南岸浦片区燃煤热电项目建设；2.涪陵江南主城区逐步实施城市建成区国Ⅰ排放标准汽油车、国Ⅲ排放标准柴油车限行、推进国Ⅲ及以下排放标准营运柴油车提前淘汰更新；江南主城区禁止新建扩建工业企业，现有城区大气污染严重企业逐步退城入园（现有实施清洁生产改造企业除外）；3.建设页岩气田产出水收集及处理系统，集中处理区域内页岩气田产出水；4.完善城区和乡镇集中污水处理厂和二三级污水管网。</w:t>
            </w:r>
          </w:p>
        </w:tc>
        <w:tc>
          <w:tcPr>
            <w:tcW w:w="829" w:type="pct"/>
            <w:vAlign w:val="center"/>
          </w:tcPr>
          <w:p w14:paraId="2EA38CD4">
            <w:pPr>
              <w:adjustRightInd w:val="0"/>
              <w:spacing w:before="24" w:beforeLines="10"/>
              <w:jc w:val="left"/>
              <w:textAlignment w:val="baseline"/>
              <w:rPr>
                <w:kern w:val="0"/>
                <w:szCs w:val="21"/>
              </w:rPr>
            </w:pPr>
            <w:r>
              <w:rPr>
                <w:rFonts w:ascii="Times New Roman" w:hAnsi="Times New Roman" w:cs="Times New Roman"/>
                <w:spacing w:val="-4"/>
                <w:szCs w:val="21"/>
              </w:rPr>
              <w:t>不涉及</w:t>
            </w:r>
          </w:p>
        </w:tc>
        <w:tc>
          <w:tcPr>
            <w:tcW w:w="432" w:type="pct"/>
            <w:vAlign w:val="center"/>
          </w:tcPr>
          <w:p w14:paraId="535E7336">
            <w:pPr>
              <w:adjustRightInd w:val="0"/>
              <w:spacing w:before="24" w:beforeLines="10"/>
              <w:jc w:val="left"/>
              <w:textAlignment w:val="baseline"/>
              <w:rPr>
                <w:kern w:val="0"/>
                <w:szCs w:val="21"/>
              </w:rPr>
            </w:pPr>
            <w:r>
              <w:rPr>
                <w:kern w:val="0"/>
                <w:szCs w:val="21"/>
              </w:rPr>
              <w:t>符合</w:t>
            </w:r>
          </w:p>
        </w:tc>
      </w:tr>
      <w:tr w14:paraId="5F215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6" w:type="pct"/>
            <w:vMerge w:val="continue"/>
            <w:vAlign w:val="center"/>
          </w:tcPr>
          <w:p w14:paraId="0C0D80FB">
            <w:pPr>
              <w:adjustRightInd w:val="0"/>
              <w:snapToGrid w:val="0"/>
              <w:spacing w:before="24" w:beforeLines="10"/>
              <w:jc w:val="left"/>
              <w:rPr>
                <w:kern w:val="0"/>
                <w:szCs w:val="21"/>
              </w:rPr>
            </w:pPr>
          </w:p>
        </w:tc>
        <w:tc>
          <w:tcPr>
            <w:tcW w:w="545" w:type="pct"/>
            <w:vAlign w:val="center"/>
          </w:tcPr>
          <w:p w14:paraId="7D19C531">
            <w:pPr>
              <w:adjustRightInd w:val="0"/>
              <w:snapToGrid w:val="0"/>
              <w:spacing w:before="24" w:beforeLines="10"/>
              <w:jc w:val="left"/>
              <w:rPr>
                <w:kern w:val="0"/>
                <w:szCs w:val="21"/>
              </w:rPr>
            </w:pPr>
            <w:r>
              <w:rPr>
                <w:kern w:val="0"/>
                <w:szCs w:val="21"/>
              </w:rPr>
              <w:t>环境风险防控</w:t>
            </w:r>
          </w:p>
        </w:tc>
        <w:tc>
          <w:tcPr>
            <w:tcW w:w="2698" w:type="pct"/>
            <w:vAlign w:val="center"/>
          </w:tcPr>
          <w:p w14:paraId="60AEE8DA">
            <w:pPr>
              <w:adjustRightInd w:val="0"/>
              <w:spacing w:before="24" w:beforeLines="10"/>
              <w:jc w:val="left"/>
              <w:textAlignment w:val="baseline"/>
              <w:rPr>
                <w:kern w:val="0"/>
                <w:szCs w:val="21"/>
              </w:rPr>
            </w:pPr>
            <w:r>
              <w:rPr>
                <w:rFonts w:ascii="Times New Roman" w:hAnsi="Times New Roman" w:cs="Times New Roman"/>
                <w:szCs w:val="21"/>
              </w:rPr>
              <w:t>1.完善白涛园区环境风险防范体系，严格控制项目环境风险，合理布局生产装置及危险化学品仓储等设施；2.强化乌江岸线1公里范围内危化品码头的环境风险防范措施；3.加强区域页岩气开发中的水污染风险管控，采用先进环保的钻采工艺，切实保护区域水环境。</w:t>
            </w:r>
          </w:p>
        </w:tc>
        <w:tc>
          <w:tcPr>
            <w:tcW w:w="829" w:type="pct"/>
            <w:vAlign w:val="center"/>
          </w:tcPr>
          <w:p w14:paraId="3127DD5F">
            <w:pPr>
              <w:adjustRightInd w:val="0"/>
              <w:spacing w:before="24" w:beforeLines="10"/>
              <w:jc w:val="left"/>
              <w:textAlignment w:val="baseline"/>
              <w:rPr>
                <w:kern w:val="0"/>
                <w:szCs w:val="21"/>
              </w:rPr>
            </w:pPr>
            <w:r>
              <w:rPr>
                <w:rFonts w:ascii="Times New Roman" w:hAnsi="Times New Roman" w:cs="Times New Roman"/>
                <w:szCs w:val="21"/>
              </w:rPr>
              <w:t>项目提出了风险防范措施及风险应急预案，可将环境风险概率降低到可接受的程度。</w:t>
            </w:r>
          </w:p>
        </w:tc>
        <w:tc>
          <w:tcPr>
            <w:tcW w:w="432" w:type="pct"/>
            <w:vAlign w:val="center"/>
          </w:tcPr>
          <w:p w14:paraId="616447BF">
            <w:pPr>
              <w:adjustRightInd w:val="0"/>
              <w:spacing w:before="24" w:beforeLines="10"/>
              <w:jc w:val="left"/>
              <w:textAlignment w:val="baseline"/>
              <w:rPr>
                <w:kern w:val="0"/>
                <w:szCs w:val="21"/>
              </w:rPr>
            </w:pPr>
            <w:r>
              <w:rPr>
                <w:kern w:val="0"/>
                <w:szCs w:val="21"/>
              </w:rPr>
              <w:t>符合</w:t>
            </w:r>
          </w:p>
        </w:tc>
      </w:tr>
      <w:tr w14:paraId="0B4EF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6" w:type="pct"/>
            <w:vMerge w:val="continue"/>
            <w:vAlign w:val="center"/>
          </w:tcPr>
          <w:p w14:paraId="1D8A90FB">
            <w:pPr>
              <w:adjustRightInd w:val="0"/>
              <w:snapToGrid w:val="0"/>
              <w:spacing w:before="24" w:beforeLines="10"/>
              <w:jc w:val="left"/>
              <w:rPr>
                <w:kern w:val="0"/>
                <w:szCs w:val="21"/>
              </w:rPr>
            </w:pPr>
          </w:p>
        </w:tc>
        <w:tc>
          <w:tcPr>
            <w:tcW w:w="545" w:type="pct"/>
            <w:vAlign w:val="center"/>
          </w:tcPr>
          <w:p w14:paraId="67E8B87C">
            <w:pPr>
              <w:adjustRightInd w:val="0"/>
              <w:snapToGrid w:val="0"/>
              <w:spacing w:before="24" w:beforeLines="10"/>
              <w:jc w:val="left"/>
              <w:rPr>
                <w:kern w:val="0"/>
                <w:szCs w:val="21"/>
              </w:rPr>
            </w:pPr>
            <w:r>
              <w:rPr>
                <w:kern w:val="0"/>
                <w:szCs w:val="21"/>
              </w:rPr>
              <w:t>资源开发利用效率</w:t>
            </w:r>
          </w:p>
        </w:tc>
        <w:tc>
          <w:tcPr>
            <w:tcW w:w="2698" w:type="pct"/>
            <w:vAlign w:val="center"/>
          </w:tcPr>
          <w:p w14:paraId="65FA5BF0">
            <w:pPr>
              <w:adjustRightInd w:val="0"/>
              <w:spacing w:before="24" w:beforeLines="10"/>
              <w:jc w:val="left"/>
              <w:textAlignment w:val="baseline"/>
              <w:rPr>
                <w:kern w:val="0"/>
                <w:szCs w:val="21"/>
              </w:rPr>
            </w:pPr>
            <w:r>
              <w:rPr>
                <w:rFonts w:ascii="Times New Roman" w:hAnsi="Times New Roman" w:cs="Times New Roman"/>
                <w:color w:val="000000"/>
                <w:szCs w:val="21"/>
              </w:rPr>
              <w:t>对建峰化工自来水厂、蒿枝坝自来水厂、马脚溪自来水厂集中式饮用水源保护区，以及小溪风景名胜区、乌江森林公园、乌江沿线自然生态岸线要严加保护，不得违规侵占，严禁进行影响饮用水源保护和破坏生态环境的开发活动。</w:t>
            </w:r>
          </w:p>
        </w:tc>
        <w:tc>
          <w:tcPr>
            <w:tcW w:w="829" w:type="pct"/>
            <w:vAlign w:val="center"/>
          </w:tcPr>
          <w:p w14:paraId="50A5FFCC">
            <w:pPr>
              <w:adjustRightInd w:val="0"/>
              <w:spacing w:before="24" w:beforeLines="10"/>
              <w:jc w:val="left"/>
              <w:textAlignment w:val="baseline"/>
              <w:rPr>
                <w:kern w:val="0"/>
                <w:szCs w:val="21"/>
              </w:rPr>
            </w:pPr>
            <w:r>
              <w:rPr>
                <w:rFonts w:ascii="Times New Roman" w:hAnsi="Times New Roman" w:cs="Times New Roman"/>
                <w:color w:val="000000"/>
                <w:szCs w:val="21"/>
              </w:rPr>
              <w:t>项目为改扩建项目，位于现有LNG工厂区内，不新增占地；不涉及饮用水源保护区等敏感区</w:t>
            </w:r>
          </w:p>
        </w:tc>
        <w:tc>
          <w:tcPr>
            <w:tcW w:w="432" w:type="pct"/>
            <w:vAlign w:val="center"/>
          </w:tcPr>
          <w:p w14:paraId="0B530762">
            <w:pPr>
              <w:adjustRightInd w:val="0"/>
              <w:spacing w:before="24" w:beforeLines="10"/>
              <w:jc w:val="left"/>
              <w:textAlignment w:val="baseline"/>
              <w:rPr>
                <w:kern w:val="0"/>
                <w:szCs w:val="21"/>
              </w:rPr>
            </w:pPr>
            <w:r>
              <w:rPr>
                <w:kern w:val="0"/>
                <w:szCs w:val="21"/>
              </w:rPr>
              <w:t>符合</w:t>
            </w:r>
          </w:p>
        </w:tc>
      </w:tr>
    </w:tbl>
    <w:p w14:paraId="7099E9B5">
      <w:pPr>
        <w:pStyle w:val="7"/>
        <w:rPr>
          <w:lang w:val="en-US"/>
        </w:rPr>
      </w:pPr>
    </w:p>
    <w:p w14:paraId="5BA7B9DE">
      <w:pPr>
        <w:tabs>
          <w:tab w:val="center" w:pos="4422"/>
        </w:tabs>
        <w:adjustRightInd w:val="0"/>
        <w:snapToGrid w:val="0"/>
        <w:spacing w:line="480" w:lineRule="exact"/>
        <w:rPr>
          <w:rFonts w:ascii="Times New Roman" w:hAnsi="Times New Roman" w:cs="Times New Roman"/>
          <w:b/>
          <w:sz w:val="24"/>
          <w:szCs w:val="20"/>
          <w:lang w:val="zh-CN"/>
        </w:rPr>
      </w:pPr>
      <w:r>
        <w:rPr>
          <w:rFonts w:ascii="Times New Roman" w:hAnsi="Times New Roman" w:cs="Times New Roman"/>
          <w:b/>
          <w:sz w:val="24"/>
          <w:szCs w:val="20"/>
          <w:lang w:val="zh-CN"/>
        </w:rPr>
        <w:tab/>
      </w:r>
    </w:p>
    <w:p w14:paraId="4C924FE4">
      <w:pPr>
        <w:rPr>
          <w:rFonts w:ascii="Times New Roman" w:hAnsi="Times New Roman" w:cs="Times New Roman"/>
          <w:sz w:val="24"/>
          <w:szCs w:val="20"/>
          <w:lang w:val="zh-CN"/>
        </w:rPr>
        <w:sectPr>
          <w:pgSz w:w="16838" w:h="11906" w:orient="landscape"/>
          <w:pgMar w:top="1531" w:right="1701" w:bottom="1531" w:left="1701" w:header="851" w:footer="851" w:gutter="0"/>
          <w:cols w:space="720" w:num="1"/>
          <w:docGrid w:linePitch="312" w:charSpace="0"/>
        </w:sectPr>
      </w:pPr>
    </w:p>
    <w:p w14:paraId="240FBA4B">
      <w:pPr>
        <w:adjustRightInd w:val="0"/>
        <w:snapToGrid w:val="0"/>
        <w:spacing w:line="480" w:lineRule="exact"/>
        <w:jc w:val="center"/>
        <w:rPr>
          <w:rFonts w:ascii="Times New Roman" w:hAnsi="Times New Roman" w:cs="Times New Roman"/>
          <w:b/>
          <w:sz w:val="24"/>
          <w:szCs w:val="20"/>
          <w:lang w:val="zh-CN"/>
        </w:rPr>
      </w:pPr>
      <w:r>
        <w:rPr>
          <w:rFonts w:ascii="Times New Roman" w:hAnsi="Times New Roman" w:cs="Times New Roman"/>
          <w:b/>
          <w:sz w:val="24"/>
          <w:szCs w:val="20"/>
          <w:lang w:val="zh-CN"/>
        </w:rPr>
        <w:t xml:space="preserve">表1.5-1   本项目与产业投资准入符合性分析结果 </w:t>
      </w:r>
    </w:p>
    <w:tbl>
      <w:tblPr>
        <w:tblStyle w:val="81"/>
        <w:tblW w:w="5000" w:type="pct"/>
        <w:jc w:val="center"/>
        <w:tblLayout w:type="autofit"/>
        <w:tblCellMar>
          <w:top w:w="0" w:type="dxa"/>
          <w:left w:w="108" w:type="dxa"/>
          <w:bottom w:w="0" w:type="dxa"/>
          <w:right w:w="108" w:type="dxa"/>
        </w:tblCellMar>
      </w:tblPr>
      <w:tblGrid>
        <w:gridCol w:w="668"/>
        <w:gridCol w:w="5251"/>
        <w:gridCol w:w="2269"/>
        <w:gridCol w:w="872"/>
      </w:tblGrid>
      <w:tr w14:paraId="71FFB809">
        <w:tblPrEx>
          <w:tblCellMar>
            <w:top w:w="0" w:type="dxa"/>
            <w:left w:w="108" w:type="dxa"/>
            <w:bottom w:w="0" w:type="dxa"/>
            <w:right w:w="108" w:type="dxa"/>
          </w:tblCellMar>
        </w:tblPrEx>
        <w:trPr>
          <w:trHeight w:val="600" w:hRule="atLeast"/>
          <w:tblHeader/>
          <w:jc w:val="center"/>
        </w:trPr>
        <w:tc>
          <w:tcPr>
            <w:tcW w:w="369" w:type="pct"/>
            <w:tcBorders>
              <w:top w:val="single" w:color="auto" w:sz="4" w:space="0"/>
              <w:left w:val="single" w:color="auto" w:sz="4" w:space="0"/>
              <w:bottom w:val="single" w:color="auto" w:sz="4" w:space="0"/>
              <w:right w:val="single" w:color="auto" w:sz="4" w:space="0"/>
            </w:tcBorders>
            <w:vAlign w:val="center"/>
          </w:tcPr>
          <w:p w14:paraId="0A6A8845">
            <w:pPr>
              <w:spacing w:line="240" w:lineRule="exact"/>
              <w:jc w:val="center"/>
              <w:rPr>
                <w:rFonts w:ascii="Times New Roman" w:hAnsi="Times New Roman" w:cs="Times New Roman"/>
                <w:b/>
                <w:bCs/>
                <w:kern w:val="0"/>
                <w:szCs w:val="21"/>
              </w:rPr>
            </w:pPr>
            <w:r>
              <w:rPr>
                <w:rFonts w:ascii="Times New Roman" w:hAnsi="Times New Roman" w:cs="Times New Roman"/>
                <w:b/>
                <w:bCs/>
                <w:kern w:val="0"/>
                <w:szCs w:val="21"/>
              </w:rPr>
              <w:t>序号</w:t>
            </w:r>
          </w:p>
        </w:tc>
        <w:tc>
          <w:tcPr>
            <w:tcW w:w="2898" w:type="pct"/>
            <w:tcBorders>
              <w:top w:val="single" w:color="auto" w:sz="4" w:space="0"/>
              <w:left w:val="single" w:color="auto" w:sz="4" w:space="0"/>
              <w:bottom w:val="single" w:color="auto" w:sz="4" w:space="0"/>
              <w:right w:val="single" w:color="auto" w:sz="4" w:space="0"/>
            </w:tcBorders>
            <w:vAlign w:val="center"/>
          </w:tcPr>
          <w:p w14:paraId="33FA7B4F">
            <w:pPr>
              <w:spacing w:line="240" w:lineRule="exact"/>
              <w:jc w:val="center"/>
              <w:rPr>
                <w:rFonts w:ascii="Times New Roman" w:hAnsi="Times New Roman" w:cs="Times New Roman"/>
                <w:b/>
                <w:bCs/>
                <w:kern w:val="0"/>
                <w:szCs w:val="21"/>
              </w:rPr>
            </w:pPr>
            <w:r>
              <w:rPr>
                <w:rFonts w:ascii="Times New Roman" w:hAnsi="Times New Roman" w:cs="Times New Roman"/>
                <w:b/>
                <w:bCs/>
                <w:kern w:val="0"/>
                <w:szCs w:val="21"/>
              </w:rPr>
              <w:t>产业投资准入政策</w:t>
            </w:r>
          </w:p>
        </w:tc>
        <w:tc>
          <w:tcPr>
            <w:tcW w:w="1252" w:type="pct"/>
            <w:tcBorders>
              <w:top w:val="single" w:color="auto" w:sz="4" w:space="0"/>
              <w:left w:val="single" w:color="auto" w:sz="4" w:space="0"/>
              <w:bottom w:val="single" w:color="auto" w:sz="4" w:space="0"/>
              <w:right w:val="single" w:color="auto" w:sz="4" w:space="0"/>
            </w:tcBorders>
            <w:vAlign w:val="center"/>
          </w:tcPr>
          <w:p w14:paraId="2B59610A">
            <w:pPr>
              <w:spacing w:line="240" w:lineRule="exact"/>
              <w:jc w:val="center"/>
              <w:rPr>
                <w:rFonts w:ascii="Times New Roman" w:hAnsi="Times New Roman" w:cs="Times New Roman"/>
                <w:b/>
                <w:bCs/>
                <w:kern w:val="0"/>
                <w:szCs w:val="21"/>
              </w:rPr>
            </w:pPr>
            <w:r>
              <w:rPr>
                <w:rFonts w:ascii="Times New Roman" w:hAnsi="Times New Roman" w:cs="Times New Roman"/>
                <w:b/>
                <w:bCs/>
                <w:kern w:val="0"/>
                <w:szCs w:val="21"/>
              </w:rPr>
              <w:t>本项目情况</w:t>
            </w:r>
          </w:p>
        </w:tc>
        <w:tc>
          <w:tcPr>
            <w:tcW w:w="481" w:type="pct"/>
            <w:tcBorders>
              <w:top w:val="single" w:color="auto" w:sz="4" w:space="0"/>
              <w:left w:val="single" w:color="auto" w:sz="4" w:space="0"/>
              <w:bottom w:val="single" w:color="auto" w:sz="4" w:space="0"/>
              <w:right w:val="single" w:color="auto" w:sz="4" w:space="0"/>
            </w:tcBorders>
            <w:vAlign w:val="center"/>
          </w:tcPr>
          <w:p w14:paraId="1EEC8038">
            <w:pPr>
              <w:spacing w:line="240" w:lineRule="exact"/>
              <w:jc w:val="center"/>
              <w:rPr>
                <w:rFonts w:ascii="Times New Roman" w:hAnsi="Times New Roman" w:cs="Times New Roman"/>
                <w:b/>
                <w:bCs/>
                <w:kern w:val="0"/>
                <w:szCs w:val="21"/>
              </w:rPr>
            </w:pPr>
            <w:r>
              <w:rPr>
                <w:rFonts w:ascii="Times New Roman" w:hAnsi="Times New Roman" w:cs="Times New Roman"/>
                <w:b/>
                <w:bCs/>
                <w:kern w:val="0"/>
                <w:szCs w:val="21"/>
              </w:rPr>
              <w:t>符合性</w:t>
            </w:r>
          </w:p>
        </w:tc>
      </w:tr>
      <w:tr w14:paraId="71648E5F">
        <w:tblPrEx>
          <w:tblCellMar>
            <w:top w:w="0" w:type="dxa"/>
            <w:left w:w="108" w:type="dxa"/>
            <w:bottom w:w="0" w:type="dxa"/>
            <w:right w:w="108" w:type="dxa"/>
          </w:tblCellMar>
        </w:tblPrEx>
        <w:trPr>
          <w:trHeight w:val="231" w:hRule="atLeast"/>
          <w:jc w:val="center"/>
        </w:trPr>
        <w:tc>
          <w:tcPr>
            <w:tcW w:w="369" w:type="pct"/>
            <w:tcBorders>
              <w:top w:val="single" w:color="auto" w:sz="4" w:space="0"/>
              <w:left w:val="single" w:color="auto" w:sz="4" w:space="0"/>
              <w:bottom w:val="single" w:color="auto" w:sz="4" w:space="0"/>
              <w:right w:val="single" w:color="auto" w:sz="4" w:space="0"/>
            </w:tcBorders>
            <w:vAlign w:val="center"/>
          </w:tcPr>
          <w:p w14:paraId="7A442D59">
            <w:pPr>
              <w:spacing w:line="240" w:lineRule="exact"/>
              <w:jc w:val="center"/>
              <w:rPr>
                <w:rFonts w:ascii="Times New Roman" w:hAnsi="Times New Roman" w:cs="Times New Roman"/>
                <w:kern w:val="0"/>
                <w:szCs w:val="21"/>
              </w:rPr>
            </w:pPr>
            <w:r>
              <w:rPr>
                <w:rFonts w:ascii="Times New Roman" w:hAnsi="Times New Roman" w:cs="Times New Roman"/>
                <w:kern w:val="0"/>
                <w:szCs w:val="21"/>
              </w:rPr>
              <w:t>1</w:t>
            </w:r>
          </w:p>
        </w:tc>
        <w:tc>
          <w:tcPr>
            <w:tcW w:w="2898" w:type="pct"/>
            <w:tcBorders>
              <w:top w:val="single" w:color="auto" w:sz="4" w:space="0"/>
              <w:left w:val="single" w:color="auto" w:sz="4" w:space="0"/>
              <w:bottom w:val="single" w:color="auto" w:sz="4" w:space="0"/>
              <w:right w:val="single" w:color="auto" w:sz="4" w:space="0"/>
            </w:tcBorders>
            <w:vAlign w:val="center"/>
          </w:tcPr>
          <w:p w14:paraId="248CA7BE">
            <w:pPr>
              <w:spacing w:line="240" w:lineRule="exact"/>
              <w:rPr>
                <w:rFonts w:ascii="Times New Roman" w:hAnsi="Times New Roman" w:cs="Times New Roman"/>
                <w:kern w:val="0"/>
                <w:szCs w:val="21"/>
              </w:rPr>
            </w:pPr>
            <w:r>
              <w:rPr>
                <w:rFonts w:ascii="Times New Roman" w:hAnsi="Times New Roman" w:cs="Times New Roman"/>
                <w:kern w:val="0"/>
                <w:szCs w:val="21"/>
              </w:rPr>
              <w:t>不予准入类主要包括国家及我市相关规定明确要求不得新建和扩建的生产能力、工艺技术、装备及产品。</w:t>
            </w:r>
          </w:p>
          <w:p w14:paraId="430BF9F7">
            <w:pPr>
              <w:spacing w:line="240" w:lineRule="exact"/>
              <w:rPr>
                <w:rFonts w:ascii="Times New Roman" w:hAnsi="Times New Roman" w:cs="Times New Roman"/>
                <w:kern w:val="0"/>
                <w:szCs w:val="21"/>
              </w:rPr>
            </w:pPr>
            <w:r>
              <w:rPr>
                <w:rFonts w:ascii="Times New Roman" w:hAnsi="Times New Roman" w:cs="Times New Roman"/>
                <w:kern w:val="0"/>
                <w:szCs w:val="21"/>
              </w:rPr>
              <w:t>限制准入类主要包括国家及我市相关规定明确要求需要升级改造，以及不得布局但可升级改造、异地置换的生产能力、工艺技术、装备及产品，并按照“行业限制+区域限制”的方式制定。</w:t>
            </w:r>
          </w:p>
        </w:tc>
        <w:tc>
          <w:tcPr>
            <w:tcW w:w="1252" w:type="pct"/>
            <w:tcBorders>
              <w:top w:val="single" w:color="auto" w:sz="4" w:space="0"/>
              <w:left w:val="single" w:color="auto" w:sz="4" w:space="0"/>
              <w:bottom w:val="single" w:color="auto" w:sz="4" w:space="0"/>
              <w:right w:val="single" w:color="auto" w:sz="4" w:space="0"/>
            </w:tcBorders>
            <w:vAlign w:val="center"/>
          </w:tcPr>
          <w:p w14:paraId="3D815FAF">
            <w:pPr>
              <w:pStyle w:val="212"/>
              <w:spacing w:line="240" w:lineRule="auto"/>
              <w:jc w:val="both"/>
              <w:rPr>
                <w:rFonts w:ascii="Times New Roman" w:hAnsi="Times New Roman" w:cs="Times New Roman"/>
                <w:kern w:val="0"/>
                <w:szCs w:val="21"/>
              </w:rPr>
            </w:pPr>
            <w:r>
              <w:rPr>
                <w:rFonts w:ascii="Times New Roman" w:hAnsi="Times New Roman" w:cs="Times New Roman"/>
                <w:kern w:val="0"/>
                <w:szCs w:val="21"/>
              </w:rPr>
              <w:t>项目不属于国家及我市相关规定明确要求不得新建和扩建的生产能力、工艺技术、装备及产品，也不属于国家及我市相关规定明确要求需要升级改造，以及不得布局但可升级改造、异地置换的生产能力、工艺技术、装备及产品。</w:t>
            </w:r>
          </w:p>
        </w:tc>
        <w:tc>
          <w:tcPr>
            <w:tcW w:w="481" w:type="pct"/>
            <w:tcBorders>
              <w:top w:val="single" w:color="auto" w:sz="4" w:space="0"/>
              <w:left w:val="single" w:color="auto" w:sz="4" w:space="0"/>
              <w:bottom w:val="single" w:color="auto" w:sz="4" w:space="0"/>
              <w:right w:val="single" w:color="auto" w:sz="4" w:space="0"/>
            </w:tcBorders>
            <w:vAlign w:val="center"/>
          </w:tcPr>
          <w:p w14:paraId="27408615">
            <w:pPr>
              <w:pStyle w:val="212"/>
              <w:spacing w:line="240" w:lineRule="auto"/>
              <w:rPr>
                <w:rFonts w:ascii="Times New Roman" w:hAnsi="Times New Roman" w:cs="Times New Roman"/>
                <w:kern w:val="0"/>
                <w:szCs w:val="21"/>
              </w:rPr>
            </w:pPr>
            <w:r>
              <w:rPr>
                <w:rFonts w:ascii="Times New Roman" w:hAnsi="Times New Roman" w:cs="Times New Roman"/>
                <w:kern w:val="0"/>
                <w:szCs w:val="21"/>
              </w:rPr>
              <w:t>符合</w:t>
            </w:r>
          </w:p>
        </w:tc>
      </w:tr>
      <w:tr w14:paraId="4C0A8734">
        <w:tblPrEx>
          <w:tblCellMar>
            <w:top w:w="0" w:type="dxa"/>
            <w:left w:w="108" w:type="dxa"/>
            <w:bottom w:w="0" w:type="dxa"/>
            <w:right w:w="108" w:type="dxa"/>
          </w:tblCellMar>
        </w:tblPrEx>
        <w:trPr>
          <w:trHeight w:val="1038" w:hRule="atLeast"/>
          <w:jc w:val="center"/>
        </w:trPr>
        <w:tc>
          <w:tcPr>
            <w:tcW w:w="369" w:type="pct"/>
            <w:tcBorders>
              <w:top w:val="single" w:color="auto" w:sz="4" w:space="0"/>
              <w:left w:val="single" w:color="auto" w:sz="4" w:space="0"/>
              <w:bottom w:val="single" w:color="auto" w:sz="4" w:space="0"/>
              <w:right w:val="single" w:color="auto" w:sz="4" w:space="0"/>
            </w:tcBorders>
            <w:vAlign w:val="center"/>
          </w:tcPr>
          <w:p w14:paraId="39B6BBF0">
            <w:pPr>
              <w:spacing w:line="240" w:lineRule="exact"/>
              <w:jc w:val="center"/>
              <w:rPr>
                <w:rFonts w:ascii="Times New Roman" w:hAnsi="Times New Roman" w:cs="Times New Roman"/>
                <w:kern w:val="0"/>
                <w:szCs w:val="21"/>
              </w:rPr>
            </w:pPr>
            <w:r>
              <w:rPr>
                <w:rFonts w:ascii="Times New Roman" w:hAnsi="Times New Roman" w:cs="Times New Roman"/>
                <w:kern w:val="0"/>
                <w:szCs w:val="21"/>
              </w:rPr>
              <w:t>2</w:t>
            </w:r>
          </w:p>
        </w:tc>
        <w:tc>
          <w:tcPr>
            <w:tcW w:w="2898" w:type="pct"/>
            <w:tcBorders>
              <w:top w:val="single" w:color="auto" w:sz="4" w:space="0"/>
              <w:left w:val="single" w:color="auto" w:sz="4" w:space="0"/>
              <w:bottom w:val="single" w:color="auto" w:sz="4" w:space="0"/>
              <w:right w:val="single" w:color="auto" w:sz="4" w:space="0"/>
            </w:tcBorders>
            <w:vAlign w:val="center"/>
          </w:tcPr>
          <w:p w14:paraId="3254AF8B">
            <w:pPr>
              <w:spacing w:line="240" w:lineRule="exact"/>
              <w:rPr>
                <w:rFonts w:ascii="Times New Roman" w:hAnsi="Times New Roman" w:cs="Times New Roman"/>
                <w:kern w:val="0"/>
                <w:szCs w:val="21"/>
              </w:rPr>
            </w:pPr>
            <w:r>
              <w:rPr>
                <w:rFonts w:ascii="Times New Roman" w:hAnsi="Times New Roman" w:cs="Times New Roman"/>
                <w:kern w:val="0"/>
                <w:szCs w:val="21"/>
              </w:rPr>
              <w:t>列入不予准入类的项目，一律不得准入，投资主管部门不得审批、核准、备案，各金融机构不得发放贷款，国土房管、城乡规划、建设、环境保护、质监、消防、海关、工商等部门不得办理建设审批手续，水、电、气等有关单位不得提供保障。列入限制准入类的项目，必须同时满足相应行业和相应区域的要求，方可报投资主管部门按权限审批、核准或备案。</w:t>
            </w:r>
          </w:p>
        </w:tc>
        <w:tc>
          <w:tcPr>
            <w:tcW w:w="1252" w:type="pct"/>
            <w:tcBorders>
              <w:top w:val="single" w:color="auto" w:sz="4" w:space="0"/>
              <w:left w:val="single" w:color="auto" w:sz="4" w:space="0"/>
              <w:bottom w:val="single" w:color="auto" w:sz="4" w:space="0"/>
              <w:right w:val="single" w:color="auto" w:sz="4" w:space="0"/>
            </w:tcBorders>
            <w:vAlign w:val="center"/>
          </w:tcPr>
          <w:p w14:paraId="75DF3AAA">
            <w:pPr>
              <w:pStyle w:val="212"/>
              <w:spacing w:line="240" w:lineRule="auto"/>
              <w:jc w:val="both"/>
              <w:rPr>
                <w:rFonts w:ascii="Times New Roman" w:hAnsi="Times New Roman" w:cs="Times New Roman"/>
                <w:kern w:val="0"/>
                <w:szCs w:val="21"/>
              </w:rPr>
            </w:pPr>
            <w:r>
              <w:rPr>
                <w:rFonts w:ascii="Times New Roman" w:hAnsi="Times New Roman" w:cs="Times New Roman"/>
                <w:kern w:val="0"/>
                <w:szCs w:val="21"/>
              </w:rPr>
              <w:t>项目不属于不予准入类的项目。</w:t>
            </w:r>
          </w:p>
        </w:tc>
        <w:tc>
          <w:tcPr>
            <w:tcW w:w="481" w:type="pct"/>
            <w:tcBorders>
              <w:top w:val="single" w:color="auto" w:sz="4" w:space="0"/>
              <w:left w:val="single" w:color="auto" w:sz="4" w:space="0"/>
              <w:bottom w:val="single" w:color="auto" w:sz="4" w:space="0"/>
              <w:right w:val="single" w:color="auto" w:sz="4" w:space="0"/>
            </w:tcBorders>
            <w:vAlign w:val="center"/>
          </w:tcPr>
          <w:p w14:paraId="0FDA7D6D">
            <w:pPr>
              <w:pStyle w:val="212"/>
              <w:spacing w:line="240" w:lineRule="auto"/>
              <w:rPr>
                <w:rFonts w:ascii="Times New Roman" w:hAnsi="Times New Roman" w:cs="Times New Roman"/>
                <w:kern w:val="0"/>
                <w:szCs w:val="21"/>
              </w:rPr>
            </w:pPr>
            <w:r>
              <w:rPr>
                <w:rFonts w:ascii="Times New Roman" w:hAnsi="Times New Roman" w:cs="Times New Roman"/>
                <w:kern w:val="0"/>
                <w:szCs w:val="21"/>
              </w:rPr>
              <w:t>符合</w:t>
            </w:r>
          </w:p>
        </w:tc>
      </w:tr>
      <w:tr w14:paraId="3C18D897">
        <w:tblPrEx>
          <w:tblCellMar>
            <w:top w:w="0" w:type="dxa"/>
            <w:left w:w="108" w:type="dxa"/>
            <w:bottom w:w="0" w:type="dxa"/>
            <w:right w:w="108" w:type="dxa"/>
          </w:tblCellMar>
        </w:tblPrEx>
        <w:trPr>
          <w:trHeight w:val="549" w:hRule="atLeast"/>
          <w:jc w:val="center"/>
        </w:trPr>
        <w:tc>
          <w:tcPr>
            <w:tcW w:w="369" w:type="pct"/>
            <w:tcBorders>
              <w:top w:val="single" w:color="auto" w:sz="4" w:space="0"/>
              <w:left w:val="single" w:color="auto" w:sz="4" w:space="0"/>
              <w:bottom w:val="single" w:color="auto" w:sz="4" w:space="0"/>
              <w:right w:val="single" w:color="auto" w:sz="4" w:space="0"/>
            </w:tcBorders>
            <w:vAlign w:val="center"/>
          </w:tcPr>
          <w:p w14:paraId="4AF1B01B">
            <w:pPr>
              <w:spacing w:line="240" w:lineRule="exact"/>
              <w:jc w:val="center"/>
              <w:rPr>
                <w:rFonts w:ascii="Times New Roman" w:hAnsi="Times New Roman" w:cs="Times New Roman"/>
                <w:kern w:val="0"/>
                <w:szCs w:val="21"/>
              </w:rPr>
            </w:pPr>
            <w:r>
              <w:rPr>
                <w:rFonts w:ascii="Times New Roman" w:hAnsi="Times New Roman" w:cs="Times New Roman"/>
                <w:kern w:val="0"/>
                <w:szCs w:val="21"/>
              </w:rPr>
              <w:t>3</w:t>
            </w:r>
          </w:p>
        </w:tc>
        <w:tc>
          <w:tcPr>
            <w:tcW w:w="2898" w:type="pct"/>
            <w:tcBorders>
              <w:top w:val="single" w:color="auto" w:sz="4" w:space="0"/>
              <w:left w:val="single" w:color="auto" w:sz="4" w:space="0"/>
              <w:bottom w:val="single" w:color="auto" w:sz="4" w:space="0"/>
              <w:right w:val="single" w:color="auto" w:sz="4" w:space="0"/>
            </w:tcBorders>
            <w:vAlign w:val="center"/>
          </w:tcPr>
          <w:p w14:paraId="34FDC9F6">
            <w:pPr>
              <w:spacing w:line="240" w:lineRule="exact"/>
              <w:rPr>
                <w:rFonts w:ascii="Times New Roman" w:hAnsi="Times New Roman" w:cs="Times New Roman"/>
                <w:kern w:val="0"/>
                <w:szCs w:val="21"/>
              </w:rPr>
            </w:pPr>
            <w:r>
              <w:rPr>
                <w:rFonts w:ascii="Times New Roman" w:hAnsi="Times New Roman" w:cs="Times New Roman"/>
                <w:kern w:val="0"/>
                <w:szCs w:val="21"/>
              </w:rPr>
              <w:t>二、不予准入类</w:t>
            </w:r>
          </w:p>
          <w:p w14:paraId="0739A728">
            <w:pPr>
              <w:spacing w:line="240" w:lineRule="exact"/>
              <w:rPr>
                <w:rFonts w:ascii="Times New Roman" w:hAnsi="Times New Roman" w:cs="Times New Roman"/>
                <w:kern w:val="0"/>
                <w:szCs w:val="21"/>
              </w:rPr>
            </w:pPr>
            <w:r>
              <w:rPr>
                <w:rFonts w:ascii="Times New Roman" w:hAnsi="Times New Roman" w:cs="Times New Roman"/>
                <w:kern w:val="0"/>
                <w:szCs w:val="21"/>
              </w:rPr>
              <w:t>（一）全市范围内不予准入的产业。</w:t>
            </w:r>
          </w:p>
          <w:p w14:paraId="49CE5344">
            <w:pPr>
              <w:spacing w:line="240" w:lineRule="exact"/>
              <w:rPr>
                <w:rFonts w:ascii="Times New Roman" w:hAnsi="Times New Roman" w:cs="Times New Roman"/>
                <w:kern w:val="0"/>
                <w:szCs w:val="21"/>
              </w:rPr>
            </w:pPr>
            <w:r>
              <w:rPr>
                <w:rFonts w:ascii="Times New Roman" w:hAnsi="Times New Roman" w:cs="Times New Roman"/>
                <w:kern w:val="0"/>
                <w:szCs w:val="21"/>
              </w:rPr>
              <w:t>1．国家产业结构调整指导目录中的淘汰类项目。</w:t>
            </w:r>
          </w:p>
          <w:p w14:paraId="0B5D3837">
            <w:pPr>
              <w:spacing w:line="240" w:lineRule="exact"/>
              <w:rPr>
                <w:rFonts w:ascii="Times New Roman" w:hAnsi="Times New Roman" w:cs="Times New Roman"/>
                <w:kern w:val="0"/>
                <w:szCs w:val="21"/>
              </w:rPr>
            </w:pPr>
            <w:r>
              <w:rPr>
                <w:rFonts w:ascii="Times New Roman" w:hAnsi="Times New Roman" w:cs="Times New Roman"/>
                <w:kern w:val="0"/>
                <w:szCs w:val="21"/>
              </w:rPr>
              <w:t>2．烟花爆竹生产。</w:t>
            </w:r>
          </w:p>
          <w:p w14:paraId="124247A9">
            <w:pPr>
              <w:spacing w:line="240" w:lineRule="exact"/>
              <w:rPr>
                <w:rFonts w:ascii="Times New Roman" w:hAnsi="Times New Roman" w:cs="Times New Roman"/>
                <w:kern w:val="0"/>
                <w:szCs w:val="21"/>
              </w:rPr>
            </w:pPr>
            <w:r>
              <w:rPr>
                <w:rFonts w:ascii="Times New Roman" w:hAnsi="Times New Roman" w:cs="Times New Roman"/>
                <w:kern w:val="0"/>
                <w:szCs w:val="21"/>
              </w:rPr>
              <w:t>3．400KA以下电解铝生产线。</w:t>
            </w:r>
          </w:p>
          <w:p w14:paraId="13C3E248">
            <w:pPr>
              <w:spacing w:line="240" w:lineRule="exact"/>
              <w:rPr>
                <w:rFonts w:ascii="Times New Roman" w:hAnsi="Times New Roman" w:cs="Times New Roman"/>
                <w:kern w:val="0"/>
                <w:szCs w:val="21"/>
              </w:rPr>
            </w:pPr>
            <w:r>
              <w:rPr>
                <w:rFonts w:ascii="Times New Roman" w:hAnsi="Times New Roman" w:cs="Times New Roman"/>
                <w:kern w:val="0"/>
                <w:szCs w:val="21"/>
              </w:rPr>
              <w:t>4．单机10万千瓦以下和设计寿命期满的单机20万千瓦以下常规燃煤火电机。</w:t>
            </w:r>
          </w:p>
          <w:p w14:paraId="5CCCAD5C">
            <w:pPr>
              <w:spacing w:line="240" w:lineRule="exact"/>
              <w:rPr>
                <w:rFonts w:ascii="Times New Roman" w:hAnsi="Times New Roman" w:cs="Times New Roman"/>
                <w:kern w:val="0"/>
                <w:szCs w:val="21"/>
              </w:rPr>
            </w:pPr>
            <w:r>
              <w:rPr>
                <w:rFonts w:ascii="Times New Roman" w:hAnsi="Times New Roman" w:cs="Times New Roman"/>
                <w:kern w:val="0"/>
                <w:szCs w:val="21"/>
              </w:rPr>
              <w:t>5．天然林商业性采伐。</w:t>
            </w:r>
          </w:p>
          <w:p w14:paraId="33238E05">
            <w:pPr>
              <w:spacing w:line="240" w:lineRule="exact"/>
              <w:rPr>
                <w:rFonts w:ascii="Times New Roman" w:hAnsi="Times New Roman" w:cs="Times New Roman"/>
                <w:kern w:val="0"/>
                <w:szCs w:val="21"/>
              </w:rPr>
            </w:pPr>
            <w:r>
              <w:rPr>
                <w:rFonts w:ascii="Times New Roman" w:hAnsi="Times New Roman" w:cs="Times New Roman"/>
                <w:kern w:val="0"/>
                <w:szCs w:val="21"/>
              </w:rPr>
              <w:t>6．资源环境绩效水平超过《重庆市工业项目环境准入规定》（渝办发〔2012〕142号）限值以及不符合生态建设和环境保护规划区域布局规定的工业项目。在环境容量超载的区域（流域）增加污染物排放的项目。</w:t>
            </w:r>
          </w:p>
          <w:p w14:paraId="760C295C">
            <w:pPr>
              <w:spacing w:line="240" w:lineRule="exact"/>
              <w:rPr>
                <w:rFonts w:ascii="Times New Roman" w:hAnsi="Times New Roman" w:cs="Times New Roman"/>
                <w:kern w:val="0"/>
                <w:szCs w:val="21"/>
              </w:rPr>
            </w:pPr>
            <w:r>
              <w:rPr>
                <w:rFonts w:ascii="Times New Roman" w:hAnsi="Times New Roman" w:cs="Times New Roman"/>
                <w:kern w:val="0"/>
                <w:szCs w:val="21"/>
              </w:rPr>
              <w:t>7．不符合《重庆市人民政府办公厅关于印发重庆市供给侧结构性改革去产能专项方案的通知》（渝府办发〔2016〕128号）要求的环保、能耗、工艺与装备标准的煤炭、钢铁、水泥、电解铝、平板玻璃和船舶制造等项目。</w:t>
            </w:r>
          </w:p>
        </w:tc>
        <w:tc>
          <w:tcPr>
            <w:tcW w:w="1252" w:type="pct"/>
            <w:tcBorders>
              <w:top w:val="single" w:color="auto" w:sz="4" w:space="0"/>
              <w:left w:val="single" w:color="auto" w:sz="4" w:space="0"/>
              <w:bottom w:val="single" w:color="auto" w:sz="4" w:space="0"/>
              <w:right w:val="single" w:color="auto" w:sz="4" w:space="0"/>
            </w:tcBorders>
            <w:vAlign w:val="center"/>
          </w:tcPr>
          <w:p w14:paraId="4B9B9C91">
            <w:pPr>
              <w:pStyle w:val="212"/>
              <w:spacing w:line="240" w:lineRule="auto"/>
              <w:jc w:val="both"/>
              <w:rPr>
                <w:rFonts w:ascii="Times New Roman" w:hAnsi="Times New Roman" w:cs="Times New Roman"/>
                <w:kern w:val="0"/>
                <w:szCs w:val="21"/>
              </w:rPr>
            </w:pPr>
            <w:r>
              <w:rPr>
                <w:rFonts w:ascii="Times New Roman" w:hAnsi="Times New Roman" w:cs="Times New Roman"/>
                <w:kern w:val="0"/>
                <w:szCs w:val="21"/>
              </w:rPr>
              <w:t>本项目为</w:t>
            </w:r>
            <w:r>
              <w:rPr>
                <w:rFonts w:hint="eastAsia" w:ascii="Times New Roman" w:hAnsi="Times New Roman" w:cs="Times New Roman"/>
                <w:kern w:val="0"/>
                <w:szCs w:val="21"/>
              </w:rPr>
              <w:t>液化天然气项目</w:t>
            </w:r>
            <w:r>
              <w:rPr>
                <w:rFonts w:ascii="Times New Roman" w:hAnsi="Times New Roman" w:cs="Times New Roman"/>
                <w:kern w:val="0"/>
                <w:szCs w:val="21"/>
              </w:rPr>
              <w:t>，不属于不予准入的产业。</w:t>
            </w:r>
          </w:p>
        </w:tc>
        <w:tc>
          <w:tcPr>
            <w:tcW w:w="481" w:type="pct"/>
            <w:tcBorders>
              <w:top w:val="single" w:color="auto" w:sz="4" w:space="0"/>
              <w:left w:val="single" w:color="auto" w:sz="4" w:space="0"/>
              <w:bottom w:val="single" w:color="auto" w:sz="4" w:space="0"/>
              <w:right w:val="single" w:color="auto" w:sz="4" w:space="0"/>
            </w:tcBorders>
            <w:vAlign w:val="center"/>
          </w:tcPr>
          <w:p w14:paraId="2BD2411E">
            <w:pPr>
              <w:pStyle w:val="212"/>
              <w:spacing w:line="240" w:lineRule="auto"/>
              <w:rPr>
                <w:rFonts w:ascii="Times New Roman" w:hAnsi="Times New Roman" w:cs="Times New Roman"/>
                <w:kern w:val="0"/>
                <w:szCs w:val="21"/>
              </w:rPr>
            </w:pPr>
            <w:r>
              <w:rPr>
                <w:rFonts w:ascii="Times New Roman" w:hAnsi="Times New Roman" w:cs="Times New Roman"/>
                <w:kern w:val="0"/>
                <w:szCs w:val="21"/>
              </w:rPr>
              <w:t>符合</w:t>
            </w:r>
          </w:p>
        </w:tc>
      </w:tr>
      <w:tr w14:paraId="70F3C0F3">
        <w:tblPrEx>
          <w:tblCellMar>
            <w:top w:w="0" w:type="dxa"/>
            <w:left w:w="108" w:type="dxa"/>
            <w:bottom w:w="0" w:type="dxa"/>
            <w:right w:w="108" w:type="dxa"/>
          </w:tblCellMar>
        </w:tblPrEx>
        <w:trPr>
          <w:trHeight w:val="548" w:hRule="atLeast"/>
          <w:jc w:val="center"/>
        </w:trPr>
        <w:tc>
          <w:tcPr>
            <w:tcW w:w="369" w:type="pct"/>
            <w:tcBorders>
              <w:top w:val="single" w:color="auto" w:sz="4" w:space="0"/>
              <w:left w:val="single" w:color="auto" w:sz="4" w:space="0"/>
              <w:bottom w:val="single" w:color="auto" w:sz="4" w:space="0"/>
              <w:right w:val="single" w:color="auto" w:sz="4" w:space="0"/>
            </w:tcBorders>
            <w:vAlign w:val="center"/>
          </w:tcPr>
          <w:p w14:paraId="2039F7A4">
            <w:pPr>
              <w:spacing w:line="240" w:lineRule="exact"/>
              <w:jc w:val="center"/>
              <w:rPr>
                <w:rFonts w:ascii="Times New Roman" w:hAnsi="Times New Roman" w:cs="Times New Roman"/>
                <w:kern w:val="0"/>
                <w:szCs w:val="21"/>
              </w:rPr>
            </w:pPr>
            <w:r>
              <w:rPr>
                <w:rFonts w:ascii="Times New Roman" w:hAnsi="Times New Roman" w:cs="Times New Roman"/>
                <w:kern w:val="0"/>
                <w:szCs w:val="21"/>
              </w:rPr>
              <w:t>4</w:t>
            </w:r>
          </w:p>
        </w:tc>
        <w:tc>
          <w:tcPr>
            <w:tcW w:w="2898" w:type="pct"/>
            <w:tcBorders>
              <w:top w:val="single" w:color="auto" w:sz="4" w:space="0"/>
              <w:left w:val="single" w:color="auto" w:sz="4" w:space="0"/>
              <w:bottom w:val="single" w:color="auto" w:sz="4" w:space="0"/>
              <w:right w:val="single" w:color="auto" w:sz="4" w:space="0"/>
            </w:tcBorders>
            <w:vAlign w:val="center"/>
          </w:tcPr>
          <w:p w14:paraId="6ADE1FCC">
            <w:pPr>
              <w:spacing w:line="240" w:lineRule="exact"/>
              <w:rPr>
                <w:rFonts w:ascii="Times New Roman" w:hAnsi="Times New Roman" w:cs="Times New Roman"/>
                <w:kern w:val="0"/>
                <w:szCs w:val="21"/>
              </w:rPr>
            </w:pPr>
            <w:r>
              <w:rPr>
                <w:rFonts w:ascii="Times New Roman" w:hAnsi="Times New Roman" w:cs="Times New Roman"/>
                <w:kern w:val="0"/>
                <w:szCs w:val="21"/>
              </w:rPr>
              <w:t>（二）重点区域范围内不予准入的产业。</w:t>
            </w:r>
          </w:p>
          <w:p w14:paraId="6676D16A">
            <w:pPr>
              <w:spacing w:line="240" w:lineRule="exact"/>
              <w:rPr>
                <w:rFonts w:ascii="Times New Roman" w:hAnsi="Times New Roman" w:cs="Times New Roman"/>
                <w:kern w:val="0"/>
                <w:szCs w:val="21"/>
              </w:rPr>
            </w:pPr>
            <w:r>
              <w:rPr>
                <w:rFonts w:ascii="Times New Roman" w:hAnsi="Times New Roman" w:cs="Times New Roman"/>
                <w:kern w:val="0"/>
                <w:szCs w:val="21"/>
              </w:rPr>
              <w:t>1．四山保护区域内的工业项目。</w:t>
            </w:r>
          </w:p>
          <w:p w14:paraId="774CB688">
            <w:pPr>
              <w:spacing w:line="240" w:lineRule="exact"/>
              <w:rPr>
                <w:rFonts w:ascii="Times New Roman" w:hAnsi="Times New Roman" w:cs="Times New Roman"/>
                <w:kern w:val="0"/>
                <w:szCs w:val="21"/>
              </w:rPr>
            </w:pPr>
            <w:r>
              <w:rPr>
                <w:rFonts w:ascii="Times New Roman" w:hAnsi="Times New Roman" w:cs="Times New Roman"/>
                <w:kern w:val="0"/>
                <w:szCs w:val="21"/>
              </w:rPr>
              <w:t>2．长江鱼嘴以上江段及其一级支流汇入口上游20公里、嘉陵江及其一级支流汇入口上游20公里、集中式饮用水水源取水口上游20公里范围内的沿岸地区（江河50年一遇洪水位向陆域一侧1公里范围内）的重金属（铬、镉、汞、砷、铅等五类重金属，下同）、剧毒物质和持久性有机污染物的工业项目。</w:t>
            </w:r>
          </w:p>
          <w:p w14:paraId="5503763E">
            <w:pPr>
              <w:spacing w:line="240" w:lineRule="exact"/>
              <w:rPr>
                <w:rFonts w:ascii="Times New Roman" w:hAnsi="Times New Roman" w:cs="Times New Roman"/>
                <w:kern w:val="0"/>
                <w:szCs w:val="21"/>
              </w:rPr>
            </w:pPr>
            <w:r>
              <w:rPr>
                <w:rFonts w:ascii="Times New Roman" w:hAnsi="Times New Roman" w:cs="Times New Roman"/>
                <w:kern w:val="0"/>
                <w:szCs w:val="21"/>
              </w:rPr>
              <w:t>3．未进入国家和市政府批准的化工园区或化工集中区的化工项目。</w:t>
            </w:r>
          </w:p>
          <w:p w14:paraId="00DC05AA">
            <w:pPr>
              <w:spacing w:line="240" w:lineRule="exact"/>
              <w:rPr>
                <w:rFonts w:ascii="Times New Roman" w:hAnsi="Times New Roman" w:cs="Times New Roman"/>
                <w:kern w:val="0"/>
                <w:szCs w:val="21"/>
              </w:rPr>
            </w:pPr>
            <w:r>
              <w:rPr>
                <w:rFonts w:ascii="Times New Roman" w:hAnsi="Times New Roman" w:cs="Times New Roman"/>
                <w:kern w:val="0"/>
                <w:szCs w:val="21"/>
              </w:rPr>
              <w:t>4．大气污染防治重点控制区域内，燃煤火电、化工、水泥、采（碎）石场、烧结砖瓦窑以及燃煤锅炉等项目。</w:t>
            </w:r>
          </w:p>
          <w:p w14:paraId="13D1F5C5">
            <w:pPr>
              <w:spacing w:line="240" w:lineRule="exact"/>
              <w:rPr>
                <w:rFonts w:ascii="Times New Roman" w:hAnsi="Times New Roman" w:cs="Times New Roman"/>
                <w:kern w:val="0"/>
                <w:szCs w:val="21"/>
              </w:rPr>
            </w:pPr>
            <w:r>
              <w:rPr>
                <w:rFonts w:ascii="Times New Roman" w:hAnsi="Times New Roman" w:cs="Times New Roman"/>
                <w:kern w:val="0"/>
                <w:szCs w:val="21"/>
              </w:rPr>
              <w:t>5．主城区以外的各区县城区及其主导上风向5公里范围内，燃煤电厂、水泥、冶炼等大气污染严重的项目。</w:t>
            </w:r>
          </w:p>
          <w:p w14:paraId="78CE4415">
            <w:pPr>
              <w:spacing w:line="240" w:lineRule="exact"/>
              <w:rPr>
                <w:rFonts w:ascii="Times New Roman" w:hAnsi="Times New Roman" w:cs="Times New Roman"/>
                <w:kern w:val="0"/>
                <w:szCs w:val="21"/>
              </w:rPr>
            </w:pPr>
            <w:r>
              <w:rPr>
                <w:rFonts w:ascii="Times New Roman" w:hAnsi="Times New Roman" w:cs="Times New Roman"/>
                <w:kern w:val="0"/>
                <w:szCs w:val="21"/>
              </w:rPr>
              <w:t>6．二十五度以上陡坡地开垦种植农作物。</w:t>
            </w:r>
          </w:p>
          <w:p w14:paraId="1C16C3D8">
            <w:pPr>
              <w:spacing w:line="240" w:lineRule="exact"/>
              <w:rPr>
                <w:rFonts w:ascii="Times New Roman" w:hAnsi="Times New Roman" w:cs="Times New Roman"/>
                <w:kern w:val="0"/>
                <w:szCs w:val="21"/>
              </w:rPr>
            </w:pPr>
            <w:r>
              <w:rPr>
                <w:rFonts w:ascii="Times New Roman" w:hAnsi="Times New Roman" w:cs="Times New Roman"/>
                <w:kern w:val="0"/>
                <w:szCs w:val="21"/>
              </w:rPr>
              <w:t>7．饮用水水源保护区、自然保护区、自然文化遗产地、湿地公园、森林公园、风景名胜区、地质公园等区域进行工业化城镇化开发。其中，饮用水水源保护区包括一级保护区和二级保护区；自然保护区包括县级及以上自然保护区的核心区、缓冲区、实验区；自然文化遗产地、湿地公园、森林公园、风景名胜区、地质公园包括规划范围以内全部区域。</w:t>
            </w:r>
          </w:p>
          <w:p w14:paraId="3063E80C">
            <w:pPr>
              <w:spacing w:line="240" w:lineRule="exact"/>
              <w:rPr>
                <w:rFonts w:ascii="Times New Roman" w:hAnsi="Times New Roman" w:cs="Times New Roman"/>
                <w:kern w:val="0"/>
                <w:szCs w:val="21"/>
              </w:rPr>
            </w:pPr>
            <w:r>
              <w:rPr>
                <w:rFonts w:ascii="Times New Roman" w:hAnsi="Times New Roman" w:cs="Times New Roman"/>
                <w:kern w:val="0"/>
                <w:szCs w:val="21"/>
              </w:rPr>
              <w:t>8．生态红线控制区、生态环境敏感区、人口聚集区涉重金属排放项目。</w:t>
            </w:r>
          </w:p>
          <w:p w14:paraId="03C9DF24">
            <w:pPr>
              <w:spacing w:line="240" w:lineRule="exact"/>
              <w:rPr>
                <w:rFonts w:ascii="Times New Roman" w:hAnsi="Times New Roman" w:cs="Times New Roman"/>
                <w:kern w:val="0"/>
                <w:szCs w:val="21"/>
              </w:rPr>
            </w:pPr>
            <w:r>
              <w:rPr>
                <w:rFonts w:ascii="Times New Roman" w:hAnsi="Times New Roman" w:cs="Times New Roman"/>
                <w:kern w:val="0"/>
                <w:szCs w:val="21"/>
              </w:rPr>
              <w:t>9．长江干流及主要支流岸线1公里范围内重化工项目（除在建项目外）。</w:t>
            </w:r>
          </w:p>
          <w:p w14:paraId="72822631">
            <w:pPr>
              <w:spacing w:line="240" w:lineRule="exact"/>
              <w:rPr>
                <w:rFonts w:ascii="Times New Roman" w:hAnsi="Times New Roman" w:cs="Times New Roman"/>
                <w:kern w:val="0"/>
                <w:szCs w:val="21"/>
              </w:rPr>
            </w:pPr>
            <w:r>
              <w:rPr>
                <w:rFonts w:ascii="Times New Roman" w:hAnsi="Times New Roman" w:cs="Times New Roman"/>
                <w:kern w:val="0"/>
                <w:szCs w:val="21"/>
              </w:rPr>
              <w:t>10．修改为长江干流及主要支流（指乌江、嘉陵江、大宁河、阿蓬江、涪江、渠江）175米库岸沿线至第一山脊线范围内采矿。</w:t>
            </w:r>
          </w:p>
          <w:p w14:paraId="060015E6">
            <w:pPr>
              <w:spacing w:line="240" w:lineRule="exact"/>
              <w:rPr>
                <w:rFonts w:ascii="Times New Roman" w:hAnsi="Times New Roman" w:cs="Times New Roman"/>
                <w:kern w:val="0"/>
                <w:szCs w:val="21"/>
              </w:rPr>
            </w:pPr>
            <w:r>
              <w:rPr>
                <w:rFonts w:ascii="Times New Roman" w:hAnsi="Times New Roman" w:cs="Times New Roman"/>
                <w:kern w:val="0"/>
                <w:szCs w:val="21"/>
              </w:rPr>
              <w:t>11．外环绕城高速公路以内长江、嘉陵江水域采砂。</w:t>
            </w:r>
          </w:p>
          <w:p w14:paraId="4C54C1D7">
            <w:pPr>
              <w:spacing w:line="240" w:lineRule="exact"/>
              <w:rPr>
                <w:rFonts w:ascii="Times New Roman" w:hAnsi="Times New Roman" w:cs="Times New Roman"/>
                <w:kern w:val="0"/>
                <w:szCs w:val="21"/>
              </w:rPr>
            </w:pPr>
            <w:r>
              <w:rPr>
                <w:rFonts w:ascii="Times New Roman" w:hAnsi="Times New Roman" w:cs="Times New Roman"/>
                <w:kern w:val="0"/>
                <w:szCs w:val="21"/>
              </w:rPr>
              <w:t>12．主城区不符合“两江四岸”规划设计景观要求的项目以及造纸、印染、危险废物处置项目。</w:t>
            </w:r>
          </w:p>
          <w:p w14:paraId="6A9D322A">
            <w:pPr>
              <w:spacing w:line="240" w:lineRule="exact"/>
              <w:rPr>
                <w:rFonts w:ascii="Times New Roman" w:hAnsi="Times New Roman" w:cs="Times New Roman"/>
                <w:kern w:val="0"/>
                <w:szCs w:val="21"/>
              </w:rPr>
            </w:pPr>
            <w:r>
              <w:rPr>
                <w:rFonts w:ascii="Times New Roman" w:hAnsi="Times New Roman" w:cs="Times New Roman"/>
                <w:kern w:val="0"/>
                <w:szCs w:val="21"/>
              </w:rPr>
              <w:t>13．主城区内环以内工业项目；内环以外燃煤电厂（含热电）、重化工以及使用煤和重油为燃料的工业项目。</w:t>
            </w:r>
          </w:p>
          <w:p w14:paraId="2B9A6607">
            <w:pPr>
              <w:spacing w:line="240" w:lineRule="exact"/>
              <w:rPr>
                <w:rFonts w:ascii="Times New Roman" w:hAnsi="Times New Roman" w:cs="Times New Roman"/>
                <w:kern w:val="0"/>
                <w:szCs w:val="21"/>
              </w:rPr>
            </w:pPr>
            <w:r>
              <w:rPr>
                <w:rFonts w:ascii="Times New Roman" w:hAnsi="Times New Roman" w:cs="Times New Roman"/>
                <w:kern w:val="0"/>
                <w:szCs w:val="21"/>
              </w:rPr>
              <w:t>14．主城区及其主导上风向20公里范围内大气污染严重的燃煤电厂（含热电）、冶炼、水泥项目。</w:t>
            </w:r>
          </w:p>
          <w:p w14:paraId="5D48DC2E">
            <w:pPr>
              <w:spacing w:line="240" w:lineRule="exact"/>
              <w:rPr>
                <w:rFonts w:ascii="Times New Roman" w:hAnsi="Times New Roman" w:cs="Times New Roman"/>
                <w:kern w:val="0"/>
                <w:szCs w:val="21"/>
              </w:rPr>
            </w:pPr>
            <w:r>
              <w:rPr>
                <w:rFonts w:ascii="Times New Roman" w:hAnsi="Times New Roman" w:cs="Times New Roman"/>
                <w:kern w:val="0"/>
                <w:szCs w:val="21"/>
              </w:rPr>
              <w:t>15．长江、嘉陵江主城区江段及其上游沿江河地区排放有毒有害物质、重金属以及存在严重环境安全风险的产业项目。</w:t>
            </w:r>
          </w:p>
          <w:p w14:paraId="4F33AF0C">
            <w:pPr>
              <w:spacing w:line="240" w:lineRule="exact"/>
              <w:rPr>
                <w:rFonts w:ascii="Times New Roman" w:hAnsi="Times New Roman" w:cs="Times New Roman"/>
                <w:kern w:val="0"/>
                <w:szCs w:val="21"/>
              </w:rPr>
            </w:pPr>
            <w:r>
              <w:rPr>
                <w:rFonts w:ascii="Times New Roman" w:hAnsi="Times New Roman" w:cs="Times New Roman"/>
                <w:kern w:val="0"/>
                <w:szCs w:val="21"/>
              </w:rPr>
              <w:t>16．东北部地区和东南部地区的化工项目（万州区仅限于对现有主体化工产业链进行完善和升级改造）。</w:t>
            </w:r>
          </w:p>
        </w:tc>
        <w:tc>
          <w:tcPr>
            <w:tcW w:w="1252" w:type="pct"/>
            <w:tcBorders>
              <w:top w:val="single" w:color="auto" w:sz="4" w:space="0"/>
              <w:left w:val="single" w:color="auto" w:sz="4" w:space="0"/>
              <w:bottom w:val="single" w:color="auto" w:sz="4" w:space="0"/>
              <w:right w:val="single" w:color="auto" w:sz="4" w:space="0"/>
            </w:tcBorders>
            <w:vAlign w:val="center"/>
          </w:tcPr>
          <w:p w14:paraId="0CCF2D23">
            <w:pPr>
              <w:pStyle w:val="212"/>
              <w:spacing w:line="240" w:lineRule="auto"/>
              <w:jc w:val="both"/>
              <w:rPr>
                <w:rFonts w:ascii="Times New Roman" w:hAnsi="Times New Roman" w:cs="Times New Roman"/>
                <w:kern w:val="0"/>
                <w:szCs w:val="21"/>
              </w:rPr>
            </w:pPr>
            <w:r>
              <w:rPr>
                <w:rFonts w:ascii="Times New Roman" w:hAnsi="Times New Roman" w:cs="Times New Roman"/>
                <w:kern w:val="0"/>
                <w:szCs w:val="21"/>
              </w:rPr>
              <w:t>项目选址位于重庆市重庆白涛工业园区。</w:t>
            </w:r>
          </w:p>
          <w:p w14:paraId="03036006">
            <w:pPr>
              <w:pStyle w:val="212"/>
              <w:spacing w:line="240" w:lineRule="auto"/>
              <w:jc w:val="both"/>
              <w:rPr>
                <w:rFonts w:ascii="Times New Roman" w:hAnsi="Times New Roman" w:cs="Times New Roman"/>
                <w:kern w:val="0"/>
                <w:szCs w:val="21"/>
              </w:rPr>
            </w:pPr>
            <w:r>
              <w:rPr>
                <w:rFonts w:ascii="Times New Roman" w:hAnsi="Times New Roman" w:cs="Times New Roman"/>
                <w:kern w:val="0"/>
                <w:szCs w:val="21"/>
              </w:rPr>
              <w:t>项目采取相应的治理措施后，环境影响小，环境风险可控；项目不涉及四山保护区，不属于使用燃用煤、重油等高污染燃料的工业项目，不排放重金属污染物。</w:t>
            </w:r>
          </w:p>
        </w:tc>
        <w:tc>
          <w:tcPr>
            <w:tcW w:w="481" w:type="pct"/>
            <w:tcBorders>
              <w:top w:val="single" w:color="auto" w:sz="4" w:space="0"/>
              <w:left w:val="single" w:color="auto" w:sz="4" w:space="0"/>
              <w:bottom w:val="single" w:color="auto" w:sz="4" w:space="0"/>
              <w:right w:val="single" w:color="auto" w:sz="4" w:space="0"/>
            </w:tcBorders>
            <w:vAlign w:val="center"/>
          </w:tcPr>
          <w:p w14:paraId="33878485">
            <w:pPr>
              <w:pStyle w:val="212"/>
              <w:spacing w:line="240" w:lineRule="auto"/>
              <w:rPr>
                <w:rFonts w:ascii="Times New Roman" w:hAnsi="Times New Roman" w:cs="Times New Roman"/>
                <w:kern w:val="0"/>
                <w:szCs w:val="21"/>
              </w:rPr>
            </w:pPr>
            <w:r>
              <w:rPr>
                <w:rFonts w:ascii="Times New Roman" w:hAnsi="Times New Roman" w:cs="Times New Roman"/>
                <w:kern w:val="0"/>
                <w:szCs w:val="21"/>
              </w:rPr>
              <w:t>符合</w:t>
            </w:r>
          </w:p>
        </w:tc>
      </w:tr>
      <w:tr w14:paraId="786B782E">
        <w:tblPrEx>
          <w:tblCellMar>
            <w:top w:w="0" w:type="dxa"/>
            <w:left w:w="108" w:type="dxa"/>
            <w:bottom w:w="0" w:type="dxa"/>
            <w:right w:w="108" w:type="dxa"/>
          </w:tblCellMar>
        </w:tblPrEx>
        <w:trPr>
          <w:trHeight w:val="1007" w:hRule="atLeast"/>
          <w:jc w:val="center"/>
        </w:trPr>
        <w:tc>
          <w:tcPr>
            <w:tcW w:w="369" w:type="pct"/>
            <w:tcBorders>
              <w:top w:val="single" w:color="auto" w:sz="4" w:space="0"/>
              <w:left w:val="single" w:color="auto" w:sz="4" w:space="0"/>
              <w:bottom w:val="single" w:color="auto" w:sz="4" w:space="0"/>
              <w:right w:val="single" w:color="auto" w:sz="4" w:space="0"/>
            </w:tcBorders>
            <w:vAlign w:val="center"/>
          </w:tcPr>
          <w:p w14:paraId="523E2AEE">
            <w:pPr>
              <w:spacing w:line="240" w:lineRule="exact"/>
              <w:jc w:val="center"/>
              <w:rPr>
                <w:rFonts w:ascii="Times New Roman" w:hAnsi="Times New Roman" w:cs="Times New Roman"/>
                <w:kern w:val="0"/>
                <w:szCs w:val="21"/>
              </w:rPr>
            </w:pPr>
            <w:r>
              <w:rPr>
                <w:rFonts w:ascii="Times New Roman" w:hAnsi="Times New Roman" w:cs="Times New Roman"/>
                <w:kern w:val="0"/>
                <w:szCs w:val="21"/>
              </w:rPr>
              <w:t>5</w:t>
            </w:r>
          </w:p>
        </w:tc>
        <w:tc>
          <w:tcPr>
            <w:tcW w:w="2898" w:type="pct"/>
            <w:tcBorders>
              <w:top w:val="single" w:color="auto" w:sz="4" w:space="0"/>
              <w:left w:val="single" w:color="auto" w:sz="4" w:space="0"/>
              <w:bottom w:val="single" w:color="auto" w:sz="4" w:space="0"/>
              <w:right w:val="single" w:color="auto" w:sz="4" w:space="0"/>
            </w:tcBorders>
            <w:vAlign w:val="center"/>
          </w:tcPr>
          <w:p w14:paraId="3601C1A8">
            <w:pPr>
              <w:spacing w:line="240" w:lineRule="exact"/>
              <w:rPr>
                <w:rFonts w:ascii="Times New Roman" w:hAnsi="Times New Roman" w:cs="Times New Roman"/>
                <w:kern w:val="0"/>
                <w:szCs w:val="21"/>
              </w:rPr>
            </w:pPr>
            <w:r>
              <w:rPr>
                <w:rFonts w:ascii="Times New Roman" w:hAnsi="Times New Roman" w:cs="Times New Roman"/>
                <w:kern w:val="0"/>
                <w:szCs w:val="21"/>
              </w:rPr>
              <w:t>三、限制准入类</w:t>
            </w:r>
          </w:p>
          <w:p w14:paraId="7C6F11A9">
            <w:pPr>
              <w:spacing w:line="240" w:lineRule="exact"/>
              <w:rPr>
                <w:rFonts w:ascii="Times New Roman" w:hAnsi="Times New Roman" w:cs="Times New Roman"/>
                <w:kern w:val="0"/>
                <w:szCs w:val="21"/>
              </w:rPr>
            </w:pPr>
            <w:r>
              <w:rPr>
                <w:rFonts w:ascii="Times New Roman" w:hAnsi="Times New Roman" w:cs="Times New Roman"/>
                <w:kern w:val="0"/>
                <w:szCs w:val="21"/>
              </w:rPr>
              <w:t>1．长江干流及主要支流岸线5公里范围内，除经国家和市政府批准设立、仍在建设的工业园区外，不再新布局工业园区（不包括现有工业园区拓展）。</w:t>
            </w:r>
          </w:p>
          <w:p w14:paraId="4C05731C">
            <w:pPr>
              <w:spacing w:line="240" w:lineRule="exact"/>
              <w:rPr>
                <w:rFonts w:ascii="Times New Roman" w:hAnsi="Times New Roman" w:cs="Times New Roman"/>
                <w:kern w:val="0"/>
                <w:szCs w:val="21"/>
              </w:rPr>
            </w:pPr>
            <w:r>
              <w:rPr>
                <w:rFonts w:ascii="Times New Roman" w:hAnsi="Times New Roman" w:cs="Times New Roman"/>
                <w:kern w:val="0"/>
                <w:szCs w:val="21"/>
              </w:rPr>
              <w:t>2．大气污染防治一般控制区域内，限制建设大气污染严重项目。</w:t>
            </w:r>
          </w:p>
          <w:p w14:paraId="081DD69C">
            <w:pPr>
              <w:spacing w:line="240" w:lineRule="exact"/>
              <w:rPr>
                <w:rFonts w:ascii="Times New Roman" w:hAnsi="Times New Roman" w:cs="Times New Roman"/>
                <w:kern w:val="0"/>
                <w:szCs w:val="21"/>
              </w:rPr>
            </w:pPr>
            <w:r>
              <w:rPr>
                <w:rFonts w:ascii="Times New Roman" w:hAnsi="Times New Roman" w:cs="Times New Roman"/>
                <w:kern w:val="0"/>
                <w:szCs w:val="21"/>
              </w:rPr>
              <w:t>3．其他区县的缺水区域严格限制建设高耗水的工业项目。</w:t>
            </w:r>
          </w:p>
          <w:p w14:paraId="7BBEE58D">
            <w:pPr>
              <w:spacing w:line="240" w:lineRule="exact"/>
              <w:rPr>
                <w:rFonts w:ascii="Times New Roman" w:hAnsi="Times New Roman" w:cs="Times New Roman"/>
                <w:kern w:val="0"/>
                <w:szCs w:val="21"/>
              </w:rPr>
            </w:pPr>
            <w:r>
              <w:rPr>
                <w:rFonts w:ascii="Times New Roman" w:hAnsi="Times New Roman" w:cs="Times New Roman"/>
                <w:kern w:val="0"/>
                <w:szCs w:val="21"/>
              </w:rPr>
              <w:t>4．合川区、江津区、长寿区、璧山区等地区，严格限制新建可能对主城区大气产生影响的燃用煤、重油等高污染燃料的工业项目。</w:t>
            </w:r>
          </w:p>
          <w:p w14:paraId="65794BFB">
            <w:pPr>
              <w:spacing w:line="240" w:lineRule="exact"/>
              <w:rPr>
                <w:rFonts w:ascii="Times New Roman" w:hAnsi="Times New Roman" w:cs="Times New Roman"/>
                <w:kern w:val="0"/>
                <w:szCs w:val="21"/>
              </w:rPr>
            </w:pPr>
            <w:r>
              <w:rPr>
                <w:rFonts w:ascii="Times New Roman" w:hAnsi="Times New Roman" w:cs="Times New Roman"/>
                <w:kern w:val="0"/>
                <w:szCs w:val="21"/>
              </w:rPr>
              <w:t>5．东北部地区、东南部地区限制发展易破坏生态植被的采矿业、建材等工业项目。</w:t>
            </w:r>
          </w:p>
        </w:tc>
        <w:tc>
          <w:tcPr>
            <w:tcW w:w="1252" w:type="pct"/>
            <w:tcBorders>
              <w:top w:val="single" w:color="auto" w:sz="4" w:space="0"/>
              <w:left w:val="single" w:color="auto" w:sz="4" w:space="0"/>
              <w:bottom w:val="single" w:color="auto" w:sz="4" w:space="0"/>
              <w:right w:val="single" w:color="auto" w:sz="4" w:space="0"/>
            </w:tcBorders>
            <w:vAlign w:val="center"/>
          </w:tcPr>
          <w:p w14:paraId="7964BC77">
            <w:pPr>
              <w:pStyle w:val="212"/>
              <w:spacing w:line="240" w:lineRule="auto"/>
              <w:jc w:val="both"/>
              <w:rPr>
                <w:rFonts w:ascii="Times New Roman" w:hAnsi="Times New Roman" w:cs="Times New Roman"/>
                <w:kern w:val="0"/>
                <w:szCs w:val="21"/>
              </w:rPr>
            </w:pPr>
            <w:r>
              <w:rPr>
                <w:rFonts w:ascii="Times New Roman" w:hAnsi="Times New Roman" w:cs="Times New Roman"/>
                <w:kern w:val="0"/>
                <w:szCs w:val="21"/>
              </w:rPr>
              <w:t>项目位于现有工业园区范围内，不属于大气污染严重或高耗水项目，本项目为</w:t>
            </w:r>
            <w:r>
              <w:rPr>
                <w:rFonts w:hint="eastAsia" w:ascii="Times New Roman" w:hAnsi="Times New Roman" w:cs="Times New Roman"/>
                <w:kern w:val="0"/>
                <w:szCs w:val="21"/>
              </w:rPr>
              <w:t>液化天然气项目</w:t>
            </w:r>
            <w:r>
              <w:rPr>
                <w:rFonts w:ascii="Times New Roman" w:hAnsi="Times New Roman" w:cs="Times New Roman"/>
                <w:kern w:val="0"/>
                <w:szCs w:val="21"/>
              </w:rPr>
              <w:t>，符合园区的产业定位。</w:t>
            </w:r>
          </w:p>
        </w:tc>
        <w:tc>
          <w:tcPr>
            <w:tcW w:w="481" w:type="pct"/>
            <w:tcBorders>
              <w:top w:val="single" w:color="auto" w:sz="4" w:space="0"/>
              <w:left w:val="single" w:color="auto" w:sz="4" w:space="0"/>
              <w:bottom w:val="single" w:color="auto" w:sz="4" w:space="0"/>
              <w:right w:val="single" w:color="auto" w:sz="4" w:space="0"/>
            </w:tcBorders>
            <w:vAlign w:val="center"/>
          </w:tcPr>
          <w:p w14:paraId="289F0ABB">
            <w:pPr>
              <w:pStyle w:val="212"/>
              <w:spacing w:line="240" w:lineRule="auto"/>
              <w:rPr>
                <w:rFonts w:ascii="Times New Roman" w:hAnsi="Times New Roman" w:cs="Times New Roman"/>
                <w:kern w:val="0"/>
                <w:szCs w:val="21"/>
              </w:rPr>
            </w:pPr>
            <w:r>
              <w:rPr>
                <w:rFonts w:ascii="Times New Roman" w:hAnsi="Times New Roman" w:cs="Times New Roman"/>
                <w:kern w:val="0"/>
                <w:szCs w:val="21"/>
              </w:rPr>
              <w:t>符合</w:t>
            </w:r>
          </w:p>
        </w:tc>
      </w:tr>
    </w:tbl>
    <w:p w14:paraId="4DEE6B28">
      <w:pPr>
        <w:adjustRightInd w:val="0"/>
        <w:snapToGrid w:val="0"/>
        <w:spacing w:line="480" w:lineRule="exact"/>
        <w:jc w:val="center"/>
        <w:rPr>
          <w:rFonts w:ascii="Times New Roman" w:hAnsi="Times New Roman" w:cs="Times New Roman"/>
          <w:b/>
          <w:sz w:val="24"/>
          <w:szCs w:val="20"/>
          <w:lang w:val="zh-CN"/>
        </w:rPr>
      </w:pPr>
    </w:p>
    <w:p w14:paraId="4E91AD7B">
      <w:pPr>
        <w:adjustRightInd w:val="0"/>
        <w:snapToGrid w:val="0"/>
        <w:spacing w:line="480" w:lineRule="exact"/>
        <w:jc w:val="center"/>
        <w:rPr>
          <w:rFonts w:ascii="Times New Roman" w:hAnsi="Times New Roman" w:cs="Times New Roman"/>
          <w:b/>
          <w:sz w:val="24"/>
          <w:szCs w:val="20"/>
          <w:lang w:val="zh-CN"/>
        </w:rPr>
      </w:pPr>
      <w:r>
        <w:rPr>
          <w:rFonts w:ascii="Times New Roman" w:hAnsi="Times New Roman" w:cs="Times New Roman"/>
          <w:b/>
          <w:sz w:val="24"/>
          <w:szCs w:val="20"/>
          <w:lang w:val="zh-CN"/>
        </w:rPr>
        <w:t>表1.6-1   本项目与严格工业布局和准入文件符合性分析</w:t>
      </w:r>
    </w:p>
    <w:tbl>
      <w:tblPr>
        <w:tblStyle w:val="8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4820"/>
        <w:gridCol w:w="2693"/>
        <w:gridCol w:w="730"/>
      </w:tblGrid>
      <w:tr w14:paraId="09C3F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vAlign w:val="center"/>
          </w:tcPr>
          <w:p w14:paraId="45B91A41">
            <w:pPr>
              <w:pStyle w:val="2"/>
              <w:spacing w:line="28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序号</w:t>
            </w:r>
          </w:p>
        </w:tc>
        <w:tc>
          <w:tcPr>
            <w:tcW w:w="4820" w:type="dxa"/>
            <w:tcBorders>
              <w:top w:val="single" w:color="auto" w:sz="4" w:space="0"/>
              <w:left w:val="single" w:color="auto" w:sz="4" w:space="0"/>
              <w:bottom w:val="single" w:color="auto" w:sz="4" w:space="0"/>
              <w:right w:val="single" w:color="auto" w:sz="4" w:space="0"/>
            </w:tcBorders>
            <w:vAlign w:val="center"/>
          </w:tcPr>
          <w:p w14:paraId="69310FE5">
            <w:pPr>
              <w:pStyle w:val="2"/>
              <w:spacing w:line="28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文件规定</w:t>
            </w:r>
          </w:p>
        </w:tc>
        <w:tc>
          <w:tcPr>
            <w:tcW w:w="2693" w:type="dxa"/>
            <w:tcBorders>
              <w:top w:val="single" w:color="auto" w:sz="4" w:space="0"/>
              <w:left w:val="single" w:color="auto" w:sz="4" w:space="0"/>
              <w:bottom w:val="single" w:color="auto" w:sz="4" w:space="0"/>
              <w:right w:val="single" w:color="auto" w:sz="4" w:space="0"/>
            </w:tcBorders>
            <w:vAlign w:val="center"/>
          </w:tcPr>
          <w:p w14:paraId="1A3BADB1">
            <w:pPr>
              <w:pStyle w:val="2"/>
              <w:spacing w:line="28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项目情况</w:t>
            </w:r>
          </w:p>
        </w:tc>
        <w:tc>
          <w:tcPr>
            <w:tcW w:w="730" w:type="dxa"/>
            <w:tcBorders>
              <w:top w:val="single" w:color="auto" w:sz="4" w:space="0"/>
              <w:left w:val="single" w:color="auto" w:sz="4" w:space="0"/>
              <w:bottom w:val="single" w:color="auto" w:sz="4" w:space="0"/>
              <w:right w:val="single" w:color="auto" w:sz="4" w:space="0"/>
            </w:tcBorders>
            <w:vAlign w:val="center"/>
          </w:tcPr>
          <w:p w14:paraId="7E832F8C">
            <w:pPr>
              <w:pStyle w:val="2"/>
              <w:spacing w:line="28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符合性</w:t>
            </w:r>
          </w:p>
        </w:tc>
      </w:tr>
      <w:tr w14:paraId="07A95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vAlign w:val="center"/>
          </w:tcPr>
          <w:p w14:paraId="3EB30C49">
            <w:pPr>
              <w:pStyle w:val="2"/>
              <w:spacing w:line="28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优化空间布局</w:t>
            </w:r>
          </w:p>
        </w:tc>
        <w:tc>
          <w:tcPr>
            <w:tcW w:w="4820" w:type="dxa"/>
            <w:tcBorders>
              <w:top w:val="single" w:color="auto" w:sz="4" w:space="0"/>
              <w:left w:val="single" w:color="auto" w:sz="4" w:space="0"/>
              <w:bottom w:val="single" w:color="auto" w:sz="4" w:space="0"/>
              <w:right w:val="single" w:color="auto" w:sz="4" w:space="0"/>
            </w:tcBorders>
            <w:vAlign w:val="center"/>
          </w:tcPr>
          <w:p w14:paraId="75EB1F16">
            <w:pPr>
              <w:pStyle w:val="2"/>
              <w:spacing w:line="280" w:lineRule="exact"/>
              <w:jc w:val="both"/>
              <w:rPr>
                <w:rFonts w:ascii="Times New Roman" w:hAnsi="Times New Roman" w:cs="Times New Roman"/>
                <w:color w:val="auto"/>
                <w:sz w:val="21"/>
                <w:szCs w:val="21"/>
              </w:rPr>
            </w:pPr>
            <w:r>
              <w:rPr>
                <w:rFonts w:ascii="Times New Roman" w:hAnsi="Times New Roman" w:cs="Times New Roman"/>
                <w:color w:val="auto"/>
                <w:sz w:val="21"/>
                <w:szCs w:val="21"/>
              </w:rPr>
              <w:t>对在长江干流及主要支流岸线1公里范围内新建重化工、纺织、造纸等存在污染风险的工业项目，不得办理项目核准或备案手续。禁止在长江干流及主要支流岸线5公里范围内新布局工业园区，有序推进现有工业园区空间布局的调整优化。</w:t>
            </w:r>
          </w:p>
        </w:tc>
        <w:tc>
          <w:tcPr>
            <w:tcW w:w="2693" w:type="dxa"/>
            <w:tcBorders>
              <w:top w:val="single" w:color="auto" w:sz="4" w:space="0"/>
              <w:left w:val="single" w:color="auto" w:sz="4" w:space="0"/>
              <w:bottom w:val="single" w:color="auto" w:sz="4" w:space="0"/>
              <w:right w:val="single" w:color="auto" w:sz="4" w:space="0"/>
            </w:tcBorders>
            <w:vAlign w:val="center"/>
          </w:tcPr>
          <w:p w14:paraId="581495A3">
            <w:pPr>
              <w:pStyle w:val="2"/>
              <w:spacing w:line="280" w:lineRule="exact"/>
              <w:jc w:val="both"/>
              <w:rPr>
                <w:rFonts w:ascii="Times New Roman" w:hAnsi="Times New Roman" w:cs="Times New Roman"/>
                <w:color w:val="auto"/>
                <w:sz w:val="21"/>
                <w:szCs w:val="21"/>
              </w:rPr>
            </w:pPr>
            <w:r>
              <w:rPr>
                <w:rFonts w:ascii="Times New Roman" w:hAnsi="Times New Roman" w:cs="Times New Roman"/>
                <w:color w:val="auto"/>
                <w:sz w:val="21"/>
                <w:szCs w:val="21"/>
              </w:rPr>
              <w:t>项目不属于重化工、纺织、造纸等存在污染风险的工业项目。</w:t>
            </w:r>
          </w:p>
        </w:tc>
        <w:tc>
          <w:tcPr>
            <w:tcW w:w="730" w:type="dxa"/>
            <w:tcBorders>
              <w:top w:val="single" w:color="auto" w:sz="4" w:space="0"/>
              <w:left w:val="single" w:color="auto" w:sz="4" w:space="0"/>
              <w:bottom w:val="single" w:color="auto" w:sz="4" w:space="0"/>
              <w:right w:val="single" w:color="auto" w:sz="4" w:space="0"/>
            </w:tcBorders>
            <w:vAlign w:val="center"/>
          </w:tcPr>
          <w:p w14:paraId="28BD77CA">
            <w:pPr>
              <w:pStyle w:val="2"/>
              <w:spacing w:line="28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符合</w:t>
            </w:r>
          </w:p>
        </w:tc>
      </w:tr>
      <w:tr w14:paraId="39293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vAlign w:val="center"/>
          </w:tcPr>
          <w:p w14:paraId="069272E9">
            <w:pPr>
              <w:pStyle w:val="2"/>
              <w:spacing w:line="28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新建项目入园</w:t>
            </w:r>
          </w:p>
        </w:tc>
        <w:tc>
          <w:tcPr>
            <w:tcW w:w="4820" w:type="dxa"/>
            <w:tcBorders>
              <w:top w:val="single" w:color="auto" w:sz="4" w:space="0"/>
              <w:left w:val="single" w:color="auto" w:sz="4" w:space="0"/>
              <w:bottom w:val="single" w:color="auto" w:sz="4" w:space="0"/>
              <w:right w:val="single" w:color="auto" w:sz="4" w:space="0"/>
            </w:tcBorders>
            <w:vAlign w:val="center"/>
          </w:tcPr>
          <w:p w14:paraId="3B4EFE75">
            <w:pPr>
              <w:pStyle w:val="2"/>
              <w:spacing w:line="280" w:lineRule="exact"/>
              <w:jc w:val="both"/>
              <w:rPr>
                <w:rFonts w:ascii="Times New Roman" w:hAnsi="Times New Roman" w:cs="Times New Roman"/>
                <w:color w:val="auto"/>
                <w:sz w:val="21"/>
                <w:szCs w:val="21"/>
              </w:rPr>
            </w:pPr>
            <w:r>
              <w:rPr>
                <w:rFonts w:ascii="Times New Roman" w:hAnsi="Times New Roman" w:cs="Times New Roman"/>
                <w:color w:val="auto"/>
                <w:sz w:val="21"/>
                <w:szCs w:val="21"/>
              </w:rPr>
              <w:t>新建有污染排放的工业项目，处在安全生产或者产业布局等方面有特殊要求外，应当进入工业园区，对未进入工业园区的项目，或在工业园区以外区域实施单纯增加产能的技改的项目，不得办理核准及备案手续。</w:t>
            </w:r>
          </w:p>
        </w:tc>
        <w:tc>
          <w:tcPr>
            <w:tcW w:w="2693" w:type="dxa"/>
            <w:tcBorders>
              <w:top w:val="single" w:color="auto" w:sz="4" w:space="0"/>
              <w:left w:val="single" w:color="auto" w:sz="4" w:space="0"/>
              <w:bottom w:val="single" w:color="auto" w:sz="4" w:space="0"/>
              <w:right w:val="single" w:color="auto" w:sz="4" w:space="0"/>
            </w:tcBorders>
            <w:vAlign w:val="center"/>
          </w:tcPr>
          <w:p w14:paraId="60848F9D">
            <w:pPr>
              <w:pStyle w:val="2"/>
              <w:spacing w:line="280" w:lineRule="exact"/>
              <w:jc w:val="both"/>
              <w:rPr>
                <w:rFonts w:ascii="Times New Roman" w:hAnsi="Times New Roman" w:cs="Times New Roman"/>
                <w:color w:val="auto"/>
                <w:sz w:val="21"/>
                <w:szCs w:val="21"/>
              </w:rPr>
            </w:pPr>
            <w:r>
              <w:rPr>
                <w:rFonts w:ascii="Times New Roman" w:hAnsi="Times New Roman" w:cs="Times New Roman"/>
                <w:color w:val="auto"/>
                <w:sz w:val="21"/>
                <w:szCs w:val="21"/>
              </w:rPr>
              <w:t>项目位于重庆白涛工业园区内，属于工业园区范围内。</w:t>
            </w:r>
          </w:p>
        </w:tc>
        <w:tc>
          <w:tcPr>
            <w:tcW w:w="730" w:type="dxa"/>
            <w:tcBorders>
              <w:top w:val="single" w:color="auto" w:sz="4" w:space="0"/>
              <w:left w:val="single" w:color="auto" w:sz="4" w:space="0"/>
              <w:bottom w:val="single" w:color="auto" w:sz="4" w:space="0"/>
              <w:right w:val="single" w:color="auto" w:sz="4" w:space="0"/>
            </w:tcBorders>
            <w:vAlign w:val="center"/>
          </w:tcPr>
          <w:p w14:paraId="58867451">
            <w:pPr>
              <w:pStyle w:val="2"/>
              <w:spacing w:line="28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符合</w:t>
            </w:r>
          </w:p>
        </w:tc>
      </w:tr>
      <w:tr w14:paraId="24D6A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vAlign w:val="center"/>
          </w:tcPr>
          <w:p w14:paraId="7C71E267">
            <w:pPr>
              <w:pStyle w:val="2"/>
              <w:spacing w:line="28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严格产业准入</w:t>
            </w:r>
          </w:p>
        </w:tc>
        <w:tc>
          <w:tcPr>
            <w:tcW w:w="4820" w:type="dxa"/>
            <w:tcBorders>
              <w:top w:val="single" w:color="auto" w:sz="4" w:space="0"/>
              <w:left w:val="single" w:color="auto" w:sz="4" w:space="0"/>
              <w:bottom w:val="single" w:color="auto" w:sz="4" w:space="0"/>
              <w:right w:val="single" w:color="auto" w:sz="4" w:space="0"/>
            </w:tcBorders>
            <w:vAlign w:val="center"/>
          </w:tcPr>
          <w:p w14:paraId="380786C6">
            <w:pPr>
              <w:pStyle w:val="2"/>
              <w:spacing w:line="280" w:lineRule="exact"/>
              <w:jc w:val="both"/>
              <w:rPr>
                <w:rFonts w:ascii="Times New Roman" w:hAnsi="Times New Roman" w:cs="Times New Roman"/>
                <w:color w:val="auto"/>
                <w:sz w:val="21"/>
                <w:szCs w:val="21"/>
              </w:rPr>
            </w:pPr>
            <w:r>
              <w:rPr>
                <w:rFonts w:ascii="Times New Roman" w:hAnsi="Times New Roman" w:cs="Times New Roman"/>
                <w:color w:val="auto"/>
                <w:sz w:val="21"/>
                <w:szCs w:val="21"/>
              </w:rPr>
              <w:t>严格控制过剩产能和“两高一资”项目，严格限制造纸、印染、煤电、传统化工、传统燃油汽车、涉及重金属以及有毒有害和持久性污染物排放的项目。新建或扩建上述项目必须符合国家及我市产业政策和布局，依法办理环境保护、安全生产、资源（能源）节约等有关手续。</w:t>
            </w:r>
          </w:p>
        </w:tc>
        <w:tc>
          <w:tcPr>
            <w:tcW w:w="2693" w:type="dxa"/>
            <w:tcBorders>
              <w:top w:val="single" w:color="auto" w:sz="4" w:space="0"/>
              <w:left w:val="single" w:color="auto" w:sz="4" w:space="0"/>
              <w:bottom w:val="single" w:color="auto" w:sz="4" w:space="0"/>
              <w:right w:val="single" w:color="auto" w:sz="4" w:space="0"/>
            </w:tcBorders>
            <w:vAlign w:val="center"/>
          </w:tcPr>
          <w:p w14:paraId="13CA2F6D">
            <w:pPr>
              <w:pStyle w:val="2"/>
              <w:spacing w:line="280" w:lineRule="exact"/>
              <w:jc w:val="both"/>
              <w:rPr>
                <w:rFonts w:ascii="Times New Roman" w:hAnsi="Times New Roman" w:cs="Times New Roman"/>
                <w:color w:val="auto"/>
                <w:sz w:val="21"/>
                <w:szCs w:val="21"/>
              </w:rPr>
            </w:pPr>
            <w:r>
              <w:rPr>
                <w:rFonts w:ascii="Times New Roman" w:hAnsi="Times New Roman" w:cs="Times New Roman"/>
                <w:color w:val="auto"/>
                <w:sz w:val="21"/>
                <w:szCs w:val="21"/>
              </w:rPr>
              <w:t>项目不属于过剩产能和“两高一资”项目，不属于造纸、印染、煤电、传统化工、传统燃油汽车、涉及重金属以及有毒有害和持久性污染物排放的项目。</w:t>
            </w:r>
          </w:p>
        </w:tc>
        <w:tc>
          <w:tcPr>
            <w:tcW w:w="730" w:type="dxa"/>
            <w:tcBorders>
              <w:top w:val="single" w:color="auto" w:sz="4" w:space="0"/>
              <w:left w:val="single" w:color="auto" w:sz="4" w:space="0"/>
              <w:bottom w:val="single" w:color="auto" w:sz="4" w:space="0"/>
              <w:right w:val="single" w:color="auto" w:sz="4" w:space="0"/>
            </w:tcBorders>
            <w:vAlign w:val="center"/>
          </w:tcPr>
          <w:p w14:paraId="4E8A25BD">
            <w:pPr>
              <w:pStyle w:val="2"/>
              <w:spacing w:line="28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符合</w:t>
            </w:r>
          </w:p>
        </w:tc>
      </w:tr>
    </w:tbl>
    <w:p w14:paraId="59A6FAB0">
      <w:pPr>
        <w:adjustRightInd w:val="0"/>
        <w:snapToGrid w:val="0"/>
        <w:spacing w:line="360" w:lineRule="auto"/>
        <w:jc w:val="center"/>
        <w:rPr>
          <w:rFonts w:ascii="Times New Roman" w:hAnsi="Times New Roman" w:eastAsia="黑体" w:cs="Times New Roman"/>
          <w:snapToGrid w:val="0"/>
          <w:sz w:val="24"/>
        </w:rPr>
      </w:pPr>
    </w:p>
    <w:p w14:paraId="75EC0A20">
      <w:pPr>
        <w:adjustRightInd w:val="0"/>
        <w:snapToGrid w:val="0"/>
        <w:spacing w:line="480" w:lineRule="exact"/>
        <w:jc w:val="center"/>
        <w:rPr>
          <w:rFonts w:ascii="Times New Roman" w:hAnsi="Times New Roman" w:cs="Times New Roman"/>
          <w:b/>
          <w:sz w:val="24"/>
          <w:szCs w:val="20"/>
          <w:lang w:val="zh-CN"/>
        </w:rPr>
      </w:pPr>
      <w:r>
        <w:rPr>
          <w:rFonts w:ascii="Times New Roman" w:hAnsi="Times New Roman" w:cs="Times New Roman"/>
          <w:b/>
          <w:sz w:val="24"/>
          <w:szCs w:val="20"/>
          <w:lang w:val="zh-CN"/>
        </w:rPr>
        <w:t>表1.7-1   本项目与水十条、气十条、土十条符合性分析</w:t>
      </w:r>
    </w:p>
    <w:tbl>
      <w:tblPr>
        <w:tblStyle w:val="8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1"/>
        <w:gridCol w:w="5670"/>
        <w:gridCol w:w="1559"/>
        <w:gridCol w:w="730"/>
      </w:tblGrid>
      <w:tr w14:paraId="1B58AB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101" w:type="dxa"/>
            <w:tcBorders>
              <w:top w:val="single" w:color="000000" w:sz="4" w:space="0"/>
              <w:left w:val="single" w:color="000000" w:sz="4" w:space="0"/>
              <w:bottom w:val="single" w:color="000000" w:sz="4" w:space="0"/>
              <w:right w:val="single" w:color="000000" w:sz="4" w:space="0"/>
            </w:tcBorders>
            <w:vAlign w:val="center"/>
          </w:tcPr>
          <w:p w14:paraId="7B4D65CF">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条例</w:t>
            </w:r>
          </w:p>
          <w:p w14:paraId="63479D86">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名称</w:t>
            </w:r>
          </w:p>
        </w:tc>
        <w:tc>
          <w:tcPr>
            <w:tcW w:w="5670" w:type="dxa"/>
            <w:tcBorders>
              <w:top w:val="single" w:color="000000" w:sz="4" w:space="0"/>
              <w:left w:val="nil"/>
              <w:bottom w:val="single" w:color="000000" w:sz="4" w:space="0"/>
              <w:right w:val="single" w:color="000000" w:sz="4" w:space="0"/>
            </w:tcBorders>
            <w:vAlign w:val="center"/>
          </w:tcPr>
          <w:p w14:paraId="4D730A1A">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相关要求</w:t>
            </w:r>
          </w:p>
        </w:tc>
        <w:tc>
          <w:tcPr>
            <w:tcW w:w="1559" w:type="dxa"/>
            <w:tcBorders>
              <w:top w:val="single" w:color="000000" w:sz="4" w:space="0"/>
              <w:left w:val="nil"/>
              <w:bottom w:val="single" w:color="000000" w:sz="4" w:space="0"/>
              <w:right w:val="single" w:color="000000" w:sz="4" w:space="0"/>
            </w:tcBorders>
            <w:vAlign w:val="center"/>
          </w:tcPr>
          <w:p w14:paraId="51575AEA">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本项目情况</w:t>
            </w:r>
          </w:p>
        </w:tc>
        <w:tc>
          <w:tcPr>
            <w:tcW w:w="730" w:type="dxa"/>
            <w:tcBorders>
              <w:top w:val="single" w:color="000000" w:sz="4" w:space="0"/>
              <w:left w:val="nil"/>
              <w:bottom w:val="single" w:color="000000" w:sz="4" w:space="0"/>
              <w:right w:val="single" w:color="000000" w:sz="4" w:space="0"/>
            </w:tcBorders>
            <w:vAlign w:val="center"/>
          </w:tcPr>
          <w:p w14:paraId="1F47AA30">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符合性</w:t>
            </w:r>
          </w:p>
        </w:tc>
      </w:tr>
      <w:tr w14:paraId="666C44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101" w:type="dxa"/>
            <w:vMerge w:val="restart"/>
            <w:tcBorders>
              <w:top w:val="nil"/>
              <w:left w:val="single" w:color="000000" w:sz="4" w:space="0"/>
              <w:bottom w:val="single" w:color="000000" w:sz="4" w:space="0"/>
              <w:right w:val="single" w:color="000000" w:sz="4" w:space="0"/>
            </w:tcBorders>
            <w:vAlign w:val="center"/>
          </w:tcPr>
          <w:p w14:paraId="33B788CB">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《大气污染防治行动计划》（国发[2013]37号）</w:t>
            </w:r>
          </w:p>
        </w:tc>
        <w:tc>
          <w:tcPr>
            <w:tcW w:w="5670" w:type="dxa"/>
            <w:tcBorders>
              <w:top w:val="single" w:color="000000" w:sz="4" w:space="0"/>
              <w:left w:val="nil"/>
              <w:bottom w:val="single" w:color="000000" w:sz="4" w:space="0"/>
              <w:right w:val="single" w:color="000000" w:sz="4" w:space="0"/>
            </w:tcBorders>
            <w:vAlign w:val="center"/>
          </w:tcPr>
          <w:p w14:paraId="230797EF">
            <w:pPr>
              <w:adjustRightInd w:val="0"/>
              <w:snapToGrid w:val="0"/>
              <w:spacing w:line="240" w:lineRule="atLeast"/>
              <w:rPr>
                <w:rFonts w:ascii="Times New Roman" w:hAnsi="Times New Roman" w:cs="Times New Roman"/>
                <w:szCs w:val="21"/>
              </w:rPr>
            </w:pPr>
            <w:r>
              <w:rPr>
                <w:rFonts w:ascii="Times New Roman" w:hAnsi="Times New Roman" w:cs="Times New Roman"/>
                <w:szCs w:val="21"/>
              </w:rPr>
              <w:t>全面整治燃煤小锅炉。到2017年，除必要保留的以外，地级及以上城市建成区基本淘汰每小时10蒸吨及以下的燃煤锅炉，禁止新建每小时20蒸吨以下的燃煤锅炉；其他地区原则上不再新建每小时10蒸吨以下的燃煤锅炉。</w:t>
            </w:r>
          </w:p>
        </w:tc>
        <w:tc>
          <w:tcPr>
            <w:tcW w:w="1559" w:type="dxa"/>
            <w:tcBorders>
              <w:top w:val="single" w:color="000000" w:sz="4" w:space="0"/>
              <w:left w:val="nil"/>
              <w:bottom w:val="single" w:color="000000" w:sz="4" w:space="0"/>
              <w:right w:val="single" w:color="000000" w:sz="4" w:space="0"/>
            </w:tcBorders>
            <w:vAlign w:val="center"/>
          </w:tcPr>
          <w:p w14:paraId="755C6A89">
            <w:pPr>
              <w:adjustRightInd w:val="0"/>
              <w:snapToGrid w:val="0"/>
              <w:spacing w:line="240" w:lineRule="atLeast"/>
              <w:jc w:val="center"/>
              <w:rPr>
                <w:rFonts w:ascii="Times New Roman" w:hAnsi="Times New Roman" w:cs="Times New Roman"/>
                <w:szCs w:val="21"/>
              </w:rPr>
            </w:pPr>
            <w:r>
              <w:rPr>
                <w:rFonts w:ascii="Times New Roman" w:hAnsi="Times New Roman" w:cs="Times New Roman"/>
                <w:kern w:val="0"/>
                <w:szCs w:val="21"/>
              </w:rPr>
              <w:t>本项目</w:t>
            </w:r>
            <w:r>
              <w:rPr>
                <w:rFonts w:ascii="Times New Roman" w:hAnsi="Times New Roman" w:cs="Times New Roman"/>
                <w:szCs w:val="21"/>
              </w:rPr>
              <w:t>不使用燃煤锅炉</w:t>
            </w:r>
          </w:p>
        </w:tc>
        <w:tc>
          <w:tcPr>
            <w:tcW w:w="730" w:type="dxa"/>
            <w:tcBorders>
              <w:top w:val="single" w:color="000000" w:sz="4" w:space="0"/>
              <w:left w:val="nil"/>
              <w:bottom w:val="single" w:color="000000" w:sz="4" w:space="0"/>
              <w:right w:val="single" w:color="000000" w:sz="4" w:space="0"/>
            </w:tcBorders>
            <w:vAlign w:val="center"/>
          </w:tcPr>
          <w:p w14:paraId="75700B3E">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符合</w:t>
            </w:r>
          </w:p>
        </w:tc>
      </w:tr>
      <w:tr w14:paraId="793CEB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101" w:type="dxa"/>
            <w:vMerge w:val="continue"/>
            <w:tcBorders>
              <w:top w:val="nil"/>
              <w:left w:val="single" w:color="000000" w:sz="4" w:space="0"/>
              <w:bottom w:val="single" w:color="000000" w:sz="4" w:space="0"/>
              <w:right w:val="single" w:color="000000" w:sz="4" w:space="0"/>
            </w:tcBorders>
            <w:vAlign w:val="center"/>
          </w:tcPr>
          <w:p w14:paraId="629D3E98">
            <w:pPr>
              <w:widowControl/>
              <w:jc w:val="left"/>
              <w:rPr>
                <w:rFonts w:ascii="Times New Roman" w:hAnsi="Times New Roman" w:cs="Times New Roman"/>
                <w:szCs w:val="21"/>
              </w:rPr>
            </w:pPr>
          </w:p>
        </w:tc>
        <w:tc>
          <w:tcPr>
            <w:tcW w:w="5670" w:type="dxa"/>
            <w:tcBorders>
              <w:top w:val="single" w:color="000000" w:sz="4" w:space="0"/>
              <w:left w:val="nil"/>
              <w:bottom w:val="single" w:color="000000" w:sz="4" w:space="0"/>
              <w:right w:val="single" w:color="000000" w:sz="4" w:space="0"/>
            </w:tcBorders>
            <w:vAlign w:val="center"/>
          </w:tcPr>
          <w:p w14:paraId="457728C8">
            <w:pPr>
              <w:adjustRightInd w:val="0"/>
              <w:snapToGrid w:val="0"/>
              <w:spacing w:line="240" w:lineRule="atLeast"/>
              <w:rPr>
                <w:rFonts w:ascii="Times New Roman" w:hAnsi="Times New Roman" w:cs="Times New Roman"/>
                <w:szCs w:val="21"/>
              </w:rPr>
            </w:pPr>
            <w:r>
              <w:rPr>
                <w:rFonts w:ascii="Times New Roman" w:hAnsi="Times New Roman" w:cs="Times New Roman"/>
                <w:szCs w:val="21"/>
              </w:rPr>
              <w:t>严控“两高”行业新增产能。加快淘汰落后产能。压缩过剩产能。坚决停建产能严重过剩行业违规在建项目。</w:t>
            </w:r>
          </w:p>
        </w:tc>
        <w:tc>
          <w:tcPr>
            <w:tcW w:w="1559" w:type="dxa"/>
            <w:tcBorders>
              <w:top w:val="single" w:color="000000" w:sz="4" w:space="0"/>
              <w:left w:val="nil"/>
              <w:bottom w:val="single" w:color="000000" w:sz="4" w:space="0"/>
              <w:right w:val="single" w:color="000000" w:sz="4" w:space="0"/>
            </w:tcBorders>
            <w:vAlign w:val="center"/>
          </w:tcPr>
          <w:p w14:paraId="07645926">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不属于“两高”行业，符合产业政策要求</w:t>
            </w:r>
          </w:p>
        </w:tc>
        <w:tc>
          <w:tcPr>
            <w:tcW w:w="730" w:type="dxa"/>
            <w:tcBorders>
              <w:top w:val="single" w:color="000000" w:sz="4" w:space="0"/>
              <w:left w:val="nil"/>
              <w:bottom w:val="single" w:color="000000" w:sz="4" w:space="0"/>
              <w:right w:val="single" w:color="000000" w:sz="4" w:space="0"/>
            </w:tcBorders>
            <w:vAlign w:val="center"/>
          </w:tcPr>
          <w:p w14:paraId="2FBCCE23">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符合</w:t>
            </w:r>
          </w:p>
        </w:tc>
      </w:tr>
      <w:tr w14:paraId="43174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101" w:type="dxa"/>
            <w:vMerge w:val="continue"/>
            <w:tcBorders>
              <w:top w:val="nil"/>
              <w:left w:val="single" w:color="000000" w:sz="4" w:space="0"/>
              <w:bottom w:val="single" w:color="000000" w:sz="4" w:space="0"/>
              <w:right w:val="single" w:color="000000" w:sz="4" w:space="0"/>
            </w:tcBorders>
            <w:vAlign w:val="center"/>
          </w:tcPr>
          <w:p w14:paraId="3125946F">
            <w:pPr>
              <w:widowControl/>
              <w:jc w:val="left"/>
              <w:rPr>
                <w:rFonts w:ascii="Times New Roman" w:hAnsi="Times New Roman" w:cs="Times New Roman"/>
                <w:szCs w:val="21"/>
              </w:rPr>
            </w:pPr>
          </w:p>
        </w:tc>
        <w:tc>
          <w:tcPr>
            <w:tcW w:w="5670" w:type="dxa"/>
            <w:tcBorders>
              <w:top w:val="single" w:color="000000" w:sz="4" w:space="0"/>
              <w:left w:val="nil"/>
              <w:bottom w:val="single" w:color="000000" w:sz="4" w:space="0"/>
              <w:right w:val="single" w:color="000000" w:sz="4" w:space="0"/>
            </w:tcBorders>
            <w:vAlign w:val="center"/>
          </w:tcPr>
          <w:p w14:paraId="09BC24E5">
            <w:pPr>
              <w:adjustRightInd w:val="0"/>
              <w:snapToGrid w:val="0"/>
              <w:spacing w:line="240" w:lineRule="atLeast"/>
              <w:rPr>
                <w:rFonts w:ascii="Times New Roman" w:hAnsi="Times New Roman" w:cs="Times New Roman"/>
                <w:szCs w:val="21"/>
              </w:rPr>
            </w:pPr>
            <w:r>
              <w:rPr>
                <w:rFonts w:ascii="Times New Roman" w:hAnsi="Times New Roman" w:cs="Times New Roman"/>
                <w:szCs w:val="21"/>
              </w:rPr>
              <w:t>所有新、改、扩建项目，必须全部进行环境影响评价；未通过环境影响评价审批的，一律不准开工建设；违规建设的，要依法进行处罚。加强产业政策在产业转移过程中的引导与约束作用，严格限制在生态脆弱或环境敏感地区建设“两高”行业项目。严格实施污染物排放总量控制，将二氧化硫、氮氧化物、烟粉尘和挥发性有机物排放是否符合总量控制要求作为建设项目环境影响评价审批的前置条件。</w:t>
            </w:r>
          </w:p>
        </w:tc>
        <w:tc>
          <w:tcPr>
            <w:tcW w:w="1559" w:type="dxa"/>
            <w:tcBorders>
              <w:top w:val="single" w:color="000000" w:sz="4" w:space="0"/>
              <w:left w:val="nil"/>
              <w:bottom w:val="single" w:color="000000" w:sz="4" w:space="0"/>
              <w:right w:val="single" w:color="000000" w:sz="4" w:space="0"/>
            </w:tcBorders>
            <w:vAlign w:val="center"/>
          </w:tcPr>
          <w:p w14:paraId="11E00C02">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不属于“两高”行业</w:t>
            </w:r>
          </w:p>
        </w:tc>
        <w:tc>
          <w:tcPr>
            <w:tcW w:w="730" w:type="dxa"/>
            <w:tcBorders>
              <w:top w:val="single" w:color="000000" w:sz="4" w:space="0"/>
              <w:left w:val="nil"/>
              <w:bottom w:val="single" w:color="000000" w:sz="4" w:space="0"/>
              <w:right w:val="single" w:color="000000" w:sz="4" w:space="0"/>
            </w:tcBorders>
            <w:vAlign w:val="center"/>
          </w:tcPr>
          <w:p w14:paraId="5B395FA6">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符合</w:t>
            </w:r>
          </w:p>
        </w:tc>
      </w:tr>
      <w:tr w14:paraId="00A584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101" w:type="dxa"/>
            <w:vMerge w:val="restart"/>
            <w:tcBorders>
              <w:top w:val="nil"/>
              <w:left w:val="single" w:color="000000" w:sz="4" w:space="0"/>
              <w:bottom w:val="single" w:color="000000" w:sz="4" w:space="0"/>
              <w:right w:val="single" w:color="000000" w:sz="4" w:space="0"/>
            </w:tcBorders>
            <w:vAlign w:val="center"/>
          </w:tcPr>
          <w:p w14:paraId="6E635CAC">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《水污染防治行动计划》（国发[2015]17号）</w:t>
            </w:r>
          </w:p>
        </w:tc>
        <w:tc>
          <w:tcPr>
            <w:tcW w:w="5670" w:type="dxa"/>
            <w:tcBorders>
              <w:top w:val="single" w:color="000000" w:sz="4" w:space="0"/>
              <w:left w:val="nil"/>
              <w:bottom w:val="single" w:color="000000" w:sz="4" w:space="0"/>
              <w:right w:val="single" w:color="000000" w:sz="4" w:space="0"/>
            </w:tcBorders>
            <w:vAlign w:val="center"/>
          </w:tcPr>
          <w:p w14:paraId="74E711F1">
            <w:pPr>
              <w:adjustRightInd w:val="0"/>
              <w:snapToGrid w:val="0"/>
              <w:spacing w:line="240" w:lineRule="atLeast"/>
              <w:rPr>
                <w:rFonts w:ascii="Times New Roman" w:hAnsi="Times New Roman" w:cs="Times New Roman"/>
                <w:szCs w:val="21"/>
              </w:rPr>
            </w:pPr>
            <w:r>
              <w:rPr>
                <w:rFonts w:ascii="Times New Roman" w:hAnsi="Times New Roman" w:cs="Times New Roman"/>
                <w:szCs w:val="21"/>
              </w:rPr>
              <w:t>取缔“十小”企业。全面排查装备水平低、环保设施差的小型工业企业。2016年底前，按照水污染防治法律法规要求，全部取缔不符合国家产业政策的小型造纸、制革、印染、染料、炼焦、炼硫、炼</w:t>
            </w:r>
            <w:r>
              <w:fldChar w:fldCharType="begin"/>
            </w:r>
            <w:r>
              <w:instrText xml:space="preserve"> HYPERLINK "http://www.yuwenmi.com/zi/13814.html" </w:instrText>
            </w:r>
            <w:r>
              <w:fldChar w:fldCharType="separate"/>
            </w:r>
            <w:r>
              <w:rPr>
                <w:rStyle w:val="133"/>
                <w:rFonts w:ascii="Times New Roman" w:hAnsi="Times New Roman" w:cs="Times New Roman"/>
                <w:color w:val="auto"/>
                <w:szCs w:val="21"/>
              </w:rPr>
              <w:t>砷</w:t>
            </w:r>
            <w:r>
              <w:rPr>
                <w:rStyle w:val="133"/>
                <w:rFonts w:ascii="Times New Roman" w:hAnsi="Times New Roman" w:cs="Times New Roman"/>
                <w:color w:val="auto"/>
                <w:szCs w:val="21"/>
              </w:rPr>
              <w:fldChar w:fldCharType="end"/>
            </w:r>
            <w:r>
              <w:rPr>
                <w:rFonts w:ascii="Times New Roman" w:hAnsi="Times New Roman" w:cs="Times New Roman"/>
                <w:szCs w:val="21"/>
              </w:rPr>
              <w:t>、炼油、电镀、农药等严重污染水环境的生产项目。</w:t>
            </w:r>
          </w:p>
        </w:tc>
        <w:tc>
          <w:tcPr>
            <w:tcW w:w="1559" w:type="dxa"/>
            <w:tcBorders>
              <w:top w:val="single" w:color="000000" w:sz="4" w:space="0"/>
              <w:left w:val="nil"/>
              <w:bottom w:val="single" w:color="000000" w:sz="4" w:space="0"/>
              <w:right w:val="single" w:color="000000" w:sz="4" w:space="0"/>
            </w:tcBorders>
            <w:vAlign w:val="center"/>
          </w:tcPr>
          <w:p w14:paraId="5FA83446">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不属于“十小”企业</w:t>
            </w:r>
          </w:p>
        </w:tc>
        <w:tc>
          <w:tcPr>
            <w:tcW w:w="730" w:type="dxa"/>
            <w:tcBorders>
              <w:top w:val="single" w:color="000000" w:sz="4" w:space="0"/>
              <w:left w:val="nil"/>
              <w:bottom w:val="single" w:color="000000" w:sz="4" w:space="0"/>
              <w:right w:val="single" w:color="000000" w:sz="4" w:space="0"/>
            </w:tcBorders>
            <w:vAlign w:val="center"/>
          </w:tcPr>
          <w:p w14:paraId="52EA46A8">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符合</w:t>
            </w:r>
          </w:p>
        </w:tc>
      </w:tr>
      <w:tr w14:paraId="581B42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101" w:type="dxa"/>
            <w:vMerge w:val="continue"/>
            <w:tcBorders>
              <w:top w:val="nil"/>
              <w:left w:val="single" w:color="000000" w:sz="4" w:space="0"/>
              <w:bottom w:val="single" w:color="000000" w:sz="4" w:space="0"/>
              <w:right w:val="single" w:color="000000" w:sz="4" w:space="0"/>
            </w:tcBorders>
            <w:vAlign w:val="center"/>
          </w:tcPr>
          <w:p w14:paraId="68C8E66E">
            <w:pPr>
              <w:widowControl/>
              <w:jc w:val="left"/>
              <w:rPr>
                <w:rFonts w:ascii="Times New Roman" w:hAnsi="Times New Roman" w:cs="Times New Roman"/>
                <w:szCs w:val="21"/>
              </w:rPr>
            </w:pPr>
          </w:p>
        </w:tc>
        <w:tc>
          <w:tcPr>
            <w:tcW w:w="5670" w:type="dxa"/>
            <w:tcBorders>
              <w:top w:val="single" w:color="000000" w:sz="4" w:space="0"/>
              <w:left w:val="nil"/>
              <w:bottom w:val="single" w:color="000000" w:sz="4" w:space="0"/>
              <w:right w:val="single" w:color="000000" w:sz="4" w:space="0"/>
            </w:tcBorders>
            <w:vAlign w:val="center"/>
          </w:tcPr>
          <w:p w14:paraId="7E3CEAC4">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依法淘汰落后产能。严格环境准入。</w:t>
            </w:r>
          </w:p>
        </w:tc>
        <w:tc>
          <w:tcPr>
            <w:tcW w:w="1559" w:type="dxa"/>
            <w:tcBorders>
              <w:top w:val="single" w:color="000000" w:sz="4" w:space="0"/>
              <w:left w:val="nil"/>
              <w:bottom w:val="single" w:color="000000" w:sz="4" w:space="0"/>
              <w:right w:val="single" w:color="000000" w:sz="4" w:space="0"/>
            </w:tcBorders>
            <w:vAlign w:val="center"/>
          </w:tcPr>
          <w:p w14:paraId="02076096">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符合国家产业政策要求</w:t>
            </w:r>
          </w:p>
        </w:tc>
        <w:tc>
          <w:tcPr>
            <w:tcW w:w="730" w:type="dxa"/>
            <w:tcBorders>
              <w:top w:val="single" w:color="000000" w:sz="4" w:space="0"/>
              <w:left w:val="nil"/>
              <w:bottom w:val="single" w:color="000000" w:sz="4" w:space="0"/>
              <w:right w:val="single" w:color="000000" w:sz="4" w:space="0"/>
            </w:tcBorders>
            <w:vAlign w:val="center"/>
          </w:tcPr>
          <w:p w14:paraId="701105E0">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符合</w:t>
            </w:r>
          </w:p>
        </w:tc>
      </w:tr>
      <w:tr w14:paraId="6770F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101" w:type="dxa"/>
            <w:vMerge w:val="restart"/>
            <w:tcBorders>
              <w:top w:val="nil"/>
              <w:left w:val="single" w:color="000000" w:sz="4" w:space="0"/>
              <w:bottom w:val="single" w:color="000000" w:sz="4" w:space="0"/>
              <w:right w:val="single" w:color="000000" w:sz="4" w:space="0"/>
            </w:tcBorders>
            <w:vAlign w:val="center"/>
          </w:tcPr>
          <w:p w14:paraId="28DC077B">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《水污染防治行动计划》（国发[2015]17号）</w:t>
            </w:r>
          </w:p>
        </w:tc>
        <w:tc>
          <w:tcPr>
            <w:tcW w:w="5670" w:type="dxa"/>
            <w:tcBorders>
              <w:top w:val="single" w:color="000000" w:sz="4" w:space="0"/>
              <w:left w:val="nil"/>
              <w:bottom w:val="single" w:color="000000" w:sz="4" w:space="0"/>
              <w:right w:val="single" w:color="000000" w:sz="4" w:space="0"/>
            </w:tcBorders>
            <w:vAlign w:val="center"/>
          </w:tcPr>
          <w:p w14:paraId="1C17C3B7">
            <w:pPr>
              <w:adjustRightInd w:val="0"/>
              <w:snapToGrid w:val="0"/>
              <w:spacing w:line="240" w:lineRule="atLeast"/>
              <w:rPr>
                <w:rFonts w:ascii="Times New Roman" w:hAnsi="Times New Roman" w:cs="Times New Roman"/>
                <w:szCs w:val="21"/>
              </w:rPr>
            </w:pPr>
            <w:r>
              <w:rPr>
                <w:rFonts w:ascii="Times New Roman" w:hAnsi="Times New Roman" w:cs="Times New Roman"/>
                <w:szCs w:val="21"/>
              </w:rPr>
              <w:t>严格控制缺水地区、水污染严重地区和敏感区域高耗水、高污染行业发展。七大重点流域干流沿岸，要严格控制石油加工、化学原料和化学制品制造、医药制造、化学纤维制造、有色金属冶炼、纺织印染等项目环境风险，合理布局生产装置及危险化学品仓储等设施。推动污染企业退出。城市建成区内现有钢铁、有色金属、造纸、印染、原料药制造、化工等污染较重的企业应有序搬迁改造或依法关闭。</w:t>
            </w:r>
          </w:p>
        </w:tc>
        <w:tc>
          <w:tcPr>
            <w:tcW w:w="1559" w:type="dxa"/>
            <w:tcBorders>
              <w:top w:val="single" w:color="000000" w:sz="4" w:space="0"/>
              <w:left w:val="nil"/>
              <w:bottom w:val="single" w:color="000000" w:sz="4" w:space="0"/>
              <w:right w:val="single" w:color="000000" w:sz="4" w:space="0"/>
            </w:tcBorders>
            <w:vAlign w:val="center"/>
          </w:tcPr>
          <w:p w14:paraId="56BC08A3">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不属于高污染行业，不属于十条中严格控制或限制类项目</w:t>
            </w:r>
          </w:p>
        </w:tc>
        <w:tc>
          <w:tcPr>
            <w:tcW w:w="730" w:type="dxa"/>
            <w:tcBorders>
              <w:top w:val="single" w:color="000000" w:sz="4" w:space="0"/>
              <w:left w:val="nil"/>
              <w:bottom w:val="single" w:color="000000" w:sz="4" w:space="0"/>
              <w:right w:val="single" w:color="000000" w:sz="4" w:space="0"/>
            </w:tcBorders>
            <w:vAlign w:val="center"/>
          </w:tcPr>
          <w:p w14:paraId="06A44829">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符合</w:t>
            </w:r>
          </w:p>
        </w:tc>
      </w:tr>
      <w:tr w14:paraId="50CDB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101" w:type="dxa"/>
            <w:vMerge w:val="continue"/>
            <w:tcBorders>
              <w:top w:val="nil"/>
              <w:left w:val="single" w:color="000000" w:sz="4" w:space="0"/>
              <w:bottom w:val="single" w:color="000000" w:sz="4" w:space="0"/>
              <w:right w:val="single" w:color="000000" w:sz="4" w:space="0"/>
            </w:tcBorders>
            <w:vAlign w:val="center"/>
          </w:tcPr>
          <w:p w14:paraId="7311663C">
            <w:pPr>
              <w:widowControl/>
              <w:jc w:val="left"/>
              <w:rPr>
                <w:rFonts w:ascii="Times New Roman" w:hAnsi="Times New Roman" w:cs="Times New Roman"/>
                <w:szCs w:val="21"/>
              </w:rPr>
            </w:pPr>
          </w:p>
        </w:tc>
        <w:tc>
          <w:tcPr>
            <w:tcW w:w="5670" w:type="dxa"/>
            <w:tcBorders>
              <w:top w:val="single" w:color="000000" w:sz="4" w:space="0"/>
              <w:left w:val="nil"/>
              <w:bottom w:val="single" w:color="000000" w:sz="4" w:space="0"/>
              <w:right w:val="single" w:color="000000" w:sz="4" w:space="0"/>
            </w:tcBorders>
            <w:vAlign w:val="center"/>
          </w:tcPr>
          <w:p w14:paraId="7D8C0ACC">
            <w:pPr>
              <w:adjustRightInd w:val="0"/>
              <w:snapToGrid w:val="0"/>
              <w:spacing w:line="240" w:lineRule="atLeast"/>
              <w:rPr>
                <w:rFonts w:ascii="Times New Roman" w:hAnsi="Times New Roman" w:cs="Times New Roman"/>
                <w:szCs w:val="21"/>
              </w:rPr>
            </w:pPr>
            <w:r>
              <w:rPr>
                <w:rFonts w:ascii="Times New Roman" w:hAnsi="Times New Roman" w:cs="Times New Roman"/>
                <w:szCs w:val="21"/>
              </w:rPr>
              <w:t>控制用水总量。新建、改建、扩建项目用水要达到行业先进水平。</w:t>
            </w:r>
          </w:p>
        </w:tc>
        <w:tc>
          <w:tcPr>
            <w:tcW w:w="1559" w:type="dxa"/>
            <w:tcBorders>
              <w:top w:val="single" w:color="000000" w:sz="4" w:space="0"/>
              <w:left w:val="nil"/>
              <w:bottom w:val="single" w:color="000000" w:sz="4" w:space="0"/>
              <w:right w:val="single" w:color="000000" w:sz="4" w:space="0"/>
            </w:tcBorders>
            <w:vAlign w:val="center"/>
          </w:tcPr>
          <w:p w14:paraId="00872FD2">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本项目使用少量新鲜水，可达到行业先进水平要求</w:t>
            </w:r>
          </w:p>
        </w:tc>
        <w:tc>
          <w:tcPr>
            <w:tcW w:w="730" w:type="dxa"/>
            <w:tcBorders>
              <w:top w:val="single" w:color="000000" w:sz="4" w:space="0"/>
              <w:left w:val="nil"/>
              <w:bottom w:val="single" w:color="000000" w:sz="4" w:space="0"/>
              <w:right w:val="single" w:color="000000" w:sz="4" w:space="0"/>
            </w:tcBorders>
            <w:vAlign w:val="center"/>
          </w:tcPr>
          <w:p w14:paraId="5D423A91">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符合</w:t>
            </w:r>
          </w:p>
        </w:tc>
      </w:tr>
      <w:tr w14:paraId="71C770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101" w:type="dxa"/>
            <w:vMerge w:val="restart"/>
            <w:tcBorders>
              <w:top w:val="nil"/>
              <w:left w:val="single" w:color="000000" w:sz="4" w:space="0"/>
              <w:bottom w:val="single" w:color="000000" w:sz="4" w:space="0"/>
              <w:right w:val="single" w:color="000000" w:sz="4" w:space="0"/>
            </w:tcBorders>
            <w:vAlign w:val="center"/>
          </w:tcPr>
          <w:p w14:paraId="00036A5B">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《土壤污染防治行动计划》（国发[2016]31号）</w:t>
            </w:r>
          </w:p>
        </w:tc>
        <w:tc>
          <w:tcPr>
            <w:tcW w:w="5670" w:type="dxa"/>
            <w:tcBorders>
              <w:top w:val="single" w:color="000000" w:sz="4" w:space="0"/>
              <w:left w:val="nil"/>
              <w:bottom w:val="single" w:color="000000" w:sz="4" w:space="0"/>
              <w:right w:val="single" w:color="000000" w:sz="4" w:space="0"/>
            </w:tcBorders>
            <w:vAlign w:val="center"/>
          </w:tcPr>
          <w:p w14:paraId="1E13D64A">
            <w:pPr>
              <w:adjustRightInd w:val="0"/>
              <w:snapToGrid w:val="0"/>
              <w:spacing w:line="240" w:lineRule="atLeast"/>
              <w:rPr>
                <w:rFonts w:ascii="Times New Roman" w:hAnsi="Times New Roman" w:cs="Times New Roman"/>
                <w:szCs w:val="21"/>
              </w:rPr>
            </w:pPr>
            <w:r>
              <w:rPr>
                <w:rFonts w:ascii="Times New Roman" w:hAnsi="Times New Roman" w:cs="Times New Roman"/>
                <w:szCs w:val="21"/>
              </w:rPr>
              <w:t>自2017年起，对拟收回土地使用权的有色金属冶炼、石油加工、化工、焦化、电镀、制革等行业企业用地，以及用途拟变更为居住和商业、学校、医疗、养老机构等公共设施的上述企业用地，由土地使用权人负责开展土壤环境状况调查评估</w:t>
            </w:r>
          </w:p>
        </w:tc>
        <w:tc>
          <w:tcPr>
            <w:tcW w:w="1559" w:type="dxa"/>
            <w:tcBorders>
              <w:top w:val="single" w:color="000000" w:sz="4" w:space="0"/>
              <w:left w:val="nil"/>
              <w:bottom w:val="single" w:color="000000" w:sz="4" w:space="0"/>
              <w:right w:val="single" w:color="000000" w:sz="4" w:space="0"/>
            </w:tcBorders>
            <w:vAlign w:val="center"/>
          </w:tcPr>
          <w:p w14:paraId="7A109552">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不属于回收土地使用权的项目</w:t>
            </w:r>
          </w:p>
        </w:tc>
        <w:tc>
          <w:tcPr>
            <w:tcW w:w="730" w:type="dxa"/>
            <w:tcBorders>
              <w:top w:val="single" w:color="000000" w:sz="4" w:space="0"/>
              <w:left w:val="nil"/>
              <w:bottom w:val="single" w:color="000000" w:sz="4" w:space="0"/>
              <w:right w:val="single" w:color="000000" w:sz="4" w:space="0"/>
            </w:tcBorders>
            <w:vAlign w:val="center"/>
          </w:tcPr>
          <w:p w14:paraId="693D5A8B">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符合</w:t>
            </w:r>
          </w:p>
        </w:tc>
      </w:tr>
      <w:tr w14:paraId="739F3A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101" w:type="dxa"/>
            <w:vMerge w:val="continue"/>
            <w:tcBorders>
              <w:top w:val="nil"/>
              <w:left w:val="single" w:color="000000" w:sz="4" w:space="0"/>
              <w:bottom w:val="single" w:color="000000" w:sz="4" w:space="0"/>
              <w:right w:val="single" w:color="000000" w:sz="4" w:space="0"/>
            </w:tcBorders>
            <w:vAlign w:val="center"/>
          </w:tcPr>
          <w:p w14:paraId="0B2EB93E">
            <w:pPr>
              <w:widowControl/>
              <w:jc w:val="left"/>
              <w:rPr>
                <w:rFonts w:ascii="Times New Roman" w:hAnsi="Times New Roman" w:cs="Times New Roman"/>
                <w:szCs w:val="21"/>
              </w:rPr>
            </w:pPr>
          </w:p>
        </w:tc>
        <w:tc>
          <w:tcPr>
            <w:tcW w:w="5670" w:type="dxa"/>
            <w:tcBorders>
              <w:top w:val="single" w:color="000000" w:sz="4" w:space="0"/>
              <w:left w:val="nil"/>
              <w:bottom w:val="single" w:color="000000" w:sz="4" w:space="0"/>
              <w:right w:val="single" w:color="000000" w:sz="4" w:space="0"/>
            </w:tcBorders>
            <w:vAlign w:val="center"/>
          </w:tcPr>
          <w:p w14:paraId="1A853300">
            <w:pPr>
              <w:adjustRightInd w:val="0"/>
              <w:snapToGrid w:val="0"/>
              <w:spacing w:line="240" w:lineRule="atLeast"/>
              <w:rPr>
                <w:rFonts w:ascii="Times New Roman" w:hAnsi="Times New Roman" w:cs="Times New Roman"/>
                <w:szCs w:val="21"/>
              </w:rPr>
            </w:pPr>
            <w:r>
              <w:rPr>
                <w:rFonts w:ascii="Times New Roman" w:hAnsi="Times New Roman" w:cs="Times New Roman"/>
                <w:szCs w:val="21"/>
              </w:rPr>
              <w:t>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1559" w:type="dxa"/>
            <w:tcBorders>
              <w:top w:val="single" w:color="000000" w:sz="4" w:space="0"/>
              <w:left w:val="nil"/>
              <w:bottom w:val="single" w:color="000000" w:sz="4" w:space="0"/>
              <w:right w:val="single" w:color="000000" w:sz="4" w:space="0"/>
            </w:tcBorders>
            <w:vAlign w:val="center"/>
          </w:tcPr>
          <w:p w14:paraId="030258AD">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不涉及重点污染物的排放</w:t>
            </w:r>
          </w:p>
        </w:tc>
        <w:tc>
          <w:tcPr>
            <w:tcW w:w="730" w:type="dxa"/>
            <w:tcBorders>
              <w:top w:val="single" w:color="000000" w:sz="4" w:space="0"/>
              <w:left w:val="nil"/>
              <w:bottom w:val="single" w:color="000000" w:sz="4" w:space="0"/>
              <w:right w:val="single" w:color="000000" w:sz="4" w:space="0"/>
            </w:tcBorders>
            <w:vAlign w:val="center"/>
          </w:tcPr>
          <w:p w14:paraId="0C1097E1">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符合</w:t>
            </w:r>
          </w:p>
        </w:tc>
      </w:tr>
      <w:tr w14:paraId="61420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101" w:type="dxa"/>
            <w:vMerge w:val="continue"/>
            <w:tcBorders>
              <w:top w:val="nil"/>
              <w:left w:val="single" w:color="000000" w:sz="4" w:space="0"/>
              <w:bottom w:val="single" w:color="000000" w:sz="4" w:space="0"/>
              <w:right w:val="single" w:color="000000" w:sz="4" w:space="0"/>
            </w:tcBorders>
            <w:vAlign w:val="center"/>
          </w:tcPr>
          <w:p w14:paraId="3E9808B1">
            <w:pPr>
              <w:widowControl/>
              <w:jc w:val="left"/>
              <w:rPr>
                <w:rFonts w:ascii="Times New Roman" w:hAnsi="Times New Roman" w:cs="Times New Roman"/>
                <w:szCs w:val="21"/>
              </w:rPr>
            </w:pPr>
          </w:p>
        </w:tc>
        <w:tc>
          <w:tcPr>
            <w:tcW w:w="5670" w:type="dxa"/>
            <w:tcBorders>
              <w:top w:val="single" w:color="000000" w:sz="4" w:space="0"/>
              <w:left w:val="nil"/>
              <w:bottom w:val="single" w:color="000000" w:sz="4" w:space="0"/>
              <w:right w:val="single" w:color="000000" w:sz="4" w:space="0"/>
            </w:tcBorders>
            <w:vAlign w:val="center"/>
          </w:tcPr>
          <w:p w14:paraId="69924870">
            <w:pPr>
              <w:adjustRightInd w:val="0"/>
              <w:snapToGrid w:val="0"/>
              <w:spacing w:line="240" w:lineRule="atLeast"/>
              <w:rPr>
                <w:rFonts w:ascii="Times New Roman" w:hAnsi="Times New Roman" w:cs="Times New Roman"/>
                <w:szCs w:val="21"/>
              </w:rPr>
            </w:pPr>
            <w:r>
              <w:rPr>
                <w:rFonts w:ascii="Times New Roman" w:hAnsi="Times New Roman" w:cs="Times New Roman"/>
                <w:szCs w:val="21"/>
              </w:rPr>
              <w:t>严格执行相关行业企业布局选址要求，禁止在居民区、学校、医疗和养老机构等周边新建有色金属冶炼、焦化等行业企业</w:t>
            </w:r>
          </w:p>
        </w:tc>
        <w:tc>
          <w:tcPr>
            <w:tcW w:w="1559" w:type="dxa"/>
            <w:tcBorders>
              <w:top w:val="single" w:color="000000" w:sz="4" w:space="0"/>
              <w:left w:val="nil"/>
              <w:bottom w:val="single" w:color="000000" w:sz="4" w:space="0"/>
              <w:right w:val="single" w:color="000000" w:sz="4" w:space="0"/>
            </w:tcBorders>
            <w:vAlign w:val="center"/>
          </w:tcPr>
          <w:p w14:paraId="2BF1DE3C">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位于工业园区，不在禁止新建行业企业范畴内</w:t>
            </w:r>
          </w:p>
        </w:tc>
        <w:tc>
          <w:tcPr>
            <w:tcW w:w="730" w:type="dxa"/>
            <w:tcBorders>
              <w:top w:val="single" w:color="000000" w:sz="4" w:space="0"/>
              <w:left w:val="nil"/>
              <w:bottom w:val="single" w:color="000000" w:sz="4" w:space="0"/>
              <w:right w:val="single" w:color="000000" w:sz="4" w:space="0"/>
            </w:tcBorders>
            <w:vAlign w:val="center"/>
          </w:tcPr>
          <w:p w14:paraId="78E76CB3">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符合</w:t>
            </w:r>
          </w:p>
        </w:tc>
      </w:tr>
      <w:tr w14:paraId="11E01A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101" w:type="dxa"/>
            <w:vMerge w:val="continue"/>
            <w:tcBorders>
              <w:top w:val="nil"/>
              <w:left w:val="single" w:color="000000" w:sz="4" w:space="0"/>
              <w:bottom w:val="single" w:color="000000" w:sz="4" w:space="0"/>
              <w:right w:val="single" w:color="000000" w:sz="4" w:space="0"/>
            </w:tcBorders>
            <w:vAlign w:val="center"/>
          </w:tcPr>
          <w:p w14:paraId="3CCB0D91">
            <w:pPr>
              <w:widowControl/>
              <w:jc w:val="left"/>
              <w:rPr>
                <w:rFonts w:ascii="Times New Roman" w:hAnsi="Times New Roman" w:cs="Times New Roman"/>
                <w:szCs w:val="21"/>
              </w:rPr>
            </w:pPr>
          </w:p>
        </w:tc>
        <w:tc>
          <w:tcPr>
            <w:tcW w:w="5670" w:type="dxa"/>
            <w:tcBorders>
              <w:top w:val="single" w:color="000000" w:sz="4" w:space="0"/>
              <w:left w:val="nil"/>
              <w:bottom w:val="single" w:color="000000" w:sz="4" w:space="0"/>
              <w:right w:val="single" w:color="000000" w:sz="4" w:space="0"/>
            </w:tcBorders>
            <w:vAlign w:val="center"/>
          </w:tcPr>
          <w:p w14:paraId="54D439F5">
            <w:pPr>
              <w:adjustRightInd w:val="0"/>
              <w:snapToGrid w:val="0"/>
              <w:spacing w:line="240" w:lineRule="atLeast"/>
              <w:rPr>
                <w:rFonts w:ascii="Times New Roman" w:hAnsi="Times New Roman" w:cs="Times New Roman"/>
                <w:szCs w:val="21"/>
              </w:rPr>
            </w:pPr>
            <w:r>
              <w:rPr>
                <w:rFonts w:ascii="Times New Roman" w:hAnsi="Times New Roman" w:cs="Times New Roman"/>
                <w:szCs w:val="21"/>
              </w:rPr>
              <w:t>加强电器电子、汽车等工业产品中有害物质控制。有色金属冶炼、石油加工、化工、焦化、电镀、制革等行业企业拆除生产设施设备、构筑物和污染治理设施，要事先制定残留污染物清理和安全处置方案，并报所在地县级环境保护、工业和信息化部门备案；要严格按照有关规定实施安全处理处置，防范拆除活动污染土壤。</w:t>
            </w:r>
          </w:p>
        </w:tc>
        <w:tc>
          <w:tcPr>
            <w:tcW w:w="1559" w:type="dxa"/>
            <w:tcBorders>
              <w:top w:val="single" w:color="000000" w:sz="4" w:space="0"/>
              <w:left w:val="nil"/>
              <w:bottom w:val="single" w:color="000000" w:sz="4" w:space="0"/>
              <w:right w:val="single" w:color="000000" w:sz="4" w:space="0"/>
            </w:tcBorders>
            <w:vAlign w:val="center"/>
          </w:tcPr>
          <w:p w14:paraId="6CC05460">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不属于涉及土壤污染的项目</w:t>
            </w:r>
          </w:p>
        </w:tc>
        <w:tc>
          <w:tcPr>
            <w:tcW w:w="730" w:type="dxa"/>
            <w:tcBorders>
              <w:top w:val="single" w:color="000000" w:sz="4" w:space="0"/>
              <w:left w:val="nil"/>
              <w:bottom w:val="single" w:color="000000" w:sz="4" w:space="0"/>
              <w:right w:val="single" w:color="000000" w:sz="4" w:space="0"/>
            </w:tcBorders>
            <w:vAlign w:val="center"/>
          </w:tcPr>
          <w:p w14:paraId="2971E80E">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符合</w:t>
            </w:r>
          </w:p>
        </w:tc>
      </w:tr>
      <w:tr w14:paraId="01249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101" w:type="dxa"/>
            <w:vMerge w:val="continue"/>
            <w:tcBorders>
              <w:top w:val="nil"/>
              <w:left w:val="single" w:color="000000" w:sz="4" w:space="0"/>
              <w:bottom w:val="single" w:color="000000" w:sz="4" w:space="0"/>
              <w:right w:val="single" w:color="000000" w:sz="4" w:space="0"/>
            </w:tcBorders>
            <w:vAlign w:val="center"/>
          </w:tcPr>
          <w:p w14:paraId="5D5C2027">
            <w:pPr>
              <w:widowControl/>
              <w:jc w:val="left"/>
              <w:rPr>
                <w:rFonts w:ascii="Times New Roman" w:hAnsi="Times New Roman" w:cs="Times New Roman"/>
                <w:szCs w:val="21"/>
              </w:rPr>
            </w:pPr>
          </w:p>
        </w:tc>
        <w:tc>
          <w:tcPr>
            <w:tcW w:w="5670" w:type="dxa"/>
            <w:tcBorders>
              <w:top w:val="single" w:color="000000" w:sz="4" w:space="0"/>
              <w:left w:val="nil"/>
              <w:bottom w:val="single" w:color="000000" w:sz="4" w:space="0"/>
              <w:right w:val="single" w:color="000000" w:sz="4" w:space="0"/>
            </w:tcBorders>
            <w:vAlign w:val="center"/>
          </w:tcPr>
          <w:p w14:paraId="324A71A1">
            <w:pPr>
              <w:adjustRightInd w:val="0"/>
              <w:snapToGrid w:val="0"/>
              <w:spacing w:line="240" w:lineRule="atLeast"/>
              <w:rPr>
                <w:rFonts w:ascii="Times New Roman" w:hAnsi="Times New Roman" w:cs="Times New Roman"/>
                <w:szCs w:val="21"/>
              </w:rPr>
            </w:pPr>
            <w:r>
              <w:rPr>
                <w:rFonts w:ascii="Times New Roman" w:hAnsi="Times New Roman" w:cs="Times New Roman"/>
                <w:szCs w:val="21"/>
              </w:rPr>
              <w:t>继续淘汰涉重金属重点行业落后产能，完善重金属相关行业准入条件，禁止新建落后产能或产能严重过剩行业的建设项目</w:t>
            </w:r>
          </w:p>
        </w:tc>
        <w:tc>
          <w:tcPr>
            <w:tcW w:w="1559" w:type="dxa"/>
            <w:tcBorders>
              <w:top w:val="single" w:color="000000" w:sz="4" w:space="0"/>
              <w:left w:val="nil"/>
              <w:bottom w:val="single" w:color="000000" w:sz="4" w:space="0"/>
              <w:right w:val="single" w:color="000000" w:sz="4" w:space="0"/>
            </w:tcBorders>
            <w:vAlign w:val="center"/>
          </w:tcPr>
          <w:p w14:paraId="6CF5F1D2">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不属于涉重企业</w:t>
            </w:r>
          </w:p>
        </w:tc>
        <w:tc>
          <w:tcPr>
            <w:tcW w:w="730" w:type="dxa"/>
            <w:tcBorders>
              <w:top w:val="single" w:color="000000" w:sz="4" w:space="0"/>
              <w:left w:val="nil"/>
              <w:bottom w:val="single" w:color="000000" w:sz="4" w:space="0"/>
              <w:right w:val="single" w:color="000000" w:sz="4" w:space="0"/>
            </w:tcBorders>
            <w:vAlign w:val="center"/>
          </w:tcPr>
          <w:p w14:paraId="324AF84E">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符合</w:t>
            </w:r>
          </w:p>
        </w:tc>
      </w:tr>
    </w:tbl>
    <w:p w14:paraId="7465F5EA">
      <w:pPr>
        <w:adjustRightInd w:val="0"/>
        <w:snapToGrid w:val="0"/>
        <w:spacing w:line="480" w:lineRule="exact"/>
        <w:jc w:val="center"/>
        <w:rPr>
          <w:rFonts w:ascii="Times New Roman" w:hAnsi="Times New Roman" w:cs="Times New Roman"/>
        </w:rPr>
      </w:pPr>
      <w:r>
        <w:rPr>
          <w:rFonts w:ascii="Times New Roman" w:hAnsi="Times New Roman" w:cs="Times New Roman"/>
          <w:b/>
          <w:sz w:val="24"/>
          <w:szCs w:val="20"/>
          <w:lang w:val="zh-CN"/>
        </w:rPr>
        <w:t>表1.8-1 《长江经济带发展负面清单指南》(试行，2022版)符合性分析</w:t>
      </w:r>
    </w:p>
    <w:tbl>
      <w:tblPr>
        <w:tblStyle w:val="8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5302"/>
        <w:gridCol w:w="2811"/>
        <w:gridCol w:w="489"/>
      </w:tblGrid>
      <w:tr w14:paraId="6D4BE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0" w:type="auto"/>
            <w:vAlign w:val="center"/>
          </w:tcPr>
          <w:p w14:paraId="06980D45">
            <w:pPr>
              <w:rPr>
                <w:rFonts w:ascii="Times New Roman" w:hAnsi="Times New Roman" w:cs="Times New Roman"/>
              </w:rPr>
            </w:pPr>
            <w:r>
              <w:rPr>
                <w:rFonts w:ascii="Times New Roman" w:hAnsi="Times New Roman" w:cs="Times New Roman"/>
              </w:rPr>
              <w:t>序号</w:t>
            </w:r>
          </w:p>
        </w:tc>
        <w:tc>
          <w:tcPr>
            <w:tcW w:w="0" w:type="auto"/>
            <w:vAlign w:val="center"/>
          </w:tcPr>
          <w:p w14:paraId="1241C771">
            <w:pPr>
              <w:rPr>
                <w:rFonts w:ascii="Times New Roman" w:hAnsi="Times New Roman" w:cs="Times New Roman"/>
              </w:rPr>
            </w:pPr>
            <w:r>
              <w:rPr>
                <w:rFonts w:ascii="Times New Roman" w:hAnsi="Times New Roman" w:cs="Times New Roman"/>
              </w:rPr>
              <w:t>文件要求</w:t>
            </w:r>
          </w:p>
        </w:tc>
        <w:tc>
          <w:tcPr>
            <w:tcW w:w="0" w:type="auto"/>
            <w:vAlign w:val="center"/>
          </w:tcPr>
          <w:p w14:paraId="008CF672">
            <w:pPr>
              <w:rPr>
                <w:rFonts w:ascii="Times New Roman" w:hAnsi="Times New Roman" w:cs="Times New Roman"/>
              </w:rPr>
            </w:pPr>
            <w:r>
              <w:rPr>
                <w:rFonts w:ascii="Times New Roman" w:hAnsi="Times New Roman" w:cs="Times New Roman"/>
              </w:rPr>
              <w:t>本项目内容</w:t>
            </w:r>
          </w:p>
        </w:tc>
        <w:tc>
          <w:tcPr>
            <w:tcW w:w="0" w:type="auto"/>
            <w:vAlign w:val="center"/>
          </w:tcPr>
          <w:p w14:paraId="3AD73653">
            <w:pPr>
              <w:rPr>
                <w:rFonts w:ascii="Times New Roman" w:hAnsi="Times New Roman" w:cs="Times New Roman"/>
              </w:rPr>
            </w:pPr>
            <w:r>
              <w:rPr>
                <w:rFonts w:ascii="Times New Roman" w:hAnsi="Times New Roman" w:cs="Times New Roman"/>
              </w:rPr>
              <w:t>符合性</w:t>
            </w:r>
          </w:p>
        </w:tc>
      </w:tr>
      <w:tr w14:paraId="1FBC2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0" w:type="auto"/>
            <w:vAlign w:val="center"/>
          </w:tcPr>
          <w:p w14:paraId="153DAAD5">
            <w:pPr>
              <w:numPr>
                <w:ilvl w:val="0"/>
                <w:numId w:val="12"/>
              </w:numPr>
              <w:ind w:left="0"/>
              <w:rPr>
                <w:rFonts w:ascii="Times New Roman" w:hAnsi="Times New Roman" w:cs="Times New Roman"/>
              </w:rPr>
            </w:pPr>
          </w:p>
        </w:tc>
        <w:tc>
          <w:tcPr>
            <w:tcW w:w="0" w:type="auto"/>
            <w:vAlign w:val="center"/>
          </w:tcPr>
          <w:p w14:paraId="79CF7408">
            <w:pPr>
              <w:rPr>
                <w:rFonts w:ascii="Times New Roman" w:hAnsi="Times New Roman" w:cs="Times New Roman"/>
              </w:rPr>
            </w:pPr>
            <w:r>
              <w:rPr>
                <w:rFonts w:ascii="Times New Roman" w:hAnsi="Times New Roman" w:cs="Times New Roman"/>
                <w:lang w:bidi="ar"/>
              </w:rPr>
              <w:t>禁止建设不符合全国和省级港口布局规划以及港口总体规划的码头项目，禁止建设不符合《长江干线过江通道布局规划》的过长江通道项目。</w:t>
            </w:r>
          </w:p>
        </w:tc>
        <w:tc>
          <w:tcPr>
            <w:tcW w:w="0" w:type="auto"/>
            <w:vAlign w:val="center"/>
          </w:tcPr>
          <w:p w14:paraId="26A36220">
            <w:pPr>
              <w:rPr>
                <w:rFonts w:ascii="Times New Roman" w:hAnsi="Times New Roman" w:cs="Times New Roman"/>
              </w:rPr>
            </w:pPr>
            <w:r>
              <w:rPr>
                <w:rFonts w:ascii="Times New Roman" w:hAnsi="Times New Roman" w:cs="Times New Roman"/>
              </w:rPr>
              <w:t>本项目不含码头及过江通道项目</w:t>
            </w:r>
          </w:p>
        </w:tc>
        <w:tc>
          <w:tcPr>
            <w:tcW w:w="0" w:type="auto"/>
            <w:vAlign w:val="center"/>
          </w:tcPr>
          <w:p w14:paraId="64F82BFB">
            <w:pPr>
              <w:rPr>
                <w:rFonts w:ascii="Times New Roman" w:hAnsi="Times New Roman" w:cs="Times New Roman"/>
              </w:rPr>
            </w:pPr>
            <w:r>
              <w:rPr>
                <w:rFonts w:ascii="Times New Roman" w:hAnsi="Times New Roman" w:cs="Times New Roman"/>
              </w:rPr>
              <w:t>符合</w:t>
            </w:r>
          </w:p>
        </w:tc>
      </w:tr>
      <w:tr w14:paraId="0761C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0" w:type="auto"/>
            <w:vAlign w:val="center"/>
          </w:tcPr>
          <w:p w14:paraId="10DEB0BD">
            <w:pPr>
              <w:numPr>
                <w:ilvl w:val="0"/>
                <w:numId w:val="12"/>
              </w:numPr>
              <w:ind w:left="0"/>
              <w:rPr>
                <w:rFonts w:ascii="Times New Roman" w:hAnsi="Times New Roman" w:cs="Times New Roman"/>
              </w:rPr>
            </w:pPr>
          </w:p>
        </w:tc>
        <w:tc>
          <w:tcPr>
            <w:tcW w:w="0" w:type="auto"/>
            <w:vAlign w:val="center"/>
          </w:tcPr>
          <w:p w14:paraId="4A2EFC34">
            <w:pPr>
              <w:rPr>
                <w:rFonts w:ascii="Times New Roman" w:hAnsi="Times New Roman" w:cs="Times New Roman"/>
              </w:rPr>
            </w:pPr>
            <w:r>
              <w:rPr>
                <w:rFonts w:ascii="Times New Roman" w:hAnsi="Times New Roman" w:cs="Times New Roman"/>
                <w:lang w:bidi="ar"/>
              </w:rPr>
              <w:t>禁止在自然保护区核心区、缓冲区的岸线和河段范围内投资建设旅游和生产经营项目。禁止在风景名胜区核心景区的岸线和河段范围内投资建设与风景名胜资源保护无关的项目。</w:t>
            </w:r>
          </w:p>
        </w:tc>
        <w:tc>
          <w:tcPr>
            <w:tcW w:w="0" w:type="auto"/>
            <w:vAlign w:val="center"/>
          </w:tcPr>
          <w:p w14:paraId="078E43EA">
            <w:pPr>
              <w:rPr>
                <w:rFonts w:ascii="Times New Roman" w:hAnsi="Times New Roman" w:cs="Times New Roman"/>
              </w:rPr>
            </w:pPr>
            <w:r>
              <w:rPr>
                <w:rFonts w:ascii="Times New Roman" w:hAnsi="Times New Roman" w:cs="Times New Roman"/>
              </w:rPr>
              <w:t>本项目不涉及自然保护区、风景名胜区</w:t>
            </w:r>
          </w:p>
        </w:tc>
        <w:tc>
          <w:tcPr>
            <w:tcW w:w="0" w:type="auto"/>
            <w:vAlign w:val="center"/>
          </w:tcPr>
          <w:p w14:paraId="77D0267F">
            <w:pPr>
              <w:rPr>
                <w:rFonts w:ascii="Times New Roman" w:hAnsi="Times New Roman" w:cs="Times New Roman"/>
              </w:rPr>
            </w:pPr>
            <w:r>
              <w:rPr>
                <w:rFonts w:ascii="Times New Roman" w:hAnsi="Times New Roman" w:cs="Times New Roman"/>
              </w:rPr>
              <w:t>符合</w:t>
            </w:r>
          </w:p>
        </w:tc>
      </w:tr>
      <w:tr w14:paraId="4071A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0" w:type="auto"/>
            <w:vAlign w:val="center"/>
          </w:tcPr>
          <w:p w14:paraId="4C777B3C">
            <w:pPr>
              <w:numPr>
                <w:ilvl w:val="0"/>
                <w:numId w:val="12"/>
              </w:numPr>
              <w:ind w:left="0"/>
              <w:rPr>
                <w:rFonts w:ascii="Times New Roman" w:hAnsi="Times New Roman" w:cs="Times New Roman"/>
              </w:rPr>
            </w:pPr>
          </w:p>
        </w:tc>
        <w:tc>
          <w:tcPr>
            <w:tcW w:w="0" w:type="auto"/>
            <w:vAlign w:val="center"/>
          </w:tcPr>
          <w:p w14:paraId="1EBF92B4">
            <w:pPr>
              <w:rPr>
                <w:rFonts w:ascii="Times New Roman" w:hAnsi="Times New Roman" w:cs="Times New Roman"/>
              </w:rPr>
            </w:pPr>
            <w:r>
              <w:rPr>
                <w:rFonts w:ascii="Times New Roman" w:hAnsi="Times New Roman" w:cs="Times New Roman"/>
                <w:lang w:bidi="ar"/>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0" w:type="auto"/>
            <w:vAlign w:val="center"/>
          </w:tcPr>
          <w:p w14:paraId="366BB811">
            <w:pPr>
              <w:rPr>
                <w:rFonts w:ascii="Times New Roman" w:hAnsi="Times New Roman" w:cs="Times New Roman"/>
              </w:rPr>
            </w:pPr>
            <w:r>
              <w:rPr>
                <w:rFonts w:ascii="Times New Roman" w:hAnsi="Times New Roman" w:cs="Times New Roman"/>
              </w:rPr>
              <w:t>本项目不涉及饮用水源保护区</w:t>
            </w:r>
          </w:p>
        </w:tc>
        <w:tc>
          <w:tcPr>
            <w:tcW w:w="0" w:type="auto"/>
            <w:vAlign w:val="center"/>
          </w:tcPr>
          <w:p w14:paraId="5D813240">
            <w:pPr>
              <w:rPr>
                <w:rFonts w:ascii="Times New Roman" w:hAnsi="Times New Roman" w:cs="Times New Roman"/>
              </w:rPr>
            </w:pPr>
            <w:r>
              <w:rPr>
                <w:rFonts w:ascii="Times New Roman" w:hAnsi="Times New Roman" w:cs="Times New Roman"/>
              </w:rPr>
              <w:t>符合</w:t>
            </w:r>
          </w:p>
        </w:tc>
      </w:tr>
      <w:tr w14:paraId="3C2F7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0" w:type="auto"/>
            <w:vAlign w:val="center"/>
          </w:tcPr>
          <w:p w14:paraId="62E4412E">
            <w:pPr>
              <w:numPr>
                <w:ilvl w:val="0"/>
                <w:numId w:val="12"/>
              </w:numPr>
              <w:ind w:left="0"/>
              <w:rPr>
                <w:rFonts w:ascii="Times New Roman" w:hAnsi="Times New Roman" w:cs="Times New Roman"/>
              </w:rPr>
            </w:pPr>
          </w:p>
        </w:tc>
        <w:tc>
          <w:tcPr>
            <w:tcW w:w="0" w:type="auto"/>
            <w:vAlign w:val="center"/>
          </w:tcPr>
          <w:p w14:paraId="69A561D7">
            <w:pPr>
              <w:rPr>
                <w:rFonts w:ascii="Times New Roman" w:hAnsi="Times New Roman" w:cs="Times New Roman"/>
              </w:rPr>
            </w:pPr>
            <w:r>
              <w:rPr>
                <w:rFonts w:ascii="Times New Roman" w:hAnsi="Times New Roman" w:cs="Times New Roman"/>
                <w:lang w:bidi="ar"/>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0" w:type="auto"/>
            <w:vAlign w:val="center"/>
          </w:tcPr>
          <w:p w14:paraId="08A77709">
            <w:pPr>
              <w:rPr>
                <w:rFonts w:ascii="Times New Roman" w:hAnsi="Times New Roman" w:cs="Times New Roman"/>
              </w:rPr>
            </w:pPr>
            <w:r>
              <w:rPr>
                <w:rFonts w:ascii="Times New Roman" w:hAnsi="Times New Roman" w:cs="Times New Roman"/>
              </w:rPr>
              <w:t>本项目不涉及水产种质资源保护区、国家湿地公园</w:t>
            </w:r>
          </w:p>
        </w:tc>
        <w:tc>
          <w:tcPr>
            <w:tcW w:w="0" w:type="auto"/>
            <w:vAlign w:val="center"/>
          </w:tcPr>
          <w:p w14:paraId="1B8E4666">
            <w:pPr>
              <w:rPr>
                <w:rFonts w:ascii="Times New Roman" w:hAnsi="Times New Roman" w:cs="Times New Roman"/>
              </w:rPr>
            </w:pPr>
            <w:r>
              <w:rPr>
                <w:rFonts w:ascii="Times New Roman" w:hAnsi="Times New Roman" w:cs="Times New Roman"/>
              </w:rPr>
              <w:t>符合</w:t>
            </w:r>
          </w:p>
        </w:tc>
      </w:tr>
      <w:tr w14:paraId="49C8B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0" w:type="auto"/>
            <w:vAlign w:val="center"/>
          </w:tcPr>
          <w:p w14:paraId="051072D0">
            <w:pPr>
              <w:numPr>
                <w:ilvl w:val="0"/>
                <w:numId w:val="12"/>
              </w:numPr>
              <w:ind w:left="0"/>
              <w:rPr>
                <w:rFonts w:ascii="Times New Roman" w:hAnsi="Times New Roman" w:cs="Times New Roman"/>
              </w:rPr>
            </w:pPr>
          </w:p>
        </w:tc>
        <w:tc>
          <w:tcPr>
            <w:tcW w:w="0" w:type="auto"/>
            <w:vAlign w:val="center"/>
          </w:tcPr>
          <w:p w14:paraId="631136AE">
            <w:pPr>
              <w:rPr>
                <w:rFonts w:ascii="Times New Roman" w:hAnsi="Times New Roman" w:cs="Times New Roman"/>
              </w:rPr>
            </w:pPr>
            <w:r>
              <w:rPr>
                <w:rFonts w:ascii="Times New Roman" w:hAnsi="Times New Roman" w:cs="Times New Roman"/>
                <w:lang w:bidi="ar"/>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0" w:type="auto"/>
            <w:vAlign w:val="center"/>
          </w:tcPr>
          <w:p w14:paraId="266B95FE">
            <w:pPr>
              <w:rPr>
                <w:rFonts w:ascii="Times New Roman" w:hAnsi="Times New Roman" w:cs="Times New Roman"/>
              </w:rPr>
            </w:pPr>
            <w:r>
              <w:rPr>
                <w:rFonts w:ascii="Times New Roman" w:hAnsi="Times New Roman" w:cs="Times New Roman"/>
              </w:rPr>
              <w:t>本项目不涉及岸线保护区、岸线保留区、河段保护区、河段保留区</w:t>
            </w:r>
          </w:p>
        </w:tc>
        <w:tc>
          <w:tcPr>
            <w:tcW w:w="0" w:type="auto"/>
            <w:vAlign w:val="center"/>
          </w:tcPr>
          <w:p w14:paraId="0865F084">
            <w:pPr>
              <w:rPr>
                <w:rFonts w:ascii="Times New Roman" w:hAnsi="Times New Roman" w:cs="Times New Roman"/>
              </w:rPr>
            </w:pPr>
            <w:r>
              <w:rPr>
                <w:rFonts w:ascii="Times New Roman" w:hAnsi="Times New Roman" w:cs="Times New Roman"/>
              </w:rPr>
              <w:t>符合</w:t>
            </w:r>
          </w:p>
        </w:tc>
      </w:tr>
      <w:tr w14:paraId="1B1C3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0" w:type="auto"/>
            <w:vAlign w:val="center"/>
          </w:tcPr>
          <w:p w14:paraId="3425D876">
            <w:pPr>
              <w:numPr>
                <w:ilvl w:val="0"/>
                <w:numId w:val="12"/>
              </w:numPr>
              <w:ind w:left="0"/>
              <w:rPr>
                <w:rFonts w:ascii="Times New Roman" w:hAnsi="Times New Roman" w:cs="Times New Roman"/>
              </w:rPr>
            </w:pPr>
          </w:p>
        </w:tc>
        <w:tc>
          <w:tcPr>
            <w:tcW w:w="0" w:type="auto"/>
            <w:vAlign w:val="center"/>
          </w:tcPr>
          <w:p w14:paraId="2AEDE330">
            <w:pPr>
              <w:rPr>
                <w:rFonts w:ascii="Times New Roman" w:hAnsi="Times New Roman" w:cs="Times New Roman"/>
              </w:rPr>
            </w:pPr>
            <w:r>
              <w:rPr>
                <w:rFonts w:ascii="Times New Roman" w:hAnsi="Times New Roman" w:cs="Times New Roman"/>
                <w:lang w:bidi="ar"/>
              </w:rPr>
              <w:t>禁止未经许可在长江干支流及湖泊新设、改设或扩大排污口。</w:t>
            </w:r>
          </w:p>
        </w:tc>
        <w:tc>
          <w:tcPr>
            <w:tcW w:w="0" w:type="auto"/>
            <w:vAlign w:val="center"/>
          </w:tcPr>
          <w:p w14:paraId="03316462">
            <w:pPr>
              <w:rPr>
                <w:rFonts w:ascii="Times New Roman" w:hAnsi="Times New Roman" w:cs="Times New Roman"/>
              </w:rPr>
            </w:pPr>
            <w:r>
              <w:rPr>
                <w:rFonts w:ascii="Times New Roman" w:hAnsi="Times New Roman" w:cs="Times New Roman"/>
              </w:rPr>
              <w:t>本项目不涉及</w:t>
            </w:r>
          </w:p>
        </w:tc>
        <w:tc>
          <w:tcPr>
            <w:tcW w:w="0" w:type="auto"/>
            <w:vAlign w:val="center"/>
          </w:tcPr>
          <w:p w14:paraId="18E4C312">
            <w:pPr>
              <w:rPr>
                <w:rFonts w:ascii="Times New Roman" w:hAnsi="Times New Roman" w:cs="Times New Roman"/>
              </w:rPr>
            </w:pPr>
            <w:r>
              <w:rPr>
                <w:rFonts w:ascii="Times New Roman" w:hAnsi="Times New Roman" w:cs="Times New Roman"/>
              </w:rPr>
              <w:t>符合</w:t>
            </w:r>
          </w:p>
        </w:tc>
      </w:tr>
      <w:tr w14:paraId="5C278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0" w:type="auto"/>
            <w:vAlign w:val="center"/>
          </w:tcPr>
          <w:p w14:paraId="24805517">
            <w:pPr>
              <w:numPr>
                <w:ilvl w:val="0"/>
                <w:numId w:val="12"/>
              </w:numPr>
              <w:ind w:left="0"/>
              <w:rPr>
                <w:rFonts w:ascii="Times New Roman" w:hAnsi="Times New Roman" w:cs="Times New Roman"/>
              </w:rPr>
            </w:pPr>
          </w:p>
        </w:tc>
        <w:tc>
          <w:tcPr>
            <w:tcW w:w="0" w:type="auto"/>
            <w:vAlign w:val="center"/>
          </w:tcPr>
          <w:p w14:paraId="6A4D07BA">
            <w:pPr>
              <w:rPr>
                <w:rFonts w:ascii="Times New Roman" w:hAnsi="Times New Roman" w:cs="Times New Roman"/>
              </w:rPr>
            </w:pPr>
            <w:r>
              <w:rPr>
                <w:rFonts w:ascii="Times New Roman" w:hAnsi="Times New Roman" w:cs="Times New Roman"/>
                <w:lang w:bidi="ar"/>
              </w:rPr>
              <w:t>禁止在“一江一口两湖七河”和332个水生生物保护区开展生产性捕捞。</w:t>
            </w:r>
          </w:p>
        </w:tc>
        <w:tc>
          <w:tcPr>
            <w:tcW w:w="0" w:type="auto"/>
            <w:vAlign w:val="center"/>
          </w:tcPr>
          <w:p w14:paraId="282E6980">
            <w:pPr>
              <w:rPr>
                <w:rFonts w:ascii="Times New Roman" w:hAnsi="Times New Roman" w:cs="Times New Roman"/>
              </w:rPr>
            </w:pPr>
            <w:r>
              <w:rPr>
                <w:rFonts w:ascii="Times New Roman" w:hAnsi="Times New Roman" w:cs="Times New Roman"/>
              </w:rPr>
              <w:t>本项目不涉及</w:t>
            </w:r>
          </w:p>
        </w:tc>
        <w:tc>
          <w:tcPr>
            <w:tcW w:w="0" w:type="auto"/>
            <w:vAlign w:val="center"/>
          </w:tcPr>
          <w:p w14:paraId="179221CE">
            <w:pPr>
              <w:rPr>
                <w:rFonts w:ascii="Times New Roman" w:hAnsi="Times New Roman" w:cs="Times New Roman"/>
              </w:rPr>
            </w:pPr>
            <w:r>
              <w:rPr>
                <w:rFonts w:ascii="Times New Roman" w:hAnsi="Times New Roman" w:cs="Times New Roman"/>
              </w:rPr>
              <w:t>符合</w:t>
            </w:r>
          </w:p>
        </w:tc>
      </w:tr>
      <w:tr w14:paraId="72374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0" w:type="auto"/>
            <w:vAlign w:val="center"/>
          </w:tcPr>
          <w:p w14:paraId="73A0AE04">
            <w:pPr>
              <w:numPr>
                <w:ilvl w:val="0"/>
                <w:numId w:val="12"/>
              </w:numPr>
              <w:ind w:left="0"/>
              <w:rPr>
                <w:rFonts w:ascii="Times New Roman" w:hAnsi="Times New Roman" w:cs="Times New Roman"/>
              </w:rPr>
            </w:pPr>
          </w:p>
        </w:tc>
        <w:tc>
          <w:tcPr>
            <w:tcW w:w="0" w:type="auto"/>
            <w:vAlign w:val="center"/>
          </w:tcPr>
          <w:p w14:paraId="7640D712">
            <w:pPr>
              <w:rPr>
                <w:rFonts w:ascii="Times New Roman" w:hAnsi="Times New Roman" w:cs="Times New Roman"/>
              </w:rPr>
            </w:pPr>
            <w:r>
              <w:rPr>
                <w:rFonts w:ascii="Times New Roman" w:hAnsi="Times New Roman" w:cs="Times New Roman"/>
                <w:lang w:bidi="ar"/>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乎为目</w:t>
            </w:r>
            <w:bookmarkStart w:id="90" w:name="_GoBack"/>
            <w:bookmarkEnd w:id="90"/>
            <w:r>
              <w:rPr>
                <w:rFonts w:ascii="Times New Roman" w:hAnsi="Times New Roman" w:cs="Times New Roman"/>
                <w:lang w:bidi="ar"/>
              </w:rPr>
              <w:t>的的改建除外。</w:t>
            </w:r>
          </w:p>
        </w:tc>
        <w:tc>
          <w:tcPr>
            <w:tcW w:w="0" w:type="auto"/>
            <w:vAlign w:val="center"/>
          </w:tcPr>
          <w:p w14:paraId="3087C50D">
            <w:pPr>
              <w:rPr>
                <w:rFonts w:ascii="Times New Roman" w:hAnsi="Times New Roman" w:cs="Times New Roman"/>
              </w:rPr>
            </w:pPr>
            <w:r>
              <w:rPr>
                <w:rFonts w:ascii="Times New Roman" w:hAnsi="Times New Roman" w:cs="Times New Roman"/>
              </w:rPr>
              <w:t>本项目不涉及</w:t>
            </w:r>
          </w:p>
        </w:tc>
        <w:tc>
          <w:tcPr>
            <w:tcW w:w="0" w:type="auto"/>
            <w:vAlign w:val="center"/>
          </w:tcPr>
          <w:p w14:paraId="639F52C5">
            <w:pPr>
              <w:rPr>
                <w:rFonts w:ascii="Times New Roman" w:hAnsi="Times New Roman" w:cs="Times New Roman"/>
              </w:rPr>
            </w:pPr>
            <w:r>
              <w:rPr>
                <w:rFonts w:ascii="Times New Roman" w:hAnsi="Times New Roman" w:cs="Times New Roman"/>
              </w:rPr>
              <w:t>符合</w:t>
            </w:r>
          </w:p>
        </w:tc>
      </w:tr>
      <w:tr w14:paraId="05D86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0" w:type="auto"/>
            <w:vAlign w:val="center"/>
          </w:tcPr>
          <w:p w14:paraId="4CDCC2AE">
            <w:pPr>
              <w:numPr>
                <w:ilvl w:val="0"/>
                <w:numId w:val="12"/>
              </w:numPr>
              <w:ind w:left="0"/>
              <w:rPr>
                <w:rFonts w:ascii="Times New Roman" w:hAnsi="Times New Roman" w:cs="Times New Roman"/>
              </w:rPr>
            </w:pPr>
          </w:p>
        </w:tc>
        <w:tc>
          <w:tcPr>
            <w:tcW w:w="0" w:type="auto"/>
            <w:vAlign w:val="center"/>
          </w:tcPr>
          <w:p w14:paraId="4C25724A">
            <w:pPr>
              <w:rPr>
                <w:rFonts w:ascii="Times New Roman" w:hAnsi="Times New Roman" w:cs="Times New Roman"/>
              </w:rPr>
            </w:pPr>
            <w:r>
              <w:rPr>
                <w:rFonts w:ascii="Times New Roman" w:hAnsi="Times New Roman" w:cs="Times New Roman"/>
                <w:lang w:bidi="ar"/>
              </w:rPr>
              <w:t>禁止在合规园区外新建、扩建钢铁、石化、化工、焦化、建材、有色、制浆造纸等高污染项目。</w:t>
            </w:r>
          </w:p>
        </w:tc>
        <w:tc>
          <w:tcPr>
            <w:tcW w:w="0" w:type="auto"/>
            <w:vAlign w:val="center"/>
          </w:tcPr>
          <w:p w14:paraId="539E5BFF">
            <w:pPr>
              <w:rPr>
                <w:rFonts w:ascii="Times New Roman" w:hAnsi="Times New Roman" w:cs="Times New Roman"/>
              </w:rPr>
            </w:pPr>
            <w:r>
              <w:rPr>
                <w:rFonts w:ascii="Times New Roman" w:hAnsi="Times New Roman" w:cs="Times New Roman"/>
              </w:rPr>
              <w:t>本项目不属于化工、钢铁、石化、化工、焦化、建材、有色等高污染项目</w:t>
            </w:r>
          </w:p>
        </w:tc>
        <w:tc>
          <w:tcPr>
            <w:tcW w:w="0" w:type="auto"/>
            <w:vAlign w:val="center"/>
          </w:tcPr>
          <w:p w14:paraId="7D3C1AAD">
            <w:pPr>
              <w:rPr>
                <w:rFonts w:ascii="Times New Roman" w:hAnsi="Times New Roman" w:cs="Times New Roman"/>
              </w:rPr>
            </w:pPr>
            <w:r>
              <w:rPr>
                <w:rFonts w:ascii="Times New Roman" w:hAnsi="Times New Roman" w:cs="Times New Roman"/>
              </w:rPr>
              <w:t>符合</w:t>
            </w:r>
          </w:p>
        </w:tc>
      </w:tr>
      <w:tr w14:paraId="1AB8E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0" w:type="auto"/>
            <w:vAlign w:val="center"/>
          </w:tcPr>
          <w:p w14:paraId="59B1DCCF">
            <w:pPr>
              <w:numPr>
                <w:ilvl w:val="0"/>
                <w:numId w:val="12"/>
              </w:numPr>
              <w:ind w:left="0"/>
              <w:rPr>
                <w:rFonts w:ascii="Times New Roman" w:hAnsi="Times New Roman" w:cs="Times New Roman"/>
              </w:rPr>
            </w:pPr>
          </w:p>
        </w:tc>
        <w:tc>
          <w:tcPr>
            <w:tcW w:w="0" w:type="auto"/>
            <w:vAlign w:val="center"/>
          </w:tcPr>
          <w:p w14:paraId="1770DBC0">
            <w:pPr>
              <w:rPr>
                <w:rFonts w:ascii="Times New Roman" w:hAnsi="Times New Roman" w:cs="Times New Roman"/>
              </w:rPr>
            </w:pPr>
            <w:r>
              <w:rPr>
                <w:rFonts w:ascii="Times New Roman" w:hAnsi="Times New Roman" w:cs="Times New Roman"/>
                <w:lang w:bidi="ar"/>
              </w:rPr>
              <w:t>禁止新建、扩建不符合国家石化、现代煤化工等产业布局规划的项目。</w:t>
            </w:r>
          </w:p>
        </w:tc>
        <w:tc>
          <w:tcPr>
            <w:tcW w:w="0" w:type="auto"/>
            <w:vAlign w:val="center"/>
          </w:tcPr>
          <w:p w14:paraId="5FAB1377">
            <w:pPr>
              <w:rPr>
                <w:rFonts w:ascii="Times New Roman" w:hAnsi="Times New Roman" w:cs="Times New Roman"/>
              </w:rPr>
            </w:pPr>
            <w:r>
              <w:rPr>
                <w:rFonts w:ascii="Times New Roman" w:hAnsi="Times New Roman" w:cs="Times New Roman"/>
              </w:rPr>
              <w:t>本项目不属于石化、现代煤化工项目</w:t>
            </w:r>
          </w:p>
        </w:tc>
        <w:tc>
          <w:tcPr>
            <w:tcW w:w="0" w:type="auto"/>
            <w:vAlign w:val="center"/>
          </w:tcPr>
          <w:p w14:paraId="41169758">
            <w:pPr>
              <w:rPr>
                <w:rFonts w:ascii="Times New Roman" w:hAnsi="Times New Roman" w:cs="Times New Roman"/>
              </w:rPr>
            </w:pPr>
            <w:r>
              <w:rPr>
                <w:rFonts w:ascii="Times New Roman" w:hAnsi="Times New Roman" w:cs="Times New Roman"/>
              </w:rPr>
              <w:t>符合</w:t>
            </w:r>
          </w:p>
        </w:tc>
      </w:tr>
      <w:tr w14:paraId="5CB12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0" w:type="auto"/>
            <w:vAlign w:val="center"/>
          </w:tcPr>
          <w:p w14:paraId="4176B326">
            <w:pPr>
              <w:numPr>
                <w:ilvl w:val="0"/>
                <w:numId w:val="12"/>
              </w:numPr>
              <w:ind w:left="0"/>
              <w:rPr>
                <w:rFonts w:ascii="Times New Roman" w:hAnsi="Times New Roman" w:cs="Times New Roman"/>
              </w:rPr>
            </w:pPr>
          </w:p>
        </w:tc>
        <w:tc>
          <w:tcPr>
            <w:tcW w:w="0" w:type="auto"/>
            <w:vAlign w:val="center"/>
          </w:tcPr>
          <w:p w14:paraId="01C38D67">
            <w:pPr>
              <w:rPr>
                <w:rFonts w:ascii="Times New Roman" w:hAnsi="Times New Roman" w:cs="Times New Roman"/>
              </w:rPr>
            </w:pPr>
            <w:r>
              <w:rPr>
                <w:rFonts w:ascii="Times New Roman" w:hAnsi="Times New Roman" w:cs="Times New Roman"/>
                <w:lang w:bidi="ar"/>
              </w:rPr>
              <w:t>禁止新建、扩建法律法规和相关政策明令禁止的落后产能项目。禁止新建、扩建不符合国家产能置换要求的严重过剩产能行业的项目。禁止新建、扩建不符合要求的高耗能高排放项目。</w:t>
            </w:r>
          </w:p>
        </w:tc>
        <w:tc>
          <w:tcPr>
            <w:tcW w:w="0" w:type="auto"/>
            <w:vAlign w:val="center"/>
          </w:tcPr>
          <w:p w14:paraId="46145EAA">
            <w:pPr>
              <w:rPr>
                <w:rFonts w:ascii="Times New Roman" w:hAnsi="Times New Roman" w:cs="Times New Roman"/>
              </w:rPr>
            </w:pPr>
            <w:r>
              <w:rPr>
                <w:rFonts w:ascii="Times New Roman" w:hAnsi="Times New Roman" w:cs="Times New Roman"/>
              </w:rPr>
              <w:t>本项目不属于《产业结构调整指导目录（2019年本）》限制类、淘汰类项目本项目不属于钢铁、水泥、电解铝、平板玻璃、船舶等产能严重过剩行业</w:t>
            </w:r>
          </w:p>
        </w:tc>
        <w:tc>
          <w:tcPr>
            <w:tcW w:w="0" w:type="auto"/>
            <w:vAlign w:val="center"/>
          </w:tcPr>
          <w:p w14:paraId="16808D15">
            <w:pPr>
              <w:rPr>
                <w:rFonts w:ascii="Times New Roman" w:hAnsi="Times New Roman" w:cs="Times New Roman"/>
              </w:rPr>
            </w:pPr>
            <w:r>
              <w:rPr>
                <w:rFonts w:ascii="Times New Roman" w:hAnsi="Times New Roman" w:cs="Times New Roman"/>
              </w:rPr>
              <w:t>符合</w:t>
            </w:r>
          </w:p>
        </w:tc>
      </w:tr>
    </w:tbl>
    <w:p w14:paraId="1396FEE0">
      <w:pPr>
        <w:adjustRightInd w:val="0"/>
        <w:snapToGrid w:val="0"/>
        <w:spacing w:line="480" w:lineRule="exact"/>
        <w:jc w:val="center"/>
        <w:rPr>
          <w:rFonts w:ascii="Times New Roman" w:hAnsi="Times New Roman" w:cs="Times New Roman"/>
          <w:b/>
          <w:sz w:val="24"/>
          <w:szCs w:val="20"/>
          <w:lang w:val="zh-CN"/>
        </w:rPr>
      </w:pPr>
      <w:r>
        <w:rPr>
          <w:rFonts w:ascii="Times New Roman" w:hAnsi="Times New Roman" w:cs="Times New Roman"/>
          <w:b/>
          <w:sz w:val="24"/>
          <w:szCs w:val="20"/>
          <w:lang w:val="zh-CN"/>
        </w:rPr>
        <w:t>表1.9-1   与《中华人民共和国长江保护法》符合性分析</w:t>
      </w:r>
    </w:p>
    <w:tbl>
      <w:tblPr>
        <w:tblStyle w:val="8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8"/>
        <w:gridCol w:w="5260"/>
        <w:gridCol w:w="2410"/>
        <w:gridCol w:w="872"/>
      </w:tblGrid>
      <w:tr w14:paraId="7B4E6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22BC94BE">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序号</w:t>
            </w:r>
          </w:p>
        </w:tc>
        <w:tc>
          <w:tcPr>
            <w:tcW w:w="5260" w:type="dxa"/>
            <w:tcBorders>
              <w:top w:val="single" w:color="auto" w:sz="4" w:space="0"/>
              <w:left w:val="single" w:color="auto" w:sz="4" w:space="0"/>
              <w:bottom w:val="single" w:color="auto" w:sz="4" w:space="0"/>
              <w:right w:val="single" w:color="auto" w:sz="4" w:space="0"/>
            </w:tcBorders>
            <w:vAlign w:val="center"/>
          </w:tcPr>
          <w:p w14:paraId="37A30DCC">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相关要求</w:t>
            </w:r>
          </w:p>
        </w:tc>
        <w:tc>
          <w:tcPr>
            <w:tcW w:w="2410" w:type="dxa"/>
            <w:tcBorders>
              <w:top w:val="single" w:color="auto" w:sz="4" w:space="0"/>
              <w:left w:val="single" w:color="auto" w:sz="4" w:space="0"/>
              <w:bottom w:val="single" w:color="auto" w:sz="4" w:space="0"/>
              <w:right w:val="single" w:color="auto" w:sz="4" w:space="0"/>
            </w:tcBorders>
            <w:vAlign w:val="center"/>
          </w:tcPr>
          <w:p w14:paraId="05551D9C">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本项目情况</w:t>
            </w:r>
          </w:p>
        </w:tc>
        <w:tc>
          <w:tcPr>
            <w:tcW w:w="872" w:type="dxa"/>
            <w:tcBorders>
              <w:top w:val="single" w:color="auto" w:sz="4" w:space="0"/>
              <w:left w:val="single" w:color="auto" w:sz="4" w:space="0"/>
              <w:bottom w:val="single" w:color="auto" w:sz="4" w:space="0"/>
              <w:right w:val="single" w:color="auto" w:sz="4" w:space="0"/>
            </w:tcBorders>
            <w:vAlign w:val="center"/>
          </w:tcPr>
          <w:p w14:paraId="2D5D9CA0">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符合性</w:t>
            </w:r>
          </w:p>
        </w:tc>
      </w:tr>
      <w:tr w14:paraId="3F6BA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0AC7187B">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1</w:t>
            </w:r>
          </w:p>
        </w:tc>
        <w:tc>
          <w:tcPr>
            <w:tcW w:w="5260" w:type="dxa"/>
            <w:tcBorders>
              <w:top w:val="single" w:color="auto" w:sz="4" w:space="0"/>
              <w:left w:val="single" w:color="auto" w:sz="4" w:space="0"/>
              <w:bottom w:val="single" w:color="auto" w:sz="4" w:space="0"/>
              <w:right w:val="single" w:color="auto" w:sz="4" w:space="0"/>
            </w:tcBorders>
            <w:vAlign w:val="center"/>
          </w:tcPr>
          <w:p w14:paraId="1302CC13">
            <w:pPr>
              <w:adjustRightInd w:val="0"/>
              <w:snapToGrid w:val="0"/>
              <w:spacing w:line="240" w:lineRule="atLeast"/>
              <w:rPr>
                <w:rFonts w:ascii="Times New Roman" w:hAnsi="Times New Roman" w:cs="Times New Roman"/>
                <w:szCs w:val="21"/>
              </w:rPr>
            </w:pPr>
            <w:r>
              <w:rPr>
                <w:rFonts w:ascii="Times New Roman" w:hAnsi="Times New Roman" w:cs="Times New Roman"/>
                <w:szCs w:val="21"/>
              </w:rPr>
              <w:t>禁止在长江干支流岸线一公里范围内新建、扩建化工园区和化工项目</w:t>
            </w:r>
          </w:p>
        </w:tc>
        <w:tc>
          <w:tcPr>
            <w:tcW w:w="2410" w:type="dxa"/>
            <w:tcBorders>
              <w:top w:val="single" w:color="auto" w:sz="4" w:space="0"/>
              <w:left w:val="single" w:color="auto" w:sz="4" w:space="0"/>
              <w:bottom w:val="single" w:color="auto" w:sz="4" w:space="0"/>
              <w:right w:val="single" w:color="auto" w:sz="4" w:space="0"/>
            </w:tcBorders>
            <w:vAlign w:val="center"/>
          </w:tcPr>
          <w:p w14:paraId="6D5BC0E1">
            <w:pPr>
              <w:adjustRightInd w:val="0"/>
              <w:snapToGrid w:val="0"/>
              <w:spacing w:line="240" w:lineRule="atLeast"/>
              <w:rPr>
                <w:rFonts w:ascii="Times New Roman" w:hAnsi="Times New Roman" w:cs="Times New Roman"/>
                <w:szCs w:val="21"/>
              </w:rPr>
            </w:pPr>
            <w:r>
              <w:rPr>
                <w:rFonts w:ascii="Times New Roman" w:hAnsi="Times New Roman" w:cs="Times New Roman"/>
                <w:kern w:val="0"/>
                <w:szCs w:val="21"/>
              </w:rPr>
              <w:t>本项目</w:t>
            </w:r>
            <w:r>
              <w:rPr>
                <w:rFonts w:hint="eastAsia"/>
                <w:kern w:val="0"/>
                <w:szCs w:val="21"/>
              </w:rPr>
              <w:t>为液化天然气项目</w:t>
            </w:r>
            <w:r>
              <w:rPr>
                <w:rFonts w:ascii="Times New Roman" w:hAnsi="Times New Roman" w:cs="Times New Roman"/>
                <w:szCs w:val="21"/>
              </w:rPr>
              <w:t>，不属于化工项目。</w:t>
            </w:r>
          </w:p>
        </w:tc>
        <w:tc>
          <w:tcPr>
            <w:tcW w:w="872" w:type="dxa"/>
            <w:tcBorders>
              <w:top w:val="single" w:color="auto" w:sz="4" w:space="0"/>
              <w:left w:val="single" w:color="auto" w:sz="4" w:space="0"/>
              <w:bottom w:val="single" w:color="auto" w:sz="4" w:space="0"/>
              <w:right w:val="single" w:color="auto" w:sz="4" w:space="0"/>
            </w:tcBorders>
            <w:vAlign w:val="center"/>
          </w:tcPr>
          <w:p w14:paraId="7403589E">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符合</w:t>
            </w:r>
          </w:p>
        </w:tc>
      </w:tr>
      <w:tr w14:paraId="04F7F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1EF39FBF">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2</w:t>
            </w:r>
          </w:p>
        </w:tc>
        <w:tc>
          <w:tcPr>
            <w:tcW w:w="5260" w:type="dxa"/>
            <w:tcBorders>
              <w:top w:val="single" w:color="auto" w:sz="4" w:space="0"/>
              <w:left w:val="single" w:color="auto" w:sz="4" w:space="0"/>
              <w:bottom w:val="single" w:color="auto" w:sz="4" w:space="0"/>
              <w:right w:val="single" w:color="auto" w:sz="4" w:space="0"/>
            </w:tcBorders>
            <w:vAlign w:val="center"/>
          </w:tcPr>
          <w:p w14:paraId="03443051">
            <w:pPr>
              <w:adjustRightInd w:val="0"/>
              <w:snapToGrid w:val="0"/>
              <w:spacing w:line="240" w:lineRule="atLeast"/>
              <w:rPr>
                <w:rFonts w:ascii="Times New Roman" w:hAnsi="Times New Roman" w:cs="Times New Roman"/>
                <w:szCs w:val="21"/>
              </w:rPr>
            </w:pPr>
            <w:r>
              <w:rPr>
                <w:rFonts w:ascii="Times New Roman" w:hAnsi="Times New Roman" w:cs="Times New Roman"/>
                <w:szCs w:val="21"/>
              </w:rPr>
              <w:t>禁止在长江干流岸线三公里范围内和重要支流岸线一公里范围内新建、改建、扩建尾矿库；但是以提升安全、生态环境保护水平为目的的改建除外</w:t>
            </w:r>
          </w:p>
        </w:tc>
        <w:tc>
          <w:tcPr>
            <w:tcW w:w="2410" w:type="dxa"/>
            <w:tcBorders>
              <w:top w:val="single" w:color="auto" w:sz="4" w:space="0"/>
              <w:left w:val="single" w:color="auto" w:sz="4" w:space="0"/>
              <w:bottom w:val="single" w:color="auto" w:sz="4" w:space="0"/>
              <w:right w:val="single" w:color="auto" w:sz="4" w:space="0"/>
            </w:tcBorders>
            <w:vAlign w:val="center"/>
          </w:tcPr>
          <w:p w14:paraId="69FE434D">
            <w:pPr>
              <w:adjustRightInd w:val="0"/>
              <w:snapToGrid w:val="0"/>
              <w:spacing w:line="240" w:lineRule="atLeast"/>
              <w:rPr>
                <w:rFonts w:ascii="Times New Roman" w:hAnsi="Times New Roman" w:cs="Times New Roman"/>
                <w:szCs w:val="21"/>
              </w:rPr>
            </w:pPr>
            <w:r>
              <w:rPr>
                <w:rFonts w:ascii="Times New Roman" w:hAnsi="Times New Roman" w:cs="Times New Roman"/>
                <w:kern w:val="0"/>
                <w:szCs w:val="21"/>
              </w:rPr>
              <w:t>本项目</w:t>
            </w:r>
            <w:r>
              <w:rPr>
                <w:rFonts w:ascii="Times New Roman" w:hAnsi="Times New Roman" w:cs="Times New Roman"/>
                <w:szCs w:val="21"/>
              </w:rPr>
              <w:t>不属于尾矿库</w:t>
            </w:r>
          </w:p>
        </w:tc>
        <w:tc>
          <w:tcPr>
            <w:tcW w:w="872" w:type="dxa"/>
            <w:tcBorders>
              <w:top w:val="single" w:color="auto" w:sz="4" w:space="0"/>
              <w:left w:val="single" w:color="auto" w:sz="4" w:space="0"/>
              <w:bottom w:val="single" w:color="auto" w:sz="4" w:space="0"/>
              <w:right w:val="single" w:color="auto" w:sz="4" w:space="0"/>
            </w:tcBorders>
            <w:vAlign w:val="center"/>
          </w:tcPr>
          <w:p w14:paraId="5A68E3CC">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符合</w:t>
            </w:r>
          </w:p>
        </w:tc>
      </w:tr>
    </w:tbl>
    <w:p w14:paraId="391184AD">
      <w:pPr>
        <w:adjustRightInd w:val="0"/>
        <w:snapToGrid w:val="0"/>
        <w:spacing w:line="480" w:lineRule="exact"/>
        <w:jc w:val="center"/>
        <w:rPr>
          <w:rFonts w:ascii="Times New Roman" w:hAnsi="Times New Roman" w:cs="Times New Roman"/>
          <w:b/>
          <w:sz w:val="24"/>
          <w:szCs w:val="20"/>
          <w:lang w:val="zh-CN"/>
        </w:rPr>
      </w:pPr>
      <w:r>
        <w:rPr>
          <w:rFonts w:ascii="Times New Roman" w:hAnsi="Times New Roman" w:cs="Times New Roman"/>
          <w:b/>
          <w:sz w:val="24"/>
          <w:szCs w:val="20"/>
          <w:lang w:val="zh-CN"/>
        </w:rPr>
        <w:t>表1.</w:t>
      </w:r>
      <w:r>
        <w:rPr>
          <w:rFonts w:ascii="Times New Roman" w:hAnsi="Times New Roman" w:cs="Times New Roman"/>
          <w:b/>
          <w:sz w:val="24"/>
          <w:szCs w:val="20"/>
        </w:rPr>
        <w:t>10</w:t>
      </w:r>
      <w:r>
        <w:rPr>
          <w:rFonts w:ascii="Times New Roman" w:hAnsi="Times New Roman" w:cs="Times New Roman"/>
          <w:b/>
          <w:sz w:val="24"/>
          <w:szCs w:val="20"/>
          <w:lang w:val="zh-CN"/>
        </w:rPr>
        <w:t>-1  《挥发性有机物（VOCs）污染防治技术政策》的符合性分析</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5655"/>
        <w:gridCol w:w="1977"/>
      </w:tblGrid>
      <w:tr w14:paraId="35E1F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pct"/>
            <w:tcBorders>
              <w:top w:val="single" w:color="auto" w:sz="4" w:space="0"/>
              <w:left w:val="single" w:color="auto" w:sz="4" w:space="0"/>
              <w:bottom w:val="single" w:color="auto" w:sz="4" w:space="0"/>
              <w:right w:val="single" w:color="auto" w:sz="4" w:space="0"/>
            </w:tcBorders>
            <w:vAlign w:val="center"/>
          </w:tcPr>
          <w:p w14:paraId="701BBD02">
            <w:pPr>
              <w:adjustRightInd w:val="0"/>
              <w:snapToGrid w:val="0"/>
              <w:jc w:val="center"/>
              <w:rPr>
                <w:rFonts w:ascii="Times New Roman" w:hAnsi="Times New Roman" w:cs="Times New Roman"/>
                <w:szCs w:val="21"/>
              </w:rPr>
            </w:pPr>
            <w:r>
              <w:rPr>
                <w:rFonts w:ascii="Times New Roman" w:hAnsi="Times New Roman" w:cs="Times New Roman"/>
                <w:szCs w:val="21"/>
              </w:rPr>
              <w:t>项目</w:t>
            </w:r>
          </w:p>
        </w:tc>
        <w:tc>
          <w:tcPr>
            <w:tcW w:w="3121" w:type="pct"/>
            <w:tcBorders>
              <w:top w:val="single" w:color="auto" w:sz="4" w:space="0"/>
              <w:left w:val="nil"/>
              <w:bottom w:val="single" w:color="auto" w:sz="4" w:space="0"/>
              <w:right w:val="single" w:color="auto" w:sz="4" w:space="0"/>
            </w:tcBorders>
            <w:vAlign w:val="center"/>
          </w:tcPr>
          <w:p w14:paraId="732EDF99">
            <w:pPr>
              <w:adjustRightInd w:val="0"/>
              <w:snapToGrid w:val="0"/>
              <w:jc w:val="center"/>
              <w:rPr>
                <w:rFonts w:ascii="Times New Roman" w:hAnsi="Times New Roman" w:cs="Times New Roman"/>
                <w:szCs w:val="21"/>
              </w:rPr>
            </w:pPr>
            <w:r>
              <w:rPr>
                <w:rFonts w:ascii="Times New Roman" w:hAnsi="Times New Roman" w:cs="Times New Roman"/>
                <w:szCs w:val="21"/>
              </w:rPr>
              <w:t>技术政策中要求</w:t>
            </w:r>
          </w:p>
        </w:tc>
        <w:tc>
          <w:tcPr>
            <w:tcW w:w="1091" w:type="pct"/>
            <w:tcBorders>
              <w:top w:val="single" w:color="auto" w:sz="4" w:space="0"/>
              <w:left w:val="nil"/>
              <w:bottom w:val="single" w:color="auto" w:sz="4" w:space="0"/>
              <w:right w:val="single" w:color="auto" w:sz="4" w:space="0"/>
            </w:tcBorders>
            <w:vAlign w:val="center"/>
          </w:tcPr>
          <w:p w14:paraId="6844E3BF">
            <w:pPr>
              <w:adjustRightInd w:val="0"/>
              <w:snapToGrid w:val="0"/>
              <w:jc w:val="center"/>
              <w:rPr>
                <w:rFonts w:ascii="Times New Roman" w:hAnsi="Times New Roman" w:cs="Times New Roman"/>
                <w:szCs w:val="21"/>
              </w:rPr>
            </w:pPr>
            <w:r>
              <w:rPr>
                <w:rFonts w:ascii="Times New Roman" w:hAnsi="Times New Roman" w:cs="Times New Roman"/>
                <w:szCs w:val="21"/>
              </w:rPr>
              <w:t>拟建项目符合性</w:t>
            </w:r>
          </w:p>
        </w:tc>
      </w:tr>
      <w:tr w14:paraId="08BFD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pct"/>
            <w:tcBorders>
              <w:top w:val="single" w:color="auto" w:sz="4" w:space="0"/>
              <w:left w:val="single" w:color="auto" w:sz="4" w:space="0"/>
              <w:bottom w:val="single" w:color="auto" w:sz="4" w:space="0"/>
              <w:right w:val="single" w:color="auto" w:sz="4" w:space="0"/>
            </w:tcBorders>
            <w:vAlign w:val="center"/>
          </w:tcPr>
          <w:p w14:paraId="38D7E696">
            <w:pPr>
              <w:adjustRightInd w:val="0"/>
              <w:snapToGrid w:val="0"/>
              <w:jc w:val="center"/>
              <w:rPr>
                <w:rFonts w:ascii="Times New Roman" w:hAnsi="Times New Roman" w:cs="Times New Roman"/>
                <w:szCs w:val="21"/>
              </w:rPr>
            </w:pPr>
            <w:r>
              <w:rPr>
                <w:rFonts w:ascii="Times New Roman" w:hAnsi="Times New Roman" w:cs="Times New Roman"/>
                <w:szCs w:val="21"/>
              </w:rPr>
              <w:t>源头和过程控制</w:t>
            </w:r>
          </w:p>
        </w:tc>
        <w:tc>
          <w:tcPr>
            <w:tcW w:w="3121" w:type="pct"/>
            <w:tcBorders>
              <w:top w:val="single" w:color="auto" w:sz="4" w:space="0"/>
              <w:left w:val="nil"/>
              <w:bottom w:val="single" w:color="auto" w:sz="4" w:space="0"/>
              <w:right w:val="single" w:color="auto" w:sz="4" w:space="0"/>
            </w:tcBorders>
            <w:vAlign w:val="center"/>
          </w:tcPr>
          <w:p w14:paraId="4DB5DE22">
            <w:pPr>
              <w:adjustRightInd w:val="0"/>
              <w:snapToGrid w:val="0"/>
              <w:jc w:val="left"/>
              <w:rPr>
                <w:rFonts w:ascii="Times New Roman" w:hAnsi="Times New Roman" w:cs="Times New Roman"/>
                <w:szCs w:val="21"/>
              </w:rPr>
            </w:pPr>
            <w:r>
              <w:rPr>
                <w:rFonts w:ascii="Times New Roman" w:hAnsi="Times New Roman" w:cs="Times New Roman"/>
                <w:szCs w:val="21"/>
              </w:rPr>
              <w:t>涂料、油墨、胶粘剂、农药等以VOCs为原料的生产行业的VOCs污染防治技术措施包括：鼓励符合环境标志产品技术要求的水基型、无有机溶剂型、低有机溶剂型的涂料、油墨和胶粘剂等的生产和销售；鼓励采用密闭一体化生产技术，并对生产过程中产生的废气分类收集后处理。</w:t>
            </w:r>
          </w:p>
        </w:tc>
        <w:tc>
          <w:tcPr>
            <w:tcW w:w="1091" w:type="pct"/>
            <w:tcBorders>
              <w:top w:val="single" w:color="auto" w:sz="4" w:space="0"/>
              <w:left w:val="nil"/>
              <w:bottom w:val="single" w:color="auto" w:sz="4" w:space="0"/>
              <w:right w:val="single" w:color="auto" w:sz="4" w:space="0"/>
            </w:tcBorders>
            <w:vAlign w:val="center"/>
          </w:tcPr>
          <w:p w14:paraId="5517AFCB">
            <w:pPr>
              <w:adjustRightInd w:val="0"/>
              <w:snapToGrid w:val="0"/>
              <w:jc w:val="left"/>
              <w:rPr>
                <w:rFonts w:ascii="Times New Roman" w:hAnsi="Times New Roman" w:cs="Times New Roman"/>
                <w:szCs w:val="21"/>
              </w:rPr>
            </w:pPr>
            <w:r>
              <w:rPr>
                <w:rFonts w:ascii="Times New Roman" w:hAnsi="Times New Roman" w:cs="Times New Roman"/>
                <w:szCs w:val="21"/>
              </w:rPr>
              <w:t>拟建项目不涉及使用涂料、油墨、胶粘剂、农药等原料，符合技术政策要求。</w:t>
            </w:r>
          </w:p>
        </w:tc>
      </w:tr>
      <w:tr w14:paraId="701A2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pct"/>
            <w:vMerge w:val="restart"/>
            <w:tcBorders>
              <w:top w:val="single" w:color="auto" w:sz="4" w:space="0"/>
              <w:left w:val="single" w:color="auto" w:sz="4" w:space="0"/>
              <w:right w:val="single" w:color="auto" w:sz="4" w:space="0"/>
            </w:tcBorders>
            <w:vAlign w:val="center"/>
          </w:tcPr>
          <w:p w14:paraId="42EA83E8">
            <w:pPr>
              <w:adjustRightInd w:val="0"/>
              <w:snapToGrid w:val="0"/>
              <w:jc w:val="center"/>
              <w:rPr>
                <w:rFonts w:ascii="Times New Roman" w:hAnsi="Times New Roman" w:cs="Times New Roman"/>
                <w:szCs w:val="21"/>
              </w:rPr>
            </w:pPr>
            <w:r>
              <w:rPr>
                <w:rFonts w:ascii="Times New Roman" w:hAnsi="Times New Roman" w:cs="Times New Roman"/>
                <w:szCs w:val="21"/>
              </w:rPr>
              <w:t>末端治理与综合利用</w:t>
            </w:r>
          </w:p>
        </w:tc>
        <w:tc>
          <w:tcPr>
            <w:tcW w:w="3121" w:type="pct"/>
            <w:tcBorders>
              <w:top w:val="single" w:color="auto" w:sz="4" w:space="0"/>
              <w:left w:val="nil"/>
              <w:bottom w:val="single" w:color="auto" w:sz="4" w:space="0"/>
              <w:right w:val="single" w:color="auto" w:sz="4" w:space="0"/>
            </w:tcBorders>
            <w:vAlign w:val="center"/>
          </w:tcPr>
          <w:p w14:paraId="39D32C6E">
            <w:pPr>
              <w:adjustRightInd w:val="0"/>
              <w:snapToGrid w:val="0"/>
              <w:jc w:val="left"/>
              <w:rPr>
                <w:rFonts w:ascii="Times New Roman" w:hAnsi="Times New Roman" w:cs="Times New Roman"/>
                <w:szCs w:val="21"/>
              </w:rPr>
            </w:pPr>
            <w:r>
              <w:rPr>
                <w:rFonts w:ascii="Times New Roman" w:hAnsi="Times New Roman" w:cs="Times New Roman"/>
                <w:szCs w:val="21"/>
              </w:rPr>
              <w:t>鼓励VOCs的回收利用，并优先鼓励在生产系统内回用。</w:t>
            </w:r>
          </w:p>
        </w:tc>
        <w:tc>
          <w:tcPr>
            <w:tcW w:w="1091" w:type="pct"/>
            <w:vMerge w:val="restart"/>
            <w:tcBorders>
              <w:top w:val="single" w:color="auto" w:sz="4" w:space="0"/>
              <w:left w:val="nil"/>
              <w:right w:val="single" w:color="auto" w:sz="4" w:space="0"/>
            </w:tcBorders>
            <w:vAlign w:val="center"/>
          </w:tcPr>
          <w:p w14:paraId="755C46EF">
            <w:pPr>
              <w:adjustRightInd w:val="0"/>
              <w:snapToGrid w:val="0"/>
              <w:jc w:val="left"/>
              <w:rPr>
                <w:rFonts w:ascii="Times New Roman" w:hAnsi="Times New Roman" w:cs="Times New Roman"/>
                <w:szCs w:val="21"/>
              </w:rPr>
            </w:pPr>
            <w:r>
              <w:rPr>
                <w:rFonts w:ascii="Times New Roman" w:hAnsi="Times New Roman" w:cs="Times New Roman"/>
                <w:szCs w:val="21"/>
              </w:rPr>
              <w:t>拟建项目设有BOG回收系统，符合技术政策要求。</w:t>
            </w:r>
          </w:p>
        </w:tc>
      </w:tr>
      <w:tr w14:paraId="65E31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pct"/>
            <w:vMerge w:val="continue"/>
            <w:tcBorders>
              <w:left w:val="single" w:color="auto" w:sz="4" w:space="0"/>
              <w:bottom w:val="single" w:color="auto" w:sz="4" w:space="0"/>
              <w:right w:val="single" w:color="auto" w:sz="4" w:space="0"/>
            </w:tcBorders>
            <w:vAlign w:val="center"/>
          </w:tcPr>
          <w:p w14:paraId="36C625C3">
            <w:pPr>
              <w:adjustRightInd w:val="0"/>
              <w:snapToGrid w:val="0"/>
              <w:jc w:val="center"/>
              <w:rPr>
                <w:rFonts w:ascii="Times New Roman" w:hAnsi="Times New Roman" w:cs="Times New Roman"/>
                <w:szCs w:val="21"/>
              </w:rPr>
            </w:pPr>
          </w:p>
        </w:tc>
        <w:tc>
          <w:tcPr>
            <w:tcW w:w="3121" w:type="pct"/>
            <w:tcBorders>
              <w:top w:val="single" w:color="auto" w:sz="4" w:space="0"/>
              <w:left w:val="nil"/>
              <w:bottom w:val="single" w:color="auto" w:sz="4" w:space="0"/>
              <w:right w:val="single" w:color="auto" w:sz="4" w:space="0"/>
            </w:tcBorders>
            <w:vAlign w:val="center"/>
          </w:tcPr>
          <w:p w14:paraId="6AA36F25">
            <w:pPr>
              <w:adjustRightInd w:val="0"/>
              <w:snapToGrid w:val="0"/>
              <w:jc w:val="left"/>
              <w:rPr>
                <w:rFonts w:ascii="Times New Roman" w:hAnsi="Times New Roman" w:cs="Times New Roman"/>
                <w:szCs w:val="21"/>
              </w:rPr>
            </w:pPr>
            <w:r>
              <w:rPr>
                <w:rFonts w:ascii="Times New Roman" w:hAnsi="Times New Roman" w:cs="Times New Roman"/>
                <w:szCs w:val="21"/>
              </w:rPr>
              <w:t>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1091" w:type="pct"/>
            <w:vMerge w:val="continue"/>
            <w:tcBorders>
              <w:left w:val="nil"/>
              <w:bottom w:val="single" w:color="auto" w:sz="4" w:space="0"/>
              <w:right w:val="single" w:color="auto" w:sz="4" w:space="0"/>
            </w:tcBorders>
            <w:vAlign w:val="center"/>
          </w:tcPr>
          <w:p w14:paraId="1AEBDF52">
            <w:pPr>
              <w:adjustRightInd w:val="0"/>
              <w:snapToGrid w:val="0"/>
              <w:jc w:val="center"/>
              <w:rPr>
                <w:rFonts w:ascii="Times New Roman" w:hAnsi="Times New Roman" w:cs="Times New Roman"/>
                <w:szCs w:val="21"/>
              </w:rPr>
            </w:pPr>
          </w:p>
        </w:tc>
      </w:tr>
    </w:tbl>
    <w:p w14:paraId="52FAE671">
      <w:pPr>
        <w:adjustRightInd w:val="0"/>
        <w:snapToGrid w:val="0"/>
        <w:spacing w:line="480" w:lineRule="exact"/>
        <w:jc w:val="center"/>
        <w:rPr>
          <w:rFonts w:ascii="Times New Roman" w:hAnsi="Times New Roman" w:cs="Times New Roman"/>
          <w:b/>
          <w:sz w:val="24"/>
          <w:szCs w:val="20"/>
          <w:lang w:val="zh-CN"/>
        </w:rPr>
      </w:pPr>
      <w:r>
        <w:rPr>
          <w:rFonts w:ascii="Times New Roman" w:hAnsi="Times New Roman" w:cs="Times New Roman"/>
          <w:b/>
          <w:sz w:val="24"/>
          <w:szCs w:val="20"/>
          <w:lang w:val="zh-CN"/>
        </w:rPr>
        <w:t>表1.</w:t>
      </w:r>
      <w:r>
        <w:rPr>
          <w:rFonts w:ascii="Times New Roman" w:hAnsi="Times New Roman" w:cs="Times New Roman"/>
          <w:b/>
          <w:sz w:val="24"/>
          <w:szCs w:val="20"/>
        </w:rPr>
        <w:t>1</w:t>
      </w:r>
      <w:r>
        <w:rPr>
          <w:rFonts w:hint="eastAsia" w:ascii="Times New Roman" w:hAnsi="Times New Roman" w:cs="Times New Roman"/>
          <w:b/>
          <w:sz w:val="24"/>
          <w:szCs w:val="20"/>
        </w:rPr>
        <w:t>1</w:t>
      </w:r>
      <w:r>
        <w:rPr>
          <w:rFonts w:ascii="Times New Roman" w:hAnsi="Times New Roman" w:cs="Times New Roman"/>
          <w:b/>
          <w:sz w:val="24"/>
          <w:szCs w:val="20"/>
        </w:rPr>
        <w:t>-</w:t>
      </w:r>
      <w:r>
        <w:rPr>
          <w:rFonts w:ascii="Times New Roman" w:hAnsi="Times New Roman" w:cs="Times New Roman"/>
          <w:b/>
          <w:sz w:val="24"/>
          <w:szCs w:val="20"/>
          <w:lang w:val="zh-CN"/>
        </w:rPr>
        <w:t>1  与重庆市“十三五”挥发性有机物污染防治工作方案的符合性</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3486"/>
        <w:gridCol w:w="3811"/>
        <w:gridCol w:w="848"/>
      </w:tblGrid>
      <w:tr w14:paraId="3C0B7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pct"/>
            <w:tcBorders>
              <w:top w:val="single" w:color="auto" w:sz="4" w:space="0"/>
              <w:left w:val="single" w:color="auto" w:sz="4" w:space="0"/>
              <w:bottom w:val="single" w:color="auto" w:sz="4" w:space="0"/>
              <w:right w:val="single" w:color="auto" w:sz="4" w:space="0"/>
            </w:tcBorders>
            <w:vAlign w:val="center"/>
          </w:tcPr>
          <w:p w14:paraId="7E674EA5">
            <w:pPr>
              <w:adjustRightInd w:val="0"/>
              <w:snapToGrid w:val="0"/>
              <w:jc w:val="center"/>
              <w:rPr>
                <w:rFonts w:ascii="Times New Roman" w:hAnsi="Times New Roman" w:cs="Times New Roman"/>
                <w:szCs w:val="21"/>
              </w:rPr>
            </w:pPr>
            <w:r>
              <w:rPr>
                <w:rFonts w:ascii="Times New Roman" w:hAnsi="Times New Roman" w:cs="Times New Roman"/>
                <w:szCs w:val="21"/>
              </w:rPr>
              <w:t>序号</w:t>
            </w:r>
          </w:p>
        </w:tc>
        <w:tc>
          <w:tcPr>
            <w:tcW w:w="1924" w:type="pct"/>
            <w:tcBorders>
              <w:top w:val="single" w:color="auto" w:sz="4" w:space="0"/>
              <w:left w:val="nil"/>
              <w:bottom w:val="single" w:color="auto" w:sz="4" w:space="0"/>
              <w:right w:val="single" w:color="auto" w:sz="4" w:space="0"/>
            </w:tcBorders>
            <w:vAlign w:val="center"/>
          </w:tcPr>
          <w:p w14:paraId="5C4108B9">
            <w:pPr>
              <w:adjustRightInd w:val="0"/>
              <w:snapToGrid w:val="0"/>
              <w:jc w:val="center"/>
              <w:rPr>
                <w:rFonts w:ascii="Times New Roman" w:hAnsi="Times New Roman" w:cs="Times New Roman"/>
                <w:szCs w:val="21"/>
              </w:rPr>
            </w:pPr>
            <w:r>
              <w:rPr>
                <w:rFonts w:ascii="Times New Roman" w:hAnsi="Times New Roman" w:cs="Times New Roman"/>
                <w:szCs w:val="21"/>
              </w:rPr>
              <w:t>相关要求</w:t>
            </w:r>
          </w:p>
        </w:tc>
        <w:tc>
          <w:tcPr>
            <w:tcW w:w="2103" w:type="pct"/>
            <w:tcBorders>
              <w:top w:val="single" w:color="auto" w:sz="4" w:space="0"/>
              <w:left w:val="nil"/>
              <w:bottom w:val="single" w:color="auto" w:sz="4" w:space="0"/>
              <w:right w:val="single" w:color="auto" w:sz="4" w:space="0"/>
            </w:tcBorders>
            <w:vAlign w:val="center"/>
          </w:tcPr>
          <w:p w14:paraId="45F899EB">
            <w:pPr>
              <w:adjustRightInd w:val="0"/>
              <w:snapToGrid w:val="0"/>
              <w:jc w:val="center"/>
              <w:rPr>
                <w:rFonts w:ascii="Times New Roman" w:hAnsi="Times New Roman" w:cs="Times New Roman"/>
                <w:szCs w:val="21"/>
              </w:rPr>
            </w:pPr>
            <w:r>
              <w:rPr>
                <w:rFonts w:ascii="Times New Roman" w:hAnsi="Times New Roman" w:cs="Times New Roman"/>
                <w:szCs w:val="21"/>
              </w:rPr>
              <w:t>拟建项目情况</w:t>
            </w:r>
          </w:p>
        </w:tc>
        <w:tc>
          <w:tcPr>
            <w:tcW w:w="468" w:type="pct"/>
            <w:tcBorders>
              <w:top w:val="single" w:color="auto" w:sz="4" w:space="0"/>
              <w:left w:val="nil"/>
              <w:bottom w:val="single" w:color="auto" w:sz="4" w:space="0"/>
              <w:right w:val="single" w:color="auto" w:sz="4" w:space="0"/>
            </w:tcBorders>
            <w:vAlign w:val="center"/>
          </w:tcPr>
          <w:p w14:paraId="6D3597BF">
            <w:pPr>
              <w:adjustRightInd w:val="0"/>
              <w:snapToGrid w:val="0"/>
              <w:jc w:val="center"/>
              <w:rPr>
                <w:rFonts w:ascii="Times New Roman" w:hAnsi="Times New Roman" w:cs="Times New Roman"/>
                <w:szCs w:val="21"/>
              </w:rPr>
            </w:pPr>
            <w:r>
              <w:rPr>
                <w:rFonts w:ascii="Times New Roman" w:hAnsi="Times New Roman" w:cs="Times New Roman"/>
                <w:szCs w:val="21"/>
              </w:rPr>
              <w:t>符合性</w:t>
            </w:r>
          </w:p>
        </w:tc>
      </w:tr>
      <w:tr w14:paraId="0B28F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pct"/>
            <w:tcBorders>
              <w:top w:val="single" w:color="auto" w:sz="4" w:space="0"/>
              <w:left w:val="single" w:color="auto" w:sz="4" w:space="0"/>
              <w:bottom w:val="single" w:color="auto" w:sz="4" w:space="0"/>
              <w:right w:val="single" w:color="auto" w:sz="4" w:space="0"/>
            </w:tcBorders>
            <w:vAlign w:val="center"/>
          </w:tcPr>
          <w:p w14:paraId="1DDE1674">
            <w:pPr>
              <w:adjustRightInd w:val="0"/>
              <w:snapToGrid w:val="0"/>
              <w:jc w:val="center"/>
              <w:rPr>
                <w:rFonts w:ascii="Times New Roman" w:hAnsi="Times New Roman" w:cs="Times New Roman"/>
                <w:szCs w:val="21"/>
              </w:rPr>
            </w:pPr>
            <w:r>
              <w:rPr>
                <w:rFonts w:ascii="Times New Roman" w:hAnsi="Times New Roman" w:cs="Times New Roman"/>
                <w:szCs w:val="21"/>
              </w:rPr>
              <w:t>1</w:t>
            </w:r>
          </w:p>
        </w:tc>
        <w:tc>
          <w:tcPr>
            <w:tcW w:w="1924" w:type="pct"/>
            <w:tcBorders>
              <w:top w:val="single" w:color="auto" w:sz="4" w:space="0"/>
              <w:left w:val="nil"/>
              <w:bottom w:val="single" w:color="auto" w:sz="4" w:space="0"/>
              <w:right w:val="single" w:color="auto" w:sz="4" w:space="0"/>
            </w:tcBorders>
            <w:vAlign w:val="center"/>
          </w:tcPr>
          <w:p w14:paraId="6C101364">
            <w:pPr>
              <w:adjustRightInd w:val="0"/>
              <w:snapToGrid w:val="0"/>
              <w:jc w:val="left"/>
              <w:rPr>
                <w:rFonts w:ascii="Times New Roman" w:hAnsi="Times New Roman" w:cs="Times New Roman"/>
                <w:szCs w:val="21"/>
              </w:rPr>
            </w:pPr>
            <w:r>
              <w:rPr>
                <w:rFonts w:ascii="Times New Roman" w:hAnsi="Times New Roman" w:cs="Times New Roman"/>
                <w:szCs w:val="21"/>
              </w:rPr>
              <w:t>新建、改建、扩建涉VOCs排放的项目，要加强源头控制，使用低（无）VOCs含量的原辅料，加强废气收集，安装高效治理设施</w:t>
            </w:r>
          </w:p>
        </w:tc>
        <w:tc>
          <w:tcPr>
            <w:tcW w:w="2103" w:type="pct"/>
            <w:tcBorders>
              <w:top w:val="single" w:color="auto" w:sz="4" w:space="0"/>
              <w:left w:val="nil"/>
              <w:bottom w:val="single" w:color="auto" w:sz="4" w:space="0"/>
              <w:right w:val="single" w:color="auto" w:sz="4" w:space="0"/>
            </w:tcBorders>
            <w:vAlign w:val="center"/>
          </w:tcPr>
          <w:p w14:paraId="3FC4C675">
            <w:pPr>
              <w:adjustRightInd w:val="0"/>
              <w:snapToGrid w:val="0"/>
              <w:jc w:val="left"/>
              <w:rPr>
                <w:rFonts w:ascii="Times New Roman" w:hAnsi="Times New Roman" w:cs="Times New Roman"/>
                <w:szCs w:val="21"/>
              </w:rPr>
            </w:pPr>
            <w:r>
              <w:rPr>
                <w:rFonts w:ascii="Times New Roman" w:hAnsi="Times New Roman" w:cs="Times New Roman"/>
              </w:rPr>
              <w:t>拟建项目为密闭工艺</w:t>
            </w:r>
            <w:r>
              <w:rPr>
                <w:rFonts w:ascii="Times New Roman" w:hAnsi="Times New Roman" w:cs="Times New Roman"/>
                <w:szCs w:val="21"/>
              </w:rPr>
              <w:t>，设有BOG回收系统</w:t>
            </w:r>
          </w:p>
        </w:tc>
        <w:tc>
          <w:tcPr>
            <w:tcW w:w="468" w:type="pct"/>
            <w:tcBorders>
              <w:top w:val="single" w:color="auto" w:sz="4" w:space="0"/>
              <w:left w:val="nil"/>
              <w:bottom w:val="single" w:color="auto" w:sz="4" w:space="0"/>
              <w:right w:val="single" w:color="auto" w:sz="4" w:space="0"/>
            </w:tcBorders>
            <w:vAlign w:val="center"/>
          </w:tcPr>
          <w:p w14:paraId="7AFE5C54">
            <w:pPr>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14:paraId="27E22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pct"/>
            <w:tcBorders>
              <w:top w:val="single" w:color="auto" w:sz="4" w:space="0"/>
              <w:left w:val="single" w:color="auto" w:sz="4" w:space="0"/>
              <w:bottom w:val="single" w:color="auto" w:sz="4" w:space="0"/>
              <w:right w:val="single" w:color="auto" w:sz="4" w:space="0"/>
            </w:tcBorders>
            <w:vAlign w:val="center"/>
          </w:tcPr>
          <w:p w14:paraId="3E7CC8A0">
            <w:pPr>
              <w:adjustRightInd w:val="0"/>
              <w:snapToGrid w:val="0"/>
              <w:jc w:val="center"/>
              <w:rPr>
                <w:rFonts w:ascii="Times New Roman" w:hAnsi="Times New Roman" w:cs="Times New Roman"/>
                <w:szCs w:val="21"/>
              </w:rPr>
            </w:pPr>
            <w:r>
              <w:rPr>
                <w:rFonts w:ascii="Times New Roman" w:hAnsi="Times New Roman" w:cs="Times New Roman"/>
                <w:szCs w:val="21"/>
              </w:rPr>
              <w:t>2</w:t>
            </w:r>
          </w:p>
        </w:tc>
        <w:tc>
          <w:tcPr>
            <w:tcW w:w="1924" w:type="pct"/>
            <w:tcBorders>
              <w:top w:val="single" w:color="auto" w:sz="4" w:space="0"/>
              <w:left w:val="nil"/>
              <w:bottom w:val="single" w:color="auto" w:sz="4" w:space="0"/>
              <w:right w:val="single" w:color="auto" w:sz="4" w:space="0"/>
            </w:tcBorders>
            <w:vAlign w:val="center"/>
          </w:tcPr>
          <w:p w14:paraId="54296D81">
            <w:pPr>
              <w:adjustRightInd w:val="0"/>
              <w:snapToGrid w:val="0"/>
              <w:jc w:val="left"/>
              <w:rPr>
                <w:rFonts w:ascii="Times New Roman" w:hAnsi="Times New Roman" w:cs="Times New Roman"/>
                <w:szCs w:val="21"/>
              </w:rPr>
            </w:pPr>
            <w:r>
              <w:rPr>
                <w:rFonts w:ascii="Times New Roman" w:hAnsi="Times New Roman" w:cs="Times New Roman"/>
                <w:szCs w:val="21"/>
              </w:rPr>
              <w:t>重点区域要实行VOCs排放等量或倍量削减替代，并将替代方案落实到企业排污许可证中，纳入环境执法管理。新建涉VOCs排放的工业企业要入园区</w:t>
            </w:r>
          </w:p>
        </w:tc>
        <w:tc>
          <w:tcPr>
            <w:tcW w:w="2103" w:type="pct"/>
            <w:tcBorders>
              <w:top w:val="single" w:color="auto" w:sz="4" w:space="0"/>
              <w:left w:val="nil"/>
              <w:bottom w:val="single" w:color="auto" w:sz="4" w:space="0"/>
              <w:right w:val="single" w:color="auto" w:sz="4" w:space="0"/>
            </w:tcBorders>
            <w:vAlign w:val="center"/>
          </w:tcPr>
          <w:p w14:paraId="545ABD5C">
            <w:pPr>
              <w:adjustRightInd w:val="0"/>
              <w:snapToGrid w:val="0"/>
              <w:jc w:val="left"/>
              <w:rPr>
                <w:rFonts w:ascii="Times New Roman" w:hAnsi="Times New Roman" w:cs="Times New Roman"/>
                <w:szCs w:val="21"/>
              </w:rPr>
            </w:pPr>
            <w:r>
              <w:rPr>
                <w:rFonts w:ascii="Times New Roman" w:hAnsi="Times New Roman" w:cs="Times New Roman"/>
              </w:rPr>
              <w:t>拟建项目不在重点区域，位于</w:t>
            </w:r>
            <w:r>
              <w:rPr>
                <w:rFonts w:hint="eastAsia" w:ascii="Times New Roman" w:hAnsi="Times New Roman" w:cs="Times New Roman"/>
              </w:rPr>
              <w:t>白涛工业园去</w:t>
            </w:r>
          </w:p>
        </w:tc>
        <w:tc>
          <w:tcPr>
            <w:tcW w:w="468" w:type="pct"/>
            <w:tcBorders>
              <w:top w:val="single" w:color="auto" w:sz="4" w:space="0"/>
              <w:left w:val="nil"/>
              <w:bottom w:val="single" w:color="auto" w:sz="4" w:space="0"/>
              <w:right w:val="single" w:color="auto" w:sz="4" w:space="0"/>
            </w:tcBorders>
            <w:vAlign w:val="center"/>
          </w:tcPr>
          <w:p w14:paraId="381F67E9">
            <w:pPr>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14:paraId="008FE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pct"/>
            <w:tcBorders>
              <w:top w:val="single" w:color="auto" w:sz="4" w:space="0"/>
              <w:left w:val="single" w:color="auto" w:sz="4" w:space="0"/>
              <w:bottom w:val="single" w:color="auto" w:sz="4" w:space="0"/>
              <w:right w:val="single" w:color="auto" w:sz="4" w:space="0"/>
            </w:tcBorders>
            <w:vAlign w:val="center"/>
          </w:tcPr>
          <w:p w14:paraId="2A308623">
            <w:pPr>
              <w:adjustRightInd w:val="0"/>
              <w:snapToGrid w:val="0"/>
              <w:jc w:val="center"/>
              <w:rPr>
                <w:rFonts w:ascii="Times New Roman" w:hAnsi="Times New Roman" w:cs="Times New Roman"/>
                <w:szCs w:val="21"/>
              </w:rPr>
            </w:pPr>
            <w:r>
              <w:rPr>
                <w:rFonts w:ascii="Times New Roman" w:hAnsi="Times New Roman" w:cs="Times New Roman"/>
                <w:szCs w:val="21"/>
              </w:rPr>
              <w:t>3</w:t>
            </w:r>
          </w:p>
        </w:tc>
        <w:tc>
          <w:tcPr>
            <w:tcW w:w="1924" w:type="pct"/>
            <w:tcBorders>
              <w:top w:val="single" w:color="auto" w:sz="4" w:space="0"/>
              <w:left w:val="nil"/>
              <w:bottom w:val="single" w:color="auto" w:sz="4" w:space="0"/>
              <w:right w:val="single" w:color="auto" w:sz="4" w:space="0"/>
            </w:tcBorders>
            <w:vAlign w:val="center"/>
          </w:tcPr>
          <w:p w14:paraId="2296ABBB">
            <w:pPr>
              <w:adjustRightInd w:val="0"/>
              <w:snapToGrid w:val="0"/>
              <w:jc w:val="left"/>
              <w:rPr>
                <w:rFonts w:ascii="Times New Roman" w:hAnsi="Times New Roman" w:cs="Times New Roman"/>
                <w:szCs w:val="21"/>
              </w:rPr>
            </w:pPr>
            <w:r>
              <w:rPr>
                <w:rFonts w:ascii="Times New Roman" w:hAnsi="Times New Roman" w:cs="Times New Roman"/>
                <w:szCs w:val="21"/>
              </w:rPr>
              <w:t>2020年底前，重点区域要严格限制石油化工、有机化工、包装印刷、工业涂装等四大行业核准、备案、审批新建和扩大产能的涉高VOCs排放建设项</w:t>
            </w:r>
          </w:p>
        </w:tc>
        <w:tc>
          <w:tcPr>
            <w:tcW w:w="2103" w:type="pct"/>
            <w:tcBorders>
              <w:top w:val="single" w:color="auto" w:sz="4" w:space="0"/>
              <w:left w:val="nil"/>
              <w:bottom w:val="single" w:color="auto" w:sz="4" w:space="0"/>
              <w:right w:val="single" w:color="auto" w:sz="4" w:space="0"/>
            </w:tcBorders>
            <w:vAlign w:val="center"/>
          </w:tcPr>
          <w:p w14:paraId="0946F58F">
            <w:pPr>
              <w:adjustRightInd w:val="0"/>
              <w:snapToGrid w:val="0"/>
              <w:jc w:val="left"/>
              <w:rPr>
                <w:rFonts w:ascii="Times New Roman" w:hAnsi="Times New Roman" w:cs="Times New Roman"/>
                <w:szCs w:val="21"/>
              </w:rPr>
            </w:pPr>
            <w:r>
              <w:rPr>
                <w:rFonts w:ascii="Times New Roman" w:hAnsi="Times New Roman" w:cs="Times New Roman"/>
              </w:rPr>
              <w:t>拟建项目不在重点区域，</w:t>
            </w:r>
            <w:r>
              <w:rPr>
                <w:rFonts w:ascii="Times New Roman" w:hAnsi="Times New Roman" w:cs="Times New Roman"/>
                <w:szCs w:val="21"/>
              </w:rPr>
              <w:t>不属于涉高VOCs排放建设项目</w:t>
            </w:r>
          </w:p>
        </w:tc>
        <w:tc>
          <w:tcPr>
            <w:tcW w:w="468" w:type="pct"/>
            <w:tcBorders>
              <w:top w:val="single" w:color="auto" w:sz="4" w:space="0"/>
              <w:left w:val="nil"/>
              <w:bottom w:val="single" w:color="auto" w:sz="4" w:space="0"/>
              <w:right w:val="single" w:color="auto" w:sz="4" w:space="0"/>
            </w:tcBorders>
            <w:vAlign w:val="center"/>
          </w:tcPr>
          <w:p w14:paraId="02473383">
            <w:pPr>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14:paraId="66453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pct"/>
            <w:tcBorders>
              <w:top w:val="single" w:color="auto" w:sz="4" w:space="0"/>
              <w:left w:val="single" w:color="auto" w:sz="4" w:space="0"/>
              <w:bottom w:val="single" w:color="auto" w:sz="4" w:space="0"/>
              <w:right w:val="single" w:color="auto" w:sz="4" w:space="0"/>
            </w:tcBorders>
            <w:vAlign w:val="center"/>
          </w:tcPr>
          <w:p w14:paraId="2B225C88">
            <w:pPr>
              <w:adjustRightInd w:val="0"/>
              <w:snapToGrid w:val="0"/>
              <w:jc w:val="center"/>
              <w:rPr>
                <w:rFonts w:ascii="Times New Roman" w:hAnsi="Times New Roman" w:cs="Times New Roman"/>
                <w:szCs w:val="21"/>
              </w:rPr>
            </w:pPr>
            <w:r>
              <w:rPr>
                <w:rFonts w:ascii="Times New Roman" w:hAnsi="Times New Roman" w:cs="Times New Roman"/>
                <w:szCs w:val="21"/>
              </w:rPr>
              <w:t>4</w:t>
            </w:r>
          </w:p>
        </w:tc>
        <w:tc>
          <w:tcPr>
            <w:tcW w:w="1924" w:type="pct"/>
            <w:tcBorders>
              <w:top w:val="single" w:color="auto" w:sz="4" w:space="0"/>
              <w:left w:val="nil"/>
              <w:bottom w:val="single" w:color="auto" w:sz="4" w:space="0"/>
              <w:right w:val="single" w:color="auto" w:sz="4" w:space="0"/>
            </w:tcBorders>
            <w:vAlign w:val="center"/>
          </w:tcPr>
          <w:p w14:paraId="604494F5">
            <w:pPr>
              <w:adjustRightInd w:val="0"/>
              <w:snapToGrid w:val="0"/>
              <w:jc w:val="left"/>
              <w:rPr>
                <w:rFonts w:ascii="Times New Roman" w:hAnsi="Times New Roman" w:cs="Times New Roman"/>
                <w:szCs w:val="21"/>
              </w:rPr>
            </w:pPr>
            <w:r>
              <w:rPr>
                <w:rFonts w:ascii="Times New Roman" w:hAnsi="Times New Roman" w:cs="Times New Roman"/>
                <w:szCs w:val="21"/>
              </w:rPr>
              <w:t>鼓励推广使用高固体分、粉末涂料和水性涂料。积极采用自动喷涂静电喷涂等先进涂装技术，加强有机废气收集与治理，有机废气收集率不低于90%，建设吸附燃烧等高效治理设施，实现达标排放。</w:t>
            </w:r>
          </w:p>
        </w:tc>
        <w:tc>
          <w:tcPr>
            <w:tcW w:w="2103" w:type="pct"/>
            <w:tcBorders>
              <w:top w:val="single" w:color="auto" w:sz="4" w:space="0"/>
              <w:left w:val="nil"/>
              <w:bottom w:val="single" w:color="auto" w:sz="4" w:space="0"/>
              <w:right w:val="single" w:color="auto" w:sz="4" w:space="0"/>
            </w:tcBorders>
            <w:vAlign w:val="center"/>
          </w:tcPr>
          <w:p w14:paraId="4213539B">
            <w:pPr>
              <w:adjustRightInd w:val="0"/>
              <w:snapToGrid w:val="0"/>
              <w:jc w:val="left"/>
              <w:rPr>
                <w:rFonts w:ascii="Times New Roman" w:hAnsi="Times New Roman" w:cs="Times New Roman"/>
                <w:szCs w:val="21"/>
              </w:rPr>
            </w:pPr>
            <w:r>
              <w:rPr>
                <w:rFonts w:ascii="Times New Roman" w:hAnsi="Times New Roman" w:cs="Times New Roman"/>
                <w:szCs w:val="21"/>
              </w:rPr>
              <w:t>拟建项目不使用涂料，不涉及涂装生产线。</w:t>
            </w:r>
            <w:r>
              <w:rPr>
                <w:rFonts w:ascii="Times New Roman" w:hAnsi="Times New Roman" w:cs="Times New Roman"/>
              </w:rPr>
              <w:t>拟建项目为密闭工艺</w:t>
            </w:r>
            <w:r>
              <w:rPr>
                <w:rFonts w:ascii="Times New Roman" w:hAnsi="Times New Roman" w:cs="Times New Roman"/>
                <w:szCs w:val="21"/>
              </w:rPr>
              <w:t>，设有BOG回收系统</w:t>
            </w:r>
          </w:p>
        </w:tc>
        <w:tc>
          <w:tcPr>
            <w:tcW w:w="468" w:type="pct"/>
            <w:tcBorders>
              <w:top w:val="single" w:color="auto" w:sz="4" w:space="0"/>
              <w:left w:val="nil"/>
              <w:bottom w:val="single" w:color="auto" w:sz="4" w:space="0"/>
              <w:right w:val="single" w:color="auto" w:sz="4" w:space="0"/>
            </w:tcBorders>
            <w:vAlign w:val="center"/>
          </w:tcPr>
          <w:p w14:paraId="7A7B464F">
            <w:pPr>
              <w:adjustRightInd w:val="0"/>
              <w:snapToGrid w:val="0"/>
              <w:jc w:val="center"/>
              <w:rPr>
                <w:rFonts w:ascii="Times New Roman" w:hAnsi="Times New Roman" w:cs="Times New Roman"/>
                <w:szCs w:val="21"/>
              </w:rPr>
            </w:pPr>
            <w:r>
              <w:rPr>
                <w:rFonts w:ascii="Times New Roman" w:hAnsi="Times New Roman" w:cs="Times New Roman"/>
                <w:szCs w:val="21"/>
              </w:rPr>
              <w:t>符合</w:t>
            </w:r>
          </w:p>
        </w:tc>
      </w:tr>
    </w:tbl>
    <w:p w14:paraId="0996AD7F">
      <w:pPr>
        <w:pStyle w:val="76"/>
        <w:jc w:val="center"/>
        <w:outlineLvl w:val="0"/>
        <w:rPr>
          <w:rFonts w:ascii="Times New Roman" w:hAnsi="Times New Roman" w:eastAsia="黑体" w:cs="Times New Roman"/>
          <w:snapToGrid w:val="0"/>
          <w:sz w:val="30"/>
          <w:szCs w:val="30"/>
        </w:rPr>
      </w:pPr>
      <w:r>
        <w:rPr>
          <w:rFonts w:ascii="Times New Roman" w:hAnsi="Times New Roman" w:eastAsia="黑体" w:cs="Times New Roman"/>
          <w:snapToGrid w:val="0"/>
          <w:sz w:val="30"/>
          <w:szCs w:val="30"/>
        </w:rPr>
        <w:br w:type="page"/>
      </w:r>
      <w:r>
        <w:rPr>
          <w:rFonts w:ascii="Times New Roman" w:hAnsi="Times New Roman" w:eastAsia="黑体" w:cs="Times New Roman"/>
          <w:snapToGrid w:val="0"/>
          <w:sz w:val="30"/>
          <w:szCs w:val="30"/>
        </w:rPr>
        <w:t>二、建设项目工程分析</w:t>
      </w:r>
    </w:p>
    <w:tbl>
      <w:tblPr>
        <w:tblStyle w:val="81"/>
        <w:tblW w:w="91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434"/>
      </w:tblGrid>
      <w:tr w14:paraId="72D15E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426" w:type="dxa"/>
            <w:vAlign w:val="center"/>
          </w:tcPr>
          <w:p w14:paraId="748AA16C">
            <w:pPr>
              <w:pStyle w:val="76"/>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建设内容</w:t>
            </w:r>
          </w:p>
        </w:tc>
        <w:tc>
          <w:tcPr>
            <w:tcW w:w="8712" w:type="dxa"/>
          </w:tcPr>
          <w:p w14:paraId="055FA699">
            <w:pPr>
              <w:spacing w:line="360" w:lineRule="auto"/>
              <w:outlineLvl w:val="2"/>
              <w:rPr>
                <w:rFonts w:ascii="Times New Roman" w:hAnsi="Times New Roman" w:cs="Times New Roman"/>
                <w:b/>
                <w:sz w:val="24"/>
              </w:rPr>
            </w:pPr>
            <w:r>
              <w:rPr>
                <w:rFonts w:ascii="Times New Roman" w:hAnsi="Times New Roman" w:cs="Times New Roman"/>
                <w:b/>
                <w:sz w:val="24"/>
              </w:rPr>
              <w:t>2.1.1项目由来</w:t>
            </w:r>
          </w:p>
          <w:p w14:paraId="4186E086">
            <w:pPr>
              <w:widowControl/>
              <w:adjustRightInd w:val="0"/>
              <w:snapToGrid w:val="0"/>
              <w:spacing w:line="360" w:lineRule="auto"/>
              <w:ind w:firstLine="480" w:firstLineChars="200"/>
              <w:jc w:val="left"/>
              <w:rPr>
                <w:rFonts w:ascii="Times New Roman" w:hAnsi="Times New Roman" w:cs="Times New Roman"/>
                <w:sz w:val="24"/>
                <w:szCs w:val="21"/>
              </w:rPr>
            </w:pPr>
            <w:r>
              <w:rPr>
                <w:rFonts w:ascii="Times New Roman" w:hAnsi="Times New Roman" w:cs="Times New Roman"/>
                <w:sz w:val="24"/>
                <w:szCs w:val="21"/>
              </w:rPr>
              <w:t>重庆中石化通汇能源有限公司成立于</w:t>
            </w:r>
            <w:r>
              <w:rPr>
                <w:rFonts w:hint="eastAsia" w:ascii="Times New Roman" w:hAnsi="Times New Roman" w:cs="Times New Roman"/>
                <w:sz w:val="24"/>
                <w:szCs w:val="21"/>
              </w:rPr>
              <w:t>2014年3月</w:t>
            </w:r>
            <w:r>
              <w:rPr>
                <w:rFonts w:ascii="Times New Roman" w:hAnsi="Times New Roman" w:cs="Times New Roman"/>
                <w:sz w:val="24"/>
                <w:szCs w:val="21"/>
              </w:rPr>
              <w:t>，位于重庆市涪陵区白涛工业园区石化大道1号，厂区</w:t>
            </w:r>
            <w:r>
              <w:rPr>
                <w:rFonts w:hint="eastAsia" w:ascii="Times New Roman" w:hAnsi="Times New Roman" w:cs="Times New Roman"/>
                <w:bCs/>
                <w:sz w:val="24"/>
              </w:rPr>
              <w:t>总</w:t>
            </w:r>
            <w:r>
              <w:rPr>
                <w:rFonts w:ascii="Times New Roman" w:hAnsi="Times New Roman" w:cs="Times New Roman"/>
                <w:bCs/>
                <w:sz w:val="24"/>
              </w:rPr>
              <w:t>占地</w:t>
            </w:r>
            <w:r>
              <w:rPr>
                <w:rFonts w:hint="eastAsia" w:ascii="Times New Roman" w:hAnsi="Times New Roman" w:cs="Times New Roman"/>
                <w:bCs/>
                <w:sz w:val="24"/>
              </w:rPr>
              <w:t>面积</w:t>
            </w:r>
            <w:r>
              <w:rPr>
                <w:rFonts w:ascii="Times New Roman" w:hAnsi="Times New Roman" w:cs="Times New Roman"/>
                <w:bCs/>
                <w:sz w:val="24"/>
              </w:rPr>
              <w:t>176910m</w:t>
            </w:r>
            <w:r>
              <w:rPr>
                <w:rFonts w:ascii="Times New Roman" w:hAnsi="Times New Roman" w:cs="Times New Roman"/>
                <w:bCs/>
                <w:sz w:val="24"/>
                <w:vertAlign w:val="superscript"/>
              </w:rPr>
              <w:t>2</w:t>
            </w:r>
            <w:r>
              <w:rPr>
                <w:rFonts w:ascii="Times New Roman" w:hAnsi="Times New Roman" w:cs="Times New Roman"/>
                <w:sz w:val="24"/>
                <w:szCs w:val="21"/>
              </w:rPr>
              <w:t>，主要从事</w:t>
            </w:r>
            <w:r>
              <w:rPr>
                <w:rFonts w:hint="eastAsia" w:ascii="Times New Roman" w:hAnsi="Times New Roman" w:cs="Times New Roman"/>
                <w:sz w:val="24"/>
                <w:szCs w:val="21"/>
              </w:rPr>
              <w:t>液化天然气生产</w:t>
            </w:r>
            <w:r>
              <w:rPr>
                <w:rFonts w:ascii="Times New Roman" w:hAnsi="Times New Roman" w:cs="Times New Roman"/>
                <w:sz w:val="24"/>
                <w:szCs w:val="21"/>
              </w:rPr>
              <w:t>。厂区内现已实施涪陵液化天然气（LNG）工厂项目一期工程，以页岩气为原料，制备液化天然气100万Nm</w:t>
            </w:r>
            <w:r>
              <w:rPr>
                <w:rFonts w:ascii="Times New Roman" w:hAnsi="Times New Roman" w:cs="Times New Roman"/>
                <w:sz w:val="24"/>
                <w:szCs w:val="21"/>
                <w:vertAlign w:val="superscript"/>
              </w:rPr>
              <w:t>3</w:t>
            </w:r>
            <w:r>
              <w:rPr>
                <w:rFonts w:ascii="Times New Roman" w:hAnsi="Times New Roman" w:cs="Times New Roman"/>
                <w:sz w:val="24"/>
                <w:szCs w:val="21"/>
              </w:rPr>
              <w:t>/d，预留二期工程建设用地。</w:t>
            </w:r>
          </w:p>
          <w:p w14:paraId="6E603D35">
            <w:pPr>
              <w:widowControl/>
              <w:adjustRightInd w:val="0"/>
              <w:snapToGrid w:val="0"/>
              <w:spacing w:line="360" w:lineRule="auto"/>
              <w:ind w:firstLine="480" w:firstLineChars="200"/>
              <w:jc w:val="left"/>
              <w:rPr>
                <w:rFonts w:ascii="Times New Roman" w:hAnsi="Times New Roman" w:cs="Times New Roman"/>
                <w:bCs/>
                <w:kern w:val="0"/>
                <w:sz w:val="24"/>
              </w:rPr>
            </w:pPr>
            <w:r>
              <w:rPr>
                <w:rFonts w:hint="eastAsia" w:ascii="Times New Roman" w:hAnsi="Times New Roman" w:cs="Times New Roman"/>
                <w:bCs/>
                <w:kern w:val="0"/>
                <w:sz w:val="24"/>
              </w:rPr>
              <w:t>2014年，重庆中石化通汇能源有限公司委托后勤工程学院环境保护科学研究所编制了《重庆中石化通汇能源有限公司涪陵液化天然气（LNG）工厂项目环境影响报告书》；2015年3月9日，重庆市涪陵区生态环境局以渝（涪）环准[2015]34号文对该项目下达了环境影响评价文件批准书。环评及批复的建设内容和规模为：厂区内占地174410m</w:t>
            </w:r>
            <w:r>
              <w:rPr>
                <w:rFonts w:hint="eastAsia" w:ascii="Times New Roman" w:hAnsi="Times New Roman" w:cs="Times New Roman"/>
                <w:bCs/>
                <w:kern w:val="0"/>
                <w:sz w:val="24"/>
                <w:vertAlign w:val="superscript"/>
              </w:rPr>
              <w:t>2</w:t>
            </w:r>
            <w:r>
              <w:rPr>
                <w:rFonts w:hint="eastAsia" w:ascii="Times New Roman" w:hAnsi="Times New Roman" w:cs="Times New Roman"/>
                <w:bCs/>
                <w:kern w:val="0"/>
                <w:sz w:val="24"/>
              </w:rPr>
              <w:t>，厂区外高架火炬占地2500m</w:t>
            </w:r>
            <w:r>
              <w:rPr>
                <w:rFonts w:hint="eastAsia" w:ascii="Times New Roman" w:hAnsi="Times New Roman" w:cs="Times New Roman"/>
                <w:bCs/>
                <w:kern w:val="0"/>
                <w:sz w:val="24"/>
                <w:vertAlign w:val="superscript"/>
              </w:rPr>
              <w:t>2</w:t>
            </w:r>
            <w:r>
              <w:rPr>
                <w:rFonts w:hint="eastAsia" w:ascii="Times New Roman" w:hAnsi="Times New Roman" w:cs="Times New Roman"/>
                <w:bCs/>
                <w:kern w:val="0"/>
                <w:sz w:val="24"/>
              </w:rPr>
              <w:t>。项目分二期建设，其中一期建设100万Nm</w:t>
            </w:r>
            <w:r>
              <w:rPr>
                <w:rFonts w:hint="eastAsia" w:ascii="Times New Roman" w:hAnsi="Times New Roman" w:cs="Times New Roman"/>
                <w:bCs/>
                <w:kern w:val="0"/>
                <w:sz w:val="24"/>
                <w:vertAlign w:val="superscript"/>
              </w:rPr>
              <w:t>3</w:t>
            </w:r>
            <w:r>
              <w:rPr>
                <w:rFonts w:hint="eastAsia" w:ascii="Times New Roman" w:hAnsi="Times New Roman" w:cs="Times New Roman"/>
                <w:bCs/>
                <w:kern w:val="0"/>
                <w:sz w:val="24"/>
              </w:rPr>
              <w:t>/d的天然气液化装置、10000m</w:t>
            </w:r>
            <w:r>
              <w:rPr>
                <w:rFonts w:hint="eastAsia" w:ascii="Times New Roman" w:hAnsi="Times New Roman" w:cs="Times New Roman"/>
                <w:bCs/>
                <w:kern w:val="0"/>
                <w:sz w:val="24"/>
                <w:vertAlign w:val="superscript"/>
              </w:rPr>
              <w:t>3</w:t>
            </w:r>
            <w:r>
              <w:rPr>
                <w:rFonts w:hint="eastAsia" w:ascii="Times New Roman" w:hAnsi="Times New Roman" w:cs="Times New Roman"/>
                <w:bCs/>
                <w:kern w:val="0"/>
                <w:sz w:val="24"/>
              </w:rPr>
              <w:t>液化天然气低温储罐、配套的公用工程、辅助设施和生产生活设施；预留二期100万Nm</w:t>
            </w:r>
            <w:r>
              <w:rPr>
                <w:rFonts w:hint="eastAsia" w:ascii="Times New Roman" w:hAnsi="Times New Roman" w:cs="Times New Roman"/>
                <w:bCs/>
                <w:kern w:val="0"/>
                <w:sz w:val="24"/>
                <w:vertAlign w:val="superscript"/>
              </w:rPr>
              <w:t>3</w:t>
            </w:r>
            <w:r>
              <w:rPr>
                <w:rFonts w:hint="eastAsia" w:ascii="Times New Roman" w:hAnsi="Times New Roman" w:cs="Times New Roman"/>
                <w:bCs/>
                <w:kern w:val="0"/>
                <w:sz w:val="24"/>
              </w:rPr>
              <w:t>/d天然气液化装置和液化天然气低温储罐用地。</w:t>
            </w:r>
          </w:p>
          <w:p w14:paraId="7D1913DC">
            <w:pPr>
              <w:widowControl/>
              <w:adjustRightInd w:val="0"/>
              <w:snapToGrid w:val="0"/>
              <w:spacing w:line="360" w:lineRule="auto"/>
              <w:ind w:firstLine="480" w:firstLineChars="200"/>
              <w:jc w:val="left"/>
              <w:rPr>
                <w:rFonts w:ascii="Times New Roman" w:hAnsi="Times New Roman" w:cs="Times New Roman"/>
                <w:kern w:val="0"/>
                <w:sz w:val="24"/>
              </w:rPr>
            </w:pPr>
            <w:r>
              <w:rPr>
                <w:rFonts w:ascii="Times New Roman" w:hAnsi="Times New Roman" w:cs="Times New Roman"/>
                <w:bCs/>
                <w:sz w:val="24"/>
              </w:rPr>
              <w:t>2016年1月，企业进行了环境保护设计备案，并取得了备案回执（渝（涪）环设备[2016]1号）；2018年3月</w:t>
            </w:r>
            <w:r>
              <w:rPr>
                <w:rFonts w:hint="eastAsia" w:ascii="Times New Roman" w:hAnsi="Times New Roman" w:cs="Times New Roman"/>
                <w:bCs/>
                <w:sz w:val="24"/>
              </w:rPr>
              <w:t>，该</w:t>
            </w:r>
            <w:r>
              <w:rPr>
                <w:rFonts w:ascii="Times New Roman" w:hAnsi="Times New Roman" w:cs="Times New Roman"/>
                <w:bCs/>
                <w:sz w:val="24"/>
              </w:rPr>
              <w:t>项目</w:t>
            </w:r>
            <w:r>
              <w:rPr>
                <w:rFonts w:hint="eastAsia" w:ascii="Times New Roman" w:hAnsi="Times New Roman" w:cs="Times New Roman"/>
                <w:bCs/>
                <w:sz w:val="24"/>
              </w:rPr>
              <w:t>一期工程建成并</w:t>
            </w:r>
            <w:r>
              <w:rPr>
                <w:rFonts w:ascii="Times New Roman" w:hAnsi="Times New Roman" w:cs="Times New Roman"/>
                <w:bCs/>
                <w:sz w:val="24"/>
              </w:rPr>
              <w:t>投入试生产；201</w:t>
            </w:r>
            <w:r>
              <w:rPr>
                <w:rFonts w:hint="eastAsia" w:ascii="Times New Roman" w:hAnsi="Times New Roman" w:cs="Times New Roman"/>
                <w:bCs/>
                <w:sz w:val="24"/>
              </w:rPr>
              <w:t>8</w:t>
            </w:r>
            <w:r>
              <w:rPr>
                <w:rFonts w:ascii="Times New Roman" w:hAnsi="Times New Roman" w:cs="Times New Roman"/>
                <w:bCs/>
                <w:sz w:val="24"/>
              </w:rPr>
              <w:t>年</w:t>
            </w:r>
            <w:r>
              <w:rPr>
                <w:rFonts w:hint="eastAsia" w:ascii="Times New Roman" w:hAnsi="Times New Roman" w:cs="Times New Roman"/>
                <w:bCs/>
                <w:sz w:val="24"/>
              </w:rPr>
              <w:t>4</w:t>
            </w:r>
            <w:r>
              <w:rPr>
                <w:rFonts w:ascii="Times New Roman" w:hAnsi="Times New Roman" w:cs="Times New Roman"/>
                <w:bCs/>
                <w:sz w:val="24"/>
              </w:rPr>
              <w:t>月，企业</w:t>
            </w:r>
            <w:r>
              <w:rPr>
                <w:rFonts w:hint="eastAsia" w:ascii="Times New Roman" w:hAnsi="Times New Roman" w:cs="Times New Roman"/>
                <w:bCs/>
                <w:sz w:val="24"/>
              </w:rPr>
              <w:t>开展自主竣工环境保护验收</w:t>
            </w:r>
            <w:r>
              <w:rPr>
                <w:rFonts w:ascii="Times New Roman" w:hAnsi="Times New Roman" w:cs="Times New Roman"/>
                <w:bCs/>
                <w:sz w:val="24"/>
              </w:rPr>
              <w:t>，并于</w:t>
            </w:r>
            <w:r>
              <w:rPr>
                <w:rFonts w:hint="eastAsia" w:ascii="Times New Roman" w:hAnsi="Times New Roman" w:cs="Times New Roman"/>
                <w:bCs/>
                <w:sz w:val="24"/>
              </w:rPr>
              <w:t>2019年3月5日，在全国建设项目竣工环境保护验收信息系统上进行了备案，</w:t>
            </w:r>
            <w:r>
              <w:rPr>
                <w:rFonts w:ascii="Times New Roman" w:hAnsi="Times New Roman" w:cs="Times New Roman"/>
                <w:bCs/>
                <w:sz w:val="24"/>
              </w:rPr>
              <w:t>2019年5月14日获得了重庆市涪陵区生态环境局下发的《重庆市建设项目固体废物污染防治设施竣工环境保护验收批复》（渝（涪）环验[2019]38号）。2020年10月，</w:t>
            </w:r>
            <w:r>
              <w:rPr>
                <w:rFonts w:ascii="Times New Roman" w:hAnsi="Times New Roman" w:cs="Times New Roman"/>
                <w:sz w:val="24"/>
              </w:rPr>
              <w:t>重庆中石化通汇能源有限公司取得了国家排污许可登记回执（登记编号：91500102095333659G001Y）。</w:t>
            </w:r>
          </w:p>
          <w:p w14:paraId="461BD7A2">
            <w:pPr>
              <w:widowControl/>
              <w:adjustRightInd w:val="0"/>
              <w:snapToGrid w:val="0"/>
              <w:spacing w:line="360" w:lineRule="auto"/>
              <w:ind w:firstLine="480" w:firstLineChars="200"/>
              <w:jc w:val="left"/>
              <w:rPr>
                <w:rFonts w:ascii="Times New Roman" w:hAnsi="Times New Roman" w:cs="Times New Roman"/>
                <w:b/>
                <w:sz w:val="24"/>
              </w:rPr>
            </w:pPr>
            <w:r>
              <w:rPr>
                <w:rFonts w:hint="eastAsia" w:ascii="Times New Roman" w:hAnsi="Times New Roman" w:cs="Times New Roman"/>
                <w:bCs/>
                <w:kern w:val="0"/>
                <w:sz w:val="24"/>
              </w:rPr>
              <w:t>本项目为</w:t>
            </w:r>
            <w:r>
              <w:rPr>
                <w:rFonts w:ascii="Times New Roman" w:hAnsi="Times New Roman" w:cs="Times New Roman"/>
                <w:sz w:val="24"/>
                <w:szCs w:val="21"/>
              </w:rPr>
              <w:t>涪陵液化天然气（LNG）工厂项目</w:t>
            </w:r>
            <w:r>
              <w:rPr>
                <w:rFonts w:hint="eastAsia" w:ascii="Times New Roman" w:hAnsi="Times New Roman" w:cs="Times New Roman"/>
                <w:sz w:val="24"/>
                <w:szCs w:val="21"/>
              </w:rPr>
              <w:t>二</w:t>
            </w:r>
            <w:r>
              <w:rPr>
                <w:rFonts w:ascii="Times New Roman" w:hAnsi="Times New Roman" w:cs="Times New Roman"/>
                <w:sz w:val="24"/>
                <w:szCs w:val="21"/>
              </w:rPr>
              <w:t>期工程</w:t>
            </w:r>
            <w:r>
              <w:rPr>
                <w:rFonts w:hint="eastAsia" w:ascii="Times New Roman" w:hAnsi="Times New Roman" w:cs="Times New Roman"/>
                <w:sz w:val="24"/>
                <w:szCs w:val="21"/>
              </w:rPr>
              <w:t>项目</w:t>
            </w:r>
            <w:r>
              <w:rPr>
                <w:rFonts w:ascii="Times New Roman" w:hAnsi="Times New Roman" w:cs="Times New Roman"/>
                <w:bCs/>
                <w:sz w:val="24"/>
              </w:rPr>
              <w:t>对照</w:t>
            </w:r>
            <w:r>
              <w:rPr>
                <w:rFonts w:ascii="Times New Roman" w:hAnsi="Times New Roman" w:cs="Times New Roman"/>
                <w:sz w:val="24"/>
              </w:rPr>
              <w:t>《建设项目环境影响评价分类管理名录》（2021年版）中“</w:t>
            </w:r>
            <w:r>
              <w:rPr>
                <w:rFonts w:ascii="Times New Roman" w:hAnsi="Times New Roman" w:cs="Times New Roman"/>
                <w:szCs w:val="21"/>
              </w:rPr>
              <w:t>五、石油和天然气开采业07-陆地天然气开采0721</w:t>
            </w:r>
            <w:r>
              <w:rPr>
                <w:rFonts w:ascii="Times New Roman" w:hAnsi="Times New Roman" w:cs="Times New Roman"/>
                <w:sz w:val="24"/>
              </w:rPr>
              <w:t>”，本项目应该编制报告表，因此业主委托我公司开展该环境影响评价工作。接受委托后，我公司安排相关专业技术人员进行现场踏勘和资料收集，按照相关评价技术导则及规范要求，编制完成了本项目环境影响报告表。</w:t>
            </w:r>
          </w:p>
          <w:p w14:paraId="352C2D4E">
            <w:pPr>
              <w:spacing w:line="360" w:lineRule="auto"/>
              <w:outlineLvl w:val="2"/>
              <w:rPr>
                <w:rFonts w:ascii="Times New Roman" w:hAnsi="Times New Roman" w:cs="Times New Roman"/>
                <w:b/>
                <w:sz w:val="24"/>
              </w:rPr>
            </w:pPr>
            <w:r>
              <w:rPr>
                <w:rFonts w:ascii="Times New Roman" w:hAnsi="Times New Roman" w:cs="Times New Roman"/>
                <w:b/>
                <w:sz w:val="24"/>
              </w:rPr>
              <w:t>2.1.2工程概况</w:t>
            </w:r>
          </w:p>
          <w:p w14:paraId="7AD2DFCD">
            <w:pPr>
              <w:adjustRightInd w:val="0"/>
              <w:snapToGrid w:val="0"/>
              <w:spacing w:line="360" w:lineRule="auto"/>
              <w:ind w:firstLine="482" w:firstLineChars="200"/>
              <w:rPr>
                <w:rFonts w:ascii="Times New Roman" w:hAnsi="Times New Roman" w:cs="Times New Roman"/>
                <w:bCs/>
                <w:sz w:val="24"/>
                <w:szCs w:val="21"/>
              </w:rPr>
            </w:pPr>
            <w:r>
              <w:rPr>
                <w:rFonts w:ascii="Times New Roman" w:hAnsi="Times New Roman" w:cs="Times New Roman"/>
                <w:b/>
                <w:bCs/>
                <w:sz w:val="24"/>
                <w:szCs w:val="21"/>
              </w:rPr>
              <w:t>建设单位：</w:t>
            </w:r>
            <w:r>
              <w:rPr>
                <w:rFonts w:ascii="Times New Roman" w:hAnsi="Times New Roman" w:cs="Times New Roman"/>
                <w:sz w:val="24"/>
                <w:szCs w:val="21"/>
              </w:rPr>
              <w:t>重庆中石化通汇能源有限公司</w:t>
            </w:r>
            <w:r>
              <w:rPr>
                <w:rFonts w:ascii="Times New Roman" w:hAnsi="Times New Roman" w:cs="Times New Roman"/>
                <w:bCs/>
                <w:sz w:val="24"/>
                <w:szCs w:val="21"/>
              </w:rPr>
              <w:t>；</w:t>
            </w:r>
          </w:p>
          <w:p w14:paraId="06E0ACD8">
            <w:pPr>
              <w:adjustRightInd w:val="0"/>
              <w:snapToGrid w:val="0"/>
              <w:spacing w:line="360" w:lineRule="auto"/>
              <w:ind w:firstLine="482" w:firstLineChars="200"/>
              <w:rPr>
                <w:rFonts w:ascii="Times New Roman" w:hAnsi="Times New Roman" w:cs="Times New Roman"/>
                <w:bCs/>
                <w:sz w:val="24"/>
                <w:szCs w:val="21"/>
              </w:rPr>
            </w:pPr>
            <w:r>
              <w:rPr>
                <w:rFonts w:ascii="Times New Roman" w:hAnsi="Times New Roman" w:cs="Times New Roman"/>
                <w:b/>
                <w:bCs/>
                <w:sz w:val="24"/>
                <w:szCs w:val="21"/>
              </w:rPr>
              <w:t>项目名称：</w:t>
            </w:r>
            <w:r>
              <w:rPr>
                <w:rFonts w:ascii="Times New Roman" w:hAnsi="Times New Roman" w:cs="Times New Roman"/>
                <w:sz w:val="24"/>
                <w:szCs w:val="21"/>
              </w:rPr>
              <w:t>涪陵液化天然气（LNG）工厂项目</w:t>
            </w:r>
            <w:r>
              <w:rPr>
                <w:rFonts w:hint="eastAsia" w:ascii="Times New Roman" w:hAnsi="Times New Roman" w:cs="Times New Roman"/>
                <w:sz w:val="24"/>
                <w:szCs w:val="21"/>
              </w:rPr>
              <w:t>二</w:t>
            </w:r>
            <w:r>
              <w:rPr>
                <w:rFonts w:ascii="Times New Roman" w:hAnsi="Times New Roman" w:cs="Times New Roman"/>
                <w:sz w:val="24"/>
                <w:szCs w:val="21"/>
              </w:rPr>
              <w:t>期工程</w:t>
            </w:r>
            <w:r>
              <w:rPr>
                <w:rFonts w:ascii="Times New Roman" w:hAnsi="Times New Roman" w:cs="Times New Roman"/>
                <w:bCs/>
                <w:sz w:val="24"/>
                <w:szCs w:val="21"/>
              </w:rPr>
              <w:t>；</w:t>
            </w:r>
          </w:p>
          <w:p w14:paraId="74538733">
            <w:pPr>
              <w:adjustRightInd w:val="0"/>
              <w:snapToGrid w:val="0"/>
              <w:spacing w:line="360" w:lineRule="auto"/>
              <w:ind w:firstLine="482" w:firstLineChars="200"/>
              <w:rPr>
                <w:rFonts w:ascii="Times New Roman" w:hAnsi="Times New Roman" w:cs="Times New Roman"/>
                <w:bCs/>
                <w:sz w:val="24"/>
                <w:szCs w:val="21"/>
              </w:rPr>
            </w:pPr>
            <w:r>
              <w:rPr>
                <w:rFonts w:ascii="Times New Roman" w:hAnsi="Times New Roman" w:cs="Times New Roman"/>
                <w:b/>
                <w:bCs/>
                <w:sz w:val="24"/>
                <w:szCs w:val="21"/>
              </w:rPr>
              <w:t>建设性质：</w:t>
            </w:r>
            <w:r>
              <w:rPr>
                <w:rFonts w:hint="eastAsia" w:ascii="Times New Roman" w:hAnsi="Times New Roman" w:cs="Times New Roman"/>
                <w:sz w:val="24"/>
                <w:szCs w:val="21"/>
              </w:rPr>
              <w:t>改</w:t>
            </w:r>
            <w:r>
              <w:rPr>
                <w:rFonts w:ascii="Times New Roman" w:hAnsi="Times New Roman" w:cs="Times New Roman"/>
                <w:sz w:val="24"/>
                <w:szCs w:val="21"/>
              </w:rPr>
              <w:t>扩建</w:t>
            </w:r>
            <w:r>
              <w:rPr>
                <w:rFonts w:ascii="Times New Roman" w:hAnsi="Times New Roman" w:cs="Times New Roman"/>
                <w:bCs/>
                <w:sz w:val="24"/>
                <w:szCs w:val="21"/>
              </w:rPr>
              <w:t>；</w:t>
            </w:r>
          </w:p>
          <w:p w14:paraId="43769A3A">
            <w:pPr>
              <w:adjustRightInd w:val="0"/>
              <w:snapToGrid w:val="0"/>
              <w:spacing w:line="360" w:lineRule="auto"/>
              <w:ind w:firstLine="482" w:firstLineChars="200"/>
              <w:rPr>
                <w:rFonts w:ascii="Times New Roman" w:hAnsi="Times New Roman" w:cs="Times New Roman"/>
                <w:sz w:val="24"/>
                <w:szCs w:val="21"/>
              </w:rPr>
            </w:pPr>
            <w:r>
              <w:rPr>
                <w:rFonts w:ascii="Times New Roman" w:hAnsi="Times New Roman" w:cs="Times New Roman"/>
                <w:b/>
                <w:bCs/>
                <w:sz w:val="24"/>
                <w:szCs w:val="21"/>
              </w:rPr>
              <w:t>建设地点：</w:t>
            </w:r>
            <w:r>
              <w:rPr>
                <w:rFonts w:hint="eastAsia" w:ascii="Times New Roman" w:hAnsi="Times New Roman" w:cs="Times New Roman"/>
                <w:sz w:val="24"/>
                <w:szCs w:val="21"/>
              </w:rPr>
              <w:t>重庆市涪陵区白涛工业园区石化大道1号</w:t>
            </w:r>
            <w:r>
              <w:rPr>
                <w:rFonts w:ascii="Times New Roman" w:hAnsi="Times New Roman" w:cs="Times New Roman"/>
                <w:sz w:val="24"/>
                <w:szCs w:val="21"/>
              </w:rPr>
              <w:t>；</w:t>
            </w:r>
          </w:p>
          <w:p w14:paraId="38076FB9">
            <w:pPr>
              <w:adjustRightInd w:val="0"/>
              <w:snapToGrid w:val="0"/>
              <w:spacing w:line="360" w:lineRule="auto"/>
              <w:ind w:firstLine="482" w:firstLineChars="200"/>
              <w:rPr>
                <w:rFonts w:ascii="Times New Roman" w:hAnsi="Times New Roman" w:cs="Times New Roman"/>
                <w:bCs/>
                <w:sz w:val="24"/>
                <w:szCs w:val="21"/>
              </w:rPr>
            </w:pPr>
            <w:r>
              <w:rPr>
                <w:rFonts w:ascii="Times New Roman" w:hAnsi="Times New Roman" w:cs="Times New Roman"/>
                <w:b/>
                <w:bCs/>
                <w:sz w:val="24"/>
                <w:szCs w:val="21"/>
              </w:rPr>
              <w:t>占地面积：</w:t>
            </w:r>
            <w:r>
              <w:rPr>
                <w:rFonts w:hint="eastAsia" w:ascii="Times New Roman" w:hAnsi="Times New Roman" w:cs="Times New Roman"/>
                <w:sz w:val="24"/>
                <w:szCs w:val="21"/>
              </w:rPr>
              <w:t>11603</w:t>
            </w:r>
            <w:r>
              <w:rPr>
                <w:rFonts w:ascii="Times New Roman" w:hAnsi="Times New Roman" w:cs="Times New Roman"/>
                <w:bCs/>
                <w:sz w:val="24"/>
                <w:szCs w:val="21"/>
              </w:rPr>
              <w:t>m</w:t>
            </w:r>
            <w:r>
              <w:rPr>
                <w:rFonts w:ascii="Times New Roman" w:hAnsi="Times New Roman" w:cs="Times New Roman"/>
                <w:bCs/>
                <w:sz w:val="24"/>
                <w:szCs w:val="21"/>
                <w:vertAlign w:val="superscript"/>
              </w:rPr>
              <w:t>2</w:t>
            </w:r>
            <w:r>
              <w:rPr>
                <w:rFonts w:ascii="Times New Roman" w:hAnsi="Times New Roman" w:cs="Times New Roman"/>
                <w:bCs/>
                <w:sz w:val="24"/>
                <w:szCs w:val="21"/>
              </w:rPr>
              <w:t>；</w:t>
            </w:r>
          </w:p>
          <w:p w14:paraId="1055DF15">
            <w:pPr>
              <w:adjustRightInd w:val="0"/>
              <w:snapToGrid w:val="0"/>
              <w:spacing w:line="360" w:lineRule="auto"/>
              <w:ind w:firstLine="482" w:firstLineChars="200"/>
              <w:rPr>
                <w:rFonts w:ascii="Times New Roman" w:hAnsi="Times New Roman" w:cs="Times New Roman"/>
                <w:bCs/>
                <w:sz w:val="24"/>
                <w:szCs w:val="21"/>
              </w:rPr>
            </w:pPr>
            <w:r>
              <w:rPr>
                <w:rFonts w:ascii="Times New Roman" w:hAnsi="Times New Roman" w:cs="Times New Roman"/>
                <w:b/>
                <w:bCs/>
                <w:sz w:val="24"/>
                <w:szCs w:val="21"/>
              </w:rPr>
              <w:t>工程投资：</w:t>
            </w:r>
            <w:r>
              <w:rPr>
                <w:rFonts w:ascii="Times New Roman" w:hAnsi="Times New Roman" w:cs="Times New Roman"/>
                <w:bCs/>
                <w:sz w:val="24"/>
                <w:szCs w:val="21"/>
              </w:rPr>
              <w:t>项目总投资</w:t>
            </w:r>
            <w:r>
              <w:rPr>
                <w:rFonts w:hint="eastAsia" w:ascii="Times New Roman" w:hAnsi="Times New Roman" w:cs="Times New Roman"/>
                <w:bCs/>
                <w:sz w:val="24"/>
                <w:szCs w:val="21"/>
              </w:rPr>
              <w:t>49539</w:t>
            </w:r>
            <w:r>
              <w:rPr>
                <w:rFonts w:ascii="Times New Roman" w:hAnsi="Times New Roman" w:cs="Times New Roman"/>
                <w:bCs/>
                <w:sz w:val="24"/>
                <w:szCs w:val="21"/>
              </w:rPr>
              <w:t>万元，环保投资</w:t>
            </w:r>
            <w:r>
              <w:rPr>
                <w:rFonts w:hint="eastAsia" w:ascii="Times New Roman" w:hAnsi="Times New Roman" w:cs="Times New Roman"/>
                <w:bCs/>
                <w:sz w:val="24"/>
                <w:szCs w:val="21"/>
              </w:rPr>
              <w:t>260</w:t>
            </w:r>
            <w:r>
              <w:rPr>
                <w:rFonts w:ascii="Times New Roman" w:hAnsi="Times New Roman" w:cs="Times New Roman"/>
                <w:bCs/>
                <w:sz w:val="24"/>
                <w:szCs w:val="21"/>
              </w:rPr>
              <w:t>万元，环保投资占比约</w:t>
            </w:r>
            <w:r>
              <w:rPr>
                <w:rFonts w:hint="eastAsia" w:ascii="Times New Roman" w:hAnsi="Times New Roman" w:cs="Times New Roman"/>
                <w:bCs/>
                <w:sz w:val="24"/>
                <w:szCs w:val="21"/>
              </w:rPr>
              <w:t>0.52</w:t>
            </w:r>
            <w:r>
              <w:rPr>
                <w:rFonts w:ascii="Times New Roman" w:hAnsi="Times New Roman" w:cs="Times New Roman"/>
                <w:bCs/>
                <w:sz w:val="24"/>
                <w:szCs w:val="21"/>
              </w:rPr>
              <w:t>%；</w:t>
            </w:r>
          </w:p>
          <w:p w14:paraId="495BD80F">
            <w:pPr>
              <w:spacing w:line="360" w:lineRule="auto"/>
              <w:ind w:firstLine="482" w:firstLineChars="200"/>
              <w:rPr>
                <w:rFonts w:ascii="Times New Roman" w:hAnsi="Times New Roman" w:cs="Times New Roman"/>
                <w:bCs/>
                <w:sz w:val="24"/>
              </w:rPr>
            </w:pPr>
            <w:r>
              <w:rPr>
                <w:rFonts w:ascii="Times New Roman" w:hAnsi="Times New Roman" w:cs="Times New Roman"/>
                <w:b/>
                <w:bCs/>
                <w:sz w:val="24"/>
                <w:szCs w:val="21"/>
              </w:rPr>
              <w:t>建设内容及规模：</w:t>
            </w:r>
            <w:r>
              <w:rPr>
                <w:rFonts w:hint="eastAsia" w:ascii="Times New Roman" w:hAnsi="Times New Roman" w:cs="Times New Roman"/>
                <w:sz w:val="24"/>
              </w:rPr>
              <w:t>在二期预留位置新建1套天然气液化工艺装置与1座20000m</w:t>
            </w:r>
            <w:r>
              <w:rPr>
                <w:rFonts w:hint="eastAsia" w:ascii="Times New Roman" w:hAnsi="Times New Roman" w:cs="Times New Roman"/>
                <w:sz w:val="24"/>
                <w:vertAlign w:val="superscript"/>
              </w:rPr>
              <w:t>3</w:t>
            </w:r>
            <w:r>
              <w:rPr>
                <w:rFonts w:hint="eastAsia" w:ascii="Times New Roman" w:hAnsi="Times New Roman" w:cs="Times New Roman"/>
                <w:sz w:val="24"/>
              </w:rPr>
              <w:t>低温LNG储罐。</w:t>
            </w:r>
            <w:r>
              <w:rPr>
                <w:rFonts w:ascii="Times New Roman" w:hAnsi="Times New Roman" w:cs="Times New Roman"/>
                <w:sz w:val="24"/>
              </w:rPr>
              <w:t>以页岩气为原料，制备液化天</w:t>
            </w:r>
            <w:r>
              <w:rPr>
                <w:rFonts w:ascii="Times New Roman" w:hAnsi="Times New Roman" w:cs="Times New Roman"/>
                <w:sz w:val="24"/>
                <w:szCs w:val="21"/>
              </w:rPr>
              <w:t>然气100万Nm</w:t>
            </w:r>
            <w:r>
              <w:rPr>
                <w:rFonts w:ascii="Times New Roman" w:hAnsi="Times New Roman" w:cs="Times New Roman"/>
                <w:sz w:val="24"/>
                <w:szCs w:val="21"/>
                <w:vertAlign w:val="superscript"/>
              </w:rPr>
              <w:t>3</w:t>
            </w:r>
            <w:r>
              <w:rPr>
                <w:rFonts w:ascii="Times New Roman" w:hAnsi="Times New Roman" w:cs="Times New Roman"/>
                <w:sz w:val="24"/>
                <w:szCs w:val="21"/>
              </w:rPr>
              <w:t>/d</w:t>
            </w:r>
            <w:r>
              <w:rPr>
                <w:rFonts w:ascii="Times New Roman" w:hAnsi="Times New Roman" w:cs="Times New Roman"/>
                <w:sz w:val="24"/>
              </w:rPr>
              <w:t>。</w:t>
            </w:r>
          </w:p>
          <w:p w14:paraId="637C9076">
            <w:pPr>
              <w:spacing w:line="360" w:lineRule="auto"/>
              <w:ind w:firstLine="482" w:firstLineChars="200"/>
              <w:rPr>
                <w:rFonts w:ascii="Times New Roman" w:hAnsi="Times New Roman" w:cs="Times New Roman"/>
                <w:sz w:val="24"/>
              </w:rPr>
            </w:pPr>
            <w:r>
              <w:rPr>
                <w:rFonts w:ascii="Times New Roman" w:hAnsi="Times New Roman" w:cs="Times New Roman"/>
                <w:b/>
                <w:sz w:val="24"/>
              </w:rPr>
              <w:t>劳动定员：</w:t>
            </w:r>
            <w:r>
              <w:rPr>
                <w:rFonts w:ascii="Times New Roman" w:hAnsi="Times New Roman" w:cs="Times New Roman"/>
                <w:sz w:val="24"/>
              </w:rPr>
              <w:t>项目新增劳动定员</w:t>
            </w:r>
            <w:r>
              <w:rPr>
                <w:rFonts w:hint="eastAsia" w:ascii="Times New Roman" w:hAnsi="Times New Roman" w:cs="Times New Roman"/>
                <w:sz w:val="24"/>
              </w:rPr>
              <w:t>73</w:t>
            </w:r>
            <w:r>
              <w:rPr>
                <w:rFonts w:ascii="Times New Roman" w:hAnsi="Times New Roman" w:cs="Times New Roman"/>
                <w:sz w:val="24"/>
              </w:rPr>
              <w:t>人；</w:t>
            </w:r>
          </w:p>
          <w:p w14:paraId="3CBEF6FA">
            <w:pPr>
              <w:spacing w:line="360" w:lineRule="auto"/>
              <w:ind w:firstLine="480"/>
              <w:rPr>
                <w:sz w:val="24"/>
              </w:rPr>
            </w:pPr>
            <w:r>
              <w:rPr>
                <w:rFonts w:ascii="Times New Roman" w:hAnsi="Times New Roman" w:cs="Times New Roman"/>
                <w:b/>
                <w:sz w:val="24"/>
              </w:rPr>
              <w:t>工作制度：</w:t>
            </w:r>
            <w:r>
              <w:rPr>
                <w:rFonts w:hint="eastAsia"/>
                <w:sz w:val="24"/>
              </w:rPr>
              <w:t>装置年操作时间按8000h计。工作制度3班/d，每班8h。</w:t>
            </w:r>
          </w:p>
          <w:p w14:paraId="0515B52F">
            <w:pPr>
              <w:spacing w:line="360" w:lineRule="auto"/>
              <w:ind w:firstLine="480" w:firstLineChars="200"/>
              <w:rPr>
                <w:rFonts w:ascii="Times New Roman" w:hAnsi="Times New Roman" w:cs="Times New Roman"/>
                <w:sz w:val="24"/>
              </w:rPr>
            </w:pPr>
          </w:p>
          <w:p w14:paraId="2CD46FD1">
            <w:pPr>
              <w:spacing w:line="360" w:lineRule="auto"/>
              <w:outlineLvl w:val="2"/>
              <w:rPr>
                <w:rFonts w:ascii="Times New Roman" w:hAnsi="Times New Roman" w:cs="Times New Roman"/>
                <w:b/>
                <w:sz w:val="24"/>
              </w:rPr>
            </w:pPr>
            <w:r>
              <w:rPr>
                <w:rFonts w:ascii="Times New Roman" w:hAnsi="Times New Roman" w:cs="Times New Roman"/>
                <w:b/>
                <w:sz w:val="24"/>
              </w:rPr>
              <w:t>2.1.2项目建设内容与组成</w:t>
            </w:r>
          </w:p>
          <w:p w14:paraId="6CD2710D">
            <w:pPr>
              <w:spacing w:line="360" w:lineRule="auto"/>
              <w:ind w:firstLine="480" w:firstLineChars="200"/>
              <w:rPr>
                <w:rFonts w:ascii="Times New Roman" w:hAnsi="Times New Roman" w:cs="Times New Roman"/>
                <w:spacing w:val="-4"/>
                <w:kern w:val="24"/>
                <w:sz w:val="24"/>
              </w:rPr>
            </w:pPr>
            <w:r>
              <w:rPr>
                <w:rFonts w:ascii="Times New Roman" w:hAnsi="Times New Roman" w:cs="Times New Roman"/>
                <w:bCs/>
                <w:sz w:val="24"/>
                <w:szCs w:val="21"/>
              </w:rPr>
              <w:t>拟建项目主要建设内容包括主体工程、辅助工程、公用工程和环保工程。</w:t>
            </w:r>
            <w:r>
              <w:rPr>
                <w:rFonts w:ascii="Times New Roman" w:hAnsi="Times New Roman" w:cs="Times New Roman"/>
                <w:spacing w:val="-4"/>
                <w:kern w:val="24"/>
                <w:sz w:val="24"/>
              </w:rPr>
              <w:t>项目组成情况见表2.1.2-1。</w:t>
            </w:r>
          </w:p>
          <w:p w14:paraId="6047EE8A">
            <w:pPr>
              <w:jc w:val="center"/>
              <w:rPr>
                <w:rFonts w:ascii="Times New Roman" w:hAnsi="Times New Roman" w:cs="Times New Roman"/>
                <w:b/>
              </w:rPr>
            </w:pPr>
            <w:r>
              <w:rPr>
                <w:rFonts w:ascii="Times New Roman" w:hAnsi="Times New Roman" w:cs="Times New Roman"/>
                <w:b/>
              </w:rPr>
              <w:t>表2.1.2-1  拟建项目组成一览表</w:t>
            </w:r>
          </w:p>
          <w:tbl>
            <w:tblPr>
              <w:tblStyle w:val="81"/>
              <w:tblW w:w="4997" w:type="pct"/>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446"/>
              <w:gridCol w:w="1665"/>
              <w:gridCol w:w="5452"/>
              <w:gridCol w:w="810"/>
            </w:tblGrid>
            <w:tr w14:paraId="6A00247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53" w:type="pct"/>
                  <w:tcBorders>
                    <w:tl2br w:val="nil"/>
                    <w:tr2bl w:val="nil"/>
                  </w:tcBorders>
                  <w:vAlign w:val="center"/>
                </w:tcPr>
                <w:p w14:paraId="429716D9">
                  <w:pPr>
                    <w:spacing w:line="320" w:lineRule="exact"/>
                    <w:jc w:val="center"/>
                    <w:rPr>
                      <w:rFonts w:ascii="Times New Roman" w:hAnsi="Times New Roman" w:cs="Times New Roman"/>
                      <w:szCs w:val="21"/>
                    </w:rPr>
                  </w:pPr>
                  <w:r>
                    <w:rPr>
                      <w:rFonts w:hint="eastAsia" w:ascii="Times New Roman" w:hAnsi="Times New Roman" w:cs="Times New Roman"/>
                      <w:szCs w:val="21"/>
                    </w:rPr>
                    <w:t>类别</w:t>
                  </w:r>
                </w:p>
              </w:tc>
              <w:tc>
                <w:tcPr>
                  <w:tcW w:w="1146" w:type="pct"/>
                  <w:gridSpan w:val="2"/>
                  <w:tcBorders>
                    <w:tl2br w:val="nil"/>
                    <w:tr2bl w:val="nil"/>
                  </w:tcBorders>
                  <w:vAlign w:val="center"/>
                </w:tcPr>
                <w:p w14:paraId="39546032">
                  <w:pPr>
                    <w:spacing w:line="320" w:lineRule="exact"/>
                    <w:jc w:val="center"/>
                    <w:rPr>
                      <w:rFonts w:ascii="Times New Roman" w:hAnsi="Times New Roman" w:cs="Times New Roman"/>
                      <w:szCs w:val="21"/>
                    </w:rPr>
                  </w:pPr>
                  <w:r>
                    <w:rPr>
                      <w:rFonts w:ascii="Times New Roman" w:hAnsi="Times New Roman" w:cs="Times New Roman"/>
                      <w:szCs w:val="21"/>
                    </w:rPr>
                    <w:t>项目名称</w:t>
                  </w:r>
                </w:p>
              </w:tc>
              <w:tc>
                <w:tcPr>
                  <w:tcW w:w="2958" w:type="pct"/>
                  <w:tcBorders>
                    <w:tl2br w:val="nil"/>
                    <w:tr2bl w:val="nil"/>
                  </w:tcBorders>
                  <w:vAlign w:val="center"/>
                </w:tcPr>
                <w:p w14:paraId="74FB1E13">
                  <w:pPr>
                    <w:spacing w:line="320" w:lineRule="exact"/>
                    <w:jc w:val="center"/>
                    <w:rPr>
                      <w:rFonts w:ascii="Times New Roman" w:hAnsi="Times New Roman" w:cs="Times New Roman"/>
                      <w:szCs w:val="21"/>
                    </w:rPr>
                  </w:pPr>
                  <w:r>
                    <w:rPr>
                      <w:rFonts w:hint="eastAsia" w:ascii="Times New Roman" w:hAnsi="Times New Roman" w:cs="Times New Roman"/>
                      <w:szCs w:val="21"/>
                    </w:rPr>
                    <w:t>项目组成内容</w:t>
                  </w:r>
                </w:p>
              </w:tc>
              <w:tc>
                <w:tcPr>
                  <w:tcW w:w="439" w:type="pct"/>
                  <w:tcBorders>
                    <w:tl2br w:val="nil"/>
                    <w:tr2bl w:val="nil"/>
                  </w:tcBorders>
                  <w:vAlign w:val="center"/>
                </w:tcPr>
                <w:p w14:paraId="60BDBCC8">
                  <w:pPr>
                    <w:spacing w:line="320" w:lineRule="exact"/>
                    <w:jc w:val="center"/>
                    <w:rPr>
                      <w:rFonts w:ascii="Times New Roman" w:hAnsi="Times New Roman" w:cs="Times New Roman"/>
                      <w:szCs w:val="21"/>
                    </w:rPr>
                  </w:pPr>
                  <w:r>
                    <w:rPr>
                      <w:rFonts w:hint="eastAsia" w:ascii="Times New Roman" w:hAnsi="Times New Roman" w:cs="Times New Roman"/>
                      <w:szCs w:val="21"/>
                    </w:rPr>
                    <w:t>备注</w:t>
                  </w:r>
                </w:p>
              </w:tc>
            </w:tr>
            <w:tr w14:paraId="21143F0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453" w:type="pct"/>
                  <w:vMerge w:val="restart"/>
                  <w:tcBorders>
                    <w:tl2br w:val="nil"/>
                    <w:tr2bl w:val="nil"/>
                  </w:tcBorders>
                  <w:vAlign w:val="center"/>
                </w:tcPr>
                <w:p w14:paraId="2284B577">
                  <w:pPr>
                    <w:spacing w:line="320" w:lineRule="exact"/>
                    <w:jc w:val="center"/>
                    <w:rPr>
                      <w:rFonts w:ascii="Times New Roman" w:hAnsi="Times New Roman" w:cs="Times New Roman"/>
                      <w:szCs w:val="21"/>
                    </w:rPr>
                  </w:pPr>
                  <w:r>
                    <w:rPr>
                      <w:rFonts w:ascii="Times New Roman" w:hAnsi="Times New Roman" w:cs="Times New Roman"/>
                      <w:szCs w:val="21"/>
                    </w:rPr>
                    <w:t>主体</w:t>
                  </w:r>
                </w:p>
                <w:p w14:paraId="583258D7">
                  <w:pPr>
                    <w:spacing w:line="320" w:lineRule="exact"/>
                    <w:jc w:val="center"/>
                    <w:rPr>
                      <w:rFonts w:ascii="Times New Roman" w:hAnsi="Times New Roman" w:cs="Times New Roman"/>
                      <w:szCs w:val="21"/>
                    </w:rPr>
                  </w:pPr>
                  <w:r>
                    <w:rPr>
                      <w:rFonts w:ascii="Times New Roman" w:hAnsi="Times New Roman" w:cs="Times New Roman"/>
                      <w:szCs w:val="21"/>
                    </w:rPr>
                    <w:t>工程</w:t>
                  </w:r>
                </w:p>
              </w:tc>
              <w:tc>
                <w:tcPr>
                  <w:tcW w:w="1146" w:type="pct"/>
                  <w:gridSpan w:val="2"/>
                  <w:tcBorders>
                    <w:tl2br w:val="nil"/>
                    <w:tr2bl w:val="nil"/>
                  </w:tcBorders>
                  <w:vAlign w:val="center"/>
                </w:tcPr>
                <w:p w14:paraId="1E871C4E">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天然气净化单元</w:t>
                  </w:r>
                </w:p>
              </w:tc>
              <w:tc>
                <w:tcPr>
                  <w:tcW w:w="2958" w:type="pct"/>
                  <w:tcBorders>
                    <w:tl2br w:val="nil"/>
                    <w:tr2bl w:val="nil"/>
                  </w:tcBorders>
                  <w:vAlign w:val="center"/>
                </w:tcPr>
                <w:p w14:paraId="40559AE7">
                  <w:pPr>
                    <w:adjustRightInd w:val="0"/>
                    <w:snapToGrid w:val="0"/>
                    <w:spacing w:line="240" w:lineRule="atLeast"/>
                    <w:jc w:val="left"/>
                    <w:rPr>
                      <w:rFonts w:ascii="Times New Roman" w:hAnsi="Times New Roman" w:cs="Times New Roman"/>
                      <w:szCs w:val="21"/>
                    </w:rPr>
                  </w:pPr>
                  <w:r>
                    <w:rPr>
                      <w:rFonts w:ascii="Times New Roman" w:hAnsi="Times New Roman" w:cs="Times New Roman"/>
                      <w:szCs w:val="21"/>
                    </w:rPr>
                    <w:t>包括脱酸、脱水、脱汞净化单元和再生单元</w:t>
                  </w:r>
                </w:p>
              </w:tc>
              <w:tc>
                <w:tcPr>
                  <w:tcW w:w="439" w:type="pct"/>
                  <w:tcBorders>
                    <w:tl2br w:val="nil"/>
                    <w:tr2bl w:val="nil"/>
                  </w:tcBorders>
                  <w:vAlign w:val="center"/>
                </w:tcPr>
                <w:p w14:paraId="2F245D18">
                  <w:pPr>
                    <w:adjustRightInd w:val="0"/>
                    <w:snapToGrid w:val="0"/>
                    <w:spacing w:line="240" w:lineRule="atLeast"/>
                    <w:jc w:val="left"/>
                    <w:rPr>
                      <w:rFonts w:ascii="Times New Roman" w:hAnsi="Times New Roman" w:cs="Times New Roman"/>
                      <w:szCs w:val="21"/>
                    </w:rPr>
                  </w:pPr>
                  <w:r>
                    <w:rPr>
                      <w:rFonts w:hint="eastAsia" w:ascii="Times New Roman" w:hAnsi="Times New Roman" w:cs="Times New Roman"/>
                      <w:szCs w:val="21"/>
                    </w:rPr>
                    <w:t>新建</w:t>
                  </w:r>
                </w:p>
              </w:tc>
            </w:tr>
            <w:tr w14:paraId="2566221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53" w:type="pct"/>
                  <w:vMerge w:val="continue"/>
                  <w:tcBorders>
                    <w:tl2br w:val="nil"/>
                    <w:tr2bl w:val="nil"/>
                  </w:tcBorders>
                  <w:vAlign w:val="center"/>
                </w:tcPr>
                <w:p w14:paraId="20C1E8AD">
                  <w:pPr>
                    <w:spacing w:line="320" w:lineRule="exact"/>
                    <w:jc w:val="center"/>
                    <w:rPr>
                      <w:rFonts w:ascii="Times New Roman" w:hAnsi="Times New Roman" w:cs="Times New Roman"/>
                      <w:szCs w:val="21"/>
                    </w:rPr>
                  </w:pPr>
                </w:p>
              </w:tc>
              <w:tc>
                <w:tcPr>
                  <w:tcW w:w="1146" w:type="pct"/>
                  <w:gridSpan w:val="2"/>
                  <w:tcBorders>
                    <w:tl2br w:val="nil"/>
                    <w:tr2bl w:val="nil"/>
                  </w:tcBorders>
                  <w:vAlign w:val="center"/>
                </w:tcPr>
                <w:p w14:paraId="4A07EA1F">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天然气液化单元</w:t>
                  </w:r>
                </w:p>
              </w:tc>
              <w:tc>
                <w:tcPr>
                  <w:tcW w:w="2958" w:type="pct"/>
                  <w:tcBorders>
                    <w:tl2br w:val="nil"/>
                    <w:tr2bl w:val="nil"/>
                  </w:tcBorders>
                  <w:vAlign w:val="center"/>
                </w:tcPr>
                <w:p w14:paraId="2CAD86B9">
                  <w:pPr>
                    <w:adjustRightInd w:val="0"/>
                    <w:snapToGrid w:val="0"/>
                    <w:spacing w:line="240" w:lineRule="atLeast"/>
                    <w:jc w:val="left"/>
                    <w:rPr>
                      <w:rFonts w:ascii="Times New Roman" w:hAnsi="Times New Roman" w:cs="Times New Roman"/>
                      <w:szCs w:val="21"/>
                    </w:rPr>
                  </w:pPr>
                  <w:r>
                    <w:rPr>
                      <w:rFonts w:ascii="Times New Roman" w:hAnsi="Times New Roman" w:cs="Times New Roman"/>
                      <w:szCs w:val="21"/>
                    </w:rPr>
                    <w:t>包括冷箱，制冷压缩机和冷剂配比</w:t>
                  </w:r>
                </w:p>
              </w:tc>
              <w:tc>
                <w:tcPr>
                  <w:tcW w:w="439" w:type="pct"/>
                  <w:tcBorders>
                    <w:tl2br w:val="nil"/>
                    <w:tr2bl w:val="nil"/>
                  </w:tcBorders>
                  <w:vAlign w:val="center"/>
                </w:tcPr>
                <w:p w14:paraId="18162A6C">
                  <w:pPr>
                    <w:adjustRightInd w:val="0"/>
                    <w:snapToGrid w:val="0"/>
                    <w:spacing w:line="240" w:lineRule="atLeast"/>
                    <w:jc w:val="left"/>
                    <w:rPr>
                      <w:rFonts w:ascii="Times New Roman" w:hAnsi="Times New Roman" w:cs="Times New Roman"/>
                      <w:szCs w:val="21"/>
                    </w:rPr>
                  </w:pPr>
                  <w:r>
                    <w:rPr>
                      <w:rFonts w:hint="eastAsia" w:ascii="Times New Roman" w:hAnsi="Times New Roman" w:cs="Times New Roman"/>
                      <w:szCs w:val="21"/>
                    </w:rPr>
                    <w:t>新建</w:t>
                  </w:r>
                </w:p>
              </w:tc>
            </w:tr>
            <w:tr w14:paraId="439D53A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53" w:type="pct"/>
                  <w:vMerge w:val="continue"/>
                  <w:tcBorders>
                    <w:tl2br w:val="nil"/>
                    <w:tr2bl w:val="nil"/>
                  </w:tcBorders>
                  <w:vAlign w:val="center"/>
                </w:tcPr>
                <w:p w14:paraId="5A369050">
                  <w:pPr>
                    <w:spacing w:line="320" w:lineRule="exact"/>
                    <w:jc w:val="center"/>
                    <w:rPr>
                      <w:rFonts w:ascii="Times New Roman" w:hAnsi="Times New Roman" w:cs="Times New Roman"/>
                      <w:szCs w:val="21"/>
                    </w:rPr>
                  </w:pPr>
                </w:p>
              </w:tc>
              <w:tc>
                <w:tcPr>
                  <w:tcW w:w="1146" w:type="pct"/>
                  <w:gridSpan w:val="2"/>
                  <w:tcBorders>
                    <w:tl2br w:val="nil"/>
                    <w:tr2bl w:val="nil"/>
                  </w:tcBorders>
                  <w:vAlign w:val="center"/>
                </w:tcPr>
                <w:p w14:paraId="7A4B4399">
                  <w:pPr>
                    <w:adjustRightInd w:val="0"/>
                    <w:snapToGrid w:val="0"/>
                    <w:spacing w:line="240" w:lineRule="atLeast"/>
                    <w:jc w:val="center"/>
                    <w:rPr>
                      <w:rFonts w:ascii="Times New Roman" w:hAnsi="Times New Roman" w:cs="Times New Roman"/>
                      <w:szCs w:val="21"/>
                    </w:rPr>
                  </w:pPr>
                  <w:r>
                    <w:rPr>
                      <w:rFonts w:hint="eastAsia" w:ascii="Times New Roman" w:hAnsi="Times New Roman" w:cs="Times New Roman"/>
                      <w:szCs w:val="21"/>
                    </w:rPr>
                    <w:t>氦气提纯装置</w:t>
                  </w:r>
                </w:p>
              </w:tc>
              <w:tc>
                <w:tcPr>
                  <w:tcW w:w="2958" w:type="pct"/>
                  <w:tcBorders>
                    <w:tl2br w:val="nil"/>
                    <w:tr2bl w:val="nil"/>
                  </w:tcBorders>
                  <w:vAlign w:val="center"/>
                </w:tcPr>
                <w:p w14:paraId="346D2C0F">
                  <w:pPr>
                    <w:adjustRightInd w:val="0"/>
                    <w:snapToGrid w:val="0"/>
                    <w:spacing w:line="240" w:lineRule="atLeast"/>
                    <w:jc w:val="left"/>
                    <w:rPr>
                      <w:rFonts w:ascii="Times New Roman" w:hAnsi="Times New Roman" w:cs="Times New Roman"/>
                      <w:szCs w:val="21"/>
                    </w:rPr>
                  </w:pPr>
                  <w:r>
                    <w:rPr>
                      <w:rFonts w:hint="eastAsia" w:ascii="Times New Roman" w:hAnsi="Times New Roman" w:cs="Times New Roman"/>
                      <w:szCs w:val="21"/>
                    </w:rPr>
                    <w:t>包括脱氢、脱水脱碳、冷箱、膜分离、深度净化、低温精制</w:t>
                  </w:r>
                </w:p>
              </w:tc>
              <w:tc>
                <w:tcPr>
                  <w:tcW w:w="439" w:type="pct"/>
                  <w:tcBorders>
                    <w:tl2br w:val="nil"/>
                    <w:tr2bl w:val="nil"/>
                  </w:tcBorders>
                  <w:vAlign w:val="center"/>
                </w:tcPr>
                <w:p w14:paraId="5B400F71">
                  <w:pPr>
                    <w:adjustRightInd w:val="0"/>
                    <w:snapToGrid w:val="0"/>
                    <w:spacing w:line="240" w:lineRule="atLeast"/>
                    <w:jc w:val="left"/>
                    <w:rPr>
                      <w:rFonts w:ascii="Times New Roman" w:hAnsi="Times New Roman" w:cs="Times New Roman"/>
                      <w:szCs w:val="21"/>
                    </w:rPr>
                  </w:pPr>
                  <w:r>
                    <w:rPr>
                      <w:rFonts w:hint="eastAsia" w:ascii="Times New Roman" w:hAnsi="Times New Roman" w:cs="Times New Roman"/>
                      <w:szCs w:val="21"/>
                    </w:rPr>
                    <w:t>依托</w:t>
                  </w:r>
                </w:p>
              </w:tc>
            </w:tr>
            <w:tr w14:paraId="37C25CB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3" w:type="pct"/>
                  <w:vMerge w:val="continue"/>
                  <w:tcBorders>
                    <w:tl2br w:val="nil"/>
                    <w:tr2bl w:val="nil"/>
                  </w:tcBorders>
                  <w:vAlign w:val="center"/>
                </w:tcPr>
                <w:p w14:paraId="059EA282">
                  <w:pPr>
                    <w:spacing w:line="320" w:lineRule="exact"/>
                    <w:jc w:val="center"/>
                    <w:rPr>
                      <w:rFonts w:ascii="Times New Roman" w:hAnsi="Times New Roman" w:cs="Times New Roman"/>
                      <w:szCs w:val="21"/>
                    </w:rPr>
                  </w:pPr>
                </w:p>
              </w:tc>
              <w:tc>
                <w:tcPr>
                  <w:tcW w:w="1146" w:type="pct"/>
                  <w:gridSpan w:val="2"/>
                  <w:tcBorders>
                    <w:tl2br w:val="nil"/>
                    <w:tr2bl w:val="nil"/>
                  </w:tcBorders>
                  <w:vAlign w:val="center"/>
                </w:tcPr>
                <w:p w14:paraId="31CD063B">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高架火炬</w:t>
                  </w:r>
                </w:p>
              </w:tc>
              <w:tc>
                <w:tcPr>
                  <w:tcW w:w="2958" w:type="pct"/>
                  <w:tcBorders>
                    <w:tl2br w:val="nil"/>
                    <w:tr2bl w:val="nil"/>
                  </w:tcBorders>
                  <w:vAlign w:val="center"/>
                </w:tcPr>
                <w:p w14:paraId="2174D755">
                  <w:pPr>
                    <w:adjustRightInd w:val="0"/>
                    <w:snapToGrid w:val="0"/>
                    <w:spacing w:line="240" w:lineRule="atLeast"/>
                    <w:jc w:val="left"/>
                    <w:rPr>
                      <w:rFonts w:ascii="Times New Roman" w:hAnsi="Times New Roman" w:cs="Times New Roman"/>
                      <w:szCs w:val="21"/>
                    </w:rPr>
                  </w:pPr>
                  <w:r>
                    <w:rPr>
                      <w:rFonts w:hint="eastAsia" w:ascii="Times New Roman" w:hAnsi="Times New Roman" w:cs="Times New Roman"/>
                      <w:szCs w:val="21"/>
                    </w:rPr>
                    <w:t>依托一期</w:t>
                  </w:r>
                  <w:r>
                    <w:rPr>
                      <w:rFonts w:ascii="Times New Roman" w:hAnsi="Times New Roman" w:cs="Times New Roman"/>
                      <w:szCs w:val="21"/>
                    </w:rPr>
                    <w:t>两套火炬，一套为热火炬，一套为冷火炬。</w:t>
                  </w:r>
                </w:p>
                <w:p w14:paraId="1A759FD0">
                  <w:pPr>
                    <w:adjustRightInd w:val="0"/>
                    <w:snapToGrid w:val="0"/>
                    <w:spacing w:line="240" w:lineRule="atLeast"/>
                    <w:jc w:val="left"/>
                    <w:rPr>
                      <w:rFonts w:ascii="Times New Roman" w:hAnsi="Times New Roman" w:cs="Times New Roman"/>
                      <w:szCs w:val="21"/>
                    </w:rPr>
                  </w:pPr>
                  <w:r>
                    <w:rPr>
                      <w:rFonts w:ascii="Times New Roman" w:hAnsi="Times New Roman" w:cs="Times New Roman"/>
                      <w:szCs w:val="21"/>
                    </w:rPr>
                    <w:t>热火炬设计处理能力：185t/h。</w:t>
                  </w:r>
                </w:p>
                <w:p w14:paraId="2D80B06D">
                  <w:pPr>
                    <w:adjustRightInd w:val="0"/>
                    <w:snapToGrid w:val="0"/>
                    <w:spacing w:line="240" w:lineRule="atLeast"/>
                    <w:jc w:val="left"/>
                    <w:rPr>
                      <w:rFonts w:ascii="Times New Roman" w:hAnsi="Times New Roman" w:cs="Times New Roman"/>
                      <w:szCs w:val="21"/>
                    </w:rPr>
                  </w:pPr>
                  <w:r>
                    <w:rPr>
                      <w:rFonts w:ascii="Times New Roman" w:hAnsi="Times New Roman" w:cs="Times New Roman"/>
                      <w:szCs w:val="21"/>
                    </w:rPr>
                    <w:t>冷火炬设计处理能力：20t/h。</w:t>
                  </w:r>
                </w:p>
                <w:p w14:paraId="3CFD1279">
                  <w:pPr>
                    <w:adjustRightInd w:val="0"/>
                    <w:snapToGrid w:val="0"/>
                    <w:spacing w:line="240" w:lineRule="atLeast"/>
                    <w:jc w:val="left"/>
                    <w:rPr>
                      <w:rFonts w:ascii="Times New Roman" w:hAnsi="Times New Roman" w:cs="Times New Roman"/>
                      <w:szCs w:val="21"/>
                    </w:rPr>
                  </w:pPr>
                  <w:r>
                    <w:rPr>
                      <w:rFonts w:ascii="Times New Roman" w:hAnsi="Times New Roman" w:cs="Times New Roman"/>
                      <w:szCs w:val="21"/>
                    </w:rPr>
                    <w:t>两套火炬捆绑共架布置，塔架支撑高压火炬，高度80m。</w:t>
                  </w:r>
                </w:p>
              </w:tc>
              <w:tc>
                <w:tcPr>
                  <w:tcW w:w="439" w:type="pct"/>
                  <w:tcBorders>
                    <w:tl2br w:val="nil"/>
                    <w:tr2bl w:val="nil"/>
                  </w:tcBorders>
                  <w:vAlign w:val="center"/>
                </w:tcPr>
                <w:p w14:paraId="53BA93BB">
                  <w:pPr>
                    <w:adjustRightInd w:val="0"/>
                    <w:snapToGrid w:val="0"/>
                    <w:spacing w:line="240" w:lineRule="atLeast"/>
                    <w:jc w:val="left"/>
                    <w:rPr>
                      <w:rFonts w:ascii="Times New Roman" w:hAnsi="Times New Roman" w:cs="Times New Roman"/>
                      <w:szCs w:val="21"/>
                    </w:rPr>
                  </w:pPr>
                  <w:r>
                    <w:rPr>
                      <w:rFonts w:hint="eastAsia" w:ascii="Times New Roman" w:hAnsi="Times New Roman" w:cs="Times New Roman"/>
                      <w:szCs w:val="21"/>
                    </w:rPr>
                    <w:t>依托</w:t>
                  </w:r>
                </w:p>
              </w:tc>
            </w:tr>
            <w:tr w14:paraId="513128B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53" w:type="pct"/>
                  <w:vMerge w:val="restart"/>
                  <w:tcBorders>
                    <w:tl2br w:val="nil"/>
                    <w:tr2bl w:val="nil"/>
                  </w:tcBorders>
                  <w:vAlign w:val="center"/>
                </w:tcPr>
                <w:p w14:paraId="366C25B6">
                  <w:pPr>
                    <w:spacing w:line="320" w:lineRule="exact"/>
                    <w:jc w:val="center"/>
                    <w:rPr>
                      <w:rFonts w:ascii="Times New Roman" w:hAnsi="Times New Roman" w:cs="Times New Roman"/>
                      <w:szCs w:val="21"/>
                    </w:rPr>
                  </w:pPr>
                  <w:r>
                    <w:rPr>
                      <w:rFonts w:ascii="Times New Roman" w:hAnsi="Times New Roman" w:cs="Times New Roman"/>
                      <w:szCs w:val="21"/>
                    </w:rPr>
                    <w:t>辅助</w:t>
                  </w:r>
                </w:p>
                <w:p w14:paraId="6DEF7E4C">
                  <w:pPr>
                    <w:spacing w:line="320" w:lineRule="exact"/>
                    <w:jc w:val="center"/>
                    <w:rPr>
                      <w:rFonts w:ascii="Times New Roman" w:hAnsi="Times New Roman" w:cs="Times New Roman"/>
                      <w:szCs w:val="21"/>
                    </w:rPr>
                  </w:pPr>
                  <w:r>
                    <w:rPr>
                      <w:rFonts w:ascii="Times New Roman" w:hAnsi="Times New Roman" w:cs="Times New Roman"/>
                      <w:szCs w:val="21"/>
                    </w:rPr>
                    <w:t>工程</w:t>
                  </w:r>
                </w:p>
              </w:tc>
              <w:tc>
                <w:tcPr>
                  <w:tcW w:w="1146" w:type="pct"/>
                  <w:gridSpan w:val="2"/>
                  <w:tcBorders>
                    <w:tl2br w:val="nil"/>
                    <w:tr2bl w:val="nil"/>
                  </w:tcBorders>
                  <w:vAlign w:val="center"/>
                </w:tcPr>
                <w:p w14:paraId="17CD18E1">
                  <w:pPr>
                    <w:spacing w:line="320" w:lineRule="exact"/>
                    <w:jc w:val="center"/>
                    <w:rPr>
                      <w:rFonts w:ascii="Times New Roman" w:hAnsi="Times New Roman" w:cs="Times New Roman"/>
                      <w:szCs w:val="21"/>
                    </w:rPr>
                  </w:pPr>
                  <w:r>
                    <w:rPr>
                      <w:rFonts w:ascii="Times New Roman" w:hAnsi="Times New Roman" w:cs="Times New Roman"/>
                      <w:szCs w:val="21"/>
                    </w:rPr>
                    <w:t>办公楼</w:t>
                  </w:r>
                </w:p>
              </w:tc>
              <w:tc>
                <w:tcPr>
                  <w:tcW w:w="2958" w:type="pct"/>
                  <w:tcBorders>
                    <w:tl2br w:val="nil"/>
                    <w:tr2bl w:val="nil"/>
                  </w:tcBorders>
                  <w:vAlign w:val="center"/>
                </w:tcPr>
                <w:p w14:paraId="32403F8A">
                  <w:pPr>
                    <w:spacing w:line="320" w:lineRule="exact"/>
                    <w:jc w:val="left"/>
                    <w:rPr>
                      <w:rFonts w:ascii="Times New Roman" w:hAnsi="Times New Roman" w:cs="Times New Roman"/>
                      <w:szCs w:val="21"/>
                    </w:rPr>
                  </w:pPr>
                  <w:r>
                    <w:rPr>
                      <w:rFonts w:hint="eastAsia" w:ascii="Times New Roman" w:hAnsi="Times New Roman" w:cs="Times New Roman"/>
                      <w:szCs w:val="21"/>
                    </w:rPr>
                    <w:t>依托现有办公楼</w:t>
                  </w:r>
                </w:p>
              </w:tc>
              <w:tc>
                <w:tcPr>
                  <w:tcW w:w="439" w:type="pct"/>
                  <w:tcBorders>
                    <w:tl2br w:val="nil"/>
                    <w:tr2bl w:val="nil"/>
                  </w:tcBorders>
                  <w:vAlign w:val="center"/>
                </w:tcPr>
                <w:p w14:paraId="65D255C4">
                  <w:pPr>
                    <w:spacing w:line="320" w:lineRule="exact"/>
                    <w:jc w:val="left"/>
                    <w:rPr>
                      <w:rFonts w:ascii="Times New Roman" w:hAnsi="Times New Roman" w:cs="Times New Roman"/>
                      <w:szCs w:val="21"/>
                    </w:rPr>
                  </w:pPr>
                  <w:r>
                    <w:rPr>
                      <w:rFonts w:hint="eastAsia" w:ascii="Times New Roman" w:hAnsi="Times New Roman" w:cs="Times New Roman"/>
                      <w:szCs w:val="21"/>
                    </w:rPr>
                    <w:t>依托</w:t>
                  </w:r>
                </w:p>
              </w:tc>
            </w:tr>
            <w:tr w14:paraId="03B65ED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3" w:type="pct"/>
                  <w:vMerge w:val="continue"/>
                  <w:tcBorders>
                    <w:tl2br w:val="nil"/>
                    <w:tr2bl w:val="nil"/>
                  </w:tcBorders>
                  <w:vAlign w:val="center"/>
                </w:tcPr>
                <w:p w14:paraId="65F45051">
                  <w:pPr>
                    <w:spacing w:line="320" w:lineRule="exact"/>
                    <w:jc w:val="center"/>
                    <w:rPr>
                      <w:rFonts w:ascii="Times New Roman" w:hAnsi="Times New Roman" w:cs="Times New Roman"/>
                      <w:szCs w:val="21"/>
                    </w:rPr>
                  </w:pPr>
                </w:p>
              </w:tc>
              <w:tc>
                <w:tcPr>
                  <w:tcW w:w="1146" w:type="pct"/>
                  <w:gridSpan w:val="2"/>
                  <w:tcBorders>
                    <w:tl2br w:val="nil"/>
                    <w:tr2bl w:val="nil"/>
                  </w:tcBorders>
                  <w:vAlign w:val="center"/>
                </w:tcPr>
                <w:p w14:paraId="68BA3114">
                  <w:pPr>
                    <w:spacing w:line="320" w:lineRule="exact"/>
                    <w:jc w:val="center"/>
                    <w:rPr>
                      <w:rFonts w:ascii="Times New Roman" w:hAnsi="Times New Roman" w:cs="Times New Roman"/>
                      <w:szCs w:val="21"/>
                    </w:rPr>
                  </w:pPr>
                  <w:r>
                    <w:rPr>
                      <w:rFonts w:ascii="Times New Roman" w:hAnsi="Times New Roman" w:cs="Times New Roman"/>
                      <w:szCs w:val="21"/>
                    </w:rPr>
                    <w:t>中央控制室</w:t>
                  </w:r>
                </w:p>
              </w:tc>
              <w:tc>
                <w:tcPr>
                  <w:tcW w:w="2958" w:type="pct"/>
                  <w:tcBorders>
                    <w:tl2br w:val="nil"/>
                    <w:tr2bl w:val="nil"/>
                  </w:tcBorders>
                  <w:vAlign w:val="center"/>
                </w:tcPr>
                <w:p w14:paraId="49F9BD8F">
                  <w:pPr>
                    <w:spacing w:line="320" w:lineRule="exact"/>
                    <w:jc w:val="left"/>
                    <w:rPr>
                      <w:rFonts w:ascii="Times New Roman" w:hAnsi="Times New Roman" w:cs="Times New Roman"/>
                      <w:szCs w:val="21"/>
                    </w:rPr>
                  </w:pPr>
                  <w:r>
                    <w:rPr>
                      <w:rFonts w:ascii="Times New Roman" w:hAnsi="Times New Roman" w:cs="Times New Roman"/>
                      <w:szCs w:val="21"/>
                    </w:rPr>
                    <w:t>包括操作室、UPS室、机柜室等</w:t>
                  </w:r>
                  <w:r>
                    <w:rPr>
                      <w:rFonts w:hint="eastAsia" w:ascii="Times New Roman" w:hAnsi="Times New Roman" w:cs="Times New Roman"/>
                      <w:szCs w:val="21"/>
                    </w:rPr>
                    <w:t>，扩建一层</w:t>
                  </w:r>
                </w:p>
              </w:tc>
              <w:tc>
                <w:tcPr>
                  <w:tcW w:w="439" w:type="pct"/>
                  <w:tcBorders>
                    <w:tl2br w:val="nil"/>
                    <w:tr2bl w:val="nil"/>
                  </w:tcBorders>
                  <w:vAlign w:val="center"/>
                </w:tcPr>
                <w:p w14:paraId="0CE9E301">
                  <w:pPr>
                    <w:spacing w:line="320" w:lineRule="exact"/>
                    <w:jc w:val="left"/>
                    <w:rPr>
                      <w:rFonts w:ascii="Times New Roman" w:hAnsi="Times New Roman" w:cs="Times New Roman"/>
                      <w:szCs w:val="21"/>
                    </w:rPr>
                  </w:pPr>
                  <w:r>
                    <w:rPr>
                      <w:rFonts w:hint="eastAsia" w:ascii="Times New Roman" w:hAnsi="Times New Roman" w:cs="Times New Roman"/>
                      <w:szCs w:val="21"/>
                    </w:rPr>
                    <w:t>扩建</w:t>
                  </w:r>
                </w:p>
              </w:tc>
            </w:tr>
            <w:tr w14:paraId="6630B9D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53" w:type="pct"/>
                  <w:vMerge w:val="restart"/>
                  <w:tcBorders>
                    <w:tl2br w:val="nil"/>
                    <w:tr2bl w:val="nil"/>
                  </w:tcBorders>
                  <w:vAlign w:val="center"/>
                </w:tcPr>
                <w:p w14:paraId="0661A199">
                  <w:pPr>
                    <w:spacing w:line="320" w:lineRule="exact"/>
                    <w:jc w:val="center"/>
                    <w:rPr>
                      <w:rFonts w:ascii="Times New Roman" w:hAnsi="Times New Roman" w:cs="Times New Roman"/>
                      <w:szCs w:val="21"/>
                    </w:rPr>
                  </w:pPr>
                  <w:r>
                    <w:rPr>
                      <w:rFonts w:ascii="Times New Roman" w:hAnsi="Times New Roman" w:cs="Times New Roman"/>
                      <w:szCs w:val="21"/>
                    </w:rPr>
                    <w:t>公用</w:t>
                  </w:r>
                </w:p>
                <w:p w14:paraId="6A811A3C">
                  <w:pPr>
                    <w:spacing w:line="320" w:lineRule="exact"/>
                    <w:jc w:val="center"/>
                    <w:rPr>
                      <w:rFonts w:ascii="Times New Roman" w:hAnsi="Times New Roman" w:cs="Times New Roman"/>
                      <w:szCs w:val="21"/>
                    </w:rPr>
                  </w:pPr>
                  <w:r>
                    <w:rPr>
                      <w:rFonts w:ascii="Times New Roman" w:hAnsi="Times New Roman" w:cs="Times New Roman"/>
                      <w:szCs w:val="21"/>
                    </w:rPr>
                    <w:t>工程</w:t>
                  </w:r>
                </w:p>
              </w:tc>
              <w:tc>
                <w:tcPr>
                  <w:tcW w:w="1146" w:type="pct"/>
                  <w:gridSpan w:val="2"/>
                  <w:tcBorders>
                    <w:tl2br w:val="nil"/>
                    <w:tr2bl w:val="nil"/>
                  </w:tcBorders>
                  <w:vAlign w:val="center"/>
                </w:tcPr>
                <w:p w14:paraId="75D85DB7">
                  <w:pPr>
                    <w:spacing w:line="320" w:lineRule="exact"/>
                    <w:jc w:val="center"/>
                    <w:rPr>
                      <w:rFonts w:ascii="Times New Roman" w:hAnsi="Times New Roman" w:cs="Times New Roman"/>
                      <w:szCs w:val="21"/>
                    </w:rPr>
                  </w:pPr>
                  <w:r>
                    <w:rPr>
                      <w:rFonts w:ascii="Times New Roman" w:hAnsi="Times New Roman" w:cs="Times New Roman"/>
                      <w:szCs w:val="21"/>
                    </w:rPr>
                    <w:t>给水工程</w:t>
                  </w:r>
                </w:p>
              </w:tc>
              <w:tc>
                <w:tcPr>
                  <w:tcW w:w="2958" w:type="pct"/>
                  <w:tcBorders>
                    <w:tl2br w:val="nil"/>
                    <w:tr2bl w:val="nil"/>
                  </w:tcBorders>
                  <w:vAlign w:val="center"/>
                </w:tcPr>
                <w:p w14:paraId="0890213B">
                  <w:pPr>
                    <w:spacing w:line="320" w:lineRule="exact"/>
                    <w:jc w:val="left"/>
                    <w:rPr>
                      <w:rFonts w:ascii="Times New Roman" w:hAnsi="Times New Roman" w:cs="Times New Roman"/>
                      <w:szCs w:val="21"/>
                    </w:rPr>
                  </w:pPr>
                  <w:r>
                    <w:rPr>
                      <w:rFonts w:ascii="Times New Roman" w:hAnsi="Times New Roman" w:cs="Times New Roman"/>
                      <w:szCs w:val="21"/>
                    </w:rPr>
                    <w:t>给水由园区</w:t>
                  </w:r>
                  <w:r>
                    <w:rPr>
                      <w:rFonts w:hint="eastAsia" w:ascii="Times New Roman" w:hAnsi="Times New Roman" w:cs="Times New Roman"/>
                      <w:szCs w:val="21"/>
                    </w:rPr>
                    <w:t>市政给水管网统一</w:t>
                  </w:r>
                  <w:r>
                    <w:rPr>
                      <w:rFonts w:ascii="Times New Roman" w:hAnsi="Times New Roman" w:cs="Times New Roman"/>
                      <w:szCs w:val="21"/>
                    </w:rPr>
                    <w:t>供给</w:t>
                  </w:r>
                  <w:r>
                    <w:rPr>
                      <w:rFonts w:hint="eastAsia" w:ascii="Times New Roman" w:hAnsi="Times New Roman" w:cs="Times New Roman"/>
                      <w:szCs w:val="21"/>
                    </w:rPr>
                    <w:t>。</w:t>
                  </w:r>
                </w:p>
              </w:tc>
              <w:tc>
                <w:tcPr>
                  <w:tcW w:w="439" w:type="pct"/>
                  <w:tcBorders>
                    <w:tl2br w:val="nil"/>
                    <w:tr2bl w:val="nil"/>
                  </w:tcBorders>
                  <w:vAlign w:val="center"/>
                </w:tcPr>
                <w:p w14:paraId="1C578FB4">
                  <w:pPr>
                    <w:spacing w:line="320" w:lineRule="exact"/>
                    <w:jc w:val="left"/>
                    <w:rPr>
                      <w:rFonts w:ascii="Times New Roman" w:hAnsi="Times New Roman" w:cs="Times New Roman"/>
                      <w:szCs w:val="21"/>
                    </w:rPr>
                  </w:pPr>
                  <w:r>
                    <w:rPr>
                      <w:rFonts w:hint="eastAsia" w:ascii="Times New Roman" w:hAnsi="Times New Roman" w:cs="Times New Roman"/>
                      <w:szCs w:val="21"/>
                    </w:rPr>
                    <w:t>依托</w:t>
                  </w:r>
                </w:p>
              </w:tc>
            </w:tr>
            <w:tr w14:paraId="5747AE3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453" w:type="pct"/>
                  <w:vMerge w:val="continue"/>
                  <w:tcBorders>
                    <w:tl2br w:val="nil"/>
                    <w:tr2bl w:val="nil"/>
                  </w:tcBorders>
                  <w:vAlign w:val="center"/>
                </w:tcPr>
                <w:p w14:paraId="76574C71">
                  <w:pPr>
                    <w:spacing w:line="320" w:lineRule="exact"/>
                    <w:jc w:val="center"/>
                    <w:rPr>
                      <w:rFonts w:ascii="Times New Roman" w:hAnsi="Times New Roman" w:cs="Times New Roman"/>
                      <w:szCs w:val="21"/>
                    </w:rPr>
                  </w:pPr>
                </w:p>
              </w:tc>
              <w:tc>
                <w:tcPr>
                  <w:tcW w:w="1146" w:type="pct"/>
                  <w:gridSpan w:val="2"/>
                  <w:tcBorders>
                    <w:tl2br w:val="nil"/>
                    <w:tr2bl w:val="nil"/>
                  </w:tcBorders>
                  <w:vAlign w:val="center"/>
                </w:tcPr>
                <w:p w14:paraId="0E1C803E">
                  <w:pPr>
                    <w:spacing w:line="320" w:lineRule="exact"/>
                    <w:ind w:firstLine="420" w:firstLineChars="200"/>
                    <w:jc w:val="left"/>
                    <w:rPr>
                      <w:rFonts w:ascii="Times New Roman" w:hAnsi="Times New Roman" w:cs="Times New Roman"/>
                      <w:szCs w:val="21"/>
                    </w:rPr>
                  </w:pPr>
                  <w:r>
                    <w:rPr>
                      <w:rFonts w:ascii="Times New Roman" w:hAnsi="Times New Roman" w:cs="Times New Roman"/>
                      <w:szCs w:val="21"/>
                    </w:rPr>
                    <w:t>排水工程</w:t>
                  </w:r>
                </w:p>
              </w:tc>
              <w:tc>
                <w:tcPr>
                  <w:tcW w:w="2958" w:type="pct"/>
                  <w:tcBorders>
                    <w:tl2br w:val="nil"/>
                    <w:tr2bl w:val="nil"/>
                  </w:tcBorders>
                  <w:vAlign w:val="center"/>
                </w:tcPr>
                <w:p w14:paraId="7670814B">
                  <w:pPr>
                    <w:spacing w:line="320" w:lineRule="exact"/>
                    <w:jc w:val="left"/>
                    <w:rPr>
                      <w:rFonts w:ascii="Times New Roman" w:hAnsi="Times New Roman" w:cs="Times New Roman"/>
                      <w:szCs w:val="21"/>
                    </w:rPr>
                  </w:pPr>
                  <w:r>
                    <w:rPr>
                      <w:rFonts w:hint="eastAsia" w:ascii="Times New Roman" w:hAnsi="Times New Roman" w:cs="Times New Roman"/>
                      <w:szCs w:val="21"/>
                    </w:rPr>
                    <w:t>二期收集的</w:t>
                  </w:r>
                  <w:r>
                    <w:rPr>
                      <w:rFonts w:ascii="Times New Roman" w:hAnsi="Times New Roman" w:cs="Times New Roman"/>
                      <w:szCs w:val="21"/>
                    </w:rPr>
                    <w:t>生产废水、初期雨水（LNG厂生产区）、循环水系统含盐污水</w:t>
                  </w:r>
                  <w:r>
                    <w:rPr>
                      <w:rFonts w:hint="eastAsia" w:ascii="Times New Roman" w:hAnsi="Times New Roman" w:cs="Times New Roman"/>
                      <w:szCs w:val="21"/>
                    </w:rPr>
                    <w:t>、处理后的</w:t>
                  </w:r>
                  <w:r>
                    <w:rPr>
                      <w:rFonts w:ascii="Times New Roman" w:hAnsi="Times New Roman" w:cs="Times New Roman"/>
                      <w:szCs w:val="21"/>
                    </w:rPr>
                    <w:t>生活污水</w:t>
                  </w:r>
                  <w:r>
                    <w:rPr>
                      <w:rFonts w:hint="eastAsia" w:ascii="Times New Roman" w:hAnsi="Times New Roman" w:cs="Times New Roman"/>
                      <w:szCs w:val="21"/>
                    </w:rPr>
                    <w:t>分别</w:t>
                  </w:r>
                  <w:r>
                    <w:rPr>
                      <w:rFonts w:ascii="Times New Roman" w:hAnsi="Times New Roman" w:cs="Times New Roman"/>
                      <w:szCs w:val="21"/>
                    </w:rPr>
                    <w:t>经</w:t>
                  </w:r>
                  <w:r>
                    <w:rPr>
                      <w:rFonts w:hint="eastAsia" w:ascii="Times New Roman" w:hAnsi="Times New Roman" w:cs="Times New Roman"/>
                      <w:szCs w:val="21"/>
                    </w:rPr>
                    <w:t>提升</w:t>
                  </w:r>
                  <w:r>
                    <w:rPr>
                      <w:rFonts w:ascii="Times New Roman" w:hAnsi="Times New Roman" w:cs="Times New Roman"/>
                      <w:szCs w:val="21"/>
                    </w:rPr>
                    <w:t>泵提升</w:t>
                  </w:r>
                  <w:r>
                    <w:rPr>
                      <w:rFonts w:hint="eastAsia" w:ascii="Times New Roman" w:hAnsi="Times New Roman" w:cs="Times New Roman"/>
                      <w:szCs w:val="21"/>
                    </w:rPr>
                    <w:t>汇合后与一期废水</w:t>
                  </w:r>
                  <w:r>
                    <w:rPr>
                      <w:rFonts w:ascii="Times New Roman" w:hAnsi="Times New Roman" w:cs="Times New Roman"/>
                      <w:szCs w:val="21"/>
                    </w:rPr>
                    <w:t>经同一外排口输送至潘家坝污水处理厂集中处理。清净雨水和循环冷却水（非含盐污水）排入雨水管道。</w:t>
                  </w:r>
                </w:p>
              </w:tc>
              <w:tc>
                <w:tcPr>
                  <w:tcW w:w="439" w:type="pct"/>
                  <w:tcBorders>
                    <w:tl2br w:val="nil"/>
                    <w:tr2bl w:val="nil"/>
                  </w:tcBorders>
                  <w:vAlign w:val="center"/>
                </w:tcPr>
                <w:p w14:paraId="551D11FB">
                  <w:pPr>
                    <w:spacing w:line="320" w:lineRule="exact"/>
                    <w:jc w:val="left"/>
                    <w:rPr>
                      <w:rFonts w:ascii="Times New Roman" w:hAnsi="Times New Roman" w:cs="Times New Roman"/>
                      <w:szCs w:val="21"/>
                    </w:rPr>
                  </w:pPr>
                  <w:r>
                    <w:rPr>
                      <w:rFonts w:hint="eastAsia" w:ascii="Times New Roman" w:hAnsi="Times New Roman" w:cs="Times New Roman"/>
                      <w:szCs w:val="21"/>
                    </w:rPr>
                    <w:t>新增/依托</w:t>
                  </w:r>
                </w:p>
              </w:tc>
            </w:tr>
            <w:tr w14:paraId="2DD12BB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3" w:type="pct"/>
                  <w:vMerge w:val="continue"/>
                  <w:tcBorders>
                    <w:tl2br w:val="nil"/>
                    <w:tr2bl w:val="nil"/>
                  </w:tcBorders>
                  <w:vAlign w:val="center"/>
                </w:tcPr>
                <w:p w14:paraId="73F33A43">
                  <w:pPr>
                    <w:spacing w:line="320" w:lineRule="exact"/>
                    <w:jc w:val="center"/>
                    <w:rPr>
                      <w:rFonts w:ascii="Times New Roman" w:hAnsi="Times New Roman" w:cs="Times New Roman"/>
                      <w:szCs w:val="21"/>
                    </w:rPr>
                  </w:pPr>
                </w:p>
              </w:tc>
              <w:tc>
                <w:tcPr>
                  <w:tcW w:w="1146" w:type="pct"/>
                  <w:gridSpan w:val="2"/>
                  <w:tcBorders>
                    <w:tl2br w:val="nil"/>
                    <w:tr2bl w:val="nil"/>
                  </w:tcBorders>
                  <w:vAlign w:val="center"/>
                </w:tcPr>
                <w:p w14:paraId="550F04B7">
                  <w:pPr>
                    <w:spacing w:line="320" w:lineRule="exact"/>
                    <w:jc w:val="center"/>
                    <w:rPr>
                      <w:rFonts w:ascii="Times New Roman" w:hAnsi="Times New Roman" w:cs="Times New Roman"/>
                      <w:szCs w:val="21"/>
                    </w:rPr>
                  </w:pPr>
                  <w:r>
                    <w:rPr>
                      <w:rFonts w:ascii="Times New Roman" w:hAnsi="Times New Roman" w:cs="Times New Roman"/>
                      <w:szCs w:val="21"/>
                    </w:rPr>
                    <w:t>空压站</w:t>
                  </w:r>
                </w:p>
              </w:tc>
              <w:tc>
                <w:tcPr>
                  <w:tcW w:w="2958" w:type="pct"/>
                  <w:tcBorders>
                    <w:tl2br w:val="nil"/>
                    <w:tr2bl w:val="nil"/>
                  </w:tcBorders>
                  <w:vAlign w:val="center"/>
                </w:tcPr>
                <w:p w14:paraId="3C34BB5E">
                  <w:pPr>
                    <w:spacing w:line="320" w:lineRule="exact"/>
                    <w:jc w:val="left"/>
                    <w:rPr>
                      <w:rFonts w:ascii="Times New Roman" w:hAnsi="Times New Roman" w:cs="Times New Roman"/>
                      <w:szCs w:val="21"/>
                    </w:rPr>
                  </w:pPr>
                  <w:r>
                    <w:rPr>
                      <w:rFonts w:hint="eastAsia" w:ascii="Times New Roman" w:hAnsi="Times New Roman" w:cs="Times New Roman"/>
                      <w:szCs w:val="21"/>
                    </w:rPr>
                    <w:t>增加2</w:t>
                  </w:r>
                  <w:r>
                    <w:rPr>
                      <w:rFonts w:ascii="Times New Roman" w:hAnsi="Times New Roman" w:cs="Times New Roman"/>
                      <w:szCs w:val="21"/>
                    </w:rPr>
                    <w:t>台空气压缩机</w:t>
                  </w:r>
                </w:p>
              </w:tc>
              <w:tc>
                <w:tcPr>
                  <w:tcW w:w="439" w:type="pct"/>
                  <w:tcBorders>
                    <w:tl2br w:val="nil"/>
                    <w:tr2bl w:val="nil"/>
                  </w:tcBorders>
                  <w:vAlign w:val="center"/>
                </w:tcPr>
                <w:p w14:paraId="4E04EBA6">
                  <w:pPr>
                    <w:spacing w:line="320" w:lineRule="exact"/>
                    <w:jc w:val="left"/>
                    <w:rPr>
                      <w:rFonts w:ascii="Times New Roman" w:hAnsi="Times New Roman" w:cs="Times New Roman"/>
                      <w:szCs w:val="21"/>
                    </w:rPr>
                  </w:pPr>
                  <w:r>
                    <w:rPr>
                      <w:rFonts w:hint="eastAsia" w:ascii="Times New Roman" w:hAnsi="Times New Roman" w:cs="Times New Roman"/>
                      <w:szCs w:val="21"/>
                    </w:rPr>
                    <w:t>新增</w:t>
                  </w:r>
                </w:p>
              </w:tc>
            </w:tr>
            <w:tr w14:paraId="759E390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3" w:type="pct"/>
                  <w:vMerge w:val="continue"/>
                  <w:tcBorders>
                    <w:tl2br w:val="nil"/>
                    <w:tr2bl w:val="nil"/>
                  </w:tcBorders>
                  <w:vAlign w:val="center"/>
                </w:tcPr>
                <w:p w14:paraId="4C87520A">
                  <w:pPr>
                    <w:spacing w:line="320" w:lineRule="exact"/>
                    <w:jc w:val="center"/>
                    <w:rPr>
                      <w:rFonts w:ascii="Times New Roman" w:hAnsi="Times New Roman" w:cs="Times New Roman"/>
                      <w:szCs w:val="21"/>
                    </w:rPr>
                  </w:pPr>
                </w:p>
              </w:tc>
              <w:tc>
                <w:tcPr>
                  <w:tcW w:w="1146" w:type="pct"/>
                  <w:gridSpan w:val="2"/>
                  <w:tcBorders>
                    <w:tl2br w:val="nil"/>
                    <w:tr2bl w:val="nil"/>
                  </w:tcBorders>
                  <w:vAlign w:val="center"/>
                </w:tcPr>
                <w:p w14:paraId="7E6330CE">
                  <w:pPr>
                    <w:spacing w:line="320" w:lineRule="exact"/>
                    <w:jc w:val="center"/>
                    <w:rPr>
                      <w:rFonts w:ascii="Times New Roman" w:hAnsi="Times New Roman" w:cs="Times New Roman"/>
                      <w:szCs w:val="21"/>
                    </w:rPr>
                  </w:pPr>
                  <w:r>
                    <w:rPr>
                      <w:rFonts w:ascii="Times New Roman" w:hAnsi="Times New Roman" w:cs="Times New Roman"/>
                      <w:szCs w:val="21"/>
                    </w:rPr>
                    <w:t>循环水场</w:t>
                  </w:r>
                </w:p>
              </w:tc>
              <w:tc>
                <w:tcPr>
                  <w:tcW w:w="2958" w:type="pct"/>
                  <w:tcBorders>
                    <w:tl2br w:val="nil"/>
                    <w:tr2bl w:val="nil"/>
                  </w:tcBorders>
                  <w:vAlign w:val="center"/>
                </w:tcPr>
                <w:p w14:paraId="3E54539C">
                  <w:pPr>
                    <w:spacing w:line="320" w:lineRule="exact"/>
                    <w:jc w:val="left"/>
                    <w:rPr>
                      <w:rFonts w:ascii="Times New Roman" w:hAnsi="Times New Roman" w:cs="Times New Roman"/>
                      <w:szCs w:val="21"/>
                      <w:vertAlign w:val="superscript"/>
                    </w:rPr>
                  </w:pPr>
                  <w:r>
                    <w:rPr>
                      <w:rFonts w:hint="eastAsia" w:ascii="Times New Roman" w:hAnsi="Times New Roman" w:cs="Times New Roman"/>
                      <w:szCs w:val="21"/>
                    </w:rPr>
                    <w:t>在预留场地内增加</w:t>
                  </w:r>
                  <w:r>
                    <w:rPr>
                      <w:rFonts w:ascii="Times New Roman" w:hAnsi="Times New Roman" w:cs="Times New Roman"/>
                      <w:szCs w:val="21"/>
                    </w:rPr>
                    <w:t>设置2台逆流组合式通风冷却塔，单塔能力为3000m</w:t>
                  </w:r>
                  <w:r>
                    <w:rPr>
                      <w:rFonts w:ascii="Times New Roman" w:hAnsi="Times New Roman" w:cs="Times New Roman"/>
                      <w:szCs w:val="21"/>
                      <w:vertAlign w:val="superscript"/>
                    </w:rPr>
                    <w:t>3</w:t>
                  </w:r>
                  <w:r>
                    <w:rPr>
                      <w:rFonts w:ascii="Times New Roman" w:hAnsi="Times New Roman" w:cs="Times New Roman"/>
                      <w:szCs w:val="21"/>
                    </w:rPr>
                    <w:t>/h，设</w:t>
                  </w:r>
                  <w:r>
                    <w:rPr>
                      <w:rFonts w:hint="eastAsia" w:ascii="Times New Roman" w:hAnsi="Times New Roman" w:cs="Times New Roman"/>
                      <w:szCs w:val="21"/>
                    </w:rPr>
                    <w:t>循环水泵</w:t>
                  </w:r>
                  <w:r>
                    <w:rPr>
                      <w:rFonts w:ascii="Times New Roman" w:hAnsi="Times New Roman" w:cs="Times New Roman"/>
                      <w:szCs w:val="21"/>
                    </w:rPr>
                    <w:t>2台，1</w:t>
                  </w:r>
                  <w:r>
                    <w:rPr>
                      <w:rFonts w:hint="eastAsia" w:ascii="Times New Roman" w:hAnsi="Times New Roman" w:cs="Times New Roman"/>
                      <w:szCs w:val="21"/>
                    </w:rPr>
                    <w:t>用</w:t>
                  </w:r>
                  <w:r>
                    <w:rPr>
                      <w:rFonts w:ascii="Times New Roman" w:hAnsi="Times New Roman" w:cs="Times New Roman"/>
                      <w:szCs w:val="21"/>
                    </w:rPr>
                    <w:t>1备，单泵Q=3000m</w:t>
                  </w:r>
                  <w:r>
                    <w:rPr>
                      <w:rFonts w:ascii="Times New Roman" w:hAnsi="Times New Roman" w:cs="Times New Roman"/>
                      <w:szCs w:val="21"/>
                      <w:vertAlign w:val="superscript"/>
                    </w:rPr>
                    <w:t>3</w:t>
                  </w:r>
                  <w:r>
                    <w:rPr>
                      <w:rFonts w:ascii="Times New Roman" w:hAnsi="Times New Roman" w:cs="Times New Roman"/>
                      <w:szCs w:val="21"/>
                    </w:rPr>
                    <w:t>/h，设置吸水池、过滤器、消毒及加药装置、监测换热器等配套设施。</w:t>
                  </w:r>
                </w:p>
              </w:tc>
              <w:tc>
                <w:tcPr>
                  <w:tcW w:w="439" w:type="pct"/>
                  <w:tcBorders>
                    <w:tl2br w:val="nil"/>
                    <w:tr2bl w:val="nil"/>
                  </w:tcBorders>
                  <w:vAlign w:val="center"/>
                </w:tcPr>
                <w:p w14:paraId="44185C6A">
                  <w:pPr>
                    <w:spacing w:line="320" w:lineRule="exact"/>
                    <w:jc w:val="left"/>
                    <w:rPr>
                      <w:rFonts w:ascii="Times New Roman" w:hAnsi="Times New Roman" w:cs="Times New Roman"/>
                      <w:szCs w:val="21"/>
                    </w:rPr>
                  </w:pPr>
                  <w:r>
                    <w:rPr>
                      <w:rFonts w:hint="eastAsia" w:ascii="Times New Roman" w:hAnsi="Times New Roman" w:cs="Times New Roman"/>
                      <w:szCs w:val="21"/>
                    </w:rPr>
                    <w:t>新增</w:t>
                  </w:r>
                </w:p>
              </w:tc>
            </w:tr>
            <w:tr w14:paraId="004743D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53" w:type="pct"/>
                  <w:vMerge w:val="continue"/>
                  <w:tcBorders>
                    <w:tl2br w:val="nil"/>
                    <w:tr2bl w:val="nil"/>
                  </w:tcBorders>
                  <w:vAlign w:val="center"/>
                </w:tcPr>
                <w:p w14:paraId="51FFB32A">
                  <w:pPr>
                    <w:spacing w:line="320" w:lineRule="exact"/>
                    <w:jc w:val="center"/>
                    <w:rPr>
                      <w:rFonts w:ascii="Times New Roman" w:hAnsi="Times New Roman" w:cs="Times New Roman"/>
                      <w:szCs w:val="21"/>
                    </w:rPr>
                  </w:pPr>
                </w:p>
              </w:tc>
              <w:tc>
                <w:tcPr>
                  <w:tcW w:w="1146" w:type="pct"/>
                  <w:gridSpan w:val="2"/>
                  <w:tcBorders>
                    <w:tl2br w:val="nil"/>
                    <w:tr2bl w:val="nil"/>
                  </w:tcBorders>
                  <w:vAlign w:val="center"/>
                </w:tcPr>
                <w:p w14:paraId="59892D72">
                  <w:pPr>
                    <w:spacing w:line="320" w:lineRule="exact"/>
                    <w:jc w:val="center"/>
                    <w:rPr>
                      <w:rFonts w:ascii="Times New Roman" w:hAnsi="Times New Roman" w:cs="Times New Roman"/>
                      <w:szCs w:val="21"/>
                    </w:rPr>
                  </w:pPr>
                  <w:r>
                    <w:rPr>
                      <w:rFonts w:ascii="Times New Roman" w:hAnsi="Times New Roman" w:cs="Times New Roman"/>
                      <w:szCs w:val="21"/>
                    </w:rPr>
                    <w:t>供配电</w:t>
                  </w:r>
                </w:p>
              </w:tc>
              <w:tc>
                <w:tcPr>
                  <w:tcW w:w="2958" w:type="pct"/>
                  <w:tcBorders>
                    <w:tl2br w:val="nil"/>
                    <w:tr2bl w:val="nil"/>
                  </w:tcBorders>
                  <w:vAlign w:val="center"/>
                </w:tcPr>
                <w:p w14:paraId="7EA14A6C">
                  <w:pPr>
                    <w:spacing w:line="320" w:lineRule="exact"/>
                    <w:jc w:val="left"/>
                    <w:rPr>
                      <w:rFonts w:ascii="Times New Roman" w:hAnsi="Times New Roman" w:cs="Times New Roman"/>
                      <w:szCs w:val="21"/>
                    </w:rPr>
                  </w:pPr>
                  <w:r>
                    <w:rPr>
                      <w:rFonts w:hint="eastAsia" w:ascii="Times New Roman" w:hAnsi="Times New Roman" w:cs="Times New Roman"/>
                      <w:szCs w:val="21"/>
                    </w:rPr>
                    <w:t>在原有变电所基础上新增一座低压配电室</w:t>
                  </w:r>
                </w:p>
              </w:tc>
              <w:tc>
                <w:tcPr>
                  <w:tcW w:w="439" w:type="pct"/>
                  <w:tcBorders>
                    <w:tl2br w:val="nil"/>
                    <w:tr2bl w:val="nil"/>
                  </w:tcBorders>
                  <w:vAlign w:val="center"/>
                </w:tcPr>
                <w:p w14:paraId="0CB1138A">
                  <w:pPr>
                    <w:spacing w:line="320" w:lineRule="exact"/>
                    <w:jc w:val="left"/>
                    <w:rPr>
                      <w:rFonts w:ascii="Times New Roman" w:hAnsi="Times New Roman" w:cs="Times New Roman"/>
                      <w:szCs w:val="21"/>
                    </w:rPr>
                  </w:pPr>
                  <w:r>
                    <w:rPr>
                      <w:rFonts w:hint="eastAsia" w:ascii="Times New Roman" w:hAnsi="Times New Roman" w:cs="Times New Roman"/>
                      <w:szCs w:val="21"/>
                    </w:rPr>
                    <w:t>扩建</w:t>
                  </w:r>
                </w:p>
              </w:tc>
            </w:tr>
            <w:tr w14:paraId="09F36E6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53" w:type="pct"/>
                  <w:vMerge w:val="continue"/>
                  <w:tcBorders>
                    <w:tl2br w:val="nil"/>
                    <w:tr2bl w:val="nil"/>
                  </w:tcBorders>
                  <w:vAlign w:val="center"/>
                </w:tcPr>
                <w:p w14:paraId="4901629F">
                  <w:pPr>
                    <w:spacing w:line="320" w:lineRule="exact"/>
                    <w:jc w:val="center"/>
                    <w:rPr>
                      <w:rFonts w:ascii="Times New Roman" w:hAnsi="Times New Roman" w:cs="Times New Roman"/>
                      <w:szCs w:val="21"/>
                    </w:rPr>
                  </w:pPr>
                </w:p>
              </w:tc>
              <w:tc>
                <w:tcPr>
                  <w:tcW w:w="1146" w:type="pct"/>
                  <w:gridSpan w:val="2"/>
                  <w:tcBorders>
                    <w:tl2br w:val="nil"/>
                    <w:tr2bl w:val="nil"/>
                  </w:tcBorders>
                  <w:vAlign w:val="center"/>
                </w:tcPr>
                <w:p w14:paraId="5531425B">
                  <w:pPr>
                    <w:spacing w:line="320" w:lineRule="exact"/>
                    <w:jc w:val="center"/>
                    <w:rPr>
                      <w:rFonts w:ascii="Times New Roman" w:hAnsi="Times New Roman" w:cs="Times New Roman"/>
                      <w:szCs w:val="21"/>
                    </w:rPr>
                  </w:pPr>
                  <w:r>
                    <w:rPr>
                      <w:rFonts w:ascii="Times New Roman" w:hAnsi="Times New Roman" w:cs="Times New Roman"/>
                      <w:szCs w:val="21"/>
                    </w:rPr>
                    <w:t>消防</w:t>
                  </w:r>
                </w:p>
              </w:tc>
              <w:tc>
                <w:tcPr>
                  <w:tcW w:w="2958" w:type="pct"/>
                  <w:tcBorders>
                    <w:tl2br w:val="nil"/>
                    <w:tr2bl w:val="nil"/>
                  </w:tcBorders>
                  <w:vAlign w:val="center"/>
                </w:tcPr>
                <w:p w14:paraId="5DCB880E">
                  <w:pPr>
                    <w:spacing w:line="320" w:lineRule="exact"/>
                    <w:jc w:val="left"/>
                    <w:rPr>
                      <w:rFonts w:ascii="Times New Roman" w:hAnsi="Times New Roman" w:cs="Times New Roman"/>
                      <w:szCs w:val="21"/>
                    </w:rPr>
                  </w:pPr>
                  <w:r>
                    <w:rPr>
                      <w:rFonts w:hint="eastAsia" w:ascii="Times New Roman" w:hAnsi="Times New Roman" w:cs="Times New Roman"/>
                      <w:szCs w:val="21"/>
                    </w:rPr>
                    <w:t>依托一期</w:t>
                  </w:r>
                  <w:r>
                    <w:rPr>
                      <w:rFonts w:ascii="Times New Roman" w:hAnsi="Times New Roman" w:cs="Times New Roman"/>
                      <w:szCs w:val="21"/>
                    </w:rPr>
                    <w:t>DN150消防水管网、室外消火栓、水炮、高倍数泡沫灭火系统、干粉灭火系统、火灾自动报警系统、可燃检测报警系统、稳高压消防给水系统、消防水站，设置防水储罐2座，单罐容积为3000m</w:t>
                  </w:r>
                  <w:r>
                    <w:rPr>
                      <w:rFonts w:ascii="Times New Roman" w:hAnsi="Times New Roman" w:cs="Times New Roman"/>
                      <w:szCs w:val="21"/>
                      <w:vertAlign w:val="superscript"/>
                    </w:rPr>
                    <w:t>3</w:t>
                  </w:r>
                  <w:r>
                    <w:rPr>
                      <w:rFonts w:ascii="Times New Roman" w:hAnsi="Times New Roman" w:cs="Times New Roman"/>
                      <w:szCs w:val="21"/>
                    </w:rPr>
                    <w:t>，消防水罐总容积为6000m</w:t>
                  </w:r>
                  <w:r>
                    <w:rPr>
                      <w:rFonts w:ascii="Times New Roman" w:hAnsi="Times New Roman" w:cs="Times New Roman"/>
                      <w:szCs w:val="21"/>
                      <w:vertAlign w:val="superscript"/>
                    </w:rPr>
                    <w:t>3</w:t>
                  </w:r>
                  <w:r>
                    <w:rPr>
                      <w:rFonts w:ascii="Times New Roman" w:hAnsi="Times New Roman" w:cs="Times New Roman"/>
                      <w:szCs w:val="21"/>
                    </w:rPr>
                    <w:t>，同时设有消防水泵和稳压泵，日常保持稳高压消防管网压力0.7~1.2MPa。</w:t>
                  </w:r>
                </w:p>
              </w:tc>
              <w:tc>
                <w:tcPr>
                  <w:tcW w:w="439" w:type="pct"/>
                  <w:tcBorders>
                    <w:tl2br w:val="nil"/>
                    <w:tr2bl w:val="nil"/>
                  </w:tcBorders>
                  <w:vAlign w:val="center"/>
                </w:tcPr>
                <w:p w14:paraId="642F699C">
                  <w:pPr>
                    <w:spacing w:line="320" w:lineRule="exact"/>
                    <w:jc w:val="left"/>
                    <w:rPr>
                      <w:rFonts w:ascii="Times New Roman" w:hAnsi="Times New Roman" w:cs="Times New Roman"/>
                      <w:szCs w:val="21"/>
                    </w:rPr>
                  </w:pPr>
                  <w:r>
                    <w:rPr>
                      <w:rFonts w:hint="eastAsia" w:ascii="Times New Roman" w:hAnsi="Times New Roman" w:cs="Times New Roman"/>
                      <w:szCs w:val="21"/>
                    </w:rPr>
                    <w:t>依托</w:t>
                  </w:r>
                </w:p>
              </w:tc>
            </w:tr>
            <w:tr w14:paraId="435797A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53" w:type="pct"/>
                  <w:vMerge w:val="continue"/>
                  <w:tcBorders>
                    <w:tl2br w:val="nil"/>
                    <w:tr2bl w:val="nil"/>
                  </w:tcBorders>
                  <w:vAlign w:val="center"/>
                </w:tcPr>
                <w:p w14:paraId="5ADFFC86">
                  <w:pPr>
                    <w:spacing w:line="320" w:lineRule="exact"/>
                    <w:jc w:val="center"/>
                    <w:rPr>
                      <w:rFonts w:ascii="Times New Roman" w:hAnsi="Times New Roman" w:cs="Times New Roman"/>
                      <w:szCs w:val="21"/>
                    </w:rPr>
                  </w:pPr>
                </w:p>
              </w:tc>
              <w:tc>
                <w:tcPr>
                  <w:tcW w:w="1146" w:type="pct"/>
                  <w:gridSpan w:val="2"/>
                  <w:tcBorders>
                    <w:tl2br w:val="nil"/>
                    <w:tr2bl w:val="nil"/>
                  </w:tcBorders>
                  <w:vAlign w:val="center"/>
                </w:tcPr>
                <w:p w14:paraId="5DE791F8">
                  <w:pPr>
                    <w:spacing w:line="320" w:lineRule="exact"/>
                    <w:jc w:val="center"/>
                    <w:rPr>
                      <w:rFonts w:ascii="Times New Roman" w:hAnsi="Times New Roman" w:cs="Times New Roman"/>
                      <w:szCs w:val="21"/>
                    </w:rPr>
                  </w:pPr>
                  <w:r>
                    <w:rPr>
                      <w:rFonts w:ascii="Times New Roman" w:hAnsi="Times New Roman" w:cs="Times New Roman"/>
                      <w:szCs w:val="21"/>
                    </w:rPr>
                    <w:t>供热</w:t>
                  </w:r>
                </w:p>
              </w:tc>
              <w:tc>
                <w:tcPr>
                  <w:tcW w:w="2958" w:type="pct"/>
                  <w:tcBorders>
                    <w:tl2br w:val="nil"/>
                    <w:tr2bl w:val="nil"/>
                  </w:tcBorders>
                  <w:vAlign w:val="center"/>
                </w:tcPr>
                <w:p w14:paraId="17D7C983">
                  <w:pPr>
                    <w:spacing w:line="320" w:lineRule="exact"/>
                    <w:jc w:val="left"/>
                    <w:rPr>
                      <w:rFonts w:ascii="Times New Roman" w:hAnsi="Times New Roman" w:cs="Times New Roman"/>
                      <w:szCs w:val="21"/>
                    </w:rPr>
                  </w:pPr>
                  <w:r>
                    <w:rPr>
                      <w:rFonts w:ascii="Times New Roman" w:hAnsi="Times New Roman" w:cs="Times New Roman"/>
                      <w:szCs w:val="21"/>
                    </w:rPr>
                    <w:t>项目用热主要为生产用热。工艺装置用热负荷主要为再生用热，作为MDEA（N-甲基二乙醇胺）再生和分子筛再生，生产用热负荷1740KW，</w:t>
                  </w:r>
                  <w:r>
                    <w:rPr>
                      <w:rFonts w:hint="eastAsia" w:ascii="Times New Roman" w:hAnsi="Times New Roman" w:cs="Times New Roman"/>
                      <w:szCs w:val="21"/>
                    </w:rPr>
                    <w:t>新增一台燃气</w:t>
                  </w:r>
                  <w:r>
                    <w:rPr>
                      <w:rFonts w:ascii="Times New Roman" w:hAnsi="Times New Roman" w:cs="Times New Roman"/>
                      <w:szCs w:val="21"/>
                    </w:rPr>
                    <w:t>导热油炉</w:t>
                  </w:r>
                  <w:r>
                    <w:rPr>
                      <w:rFonts w:hint="eastAsia" w:ascii="Times New Roman" w:hAnsi="Times New Roman" w:cs="Times New Roman"/>
                      <w:szCs w:val="21"/>
                    </w:rPr>
                    <w:t>（1台，3MW）</w:t>
                  </w:r>
                  <w:r>
                    <w:rPr>
                      <w:rFonts w:ascii="Times New Roman" w:hAnsi="Times New Roman" w:cs="Times New Roman"/>
                      <w:szCs w:val="21"/>
                    </w:rPr>
                    <w:t>供热</w:t>
                  </w:r>
                  <w:r>
                    <w:rPr>
                      <w:rFonts w:hint="eastAsia" w:ascii="Times New Roman" w:hAnsi="Times New Roman" w:cs="Times New Roman"/>
                      <w:szCs w:val="21"/>
                    </w:rPr>
                    <w:t>，</w:t>
                  </w:r>
                  <w:r>
                    <w:rPr>
                      <w:rFonts w:ascii="Times New Roman" w:hAnsi="Times New Roman" w:cs="Times New Roman"/>
                      <w:szCs w:val="21"/>
                    </w:rPr>
                    <w:t>导热油炉温度控制在350℃左右</w:t>
                  </w:r>
                  <w:r>
                    <w:rPr>
                      <w:rFonts w:hint="eastAsia" w:ascii="Times New Roman" w:hAnsi="Times New Roman" w:cs="Times New Roman"/>
                      <w:szCs w:val="21"/>
                    </w:rPr>
                    <w:t>，</w:t>
                  </w:r>
                  <w:r>
                    <w:rPr>
                      <w:rFonts w:ascii="Times New Roman" w:hAnsi="Times New Roman" w:cs="Times New Roman"/>
                      <w:szCs w:val="21"/>
                    </w:rPr>
                    <w:t>燃料气主要为进站天然气、</w:t>
                  </w:r>
                  <w:r>
                    <w:rPr>
                      <w:rFonts w:hint="eastAsia" w:ascii="Times New Roman" w:hAnsi="Times New Roman" w:cs="Times New Roman"/>
                      <w:szCs w:val="21"/>
                    </w:rPr>
                    <w:t>LNG储罐闪蒸汽和MDEA闪蒸罐闪蒸汽等</w:t>
                  </w:r>
                  <w:r>
                    <w:rPr>
                      <w:rFonts w:ascii="Times New Roman" w:hAnsi="Times New Roman" w:cs="Times New Roman"/>
                      <w:szCs w:val="21"/>
                    </w:rPr>
                    <w:t>，配置燃气分离器和过滤器各一套，分离过滤稳压后供导热油炉使用。</w:t>
                  </w:r>
                </w:p>
              </w:tc>
              <w:tc>
                <w:tcPr>
                  <w:tcW w:w="439" w:type="pct"/>
                  <w:tcBorders>
                    <w:tl2br w:val="nil"/>
                    <w:tr2bl w:val="nil"/>
                  </w:tcBorders>
                  <w:vAlign w:val="center"/>
                </w:tcPr>
                <w:p w14:paraId="4C5A6814">
                  <w:pPr>
                    <w:spacing w:line="320" w:lineRule="exact"/>
                    <w:jc w:val="left"/>
                    <w:rPr>
                      <w:rFonts w:ascii="Times New Roman" w:hAnsi="Times New Roman" w:cs="Times New Roman"/>
                      <w:szCs w:val="21"/>
                    </w:rPr>
                  </w:pPr>
                  <w:r>
                    <w:rPr>
                      <w:rFonts w:hint="eastAsia" w:ascii="Times New Roman" w:hAnsi="Times New Roman" w:cs="Times New Roman"/>
                      <w:szCs w:val="21"/>
                    </w:rPr>
                    <w:t>新增</w:t>
                  </w:r>
                </w:p>
              </w:tc>
            </w:tr>
            <w:tr w14:paraId="5343312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53" w:type="pct"/>
                  <w:vMerge w:val="restart"/>
                  <w:tcBorders>
                    <w:tl2br w:val="nil"/>
                    <w:tr2bl w:val="nil"/>
                  </w:tcBorders>
                  <w:vAlign w:val="center"/>
                </w:tcPr>
                <w:p w14:paraId="12622AC7">
                  <w:pPr>
                    <w:spacing w:line="320" w:lineRule="exact"/>
                    <w:jc w:val="center"/>
                    <w:rPr>
                      <w:rFonts w:ascii="Times New Roman" w:hAnsi="Times New Roman" w:cs="Times New Roman"/>
                      <w:szCs w:val="21"/>
                    </w:rPr>
                  </w:pPr>
                  <w:r>
                    <w:rPr>
                      <w:rFonts w:ascii="Times New Roman" w:hAnsi="Times New Roman" w:cs="Times New Roman"/>
                      <w:szCs w:val="21"/>
                    </w:rPr>
                    <w:t>环保</w:t>
                  </w:r>
                </w:p>
                <w:p w14:paraId="5B0FDBD9">
                  <w:pPr>
                    <w:spacing w:line="320" w:lineRule="exact"/>
                    <w:jc w:val="center"/>
                    <w:rPr>
                      <w:rFonts w:ascii="Times New Roman" w:hAnsi="Times New Roman" w:cs="Times New Roman"/>
                      <w:szCs w:val="21"/>
                    </w:rPr>
                  </w:pPr>
                  <w:r>
                    <w:rPr>
                      <w:rFonts w:ascii="Times New Roman" w:hAnsi="Times New Roman" w:cs="Times New Roman"/>
                      <w:szCs w:val="21"/>
                    </w:rPr>
                    <w:t>工程</w:t>
                  </w:r>
                </w:p>
              </w:tc>
              <w:tc>
                <w:tcPr>
                  <w:tcW w:w="1146" w:type="pct"/>
                  <w:gridSpan w:val="2"/>
                  <w:tcBorders>
                    <w:tl2br w:val="nil"/>
                    <w:tr2bl w:val="nil"/>
                  </w:tcBorders>
                  <w:vAlign w:val="center"/>
                </w:tcPr>
                <w:p w14:paraId="0A71FF95">
                  <w:pPr>
                    <w:spacing w:line="320" w:lineRule="exact"/>
                    <w:jc w:val="center"/>
                    <w:rPr>
                      <w:rFonts w:ascii="Times New Roman" w:hAnsi="Times New Roman" w:cs="Times New Roman"/>
                      <w:szCs w:val="21"/>
                    </w:rPr>
                  </w:pPr>
                  <w:r>
                    <w:rPr>
                      <w:rFonts w:ascii="Times New Roman" w:hAnsi="Times New Roman" w:cs="Times New Roman"/>
                      <w:szCs w:val="21"/>
                    </w:rPr>
                    <w:t>污水处理</w:t>
                  </w:r>
                </w:p>
              </w:tc>
              <w:tc>
                <w:tcPr>
                  <w:tcW w:w="2958" w:type="pct"/>
                  <w:tcBorders>
                    <w:tl2br w:val="nil"/>
                    <w:tr2bl w:val="nil"/>
                  </w:tcBorders>
                  <w:vAlign w:val="center"/>
                </w:tcPr>
                <w:p w14:paraId="5266B23F">
                  <w:pPr>
                    <w:spacing w:line="320" w:lineRule="exact"/>
                    <w:jc w:val="left"/>
                    <w:rPr>
                      <w:rFonts w:ascii="Times New Roman" w:hAnsi="Times New Roman" w:cs="Times New Roman"/>
                      <w:szCs w:val="21"/>
                    </w:rPr>
                  </w:pPr>
                  <w:r>
                    <w:rPr>
                      <w:rFonts w:ascii="Times New Roman" w:hAnsi="Times New Roman" w:cs="Times New Roman"/>
                      <w:szCs w:val="21"/>
                    </w:rPr>
                    <w:t>1、生产废水</w:t>
                  </w:r>
                  <w:r>
                    <w:rPr>
                      <w:rFonts w:hint="eastAsia" w:ascii="Times New Roman" w:hAnsi="Times New Roman" w:cs="Times New Roman"/>
                      <w:szCs w:val="21"/>
                    </w:rPr>
                    <w:t>：</w:t>
                  </w:r>
                  <w:r>
                    <w:rPr>
                      <w:rFonts w:ascii="Times New Roman" w:hAnsi="Times New Roman" w:cs="Times New Roman"/>
                      <w:szCs w:val="21"/>
                    </w:rPr>
                    <w:t>主要来自工艺装置、地面冲洗水等，经重力由生产废水管道排入</w:t>
                  </w:r>
                  <w:r>
                    <w:rPr>
                      <w:rFonts w:hint="eastAsia" w:ascii="Times New Roman" w:hAnsi="Times New Roman" w:cs="Times New Roman"/>
                      <w:szCs w:val="21"/>
                    </w:rPr>
                    <w:t>生产废水池</w:t>
                  </w:r>
                  <w:r>
                    <w:rPr>
                      <w:rFonts w:ascii="Times New Roman" w:hAnsi="Times New Roman" w:cs="Times New Roman"/>
                      <w:szCs w:val="21"/>
                    </w:rPr>
                    <w:t>（</w:t>
                  </w:r>
                  <w:r>
                    <w:rPr>
                      <w:rFonts w:hint="eastAsia" w:ascii="Times New Roman" w:hAnsi="Times New Roman" w:cs="Times New Roman"/>
                      <w:szCs w:val="21"/>
                    </w:rPr>
                    <w:t>5m*2m*3m</w:t>
                  </w:r>
                  <w:r>
                    <w:rPr>
                      <w:rFonts w:ascii="Times New Roman" w:hAnsi="Times New Roman" w:cs="Times New Roman"/>
                      <w:szCs w:val="21"/>
                    </w:rPr>
                    <w:t>）</w:t>
                  </w:r>
                  <w:r>
                    <w:rPr>
                      <w:rFonts w:hint="eastAsia" w:ascii="Times New Roman" w:hAnsi="Times New Roman" w:cs="Times New Roman"/>
                      <w:szCs w:val="21"/>
                    </w:rPr>
                    <w:t>收集</w:t>
                  </w:r>
                  <w:r>
                    <w:rPr>
                      <w:rFonts w:ascii="Times New Roman" w:hAnsi="Times New Roman" w:cs="Times New Roman"/>
                      <w:szCs w:val="21"/>
                    </w:rPr>
                    <w:t>。</w:t>
                  </w:r>
                </w:p>
                <w:p w14:paraId="48D100CA">
                  <w:pPr>
                    <w:spacing w:line="320" w:lineRule="exact"/>
                    <w:jc w:val="left"/>
                    <w:rPr>
                      <w:rFonts w:ascii="Times New Roman" w:hAnsi="Times New Roman" w:cs="Times New Roman"/>
                      <w:szCs w:val="21"/>
                    </w:rPr>
                  </w:pPr>
                  <w:r>
                    <w:rPr>
                      <w:rFonts w:ascii="Times New Roman" w:hAnsi="Times New Roman" w:cs="Times New Roman"/>
                      <w:szCs w:val="21"/>
                    </w:rPr>
                    <w:t>2、生活污水</w:t>
                  </w:r>
                  <w:r>
                    <w:rPr>
                      <w:rFonts w:hint="eastAsia" w:ascii="Times New Roman" w:hAnsi="Times New Roman" w:cs="Times New Roman"/>
                      <w:szCs w:val="21"/>
                    </w:rPr>
                    <w:t>：依托一期2个</w:t>
                  </w:r>
                  <w:r>
                    <w:rPr>
                      <w:rFonts w:ascii="Times New Roman" w:hAnsi="Times New Roman" w:cs="Times New Roman"/>
                      <w:szCs w:val="21"/>
                    </w:rPr>
                    <w:t>生化池</w:t>
                  </w:r>
                  <w:r>
                    <w:rPr>
                      <w:rFonts w:hint="eastAsia" w:ascii="Times New Roman" w:hAnsi="Times New Roman" w:cs="Times New Roman"/>
                      <w:szCs w:val="21"/>
                    </w:rPr>
                    <w:t>处理，其中1#生化池位于综合楼旁，</w:t>
                  </w:r>
                  <w:r>
                    <w:rPr>
                      <w:rFonts w:ascii="Times New Roman" w:hAnsi="Times New Roman" w:cs="Times New Roman"/>
                      <w:szCs w:val="21"/>
                    </w:rPr>
                    <w:t>设计处理规模1</w:t>
                  </w:r>
                  <w:r>
                    <w:rPr>
                      <w:rFonts w:hint="eastAsia" w:ascii="Times New Roman" w:hAnsi="Times New Roman" w:cs="Times New Roman"/>
                      <w:szCs w:val="21"/>
                    </w:rPr>
                    <w:t>2</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/d</w:t>
                  </w:r>
                  <w:r>
                    <w:rPr>
                      <w:rFonts w:hint="eastAsia" w:ascii="Times New Roman" w:hAnsi="Times New Roman" w:cs="Times New Roman"/>
                      <w:szCs w:val="21"/>
                    </w:rPr>
                    <w:t>，2#生化池位于装卸区旁，</w:t>
                  </w:r>
                  <w:r>
                    <w:rPr>
                      <w:rFonts w:ascii="Times New Roman" w:hAnsi="Times New Roman" w:cs="Times New Roman"/>
                      <w:szCs w:val="21"/>
                    </w:rPr>
                    <w:t>设计处理规模</w:t>
                  </w:r>
                  <w:r>
                    <w:rPr>
                      <w:rFonts w:hint="eastAsia" w:ascii="Times New Roman" w:hAnsi="Times New Roman" w:cs="Times New Roman"/>
                      <w:szCs w:val="21"/>
                    </w:rPr>
                    <w:t>6</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/d。</w:t>
                  </w:r>
                </w:p>
                <w:p w14:paraId="1518206C">
                  <w:pPr>
                    <w:spacing w:line="320" w:lineRule="exact"/>
                    <w:jc w:val="left"/>
                  </w:pPr>
                  <w:r>
                    <w:rPr>
                      <w:rFonts w:ascii="Times New Roman" w:hAnsi="Times New Roman" w:cs="Times New Roman"/>
                      <w:szCs w:val="21"/>
                    </w:rPr>
                    <w:t>3、</w:t>
                  </w:r>
                  <w:r>
                    <w:rPr>
                      <w:rFonts w:hint="eastAsia" w:ascii="Times New Roman" w:hAnsi="Times New Roman" w:cs="Times New Roman"/>
                      <w:szCs w:val="21"/>
                    </w:rPr>
                    <w:t>新增</w:t>
                  </w:r>
                  <w:r>
                    <w:rPr>
                      <w:rFonts w:ascii="Times New Roman" w:hAnsi="Times New Roman" w:cs="Times New Roman"/>
                      <w:szCs w:val="21"/>
                    </w:rPr>
                    <w:t>循环</w:t>
                  </w:r>
                  <w:r>
                    <w:rPr>
                      <w:rFonts w:hint="eastAsia" w:ascii="Times New Roman" w:hAnsi="Times New Roman" w:cs="Times New Roman"/>
                      <w:szCs w:val="21"/>
                    </w:rPr>
                    <w:t>水系统</w:t>
                  </w:r>
                  <w:r>
                    <w:rPr>
                      <w:rFonts w:ascii="Times New Roman" w:hAnsi="Times New Roman" w:cs="Times New Roman"/>
                      <w:szCs w:val="21"/>
                    </w:rPr>
                    <w:t>含盐污水</w:t>
                  </w:r>
                  <w:r>
                    <w:rPr>
                      <w:rFonts w:hint="eastAsia" w:ascii="Times New Roman" w:hAnsi="Times New Roman" w:cs="Times New Roman"/>
                      <w:szCs w:val="21"/>
                    </w:rPr>
                    <w:t>经含盐污水池</w:t>
                  </w:r>
                  <w:r>
                    <w:rPr>
                      <w:rFonts w:ascii="Times New Roman" w:hAnsi="Times New Roman" w:cs="Times New Roman"/>
                      <w:szCs w:val="21"/>
                    </w:rPr>
                    <w:t>（容积1</w:t>
                  </w:r>
                  <w:r>
                    <w:rPr>
                      <w:rFonts w:hint="eastAsia" w:ascii="Times New Roman" w:hAnsi="Times New Roman" w:cs="Times New Roman"/>
                      <w:szCs w:val="21"/>
                    </w:rPr>
                    <w:t>0</w:t>
                  </w:r>
                  <w:r>
                    <w:rPr>
                      <w:rFonts w:ascii="Times New Roman" w:hAnsi="Times New Roman" w:cs="Times New Roman"/>
                      <w:szCs w:val="21"/>
                    </w:rPr>
                    <w:t>0m</w:t>
                  </w:r>
                  <w:r>
                    <w:rPr>
                      <w:rFonts w:ascii="Times New Roman" w:hAnsi="Times New Roman" w:cs="Times New Roman"/>
                      <w:szCs w:val="21"/>
                      <w:vertAlign w:val="superscript"/>
                    </w:rPr>
                    <w:t>3</w:t>
                  </w:r>
                  <w:r>
                    <w:rPr>
                      <w:rFonts w:ascii="Times New Roman" w:hAnsi="Times New Roman" w:cs="Times New Roman"/>
                      <w:szCs w:val="21"/>
                    </w:rPr>
                    <w:t>）</w:t>
                  </w:r>
                  <w:r>
                    <w:rPr>
                      <w:rFonts w:hint="eastAsia" w:ascii="Times New Roman" w:hAnsi="Times New Roman" w:cs="Times New Roman"/>
                      <w:szCs w:val="21"/>
                    </w:rPr>
                    <w:t>收集。</w:t>
                  </w:r>
                </w:p>
                <w:p w14:paraId="59A09D4F">
                  <w:pPr>
                    <w:spacing w:line="320" w:lineRule="exact"/>
                    <w:jc w:val="left"/>
                    <w:rPr>
                      <w:rFonts w:ascii="Times New Roman" w:hAnsi="Times New Roman" w:cs="Times New Roman"/>
                      <w:szCs w:val="21"/>
                    </w:rPr>
                  </w:pPr>
                  <w:r>
                    <w:rPr>
                      <w:rFonts w:ascii="Times New Roman" w:hAnsi="Times New Roman" w:cs="Times New Roman"/>
                      <w:szCs w:val="21"/>
                    </w:rPr>
                    <w:t>4、初期雨水：</w:t>
                  </w:r>
                  <w:r>
                    <w:rPr>
                      <w:rFonts w:hint="eastAsia" w:ascii="Times New Roman" w:hAnsi="Times New Roman" w:cs="Times New Roman"/>
                      <w:szCs w:val="21"/>
                    </w:rPr>
                    <w:t>新增</w:t>
                  </w:r>
                  <w:r>
                    <w:rPr>
                      <w:rFonts w:ascii="Times New Roman" w:hAnsi="Times New Roman" w:cs="Times New Roman"/>
                      <w:szCs w:val="21"/>
                    </w:rPr>
                    <w:t>1个初期雨水池（容积</w:t>
                  </w:r>
                  <w:r>
                    <w:rPr>
                      <w:rFonts w:hint="eastAsia" w:ascii="Times New Roman" w:hAnsi="Times New Roman" w:cs="Times New Roman"/>
                      <w:szCs w:val="21"/>
                    </w:rPr>
                    <w:t>100</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w:t>
                  </w:r>
                  <w:r>
                    <w:rPr>
                      <w:rFonts w:hint="eastAsia" w:ascii="Times New Roman" w:hAnsi="Times New Roman" w:cs="Times New Roman"/>
                      <w:szCs w:val="21"/>
                    </w:rPr>
                    <w:t>。</w:t>
                  </w:r>
                </w:p>
                <w:p w14:paraId="01BFC3E2">
                  <w:pPr>
                    <w:spacing w:line="320" w:lineRule="exact"/>
                    <w:jc w:val="left"/>
                    <w:rPr>
                      <w:rFonts w:ascii="Times New Roman" w:hAnsi="Times New Roman" w:cs="Times New Roman"/>
                      <w:szCs w:val="21"/>
                    </w:rPr>
                  </w:pPr>
                  <w:r>
                    <w:rPr>
                      <w:rFonts w:hint="eastAsia" w:ascii="Times New Roman" w:hAnsi="Times New Roman" w:cs="Times New Roman"/>
                      <w:szCs w:val="21"/>
                    </w:rPr>
                    <w:t>收集的</w:t>
                  </w:r>
                  <w:r>
                    <w:rPr>
                      <w:rFonts w:ascii="Times New Roman" w:hAnsi="Times New Roman" w:cs="Times New Roman"/>
                      <w:szCs w:val="21"/>
                    </w:rPr>
                    <w:t>生产废水、初期雨水（LNG厂生产区）、循环水系统含盐污水</w:t>
                  </w:r>
                  <w:r>
                    <w:rPr>
                      <w:rFonts w:hint="eastAsia" w:ascii="Times New Roman" w:hAnsi="Times New Roman" w:cs="Times New Roman"/>
                      <w:szCs w:val="21"/>
                    </w:rPr>
                    <w:t>、处理后的</w:t>
                  </w:r>
                  <w:r>
                    <w:rPr>
                      <w:rFonts w:ascii="Times New Roman" w:hAnsi="Times New Roman" w:cs="Times New Roman"/>
                      <w:szCs w:val="21"/>
                    </w:rPr>
                    <w:t>生活污水</w:t>
                  </w:r>
                  <w:r>
                    <w:rPr>
                      <w:rFonts w:hint="eastAsia" w:ascii="Times New Roman" w:hAnsi="Times New Roman" w:cs="Times New Roman"/>
                      <w:szCs w:val="21"/>
                    </w:rPr>
                    <w:t>分别</w:t>
                  </w:r>
                  <w:r>
                    <w:rPr>
                      <w:rFonts w:ascii="Times New Roman" w:hAnsi="Times New Roman" w:cs="Times New Roman"/>
                      <w:szCs w:val="21"/>
                    </w:rPr>
                    <w:t>经</w:t>
                  </w:r>
                  <w:r>
                    <w:rPr>
                      <w:rFonts w:hint="eastAsia" w:ascii="Times New Roman" w:hAnsi="Times New Roman" w:cs="Times New Roman"/>
                      <w:szCs w:val="21"/>
                    </w:rPr>
                    <w:t>提升</w:t>
                  </w:r>
                  <w:r>
                    <w:rPr>
                      <w:rFonts w:ascii="Times New Roman" w:hAnsi="Times New Roman" w:cs="Times New Roman"/>
                      <w:szCs w:val="21"/>
                    </w:rPr>
                    <w:t>泵提升</w:t>
                  </w:r>
                  <w:r>
                    <w:rPr>
                      <w:rFonts w:hint="eastAsia" w:ascii="Times New Roman" w:hAnsi="Times New Roman" w:cs="Times New Roman"/>
                      <w:szCs w:val="21"/>
                    </w:rPr>
                    <w:t>汇合后</w:t>
                  </w:r>
                  <w:r>
                    <w:rPr>
                      <w:rFonts w:ascii="Times New Roman" w:hAnsi="Times New Roman" w:cs="Times New Roman"/>
                      <w:szCs w:val="21"/>
                    </w:rPr>
                    <w:t>经同一外排口输送至潘家坝污水处理厂集中处理。</w:t>
                  </w:r>
                </w:p>
              </w:tc>
              <w:tc>
                <w:tcPr>
                  <w:tcW w:w="439" w:type="pct"/>
                  <w:tcBorders>
                    <w:tl2br w:val="nil"/>
                    <w:tr2bl w:val="nil"/>
                  </w:tcBorders>
                  <w:vAlign w:val="center"/>
                </w:tcPr>
                <w:p w14:paraId="34CA62F5">
                  <w:pPr>
                    <w:spacing w:line="320" w:lineRule="exact"/>
                    <w:jc w:val="left"/>
                    <w:rPr>
                      <w:rFonts w:ascii="Times New Roman" w:hAnsi="Times New Roman" w:cs="Times New Roman"/>
                      <w:szCs w:val="21"/>
                    </w:rPr>
                  </w:pPr>
                  <w:r>
                    <w:rPr>
                      <w:rFonts w:hint="eastAsia" w:ascii="Times New Roman" w:hAnsi="Times New Roman" w:cs="Times New Roman"/>
                      <w:szCs w:val="21"/>
                    </w:rPr>
                    <w:t>新增/依托</w:t>
                  </w:r>
                </w:p>
              </w:tc>
            </w:tr>
            <w:tr w14:paraId="7141796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3" w:type="pct"/>
                  <w:vMerge w:val="continue"/>
                  <w:tcBorders>
                    <w:tl2br w:val="nil"/>
                    <w:tr2bl w:val="nil"/>
                  </w:tcBorders>
                  <w:vAlign w:val="center"/>
                </w:tcPr>
                <w:p w14:paraId="53C0FE48">
                  <w:pPr>
                    <w:spacing w:line="320" w:lineRule="exact"/>
                    <w:jc w:val="center"/>
                    <w:rPr>
                      <w:rFonts w:ascii="Times New Roman" w:hAnsi="Times New Roman" w:cs="Times New Roman"/>
                      <w:szCs w:val="21"/>
                    </w:rPr>
                  </w:pPr>
                </w:p>
              </w:tc>
              <w:tc>
                <w:tcPr>
                  <w:tcW w:w="1146" w:type="pct"/>
                  <w:gridSpan w:val="2"/>
                  <w:tcBorders>
                    <w:tl2br w:val="nil"/>
                    <w:tr2bl w:val="nil"/>
                  </w:tcBorders>
                  <w:vAlign w:val="center"/>
                </w:tcPr>
                <w:p w14:paraId="2DE7DF95">
                  <w:pPr>
                    <w:spacing w:line="320" w:lineRule="exact"/>
                    <w:jc w:val="center"/>
                    <w:rPr>
                      <w:rFonts w:ascii="Times New Roman" w:hAnsi="Times New Roman" w:cs="Times New Roman"/>
                      <w:szCs w:val="21"/>
                    </w:rPr>
                  </w:pPr>
                  <w:r>
                    <w:rPr>
                      <w:rFonts w:ascii="Times New Roman" w:hAnsi="Times New Roman" w:cs="Times New Roman"/>
                      <w:szCs w:val="21"/>
                    </w:rPr>
                    <w:t>废气处理</w:t>
                  </w:r>
                </w:p>
              </w:tc>
              <w:tc>
                <w:tcPr>
                  <w:tcW w:w="2958" w:type="pct"/>
                  <w:tcBorders>
                    <w:tl2br w:val="nil"/>
                    <w:tr2bl w:val="nil"/>
                  </w:tcBorders>
                  <w:vAlign w:val="center"/>
                </w:tcPr>
                <w:p w14:paraId="33791F49">
                  <w:pPr>
                    <w:adjustRightInd w:val="0"/>
                    <w:snapToGrid w:val="0"/>
                    <w:rPr>
                      <w:rFonts w:ascii="Times New Roman" w:hAnsi="Times New Roman" w:cs="Times New Roman"/>
                      <w:szCs w:val="21"/>
                    </w:rPr>
                  </w:pPr>
                  <w:r>
                    <w:rPr>
                      <w:rFonts w:hint="eastAsia" w:ascii="Times New Roman" w:hAnsi="Times New Roman" w:cs="Times New Roman"/>
                      <w:szCs w:val="21"/>
                    </w:rPr>
                    <w:t>脱酸</w:t>
                  </w:r>
                  <w:r>
                    <w:rPr>
                      <w:rFonts w:ascii="Times New Roman" w:hAnsi="Times New Roman" w:cs="Times New Roman"/>
                      <w:szCs w:val="21"/>
                    </w:rPr>
                    <w:t>废气由</w:t>
                  </w:r>
                  <w:r>
                    <w:rPr>
                      <w:rFonts w:hint="eastAsia" w:ascii="Times New Roman" w:hAnsi="Times New Roman" w:cs="Times New Roman"/>
                      <w:szCs w:val="21"/>
                    </w:rPr>
                    <w:t>1个</w:t>
                  </w:r>
                  <w:r>
                    <w:rPr>
                      <w:rFonts w:ascii="Times New Roman" w:hAnsi="Times New Roman" w:cs="Times New Roman"/>
                      <w:szCs w:val="21"/>
                    </w:rPr>
                    <w:t>15m高的</w:t>
                  </w:r>
                  <w:r>
                    <w:rPr>
                      <w:rFonts w:hint="eastAsia" w:ascii="Times New Roman" w:hAnsi="Times New Roman" w:cs="Times New Roman"/>
                      <w:szCs w:val="21"/>
                    </w:rPr>
                    <w:t>排气筒直接</w:t>
                  </w:r>
                  <w:r>
                    <w:rPr>
                      <w:rFonts w:ascii="Times New Roman" w:hAnsi="Times New Roman" w:cs="Times New Roman"/>
                      <w:szCs w:val="21"/>
                    </w:rPr>
                    <w:t>排放</w:t>
                  </w:r>
                  <w:r>
                    <w:rPr>
                      <w:rFonts w:hint="eastAsia" w:ascii="Times New Roman" w:hAnsi="Times New Roman" w:cs="Times New Roman"/>
                      <w:szCs w:val="21"/>
                    </w:rPr>
                    <w:t>，</w:t>
                  </w:r>
                  <w:r>
                    <w:rPr>
                      <w:rFonts w:ascii="Times New Roman" w:hAnsi="Times New Roman" w:cs="Times New Roman"/>
                      <w:szCs w:val="21"/>
                    </w:rPr>
                    <w:t>导热油炉废气通过</w:t>
                  </w:r>
                  <w:r>
                    <w:rPr>
                      <w:rFonts w:hint="eastAsia" w:ascii="Times New Roman" w:hAnsi="Times New Roman" w:cs="Times New Roman"/>
                      <w:szCs w:val="21"/>
                    </w:rPr>
                    <w:t>新增1个</w:t>
                  </w:r>
                  <w:r>
                    <w:rPr>
                      <w:rFonts w:ascii="Times New Roman" w:hAnsi="Times New Roman" w:cs="Times New Roman"/>
                      <w:szCs w:val="21"/>
                    </w:rPr>
                    <w:t>25m高的烟囱排放</w:t>
                  </w:r>
                  <w:r>
                    <w:rPr>
                      <w:rFonts w:hint="eastAsia" w:ascii="Times New Roman" w:hAnsi="Times New Roman" w:cs="Times New Roman"/>
                      <w:szCs w:val="21"/>
                    </w:rPr>
                    <w:t>，LNG</w:t>
                  </w:r>
                  <w:r>
                    <w:rPr>
                      <w:rFonts w:ascii="Times New Roman" w:hAnsi="Times New Roman" w:cs="Times New Roman"/>
                      <w:szCs w:val="21"/>
                    </w:rPr>
                    <w:t>工厂</w:t>
                  </w:r>
                  <w:r>
                    <w:rPr>
                      <w:rFonts w:hint="eastAsia" w:ascii="Times New Roman" w:hAnsi="Times New Roman" w:cs="Times New Roman"/>
                      <w:szCs w:val="21"/>
                    </w:rPr>
                    <w:t>非正常</w:t>
                  </w:r>
                  <w:r>
                    <w:rPr>
                      <w:rFonts w:ascii="Times New Roman" w:hAnsi="Times New Roman" w:cs="Times New Roman"/>
                      <w:szCs w:val="21"/>
                    </w:rPr>
                    <w:t>情况下排放气体引至</w:t>
                  </w:r>
                  <w:r>
                    <w:rPr>
                      <w:rFonts w:hint="eastAsia" w:ascii="Times New Roman" w:hAnsi="Times New Roman" w:cs="Times New Roman"/>
                      <w:szCs w:val="21"/>
                    </w:rPr>
                    <w:t>已有</w:t>
                  </w:r>
                  <w:r>
                    <w:rPr>
                      <w:rFonts w:ascii="Times New Roman" w:hAnsi="Times New Roman" w:cs="Times New Roman"/>
                      <w:szCs w:val="21"/>
                    </w:rPr>
                    <w:t>80m高架火炬燃烧。</w:t>
                  </w:r>
                </w:p>
              </w:tc>
              <w:tc>
                <w:tcPr>
                  <w:tcW w:w="439" w:type="pct"/>
                  <w:tcBorders>
                    <w:tl2br w:val="nil"/>
                    <w:tr2bl w:val="nil"/>
                  </w:tcBorders>
                  <w:vAlign w:val="center"/>
                </w:tcPr>
                <w:p w14:paraId="48B20A49">
                  <w:pPr>
                    <w:adjustRightInd w:val="0"/>
                    <w:snapToGrid w:val="0"/>
                    <w:rPr>
                      <w:rFonts w:ascii="Times New Roman" w:hAnsi="Times New Roman" w:cs="Times New Roman"/>
                      <w:szCs w:val="21"/>
                    </w:rPr>
                  </w:pPr>
                  <w:r>
                    <w:rPr>
                      <w:rFonts w:hint="eastAsia" w:ascii="Times New Roman" w:hAnsi="Times New Roman" w:cs="Times New Roman"/>
                      <w:szCs w:val="21"/>
                    </w:rPr>
                    <w:t>依托/新增</w:t>
                  </w:r>
                </w:p>
              </w:tc>
            </w:tr>
            <w:tr w14:paraId="2A74484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53" w:type="pct"/>
                  <w:vMerge w:val="continue"/>
                  <w:tcBorders>
                    <w:tl2br w:val="nil"/>
                    <w:tr2bl w:val="nil"/>
                  </w:tcBorders>
                  <w:vAlign w:val="center"/>
                </w:tcPr>
                <w:p w14:paraId="77DB0097">
                  <w:pPr>
                    <w:spacing w:line="320" w:lineRule="exact"/>
                    <w:jc w:val="center"/>
                    <w:rPr>
                      <w:rFonts w:ascii="Times New Roman" w:hAnsi="Times New Roman" w:cs="Times New Roman"/>
                      <w:szCs w:val="21"/>
                    </w:rPr>
                  </w:pPr>
                </w:p>
              </w:tc>
              <w:tc>
                <w:tcPr>
                  <w:tcW w:w="242" w:type="pct"/>
                  <w:vMerge w:val="restart"/>
                  <w:tcBorders>
                    <w:tl2br w:val="nil"/>
                    <w:tr2bl w:val="nil"/>
                  </w:tcBorders>
                  <w:vAlign w:val="center"/>
                </w:tcPr>
                <w:p w14:paraId="27B28616">
                  <w:pPr>
                    <w:spacing w:line="320" w:lineRule="exact"/>
                    <w:jc w:val="center"/>
                    <w:rPr>
                      <w:rFonts w:ascii="Times New Roman" w:hAnsi="Times New Roman" w:cs="Times New Roman"/>
                      <w:szCs w:val="21"/>
                    </w:rPr>
                  </w:pPr>
                  <w:r>
                    <w:rPr>
                      <w:rFonts w:ascii="Times New Roman" w:hAnsi="Times New Roman" w:cs="Times New Roman"/>
                      <w:szCs w:val="21"/>
                    </w:rPr>
                    <w:t>固废</w:t>
                  </w:r>
                </w:p>
              </w:tc>
              <w:tc>
                <w:tcPr>
                  <w:tcW w:w="904" w:type="pct"/>
                  <w:tcBorders>
                    <w:tl2br w:val="nil"/>
                    <w:tr2bl w:val="nil"/>
                  </w:tcBorders>
                  <w:vAlign w:val="center"/>
                </w:tcPr>
                <w:p w14:paraId="06CEBCC2">
                  <w:pPr>
                    <w:spacing w:line="320" w:lineRule="exact"/>
                    <w:jc w:val="center"/>
                    <w:rPr>
                      <w:rFonts w:ascii="Times New Roman" w:hAnsi="Times New Roman" w:cs="Times New Roman"/>
                      <w:szCs w:val="21"/>
                    </w:rPr>
                  </w:pPr>
                  <w:r>
                    <w:rPr>
                      <w:rFonts w:ascii="Times New Roman" w:hAnsi="Times New Roman" w:cs="Times New Roman"/>
                      <w:szCs w:val="21"/>
                    </w:rPr>
                    <w:t>危废暂存间</w:t>
                  </w:r>
                </w:p>
              </w:tc>
              <w:tc>
                <w:tcPr>
                  <w:tcW w:w="2961" w:type="pct"/>
                  <w:tcBorders>
                    <w:tl2br w:val="nil"/>
                    <w:tr2bl w:val="nil"/>
                  </w:tcBorders>
                  <w:vAlign w:val="center"/>
                </w:tcPr>
                <w:p w14:paraId="442C0BE2">
                  <w:pPr>
                    <w:spacing w:line="320" w:lineRule="exact"/>
                    <w:jc w:val="left"/>
                    <w:rPr>
                      <w:rFonts w:ascii="Times New Roman" w:hAnsi="Times New Roman" w:cs="Times New Roman"/>
                      <w:szCs w:val="21"/>
                    </w:rPr>
                  </w:pPr>
                  <w:r>
                    <w:rPr>
                      <w:rFonts w:hint="eastAsia" w:ascii="Times New Roman" w:hAnsi="Times New Roman" w:cs="Times New Roman"/>
                      <w:szCs w:val="21"/>
                    </w:rPr>
                    <w:t>新增</w:t>
                  </w:r>
                  <w:r>
                    <w:rPr>
                      <w:rFonts w:ascii="Times New Roman" w:hAnsi="Times New Roman" w:cs="Times New Roman"/>
                      <w:szCs w:val="21"/>
                    </w:rPr>
                    <w:t>1个，建筑面积</w:t>
                  </w:r>
                  <w:r>
                    <w:rPr>
                      <w:rFonts w:hint="eastAsia" w:ascii="Times New Roman" w:hAnsi="Times New Roman" w:cs="Times New Roman"/>
                      <w:szCs w:val="21"/>
                    </w:rPr>
                    <w:t>50</w:t>
                  </w:r>
                  <w:r>
                    <w:rPr>
                      <w:rFonts w:ascii="Times New Roman" w:hAnsi="Times New Roman" w:cs="Times New Roman"/>
                      <w:szCs w:val="21"/>
                    </w:rPr>
                    <w:t>m</w:t>
                  </w:r>
                  <w:r>
                    <w:rPr>
                      <w:rFonts w:ascii="Times New Roman" w:hAnsi="Times New Roman" w:cs="Times New Roman"/>
                      <w:szCs w:val="21"/>
                      <w:vertAlign w:val="superscript"/>
                    </w:rPr>
                    <w:t>2</w:t>
                  </w:r>
                  <w:r>
                    <w:rPr>
                      <w:rFonts w:ascii="Times New Roman" w:hAnsi="Times New Roman" w:cs="Times New Roman"/>
                      <w:szCs w:val="21"/>
                    </w:rPr>
                    <w:t>，采取了“四防”措施</w:t>
                  </w:r>
                </w:p>
              </w:tc>
              <w:tc>
                <w:tcPr>
                  <w:tcW w:w="440" w:type="pct"/>
                  <w:tcBorders>
                    <w:tl2br w:val="nil"/>
                    <w:tr2bl w:val="nil"/>
                  </w:tcBorders>
                  <w:vAlign w:val="center"/>
                </w:tcPr>
                <w:p w14:paraId="68D0B9C9">
                  <w:pPr>
                    <w:spacing w:line="320" w:lineRule="exact"/>
                    <w:jc w:val="left"/>
                    <w:rPr>
                      <w:rFonts w:ascii="Times New Roman" w:hAnsi="Times New Roman" w:cs="Times New Roman"/>
                      <w:szCs w:val="21"/>
                    </w:rPr>
                  </w:pPr>
                  <w:r>
                    <w:rPr>
                      <w:rFonts w:hint="eastAsia" w:ascii="Times New Roman" w:hAnsi="Times New Roman" w:cs="Times New Roman"/>
                      <w:szCs w:val="21"/>
                    </w:rPr>
                    <w:t>新建</w:t>
                  </w:r>
                </w:p>
              </w:tc>
            </w:tr>
            <w:tr w14:paraId="14C9B1B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453" w:type="pct"/>
                  <w:vMerge w:val="continue"/>
                  <w:tcBorders>
                    <w:tl2br w:val="nil"/>
                    <w:tr2bl w:val="nil"/>
                  </w:tcBorders>
                  <w:vAlign w:val="center"/>
                </w:tcPr>
                <w:p w14:paraId="4A06D4F1">
                  <w:pPr>
                    <w:spacing w:line="320" w:lineRule="exact"/>
                    <w:jc w:val="center"/>
                    <w:rPr>
                      <w:rFonts w:ascii="Times New Roman" w:hAnsi="Times New Roman" w:cs="Times New Roman"/>
                      <w:szCs w:val="21"/>
                    </w:rPr>
                  </w:pPr>
                </w:p>
              </w:tc>
              <w:tc>
                <w:tcPr>
                  <w:tcW w:w="242" w:type="pct"/>
                  <w:vMerge w:val="continue"/>
                  <w:tcBorders>
                    <w:tl2br w:val="nil"/>
                    <w:tr2bl w:val="nil"/>
                  </w:tcBorders>
                  <w:vAlign w:val="center"/>
                </w:tcPr>
                <w:p w14:paraId="0323FE04">
                  <w:pPr>
                    <w:spacing w:line="320" w:lineRule="exact"/>
                    <w:jc w:val="center"/>
                    <w:rPr>
                      <w:rFonts w:ascii="Times New Roman" w:hAnsi="Times New Roman" w:cs="Times New Roman"/>
                      <w:szCs w:val="21"/>
                    </w:rPr>
                  </w:pPr>
                </w:p>
              </w:tc>
              <w:tc>
                <w:tcPr>
                  <w:tcW w:w="904" w:type="pct"/>
                  <w:tcBorders>
                    <w:tl2br w:val="nil"/>
                    <w:tr2bl w:val="nil"/>
                  </w:tcBorders>
                  <w:vAlign w:val="center"/>
                </w:tcPr>
                <w:p w14:paraId="16D4987A">
                  <w:pPr>
                    <w:spacing w:line="320" w:lineRule="exact"/>
                    <w:jc w:val="center"/>
                    <w:rPr>
                      <w:rFonts w:ascii="Times New Roman" w:hAnsi="Times New Roman" w:cs="Times New Roman"/>
                      <w:szCs w:val="21"/>
                    </w:rPr>
                  </w:pPr>
                  <w:r>
                    <w:rPr>
                      <w:rFonts w:ascii="Times New Roman" w:hAnsi="Times New Roman" w:cs="Times New Roman"/>
                      <w:szCs w:val="21"/>
                    </w:rPr>
                    <w:t>一般固废暂存间</w:t>
                  </w:r>
                </w:p>
              </w:tc>
              <w:tc>
                <w:tcPr>
                  <w:tcW w:w="2961" w:type="pct"/>
                  <w:tcBorders>
                    <w:tl2br w:val="nil"/>
                    <w:tr2bl w:val="nil"/>
                  </w:tcBorders>
                  <w:vAlign w:val="center"/>
                </w:tcPr>
                <w:p w14:paraId="74EA3C90">
                  <w:pPr>
                    <w:spacing w:line="320" w:lineRule="exact"/>
                    <w:jc w:val="left"/>
                    <w:rPr>
                      <w:rFonts w:ascii="Times New Roman" w:hAnsi="Times New Roman" w:cs="Times New Roman"/>
                      <w:szCs w:val="21"/>
                    </w:rPr>
                  </w:pPr>
                  <w:r>
                    <w:rPr>
                      <w:rFonts w:hint="eastAsia" w:ascii="Times New Roman" w:hAnsi="Times New Roman" w:cs="Times New Roman"/>
                      <w:szCs w:val="21"/>
                    </w:rPr>
                    <w:t>依托原有</w:t>
                  </w:r>
                  <w:r>
                    <w:rPr>
                      <w:rFonts w:ascii="Times New Roman" w:hAnsi="Times New Roman" w:cs="Times New Roman"/>
                      <w:szCs w:val="21"/>
                    </w:rPr>
                    <w:t>1个，建筑面积9m</w:t>
                  </w:r>
                  <w:r>
                    <w:rPr>
                      <w:rFonts w:ascii="Times New Roman" w:hAnsi="Times New Roman" w:cs="Times New Roman"/>
                      <w:szCs w:val="21"/>
                      <w:vertAlign w:val="superscript"/>
                    </w:rPr>
                    <w:t>2</w:t>
                  </w:r>
                  <w:r>
                    <w:rPr>
                      <w:rFonts w:ascii="Times New Roman" w:hAnsi="Times New Roman" w:cs="Times New Roman"/>
                      <w:szCs w:val="21"/>
                    </w:rPr>
                    <w:t>，采取了“防渗漏、防雨淋、防扬尘”措施</w:t>
                  </w:r>
                </w:p>
              </w:tc>
              <w:tc>
                <w:tcPr>
                  <w:tcW w:w="440" w:type="pct"/>
                  <w:tcBorders>
                    <w:tl2br w:val="nil"/>
                    <w:tr2bl w:val="nil"/>
                  </w:tcBorders>
                  <w:vAlign w:val="center"/>
                </w:tcPr>
                <w:p w14:paraId="592252A7">
                  <w:pPr>
                    <w:spacing w:line="320" w:lineRule="exact"/>
                    <w:jc w:val="left"/>
                    <w:rPr>
                      <w:rFonts w:ascii="Times New Roman" w:hAnsi="Times New Roman" w:cs="Times New Roman"/>
                      <w:szCs w:val="21"/>
                    </w:rPr>
                  </w:pPr>
                  <w:r>
                    <w:rPr>
                      <w:rFonts w:hint="eastAsia" w:ascii="Times New Roman" w:hAnsi="Times New Roman" w:cs="Times New Roman"/>
                      <w:szCs w:val="21"/>
                    </w:rPr>
                    <w:t>依托</w:t>
                  </w:r>
                </w:p>
              </w:tc>
            </w:tr>
            <w:tr w14:paraId="02FFE06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3" w:type="pct"/>
                  <w:vMerge w:val="continue"/>
                  <w:tcBorders>
                    <w:tl2br w:val="nil"/>
                    <w:tr2bl w:val="nil"/>
                  </w:tcBorders>
                  <w:vAlign w:val="center"/>
                </w:tcPr>
                <w:p w14:paraId="18B3027C">
                  <w:pPr>
                    <w:spacing w:line="320" w:lineRule="exact"/>
                    <w:jc w:val="center"/>
                    <w:rPr>
                      <w:rFonts w:ascii="Times New Roman" w:hAnsi="Times New Roman" w:cs="Times New Roman"/>
                      <w:szCs w:val="21"/>
                    </w:rPr>
                  </w:pPr>
                </w:p>
              </w:tc>
              <w:tc>
                <w:tcPr>
                  <w:tcW w:w="242" w:type="pct"/>
                  <w:vMerge w:val="restart"/>
                  <w:tcBorders>
                    <w:tl2br w:val="nil"/>
                    <w:tr2bl w:val="nil"/>
                  </w:tcBorders>
                  <w:vAlign w:val="center"/>
                </w:tcPr>
                <w:p w14:paraId="26731C73">
                  <w:pPr>
                    <w:spacing w:line="320" w:lineRule="exact"/>
                    <w:jc w:val="center"/>
                    <w:rPr>
                      <w:rFonts w:ascii="Times New Roman" w:hAnsi="Times New Roman" w:cs="Times New Roman"/>
                      <w:szCs w:val="21"/>
                    </w:rPr>
                  </w:pPr>
                  <w:r>
                    <w:rPr>
                      <w:rFonts w:ascii="Times New Roman" w:hAnsi="Times New Roman" w:cs="Times New Roman"/>
                      <w:szCs w:val="21"/>
                    </w:rPr>
                    <w:t>风险</w:t>
                  </w:r>
                </w:p>
              </w:tc>
              <w:tc>
                <w:tcPr>
                  <w:tcW w:w="904" w:type="pct"/>
                  <w:tcBorders>
                    <w:tl2br w:val="nil"/>
                    <w:tr2bl w:val="nil"/>
                  </w:tcBorders>
                  <w:vAlign w:val="center"/>
                </w:tcPr>
                <w:p w14:paraId="2917339B">
                  <w:pPr>
                    <w:pStyle w:val="275"/>
                    <w:spacing w:line="266" w:lineRule="exact"/>
                    <w:ind w:right="23"/>
                    <w:rPr>
                      <w:lang w:eastAsia="zh-CN"/>
                    </w:rPr>
                  </w:pPr>
                  <w:r>
                    <w:rPr>
                      <w:lang w:eastAsia="zh-CN"/>
                    </w:rPr>
                    <w:t>雨水监控及事故排水储</w:t>
                  </w:r>
                </w:p>
                <w:p w14:paraId="7A239440">
                  <w:pPr>
                    <w:spacing w:line="320" w:lineRule="exact"/>
                    <w:jc w:val="center"/>
                    <w:rPr>
                      <w:rFonts w:ascii="Times New Roman" w:hAnsi="Times New Roman" w:cs="Times New Roman"/>
                      <w:szCs w:val="21"/>
                    </w:rPr>
                  </w:pPr>
                  <w:r>
                    <w:rPr>
                      <w:rFonts w:ascii="宋体" w:hAnsi="宋体" w:cs="宋体"/>
                      <w:sz w:val="22"/>
                      <w:szCs w:val="22"/>
                    </w:rPr>
                    <w:t>存池</w:t>
                  </w:r>
                </w:p>
              </w:tc>
              <w:tc>
                <w:tcPr>
                  <w:tcW w:w="2961" w:type="pct"/>
                  <w:tcBorders>
                    <w:tl2br w:val="nil"/>
                    <w:tr2bl w:val="nil"/>
                  </w:tcBorders>
                  <w:vAlign w:val="center"/>
                </w:tcPr>
                <w:p w14:paraId="41FB5E60">
                  <w:pPr>
                    <w:spacing w:line="320" w:lineRule="exact"/>
                    <w:jc w:val="left"/>
                    <w:rPr>
                      <w:rFonts w:ascii="Times New Roman" w:hAnsi="Times New Roman" w:cs="Times New Roman"/>
                      <w:szCs w:val="21"/>
                    </w:rPr>
                  </w:pPr>
                  <w:r>
                    <w:rPr>
                      <w:rFonts w:hint="eastAsia" w:ascii="Times New Roman" w:hAnsi="Times New Roman" w:cs="Times New Roman"/>
                      <w:szCs w:val="21"/>
                    </w:rPr>
                    <w:t>新增</w:t>
                  </w:r>
                  <w:r>
                    <w:rPr>
                      <w:rFonts w:ascii="Times New Roman" w:hAnsi="Times New Roman" w:cs="Times New Roman"/>
                      <w:szCs w:val="21"/>
                    </w:rPr>
                    <w:t>1个，容积为</w:t>
                  </w:r>
                  <w:r>
                    <w:rPr>
                      <w:rFonts w:hint="eastAsia" w:ascii="Times New Roman" w:hAnsi="Times New Roman" w:cs="Times New Roman"/>
                      <w:szCs w:val="21"/>
                    </w:rPr>
                    <w:t>600</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 xml:space="preserve"> </w:t>
                  </w:r>
                </w:p>
              </w:tc>
              <w:tc>
                <w:tcPr>
                  <w:tcW w:w="440" w:type="pct"/>
                  <w:tcBorders>
                    <w:tl2br w:val="nil"/>
                    <w:tr2bl w:val="nil"/>
                  </w:tcBorders>
                  <w:vAlign w:val="center"/>
                </w:tcPr>
                <w:p w14:paraId="63605DEB">
                  <w:pPr>
                    <w:spacing w:line="320" w:lineRule="exact"/>
                    <w:jc w:val="left"/>
                    <w:rPr>
                      <w:rFonts w:ascii="Times New Roman" w:hAnsi="Times New Roman" w:cs="Times New Roman"/>
                      <w:szCs w:val="21"/>
                    </w:rPr>
                  </w:pPr>
                  <w:r>
                    <w:rPr>
                      <w:rFonts w:hint="eastAsia" w:ascii="Times New Roman" w:hAnsi="Times New Roman" w:cs="Times New Roman"/>
                      <w:szCs w:val="21"/>
                    </w:rPr>
                    <w:t>新增</w:t>
                  </w:r>
                </w:p>
              </w:tc>
            </w:tr>
            <w:tr w14:paraId="1A67B29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53" w:type="pct"/>
                  <w:vMerge w:val="continue"/>
                  <w:tcBorders>
                    <w:tl2br w:val="nil"/>
                    <w:tr2bl w:val="nil"/>
                  </w:tcBorders>
                  <w:vAlign w:val="center"/>
                </w:tcPr>
                <w:p w14:paraId="2D51B08E">
                  <w:pPr>
                    <w:spacing w:line="320" w:lineRule="exact"/>
                    <w:jc w:val="center"/>
                    <w:rPr>
                      <w:rFonts w:ascii="Times New Roman" w:hAnsi="Times New Roman" w:cs="Times New Roman"/>
                      <w:szCs w:val="21"/>
                    </w:rPr>
                  </w:pPr>
                </w:p>
              </w:tc>
              <w:tc>
                <w:tcPr>
                  <w:tcW w:w="242" w:type="pct"/>
                  <w:vMerge w:val="continue"/>
                  <w:tcBorders>
                    <w:tl2br w:val="nil"/>
                    <w:tr2bl w:val="nil"/>
                  </w:tcBorders>
                  <w:vAlign w:val="center"/>
                </w:tcPr>
                <w:p w14:paraId="31EF1433">
                  <w:pPr>
                    <w:spacing w:line="320" w:lineRule="exact"/>
                    <w:jc w:val="center"/>
                    <w:rPr>
                      <w:rFonts w:ascii="Times New Roman" w:hAnsi="Times New Roman" w:cs="Times New Roman"/>
                      <w:szCs w:val="21"/>
                    </w:rPr>
                  </w:pPr>
                </w:p>
              </w:tc>
              <w:tc>
                <w:tcPr>
                  <w:tcW w:w="904" w:type="pct"/>
                  <w:tcBorders>
                    <w:tl2br w:val="nil"/>
                    <w:tr2bl w:val="nil"/>
                  </w:tcBorders>
                  <w:vAlign w:val="center"/>
                </w:tcPr>
                <w:p w14:paraId="3BE6C67D">
                  <w:pPr>
                    <w:spacing w:line="320" w:lineRule="exact"/>
                    <w:jc w:val="center"/>
                    <w:rPr>
                      <w:rFonts w:ascii="Times New Roman" w:hAnsi="Times New Roman" w:cs="Times New Roman"/>
                      <w:kern w:val="0"/>
                      <w:szCs w:val="21"/>
                    </w:rPr>
                  </w:pPr>
                  <w:r>
                    <w:rPr>
                      <w:rFonts w:ascii="Times New Roman" w:hAnsi="Times New Roman" w:cs="Times New Roman"/>
                      <w:szCs w:val="21"/>
                    </w:rPr>
                    <w:t>事故集液池</w:t>
                  </w:r>
                </w:p>
              </w:tc>
              <w:tc>
                <w:tcPr>
                  <w:tcW w:w="2961" w:type="pct"/>
                  <w:tcBorders>
                    <w:tl2br w:val="nil"/>
                    <w:tr2bl w:val="nil"/>
                  </w:tcBorders>
                  <w:vAlign w:val="center"/>
                </w:tcPr>
                <w:p w14:paraId="1F597AB6">
                  <w:pPr>
                    <w:spacing w:line="320" w:lineRule="exact"/>
                    <w:jc w:val="left"/>
                    <w:rPr>
                      <w:rFonts w:ascii="Times New Roman" w:hAnsi="Times New Roman" w:cs="Times New Roman"/>
                      <w:kern w:val="0"/>
                      <w:szCs w:val="21"/>
                    </w:rPr>
                  </w:pPr>
                  <w:r>
                    <w:rPr>
                      <w:rFonts w:hint="eastAsia" w:ascii="Times New Roman" w:hAnsi="Times New Roman" w:cs="Times New Roman"/>
                      <w:kern w:val="0"/>
                      <w:szCs w:val="21"/>
                    </w:rPr>
                    <w:t>二期</w:t>
                  </w:r>
                  <w:r>
                    <w:rPr>
                      <w:rFonts w:ascii="Times New Roman" w:hAnsi="Times New Roman" w:cs="Times New Roman"/>
                      <w:kern w:val="0"/>
                      <w:szCs w:val="21"/>
                    </w:rPr>
                    <w:t>LNG 储罐区</w:t>
                  </w:r>
                  <w:r>
                    <w:rPr>
                      <w:rFonts w:hint="eastAsia" w:ascii="Times New Roman" w:hAnsi="Times New Roman" w:cs="Times New Roman"/>
                      <w:kern w:val="0"/>
                      <w:szCs w:val="21"/>
                    </w:rPr>
                    <w:t>新增</w:t>
                  </w:r>
                  <w:r>
                    <w:rPr>
                      <w:rFonts w:ascii="Times New Roman" w:hAnsi="Times New Roman" w:cs="Times New Roman"/>
                      <w:kern w:val="0"/>
                      <w:szCs w:val="21"/>
                    </w:rPr>
                    <w:t>1个容积72m</w:t>
                  </w:r>
                  <w:r>
                    <w:rPr>
                      <w:rFonts w:ascii="Times New Roman" w:hAnsi="Times New Roman" w:cs="Times New Roman"/>
                      <w:kern w:val="0"/>
                      <w:szCs w:val="21"/>
                      <w:vertAlign w:val="superscript"/>
                    </w:rPr>
                    <w:t>3</w:t>
                  </w:r>
                </w:p>
              </w:tc>
              <w:tc>
                <w:tcPr>
                  <w:tcW w:w="440" w:type="pct"/>
                  <w:tcBorders>
                    <w:tl2br w:val="nil"/>
                    <w:tr2bl w:val="nil"/>
                  </w:tcBorders>
                  <w:vAlign w:val="center"/>
                </w:tcPr>
                <w:p w14:paraId="46C54EAA">
                  <w:pPr>
                    <w:spacing w:line="320" w:lineRule="exact"/>
                    <w:jc w:val="left"/>
                    <w:rPr>
                      <w:rFonts w:ascii="Times New Roman" w:hAnsi="Times New Roman" w:cs="Times New Roman"/>
                      <w:kern w:val="0"/>
                      <w:szCs w:val="21"/>
                    </w:rPr>
                  </w:pPr>
                  <w:r>
                    <w:rPr>
                      <w:rFonts w:hint="eastAsia" w:ascii="Times New Roman" w:hAnsi="Times New Roman" w:cs="Times New Roman"/>
                      <w:kern w:val="0"/>
                      <w:szCs w:val="21"/>
                    </w:rPr>
                    <w:t>新增</w:t>
                  </w:r>
                </w:p>
              </w:tc>
            </w:tr>
            <w:tr w14:paraId="7ECDB06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53" w:type="pct"/>
                  <w:tcBorders>
                    <w:tl2br w:val="nil"/>
                    <w:tr2bl w:val="nil"/>
                  </w:tcBorders>
                  <w:vAlign w:val="center"/>
                </w:tcPr>
                <w:p w14:paraId="173B14BD">
                  <w:pPr>
                    <w:spacing w:line="320" w:lineRule="exact"/>
                    <w:jc w:val="center"/>
                    <w:rPr>
                      <w:rFonts w:ascii="Times New Roman" w:hAnsi="Times New Roman" w:cs="Times New Roman"/>
                      <w:szCs w:val="21"/>
                    </w:rPr>
                  </w:pPr>
                </w:p>
              </w:tc>
              <w:tc>
                <w:tcPr>
                  <w:tcW w:w="242" w:type="pct"/>
                  <w:tcBorders>
                    <w:tl2br w:val="nil"/>
                    <w:tr2bl w:val="nil"/>
                  </w:tcBorders>
                  <w:vAlign w:val="center"/>
                </w:tcPr>
                <w:p w14:paraId="50974DE2">
                  <w:pPr>
                    <w:spacing w:line="320" w:lineRule="exact"/>
                    <w:jc w:val="center"/>
                    <w:rPr>
                      <w:rFonts w:ascii="Times New Roman" w:hAnsi="Times New Roman" w:cs="Times New Roman"/>
                      <w:szCs w:val="21"/>
                    </w:rPr>
                  </w:pPr>
                </w:p>
              </w:tc>
              <w:tc>
                <w:tcPr>
                  <w:tcW w:w="3865" w:type="pct"/>
                  <w:gridSpan w:val="2"/>
                  <w:tcBorders>
                    <w:tl2br w:val="nil"/>
                    <w:tr2bl w:val="nil"/>
                  </w:tcBorders>
                  <w:vAlign w:val="center"/>
                </w:tcPr>
                <w:p w14:paraId="5793ABEB">
                  <w:pPr>
                    <w:spacing w:line="320" w:lineRule="exact"/>
                    <w:jc w:val="left"/>
                    <w:rPr>
                      <w:rFonts w:ascii="Times New Roman" w:hAnsi="Times New Roman" w:cs="Times New Roman"/>
                      <w:kern w:val="0"/>
                      <w:szCs w:val="21"/>
                    </w:rPr>
                  </w:pPr>
                  <w:r>
                    <w:rPr>
                      <w:rFonts w:ascii="Times New Roman" w:hAnsi="Times New Roman" w:cs="Times New Roman"/>
                      <w:kern w:val="0"/>
                      <w:szCs w:val="21"/>
                    </w:rPr>
                    <w:t>可燃气体检测报警仪</w:t>
                  </w:r>
                  <w:r>
                    <w:rPr>
                      <w:rFonts w:hint="eastAsia" w:ascii="Times New Roman" w:hAnsi="Times New Roman" w:cs="Times New Roman"/>
                      <w:kern w:val="0"/>
                      <w:szCs w:val="21"/>
                    </w:rPr>
                    <w:t>、消防水罐、消防沙池、</w:t>
                  </w:r>
                  <w:r>
                    <w:rPr>
                      <w:rFonts w:hint="eastAsia" w:ascii="宋体" w:hAnsi="宋体" w:cs="宋体"/>
                      <w:kern w:val="0"/>
                      <w:szCs w:val="21"/>
                    </w:rPr>
                    <w:t>火灾报警器、</w:t>
                  </w:r>
                  <w:r>
                    <w:rPr>
                      <w:rFonts w:hint="eastAsia" w:ascii="宋体" w:hAnsi="宋体"/>
                      <w:szCs w:val="21"/>
                    </w:rPr>
                    <w:t>风向标、视频监控摄像头等</w:t>
                  </w:r>
                </w:p>
              </w:tc>
              <w:tc>
                <w:tcPr>
                  <w:tcW w:w="440" w:type="pct"/>
                  <w:tcBorders>
                    <w:tl2br w:val="nil"/>
                    <w:tr2bl w:val="nil"/>
                  </w:tcBorders>
                  <w:vAlign w:val="center"/>
                </w:tcPr>
                <w:p w14:paraId="573747E3">
                  <w:pPr>
                    <w:spacing w:line="320" w:lineRule="exact"/>
                    <w:jc w:val="left"/>
                    <w:rPr>
                      <w:rFonts w:ascii="Times New Roman" w:hAnsi="Times New Roman" w:cs="Times New Roman"/>
                      <w:kern w:val="0"/>
                      <w:szCs w:val="21"/>
                    </w:rPr>
                  </w:pPr>
                  <w:r>
                    <w:rPr>
                      <w:rFonts w:hint="eastAsia" w:ascii="Times New Roman" w:hAnsi="Times New Roman" w:cs="Times New Roman"/>
                      <w:kern w:val="0"/>
                      <w:szCs w:val="21"/>
                    </w:rPr>
                    <w:t>二期装置新建</w:t>
                  </w:r>
                </w:p>
              </w:tc>
            </w:tr>
            <w:tr w14:paraId="0C5A1E8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453" w:type="pct"/>
                  <w:vMerge w:val="restart"/>
                  <w:tcBorders>
                    <w:tl2br w:val="nil"/>
                    <w:tr2bl w:val="nil"/>
                  </w:tcBorders>
                  <w:vAlign w:val="center"/>
                </w:tcPr>
                <w:p w14:paraId="33F5FAB9">
                  <w:pPr>
                    <w:spacing w:line="320" w:lineRule="exact"/>
                    <w:jc w:val="center"/>
                    <w:rPr>
                      <w:rFonts w:ascii="Times New Roman" w:hAnsi="Times New Roman" w:cs="Times New Roman"/>
                      <w:szCs w:val="21"/>
                    </w:rPr>
                  </w:pPr>
                  <w:r>
                    <w:rPr>
                      <w:rFonts w:ascii="Times New Roman" w:hAnsi="Times New Roman" w:cs="Times New Roman"/>
                      <w:szCs w:val="21"/>
                    </w:rPr>
                    <w:t>储运工程</w:t>
                  </w:r>
                </w:p>
              </w:tc>
              <w:tc>
                <w:tcPr>
                  <w:tcW w:w="1146" w:type="pct"/>
                  <w:gridSpan w:val="2"/>
                  <w:tcBorders>
                    <w:tl2br w:val="nil"/>
                    <w:tr2bl w:val="nil"/>
                  </w:tcBorders>
                  <w:vAlign w:val="center"/>
                </w:tcPr>
                <w:p w14:paraId="7EA05CCD">
                  <w:pPr>
                    <w:spacing w:line="320" w:lineRule="exact"/>
                    <w:jc w:val="center"/>
                    <w:rPr>
                      <w:rFonts w:ascii="Times New Roman" w:hAnsi="Times New Roman" w:cs="Times New Roman"/>
                      <w:szCs w:val="21"/>
                    </w:rPr>
                  </w:pPr>
                  <w:r>
                    <w:rPr>
                      <w:rFonts w:ascii="Times New Roman" w:hAnsi="Times New Roman" w:cs="Times New Roman"/>
                      <w:szCs w:val="21"/>
                    </w:rPr>
                    <w:t>LNG储罐区</w:t>
                  </w:r>
                </w:p>
              </w:tc>
              <w:tc>
                <w:tcPr>
                  <w:tcW w:w="2958" w:type="pct"/>
                  <w:tcBorders>
                    <w:tl2br w:val="nil"/>
                    <w:tr2bl w:val="nil"/>
                  </w:tcBorders>
                  <w:vAlign w:val="center"/>
                </w:tcPr>
                <w:p w14:paraId="69151D41">
                  <w:pPr>
                    <w:spacing w:line="320" w:lineRule="exact"/>
                    <w:jc w:val="left"/>
                    <w:rPr>
                      <w:rFonts w:ascii="Times New Roman" w:hAnsi="Times New Roman" w:cs="Times New Roman"/>
                      <w:szCs w:val="21"/>
                    </w:rPr>
                  </w:pPr>
                  <w:r>
                    <w:rPr>
                      <w:rFonts w:ascii="Times New Roman" w:hAnsi="Times New Roman" w:cs="Times New Roman"/>
                      <w:szCs w:val="21"/>
                    </w:rPr>
                    <w:t>1个</w:t>
                  </w:r>
                  <w:r>
                    <w:rPr>
                      <w:rFonts w:hint="eastAsia" w:ascii="Times New Roman" w:hAnsi="Times New Roman" w:cs="Times New Roman"/>
                      <w:szCs w:val="21"/>
                    </w:rPr>
                    <w:t>容积</w:t>
                  </w:r>
                  <w:r>
                    <w:rPr>
                      <w:rFonts w:ascii="Times New Roman" w:hAnsi="Times New Roman" w:cs="Times New Roman"/>
                      <w:szCs w:val="21"/>
                    </w:rPr>
                    <w:t>（</w:t>
                  </w:r>
                  <w:r>
                    <w:rPr>
                      <w:rFonts w:hint="eastAsia" w:ascii="Times New Roman" w:hAnsi="Times New Roman" w:cs="Times New Roman"/>
                      <w:szCs w:val="21"/>
                    </w:rPr>
                    <w:t>2</w:t>
                  </w:r>
                  <w:r>
                    <w:rPr>
                      <w:rFonts w:ascii="Times New Roman" w:hAnsi="Times New Roman" w:cs="Times New Roman"/>
                      <w:szCs w:val="21"/>
                    </w:rPr>
                    <w:t>0000m</w:t>
                  </w:r>
                  <w:r>
                    <w:rPr>
                      <w:rFonts w:ascii="Times New Roman" w:hAnsi="Times New Roman" w:cs="Times New Roman"/>
                      <w:szCs w:val="21"/>
                      <w:vertAlign w:val="superscript"/>
                    </w:rPr>
                    <w:t>3</w:t>
                  </w:r>
                  <w:r>
                    <w:rPr>
                      <w:rFonts w:ascii="Times New Roman" w:hAnsi="Times New Roman" w:cs="Times New Roman"/>
                      <w:szCs w:val="21"/>
                    </w:rPr>
                    <w:t>）</w:t>
                  </w:r>
                  <w:r>
                    <w:rPr>
                      <w:rFonts w:hint="eastAsia" w:ascii="Times New Roman" w:hAnsi="Times New Roman" w:cs="Times New Roman"/>
                      <w:szCs w:val="21"/>
                    </w:rPr>
                    <w:t>的</w:t>
                  </w:r>
                  <w:r>
                    <w:rPr>
                      <w:rFonts w:ascii="Times New Roman" w:hAnsi="Times New Roman" w:cs="Times New Roman"/>
                      <w:szCs w:val="21"/>
                    </w:rPr>
                    <w:t>双钢全容</w:t>
                  </w:r>
                  <w:r>
                    <w:rPr>
                      <w:rFonts w:hint="eastAsia" w:ascii="Times New Roman" w:hAnsi="Times New Roman" w:cs="Times New Roman"/>
                      <w:szCs w:val="21"/>
                    </w:rPr>
                    <w:t>罐（（常压、低温）</w:t>
                  </w:r>
                </w:p>
              </w:tc>
              <w:tc>
                <w:tcPr>
                  <w:tcW w:w="439" w:type="pct"/>
                  <w:tcBorders>
                    <w:tl2br w:val="nil"/>
                    <w:tr2bl w:val="nil"/>
                  </w:tcBorders>
                  <w:vAlign w:val="center"/>
                </w:tcPr>
                <w:p w14:paraId="6A103F52">
                  <w:pPr>
                    <w:spacing w:line="320" w:lineRule="exact"/>
                    <w:jc w:val="left"/>
                    <w:rPr>
                      <w:rFonts w:ascii="Times New Roman" w:hAnsi="Times New Roman" w:cs="Times New Roman"/>
                      <w:szCs w:val="21"/>
                    </w:rPr>
                  </w:pPr>
                  <w:r>
                    <w:rPr>
                      <w:rFonts w:hint="eastAsia" w:ascii="Times New Roman" w:hAnsi="Times New Roman" w:cs="Times New Roman"/>
                      <w:szCs w:val="21"/>
                    </w:rPr>
                    <w:t>新建</w:t>
                  </w:r>
                </w:p>
              </w:tc>
            </w:tr>
            <w:tr w14:paraId="036DC19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53" w:type="pct"/>
                  <w:vMerge w:val="continue"/>
                  <w:tcBorders>
                    <w:tl2br w:val="nil"/>
                    <w:tr2bl w:val="nil"/>
                  </w:tcBorders>
                  <w:vAlign w:val="center"/>
                </w:tcPr>
                <w:p w14:paraId="785216E7">
                  <w:pPr>
                    <w:spacing w:line="320" w:lineRule="exact"/>
                    <w:jc w:val="center"/>
                    <w:rPr>
                      <w:rFonts w:ascii="Times New Roman" w:hAnsi="Times New Roman" w:cs="Times New Roman"/>
                      <w:szCs w:val="21"/>
                    </w:rPr>
                  </w:pPr>
                </w:p>
              </w:tc>
              <w:tc>
                <w:tcPr>
                  <w:tcW w:w="1146" w:type="pct"/>
                  <w:gridSpan w:val="2"/>
                  <w:tcBorders>
                    <w:tl2br w:val="nil"/>
                    <w:tr2bl w:val="nil"/>
                  </w:tcBorders>
                  <w:vAlign w:val="center"/>
                </w:tcPr>
                <w:p w14:paraId="00459169">
                  <w:pPr>
                    <w:spacing w:line="320" w:lineRule="exact"/>
                    <w:jc w:val="center"/>
                    <w:rPr>
                      <w:rFonts w:ascii="Times New Roman" w:hAnsi="Times New Roman" w:cs="Times New Roman"/>
                      <w:szCs w:val="21"/>
                    </w:rPr>
                  </w:pPr>
                  <w:r>
                    <w:rPr>
                      <w:rFonts w:ascii="Times New Roman" w:hAnsi="Times New Roman" w:cs="Times New Roman"/>
                      <w:szCs w:val="21"/>
                    </w:rPr>
                    <w:t>制冷剂储罐区</w:t>
                  </w:r>
                </w:p>
              </w:tc>
              <w:tc>
                <w:tcPr>
                  <w:tcW w:w="2958" w:type="pct"/>
                  <w:tcBorders>
                    <w:tl2br w:val="nil"/>
                    <w:tr2bl w:val="nil"/>
                  </w:tcBorders>
                  <w:vAlign w:val="center"/>
                </w:tcPr>
                <w:p w14:paraId="07E8156E">
                  <w:pPr>
                    <w:spacing w:line="320" w:lineRule="exact"/>
                    <w:jc w:val="left"/>
                    <w:rPr>
                      <w:rFonts w:ascii="Times New Roman" w:hAnsi="Times New Roman" w:cs="Times New Roman"/>
                      <w:szCs w:val="21"/>
                    </w:rPr>
                  </w:pPr>
                  <w:r>
                    <w:rPr>
                      <w:rFonts w:hint="eastAsia" w:ascii="Times New Roman" w:hAnsi="Times New Roman" w:cs="Times New Roman"/>
                      <w:snapToGrid w:val="0"/>
                      <w:kern w:val="0"/>
                      <w:szCs w:val="21"/>
                    </w:rPr>
                    <w:t>依托1期</w:t>
                  </w:r>
                  <w:r>
                    <w:rPr>
                      <w:rFonts w:ascii="Times New Roman" w:hAnsi="Times New Roman" w:cs="Times New Roman"/>
                      <w:snapToGrid w:val="0"/>
                      <w:kern w:val="0"/>
                      <w:szCs w:val="21"/>
                    </w:rPr>
                    <w:t>乙烯储罐1个，49m</w:t>
                  </w:r>
                  <w:r>
                    <w:rPr>
                      <w:rFonts w:ascii="Times New Roman" w:hAnsi="Times New Roman" w:cs="Times New Roman"/>
                      <w:snapToGrid w:val="0"/>
                      <w:kern w:val="0"/>
                      <w:szCs w:val="21"/>
                      <w:vertAlign w:val="superscript"/>
                    </w:rPr>
                    <w:t>3</w:t>
                  </w:r>
                  <w:r>
                    <w:rPr>
                      <w:rFonts w:ascii="Times New Roman" w:hAnsi="Times New Roman" w:cs="Times New Roman"/>
                      <w:snapToGrid w:val="0"/>
                      <w:kern w:val="0"/>
                      <w:szCs w:val="21"/>
                    </w:rPr>
                    <w:t>；丙烷储罐1个，32m</w:t>
                  </w:r>
                  <w:r>
                    <w:rPr>
                      <w:rFonts w:ascii="Times New Roman" w:hAnsi="Times New Roman" w:cs="Times New Roman"/>
                      <w:snapToGrid w:val="0"/>
                      <w:kern w:val="0"/>
                      <w:szCs w:val="21"/>
                      <w:vertAlign w:val="superscript"/>
                    </w:rPr>
                    <w:t>3</w:t>
                  </w:r>
                  <w:r>
                    <w:rPr>
                      <w:rFonts w:ascii="Times New Roman" w:hAnsi="Times New Roman" w:cs="Times New Roman"/>
                      <w:snapToGrid w:val="0"/>
                      <w:kern w:val="0"/>
                      <w:szCs w:val="21"/>
                    </w:rPr>
                    <w:t>；异戊烷储罐1个，49m</w:t>
                  </w:r>
                  <w:r>
                    <w:rPr>
                      <w:rFonts w:ascii="Times New Roman" w:hAnsi="Times New Roman" w:cs="Times New Roman"/>
                      <w:snapToGrid w:val="0"/>
                      <w:kern w:val="0"/>
                      <w:szCs w:val="21"/>
                      <w:vertAlign w:val="superscript"/>
                    </w:rPr>
                    <w:t>3</w:t>
                  </w:r>
                  <w:r>
                    <w:rPr>
                      <w:rFonts w:ascii="Times New Roman" w:hAnsi="Times New Roman" w:cs="Times New Roman"/>
                      <w:snapToGrid w:val="0"/>
                      <w:kern w:val="0"/>
                      <w:szCs w:val="21"/>
                    </w:rPr>
                    <w:t>；混合冷机储罐1个，35m</w:t>
                  </w:r>
                  <w:r>
                    <w:rPr>
                      <w:rFonts w:ascii="Times New Roman" w:hAnsi="Times New Roman" w:cs="Times New Roman"/>
                      <w:snapToGrid w:val="0"/>
                      <w:kern w:val="0"/>
                      <w:szCs w:val="21"/>
                      <w:vertAlign w:val="superscript"/>
                    </w:rPr>
                    <w:t>3</w:t>
                  </w:r>
                </w:p>
              </w:tc>
              <w:tc>
                <w:tcPr>
                  <w:tcW w:w="439" w:type="pct"/>
                  <w:tcBorders>
                    <w:tl2br w:val="nil"/>
                    <w:tr2bl w:val="nil"/>
                  </w:tcBorders>
                  <w:vAlign w:val="center"/>
                </w:tcPr>
                <w:p w14:paraId="6D8ADDD9">
                  <w:pPr>
                    <w:spacing w:line="320" w:lineRule="exact"/>
                    <w:jc w:val="left"/>
                    <w:rPr>
                      <w:rFonts w:ascii="Times New Roman" w:hAnsi="Times New Roman" w:cs="Times New Roman"/>
                      <w:snapToGrid w:val="0"/>
                      <w:kern w:val="0"/>
                      <w:szCs w:val="21"/>
                    </w:rPr>
                  </w:pPr>
                  <w:r>
                    <w:rPr>
                      <w:rFonts w:hint="eastAsia" w:ascii="Times New Roman" w:hAnsi="Times New Roman" w:cs="Times New Roman"/>
                      <w:snapToGrid w:val="0"/>
                      <w:kern w:val="0"/>
                      <w:szCs w:val="21"/>
                    </w:rPr>
                    <w:t>依托</w:t>
                  </w:r>
                </w:p>
              </w:tc>
            </w:tr>
            <w:tr w14:paraId="493B8AF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3" w:type="pct"/>
                  <w:vMerge w:val="continue"/>
                  <w:tcBorders>
                    <w:tl2br w:val="nil"/>
                    <w:tr2bl w:val="nil"/>
                  </w:tcBorders>
                  <w:vAlign w:val="center"/>
                </w:tcPr>
                <w:p w14:paraId="24A87A79">
                  <w:pPr>
                    <w:spacing w:line="320" w:lineRule="exact"/>
                    <w:jc w:val="center"/>
                    <w:rPr>
                      <w:rFonts w:ascii="Times New Roman" w:hAnsi="Times New Roman" w:cs="Times New Roman"/>
                      <w:szCs w:val="21"/>
                    </w:rPr>
                  </w:pPr>
                </w:p>
              </w:tc>
              <w:tc>
                <w:tcPr>
                  <w:tcW w:w="1146" w:type="pct"/>
                  <w:gridSpan w:val="2"/>
                  <w:tcBorders>
                    <w:tl2br w:val="nil"/>
                    <w:tr2bl w:val="nil"/>
                  </w:tcBorders>
                  <w:vAlign w:val="center"/>
                </w:tcPr>
                <w:p w14:paraId="6E6F4BC5">
                  <w:pPr>
                    <w:spacing w:line="320" w:lineRule="exact"/>
                    <w:jc w:val="center"/>
                    <w:rPr>
                      <w:rFonts w:ascii="Times New Roman" w:hAnsi="Times New Roman" w:cs="Times New Roman"/>
                      <w:szCs w:val="21"/>
                    </w:rPr>
                  </w:pPr>
                  <w:r>
                    <w:rPr>
                      <w:rFonts w:ascii="宋体" w:hAnsi="宋体" w:cs="宋体"/>
                      <w:w w:val="105"/>
                      <w:szCs w:val="21"/>
                    </w:rPr>
                    <w:t>化学品库及仓库</w:t>
                  </w:r>
                </w:p>
              </w:tc>
              <w:tc>
                <w:tcPr>
                  <w:tcW w:w="2958" w:type="pct"/>
                  <w:tcBorders>
                    <w:tl2br w:val="nil"/>
                    <w:tr2bl w:val="nil"/>
                  </w:tcBorders>
                  <w:vAlign w:val="center"/>
                </w:tcPr>
                <w:p w14:paraId="3EBAC046">
                  <w:pPr>
                    <w:spacing w:line="320" w:lineRule="exact"/>
                    <w:jc w:val="left"/>
                    <w:rPr>
                      <w:rFonts w:ascii="Times New Roman" w:hAnsi="Times New Roman" w:cs="Times New Roman"/>
                      <w:snapToGrid w:val="0"/>
                      <w:kern w:val="0"/>
                      <w:szCs w:val="21"/>
                    </w:rPr>
                  </w:pPr>
                  <w:r>
                    <w:rPr>
                      <w:rFonts w:hint="eastAsia" w:ascii="Times New Roman"/>
                      <w:w w:val="110"/>
                    </w:rPr>
                    <w:t>建筑面积</w:t>
                  </w:r>
                  <w:r>
                    <w:rPr>
                      <w:rFonts w:ascii="Times New Roman"/>
                      <w:w w:val="110"/>
                    </w:rPr>
                    <w:t>297</w:t>
                  </w:r>
                  <w:r>
                    <w:rPr>
                      <w:rFonts w:ascii="Times New Roman" w:hAnsi="Times New Roman" w:cs="Times New Roman"/>
                      <w:szCs w:val="21"/>
                    </w:rPr>
                    <w:t>m</w:t>
                  </w:r>
                  <w:r>
                    <w:rPr>
                      <w:rFonts w:ascii="Times New Roman" w:hAnsi="Times New Roman" w:cs="Times New Roman"/>
                      <w:szCs w:val="21"/>
                      <w:vertAlign w:val="superscript"/>
                    </w:rPr>
                    <w:t>2</w:t>
                  </w:r>
                  <w:r>
                    <w:rPr>
                      <w:rFonts w:ascii="Times New Roman" w:hAnsi="Times New Roman" w:cs="Times New Roman"/>
                      <w:snapToGrid w:val="0"/>
                      <w:kern w:val="0"/>
                      <w:szCs w:val="21"/>
                    </w:rPr>
                    <w:t>存放干燥剂、活性炭、脱汞剂、MDEA等</w:t>
                  </w:r>
                </w:p>
              </w:tc>
              <w:tc>
                <w:tcPr>
                  <w:tcW w:w="439" w:type="pct"/>
                  <w:tcBorders>
                    <w:tl2br w:val="nil"/>
                    <w:tr2bl w:val="nil"/>
                  </w:tcBorders>
                  <w:vAlign w:val="center"/>
                </w:tcPr>
                <w:p w14:paraId="1D6F1313">
                  <w:pPr>
                    <w:spacing w:line="320" w:lineRule="exact"/>
                    <w:jc w:val="left"/>
                    <w:rPr>
                      <w:rFonts w:ascii="Times New Roman" w:hAnsi="Times New Roman" w:cs="Times New Roman"/>
                      <w:snapToGrid w:val="0"/>
                      <w:kern w:val="0"/>
                      <w:szCs w:val="21"/>
                    </w:rPr>
                  </w:pPr>
                  <w:r>
                    <w:rPr>
                      <w:rFonts w:hint="eastAsia" w:ascii="Times New Roman" w:hAnsi="Times New Roman" w:cs="Times New Roman"/>
                      <w:snapToGrid w:val="0"/>
                      <w:kern w:val="0"/>
                      <w:szCs w:val="21"/>
                    </w:rPr>
                    <w:t>新建</w:t>
                  </w:r>
                </w:p>
              </w:tc>
            </w:tr>
            <w:tr w14:paraId="74E3555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3" w:type="pct"/>
                  <w:vMerge w:val="continue"/>
                  <w:tcBorders>
                    <w:tl2br w:val="nil"/>
                    <w:tr2bl w:val="nil"/>
                  </w:tcBorders>
                  <w:vAlign w:val="center"/>
                </w:tcPr>
                <w:p w14:paraId="0C4F992D">
                  <w:pPr>
                    <w:spacing w:line="320" w:lineRule="exact"/>
                    <w:jc w:val="center"/>
                    <w:rPr>
                      <w:rFonts w:ascii="Times New Roman" w:hAnsi="Times New Roman" w:cs="Times New Roman"/>
                      <w:szCs w:val="21"/>
                    </w:rPr>
                  </w:pPr>
                </w:p>
              </w:tc>
              <w:tc>
                <w:tcPr>
                  <w:tcW w:w="1146" w:type="pct"/>
                  <w:gridSpan w:val="2"/>
                  <w:tcBorders>
                    <w:tl2br w:val="nil"/>
                    <w:tr2bl w:val="nil"/>
                  </w:tcBorders>
                  <w:vAlign w:val="center"/>
                </w:tcPr>
                <w:p w14:paraId="64B40C97">
                  <w:pPr>
                    <w:spacing w:line="320" w:lineRule="exact"/>
                    <w:jc w:val="center"/>
                    <w:rPr>
                      <w:rFonts w:ascii="Times New Roman" w:hAnsi="Times New Roman" w:cs="Times New Roman"/>
                      <w:szCs w:val="21"/>
                    </w:rPr>
                  </w:pPr>
                  <w:r>
                    <w:rPr>
                      <w:rFonts w:ascii="Times New Roman" w:hAnsi="Times New Roman" w:cs="Times New Roman"/>
                      <w:szCs w:val="21"/>
                    </w:rPr>
                    <w:t>装卸站</w:t>
                  </w:r>
                </w:p>
              </w:tc>
              <w:tc>
                <w:tcPr>
                  <w:tcW w:w="2958" w:type="pct"/>
                  <w:tcBorders>
                    <w:tl2br w:val="nil"/>
                    <w:tr2bl w:val="nil"/>
                  </w:tcBorders>
                  <w:vAlign w:val="center"/>
                </w:tcPr>
                <w:p w14:paraId="6A53F45D">
                  <w:pPr>
                    <w:spacing w:line="320" w:lineRule="exact"/>
                    <w:jc w:val="left"/>
                    <w:rPr>
                      <w:rFonts w:ascii="Times New Roman" w:hAnsi="Times New Roman" w:cs="Times New Roman"/>
                      <w:szCs w:val="21"/>
                    </w:rPr>
                  </w:pPr>
                  <w:r>
                    <w:rPr>
                      <w:rFonts w:hint="eastAsia" w:ascii="Times New Roman" w:hAnsi="Times New Roman" w:cs="Times New Roman"/>
                      <w:szCs w:val="21"/>
                    </w:rPr>
                    <w:t>4新增</w:t>
                  </w:r>
                  <w:r>
                    <w:rPr>
                      <w:rFonts w:ascii="Times New Roman" w:hAnsi="Times New Roman" w:cs="Times New Roman"/>
                      <w:szCs w:val="21"/>
                    </w:rPr>
                    <w:t>个装/卸车鹤位。</w:t>
                  </w:r>
                </w:p>
              </w:tc>
              <w:tc>
                <w:tcPr>
                  <w:tcW w:w="439" w:type="pct"/>
                  <w:tcBorders>
                    <w:tl2br w:val="nil"/>
                    <w:tr2bl w:val="nil"/>
                  </w:tcBorders>
                  <w:vAlign w:val="center"/>
                </w:tcPr>
                <w:p w14:paraId="31D28920">
                  <w:pPr>
                    <w:spacing w:line="320" w:lineRule="exact"/>
                    <w:jc w:val="left"/>
                    <w:rPr>
                      <w:rFonts w:ascii="Times New Roman" w:hAnsi="Times New Roman" w:cs="Times New Roman"/>
                      <w:szCs w:val="21"/>
                    </w:rPr>
                  </w:pPr>
                  <w:r>
                    <w:rPr>
                      <w:rFonts w:hint="eastAsia" w:ascii="Times New Roman" w:hAnsi="Times New Roman" w:cs="Times New Roman"/>
                      <w:szCs w:val="21"/>
                    </w:rPr>
                    <w:t>新增</w:t>
                  </w:r>
                </w:p>
              </w:tc>
            </w:tr>
          </w:tbl>
          <w:p w14:paraId="504D8D5F">
            <w:pPr>
              <w:pStyle w:val="34"/>
              <w:rPr>
                <w:rFonts w:ascii="Times New Roman" w:hAnsi="Times New Roman" w:cs="Times New Roman"/>
                <w:b/>
              </w:rPr>
            </w:pPr>
          </w:p>
          <w:p w14:paraId="4A355A24">
            <w:pPr>
              <w:spacing w:line="360" w:lineRule="auto"/>
              <w:outlineLvl w:val="2"/>
              <w:rPr>
                <w:rFonts w:ascii="Times New Roman" w:hAnsi="Times New Roman" w:cs="Times New Roman"/>
                <w:b/>
                <w:sz w:val="24"/>
              </w:rPr>
            </w:pPr>
            <w:r>
              <w:rPr>
                <w:rFonts w:ascii="Times New Roman" w:hAnsi="Times New Roman" w:cs="Times New Roman"/>
                <w:b/>
                <w:sz w:val="24"/>
              </w:rPr>
              <w:t>2.1.3</w:t>
            </w:r>
            <w:r>
              <w:rPr>
                <w:rFonts w:hint="eastAsia" w:ascii="Times New Roman" w:hAnsi="Times New Roman" w:cs="Times New Roman"/>
                <w:b/>
                <w:sz w:val="24"/>
              </w:rPr>
              <w:t>主体</w:t>
            </w:r>
            <w:r>
              <w:rPr>
                <w:rFonts w:ascii="Times New Roman" w:hAnsi="Times New Roman" w:cs="Times New Roman"/>
                <w:b/>
                <w:sz w:val="24"/>
              </w:rPr>
              <w:t>工程</w:t>
            </w:r>
          </w:p>
          <w:p w14:paraId="7BCFEEBE">
            <w:pPr>
              <w:spacing w:line="360" w:lineRule="auto"/>
              <w:ind w:firstLine="480"/>
              <w:rPr>
                <w:rFonts w:ascii="宋体" w:hAnsi="宋体"/>
                <w:sz w:val="24"/>
              </w:rPr>
            </w:pPr>
            <w:r>
              <w:rPr>
                <w:rFonts w:hint="eastAsia" w:ascii="宋体" w:hAnsi="宋体"/>
                <w:sz w:val="24"/>
              </w:rPr>
              <w:t>本项目主体工程包括天然气净化系统和天然气液化系统。</w:t>
            </w:r>
          </w:p>
          <w:p w14:paraId="7306DCCA">
            <w:pPr>
              <w:spacing w:line="360" w:lineRule="auto"/>
              <w:ind w:firstLine="480"/>
              <w:rPr>
                <w:rFonts w:ascii="宋体" w:hAnsi="宋体"/>
                <w:sz w:val="24"/>
              </w:rPr>
            </w:pPr>
            <w:r>
              <w:rPr>
                <w:rFonts w:hint="eastAsia" w:ascii="宋体" w:hAnsi="宋体"/>
                <w:sz w:val="24"/>
              </w:rPr>
              <w:t>（1）天然气净化系统</w:t>
            </w:r>
          </w:p>
          <w:p w14:paraId="695135A1">
            <w:pPr>
              <w:spacing w:line="360" w:lineRule="auto"/>
              <w:ind w:firstLine="480"/>
              <w:rPr>
                <w:sz w:val="24"/>
              </w:rPr>
            </w:pPr>
            <w:r>
              <w:rPr>
                <w:rFonts w:hint="eastAsia"/>
                <w:sz w:val="24"/>
              </w:rPr>
              <w:t>系统包括</w:t>
            </w:r>
            <w:r>
              <w:rPr>
                <w:sz w:val="24"/>
              </w:rPr>
              <w:t>脱酸、脱水、脱汞净化单元和再生单元</w:t>
            </w:r>
            <w:r>
              <w:rPr>
                <w:rFonts w:hint="eastAsia"/>
                <w:sz w:val="24"/>
              </w:rPr>
              <w:t>。其中脱酸采用MDEA吸附塔进行去除；脱水采用分子筛去除；脱汞采用浸硫活性炭进行去除。经过净化后的天然气满足后续液化和使用的要求。</w:t>
            </w:r>
          </w:p>
          <w:p w14:paraId="6B835241">
            <w:pPr>
              <w:spacing w:line="360" w:lineRule="auto"/>
              <w:ind w:firstLine="480"/>
              <w:rPr>
                <w:sz w:val="24"/>
              </w:rPr>
            </w:pPr>
            <w:r>
              <w:rPr>
                <w:rFonts w:hint="eastAsia"/>
                <w:sz w:val="24"/>
              </w:rPr>
              <w:t>（2）天然气液化系统</w:t>
            </w:r>
          </w:p>
          <w:p w14:paraId="27F76F9E">
            <w:pPr>
              <w:spacing w:line="360" w:lineRule="auto"/>
              <w:ind w:firstLine="480"/>
              <w:rPr>
                <w:sz w:val="24"/>
              </w:rPr>
            </w:pPr>
            <w:r>
              <w:rPr>
                <w:rFonts w:hint="eastAsia"/>
                <w:sz w:val="24"/>
              </w:rPr>
              <w:t>液化系统采用中石化低能耗液化技术（SEP）为天然气液化提供冷量，制冷剂包括：氮气、甲烷、乙烯、丙烷和异戊烷，混合冷剂储存单元与一期共用。</w:t>
            </w:r>
          </w:p>
          <w:p w14:paraId="5A81B85E">
            <w:pPr>
              <w:spacing w:line="360" w:lineRule="auto"/>
              <w:ind w:firstLine="480"/>
              <w:rPr>
                <w:sz w:val="24"/>
              </w:rPr>
            </w:pPr>
            <w:r>
              <w:rPr>
                <w:rFonts w:hint="eastAsia"/>
                <w:sz w:val="24"/>
              </w:rPr>
              <w:t>（3）火炬</w:t>
            </w:r>
          </w:p>
          <w:p w14:paraId="3D8AE24A">
            <w:pPr>
              <w:spacing w:line="360" w:lineRule="auto"/>
              <w:ind w:firstLine="480"/>
              <w:rPr>
                <w:sz w:val="24"/>
              </w:rPr>
            </w:pPr>
            <w:r>
              <w:rPr>
                <w:rFonts w:hint="eastAsia"/>
                <w:sz w:val="24"/>
              </w:rPr>
              <w:t>依托一期已建火炬系统，将工艺装置中设备、管道上的安全阀、泄压阀、排放阀等在不正常操作（或事故）时排放的可燃物料，开停车时必须排放的可燃物料和试车中暂时无法平衡时所必须排出的可燃物料，LNG储罐内闪蒸汽收集为泄压必须排放的可燃物料，均需送至火炬系统及时烧掉，以确保装置的安全运行。</w:t>
            </w:r>
          </w:p>
          <w:p w14:paraId="1417F931">
            <w:pPr>
              <w:spacing w:line="360" w:lineRule="auto"/>
              <w:outlineLvl w:val="2"/>
              <w:rPr>
                <w:rFonts w:ascii="Times New Roman" w:hAnsi="Times New Roman" w:cs="Times New Roman"/>
                <w:b/>
                <w:sz w:val="24"/>
              </w:rPr>
            </w:pPr>
            <w:r>
              <w:rPr>
                <w:rFonts w:ascii="Times New Roman" w:hAnsi="Times New Roman" w:cs="Times New Roman"/>
                <w:b/>
                <w:sz w:val="24"/>
              </w:rPr>
              <w:t>2.1.</w:t>
            </w:r>
            <w:r>
              <w:rPr>
                <w:rFonts w:hint="eastAsia" w:ascii="Times New Roman" w:hAnsi="Times New Roman" w:cs="Times New Roman"/>
                <w:b/>
                <w:sz w:val="24"/>
              </w:rPr>
              <w:t>4</w:t>
            </w:r>
            <w:r>
              <w:rPr>
                <w:rFonts w:ascii="Times New Roman" w:hAnsi="Times New Roman" w:cs="Times New Roman"/>
                <w:b/>
                <w:sz w:val="24"/>
              </w:rPr>
              <w:t>公用工程</w:t>
            </w:r>
          </w:p>
          <w:p w14:paraId="76BF8B23">
            <w:pPr>
              <w:widowControl/>
              <w:snapToGrid w:val="0"/>
              <w:spacing w:line="360" w:lineRule="auto"/>
              <w:ind w:firstLine="480" w:firstLineChars="200"/>
              <w:rPr>
                <w:rFonts w:ascii="Times New Roman" w:hAnsi="Times New Roman" w:cs="Times New Roman"/>
                <w:kern w:val="0"/>
                <w:sz w:val="24"/>
                <w:szCs w:val="20"/>
              </w:rPr>
            </w:pPr>
            <w:r>
              <w:rPr>
                <w:rFonts w:ascii="Times New Roman" w:hAnsi="Times New Roman" w:cs="Times New Roman"/>
                <w:kern w:val="0"/>
                <w:sz w:val="24"/>
                <w:szCs w:val="20"/>
              </w:rPr>
              <w:t>（1）给水</w:t>
            </w:r>
          </w:p>
          <w:p w14:paraId="2D49C2B7">
            <w:pPr>
              <w:spacing w:line="360" w:lineRule="auto"/>
              <w:ind w:firstLine="464" w:firstLineChars="200"/>
              <w:rPr>
                <w:rFonts w:ascii="Times New Roman" w:hAnsi="Times New Roman" w:cs="Times New Roman"/>
                <w:spacing w:val="-4"/>
                <w:kern w:val="24"/>
                <w:sz w:val="24"/>
              </w:rPr>
            </w:pPr>
            <w:r>
              <w:rPr>
                <w:rFonts w:ascii="Times New Roman" w:hAnsi="Times New Roman" w:cs="Times New Roman"/>
                <w:spacing w:val="-4"/>
                <w:kern w:val="24"/>
                <w:sz w:val="24"/>
              </w:rPr>
              <w:t>项目依托一期现有供水系统，生活、消防用水由市政供水。项目用水环节有：</w:t>
            </w:r>
          </w:p>
          <w:p w14:paraId="01BFA9D8">
            <w:pPr>
              <w:spacing w:line="360" w:lineRule="auto"/>
              <w:ind w:firstLine="464" w:firstLineChars="200"/>
              <w:rPr>
                <w:rFonts w:ascii="Times New Roman" w:hAnsi="Times New Roman" w:cs="Times New Roman"/>
                <w:spacing w:val="-4"/>
                <w:kern w:val="24"/>
                <w:sz w:val="24"/>
              </w:rPr>
            </w:pPr>
            <w:r>
              <w:rPr>
                <w:rFonts w:ascii="Times New Roman" w:hAnsi="Times New Roman" w:cs="Times New Roman"/>
                <w:spacing w:val="-4"/>
                <w:kern w:val="24"/>
                <w:sz w:val="24"/>
              </w:rPr>
              <w:t>1、生活用水</w:t>
            </w:r>
          </w:p>
          <w:p w14:paraId="30E38243">
            <w:pPr>
              <w:spacing w:line="360" w:lineRule="auto"/>
              <w:ind w:firstLine="464" w:firstLineChars="200"/>
              <w:rPr>
                <w:rFonts w:ascii="Times New Roman" w:hAnsi="Times New Roman" w:cs="Times New Roman"/>
                <w:spacing w:val="-4"/>
                <w:kern w:val="24"/>
                <w:sz w:val="24"/>
              </w:rPr>
            </w:pPr>
            <w:r>
              <w:rPr>
                <w:rFonts w:ascii="Times New Roman" w:hAnsi="Times New Roman" w:cs="Times New Roman"/>
                <w:spacing w:val="-4"/>
                <w:kern w:val="24"/>
                <w:sz w:val="24"/>
              </w:rPr>
              <w:t>本项目新增劳动定员73人，用水量按 50L/人•d，则生活用水量3.65m</w:t>
            </w:r>
            <w:r>
              <w:rPr>
                <w:rFonts w:ascii="Times New Roman" w:hAnsi="Times New Roman" w:cs="Times New Roman"/>
                <w:spacing w:val="-4"/>
                <w:kern w:val="24"/>
                <w:sz w:val="24"/>
                <w:vertAlign w:val="superscript"/>
              </w:rPr>
              <w:t>3</w:t>
            </w:r>
            <w:r>
              <w:rPr>
                <w:rFonts w:ascii="Times New Roman" w:hAnsi="Times New Roman" w:cs="Times New Roman"/>
                <w:spacing w:val="-4"/>
                <w:kern w:val="24"/>
                <w:sz w:val="24"/>
              </w:rPr>
              <w:t>/d，排水量按用水量的 90%计，排水量为3.285m</w:t>
            </w:r>
            <w:r>
              <w:rPr>
                <w:rFonts w:ascii="Times New Roman" w:hAnsi="Times New Roman" w:cs="Times New Roman"/>
                <w:spacing w:val="-4"/>
                <w:kern w:val="24"/>
                <w:sz w:val="24"/>
                <w:vertAlign w:val="superscript"/>
              </w:rPr>
              <w:t>3</w:t>
            </w:r>
            <w:r>
              <w:rPr>
                <w:rFonts w:ascii="Times New Roman" w:hAnsi="Times New Roman" w:cs="Times New Roman"/>
                <w:spacing w:val="-4"/>
                <w:kern w:val="24"/>
                <w:sz w:val="24"/>
              </w:rPr>
              <w:t>/d。</w:t>
            </w:r>
          </w:p>
          <w:p w14:paraId="23090010">
            <w:pPr>
              <w:spacing w:line="360" w:lineRule="auto"/>
              <w:ind w:firstLine="480"/>
              <w:rPr>
                <w:sz w:val="24"/>
              </w:rPr>
            </w:pPr>
            <w:r>
              <w:rPr>
                <w:rFonts w:hint="eastAsia"/>
                <w:sz w:val="24"/>
              </w:rPr>
              <w:t>2、生产用水</w:t>
            </w:r>
          </w:p>
          <w:p w14:paraId="2B542760">
            <w:pPr>
              <w:spacing w:line="360" w:lineRule="auto"/>
              <w:ind w:firstLine="480"/>
              <w:rPr>
                <w:sz w:val="24"/>
              </w:rPr>
            </w:pPr>
            <w:r>
              <w:rPr>
                <w:rFonts w:hint="eastAsia"/>
                <w:sz w:val="24"/>
              </w:rPr>
              <w:t>生产用水主要为生产装置、辅助生产设施或单元生产使用及地坪冲洗水。</w:t>
            </w:r>
          </w:p>
          <w:p w14:paraId="5677653E">
            <w:pPr>
              <w:widowControl/>
              <w:snapToGrid w:val="0"/>
              <w:spacing w:line="360" w:lineRule="auto"/>
              <w:ind w:firstLine="480" w:firstLineChars="200"/>
              <w:rPr>
                <w:rFonts w:ascii="Times New Roman" w:hAnsi="Times New Roman" w:cs="Times New Roman"/>
                <w:kern w:val="0"/>
                <w:sz w:val="24"/>
              </w:rPr>
            </w:pPr>
            <w:r>
              <w:rPr>
                <w:rFonts w:ascii="Times New Roman" w:hAnsi="Times New Roman" w:cs="Times New Roman"/>
                <w:kern w:val="0"/>
                <w:sz w:val="24"/>
              </w:rPr>
              <w:t>拟建项目水平衡见图2.</w:t>
            </w:r>
            <w:r>
              <w:rPr>
                <w:rFonts w:hint="eastAsia" w:ascii="Times New Roman" w:hAnsi="Times New Roman" w:cs="Times New Roman"/>
                <w:kern w:val="0"/>
                <w:sz w:val="24"/>
              </w:rPr>
              <w:t>1</w:t>
            </w:r>
            <w:r>
              <w:rPr>
                <w:rFonts w:ascii="Times New Roman" w:hAnsi="Times New Roman" w:cs="Times New Roman"/>
                <w:kern w:val="0"/>
                <w:sz w:val="24"/>
              </w:rPr>
              <w:t>-1</w:t>
            </w:r>
            <w:r>
              <w:rPr>
                <w:rFonts w:hint="eastAsia" w:ascii="Times New Roman" w:hAnsi="Times New Roman" w:cs="Times New Roman"/>
                <w:kern w:val="0"/>
                <w:sz w:val="24"/>
              </w:rPr>
              <w:t>，</w:t>
            </w:r>
            <w:r>
              <w:rPr>
                <w:rFonts w:hint="eastAsia" w:ascii="Times New Roman" w:hAnsi="Times New Roman" w:cs="Times New Roman"/>
                <w:sz w:val="24"/>
              </w:rPr>
              <w:t>全厂</w:t>
            </w:r>
            <w:r>
              <w:rPr>
                <w:rFonts w:ascii="Times New Roman" w:hAnsi="Times New Roman" w:cs="Times New Roman"/>
                <w:sz w:val="24"/>
              </w:rPr>
              <w:t>水平衡</w:t>
            </w:r>
            <w:r>
              <w:rPr>
                <w:rFonts w:ascii="Times New Roman" w:hAnsi="Times New Roman" w:cs="Times New Roman"/>
                <w:kern w:val="0"/>
                <w:sz w:val="24"/>
              </w:rPr>
              <w:t>见图2.</w:t>
            </w:r>
            <w:r>
              <w:rPr>
                <w:rFonts w:hint="eastAsia" w:ascii="Times New Roman" w:hAnsi="Times New Roman" w:cs="Times New Roman"/>
                <w:kern w:val="0"/>
                <w:sz w:val="24"/>
              </w:rPr>
              <w:t>1</w:t>
            </w:r>
            <w:r>
              <w:rPr>
                <w:rFonts w:ascii="Times New Roman" w:hAnsi="Times New Roman" w:cs="Times New Roman"/>
                <w:kern w:val="0"/>
                <w:sz w:val="24"/>
              </w:rPr>
              <w:t>-</w:t>
            </w:r>
            <w:r>
              <w:rPr>
                <w:rFonts w:hint="eastAsia" w:ascii="Times New Roman" w:hAnsi="Times New Roman" w:cs="Times New Roman"/>
                <w:kern w:val="0"/>
                <w:sz w:val="24"/>
              </w:rPr>
              <w:t>2</w:t>
            </w:r>
            <w:r>
              <w:rPr>
                <w:rFonts w:ascii="Times New Roman" w:hAnsi="Times New Roman" w:cs="Times New Roman"/>
                <w:kern w:val="0"/>
                <w:sz w:val="24"/>
              </w:rPr>
              <w:t>。</w:t>
            </w:r>
          </w:p>
          <w:p w14:paraId="3D73CD6C">
            <w:pPr>
              <w:spacing w:line="360" w:lineRule="auto"/>
              <w:rPr>
                <w:rFonts w:ascii="Times New Roman" w:hAnsi="Times New Roman" w:cs="Times New Roman"/>
                <w:sz w:val="24"/>
              </w:rPr>
            </w:pPr>
            <w:r>
              <w:rPr>
                <w:rFonts w:ascii="Times New Roman" w:hAnsi="Times New Roman" w:cs="Times New Roman"/>
                <w:sz w:val="24"/>
              </w:rPr>
              <w:object>
                <v:shape id="_x0000_i1025" o:spt="75" type="#_x0000_t75" style="height:280.9pt;width:460.9pt;" o:ole="t" filled="f" o:preferrelative="t" stroked="f" coordsize="21600,21600">
                  <v:path/>
                  <v:fill on="f" focussize="0,0"/>
                  <v:stroke on="f" joinstyle="miter"/>
                  <v:imagedata r:id="rId12" o:title=""/>
                  <o:lock v:ext="edit" aspectratio="t"/>
                  <w10:wrap type="none"/>
                  <w10:anchorlock/>
                </v:shape>
                <o:OLEObject Type="Embed" ProgID="Visio.Drawing.11" ShapeID="_x0000_i1025" DrawAspect="Content" ObjectID="_1468075725" r:id="rId11">
                  <o:LockedField>false</o:LockedField>
                </o:OLEObject>
              </w:object>
            </w:r>
          </w:p>
          <w:p w14:paraId="1E9C702B">
            <w:pPr>
              <w:spacing w:line="360" w:lineRule="auto"/>
              <w:rPr>
                <w:rFonts w:ascii="Times New Roman" w:hAnsi="Times New Roman" w:cs="Times New Roman"/>
                <w:sz w:val="24"/>
              </w:rPr>
            </w:pPr>
          </w:p>
          <w:p w14:paraId="7287E37B">
            <w:pPr>
              <w:adjustRightInd w:val="0"/>
              <w:snapToGrid w:val="0"/>
              <w:jc w:val="center"/>
              <w:rPr>
                <w:rFonts w:ascii="Times New Roman" w:hAnsi="Times New Roman" w:cs="Times New Roman"/>
                <w:szCs w:val="20"/>
              </w:rPr>
            </w:pPr>
            <w:r>
              <w:rPr>
                <w:rFonts w:ascii="Times New Roman" w:hAnsi="Times New Roman" w:cs="Times New Roman"/>
                <w:szCs w:val="20"/>
              </w:rPr>
              <w:t>图2.</w:t>
            </w:r>
            <w:r>
              <w:rPr>
                <w:rFonts w:hint="eastAsia" w:ascii="Times New Roman" w:hAnsi="Times New Roman" w:cs="Times New Roman"/>
                <w:szCs w:val="20"/>
              </w:rPr>
              <w:t>1</w:t>
            </w:r>
            <w:r>
              <w:rPr>
                <w:rFonts w:ascii="Times New Roman" w:hAnsi="Times New Roman" w:cs="Times New Roman"/>
                <w:szCs w:val="20"/>
              </w:rPr>
              <w:t>-1  拟建项目水平衡图 单位：m</w:t>
            </w:r>
            <w:r>
              <w:rPr>
                <w:rFonts w:ascii="Times New Roman" w:hAnsi="Times New Roman" w:cs="Times New Roman"/>
                <w:szCs w:val="20"/>
                <w:vertAlign w:val="superscript"/>
              </w:rPr>
              <w:t>3</w:t>
            </w:r>
            <w:r>
              <w:rPr>
                <w:rFonts w:ascii="Times New Roman" w:hAnsi="Times New Roman" w:cs="Times New Roman"/>
                <w:szCs w:val="20"/>
              </w:rPr>
              <w:t>/d</w:t>
            </w:r>
          </w:p>
          <w:p w14:paraId="622ED8EC">
            <w:pPr>
              <w:adjustRightInd w:val="0"/>
              <w:snapToGrid w:val="0"/>
              <w:jc w:val="center"/>
              <w:rPr>
                <w:rFonts w:ascii="Times New Roman" w:hAnsi="Times New Roman" w:cs="Times New Roman"/>
                <w:szCs w:val="20"/>
              </w:rPr>
            </w:pPr>
          </w:p>
          <w:p w14:paraId="3A44BDA9">
            <w:pPr>
              <w:adjustRightInd w:val="0"/>
              <w:snapToGrid w:val="0"/>
              <w:jc w:val="center"/>
              <w:rPr>
                <w:rFonts w:ascii="Times New Roman" w:hAnsi="Times New Roman" w:cs="Times New Roman"/>
                <w:szCs w:val="20"/>
              </w:rPr>
            </w:pPr>
            <w:r>
              <w:rPr>
                <w:rFonts w:ascii="Times New Roman" w:hAnsi="Times New Roman" w:cs="Times New Roman"/>
                <w:szCs w:val="20"/>
              </w:rPr>
              <w:object>
                <v:shape id="_x0000_i1026" o:spt="75" type="#_x0000_t75" style="height:280.9pt;width:460.9pt;" o:ole="t" filled="f" o:preferrelative="t" stroked="f" coordsize="21600,21600">
                  <v:path/>
                  <v:fill on="f" focussize="0,0"/>
                  <v:stroke on="f" joinstyle="miter"/>
                  <v:imagedata r:id="rId14" o:title=""/>
                  <o:lock v:ext="edit" aspectratio="t"/>
                  <w10:wrap type="none"/>
                  <w10:anchorlock/>
                </v:shape>
                <o:OLEObject Type="Embed" ProgID="Visio.Drawing.11" ShapeID="_x0000_i1026" DrawAspect="Content" ObjectID="_1468075726" r:id="rId13">
                  <o:LockedField>false</o:LockedField>
                </o:OLEObject>
              </w:object>
            </w:r>
          </w:p>
          <w:p w14:paraId="7A2CD3C2">
            <w:pPr>
              <w:adjustRightInd w:val="0"/>
              <w:snapToGrid w:val="0"/>
              <w:jc w:val="center"/>
              <w:rPr>
                <w:rFonts w:ascii="Times New Roman" w:hAnsi="Times New Roman" w:cs="Times New Roman"/>
                <w:szCs w:val="20"/>
              </w:rPr>
            </w:pPr>
          </w:p>
          <w:p w14:paraId="24C4B1BD">
            <w:pPr>
              <w:adjustRightInd w:val="0"/>
              <w:snapToGrid w:val="0"/>
              <w:jc w:val="center"/>
              <w:rPr>
                <w:rFonts w:ascii="Times New Roman" w:hAnsi="Times New Roman" w:cs="Times New Roman"/>
                <w:szCs w:val="20"/>
              </w:rPr>
            </w:pPr>
            <w:r>
              <w:rPr>
                <w:rFonts w:ascii="Times New Roman" w:hAnsi="Times New Roman" w:cs="Times New Roman"/>
                <w:szCs w:val="20"/>
              </w:rPr>
              <w:t>图2.</w:t>
            </w:r>
            <w:r>
              <w:rPr>
                <w:rFonts w:hint="eastAsia" w:ascii="Times New Roman" w:hAnsi="Times New Roman" w:cs="Times New Roman"/>
                <w:szCs w:val="20"/>
              </w:rPr>
              <w:t>1</w:t>
            </w:r>
            <w:r>
              <w:rPr>
                <w:rFonts w:ascii="Times New Roman" w:hAnsi="Times New Roman" w:cs="Times New Roman"/>
                <w:szCs w:val="20"/>
              </w:rPr>
              <w:t>-</w:t>
            </w:r>
            <w:r>
              <w:rPr>
                <w:rFonts w:hint="eastAsia" w:ascii="Times New Roman" w:hAnsi="Times New Roman" w:cs="Times New Roman"/>
                <w:szCs w:val="20"/>
              </w:rPr>
              <w:t>2</w:t>
            </w:r>
            <w:r>
              <w:rPr>
                <w:rFonts w:ascii="Times New Roman" w:hAnsi="Times New Roman" w:cs="Times New Roman"/>
                <w:szCs w:val="20"/>
              </w:rPr>
              <w:t xml:space="preserve">  </w:t>
            </w:r>
            <w:r>
              <w:rPr>
                <w:rFonts w:hint="eastAsia" w:ascii="Times New Roman" w:hAnsi="Times New Roman" w:cs="Times New Roman"/>
                <w:szCs w:val="20"/>
              </w:rPr>
              <w:t>全厂</w:t>
            </w:r>
            <w:r>
              <w:rPr>
                <w:rFonts w:ascii="Times New Roman" w:hAnsi="Times New Roman" w:cs="Times New Roman"/>
                <w:szCs w:val="20"/>
              </w:rPr>
              <w:t>水平衡图 单位：m</w:t>
            </w:r>
            <w:r>
              <w:rPr>
                <w:rFonts w:ascii="Times New Roman" w:hAnsi="Times New Roman" w:cs="Times New Roman"/>
                <w:szCs w:val="20"/>
                <w:vertAlign w:val="superscript"/>
              </w:rPr>
              <w:t>3</w:t>
            </w:r>
            <w:r>
              <w:rPr>
                <w:rFonts w:ascii="Times New Roman" w:hAnsi="Times New Roman" w:cs="Times New Roman"/>
                <w:szCs w:val="20"/>
              </w:rPr>
              <w:t>/d</w:t>
            </w:r>
          </w:p>
          <w:p w14:paraId="28E367AB">
            <w:pPr>
              <w:adjustRightInd w:val="0"/>
              <w:snapToGrid w:val="0"/>
              <w:jc w:val="center"/>
              <w:rPr>
                <w:rFonts w:ascii="Times New Roman" w:hAnsi="Times New Roman" w:cs="Times New Roman"/>
                <w:szCs w:val="20"/>
              </w:rPr>
            </w:pPr>
          </w:p>
          <w:p w14:paraId="370CD3F4">
            <w:pPr>
              <w:adjustRightInd w:val="0"/>
              <w:snapToGrid w:val="0"/>
              <w:jc w:val="center"/>
              <w:rPr>
                <w:rFonts w:ascii="Times New Roman" w:hAnsi="Times New Roman" w:cs="Times New Roman"/>
                <w:szCs w:val="20"/>
              </w:rPr>
            </w:pPr>
          </w:p>
          <w:p w14:paraId="022C0066">
            <w:pPr>
              <w:widowControl/>
              <w:snapToGrid w:val="0"/>
              <w:spacing w:line="360" w:lineRule="auto"/>
              <w:ind w:firstLine="480" w:firstLineChars="200"/>
              <w:rPr>
                <w:rFonts w:ascii="Times New Roman" w:hAnsi="Times New Roman" w:cs="Times New Roman"/>
                <w:kern w:val="0"/>
                <w:sz w:val="24"/>
                <w:szCs w:val="20"/>
              </w:rPr>
            </w:pPr>
            <w:r>
              <w:rPr>
                <w:rFonts w:ascii="Times New Roman" w:hAnsi="Times New Roman" w:cs="Times New Roman"/>
                <w:kern w:val="0"/>
                <w:sz w:val="24"/>
                <w:szCs w:val="20"/>
              </w:rPr>
              <w:t>（2）排水</w:t>
            </w:r>
          </w:p>
          <w:p w14:paraId="6D180AD7">
            <w:pPr>
              <w:spacing w:line="360" w:lineRule="auto"/>
              <w:ind w:firstLine="480"/>
              <w:rPr>
                <w:rFonts w:ascii="Times New Roman" w:hAnsi="Times New Roman" w:cs="Times New Roman"/>
                <w:sz w:val="24"/>
              </w:rPr>
            </w:pPr>
            <w:r>
              <w:rPr>
                <w:rFonts w:ascii="Times New Roman" w:hAnsi="Times New Roman" w:cs="Times New Roman"/>
                <w:sz w:val="24"/>
              </w:rPr>
              <w:t>新根据污水性质、处理要求、处理方法、污染程度的不同，遵循“清污分流、污污分治、雨污分流”的原则，</w:t>
            </w:r>
            <w:r>
              <w:rPr>
                <w:rFonts w:hint="eastAsia" w:ascii="Times New Roman" w:hAnsi="Times New Roman" w:cs="Times New Roman"/>
                <w:sz w:val="24"/>
              </w:rPr>
              <w:t>经处理后的生产</w:t>
            </w:r>
            <w:r>
              <w:rPr>
                <w:rFonts w:ascii="Times New Roman" w:hAnsi="Times New Roman" w:cs="Times New Roman"/>
                <w:sz w:val="24"/>
              </w:rPr>
              <w:t>工艺污水、生活污水分别经管道输送至园区潘家污水处理厂集中处理。</w:t>
            </w:r>
          </w:p>
          <w:p w14:paraId="4E64C661">
            <w:pPr>
              <w:spacing w:line="360" w:lineRule="auto"/>
              <w:ind w:firstLine="480"/>
              <w:rPr>
                <w:sz w:val="24"/>
              </w:rPr>
            </w:pPr>
            <w:r>
              <w:rPr>
                <w:rFonts w:hint="eastAsia"/>
                <w:sz w:val="24"/>
              </w:rPr>
              <w:t>（3）消防水系统</w:t>
            </w:r>
          </w:p>
          <w:p w14:paraId="0B1B53C7">
            <w:pPr>
              <w:spacing w:line="360" w:lineRule="auto"/>
              <w:ind w:firstLine="480"/>
              <w:rPr>
                <w:sz w:val="24"/>
              </w:rPr>
            </w:pPr>
            <w:r>
              <w:rPr>
                <w:rFonts w:hint="eastAsia"/>
                <w:sz w:val="24"/>
              </w:rPr>
              <w:t>二期项目依托</w:t>
            </w:r>
            <w:r>
              <w:rPr>
                <w:sz w:val="24"/>
              </w:rPr>
              <w:t>LNG</w:t>
            </w:r>
            <w:r>
              <w:rPr>
                <w:rFonts w:hint="eastAsia"/>
                <w:sz w:val="24"/>
              </w:rPr>
              <w:t>工厂已建稳高压消防给水系统和泡沫灭火系统，消防用水储备于厂内消防水储罐中，补充水接自涪陵白涛工业园区给水管网，消防补水管管径为</w:t>
            </w:r>
            <w:r>
              <w:rPr>
                <w:sz w:val="24"/>
              </w:rPr>
              <w:t>DN150</w:t>
            </w:r>
            <w:r>
              <w:rPr>
                <w:rFonts w:hint="eastAsia"/>
                <w:sz w:val="24"/>
              </w:rPr>
              <w:t>，以保证消防水罐补水时间小于</w:t>
            </w:r>
            <w:r>
              <w:rPr>
                <w:sz w:val="24"/>
              </w:rPr>
              <w:t>48h</w:t>
            </w:r>
            <w:r>
              <w:rPr>
                <w:rFonts w:hint="eastAsia"/>
                <w:sz w:val="24"/>
              </w:rPr>
              <w:t>。</w:t>
            </w:r>
          </w:p>
          <w:p w14:paraId="3269B948">
            <w:pPr>
              <w:spacing w:line="360" w:lineRule="auto"/>
              <w:ind w:firstLine="480"/>
              <w:rPr>
                <w:sz w:val="24"/>
              </w:rPr>
            </w:pPr>
            <w:r>
              <w:rPr>
                <w:rFonts w:hint="eastAsia"/>
                <w:sz w:val="24"/>
              </w:rPr>
              <w:t>全厂同一时间内火灾次数按一次计算，装置最大消防水量发生在</w:t>
            </w:r>
            <w:r>
              <w:rPr>
                <w:sz w:val="24"/>
              </w:rPr>
              <w:t>LNG</w:t>
            </w:r>
            <w:r>
              <w:rPr>
                <w:rFonts w:hint="eastAsia"/>
                <w:sz w:val="24"/>
              </w:rPr>
              <w:t>储罐区，为消防冷却水量和泡沫消防水量之和。全厂设计消防水量为</w:t>
            </w:r>
            <w:r>
              <w:rPr>
                <w:sz w:val="24"/>
              </w:rPr>
              <w:t>266L/s</w:t>
            </w:r>
            <w:r>
              <w:rPr>
                <w:rFonts w:hint="eastAsia"/>
                <w:sz w:val="24"/>
              </w:rPr>
              <w:t>，火灾延续时间不小于</w:t>
            </w:r>
            <w:r>
              <w:rPr>
                <w:sz w:val="24"/>
              </w:rPr>
              <w:t>6</w:t>
            </w:r>
            <w:r>
              <w:rPr>
                <w:rFonts w:hint="eastAsia"/>
                <w:sz w:val="24"/>
              </w:rPr>
              <w:t>h。</w:t>
            </w:r>
          </w:p>
          <w:p w14:paraId="1CF5DDA5">
            <w:pPr>
              <w:spacing w:line="360" w:lineRule="auto"/>
              <w:ind w:firstLine="480"/>
              <w:rPr>
                <w:sz w:val="24"/>
              </w:rPr>
            </w:pPr>
            <w:r>
              <w:rPr>
                <w:rFonts w:hint="eastAsia"/>
                <w:sz w:val="24"/>
              </w:rPr>
              <w:t>厂内已建设消防水站，设置防水储罐</w:t>
            </w:r>
            <w:r>
              <w:rPr>
                <w:sz w:val="24"/>
              </w:rPr>
              <w:t>2</w:t>
            </w:r>
            <w:r>
              <w:rPr>
                <w:rFonts w:hint="eastAsia"/>
                <w:sz w:val="24"/>
              </w:rPr>
              <w:t>座，单罐容积为</w:t>
            </w:r>
            <w:r>
              <w:rPr>
                <w:sz w:val="24"/>
              </w:rPr>
              <w:t>3000m</w:t>
            </w:r>
            <w:r>
              <w:rPr>
                <w:sz w:val="24"/>
                <w:vertAlign w:val="superscript"/>
              </w:rPr>
              <w:t>3</w:t>
            </w:r>
            <w:r>
              <w:rPr>
                <w:rFonts w:hint="eastAsia"/>
                <w:sz w:val="24"/>
              </w:rPr>
              <w:t>，消防水罐总容积为</w:t>
            </w:r>
            <w:r>
              <w:rPr>
                <w:sz w:val="24"/>
              </w:rPr>
              <w:t>6000m</w:t>
            </w:r>
            <w:r>
              <w:rPr>
                <w:sz w:val="24"/>
                <w:vertAlign w:val="superscript"/>
              </w:rPr>
              <w:t>3</w:t>
            </w:r>
            <w:r>
              <w:rPr>
                <w:rFonts w:hint="eastAsia"/>
                <w:sz w:val="24"/>
              </w:rPr>
              <w:t>，同时设有消防水泵和稳压泵，日常保持稳高压消防管网压力</w:t>
            </w:r>
            <w:r>
              <w:rPr>
                <w:sz w:val="24"/>
              </w:rPr>
              <w:t>0.7~1.2MPa</w:t>
            </w:r>
            <w:r>
              <w:rPr>
                <w:rFonts w:hint="eastAsia"/>
                <w:sz w:val="24"/>
              </w:rPr>
              <w:t>。</w:t>
            </w:r>
          </w:p>
          <w:p w14:paraId="1F44B84B">
            <w:pPr>
              <w:spacing w:line="360" w:lineRule="auto"/>
              <w:ind w:firstLine="480"/>
              <w:rPr>
                <w:sz w:val="24"/>
              </w:rPr>
            </w:pPr>
            <w:r>
              <w:rPr>
                <w:rFonts w:hint="eastAsia"/>
                <w:sz w:val="24"/>
              </w:rPr>
              <w:t>消防水、泡沫原液经泡沫比例混合装置混合后，配置成高倍数泡沫混合液，由泡沫混合液管道输送至LNG储罐区或装卸站，为罐区或装卸站事故集液池提供泡沫混合液。一期项目建设时为二期项目预留余量，故二期项目依托一期消防水系统可行。</w:t>
            </w:r>
          </w:p>
          <w:p w14:paraId="2A5ED550">
            <w:pPr>
              <w:spacing w:line="360" w:lineRule="auto"/>
              <w:ind w:firstLine="480"/>
              <w:rPr>
                <w:sz w:val="24"/>
              </w:rPr>
            </w:pPr>
            <w:r>
              <w:rPr>
                <w:rFonts w:hint="eastAsia"/>
                <w:sz w:val="24"/>
              </w:rPr>
              <w:t>（4）循环水系统</w:t>
            </w:r>
          </w:p>
          <w:p w14:paraId="132A1D28">
            <w:pPr>
              <w:spacing w:line="360" w:lineRule="auto"/>
              <w:ind w:firstLine="480"/>
              <w:rPr>
                <w:sz w:val="24"/>
              </w:rPr>
            </w:pPr>
            <w:r>
              <w:rPr>
                <w:rFonts w:hint="eastAsia"/>
                <w:sz w:val="24"/>
              </w:rPr>
              <w:t>循环水系统为工艺生产装置换热设备提供冷却用水，换热后升温的水回到循环水站，经冷却塔降温处理后循环使用。</w:t>
            </w:r>
          </w:p>
          <w:p w14:paraId="51AD38C2">
            <w:pPr>
              <w:spacing w:line="360" w:lineRule="auto"/>
              <w:ind w:firstLine="480"/>
              <w:rPr>
                <w:sz w:val="24"/>
              </w:rPr>
            </w:pPr>
            <w:r>
              <w:rPr>
                <w:rFonts w:hint="eastAsia"/>
                <w:sz w:val="24"/>
              </w:rPr>
              <w:t>（5）循环水站</w:t>
            </w:r>
          </w:p>
          <w:p w14:paraId="7D675146">
            <w:pPr>
              <w:spacing w:line="360" w:lineRule="auto"/>
              <w:ind w:firstLine="480"/>
              <w:rPr>
                <w:sz w:val="24"/>
              </w:rPr>
            </w:pPr>
            <w:r>
              <w:rPr>
                <w:rFonts w:hint="eastAsia"/>
                <w:sz w:val="24"/>
              </w:rPr>
              <w:t>二期项目需新建循环水站。在预留位置扩建，建设冷却塔、循环水给水泵同时配套的加药系统、配电、控制系统等。</w:t>
            </w:r>
          </w:p>
          <w:p w14:paraId="7FA5F2B8">
            <w:pPr>
              <w:spacing w:line="360" w:lineRule="auto"/>
              <w:ind w:firstLine="464" w:firstLineChars="200"/>
              <w:rPr>
                <w:rFonts w:ascii="Times New Roman" w:hAnsi="Times New Roman" w:cs="Times New Roman"/>
                <w:spacing w:val="-4"/>
                <w:kern w:val="24"/>
                <w:sz w:val="24"/>
              </w:rPr>
            </w:pPr>
            <w:r>
              <w:rPr>
                <w:rFonts w:ascii="Times New Roman" w:hAnsi="Times New Roman" w:cs="Times New Roman"/>
                <w:spacing w:val="-4"/>
                <w:kern w:val="24"/>
                <w:sz w:val="24"/>
              </w:rPr>
              <w:t>（</w:t>
            </w:r>
            <w:r>
              <w:rPr>
                <w:rFonts w:hint="eastAsia" w:ascii="Times New Roman" w:hAnsi="Times New Roman" w:cs="Times New Roman"/>
                <w:spacing w:val="-4"/>
                <w:kern w:val="24"/>
                <w:sz w:val="24"/>
              </w:rPr>
              <w:t>6</w:t>
            </w:r>
            <w:r>
              <w:rPr>
                <w:rFonts w:ascii="Times New Roman" w:hAnsi="Times New Roman" w:cs="Times New Roman"/>
                <w:spacing w:val="-4"/>
                <w:kern w:val="24"/>
                <w:sz w:val="24"/>
              </w:rPr>
              <w:t>）</w:t>
            </w:r>
            <w:r>
              <w:rPr>
                <w:rFonts w:hint="eastAsia" w:ascii="Times New Roman" w:hAnsi="Times New Roman" w:cs="Times New Roman"/>
                <w:spacing w:val="-4"/>
                <w:kern w:val="24"/>
                <w:sz w:val="24"/>
              </w:rPr>
              <w:t>供热</w:t>
            </w:r>
          </w:p>
          <w:p w14:paraId="1C5D8CA2">
            <w:pPr>
              <w:spacing w:line="360" w:lineRule="auto"/>
              <w:ind w:firstLine="464" w:firstLineChars="200"/>
              <w:rPr>
                <w:rFonts w:ascii="Times New Roman" w:hAnsi="Times New Roman" w:cs="Times New Roman"/>
                <w:spacing w:val="-4"/>
                <w:kern w:val="24"/>
                <w:sz w:val="24"/>
              </w:rPr>
            </w:pPr>
            <w:r>
              <w:rPr>
                <w:rFonts w:hint="eastAsia" w:ascii="Times New Roman" w:hAnsi="Times New Roman" w:cs="Times New Roman"/>
                <w:spacing w:val="-4"/>
                <w:kern w:val="24"/>
                <w:sz w:val="24"/>
              </w:rPr>
              <w:t>本项目用热主要为生产用热。工艺装置用热负荷主要为再生用热，用热点为MDEA（N-甲基二乙醇胺）再生和分子筛再生，新建一座燃气导热油炉供热。燃料气主要为进站天然气、闪蒸气和凝液赋热后气体，配置燃气分离器和过滤器各一套，分离过滤稳压后供导热油炉使用。</w:t>
            </w:r>
          </w:p>
          <w:p w14:paraId="4BE8EC35">
            <w:pPr>
              <w:spacing w:line="360" w:lineRule="auto"/>
              <w:ind w:firstLine="464" w:firstLineChars="200"/>
              <w:rPr>
                <w:rFonts w:ascii="Times New Roman" w:hAnsi="Times New Roman" w:cs="Times New Roman"/>
                <w:spacing w:val="-4"/>
                <w:kern w:val="24"/>
                <w:sz w:val="24"/>
              </w:rPr>
            </w:pPr>
            <w:r>
              <w:rPr>
                <w:rFonts w:hint="eastAsia" w:ascii="Times New Roman" w:hAnsi="Times New Roman" w:cs="Times New Roman"/>
                <w:spacing w:val="-4"/>
                <w:kern w:val="24"/>
                <w:sz w:val="24"/>
              </w:rPr>
              <w:t>（7</w:t>
            </w:r>
            <w:r>
              <w:rPr>
                <w:rFonts w:ascii="Times New Roman" w:hAnsi="Times New Roman" w:cs="Times New Roman"/>
                <w:spacing w:val="-4"/>
                <w:kern w:val="24"/>
                <w:sz w:val="24"/>
              </w:rPr>
              <w:t>）</w:t>
            </w:r>
            <w:r>
              <w:rPr>
                <w:rFonts w:hint="eastAsia" w:ascii="Times New Roman" w:hAnsi="Times New Roman" w:cs="Times New Roman"/>
                <w:spacing w:val="-4"/>
                <w:kern w:val="24"/>
                <w:sz w:val="24"/>
              </w:rPr>
              <w:t>供电</w:t>
            </w:r>
          </w:p>
          <w:p w14:paraId="41BA806D">
            <w:pPr>
              <w:spacing w:line="360" w:lineRule="auto"/>
              <w:ind w:firstLine="480"/>
              <w:rPr>
                <w:rFonts w:ascii="Times New Roman" w:hAnsi="Times New Roman" w:cs="Times New Roman"/>
                <w:sz w:val="24"/>
              </w:rPr>
            </w:pPr>
            <w:r>
              <w:rPr>
                <w:rFonts w:ascii="Times New Roman" w:hAnsi="Times New Roman" w:cs="Times New Roman"/>
                <w:sz w:val="24"/>
              </w:rPr>
              <w:t>本项目年耗电量约15000kw，</w:t>
            </w:r>
            <w:r>
              <w:rPr>
                <w:rFonts w:hint="eastAsia" w:ascii="Times New Roman" w:hAnsi="Times New Roman" w:cs="Times New Roman"/>
                <w:sz w:val="24"/>
              </w:rPr>
              <w:t>二期项目拟新增一座低压配电室</w:t>
            </w:r>
            <w:r>
              <w:rPr>
                <w:rFonts w:ascii="Times New Roman" w:hAnsi="Times New Roman" w:cs="Times New Roman"/>
                <w:sz w:val="24"/>
              </w:rPr>
              <w:t>放置在LNG工厂已有配电室内，电源分别引自该配电室10KV及0.38KV配电系统，且上级配电系统应能满足本项目100%用电需求。</w:t>
            </w:r>
          </w:p>
          <w:p w14:paraId="2ADDA0E7">
            <w:pPr>
              <w:spacing w:line="360" w:lineRule="auto"/>
              <w:ind w:firstLine="464" w:firstLineChars="200"/>
              <w:rPr>
                <w:rFonts w:ascii="Times New Roman" w:hAnsi="Times New Roman" w:cs="Times New Roman"/>
                <w:spacing w:val="-4"/>
                <w:kern w:val="24"/>
                <w:sz w:val="24"/>
              </w:rPr>
            </w:pPr>
            <w:r>
              <w:rPr>
                <w:rFonts w:hint="eastAsia" w:ascii="Times New Roman" w:hAnsi="Times New Roman" w:cs="Times New Roman"/>
                <w:spacing w:val="-4"/>
                <w:kern w:val="24"/>
                <w:sz w:val="24"/>
              </w:rPr>
              <w:t>（8）空压站、氮气站</w:t>
            </w:r>
          </w:p>
          <w:p w14:paraId="13728674">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本项目空压站主要向生产装置及储罐区、装车系统提供</w:t>
            </w:r>
            <w:r>
              <w:rPr>
                <w:rFonts w:ascii="Times New Roman" w:hAnsi="Times New Roman" w:cs="Times New Roman"/>
                <w:sz w:val="24"/>
              </w:rPr>
              <w:t>0.6MPa</w:t>
            </w:r>
            <w:r>
              <w:rPr>
                <w:rFonts w:hint="eastAsia" w:ascii="Times New Roman" w:hAnsi="Times New Roman" w:cs="Times New Roman"/>
                <w:sz w:val="24"/>
              </w:rPr>
              <w:t>，无油，无水，无尘的洁净的仪表空气及向</w:t>
            </w:r>
            <w:r>
              <w:rPr>
                <w:rFonts w:ascii="Times New Roman" w:hAnsi="Times New Roman" w:cs="Times New Roman"/>
                <w:sz w:val="24"/>
              </w:rPr>
              <w:t>PSA</w:t>
            </w:r>
            <w:r>
              <w:rPr>
                <w:rFonts w:hint="eastAsia" w:ascii="Times New Roman" w:hAnsi="Times New Roman" w:cs="Times New Roman"/>
                <w:sz w:val="24"/>
              </w:rPr>
              <w:t>装置提供制氮用压缩空气。空压站内新增压缩机一台，能力为1500</w:t>
            </w:r>
            <w:r>
              <w:rPr>
                <w:rFonts w:ascii="Times New Roman" w:hAnsi="Times New Roman" w:cs="Times New Roman"/>
                <w:sz w:val="24"/>
              </w:rPr>
              <w:t>Nm</w:t>
            </w:r>
            <w:r>
              <w:rPr>
                <w:rFonts w:ascii="Times New Roman" w:hAnsi="Times New Roman" w:cs="Times New Roman"/>
                <w:sz w:val="24"/>
                <w:vertAlign w:val="superscript"/>
              </w:rPr>
              <w:t>3</w:t>
            </w:r>
            <w:r>
              <w:rPr>
                <w:rFonts w:ascii="Times New Roman" w:hAnsi="Times New Roman" w:cs="Times New Roman"/>
                <w:sz w:val="24"/>
              </w:rPr>
              <w:t>/h，</w:t>
            </w:r>
            <w:r>
              <w:rPr>
                <w:rFonts w:hint="eastAsia" w:ascii="Times New Roman" w:hAnsi="Times New Roman" w:cs="Times New Roman"/>
                <w:sz w:val="24"/>
              </w:rPr>
              <w:t>PSA制氮机一台，能力为300</w:t>
            </w:r>
            <w:r>
              <w:rPr>
                <w:rFonts w:ascii="Times New Roman" w:hAnsi="Times New Roman" w:cs="Times New Roman"/>
                <w:sz w:val="24"/>
              </w:rPr>
              <w:t xml:space="preserve"> Nm</w:t>
            </w:r>
            <w:r>
              <w:rPr>
                <w:rFonts w:ascii="Times New Roman" w:hAnsi="Times New Roman" w:cs="Times New Roman"/>
                <w:sz w:val="24"/>
                <w:vertAlign w:val="superscript"/>
              </w:rPr>
              <w:t>3</w:t>
            </w:r>
            <w:r>
              <w:rPr>
                <w:rFonts w:ascii="Times New Roman" w:hAnsi="Times New Roman" w:cs="Times New Roman"/>
                <w:sz w:val="24"/>
              </w:rPr>
              <w:t>/h</w:t>
            </w:r>
            <w:r>
              <w:rPr>
                <w:rFonts w:hint="eastAsia" w:ascii="Times New Roman" w:hAnsi="Times New Roman" w:cs="Times New Roman"/>
                <w:sz w:val="24"/>
              </w:rPr>
              <w:t>。空压站工艺流程图见图</w:t>
            </w:r>
            <w:r>
              <w:rPr>
                <w:rFonts w:ascii="Times New Roman" w:hAnsi="Times New Roman" w:cs="Times New Roman"/>
                <w:sz w:val="24"/>
              </w:rPr>
              <w:t>2-</w:t>
            </w:r>
            <w:r>
              <w:rPr>
                <w:rFonts w:hint="eastAsia" w:ascii="Times New Roman" w:hAnsi="Times New Roman" w:cs="Times New Roman"/>
                <w:sz w:val="24"/>
              </w:rPr>
              <w:t>1。</w:t>
            </w:r>
          </w:p>
          <w:p w14:paraId="2B9CBD06">
            <w:pPr>
              <w:adjustRightInd w:val="0"/>
              <w:snapToGrid w:val="0"/>
              <w:spacing w:line="360" w:lineRule="auto"/>
              <w:ind w:firstLine="480" w:firstLineChars="200"/>
              <w:rPr>
                <w:rFonts w:ascii="Times New Roman" w:hAnsi="Times New Roman" w:cs="Times New Roman"/>
                <w:sz w:val="24"/>
              </w:rPr>
            </w:pPr>
          </w:p>
          <w:p w14:paraId="370C6174">
            <w:pPr>
              <w:adjustRightInd w:val="0"/>
              <w:snapToGrid w:val="0"/>
              <w:spacing w:line="360" w:lineRule="auto"/>
              <w:jc w:val="center"/>
              <w:rPr>
                <w:rFonts w:ascii="Times New Roman" w:hAnsi="Times New Roman" w:cs="Times New Roman"/>
                <w:sz w:val="24"/>
              </w:rPr>
            </w:pPr>
            <w:r>
              <w:rPr>
                <w:rFonts w:hint="eastAsia" w:ascii="Times New Roman" w:hAnsi="Times New Roman" w:cs="Times New Roman"/>
                <w:sz w:val="24"/>
              </w:rPr>
              <w:drawing>
                <wp:inline distT="0" distB="0" distL="114300" distR="114300">
                  <wp:extent cx="5542280" cy="1077595"/>
                  <wp:effectExtent l="0" t="0" r="1270" b="8255"/>
                  <wp:docPr id="19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21"/>
                          <pic:cNvPicPr>
                            <a:picLocks noChangeAspect="1"/>
                          </pic:cNvPicPr>
                        </pic:nvPicPr>
                        <pic:blipFill>
                          <a:blip r:embed="rId15"/>
                          <a:stretch>
                            <a:fillRect/>
                          </a:stretch>
                        </pic:blipFill>
                        <pic:spPr>
                          <a:xfrm>
                            <a:off x="0" y="0"/>
                            <a:ext cx="5542280" cy="1077595"/>
                          </a:xfrm>
                          <a:prstGeom prst="rect">
                            <a:avLst/>
                          </a:prstGeom>
                          <a:noFill/>
                          <a:ln>
                            <a:noFill/>
                          </a:ln>
                        </pic:spPr>
                      </pic:pic>
                    </a:graphicData>
                  </a:graphic>
                </wp:inline>
              </w:drawing>
            </w:r>
          </w:p>
          <w:p w14:paraId="7103638C">
            <w:pPr>
              <w:adjustRightInd w:val="0"/>
              <w:snapToGrid w:val="0"/>
              <w:spacing w:line="360" w:lineRule="auto"/>
              <w:jc w:val="center"/>
              <w:rPr>
                <w:rFonts w:ascii="Times New Roman" w:hAnsi="Times New Roman" w:eastAsia="黑体" w:cs="Times New Roman"/>
                <w:sz w:val="24"/>
              </w:rPr>
            </w:pPr>
            <w:r>
              <w:rPr>
                <w:rFonts w:ascii="Times New Roman" w:hAnsi="黑体" w:eastAsia="黑体" w:cs="Times New Roman"/>
                <w:sz w:val="24"/>
              </w:rPr>
              <w:t>图</w:t>
            </w:r>
            <w:r>
              <w:rPr>
                <w:rFonts w:ascii="Times New Roman" w:hAnsi="Times New Roman" w:eastAsia="黑体" w:cs="Times New Roman"/>
                <w:sz w:val="24"/>
              </w:rPr>
              <w:t>2</w:t>
            </w:r>
            <w:r>
              <w:rPr>
                <w:rFonts w:hint="eastAsia" w:ascii="Times New Roman" w:hAnsi="Times New Roman" w:eastAsia="黑体" w:cs="Times New Roman"/>
                <w:sz w:val="24"/>
              </w:rPr>
              <w:t>.1</w:t>
            </w:r>
            <w:r>
              <w:rPr>
                <w:rFonts w:ascii="Times New Roman" w:hAnsi="Times New Roman" w:eastAsia="黑体" w:cs="Times New Roman"/>
                <w:sz w:val="24"/>
              </w:rPr>
              <w:t>-</w:t>
            </w:r>
            <w:r>
              <w:rPr>
                <w:rFonts w:hint="eastAsia" w:ascii="Times New Roman" w:hAnsi="Times New Roman" w:eastAsia="黑体" w:cs="Times New Roman"/>
                <w:sz w:val="24"/>
              </w:rPr>
              <w:t>3</w:t>
            </w:r>
            <w:r>
              <w:rPr>
                <w:rFonts w:ascii="Times New Roman" w:hAnsi="Times New Roman" w:eastAsia="黑体" w:cs="Times New Roman"/>
                <w:sz w:val="24"/>
              </w:rPr>
              <w:t xml:space="preserve">   </w:t>
            </w:r>
            <w:r>
              <w:rPr>
                <w:rFonts w:ascii="Times New Roman" w:hAnsi="黑体" w:eastAsia="黑体" w:cs="Times New Roman"/>
                <w:sz w:val="24"/>
              </w:rPr>
              <w:t>空压站工艺流程图</w:t>
            </w:r>
          </w:p>
          <w:p w14:paraId="2A0EEBD8">
            <w:pPr>
              <w:adjustRightInd w:val="0"/>
              <w:snapToGrid w:val="0"/>
              <w:spacing w:line="360" w:lineRule="auto"/>
              <w:ind w:firstLine="480" w:firstLineChars="200"/>
              <w:rPr>
                <w:rFonts w:ascii="Times New Roman" w:hAnsi="Times New Roman" w:cs="Times New Roman"/>
                <w:sz w:val="24"/>
              </w:rPr>
            </w:pPr>
          </w:p>
          <w:p w14:paraId="197A8C39">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氮气站主要向液化天然气生产装置、储罐区及装车系统提供0.6MPa，纯度99.9%的氮气，由PSA制氮工序和液氮气化工艺组成。PSA制氮选用PSA变压吸附制氮装置一套，该装置产氮气量为600Nm</w:t>
            </w:r>
            <w:r>
              <w:rPr>
                <w:rFonts w:hint="eastAsia" w:ascii="Times New Roman" w:hAnsi="Times New Roman" w:cs="Times New Roman"/>
                <w:sz w:val="24"/>
                <w:vertAlign w:val="superscript"/>
              </w:rPr>
              <w:t>3</w:t>
            </w:r>
            <w:r>
              <w:rPr>
                <w:rFonts w:hint="eastAsia" w:ascii="Times New Roman" w:hAnsi="Times New Roman" w:cs="Times New Roman"/>
                <w:sz w:val="24"/>
              </w:rPr>
              <w:t>/h，出口氮气纯度为99.9%。PSA变压吸附制氮的原理是以空气为原材料，利用一种高效能、高选择的固体吸附剂（碳分子筛）对氮和氧的选择性吸附的性能把空气中的氮和氧分离出来。碳分子筛对氮和氧的分离作用主要是基于这两种气体在碳分子筛表面的扩散速率不同，较小直径的气体（氧气）扩散较快，较多进入分子筛固相。这样气相中就可以得到氮的富集成分。一段时间后，分子筛对氧的吸附达到平衡，根据碳分子筛在不同压力下对吸附气体的吸附量不同的特性，降低压力使碳分子筛解除对氧的吸附，这一过程称为再生。变压吸附法通常使用两塔并联，交替进行加压吸附和解压再生，从而获得连续的氮气流。</w:t>
            </w:r>
          </w:p>
          <w:p w14:paraId="0D621684">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液氮气化是将外购的液氮注入储罐，液氮经空温式气化器和电加热水浴式气化器气化后进入氮气稳定罐备用。液氮气化主要是在开停车阶段和制氮设备故障时保障氮气供应。</w:t>
            </w:r>
          </w:p>
          <w:p w14:paraId="07067516">
            <w:pPr>
              <w:adjustRightInd w:val="0"/>
              <w:snapToGrid w:val="0"/>
              <w:spacing w:line="360" w:lineRule="auto"/>
              <w:ind w:firstLine="199" w:firstLineChars="83"/>
              <w:jc w:val="center"/>
              <w:rPr>
                <w:rFonts w:ascii="Times New Roman" w:hAnsi="Times New Roman" w:cs="Times New Roman"/>
                <w:sz w:val="24"/>
              </w:rPr>
            </w:pPr>
            <w:r>
              <w:rPr>
                <w:rFonts w:hint="eastAsia" w:ascii="Times New Roman" w:hAnsi="Times New Roman" w:cs="Times New Roman"/>
                <w:sz w:val="24"/>
              </w:rPr>
              <mc:AlternateContent>
                <mc:Choice Requires="wps">
                  <w:drawing>
                    <wp:anchor distT="0" distB="0" distL="114300" distR="114300" simplePos="0" relativeHeight="251664384" behindDoc="0" locked="0" layoutInCell="1" allowOverlap="1">
                      <wp:simplePos x="0" y="0"/>
                      <wp:positionH relativeFrom="column">
                        <wp:posOffset>2230120</wp:posOffset>
                      </wp:positionH>
                      <wp:positionV relativeFrom="paragraph">
                        <wp:posOffset>1584325</wp:posOffset>
                      </wp:positionV>
                      <wp:extent cx="1809750" cy="123825"/>
                      <wp:effectExtent l="0" t="0" r="0" b="9525"/>
                      <wp:wrapNone/>
                      <wp:docPr id="200" name="矩形 200"/>
                      <wp:cNvGraphicFramePr/>
                      <a:graphic xmlns:a="http://schemas.openxmlformats.org/drawingml/2006/main">
                        <a:graphicData uri="http://schemas.microsoft.com/office/word/2010/wordprocessingShape">
                          <wps:wsp>
                            <wps:cNvSpPr/>
                            <wps:spPr>
                              <a:xfrm>
                                <a:off x="0" y="0"/>
                                <a:ext cx="1809750" cy="12382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75.6pt;margin-top:124.75pt;height:9.75pt;width:142.5pt;z-index:251664384;mso-width-relative:page;mso-height-relative:page;" fillcolor="#FFFFFF" filled="t" stroked="f" coordsize="21600,21600" o:gfxdata="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8S&#10;Em7YAAAACwEAAA8AAAAAAAAAAQAgAAAAIgAAAGRycy9kb3ducmV2LnhtbFBLAQIUABQAAAAIAIdO&#10;4kCTXzHisQEAAGMDAAAOAAAAAAAAAAEAIAAAACcBAABkcnMvZTJvRG9jLnhtbFBLBQYAAAAABgAG&#10;AFkBAABKBQAAAAA=&#10;">
                      <v:fill on="t" focussize="0,0"/>
                      <v:stroke on="f"/>
                      <v:imagedata o:title=""/>
                      <o:lock v:ext="edit" aspectratio="f"/>
                    </v:rect>
                  </w:pict>
                </mc:Fallback>
              </mc:AlternateContent>
            </w:r>
            <w:r>
              <w:rPr>
                <w:rFonts w:hint="eastAsia" w:ascii="Times New Roman" w:hAnsi="Times New Roman" w:cs="Times New Roman"/>
                <w:sz w:val="24"/>
              </w:rPr>
              <w:drawing>
                <wp:inline distT="0" distB="0" distL="114300" distR="114300">
                  <wp:extent cx="5542280" cy="1705610"/>
                  <wp:effectExtent l="0" t="0" r="1270" b="8890"/>
                  <wp:docPr id="19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22"/>
                          <pic:cNvPicPr>
                            <a:picLocks noChangeAspect="1"/>
                          </pic:cNvPicPr>
                        </pic:nvPicPr>
                        <pic:blipFill>
                          <a:blip r:embed="rId16"/>
                          <a:srcRect b="7254"/>
                          <a:stretch>
                            <a:fillRect/>
                          </a:stretch>
                        </pic:blipFill>
                        <pic:spPr>
                          <a:xfrm>
                            <a:off x="0" y="0"/>
                            <a:ext cx="5542280" cy="1705610"/>
                          </a:xfrm>
                          <a:prstGeom prst="rect">
                            <a:avLst/>
                          </a:prstGeom>
                          <a:noFill/>
                          <a:ln>
                            <a:noFill/>
                          </a:ln>
                        </pic:spPr>
                      </pic:pic>
                    </a:graphicData>
                  </a:graphic>
                </wp:inline>
              </w:drawing>
            </w:r>
          </w:p>
          <w:p w14:paraId="1DC68A23">
            <w:pPr>
              <w:adjustRightInd w:val="0"/>
              <w:snapToGrid w:val="0"/>
              <w:spacing w:line="360" w:lineRule="auto"/>
              <w:ind w:firstLine="199" w:firstLineChars="83"/>
              <w:jc w:val="center"/>
              <w:rPr>
                <w:rFonts w:ascii="Times New Roman" w:hAnsi="Times New Roman" w:eastAsia="黑体" w:cs="Times New Roman"/>
                <w:sz w:val="24"/>
              </w:rPr>
            </w:pPr>
            <w:r>
              <w:rPr>
                <w:rFonts w:ascii="Times New Roman" w:hAnsi="黑体" w:eastAsia="黑体" w:cs="Times New Roman"/>
                <w:sz w:val="24"/>
              </w:rPr>
              <w:t>图</w:t>
            </w:r>
            <w:r>
              <w:rPr>
                <w:rFonts w:ascii="Times New Roman" w:hAnsi="Times New Roman" w:eastAsia="黑体" w:cs="Times New Roman"/>
                <w:sz w:val="24"/>
              </w:rPr>
              <w:t>2</w:t>
            </w:r>
            <w:r>
              <w:rPr>
                <w:rFonts w:hint="eastAsia" w:ascii="Times New Roman" w:hAnsi="Times New Roman" w:eastAsia="黑体" w:cs="Times New Roman"/>
                <w:sz w:val="24"/>
              </w:rPr>
              <w:t>.1</w:t>
            </w:r>
            <w:r>
              <w:rPr>
                <w:rFonts w:ascii="Times New Roman" w:hAnsi="Times New Roman" w:eastAsia="黑体" w:cs="Times New Roman"/>
                <w:sz w:val="24"/>
              </w:rPr>
              <w:t>-</w:t>
            </w:r>
            <w:r>
              <w:rPr>
                <w:rFonts w:hint="eastAsia" w:ascii="Times New Roman" w:hAnsi="Times New Roman" w:eastAsia="黑体" w:cs="Times New Roman"/>
                <w:sz w:val="24"/>
              </w:rPr>
              <w:t>3</w:t>
            </w:r>
            <w:r>
              <w:rPr>
                <w:rFonts w:ascii="Times New Roman" w:hAnsi="Times New Roman" w:eastAsia="黑体" w:cs="Times New Roman"/>
                <w:sz w:val="24"/>
              </w:rPr>
              <w:t xml:space="preserve">   </w:t>
            </w:r>
            <w:r>
              <w:rPr>
                <w:rFonts w:ascii="Times New Roman" w:hAnsi="黑体" w:eastAsia="黑体" w:cs="Times New Roman"/>
                <w:sz w:val="24"/>
              </w:rPr>
              <w:t>制氮站工艺流程图</w:t>
            </w:r>
          </w:p>
          <w:p w14:paraId="64AE1C95">
            <w:pPr>
              <w:spacing w:line="360" w:lineRule="auto"/>
              <w:outlineLvl w:val="2"/>
              <w:rPr>
                <w:rFonts w:ascii="Times New Roman" w:hAnsi="Times New Roman" w:cs="Times New Roman"/>
                <w:b/>
                <w:sz w:val="24"/>
              </w:rPr>
            </w:pPr>
            <w:r>
              <w:rPr>
                <w:rFonts w:ascii="Times New Roman" w:hAnsi="Times New Roman" w:cs="Times New Roman"/>
                <w:b/>
                <w:sz w:val="24"/>
              </w:rPr>
              <w:t>2.1.</w:t>
            </w:r>
            <w:r>
              <w:rPr>
                <w:rFonts w:hint="eastAsia" w:ascii="Times New Roman" w:hAnsi="Times New Roman" w:cs="Times New Roman"/>
                <w:b/>
                <w:sz w:val="24"/>
              </w:rPr>
              <w:t>5储运</w:t>
            </w:r>
            <w:r>
              <w:rPr>
                <w:rFonts w:ascii="Times New Roman" w:hAnsi="Times New Roman" w:cs="Times New Roman"/>
                <w:b/>
                <w:sz w:val="24"/>
              </w:rPr>
              <w:t>工程</w:t>
            </w:r>
          </w:p>
          <w:p w14:paraId="068B5EFE">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（1）罐区</w:t>
            </w:r>
          </w:p>
          <w:p w14:paraId="2BC7E81A">
            <w:pPr>
              <w:spacing w:line="360" w:lineRule="auto"/>
              <w:ind w:firstLine="480" w:firstLineChars="200"/>
              <w:rPr>
                <w:rFonts w:ascii="Times New Roman" w:hAnsi="Times New Roman" w:cs="Times New Roman"/>
                <w:sz w:val="24"/>
              </w:rPr>
            </w:pPr>
            <w:r>
              <w:rPr>
                <w:rFonts w:hint="eastAsia"/>
                <w:sz w:val="24"/>
              </w:rPr>
              <w:t>二期项目拟新增</w:t>
            </w:r>
            <w:r>
              <w:rPr>
                <w:rFonts w:ascii="Times New Roman" w:hAnsi="Times New Roman" w:cs="Times New Roman"/>
                <w:sz w:val="24"/>
              </w:rPr>
              <w:t>1台容积为20000m</w:t>
            </w:r>
            <w:r>
              <w:rPr>
                <w:rFonts w:ascii="Times New Roman" w:hAnsi="Times New Roman" w:cs="Times New Roman"/>
                <w:sz w:val="24"/>
                <w:vertAlign w:val="superscript"/>
              </w:rPr>
              <w:t>3</w:t>
            </w:r>
            <w:r>
              <w:rPr>
                <w:rFonts w:ascii="Times New Roman" w:hAnsi="Times New Roman" w:cs="Times New Roman"/>
                <w:sz w:val="24"/>
              </w:rPr>
              <w:t>双金属全容罐。考虑LNG组分的变化，LNG设置由上部管口直接进入储罐，也可通过内部插入管由底部进入LNG储罐，使不同比重的LNG以不同方式进入储罐，较重的LNG从上部进入，较轻的LNG从下部进入。同时，也可以通过LNG潜液泵将LNG循环到上部或底部，从而有效防止分层、翻滚现象的产生。</w:t>
            </w:r>
          </w:p>
          <w:p w14:paraId="2F1FFF45">
            <w:pPr>
              <w:spacing w:line="360" w:lineRule="auto"/>
              <w:ind w:firstLine="480"/>
              <w:rPr>
                <w:sz w:val="24"/>
              </w:rPr>
            </w:pPr>
            <w:r>
              <w:rPr>
                <w:rFonts w:hint="eastAsia"/>
                <w:sz w:val="24"/>
              </w:rPr>
              <w:t>（2）装卸站</w:t>
            </w:r>
          </w:p>
          <w:p w14:paraId="7990BB07">
            <w:pPr>
              <w:spacing w:line="360" w:lineRule="auto"/>
              <w:ind w:firstLine="480"/>
              <w:rPr>
                <w:sz w:val="24"/>
              </w:rPr>
            </w:pPr>
            <w:r>
              <w:rPr>
                <w:rFonts w:hint="eastAsia"/>
                <w:sz w:val="24"/>
              </w:rPr>
              <w:t>二期项目拟新增4个装</w:t>
            </w:r>
            <w:r>
              <w:rPr>
                <w:sz w:val="24"/>
              </w:rPr>
              <w:t>/</w:t>
            </w:r>
            <w:r>
              <w:rPr>
                <w:rFonts w:hint="eastAsia"/>
                <w:sz w:val="24"/>
              </w:rPr>
              <w:t>卸车鹤位用于</w:t>
            </w:r>
            <w:r>
              <w:rPr>
                <w:sz w:val="24"/>
              </w:rPr>
              <w:t>LNG</w:t>
            </w:r>
            <w:r>
              <w:rPr>
                <w:rFonts w:hint="eastAsia"/>
                <w:sz w:val="24"/>
              </w:rPr>
              <w:t>装车。</w:t>
            </w:r>
          </w:p>
          <w:p w14:paraId="4063E7E4">
            <w:pPr>
              <w:spacing w:line="360" w:lineRule="auto"/>
              <w:rPr>
                <w:rFonts w:ascii="Times New Roman" w:hAnsi="Times New Roman" w:cs="Times New Roman"/>
                <w:b/>
                <w:sz w:val="24"/>
              </w:rPr>
            </w:pPr>
            <w:r>
              <w:rPr>
                <w:rFonts w:hint="eastAsia" w:ascii="Times New Roman" w:hAnsi="Times New Roman" w:cs="Times New Roman"/>
                <w:b/>
                <w:sz w:val="24"/>
              </w:rPr>
              <w:t>2.1.6</w:t>
            </w:r>
            <w:r>
              <w:rPr>
                <w:rFonts w:hint="eastAsia"/>
                <w:sz w:val="24"/>
              </w:rPr>
              <w:t>管廊</w:t>
            </w:r>
          </w:p>
          <w:p w14:paraId="53C3E27B">
            <w:pPr>
              <w:spacing w:line="360" w:lineRule="auto"/>
              <w:ind w:firstLine="480"/>
              <w:rPr>
                <w:sz w:val="24"/>
              </w:rPr>
            </w:pPr>
            <w:r>
              <w:rPr>
                <w:rFonts w:hint="eastAsia"/>
                <w:sz w:val="24"/>
              </w:rPr>
              <w:t>全厂管廊担负着各单元之间各种工艺介质及公用工程管道的连接，电气、仪表电缆桥架的铺设。依据各单元的相对位置及界区关系，本装置主管廊采用“</w:t>
            </w:r>
            <w:r>
              <w:rPr>
                <w:sz w:val="24"/>
              </w:rPr>
              <w:t>L</w:t>
            </w:r>
            <w:r>
              <w:rPr>
                <w:rFonts w:hint="eastAsia"/>
                <w:sz w:val="24"/>
              </w:rPr>
              <w:t>”型、主管廊与支管廊结合的结构形式，在全面规划，合理、有效地利用空间的基础上，满足建设要求。管廊沿全厂主干道集中成排架空敷设，二期项目新建总长度约350m，其中主管廊宽度暂定为</w:t>
            </w:r>
            <w:r>
              <w:rPr>
                <w:sz w:val="24"/>
              </w:rPr>
              <w:t>6</w:t>
            </w:r>
            <w:r>
              <w:rPr>
                <w:rFonts w:hint="eastAsia"/>
                <w:sz w:val="24"/>
              </w:rPr>
              <w:t>m，层数为</w:t>
            </w:r>
            <w:r>
              <w:rPr>
                <w:sz w:val="24"/>
              </w:rPr>
              <w:t>3</w:t>
            </w:r>
            <w:r>
              <w:rPr>
                <w:rFonts w:hint="eastAsia"/>
                <w:sz w:val="24"/>
              </w:rPr>
              <w:t>层，其余支管廊宽度暂定为</w:t>
            </w:r>
            <w:r>
              <w:rPr>
                <w:sz w:val="24"/>
              </w:rPr>
              <w:t>6</w:t>
            </w:r>
            <w:r>
              <w:rPr>
                <w:rFonts w:hint="eastAsia"/>
                <w:sz w:val="24"/>
              </w:rPr>
              <w:t>m及</w:t>
            </w:r>
            <w:r>
              <w:rPr>
                <w:sz w:val="24"/>
              </w:rPr>
              <w:t>4</w:t>
            </w:r>
            <w:r>
              <w:rPr>
                <w:rFonts w:hint="eastAsia"/>
                <w:sz w:val="24"/>
              </w:rPr>
              <w:t>m，层数为</w:t>
            </w:r>
            <w:r>
              <w:rPr>
                <w:sz w:val="24"/>
              </w:rPr>
              <w:t>2</w:t>
            </w:r>
            <w:r>
              <w:rPr>
                <w:rFonts w:hint="eastAsia"/>
                <w:sz w:val="24"/>
              </w:rPr>
              <w:t>层，一期建设时已经为第二期的扩建需要预留了余量。电气、仪表桥架及高架火炬管线等布置于管廊上层，工艺物料及有腐蚀性物料管道尽量在下层敷设。管廊基础及下部为混凝土，上部采用钢结构。</w:t>
            </w:r>
          </w:p>
          <w:p w14:paraId="1CD45B8F"/>
          <w:p w14:paraId="19C92C62">
            <w:pPr>
              <w:spacing w:line="360" w:lineRule="auto"/>
              <w:outlineLvl w:val="2"/>
              <w:rPr>
                <w:rFonts w:ascii="Times New Roman" w:hAnsi="Times New Roman" w:cs="Times New Roman" w:eastAsiaTheme="minorEastAsia"/>
                <w:b/>
                <w:sz w:val="24"/>
              </w:rPr>
            </w:pPr>
            <w:bookmarkStart w:id="1" w:name="_Toc406750665"/>
            <w:r>
              <w:rPr>
                <w:rFonts w:ascii="Times New Roman" w:hAnsi="Times New Roman" w:cs="Times New Roman" w:eastAsiaTheme="minorEastAsia"/>
                <w:b/>
                <w:sz w:val="24"/>
              </w:rPr>
              <w:t>2.2产品方案</w:t>
            </w:r>
            <w:bookmarkEnd w:id="1"/>
          </w:p>
          <w:p w14:paraId="55B85E41">
            <w:pPr>
              <w:spacing w:line="360" w:lineRule="auto"/>
              <w:ind w:firstLine="480"/>
              <w:rPr>
                <w:rFonts w:ascii="Times New Roman" w:hAnsi="Times New Roman" w:cs="Times New Roman" w:eastAsiaTheme="minorEastAsia"/>
                <w:sz w:val="24"/>
              </w:rPr>
            </w:pPr>
            <w:r>
              <w:rPr>
                <w:rFonts w:ascii="Times New Roman" w:hAnsi="Times New Roman" w:cs="Times New Roman" w:eastAsiaTheme="minorEastAsia"/>
                <w:sz w:val="24"/>
              </w:rPr>
              <w:t>（1）生产规模</w:t>
            </w:r>
          </w:p>
          <w:p w14:paraId="1D04B55D">
            <w:pPr>
              <w:spacing w:line="360" w:lineRule="auto"/>
              <w:ind w:firstLine="480"/>
              <w:rPr>
                <w:rFonts w:ascii="Times New Roman" w:hAnsi="Times New Roman" w:cs="Times New Roman" w:eastAsiaTheme="minorEastAsia"/>
                <w:sz w:val="24"/>
              </w:rPr>
            </w:pPr>
            <w:r>
              <w:rPr>
                <w:rFonts w:ascii="Times New Roman" w:hAnsi="Times New Roman" w:cs="Times New Roman" w:eastAsiaTheme="minorEastAsia"/>
                <w:sz w:val="24"/>
              </w:rPr>
              <w:t>本项目的主要功能是对进站的天然气进行净化和液化处理，二期天然气处理能力为100万Nm</w:t>
            </w:r>
            <w:r>
              <w:rPr>
                <w:rFonts w:ascii="Times New Roman" w:hAnsi="Times New Roman" w:cs="Times New Roman" w:eastAsiaTheme="minorEastAsia"/>
                <w:sz w:val="24"/>
                <w:vertAlign w:val="superscript"/>
              </w:rPr>
              <w:t>3</w:t>
            </w:r>
            <w:r>
              <w:rPr>
                <w:rFonts w:ascii="Times New Roman" w:hAnsi="Times New Roman" w:cs="Times New Roman" w:eastAsiaTheme="minorEastAsia"/>
                <w:sz w:val="24"/>
              </w:rPr>
              <w:t>/d、二期建成后液化天然产量为22.66万t/a，液化天然气储罐（常压、低温）储存能力为20000m</w:t>
            </w:r>
            <w:r>
              <w:rPr>
                <w:rFonts w:ascii="Times New Roman" w:hAnsi="Times New Roman" w:cs="Times New Roman" w:eastAsiaTheme="minorEastAsia"/>
                <w:sz w:val="24"/>
                <w:vertAlign w:val="superscript"/>
              </w:rPr>
              <w:t>3</w:t>
            </w:r>
            <w:r>
              <w:rPr>
                <w:rFonts w:ascii="Times New Roman" w:hAnsi="Times New Roman" w:cs="Times New Roman" w:eastAsiaTheme="minorEastAsia"/>
                <w:sz w:val="24"/>
              </w:rPr>
              <w:t>。</w:t>
            </w:r>
          </w:p>
          <w:p w14:paraId="58AE6AC7">
            <w:pPr>
              <w:spacing w:line="360" w:lineRule="auto"/>
              <w:ind w:firstLine="480"/>
              <w:rPr>
                <w:rFonts w:ascii="Times New Roman" w:hAnsi="Times New Roman" w:cs="Times New Roman" w:eastAsiaTheme="minorEastAsia"/>
                <w:sz w:val="24"/>
              </w:rPr>
            </w:pPr>
            <w:r>
              <w:rPr>
                <w:rFonts w:ascii="Times New Roman" w:hAnsi="Times New Roman" w:cs="Times New Roman" w:eastAsiaTheme="minorEastAsia"/>
                <w:sz w:val="24"/>
              </w:rPr>
              <w:t>（2）产品方案</w:t>
            </w:r>
          </w:p>
          <w:p w14:paraId="364344C3">
            <w:pPr>
              <w:spacing w:line="360" w:lineRule="auto"/>
              <w:ind w:firstLine="480"/>
              <w:rPr>
                <w:rFonts w:ascii="Times New Roman" w:hAnsi="Times New Roman" w:cs="Times New Roman" w:eastAsiaTheme="minorEastAsia"/>
                <w:sz w:val="24"/>
              </w:rPr>
            </w:pPr>
            <w:r>
              <w:rPr>
                <w:rFonts w:ascii="Times New Roman" w:hAnsi="Times New Roman" w:cs="Times New Roman" w:eastAsiaTheme="minorEastAsia"/>
                <w:sz w:val="24"/>
              </w:rPr>
              <w:t>本项目的主要功能是对进站的天然气进行净化和液化处理，本项目产品方案为车用、船用液化天然气，产品符合《液化天然气的一般特性》（GB/T19204-2003），满足《车用压缩天然气》（GB18047-2000）车用天然气要求，以及满足《天然气》（GB17820-1999）中规定的一类天然气要求。具体见表2.2-1。</w:t>
            </w:r>
          </w:p>
          <w:p w14:paraId="4DB1B8F7">
            <w:pPr>
              <w:jc w:val="center"/>
              <w:rPr>
                <w:rFonts w:ascii="Times New Roman" w:hAnsi="Times New Roman" w:cs="Times New Roman" w:eastAsiaTheme="minorEastAsia"/>
                <w:sz w:val="24"/>
              </w:rPr>
            </w:pPr>
            <w:r>
              <w:rPr>
                <w:rFonts w:ascii="Times New Roman" w:hAnsi="Times New Roman" w:cs="Times New Roman" w:eastAsiaTheme="minorEastAsia"/>
                <w:sz w:val="24"/>
              </w:rPr>
              <w:t>表2.2-1   项目产品组分组成表</w:t>
            </w:r>
          </w:p>
          <w:tbl>
            <w:tblPr>
              <w:tblStyle w:val="8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6"/>
              <w:gridCol w:w="2237"/>
              <w:gridCol w:w="2237"/>
              <w:gridCol w:w="2237"/>
            </w:tblGrid>
            <w:tr w14:paraId="5002D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36" w:type="dxa"/>
                  <w:vAlign w:val="center"/>
                </w:tcPr>
                <w:p w14:paraId="3611CA8D">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项目</w:t>
                  </w:r>
                </w:p>
              </w:tc>
              <w:tc>
                <w:tcPr>
                  <w:tcW w:w="2237" w:type="dxa"/>
                  <w:vAlign w:val="center"/>
                </w:tcPr>
                <w:p w14:paraId="63944F7F">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一类</w:t>
                  </w:r>
                </w:p>
              </w:tc>
              <w:tc>
                <w:tcPr>
                  <w:tcW w:w="2237" w:type="dxa"/>
                  <w:vAlign w:val="center"/>
                </w:tcPr>
                <w:p w14:paraId="4BBAB7E4">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二类</w:t>
                  </w:r>
                </w:p>
              </w:tc>
              <w:tc>
                <w:tcPr>
                  <w:tcW w:w="2237" w:type="dxa"/>
                  <w:vAlign w:val="center"/>
                </w:tcPr>
                <w:p w14:paraId="552D903A">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三类</w:t>
                  </w:r>
                </w:p>
              </w:tc>
            </w:tr>
            <w:tr w14:paraId="04914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6" w:type="dxa"/>
                  <w:vAlign w:val="center"/>
                </w:tcPr>
                <w:p w14:paraId="182D72FA">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高位发热量，MJ/m</w:t>
                  </w:r>
                  <w:r>
                    <w:rPr>
                      <w:rFonts w:ascii="Times New Roman" w:hAnsi="Times New Roman" w:cs="Times New Roman" w:eastAsiaTheme="minorEastAsia"/>
                      <w:szCs w:val="21"/>
                      <w:vertAlign w:val="superscript"/>
                    </w:rPr>
                    <w:t>3</w:t>
                  </w:r>
                </w:p>
              </w:tc>
              <w:tc>
                <w:tcPr>
                  <w:tcW w:w="6711" w:type="dxa"/>
                  <w:gridSpan w:val="3"/>
                  <w:vAlign w:val="center"/>
                </w:tcPr>
                <w:p w14:paraId="22A08EC1">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＞31.4</w:t>
                  </w:r>
                </w:p>
              </w:tc>
            </w:tr>
            <w:tr w14:paraId="0D7BB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36" w:type="dxa"/>
                  <w:vAlign w:val="center"/>
                </w:tcPr>
                <w:p w14:paraId="53BE7CA3">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总硫（以硫计），mg/m</w:t>
                  </w:r>
                  <w:r>
                    <w:rPr>
                      <w:rFonts w:ascii="Times New Roman" w:hAnsi="Times New Roman" w:cs="Times New Roman" w:eastAsiaTheme="minorEastAsia"/>
                      <w:szCs w:val="21"/>
                      <w:vertAlign w:val="superscript"/>
                    </w:rPr>
                    <w:t>3</w:t>
                  </w:r>
                </w:p>
              </w:tc>
              <w:tc>
                <w:tcPr>
                  <w:tcW w:w="2237" w:type="dxa"/>
                  <w:vAlign w:val="center"/>
                </w:tcPr>
                <w:p w14:paraId="4DC05214">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≤100</w:t>
                  </w:r>
                </w:p>
              </w:tc>
              <w:tc>
                <w:tcPr>
                  <w:tcW w:w="2237" w:type="dxa"/>
                  <w:vAlign w:val="center"/>
                </w:tcPr>
                <w:p w14:paraId="6619B370">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≤200</w:t>
                  </w:r>
                </w:p>
              </w:tc>
              <w:tc>
                <w:tcPr>
                  <w:tcW w:w="2237" w:type="dxa"/>
                  <w:vAlign w:val="center"/>
                </w:tcPr>
                <w:p w14:paraId="0305B84B">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≤460</w:t>
                  </w:r>
                </w:p>
              </w:tc>
            </w:tr>
            <w:tr w14:paraId="63BD5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6" w:type="dxa"/>
                  <w:vAlign w:val="center"/>
                </w:tcPr>
                <w:p w14:paraId="5E57CF55">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硫化氢，mg/m</w:t>
                  </w:r>
                  <w:r>
                    <w:rPr>
                      <w:rFonts w:ascii="Times New Roman" w:hAnsi="Times New Roman" w:cs="Times New Roman" w:eastAsiaTheme="minorEastAsia"/>
                      <w:szCs w:val="21"/>
                      <w:vertAlign w:val="superscript"/>
                    </w:rPr>
                    <w:t>3</w:t>
                  </w:r>
                </w:p>
              </w:tc>
              <w:tc>
                <w:tcPr>
                  <w:tcW w:w="2237" w:type="dxa"/>
                  <w:vAlign w:val="center"/>
                </w:tcPr>
                <w:p w14:paraId="69B9D22F">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≤6</w:t>
                  </w:r>
                </w:p>
              </w:tc>
              <w:tc>
                <w:tcPr>
                  <w:tcW w:w="2237" w:type="dxa"/>
                  <w:vAlign w:val="center"/>
                </w:tcPr>
                <w:p w14:paraId="18C13AE8">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≤20</w:t>
                  </w:r>
                </w:p>
              </w:tc>
              <w:tc>
                <w:tcPr>
                  <w:tcW w:w="2237" w:type="dxa"/>
                  <w:vAlign w:val="center"/>
                </w:tcPr>
                <w:p w14:paraId="47FD83FD">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≤460</w:t>
                  </w:r>
                </w:p>
              </w:tc>
            </w:tr>
            <w:tr w14:paraId="515BB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6" w:type="dxa"/>
                  <w:vAlign w:val="center"/>
                </w:tcPr>
                <w:p w14:paraId="712A169C">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二氧化碳，%（V/V）</w:t>
                  </w:r>
                </w:p>
              </w:tc>
              <w:tc>
                <w:tcPr>
                  <w:tcW w:w="4474" w:type="dxa"/>
                  <w:gridSpan w:val="2"/>
                  <w:vAlign w:val="center"/>
                </w:tcPr>
                <w:p w14:paraId="76B25CC6">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≤3.0</w:t>
                  </w:r>
                </w:p>
              </w:tc>
              <w:tc>
                <w:tcPr>
                  <w:tcW w:w="2237" w:type="dxa"/>
                  <w:vAlign w:val="center"/>
                </w:tcPr>
                <w:p w14:paraId="339E0CBE">
                  <w:pPr>
                    <w:spacing w:line="280" w:lineRule="exact"/>
                    <w:jc w:val="center"/>
                    <w:rPr>
                      <w:rFonts w:ascii="Times New Roman" w:hAnsi="Times New Roman" w:cs="Times New Roman" w:eastAsiaTheme="minorEastAsia"/>
                      <w:szCs w:val="21"/>
                    </w:rPr>
                  </w:pPr>
                </w:p>
              </w:tc>
            </w:tr>
            <w:tr w14:paraId="39282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6" w:type="dxa"/>
                  <w:vAlign w:val="center"/>
                </w:tcPr>
                <w:p w14:paraId="46589A0F">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水露点，℃</w:t>
                  </w:r>
                </w:p>
              </w:tc>
              <w:tc>
                <w:tcPr>
                  <w:tcW w:w="6711" w:type="dxa"/>
                  <w:gridSpan w:val="3"/>
                  <w:vAlign w:val="center"/>
                </w:tcPr>
                <w:p w14:paraId="501B0F55">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在天然气交接单的压力和温度条件下，烃燃气的水露点应比最低环境温度低5℃</w:t>
                  </w:r>
                </w:p>
              </w:tc>
            </w:tr>
            <w:tr w14:paraId="4C20B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47" w:type="dxa"/>
                  <w:gridSpan w:val="4"/>
                  <w:vAlign w:val="center"/>
                </w:tcPr>
                <w:p w14:paraId="53766212">
                  <w:pPr>
                    <w:spacing w:line="280" w:lineRule="exact"/>
                    <w:rPr>
                      <w:rFonts w:ascii="Times New Roman" w:hAnsi="Times New Roman" w:cs="Times New Roman" w:eastAsiaTheme="minorEastAsia"/>
                      <w:szCs w:val="21"/>
                    </w:rPr>
                  </w:pPr>
                  <w:r>
                    <w:rPr>
                      <w:rFonts w:ascii="Times New Roman" w:hAnsi="Times New Roman" w:cs="Times New Roman" w:eastAsiaTheme="minorEastAsia"/>
                      <w:szCs w:val="21"/>
                    </w:rPr>
                    <w:t>注：1、本标准中气体体积的标准残壁条件是101.325kPa，20℃；</w:t>
                  </w:r>
                </w:p>
                <w:p w14:paraId="7F9D2EFE">
                  <w:pPr>
                    <w:spacing w:line="280" w:lineRule="exact"/>
                    <w:rPr>
                      <w:rFonts w:ascii="Times New Roman" w:hAnsi="Times New Roman" w:cs="Times New Roman" w:eastAsiaTheme="minorEastAsia"/>
                      <w:szCs w:val="21"/>
                    </w:rPr>
                  </w:pPr>
                  <w:r>
                    <w:rPr>
                      <w:rFonts w:ascii="Times New Roman" w:hAnsi="Times New Roman" w:cs="Times New Roman" w:eastAsiaTheme="minorEastAsia"/>
                      <w:szCs w:val="21"/>
                    </w:rPr>
                    <w:t xml:space="preserve">    2、本标准只是之前建立的烃燃气疏散管道在天然气交接点的压力和温度条件下，天然气中应无游离水，无游离水是指天然气经机械分离设备分不出游离水</w:t>
                  </w:r>
                </w:p>
              </w:tc>
            </w:tr>
          </w:tbl>
          <w:p w14:paraId="1E8DDD8A">
            <w:pPr>
              <w:spacing w:line="360" w:lineRule="auto"/>
              <w:rPr>
                <w:rFonts w:ascii="Times New Roman" w:hAnsi="Times New Roman" w:cs="Times New Roman" w:eastAsiaTheme="minorEastAsia"/>
                <w:sz w:val="24"/>
              </w:rPr>
            </w:pPr>
          </w:p>
          <w:p w14:paraId="4378AAAF">
            <w:pPr>
              <w:spacing w:line="360" w:lineRule="auto"/>
              <w:ind w:firstLine="480"/>
              <w:rPr>
                <w:rFonts w:ascii="Times New Roman" w:hAnsi="Times New Roman" w:cs="Times New Roman" w:eastAsiaTheme="minorEastAsia"/>
                <w:sz w:val="24"/>
              </w:rPr>
            </w:pPr>
            <w:r>
              <w:rPr>
                <w:rFonts w:ascii="Times New Roman" w:hAnsi="Times New Roman" w:cs="Times New Roman" w:eastAsiaTheme="minorEastAsia"/>
                <w:sz w:val="24"/>
              </w:rPr>
              <w:t>项目产品的其主要组分见表2.2-1。</w:t>
            </w:r>
          </w:p>
          <w:p w14:paraId="0738D438">
            <w:pPr>
              <w:jc w:val="center"/>
              <w:rPr>
                <w:rFonts w:ascii="Times New Roman" w:hAnsi="Times New Roman" w:cs="Times New Roman" w:eastAsiaTheme="minorEastAsia"/>
                <w:sz w:val="24"/>
              </w:rPr>
            </w:pPr>
            <w:r>
              <w:rPr>
                <w:rFonts w:ascii="Times New Roman" w:hAnsi="Times New Roman" w:cs="Times New Roman" w:eastAsiaTheme="minorEastAsia"/>
                <w:sz w:val="24"/>
              </w:rPr>
              <w:t>表2-6   项目产品组分组成表</w:t>
            </w:r>
          </w:p>
          <w:tbl>
            <w:tblPr>
              <w:tblStyle w:val="8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2"/>
              <w:gridCol w:w="2982"/>
              <w:gridCol w:w="2983"/>
            </w:tblGrid>
            <w:tr w14:paraId="4BCAB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2" w:type="dxa"/>
                </w:tcPr>
                <w:p w14:paraId="2A321740">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组分</w:t>
                  </w:r>
                </w:p>
              </w:tc>
              <w:tc>
                <w:tcPr>
                  <w:tcW w:w="2982" w:type="dxa"/>
                </w:tcPr>
                <w:p w14:paraId="5EB2C0D9">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单位</w:t>
                  </w:r>
                </w:p>
              </w:tc>
              <w:tc>
                <w:tcPr>
                  <w:tcW w:w="2983" w:type="dxa"/>
                </w:tcPr>
                <w:p w14:paraId="0A9D336E">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含量</w:t>
                  </w:r>
                </w:p>
              </w:tc>
            </w:tr>
            <w:tr w14:paraId="6EE60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2" w:type="dxa"/>
                </w:tcPr>
                <w:p w14:paraId="3B5B31A3">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氢气</w:t>
                  </w:r>
                </w:p>
              </w:tc>
              <w:tc>
                <w:tcPr>
                  <w:tcW w:w="2982" w:type="dxa"/>
                </w:tcPr>
                <w:p w14:paraId="348BFD20">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%（mol）</w:t>
                  </w:r>
                </w:p>
              </w:tc>
              <w:tc>
                <w:tcPr>
                  <w:tcW w:w="2983" w:type="dxa"/>
                </w:tcPr>
                <w:p w14:paraId="797A9654">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w:t>
                  </w:r>
                </w:p>
              </w:tc>
            </w:tr>
            <w:tr w14:paraId="03D76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2" w:type="dxa"/>
                </w:tcPr>
                <w:p w14:paraId="0AE6B1E8">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氦气</w:t>
                  </w:r>
                </w:p>
              </w:tc>
              <w:tc>
                <w:tcPr>
                  <w:tcW w:w="2982" w:type="dxa"/>
                </w:tcPr>
                <w:p w14:paraId="4F43C129">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%（mol）</w:t>
                  </w:r>
                </w:p>
              </w:tc>
              <w:tc>
                <w:tcPr>
                  <w:tcW w:w="2983" w:type="dxa"/>
                </w:tcPr>
                <w:p w14:paraId="75561E5A">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w:t>
                  </w:r>
                </w:p>
              </w:tc>
            </w:tr>
            <w:tr w14:paraId="39812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2" w:type="dxa"/>
                </w:tcPr>
                <w:p w14:paraId="79CE99BA">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氮气</w:t>
                  </w:r>
                </w:p>
              </w:tc>
              <w:tc>
                <w:tcPr>
                  <w:tcW w:w="2982" w:type="dxa"/>
                </w:tcPr>
                <w:p w14:paraId="05EC7D3E">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%（mol）</w:t>
                  </w:r>
                </w:p>
              </w:tc>
              <w:tc>
                <w:tcPr>
                  <w:tcW w:w="2983" w:type="dxa"/>
                </w:tcPr>
                <w:p w14:paraId="5C8D72FC">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0.818</w:t>
                  </w:r>
                </w:p>
              </w:tc>
            </w:tr>
            <w:tr w14:paraId="25D22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2" w:type="dxa"/>
                </w:tcPr>
                <w:p w14:paraId="2AE79A62">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甲烷</w:t>
                  </w:r>
                </w:p>
              </w:tc>
              <w:tc>
                <w:tcPr>
                  <w:tcW w:w="2982" w:type="dxa"/>
                </w:tcPr>
                <w:p w14:paraId="121A5F0C">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%（mol）</w:t>
                  </w:r>
                </w:p>
              </w:tc>
              <w:tc>
                <w:tcPr>
                  <w:tcW w:w="2983" w:type="dxa"/>
                </w:tcPr>
                <w:p w14:paraId="18BD00BD">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98.326</w:t>
                  </w:r>
                </w:p>
              </w:tc>
            </w:tr>
            <w:tr w14:paraId="6AB16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2" w:type="dxa"/>
                </w:tcPr>
                <w:p w14:paraId="094A2FF6">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乙烷</w:t>
                  </w:r>
                </w:p>
              </w:tc>
              <w:tc>
                <w:tcPr>
                  <w:tcW w:w="2982" w:type="dxa"/>
                </w:tcPr>
                <w:p w14:paraId="7E1EB419">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%（mol）</w:t>
                  </w:r>
                </w:p>
              </w:tc>
              <w:tc>
                <w:tcPr>
                  <w:tcW w:w="2983" w:type="dxa"/>
                </w:tcPr>
                <w:p w14:paraId="7AF02B13">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0.586</w:t>
                  </w:r>
                </w:p>
              </w:tc>
            </w:tr>
            <w:tr w14:paraId="7FAC9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2" w:type="dxa"/>
                </w:tcPr>
                <w:p w14:paraId="33820AC4">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丙烷</w:t>
                  </w:r>
                </w:p>
              </w:tc>
              <w:tc>
                <w:tcPr>
                  <w:tcW w:w="2982" w:type="dxa"/>
                </w:tcPr>
                <w:p w14:paraId="1EE3D2E1">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%（mol）</w:t>
                  </w:r>
                </w:p>
              </w:tc>
              <w:tc>
                <w:tcPr>
                  <w:tcW w:w="2983" w:type="dxa"/>
                </w:tcPr>
                <w:p w14:paraId="251DB4C4">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0.232</w:t>
                  </w:r>
                </w:p>
              </w:tc>
            </w:tr>
            <w:tr w14:paraId="6933F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2" w:type="dxa"/>
                </w:tcPr>
                <w:p w14:paraId="1A53F4B7">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异丁烷</w:t>
                  </w:r>
                </w:p>
              </w:tc>
              <w:tc>
                <w:tcPr>
                  <w:tcW w:w="2982" w:type="dxa"/>
                </w:tcPr>
                <w:p w14:paraId="21DFDC89">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%（mol）</w:t>
                  </w:r>
                </w:p>
              </w:tc>
              <w:tc>
                <w:tcPr>
                  <w:tcW w:w="2983" w:type="dxa"/>
                </w:tcPr>
                <w:p w14:paraId="241C3542">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0.012</w:t>
                  </w:r>
                </w:p>
              </w:tc>
            </w:tr>
            <w:tr w14:paraId="06C36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2" w:type="dxa"/>
                </w:tcPr>
                <w:p w14:paraId="095939E5">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正丁烷</w:t>
                  </w:r>
                </w:p>
              </w:tc>
              <w:tc>
                <w:tcPr>
                  <w:tcW w:w="2982" w:type="dxa"/>
                </w:tcPr>
                <w:p w14:paraId="3F0ECDC0">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%（mol）</w:t>
                  </w:r>
                </w:p>
              </w:tc>
              <w:tc>
                <w:tcPr>
                  <w:tcW w:w="2983" w:type="dxa"/>
                </w:tcPr>
                <w:p w14:paraId="35F80422">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0.016</w:t>
                  </w:r>
                </w:p>
              </w:tc>
            </w:tr>
            <w:tr w14:paraId="5EAE4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2" w:type="dxa"/>
                </w:tcPr>
                <w:p w14:paraId="12596A49">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异戊烷</w:t>
                  </w:r>
                </w:p>
              </w:tc>
              <w:tc>
                <w:tcPr>
                  <w:tcW w:w="2982" w:type="dxa"/>
                </w:tcPr>
                <w:p w14:paraId="0B4F2733">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%（mol）</w:t>
                  </w:r>
                </w:p>
              </w:tc>
              <w:tc>
                <w:tcPr>
                  <w:tcW w:w="2983" w:type="dxa"/>
                </w:tcPr>
                <w:p w14:paraId="769F773D">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0.003</w:t>
                  </w:r>
                </w:p>
              </w:tc>
            </w:tr>
            <w:tr w14:paraId="3B804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2" w:type="dxa"/>
                </w:tcPr>
                <w:p w14:paraId="5E5A34E6">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正戊烷</w:t>
                  </w:r>
                </w:p>
              </w:tc>
              <w:tc>
                <w:tcPr>
                  <w:tcW w:w="2982" w:type="dxa"/>
                </w:tcPr>
                <w:p w14:paraId="45AC42A8">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%（mol）</w:t>
                  </w:r>
                </w:p>
              </w:tc>
              <w:tc>
                <w:tcPr>
                  <w:tcW w:w="2983" w:type="dxa"/>
                </w:tcPr>
                <w:p w14:paraId="7C85FE78">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0.003</w:t>
                  </w:r>
                </w:p>
              </w:tc>
            </w:tr>
            <w:tr w14:paraId="3E70C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2" w:type="dxa"/>
                </w:tcPr>
                <w:p w14:paraId="4243A29D">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C6+</w:t>
                  </w:r>
                </w:p>
              </w:tc>
              <w:tc>
                <w:tcPr>
                  <w:tcW w:w="2982" w:type="dxa"/>
                </w:tcPr>
                <w:p w14:paraId="37C23136">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%（mol）</w:t>
                  </w:r>
                </w:p>
              </w:tc>
              <w:tc>
                <w:tcPr>
                  <w:tcW w:w="2983" w:type="dxa"/>
                </w:tcPr>
                <w:p w14:paraId="2FE6A5BB">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0.003</w:t>
                  </w:r>
                </w:p>
              </w:tc>
            </w:tr>
            <w:tr w14:paraId="7E8BF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982" w:type="dxa"/>
                </w:tcPr>
                <w:p w14:paraId="0822F7D2">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二氧化碳</w:t>
                  </w:r>
                </w:p>
              </w:tc>
              <w:tc>
                <w:tcPr>
                  <w:tcW w:w="2982" w:type="dxa"/>
                </w:tcPr>
                <w:p w14:paraId="4089F8F9">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ppmv</w:t>
                  </w:r>
                </w:p>
              </w:tc>
              <w:tc>
                <w:tcPr>
                  <w:tcW w:w="2983" w:type="dxa"/>
                </w:tcPr>
                <w:p w14:paraId="08213F74">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≤50</w:t>
                  </w:r>
                </w:p>
              </w:tc>
            </w:tr>
            <w:tr w14:paraId="5B96A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2" w:type="dxa"/>
                </w:tcPr>
                <w:p w14:paraId="5A23FEB3">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水</w:t>
                  </w:r>
                </w:p>
              </w:tc>
              <w:tc>
                <w:tcPr>
                  <w:tcW w:w="2982" w:type="dxa"/>
                </w:tcPr>
                <w:p w14:paraId="31EEFF75">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ppmv</w:t>
                  </w:r>
                </w:p>
              </w:tc>
              <w:tc>
                <w:tcPr>
                  <w:tcW w:w="2983" w:type="dxa"/>
                </w:tcPr>
                <w:p w14:paraId="38CAEA98">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≤1</w:t>
                  </w:r>
                </w:p>
              </w:tc>
            </w:tr>
            <w:tr w14:paraId="0C713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2" w:type="dxa"/>
                </w:tcPr>
                <w:p w14:paraId="3CA40C00">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一氧化碳</w:t>
                  </w:r>
                </w:p>
              </w:tc>
              <w:tc>
                <w:tcPr>
                  <w:tcW w:w="2982" w:type="dxa"/>
                </w:tcPr>
                <w:p w14:paraId="7C6D3DEE">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%（mol）</w:t>
                  </w:r>
                </w:p>
              </w:tc>
              <w:tc>
                <w:tcPr>
                  <w:tcW w:w="2983" w:type="dxa"/>
                </w:tcPr>
                <w:p w14:paraId="05EDBCD0">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w:t>
                  </w:r>
                </w:p>
              </w:tc>
            </w:tr>
            <w:tr w14:paraId="54F49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2" w:type="dxa"/>
                </w:tcPr>
                <w:p w14:paraId="6ECBD670">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硫化氢</w:t>
                  </w:r>
                </w:p>
              </w:tc>
              <w:tc>
                <w:tcPr>
                  <w:tcW w:w="2982" w:type="dxa"/>
                </w:tcPr>
                <w:p w14:paraId="1CEE73DC">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%（mol）</w:t>
                  </w:r>
                </w:p>
              </w:tc>
              <w:tc>
                <w:tcPr>
                  <w:tcW w:w="2983" w:type="dxa"/>
                </w:tcPr>
                <w:p w14:paraId="02DF8B6D">
                  <w:pPr>
                    <w:spacing w:line="28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w:t>
                  </w:r>
                </w:p>
              </w:tc>
            </w:tr>
          </w:tbl>
          <w:p w14:paraId="46B2D472">
            <w:pPr>
              <w:spacing w:line="360" w:lineRule="auto"/>
              <w:ind w:firstLine="480"/>
              <w:rPr>
                <w:rFonts w:ascii="Times New Roman" w:hAnsi="Times New Roman" w:cs="Times New Roman" w:eastAsiaTheme="minorEastAsia"/>
                <w:sz w:val="24"/>
              </w:rPr>
            </w:pPr>
          </w:p>
          <w:p w14:paraId="558CE251">
            <w:pPr>
              <w:spacing w:line="360" w:lineRule="auto"/>
              <w:outlineLvl w:val="2"/>
              <w:rPr>
                <w:rFonts w:ascii="Times New Roman" w:hAnsi="Times New Roman" w:cs="Times New Roman" w:eastAsiaTheme="minorEastAsia"/>
                <w:b/>
                <w:sz w:val="24"/>
              </w:rPr>
            </w:pPr>
            <w:bookmarkStart w:id="2" w:name="_Toc406750666"/>
            <w:r>
              <w:rPr>
                <w:rFonts w:ascii="Times New Roman" w:hAnsi="Times New Roman" w:cs="Times New Roman" w:eastAsiaTheme="minorEastAsia"/>
                <w:b/>
                <w:sz w:val="24"/>
              </w:rPr>
              <w:t>2.</w:t>
            </w:r>
            <w:r>
              <w:rPr>
                <w:rFonts w:hint="eastAsia" w:ascii="Times New Roman" w:hAnsi="Times New Roman" w:cs="Times New Roman" w:eastAsiaTheme="minorEastAsia"/>
                <w:b/>
                <w:sz w:val="24"/>
              </w:rPr>
              <w:t>2</w:t>
            </w:r>
            <w:r>
              <w:rPr>
                <w:rFonts w:ascii="Times New Roman" w:hAnsi="Times New Roman" w:cs="Times New Roman" w:eastAsiaTheme="minorEastAsia"/>
                <w:b/>
                <w:sz w:val="24"/>
              </w:rPr>
              <w:t>主要生产设备及原辅材料消耗</w:t>
            </w:r>
            <w:bookmarkEnd w:id="2"/>
          </w:p>
          <w:p w14:paraId="18D33384">
            <w:pPr>
              <w:spacing w:line="360" w:lineRule="auto"/>
              <w:outlineLvl w:val="2"/>
              <w:rPr>
                <w:rFonts w:ascii="Times New Roman" w:hAnsi="Times New Roman" w:cs="Times New Roman" w:eastAsiaTheme="minorEastAsia"/>
                <w:b/>
                <w:sz w:val="24"/>
              </w:rPr>
            </w:pPr>
            <w:r>
              <w:rPr>
                <w:rFonts w:ascii="Times New Roman" w:hAnsi="Times New Roman" w:cs="Times New Roman" w:eastAsiaTheme="minorEastAsia"/>
                <w:b/>
                <w:sz w:val="24"/>
              </w:rPr>
              <w:t>2.</w:t>
            </w:r>
            <w:r>
              <w:rPr>
                <w:rFonts w:hint="eastAsia" w:ascii="Times New Roman" w:hAnsi="Times New Roman" w:cs="Times New Roman" w:eastAsiaTheme="minorEastAsia"/>
                <w:b/>
                <w:sz w:val="24"/>
              </w:rPr>
              <w:t>2</w:t>
            </w:r>
            <w:r>
              <w:rPr>
                <w:rFonts w:ascii="Times New Roman" w:hAnsi="Times New Roman" w:cs="Times New Roman" w:eastAsiaTheme="minorEastAsia"/>
                <w:b/>
                <w:sz w:val="24"/>
              </w:rPr>
              <w:t>.1主要生产设备</w:t>
            </w:r>
          </w:p>
          <w:p w14:paraId="796C0C9E">
            <w:pPr>
              <w:spacing w:line="360" w:lineRule="auto"/>
              <w:ind w:firstLine="480"/>
              <w:rPr>
                <w:rFonts w:ascii="Times New Roman" w:hAnsi="Times New Roman" w:cs="Times New Roman" w:eastAsiaTheme="minorEastAsia"/>
                <w:sz w:val="24"/>
              </w:rPr>
            </w:pPr>
            <w:r>
              <w:rPr>
                <w:rFonts w:ascii="Times New Roman" w:hAnsi="Times New Roman" w:cs="Times New Roman" w:eastAsiaTheme="minorEastAsia"/>
                <w:sz w:val="24"/>
              </w:rPr>
              <w:t>该项目设备选择本着先进可靠，满足工艺条件要求，满足各工序之间匹配容量，确保产品质量在国内属一流，主要生产设备详见表2.3-1。</w:t>
            </w:r>
          </w:p>
          <w:p w14:paraId="412CF60B">
            <w:pPr>
              <w:jc w:val="center"/>
              <w:rPr>
                <w:rFonts w:ascii="Times New Roman" w:hAnsi="Times New Roman" w:cs="Times New Roman" w:eastAsiaTheme="minorEastAsia"/>
                <w:bCs/>
                <w:sz w:val="24"/>
              </w:rPr>
            </w:pPr>
            <w:r>
              <w:rPr>
                <w:rFonts w:ascii="Times New Roman" w:hAnsi="Times New Roman" w:cs="Times New Roman" w:eastAsiaTheme="minorEastAsia"/>
                <w:bCs/>
                <w:sz w:val="24"/>
              </w:rPr>
              <w:t>表2.3-1   主要生产设备一览表</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0"/>
              <w:gridCol w:w="1733"/>
              <w:gridCol w:w="3339"/>
              <w:gridCol w:w="1361"/>
              <w:gridCol w:w="1385"/>
            </w:tblGrid>
            <w:tr w14:paraId="736D3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55" w:type="pct"/>
                  <w:shd w:val="clear" w:color="auto" w:fill="auto"/>
                  <w:noWrap/>
                  <w:vAlign w:val="center"/>
                </w:tcPr>
                <w:p w14:paraId="74E7EC85">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序号</w:t>
                  </w:r>
                </w:p>
              </w:tc>
              <w:tc>
                <w:tcPr>
                  <w:tcW w:w="941" w:type="pct"/>
                  <w:shd w:val="clear" w:color="auto" w:fill="auto"/>
                  <w:noWrap/>
                  <w:vAlign w:val="center"/>
                </w:tcPr>
                <w:p w14:paraId="00699312">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设备型号</w:t>
                  </w:r>
                </w:p>
              </w:tc>
              <w:tc>
                <w:tcPr>
                  <w:tcW w:w="1813" w:type="pct"/>
                  <w:shd w:val="clear" w:color="auto" w:fill="auto"/>
                  <w:vAlign w:val="center"/>
                </w:tcPr>
                <w:p w14:paraId="6D3BCA9D">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设备名称</w:t>
                  </w:r>
                </w:p>
              </w:tc>
              <w:tc>
                <w:tcPr>
                  <w:tcW w:w="739" w:type="pct"/>
                  <w:shd w:val="clear" w:color="auto" w:fill="auto"/>
                  <w:noWrap/>
                  <w:vAlign w:val="center"/>
                </w:tcPr>
                <w:p w14:paraId="29D8E844">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数量</w:t>
                  </w:r>
                </w:p>
              </w:tc>
              <w:tc>
                <w:tcPr>
                  <w:tcW w:w="750" w:type="pct"/>
                  <w:shd w:val="clear" w:color="auto" w:fill="auto"/>
                  <w:noWrap/>
                  <w:vAlign w:val="center"/>
                </w:tcPr>
                <w:p w14:paraId="01534AE7">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备注</w:t>
                  </w:r>
                </w:p>
              </w:tc>
            </w:tr>
            <w:tr w14:paraId="31738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gridSpan w:val="5"/>
                  <w:shd w:val="clear" w:color="auto" w:fill="auto"/>
                  <w:noWrap/>
                  <w:vAlign w:val="center"/>
                </w:tcPr>
                <w:p w14:paraId="40D7CA2A">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塔器</w:t>
                  </w:r>
                </w:p>
              </w:tc>
            </w:tr>
            <w:tr w14:paraId="7006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5" w:type="pct"/>
                  <w:shd w:val="clear" w:color="auto" w:fill="auto"/>
                  <w:noWrap/>
                  <w:vAlign w:val="center"/>
                </w:tcPr>
                <w:p w14:paraId="38185B7F">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941" w:type="pct"/>
                  <w:shd w:val="clear" w:color="auto" w:fill="auto"/>
                  <w:noWrap/>
                  <w:vAlign w:val="center"/>
                </w:tcPr>
                <w:p w14:paraId="197AE849">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C-101</w:t>
                  </w:r>
                </w:p>
              </w:tc>
              <w:tc>
                <w:tcPr>
                  <w:tcW w:w="1813" w:type="pct"/>
                  <w:shd w:val="clear" w:color="auto" w:fill="auto"/>
                  <w:noWrap/>
                  <w:vAlign w:val="center"/>
                </w:tcPr>
                <w:p w14:paraId="1B2E077F">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胺洗塔</w:t>
                  </w:r>
                </w:p>
              </w:tc>
              <w:tc>
                <w:tcPr>
                  <w:tcW w:w="739" w:type="pct"/>
                  <w:shd w:val="clear" w:color="auto" w:fill="auto"/>
                  <w:noWrap/>
                  <w:vAlign w:val="center"/>
                </w:tcPr>
                <w:p w14:paraId="4FE257D8">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3950E8F6">
                  <w:pPr>
                    <w:widowControl/>
                    <w:spacing w:line="280" w:lineRule="exact"/>
                    <w:jc w:val="center"/>
                    <w:rPr>
                      <w:rFonts w:ascii="Times New Roman" w:hAnsi="Times New Roman" w:cs="Times New Roman" w:eastAsiaTheme="minorEastAsia"/>
                      <w:kern w:val="0"/>
                      <w:szCs w:val="21"/>
                    </w:rPr>
                  </w:pPr>
                </w:p>
              </w:tc>
            </w:tr>
            <w:tr w14:paraId="173AC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5" w:type="pct"/>
                  <w:shd w:val="clear" w:color="auto" w:fill="auto"/>
                  <w:noWrap/>
                  <w:vAlign w:val="center"/>
                </w:tcPr>
                <w:p w14:paraId="32BA534E">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2</w:t>
                  </w:r>
                </w:p>
              </w:tc>
              <w:tc>
                <w:tcPr>
                  <w:tcW w:w="941" w:type="pct"/>
                  <w:shd w:val="clear" w:color="auto" w:fill="auto"/>
                  <w:noWrap/>
                  <w:vAlign w:val="center"/>
                </w:tcPr>
                <w:p w14:paraId="311A9EE5">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C-102</w:t>
                  </w:r>
                </w:p>
              </w:tc>
              <w:tc>
                <w:tcPr>
                  <w:tcW w:w="1813" w:type="pct"/>
                  <w:shd w:val="clear" w:color="auto" w:fill="auto"/>
                  <w:noWrap/>
                  <w:vAlign w:val="center"/>
                </w:tcPr>
                <w:p w14:paraId="654E7C93">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溶剂再生塔</w:t>
                  </w:r>
                </w:p>
              </w:tc>
              <w:tc>
                <w:tcPr>
                  <w:tcW w:w="739" w:type="pct"/>
                  <w:shd w:val="clear" w:color="auto" w:fill="auto"/>
                  <w:noWrap/>
                  <w:vAlign w:val="center"/>
                </w:tcPr>
                <w:p w14:paraId="0F0DF4E3">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25786802">
                  <w:pPr>
                    <w:widowControl/>
                    <w:spacing w:line="280" w:lineRule="exact"/>
                    <w:jc w:val="center"/>
                    <w:rPr>
                      <w:rFonts w:ascii="Times New Roman" w:hAnsi="Times New Roman" w:cs="Times New Roman" w:eastAsiaTheme="minorEastAsia"/>
                      <w:kern w:val="0"/>
                      <w:szCs w:val="21"/>
                    </w:rPr>
                  </w:pPr>
                </w:p>
              </w:tc>
            </w:tr>
            <w:tr w14:paraId="3FFCB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gridSpan w:val="5"/>
                  <w:shd w:val="clear" w:color="auto" w:fill="auto"/>
                  <w:noWrap/>
                  <w:vAlign w:val="center"/>
                </w:tcPr>
                <w:p w14:paraId="454D427E">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换热器</w:t>
                  </w:r>
                </w:p>
              </w:tc>
            </w:tr>
            <w:tr w14:paraId="0ED0E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5" w:type="pct"/>
                  <w:shd w:val="clear" w:color="auto" w:fill="auto"/>
                  <w:noWrap/>
                  <w:vAlign w:val="center"/>
                </w:tcPr>
                <w:p w14:paraId="5E5CC7DC">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3</w:t>
                  </w:r>
                </w:p>
              </w:tc>
              <w:tc>
                <w:tcPr>
                  <w:tcW w:w="941" w:type="pct"/>
                  <w:shd w:val="clear" w:color="auto" w:fill="auto"/>
                  <w:noWrap/>
                </w:tcPr>
                <w:p w14:paraId="286C230E">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E-101</w:t>
                  </w:r>
                </w:p>
              </w:tc>
              <w:tc>
                <w:tcPr>
                  <w:tcW w:w="1813" w:type="pct"/>
                  <w:shd w:val="clear" w:color="auto" w:fill="auto"/>
                  <w:noWrap/>
                </w:tcPr>
                <w:p w14:paraId="5789ABA6">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原料气压缩机后水冷器</w:t>
                  </w:r>
                </w:p>
              </w:tc>
              <w:tc>
                <w:tcPr>
                  <w:tcW w:w="739" w:type="pct"/>
                  <w:shd w:val="clear" w:color="auto" w:fill="auto"/>
                  <w:noWrap/>
                  <w:vAlign w:val="center"/>
                </w:tcPr>
                <w:p w14:paraId="578AD7CB">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04857472">
                  <w:pPr>
                    <w:widowControl/>
                    <w:spacing w:line="280" w:lineRule="exact"/>
                    <w:jc w:val="center"/>
                    <w:rPr>
                      <w:rFonts w:ascii="Times New Roman" w:hAnsi="Times New Roman" w:cs="Times New Roman" w:eastAsiaTheme="minorEastAsia"/>
                      <w:kern w:val="0"/>
                      <w:szCs w:val="21"/>
                    </w:rPr>
                  </w:pPr>
                </w:p>
              </w:tc>
            </w:tr>
            <w:tr w14:paraId="6935B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5" w:type="pct"/>
                  <w:shd w:val="clear" w:color="auto" w:fill="auto"/>
                  <w:noWrap/>
                  <w:vAlign w:val="center"/>
                </w:tcPr>
                <w:p w14:paraId="7FA9BDAB">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4</w:t>
                  </w:r>
                </w:p>
              </w:tc>
              <w:tc>
                <w:tcPr>
                  <w:tcW w:w="941" w:type="pct"/>
                  <w:shd w:val="clear" w:color="auto" w:fill="auto"/>
                  <w:noWrap/>
                </w:tcPr>
                <w:p w14:paraId="2DDE5444">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E-103</w:t>
                  </w:r>
                </w:p>
              </w:tc>
              <w:tc>
                <w:tcPr>
                  <w:tcW w:w="1813" w:type="pct"/>
                  <w:shd w:val="clear" w:color="auto" w:fill="auto"/>
                  <w:noWrap/>
                </w:tcPr>
                <w:p w14:paraId="45537404">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胺洗塔顶冷凝器</w:t>
                  </w:r>
                </w:p>
              </w:tc>
              <w:tc>
                <w:tcPr>
                  <w:tcW w:w="739" w:type="pct"/>
                  <w:shd w:val="clear" w:color="auto" w:fill="auto"/>
                  <w:noWrap/>
                  <w:vAlign w:val="center"/>
                </w:tcPr>
                <w:p w14:paraId="2D96A9F3">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0802A9B8">
                  <w:pPr>
                    <w:widowControl/>
                    <w:spacing w:line="280" w:lineRule="exact"/>
                    <w:jc w:val="center"/>
                    <w:rPr>
                      <w:rFonts w:ascii="Times New Roman" w:hAnsi="Times New Roman" w:cs="Times New Roman" w:eastAsiaTheme="minorEastAsia"/>
                      <w:kern w:val="0"/>
                      <w:szCs w:val="21"/>
                    </w:rPr>
                  </w:pPr>
                </w:p>
              </w:tc>
            </w:tr>
            <w:tr w14:paraId="781F0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55" w:type="pct"/>
                  <w:shd w:val="clear" w:color="auto" w:fill="auto"/>
                  <w:noWrap/>
                  <w:vAlign w:val="center"/>
                </w:tcPr>
                <w:p w14:paraId="4C5BCA8E">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5</w:t>
                  </w:r>
                </w:p>
              </w:tc>
              <w:tc>
                <w:tcPr>
                  <w:tcW w:w="941" w:type="pct"/>
                  <w:shd w:val="clear" w:color="auto" w:fill="auto"/>
                  <w:noWrap/>
                </w:tcPr>
                <w:p w14:paraId="78767ACE">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E-104</w:t>
                  </w:r>
                </w:p>
              </w:tc>
              <w:tc>
                <w:tcPr>
                  <w:tcW w:w="1813" w:type="pct"/>
                  <w:shd w:val="clear" w:color="auto" w:fill="auto"/>
                  <w:noWrap/>
                </w:tcPr>
                <w:p w14:paraId="74522D24">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进出料换热器</w:t>
                  </w:r>
                </w:p>
              </w:tc>
              <w:tc>
                <w:tcPr>
                  <w:tcW w:w="739" w:type="pct"/>
                  <w:shd w:val="clear" w:color="auto" w:fill="auto"/>
                  <w:noWrap/>
                  <w:vAlign w:val="center"/>
                </w:tcPr>
                <w:p w14:paraId="0F9AA51C">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3ABCCD5B">
                  <w:pPr>
                    <w:widowControl/>
                    <w:spacing w:line="280" w:lineRule="exact"/>
                    <w:jc w:val="center"/>
                    <w:rPr>
                      <w:rFonts w:ascii="Times New Roman" w:hAnsi="Times New Roman" w:cs="Times New Roman" w:eastAsiaTheme="minorEastAsia"/>
                      <w:kern w:val="0"/>
                      <w:szCs w:val="21"/>
                    </w:rPr>
                  </w:pPr>
                </w:p>
              </w:tc>
            </w:tr>
            <w:tr w14:paraId="05B41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5" w:type="pct"/>
                  <w:shd w:val="clear" w:color="auto" w:fill="auto"/>
                  <w:noWrap/>
                  <w:vAlign w:val="center"/>
                </w:tcPr>
                <w:p w14:paraId="585058C4">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6</w:t>
                  </w:r>
                </w:p>
              </w:tc>
              <w:tc>
                <w:tcPr>
                  <w:tcW w:w="941" w:type="pct"/>
                  <w:shd w:val="clear" w:color="auto" w:fill="auto"/>
                  <w:noWrap/>
                </w:tcPr>
                <w:p w14:paraId="1D6A43C7">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E-105</w:t>
                  </w:r>
                </w:p>
              </w:tc>
              <w:tc>
                <w:tcPr>
                  <w:tcW w:w="1813" w:type="pct"/>
                  <w:shd w:val="clear" w:color="auto" w:fill="auto"/>
                  <w:noWrap/>
                </w:tcPr>
                <w:p w14:paraId="10B6E457">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溶剂再生塔冷凝器</w:t>
                  </w:r>
                </w:p>
              </w:tc>
              <w:tc>
                <w:tcPr>
                  <w:tcW w:w="739" w:type="pct"/>
                  <w:shd w:val="clear" w:color="auto" w:fill="auto"/>
                  <w:noWrap/>
                  <w:vAlign w:val="center"/>
                </w:tcPr>
                <w:p w14:paraId="5362962D">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08281B83">
                  <w:pPr>
                    <w:widowControl/>
                    <w:spacing w:line="280" w:lineRule="exact"/>
                    <w:jc w:val="center"/>
                    <w:rPr>
                      <w:rFonts w:ascii="Times New Roman" w:hAnsi="Times New Roman" w:cs="Times New Roman" w:eastAsiaTheme="minorEastAsia"/>
                      <w:kern w:val="0"/>
                      <w:szCs w:val="21"/>
                    </w:rPr>
                  </w:pPr>
                </w:p>
              </w:tc>
            </w:tr>
            <w:tr w14:paraId="7D6BC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5" w:type="pct"/>
                  <w:shd w:val="clear" w:color="auto" w:fill="auto"/>
                  <w:noWrap/>
                  <w:vAlign w:val="center"/>
                </w:tcPr>
                <w:p w14:paraId="6906C6CC">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7</w:t>
                  </w:r>
                </w:p>
              </w:tc>
              <w:tc>
                <w:tcPr>
                  <w:tcW w:w="941" w:type="pct"/>
                  <w:shd w:val="clear" w:color="auto" w:fill="auto"/>
                  <w:noWrap/>
                </w:tcPr>
                <w:p w14:paraId="440568EF">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E-106</w:t>
                  </w:r>
                </w:p>
              </w:tc>
              <w:tc>
                <w:tcPr>
                  <w:tcW w:w="1813" w:type="pct"/>
                  <w:shd w:val="clear" w:color="auto" w:fill="auto"/>
                  <w:noWrap/>
                </w:tcPr>
                <w:p w14:paraId="1E977716">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溶剂再生塔再沸器</w:t>
                  </w:r>
                </w:p>
              </w:tc>
              <w:tc>
                <w:tcPr>
                  <w:tcW w:w="739" w:type="pct"/>
                  <w:shd w:val="clear" w:color="auto" w:fill="auto"/>
                  <w:noWrap/>
                  <w:vAlign w:val="center"/>
                </w:tcPr>
                <w:p w14:paraId="33C04DCD">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73757DE6">
                  <w:pPr>
                    <w:widowControl/>
                    <w:spacing w:line="280" w:lineRule="exact"/>
                    <w:jc w:val="center"/>
                    <w:rPr>
                      <w:rFonts w:ascii="Times New Roman" w:hAnsi="Times New Roman" w:cs="Times New Roman" w:eastAsiaTheme="minorEastAsia"/>
                      <w:kern w:val="0"/>
                      <w:szCs w:val="21"/>
                    </w:rPr>
                  </w:pPr>
                </w:p>
              </w:tc>
            </w:tr>
            <w:tr w14:paraId="63A37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5" w:type="pct"/>
                  <w:shd w:val="clear" w:color="auto" w:fill="auto"/>
                  <w:noWrap/>
                  <w:vAlign w:val="center"/>
                </w:tcPr>
                <w:p w14:paraId="2A6CF456">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8</w:t>
                  </w:r>
                </w:p>
              </w:tc>
              <w:tc>
                <w:tcPr>
                  <w:tcW w:w="941" w:type="pct"/>
                  <w:shd w:val="clear" w:color="auto" w:fill="auto"/>
                  <w:noWrap/>
                </w:tcPr>
                <w:p w14:paraId="30E63FD0">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E-107A/B</w:t>
                  </w:r>
                </w:p>
              </w:tc>
              <w:tc>
                <w:tcPr>
                  <w:tcW w:w="1813" w:type="pct"/>
                  <w:shd w:val="clear" w:color="auto" w:fill="auto"/>
                  <w:noWrap/>
                </w:tcPr>
                <w:p w14:paraId="0C2AEDBA">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贫溶剂冷却器</w:t>
                  </w:r>
                </w:p>
              </w:tc>
              <w:tc>
                <w:tcPr>
                  <w:tcW w:w="739" w:type="pct"/>
                  <w:shd w:val="clear" w:color="auto" w:fill="auto"/>
                  <w:noWrap/>
                  <w:vAlign w:val="center"/>
                </w:tcPr>
                <w:p w14:paraId="65EE9FE8">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2</w:t>
                  </w:r>
                </w:p>
              </w:tc>
              <w:tc>
                <w:tcPr>
                  <w:tcW w:w="750" w:type="pct"/>
                  <w:shd w:val="clear" w:color="auto" w:fill="auto"/>
                  <w:noWrap/>
                  <w:vAlign w:val="center"/>
                </w:tcPr>
                <w:p w14:paraId="0E796EFC">
                  <w:pPr>
                    <w:widowControl/>
                    <w:spacing w:line="280" w:lineRule="exact"/>
                    <w:jc w:val="center"/>
                    <w:rPr>
                      <w:rFonts w:ascii="Times New Roman" w:hAnsi="Times New Roman" w:cs="Times New Roman" w:eastAsiaTheme="minorEastAsia"/>
                      <w:kern w:val="0"/>
                      <w:szCs w:val="21"/>
                    </w:rPr>
                  </w:pPr>
                </w:p>
              </w:tc>
            </w:tr>
            <w:tr w14:paraId="43B1A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5" w:type="pct"/>
                  <w:shd w:val="clear" w:color="auto" w:fill="auto"/>
                  <w:noWrap/>
                  <w:vAlign w:val="center"/>
                </w:tcPr>
                <w:p w14:paraId="11D936FD">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9</w:t>
                  </w:r>
                </w:p>
              </w:tc>
              <w:tc>
                <w:tcPr>
                  <w:tcW w:w="941" w:type="pct"/>
                  <w:shd w:val="clear" w:color="auto" w:fill="auto"/>
                  <w:noWrap/>
                </w:tcPr>
                <w:p w14:paraId="551F4EB7">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E-108</w:t>
                  </w:r>
                </w:p>
              </w:tc>
              <w:tc>
                <w:tcPr>
                  <w:tcW w:w="1813" w:type="pct"/>
                  <w:shd w:val="clear" w:color="auto" w:fill="auto"/>
                  <w:noWrap/>
                </w:tcPr>
                <w:p w14:paraId="2D1BB546">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再生气冷却器</w:t>
                  </w:r>
                </w:p>
              </w:tc>
              <w:tc>
                <w:tcPr>
                  <w:tcW w:w="739" w:type="pct"/>
                  <w:shd w:val="clear" w:color="auto" w:fill="auto"/>
                  <w:noWrap/>
                  <w:vAlign w:val="center"/>
                </w:tcPr>
                <w:p w14:paraId="1B05FC66">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4FB090D9">
                  <w:pPr>
                    <w:widowControl/>
                    <w:spacing w:line="280" w:lineRule="exact"/>
                    <w:jc w:val="center"/>
                    <w:rPr>
                      <w:rFonts w:ascii="Times New Roman" w:hAnsi="Times New Roman" w:cs="Times New Roman" w:eastAsiaTheme="minorEastAsia"/>
                      <w:kern w:val="0"/>
                      <w:szCs w:val="21"/>
                    </w:rPr>
                  </w:pPr>
                </w:p>
              </w:tc>
            </w:tr>
            <w:tr w14:paraId="75595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5" w:type="pct"/>
                  <w:shd w:val="clear" w:color="auto" w:fill="auto"/>
                  <w:noWrap/>
                  <w:vAlign w:val="center"/>
                </w:tcPr>
                <w:p w14:paraId="123C1186">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10</w:t>
                  </w:r>
                </w:p>
              </w:tc>
              <w:tc>
                <w:tcPr>
                  <w:tcW w:w="941" w:type="pct"/>
                  <w:shd w:val="clear" w:color="auto" w:fill="auto"/>
                  <w:noWrap/>
                </w:tcPr>
                <w:p w14:paraId="2578ECC4">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E-109</w:t>
                  </w:r>
                </w:p>
              </w:tc>
              <w:tc>
                <w:tcPr>
                  <w:tcW w:w="1813" w:type="pct"/>
                  <w:shd w:val="clear" w:color="auto" w:fill="auto"/>
                  <w:noWrap/>
                </w:tcPr>
                <w:p w14:paraId="2B1FDFB0">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再生气加热器</w:t>
                  </w:r>
                </w:p>
              </w:tc>
              <w:tc>
                <w:tcPr>
                  <w:tcW w:w="739" w:type="pct"/>
                  <w:shd w:val="clear" w:color="auto" w:fill="auto"/>
                  <w:noWrap/>
                  <w:vAlign w:val="center"/>
                </w:tcPr>
                <w:p w14:paraId="00D53D88">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0FA62EAD">
                  <w:pPr>
                    <w:widowControl/>
                    <w:spacing w:line="280" w:lineRule="exact"/>
                    <w:jc w:val="center"/>
                    <w:rPr>
                      <w:rFonts w:ascii="Times New Roman" w:hAnsi="Times New Roman" w:cs="Times New Roman" w:eastAsiaTheme="minorEastAsia"/>
                      <w:kern w:val="0"/>
                      <w:szCs w:val="21"/>
                    </w:rPr>
                  </w:pPr>
                </w:p>
              </w:tc>
            </w:tr>
            <w:tr w14:paraId="009DD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5" w:type="pct"/>
                  <w:shd w:val="clear" w:color="auto" w:fill="auto"/>
                  <w:noWrap/>
                  <w:vAlign w:val="center"/>
                </w:tcPr>
                <w:p w14:paraId="7ED31103">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11</w:t>
                  </w:r>
                </w:p>
              </w:tc>
              <w:tc>
                <w:tcPr>
                  <w:tcW w:w="941" w:type="pct"/>
                  <w:shd w:val="clear" w:color="auto" w:fill="auto"/>
                  <w:noWrap/>
                </w:tcPr>
                <w:p w14:paraId="0240A40B">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E-110</w:t>
                  </w:r>
                </w:p>
              </w:tc>
              <w:tc>
                <w:tcPr>
                  <w:tcW w:w="1813" w:type="pct"/>
                  <w:shd w:val="clear" w:color="auto" w:fill="auto"/>
                  <w:noWrap/>
                </w:tcPr>
                <w:p w14:paraId="04E1E888">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再生气进出料加热器</w:t>
                  </w:r>
                </w:p>
              </w:tc>
              <w:tc>
                <w:tcPr>
                  <w:tcW w:w="739" w:type="pct"/>
                  <w:shd w:val="clear" w:color="auto" w:fill="auto"/>
                  <w:noWrap/>
                  <w:vAlign w:val="center"/>
                </w:tcPr>
                <w:p w14:paraId="69A2552A">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13AA2017">
                  <w:pPr>
                    <w:widowControl/>
                    <w:spacing w:line="280" w:lineRule="exact"/>
                    <w:jc w:val="center"/>
                    <w:rPr>
                      <w:rFonts w:ascii="Times New Roman" w:hAnsi="Times New Roman" w:cs="Times New Roman" w:eastAsiaTheme="minorEastAsia"/>
                      <w:kern w:val="0"/>
                      <w:szCs w:val="21"/>
                    </w:rPr>
                  </w:pPr>
                </w:p>
              </w:tc>
            </w:tr>
            <w:tr w14:paraId="4B95F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5" w:type="pct"/>
                  <w:shd w:val="clear" w:color="auto" w:fill="auto"/>
                  <w:noWrap/>
                  <w:vAlign w:val="center"/>
                </w:tcPr>
                <w:p w14:paraId="42227260">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12</w:t>
                  </w:r>
                </w:p>
              </w:tc>
              <w:tc>
                <w:tcPr>
                  <w:tcW w:w="941" w:type="pct"/>
                  <w:shd w:val="clear" w:color="auto" w:fill="auto"/>
                  <w:noWrap/>
                </w:tcPr>
                <w:p w14:paraId="3E8AA6B7">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E-212</w:t>
                  </w:r>
                </w:p>
              </w:tc>
              <w:tc>
                <w:tcPr>
                  <w:tcW w:w="1813" w:type="pct"/>
                  <w:shd w:val="clear" w:color="auto" w:fill="auto"/>
                  <w:noWrap/>
                </w:tcPr>
                <w:p w14:paraId="682A979D">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MRC一段出口冷却器</w:t>
                  </w:r>
                </w:p>
              </w:tc>
              <w:tc>
                <w:tcPr>
                  <w:tcW w:w="739" w:type="pct"/>
                  <w:shd w:val="clear" w:color="auto" w:fill="auto"/>
                  <w:noWrap/>
                  <w:vAlign w:val="center"/>
                </w:tcPr>
                <w:p w14:paraId="450759C5">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460BBE72">
                  <w:pPr>
                    <w:widowControl/>
                    <w:spacing w:line="280" w:lineRule="exact"/>
                    <w:jc w:val="center"/>
                    <w:rPr>
                      <w:rFonts w:ascii="Times New Roman" w:hAnsi="Times New Roman" w:cs="Times New Roman" w:eastAsiaTheme="minorEastAsia"/>
                      <w:kern w:val="0"/>
                      <w:szCs w:val="21"/>
                    </w:rPr>
                  </w:pPr>
                </w:p>
              </w:tc>
            </w:tr>
            <w:tr w14:paraId="5BC69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55" w:type="pct"/>
                  <w:shd w:val="clear" w:color="auto" w:fill="auto"/>
                  <w:noWrap/>
                  <w:vAlign w:val="center"/>
                </w:tcPr>
                <w:p w14:paraId="53A967E1">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13</w:t>
                  </w:r>
                </w:p>
              </w:tc>
              <w:tc>
                <w:tcPr>
                  <w:tcW w:w="941" w:type="pct"/>
                  <w:shd w:val="clear" w:color="auto" w:fill="auto"/>
                  <w:noWrap/>
                </w:tcPr>
                <w:p w14:paraId="2502FCCE">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E-213</w:t>
                  </w:r>
                </w:p>
              </w:tc>
              <w:tc>
                <w:tcPr>
                  <w:tcW w:w="1813" w:type="pct"/>
                  <w:shd w:val="clear" w:color="auto" w:fill="auto"/>
                  <w:noWrap/>
                </w:tcPr>
                <w:p w14:paraId="7EA92B0C">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MRC二段出口冷却器</w:t>
                  </w:r>
                </w:p>
              </w:tc>
              <w:tc>
                <w:tcPr>
                  <w:tcW w:w="739" w:type="pct"/>
                  <w:shd w:val="clear" w:color="auto" w:fill="auto"/>
                  <w:noWrap/>
                  <w:vAlign w:val="center"/>
                </w:tcPr>
                <w:p w14:paraId="3AE55EC0">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0C70BB1A">
                  <w:pPr>
                    <w:widowControl/>
                    <w:spacing w:line="280" w:lineRule="exact"/>
                    <w:jc w:val="center"/>
                    <w:rPr>
                      <w:rFonts w:ascii="Times New Roman" w:hAnsi="Times New Roman" w:cs="Times New Roman" w:eastAsiaTheme="minorEastAsia"/>
                      <w:kern w:val="0"/>
                      <w:szCs w:val="21"/>
                    </w:rPr>
                  </w:pPr>
                </w:p>
              </w:tc>
            </w:tr>
            <w:tr w14:paraId="1A176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5" w:type="pct"/>
                  <w:shd w:val="clear" w:color="auto" w:fill="auto"/>
                  <w:noWrap/>
                  <w:vAlign w:val="center"/>
                </w:tcPr>
                <w:p w14:paraId="6C6742BD">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14</w:t>
                  </w:r>
                </w:p>
              </w:tc>
              <w:tc>
                <w:tcPr>
                  <w:tcW w:w="941" w:type="pct"/>
                  <w:shd w:val="clear" w:color="auto" w:fill="auto"/>
                  <w:noWrap/>
                </w:tcPr>
                <w:p w14:paraId="50783329">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E-214</w:t>
                  </w:r>
                </w:p>
              </w:tc>
              <w:tc>
                <w:tcPr>
                  <w:tcW w:w="1813" w:type="pct"/>
                  <w:shd w:val="clear" w:color="auto" w:fill="auto"/>
                  <w:noWrap/>
                </w:tcPr>
                <w:p w14:paraId="2E4F9851">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MRC三段出口冷却器</w:t>
                  </w:r>
                </w:p>
              </w:tc>
              <w:tc>
                <w:tcPr>
                  <w:tcW w:w="739" w:type="pct"/>
                  <w:shd w:val="clear" w:color="auto" w:fill="auto"/>
                  <w:noWrap/>
                  <w:vAlign w:val="center"/>
                </w:tcPr>
                <w:p w14:paraId="3E932EE5">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2F7AEE5E">
                  <w:pPr>
                    <w:widowControl/>
                    <w:spacing w:line="280" w:lineRule="exact"/>
                    <w:jc w:val="center"/>
                    <w:rPr>
                      <w:rFonts w:ascii="Times New Roman" w:hAnsi="Times New Roman" w:cs="Times New Roman" w:eastAsiaTheme="minorEastAsia"/>
                      <w:kern w:val="0"/>
                      <w:szCs w:val="21"/>
                    </w:rPr>
                  </w:pPr>
                </w:p>
              </w:tc>
            </w:tr>
            <w:tr w14:paraId="275C5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5" w:type="pct"/>
                  <w:shd w:val="clear" w:color="auto" w:fill="auto"/>
                  <w:noWrap/>
                  <w:vAlign w:val="center"/>
                </w:tcPr>
                <w:p w14:paraId="0F5FC4B2">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15</w:t>
                  </w:r>
                </w:p>
              </w:tc>
              <w:tc>
                <w:tcPr>
                  <w:tcW w:w="941" w:type="pct"/>
                  <w:shd w:val="clear" w:color="auto" w:fill="auto"/>
                  <w:noWrap/>
                </w:tcPr>
                <w:p w14:paraId="6809A4D9">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E-300</w:t>
                  </w:r>
                </w:p>
              </w:tc>
              <w:tc>
                <w:tcPr>
                  <w:tcW w:w="1813" w:type="pct"/>
                  <w:shd w:val="clear" w:color="auto" w:fill="auto"/>
                  <w:noWrap/>
                </w:tcPr>
                <w:p w14:paraId="5505FDE9">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泡点气加热器</w:t>
                  </w:r>
                </w:p>
              </w:tc>
              <w:tc>
                <w:tcPr>
                  <w:tcW w:w="739" w:type="pct"/>
                  <w:shd w:val="clear" w:color="auto" w:fill="auto"/>
                  <w:noWrap/>
                  <w:vAlign w:val="center"/>
                </w:tcPr>
                <w:p w14:paraId="61EAAEC1">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033F1D86">
                  <w:pPr>
                    <w:widowControl/>
                    <w:spacing w:line="280" w:lineRule="exact"/>
                    <w:jc w:val="center"/>
                    <w:rPr>
                      <w:rFonts w:ascii="Times New Roman" w:hAnsi="Times New Roman" w:cs="Times New Roman" w:eastAsiaTheme="minorEastAsia"/>
                      <w:kern w:val="0"/>
                      <w:szCs w:val="21"/>
                    </w:rPr>
                  </w:pPr>
                </w:p>
              </w:tc>
            </w:tr>
            <w:tr w14:paraId="46B8D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5" w:type="pct"/>
                  <w:shd w:val="clear" w:color="auto" w:fill="auto"/>
                  <w:noWrap/>
                  <w:vAlign w:val="center"/>
                </w:tcPr>
                <w:p w14:paraId="1C90D279">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16</w:t>
                  </w:r>
                </w:p>
              </w:tc>
              <w:tc>
                <w:tcPr>
                  <w:tcW w:w="941" w:type="pct"/>
                  <w:shd w:val="clear" w:color="auto" w:fill="auto"/>
                  <w:noWrap/>
                </w:tcPr>
                <w:p w14:paraId="7AE73934">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E-303</w:t>
                  </w:r>
                </w:p>
              </w:tc>
              <w:tc>
                <w:tcPr>
                  <w:tcW w:w="1813" w:type="pct"/>
                  <w:shd w:val="clear" w:color="auto" w:fill="auto"/>
                  <w:noWrap/>
                </w:tcPr>
                <w:p w14:paraId="138A8A83">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泡点气压缩机三段冷却器</w:t>
                  </w:r>
                </w:p>
              </w:tc>
              <w:tc>
                <w:tcPr>
                  <w:tcW w:w="739" w:type="pct"/>
                  <w:shd w:val="clear" w:color="auto" w:fill="auto"/>
                  <w:noWrap/>
                  <w:vAlign w:val="center"/>
                </w:tcPr>
                <w:p w14:paraId="44F07890">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584E1643">
                  <w:pPr>
                    <w:widowControl/>
                    <w:spacing w:line="280" w:lineRule="exact"/>
                    <w:jc w:val="center"/>
                    <w:rPr>
                      <w:rFonts w:ascii="Times New Roman" w:hAnsi="Times New Roman" w:cs="Times New Roman" w:eastAsiaTheme="minorEastAsia"/>
                      <w:kern w:val="0"/>
                      <w:szCs w:val="21"/>
                    </w:rPr>
                  </w:pPr>
                </w:p>
              </w:tc>
            </w:tr>
            <w:tr w14:paraId="08E6F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5" w:type="pct"/>
                  <w:shd w:val="clear" w:color="auto" w:fill="auto"/>
                  <w:noWrap/>
                  <w:vAlign w:val="center"/>
                </w:tcPr>
                <w:p w14:paraId="3CDE1AFD">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17</w:t>
                  </w:r>
                </w:p>
              </w:tc>
              <w:tc>
                <w:tcPr>
                  <w:tcW w:w="941" w:type="pct"/>
                  <w:shd w:val="clear" w:color="auto" w:fill="auto"/>
                  <w:noWrap/>
                </w:tcPr>
                <w:p w14:paraId="2FBE2DF5">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E-602</w:t>
                  </w:r>
                </w:p>
              </w:tc>
              <w:tc>
                <w:tcPr>
                  <w:tcW w:w="1813" w:type="pct"/>
                  <w:shd w:val="clear" w:color="auto" w:fill="auto"/>
                  <w:noWrap/>
                </w:tcPr>
                <w:p w14:paraId="2DF5E5E0">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冷火炬加热器</w:t>
                  </w:r>
                </w:p>
              </w:tc>
              <w:tc>
                <w:tcPr>
                  <w:tcW w:w="739" w:type="pct"/>
                  <w:shd w:val="clear" w:color="auto" w:fill="auto"/>
                  <w:noWrap/>
                  <w:vAlign w:val="center"/>
                </w:tcPr>
                <w:p w14:paraId="4D807BFF">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5521B343">
                  <w:pPr>
                    <w:widowControl/>
                    <w:spacing w:line="280" w:lineRule="exact"/>
                    <w:jc w:val="center"/>
                    <w:rPr>
                      <w:rFonts w:ascii="Times New Roman" w:hAnsi="Times New Roman" w:cs="Times New Roman" w:eastAsiaTheme="minorEastAsia"/>
                      <w:kern w:val="0"/>
                      <w:szCs w:val="21"/>
                    </w:rPr>
                  </w:pPr>
                </w:p>
              </w:tc>
            </w:tr>
            <w:tr w14:paraId="3BD06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5" w:type="pct"/>
                  <w:shd w:val="clear" w:color="auto" w:fill="auto"/>
                  <w:noWrap/>
                  <w:vAlign w:val="center"/>
                </w:tcPr>
                <w:p w14:paraId="1EE1897D">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18</w:t>
                  </w:r>
                </w:p>
              </w:tc>
              <w:tc>
                <w:tcPr>
                  <w:tcW w:w="941" w:type="pct"/>
                  <w:shd w:val="clear" w:color="auto" w:fill="auto"/>
                  <w:noWrap/>
                </w:tcPr>
                <w:p w14:paraId="4D6437EE">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E-308</w:t>
                  </w:r>
                </w:p>
              </w:tc>
              <w:tc>
                <w:tcPr>
                  <w:tcW w:w="1813" w:type="pct"/>
                  <w:shd w:val="clear" w:color="auto" w:fill="auto"/>
                  <w:noWrap/>
                </w:tcPr>
                <w:p w14:paraId="18C29628">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BOG再生气冷却器</w:t>
                  </w:r>
                </w:p>
              </w:tc>
              <w:tc>
                <w:tcPr>
                  <w:tcW w:w="739" w:type="pct"/>
                  <w:shd w:val="clear" w:color="auto" w:fill="auto"/>
                  <w:noWrap/>
                  <w:vAlign w:val="center"/>
                </w:tcPr>
                <w:p w14:paraId="7C073732">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3BDD81FC">
                  <w:pPr>
                    <w:widowControl/>
                    <w:spacing w:line="280" w:lineRule="exact"/>
                    <w:jc w:val="center"/>
                    <w:rPr>
                      <w:rFonts w:ascii="Times New Roman" w:hAnsi="Times New Roman" w:cs="Times New Roman" w:eastAsiaTheme="minorEastAsia"/>
                      <w:kern w:val="0"/>
                      <w:szCs w:val="21"/>
                    </w:rPr>
                  </w:pPr>
                </w:p>
              </w:tc>
            </w:tr>
            <w:tr w14:paraId="06C35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5" w:type="pct"/>
                  <w:shd w:val="clear" w:color="auto" w:fill="auto"/>
                  <w:noWrap/>
                  <w:vAlign w:val="center"/>
                </w:tcPr>
                <w:p w14:paraId="461C8ED9">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19</w:t>
                  </w:r>
                </w:p>
              </w:tc>
              <w:tc>
                <w:tcPr>
                  <w:tcW w:w="941" w:type="pct"/>
                  <w:shd w:val="clear" w:color="auto" w:fill="auto"/>
                  <w:noWrap/>
                </w:tcPr>
                <w:p w14:paraId="50A0E589">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PA-201</w:t>
                  </w:r>
                </w:p>
              </w:tc>
              <w:tc>
                <w:tcPr>
                  <w:tcW w:w="1813" w:type="pct"/>
                  <w:shd w:val="clear" w:color="auto" w:fill="auto"/>
                  <w:noWrap/>
                </w:tcPr>
                <w:p w14:paraId="47929648">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冷箱</w:t>
                  </w:r>
                </w:p>
              </w:tc>
              <w:tc>
                <w:tcPr>
                  <w:tcW w:w="739" w:type="pct"/>
                  <w:shd w:val="clear" w:color="auto" w:fill="auto"/>
                  <w:noWrap/>
                  <w:vAlign w:val="center"/>
                </w:tcPr>
                <w:p w14:paraId="5D9C1601">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48051A00">
                  <w:pPr>
                    <w:widowControl/>
                    <w:spacing w:line="280" w:lineRule="exact"/>
                    <w:jc w:val="center"/>
                    <w:rPr>
                      <w:rFonts w:ascii="Times New Roman" w:hAnsi="Times New Roman" w:cs="Times New Roman" w:eastAsiaTheme="minorEastAsia"/>
                      <w:kern w:val="0"/>
                      <w:szCs w:val="21"/>
                    </w:rPr>
                  </w:pPr>
                </w:p>
              </w:tc>
            </w:tr>
            <w:tr w14:paraId="0282A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5" w:type="pct"/>
                  <w:shd w:val="clear" w:color="auto" w:fill="auto"/>
                  <w:noWrap/>
                  <w:vAlign w:val="center"/>
                </w:tcPr>
                <w:p w14:paraId="0E43FD24">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20</w:t>
                  </w:r>
                </w:p>
              </w:tc>
              <w:tc>
                <w:tcPr>
                  <w:tcW w:w="941" w:type="pct"/>
                  <w:shd w:val="clear" w:color="auto" w:fill="auto"/>
                  <w:noWrap/>
                </w:tcPr>
                <w:p w14:paraId="61530DD7">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E-201X</w:t>
                  </w:r>
                </w:p>
              </w:tc>
              <w:tc>
                <w:tcPr>
                  <w:tcW w:w="1813" w:type="pct"/>
                  <w:shd w:val="clear" w:color="auto" w:fill="auto"/>
                  <w:noWrap/>
                </w:tcPr>
                <w:p w14:paraId="4A46E10C">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1#冷剂换热器</w:t>
                  </w:r>
                </w:p>
              </w:tc>
              <w:tc>
                <w:tcPr>
                  <w:tcW w:w="739" w:type="pct"/>
                  <w:shd w:val="clear" w:color="auto" w:fill="auto"/>
                  <w:noWrap/>
                  <w:vAlign w:val="center"/>
                </w:tcPr>
                <w:p w14:paraId="1C347170">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22F094A1">
                  <w:pPr>
                    <w:widowControl/>
                    <w:spacing w:line="280" w:lineRule="exact"/>
                    <w:jc w:val="center"/>
                    <w:rPr>
                      <w:rFonts w:ascii="Times New Roman" w:hAnsi="Times New Roman" w:cs="Times New Roman" w:eastAsiaTheme="minorEastAsia"/>
                      <w:kern w:val="0"/>
                      <w:szCs w:val="21"/>
                    </w:rPr>
                  </w:pPr>
                </w:p>
              </w:tc>
            </w:tr>
            <w:tr w14:paraId="00285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5" w:type="pct"/>
                  <w:shd w:val="clear" w:color="auto" w:fill="auto"/>
                  <w:noWrap/>
                  <w:vAlign w:val="center"/>
                </w:tcPr>
                <w:p w14:paraId="6A5F8A1F">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21</w:t>
                  </w:r>
                </w:p>
              </w:tc>
              <w:tc>
                <w:tcPr>
                  <w:tcW w:w="941" w:type="pct"/>
                  <w:shd w:val="clear" w:color="auto" w:fill="auto"/>
                  <w:noWrap/>
                </w:tcPr>
                <w:p w14:paraId="6E42A872">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E-202X</w:t>
                  </w:r>
                </w:p>
              </w:tc>
              <w:tc>
                <w:tcPr>
                  <w:tcW w:w="1813" w:type="pct"/>
                  <w:shd w:val="clear" w:color="auto" w:fill="auto"/>
                  <w:noWrap/>
                </w:tcPr>
                <w:p w14:paraId="0E44FE73">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2#冷剂换热器</w:t>
                  </w:r>
                </w:p>
              </w:tc>
              <w:tc>
                <w:tcPr>
                  <w:tcW w:w="739" w:type="pct"/>
                  <w:shd w:val="clear" w:color="auto" w:fill="auto"/>
                  <w:noWrap/>
                  <w:vAlign w:val="center"/>
                </w:tcPr>
                <w:p w14:paraId="07E23DF3">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0D6F4149">
                  <w:pPr>
                    <w:widowControl/>
                    <w:spacing w:line="280" w:lineRule="exact"/>
                    <w:jc w:val="center"/>
                    <w:rPr>
                      <w:rFonts w:ascii="Times New Roman" w:hAnsi="Times New Roman" w:cs="Times New Roman" w:eastAsiaTheme="minorEastAsia"/>
                      <w:kern w:val="0"/>
                      <w:szCs w:val="21"/>
                    </w:rPr>
                  </w:pPr>
                </w:p>
              </w:tc>
            </w:tr>
            <w:tr w14:paraId="02B73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5" w:type="pct"/>
                  <w:shd w:val="clear" w:color="auto" w:fill="auto"/>
                  <w:noWrap/>
                  <w:vAlign w:val="center"/>
                </w:tcPr>
                <w:p w14:paraId="265A6564">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22</w:t>
                  </w:r>
                </w:p>
              </w:tc>
              <w:tc>
                <w:tcPr>
                  <w:tcW w:w="941" w:type="pct"/>
                  <w:shd w:val="clear" w:color="auto" w:fill="auto"/>
                  <w:noWrap/>
                </w:tcPr>
                <w:p w14:paraId="74F08691">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E-203X</w:t>
                  </w:r>
                </w:p>
              </w:tc>
              <w:tc>
                <w:tcPr>
                  <w:tcW w:w="1813" w:type="pct"/>
                  <w:shd w:val="clear" w:color="auto" w:fill="auto"/>
                  <w:noWrap/>
                </w:tcPr>
                <w:p w14:paraId="4A675DB7">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3#冷剂换热器</w:t>
                  </w:r>
                </w:p>
              </w:tc>
              <w:tc>
                <w:tcPr>
                  <w:tcW w:w="739" w:type="pct"/>
                  <w:shd w:val="clear" w:color="auto" w:fill="auto"/>
                  <w:noWrap/>
                  <w:vAlign w:val="center"/>
                </w:tcPr>
                <w:p w14:paraId="7A8304D4">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0F5D2092">
                  <w:pPr>
                    <w:widowControl/>
                    <w:spacing w:line="280" w:lineRule="exact"/>
                    <w:jc w:val="center"/>
                    <w:rPr>
                      <w:rFonts w:ascii="Times New Roman" w:hAnsi="Times New Roman" w:cs="Times New Roman" w:eastAsiaTheme="minorEastAsia"/>
                      <w:kern w:val="0"/>
                      <w:szCs w:val="21"/>
                    </w:rPr>
                  </w:pPr>
                </w:p>
              </w:tc>
            </w:tr>
            <w:tr w14:paraId="68C69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5" w:type="pct"/>
                  <w:shd w:val="clear" w:color="auto" w:fill="auto"/>
                  <w:noWrap/>
                  <w:vAlign w:val="center"/>
                </w:tcPr>
                <w:p w14:paraId="49947B8E">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23</w:t>
                  </w:r>
                </w:p>
              </w:tc>
              <w:tc>
                <w:tcPr>
                  <w:tcW w:w="941" w:type="pct"/>
                  <w:shd w:val="clear" w:color="auto" w:fill="auto"/>
                  <w:noWrap/>
                </w:tcPr>
                <w:p w14:paraId="6054DAC4">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E-204X</w:t>
                  </w:r>
                </w:p>
              </w:tc>
              <w:tc>
                <w:tcPr>
                  <w:tcW w:w="1813" w:type="pct"/>
                  <w:shd w:val="clear" w:color="auto" w:fill="auto"/>
                  <w:noWrap/>
                </w:tcPr>
                <w:p w14:paraId="32597C6D">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4#冷剂换热器</w:t>
                  </w:r>
                </w:p>
              </w:tc>
              <w:tc>
                <w:tcPr>
                  <w:tcW w:w="739" w:type="pct"/>
                  <w:shd w:val="clear" w:color="auto" w:fill="auto"/>
                  <w:noWrap/>
                  <w:vAlign w:val="center"/>
                </w:tcPr>
                <w:p w14:paraId="2E0738AA">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6615AE24">
                  <w:pPr>
                    <w:widowControl/>
                    <w:spacing w:line="280" w:lineRule="exact"/>
                    <w:jc w:val="center"/>
                    <w:rPr>
                      <w:rFonts w:ascii="Times New Roman" w:hAnsi="Times New Roman" w:cs="Times New Roman" w:eastAsiaTheme="minorEastAsia"/>
                      <w:kern w:val="0"/>
                      <w:szCs w:val="21"/>
                    </w:rPr>
                  </w:pPr>
                </w:p>
              </w:tc>
            </w:tr>
            <w:tr w14:paraId="2F406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5" w:type="pct"/>
                  <w:shd w:val="clear" w:color="auto" w:fill="auto"/>
                  <w:noWrap/>
                  <w:vAlign w:val="center"/>
                </w:tcPr>
                <w:p w14:paraId="26094D4A">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24</w:t>
                  </w:r>
                </w:p>
              </w:tc>
              <w:tc>
                <w:tcPr>
                  <w:tcW w:w="941" w:type="pct"/>
                  <w:shd w:val="clear" w:color="auto" w:fill="auto"/>
                  <w:noWrap/>
                </w:tcPr>
                <w:p w14:paraId="4DE6C47B">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E-205X</w:t>
                  </w:r>
                </w:p>
              </w:tc>
              <w:tc>
                <w:tcPr>
                  <w:tcW w:w="1813" w:type="pct"/>
                  <w:shd w:val="clear" w:color="auto" w:fill="auto"/>
                  <w:noWrap/>
                </w:tcPr>
                <w:p w14:paraId="290C9028">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5#冷剂换热器</w:t>
                  </w:r>
                </w:p>
              </w:tc>
              <w:tc>
                <w:tcPr>
                  <w:tcW w:w="739" w:type="pct"/>
                  <w:shd w:val="clear" w:color="auto" w:fill="auto"/>
                  <w:noWrap/>
                  <w:vAlign w:val="center"/>
                </w:tcPr>
                <w:p w14:paraId="62031077">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2A9B9F71">
                  <w:pPr>
                    <w:widowControl/>
                    <w:spacing w:line="280" w:lineRule="exact"/>
                    <w:jc w:val="center"/>
                    <w:rPr>
                      <w:rFonts w:ascii="Times New Roman" w:hAnsi="Times New Roman" w:cs="Times New Roman" w:eastAsiaTheme="minorEastAsia"/>
                      <w:kern w:val="0"/>
                      <w:szCs w:val="21"/>
                    </w:rPr>
                  </w:pPr>
                </w:p>
              </w:tc>
            </w:tr>
            <w:tr w14:paraId="6A5BF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5" w:type="pct"/>
                  <w:shd w:val="clear" w:color="auto" w:fill="auto"/>
                  <w:noWrap/>
                  <w:vAlign w:val="center"/>
                </w:tcPr>
                <w:p w14:paraId="55FC4CC6">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25</w:t>
                  </w:r>
                </w:p>
              </w:tc>
              <w:tc>
                <w:tcPr>
                  <w:tcW w:w="941" w:type="pct"/>
                  <w:shd w:val="clear" w:color="auto" w:fill="auto"/>
                  <w:noWrap/>
                </w:tcPr>
                <w:p w14:paraId="4B1A1E8C">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E-309</w:t>
                  </w:r>
                </w:p>
              </w:tc>
              <w:tc>
                <w:tcPr>
                  <w:tcW w:w="1813" w:type="pct"/>
                  <w:shd w:val="clear" w:color="auto" w:fill="auto"/>
                  <w:noWrap/>
                </w:tcPr>
                <w:p w14:paraId="4412B9CD">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BOG 再生气加热器</w:t>
                  </w:r>
                </w:p>
              </w:tc>
              <w:tc>
                <w:tcPr>
                  <w:tcW w:w="739" w:type="pct"/>
                  <w:shd w:val="clear" w:color="auto" w:fill="auto"/>
                  <w:noWrap/>
                  <w:vAlign w:val="center"/>
                </w:tcPr>
                <w:p w14:paraId="1D6EB841">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3B9F53BB">
                  <w:pPr>
                    <w:widowControl/>
                    <w:spacing w:line="280" w:lineRule="exact"/>
                    <w:jc w:val="center"/>
                    <w:rPr>
                      <w:rFonts w:ascii="Times New Roman" w:hAnsi="Times New Roman" w:cs="Times New Roman" w:eastAsiaTheme="minorEastAsia"/>
                      <w:kern w:val="0"/>
                      <w:szCs w:val="21"/>
                    </w:rPr>
                  </w:pPr>
                </w:p>
              </w:tc>
            </w:tr>
            <w:tr w14:paraId="42C13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5" w:type="pct"/>
                  <w:shd w:val="clear" w:color="auto" w:fill="auto"/>
                  <w:noWrap/>
                  <w:vAlign w:val="center"/>
                </w:tcPr>
                <w:p w14:paraId="6512A768">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26</w:t>
                  </w:r>
                </w:p>
              </w:tc>
              <w:tc>
                <w:tcPr>
                  <w:tcW w:w="941" w:type="pct"/>
                  <w:shd w:val="clear" w:color="auto" w:fill="auto"/>
                  <w:noWrap/>
                </w:tcPr>
                <w:p w14:paraId="17AD1DD8">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E-116</w:t>
                  </w:r>
                </w:p>
              </w:tc>
              <w:tc>
                <w:tcPr>
                  <w:tcW w:w="1813" w:type="pct"/>
                  <w:shd w:val="clear" w:color="auto" w:fill="auto"/>
                  <w:noWrap/>
                </w:tcPr>
                <w:p w14:paraId="675EB1DF">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净化天然气冷却器</w:t>
                  </w:r>
                </w:p>
              </w:tc>
              <w:tc>
                <w:tcPr>
                  <w:tcW w:w="739" w:type="pct"/>
                  <w:shd w:val="clear" w:color="auto" w:fill="auto"/>
                  <w:noWrap/>
                  <w:vAlign w:val="center"/>
                </w:tcPr>
                <w:p w14:paraId="36DAA003">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7C39716C">
                  <w:pPr>
                    <w:widowControl/>
                    <w:spacing w:line="280" w:lineRule="exact"/>
                    <w:jc w:val="center"/>
                    <w:rPr>
                      <w:rFonts w:ascii="Times New Roman" w:hAnsi="Times New Roman" w:cs="Times New Roman" w:eastAsiaTheme="minorEastAsia"/>
                      <w:kern w:val="0"/>
                      <w:szCs w:val="21"/>
                    </w:rPr>
                  </w:pPr>
                </w:p>
              </w:tc>
            </w:tr>
            <w:tr w14:paraId="5678D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gridSpan w:val="5"/>
                  <w:shd w:val="clear" w:color="auto" w:fill="auto"/>
                  <w:noWrap/>
                  <w:vAlign w:val="center"/>
                </w:tcPr>
                <w:p w14:paraId="08699B56">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容器</w:t>
                  </w:r>
                </w:p>
              </w:tc>
            </w:tr>
            <w:tr w14:paraId="4CEC5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5" w:type="pct"/>
                  <w:shd w:val="clear" w:color="auto" w:fill="auto"/>
                  <w:noWrap/>
                  <w:vAlign w:val="center"/>
                </w:tcPr>
                <w:p w14:paraId="75094CEC">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27</w:t>
                  </w:r>
                </w:p>
              </w:tc>
              <w:tc>
                <w:tcPr>
                  <w:tcW w:w="941" w:type="pct"/>
                  <w:shd w:val="clear" w:color="auto" w:fill="auto"/>
                  <w:noWrap/>
                </w:tcPr>
                <w:p w14:paraId="00D8E423">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D-101</w:t>
                  </w:r>
                </w:p>
              </w:tc>
              <w:tc>
                <w:tcPr>
                  <w:tcW w:w="1813" w:type="pct"/>
                  <w:shd w:val="clear" w:color="auto" w:fill="auto"/>
                  <w:noWrap/>
                </w:tcPr>
                <w:p w14:paraId="1BB4C37F">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原料气压缩机吸入罐</w:t>
                  </w:r>
                </w:p>
              </w:tc>
              <w:tc>
                <w:tcPr>
                  <w:tcW w:w="739" w:type="pct"/>
                  <w:shd w:val="clear" w:color="auto" w:fill="auto"/>
                  <w:noWrap/>
                  <w:vAlign w:val="center"/>
                </w:tcPr>
                <w:p w14:paraId="00BC9C22">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5EBE7DC8">
                  <w:pPr>
                    <w:widowControl/>
                    <w:spacing w:line="280" w:lineRule="exact"/>
                    <w:jc w:val="center"/>
                    <w:rPr>
                      <w:rFonts w:ascii="Times New Roman" w:hAnsi="Times New Roman" w:cs="Times New Roman" w:eastAsiaTheme="minorEastAsia"/>
                      <w:kern w:val="0"/>
                      <w:szCs w:val="21"/>
                    </w:rPr>
                  </w:pPr>
                </w:p>
              </w:tc>
            </w:tr>
            <w:tr w14:paraId="3D39B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5" w:type="pct"/>
                  <w:shd w:val="clear" w:color="auto" w:fill="auto"/>
                  <w:noWrap/>
                  <w:vAlign w:val="center"/>
                </w:tcPr>
                <w:p w14:paraId="21E21423">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28</w:t>
                  </w:r>
                </w:p>
              </w:tc>
              <w:tc>
                <w:tcPr>
                  <w:tcW w:w="941" w:type="pct"/>
                  <w:shd w:val="clear" w:color="auto" w:fill="auto"/>
                  <w:noWrap/>
                </w:tcPr>
                <w:p w14:paraId="792B5702">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D-102</w:t>
                  </w:r>
                </w:p>
              </w:tc>
              <w:tc>
                <w:tcPr>
                  <w:tcW w:w="1813" w:type="pct"/>
                  <w:shd w:val="clear" w:color="auto" w:fill="auto"/>
                  <w:noWrap/>
                </w:tcPr>
                <w:p w14:paraId="0EB5CED5">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原料气压缩机凝液分离罐</w:t>
                  </w:r>
                </w:p>
              </w:tc>
              <w:tc>
                <w:tcPr>
                  <w:tcW w:w="739" w:type="pct"/>
                  <w:shd w:val="clear" w:color="auto" w:fill="auto"/>
                  <w:noWrap/>
                  <w:vAlign w:val="center"/>
                </w:tcPr>
                <w:p w14:paraId="6FCC7274">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114FCB5F">
                  <w:pPr>
                    <w:widowControl/>
                    <w:spacing w:line="280" w:lineRule="exact"/>
                    <w:jc w:val="center"/>
                    <w:rPr>
                      <w:rFonts w:ascii="Times New Roman" w:hAnsi="Times New Roman" w:cs="Times New Roman" w:eastAsiaTheme="minorEastAsia"/>
                      <w:kern w:val="0"/>
                      <w:szCs w:val="21"/>
                    </w:rPr>
                  </w:pPr>
                </w:p>
              </w:tc>
            </w:tr>
            <w:tr w14:paraId="53352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5" w:type="pct"/>
                  <w:shd w:val="clear" w:color="auto" w:fill="auto"/>
                  <w:noWrap/>
                  <w:vAlign w:val="center"/>
                </w:tcPr>
                <w:p w14:paraId="6B735521">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29</w:t>
                  </w:r>
                </w:p>
              </w:tc>
              <w:tc>
                <w:tcPr>
                  <w:tcW w:w="941" w:type="pct"/>
                  <w:shd w:val="clear" w:color="auto" w:fill="auto"/>
                  <w:noWrap/>
                </w:tcPr>
                <w:p w14:paraId="4295BA77">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D-103</w:t>
                  </w:r>
                </w:p>
              </w:tc>
              <w:tc>
                <w:tcPr>
                  <w:tcW w:w="1813" w:type="pct"/>
                  <w:shd w:val="clear" w:color="auto" w:fill="auto"/>
                  <w:noWrap/>
                </w:tcPr>
                <w:p w14:paraId="051F3B3B">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胺洗塔顶分液罐</w:t>
                  </w:r>
                </w:p>
              </w:tc>
              <w:tc>
                <w:tcPr>
                  <w:tcW w:w="739" w:type="pct"/>
                  <w:shd w:val="clear" w:color="auto" w:fill="auto"/>
                  <w:noWrap/>
                  <w:vAlign w:val="center"/>
                </w:tcPr>
                <w:p w14:paraId="1A2FEB4D">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3B62AA89">
                  <w:pPr>
                    <w:widowControl/>
                    <w:spacing w:line="280" w:lineRule="exact"/>
                    <w:jc w:val="center"/>
                    <w:rPr>
                      <w:rFonts w:ascii="Times New Roman" w:hAnsi="Times New Roman" w:cs="Times New Roman" w:eastAsiaTheme="minorEastAsia"/>
                      <w:kern w:val="0"/>
                      <w:szCs w:val="21"/>
                    </w:rPr>
                  </w:pPr>
                </w:p>
              </w:tc>
            </w:tr>
            <w:tr w14:paraId="6B517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5" w:type="pct"/>
                  <w:shd w:val="clear" w:color="auto" w:fill="auto"/>
                  <w:noWrap/>
                  <w:vAlign w:val="center"/>
                </w:tcPr>
                <w:p w14:paraId="38450D9D">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30</w:t>
                  </w:r>
                </w:p>
              </w:tc>
              <w:tc>
                <w:tcPr>
                  <w:tcW w:w="941" w:type="pct"/>
                  <w:shd w:val="clear" w:color="auto" w:fill="auto"/>
                  <w:noWrap/>
                </w:tcPr>
                <w:p w14:paraId="4C2807F7">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D-104</w:t>
                  </w:r>
                </w:p>
              </w:tc>
              <w:tc>
                <w:tcPr>
                  <w:tcW w:w="1813" w:type="pct"/>
                  <w:shd w:val="clear" w:color="auto" w:fill="auto"/>
                  <w:noWrap/>
                </w:tcPr>
                <w:p w14:paraId="36C676F5">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溶剂再生塔回流罐</w:t>
                  </w:r>
                </w:p>
              </w:tc>
              <w:tc>
                <w:tcPr>
                  <w:tcW w:w="739" w:type="pct"/>
                  <w:shd w:val="clear" w:color="auto" w:fill="auto"/>
                  <w:noWrap/>
                  <w:vAlign w:val="center"/>
                </w:tcPr>
                <w:p w14:paraId="76CE61E1">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668DDC83">
                  <w:pPr>
                    <w:widowControl/>
                    <w:spacing w:line="280" w:lineRule="exact"/>
                    <w:jc w:val="center"/>
                    <w:rPr>
                      <w:rFonts w:ascii="Times New Roman" w:hAnsi="Times New Roman" w:cs="Times New Roman" w:eastAsiaTheme="minorEastAsia"/>
                      <w:kern w:val="0"/>
                      <w:szCs w:val="21"/>
                    </w:rPr>
                  </w:pPr>
                </w:p>
              </w:tc>
            </w:tr>
            <w:tr w14:paraId="08CA2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5" w:type="pct"/>
                  <w:shd w:val="clear" w:color="auto" w:fill="auto"/>
                  <w:noWrap/>
                  <w:vAlign w:val="center"/>
                </w:tcPr>
                <w:p w14:paraId="3046D29D">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31</w:t>
                  </w:r>
                </w:p>
              </w:tc>
              <w:tc>
                <w:tcPr>
                  <w:tcW w:w="941" w:type="pct"/>
                  <w:shd w:val="clear" w:color="auto" w:fill="auto"/>
                  <w:noWrap/>
                </w:tcPr>
                <w:p w14:paraId="280A9419">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D-105</w:t>
                  </w:r>
                </w:p>
              </w:tc>
              <w:tc>
                <w:tcPr>
                  <w:tcW w:w="1813" w:type="pct"/>
                  <w:shd w:val="clear" w:color="auto" w:fill="auto"/>
                  <w:noWrap/>
                </w:tcPr>
                <w:p w14:paraId="38E04C5D">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再生气缓冲罐</w:t>
                  </w:r>
                </w:p>
              </w:tc>
              <w:tc>
                <w:tcPr>
                  <w:tcW w:w="739" w:type="pct"/>
                  <w:shd w:val="clear" w:color="auto" w:fill="auto"/>
                  <w:noWrap/>
                  <w:vAlign w:val="center"/>
                </w:tcPr>
                <w:p w14:paraId="0FDE57FE">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5FE25455">
                  <w:pPr>
                    <w:widowControl/>
                    <w:spacing w:line="280" w:lineRule="exact"/>
                    <w:jc w:val="center"/>
                    <w:rPr>
                      <w:rFonts w:ascii="Times New Roman" w:hAnsi="Times New Roman" w:cs="Times New Roman" w:eastAsiaTheme="minorEastAsia"/>
                      <w:kern w:val="0"/>
                      <w:szCs w:val="21"/>
                    </w:rPr>
                  </w:pPr>
                </w:p>
              </w:tc>
            </w:tr>
            <w:tr w14:paraId="713C4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5" w:type="pct"/>
                  <w:shd w:val="clear" w:color="auto" w:fill="auto"/>
                  <w:noWrap/>
                  <w:vAlign w:val="center"/>
                </w:tcPr>
                <w:p w14:paraId="4F8932D2">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32</w:t>
                  </w:r>
                </w:p>
              </w:tc>
              <w:tc>
                <w:tcPr>
                  <w:tcW w:w="941" w:type="pct"/>
                  <w:shd w:val="clear" w:color="auto" w:fill="auto"/>
                  <w:noWrap/>
                </w:tcPr>
                <w:p w14:paraId="5D6F892A">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D-106</w:t>
                  </w:r>
                </w:p>
              </w:tc>
              <w:tc>
                <w:tcPr>
                  <w:tcW w:w="1813" w:type="pct"/>
                  <w:shd w:val="clear" w:color="auto" w:fill="auto"/>
                  <w:noWrap/>
                </w:tcPr>
                <w:p w14:paraId="1AEDF929">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聚结分离器</w:t>
                  </w:r>
                </w:p>
              </w:tc>
              <w:tc>
                <w:tcPr>
                  <w:tcW w:w="739" w:type="pct"/>
                  <w:shd w:val="clear" w:color="auto" w:fill="auto"/>
                  <w:noWrap/>
                  <w:vAlign w:val="center"/>
                </w:tcPr>
                <w:p w14:paraId="367C58C3">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5B65F386">
                  <w:pPr>
                    <w:widowControl/>
                    <w:spacing w:line="280" w:lineRule="exact"/>
                    <w:jc w:val="center"/>
                    <w:rPr>
                      <w:rFonts w:ascii="Times New Roman" w:hAnsi="Times New Roman" w:cs="Times New Roman" w:eastAsiaTheme="minorEastAsia"/>
                      <w:kern w:val="0"/>
                      <w:szCs w:val="21"/>
                    </w:rPr>
                  </w:pPr>
                </w:p>
              </w:tc>
            </w:tr>
            <w:tr w14:paraId="71AF0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5" w:type="pct"/>
                  <w:shd w:val="clear" w:color="auto" w:fill="auto"/>
                  <w:noWrap/>
                  <w:vAlign w:val="center"/>
                </w:tcPr>
                <w:p w14:paraId="31A99547">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33</w:t>
                  </w:r>
                </w:p>
              </w:tc>
              <w:tc>
                <w:tcPr>
                  <w:tcW w:w="941" w:type="pct"/>
                  <w:shd w:val="clear" w:color="auto" w:fill="auto"/>
                  <w:noWrap/>
                </w:tcPr>
                <w:p w14:paraId="51D09258">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D-108</w:t>
                  </w:r>
                </w:p>
              </w:tc>
              <w:tc>
                <w:tcPr>
                  <w:tcW w:w="1813" w:type="pct"/>
                  <w:shd w:val="clear" w:color="auto" w:fill="auto"/>
                  <w:noWrap/>
                </w:tcPr>
                <w:p w14:paraId="498B13BC">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胺液闪蒸罐</w:t>
                  </w:r>
                </w:p>
              </w:tc>
              <w:tc>
                <w:tcPr>
                  <w:tcW w:w="739" w:type="pct"/>
                  <w:shd w:val="clear" w:color="auto" w:fill="auto"/>
                  <w:noWrap/>
                  <w:vAlign w:val="center"/>
                </w:tcPr>
                <w:p w14:paraId="7780DDFF">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25D18383">
                  <w:pPr>
                    <w:widowControl/>
                    <w:spacing w:line="280" w:lineRule="exact"/>
                    <w:jc w:val="center"/>
                    <w:rPr>
                      <w:rFonts w:ascii="Times New Roman" w:hAnsi="Times New Roman" w:cs="Times New Roman" w:eastAsiaTheme="minorEastAsia"/>
                      <w:kern w:val="0"/>
                      <w:szCs w:val="21"/>
                    </w:rPr>
                  </w:pPr>
                </w:p>
              </w:tc>
            </w:tr>
            <w:tr w14:paraId="6054C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5" w:type="pct"/>
                  <w:shd w:val="clear" w:color="auto" w:fill="auto"/>
                  <w:noWrap/>
                  <w:vAlign w:val="center"/>
                </w:tcPr>
                <w:p w14:paraId="6296EC53">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34</w:t>
                  </w:r>
                </w:p>
              </w:tc>
              <w:tc>
                <w:tcPr>
                  <w:tcW w:w="941" w:type="pct"/>
                  <w:shd w:val="clear" w:color="auto" w:fill="auto"/>
                  <w:noWrap/>
                </w:tcPr>
                <w:p w14:paraId="52F50CE2">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D-201</w:t>
                  </w:r>
                </w:p>
              </w:tc>
              <w:tc>
                <w:tcPr>
                  <w:tcW w:w="1813" w:type="pct"/>
                  <w:shd w:val="clear" w:color="auto" w:fill="auto"/>
                  <w:noWrap/>
                </w:tcPr>
                <w:p w14:paraId="1DFC270D">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重烃分离罐</w:t>
                  </w:r>
                </w:p>
              </w:tc>
              <w:tc>
                <w:tcPr>
                  <w:tcW w:w="739" w:type="pct"/>
                  <w:shd w:val="clear" w:color="auto" w:fill="auto"/>
                  <w:noWrap/>
                  <w:vAlign w:val="center"/>
                </w:tcPr>
                <w:p w14:paraId="6D72D53E">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696B9C37">
                  <w:pPr>
                    <w:widowControl/>
                    <w:spacing w:line="280" w:lineRule="exact"/>
                    <w:jc w:val="center"/>
                    <w:rPr>
                      <w:rFonts w:ascii="Times New Roman" w:hAnsi="Times New Roman" w:cs="Times New Roman" w:eastAsiaTheme="minorEastAsia"/>
                      <w:kern w:val="0"/>
                      <w:szCs w:val="21"/>
                    </w:rPr>
                  </w:pPr>
                </w:p>
              </w:tc>
            </w:tr>
            <w:tr w14:paraId="2F19B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5" w:type="pct"/>
                  <w:shd w:val="clear" w:color="auto" w:fill="auto"/>
                  <w:noWrap/>
                  <w:vAlign w:val="center"/>
                </w:tcPr>
                <w:p w14:paraId="2FFD148C">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35</w:t>
                  </w:r>
                </w:p>
              </w:tc>
              <w:tc>
                <w:tcPr>
                  <w:tcW w:w="941" w:type="pct"/>
                  <w:shd w:val="clear" w:color="auto" w:fill="auto"/>
                  <w:noWrap/>
                </w:tcPr>
                <w:p w14:paraId="1B0A0C43">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D-202</w:t>
                  </w:r>
                </w:p>
              </w:tc>
              <w:tc>
                <w:tcPr>
                  <w:tcW w:w="1813" w:type="pct"/>
                  <w:shd w:val="clear" w:color="auto" w:fill="auto"/>
                  <w:noWrap/>
                </w:tcPr>
                <w:p w14:paraId="6B85322A">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氮气闪蒸罐</w:t>
                  </w:r>
                </w:p>
              </w:tc>
              <w:tc>
                <w:tcPr>
                  <w:tcW w:w="739" w:type="pct"/>
                  <w:shd w:val="clear" w:color="auto" w:fill="auto"/>
                  <w:noWrap/>
                  <w:vAlign w:val="center"/>
                </w:tcPr>
                <w:p w14:paraId="6FE26E90">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5CB88D83">
                  <w:pPr>
                    <w:widowControl/>
                    <w:spacing w:line="280" w:lineRule="exact"/>
                    <w:jc w:val="center"/>
                    <w:rPr>
                      <w:rFonts w:ascii="Times New Roman" w:hAnsi="Times New Roman" w:cs="Times New Roman" w:eastAsiaTheme="minorEastAsia"/>
                      <w:kern w:val="0"/>
                      <w:szCs w:val="21"/>
                    </w:rPr>
                  </w:pPr>
                </w:p>
              </w:tc>
            </w:tr>
            <w:tr w14:paraId="035A0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5" w:type="pct"/>
                  <w:shd w:val="clear" w:color="auto" w:fill="auto"/>
                  <w:noWrap/>
                  <w:vAlign w:val="center"/>
                </w:tcPr>
                <w:p w14:paraId="087C2E04">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36</w:t>
                  </w:r>
                </w:p>
              </w:tc>
              <w:tc>
                <w:tcPr>
                  <w:tcW w:w="941" w:type="pct"/>
                  <w:shd w:val="clear" w:color="auto" w:fill="auto"/>
                  <w:noWrap/>
                </w:tcPr>
                <w:p w14:paraId="1EFE022F">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D-211</w:t>
                  </w:r>
                </w:p>
              </w:tc>
              <w:tc>
                <w:tcPr>
                  <w:tcW w:w="1813" w:type="pct"/>
                  <w:shd w:val="clear" w:color="auto" w:fill="auto"/>
                  <w:noWrap/>
                </w:tcPr>
                <w:p w14:paraId="11A6776E">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MRC一段吸入罐</w:t>
                  </w:r>
                </w:p>
              </w:tc>
              <w:tc>
                <w:tcPr>
                  <w:tcW w:w="739" w:type="pct"/>
                  <w:shd w:val="clear" w:color="auto" w:fill="auto"/>
                  <w:noWrap/>
                  <w:vAlign w:val="center"/>
                </w:tcPr>
                <w:p w14:paraId="3A406CD6">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549C1838">
                  <w:pPr>
                    <w:widowControl/>
                    <w:spacing w:line="280" w:lineRule="exact"/>
                    <w:jc w:val="center"/>
                    <w:rPr>
                      <w:rFonts w:ascii="Times New Roman" w:hAnsi="Times New Roman" w:cs="Times New Roman" w:eastAsiaTheme="minorEastAsia"/>
                      <w:kern w:val="0"/>
                      <w:szCs w:val="21"/>
                    </w:rPr>
                  </w:pPr>
                </w:p>
              </w:tc>
            </w:tr>
            <w:tr w14:paraId="6378A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5" w:type="pct"/>
                  <w:shd w:val="clear" w:color="auto" w:fill="auto"/>
                  <w:noWrap/>
                  <w:vAlign w:val="center"/>
                </w:tcPr>
                <w:p w14:paraId="3070D647">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37</w:t>
                  </w:r>
                </w:p>
              </w:tc>
              <w:tc>
                <w:tcPr>
                  <w:tcW w:w="941" w:type="pct"/>
                  <w:shd w:val="clear" w:color="auto" w:fill="auto"/>
                  <w:noWrap/>
                </w:tcPr>
                <w:p w14:paraId="73D92FF1">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D-212</w:t>
                  </w:r>
                </w:p>
              </w:tc>
              <w:tc>
                <w:tcPr>
                  <w:tcW w:w="1813" w:type="pct"/>
                  <w:shd w:val="clear" w:color="auto" w:fill="auto"/>
                  <w:noWrap/>
                </w:tcPr>
                <w:p w14:paraId="6E111BB2">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MRC二段吸入罐</w:t>
                  </w:r>
                </w:p>
              </w:tc>
              <w:tc>
                <w:tcPr>
                  <w:tcW w:w="739" w:type="pct"/>
                  <w:shd w:val="clear" w:color="auto" w:fill="auto"/>
                  <w:noWrap/>
                  <w:vAlign w:val="center"/>
                </w:tcPr>
                <w:p w14:paraId="21607247">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0C0CD5F4">
                  <w:pPr>
                    <w:widowControl/>
                    <w:spacing w:line="280" w:lineRule="exact"/>
                    <w:jc w:val="center"/>
                    <w:rPr>
                      <w:rFonts w:ascii="Times New Roman" w:hAnsi="Times New Roman" w:cs="Times New Roman" w:eastAsiaTheme="minorEastAsia"/>
                      <w:kern w:val="0"/>
                      <w:szCs w:val="21"/>
                    </w:rPr>
                  </w:pPr>
                </w:p>
              </w:tc>
            </w:tr>
            <w:tr w14:paraId="6306C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5" w:type="pct"/>
                  <w:shd w:val="clear" w:color="auto" w:fill="auto"/>
                  <w:noWrap/>
                  <w:vAlign w:val="center"/>
                </w:tcPr>
                <w:p w14:paraId="25ED66E0">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38</w:t>
                  </w:r>
                </w:p>
              </w:tc>
              <w:tc>
                <w:tcPr>
                  <w:tcW w:w="941" w:type="pct"/>
                  <w:shd w:val="clear" w:color="auto" w:fill="auto"/>
                  <w:noWrap/>
                </w:tcPr>
                <w:p w14:paraId="1F9061EA">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D-213</w:t>
                  </w:r>
                </w:p>
              </w:tc>
              <w:tc>
                <w:tcPr>
                  <w:tcW w:w="1813" w:type="pct"/>
                  <w:shd w:val="clear" w:color="auto" w:fill="auto"/>
                  <w:noWrap/>
                </w:tcPr>
                <w:p w14:paraId="01090CE0">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MRC三段吸入罐</w:t>
                  </w:r>
                </w:p>
              </w:tc>
              <w:tc>
                <w:tcPr>
                  <w:tcW w:w="739" w:type="pct"/>
                  <w:shd w:val="clear" w:color="auto" w:fill="auto"/>
                  <w:noWrap/>
                  <w:vAlign w:val="center"/>
                </w:tcPr>
                <w:p w14:paraId="533FB00F">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4D52229D">
                  <w:pPr>
                    <w:widowControl/>
                    <w:spacing w:line="280" w:lineRule="exact"/>
                    <w:jc w:val="center"/>
                    <w:rPr>
                      <w:rFonts w:ascii="Times New Roman" w:hAnsi="Times New Roman" w:cs="Times New Roman" w:eastAsiaTheme="minorEastAsia"/>
                      <w:kern w:val="0"/>
                      <w:szCs w:val="21"/>
                    </w:rPr>
                  </w:pPr>
                </w:p>
              </w:tc>
            </w:tr>
            <w:tr w14:paraId="2BA1E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5" w:type="pct"/>
                  <w:shd w:val="clear" w:color="auto" w:fill="auto"/>
                  <w:noWrap/>
                  <w:vAlign w:val="center"/>
                </w:tcPr>
                <w:p w14:paraId="16FF153C">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39</w:t>
                  </w:r>
                </w:p>
              </w:tc>
              <w:tc>
                <w:tcPr>
                  <w:tcW w:w="941" w:type="pct"/>
                  <w:shd w:val="clear" w:color="auto" w:fill="auto"/>
                  <w:noWrap/>
                </w:tcPr>
                <w:p w14:paraId="52DE67DA">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D-214</w:t>
                  </w:r>
                </w:p>
              </w:tc>
              <w:tc>
                <w:tcPr>
                  <w:tcW w:w="1813" w:type="pct"/>
                  <w:shd w:val="clear" w:color="auto" w:fill="auto"/>
                  <w:noWrap/>
                </w:tcPr>
                <w:p w14:paraId="3942F3DB">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MRC三段排出罐</w:t>
                  </w:r>
                </w:p>
              </w:tc>
              <w:tc>
                <w:tcPr>
                  <w:tcW w:w="739" w:type="pct"/>
                  <w:shd w:val="clear" w:color="auto" w:fill="auto"/>
                  <w:noWrap/>
                  <w:vAlign w:val="center"/>
                </w:tcPr>
                <w:p w14:paraId="5891F458">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7257C15C">
                  <w:pPr>
                    <w:widowControl/>
                    <w:spacing w:line="280" w:lineRule="exact"/>
                    <w:jc w:val="center"/>
                    <w:rPr>
                      <w:rFonts w:ascii="Times New Roman" w:hAnsi="Times New Roman" w:cs="Times New Roman" w:eastAsiaTheme="minorEastAsia"/>
                      <w:kern w:val="0"/>
                      <w:szCs w:val="21"/>
                    </w:rPr>
                  </w:pPr>
                </w:p>
              </w:tc>
            </w:tr>
            <w:tr w14:paraId="2E444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5" w:type="pct"/>
                  <w:shd w:val="clear" w:color="auto" w:fill="auto"/>
                  <w:noWrap/>
                  <w:vAlign w:val="center"/>
                </w:tcPr>
                <w:p w14:paraId="7E38CCF0">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40</w:t>
                  </w:r>
                </w:p>
              </w:tc>
              <w:tc>
                <w:tcPr>
                  <w:tcW w:w="941" w:type="pct"/>
                  <w:shd w:val="clear" w:color="auto" w:fill="auto"/>
                  <w:noWrap/>
                </w:tcPr>
                <w:p w14:paraId="641AFD6F">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D-601</w:t>
                  </w:r>
                </w:p>
              </w:tc>
              <w:tc>
                <w:tcPr>
                  <w:tcW w:w="1813" w:type="pct"/>
                  <w:shd w:val="clear" w:color="auto" w:fill="auto"/>
                  <w:noWrap/>
                </w:tcPr>
                <w:p w14:paraId="7A797B0A">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热火炬罐</w:t>
                  </w:r>
                </w:p>
              </w:tc>
              <w:tc>
                <w:tcPr>
                  <w:tcW w:w="739" w:type="pct"/>
                  <w:shd w:val="clear" w:color="auto" w:fill="auto"/>
                  <w:noWrap/>
                  <w:vAlign w:val="center"/>
                </w:tcPr>
                <w:p w14:paraId="2172282B">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337BC513">
                  <w:pPr>
                    <w:widowControl/>
                    <w:spacing w:line="280" w:lineRule="exact"/>
                    <w:jc w:val="center"/>
                    <w:rPr>
                      <w:rFonts w:ascii="Times New Roman" w:hAnsi="Times New Roman" w:cs="Times New Roman" w:eastAsiaTheme="minorEastAsia"/>
                      <w:kern w:val="0"/>
                      <w:szCs w:val="21"/>
                    </w:rPr>
                  </w:pPr>
                </w:p>
              </w:tc>
            </w:tr>
            <w:tr w14:paraId="0CDEA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5" w:type="pct"/>
                  <w:shd w:val="clear" w:color="auto" w:fill="auto"/>
                  <w:noWrap/>
                  <w:vAlign w:val="center"/>
                </w:tcPr>
                <w:p w14:paraId="0B664785">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41</w:t>
                  </w:r>
                </w:p>
              </w:tc>
              <w:tc>
                <w:tcPr>
                  <w:tcW w:w="941" w:type="pct"/>
                  <w:shd w:val="clear" w:color="auto" w:fill="auto"/>
                  <w:noWrap/>
                </w:tcPr>
                <w:p w14:paraId="6DD265F9">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D-602</w:t>
                  </w:r>
                </w:p>
              </w:tc>
              <w:tc>
                <w:tcPr>
                  <w:tcW w:w="1813" w:type="pct"/>
                  <w:shd w:val="clear" w:color="auto" w:fill="auto"/>
                  <w:noWrap/>
                </w:tcPr>
                <w:p w14:paraId="3B9EE530">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冷火炬罐</w:t>
                  </w:r>
                </w:p>
              </w:tc>
              <w:tc>
                <w:tcPr>
                  <w:tcW w:w="739" w:type="pct"/>
                  <w:shd w:val="clear" w:color="auto" w:fill="auto"/>
                  <w:noWrap/>
                  <w:vAlign w:val="center"/>
                </w:tcPr>
                <w:p w14:paraId="59CB3349">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637B50FB">
                  <w:pPr>
                    <w:widowControl/>
                    <w:spacing w:line="280" w:lineRule="exact"/>
                    <w:jc w:val="center"/>
                    <w:rPr>
                      <w:rFonts w:ascii="Times New Roman" w:hAnsi="Times New Roman" w:cs="Times New Roman" w:eastAsiaTheme="minorEastAsia"/>
                      <w:kern w:val="0"/>
                      <w:szCs w:val="21"/>
                    </w:rPr>
                  </w:pPr>
                </w:p>
              </w:tc>
            </w:tr>
            <w:tr w14:paraId="6067B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5" w:type="pct"/>
                  <w:shd w:val="clear" w:color="auto" w:fill="auto"/>
                  <w:noWrap/>
                  <w:vAlign w:val="center"/>
                </w:tcPr>
                <w:p w14:paraId="54FC48A7">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42</w:t>
                  </w:r>
                </w:p>
              </w:tc>
              <w:tc>
                <w:tcPr>
                  <w:tcW w:w="941" w:type="pct"/>
                  <w:shd w:val="clear" w:color="auto" w:fill="auto"/>
                  <w:noWrap/>
                </w:tcPr>
                <w:p w14:paraId="6D7C2161">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DR-101A/S</w:t>
                  </w:r>
                </w:p>
              </w:tc>
              <w:tc>
                <w:tcPr>
                  <w:tcW w:w="1813" w:type="pct"/>
                  <w:shd w:val="clear" w:color="auto" w:fill="auto"/>
                  <w:noWrap/>
                </w:tcPr>
                <w:p w14:paraId="4E1989F6">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天然气干燥器</w:t>
                  </w:r>
                </w:p>
              </w:tc>
              <w:tc>
                <w:tcPr>
                  <w:tcW w:w="739" w:type="pct"/>
                  <w:shd w:val="clear" w:color="auto" w:fill="auto"/>
                  <w:noWrap/>
                  <w:vAlign w:val="center"/>
                </w:tcPr>
                <w:p w14:paraId="44CE88CB">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2</w:t>
                  </w:r>
                </w:p>
              </w:tc>
              <w:tc>
                <w:tcPr>
                  <w:tcW w:w="750" w:type="pct"/>
                  <w:shd w:val="clear" w:color="auto" w:fill="auto"/>
                  <w:noWrap/>
                  <w:vAlign w:val="center"/>
                </w:tcPr>
                <w:p w14:paraId="4262B933">
                  <w:pPr>
                    <w:widowControl/>
                    <w:spacing w:line="280" w:lineRule="exact"/>
                    <w:jc w:val="center"/>
                    <w:rPr>
                      <w:rFonts w:ascii="Times New Roman" w:hAnsi="Times New Roman" w:cs="Times New Roman" w:eastAsiaTheme="minorEastAsia"/>
                      <w:kern w:val="0"/>
                      <w:szCs w:val="21"/>
                    </w:rPr>
                  </w:pPr>
                </w:p>
              </w:tc>
            </w:tr>
            <w:tr w14:paraId="03176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5" w:type="pct"/>
                  <w:shd w:val="clear" w:color="auto" w:fill="auto"/>
                  <w:noWrap/>
                  <w:vAlign w:val="center"/>
                </w:tcPr>
                <w:p w14:paraId="0502B2B4">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43</w:t>
                  </w:r>
                </w:p>
              </w:tc>
              <w:tc>
                <w:tcPr>
                  <w:tcW w:w="941" w:type="pct"/>
                  <w:shd w:val="clear" w:color="auto" w:fill="auto"/>
                  <w:noWrap/>
                </w:tcPr>
                <w:p w14:paraId="538E5EF5">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DR-301A/S</w:t>
                  </w:r>
                </w:p>
              </w:tc>
              <w:tc>
                <w:tcPr>
                  <w:tcW w:w="1813" w:type="pct"/>
                  <w:shd w:val="clear" w:color="auto" w:fill="auto"/>
                  <w:noWrap/>
                </w:tcPr>
                <w:p w14:paraId="17DDC65B">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BOG干燥器</w:t>
                  </w:r>
                </w:p>
              </w:tc>
              <w:tc>
                <w:tcPr>
                  <w:tcW w:w="739" w:type="pct"/>
                  <w:shd w:val="clear" w:color="auto" w:fill="auto"/>
                  <w:noWrap/>
                  <w:vAlign w:val="center"/>
                </w:tcPr>
                <w:p w14:paraId="320F535F">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2</w:t>
                  </w:r>
                </w:p>
              </w:tc>
              <w:tc>
                <w:tcPr>
                  <w:tcW w:w="750" w:type="pct"/>
                  <w:shd w:val="clear" w:color="auto" w:fill="auto"/>
                  <w:noWrap/>
                  <w:vAlign w:val="center"/>
                </w:tcPr>
                <w:p w14:paraId="10FE33D7">
                  <w:pPr>
                    <w:widowControl/>
                    <w:spacing w:line="280" w:lineRule="exact"/>
                    <w:jc w:val="center"/>
                    <w:rPr>
                      <w:rFonts w:ascii="Times New Roman" w:hAnsi="Times New Roman" w:cs="Times New Roman" w:eastAsiaTheme="minorEastAsia"/>
                      <w:kern w:val="0"/>
                      <w:szCs w:val="21"/>
                    </w:rPr>
                  </w:pPr>
                </w:p>
              </w:tc>
            </w:tr>
            <w:tr w14:paraId="70BDC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5" w:type="pct"/>
                  <w:shd w:val="clear" w:color="auto" w:fill="auto"/>
                  <w:noWrap/>
                  <w:vAlign w:val="center"/>
                </w:tcPr>
                <w:p w14:paraId="33F5A26D">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44</w:t>
                  </w:r>
                </w:p>
              </w:tc>
              <w:tc>
                <w:tcPr>
                  <w:tcW w:w="941" w:type="pct"/>
                  <w:shd w:val="clear" w:color="auto" w:fill="auto"/>
                  <w:noWrap/>
                </w:tcPr>
                <w:p w14:paraId="7164F49B">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R-101</w:t>
                  </w:r>
                </w:p>
              </w:tc>
              <w:tc>
                <w:tcPr>
                  <w:tcW w:w="1813" w:type="pct"/>
                  <w:shd w:val="clear" w:color="auto" w:fill="auto"/>
                  <w:noWrap/>
                </w:tcPr>
                <w:p w14:paraId="4908DA51">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脱汞反应器</w:t>
                  </w:r>
                </w:p>
              </w:tc>
              <w:tc>
                <w:tcPr>
                  <w:tcW w:w="739" w:type="pct"/>
                  <w:shd w:val="clear" w:color="auto" w:fill="auto"/>
                  <w:noWrap/>
                  <w:vAlign w:val="center"/>
                </w:tcPr>
                <w:p w14:paraId="73AC2093">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2D6AAEB9">
                  <w:pPr>
                    <w:widowControl/>
                    <w:spacing w:line="280" w:lineRule="exact"/>
                    <w:jc w:val="center"/>
                    <w:rPr>
                      <w:rFonts w:ascii="Times New Roman" w:hAnsi="Times New Roman" w:cs="Times New Roman" w:eastAsiaTheme="minorEastAsia"/>
                      <w:kern w:val="0"/>
                      <w:szCs w:val="21"/>
                    </w:rPr>
                  </w:pPr>
                </w:p>
              </w:tc>
            </w:tr>
            <w:tr w14:paraId="7C251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5" w:type="pct"/>
                  <w:shd w:val="clear" w:color="auto" w:fill="auto"/>
                  <w:noWrap/>
                  <w:vAlign w:val="center"/>
                </w:tcPr>
                <w:p w14:paraId="3C1B9FEE">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45</w:t>
                  </w:r>
                </w:p>
              </w:tc>
              <w:tc>
                <w:tcPr>
                  <w:tcW w:w="941" w:type="pct"/>
                  <w:shd w:val="clear" w:color="auto" w:fill="auto"/>
                  <w:noWrap/>
                </w:tcPr>
                <w:p w14:paraId="0AD330D3">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D-305</w:t>
                  </w:r>
                </w:p>
              </w:tc>
              <w:tc>
                <w:tcPr>
                  <w:tcW w:w="1813" w:type="pct"/>
                  <w:shd w:val="clear" w:color="auto" w:fill="auto"/>
                  <w:noWrap/>
                </w:tcPr>
                <w:p w14:paraId="6304CD71">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BOG再生气缓冲罐</w:t>
                  </w:r>
                </w:p>
              </w:tc>
              <w:tc>
                <w:tcPr>
                  <w:tcW w:w="739" w:type="pct"/>
                  <w:shd w:val="clear" w:color="auto" w:fill="auto"/>
                  <w:noWrap/>
                  <w:vAlign w:val="center"/>
                </w:tcPr>
                <w:p w14:paraId="4A4A4A22">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1F0ACB47">
                  <w:pPr>
                    <w:widowControl/>
                    <w:spacing w:line="280" w:lineRule="exact"/>
                    <w:jc w:val="center"/>
                    <w:rPr>
                      <w:rFonts w:ascii="Times New Roman" w:hAnsi="Times New Roman" w:cs="Times New Roman" w:eastAsiaTheme="minorEastAsia"/>
                      <w:kern w:val="0"/>
                      <w:szCs w:val="21"/>
                    </w:rPr>
                  </w:pPr>
                </w:p>
              </w:tc>
            </w:tr>
            <w:tr w14:paraId="57C9E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5" w:type="pct"/>
                  <w:shd w:val="clear" w:color="auto" w:fill="auto"/>
                  <w:noWrap/>
                  <w:vAlign w:val="center"/>
                </w:tcPr>
                <w:p w14:paraId="36D11B5C">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46</w:t>
                  </w:r>
                </w:p>
              </w:tc>
              <w:tc>
                <w:tcPr>
                  <w:tcW w:w="941" w:type="pct"/>
                  <w:shd w:val="clear" w:color="auto" w:fill="auto"/>
                  <w:noWrap/>
                </w:tcPr>
                <w:p w14:paraId="0F136095">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D-109</w:t>
                  </w:r>
                </w:p>
              </w:tc>
              <w:tc>
                <w:tcPr>
                  <w:tcW w:w="1813" w:type="pct"/>
                  <w:shd w:val="clear" w:color="auto" w:fill="auto"/>
                  <w:noWrap/>
                </w:tcPr>
                <w:p w14:paraId="756CE488">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冷凝水收集罐</w:t>
                  </w:r>
                </w:p>
              </w:tc>
              <w:tc>
                <w:tcPr>
                  <w:tcW w:w="739" w:type="pct"/>
                  <w:shd w:val="clear" w:color="auto" w:fill="auto"/>
                  <w:noWrap/>
                  <w:vAlign w:val="center"/>
                </w:tcPr>
                <w:p w14:paraId="6D881C48">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19B1DF22">
                  <w:pPr>
                    <w:widowControl/>
                    <w:spacing w:line="280" w:lineRule="exact"/>
                    <w:jc w:val="center"/>
                    <w:rPr>
                      <w:rFonts w:ascii="Times New Roman" w:hAnsi="Times New Roman" w:cs="Times New Roman" w:eastAsiaTheme="minorEastAsia"/>
                      <w:kern w:val="0"/>
                      <w:szCs w:val="21"/>
                    </w:rPr>
                  </w:pPr>
                </w:p>
              </w:tc>
            </w:tr>
            <w:tr w14:paraId="2CD03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gridSpan w:val="5"/>
                  <w:shd w:val="clear" w:color="auto" w:fill="auto"/>
                  <w:noWrap/>
                  <w:vAlign w:val="center"/>
                </w:tcPr>
                <w:p w14:paraId="76D38CDF">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压缩机、风机</w:t>
                  </w:r>
                </w:p>
              </w:tc>
            </w:tr>
            <w:tr w14:paraId="318F9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2" w:type="dxa"/>
                  <w:shd w:val="clear" w:color="auto" w:fill="auto"/>
                  <w:noWrap/>
                  <w:vAlign w:val="center"/>
                </w:tcPr>
                <w:p w14:paraId="4AC4F7B2">
                  <w:pPr>
                    <w:widowControl/>
                    <w:jc w:val="center"/>
                    <w:textAlignment w:val="center"/>
                    <w:rPr>
                      <w:rFonts w:ascii="Times New Roman" w:hAnsi="Times New Roman" w:cs="Times New Roman" w:eastAsiaTheme="minorEastAsia"/>
                      <w:kern w:val="0"/>
                      <w:szCs w:val="21"/>
                    </w:rPr>
                  </w:pPr>
                  <w:r>
                    <w:rPr>
                      <w:rFonts w:ascii="Times New Roman" w:hAnsi="Times New Roman" w:cs="Times New Roman"/>
                      <w:kern w:val="0"/>
                      <w:szCs w:val="21"/>
                      <w:lang w:bidi="ar"/>
                    </w:rPr>
                    <w:t>47</w:t>
                  </w:r>
                </w:p>
              </w:tc>
              <w:tc>
                <w:tcPr>
                  <w:tcW w:w="941" w:type="pct"/>
                  <w:shd w:val="clear" w:color="auto" w:fill="auto"/>
                  <w:noWrap/>
                </w:tcPr>
                <w:p w14:paraId="015F4A6C">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K-101A/S</w:t>
                  </w:r>
                </w:p>
              </w:tc>
              <w:tc>
                <w:tcPr>
                  <w:tcW w:w="1813" w:type="pct"/>
                  <w:shd w:val="clear" w:color="auto" w:fill="auto"/>
                  <w:noWrap/>
                </w:tcPr>
                <w:p w14:paraId="3FB6D425">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原料气增压机</w:t>
                  </w:r>
                </w:p>
              </w:tc>
              <w:tc>
                <w:tcPr>
                  <w:tcW w:w="739" w:type="pct"/>
                  <w:shd w:val="clear" w:color="auto" w:fill="auto"/>
                  <w:noWrap/>
                  <w:vAlign w:val="center"/>
                </w:tcPr>
                <w:p w14:paraId="63F57126">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vAlign w:val="center"/>
                </w:tcPr>
                <w:p w14:paraId="5A029EB6">
                  <w:pPr>
                    <w:widowControl/>
                    <w:spacing w:line="280" w:lineRule="exact"/>
                    <w:jc w:val="center"/>
                    <w:rPr>
                      <w:rFonts w:ascii="Times New Roman" w:hAnsi="Times New Roman" w:cs="Times New Roman" w:eastAsiaTheme="minorEastAsia"/>
                      <w:kern w:val="0"/>
                      <w:szCs w:val="21"/>
                    </w:rPr>
                  </w:pPr>
                </w:p>
              </w:tc>
            </w:tr>
            <w:tr w14:paraId="0C03A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82" w:type="dxa"/>
                  <w:shd w:val="clear" w:color="auto" w:fill="auto"/>
                  <w:noWrap/>
                  <w:vAlign w:val="center"/>
                </w:tcPr>
                <w:p w14:paraId="6CF2B891">
                  <w:pPr>
                    <w:widowControl/>
                    <w:jc w:val="center"/>
                    <w:textAlignment w:val="center"/>
                    <w:rPr>
                      <w:rFonts w:ascii="Times New Roman" w:hAnsi="Times New Roman" w:cs="Times New Roman" w:eastAsiaTheme="minorEastAsia"/>
                      <w:kern w:val="0"/>
                      <w:szCs w:val="21"/>
                    </w:rPr>
                  </w:pPr>
                  <w:r>
                    <w:rPr>
                      <w:rFonts w:ascii="Times New Roman" w:hAnsi="Times New Roman" w:cs="Times New Roman"/>
                      <w:kern w:val="0"/>
                      <w:szCs w:val="21"/>
                      <w:lang w:bidi="ar"/>
                    </w:rPr>
                    <w:t>48</w:t>
                  </w:r>
                </w:p>
              </w:tc>
              <w:tc>
                <w:tcPr>
                  <w:tcW w:w="941" w:type="pct"/>
                  <w:shd w:val="clear" w:color="auto" w:fill="auto"/>
                  <w:noWrap/>
                </w:tcPr>
                <w:p w14:paraId="369F7F3F">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K-201</w:t>
                  </w:r>
                </w:p>
              </w:tc>
              <w:tc>
                <w:tcPr>
                  <w:tcW w:w="1813" w:type="pct"/>
                  <w:shd w:val="clear" w:color="auto" w:fill="auto"/>
                  <w:noWrap/>
                </w:tcPr>
                <w:p w14:paraId="1FE1755F">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混合冷剂压缩机</w:t>
                  </w:r>
                </w:p>
              </w:tc>
              <w:tc>
                <w:tcPr>
                  <w:tcW w:w="739" w:type="pct"/>
                  <w:shd w:val="clear" w:color="auto" w:fill="auto"/>
                  <w:noWrap/>
                  <w:vAlign w:val="center"/>
                </w:tcPr>
                <w:p w14:paraId="27607D0E">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vAlign w:val="center"/>
                </w:tcPr>
                <w:p w14:paraId="3BAA36C3">
                  <w:pPr>
                    <w:widowControl/>
                    <w:spacing w:line="280" w:lineRule="exact"/>
                    <w:jc w:val="center"/>
                    <w:rPr>
                      <w:rFonts w:ascii="Times New Roman" w:hAnsi="Times New Roman" w:cs="Times New Roman" w:eastAsiaTheme="minorEastAsia"/>
                      <w:kern w:val="0"/>
                      <w:szCs w:val="21"/>
                    </w:rPr>
                  </w:pPr>
                </w:p>
              </w:tc>
            </w:tr>
            <w:tr w14:paraId="0CD9C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82" w:type="dxa"/>
                  <w:shd w:val="clear" w:color="auto" w:fill="auto"/>
                  <w:noWrap/>
                  <w:vAlign w:val="center"/>
                </w:tcPr>
                <w:p w14:paraId="02DA8931">
                  <w:pPr>
                    <w:widowControl/>
                    <w:jc w:val="center"/>
                    <w:textAlignment w:val="center"/>
                    <w:rPr>
                      <w:rFonts w:ascii="Times New Roman" w:hAnsi="Times New Roman" w:cs="Times New Roman" w:eastAsiaTheme="minorEastAsia"/>
                      <w:kern w:val="0"/>
                      <w:szCs w:val="21"/>
                    </w:rPr>
                  </w:pPr>
                  <w:r>
                    <w:rPr>
                      <w:rFonts w:ascii="Times New Roman" w:hAnsi="Times New Roman" w:cs="Times New Roman"/>
                      <w:kern w:val="0"/>
                      <w:szCs w:val="21"/>
                      <w:lang w:bidi="ar"/>
                    </w:rPr>
                    <w:t>49</w:t>
                  </w:r>
                </w:p>
              </w:tc>
              <w:tc>
                <w:tcPr>
                  <w:tcW w:w="941" w:type="pct"/>
                  <w:shd w:val="clear" w:color="auto" w:fill="auto"/>
                  <w:noWrap/>
                </w:tcPr>
                <w:p w14:paraId="14CDCAA9">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K-301A/S</w:t>
                  </w:r>
                </w:p>
              </w:tc>
              <w:tc>
                <w:tcPr>
                  <w:tcW w:w="1813" w:type="pct"/>
                  <w:shd w:val="clear" w:color="auto" w:fill="auto"/>
                  <w:noWrap/>
                </w:tcPr>
                <w:p w14:paraId="35E46F2B">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泡点气压缩机</w:t>
                  </w:r>
                </w:p>
              </w:tc>
              <w:tc>
                <w:tcPr>
                  <w:tcW w:w="739" w:type="pct"/>
                  <w:shd w:val="clear" w:color="auto" w:fill="auto"/>
                  <w:noWrap/>
                  <w:vAlign w:val="center"/>
                </w:tcPr>
                <w:p w14:paraId="178990D3">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vAlign w:val="center"/>
                </w:tcPr>
                <w:p w14:paraId="1385BE14">
                  <w:pPr>
                    <w:widowControl/>
                    <w:spacing w:line="280" w:lineRule="exact"/>
                    <w:jc w:val="center"/>
                    <w:rPr>
                      <w:rFonts w:ascii="Times New Roman" w:hAnsi="Times New Roman" w:cs="Times New Roman" w:eastAsiaTheme="minorEastAsia"/>
                      <w:kern w:val="0"/>
                      <w:szCs w:val="21"/>
                    </w:rPr>
                  </w:pPr>
                </w:p>
              </w:tc>
            </w:tr>
            <w:tr w14:paraId="19D70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gridSpan w:val="5"/>
                  <w:shd w:val="clear" w:color="auto" w:fill="auto"/>
                  <w:noWrap/>
                  <w:vAlign w:val="center"/>
                </w:tcPr>
                <w:p w14:paraId="1AAA7F01">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过滤器</w:t>
                  </w:r>
                </w:p>
              </w:tc>
            </w:tr>
            <w:tr w14:paraId="370E0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382" w:type="dxa"/>
                  <w:shd w:val="clear" w:color="auto" w:fill="auto"/>
                  <w:noWrap/>
                  <w:vAlign w:val="center"/>
                </w:tcPr>
                <w:p w14:paraId="69A2BF46">
                  <w:pPr>
                    <w:widowControl/>
                    <w:jc w:val="center"/>
                    <w:textAlignment w:val="center"/>
                    <w:rPr>
                      <w:rFonts w:ascii="Times New Roman" w:hAnsi="Times New Roman" w:cs="Times New Roman" w:eastAsiaTheme="minorEastAsia"/>
                      <w:kern w:val="0"/>
                      <w:szCs w:val="21"/>
                    </w:rPr>
                  </w:pPr>
                  <w:r>
                    <w:rPr>
                      <w:rFonts w:ascii="Times New Roman" w:hAnsi="Times New Roman" w:cs="Times New Roman"/>
                      <w:kern w:val="0"/>
                      <w:szCs w:val="21"/>
                      <w:lang w:bidi="ar"/>
                    </w:rPr>
                    <w:t>50</w:t>
                  </w:r>
                </w:p>
              </w:tc>
              <w:tc>
                <w:tcPr>
                  <w:tcW w:w="941" w:type="pct"/>
                  <w:shd w:val="clear" w:color="auto" w:fill="auto"/>
                  <w:noWrap/>
                </w:tcPr>
                <w:p w14:paraId="2390C5A9">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S-101</w:t>
                  </w:r>
                </w:p>
              </w:tc>
              <w:tc>
                <w:tcPr>
                  <w:tcW w:w="1813" w:type="pct"/>
                  <w:shd w:val="clear" w:color="auto" w:fill="auto"/>
                  <w:noWrap/>
                </w:tcPr>
                <w:p w14:paraId="03FBA716">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原料过滤器</w:t>
                  </w:r>
                </w:p>
              </w:tc>
              <w:tc>
                <w:tcPr>
                  <w:tcW w:w="739" w:type="pct"/>
                  <w:shd w:val="clear" w:color="auto" w:fill="auto"/>
                  <w:noWrap/>
                  <w:vAlign w:val="center"/>
                </w:tcPr>
                <w:p w14:paraId="68459D6E">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vAlign w:val="center"/>
                </w:tcPr>
                <w:p w14:paraId="51B565C4">
                  <w:pPr>
                    <w:widowControl/>
                    <w:spacing w:line="280" w:lineRule="exact"/>
                    <w:jc w:val="center"/>
                    <w:rPr>
                      <w:rFonts w:ascii="Times New Roman" w:hAnsi="Times New Roman" w:cs="Times New Roman" w:eastAsiaTheme="minorEastAsia"/>
                      <w:kern w:val="0"/>
                      <w:szCs w:val="21"/>
                    </w:rPr>
                  </w:pPr>
                </w:p>
              </w:tc>
            </w:tr>
            <w:tr w14:paraId="06440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82" w:type="dxa"/>
                  <w:shd w:val="clear" w:color="auto" w:fill="auto"/>
                  <w:noWrap/>
                  <w:vAlign w:val="center"/>
                </w:tcPr>
                <w:p w14:paraId="2FC0CCAA">
                  <w:pPr>
                    <w:widowControl/>
                    <w:jc w:val="center"/>
                    <w:textAlignment w:val="center"/>
                    <w:rPr>
                      <w:rFonts w:ascii="Times New Roman" w:hAnsi="Times New Roman" w:cs="Times New Roman" w:eastAsiaTheme="minorEastAsia"/>
                      <w:kern w:val="0"/>
                      <w:szCs w:val="21"/>
                    </w:rPr>
                  </w:pPr>
                  <w:r>
                    <w:rPr>
                      <w:rFonts w:ascii="Times New Roman" w:hAnsi="Times New Roman" w:cs="Times New Roman"/>
                      <w:kern w:val="0"/>
                      <w:szCs w:val="21"/>
                      <w:lang w:bidi="ar"/>
                    </w:rPr>
                    <w:t>51</w:t>
                  </w:r>
                </w:p>
              </w:tc>
              <w:tc>
                <w:tcPr>
                  <w:tcW w:w="941" w:type="pct"/>
                  <w:shd w:val="clear" w:color="auto" w:fill="auto"/>
                  <w:noWrap/>
                </w:tcPr>
                <w:p w14:paraId="12786077">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S-102</w:t>
                  </w:r>
                </w:p>
              </w:tc>
              <w:tc>
                <w:tcPr>
                  <w:tcW w:w="1813" w:type="pct"/>
                  <w:shd w:val="clear" w:color="auto" w:fill="auto"/>
                  <w:noWrap/>
                </w:tcPr>
                <w:p w14:paraId="2F196C61">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贫溶剂前过滤器</w:t>
                  </w:r>
                </w:p>
              </w:tc>
              <w:tc>
                <w:tcPr>
                  <w:tcW w:w="739" w:type="pct"/>
                  <w:shd w:val="clear" w:color="auto" w:fill="auto"/>
                  <w:noWrap/>
                  <w:vAlign w:val="center"/>
                </w:tcPr>
                <w:p w14:paraId="7D5F9316">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vAlign w:val="center"/>
                </w:tcPr>
                <w:p w14:paraId="569AA8A1">
                  <w:pPr>
                    <w:widowControl/>
                    <w:spacing w:line="280" w:lineRule="exact"/>
                    <w:jc w:val="center"/>
                    <w:rPr>
                      <w:rFonts w:ascii="Times New Roman" w:hAnsi="Times New Roman" w:cs="Times New Roman" w:eastAsiaTheme="minorEastAsia"/>
                      <w:kern w:val="0"/>
                      <w:szCs w:val="21"/>
                    </w:rPr>
                  </w:pPr>
                </w:p>
              </w:tc>
            </w:tr>
            <w:tr w14:paraId="5D074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82" w:type="dxa"/>
                  <w:shd w:val="clear" w:color="auto" w:fill="auto"/>
                  <w:noWrap/>
                  <w:vAlign w:val="center"/>
                </w:tcPr>
                <w:p w14:paraId="7B229649">
                  <w:pPr>
                    <w:widowControl/>
                    <w:jc w:val="center"/>
                    <w:textAlignment w:val="center"/>
                    <w:rPr>
                      <w:rFonts w:ascii="Times New Roman" w:hAnsi="Times New Roman" w:cs="Times New Roman" w:eastAsiaTheme="minorEastAsia"/>
                      <w:kern w:val="0"/>
                      <w:szCs w:val="21"/>
                    </w:rPr>
                  </w:pPr>
                  <w:r>
                    <w:rPr>
                      <w:rFonts w:ascii="Times New Roman" w:hAnsi="Times New Roman" w:cs="Times New Roman"/>
                      <w:kern w:val="0"/>
                      <w:szCs w:val="21"/>
                      <w:lang w:bidi="ar"/>
                    </w:rPr>
                    <w:t>52</w:t>
                  </w:r>
                </w:p>
              </w:tc>
              <w:tc>
                <w:tcPr>
                  <w:tcW w:w="941" w:type="pct"/>
                  <w:shd w:val="clear" w:color="auto" w:fill="auto"/>
                  <w:noWrap/>
                </w:tcPr>
                <w:p w14:paraId="78EC72C4">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S-103</w:t>
                  </w:r>
                </w:p>
              </w:tc>
              <w:tc>
                <w:tcPr>
                  <w:tcW w:w="1813" w:type="pct"/>
                  <w:shd w:val="clear" w:color="auto" w:fill="auto"/>
                  <w:noWrap/>
                </w:tcPr>
                <w:p w14:paraId="21FBB9F9">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贫溶剂</w:t>
                  </w:r>
                  <w:r>
                    <w:rPr>
                      <w:rFonts w:hint="eastAsia" w:ascii="Times New Roman" w:hAnsi="Times New Roman" w:cs="Times New Roman" w:eastAsiaTheme="minorEastAsia"/>
                      <w:kern w:val="0"/>
                      <w:szCs w:val="21"/>
                      <w:lang w:eastAsia="zh-CN"/>
                    </w:rPr>
                    <w:t>活性炭</w:t>
                  </w:r>
                  <w:r>
                    <w:rPr>
                      <w:rFonts w:hint="eastAsia" w:ascii="Times New Roman" w:hAnsi="Times New Roman" w:cs="Times New Roman" w:eastAsiaTheme="minorEastAsia"/>
                      <w:kern w:val="0"/>
                      <w:szCs w:val="21"/>
                    </w:rPr>
                    <w:t>过滤器</w:t>
                  </w:r>
                </w:p>
              </w:tc>
              <w:tc>
                <w:tcPr>
                  <w:tcW w:w="739" w:type="pct"/>
                  <w:shd w:val="clear" w:color="auto" w:fill="auto"/>
                  <w:noWrap/>
                  <w:vAlign w:val="center"/>
                </w:tcPr>
                <w:p w14:paraId="511A472B">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vAlign w:val="center"/>
                </w:tcPr>
                <w:p w14:paraId="782921EC">
                  <w:pPr>
                    <w:widowControl/>
                    <w:spacing w:line="280" w:lineRule="exact"/>
                    <w:jc w:val="center"/>
                    <w:rPr>
                      <w:rFonts w:ascii="Times New Roman" w:hAnsi="Times New Roman" w:cs="Times New Roman" w:eastAsiaTheme="minorEastAsia"/>
                      <w:kern w:val="0"/>
                      <w:szCs w:val="21"/>
                    </w:rPr>
                  </w:pPr>
                </w:p>
              </w:tc>
            </w:tr>
            <w:tr w14:paraId="2F9AA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382" w:type="dxa"/>
                  <w:shd w:val="clear" w:color="auto" w:fill="auto"/>
                  <w:noWrap/>
                  <w:vAlign w:val="center"/>
                </w:tcPr>
                <w:p w14:paraId="7BCB96DE">
                  <w:pPr>
                    <w:widowControl/>
                    <w:jc w:val="center"/>
                    <w:textAlignment w:val="center"/>
                    <w:rPr>
                      <w:rFonts w:ascii="Times New Roman" w:hAnsi="Times New Roman" w:cs="Times New Roman" w:eastAsiaTheme="minorEastAsia"/>
                      <w:kern w:val="0"/>
                      <w:szCs w:val="21"/>
                    </w:rPr>
                  </w:pPr>
                  <w:r>
                    <w:rPr>
                      <w:rFonts w:ascii="Times New Roman" w:hAnsi="Times New Roman" w:cs="Times New Roman"/>
                      <w:kern w:val="0"/>
                      <w:szCs w:val="21"/>
                      <w:lang w:bidi="ar"/>
                    </w:rPr>
                    <w:t>53</w:t>
                  </w:r>
                </w:p>
              </w:tc>
              <w:tc>
                <w:tcPr>
                  <w:tcW w:w="941" w:type="pct"/>
                  <w:shd w:val="clear" w:color="auto" w:fill="auto"/>
                  <w:noWrap/>
                </w:tcPr>
                <w:p w14:paraId="4C67AACC">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S-104</w:t>
                  </w:r>
                </w:p>
              </w:tc>
              <w:tc>
                <w:tcPr>
                  <w:tcW w:w="1813" w:type="pct"/>
                  <w:shd w:val="clear" w:color="auto" w:fill="auto"/>
                  <w:noWrap/>
                </w:tcPr>
                <w:p w14:paraId="40104088">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贫溶剂后过滤器</w:t>
                  </w:r>
                </w:p>
              </w:tc>
              <w:tc>
                <w:tcPr>
                  <w:tcW w:w="739" w:type="pct"/>
                  <w:shd w:val="clear" w:color="auto" w:fill="auto"/>
                  <w:noWrap/>
                  <w:vAlign w:val="center"/>
                </w:tcPr>
                <w:p w14:paraId="4A8874E0">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vAlign w:val="center"/>
                </w:tcPr>
                <w:p w14:paraId="6FF89C8C">
                  <w:pPr>
                    <w:widowControl/>
                    <w:spacing w:line="280" w:lineRule="exact"/>
                    <w:jc w:val="center"/>
                    <w:rPr>
                      <w:rFonts w:ascii="Times New Roman" w:hAnsi="Times New Roman" w:cs="Times New Roman" w:eastAsiaTheme="minorEastAsia"/>
                      <w:kern w:val="0"/>
                      <w:szCs w:val="21"/>
                    </w:rPr>
                  </w:pPr>
                </w:p>
              </w:tc>
            </w:tr>
            <w:tr w14:paraId="58EC2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82" w:type="dxa"/>
                  <w:shd w:val="clear" w:color="auto" w:fill="auto"/>
                  <w:noWrap/>
                  <w:vAlign w:val="center"/>
                </w:tcPr>
                <w:p w14:paraId="5BB73A98">
                  <w:pPr>
                    <w:widowControl/>
                    <w:jc w:val="center"/>
                    <w:textAlignment w:val="center"/>
                    <w:rPr>
                      <w:rFonts w:ascii="Times New Roman" w:hAnsi="Times New Roman" w:cs="Times New Roman" w:eastAsiaTheme="minorEastAsia"/>
                      <w:kern w:val="0"/>
                      <w:szCs w:val="21"/>
                    </w:rPr>
                  </w:pPr>
                  <w:r>
                    <w:rPr>
                      <w:rFonts w:ascii="Times New Roman" w:hAnsi="Times New Roman" w:cs="Times New Roman"/>
                      <w:kern w:val="0"/>
                      <w:szCs w:val="21"/>
                      <w:lang w:bidi="ar"/>
                    </w:rPr>
                    <w:t>54</w:t>
                  </w:r>
                </w:p>
              </w:tc>
              <w:tc>
                <w:tcPr>
                  <w:tcW w:w="941" w:type="pct"/>
                  <w:shd w:val="clear" w:color="auto" w:fill="auto"/>
                  <w:noWrap/>
                </w:tcPr>
                <w:p w14:paraId="1F4FC3C5">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S-105A/S</w:t>
                  </w:r>
                </w:p>
              </w:tc>
              <w:tc>
                <w:tcPr>
                  <w:tcW w:w="1813" w:type="pct"/>
                  <w:shd w:val="clear" w:color="auto" w:fill="auto"/>
                  <w:noWrap/>
                </w:tcPr>
                <w:p w14:paraId="52161B48">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脱汞前过滤器</w:t>
                  </w:r>
                </w:p>
              </w:tc>
              <w:tc>
                <w:tcPr>
                  <w:tcW w:w="739" w:type="pct"/>
                  <w:shd w:val="clear" w:color="auto" w:fill="auto"/>
                  <w:noWrap/>
                  <w:vAlign w:val="center"/>
                </w:tcPr>
                <w:p w14:paraId="35217445">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2</w:t>
                  </w:r>
                </w:p>
              </w:tc>
              <w:tc>
                <w:tcPr>
                  <w:tcW w:w="750" w:type="pct"/>
                  <w:shd w:val="clear" w:color="auto" w:fill="auto"/>
                  <w:noWrap/>
                  <w:vAlign w:val="center"/>
                </w:tcPr>
                <w:p w14:paraId="5F76501C">
                  <w:pPr>
                    <w:widowControl/>
                    <w:spacing w:line="280" w:lineRule="exact"/>
                    <w:jc w:val="center"/>
                    <w:rPr>
                      <w:rFonts w:ascii="Times New Roman" w:hAnsi="Times New Roman" w:cs="Times New Roman" w:eastAsiaTheme="minorEastAsia"/>
                      <w:kern w:val="0"/>
                      <w:szCs w:val="21"/>
                    </w:rPr>
                  </w:pPr>
                </w:p>
              </w:tc>
            </w:tr>
            <w:tr w14:paraId="0AED8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82" w:type="dxa"/>
                  <w:shd w:val="clear" w:color="auto" w:fill="auto"/>
                  <w:noWrap/>
                  <w:vAlign w:val="center"/>
                </w:tcPr>
                <w:p w14:paraId="75EA0606">
                  <w:pPr>
                    <w:widowControl/>
                    <w:jc w:val="center"/>
                    <w:textAlignment w:val="center"/>
                    <w:rPr>
                      <w:rFonts w:ascii="Times New Roman" w:hAnsi="Times New Roman" w:cs="Times New Roman" w:eastAsiaTheme="minorEastAsia"/>
                      <w:kern w:val="0"/>
                      <w:szCs w:val="21"/>
                    </w:rPr>
                  </w:pPr>
                  <w:r>
                    <w:rPr>
                      <w:rFonts w:ascii="Times New Roman" w:hAnsi="Times New Roman" w:cs="Times New Roman"/>
                      <w:kern w:val="0"/>
                      <w:szCs w:val="21"/>
                      <w:lang w:bidi="ar"/>
                    </w:rPr>
                    <w:t>55</w:t>
                  </w:r>
                </w:p>
              </w:tc>
              <w:tc>
                <w:tcPr>
                  <w:tcW w:w="941" w:type="pct"/>
                  <w:shd w:val="clear" w:color="auto" w:fill="auto"/>
                  <w:noWrap/>
                </w:tcPr>
                <w:p w14:paraId="2DF61728">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S-106A/S</w:t>
                  </w:r>
                </w:p>
              </w:tc>
              <w:tc>
                <w:tcPr>
                  <w:tcW w:w="1813" w:type="pct"/>
                  <w:shd w:val="clear" w:color="auto" w:fill="auto"/>
                  <w:noWrap/>
                </w:tcPr>
                <w:p w14:paraId="54E3207D">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脱汞后过滤器</w:t>
                  </w:r>
                </w:p>
              </w:tc>
              <w:tc>
                <w:tcPr>
                  <w:tcW w:w="739" w:type="pct"/>
                  <w:shd w:val="clear" w:color="auto" w:fill="auto"/>
                  <w:noWrap/>
                  <w:vAlign w:val="center"/>
                </w:tcPr>
                <w:p w14:paraId="286235C7">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2</w:t>
                  </w:r>
                </w:p>
              </w:tc>
              <w:tc>
                <w:tcPr>
                  <w:tcW w:w="750" w:type="pct"/>
                  <w:shd w:val="clear" w:color="auto" w:fill="auto"/>
                  <w:noWrap/>
                  <w:vAlign w:val="center"/>
                </w:tcPr>
                <w:p w14:paraId="5AB5C904">
                  <w:pPr>
                    <w:widowControl/>
                    <w:spacing w:line="280" w:lineRule="exact"/>
                    <w:jc w:val="center"/>
                    <w:rPr>
                      <w:rFonts w:ascii="Times New Roman" w:hAnsi="Times New Roman" w:cs="Times New Roman" w:eastAsiaTheme="minorEastAsia"/>
                      <w:kern w:val="0"/>
                      <w:szCs w:val="21"/>
                    </w:rPr>
                  </w:pPr>
                </w:p>
              </w:tc>
            </w:tr>
            <w:tr w14:paraId="1E868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82" w:type="dxa"/>
                  <w:shd w:val="clear" w:color="auto" w:fill="auto"/>
                  <w:noWrap/>
                  <w:vAlign w:val="center"/>
                </w:tcPr>
                <w:p w14:paraId="54887745">
                  <w:pPr>
                    <w:widowControl/>
                    <w:jc w:val="center"/>
                    <w:textAlignment w:val="center"/>
                    <w:rPr>
                      <w:rFonts w:ascii="Times New Roman" w:hAnsi="Times New Roman" w:cs="Times New Roman" w:eastAsiaTheme="minorEastAsia"/>
                      <w:kern w:val="0"/>
                      <w:szCs w:val="21"/>
                    </w:rPr>
                  </w:pPr>
                  <w:r>
                    <w:rPr>
                      <w:rFonts w:ascii="Times New Roman" w:hAnsi="Times New Roman" w:cs="Times New Roman"/>
                      <w:kern w:val="0"/>
                      <w:szCs w:val="21"/>
                      <w:lang w:bidi="ar"/>
                    </w:rPr>
                    <w:t>56</w:t>
                  </w:r>
                </w:p>
              </w:tc>
              <w:tc>
                <w:tcPr>
                  <w:tcW w:w="941" w:type="pct"/>
                  <w:shd w:val="clear" w:color="auto" w:fill="auto"/>
                  <w:noWrap/>
                </w:tcPr>
                <w:p w14:paraId="12546B89">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S-107A/S</w:t>
                  </w:r>
                </w:p>
              </w:tc>
              <w:tc>
                <w:tcPr>
                  <w:tcW w:w="1813" w:type="pct"/>
                  <w:shd w:val="clear" w:color="auto" w:fill="auto"/>
                  <w:noWrap/>
                </w:tcPr>
                <w:p w14:paraId="4BAE1599">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富溶剂过滤器</w:t>
                  </w:r>
                </w:p>
              </w:tc>
              <w:tc>
                <w:tcPr>
                  <w:tcW w:w="739" w:type="pct"/>
                  <w:shd w:val="clear" w:color="auto" w:fill="auto"/>
                  <w:noWrap/>
                  <w:vAlign w:val="center"/>
                </w:tcPr>
                <w:p w14:paraId="707F7C93">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2</w:t>
                  </w:r>
                </w:p>
              </w:tc>
              <w:tc>
                <w:tcPr>
                  <w:tcW w:w="750" w:type="pct"/>
                  <w:shd w:val="clear" w:color="auto" w:fill="auto"/>
                  <w:noWrap/>
                  <w:vAlign w:val="center"/>
                </w:tcPr>
                <w:p w14:paraId="65DB061E">
                  <w:pPr>
                    <w:widowControl/>
                    <w:spacing w:line="280" w:lineRule="exact"/>
                    <w:jc w:val="center"/>
                    <w:rPr>
                      <w:rFonts w:ascii="Times New Roman" w:hAnsi="Times New Roman" w:cs="Times New Roman" w:eastAsiaTheme="minorEastAsia"/>
                      <w:kern w:val="0"/>
                      <w:szCs w:val="21"/>
                    </w:rPr>
                  </w:pPr>
                </w:p>
              </w:tc>
            </w:tr>
            <w:tr w14:paraId="2484C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82" w:type="dxa"/>
                  <w:shd w:val="clear" w:color="auto" w:fill="auto"/>
                  <w:noWrap/>
                  <w:vAlign w:val="center"/>
                </w:tcPr>
                <w:p w14:paraId="2A75CC20">
                  <w:pPr>
                    <w:widowControl/>
                    <w:jc w:val="center"/>
                    <w:textAlignment w:val="center"/>
                    <w:rPr>
                      <w:rFonts w:ascii="Times New Roman" w:hAnsi="Times New Roman" w:cs="Times New Roman" w:eastAsiaTheme="minorEastAsia"/>
                      <w:kern w:val="0"/>
                      <w:szCs w:val="21"/>
                    </w:rPr>
                  </w:pPr>
                  <w:r>
                    <w:rPr>
                      <w:rFonts w:ascii="Times New Roman" w:hAnsi="Times New Roman" w:cs="Times New Roman"/>
                      <w:kern w:val="0"/>
                      <w:szCs w:val="21"/>
                      <w:lang w:bidi="ar"/>
                    </w:rPr>
                    <w:t>57</w:t>
                  </w:r>
                </w:p>
              </w:tc>
              <w:tc>
                <w:tcPr>
                  <w:tcW w:w="941" w:type="pct"/>
                  <w:shd w:val="clear" w:color="auto" w:fill="auto"/>
                  <w:noWrap/>
                </w:tcPr>
                <w:p w14:paraId="0424BB06">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S-301A/S</w:t>
                  </w:r>
                </w:p>
              </w:tc>
              <w:tc>
                <w:tcPr>
                  <w:tcW w:w="1813" w:type="pct"/>
                  <w:shd w:val="clear" w:color="auto" w:fill="auto"/>
                  <w:noWrap/>
                </w:tcPr>
                <w:p w14:paraId="10278F07">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BOG过滤器</w:t>
                  </w:r>
                </w:p>
              </w:tc>
              <w:tc>
                <w:tcPr>
                  <w:tcW w:w="739" w:type="pct"/>
                  <w:shd w:val="clear" w:color="auto" w:fill="auto"/>
                  <w:noWrap/>
                  <w:vAlign w:val="center"/>
                </w:tcPr>
                <w:p w14:paraId="58A6BBB6">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2</w:t>
                  </w:r>
                </w:p>
              </w:tc>
              <w:tc>
                <w:tcPr>
                  <w:tcW w:w="750" w:type="pct"/>
                  <w:shd w:val="clear" w:color="auto" w:fill="auto"/>
                  <w:noWrap/>
                  <w:vAlign w:val="center"/>
                </w:tcPr>
                <w:p w14:paraId="0F7C097D">
                  <w:pPr>
                    <w:widowControl/>
                    <w:spacing w:line="280" w:lineRule="exact"/>
                    <w:jc w:val="center"/>
                    <w:rPr>
                      <w:rFonts w:ascii="Times New Roman" w:hAnsi="Times New Roman" w:cs="Times New Roman" w:eastAsiaTheme="minorEastAsia"/>
                      <w:kern w:val="0"/>
                      <w:szCs w:val="21"/>
                    </w:rPr>
                  </w:pPr>
                </w:p>
              </w:tc>
            </w:tr>
            <w:tr w14:paraId="6E750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000" w:type="pct"/>
                  <w:gridSpan w:val="5"/>
                  <w:shd w:val="clear" w:color="auto" w:fill="auto"/>
                  <w:noWrap/>
                  <w:vAlign w:val="center"/>
                </w:tcPr>
                <w:p w14:paraId="14FDFA39">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泵</w:t>
                  </w:r>
                </w:p>
              </w:tc>
            </w:tr>
            <w:tr w14:paraId="236E7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82" w:type="dxa"/>
                  <w:shd w:val="clear" w:color="auto" w:fill="auto"/>
                  <w:noWrap/>
                  <w:vAlign w:val="center"/>
                </w:tcPr>
                <w:p w14:paraId="1BE3ADC9">
                  <w:pPr>
                    <w:widowControl/>
                    <w:jc w:val="center"/>
                    <w:textAlignment w:val="center"/>
                    <w:rPr>
                      <w:rFonts w:ascii="Times New Roman" w:hAnsi="Times New Roman" w:cs="Times New Roman" w:eastAsiaTheme="minorEastAsia"/>
                      <w:kern w:val="0"/>
                      <w:szCs w:val="21"/>
                    </w:rPr>
                  </w:pPr>
                  <w:r>
                    <w:rPr>
                      <w:rFonts w:ascii="Times New Roman" w:hAnsi="Times New Roman" w:cs="Times New Roman"/>
                      <w:kern w:val="0"/>
                      <w:szCs w:val="21"/>
                      <w:lang w:bidi="ar"/>
                    </w:rPr>
                    <w:t>58</w:t>
                  </w:r>
                </w:p>
              </w:tc>
              <w:tc>
                <w:tcPr>
                  <w:tcW w:w="941" w:type="pct"/>
                  <w:shd w:val="clear" w:color="auto" w:fill="auto"/>
                  <w:noWrap/>
                </w:tcPr>
                <w:p w14:paraId="088EA5CE">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P-101A/S</w:t>
                  </w:r>
                </w:p>
              </w:tc>
              <w:tc>
                <w:tcPr>
                  <w:tcW w:w="1813" w:type="pct"/>
                  <w:shd w:val="clear" w:color="auto" w:fill="auto"/>
                  <w:noWrap/>
                </w:tcPr>
                <w:p w14:paraId="637B82A3">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贫胺液增压泵</w:t>
                  </w:r>
                </w:p>
              </w:tc>
              <w:tc>
                <w:tcPr>
                  <w:tcW w:w="739" w:type="pct"/>
                  <w:shd w:val="clear" w:color="auto" w:fill="auto"/>
                  <w:noWrap/>
                  <w:vAlign w:val="center"/>
                </w:tcPr>
                <w:p w14:paraId="144F86E7">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49F6FDAC">
                  <w:pPr>
                    <w:widowControl/>
                    <w:spacing w:line="280" w:lineRule="exact"/>
                    <w:jc w:val="center"/>
                    <w:rPr>
                      <w:rFonts w:ascii="Times New Roman" w:hAnsi="Times New Roman" w:cs="Times New Roman" w:eastAsiaTheme="minorEastAsia"/>
                      <w:kern w:val="0"/>
                      <w:szCs w:val="21"/>
                    </w:rPr>
                  </w:pPr>
                </w:p>
              </w:tc>
            </w:tr>
            <w:tr w14:paraId="451AC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82" w:type="dxa"/>
                  <w:shd w:val="clear" w:color="auto" w:fill="auto"/>
                  <w:noWrap/>
                  <w:vAlign w:val="center"/>
                </w:tcPr>
                <w:p w14:paraId="605820B0">
                  <w:pPr>
                    <w:widowControl/>
                    <w:jc w:val="center"/>
                    <w:textAlignment w:val="center"/>
                    <w:rPr>
                      <w:rFonts w:ascii="Times New Roman" w:hAnsi="Times New Roman" w:cs="Times New Roman" w:eastAsiaTheme="minorEastAsia"/>
                      <w:kern w:val="0"/>
                      <w:szCs w:val="21"/>
                    </w:rPr>
                  </w:pPr>
                  <w:r>
                    <w:rPr>
                      <w:rFonts w:ascii="Times New Roman" w:hAnsi="Times New Roman" w:cs="Times New Roman"/>
                      <w:kern w:val="0"/>
                      <w:szCs w:val="21"/>
                      <w:lang w:bidi="ar"/>
                    </w:rPr>
                    <w:t>59</w:t>
                  </w:r>
                </w:p>
              </w:tc>
              <w:tc>
                <w:tcPr>
                  <w:tcW w:w="941" w:type="pct"/>
                  <w:shd w:val="clear" w:color="auto" w:fill="auto"/>
                  <w:noWrap/>
                </w:tcPr>
                <w:p w14:paraId="2FEAEBE9">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P-102A/S</w:t>
                  </w:r>
                </w:p>
              </w:tc>
              <w:tc>
                <w:tcPr>
                  <w:tcW w:w="1813" w:type="pct"/>
                  <w:shd w:val="clear" w:color="auto" w:fill="auto"/>
                  <w:noWrap/>
                </w:tcPr>
                <w:p w14:paraId="626919AB">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贫胺液泵</w:t>
                  </w:r>
                </w:p>
              </w:tc>
              <w:tc>
                <w:tcPr>
                  <w:tcW w:w="739" w:type="pct"/>
                  <w:shd w:val="clear" w:color="auto" w:fill="auto"/>
                  <w:noWrap/>
                  <w:vAlign w:val="center"/>
                </w:tcPr>
                <w:p w14:paraId="750A8EA8">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310FC58F">
                  <w:pPr>
                    <w:widowControl/>
                    <w:spacing w:line="280" w:lineRule="exact"/>
                    <w:jc w:val="center"/>
                    <w:rPr>
                      <w:rFonts w:ascii="Times New Roman" w:hAnsi="Times New Roman" w:cs="Times New Roman" w:eastAsiaTheme="minorEastAsia"/>
                      <w:kern w:val="0"/>
                      <w:szCs w:val="21"/>
                    </w:rPr>
                  </w:pPr>
                </w:p>
              </w:tc>
            </w:tr>
            <w:tr w14:paraId="048D0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82" w:type="dxa"/>
                  <w:shd w:val="clear" w:color="auto" w:fill="auto"/>
                  <w:noWrap/>
                  <w:vAlign w:val="center"/>
                </w:tcPr>
                <w:p w14:paraId="2EA8B556">
                  <w:pPr>
                    <w:widowControl/>
                    <w:jc w:val="center"/>
                    <w:textAlignment w:val="center"/>
                    <w:rPr>
                      <w:rFonts w:ascii="Times New Roman" w:hAnsi="Times New Roman" w:cs="Times New Roman" w:eastAsiaTheme="minorEastAsia"/>
                      <w:kern w:val="0"/>
                      <w:szCs w:val="21"/>
                    </w:rPr>
                  </w:pPr>
                  <w:r>
                    <w:rPr>
                      <w:rFonts w:ascii="Times New Roman" w:hAnsi="Times New Roman" w:cs="Times New Roman"/>
                      <w:kern w:val="0"/>
                      <w:szCs w:val="21"/>
                      <w:lang w:bidi="ar"/>
                    </w:rPr>
                    <w:t>60</w:t>
                  </w:r>
                </w:p>
              </w:tc>
              <w:tc>
                <w:tcPr>
                  <w:tcW w:w="941" w:type="pct"/>
                  <w:shd w:val="clear" w:color="auto" w:fill="auto"/>
                  <w:noWrap/>
                </w:tcPr>
                <w:p w14:paraId="194175D7">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P-104A/S</w:t>
                  </w:r>
                </w:p>
              </w:tc>
              <w:tc>
                <w:tcPr>
                  <w:tcW w:w="1813" w:type="pct"/>
                  <w:shd w:val="clear" w:color="auto" w:fill="auto"/>
                  <w:noWrap/>
                </w:tcPr>
                <w:p w14:paraId="7F528B86">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再生塔回流泵</w:t>
                  </w:r>
                </w:p>
              </w:tc>
              <w:tc>
                <w:tcPr>
                  <w:tcW w:w="739" w:type="pct"/>
                  <w:shd w:val="clear" w:color="auto" w:fill="auto"/>
                  <w:noWrap/>
                  <w:vAlign w:val="center"/>
                </w:tcPr>
                <w:p w14:paraId="1CBF8C64">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7B79A3C7">
                  <w:pPr>
                    <w:widowControl/>
                    <w:spacing w:line="280" w:lineRule="exact"/>
                    <w:jc w:val="center"/>
                    <w:rPr>
                      <w:rFonts w:ascii="Times New Roman" w:hAnsi="Times New Roman" w:cs="Times New Roman" w:eastAsiaTheme="minorEastAsia"/>
                      <w:kern w:val="0"/>
                      <w:szCs w:val="21"/>
                    </w:rPr>
                  </w:pPr>
                </w:p>
              </w:tc>
            </w:tr>
            <w:tr w14:paraId="4671E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82" w:type="dxa"/>
                  <w:shd w:val="clear" w:color="auto" w:fill="auto"/>
                  <w:noWrap/>
                  <w:vAlign w:val="center"/>
                </w:tcPr>
                <w:p w14:paraId="3130C4C8">
                  <w:pPr>
                    <w:widowControl/>
                    <w:jc w:val="center"/>
                    <w:textAlignment w:val="center"/>
                    <w:rPr>
                      <w:rFonts w:ascii="Times New Roman" w:hAnsi="Times New Roman" w:cs="Times New Roman" w:eastAsiaTheme="minorEastAsia"/>
                      <w:kern w:val="0"/>
                      <w:szCs w:val="21"/>
                    </w:rPr>
                  </w:pPr>
                  <w:r>
                    <w:rPr>
                      <w:rFonts w:ascii="Times New Roman" w:hAnsi="Times New Roman" w:cs="Times New Roman"/>
                      <w:kern w:val="0"/>
                      <w:szCs w:val="21"/>
                      <w:lang w:bidi="ar"/>
                    </w:rPr>
                    <w:t>61</w:t>
                  </w:r>
                </w:p>
              </w:tc>
              <w:tc>
                <w:tcPr>
                  <w:tcW w:w="941" w:type="pct"/>
                  <w:shd w:val="clear" w:color="auto" w:fill="auto"/>
                  <w:noWrap/>
                </w:tcPr>
                <w:p w14:paraId="36F9E740">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P-201</w:t>
                  </w:r>
                </w:p>
              </w:tc>
              <w:tc>
                <w:tcPr>
                  <w:tcW w:w="1813" w:type="pct"/>
                  <w:shd w:val="clear" w:color="auto" w:fill="auto"/>
                  <w:noWrap/>
                </w:tcPr>
                <w:p w14:paraId="2C295DBD">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混合冷剂倒液泵</w:t>
                  </w:r>
                </w:p>
              </w:tc>
              <w:tc>
                <w:tcPr>
                  <w:tcW w:w="739" w:type="pct"/>
                  <w:shd w:val="clear" w:color="auto" w:fill="auto"/>
                  <w:noWrap/>
                  <w:vAlign w:val="center"/>
                </w:tcPr>
                <w:p w14:paraId="49FDED2F">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2D80EF87">
                  <w:pPr>
                    <w:widowControl/>
                    <w:spacing w:line="280" w:lineRule="exact"/>
                    <w:jc w:val="center"/>
                    <w:rPr>
                      <w:rFonts w:ascii="Times New Roman" w:hAnsi="Times New Roman" w:cs="Times New Roman" w:eastAsiaTheme="minorEastAsia"/>
                      <w:kern w:val="0"/>
                      <w:szCs w:val="21"/>
                    </w:rPr>
                  </w:pPr>
                </w:p>
              </w:tc>
            </w:tr>
            <w:tr w14:paraId="46B2D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gridSpan w:val="5"/>
                  <w:shd w:val="clear" w:color="auto" w:fill="auto"/>
                  <w:noWrap/>
                  <w:vAlign w:val="center"/>
                </w:tcPr>
                <w:p w14:paraId="1A584098">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储罐</w:t>
                  </w:r>
                </w:p>
              </w:tc>
            </w:tr>
            <w:tr w14:paraId="0A91E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5" w:type="pct"/>
                  <w:shd w:val="clear" w:color="auto" w:fill="auto"/>
                  <w:noWrap/>
                  <w:vAlign w:val="center"/>
                </w:tcPr>
                <w:p w14:paraId="566B39E3">
                  <w:pPr>
                    <w:widowControl/>
                    <w:spacing w:line="280" w:lineRule="exact"/>
                    <w:jc w:val="center"/>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62</w:t>
                  </w:r>
                </w:p>
              </w:tc>
              <w:tc>
                <w:tcPr>
                  <w:tcW w:w="941" w:type="pct"/>
                  <w:shd w:val="clear" w:color="auto" w:fill="auto"/>
                  <w:noWrap/>
                  <w:vAlign w:val="center"/>
                </w:tcPr>
                <w:p w14:paraId="6A98B099">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T-301</w:t>
                  </w:r>
                </w:p>
              </w:tc>
              <w:tc>
                <w:tcPr>
                  <w:tcW w:w="1813" w:type="pct"/>
                  <w:shd w:val="clear" w:color="auto" w:fill="auto"/>
                  <w:noWrap/>
                  <w:vAlign w:val="center"/>
                </w:tcPr>
                <w:p w14:paraId="7EBBD670">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液化天然气储罐</w:t>
                  </w:r>
                </w:p>
              </w:tc>
              <w:tc>
                <w:tcPr>
                  <w:tcW w:w="739" w:type="pct"/>
                  <w:shd w:val="clear" w:color="auto" w:fill="auto"/>
                  <w:noWrap/>
                  <w:vAlign w:val="center"/>
                </w:tcPr>
                <w:p w14:paraId="071E865E">
                  <w:pPr>
                    <w:widowControl/>
                    <w:spacing w:line="280" w:lineRule="exact"/>
                    <w:jc w:val="cente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w:t>
                  </w:r>
                </w:p>
              </w:tc>
              <w:tc>
                <w:tcPr>
                  <w:tcW w:w="750" w:type="pct"/>
                  <w:shd w:val="clear" w:color="auto" w:fill="auto"/>
                  <w:noWrap/>
                  <w:vAlign w:val="center"/>
                </w:tcPr>
                <w:p w14:paraId="39158B68">
                  <w:pPr>
                    <w:widowControl/>
                    <w:spacing w:line="280" w:lineRule="exact"/>
                    <w:jc w:val="center"/>
                    <w:rPr>
                      <w:rFonts w:ascii="Times New Roman" w:hAnsi="Times New Roman" w:cs="Times New Roman" w:eastAsiaTheme="minorEastAsia"/>
                      <w:kern w:val="0"/>
                      <w:szCs w:val="21"/>
                    </w:rPr>
                  </w:pPr>
                </w:p>
              </w:tc>
            </w:tr>
          </w:tbl>
          <w:p w14:paraId="19FDCCA3">
            <w:pPr>
              <w:spacing w:line="360" w:lineRule="auto"/>
              <w:ind w:firstLine="480"/>
              <w:rPr>
                <w:rFonts w:ascii="Times New Roman" w:hAnsi="Times New Roman" w:cs="Times New Roman" w:eastAsiaTheme="minorEastAsia"/>
                <w:bCs/>
                <w:sz w:val="24"/>
              </w:rPr>
            </w:pPr>
          </w:p>
          <w:p w14:paraId="38A04742">
            <w:pPr>
              <w:spacing w:line="360" w:lineRule="auto"/>
              <w:outlineLvl w:val="2"/>
              <w:rPr>
                <w:rFonts w:ascii="Times New Roman" w:hAnsi="Times New Roman" w:cs="Times New Roman" w:eastAsiaTheme="minorEastAsia"/>
                <w:b/>
                <w:sz w:val="24"/>
              </w:rPr>
            </w:pPr>
            <w:r>
              <w:rPr>
                <w:rFonts w:ascii="Times New Roman" w:hAnsi="Times New Roman" w:cs="Times New Roman" w:eastAsiaTheme="minorEastAsia"/>
                <w:b/>
                <w:sz w:val="24"/>
              </w:rPr>
              <w:t>2.</w:t>
            </w:r>
            <w:r>
              <w:rPr>
                <w:rFonts w:hint="eastAsia" w:ascii="Times New Roman" w:hAnsi="Times New Roman" w:cs="Times New Roman" w:eastAsiaTheme="minorEastAsia"/>
                <w:b/>
                <w:sz w:val="24"/>
              </w:rPr>
              <w:t>2</w:t>
            </w:r>
            <w:r>
              <w:rPr>
                <w:rFonts w:ascii="Times New Roman" w:hAnsi="Times New Roman" w:cs="Times New Roman" w:eastAsiaTheme="minorEastAsia"/>
                <w:b/>
                <w:sz w:val="24"/>
              </w:rPr>
              <w:t>.2原辅材料</w:t>
            </w:r>
          </w:p>
          <w:p w14:paraId="77DA71BC">
            <w:pPr>
              <w:tabs>
                <w:tab w:val="left" w:pos="1695"/>
              </w:tabs>
              <w:spacing w:line="460" w:lineRule="exact"/>
              <w:ind w:firstLine="480"/>
              <w:rPr>
                <w:rFonts w:ascii="Times New Roman" w:hAnsi="Times New Roman" w:cs="Times New Roman" w:eastAsiaTheme="minorEastAsia"/>
                <w:sz w:val="24"/>
              </w:rPr>
            </w:pPr>
            <w:r>
              <w:rPr>
                <w:rFonts w:ascii="Times New Roman" w:hAnsi="Times New Roman" w:cs="Times New Roman" w:eastAsiaTheme="minorEastAsia"/>
                <w:sz w:val="24"/>
              </w:rPr>
              <w:t>本天然气液化项目主要原料天然气资源为江汉油田重庆区块页岩气</w:t>
            </w:r>
            <w:r>
              <w:rPr>
                <w:rFonts w:hint="eastAsia"/>
                <w:color w:val="FF0000"/>
                <w:sz w:val="24"/>
              </w:rPr>
              <w:t>（备用天然气为川气东送气源）</w:t>
            </w:r>
            <w:r>
              <w:rPr>
                <w:rFonts w:ascii="Times New Roman" w:hAnsi="Times New Roman" w:cs="Times New Roman" w:eastAsiaTheme="minorEastAsia"/>
                <w:sz w:val="24"/>
              </w:rPr>
              <w:t>，通过管道输送至液化厂。原辅材料消耗量见表</w:t>
            </w:r>
            <w:r>
              <w:rPr>
                <w:rFonts w:ascii="Times New Roman" w:hAnsi="Times New Roman" w:cs="Times New Roman" w:eastAsiaTheme="minorEastAsia"/>
                <w:bCs/>
                <w:sz w:val="24"/>
              </w:rPr>
              <w:t>2.3-2</w:t>
            </w:r>
            <w:r>
              <w:rPr>
                <w:rFonts w:ascii="Times New Roman" w:hAnsi="Times New Roman" w:cs="Times New Roman" w:eastAsiaTheme="minorEastAsia"/>
                <w:sz w:val="24"/>
              </w:rPr>
              <w:t>，原料气组成见表</w:t>
            </w:r>
            <w:r>
              <w:rPr>
                <w:rFonts w:ascii="Times New Roman" w:hAnsi="Times New Roman" w:cs="Times New Roman" w:eastAsiaTheme="minorEastAsia"/>
                <w:bCs/>
                <w:sz w:val="24"/>
              </w:rPr>
              <w:t>2.3-3</w:t>
            </w:r>
            <w:r>
              <w:rPr>
                <w:rFonts w:ascii="Times New Roman" w:hAnsi="Times New Roman" w:cs="Times New Roman" w:eastAsiaTheme="minorEastAsia"/>
                <w:sz w:val="24"/>
              </w:rPr>
              <w:t>。</w:t>
            </w:r>
          </w:p>
          <w:p w14:paraId="124A336F">
            <w:pPr>
              <w:jc w:val="center"/>
              <w:rPr>
                <w:rFonts w:ascii="Times New Roman" w:hAnsi="Times New Roman" w:cs="Times New Roman" w:eastAsiaTheme="minorEastAsia"/>
                <w:bCs/>
                <w:sz w:val="24"/>
              </w:rPr>
            </w:pPr>
            <w:r>
              <w:rPr>
                <w:rFonts w:ascii="Times New Roman" w:hAnsi="Times New Roman" w:cs="Times New Roman" w:eastAsiaTheme="minorEastAsia"/>
                <w:bCs/>
                <w:sz w:val="24"/>
              </w:rPr>
              <w:t>表2.3-2   原辅材料消耗表</w:t>
            </w:r>
          </w:p>
          <w:tbl>
            <w:tblPr>
              <w:tblStyle w:val="8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3162"/>
              <w:gridCol w:w="1133"/>
              <w:gridCol w:w="1326"/>
              <w:gridCol w:w="2528"/>
            </w:tblGrid>
            <w:tr w14:paraId="443E2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98" w:type="dxa"/>
                  <w:vAlign w:val="center"/>
                </w:tcPr>
                <w:p w14:paraId="43A3DFCC">
                  <w:pPr>
                    <w:spacing w:line="320" w:lineRule="exact"/>
                    <w:jc w:val="center"/>
                    <w:rPr>
                      <w:rFonts w:ascii="Times New Roman" w:hAnsi="Times New Roman" w:cs="Times New Roman" w:eastAsiaTheme="minorEastAsia"/>
                      <w:b/>
                      <w:szCs w:val="21"/>
                    </w:rPr>
                  </w:pPr>
                  <w:r>
                    <w:rPr>
                      <w:rFonts w:ascii="Times New Roman" w:hAnsi="Times New Roman" w:cs="Times New Roman" w:eastAsiaTheme="minorEastAsia"/>
                      <w:b/>
                      <w:szCs w:val="21"/>
                    </w:rPr>
                    <w:t>序号</w:t>
                  </w:r>
                </w:p>
              </w:tc>
              <w:tc>
                <w:tcPr>
                  <w:tcW w:w="3162" w:type="dxa"/>
                  <w:vAlign w:val="center"/>
                </w:tcPr>
                <w:p w14:paraId="00CD70FA">
                  <w:pPr>
                    <w:spacing w:line="320" w:lineRule="exact"/>
                    <w:jc w:val="center"/>
                    <w:rPr>
                      <w:rFonts w:ascii="Times New Roman" w:hAnsi="Times New Roman" w:cs="Times New Roman" w:eastAsiaTheme="minorEastAsia"/>
                      <w:b/>
                      <w:szCs w:val="21"/>
                    </w:rPr>
                  </w:pPr>
                  <w:r>
                    <w:rPr>
                      <w:rFonts w:ascii="Times New Roman" w:hAnsi="Times New Roman" w:cs="Times New Roman" w:eastAsiaTheme="minorEastAsia"/>
                      <w:b/>
                      <w:szCs w:val="21"/>
                    </w:rPr>
                    <w:t>物  料  名  称</w:t>
                  </w:r>
                </w:p>
              </w:tc>
              <w:tc>
                <w:tcPr>
                  <w:tcW w:w="1133" w:type="dxa"/>
                  <w:vAlign w:val="center"/>
                </w:tcPr>
                <w:p w14:paraId="6473CE75">
                  <w:pPr>
                    <w:spacing w:line="320" w:lineRule="exact"/>
                    <w:jc w:val="center"/>
                    <w:rPr>
                      <w:rFonts w:ascii="Times New Roman" w:hAnsi="Times New Roman" w:cs="Times New Roman" w:eastAsiaTheme="minorEastAsia"/>
                      <w:b/>
                      <w:szCs w:val="21"/>
                    </w:rPr>
                  </w:pPr>
                  <w:r>
                    <w:rPr>
                      <w:rFonts w:ascii="Times New Roman" w:hAnsi="Times New Roman" w:cs="Times New Roman" w:eastAsiaTheme="minorEastAsia"/>
                      <w:b/>
                      <w:szCs w:val="21"/>
                    </w:rPr>
                    <w:t>单位</w:t>
                  </w:r>
                </w:p>
              </w:tc>
              <w:tc>
                <w:tcPr>
                  <w:tcW w:w="1326" w:type="dxa"/>
                  <w:vAlign w:val="center"/>
                </w:tcPr>
                <w:p w14:paraId="49C43BB7">
                  <w:pPr>
                    <w:spacing w:line="320" w:lineRule="exact"/>
                    <w:jc w:val="center"/>
                    <w:rPr>
                      <w:rFonts w:ascii="Times New Roman" w:hAnsi="Times New Roman" w:cs="Times New Roman" w:eastAsiaTheme="minorEastAsia"/>
                      <w:b/>
                      <w:szCs w:val="21"/>
                    </w:rPr>
                  </w:pPr>
                  <w:r>
                    <w:rPr>
                      <w:rFonts w:ascii="Times New Roman" w:hAnsi="Times New Roman" w:cs="Times New Roman" w:eastAsiaTheme="minorEastAsia"/>
                      <w:b/>
                      <w:szCs w:val="21"/>
                    </w:rPr>
                    <w:t>年消耗量</w:t>
                  </w:r>
                </w:p>
              </w:tc>
              <w:tc>
                <w:tcPr>
                  <w:tcW w:w="2528" w:type="dxa"/>
                  <w:vAlign w:val="center"/>
                </w:tcPr>
                <w:p w14:paraId="0833BF4A">
                  <w:pPr>
                    <w:spacing w:line="320" w:lineRule="exact"/>
                    <w:jc w:val="center"/>
                    <w:rPr>
                      <w:rFonts w:ascii="Times New Roman" w:hAnsi="Times New Roman" w:cs="Times New Roman" w:eastAsiaTheme="minorEastAsia"/>
                      <w:b/>
                      <w:szCs w:val="21"/>
                    </w:rPr>
                  </w:pPr>
                  <w:r>
                    <w:rPr>
                      <w:rFonts w:ascii="Times New Roman" w:hAnsi="Times New Roman" w:cs="Times New Roman" w:eastAsiaTheme="minorEastAsia"/>
                      <w:b/>
                      <w:szCs w:val="21"/>
                    </w:rPr>
                    <w:t>备注</w:t>
                  </w:r>
                </w:p>
              </w:tc>
            </w:tr>
            <w:tr w14:paraId="0E40A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Align w:val="center"/>
                </w:tcPr>
                <w:p w14:paraId="200E77B8">
                  <w:pPr>
                    <w:spacing w:line="320" w:lineRule="exact"/>
                    <w:jc w:val="center"/>
                    <w:rPr>
                      <w:rFonts w:ascii="Times New Roman" w:hAnsi="Times New Roman" w:cs="Times New Roman" w:eastAsiaTheme="minorEastAsia"/>
                      <w:b/>
                      <w:bCs/>
                      <w:szCs w:val="21"/>
                    </w:rPr>
                  </w:pPr>
                  <w:r>
                    <w:rPr>
                      <w:rFonts w:ascii="Times New Roman" w:hAnsi="Times New Roman" w:cs="Times New Roman" w:eastAsiaTheme="minorEastAsia"/>
                      <w:b/>
                      <w:bCs/>
                      <w:szCs w:val="21"/>
                    </w:rPr>
                    <w:t>一</w:t>
                  </w:r>
                </w:p>
              </w:tc>
              <w:tc>
                <w:tcPr>
                  <w:tcW w:w="3162" w:type="dxa"/>
                  <w:vAlign w:val="center"/>
                </w:tcPr>
                <w:p w14:paraId="6613812B">
                  <w:pPr>
                    <w:pStyle w:val="560"/>
                    <w:spacing w:line="320" w:lineRule="exact"/>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原材料</w:t>
                  </w:r>
                  <w:r>
                    <w:rPr>
                      <w:rFonts w:ascii="Times New Roman" w:hAnsi="Times New Roman" w:cs="Times New Roman" w:eastAsiaTheme="minorEastAsia"/>
                      <w:b w:val="0"/>
                      <w:kern w:val="2"/>
                      <w:sz w:val="21"/>
                      <w:szCs w:val="21"/>
                    </w:rPr>
                    <w:t>（</w:t>
                  </w:r>
                  <w:r>
                    <w:rPr>
                      <w:rFonts w:ascii="Times New Roman" w:hAnsi="Times New Roman" w:cs="Times New Roman" w:eastAsiaTheme="minorEastAsia"/>
                      <w:b w:val="0"/>
                      <w:sz w:val="21"/>
                      <w:szCs w:val="21"/>
                    </w:rPr>
                    <w:t>天然气</w:t>
                  </w:r>
                  <w:r>
                    <w:rPr>
                      <w:rFonts w:ascii="Times New Roman" w:hAnsi="Times New Roman" w:cs="Times New Roman" w:eastAsiaTheme="minorEastAsia"/>
                      <w:b w:val="0"/>
                      <w:kern w:val="2"/>
                      <w:sz w:val="21"/>
                      <w:szCs w:val="21"/>
                    </w:rPr>
                    <w:t>）</w:t>
                  </w:r>
                </w:p>
              </w:tc>
              <w:tc>
                <w:tcPr>
                  <w:tcW w:w="1133" w:type="dxa"/>
                  <w:vAlign w:val="center"/>
                </w:tcPr>
                <w:p w14:paraId="154F38B9">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10</w:t>
                  </w:r>
                  <w:r>
                    <w:rPr>
                      <w:rFonts w:ascii="Times New Roman" w:hAnsi="Times New Roman" w:cs="Times New Roman" w:eastAsiaTheme="minorEastAsia"/>
                      <w:szCs w:val="21"/>
                      <w:vertAlign w:val="superscript"/>
                    </w:rPr>
                    <w:t>8</w:t>
                  </w:r>
                  <w:r>
                    <w:rPr>
                      <w:rFonts w:ascii="Times New Roman" w:hAnsi="Times New Roman" w:cs="Times New Roman" w:eastAsiaTheme="minorEastAsia"/>
                      <w:szCs w:val="21"/>
                    </w:rPr>
                    <w:t>Nm</w:t>
                  </w:r>
                  <w:r>
                    <w:rPr>
                      <w:rFonts w:ascii="Times New Roman" w:hAnsi="Times New Roman" w:cs="Times New Roman" w:eastAsiaTheme="minorEastAsia"/>
                      <w:szCs w:val="21"/>
                      <w:vertAlign w:val="superscript"/>
                    </w:rPr>
                    <w:t>3</w:t>
                  </w:r>
                </w:p>
              </w:tc>
              <w:tc>
                <w:tcPr>
                  <w:tcW w:w="1326" w:type="dxa"/>
                  <w:vAlign w:val="center"/>
                </w:tcPr>
                <w:p w14:paraId="1B3FCC7A">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3.3</w:t>
                  </w:r>
                  <w:r>
                    <w:rPr>
                      <w:sz w:val="24"/>
                    </w:rPr>
                    <w:t>m</w:t>
                  </w:r>
                  <w:r>
                    <w:rPr>
                      <w:sz w:val="24"/>
                      <w:vertAlign w:val="superscript"/>
                    </w:rPr>
                    <w:t>3</w:t>
                  </w:r>
                  <w:r>
                    <w:rPr>
                      <w:sz w:val="24"/>
                    </w:rPr>
                    <w:t>/a</w:t>
                  </w:r>
                </w:p>
              </w:tc>
              <w:tc>
                <w:tcPr>
                  <w:tcW w:w="2528" w:type="dxa"/>
                  <w:vAlign w:val="center"/>
                </w:tcPr>
                <w:p w14:paraId="799431CB">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状态：气态；</w:t>
                  </w:r>
                </w:p>
                <w:p w14:paraId="454731E8">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压力：4.0~4.4MPag</w:t>
                  </w:r>
                </w:p>
                <w:p w14:paraId="5752602E">
                  <w:pPr>
                    <w:spacing w:line="320" w:lineRule="exact"/>
                    <w:jc w:val="center"/>
                    <w:rPr>
                      <w:rFonts w:ascii="Times New Roman" w:hAnsi="Times New Roman" w:cs="Times New Roman" w:eastAsiaTheme="minorEastAsia"/>
                      <w:b/>
                      <w:szCs w:val="21"/>
                    </w:rPr>
                  </w:pPr>
                  <w:r>
                    <w:rPr>
                      <w:rFonts w:ascii="Times New Roman" w:hAnsi="Times New Roman" w:cs="Times New Roman" w:eastAsiaTheme="minorEastAsia"/>
                      <w:szCs w:val="21"/>
                    </w:rPr>
                    <w:t>温度：常温</w:t>
                  </w:r>
                </w:p>
              </w:tc>
            </w:tr>
            <w:tr w14:paraId="2A50E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Align w:val="center"/>
                </w:tcPr>
                <w:p w14:paraId="6199272D">
                  <w:pPr>
                    <w:spacing w:line="320" w:lineRule="exact"/>
                    <w:jc w:val="center"/>
                    <w:rPr>
                      <w:rFonts w:ascii="Times New Roman" w:hAnsi="Times New Roman" w:cs="Times New Roman" w:eastAsiaTheme="minorEastAsia"/>
                      <w:b/>
                      <w:bCs/>
                      <w:szCs w:val="21"/>
                    </w:rPr>
                  </w:pPr>
                  <w:r>
                    <w:rPr>
                      <w:rFonts w:ascii="Times New Roman" w:hAnsi="Times New Roman" w:cs="Times New Roman" w:eastAsiaTheme="minorEastAsia"/>
                      <w:b/>
                      <w:bCs/>
                      <w:szCs w:val="21"/>
                    </w:rPr>
                    <w:t>二</w:t>
                  </w:r>
                </w:p>
              </w:tc>
              <w:tc>
                <w:tcPr>
                  <w:tcW w:w="3162" w:type="dxa"/>
                  <w:vAlign w:val="center"/>
                </w:tcPr>
                <w:p w14:paraId="4B80CD9A">
                  <w:pPr>
                    <w:pStyle w:val="560"/>
                    <w:spacing w:line="320" w:lineRule="exact"/>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辅助材料</w:t>
                  </w:r>
                </w:p>
              </w:tc>
              <w:tc>
                <w:tcPr>
                  <w:tcW w:w="1133" w:type="dxa"/>
                  <w:vAlign w:val="center"/>
                </w:tcPr>
                <w:p w14:paraId="275C6823">
                  <w:pPr>
                    <w:spacing w:line="320" w:lineRule="exact"/>
                    <w:jc w:val="center"/>
                    <w:rPr>
                      <w:rFonts w:ascii="Times New Roman" w:hAnsi="Times New Roman" w:cs="Times New Roman" w:eastAsiaTheme="minorEastAsia"/>
                      <w:szCs w:val="21"/>
                    </w:rPr>
                  </w:pPr>
                </w:p>
              </w:tc>
              <w:tc>
                <w:tcPr>
                  <w:tcW w:w="1326" w:type="dxa"/>
                  <w:vAlign w:val="center"/>
                </w:tcPr>
                <w:p w14:paraId="1F13BC5E">
                  <w:pPr>
                    <w:spacing w:line="320" w:lineRule="exact"/>
                    <w:jc w:val="center"/>
                    <w:rPr>
                      <w:rFonts w:ascii="Times New Roman" w:hAnsi="Times New Roman" w:cs="Times New Roman" w:eastAsiaTheme="minorEastAsia"/>
                      <w:b/>
                      <w:szCs w:val="21"/>
                    </w:rPr>
                  </w:pPr>
                </w:p>
              </w:tc>
              <w:tc>
                <w:tcPr>
                  <w:tcW w:w="2528" w:type="dxa"/>
                  <w:vAlign w:val="center"/>
                </w:tcPr>
                <w:p w14:paraId="532E17B9">
                  <w:pPr>
                    <w:spacing w:line="320" w:lineRule="exact"/>
                    <w:jc w:val="center"/>
                    <w:rPr>
                      <w:rFonts w:ascii="Times New Roman" w:hAnsi="Times New Roman" w:cs="Times New Roman" w:eastAsiaTheme="minorEastAsia"/>
                      <w:b/>
                      <w:szCs w:val="21"/>
                    </w:rPr>
                  </w:pPr>
                </w:p>
              </w:tc>
            </w:tr>
            <w:tr w14:paraId="0B1B3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Align w:val="center"/>
                </w:tcPr>
                <w:p w14:paraId="7D0E3C6F">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1</w:t>
                  </w:r>
                </w:p>
              </w:tc>
              <w:tc>
                <w:tcPr>
                  <w:tcW w:w="3162" w:type="dxa"/>
                  <w:vAlign w:val="center"/>
                </w:tcPr>
                <w:p w14:paraId="26316D68">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脱水干燥剂</w:t>
                  </w:r>
                  <w:r>
                    <w:rPr>
                      <w:rFonts w:hint="eastAsia" w:ascii="Times New Roman" w:hAnsi="Times New Roman" w:cs="Times New Roman" w:eastAsiaTheme="minorEastAsia"/>
                      <w:szCs w:val="21"/>
                    </w:rPr>
                    <w:t>（</w:t>
                  </w:r>
                  <w:r>
                    <w:rPr>
                      <w:rFonts w:ascii="Times New Roman" w:hAnsi="Times New Roman" w:cs="Times New Roman" w:eastAsiaTheme="minorEastAsia"/>
                      <w:szCs w:val="21"/>
                    </w:rPr>
                    <w:t>分子筛</w:t>
                  </w:r>
                  <w:r>
                    <w:rPr>
                      <w:rFonts w:hint="eastAsia" w:ascii="Times New Roman" w:hAnsi="Times New Roman" w:cs="Times New Roman" w:eastAsiaTheme="minorEastAsia"/>
                      <w:szCs w:val="21"/>
                    </w:rPr>
                    <w:t>）</w:t>
                  </w:r>
                </w:p>
              </w:tc>
              <w:tc>
                <w:tcPr>
                  <w:tcW w:w="1133" w:type="dxa"/>
                  <w:vAlign w:val="center"/>
                </w:tcPr>
                <w:p w14:paraId="513EE4A7">
                  <w:pPr>
                    <w:spacing w:line="280" w:lineRule="atLeast"/>
                    <w:jc w:val="center"/>
                    <w:rPr>
                      <w:rFonts w:ascii="Times New Roman" w:hAnsi="Times New Roman" w:cs="Times New Roman" w:eastAsiaTheme="minorEastAsia"/>
                      <w:szCs w:val="21"/>
                    </w:rPr>
                  </w:pPr>
                  <w:r>
                    <w:rPr>
                      <w:rFonts w:ascii="Times New Roman" w:hAnsi="Times New Roman" w:cs="Times New Roman" w:eastAsiaTheme="minorEastAsia"/>
                      <w:szCs w:val="21"/>
                    </w:rPr>
                    <w:t>t/a</w:t>
                  </w:r>
                </w:p>
              </w:tc>
              <w:tc>
                <w:tcPr>
                  <w:tcW w:w="1326" w:type="dxa"/>
                  <w:vAlign w:val="center"/>
                </w:tcPr>
                <w:p w14:paraId="74D6CB82">
                  <w:pPr>
                    <w:spacing w:line="280" w:lineRule="atLeast"/>
                    <w:jc w:val="center"/>
                    <w:rPr>
                      <w:rFonts w:ascii="Times New Roman" w:hAnsi="Times New Roman" w:cs="Times New Roman" w:eastAsiaTheme="minorEastAsia"/>
                      <w:szCs w:val="21"/>
                    </w:rPr>
                  </w:pPr>
                  <w:r>
                    <w:rPr>
                      <w:rFonts w:ascii="Times New Roman" w:hAnsi="Times New Roman" w:cs="Times New Roman" w:eastAsiaTheme="minorEastAsia"/>
                      <w:szCs w:val="21"/>
                    </w:rPr>
                    <w:t>18</w:t>
                  </w:r>
                </w:p>
              </w:tc>
              <w:tc>
                <w:tcPr>
                  <w:tcW w:w="2528" w:type="dxa"/>
                  <w:vAlign w:val="center"/>
                </w:tcPr>
                <w:p w14:paraId="6F4A2931">
                  <w:pPr>
                    <w:spacing w:line="280" w:lineRule="atLeast"/>
                    <w:jc w:val="center"/>
                    <w:rPr>
                      <w:rFonts w:ascii="Times New Roman" w:hAnsi="Times New Roman" w:cs="Times New Roman" w:eastAsiaTheme="minorEastAsia"/>
                      <w:szCs w:val="21"/>
                    </w:rPr>
                  </w:pPr>
                  <w:r>
                    <w:rPr>
                      <w:rFonts w:ascii="Times New Roman" w:hAnsi="Times New Roman" w:cs="Times New Roman" w:eastAsiaTheme="minorEastAsia"/>
                      <w:szCs w:val="21"/>
                    </w:rPr>
                    <w:t>一次性投入，4年更换</w:t>
                  </w:r>
                </w:p>
              </w:tc>
            </w:tr>
            <w:tr w14:paraId="0B74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Align w:val="center"/>
                </w:tcPr>
                <w:p w14:paraId="2F116056">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2</w:t>
                  </w:r>
                </w:p>
              </w:tc>
              <w:tc>
                <w:tcPr>
                  <w:tcW w:w="3162" w:type="dxa"/>
                  <w:vAlign w:val="center"/>
                </w:tcPr>
                <w:p w14:paraId="48A98AE0">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活性炭吸附剂</w:t>
                  </w:r>
                </w:p>
              </w:tc>
              <w:tc>
                <w:tcPr>
                  <w:tcW w:w="1133" w:type="dxa"/>
                  <w:vAlign w:val="center"/>
                </w:tcPr>
                <w:p w14:paraId="2B417FBB">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t/a</w:t>
                  </w:r>
                </w:p>
              </w:tc>
              <w:tc>
                <w:tcPr>
                  <w:tcW w:w="1326" w:type="dxa"/>
                  <w:vAlign w:val="center"/>
                </w:tcPr>
                <w:p w14:paraId="0ACDDFEF">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2.1</w:t>
                  </w:r>
                </w:p>
              </w:tc>
              <w:tc>
                <w:tcPr>
                  <w:tcW w:w="2528" w:type="dxa"/>
                  <w:vAlign w:val="center"/>
                </w:tcPr>
                <w:p w14:paraId="171493BE">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一次性投入，4年更换</w:t>
                  </w:r>
                </w:p>
              </w:tc>
            </w:tr>
            <w:tr w14:paraId="3C0A2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Align w:val="center"/>
                </w:tcPr>
                <w:p w14:paraId="11F24B2F">
                  <w:pPr>
                    <w:spacing w:line="320" w:lineRule="exact"/>
                    <w:jc w:val="center"/>
                    <w:rPr>
                      <w:rFonts w:ascii="Times New Roman" w:hAnsi="Times New Roman" w:cs="Times New Roman" w:eastAsiaTheme="minorEastAsia"/>
                      <w:szCs w:val="21"/>
                    </w:rPr>
                  </w:pPr>
                </w:p>
              </w:tc>
              <w:tc>
                <w:tcPr>
                  <w:tcW w:w="3162" w:type="dxa"/>
                  <w:vAlign w:val="center"/>
                </w:tcPr>
                <w:p w14:paraId="173B09C4">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脱汞吸附剂</w:t>
                  </w:r>
                </w:p>
              </w:tc>
              <w:tc>
                <w:tcPr>
                  <w:tcW w:w="1133" w:type="dxa"/>
                  <w:vAlign w:val="center"/>
                </w:tcPr>
                <w:p w14:paraId="4EF266D0">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t/a</w:t>
                  </w:r>
                </w:p>
              </w:tc>
              <w:tc>
                <w:tcPr>
                  <w:tcW w:w="1326" w:type="dxa"/>
                  <w:vAlign w:val="center"/>
                </w:tcPr>
                <w:p w14:paraId="445F25C2">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3.5</w:t>
                  </w:r>
                </w:p>
              </w:tc>
              <w:tc>
                <w:tcPr>
                  <w:tcW w:w="2528" w:type="dxa"/>
                  <w:vAlign w:val="center"/>
                </w:tcPr>
                <w:p w14:paraId="11386868">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一次性投入，4年更换</w:t>
                  </w:r>
                </w:p>
              </w:tc>
            </w:tr>
            <w:tr w14:paraId="2717A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Align w:val="center"/>
                </w:tcPr>
                <w:p w14:paraId="6D1ED64A">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3</w:t>
                  </w:r>
                </w:p>
              </w:tc>
              <w:tc>
                <w:tcPr>
                  <w:tcW w:w="3162" w:type="dxa"/>
                  <w:vAlign w:val="center"/>
                </w:tcPr>
                <w:p w14:paraId="530FB431">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MDEA（N-甲基二乙醇胺）</w:t>
                  </w:r>
                </w:p>
              </w:tc>
              <w:tc>
                <w:tcPr>
                  <w:tcW w:w="1133" w:type="dxa"/>
                  <w:vAlign w:val="center"/>
                </w:tcPr>
                <w:p w14:paraId="1C809771">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t/a</w:t>
                  </w:r>
                </w:p>
              </w:tc>
              <w:tc>
                <w:tcPr>
                  <w:tcW w:w="1326" w:type="dxa"/>
                  <w:vAlign w:val="center"/>
                </w:tcPr>
                <w:p w14:paraId="0C3E8326">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40</w:t>
                  </w:r>
                </w:p>
              </w:tc>
              <w:tc>
                <w:tcPr>
                  <w:tcW w:w="2528" w:type="dxa"/>
                  <w:vAlign w:val="center"/>
                </w:tcPr>
                <w:p w14:paraId="553A0C04">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一次性投入，4年更换</w:t>
                  </w:r>
                </w:p>
                <w:p w14:paraId="2EEBCCAC">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每年补充0.35t</w:t>
                  </w:r>
                </w:p>
              </w:tc>
            </w:tr>
            <w:tr w14:paraId="5D9E8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Align w:val="center"/>
                </w:tcPr>
                <w:p w14:paraId="51593396">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4</w:t>
                  </w:r>
                </w:p>
              </w:tc>
              <w:tc>
                <w:tcPr>
                  <w:tcW w:w="3162" w:type="dxa"/>
                  <w:vAlign w:val="center"/>
                </w:tcPr>
                <w:p w14:paraId="661CE8F7">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乙烯（制冷剂）</w:t>
                  </w:r>
                </w:p>
              </w:tc>
              <w:tc>
                <w:tcPr>
                  <w:tcW w:w="1133" w:type="dxa"/>
                  <w:vAlign w:val="center"/>
                </w:tcPr>
                <w:p w14:paraId="7E224603">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t/a</w:t>
                  </w:r>
                </w:p>
              </w:tc>
              <w:tc>
                <w:tcPr>
                  <w:tcW w:w="1326" w:type="dxa"/>
                  <w:vAlign w:val="center"/>
                </w:tcPr>
                <w:p w14:paraId="03E4CBB8">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2</w:t>
                  </w:r>
                </w:p>
              </w:tc>
              <w:tc>
                <w:tcPr>
                  <w:tcW w:w="2528" w:type="dxa"/>
                  <w:vMerge w:val="restart"/>
                  <w:vAlign w:val="center"/>
                </w:tcPr>
                <w:p w14:paraId="7B67F13C">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定期补充</w:t>
                  </w:r>
                </w:p>
              </w:tc>
            </w:tr>
            <w:tr w14:paraId="5A806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798" w:type="dxa"/>
                  <w:vAlign w:val="center"/>
                </w:tcPr>
                <w:p w14:paraId="26E569B6">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5</w:t>
                  </w:r>
                </w:p>
              </w:tc>
              <w:tc>
                <w:tcPr>
                  <w:tcW w:w="3162" w:type="dxa"/>
                  <w:vAlign w:val="center"/>
                </w:tcPr>
                <w:p w14:paraId="4A152F9A">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丙烷（制冷剂）</w:t>
                  </w:r>
                </w:p>
              </w:tc>
              <w:tc>
                <w:tcPr>
                  <w:tcW w:w="1133" w:type="dxa"/>
                  <w:vAlign w:val="center"/>
                </w:tcPr>
                <w:p w14:paraId="29D00189">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t/a</w:t>
                  </w:r>
                </w:p>
              </w:tc>
              <w:tc>
                <w:tcPr>
                  <w:tcW w:w="1326" w:type="dxa"/>
                  <w:vAlign w:val="center"/>
                </w:tcPr>
                <w:p w14:paraId="2BD7AF66">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1</w:t>
                  </w:r>
                </w:p>
              </w:tc>
              <w:tc>
                <w:tcPr>
                  <w:tcW w:w="2528" w:type="dxa"/>
                  <w:vMerge w:val="continue"/>
                  <w:vAlign w:val="center"/>
                </w:tcPr>
                <w:p w14:paraId="0C70B29A">
                  <w:pPr>
                    <w:spacing w:line="320" w:lineRule="exact"/>
                    <w:jc w:val="center"/>
                    <w:rPr>
                      <w:rFonts w:ascii="Times New Roman" w:hAnsi="Times New Roman" w:cs="Times New Roman" w:eastAsiaTheme="minorEastAsia"/>
                      <w:szCs w:val="21"/>
                    </w:rPr>
                  </w:pPr>
                </w:p>
              </w:tc>
            </w:tr>
            <w:tr w14:paraId="601F0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Align w:val="center"/>
                </w:tcPr>
                <w:p w14:paraId="0B5E3B7D">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6</w:t>
                  </w:r>
                </w:p>
              </w:tc>
              <w:tc>
                <w:tcPr>
                  <w:tcW w:w="3162" w:type="dxa"/>
                  <w:vAlign w:val="center"/>
                </w:tcPr>
                <w:p w14:paraId="391CE827">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异戊烷（制冷剂）</w:t>
                  </w:r>
                </w:p>
              </w:tc>
              <w:tc>
                <w:tcPr>
                  <w:tcW w:w="1133" w:type="dxa"/>
                  <w:vAlign w:val="center"/>
                </w:tcPr>
                <w:p w14:paraId="2502ED6C">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t/a</w:t>
                  </w:r>
                </w:p>
              </w:tc>
              <w:tc>
                <w:tcPr>
                  <w:tcW w:w="1326" w:type="dxa"/>
                  <w:vAlign w:val="center"/>
                </w:tcPr>
                <w:p w14:paraId="7C5B061F">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5</w:t>
                  </w:r>
                </w:p>
              </w:tc>
              <w:tc>
                <w:tcPr>
                  <w:tcW w:w="2528" w:type="dxa"/>
                  <w:vMerge w:val="continue"/>
                  <w:vAlign w:val="center"/>
                </w:tcPr>
                <w:p w14:paraId="4B06D4D0">
                  <w:pPr>
                    <w:spacing w:line="320" w:lineRule="exact"/>
                    <w:jc w:val="center"/>
                    <w:rPr>
                      <w:rFonts w:ascii="Times New Roman" w:hAnsi="Times New Roman" w:cs="Times New Roman" w:eastAsiaTheme="minorEastAsia"/>
                      <w:szCs w:val="21"/>
                    </w:rPr>
                  </w:pPr>
                </w:p>
              </w:tc>
            </w:tr>
            <w:tr w14:paraId="29730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98" w:type="dxa"/>
                  <w:vAlign w:val="center"/>
                </w:tcPr>
                <w:p w14:paraId="220EC236">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7</w:t>
                  </w:r>
                </w:p>
              </w:tc>
              <w:tc>
                <w:tcPr>
                  <w:tcW w:w="3162" w:type="dxa"/>
                  <w:vAlign w:val="center"/>
                </w:tcPr>
                <w:p w14:paraId="2B3D6277">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液氮（制冷剂）</w:t>
                  </w:r>
                </w:p>
              </w:tc>
              <w:tc>
                <w:tcPr>
                  <w:tcW w:w="1133" w:type="dxa"/>
                  <w:vAlign w:val="center"/>
                </w:tcPr>
                <w:p w14:paraId="6CF748B1">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m</w:t>
                  </w:r>
                  <w:r>
                    <w:rPr>
                      <w:rFonts w:ascii="Times New Roman" w:hAnsi="Times New Roman" w:cs="Times New Roman" w:eastAsiaTheme="minorEastAsia"/>
                      <w:szCs w:val="21"/>
                      <w:vertAlign w:val="superscript"/>
                    </w:rPr>
                    <w:t>3</w:t>
                  </w:r>
                  <w:r>
                    <w:rPr>
                      <w:rFonts w:ascii="Times New Roman" w:hAnsi="Times New Roman" w:cs="Times New Roman" w:eastAsiaTheme="minorEastAsia"/>
                      <w:szCs w:val="21"/>
                    </w:rPr>
                    <w:t>/a</w:t>
                  </w:r>
                </w:p>
              </w:tc>
              <w:tc>
                <w:tcPr>
                  <w:tcW w:w="1326" w:type="dxa"/>
                  <w:vAlign w:val="center"/>
                </w:tcPr>
                <w:p w14:paraId="65ACA9DB">
                  <w:pPr>
                    <w:spacing w:line="320" w:lineRule="exact"/>
                    <w:jc w:val="center"/>
                    <w:rPr>
                      <w:rFonts w:ascii="Times New Roman" w:hAnsi="Times New Roman" w:cs="Times New Roman" w:eastAsiaTheme="minorEastAsia"/>
                      <w:szCs w:val="21"/>
                      <w:vertAlign w:val="superscript"/>
                    </w:rPr>
                  </w:pPr>
                  <w:r>
                    <w:rPr>
                      <w:rFonts w:ascii="Times New Roman" w:hAnsi="Times New Roman" w:cs="Times New Roman" w:eastAsiaTheme="minorEastAsia"/>
                      <w:szCs w:val="21"/>
                    </w:rPr>
                    <w:t>8×10</w:t>
                  </w:r>
                  <w:r>
                    <w:rPr>
                      <w:rFonts w:ascii="Times New Roman" w:hAnsi="Times New Roman" w:cs="Times New Roman" w:eastAsiaTheme="minorEastAsia"/>
                      <w:szCs w:val="21"/>
                      <w:vertAlign w:val="superscript"/>
                    </w:rPr>
                    <w:t>6</w:t>
                  </w:r>
                </w:p>
              </w:tc>
              <w:tc>
                <w:tcPr>
                  <w:tcW w:w="2528" w:type="dxa"/>
                  <w:vMerge w:val="continue"/>
                  <w:vAlign w:val="center"/>
                </w:tcPr>
                <w:p w14:paraId="2BFD24A1">
                  <w:pPr>
                    <w:spacing w:line="320" w:lineRule="exact"/>
                    <w:jc w:val="center"/>
                    <w:rPr>
                      <w:rFonts w:ascii="Times New Roman" w:hAnsi="Times New Roman" w:cs="Times New Roman" w:eastAsiaTheme="minorEastAsia"/>
                      <w:szCs w:val="21"/>
                    </w:rPr>
                  </w:pPr>
                </w:p>
              </w:tc>
            </w:tr>
            <w:tr w14:paraId="5D788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Align w:val="center"/>
                </w:tcPr>
                <w:p w14:paraId="3CFF6970">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8</w:t>
                  </w:r>
                </w:p>
              </w:tc>
              <w:tc>
                <w:tcPr>
                  <w:tcW w:w="3162" w:type="dxa"/>
                  <w:vAlign w:val="center"/>
                </w:tcPr>
                <w:p w14:paraId="2D7CD457">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导热油</w:t>
                  </w:r>
                </w:p>
              </w:tc>
              <w:tc>
                <w:tcPr>
                  <w:tcW w:w="1133" w:type="dxa"/>
                  <w:vAlign w:val="center"/>
                </w:tcPr>
                <w:p w14:paraId="28EAE19A">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t/a</w:t>
                  </w:r>
                </w:p>
              </w:tc>
              <w:tc>
                <w:tcPr>
                  <w:tcW w:w="1326" w:type="dxa"/>
                  <w:vAlign w:val="center"/>
                </w:tcPr>
                <w:p w14:paraId="55DD9C2C">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21</w:t>
                  </w:r>
                </w:p>
              </w:tc>
              <w:tc>
                <w:tcPr>
                  <w:tcW w:w="2528" w:type="dxa"/>
                  <w:vAlign w:val="center"/>
                </w:tcPr>
                <w:p w14:paraId="31BD2BE9">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一次性投入，4年更换</w:t>
                  </w:r>
                </w:p>
                <w:p w14:paraId="414A6103">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每年补充0. 5t</w:t>
                  </w:r>
                </w:p>
              </w:tc>
            </w:tr>
          </w:tbl>
          <w:p w14:paraId="731F8ED7">
            <w:pPr>
              <w:ind w:firstLine="520"/>
              <w:jc w:val="center"/>
              <w:rPr>
                <w:rFonts w:ascii="Times New Roman" w:hAnsi="Times New Roman" w:cs="Times New Roman" w:eastAsiaTheme="minorEastAsia"/>
                <w:bCs/>
                <w:szCs w:val="21"/>
              </w:rPr>
            </w:pPr>
            <w:bookmarkStart w:id="3" w:name="_Toc235532851"/>
            <w:bookmarkStart w:id="4" w:name="_Toc200163379"/>
          </w:p>
          <w:p w14:paraId="1CB7B655">
            <w:pPr>
              <w:jc w:val="center"/>
              <w:rPr>
                <w:rFonts w:ascii="Times New Roman" w:hAnsi="Times New Roman" w:cs="Times New Roman" w:eastAsiaTheme="minorEastAsia"/>
                <w:bCs/>
                <w:sz w:val="24"/>
              </w:rPr>
            </w:pPr>
            <w:r>
              <w:rPr>
                <w:rFonts w:ascii="Times New Roman" w:hAnsi="Times New Roman" w:cs="Times New Roman" w:eastAsiaTheme="minorEastAsia"/>
                <w:bCs/>
                <w:sz w:val="24"/>
              </w:rPr>
              <w:t>表2.3-3   涪陵区页岩气组成成分</w:t>
            </w:r>
          </w:p>
          <w:tbl>
            <w:tblPr>
              <w:tblStyle w:val="81"/>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981"/>
              <w:gridCol w:w="2983"/>
              <w:gridCol w:w="2983"/>
            </w:tblGrid>
            <w:tr w14:paraId="1A04A0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981" w:type="dxa"/>
                  <w:vAlign w:val="center"/>
                </w:tcPr>
                <w:p w14:paraId="4EDAA7D4">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介质</w:t>
                  </w:r>
                </w:p>
              </w:tc>
              <w:tc>
                <w:tcPr>
                  <w:tcW w:w="2983" w:type="dxa"/>
                  <w:vAlign w:val="center"/>
                </w:tcPr>
                <w:p w14:paraId="35655EC3">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单位</w:t>
                  </w:r>
                </w:p>
              </w:tc>
              <w:tc>
                <w:tcPr>
                  <w:tcW w:w="2983" w:type="dxa"/>
                  <w:vAlign w:val="center"/>
                </w:tcPr>
                <w:p w14:paraId="0CF12427">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比例</w:t>
                  </w:r>
                </w:p>
              </w:tc>
            </w:tr>
            <w:tr w14:paraId="351D99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981" w:type="dxa"/>
                  <w:vAlign w:val="center"/>
                </w:tcPr>
                <w:p w14:paraId="3E872D73">
                  <w:pPr>
                    <w:spacing w:line="320" w:lineRule="exact"/>
                    <w:jc w:val="center"/>
                    <w:rPr>
                      <w:rFonts w:ascii="Times New Roman" w:hAnsi="Times New Roman" w:cs="Times New Roman" w:eastAsiaTheme="minorEastAsia"/>
                      <w:szCs w:val="21"/>
                    </w:rPr>
                  </w:pPr>
                  <w:bookmarkStart w:id="5" w:name="_Hlk264570645"/>
                  <w:r>
                    <w:rPr>
                      <w:rFonts w:ascii="Times New Roman" w:hAnsi="Times New Roman" w:cs="Times New Roman" w:eastAsiaTheme="minorEastAsia"/>
                      <w:szCs w:val="21"/>
                    </w:rPr>
                    <w:t>甲烷</w:t>
                  </w:r>
                </w:p>
              </w:tc>
              <w:tc>
                <w:tcPr>
                  <w:tcW w:w="2983" w:type="dxa"/>
                  <w:vAlign w:val="center"/>
                </w:tcPr>
                <w:p w14:paraId="62E76F70">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%（mol）</w:t>
                  </w:r>
                </w:p>
              </w:tc>
              <w:tc>
                <w:tcPr>
                  <w:tcW w:w="2983" w:type="dxa"/>
                  <w:vAlign w:val="center"/>
                </w:tcPr>
                <w:p w14:paraId="63AB13A5">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98.097</w:t>
                  </w:r>
                </w:p>
              </w:tc>
            </w:tr>
            <w:tr w14:paraId="084777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981" w:type="dxa"/>
                  <w:vAlign w:val="center"/>
                </w:tcPr>
                <w:p w14:paraId="4B9F46EB">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氢气</w:t>
                  </w:r>
                </w:p>
              </w:tc>
              <w:tc>
                <w:tcPr>
                  <w:tcW w:w="2983" w:type="dxa"/>
                  <w:vAlign w:val="center"/>
                </w:tcPr>
                <w:p w14:paraId="387070C0">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%（mol）</w:t>
                  </w:r>
                </w:p>
              </w:tc>
              <w:tc>
                <w:tcPr>
                  <w:tcW w:w="2983" w:type="dxa"/>
                  <w:vAlign w:val="center"/>
                </w:tcPr>
                <w:p w14:paraId="4CA24540">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w:t>
                  </w:r>
                </w:p>
              </w:tc>
            </w:tr>
            <w:tr w14:paraId="6A9476B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981" w:type="dxa"/>
                  <w:vAlign w:val="center"/>
                </w:tcPr>
                <w:p w14:paraId="38BB7086">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氦气</w:t>
                  </w:r>
                </w:p>
              </w:tc>
              <w:tc>
                <w:tcPr>
                  <w:tcW w:w="2983" w:type="dxa"/>
                  <w:vAlign w:val="center"/>
                </w:tcPr>
                <w:p w14:paraId="09D88592">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%（mol）</w:t>
                  </w:r>
                </w:p>
              </w:tc>
              <w:tc>
                <w:tcPr>
                  <w:tcW w:w="2983" w:type="dxa"/>
                  <w:vAlign w:val="center"/>
                </w:tcPr>
                <w:p w14:paraId="5288F10E">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0.037</w:t>
                  </w:r>
                </w:p>
              </w:tc>
            </w:tr>
            <w:tr w14:paraId="5FE19FC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981" w:type="dxa"/>
                  <w:vAlign w:val="center"/>
                </w:tcPr>
                <w:p w14:paraId="5C9AE8AD">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氮气</w:t>
                  </w:r>
                </w:p>
              </w:tc>
              <w:tc>
                <w:tcPr>
                  <w:tcW w:w="2983" w:type="dxa"/>
                  <w:vAlign w:val="center"/>
                </w:tcPr>
                <w:p w14:paraId="3DDD1668">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%（mol）</w:t>
                  </w:r>
                </w:p>
              </w:tc>
              <w:tc>
                <w:tcPr>
                  <w:tcW w:w="2983" w:type="dxa"/>
                  <w:vAlign w:val="center"/>
                </w:tcPr>
                <w:p w14:paraId="65B15A49">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0.816</w:t>
                  </w:r>
                </w:p>
              </w:tc>
            </w:tr>
            <w:tr w14:paraId="392787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981" w:type="dxa"/>
                  <w:vAlign w:val="center"/>
                </w:tcPr>
                <w:p w14:paraId="6DBC49EC">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乙烷</w:t>
                  </w:r>
                </w:p>
              </w:tc>
              <w:tc>
                <w:tcPr>
                  <w:tcW w:w="2983" w:type="dxa"/>
                  <w:vAlign w:val="center"/>
                </w:tcPr>
                <w:p w14:paraId="6B6CC364">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%（mol）</w:t>
                  </w:r>
                </w:p>
              </w:tc>
              <w:tc>
                <w:tcPr>
                  <w:tcW w:w="2983" w:type="dxa"/>
                  <w:vAlign w:val="center"/>
                </w:tcPr>
                <w:p w14:paraId="4690B975">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0.585</w:t>
                  </w:r>
                </w:p>
                <w:bookmarkEnd w:id="5"/>
              </w:tc>
            </w:tr>
            <w:tr w14:paraId="76D58D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981" w:type="dxa"/>
                  <w:vAlign w:val="center"/>
                </w:tcPr>
                <w:p w14:paraId="3C78F893">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丙烷</w:t>
                  </w:r>
                </w:p>
              </w:tc>
              <w:tc>
                <w:tcPr>
                  <w:tcW w:w="2983" w:type="dxa"/>
                  <w:vAlign w:val="center"/>
                </w:tcPr>
                <w:p w14:paraId="07E50097">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%（mol）</w:t>
                  </w:r>
                </w:p>
              </w:tc>
              <w:tc>
                <w:tcPr>
                  <w:tcW w:w="2983" w:type="dxa"/>
                  <w:vAlign w:val="center"/>
                </w:tcPr>
                <w:p w14:paraId="77544485">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0.232</w:t>
                  </w:r>
                </w:p>
              </w:tc>
            </w:tr>
            <w:tr w14:paraId="706EE86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981" w:type="dxa"/>
                  <w:vAlign w:val="center"/>
                </w:tcPr>
                <w:p w14:paraId="79AF3DC1">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异丁烷</w:t>
                  </w:r>
                </w:p>
              </w:tc>
              <w:tc>
                <w:tcPr>
                  <w:tcW w:w="2983" w:type="dxa"/>
                  <w:vAlign w:val="center"/>
                </w:tcPr>
                <w:p w14:paraId="52E10E6C">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%（mol）</w:t>
                  </w:r>
                </w:p>
              </w:tc>
              <w:tc>
                <w:tcPr>
                  <w:tcW w:w="2983" w:type="dxa"/>
                  <w:vAlign w:val="center"/>
                </w:tcPr>
                <w:p w14:paraId="1EF32213">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0.012</w:t>
                  </w:r>
                </w:p>
              </w:tc>
            </w:tr>
            <w:tr w14:paraId="3F6C8BB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981" w:type="dxa"/>
                  <w:vAlign w:val="center"/>
                </w:tcPr>
                <w:p w14:paraId="69D6856B">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正丁烷</w:t>
                  </w:r>
                </w:p>
              </w:tc>
              <w:tc>
                <w:tcPr>
                  <w:tcW w:w="2983" w:type="dxa"/>
                  <w:vAlign w:val="center"/>
                </w:tcPr>
                <w:p w14:paraId="65C93728">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%（mol）</w:t>
                  </w:r>
                </w:p>
              </w:tc>
              <w:tc>
                <w:tcPr>
                  <w:tcW w:w="2983" w:type="dxa"/>
                  <w:vAlign w:val="center"/>
                </w:tcPr>
                <w:p w14:paraId="7355D8D6">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0.016</w:t>
                  </w:r>
                </w:p>
              </w:tc>
            </w:tr>
            <w:tr w14:paraId="1D11CC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981" w:type="dxa"/>
                  <w:vAlign w:val="center"/>
                </w:tcPr>
                <w:p w14:paraId="4239D78F">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异戊烷</w:t>
                  </w:r>
                </w:p>
              </w:tc>
              <w:tc>
                <w:tcPr>
                  <w:tcW w:w="2983" w:type="dxa"/>
                  <w:vAlign w:val="center"/>
                </w:tcPr>
                <w:p w14:paraId="400F5321">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%（mol）</w:t>
                  </w:r>
                </w:p>
              </w:tc>
              <w:tc>
                <w:tcPr>
                  <w:tcW w:w="2983" w:type="dxa"/>
                  <w:vAlign w:val="center"/>
                </w:tcPr>
                <w:p w14:paraId="26F4EC16">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0.003</w:t>
                  </w:r>
                </w:p>
              </w:tc>
            </w:tr>
            <w:tr w14:paraId="3C98ED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981" w:type="dxa"/>
                  <w:vAlign w:val="center"/>
                </w:tcPr>
                <w:p w14:paraId="4ED87F2B">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正戊烷</w:t>
                  </w:r>
                </w:p>
              </w:tc>
              <w:tc>
                <w:tcPr>
                  <w:tcW w:w="2983" w:type="dxa"/>
                  <w:vAlign w:val="center"/>
                </w:tcPr>
                <w:p w14:paraId="6293677D">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%（mol）</w:t>
                  </w:r>
                </w:p>
              </w:tc>
              <w:tc>
                <w:tcPr>
                  <w:tcW w:w="2983" w:type="dxa"/>
                  <w:vAlign w:val="center"/>
                </w:tcPr>
                <w:p w14:paraId="4BF62291">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0.003</w:t>
                  </w:r>
                </w:p>
              </w:tc>
            </w:tr>
            <w:tr w14:paraId="4ABCE36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981" w:type="dxa"/>
                  <w:vAlign w:val="center"/>
                </w:tcPr>
                <w:p w14:paraId="51E3710C">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C6+</w:t>
                  </w:r>
                </w:p>
              </w:tc>
              <w:tc>
                <w:tcPr>
                  <w:tcW w:w="2983" w:type="dxa"/>
                  <w:vAlign w:val="center"/>
                </w:tcPr>
                <w:p w14:paraId="1D74B9B8">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%（mol）</w:t>
                  </w:r>
                </w:p>
              </w:tc>
              <w:tc>
                <w:tcPr>
                  <w:tcW w:w="2983" w:type="dxa"/>
                  <w:vAlign w:val="center"/>
                </w:tcPr>
                <w:p w14:paraId="220591F3">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0.003</w:t>
                  </w:r>
                </w:p>
              </w:tc>
            </w:tr>
            <w:tr w14:paraId="6F5E45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981" w:type="dxa"/>
                  <w:vAlign w:val="center"/>
                </w:tcPr>
                <w:p w14:paraId="4B6CD53D">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二氧化碳</w:t>
                  </w:r>
                </w:p>
              </w:tc>
              <w:tc>
                <w:tcPr>
                  <w:tcW w:w="2983" w:type="dxa"/>
                  <w:vAlign w:val="center"/>
                </w:tcPr>
                <w:p w14:paraId="293D5170">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%（mol）</w:t>
                  </w:r>
                </w:p>
              </w:tc>
              <w:tc>
                <w:tcPr>
                  <w:tcW w:w="2983" w:type="dxa"/>
                  <w:vAlign w:val="center"/>
                </w:tcPr>
                <w:p w14:paraId="306A0C15">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0.196</w:t>
                  </w:r>
                </w:p>
              </w:tc>
            </w:tr>
            <w:tr w14:paraId="539BDD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981" w:type="dxa"/>
                  <w:vAlign w:val="center"/>
                </w:tcPr>
                <w:p w14:paraId="0EA361E7">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一氧化碳</w:t>
                  </w:r>
                </w:p>
              </w:tc>
              <w:tc>
                <w:tcPr>
                  <w:tcW w:w="2983" w:type="dxa"/>
                  <w:vAlign w:val="center"/>
                </w:tcPr>
                <w:p w14:paraId="2CEF97FC">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%（mol）</w:t>
                  </w:r>
                </w:p>
              </w:tc>
              <w:tc>
                <w:tcPr>
                  <w:tcW w:w="2983" w:type="dxa"/>
                  <w:vAlign w:val="center"/>
                </w:tcPr>
                <w:p w14:paraId="7EA679CE">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w:t>
                  </w:r>
                </w:p>
              </w:tc>
            </w:tr>
            <w:tr w14:paraId="370F64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981" w:type="dxa"/>
                  <w:vAlign w:val="center"/>
                </w:tcPr>
                <w:p w14:paraId="1D81059B">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硫化氢</w:t>
                  </w:r>
                </w:p>
              </w:tc>
              <w:tc>
                <w:tcPr>
                  <w:tcW w:w="2983" w:type="dxa"/>
                  <w:vAlign w:val="center"/>
                </w:tcPr>
                <w:p w14:paraId="79C0C141">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%（mol）</w:t>
                  </w:r>
                </w:p>
              </w:tc>
              <w:tc>
                <w:tcPr>
                  <w:tcW w:w="2983" w:type="dxa"/>
                  <w:vAlign w:val="center"/>
                </w:tcPr>
                <w:p w14:paraId="72C2D26C">
                  <w:pPr>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w:t>
                  </w:r>
                </w:p>
                <w:bookmarkEnd w:id="3"/>
                <w:bookmarkEnd w:id="4"/>
              </w:tc>
            </w:tr>
          </w:tbl>
          <w:p w14:paraId="2F1BF6B9">
            <w:pPr>
              <w:jc w:val="center"/>
              <w:rPr>
                <w:rFonts w:eastAsia="黑体"/>
                <w:bCs/>
                <w:color w:val="FF0000"/>
                <w:sz w:val="24"/>
              </w:rPr>
            </w:pPr>
            <w:r>
              <w:rPr>
                <w:rFonts w:eastAsia="黑体"/>
                <w:bCs/>
                <w:color w:val="FF0000"/>
                <w:sz w:val="24"/>
              </w:rPr>
              <w:t>表</w:t>
            </w:r>
            <w:r>
              <w:rPr>
                <w:rFonts w:hint="eastAsia" w:eastAsia="黑体"/>
                <w:bCs/>
                <w:color w:val="FF0000"/>
                <w:sz w:val="24"/>
              </w:rPr>
              <w:t>2-10</w:t>
            </w:r>
            <w:r>
              <w:rPr>
                <w:rFonts w:eastAsia="黑体"/>
                <w:bCs/>
                <w:color w:val="FF0000"/>
                <w:sz w:val="24"/>
              </w:rPr>
              <w:t xml:space="preserve">    </w:t>
            </w:r>
            <w:r>
              <w:rPr>
                <w:rFonts w:hint="eastAsia" w:eastAsia="黑体"/>
                <w:bCs/>
                <w:color w:val="FF0000"/>
                <w:sz w:val="24"/>
              </w:rPr>
              <w:t>川气东送备用气源天然气组成成分</w:t>
            </w:r>
          </w:p>
          <w:tbl>
            <w:tblPr>
              <w:tblStyle w:val="81"/>
              <w:tblW w:w="0" w:type="auto"/>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981"/>
              <w:gridCol w:w="2983"/>
              <w:gridCol w:w="2983"/>
            </w:tblGrid>
            <w:tr w14:paraId="5ABD9B68">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PrEx>
              <w:trPr>
                <w:jc w:val="center"/>
              </w:trPr>
              <w:tc>
                <w:tcPr>
                  <w:tcW w:w="2981" w:type="dxa"/>
                  <w:vAlign w:val="center"/>
                </w:tcPr>
                <w:p w14:paraId="5ED4EB85">
                  <w:pPr>
                    <w:spacing w:line="320" w:lineRule="exact"/>
                    <w:jc w:val="center"/>
                    <w:rPr>
                      <w:color w:val="FF0000"/>
                      <w:szCs w:val="21"/>
                    </w:rPr>
                  </w:pPr>
                  <w:r>
                    <w:rPr>
                      <w:color w:val="FF0000"/>
                      <w:szCs w:val="21"/>
                    </w:rPr>
                    <w:t>介质</w:t>
                  </w:r>
                </w:p>
              </w:tc>
              <w:tc>
                <w:tcPr>
                  <w:tcW w:w="2983" w:type="dxa"/>
                  <w:vAlign w:val="center"/>
                </w:tcPr>
                <w:p w14:paraId="295C2C8D">
                  <w:pPr>
                    <w:spacing w:line="320" w:lineRule="exact"/>
                    <w:jc w:val="center"/>
                    <w:rPr>
                      <w:color w:val="FF0000"/>
                      <w:szCs w:val="21"/>
                    </w:rPr>
                  </w:pPr>
                  <w:r>
                    <w:rPr>
                      <w:color w:val="FF0000"/>
                      <w:szCs w:val="21"/>
                    </w:rPr>
                    <w:t>单位</w:t>
                  </w:r>
                </w:p>
              </w:tc>
              <w:tc>
                <w:tcPr>
                  <w:tcW w:w="2983" w:type="dxa"/>
                  <w:vAlign w:val="center"/>
                </w:tcPr>
                <w:p w14:paraId="5025F1E4">
                  <w:pPr>
                    <w:spacing w:line="320" w:lineRule="exact"/>
                    <w:jc w:val="center"/>
                    <w:rPr>
                      <w:color w:val="FF0000"/>
                      <w:szCs w:val="21"/>
                    </w:rPr>
                  </w:pPr>
                  <w:r>
                    <w:rPr>
                      <w:color w:val="FF0000"/>
                      <w:szCs w:val="21"/>
                    </w:rPr>
                    <w:t>比例</w:t>
                  </w:r>
                </w:p>
              </w:tc>
            </w:tr>
            <w:tr w14:paraId="6B416645">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81" w:type="dxa"/>
                  <w:vAlign w:val="center"/>
                </w:tcPr>
                <w:p w14:paraId="36FFCDFB">
                  <w:pPr>
                    <w:spacing w:line="320" w:lineRule="exact"/>
                    <w:jc w:val="center"/>
                    <w:rPr>
                      <w:color w:val="FF0000"/>
                      <w:szCs w:val="21"/>
                    </w:rPr>
                  </w:pPr>
                  <w:r>
                    <w:rPr>
                      <w:color w:val="FF0000"/>
                      <w:szCs w:val="21"/>
                    </w:rPr>
                    <w:t>甲烷</w:t>
                  </w:r>
                </w:p>
              </w:tc>
              <w:tc>
                <w:tcPr>
                  <w:tcW w:w="2983" w:type="dxa"/>
                  <w:vAlign w:val="center"/>
                </w:tcPr>
                <w:p w14:paraId="0E8DF0ED">
                  <w:pPr>
                    <w:spacing w:line="320" w:lineRule="exact"/>
                    <w:jc w:val="center"/>
                    <w:rPr>
                      <w:color w:val="FF0000"/>
                      <w:szCs w:val="21"/>
                    </w:rPr>
                  </w:pPr>
                  <w:r>
                    <w:rPr>
                      <w:color w:val="FF0000"/>
                      <w:szCs w:val="21"/>
                    </w:rPr>
                    <w:t>%（mol）</w:t>
                  </w:r>
                </w:p>
              </w:tc>
              <w:tc>
                <w:tcPr>
                  <w:tcW w:w="2983" w:type="dxa"/>
                  <w:vAlign w:val="center"/>
                </w:tcPr>
                <w:p w14:paraId="7660664C">
                  <w:pPr>
                    <w:spacing w:line="320" w:lineRule="exact"/>
                    <w:jc w:val="center"/>
                    <w:rPr>
                      <w:color w:val="FF0000"/>
                      <w:szCs w:val="21"/>
                    </w:rPr>
                  </w:pPr>
                  <w:r>
                    <w:rPr>
                      <w:rFonts w:hint="eastAsia"/>
                      <w:color w:val="FF0000"/>
                      <w:szCs w:val="21"/>
                    </w:rPr>
                    <w:t>97.90</w:t>
                  </w:r>
                </w:p>
              </w:tc>
            </w:tr>
            <w:tr w14:paraId="1C5E14C8">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81" w:type="dxa"/>
                  <w:vAlign w:val="center"/>
                </w:tcPr>
                <w:p w14:paraId="46FD5E3A">
                  <w:pPr>
                    <w:spacing w:line="320" w:lineRule="exact"/>
                    <w:jc w:val="center"/>
                    <w:rPr>
                      <w:color w:val="FF0000"/>
                      <w:szCs w:val="21"/>
                    </w:rPr>
                  </w:pPr>
                  <w:r>
                    <w:rPr>
                      <w:color w:val="FF0000"/>
                      <w:szCs w:val="21"/>
                    </w:rPr>
                    <w:t>氢气</w:t>
                  </w:r>
                </w:p>
              </w:tc>
              <w:tc>
                <w:tcPr>
                  <w:tcW w:w="2983" w:type="dxa"/>
                  <w:vAlign w:val="center"/>
                </w:tcPr>
                <w:p w14:paraId="0114A5F9">
                  <w:pPr>
                    <w:spacing w:line="320" w:lineRule="exact"/>
                    <w:jc w:val="center"/>
                    <w:rPr>
                      <w:color w:val="FF0000"/>
                      <w:szCs w:val="21"/>
                    </w:rPr>
                  </w:pPr>
                  <w:r>
                    <w:rPr>
                      <w:color w:val="FF0000"/>
                      <w:szCs w:val="21"/>
                    </w:rPr>
                    <w:t>%（mol）</w:t>
                  </w:r>
                </w:p>
              </w:tc>
              <w:tc>
                <w:tcPr>
                  <w:tcW w:w="2983" w:type="dxa"/>
                  <w:vAlign w:val="center"/>
                </w:tcPr>
                <w:p w14:paraId="102FFF34">
                  <w:pPr>
                    <w:spacing w:line="320" w:lineRule="exact"/>
                    <w:jc w:val="center"/>
                    <w:rPr>
                      <w:color w:val="FF0000"/>
                      <w:szCs w:val="21"/>
                    </w:rPr>
                  </w:pPr>
                  <w:r>
                    <w:rPr>
                      <w:rFonts w:hint="eastAsia"/>
                      <w:color w:val="FF0000"/>
                      <w:szCs w:val="21"/>
                    </w:rPr>
                    <w:t>-</w:t>
                  </w:r>
                </w:p>
              </w:tc>
            </w:tr>
            <w:tr w14:paraId="34108FA9">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81" w:type="dxa"/>
                  <w:vAlign w:val="center"/>
                </w:tcPr>
                <w:p w14:paraId="6050060C">
                  <w:pPr>
                    <w:spacing w:line="320" w:lineRule="exact"/>
                    <w:jc w:val="center"/>
                    <w:rPr>
                      <w:color w:val="FF0000"/>
                      <w:szCs w:val="21"/>
                    </w:rPr>
                  </w:pPr>
                  <w:r>
                    <w:rPr>
                      <w:color w:val="FF0000"/>
                      <w:szCs w:val="21"/>
                    </w:rPr>
                    <w:t>氦气</w:t>
                  </w:r>
                </w:p>
              </w:tc>
              <w:tc>
                <w:tcPr>
                  <w:tcW w:w="2983" w:type="dxa"/>
                  <w:vAlign w:val="center"/>
                </w:tcPr>
                <w:p w14:paraId="7904E431">
                  <w:pPr>
                    <w:spacing w:line="320" w:lineRule="exact"/>
                    <w:jc w:val="center"/>
                    <w:rPr>
                      <w:color w:val="FF0000"/>
                      <w:szCs w:val="21"/>
                    </w:rPr>
                  </w:pPr>
                  <w:r>
                    <w:rPr>
                      <w:color w:val="FF0000"/>
                      <w:szCs w:val="21"/>
                    </w:rPr>
                    <w:t>%（mol）</w:t>
                  </w:r>
                </w:p>
              </w:tc>
              <w:tc>
                <w:tcPr>
                  <w:tcW w:w="2983" w:type="dxa"/>
                  <w:vAlign w:val="center"/>
                </w:tcPr>
                <w:p w14:paraId="4BB32EA0">
                  <w:pPr>
                    <w:spacing w:line="320" w:lineRule="exact"/>
                    <w:jc w:val="center"/>
                    <w:rPr>
                      <w:color w:val="FF0000"/>
                      <w:szCs w:val="21"/>
                    </w:rPr>
                  </w:pPr>
                  <w:r>
                    <w:rPr>
                      <w:rFonts w:hint="eastAsia"/>
                      <w:color w:val="FF0000"/>
                      <w:szCs w:val="21"/>
                    </w:rPr>
                    <w:t>0.02</w:t>
                  </w:r>
                </w:p>
              </w:tc>
            </w:tr>
            <w:tr w14:paraId="237A2257">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81" w:type="dxa"/>
                  <w:vAlign w:val="center"/>
                </w:tcPr>
                <w:p w14:paraId="7A641092">
                  <w:pPr>
                    <w:spacing w:line="320" w:lineRule="exact"/>
                    <w:jc w:val="center"/>
                    <w:rPr>
                      <w:color w:val="FF0000"/>
                      <w:szCs w:val="21"/>
                    </w:rPr>
                  </w:pPr>
                  <w:r>
                    <w:rPr>
                      <w:color w:val="FF0000"/>
                      <w:szCs w:val="21"/>
                    </w:rPr>
                    <w:t>氮气</w:t>
                  </w:r>
                </w:p>
              </w:tc>
              <w:tc>
                <w:tcPr>
                  <w:tcW w:w="2983" w:type="dxa"/>
                  <w:vAlign w:val="center"/>
                </w:tcPr>
                <w:p w14:paraId="6BDCAA7F">
                  <w:pPr>
                    <w:spacing w:line="320" w:lineRule="exact"/>
                    <w:jc w:val="center"/>
                    <w:rPr>
                      <w:color w:val="FF0000"/>
                      <w:szCs w:val="21"/>
                    </w:rPr>
                  </w:pPr>
                  <w:r>
                    <w:rPr>
                      <w:color w:val="FF0000"/>
                      <w:szCs w:val="21"/>
                    </w:rPr>
                    <w:t>%（mol）</w:t>
                  </w:r>
                </w:p>
              </w:tc>
              <w:tc>
                <w:tcPr>
                  <w:tcW w:w="2983" w:type="dxa"/>
                  <w:vAlign w:val="center"/>
                </w:tcPr>
                <w:p w14:paraId="0B85B4EA">
                  <w:pPr>
                    <w:spacing w:line="320" w:lineRule="exact"/>
                    <w:jc w:val="center"/>
                    <w:rPr>
                      <w:color w:val="FF0000"/>
                      <w:szCs w:val="21"/>
                    </w:rPr>
                  </w:pPr>
                  <w:r>
                    <w:rPr>
                      <w:rFonts w:hint="eastAsia"/>
                      <w:color w:val="FF0000"/>
                      <w:szCs w:val="21"/>
                    </w:rPr>
                    <w:t>0.65</w:t>
                  </w:r>
                </w:p>
              </w:tc>
            </w:tr>
            <w:tr w14:paraId="0B5443AE">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81" w:type="dxa"/>
                  <w:vAlign w:val="center"/>
                </w:tcPr>
                <w:p w14:paraId="1F843953">
                  <w:pPr>
                    <w:spacing w:line="320" w:lineRule="exact"/>
                    <w:jc w:val="center"/>
                    <w:rPr>
                      <w:color w:val="FF0000"/>
                      <w:szCs w:val="21"/>
                    </w:rPr>
                  </w:pPr>
                  <w:r>
                    <w:rPr>
                      <w:color w:val="FF0000"/>
                      <w:szCs w:val="21"/>
                    </w:rPr>
                    <w:t>乙烷</w:t>
                  </w:r>
                </w:p>
              </w:tc>
              <w:tc>
                <w:tcPr>
                  <w:tcW w:w="2983" w:type="dxa"/>
                  <w:vAlign w:val="center"/>
                </w:tcPr>
                <w:p w14:paraId="2E97F733">
                  <w:pPr>
                    <w:spacing w:line="320" w:lineRule="exact"/>
                    <w:jc w:val="center"/>
                    <w:rPr>
                      <w:color w:val="FF0000"/>
                      <w:szCs w:val="21"/>
                    </w:rPr>
                  </w:pPr>
                  <w:r>
                    <w:rPr>
                      <w:color w:val="FF0000"/>
                      <w:szCs w:val="21"/>
                    </w:rPr>
                    <w:t>%（mol）</w:t>
                  </w:r>
                </w:p>
              </w:tc>
              <w:tc>
                <w:tcPr>
                  <w:tcW w:w="2983" w:type="dxa"/>
                  <w:vAlign w:val="center"/>
                </w:tcPr>
                <w:p w14:paraId="16F33566">
                  <w:pPr>
                    <w:spacing w:line="320" w:lineRule="exact"/>
                    <w:jc w:val="center"/>
                    <w:rPr>
                      <w:color w:val="FF0000"/>
                      <w:szCs w:val="21"/>
                    </w:rPr>
                  </w:pPr>
                  <w:r>
                    <w:rPr>
                      <w:rFonts w:hint="eastAsia"/>
                      <w:color w:val="FF0000"/>
                      <w:szCs w:val="21"/>
                    </w:rPr>
                    <w:t>0.53</w:t>
                  </w:r>
                </w:p>
              </w:tc>
            </w:tr>
            <w:tr w14:paraId="19613EFD">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81" w:type="dxa"/>
                  <w:vAlign w:val="center"/>
                </w:tcPr>
                <w:p w14:paraId="3AB51179">
                  <w:pPr>
                    <w:spacing w:line="320" w:lineRule="exact"/>
                    <w:jc w:val="center"/>
                    <w:rPr>
                      <w:color w:val="FF0000"/>
                      <w:szCs w:val="21"/>
                    </w:rPr>
                  </w:pPr>
                  <w:r>
                    <w:rPr>
                      <w:rFonts w:hint="eastAsia"/>
                      <w:color w:val="FF0000"/>
                      <w:szCs w:val="21"/>
                    </w:rPr>
                    <w:t>二氧化碳</w:t>
                  </w:r>
                </w:p>
              </w:tc>
              <w:tc>
                <w:tcPr>
                  <w:tcW w:w="2983" w:type="dxa"/>
                  <w:vAlign w:val="center"/>
                </w:tcPr>
                <w:p w14:paraId="4F6C2FB0">
                  <w:pPr>
                    <w:spacing w:line="320" w:lineRule="exact"/>
                    <w:jc w:val="center"/>
                    <w:rPr>
                      <w:color w:val="FF0000"/>
                      <w:szCs w:val="21"/>
                    </w:rPr>
                  </w:pPr>
                  <w:r>
                    <w:rPr>
                      <w:color w:val="FF0000"/>
                      <w:szCs w:val="21"/>
                    </w:rPr>
                    <w:t>%（mol）</w:t>
                  </w:r>
                </w:p>
              </w:tc>
              <w:tc>
                <w:tcPr>
                  <w:tcW w:w="2983" w:type="dxa"/>
                  <w:vAlign w:val="center"/>
                </w:tcPr>
                <w:p w14:paraId="046E5FE3">
                  <w:pPr>
                    <w:spacing w:line="320" w:lineRule="exact"/>
                    <w:jc w:val="center"/>
                    <w:rPr>
                      <w:color w:val="FF0000"/>
                      <w:szCs w:val="21"/>
                    </w:rPr>
                  </w:pPr>
                  <w:r>
                    <w:rPr>
                      <w:rFonts w:hint="eastAsia"/>
                      <w:color w:val="FF0000"/>
                      <w:szCs w:val="21"/>
                    </w:rPr>
                    <w:t>0.90</w:t>
                  </w:r>
                </w:p>
              </w:tc>
            </w:tr>
            <w:tr w14:paraId="4BF9D287">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81" w:type="dxa"/>
                  <w:vAlign w:val="center"/>
                </w:tcPr>
                <w:p w14:paraId="42BA3A3D">
                  <w:pPr>
                    <w:spacing w:line="320" w:lineRule="exact"/>
                    <w:jc w:val="center"/>
                    <w:rPr>
                      <w:color w:val="FF0000"/>
                      <w:szCs w:val="21"/>
                    </w:rPr>
                  </w:pPr>
                  <w:r>
                    <w:rPr>
                      <w:rFonts w:hint="eastAsia"/>
                      <w:color w:val="FF0000"/>
                      <w:szCs w:val="21"/>
                    </w:rPr>
                    <w:t>丙烷</w:t>
                  </w:r>
                </w:p>
              </w:tc>
              <w:tc>
                <w:tcPr>
                  <w:tcW w:w="2983" w:type="dxa"/>
                  <w:vAlign w:val="center"/>
                </w:tcPr>
                <w:p w14:paraId="7D591730">
                  <w:pPr>
                    <w:spacing w:line="320" w:lineRule="exact"/>
                    <w:jc w:val="center"/>
                    <w:rPr>
                      <w:color w:val="FF0000"/>
                      <w:szCs w:val="21"/>
                    </w:rPr>
                  </w:pPr>
                  <w:r>
                    <w:rPr>
                      <w:color w:val="FF0000"/>
                      <w:szCs w:val="21"/>
                    </w:rPr>
                    <w:t>%（mol）</w:t>
                  </w:r>
                </w:p>
              </w:tc>
              <w:tc>
                <w:tcPr>
                  <w:tcW w:w="2983" w:type="dxa"/>
                  <w:vAlign w:val="center"/>
                </w:tcPr>
                <w:p w14:paraId="5DDB9541">
                  <w:pPr>
                    <w:spacing w:line="320" w:lineRule="exact"/>
                    <w:jc w:val="center"/>
                    <w:rPr>
                      <w:color w:val="FF0000"/>
                      <w:szCs w:val="21"/>
                    </w:rPr>
                  </w:pPr>
                  <w:r>
                    <w:rPr>
                      <w:rFonts w:hint="eastAsia"/>
                      <w:color w:val="FF0000"/>
                      <w:szCs w:val="21"/>
                    </w:rPr>
                    <w:t>0.00</w:t>
                  </w:r>
                </w:p>
              </w:tc>
            </w:tr>
            <w:tr w14:paraId="4B8F55D0">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81" w:type="dxa"/>
                  <w:vAlign w:val="center"/>
                </w:tcPr>
                <w:p w14:paraId="4A0E5ECF">
                  <w:pPr>
                    <w:spacing w:line="320" w:lineRule="exact"/>
                    <w:jc w:val="center"/>
                    <w:rPr>
                      <w:color w:val="FF0000"/>
                      <w:szCs w:val="21"/>
                    </w:rPr>
                  </w:pPr>
                  <w:r>
                    <w:rPr>
                      <w:rFonts w:hint="eastAsia"/>
                      <w:color w:val="FF0000"/>
                      <w:szCs w:val="21"/>
                    </w:rPr>
                    <w:t>硫化氢</w:t>
                  </w:r>
                </w:p>
              </w:tc>
              <w:tc>
                <w:tcPr>
                  <w:tcW w:w="2983" w:type="dxa"/>
                  <w:vAlign w:val="center"/>
                </w:tcPr>
                <w:p w14:paraId="2457F5E8">
                  <w:pPr>
                    <w:spacing w:line="320" w:lineRule="exact"/>
                    <w:jc w:val="center"/>
                    <w:rPr>
                      <w:color w:val="FF0000"/>
                      <w:szCs w:val="21"/>
                    </w:rPr>
                  </w:pPr>
                  <w:r>
                    <w:rPr>
                      <w:rFonts w:hint="eastAsia"/>
                      <w:color w:val="FF0000"/>
                      <w:szCs w:val="21"/>
                    </w:rPr>
                    <w:t>ppm</w:t>
                  </w:r>
                </w:p>
              </w:tc>
              <w:tc>
                <w:tcPr>
                  <w:tcW w:w="2983" w:type="dxa"/>
                  <w:vAlign w:val="center"/>
                </w:tcPr>
                <w:p w14:paraId="5D817C6D">
                  <w:pPr>
                    <w:spacing w:line="320" w:lineRule="exact"/>
                    <w:jc w:val="center"/>
                    <w:rPr>
                      <w:color w:val="FF0000"/>
                      <w:szCs w:val="21"/>
                    </w:rPr>
                  </w:pPr>
                  <w:r>
                    <w:rPr>
                      <w:rFonts w:hint="eastAsia"/>
                      <w:color w:val="FF0000"/>
                      <w:szCs w:val="21"/>
                    </w:rPr>
                    <w:t>0.02</w:t>
                  </w:r>
                </w:p>
              </w:tc>
            </w:tr>
            <w:tr w14:paraId="34560706">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81" w:type="dxa"/>
                  <w:vAlign w:val="center"/>
                </w:tcPr>
                <w:p w14:paraId="54DBDBD6">
                  <w:pPr>
                    <w:spacing w:line="320" w:lineRule="exact"/>
                    <w:jc w:val="center"/>
                    <w:rPr>
                      <w:color w:val="FF0000"/>
                      <w:szCs w:val="21"/>
                    </w:rPr>
                  </w:pPr>
                  <w:r>
                    <w:rPr>
                      <w:rFonts w:hint="eastAsia"/>
                      <w:color w:val="FF0000"/>
                      <w:szCs w:val="21"/>
                    </w:rPr>
                    <w:t>羟基硫</w:t>
                  </w:r>
                </w:p>
              </w:tc>
              <w:tc>
                <w:tcPr>
                  <w:tcW w:w="2983" w:type="dxa"/>
                  <w:vAlign w:val="center"/>
                </w:tcPr>
                <w:p w14:paraId="118D8154">
                  <w:pPr>
                    <w:spacing w:line="320" w:lineRule="exact"/>
                    <w:jc w:val="center"/>
                    <w:rPr>
                      <w:color w:val="FF0000"/>
                      <w:szCs w:val="21"/>
                    </w:rPr>
                  </w:pPr>
                  <w:r>
                    <w:rPr>
                      <w:rFonts w:hint="eastAsia"/>
                      <w:color w:val="FF0000"/>
                      <w:szCs w:val="21"/>
                    </w:rPr>
                    <w:t>ppm</w:t>
                  </w:r>
                </w:p>
              </w:tc>
              <w:tc>
                <w:tcPr>
                  <w:tcW w:w="2983" w:type="dxa"/>
                  <w:vAlign w:val="center"/>
                </w:tcPr>
                <w:p w14:paraId="7CA72C28">
                  <w:pPr>
                    <w:spacing w:line="320" w:lineRule="exact"/>
                    <w:jc w:val="center"/>
                    <w:rPr>
                      <w:color w:val="FF0000"/>
                      <w:szCs w:val="21"/>
                    </w:rPr>
                  </w:pPr>
                  <w:r>
                    <w:rPr>
                      <w:rFonts w:hint="eastAsia"/>
                      <w:color w:val="FF0000"/>
                      <w:szCs w:val="21"/>
                    </w:rPr>
                    <w:t>-</w:t>
                  </w:r>
                </w:p>
              </w:tc>
            </w:tr>
            <w:tr w14:paraId="0A3DEEE7">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81" w:type="dxa"/>
                  <w:vAlign w:val="center"/>
                </w:tcPr>
                <w:p w14:paraId="63583AD5">
                  <w:pPr>
                    <w:spacing w:line="320" w:lineRule="exact"/>
                    <w:jc w:val="center"/>
                    <w:rPr>
                      <w:color w:val="FF0000"/>
                      <w:szCs w:val="21"/>
                    </w:rPr>
                  </w:pPr>
                  <w:r>
                    <w:rPr>
                      <w:rFonts w:hint="eastAsia"/>
                      <w:color w:val="FF0000"/>
                      <w:szCs w:val="21"/>
                    </w:rPr>
                    <w:t>甲硫醇</w:t>
                  </w:r>
                </w:p>
              </w:tc>
              <w:tc>
                <w:tcPr>
                  <w:tcW w:w="2983" w:type="dxa"/>
                  <w:vAlign w:val="center"/>
                </w:tcPr>
                <w:p w14:paraId="4AD5EC6C">
                  <w:pPr>
                    <w:spacing w:line="320" w:lineRule="exact"/>
                    <w:jc w:val="center"/>
                    <w:rPr>
                      <w:color w:val="FF0000"/>
                      <w:szCs w:val="21"/>
                    </w:rPr>
                  </w:pPr>
                  <w:r>
                    <w:rPr>
                      <w:rFonts w:hint="eastAsia"/>
                      <w:color w:val="FF0000"/>
                      <w:szCs w:val="21"/>
                    </w:rPr>
                    <w:t>ppm</w:t>
                  </w:r>
                </w:p>
              </w:tc>
              <w:tc>
                <w:tcPr>
                  <w:tcW w:w="2983" w:type="dxa"/>
                  <w:vAlign w:val="center"/>
                </w:tcPr>
                <w:p w14:paraId="0BDBCC6B">
                  <w:pPr>
                    <w:spacing w:line="320" w:lineRule="exact"/>
                    <w:jc w:val="center"/>
                    <w:rPr>
                      <w:color w:val="FF0000"/>
                      <w:szCs w:val="21"/>
                    </w:rPr>
                  </w:pPr>
                  <w:r>
                    <w:rPr>
                      <w:rFonts w:hint="eastAsia"/>
                      <w:color w:val="FF0000"/>
                      <w:szCs w:val="21"/>
                    </w:rPr>
                    <w:t>0.01</w:t>
                  </w:r>
                </w:p>
              </w:tc>
            </w:tr>
            <w:tr w14:paraId="399AF86D">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81" w:type="dxa"/>
                  <w:vAlign w:val="center"/>
                </w:tcPr>
                <w:p w14:paraId="0502D915">
                  <w:pPr>
                    <w:spacing w:line="320" w:lineRule="exact"/>
                    <w:jc w:val="center"/>
                    <w:rPr>
                      <w:color w:val="FF0000"/>
                      <w:szCs w:val="21"/>
                    </w:rPr>
                  </w:pPr>
                  <w:r>
                    <w:rPr>
                      <w:rFonts w:hint="eastAsia"/>
                      <w:color w:val="FF0000"/>
                      <w:szCs w:val="21"/>
                    </w:rPr>
                    <w:t>乙硫醇</w:t>
                  </w:r>
                </w:p>
              </w:tc>
              <w:tc>
                <w:tcPr>
                  <w:tcW w:w="2983" w:type="dxa"/>
                  <w:vAlign w:val="center"/>
                </w:tcPr>
                <w:p w14:paraId="594EA0D7">
                  <w:pPr>
                    <w:spacing w:line="320" w:lineRule="exact"/>
                    <w:jc w:val="center"/>
                    <w:rPr>
                      <w:color w:val="FF0000"/>
                      <w:szCs w:val="21"/>
                    </w:rPr>
                  </w:pPr>
                  <w:r>
                    <w:rPr>
                      <w:rFonts w:hint="eastAsia"/>
                      <w:color w:val="FF0000"/>
                      <w:szCs w:val="21"/>
                    </w:rPr>
                    <w:t>ppm</w:t>
                  </w:r>
                </w:p>
              </w:tc>
              <w:tc>
                <w:tcPr>
                  <w:tcW w:w="2983" w:type="dxa"/>
                  <w:vAlign w:val="center"/>
                </w:tcPr>
                <w:p w14:paraId="387D4A5F">
                  <w:pPr>
                    <w:spacing w:line="320" w:lineRule="exact"/>
                    <w:jc w:val="center"/>
                    <w:rPr>
                      <w:color w:val="FF0000"/>
                      <w:szCs w:val="21"/>
                    </w:rPr>
                  </w:pPr>
                  <w:r>
                    <w:rPr>
                      <w:rFonts w:hint="eastAsia"/>
                      <w:color w:val="FF0000"/>
                      <w:szCs w:val="21"/>
                    </w:rPr>
                    <w:t>0.10</w:t>
                  </w:r>
                </w:p>
              </w:tc>
            </w:tr>
            <w:tr w14:paraId="30A61D9F">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81" w:type="dxa"/>
                  <w:vAlign w:val="center"/>
                </w:tcPr>
                <w:p w14:paraId="0939463E">
                  <w:pPr>
                    <w:spacing w:line="320" w:lineRule="exact"/>
                    <w:jc w:val="center"/>
                    <w:rPr>
                      <w:color w:val="FF0000"/>
                      <w:szCs w:val="21"/>
                    </w:rPr>
                  </w:pPr>
                  <w:r>
                    <w:rPr>
                      <w:rFonts w:hint="eastAsia"/>
                      <w:color w:val="FF0000"/>
                      <w:szCs w:val="21"/>
                    </w:rPr>
                    <w:t>总硫</w:t>
                  </w:r>
                </w:p>
              </w:tc>
              <w:tc>
                <w:tcPr>
                  <w:tcW w:w="2983" w:type="dxa"/>
                  <w:vAlign w:val="center"/>
                </w:tcPr>
                <w:p w14:paraId="7548676D">
                  <w:pPr>
                    <w:spacing w:line="320" w:lineRule="exact"/>
                    <w:jc w:val="center"/>
                    <w:rPr>
                      <w:color w:val="FF0000"/>
                      <w:szCs w:val="21"/>
                    </w:rPr>
                  </w:pPr>
                  <w:r>
                    <w:rPr>
                      <w:rFonts w:hint="eastAsia"/>
                      <w:color w:val="FF0000"/>
                      <w:szCs w:val="21"/>
                    </w:rPr>
                    <w:t>ppm</w:t>
                  </w:r>
                </w:p>
              </w:tc>
              <w:tc>
                <w:tcPr>
                  <w:tcW w:w="2983" w:type="dxa"/>
                  <w:vAlign w:val="center"/>
                </w:tcPr>
                <w:p w14:paraId="75B4B58F">
                  <w:pPr>
                    <w:spacing w:line="320" w:lineRule="exact"/>
                    <w:jc w:val="center"/>
                    <w:rPr>
                      <w:color w:val="FF0000"/>
                      <w:szCs w:val="21"/>
                    </w:rPr>
                  </w:pPr>
                  <w:r>
                    <w:rPr>
                      <w:rFonts w:hint="eastAsia"/>
                      <w:color w:val="FF0000"/>
                      <w:szCs w:val="21"/>
                    </w:rPr>
                    <w:t>-</w:t>
                  </w:r>
                </w:p>
              </w:tc>
            </w:tr>
          </w:tbl>
          <w:p w14:paraId="64823429">
            <w:pPr>
              <w:jc w:val="center"/>
              <w:rPr>
                <w:rFonts w:ascii="Times New Roman" w:hAnsi="Times New Roman" w:cs="Times New Roman" w:eastAsiaTheme="minorEastAsia"/>
                <w:bCs/>
                <w:sz w:val="24"/>
              </w:rPr>
            </w:pPr>
          </w:p>
          <w:p w14:paraId="7217FCBB">
            <w:pPr>
              <w:spacing w:line="360" w:lineRule="auto"/>
              <w:ind w:firstLine="480" w:firstLineChars="200"/>
              <w:rPr>
                <w:rFonts w:ascii="Times New Roman" w:hAnsi="Times New Roman" w:cs="Times New Roman"/>
                <w:bCs/>
                <w:sz w:val="24"/>
              </w:rPr>
            </w:pPr>
            <w:r>
              <w:rPr>
                <w:rFonts w:ascii="Times New Roman" w:hAnsi="Times New Roman" w:cs="Times New Roman"/>
                <w:bCs/>
                <w:sz w:val="24"/>
                <w:lang w:val="zh-CN"/>
              </w:rPr>
              <w:t>项目主要消耗指标详见表</w:t>
            </w:r>
            <w:r>
              <w:rPr>
                <w:rFonts w:ascii="Times New Roman" w:hAnsi="Times New Roman" w:cs="Times New Roman" w:eastAsiaTheme="minorEastAsia"/>
                <w:bCs/>
                <w:sz w:val="24"/>
              </w:rPr>
              <w:t>2.3-4</w:t>
            </w:r>
            <w:r>
              <w:rPr>
                <w:rFonts w:ascii="Times New Roman" w:hAnsi="Times New Roman" w:cs="Times New Roman"/>
                <w:bCs/>
                <w:sz w:val="24"/>
                <w:lang w:val="zh-CN"/>
              </w:rPr>
              <w:t>。</w:t>
            </w:r>
          </w:p>
          <w:p w14:paraId="1D478B18">
            <w:pPr>
              <w:pStyle w:val="560"/>
              <w:rPr>
                <w:rFonts w:ascii="Times New Roman" w:hAnsi="Times New Roman" w:eastAsia="宋体" w:cs="Times New Roman"/>
                <w:szCs w:val="21"/>
              </w:rPr>
            </w:pPr>
            <w:r>
              <w:rPr>
                <w:rFonts w:ascii="Times New Roman" w:hAnsi="Times New Roman" w:eastAsia="宋体" w:cs="Times New Roman"/>
                <w:szCs w:val="21"/>
              </w:rPr>
              <w:t>表</w:t>
            </w:r>
            <w:r>
              <w:rPr>
                <w:rFonts w:ascii="Times New Roman" w:hAnsi="Times New Roman" w:cs="Times New Roman" w:eastAsiaTheme="minorEastAsia"/>
                <w:szCs w:val="24"/>
              </w:rPr>
              <w:t>2</w:t>
            </w:r>
            <w:r>
              <w:rPr>
                <w:rFonts w:ascii="Times New Roman" w:hAnsi="Times New Roman" w:cs="Times New Roman" w:eastAsiaTheme="minorEastAsia"/>
                <w:szCs w:val="24"/>
                <w:lang w:val="en-US"/>
              </w:rPr>
              <w:t>.3</w:t>
            </w:r>
            <w:r>
              <w:rPr>
                <w:rFonts w:ascii="Times New Roman" w:hAnsi="Times New Roman" w:cs="Times New Roman" w:eastAsiaTheme="minorEastAsia"/>
                <w:szCs w:val="24"/>
              </w:rPr>
              <w:t>-</w:t>
            </w:r>
            <w:r>
              <w:rPr>
                <w:rFonts w:ascii="Times New Roman" w:hAnsi="Times New Roman" w:cs="Times New Roman" w:eastAsiaTheme="minorEastAsia"/>
                <w:szCs w:val="24"/>
                <w:lang w:val="en-US"/>
              </w:rPr>
              <w:t>4</w:t>
            </w:r>
            <w:r>
              <w:rPr>
                <w:rFonts w:ascii="Times New Roman" w:hAnsi="Times New Roman" w:eastAsia="宋体" w:cs="Times New Roman"/>
                <w:szCs w:val="21"/>
              </w:rPr>
              <w:t xml:space="preserve">  主要原辅材料及能源消耗情况一览表</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1864"/>
              <w:gridCol w:w="1401"/>
              <w:gridCol w:w="1401"/>
              <w:gridCol w:w="1401"/>
              <w:gridCol w:w="2390"/>
            </w:tblGrid>
            <w:tr w14:paraId="6EBB3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08" w:type="pct"/>
                  <w:vAlign w:val="center"/>
                </w:tcPr>
                <w:p w14:paraId="5CAFE69E">
                  <w:pPr>
                    <w:jc w:val="center"/>
                    <w:rPr>
                      <w:rFonts w:ascii="Times New Roman" w:hAnsi="Times New Roman" w:cs="Times New Roman"/>
                      <w:b/>
                      <w:bCs/>
                      <w:szCs w:val="21"/>
                    </w:rPr>
                  </w:pPr>
                  <w:r>
                    <w:rPr>
                      <w:rFonts w:ascii="Times New Roman" w:hAnsi="Times New Roman" w:cs="Times New Roman"/>
                      <w:b/>
                      <w:bCs/>
                      <w:szCs w:val="21"/>
                    </w:rPr>
                    <w:t>序号</w:t>
                  </w:r>
                </w:p>
              </w:tc>
              <w:tc>
                <w:tcPr>
                  <w:tcW w:w="1012" w:type="pct"/>
                  <w:vAlign w:val="center"/>
                </w:tcPr>
                <w:p w14:paraId="632F1F80">
                  <w:pPr>
                    <w:jc w:val="center"/>
                    <w:rPr>
                      <w:rFonts w:ascii="Times New Roman" w:hAnsi="Times New Roman" w:cs="Times New Roman"/>
                      <w:b/>
                      <w:bCs/>
                      <w:szCs w:val="21"/>
                    </w:rPr>
                  </w:pPr>
                  <w:r>
                    <w:rPr>
                      <w:rFonts w:ascii="Times New Roman" w:hAnsi="Times New Roman" w:cs="Times New Roman"/>
                      <w:b/>
                      <w:bCs/>
                      <w:szCs w:val="21"/>
                    </w:rPr>
                    <w:t>名称</w:t>
                  </w:r>
                </w:p>
              </w:tc>
              <w:tc>
                <w:tcPr>
                  <w:tcW w:w="761" w:type="pct"/>
                  <w:vAlign w:val="center"/>
                </w:tcPr>
                <w:p w14:paraId="21D8651E">
                  <w:pPr>
                    <w:jc w:val="center"/>
                    <w:rPr>
                      <w:rFonts w:ascii="Times New Roman" w:hAnsi="Times New Roman" w:cs="Times New Roman"/>
                      <w:b/>
                      <w:bCs/>
                      <w:szCs w:val="21"/>
                    </w:rPr>
                  </w:pPr>
                  <w:r>
                    <w:rPr>
                      <w:rFonts w:ascii="Times New Roman" w:hAnsi="Times New Roman" w:cs="Times New Roman"/>
                      <w:b/>
                      <w:bCs/>
                      <w:szCs w:val="21"/>
                    </w:rPr>
                    <w:t>规格</w:t>
                  </w:r>
                </w:p>
              </w:tc>
              <w:tc>
                <w:tcPr>
                  <w:tcW w:w="761" w:type="pct"/>
                  <w:vAlign w:val="center"/>
                </w:tcPr>
                <w:p w14:paraId="05ABEDCB">
                  <w:pPr>
                    <w:jc w:val="center"/>
                    <w:rPr>
                      <w:rFonts w:ascii="Times New Roman" w:hAnsi="Times New Roman" w:cs="Times New Roman"/>
                      <w:b/>
                      <w:bCs/>
                      <w:szCs w:val="21"/>
                    </w:rPr>
                  </w:pPr>
                  <w:r>
                    <w:rPr>
                      <w:rFonts w:ascii="Times New Roman" w:hAnsi="Times New Roman" w:cs="Times New Roman"/>
                      <w:b/>
                      <w:bCs/>
                      <w:szCs w:val="21"/>
                    </w:rPr>
                    <w:t>单位</w:t>
                  </w:r>
                </w:p>
              </w:tc>
              <w:tc>
                <w:tcPr>
                  <w:tcW w:w="761" w:type="pct"/>
                  <w:vAlign w:val="center"/>
                </w:tcPr>
                <w:p w14:paraId="2FCE3992">
                  <w:pPr>
                    <w:jc w:val="center"/>
                    <w:rPr>
                      <w:rFonts w:ascii="Times New Roman" w:hAnsi="Times New Roman" w:cs="Times New Roman"/>
                      <w:b/>
                      <w:bCs/>
                      <w:szCs w:val="21"/>
                    </w:rPr>
                  </w:pPr>
                  <w:r>
                    <w:rPr>
                      <w:rFonts w:ascii="Times New Roman" w:hAnsi="Times New Roman" w:cs="Times New Roman"/>
                      <w:b/>
                      <w:bCs/>
                      <w:szCs w:val="21"/>
                    </w:rPr>
                    <w:t>消耗量</w:t>
                  </w:r>
                </w:p>
              </w:tc>
              <w:tc>
                <w:tcPr>
                  <w:tcW w:w="1298" w:type="pct"/>
                  <w:vAlign w:val="center"/>
                </w:tcPr>
                <w:p w14:paraId="1583720E">
                  <w:pPr>
                    <w:jc w:val="center"/>
                    <w:rPr>
                      <w:rFonts w:ascii="Times New Roman" w:hAnsi="Times New Roman" w:cs="Times New Roman"/>
                      <w:b/>
                      <w:bCs/>
                      <w:szCs w:val="21"/>
                    </w:rPr>
                  </w:pPr>
                  <w:r>
                    <w:rPr>
                      <w:rFonts w:ascii="Times New Roman" w:hAnsi="Times New Roman" w:cs="Times New Roman"/>
                      <w:b/>
                      <w:bCs/>
                      <w:szCs w:val="21"/>
                    </w:rPr>
                    <w:t>备注</w:t>
                  </w:r>
                </w:p>
              </w:tc>
            </w:tr>
            <w:tr w14:paraId="53A58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08" w:type="pct"/>
                  <w:vAlign w:val="center"/>
                </w:tcPr>
                <w:p w14:paraId="1F79805E">
                  <w:pPr>
                    <w:jc w:val="center"/>
                    <w:rPr>
                      <w:rFonts w:ascii="Times New Roman" w:hAnsi="Times New Roman" w:cs="Times New Roman"/>
                      <w:bCs/>
                      <w:szCs w:val="21"/>
                    </w:rPr>
                  </w:pPr>
                  <w:r>
                    <w:rPr>
                      <w:rFonts w:ascii="Times New Roman" w:hAnsi="Times New Roman" w:cs="Times New Roman"/>
                      <w:bCs/>
                      <w:szCs w:val="21"/>
                    </w:rPr>
                    <w:t>1</w:t>
                  </w:r>
                </w:p>
              </w:tc>
              <w:tc>
                <w:tcPr>
                  <w:tcW w:w="1012" w:type="pct"/>
                  <w:vAlign w:val="center"/>
                </w:tcPr>
                <w:p w14:paraId="133E4907">
                  <w:pPr>
                    <w:jc w:val="center"/>
                    <w:rPr>
                      <w:rFonts w:ascii="Times New Roman" w:hAnsi="Times New Roman" w:cs="Times New Roman"/>
                      <w:bCs/>
                      <w:szCs w:val="21"/>
                    </w:rPr>
                  </w:pPr>
                  <w:r>
                    <w:rPr>
                      <w:rFonts w:ascii="Times New Roman" w:hAnsi="Times New Roman" w:cs="Times New Roman"/>
                      <w:bCs/>
                      <w:szCs w:val="21"/>
                    </w:rPr>
                    <w:t>水</w:t>
                  </w:r>
                </w:p>
              </w:tc>
              <w:tc>
                <w:tcPr>
                  <w:tcW w:w="761" w:type="pct"/>
                  <w:vAlign w:val="center"/>
                </w:tcPr>
                <w:p w14:paraId="578451D5">
                  <w:pPr>
                    <w:jc w:val="center"/>
                    <w:rPr>
                      <w:rFonts w:ascii="Times New Roman" w:hAnsi="Times New Roman" w:cs="Times New Roman"/>
                      <w:bCs/>
                      <w:szCs w:val="21"/>
                    </w:rPr>
                  </w:pPr>
                  <w:r>
                    <w:rPr>
                      <w:rFonts w:ascii="Times New Roman" w:hAnsi="Times New Roman" w:cs="Times New Roman"/>
                      <w:bCs/>
                      <w:szCs w:val="21"/>
                    </w:rPr>
                    <w:t>/</w:t>
                  </w:r>
                </w:p>
              </w:tc>
              <w:tc>
                <w:tcPr>
                  <w:tcW w:w="761" w:type="pct"/>
                  <w:vAlign w:val="center"/>
                </w:tcPr>
                <w:p w14:paraId="0A442C61">
                  <w:pPr>
                    <w:jc w:val="center"/>
                    <w:rPr>
                      <w:rFonts w:ascii="Times New Roman" w:hAnsi="Times New Roman" w:cs="Times New Roman"/>
                      <w:bCs/>
                      <w:szCs w:val="21"/>
                    </w:rPr>
                  </w:pPr>
                  <w:r>
                    <w:rPr>
                      <w:rFonts w:ascii="Times New Roman" w:hAnsi="Times New Roman" w:cs="Times New Roman"/>
                      <w:bCs/>
                      <w:szCs w:val="21"/>
                    </w:rPr>
                    <w:t>t/a</w:t>
                  </w:r>
                </w:p>
              </w:tc>
              <w:tc>
                <w:tcPr>
                  <w:tcW w:w="761" w:type="pct"/>
                  <w:vAlign w:val="center"/>
                </w:tcPr>
                <w:p w14:paraId="74672A1A">
                  <w:pPr>
                    <w:jc w:val="center"/>
                    <w:rPr>
                      <w:rFonts w:ascii="Times New Roman" w:hAnsi="Times New Roman" w:cs="Times New Roman"/>
                      <w:bCs/>
                      <w:szCs w:val="21"/>
                    </w:rPr>
                  </w:pPr>
                  <w:r>
                    <w:rPr>
                      <w:rFonts w:hint="eastAsia" w:ascii="Times New Roman" w:hAnsi="Times New Roman" w:cs="Times New Roman"/>
                      <w:bCs/>
                      <w:szCs w:val="21"/>
                    </w:rPr>
                    <w:t>347172.48</w:t>
                  </w:r>
                </w:p>
              </w:tc>
              <w:tc>
                <w:tcPr>
                  <w:tcW w:w="1298" w:type="pct"/>
                  <w:vAlign w:val="center"/>
                </w:tcPr>
                <w:p w14:paraId="34C70F5F">
                  <w:pPr>
                    <w:jc w:val="center"/>
                    <w:rPr>
                      <w:rFonts w:ascii="Times New Roman" w:hAnsi="Times New Roman" w:cs="Times New Roman"/>
                      <w:bCs/>
                      <w:szCs w:val="21"/>
                    </w:rPr>
                  </w:pPr>
                  <w:r>
                    <w:rPr>
                      <w:rFonts w:ascii="Times New Roman" w:hAnsi="Times New Roman" w:cs="Times New Roman"/>
                      <w:bCs/>
                      <w:szCs w:val="21"/>
                    </w:rPr>
                    <w:t>市政供水</w:t>
                  </w:r>
                </w:p>
              </w:tc>
            </w:tr>
            <w:tr w14:paraId="00F75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08" w:type="pct"/>
                  <w:vAlign w:val="center"/>
                </w:tcPr>
                <w:p w14:paraId="10371782">
                  <w:pPr>
                    <w:jc w:val="center"/>
                    <w:rPr>
                      <w:rFonts w:ascii="Times New Roman" w:hAnsi="Times New Roman" w:cs="Times New Roman"/>
                      <w:bCs/>
                      <w:szCs w:val="21"/>
                    </w:rPr>
                  </w:pPr>
                  <w:r>
                    <w:rPr>
                      <w:rFonts w:ascii="Times New Roman" w:hAnsi="Times New Roman" w:cs="Times New Roman"/>
                      <w:bCs/>
                      <w:szCs w:val="21"/>
                    </w:rPr>
                    <w:t>2</w:t>
                  </w:r>
                </w:p>
              </w:tc>
              <w:tc>
                <w:tcPr>
                  <w:tcW w:w="1012" w:type="pct"/>
                  <w:vAlign w:val="center"/>
                </w:tcPr>
                <w:p w14:paraId="2C8D9A0A">
                  <w:pPr>
                    <w:jc w:val="center"/>
                    <w:rPr>
                      <w:rFonts w:ascii="Times New Roman" w:hAnsi="Times New Roman" w:cs="Times New Roman"/>
                      <w:bCs/>
                      <w:szCs w:val="21"/>
                    </w:rPr>
                  </w:pPr>
                  <w:r>
                    <w:rPr>
                      <w:rFonts w:ascii="Times New Roman" w:hAnsi="Times New Roman" w:cs="Times New Roman"/>
                      <w:bCs/>
                      <w:szCs w:val="21"/>
                    </w:rPr>
                    <w:t>电</w:t>
                  </w:r>
                </w:p>
              </w:tc>
              <w:tc>
                <w:tcPr>
                  <w:tcW w:w="761" w:type="pct"/>
                  <w:vAlign w:val="center"/>
                </w:tcPr>
                <w:p w14:paraId="4F5B33DE">
                  <w:pPr>
                    <w:jc w:val="center"/>
                    <w:rPr>
                      <w:rFonts w:ascii="Times New Roman" w:hAnsi="Times New Roman" w:cs="Times New Roman"/>
                      <w:bCs/>
                      <w:szCs w:val="21"/>
                    </w:rPr>
                  </w:pPr>
                  <w:r>
                    <w:rPr>
                      <w:rFonts w:ascii="Times New Roman" w:hAnsi="Times New Roman" w:cs="Times New Roman"/>
                      <w:bCs/>
                      <w:szCs w:val="21"/>
                    </w:rPr>
                    <w:t>/</w:t>
                  </w:r>
                </w:p>
              </w:tc>
              <w:tc>
                <w:tcPr>
                  <w:tcW w:w="761" w:type="pct"/>
                  <w:vAlign w:val="center"/>
                </w:tcPr>
                <w:p w14:paraId="78E1BB5D">
                  <w:pPr>
                    <w:jc w:val="center"/>
                    <w:rPr>
                      <w:rFonts w:ascii="Times New Roman" w:hAnsi="Times New Roman" w:cs="Times New Roman"/>
                      <w:bCs/>
                      <w:szCs w:val="21"/>
                    </w:rPr>
                  </w:pPr>
                  <w:r>
                    <w:rPr>
                      <w:rFonts w:ascii="Times New Roman" w:hAnsi="Times New Roman" w:cs="Times New Roman"/>
                      <w:bCs/>
                      <w:szCs w:val="21"/>
                    </w:rPr>
                    <w:t>千瓦·时</w:t>
                  </w:r>
                </w:p>
              </w:tc>
              <w:tc>
                <w:tcPr>
                  <w:tcW w:w="761" w:type="pct"/>
                  <w:vAlign w:val="center"/>
                </w:tcPr>
                <w:p w14:paraId="06DDD853">
                  <w:pPr>
                    <w:jc w:val="center"/>
                    <w:rPr>
                      <w:rFonts w:ascii="Times New Roman" w:hAnsi="Times New Roman" w:cs="Times New Roman"/>
                      <w:bCs/>
                      <w:szCs w:val="21"/>
                    </w:rPr>
                  </w:pPr>
                  <w:r>
                    <w:rPr>
                      <w:rFonts w:ascii="Times New Roman" w:hAnsi="Times New Roman" w:cs="Times New Roman"/>
                      <w:bCs/>
                      <w:szCs w:val="21"/>
                    </w:rPr>
                    <w:t>15000</w:t>
                  </w:r>
                </w:p>
              </w:tc>
              <w:tc>
                <w:tcPr>
                  <w:tcW w:w="1298" w:type="pct"/>
                  <w:vAlign w:val="center"/>
                </w:tcPr>
                <w:p w14:paraId="07C08D3F">
                  <w:pPr>
                    <w:jc w:val="center"/>
                    <w:rPr>
                      <w:rFonts w:ascii="Times New Roman" w:hAnsi="Times New Roman" w:cs="Times New Roman"/>
                      <w:bCs/>
                      <w:szCs w:val="21"/>
                    </w:rPr>
                  </w:pPr>
                  <w:r>
                    <w:rPr>
                      <w:rFonts w:ascii="Times New Roman" w:hAnsi="Times New Roman" w:cs="Times New Roman"/>
                      <w:bCs/>
                      <w:szCs w:val="21"/>
                    </w:rPr>
                    <w:t>市政供电</w:t>
                  </w:r>
                </w:p>
              </w:tc>
            </w:tr>
          </w:tbl>
          <w:p w14:paraId="2C443047">
            <w:pPr>
              <w:spacing w:line="360" w:lineRule="auto"/>
              <w:outlineLvl w:val="2"/>
              <w:rPr>
                <w:rFonts w:ascii="Times New Roman" w:hAnsi="Times New Roman" w:cs="Times New Roman" w:eastAsiaTheme="minorEastAsia"/>
                <w:b/>
                <w:color w:val="FF0000"/>
                <w:sz w:val="24"/>
              </w:rPr>
            </w:pPr>
            <w:r>
              <w:rPr>
                <w:rFonts w:ascii="Times New Roman" w:hAnsi="Times New Roman" w:cs="Times New Roman" w:eastAsiaTheme="minorEastAsia"/>
                <w:b/>
                <w:color w:val="FF0000"/>
                <w:sz w:val="24"/>
              </w:rPr>
              <w:t>2.</w:t>
            </w:r>
            <w:r>
              <w:rPr>
                <w:rFonts w:hint="eastAsia" w:ascii="Times New Roman" w:hAnsi="Times New Roman" w:cs="Times New Roman" w:eastAsiaTheme="minorEastAsia"/>
                <w:b/>
                <w:color w:val="FF0000"/>
                <w:sz w:val="24"/>
              </w:rPr>
              <w:t>2</w:t>
            </w:r>
            <w:r>
              <w:rPr>
                <w:rFonts w:ascii="Times New Roman" w:hAnsi="Times New Roman" w:cs="Times New Roman" w:eastAsiaTheme="minorEastAsia"/>
                <w:b/>
                <w:color w:val="FF0000"/>
                <w:sz w:val="24"/>
              </w:rPr>
              <w:t>.</w:t>
            </w:r>
            <w:r>
              <w:rPr>
                <w:rFonts w:hint="eastAsia" w:ascii="Times New Roman" w:hAnsi="Times New Roman" w:cs="Times New Roman" w:eastAsiaTheme="minorEastAsia"/>
                <w:b/>
                <w:color w:val="FF0000"/>
                <w:sz w:val="24"/>
              </w:rPr>
              <w:t>3物料平衡</w:t>
            </w:r>
          </w:p>
          <w:p w14:paraId="4EFCE6D0">
            <w:pPr>
              <w:spacing w:line="360" w:lineRule="auto"/>
              <w:ind w:firstLine="480"/>
              <w:rPr>
                <w:rFonts w:hAnsi="宋体"/>
                <w:color w:val="FF0000"/>
                <w:sz w:val="24"/>
              </w:rPr>
            </w:pPr>
            <w:r>
              <w:rPr>
                <w:rFonts w:hint="eastAsia" w:hAnsi="宋体"/>
                <w:color w:val="FF0000"/>
                <w:sz w:val="24"/>
              </w:rPr>
              <w:t>项目</w:t>
            </w:r>
            <w:r>
              <w:rPr>
                <w:rFonts w:hAnsi="宋体"/>
                <w:color w:val="FF0000"/>
                <w:sz w:val="24"/>
              </w:rPr>
              <w:t>液化天然气装置总物料平衡见表</w:t>
            </w:r>
            <w:r>
              <w:rPr>
                <w:color w:val="FF0000"/>
                <w:sz w:val="24"/>
              </w:rPr>
              <w:t>3-</w:t>
            </w:r>
            <w:r>
              <w:rPr>
                <w:rFonts w:hint="eastAsia"/>
                <w:color w:val="FF0000"/>
                <w:sz w:val="24"/>
              </w:rPr>
              <w:t>2</w:t>
            </w:r>
            <w:r>
              <w:rPr>
                <w:rFonts w:hAnsi="宋体"/>
                <w:color w:val="FF0000"/>
                <w:sz w:val="24"/>
              </w:rPr>
              <w:t>。原料天然气用量</w:t>
            </w:r>
            <w:r>
              <w:rPr>
                <w:color w:val="FF0000"/>
                <w:sz w:val="24"/>
              </w:rPr>
              <w:t>3.33×10</w:t>
            </w:r>
            <w:r>
              <w:rPr>
                <w:color w:val="FF0000"/>
                <w:sz w:val="24"/>
                <w:vertAlign w:val="superscript"/>
              </w:rPr>
              <w:t>8</w:t>
            </w:r>
            <w:r>
              <w:rPr>
                <w:color w:val="FF0000"/>
                <w:sz w:val="24"/>
              </w:rPr>
              <w:t xml:space="preserve"> m</w:t>
            </w:r>
            <w:r>
              <w:rPr>
                <w:color w:val="FF0000"/>
                <w:sz w:val="24"/>
                <w:vertAlign w:val="superscript"/>
              </w:rPr>
              <w:t>3</w:t>
            </w:r>
            <w:r>
              <w:rPr>
                <w:color w:val="FF0000"/>
                <w:sz w:val="24"/>
              </w:rPr>
              <w:t>/a</w:t>
            </w:r>
            <w:r>
              <w:rPr>
                <w:rFonts w:hAnsi="宋体"/>
                <w:color w:val="FF0000"/>
                <w:sz w:val="24"/>
              </w:rPr>
              <w:t>（约</w:t>
            </w:r>
            <w:r>
              <w:rPr>
                <w:rFonts w:hint="eastAsia"/>
                <w:color w:val="FF0000"/>
                <w:sz w:val="24"/>
              </w:rPr>
              <w:t>238750.2</w:t>
            </w:r>
            <w:r>
              <w:rPr>
                <w:color w:val="FF0000"/>
                <w:sz w:val="24"/>
              </w:rPr>
              <w:t>t/a</w:t>
            </w:r>
            <w:r>
              <w:rPr>
                <w:rFonts w:hAnsi="宋体"/>
                <w:color w:val="FF0000"/>
                <w:sz w:val="24"/>
              </w:rPr>
              <w:t>），生产得到液化天然气产品约</w:t>
            </w:r>
            <w:r>
              <w:rPr>
                <w:color w:val="FF0000"/>
                <w:sz w:val="24"/>
              </w:rPr>
              <w:t>22</w:t>
            </w:r>
            <w:r>
              <w:rPr>
                <w:rFonts w:hint="eastAsia"/>
                <w:color w:val="FF0000"/>
                <w:sz w:val="24"/>
              </w:rPr>
              <w:t>6600</w:t>
            </w:r>
            <w:r>
              <w:rPr>
                <w:color w:val="FF0000"/>
                <w:sz w:val="24"/>
              </w:rPr>
              <w:t>t/a</w:t>
            </w:r>
            <w:r>
              <w:rPr>
                <w:rFonts w:hAnsi="宋体"/>
                <w:color w:val="FF0000"/>
                <w:sz w:val="24"/>
              </w:rPr>
              <w:t>，重烃产品</w:t>
            </w:r>
            <w:r>
              <w:rPr>
                <w:rFonts w:hint="eastAsia"/>
                <w:color w:val="FF0000"/>
                <w:sz w:val="24"/>
              </w:rPr>
              <w:t>5826</w:t>
            </w:r>
            <w:r>
              <w:rPr>
                <w:color w:val="FF0000"/>
                <w:sz w:val="24"/>
              </w:rPr>
              <w:t>t/a</w:t>
            </w:r>
            <w:r>
              <w:rPr>
                <w:rFonts w:hAnsi="宋体"/>
                <w:color w:val="FF0000"/>
                <w:sz w:val="24"/>
              </w:rPr>
              <w:t>，液化率约为</w:t>
            </w:r>
            <w:r>
              <w:rPr>
                <w:color w:val="FF0000"/>
                <w:sz w:val="24"/>
              </w:rPr>
              <w:t>94.1</w:t>
            </w:r>
            <w:r>
              <w:rPr>
                <w:rFonts w:hint="eastAsia"/>
                <w:color w:val="FF0000"/>
                <w:sz w:val="24"/>
              </w:rPr>
              <w:t>3</w:t>
            </w:r>
            <w:r>
              <w:rPr>
                <w:color w:val="FF0000"/>
                <w:sz w:val="24"/>
              </w:rPr>
              <w:t>%</w:t>
            </w:r>
            <w:r>
              <w:rPr>
                <w:rFonts w:hAnsi="宋体"/>
                <w:color w:val="FF0000"/>
                <w:sz w:val="24"/>
              </w:rPr>
              <w:t>。</w:t>
            </w:r>
          </w:p>
          <w:p w14:paraId="572FA8CB">
            <w:pPr>
              <w:jc w:val="center"/>
              <w:rPr>
                <w:rFonts w:eastAsia="黑体"/>
                <w:bCs/>
                <w:color w:val="FF0000"/>
                <w:sz w:val="24"/>
              </w:rPr>
            </w:pPr>
            <w:r>
              <w:rPr>
                <w:rFonts w:hint="eastAsia" w:eastAsia="黑体"/>
                <w:bCs/>
                <w:color w:val="FF0000"/>
                <w:sz w:val="24"/>
              </w:rPr>
              <w:t>表2.2-4   物料平衡表</w:t>
            </w:r>
          </w:p>
          <w:tbl>
            <w:tblPr>
              <w:tblStyle w:val="81"/>
              <w:tblW w:w="0" w:type="auto"/>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6"/>
              <w:gridCol w:w="2237"/>
              <w:gridCol w:w="2237"/>
              <w:gridCol w:w="2237"/>
            </w:tblGrid>
            <w:tr w14:paraId="2BE73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3" w:type="dxa"/>
                  <w:gridSpan w:val="2"/>
                  <w:vAlign w:val="center"/>
                </w:tcPr>
                <w:p w14:paraId="5A6B5334">
                  <w:pPr>
                    <w:jc w:val="center"/>
                    <w:rPr>
                      <w:rFonts w:ascii="Times New Roman" w:hAnsi="Times New Roman" w:cs="Times New Roman"/>
                      <w:bCs/>
                      <w:color w:val="FF0000"/>
                      <w:szCs w:val="21"/>
                    </w:rPr>
                  </w:pPr>
                  <w:r>
                    <w:rPr>
                      <w:rFonts w:ascii="Times New Roman" w:hAnsi="Times New Roman" w:cs="Times New Roman"/>
                      <w:bCs/>
                      <w:color w:val="FF0000"/>
                      <w:szCs w:val="21"/>
                    </w:rPr>
                    <w:t>输入</w:t>
                  </w:r>
                </w:p>
              </w:tc>
              <w:tc>
                <w:tcPr>
                  <w:tcW w:w="4474" w:type="dxa"/>
                  <w:gridSpan w:val="2"/>
                  <w:vAlign w:val="center"/>
                </w:tcPr>
                <w:p w14:paraId="6263DB76">
                  <w:pPr>
                    <w:jc w:val="center"/>
                    <w:rPr>
                      <w:rFonts w:ascii="Times New Roman" w:hAnsi="Times New Roman" w:cs="Times New Roman"/>
                      <w:bCs/>
                      <w:color w:val="FF0000"/>
                      <w:szCs w:val="21"/>
                    </w:rPr>
                  </w:pPr>
                  <w:r>
                    <w:rPr>
                      <w:rFonts w:ascii="Times New Roman" w:hAnsi="Times New Roman" w:cs="Times New Roman"/>
                      <w:bCs/>
                      <w:color w:val="FF0000"/>
                      <w:szCs w:val="21"/>
                    </w:rPr>
                    <w:t>输出</w:t>
                  </w:r>
                </w:p>
              </w:tc>
            </w:tr>
            <w:tr w14:paraId="30467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vAlign w:val="center"/>
                </w:tcPr>
                <w:p w14:paraId="60E06EBC">
                  <w:pPr>
                    <w:jc w:val="center"/>
                    <w:rPr>
                      <w:rFonts w:ascii="Times New Roman" w:hAnsi="Times New Roman" w:cs="Times New Roman"/>
                      <w:bCs/>
                      <w:color w:val="FF0000"/>
                      <w:szCs w:val="21"/>
                    </w:rPr>
                  </w:pPr>
                  <w:r>
                    <w:rPr>
                      <w:rFonts w:ascii="Times New Roman" w:hAnsi="Times New Roman" w:cs="Times New Roman"/>
                      <w:bCs/>
                      <w:color w:val="FF0000"/>
                      <w:szCs w:val="21"/>
                    </w:rPr>
                    <w:t>原料天然气</w:t>
                  </w:r>
                </w:p>
              </w:tc>
              <w:tc>
                <w:tcPr>
                  <w:tcW w:w="2237" w:type="dxa"/>
                  <w:vAlign w:val="center"/>
                </w:tcPr>
                <w:p w14:paraId="1D0518D6">
                  <w:pPr>
                    <w:jc w:val="center"/>
                    <w:rPr>
                      <w:rFonts w:ascii="Times New Roman" w:hAnsi="Times New Roman" w:cs="Times New Roman"/>
                      <w:bCs/>
                      <w:color w:val="FF0000"/>
                      <w:szCs w:val="21"/>
                    </w:rPr>
                  </w:pPr>
                  <w:r>
                    <w:rPr>
                      <w:rFonts w:hint="eastAsia" w:ascii="Times New Roman" w:hAnsi="Times New Roman" w:cs="Times New Roman"/>
                      <w:bCs/>
                      <w:color w:val="FF0000"/>
                      <w:szCs w:val="21"/>
                    </w:rPr>
                    <w:t>238750.2</w:t>
                  </w:r>
                </w:p>
              </w:tc>
              <w:tc>
                <w:tcPr>
                  <w:tcW w:w="2237" w:type="dxa"/>
                  <w:vAlign w:val="center"/>
                </w:tcPr>
                <w:p w14:paraId="67968ADA">
                  <w:pPr>
                    <w:jc w:val="center"/>
                    <w:rPr>
                      <w:rFonts w:ascii="Times New Roman" w:hAnsi="Times New Roman" w:cs="Times New Roman"/>
                      <w:bCs/>
                      <w:color w:val="FF0000"/>
                      <w:szCs w:val="21"/>
                    </w:rPr>
                  </w:pPr>
                  <w:r>
                    <w:rPr>
                      <w:rFonts w:ascii="Times New Roman" w:hAnsi="Times New Roman" w:cs="Times New Roman"/>
                      <w:bCs/>
                      <w:color w:val="FF0000"/>
                      <w:szCs w:val="21"/>
                    </w:rPr>
                    <w:t>液化天然气产品</w:t>
                  </w:r>
                </w:p>
              </w:tc>
              <w:tc>
                <w:tcPr>
                  <w:tcW w:w="2237" w:type="dxa"/>
                  <w:vAlign w:val="center"/>
                </w:tcPr>
                <w:p w14:paraId="1559C77B">
                  <w:pPr>
                    <w:jc w:val="center"/>
                    <w:rPr>
                      <w:rFonts w:ascii="Times New Roman" w:hAnsi="Times New Roman" w:cs="Times New Roman"/>
                      <w:bCs/>
                      <w:color w:val="FF0000"/>
                      <w:szCs w:val="21"/>
                    </w:rPr>
                  </w:pPr>
                  <w:r>
                    <w:rPr>
                      <w:rFonts w:ascii="Times New Roman" w:hAnsi="Times New Roman" w:cs="Times New Roman"/>
                      <w:bCs/>
                      <w:color w:val="FF0000"/>
                      <w:szCs w:val="21"/>
                    </w:rPr>
                    <w:t>22</w:t>
                  </w:r>
                  <w:r>
                    <w:rPr>
                      <w:rFonts w:hint="eastAsia" w:ascii="Times New Roman" w:hAnsi="Times New Roman" w:cs="Times New Roman"/>
                      <w:bCs/>
                      <w:color w:val="FF0000"/>
                      <w:szCs w:val="21"/>
                    </w:rPr>
                    <w:t>6600</w:t>
                  </w:r>
                </w:p>
              </w:tc>
            </w:tr>
            <w:tr w14:paraId="3B11A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vAlign w:val="center"/>
                </w:tcPr>
                <w:p w14:paraId="1B5A729A">
                  <w:pPr>
                    <w:jc w:val="center"/>
                    <w:rPr>
                      <w:rFonts w:ascii="Times New Roman" w:hAnsi="Times New Roman" w:cs="Times New Roman"/>
                      <w:bCs/>
                      <w:color w:val="FF0000"/>
                      <w:szCs w:val="21"/>
                    </w:rPr>
                  </w:pPr>
                </w:p>
              </w:tc>
              <w:tc>
                <w:tcPr>
                  <w:tcW w:w="2237" w:type="dxa"/>
                  <w:vAlign w:val="center"/>
                </w:tcPr>
                <w:p w14:paraId="77EB2E92">
                  <w:pPr>
                    <w:jc w:val="center"/>
                    <w:rPr>
                      <w:rFonts w:ascii="Times New Roman" w:hAnsi="Times New Roman" w:cs="Times New Roman"/>
                      <w:bCs/>
                      <w:color w:val="FF0000"/>
                      <w:szCs w:val="21"/>
                    </w:rPr>
                  </w:pPr>
                </w:p>
              </w:tc>
              <w:tc>
                <w:tcPr>
                  <w:tcW w:w="2237" w:type="dxa"/>
                  <w:vAlign w:val="center"/>
                </w:tcPr>
                <w:p w14:paraId="146692D3">
                  <w:pPr>
                    <w:jc w:val="center"/>
                    <w:rPr>
                      <w:rFonts w:ascii="Times New Roman" w:hAnsi="Times New Roman" w:cs="Times New Roman"/>
                      <w:bCs/>
                      <w:color w:val="FF0000"/>
                      <w:szCs w:val="21"/>
                    </w:rPr>
                  </w:pPr>
                  <w:r>
                    <w:rPr>
                      <w:rFonts w:ascii="Times New Roman" w:hAnsi="Times New Roman" w:cs="Times New Roman"/>
                      <w:bCs/>
                      <w:color w:val="FF0000"/>
                      <w:szCs w:val="21"/>
                    </w:rPr>
                    <w:t>重烃产品</w:t>
                  </w:r>
                </w:p>
              </w:tc>
              <w:tc>
                <w:tcPr>
                  <w:tcW w:w="2237" w:type="dxa"/>
                  <w:vAlign w:val="center"/>
                </w:tcPr>
                <w:p w14:paraId="3E1B5ED3">
                  <w:pPr>
                    <w:jc w:val="center"/>
                    <w:rPr>
                      <w:rFonts w:ascii="Times New Roman" w:hAnsi="Times New Roman" w:cs="Times New Roman"/>
                      <w:bCs/>
                      <w:color w:val="FF0000"/>
                      <w:szCs w:val="21"/>
                    </w:rPr>
                  </w:pPr>
                  <w:r>
                    <w:rPr>
                      <w:rFonts w:hint="eastAsia" w:ascii="Times New Roman" w:hAnsi="Times New Roman" w:cs="Times New Roman"/>
                      <w:bCs/>
                      <w:color w:val="FF0000"/>
                      <w:szCs w:val="21"/>
                    </w:rPr>
                    <w:t>5826</w:t>
                  </w:r>
                </w:p>
              </w:tc>
            </w:tr>
            <w:tr w14:paraId="6F69D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vAlign w:val="center"/>
                </w:tcPr>
                <w:p w14:paraId="2FDA23D9">
                  <w:pPr>
                    <w:jc w:val="center"/>
                    <w:rPr>
                      <w:rFonts w:ascii="Times New Roman" w:hAnsi="Times New Roman" w:cs="Times New Roman"/>
                      <w:bCs/>
                      <w:color w:val="FF0000"/>
                      <w:szCs w:val="21"/>
                    </w:rPr>
                  </w:pPr>
                </w:p>
              </w:tc>
              <w:tc>
                <w:tcPr>
                  <w:tcW w:w="2237" w:type="dxa"/>
                  <w:vAlign w:val="center"/>
                </w:tcPr>
                <w:p w14:paraId="5E9E178B">
                  <w:pPr>
                    <w:jc w:val="center"/>
                    <w:rPr>
                      <w:rFonts w:ascii="Times New Roman" w:hAnsi="Times New Roman" w:cs="Times New Roman"/>
                      <w:bCs/>
                      <w:color w:val="FF0000"/>
                      <w:szCs w:val="21"/>
                    </w:rPr>
                  </w:pPr>
                </w:p>
              </w:tc>
              <w:tc>
                <w:tcPr>
                  <w:tcW w:w="2237" w:type="dxa"/>
                  <w:vAlign w:val="center"/>
                </w:tcPr>
                <w:p w14:paraId="71FA15EC">
                  <w:pPr>
                    <w:jc w:val="center"/>
                    <w:rPr>
                      <w:rFonts w:ascii="Times New Roman" w:hAnsi="Times New Roman" w:cs="Times New Roman"/>
                      <w:bCs/>
                      <w:color w:val="FF0000"/>
                      <w:szCs w:val="21"/>
                    </w:rPr>
                  </w:pPr>
                  <w:r>
                    <w:rPr>
                      <w:rFonts w:ascii="Times New Roman" w:hAnsi="Times New Roman" w:cs="Times New Roman"/>
                      <w:bCs/>
                      <w:color w:val="FF0000"/>
                      <w:szCs w:val="21"/>
                    </w:rPr>
                    <w:t>加热炉耗天然气</w:t>
                  </w:r>
                </w:p>
              </w:tc>
              <w:tc>
                <w:tcPr>
                  <w:tcW w:w="2237" w:type="dxa"/>
                  <w:vAlign w:val="center"/>
                </w:tcPr>
                <w:p w14:paraId="2227E430">
                  <w:pPr>
                    <w:jc w:val="center"/>
                    <w:rPr>
                      <w:rFonts w:ascii="Times New Roman" w:hAnsi="Times New Roman" w:cs="Times New Roman"/>
                      <w:bCs/>
                      <w:color w:val="FF0000"/>
                      <w:szCs w:val="21"/>
                    </w:rPr>
                  </w:pPr>
                  <w:r>
                    <w:rPr>
                      <w:rFonts w:hint="eastAsia" w:ascii="Times New Roman" w:hAnsi="Times New Roman" w:cs="Times New Roman"/>
                      <w:bCs/>
                      <w:color w:val="FF0000"/>
                      <w:szCs w:val="21"/>
                    </w:rPr>
                    <w:t>3264.4</w:t>
                  </w:r>
                </w:p>
              </w:tc>
            </w:tr>
            <w:tr w14:paraId="2703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vAlign w:val="center"/>
                </w:tcPr>
                <w:p w14:paraId="4B56FC16">
                  <w:pPr>
                    <w:jc w:val="center"/>
                    <w:rPr>
                      <w:rFonts w:ascii="Times New Roman" w:hAnsi="Times New Roman" w:cs="Times New Roman"/>
                      <w:bCs/>
                      <w:color w:val="FF0000"/>
                      <w:szCs w:val="21"/>
                    </w:rPr>
                  </w:pPr>
                </w:p>
              </w:tc>
              <w:tc>
                <w:tcPr>
                  <w:tcW w:w="2237" w:type="dxa"/>
                  <w:vAlign w:val="center"/>
                </w:tcPr>
                <w:p w14:paraId="6311B1D4">
                  <w:pPr>
                    <w:jc w:val="center"/>
                    <w:rPr>
                      <w:rFonts w:ascii="Times New Roman" w:hAnsi="Times New Roman" w:cs="Times New Roman"/>
                      <w:bCs/>
                      <w:color w:val="FF0000"/>
                      <w:szCs w:val="21"/>
                    </w:rPr>
                  </w:pPr>
                </w:p>
              </w:tc>
              <w:tc>
                <w:tcPr>
                  <w:tcW w:w="2237" w:type="dxa"/>
                  <w:vAlign w:val="center"/>
                </w:tcPr>
                <w:p w14:paraId="38E00A0D">
                  <w:pPr>
                    <w:jc w:val="center"/>
                    <w:rPr>
                      <w:rFonts w:ascii="Times New Roman" w:hAnsi="Times New Roman" w:cs="Times New Roman"/>
                      <w:bCs/>
                      <w:color w:val="FF0000"/>
                      <w:szCs w:val="21"/>
                    </w:rPr>
                  </w:pPr>
                  <w:r>
                    <w:rPr>
                      <w:rFonts w:ascii="Times New Roman" w:hAnsi="Times New Roman" w:cs="Times New Roman"/>
                      <w:bCs/>
                      <w:color w:val="FF0000"/>
                      <w:szCs w:val="21"/>
                    </w:rPr>
                    <w:t>火炬耗天然气</w:t>
                  </w:r>
                </w:p>
              </w:tc>
              <w:tc>
                <w:tcPr>
                  <w:tcW w:w="2237" w:type="dxa"/>
                  <w:vAlign w:val="center"/>
                </w:tcPr>
                <w:p w14:paraId="05EE6E1E">
                  <w:pPr>
                    <w:jc w:val="center"/>
                    <w:rPr>
                      <w:rFonts w:ascii="Times New Roman" w:hAnsi="Times New Roman" w:cs="Times New Roman"/>
                      <w:bCs/>
                      <w:color w:val="FF0000"/>
                      <w:szCs w:val="21"/>
                    </w:rPr>
                  </w:pPr>
                  <w:r>
                    <w:rPr>
                      <w:rFonts w:hint="eastAsia" w:ascii="Times New Roman" w:hAnsi="Times New Roman" w:cs="Times New Roman"/>
                      <w:bCs/>
                      <w:color w:val="FF0000"/>
                      <w:szCs w:val="21"/>
                    </w:rPr>
                    <w:t>201.8</w:t>
                  </w:r>
                </w:p>
              </w:tc>
            </w:tr>
            <w:tr w14:paraId="48445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vAlign w:val="center"/>
                </w:tcPr>
                <w:p w14:paraId="3D733098">
                  <w:pPr>
                    <w:jc w:val="center"/>
                    <w:rPr>
                      <w:rFonts w:ascii="Times New Roman" w:hAnsi="Times New Roman" w:cs="Times New Roman"/>
                      <w:bCs/>
                      <w:color w:val="FF0000"/>
                      <w:szCs w:val="21"/>
                    </w:rPr>
                  </w:pPr>
                </w:p>
              </w:tc>
              <w:tc>
                <w:tcPr>
                  <w:tcW w:w="2237" w:type="dxa"/>
                  <w:vAlign w:val="center"/>
                </w:tcPr>
                <w:p w14:paraId="071C0333">
                  <w:pPr>
                    <w:jc w:val="center"/>
                    <w:rPr>
                      <w:rFonts w:ascii="Times New Roman" w:hAnsi="Times New Roman" w:cs="Times New Roman"/>
                      <w:bCs/>
                      <w:color w:val="FF0000"/>
                      <w:szCs w:val="21"/>
                    </w:rPr>
                  </w:pPr>
                </w:p>
              </w:tc>
              <w:tc>
                <w:tcPr>
                  <w:tcW w:w="2237" w:type="dxa"/>
                  <w:vAlign w:val="center"/>
                </w:tcPr>
                <w:p w14:paraId="58B3760C">
                  <w:pPr>
                    <w:jc w:val="center"/>
                    <w:rPr>
                      <w:rFonts w:ascii="Times New Roman" w:hAnsi="Times New Roman" w:cs="Times New Roman"/>
                      <w:bCs/>
                      <w:color w:val="FF0000"/>
                      <w:szCs w:val="21"/>
                    </w:rPr>
                  </w:pPr>
                  <w:r>
                    <w:rPr>
                      <w:rFonts w:ascii="Times New Roman" w:hAnsi="Times New Roman" w:cs="Times New Roman"/>
                      <w:bCs/>
                      <w:color w:val="FF0000"/>
                      <w:szCs w:val="21"/>
                    </w:rPr>
                    <w:t>天然气脱碳、脱杂质及脱水量</w:t>
                  </w:r>
                </w:p>
              </w:tc>
              <w:tc>
                <w:tcPr>
                  <w:tcW w:w="2237" w:type="dxa"/>
                  <w:vAlign w:val="center"/>
                </w:tcPr>
                <w:p w14:paraId="77C47EE0">
                  <w:pPr>
                    <w:jc w:val="center"/>
                    <w:rPr>
                      <w:rFonts w:ascii="Times New Roman" w:hAnsi="Times New Roman" w:cs="Times New Roman"/>
                      <w:bCs/>
                      <w:color w:val="FF0000"/>
                      <w:szCs w:val="21"/>
                    </w:rPr>
                  </w:pPr>
                  <w:r>
                    <w:rPr>
                      <w:rFonts w:hint="eastAsia" w:ascii="Times New Roman" w:hAnsi="Times New Roman" w:cs="Times New Roman"/>
                      <w:bCs/>
                      <w:color w:val="FF0000"/>
                      <w:szCs w:val="21"/>
                    </w:rPr>
                    <w:t>2858</w:t>
                  </w:r>
                </w:p>
              </w:tc>
            </w:tr>
            <w:tr w14:paraId="41F3D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vAlign w:val="center"/>
                </w:tcPr>
                <w:p w14:paraId="003FA1C2">
                  <w:pPr>
                    <w:jc w:val="center"/>
                    <w:rPr>
                      <w:rFonts w:ascii="Times New Roman" w:hAnsi="Times New Roman" w:cs="Times New Roman"/>
                      <w:bCs/>
                      <w:color w:val="FF0000"/>
                      <w:szCs w:val="21"/>
                    </w:rPr>
                  </w:pPr>
                  <w:r>
                    <w:rPr>
                      <w:rFonts w:ascii="Times New Roman" w:hAnsi="Times New Roman" w:cs="Times New Roman"/>
                      <w:bCs/>
                      <w:color w:val="FF0000"/>
                      <w:szCs w:val="21"/>
                    </w:rPr>
                    <w:t>合计</w:t>
                  </w:r>
                </w:p>
              </w:tc>
              <w:tc>
                <w:tcPr>
                  <w:tcW w:w="2237" w:type="dxa"/>
                  <w:vAlign w:val="center"/>
                </w:tcPr>
                <w:p w14:paraId="242D4A13">
                  <w:pPr>
                    <w:jc w:val="center"/>
                    <w:rPr>
                      <w:rFonts w:ascii="Times New Roman" w:hAnsi="Times New Roman" w:cs="Times New Roman"/>
                      <w:bCs/>
                      <w:color w:val="FF0000"/>
                      <w:szCs w:val="21"/>
                    </w:rPr>
                  </w:pPr>
                  <w:r>
                    <w:rPr>
                      <w:rFonts w:hint="eastAsia" w:ascii="Times New Roman" w:hAnsi="Times New Roman" w:cs="Times New Roman"/>
                      <w:bCs/>
                      <w:color w:val="FF0000"/>
                      <w:szCs w:val="21"/>
                    </w:rPr>
                    <w:t>238750.2</w:t>
                  </w:r>
                </w:p>
              </w:tc>
              <w:tc>
                <w:tcPr>
                  <w:tcW w:w="2237" w:type="dxa"/>
                  <w:vAlign w:val="center"/>
                </w:tcPr>
                <w:p w14:paraId="787F7006">
                  <w:pPr>
                    <w:jc w:val="center"/>
                    <w:rPr>
                      <w:rFonts w:ascii="Times New Roman" w:hAnsi="Times New Roman" w:cs="Times New Roman"/>
                      <w:bCs/>
                      <w:color w:val="FF0000"/>
                      <w:szCs w:val="21"/>
                    </w:rPr>
                  </w:pPr>
                  <w:r>
                    <w:rPr>
                      <w:rFonts w:ascii="Times New Roman" w:hAnsi="Times New Roman" w:cs="Times New Roman"/>
                      <w:bCs/>
                      <w:color w:val="FF0000"/>
                      <w:szCs w:val="21"/>
                    </w:rPr>
                    <w:t>合计</w:t>
                  </w:r>
                </w:p>
              </w:tc>
              <w:tc>
                <w:tcPr>
                  <w:tcW w:w="2237" w:type="dxa"/>
                  <w:vAlign w:val="center"/>
                </w:tcPr>
                <w:p w14:paraId="4BF99C73">
                  <w:pPr>
                    <w:jc w:val="center"/>
                    <w:rPr>
                      <w:rFonts w:ascii="Times New Roman" w:hAnsi="Times New Roman" w:cs="Times New Roman"/>
                      <w:bCs/>
                      <w:color w:val="FF0000"/>
                      <w:szCs w:val="21"/>
                    </w:rPr>
                  </w:pPr>
                  <w:r>
                    <w:rPr>
                      <w:rFonts w:ascii="Times New Roman" w:hAnsi="Times New Roman" w:cs="Times New Roman"/>
                      <w:bCs/>
                      <w:color w:val="FF0000"/>
                      <w:szCs w:val="21"/>
                    </w:rPr>
                    <w:fldChar w:fldCharType="begin"/>
                  </w:r>
                  <w:r>
                    <w:rPr>
                      <w:rFonts w:ascii="Times New Roman" w:hAnsi="Times New Roman" w:cs="Times New Roman"/>
                      <w:bCs/>
                      <w:color w:val="FF0000"/>
                      <w:szCs w:val="21"/>
                    </w:rPr>
                    <w:instrText xml:space="preserve"> =SUM(ABOVE) </w:instrText>
                  </w:r>
                  <w:r>
                    <w:rPr>
                      <w:rFonts w:ascii="Times New Roman" w:hAnsi="Times New Roman" w:cs="Times New Roman"/>
                      <w:bCs/>
                      <w:color w:val="FF0000"/>
                      <w:szCs w:val="21"/>
                    </w:rPr>
                    <w:fldChar w:fldCharType="separate"/>
                  </w:r>
                  <w:r>
                    <w:rPr>
                      <w:rFonts w:ascii="Times New Roman" w:hAnsi="Times New Roman" w:cs="Times New Roman"/>
                      <w:bCs/>
                      <w:color w:val="FF0000"/>
                      <w:szCs w:val="21"/>
                    </w:rPr>
                    <w:t>238750.2</w:t>
                  </w:r>
                  <w:r>
                    <w:rPr>
                      <w:rFonts w:ascii="Times New Roman" w:hAnsi="Times New Roman" w:cs="Times New Roman"/>
                      <w:bCs/>
                      <w:color w:val="FF0000"/>
                      <w:szCs w:val="21"/>
                    </w:rPr>
                    <w:fldChar w:fldCharType="end"/>
                  </w:r>
                </w:p>
              </w:tc>
            </w:tr>
          </w:tbl>
          <w:p w14:paraId="42377AF7">
            <w:pPr>
              <w:spacing w:line="360" w:lineRule="auto"/>
              <w:jc w:val="center"/>
              <w:rPr>
                <w:rFonts w:eastAsia="黑体"/>
                <w:bCs/>
                <w:color w:val="FF0000"/>
                <w:sz w:val="24"/>
              </w:rPr>
            </w:pPr>
          </w:p>
          <w:p w14:paraId="65751BF0">
            <w:pPr>
              <w:spacing w:line="360" w:lineRule="auto"/>
              <w:jc w:val="center"/>
              <w:rPr>
                <w:rFonts w:ascii="Times New Roman" w:hAnsi="Times New Roman" w:cs="Times New Roman"/>
                <w:b/>
                <w:bCs/>
                <w:sz w:val="24"/>
                <w:lang w:val="zh-CN"/>
              </w:rPr>
            </w:pPr>
          </w:p>
          <w:p w14:paraId="58BDA798">
            <w:pPr>
              <w:spacing w:line="360" w:lineRule="auto"/>
              <w:rPr>
                <w:rFonts w:ascii="Times New Roman" w:hAnsi="Times New Roman" w:cs="Times New Roman"/>
                <w:b/>
                <w:bCs/>
                <w:sz w:val="24"/>
              </w:rPr>
            </w:pPr>
            <w:r>
              <w:rPr>
                <w:rFonts w:ascii="Times New Roman" w:hAnsi="Times New Roman" w:cs="Times New Roman"/>
                <w:b/>
                <w:bCs/>
                <w:sz w:val="24"/>
              </w:rPr>
              <w:t>2.</w:t>
            </w:r>
            <w:r>
              <w:rPr>
                <w:rFonts w:hint="eastAsia" w:ascii="Times New Roman" w:hAnsi="Times New Roman" w:cs="Times New Roman"/>
                <w:b/>
                <w:bCs/>
                <w:sz w:val="24"/>
              </w:rPr>
              <w:t>2.4</w:t>
            </w:r>
            <w:r>
              <w:rPr>
                <w:rFonts w:ascii="Times New Roman" w:hAnsi="Times New Roman" w:cs="Times New Roman"/>
                <w:b/>
                <w:bCs/>
                <w:sz w:val="24"/>
              </w:rPr>
              <w:t>厂区平面布置</w:t>
            </w:r>
          </w:p>
          <w:p w14:paraId="7ED35126">
            <w:pPr>
              <w:spacing w:line="360" w:lineRule="auto"/>
              <w:ind w:firstLine="480" w:firstLineChars="200"/>
              <w:rPr>
                <w:rFonts w:ascii="Times New Roman" w:hAnsi="Times New Roman" w:cs="Times New Roman"/>
                <w:bCs/>
                <w:sz w:val="24"/>
                <w:lang w:val="zh-CN"/>
              </w:rPr>
            </w:pPr>
            <w:r>
              <w:rPr>
                <w:rFonts w:hint="eastAsia" w:ascii="Times New Roman" w:hAnsi="Times New Roman" w:cs="Times New Roman"/>
                <w:bCs/>
                <w:sz w:val="24"/>
                <w:lang w:val="zh-CN"/>
              </w:rPr>
              <w:t>利用现有厂区已预留二期发展用地。结合厂内总平面布置，新增设施布置如下:天然气液化装置呈东西方向布置于现装置区的东侧，厂内北部装置预留地的南部:新增LNG 低温储罐(2万m</w:t>
            </w:r>
            <w:r>
              <w:rPr>
                <w:rFonts w:hint="eastAsia" w:ascii="Times New Roman" w:hAnsi="Times New Roman" w:cs="Times New Roman"/>
                <w:bCs/>
                <w:sz w:val="24"/>
                <w:vertAlign w:val="superscript"/>
                <w:lang w:val="zh-CN"/>
              </w:rPr>
              <w:t>3</w:t>
            </w:r>
            <w:r>
              <w:rPr>
                <w:rFonts w:hint="eastAsia" w:ascii="Times New Roman" w:hAnsi="Times New Roman" w:cs="Times New Roman"/>
                <w:bCs/>
                <w:sz w:val="24"/>
                <w:lang w:val="zh-CN"/>
              </w:rPr>
              <w:t>、双钢全容罐)，布置于现 LNG 储存罐区的东侧，预留罐区用地内，且配套设置一座泡沫站:在装卸设施的南侧新增4 个装车位，即原有装车棚向南延伸;向北扩建循环水场，以满足水量增加的要求。</w:t>
            </w:r>
          </w:p>
          <w:p w14:paraId="0BDD2455">
            <w:pPr>
              <w:spacing w:line="360" w:lineRule="auto"/>
              <w:ind w:firstLine="480" w:firstLineChars="200"/>
              <w:rPr>
                <w:rFonts w:ascii="Times New Roman" w:hAnsi="Times New Roman" w:cs="Times New Roman"/>
                <w:bCs/>
                <w:sz w:val="24"/>
                <w:lang w:val="zh-CN"/>
              </w:rPr>
            </w:pPr>
            <w:r>
              <w:rPr>
                <w:rFonts w:hint="eastAsia" w:ascii="Times New Roman" w:hAnsi="Times New Roman" w:cs="Times New Roman"/>
                <w:bCs/>
                <w:sz w:val="24"/>
                <w:lang w:val="zh-CN"/>
              </w:rPr>
              <w:t>厂区东北部的生产管理区内，变电所的西侧，利用现有绿化用地，由北向南新增中央控制室及低压配电室。并对厂区东北角的办公楼进行改扩建，</w:t>
            </w:r>
          </w:p>
          <w:p w14:paraId="3DC7785E">
            <w:pPr>
              <w:spacing w:line="360" w:lineRule="auto"/>
              <w:ind w:firstLine="480" w:firstLineChars="200"/>
              <w:rPr>
                <w:rFonts w:ascii="Times New Roman" w:hAnsi="Times New Roman" w:cs="Times New Roman"/>
                <w:bCs/>
                <w:sz w:val="24"/>
                <w:lang w:val="zh-CN"/>
              </w:rPr>
            </w:pPr>
            <w:r>
              <w:rPr>
                <w:rFonts w:hint="eastAsia" w:ascii="Times New Roman" w:hAnsi="Times New Roman" w:cs="Times New Roman"/>
                <w:bCs/>
                <w:sz w:val="24"/>
                <w:lang w:val="zh-CN"/>
              </w:rPr>
              <w:t>在厂区南部，由东向西布置辅助设施: 厂区的东南部，新增化学品库及仓库， 在该化学品库的南侧新增初期雨水及事故水监测池；新建仓库及维修间；其西侧危废暂存间的南侧新增危废暂存间，新老设施集中布置，有利于生产管理。火炬、供水、供电等其他公用工程充分依托现有设施。</w:t>
            </w:r>
          </w:p>
          <w:p w14:paraId="28617D6D">
            <w:pPr>
              <w:spacing w:line="360" w:lineRule="auto"/>
              <w:ind w:firstLine="480" w:firstLineChars="200"/>
              <w:rPr>
                <w:rFonts w:ascii="Times New Roman" w:hAnsi="Times New Roman" w:cs="Times New Roman"/>
                <w:bCs/>
                <w:sz w:val="24"/>
                <w:lang w:val="zh-CN"/>
              </w:rPr>
            </w:pPr>
            <w:r>
              <w:rPr>
                <w:rFonts w:hint="eastAsia" w:ascii="Times New Roman" w:hAnsi="Times New Roman" w:cs="Times New Roman"/>
                <w:bCs/>
                <w:sz w:val="24"/>
                <w:lang w:val="zh-CN"/>
              </w:rPr>
              <w:t>本工程新增设施占地均为厂区用地，不需征地。项目总平面布置详见附图</w:t>
            </w:r>
            <w:r>
              <w:rPr>
                <w:rFonts w:ascii="Times New Roman" w:hAnsi="Times New Roman" w:cs="Times New Roman"/>
                <w:bCs/>
                <w:sz w:val="24"/>
                <w:lang w:val="zh-CN"/>
              </w:rPr>
              <w:t>2</w:t>
            </w:r>
            <w:r>
              <w:rPr>
                <w:rFonts w:hint="eastAsia" w:ascii="Times New Roman" w:hAnsi="Times New Roman" w:cs="Times New Roman"/>
                <w:bCs/>
                <w:sz w:val="24"/>
                <w:lang w:val="zh-CN"/>
              </w:rPr>
              <w:t>。</w:t>
            </w:r>
          </w:p>
          <w:p w14:paraId="3F1578D1">
            <w:pPr>
              <w:spacing w:line="360" w:lineRule="auto"/>
              <w:rPr>
                <w:rFonts w:ascii="Times New Roman" w:hAnsi="Times New Roman" w:cs="Times New Roman"/>
                <w:sz w:val="24"/>
              </w:rPr>
            </w:pPr>
          </w:p>
          <w:p w14:paraId="35C8C8F0">
            <w:pPr>
              <w:spacing w:line="360" w:lineRule="auto"/>
              <w:rPr>
                <w:rFonts w:ascii="Times New Roman" w:hAnsi="Times New Roman" w:cs="Times New Roman"/>
                <w:sz w:val="24"/>
              </w:rPr>
            </w:pPr>
          </w:p>
        </w:tc>
      </w:tr>
      <w:tr w14:paraId="0236E7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426" w:type="dxa"/>
            <w:vAlign w:val="center"/>
          </w:tcPr>
          <w:p w14:paraId="65348038">
            <w:pPr>
              <w:pStyle w:val="76"/>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工艺流程和产排污环节</w:t>
            </w:r>
          </w:p>
        </w:tc>
        <w:tc>
          <w:tcPr>
            <w:tcW w:w="8712" w:type="dxa"/>
          </w:tcPr>
          <w:p w14:paraId="2A27CC92">
            <w:pPr>
              <w:spacing w:line="360" w:lineRule="auto"/>
              <w:rPr>
                <w:rFonts w:ascii="Times New Roman" w:hAnsi="Times New Roman" w:cs="Times New Roman"/>
                <w:b/>
                <w:spacing w:val="-4"/>
                <w:kern w:val="24"/>
                <w:sz w:val="24"/>
              </w:rPr>
            </w:pPr>
            <w:r>
              <w:rPr>
                <w:rFonts w:ascii="Times New Roman" w:hAnsi="Times New Roman" w:cs="Times New Roman"/>
                <w:b/>
                <w:spacing w:val="-4"/>
                <w:kern w:val="24"/>
                <w:sz w:val="24"/>
              </w:rPr>
              <w:t>2.</w:t>
            </w:r>
            <w:r>
              <w:rPr>
                <w:rFonts w:hint="eastAsia" w:ascii="Times New Roman" w:hAnsi="Times New Roman" w:cs="Times New Roman"/>
                <w:b/>
                <w:spacing w:val="-4"/>
                <w:kern w:val="24"/>
                <w:sz w:val="24"/>
              </w:rPr>
              <w:t>3</w:t>
            </w:r>
            <w:r>
              <w:rPr>
                <w:rFonts w:ascii="Times New Roman" w:hAnsi="Times New Roman" w:cs="Times New Roman"/>
                <w:b/>
                <w:spacing w:val="-4"/>
                <w:kern w:val="24"/>
                <w:sz w:val="24"/>
              </w:rPr>
              <w:t>工艺流程及产污环节</w:t>
            </w:r>
          </w:p>
          <w:p w14:paraId="53DFC9EA">
            <w:pPr>
              <w:spacing w:line="360" w:lineRule="auto"/>
              <w:rPr>
                <w:rFonts w:ascii="Times New Roman" w:hAnsi="Times New Roman" w:cs="Times New Roman"/>
                <w:b/>
                <w:spacing w:val="-4"/>
                <w:kern w:val="24"/>
                <w:sz w:val="24"/>
              </w:rPr>
            </w:pPr>
            <w:r>
              <w:rPr>
                <w:rFonts w:ascii="Times New Roman" w:hAnsi="Times New Roman" w:cs="Times New Roman"/>
                <w:b/>
                <w:spacing w:val="-4"/>
                <w:kern w:val="24"/>
                <w:sz w:val="24"/>
              </w:rPr>
              <w:t>2.</w:t>
            </w:r>
            <w:r>
              <w:rPr>
                <w:rFonts w:hint="eastAsia" w:ascii="Times New Roman" w:hAnsi="Times New Roman" w:cs="Times New Roman"/>
                <w:b/>
                <w:spacing w:val="-4"/>
                <w:kern w:val="24"/>
                <w:sz w:val="24"/>
              </w:rPr>
              <w:t>3</w:t>
            </w:r>
            <w:r>
              <w:rPr>
                <w:rFonts w:ascii="Times New Roman" w:hAnsi="Times New Roman" w:cs="Times New Roman"/>
                <w:b/>
                <w:spacing w:val="-4"/>
                <w:kern w:val="24"/>
                <w:sz w:val="24"/>
              </w:rPr>
              <w:t>.1施工期工艺流程及产排污分析</w:t>
            </w:r>
          </w:p>
          <w:p w14:paraId="4B51FDC8">
            <w:pPr>
              <w:spacing w:line="360" w:lineRule="auto"/>
              <w:ind w:firstLine="480" w:firstLineChars="200"/>
              <w:rPr>
                <w:rFonts w:ascii="Times New Roman" w:hAnsi="Times New Roman" w:cs="Times New Roman"/>
                <w:sz w:val="24"/>
              </w:rPr>
            </w:pPr>
            <w:r>
              <w:rPr>
                <w:rFonts w:ascii="Times New Roman" w:hAnsi="Times New Roman" w:cs="Times New Roman"/>
                <w:sz w:val="24"/>
              </w:rPr>
              <w:t>拟建项目选址位于</w:t>
            </w:r>
            <w:r>
              <w:rPr>
                <w:rFonts w:hint="eastAsia" w:ascii="Times New Roman" w:hAnsi="Times New Roman" w:cs="Times New Roman"/>
                <w:bCs/>
                <w:sz w:val="24"/>
                <w:lang w:val="zh-CN"/>
              </w:rPr>
              <w:t>现有厂区已预留二期用地</w:t>
            </w:r>
            <w:r>
              <w:rPr>
                <w:rFonts w:ascii="Times New Roman" w:hAnsi="Times New Roman" w:cs="Times New Roman"/>
                <w:sz w:val="24"/>
              </w:rPr>
              <w:t>，施工人员生活依托</w:t>
            </w:r>
            <w:r>
              <w:rPr>
                <w:rFonts w:hint="eastAsia" w:ascii="Times New Roman" w:hAnsi="Times New Roman" w:cs="Times New Roman"/>
                <w:sz w:val="24"/>
              </w:rPr>
              <w:t>厂区</w:t>
            </w:r>
            <w:r>
              <w:rPr>
                <w:rFonts w:ascii="Times New Roman" w:hAnsi="Times New Roman" w:cs="Times New Roman"/>
                <w:sz w:val="24"/>
              </w:rPr>
              <w:t>已建完善设施，项目场地内不设施工营地。拟建项目场地已平整，施工内容主要为小规模的开挖和回填土石方、地基压实平整、浇混凝土垫层、现浇混凝土、预制构件安装、厂房和厂区道路建设、厂内给排水管网系统和绿化建设、设备安装调试等，不设取、弃土场，涉及的施工工序相对简单，没有大规模的土石方工程。</w:t>
            </w:r>
          </w:p>
          <w:p w14:paraId="2381D174">
            <w:pPr>
              <w:spacing w:line="360" w:lineRule="auto"/>
              <w:ind w:firstLine="480" w:firstLineChars="200"/>
              <w:rPr>
                <w:rFonts w:ascii="Times New Roman" w:hAnsi="Times New Roman" w:cs="Times New Roman"/>
                <w:sz w:val="24"/>
              </w:rPr>
            </w:pPr>
            <w:r>
              <w:rPr>
                <w:rFonts w:ascii="Times New Roman" w:hAnsi="Times New Roman" w:cs="Times New Roman"/>
                <w:sz w:val="24"/>
              </w:rPr>
              <w:t>建设可分为土石方开挖、建筑结构、设备安装调试3个阶段。各项施工活动将不可避免地对周围环境产生影响，主要包括粉尘、车辆尾气、噪声、固体废物、废水等对周围环境的影响，其中以粉尘和施工噪声影响较为明显。不同施工阶段主要污染源及污染物排放情况见</w:t>
            </w:r>
            <w:r>
              <w:rPr>
                <w:rFonts w:ascii="Times New Roman" w:hAnsi="Times New Roman" w:cs="Times New Roman"/>
                <w:b/>
                <w:kern w:val="0"/>
              </w:rPr>
              <w:t>表2.2.1-1</w:t>
            </w:r>
            <w:r>
              <w:rPr>
                <w:rFonts w:ascii="Times New Roman" w:hAnsi="Times New Roman" w:cs="Times New Roman"/>
                <w:sz w:val="24"/>
              </w:rPr>
              <w:t>。</w:t>
            </w:r>
          </w:p>
          <w:p w14:paraId="464D02EB">
            <w:pPr>
              <w:adjustRightInd w:val="0"/>
              <w:jc w:val="center"/>
              <w:rPr>
                <w:rFonts w:ascii="Times New Roman" w:hAnsi="Times New Roman" w:cs="Times New Roman"/>
                <w:b/>
                <w:kern w:val="0"/>
                <w:szCs w:val="21"/>
              </w:rPr>
            </w:pPr>
            <w:r>
              <w:rPr>
                <w:rFonts w:ascii="Times New Roman" w:hAnsi="Times New Roman" w:cs="Times New Roman"/>
                <w:b/>
                <w:kern w:val="0"/>
              </w:rPr>
              <w:t>表2.2.1-1   不同施工阶段主要污染源及污染物排放情况</w:t>
            </w:r>
          </w:p>
          <w:tbl>
            <w:tblPr>
              <w:tblStyle w:val="8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8"/>
              <w:gridCol w:w="3674"/>
              <w:gridCol w:w="2966"/>
            </w:tblGrid>
            <w:tr w14:paraId="0E846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 w:hRule="atLeast"/>
                <w:jc w:val="center"/>
              </w:trPr>
              <w:tc>
                <w:tcPr>
                  <w:tcW w:w="1658" w:type="dxa"/>
                  <w:tcBorders>
                    <w:top w:val="single" w:color="auto" w:sz="4" w:space="0"/>
                    <w:left w:val="single" w:color="auto" w:sz="4" w:space="0"/>
                    <w:bottom w:val="single" w:color="auto" w:sz="4" w:space="0"/>
                    <w:right w:val="single" w:color="auto" w:sz="4" w:space="0"/>
                  </w:tcBorders>
                  <w:vAlign w:val="center"/>
                </w:tcPr>
                <w:p w14:paraId="1375B88E">
                  <w:pPr>
                    <w:autoSpaceDE w:val="0"/>
                    <w:autoSpaceDN w:val="0"/>
                    <w:jc w:val="center"/>
                    <w:rPr>
                      <w:rFonts w:ascii="Times New Roman" w:hAnsi="Times New Roman" w:cs="Times New Roman"/>
                      <w:b/>
                      <w:kern w:val="0"/>
                      <w:szCs w:val="21"/>
                    </w:rPr>
                  </w:pPr>
                  <w:r>
                    <w:rPr>
                      <w:rFonts w:ascii="Times New Roman" w:hAnsi="Times New Roman" w:cs="Times New Roman"/>
                      <w:b/>
                      <w:kern w:val="0"/>
                    </w:rPr>
                    <w:t>施工阶段</w:t>
                  </w:r>
                </w:p>
              </w:tc>
              <w:tc>
                <w:tcPr>
                  <w:tcW w:w="3674" w:type="dxa"/>
                  <w:tcBorders>
                    <w:top w:val="single" w:color="auto" w:sz="4" w:space="0"/>
                    <w:left w:val="single" w:color="auto" w:sz="4" w:space="0"/>
                    <w:bottom w:val="single" w:color="auto" w:sz="4" w:space="0"/>
                    <w:right w:val="single" w:color="auto" w:sz="4" w:space="0"/>
                  </w:tcBorders>
                  <w:vAlign w:val="center"/>
                </w:tcPr>
                <w:p w14:paraId="2635E87E">
                  <w:pPr>
                    <w:autoSpaceDE w:val="0"/>
                    <w:autoSpaceDN w:val="0"/>
                    <w:adjustRightInd w:val="0"/>
                    <w:jc w:val="center"/>
                    <w:rPr>
                      <w:rFonts w:ascii="Times New Roman" w:hAnsi="Times New Roman" w:cs="Times New Roman"/>
                      <w:b/>
                      <w:kern w:val="0"/>
                      <w:szCs w:val="21"/>
                    </w:rPr>
                  </w:pPr>
                  <w:r>
                    <w:rPr>
                      <w:rFonts w:ascii="Times New Roman" w:hAnsi="Times New Roman" w:cs="Times New Roman"/>
                      <w:b/>
                      <w:kern w:val="0"/>
                    </w:rPr>
                    <w:t>主要污染源</w:t>
                  </w:r>
                </w:p>
              </w:tc>
              <w:tc>
                <w:tcPr>
                  <w:tcW w:w="2966" w:type="dxa"/>
                  <w:tcBorders>
                    <w:top w:val="single" w:color="auto" w:sz="4" w:space="0"/>
                    <w:left w:val="single" w:color="auto" w:sz="4" w:space="0"/>
                    <w:bottom w:val="single" w:color="auto" w:sz="4" w:space="0"/>
                    <w:right w:val="single" w:color="auto" w:sz="4" w:space="0"/>
                  </w:tcBorders>
                  <w:vAlign w:val="center"/>
                </w:tcPr>
                <w:p w14:paraId="7D24F97E">
                  <w:pPr>
                    <w:autoSpaceDE w:val="0"/>
                    <w:autoSpaceDN w:val="0"/>
                    <w:jc w:val="center"/>
                    <w:rPr>
                      <w:rFonts w:ascii="Times New Roman" w:hAnsi="Times New Roman" w:cs="Times New Roman"/>
                      <w:b/>
                      <w:kern w:val="0"/>
                      <w:szCs w:val="21"/>
                    </w:rPr>
                  </w:pPr>
                  <w:r>
                    <w:rPr>
                      <w:rFonts w:ascii="Times New Roman" w:hAnsi="Times New Roman" w:cs="Times New Roman"/>
                      <w:b/>
                      <w:kern w:val="0"/>
                    </w:rPr>
                    <w:t>主要污染物</w:t>
                  </w:r>
                </w:p>
              </w:tc>
            </w:tr>
            <w:tr w14:paraId="12A07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1658" w:type="dxa"/>
                  <w:tcBorders>
                    <w:top w:val="single" w:color="auto" w:sz="4" w:space="0"/>
                    <w:left w:val="single" w:color="auto" w:sz="4" w:space="0"/>
                    <w:bottom w:val="single" w:color="auto" w:sz="4" w:space="0"/>
                    <w:right w:val="single" w:color="auto" w:sz="4" w:space="0"/>
                  </w:tcBorders>
                  <w:vAlign w:val="center"/>
                </w:tcPr>
                <w:p w14:paraId="079074FC">
                  <w:pPr>
                    <w:autoSpaceDE w:val="0"/>
                    <w:autoSpaceDN w:val="0"/>
                    <w:snapToGrid w:val="0"/>
                    <w:spacing w:line="240" w:lineRule="exact"/>
                    <w:jc w:val="center"/>
                    <w:rPr>
                      <w:rFonts w:ascii="Times New Roman" w:hAnsi="Times New Roman" w:cs="Times New Roman"/>
                      <w:kern w:val="0"/>
                      <w:szCs w:val="21"/>
                    </w:rPr>
                  </w:pPr>
                  <w:r>
                    <w:rPr>
                      <w:rFonts w:ascii="Times New Roman" w:hAnsi="Times New Roman" w:cs="Times New Roman"/>
                      <w:kern w:val="0"/>
                    </w:rPr>
                    <w:t>小规模土石方</w:t>
                  </w:r>
                </w:p>
                <w:p w14:paraId="4BE48A2A">
                  <w:pPr>
                    <w:autoSpaceDE w:val="0"/>
                    <w:autoSpaceDN w:val="0"/>
                    <w:snapToGrid w:val="0"/>
                    <w:jc w:val="center"/>
                    <w:rPr>
                      <w:rFonts w:ascii="Times New Roman" w:hAnsi="Times New Roman" w:cs="Times New Roman"/>
                      <w:kern w:val="0"/>
                      <w:szCs w:val="21"/>
                    </w:rPr>
                  </w:pPr>
                  <w:r>
                    <w:rPr>
                      <w:rFonts w:ascii="Times New Roman" w:hAnsi="Times New Roman" w:cs="Times New Roman"/>
                      <w:kern w:val="0"/>
                    </w:rPr>
                    <w:t>开挖、平整阶段</w:t>
                  </w:r>
                </w:p>
              </w:tc>
              <w:tc>
                <w:tcPr>
                  <w:tcW w:w="3674" w:type="dxa"/>
                  <w:tcBorders>
                    <w:top w:val="single" w:color="auto" w:sz="4" w:space="0"/>
                    <w:left w:val="single" w:color="auto" w:sz="4" w:space="0"/>
                    <w:bottom w:val="single" w:color="auto" w:sz="4" w:space="0"/>
                    <w:right w:val="single" w:color="auto" w:sz="4" w:space="0"/>
                  </w:tcBorders>
                  <w:vAlign w:val="center"/>
                </w:tcPr>
                <w:p w14:paraId="199543F4">
                  <w:pPr>
                    <w:suppressAutoHyphens/>
                    <w:autoSpaceDE w:val="0"/>
                    <w:autoSpaceDN w:val="0"/>
                    <w:adjustRightInd w:val="0"/>
                    <w:jc w:val="center"/>
                    <w:rPr>
                      <w:rFonts w:ascii="Times New Roman" w:hAnsi="Times New Roman" w:cs="Times New Roman"/>
                      <w:bCs/>
                      <w:spacing w:val="6"/>
                      <w:kern w:val="0"/>
                      <w:szCs w:val="21"/>
                    </w:rPr>
                  </w:pPr>
                  <w:r>
                    <w:rPr>
                      <w:rFonts w:ascii="Times New Roman" w:hAnsi="Times New Roman" w:cs="Times New Roman"/>
                      <w:bCs/>
                      <w:spacing w:val="6"/>
                      <w:kern w:val="0"/>
                    </w:rPr>
                    <w:t>危险化学品库拆除、土方堆场、挖掘机、推土机、铲车、运输卡车</w:t>
                  </w:r>
                </w:p>
              </w:tc>
              <w:tc>
                <w:tcPr>
                  <w:tcW w:w="2966" w:type="dxa"/>
                  <w:tcBorders>
                    <w:top w:val="single" w:color="auto" w:sz="4" w:space="0"/>
                    <w:left w:val="single" w:color="auto" w:sz="4" w:space="0"/>
                    <w:bottom w:val="single" w:color="auto" w:sz="4" w:space="0"/>
                    <w:right w:val="single" w:color="auto" w:sz="4" w:space="0"/>
                  </w:tcBorders>
                  <w:vAlign w:val="center"/>
                </w:tcPr>
                <w:p w14:paraId="0E5CA130">
                  <w:pPr>
                    <w:autoSpaceDE w:val="0"/>
                    <w:autoSpaceDN w:val="0"/>
                    <w:snapToGrid w:val="0"/>
                    <w:jc w:val="center"/>
                    <w:rPr>
                      <w:rFonts w:ascii="Times New Roman" w:hAnsi="Times New Roman" w:cs="Times New Roman"/>
                      <w:kern w:val="0"/>
                      <w:szCs w:val="21"/>
                    </w:rPr>
                  </w:pPr>
                  <w:r>
                    <w:rPr>
                      <w:rFonts w:ascii="Times New Roman" w:hAnsi="Times New Roman" w:cs="Times New Roman"/>
                      <w:kern w:val="0"/>
                    </w:rPr>
                    <w:t>扬尘、噪声、建筑垃圾、车辆尾气、施工排水</w:t>
                  </w:r>
                </w:p>
              </w:tc>
            </w:tr>
            <w:tr w14:paraId="1FC0C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 w:hRule="atLeast"/>
                <w:jc w:val="center"/>
              </w:trPr>
              <w:tc>
                <w:tcPr>
                  <w:tcW w:w="1658" w:type="dxa"/>
                  <w:tcBorders>
                    <w:top w:val="single" w:color="auto" w:sz="4" w:space="0"/>
                    <w:left w:val="single" w:color="auto" w:sz="4" w:space="0"/>
                    <w:bottom w:val="single" w:color="auto" w:sz="4" w:space="0"/>
                    <w:right w:val="single" w:color="auto" w:sz="4" w:space="0"/>
                  </w:tcBorders>
                  <w:vAlign w:val="center"/>
                </w:tcPr>
                <w:p w14:paraId="30B8FE93">
                  <w:pPr>
                    <w:autoSpaceDE w:val="0"/>
                    <w:autoSpaceDN w:val="0"/>
                    <w:snapToGrid w:val="0"/>
                    <w:jc w:val="center"/>
                    <w:rPr>
                      <w:rFonts w:ascii="Times New Roman" w:hAnsi="Times New Roman" w:cs="Times New Roman"/>
                      <w:kern w:val="0"/>
                      <w:szCs w:val="21"/>
                    </w:rPr>
                  </w:pPr>
                  <w:r>
                    <w:rPr>
                      <w:rFonts w:ascii="Times New Roman" w:hAnsi="Times New Roman" w:cs="Times New Roman"/>
                      <w:kern w:val="0"/>
                    </w:rPr>
                    <w:t>打桩阶段</w:t>
                  </w:r>
                </w:p>
              </w:tc>
              <w:tc>
                <w:tcPr>
                  <w:tcW w:w="3674" w:type="dxa"/>
                  <w:tcBorders>
                    <w:top w:val="single" w:color="auto" w:sz="4" w:space="0"/>
                    <w:left w:val="single" w:color="auto" w:sz="4" w:space="0"/>
                    <w:bottom w:val="single" w:color="auto" w:sz="4" w:space="0"/>
                    <w:right w:val="single" w:color="auto" w:sz="4" w:space="0"/>
                  </w:tcBorders>
                  <w:vAlign w:val="center"/>
                </w:tcPr>
                <w:p w14:paraId="440B139C">
                  <w:pPr>
                    <w:suppressAutoHyphens/>
                    <w:autoSpaceDE w:val="0"/>
                    <w:autoSpaceDN w:val="0"/>
                    <w:adjustRightInd w:val="0"/>
                    <w:jc w:val="center"/>
                    <w:rPr>
                      <w:rFonts w:ascii="Times New Roman" w:hAnsi="Times New Roman" w:cs="Times New Roman"/>
                      <w:bCs/>
                      <w:spacing w:val="6"/>
                      <w:kern w:val="0"/>
                      <w:szCs w:val="21"/>
                    </w:rPr>
                  </w:pPr>
                  <w:r>
                    <w:rPr>
                      <w:rFonts w:ascii="Times New Roman" w:hAnsi="Times New Roman" w:cs="Times New Roman"/>
                      <w:kern w:val="0"/>
                    </w:rPr>
                    <w:t>打桩机、运输卡车等</w:t>
                  </w:r>
                </w:p>
              </w:tc>
              <w:tc>
                <w:tcPr>
                  <w:tcW w:w="2966" w:type="dxa"/>
                  <w:tcBorders>
                    <w:top w:val="single" w:color="auto" w:sz="4" w:space="0"/>
                    <w:left w:val="single" w:color="auto" w:sz="4" w:space="0"/>
                    <w:bottom w:val="single" w:color="auto" w:sz="4" w:space="0"/>
                    <w:right w:val="single" w:color="auto" w:sz="4" w:space="0"/>
                  </w:tcBorders>
                  <w:vAlign w:val="center"/>
                </w:tcPr>
                <w:p w14:paraId="77FC2913">
                  <w:pPr>
                    <w:autoSpaceDE w:val="0"/>
                    <w:autoSpaceDN w:val="0"/>
                    <w:snapToGrid w:val="0"/>
                    <w:jc w:val="center"/>
                    <w:rPr>
                      <w:rFonts w:ascii="Times New Roman" w:hAnsi="Times New Roman" w:cs="Times New Roman"/>
                      <w:kern w:val="0"/>
                      <w:szCs w:val="21"/>
                    </w:rPr>
                  </w:pPr>
                  <w:r>
                    <w:rPr>
                      <w:rFonts w:ascii="Times New Roman" w:hAnsi="Times New Roman" w:cs="Times New Roman"/>
                      <w:kern w:val="0"/>
                    </w:rPr>
                    <w:t>扬尘、噪声、车辆尾气</w:t>
                  </w:r>
                </w:p>
              </w:tc>
            </w:tr>
            <w:tr w14:paraId="3811E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 w:hRule="atLeast"/>
                <w:jc w:val="center"/>
              </w:trPr>
              <w:tc>
                <w:tcPr>
                  <w:tcW w:w="1658" w:type="dxa"/>
                  <w:tcBorders>
                    <w:top w:val="single" w:color="auto" w:sz="4" w:space="0"/>
                    <w:left w:val="single" w:color="auto" w:sz="4" w:space="0"/>
                    <w:bottom w:val="single" w:color="auto" w:sz="4" w:space="0"/>
                    <w:right w:val="single" w:color="auto" w:sz="4" w:space="0"/>
                  </w:tcBorders>
                  <w:vAlign w:val="center"/>
                </w:tcPr>
                <w:p w14:paraId="410D5AC3">
                  <w:pPr>
                    <w:autoSpaceDE w:val="0"/>
                    <w:autoSpaceDN w:val="0"/>
                    <w:snapToGrid w:val="0"/>
                    <w:jc w:val="center"/>
                    <w:rPr>
                      <w:rFonts w:ascii="Times New Roman" w:hAnsi="Times New Roman" w:cs="Times New Roman"/>
                      <w:kern w:val="0"/>
                      <w:szCs w:val="21"/>
                    </w:rPr>
                  </w:pPr>
                  <w:r>
                    <w:rPr>
                      <w:rFonts w:ascii="Times New Roman" w:hAnsi="Times New Roman" w:cs="Times New Roman"/>
                      <w:kern w:val="0"/>
                    </w:rPr>
                    <w:t>建筑结构阶段</w:t>
                  </w:r>
                </w:p>
              </w:tc>
              <w:tc>
                <w:tcPr>
                  <w:tcW w:w="3674" w:type="dxa"/>
                  <w:tcBorders>
                    <w:top w:val="single" w:color="auto" w:sz="4" w:space="0"/>
                    <w:left w:val="single" w:color="auto" w:sz="4" w:space="0"/>
                    <w:bottom w:val="single" w:color="auto" w:sz="4" w:space="0"/>
                    <w:right w:val="single" w:color="auto" w:sz="4" w:space="0"/>
                  </w:tcBorders>
                  <w:vAlign w:val="center"/>
                </w:tcPr>
                <w:p w14:paraId="385FBF82">
                  <w:pPr>
                    <w:autoSpaceDE w:val="0"/>
                    <w:autoSpaceDN w:val="0"/>
                    <w:snapToGrid w:val="0"/>
                    <w:jc w:val="center"/>
                    <w:rPr>
                      <w:rFonts w:ascii="Times New Roman" w:hAnsi="Times New Roman" w:cs="Times New Roman"/>
                      <w:kern w:val="0"/>
                      <w:szCs w:val="21"/>
                    </w:rPr>
                  </w:pPr>
                  <w:r>
                    <w:rPr>
                      <w:rFonts w:ascii="Times New Roman" w:hAnsi="Times New Roman" w:cs="Times New Roman"/>
                      <w:kern w:val="0"/>
                    </w:rPr>
                    <w:t>建材堆场、进出场地车辆、振捣棒、电锯等</w:t>
                  </w:r>
                </w:p>
              </w:tc>
              <w:tc>
                <w:tcPr>
                  <w:tcW w:w="2966" w:type="dxa"/>
                  <w:tcBorders>
                    <w:top w:val="single" w:color="auto" w:sz="4" w:space="0"/>
                    <w:left w:val="single" w:color="auto" w:sz="4" w:space="0"/>
                    <w:bottom w:val="single" w:color="auto" w:sz="4" w:space="0"/>
                    <w:right w:val="single" w:color="auto" w:sz="4" w:space="0"/>
                  </w:tcBorders>
                  <w:vAlign w:val="center"/>
                </w:tcPr>
                <w:p w14:paraId="4C42C1CE">
                  <w:pPr>
                    <w:autoSpaceDE w:val="0"/>
                    <w:autoSpaceDN w:val="0"/>
                    <w:snapToGrid w:val="0"/>
                    <w:jc w:val="center"/>
                    <w:rPr>
                      <w:rFonts w:ascii="Times New Roman" w:hAnsi="Times New Roman" w:cs="Times New Roman"/>
                      <w:kern w:val="0"/>
                      <w:szCs w:val="21"/>
                    </w:rPr>
                  </w:pPr>
                  <w:r>
                    <w:rPr>
                      <w:rFonts w:ascii="Times New Roman" w:hAnsi="Times New Roman" w:cs="Times New Roman"/>
                      <w:kern w:val="0"/>
                    </w:rPr>
                    <w:t>扬尘、噪声、垃圾、车辆尾气、施工排水</w:t>
                  </w:r>
                </w:p>
              </w:tc>
            </w:tr>
            <w:tr w14:paraId="26C8D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 w:hRule="atLeast"/>
                <w:jc w:val="center"/>
              </w:trPr>
              <w:tc>
                <w:tcPr>
                  <w:tcW w:w="1658" w:type="dxa"/>
                  <w:tcBorders>
                    <w:top w:val="single" w:color="auto" w:sz="4" w:space="0"/>
                    <w:left w:val="single" w:color="auto" w:sz="4" w:space="0"/>
                    <w:bottom w:val="single" w:color="auto" w:sz="4" w:space="0"/>
                    <w:right w:val="single" w:color="auto" w:sz="4" w:space="0"/>
                  </w:tcBorders>
                  <w:vAlign w:val="center"/>
                </w:tcPr>
                <w:p w14:paraId="218C6503">
                  <w:pPr>
                    <w:autoSpaceDE w:val="0"/>
                    <w:autoSpaceDN w:val="0"/>
                    <w:snapToGrid w:val="0"/>
                    <w:jc w:val="center"/>
                    <w:rPr>
                      <w:rFonts w:ascii="Times New Roman" w:hAnsi="Times New Roman" w:cs="Times New Roman"/>
                      <w:kern w:val="0"/>
                      <w:szCs w:val="21"/>
                    </w:rPr>
                  </w:pPr>
                  <w:r>
                    <w:rPr>
                      <w:rFonts w:ascii="Times New Roman" w:hAnsi="Times New Roman" w:cs="Times New Roman"/>
                      <w:kern w:val="0"/>
                    </w:rPr>
                    <w:t>设备安装调试阶段</w:t>
                  </w:r>
                </w:p>
              </w:tc>
              <w:tc>
                <w:tcPr>
                  <w:tcW w:w="3674" w:type="dxa"/>
                  <w:tcBorders>
                    <w:top w:val="single" w:color="auto" w:sz="4" w:space="0"/>
                    <w:left w:val="single" w:color="auto" w:sz="4" w:space="0"/>
                    <w:bottom w:val="single" w:color="auto" w:sz="4" w:space="0"/>
                    <w:right w:val="single" w:color="auto" w:sz="4" w:space="0"/>
                  </w:tcBorders>
                  <w:vAlign w:val="center"/>
                </w:tcPr>
                <w:p w14:paraId="220BD64B">
                  <w:pPr>
                    <w:suppressAutoHyphens/>
                    <w:autoSpaceDE w:val="0"/>
                    <w:autoSpaceDN w:val="0"/>
                    <w:adjustRightInd w:val="0"/>
                    <w:ind w:firstLine="444" w:firstLineChars="200"/>
                    <w:jc w:val="center"/>
                    <w:rPr>
                      <w:rFonts w:ascii="Times New Roman" w:hAnsi="Times New Roman" w:cs="Times New Roman"/>
                      <w:bCs/>
                      <w:spacing w:val="6"/>
                      <w:kern w:val="0"/>
                      <w:szCs w:val="21"/>
                    </w:rPr>
                  </w:pPr>
                  <w:r>
                    <w:rPr>
                      <w:rFonts w:ascii="Times New Roman" w:hAnsi="Times New Roman" w:cs="Times New Roman"/>
                      <w:bCs/>
                      <w:spacing w:val="6"/>
                      <w:kern w:val="0"/>
                    </w:rPr>
                    <w:t>吊车、升降机、切割等机械</w:t>
                  </w:r>
                </w:p>
              </w:tc>
              <w:tc>
                <w:tcPr>
                  <w:tcW w:w="2966" w:type="dxa"/>
                  <w:tcBorders>
                    <w:top w:val="single" w:color="auto" w:sz="4" w:space="0"/>
                    <w:left w:val="single" w:color="auto" w:sz="4" w:space="0"/>
                    <w:bottom w:val="single" w:color="auto" w:sz="4" w:space="0"/>
                    <w:right w:val="single" w:color="auto" w:sz="4" w:space="0"/>
                  </w:tcBorders>
                  <w:vAlign w:val="center"/>
                </w:tcPr>
                <w:p w14:paraId="3B28C98C">
                  <w:pPr>
                    <w:autoSpaceDE w:val="0"/>
                    <w:autoSpaceDN w:val="0"/>
                    <w:snapToGrid w:val="0"/>
                    <w:jc w:val="center"/>
                    <w:rPr>
                      <w:rFonts w:ascii="Times New Roman" w:hAnsi="Times New Roman" w:cs="Times New Roman"/>
                      <w:kern w:val="0"/>
                      <w:szCs w:val="21"/>
                    </w:rPr>
                  </w:pPr>
                  <w:r>
                    <w:rPr>
                      <w:rFonts w:ascii="Times New Roman" w:hAnsi="Times New Roman" w:cs="Times New Roman"/>
                      <w:kern w:val="0"/>
                    </w:rPr>
                    <w:t>噪声、垃圾、车辆尾气、施工排水</w:t>
                  </w:r>
                </w:p>
              </w:tc>
            </w:tr>
          </w:tbl>
          <w:p w14:paraId="014365FD">
            <w:pPr>
              <w:spacing w:line="360" w:lineRule="auto"/>
              <w:ind w:firstLine="480" w:firstLineChars="200"/>
              <w:rPr>
                <w:rFonts w:ascii="Times New Roman" w:hAnsi="Times New Roman" w:cs="Times New Roman"/>
                <w:sz w:val="24"/>
              </w:rPr>
            </w:pPr>
            <w:r>
              <w:rPr>
                <w:rFonts w:ascii="Times New Roman" w:hAnsi="Times New Roman" w:cs="Times New Roman"/>
                <w:sz w:val="24"/>
              </w:rPr>
              <w:t>为尽可能降低施工建设对环境的影响，首先要对施工单位提出严格的施工建设环保要求，其次要求建设单位对施工现场及施工队伍进行严格的监督管理，必要时可采用现场监测手段加以控制和管理。</w:t>
            </w:r>
          </w:p>
          <w:p w14:paraId="11AC55CF">
            <w:pPr>
              <w:spacing w:line="360" w:lineRule="auto"/>
              <w:ind w:firstLine="480" w:firstLineChars="200"/>
              <w:rPr>
                <w:rFonts w:ascii="Times New Roman" w:hAnsi="Times New Roman" w:cs="Times New Roman"/>
                <w:sz w:val="24"/>
              </w:rPr>
            </w:pPr>
            <w:r>
              <w:rPr>
                <w:rFonts w:ascii="Times New Roman" w:hAnsi="Times New Roman" w:cs="Times New Roman"/>
                <w:sz w:val="24"/>
              </w:rPr>
              <w:t>本评价将针对项目施工期的环境影响特点，对施工期的环境影响进行简单分析。</w:t>
            </w:r>
          </w:p>
          <w:p w14:paraId="1B6490D6">
            <w:pPr>
              <w:spacing w:line="360" w:lineRule="auto"/>
              <w:rPr>
                <w:rFonts w:ascii="Times New Roman" w:hAnsi="Times New Roman" w:cs="Times New Roman"/>
                <w:b/>
                <w:spacing w:val="-4"/>
                <w:kern w:val="24"/>
                <w:sz w:val="24"/>
              </w:rPr>
            </w:pPr>
            <w:r>
              <w:rPr>
                <w:rFonts w:ascii="Times New Roman" w:hAnsi="Times New Roman" w:cs="Times New Roman"/>
                <w:b/>
                <w:spacing w:val="-4"/>
                <w:kern w:val="24"/>
                <w:sz w:val="24"/>
              </w:rPr>
              <w:t>2.</w:t>
            </w:r>
            <w:r>
              <w:rPr>
                <w:rFonts w:hint="eastAsia" w:ascii="Times New Roman" w:hAnsi="Times New Roman" w:cs="Times New Roman"/>
                <w:b/>
                <w:spacing w:val="-4"/>
                <w:kern w:val="24"/>
                <w:sz w:val="24"/>
              </w:rPr>
              <w:t>3</w:t>
            </w:r>
            <w:r>
              <w:rPr>
                <w:rFonts w:ascii="Times New Roman" w:hAnsi="Times New Roman" w:cs="Times New Roman"/>
                <w:b/>
                <w:spacing w:val="-4"/>
                <w:kern w:val="24"/>
                <w:sz w:val="24"/>
              </w:rPr>
              <w:t>.2运营期工艺流程及产排污分析</w:t>
            </w:r>
          </w:p>
          <w:p w14:paraId="738845AD">
            <w:pPr>
              <w:pStyle w:val="2"/>
            </w:pPr>
            <w:r>
              <w:rPr>
                <w:rFonts w:hint="eastAsia" w:eastAsia="黑体"/>
                <w:bCs/>
                <w:color w:val="auto"/>
              </w:rPr>
              <w:drawing>
                <wp:inline distT="0" distB="0" distL="0" distR="0">
                  <wp:extent cx="5615940" cy="2619375"/>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615940" cy="2619375"/>
                          </a:xfrm>
                          <a:prstGeom prst="rect">
                            <a:avLst/>
                          </a:prstGeom>
                          <a:noFill/>
                          <a:ln>
                            <a:noFill/>
                          </a:ln>
                        </pic:spPr>
                      </pic:pic>
                    </a:graphicData>
                  </a:graphic>
                </wp:inline>
              </w:drawing>
            </w:r>
          </w:p>
          <w:p w14:paraId="4CA45415">
            <w:pPr>
              <w:adjustRightInd w:val="0"/>
              <w:snapToGrid w:val="0"/>
              <w:spacing w:line="360" w:lineRule="auto"/>
              <w:jc w:val="center"/>
              <w:rPr>
                <w:rFonts w:ascii="Times New Roman" w:hAnsi="Times New Roman" w:eastAsia="黑体" w:cs="Times New Roman"/>
                <w:bCs/>
                <w:sz w:val="24"/>
              </w:rPr>
            </w:pPr>
            <w:r>
              <w:rPr>
                <w:rFonts w:hint="eastAsia" w:ascii="Times New Roman" w:hAnsi="Times New Roman" w:eastAsia="黑体" w:cs="Times New Roman"/>
                <w:bCs/>
                <w:sz w:val="24"/>
              </w:rPr>
              <w:t>图</w:t>
            </w:r>
            <w:r>
              <w:rPr>
                <w:rFonts w:ascii="Times New Roman" w:hAnsi="Times New Roman" w:eastAsia="黑体" w:cs="Times New Roman"/>
                <w:bCs/>
                <w:sz w:val="24"/>
              </w:rPr>
              <w:t>2.2</w:t>
            </w:r>
            <w:r>
              <w:rPr>
                <w:rFonts w:hint="eastAsia" w:ascii="Times New Roman" w:hAnsi="Times New Roman" w:eastAsia="黑体" w:cs="Times New Roman"/>
                <w:bCs/>
                <w:sz w:val="24"/>
              </w:rPr>
              <w:t>-</w:t>
            </w:r>
            <w:r>
              <w:rPr>
                <w:rFonts w:ascii="Times New Roman" w:hAnsi="Times New Roman" w:eastAsia="黑体" w:cs="Times New Roman"/>
                <w:bCs/>
                <w:sz w:val="24"/>
              </w:rPr>
              <w:t>1</w:t>
            </w:r>
            <w:r>
              <w:rPr>
                <w:rFonts w:hint="eastAsia" w:ascii="Times New Roman" w:hAnsi="Times New Roman" w:eastAsia="黑体" w:cs="Times New Roman"/>
                <w:bCs/>
                <w:sz w:val="24"/>
              </w:rPr>
              <w:t xml:space="preserve">   生产工艺流程及产污节点图</w:t>
            </w:r>
          </w:p>
          <w:p w14:paraId="7C152E47">
            <w:pPr>
              <w:adjustRightInd w:val="0"/>
              <w:snapToGrid w:val="0"/>
              <w:spacing w:line="360" w:lineRule="auto"/>
              <w:ind w:firstLine="482" w:firstLineChars="200"/>
              <w:jc w:val="left"/>
              <w:rPr>
                <w:rFonts w:ascii="Times New Roman" w:hAnsi="Times New Roman" w:cs="Times New Roman"/>
                <w:b/>
                <w:sz w:val="24"/>
                <w:szCs w:val="26"/>
              </w:rPr>
            </w:pPr>
            <w:r>
              <w:rPr>
                <w:rFonts w:hint="eastAsia" w:ascii="Times New Roman" w:hAnsi="Times New Roman" w:cs="Times New Roman"/>
                <w:b/>
                <w:sz w:val="24"/>
                <w:szCs w:val="26"/>
              </w:rPr>
              <w:t>（1）计量、调压工序</w:t>
            </w:r>
          </w:p>
          <w:p w14:paraId="539D5BC1">
            <w:pPr>
              <w:widowControl/>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对于液化天然气工程而言，原料天然气进气压力高低与后续制冷系统等的设备投资和能耗有着密切联系，进气压力越高，整个工艺装置的投资和能耗就越低，因此，为保证设备稳定运行和经济性，原料气气压需稳定在5.0Mpa进入生产系统。</w:t>
            </w:r>
          </w:p>
          <w:p w14:paraId="56D5EA61">
            <w:pPr>
              <w:widowControl/>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原料气以3.5MPa自界区外进入装置，首先经过原料气过滤器和原料气压缩机吸入罐，然后进入压缩机压缩至5.0Mpa。原料气过滤器的作用是去除原料气中的杂质，吸入罐的作用式脱出原料气的污水，避免杂质带入净化单元，污染吸收剂。过滤、调压后的天然气进入净化工序。</w:t>
            </w:r>
            <w:r>
              <w:rPr>
                <w:rFonts w:hint="eastAsia" w:ascii="Times New Roman" w:hAnsi="Times New Roman" w:cs="Times New Roman"/>
                <w:sz w:val="24"/>
              </w:rPr>
              <w:t>此工序会过滤分离器产生的游离水（</w:t>
            </w:r>
            <w:r>
              <w:rPr>
                <w:rFonts w:ascii="Times New Roman" w:hAnsi="Times New Roman" w:cs="Times New Roman"/>
                <w:sz w:val="24"/>
              </w:rPr>
              <w:t>W</w:t>
            </w:r>
            <w:r>
              <w:rPr>
                <w:rFonts w:hint="eastAsia" w:ascii="Times New Roman" w:hAnsi="Times New Roman" w:cs="Times New Roman"/>
                <w:sz w:val="24"/>
              </w:rPr>
              <w:t>1）。</w:t>
            </w:r>
          </w:p>
          <w:p w14:paraId="678D8153">
            <w:pPr>
              <w:adjustRightInd w:val="0"/>
              <w:snapToGrid w:val="0"/>
              <w:spacing w:line="360" w:lineRule="auto"/>
              <w:ind w:firstLine="482" w:firstLineChars="200"/>
              <w:jc w:val="left"/>
              <w:rPr>
                <w:rFonts w:ascii="Times New Roman" w:hAnsi="Times New Roman" w:cs="Times New Roman"/>
                <w:b/>
                <w:sz w:val="24"/>
                <w:szCs w:val="26"/>
              </w:rPr>
            </w:pPr>
            <w:r>
              <w:rPr>
                <w:rFonts w:ascii="Times New Roman" w:hAnsi="Times New Roman" w:cs="Times New Roman"/>
                <w:b/>
                <w:sz w:val="24"/>
                <w:szCs w:val="26"/>
              </w:rPr>
              <w:t>（</w:t>
            </w:r>
            <w:r>
              <w:rPr>
                <w:rFonts w:hint="eastAsia" w:ascii="Times New Roman" w:hAnsi="Times New Roman" w:cs="Times New Roman"/>
                <w:b/>
                <w:sz w:val="24"/>
                <w:szCs w:val="26"/>
              </w:rPr>
              <w:t>2</w:t>
            </w:r>
            <w:r>
              <w:rPr>
                <w:rFonts w:ascii="Times New Roman" w:hAnsi="Times New Roman" w:cs="Times New Roman"/>
                <w:b/>
                <w:sz w:val="24"/>
                <w:szCs w:val="26"/>
              </w:rPr>
              <w:t>）</w:t>
            </w:r>
            <w:r>
              <w:rPr>
                <w:rFonts w:hint="eastAsia" w:ascii="Times New Roman" w:hAnsi="Times New Roman" w:cs="Times New Roman"/>
                <w:b/>
                <w:sz w:val="24"/>
                <w:szCs w:val="26"/>
              </w:rPr>
              <w:t>净化单元</w:t>
            </w:r>
          </w:p>
          <w:p w14:paraId="3AA7312F">
            <w:pPr>
              <w:adjustRightInd w:val="0"/>
              <w:snapToGrid w:val="0"/>
              <w:spacing w:line="360" w:lineRule="auto"/>
              <w:ind w:firstLine="482" w:firstLineChars="200"/>
              <w:jc w:val="left"/>
              <w:rPr>
                <w:rFonts w:ascii="Times New Roman" w:hAnsi="Times New Roman" w:cs="Times New Roman"/>
                <w:b/>
                <w:sz w:val="24"/>
                <w:szCs w:val="26"/>
              </w:rPr>
            </w:pPr>
            <w:bookmarkStart w:id="6" w:name="_Toc405281200"/>
            <w:r>
              <w:rPr>
                <w:rFonts w:ascii="Times New Roman" w:hAnsi="宋体" w:cs="Times New Roman"/>
                <w:b/>
                <w:sz w:val="24"/>
                <w:szCs w:val="26"/>
              </w:rPr>
              <w:t>①</w:t>
            </w:r>
            <w:bookmarkEnd w:id="6"/>
            <w:r>
              <w:rPr>
                <w:rFonts w:hint="eastAsia" w:ascii="Times New Roman" w:hAnsi="宋体" w:cs="Times New Roman"/>
                <w:b/>
                <w:sz w:val="24"/>
                <w:szCs w:val="26"/>
              </w:rPr>
              <w:t xml:space="preserve"> </w:t>
            </w:r>
            <w:r>
              <w:rPr>
                <w:rFonts w:ascii="Times New Roman" w:hAnsi="宋体" w:cs="Times New Roman"/>
                <w:b/>
                <w:sz w:val="24"/>
                <w:szCs w:val="26"/>
              </w:rPr>
              <w:t>酸性气体脱除</w:t>
            </w:r>
            <w:r>
              <w:rPr>
                <w:rFonts w:hint="eastAsia" w:ascii="Times New Roman" w:hAnsi="宋体" w:cs="Times New Roman"/>
                <w:b/>
                <w:sz w:val="24"/>
                <w:szCs w:val="26"/>
              </w:rPr>
              <w:t>（脱碳、脱硫）</w:t>
            </w:r>
          </w:p>
          <w:p w14:paraId="3B169E5C">
            <w:pPr>
              <w:adjustRightInd w:val="0"/>
              <w:snapToGrid w:val="0"/>
              <w:spacing w:line="360" w:lineRule="auto"/>
              <w:jc w:val="center"/>
              <w:rPr>
                <w:rFonts w:ascii="Times New Roman" w:hAnsi="Times New Roman" w:cs="Times New Roman"/>
                <w:b/>
                <w:sz w:val="24"/>
                <w:szCs w:val="26"/>
              </w:rPr>
            </w:pPr>
            <w:bookmarkStart w:id="7" w:name="_Toc405281201"/>
            <w:r>
              <w:rPr>
                <w:rFonts w:hint="eastAsia" w:ascii="Times New Roman" w:hAnsi="Times New Roman" w:cs="Times New Roman"/>
                <w:b/>
                <w:sz w:val="24"/>
                <w:szCs w:val="26"/>
              </w:rPr>
              <w:drawing>
                <wp:inline distT="0" distB="0" distL="0" distR="0">
                  <wp:extent cx="4823460" cy="3210560"/>
                  <wp:effectExtent l="0" t="0" r="0" b="8890"/>
                  <wp:docPr id="515" name="图片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515"/>
                          <pic:cNvPicPr>
                            <a:picLocks noChangeAspect="1" noChangeArrowheads="1"/>
                          </pic:cNvPicPr>
                        </pic:nvPicPr>
                        <pic:blipFill>
                          <a:blip r:embed="rId18">
                            <a:extLst>
                              <a:ext uri="{28A0092B-C50C-407E-A947-70E740481C1C}">
                                <a14:useLocalDpi xmlns:a14="http://schemas.microsoft.com/office/drawing/2010/main" val="0"/>
                              </a:ext>
                            </a:extLst>
                          </a:blip>
                          <a:srcRect l="7216" t="7143" r="5843" b="6888"/>
                          <a:stretch>
                            <a:fillRect/>
                          </a:stretch>
                        </pic:blipFill>
                        <pic:spPr>
                          <a:xfrm>
                            <a:off x="0" y="0"/>
                            <a:ext cx="4823460" cy="3210560"/>
                          </a:xfrm>
                          <a:prstGeom prst="rect">
                            <a:avLst/>
                          </a:prstGeom>
                          <a:noFill/>
                          <a:ln>
                            <a:noFill/>
                          </a:ln>
                        </pic:spPr>
                      </pic:pic>
                    </a:graphicData>
                  </a:graphic>
                </wp:inline>
              </w:drawing>
            </w:r>
          </w:p>
          <w:p w14:paraId="6DC5F16E">
            <w:pPr>
              <w:adjustRightInd w:val="0"/>
              <w:snapToGrid w:val="0"/>
              <w:spacing w:line="360" w:lineRule="auto"/>
              <w:jc w:val="center"/>
              <w:rPr>
                <w:rFonts w:ascii="Times New Roman" w:hAnsi="Times New Roman" w:eastAsia="黑体" w:cs="Times New Roman"/>
                <w:bCs/>
                <w:sz w:val="24"/>
              </w:rPr>
            </w:pPr>
            <w:r>
              <w:rPr>
                <w:rFonts w:hint="eastAsia" w:ascii="Times New Roman" w:hAnsi="Times New Roman" w:eastAsia="黑体" w:cs="Times New Roman"/>
                <w:bCs/>
                <w:sz w:val="24"/>
              </w:rPr>
              <w:t>图</w:t>
            </w:r>
            <w:r>
              <w:rPr>
                <w:rFonts w:ascii="Times New Roman" w:hAnsi="Times New Roman" w:eastAsia="黑体" w:cs="Times New Roman"/>
                <w:bCs/>
                <w:sz w:val="24"/>
              </w:rPr>
              <w:t>2.2</w:t>
            </w:r>
            <w:r>
              <w:rPr>
                <w:rFonts w:hint="eastAsia" w:ascii="Times New Roman" w:hAnsi="Times New Roman" w:eastAsia="黑体" w:cs="Times New Roman"/>
                <w:bCs/>
                <w:sz w:val="24"/>
              </w:rPr>
              <w:t>-</w:t>
            </w:r>
            <w:r>
              <w:rPr>
                <w:rFonts w:ascii="Times New Roman" w:hAnsi="Times New Roman" w:eastAsia="黑体" w:cs="Times New Roman"/>
                <w:bCs/>
                <w:sz w:val="24"/>
              </w:rPr>
              <w:t>1</w:t>
            </w:r>
            <w:r>
              <w:rPr>
                <w:rFonts w:hint="eastAsia" w:ascii="Times New Roman" w:hAnsi="Times New Roman" w:eastAsia="黑体" w:cs="Times New Roman"/>
                <w:bCs/>
                <w:sz w:val="24"/>
              </w:rPr>
              <w:t xml:space="preserve">   脱酸工艺流程及产污节点图</w:t>
            </w:r>
          </w:p>
          <w:p w14:paraId="5DCC0A23">
            <w:pPr>
              <w:adjustRightInd w:val="0"/>
              <w:snapToGrid w:val="0"/>
              <w:spacing w:line="360" w:lineRule="auto"/>
              <w:jc w:val="center"/>
              <w:rPr>
                <w:rFonts w:ascii="Times New Roman" w:hAnsi="Times New Roman" w:eastAsia="黑体" w:cs="Times New Roman"/>
                <w:bCs/>
                <w:sz w:val="24"/>
              </w:rPr>
            </w:pPr>
          </w:p>
          <w:bookmarkEnd w:id="7"/>
          <w:p w14:paraId="77ADC03F">
            <w:pPr>
              <w:widowControl/>
              <w:adjustRightInd w:val="0"/>
              <w:snapToGrid w:val="0"/>
              <w:spacing w:line="360" w:lineRule="auto"/>
              <w:ind w:firstLine="520"/>
              <w:jc w:val="left"/>
              <w:rPr>
                <w:rFonts w:ascii="Times New Roman" w:hAnsi="Times New Roman" w:cs="Times New Roman"/>
                <w:sz w:val="24"/>
              </w:rPr>
            </w:pPr>
            <w:r>
              <w:rPr>
                <w:rFonts w:ascii="Times New Roman" w:hAnsi="Times New Roman" w:cs="Times New Roman"/>
                <w:sz w:val="24"/>
              </w:rPr>
              <w:t>为防止天然气中CO</w:t>
            </w:r>
            <w:r>
              <w:rPr>
                <w:rFonts w:ascii="Times New Roman" w:hAnsi="Times New Roman" w:cs="Times New Roman"/>
                <w:sz w:val="24"/>
                <w:vertAlign w:val="subscript"/>
              </w:rPr>
              <w:t>2</w:t>
            </w:r>
            <w:r>
              <w:rPr>
                <w:rFonts w:ascii="Times New Roman" w:hAnsi="Times New Roman" w:cs="Times New Roman"/>
                <w:sz w:val="24"/>
              </w:rPr>
              <w:t>在低温下形成干冰堵塞管道，H</w:t>
            </w:r>
            <w:r>
              <w:rPr>
                <w:rFonts w:ascii="Times New Roman" w:hAnsi="Times New Roman" w:cs="Times New Roman"/>
                <w:sz w:val="24"/>
                <w:vertAlign w:val="subscript"/>
              </w:rPr>
              <w:t>2</w:t>
            </w:r>
            <w:r>
              <w:rPr>
                <w:rFonts w:ascii="Times New Roman" w:hAnsi="Times New Roman" w:cs="Times New Roman"/>
                <w:sz w:val="24"/>
              </w:rPr>
              <w:t>S对设备和管道的腐蚀，在天然气液化前必须将原料气中的CO</w:t>
            </w:r>
            <w:r>
              <w:rPr>
                <w:rFonts w:ascii="Times New Roman" w:hAnsi="Times New Roman" w:cs="Times New Roman"/>
                <w:sz w:val="24"/>
                <w:vertAlign w:val="subscript"/>
              </w:rPr>
              <w:t>2</w:t>
            </w:r>
            <w:r>
              <w:rPr>
                <w:rFonts w:ascii="Times New Roman" w:hAnsi="Times New Roman" w:cs="Times New Roman"/>
                <w:sz w:val="24"/>
              </w:rPr>
              <w:t>和H</w:t>
            </w:r>
            <w:r>
              <w:rPr>
                <w:rFonts w:ascii="Times New Roman" w:hAnsi="Times New Roman" w:cs="Times New Roman"/>
                <w:sz w:val="24"/>
                <w:vertAlign w:val="subscript"/>
              </w:rPr>
              <w:t>2</w:t>
            </w:r>
            <w:r>
              <w:rPr>
                <w:rFonts w:ascii="Times New Roman" w:hAnsi="Times New Roman" w:cs="Times New Roman"/>
                <w:sz w:val="24"/>
              </w:rPr>
              <w:t>S脱除。必须达到如下指标：CO</w:t>
            </w:r>
            <w:r>
              <w:rPr>
                <w:rFonts w:ascii="Times New Roman" w:hAnsi="Times New Roman" w:cs="Times New Roman"/>
                <w:sz w:val="24"/>
                <w:vertAlign w:val="subscript"/>
              </w:rPr>
              <w:t>2</w:t>
            </w:r>
            <w:r>
              <w:rPr>
                <w:rFonts w:ascii="Times New Roman" w:hAnsi="Times New Roman" w:cs="Times New Roman"/>
                <w:sz w:val="24"/>
              </w:rPr>
              <w:t>&lt;50ppm，H</w:t>
            </w:r>
            <w:r>
              <w:rPr>
                <w:rFonts w:ascii="Times New Roman" w:hAnsi="Times New Roman" w:cs="Times New Roman"/>
                <w:sz w:val="24"/>
                <w:vertAlign w:val="subscript"/>
              </w:rPr>
              <w:t>2</w:t>
            </w:r>
            <w:r>
              <w:rPr>
                <w:rFonts w:ascii="Times New Roman" w:hAnsi="Times New Roman" w:cs="Times New Roman"/>
                <w:sz w:val="24"/>
              </w:rPr>
              <w:t>S&lt;3.5ppm。项目采用MDEA法（N-甲基二乙醇胺法）对原料气进行脱碳。MDEA（N-甲基二乙醇胺），是一种叔胺类物质，分子式为CH</w:t>
            </w:r>
            <w:r>
              <w:rPr>
                <w:rFonts w:ascii="Times New Roman" w:hAnsi="Times New Roman" w:cs="Times New Roman"/>
                <w:sz w:val="24"/>
                <w:vertAlign w:val="subscript"/>
              </w:rPr>
              <w:t>3</w:t>
            </w:r>
            <w:r>
              <w:rPr>
                <w:rFonts w:ascii="Times New Roman" w:hAnsi="Times New Roman" w:cs="Times New Roman"/>
                <w:sz w:val="24"/>
              </w:rPr>
              <w:t>N(CH</w:t>
            </w:r>
            <w:r>
              <w:rPr>
                <w:rFonts w:ascii="Times New Roman" w:hAnsi="Times New Roman" w:cs="Times New Roman"/>
                <w:sz w:val="24"/>
                <w:vertAlign w:val="subscript"/>
              </w:rPr>
              <w:t>2</w:t>
            </w:r>
            <w:r>
              <w:rPr>
                <w:rFonts w:ascii="Times New Roman" w:hAnsi="Times New Roman" w:cs="Times New Roman"/>
                <w:sz w:val="24"/>
              </w:rPr>
              <w:t>CH</w:t>
            </w:r>
            <w:r>
              <w:rPr>
                <w:rFonts w:ascii="Times New Roman" w:hAnsi="Times New Roman" w:cs="Times New Roman"/>
                <w:sz w:val="24"/>
                <w:vertAlign w:val="subscript"/>
              </w:rPr>
              <w:t>2</w:t>
            </w:r>
            <w:r>
              <w:rPr>
                <w:rFonts w:ascii="Times New Roman" w:hAnsi="Times New Roman" w:cs="Times New Roman"/>
                <w:sz w:val="24"/>
              </w:rPr>
              <w:t>OH)</w:t>
            </w:r>
            <w:r>
              <w:rPr>
                <w:rFonts w:ascii="Times New Roman" w:hAnsi="Times New Roman" w:cs="Times New Roman"/>
                <w:sz w:val="24"/>
                <w:vertAlign w:val="subscript"/>
              </w:rPr>
              <w:t>2</w:t>
            </w:r>
            <w:r>
              <w:rPr>
                <w:rFonts w:ascii="Times New Roman" w:hAnsi="Times New Roman" w:cs="Times New Roman"/>
                <w:sz w:val="24"/>
              </w:rPr>
              <w:t>，分子量为119.16，比重1.0418，沸点247℃，凝固点-48℃，能全部溶于水中。</w:t>
            </w:r>
          </w:p>
          <w:p w14:paraId="5FB5216D">
            <w:pPr>
              <w:widowControl/>
              <w:adjustRightInd w:val="0"/>
              <w:snapToGrid w:val="0"/>
              <w:spacing w:line="360" w:lineRule="auto"/>
              <w:ind w:firstLine="520"/>
              <w:jc w:val="left"/>
              <w:rPr>
                <w:rFonts w:ascii="Times New Roman" w:hAnsi="Times New Roman" w:cs="Times New Roman"/>
                <w:sz w:val="24"/>
              </w:rPr>
            </w:pPr>
            <w:r>
              <w:rPr>
                <w:rFonts w:ascii="Times New Roman" w:hAnsi="Times New Roman" w:cs="Times New Roman"/>
                <w:sz w:val="24"/>
              </w:rPr>
              <w:t>过滤压缩后的原料气进入胺洗塔底部。胺液由塔顶流下，在填料中与原料气接触，吸收原料气中的酸性气体，将原料气中的CO</w:t>
            </w:r>
            <w:r>
              <w:rPr>
                <w:rFonts w:ascii="Times New Roman" w:hAnsi="Times New Roman" w:cs="Times New Roman"/>
                <w:sz w:val="24"/>
                <w:vertAlign w:val="subscript"/>
              </w:rPr>
              <w:t>2</w:t>
            </w:r>
            <w:r>
              <w:rPr>
                <w:rFonts w:ascii="Times New Roman" w:hAnsi="Times New Roman" w:cs="Times New Roman"/>
                <w:sz w:val="24"/>
              </w:rPr>
              <w:t>浓度降低到50ppm（摩尔比）以下。胺洗塔的塔顶天然气为含饱和水的净化气，经分离（分液罐，去除携带的胺液）后进入脱水工序。分离出来的胺液则排至</w:t>
            </w:r>
            <w:r>
              <w:rPr>
                <w:rFonts w:hint="eastAsia" w:ascii="Times New Roman" w:hAnsi="Times New Roman" w:cs="Times New Roman"/>
                <w:sz w:val="24"/>
              </w:rPr>
              <w:t>MDEA闪蒸罐</w:t>
            </w:r>
            <w:r>
              <w:rPr>
                <w:rFonts w:ascii="Times New Roman" w:hAnsi="Times New Roman" w:cs="Times New Roman"/>
                <w:sz w:val="24"/>
              </w:rPr>
              <w:t>。</w:t>
            </w:r>
          </w:p>
          <w:p w14:paraId="42D04C35">
            <w:pPr>
              <w:widowControl/>
              <w:adjustRightInd w:val="0"/>
              <w:snapToGrid w:val="0"/>
              <w:spacing w:line="360" w:lineRule="auto"/>
              <w:ind w:firstLine="520"/>
              <w:jc w:val="left"/>
              <w:rPr>
                <w:rFonts w:ascii="Times New Roman" w:hAnsi="Times New Roman" w:cs="Times New Roman"/>
                <w:sz w:val="24"/>
              </w:rPr>
            </w:pPr>
            <w:r>
              <w:rPr>
                <w:rFonts w:ascii="Times New Roman" w:hAnsi="Times New Roman" w:cs="Times New Roman"/>
                <w:sz w:val="24"/>
              </w:rPr>
              <w:t>胺液再生系统：含酸性气体的富胺液离开胺洗塔底部降压后进入</w:t>
            </w:r>
            <w:r>
              <w:rPr>
                <w:rFonts w:hint="eastAsia" w:ascii="Times New Roman" w:hAnsi="Times New Roman" w:cs="Times New Roman"/>
                <w:sz w:val="24"/>
              </w:rPr>
              <w:t>MDEA闪蒸罐</w:t>
            </w:r>
            <w:r>
              <w:rPr>
                <w:rFonts w:ascii="Times New Roman" w:hAnsi="Times New Roman" w:cs="Times New Roman"/>
                <w:sz w:val="24"/>
              </w:rPr>
              <w:t>，富含CO</w:t>
            </w:r>
            <w:r>
              <w:rPr>
                <w:rFonts w:ascii="Times New Roman" w:hAnsi="Times New Roman" w:cs="Times New Roman"/>
                <w:sz w:val="24"/>
                <w:vertAlign w:val="subscript"/>
              </w:rPr>
              <w:t>2</w:t>
            </w:r>
            <w:r>
              <w:rPr>
                <w:rFonts w:ascii="Times New Roman" w:hAnsi="Times New Roman" w:cs="Times New Roman"/>
                <w:sz w:val="24"/>
              </w:rPr>
              <w:t>等的闪蒸气排放到</w:t>
            </w:r>
            <w:r>
              <w:rPr>
                <w:rFonts w:hint="eastAsia" w:ascii="Times New Roman" w:hAnsi="Times New Roman" w:cs="Times New Roman"/>
                <w:sz w:val="24"/>
              </w:rPr>
              <w:t>导热油炉燃烧</w:t>
            </w:r>
            <w:r>
              <w:rPr>
                <w:rFonts w:ascii="Times New Roman" w:hAnsi="Times New Roman" w:cs="Times New Roman"/>
                <w:sz w:val="24"/>
              </w:rPr>
              <w:t>。胺液经过闪蒸有助于脱除其中溶解的任何烃类物质。富胺液在经过滤器、换热、降压后进入汽提塔再生，汽提塔出来的气体经水冷却系统，经冷凝后气液两相混合物进入回流罐分离出气相和液相。气相经15m高的排气筒排放。液相则回流至汽提塔顶部。汽提完成后的贫胺液经冷却、分离进入胺洗塔循环使用。</w:t>
            </w:r>
          </w:p>
          <w:p w14:paraId="4C085F86">
            <w:pPr>
              <w:widowControl/>
              <w:adjustRightInd w:val="0"/>
              <w:snapToGrid w:val="0"/>
              <w:spacing w:line="360" w:lineRule="auto"/>
              <w:ind w:firstLine="480" w:firstLineChars="200"/>
              <w:jc w:val="left"/>
              <w:rPr>
                <w:rFonts w:ascii="Times New Roman" w:hAnsi="Times New Roman" w:cs="Times New Roman"/>
                <w:b/>
                <w:sz w:val="24"/>
                <w:szCs w:val="21"/>
              </w:rPr>
            </w:pPr>
            <w:r>
              <w:rPr>
                <w:rFonts w:hint="eastAsia" w:ascii="Times New Roman" w:hAnsi="Times New Roman" w:cs="Times New Roman"/>
                <w:sz w:val="24"/>
              </w:rPr>
              <w:t>此工序会产生MDEA闪蒸罐闪蒸气（</w:t>
            </w:r>
            <w:r>
              <w:rPr>
                <w:rFonts w:ascii="Times New Roman" w:hAnsi="Times New Roman" w:cs="Times New Roman"/>
                <w:sz w:val="24"/>
              </w:rPr>
              <w:t>G</w:t>
            </w:r>
            <w:r>
              <w:rPr>
                <w:rFonts w:hint="eastAsia" w:ascii="Times New Roman" w:hAnsi="Times New Roman" w:cs="Times New Roman"/>
                <w:sz w:val="24"/>
              </w:rPr>
              <w:t>1）、</w:t>
            </w:r>
            <w:r>
              <w:rPr>
                <w:rFonts w:hint="eastAsia" w:ascii="Times New Roman" w:hAnsi="Times New Roman" w:cs="Times New Roman"/>
                <w:sz w:val="24"/>
                <w:szCs w:val="21"/>
              </w:rPr>
              <w:t>胺汽提塔废气（</w:t>
            </w:r>
            <w:r>
              <w:rPr>
                <w:rFonts w:ascii="Times New Roman" w:hAnsi="Times New Roman" w:cs="Times New Roman"/>
                <w:sz w:val="24"/>
                <w:szCs w:val="21"/>
              </w:rPr>
              <w:t>G</w:t>
            </w:r>
            <w:r>
              <w:rPr>
                <w:rFonts w:hint="eastAsia" w:ascii="Times New Roman" w:hAnsi="Times New Roman" w:cs="Times New Roman"/>
                <w:sz w:val="24"/>
                <w:szCs w:val="21"/>
              </w:rPr>
              <w:t>2）以及MDEA闪蒸罐废水（</w:t>
            </w:r>
            <w:r>
              <w:rPr>
                <w:rFonts w:ascii="Times New Roman" w:hAnsi="Times New Roman" w:cs="Times New Roman"/>
                <w:sz w:val="24"/>
                <w:szCs w:val="21"/>
              </w:rPr>
              <w:t>W</w:t>
            </w:r>
            <w:r>
              <w:rPr>
                <w:rFonts w:hint="eastAsia" w:ascii="Times New Roman" w:hAnsi="Times New Roman" w:cs="Times New Roman"/>
                <w:sz w:val="24"/>
                <w:szCs w:val="21"/>
              </w:rPr>
              <w:t>2）、汽提塔废水（</w:t>
            </w:r>
            <w:r>
              <w:rPr>
                <w:rFonts w:ascii="Times New Roman" w:hAnsi="Times New Roman" w:cs="Times New Roman"/>
                <w:sz w:val="24"/>
                <w:szCs w:val="21"/>
              </w:rPr>
              <w:t>W</w:t>
            </w:r>
            <w:r>
              <w:rPr>
                <w:rFonts w:hint="eastAsia" w:ascii="Times New Roman" w:hAnsi="Times New Roman" w:cs="Times New Roman"/>
                <w:sz w:val="24"/>
                <w:szCs w:val="21"/>
              </w:rPr>
              <w:t>3）、贫胺过滤器废水（</w:t>
            </w:r>
            <w:r>
              <w:rPr>
                <w:rFonts w:ascii="Times New Roman" w:hAnsi="Times New Roman" w:cs="Times New Roman"/>
                <w:sz w:val="24"/>
                <w:szCs w:val="21"/>
              </w:rPr>
              <w:t>W</w:t>
            </w:r>
            <w:r>
              <w:rPr>
                <w:rFonts w:hint="eastAsia" w:ascii="Times New Roman" w:hAnsi="Times New Roman" w:cs="Times New Roman"/>
                <w:sz w:val="24"/>
                <w:szCs w:val="21"/>
              </w:rPr>
              <w:t>6），其中汽提塔废水（</w:t>
            </w:r>
            <w:r>
              <w:rPr>
                <w:rFonts w:ascii="Times New Roman" w:hAnsi="Times New Roman" w:cs="Times New Roman"/>
                <w:sz w:val="24"/>
                <w:szCs w:val="21"/>
              </w:rPr>
              <w:t>W</w:t>
            </w:r>
            <w:r>
              <w:rPr>
                <w:rFonts w:hint="eastAsia" w:ascii="Times New Roman" w:hAnsi="Times New Roman" w:cs="Times New Roman"/>
                <w:sz w:val="24"/>
                <w:szCs w:val="21"/>
              </w:rPr>
              <w:t>3）、贫胺过滤器废水（</w:t>
            </w:r>
            <w:r>
              <w:rPr>
                <w:rFonts w:ascii="Times New Roman" w:hAnsi="Times New Roman" w:cs="Times New Roman"/>
                <w:sz w:val="24"/>
                <w:szCs w:val="21"/>
              </w:rPr>
              <w:t>W</w:t>
            </w:r>
            <w:r>
              <w:rPr>
                <w:rFonts w:hint="eastAsia" w:ascii="Times New Roman" w:hAnsi="Times New Roman" w:cs="Times New Roman"/>
                <w:sz w:val="24"/>
                <w:szCs w:val="21"/>
              </w:rPr>
              <w:t>6）进入MDEA闪蒸罐。</w:t>
            </w:r>
          </w:p>
          <w:p w14:paraId="78458273">
            <w:pPr>
              <w:adjustRightInd w:val="0"/>
              <w:snapToGrid w:val="0"/>
              <w:spacing w:line="360" w:lineRule="auto"/>
              <w:ind w:firstLine="482" w:firstLineChars="200"/>
              <w:jc w:val="left"/>
              <w:rPr>
                <w:rFonts w:ascii="Times New Roman" w:hAnsi="宋体" w:cs="Times New Roman"/>
                <w:b/>
                <w:sz w:val="24"/>
                <w:szCs w:val="26"/>
              </w:rPr>
            </w:pPr>
            <w:r>
              <w:rPr>
                <w:rFonts w:hint="eastAsia" w:ascii="宋体" w:hAnsi="宋体" w:cs="Times New Roman"/>
                <w:b/>
                <w:sz w:val="24"/>
                <w:szCs w:val="26"/>
              </w:rPr>
              <w:t>②</w:t>
            </w:r>
            <w:r>
              <w:rPr>
                <w:rFonts w:hint="eastAsia" w:ascii="Times New Roman" w:hAnsi="宋体" w:cs="Times New Roman"/>
                <w:b/>
                <w:sz w:val="24"/>
                <w:szCs w:val="26"/>
              </w:rPr>
              <w:t xml:space="preserve"> 脱水单元</w:t>
            </w:r>
          </w:p>
          <w:p w14:paraId="1DAA6FC3">
            <w:pPr>
              <w:adjustRightInd w:val="0"/>
              <w:snapToGrid w:val="0"/>
              <w:spacing w:line="360" w:lineRule="auto"/>
              <w:jc w:val="center"/>
              <w:rPr>
                <w:rFonts w:ascii="Times New Roman" w:hAnsi="宋体" w:cs="Times New Roman"/>
                <w:b/>
                <w:sz w:val="24"/>
                <w:szCs w:val="26"/>
              </w:rPr>
            </w:pPr>
            <w:r>
              <w:rPr>
                <w:rFonts w:ascii="Times New Roman" w:hAnsi="宋体" w:cs="Times New Roman"/>
                <w:b/>
                <w:sz w:val="24"/>
                <w:szCs w:val="26"/>
              </w:rPr>
              <w:drawing>
                <wp:inline distT="0" distB="0" distL="0" distR="0">
                  <wp:extent cx="3728085" cy="2336165"/>
                  <wp:effectExtent l="0" t="0" r="5715" b="6985"/>
                  <wp:docPr id="514" name="图片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514"/>
                          <pic:cNvPicPr>
                            <a:picLocks noChangeAspect="1" noChangeArrowheads="1"/>
                          </pic:cNvPicPr>
                        </pic:nvPicPr>
                        <pic:blipFill>
                          <a:blip r:embed="rId19">
                            <a:extLst>
                              <a:ext uri="{28A0092B-C50C-407E-A947-70E740481C1C}">
                                <a14:useLocalDpi xmlns:a14="http://schemas.microsoft.com/office/drawing/2010/main" val="0"/>
                              </a:ext>
                            </a:extLst>
                          </a:blip>
                          <a:srcRect l="3264" t="4703" r="6186" b="13367"/>
                          <a:stretch>
                            <a:fillRect/>
                          </a:stretch>
                        </pic:blipFill>
                        <pic:spPr>
                          <a:xfrm>
                            <a:off x="0" y="0"/>
                            <a:ext cx="3728085" cy="2336165"/>
                          </a:xfrm>
                          <a:prstGeom prst="rect">
                            <a:avLst/>
                          </a:prstGeom>
                          <a:noFill/>
                          <a:ln>
                            <a:noFill/>
                          </a:ln>
                        </pic:spPr>
                      </pic:pic>
                    </a:graphicData>
                  </a:graphic>
                </wp:inline>
              </w:drawing>
            </w:r>
          </w:p>
          <w:p w14:paraId="2E8E5A97">
            <w:pPr>
              <w:adjustRightInd w:val="0"/>
              <w:snapToGrid w:val="0"/>
              <w:spacing w:line="360" w:lineRule="auto"/>
              <w:jc w:val="center"/>
              <w:rPr>
                <w:rFonts w:ascii="Times New Roman" w:hAnsi="Times New Roman" w:eastAsia="黑体" w:cs="Times New Roman"/>
                <w:bCs/>
                <w:sz w:val="24"/>
              </w:rPr>
            </w:pPr>
            <w:r>
              <w:rPr>
                <w:rFonts w:hint="eastAsia" w:ascii="Times New Roman" w:hAnsi="Times New Roman" w:eastAsia="黑体" w:cs="Times New Roman"/>
                <w:bCs/>
                <w:sz w:val="24"/>
              </w:rPr>
              <w:t>图</w:t>
            </w:r>
            <w:r>
              <w:rPr>
                <w:rFonts w:ascii="Times New Roman" w:hAnsi="Times New Roman" w:eastAsia="黑体" w:cs="Times New Roman"/>
                <w:bCs/>
                <w:sz w:val="24"/>
              </w:rPr>
              <w:t>2.2</w:t>
            </w:r>
            <w:r>
              <w:rPr>
                <w:rFonts w:hint="eastAsia" w:ascii="Times New Roman" w:hAnsi="Times New Roman" w:eastAsia="黑体" w:cs="Times New Roman"/>
                <w:bCs/>
                <w:sz w:val="24"/>
              </w:rPr>
              <w:t>-</w:t>
            </w:r>
            <w:r>
              <w:rPr>
                <w:rFonts w:ascii="Times New Roman" w:hAnsi="Times New Roman" w:eastAsia="黑体" w:cs="Times New Roman"/>
                <w:bCs/>
                <w:sz w:val="24"/>
              </w:rPr>
              <w:t>2</w:t>
            </w:r>
            <w:r>
              <w:rPr>
                <w:rFonts w:hint="eastAsia" w:ascii="Times New Roman" w:hAnsi="Times New Roman" w:eastAsia="黑体" w:cs="Times New Roman"/>
                <w:bCs/>
                <w:sz w:val="24"/>
              </w:rPr>
              <w:t xml:space="preserve">   脱水工艺流程及产污节点图</w:t>
            </w:r>
          </w:p>
          <w:p w14:paraId="26362906">
            <w:pPr>
              <w:adjustRightInd w:val="0"/>
              <w:snapToGrid w:val="0"/>
              <w:spacing w:line="360" w:lineRule="auto"/>
              <w:jc w:val="center"/>
              <w:rPr>
                <w:rFonts w:ascii="Times New Roman" w:hAnsi="宋体" w:cs="Times New Roman"/>
                <w:b/>
                <w:sz w:val="24"/>
                <w:szCs w:val="26"/>
              </w:rPr>
            </w:pPr>
          </w:p>
          <w:p w14:paraId="06D0A0AD">
            <w:pPr>
              <w:widowControl/>
              <w:adjustRightInd w:val="0"/>
              <w:snapToGrid w:val="0"/>
              <w:spacing w:line="360" w:lineRule="auto"/>
              <w:ind w:firstLine="520"/>
              <w:jc w:val="left"/>
              <w:rPr>
                <w:rFonts w:ascii="Times New Roman" w:hAnsi="Times New Roman" w:cs="Times New Roman"/>
                <w:sz w:val="24"/>
              </w:rPr>
            </w:pPr>
            <w:r>
              <w:rPr>
                <w:rFonts w:ascii="Times New Roman" w:hAnsi="Times New Roman" w:cs="Times New Roman"/>
                <w:sz w:val="24"/>
              </w:rPr>
              <w:t>本工序采用分子筛吸附脱水。</w:t>
            </w:r>
          </w:p>
          <w:p w14:paraId="0CB0C9FE">
            <w:pPr>
              <w:widowControl/>
              <w:adjustRightInd w:val="0"/>
              <w:snapToGrid w:val="0"/>
              <w:spacing w:line="360" w:lineRule="auto"/>
              <w:ind w:firstLine="520"/>
              <w:jc w:val="left"/>
              <w:rPr>
                <w:rFonts w:ascii="Times New Roman" w:hAnsi="Times New Roman" w:cs="Times New Roman"/>
                <w:sz w:val="24"/>
              </w:rPr>
            </w:pPr>
            <w:r>
              <w:rPr>
                <w:rFonts w:ascii="Times New Roman" w:hAnsi="Times New Roman" w:cs="Times New Roman"/>
                <w:sz w:val="24"/>
              </w:rPr>
              <w:t>离开胺洗系统的净化气是处于水饱和态的天然气气体，若未经彻底干燥，进入液化单元则会造成冷箱冻堵。装置中设置了两台干燥器采用分子筛将进气中的水分降至1ppmv以下。</w:t>
            </w:r>
          </w:p>
          <w:p w14:paraId="7541D123">
            <w:pPr>
              <w:widowControl/>
              <w:adjustRightInd w:val="0"/>
              <w:snapToGrid w:val="0"/>
              <w:spacing w:line="360" w:lineRule="auto"/>
              <w:ind w:firstLine="520"/>
              <w:jc w:val="left"/>
              <w:rPr>
                <w:rFonts w:ascii="Times New Roman" w:hAnsi="Times New Roman" w:cs="Times New Roman"/>
                <w:sz w:val="24"/>
              </w:rPr>
            </w:pPr>
            <w:r>
              <w:rPr>
                <w:rFonts w:ascii="Times New Roman" w:hAnsi="Times New Roman" w:cs="Times New Roman"/>
                <w:sz w:val="24"/>
              </w:rPr>
              <w:t>该工序采用分子筛吸附脱水两塔工艺，脱碳后的天然气进入干燥单元，干燥单元主要由两台分子筛吸附塔组成，其中一台处于工作状态，另一台处于再生状态，两台吸附塔内都装填有脱水分子筛，天然气通过正处于工作状态的吸附塔，天然气中的</w:t>
            </w:r>
            <w:r>
              <w:rPr>
                <w:rFonts w:hint="eastAsia" w:ascii="Times New Roman" w:hAnsi="Times New Roman" w:cs="Times New Roman"/>
                <w:sz w:val="24"/>
              </w:rPr>
              <w:t>水分</w:t>
            </w:r>
            <w:r>
              <w:rPr>
                <w:rFonts w:ascii="Times New Roman" w:hAnsi="Times New Roman" w:cs="Times New Roman"/>
                <w:sz w:val="24"/>
              </w:rPr>
              <w:t>被全部脱除。</w:t>
            </w:r>
          </w:p>
          <w:p w14:paraId="790130EF">
            <w:pPr>
              <w:widowControl/>
              <w:adjustRightInd w:val="0"/>
              <w:snapToGrid w:val="0"/>
              <w:spacing w:line="360" w:lineRule="auto"/>
              <w:ind w:firstLine="520"/>
              <w:jc w:val="left"/>
              <w:rPr>
                <w:rFonts w:ascii="Times New Roman" w:hAnsi="Times New Roman" w:cs="Times New Roman"/>
                <w:sz w:val="24"/>
              </w:rPr>
            </w:pPr>
            <w:r>
              <w:rPr>
                <w:rFonts w:ascii="Times New Roman" w:hAnsi="Times New Roman" w:cs="Times New Roman"/>
                <w:sz w:val="24"/>
              </w:rPr>
              <w:t>分子筛吸附脱水塔再生工艺流程：每台吸附塔的工作时间约12小时，完成吸附工作步骤的吸附塔，停止引入原料气，切换到再生状态，通过引入再生气（已干燥的天然气）对完成吸附工作步骤的吸附塔进行再生。再生气通过导热油加热升温后，逆着吸附步骤天然气流动的方向，进入吸附塔，提高该吸附塔的温度，分子筛吸附的水分被带出；完成</w:t>
            </w:r>
            <w:r>
              <w:rPr>
                <w:rFonts w:hint="eastAsia" w:ascii="Times New Roman" w:hAnsi="Times New Roman" w:cs="Times New Roman"/>
                <w:sz w:val="24"/>
              </w:rPr>
              <w:t>水分</w:t>
            </w:r>
            <w:r>
              <w:rPr>
                <w:rFonts w:ascii="Times New Roman" w:hAnsi="Times New Roman" w:cs="Times New Roman"/>
                <w:sz w:val="24"/>
              </w:rPr>
              <w:t>解吸后，该吸附塔随即引入未经加热的再生气，吸附塔被冷却；出吸附塔的含水再生气被再生气冷却器降温、气液分离后，冷凝水进入</w:t>
            </w:r>
            <w:r>
              <w:rPr>
                <w:rFonts w:hint="eastAsia" w:ascii="Times New Roman" w:hAnsi="Times New Roman" w:cs="Times New Roman"/>
                <w:sz w:val="24"/>
              </w:rPr>
              <w:t>MDEA闪蒸罐</w:t>
            </w:r>
            <w:r>
              <w:rPr>
                <w:rFonts w:ascii="Times New Roman" w:hAnsi="Times New Roman" w:cs="Times New Roman"/>
                <w:sz w:val="24"/>
              </w:rPr>
              <w:t>，天然气重新送回原料过滤器继续进行净化。</w:t>
            </w:r>
          </w:p>
          <w:p w14:paraId="3DBF3F87">
            <w:pPr>
              <w:widowControl/>
              <w:adjustRightInd w:val="0"/>
              <w:snapToGrid w:val="0"/>
              <w:spacing w:line="360" w:lineRule="auto"/>
              <w:ind w:firstLine="520"/>
              <w:jc w:val="left"/>
              <w:rPr>
                <w:rFonts w:ascii="Times New Roman" w:hAnsi="Times New Roman" w:cs="Times New Roman"/>
                <w:sz w:val="24"/>
              </w:rPr>
            </w:pPr>
            <w:r>
              <w:rPr>
                <w:rFonts w:ascii="Times New Roman" w:hAnsi="Times New Roman" w:cs="Times New Roman"/>
                <w:sz w:val="24"/>
              </w:rPr>
              <w:t>两干燥床的切换由专用切换阀来完成。正常运行中切换阀由DCS来控制。在正常操作中，阀门操作的时间和顺序通过DCS控制，不需要操作人员干预。</w:t>
            </w:r>
          </w:p>
          <w:p w14:paraId="6CF4FDE0">
            <w:pPr>
              <w:widowControl/>
              <w:adjustRightInd w:val="0"/>
              <w:snapToGrid w:val="0"/>
              <w:spacing w:line="360" w:lineRule="auto"/>
              <w:ind w:firstLine="480" w:firstLineChars="200"/>
              <w:jc w:val="left"/>
              <w:rPr>
                <w:rFonts w:ascii="Times New Roman" w:hAnsi="Times New Roman" w:cs="Times New Roman"/>
                <w:b/>
                <w:sz w:val="24"/>
                <w:szCs w:val="21"/>
              </w:rPr>
            </w:pPr>
            <w:r>
              <w:rPr>
                <w:rFonts w:hint="eastAsia" w:ascii="Times New Roman" w:hAnsi="Times New Roman" w:cs="Times New Roman"/>
                <w:sz w:val="24"/>
              </w:rPr>
              <w:t>此工序会产生分子筛再生气（</w:t>
            </w:r>
            <w:r>
              <w:rPr>
                <w:rFonts w:ascii="Times New Roman" w:hAnsi="Times New Roman" w:cs="Times New Roman"/>
                <w:sz w:val="24"/>
              </w:rPr>
              <w:t>G</w:t>
            </w:r>
            <w:r>
              <w:rPr>
                <w:rFonts w:hint="eastAsia" w:ascii="Times New Roman" w:hAnsi="Times New Roman" w:cs="Times New Roman"/>
                <w:sz w:val="24"/>
              </w:rPr>
              <w:t>3）、分子筛过滤器废水（</w:t>
            </w:r>
            <w:r>
              <w:rPr>
                <w:rFonts w:ascii="Times New Roman" w:hAnsi="Times New Roman" w:cs="Times New Roman"/>
                <w:sz w:val="24"/>
              </w:rPr>
              <w:t>W</w:t>
            </w:r>
            <w:r>
              <w:rPr>
                <w:rFonts w:hint="eastAsia" w:ascii="Times New Roman" w:hAnsi="Times New Roman" w:cs="Times New Roman"/>
                <w:sz w:val="24"/>
              </w:rPr>
              <w:t>4）、干燥器再生凝液（</w:t>
            </w:r>
            <w:r>
              <w:rPr>
                <w:rFonts w:ascii="Times New Roman" w:hAnsi="Times New Roman" w:cs="Times New Roman"/>
                <w:sz w:val="24"/>
              </w:rPr>
              <w:t>W</w:t>
            </w:r>
            <w:r>
              <w:rPr>
                <w:rFonts w:hint="eastAsia" w:ascii="Times New Roman" w:hAnsi="Times New Roman" w:cs="Times New Roman"/>
                <w:sz w:val="24"/>
              </w:rPr>
              <w:t>5）、干燥器废分子筛（</w:t>
            </w:r>
            <w:r>
              <w:rPr>
                <w:rFonts w:ascii="Times New Roman" w:hAnsi="Times New Roman" w:cs="Times New Roman"/>
                <w:sz w:val="24"/>
              </w:rPr>
              <w:t>S</w:t>
            </w:r>
            <w:r>
              <w:rPr>
                <w:rFonts w:hint="eastAsia" w:ascii="Times New Roman" w:hAnsi="Times New Roman" w:cs="Times New Roman"/>
                <w:sz w:val="24"/>
              </w:rPr>
              <w:t>2），其中分子筛过滤器废水（</w:t>
            </w:r>
            <w:r>
              <w:rPr>
                <w:rFonts w:ascii="Times New Roman" w:hAnsi="Times New Roman" w:cs="Times New Roman"/>
                <w:sz w:val="24"/>
              </w:rPr>
              <w:t>W</w:t>
            </w:r>
            <w:r>
              <w:rPr>
                <w:rFonts w:hint="eastAsia" w:ascii="Times New Roman" w:hAnsi="Times New Roman" w:cs="Times New Roman"/>
                <w:sz w:val="24"/>
              </w:rPr>
              <w:t>4）、干燥器再生凝液（</w:t>
            </w:r>
            <w:r>
              <w:rPr>
                <w:rFonts w:ascii="Times New Roman" w:hAnsi="Times New Roman" w:cs="Times New Roman"/>
                <w:sz w:val="24"/>
              </w:rPr>
              <w:t>W</w:t>
            </w:r>
            <w:r>
              <w:rPr>
                <w:rFonts w:hint="eastAsia" w:ascii="Times New Roman" w:hAnsi="Times New Roman" w:cs="Times New Roman"/>
                <w:sz w:val="24"/>
              </w:rPr>
              <w:t>5）进入MDEA闪蒸罐</w:t>
            </w:r>
            <w:r>
              <w:rPr>
                <w:rFonts w:hint="eastAsia" w:ascii="Times New Roman" w:hAnsi="Times New Roman" w:cs="Times New Roman"/>
                <w:sz w:val="24"/>
                <w:szCs w:val="21"/>
              </w:rPr>
              <w:t>。</w:t>
            </w:r>
          </w:p>
          <w:p w14:paraId="0DBC606E">
            <w:pPr>
              <w:adjustRightInd w:val="0"/>
              <w:snapToGrid w:val="0"/>
              <w:spacing w:line="360" w:lineRule="auto"/>
              <w:ind w:firstLine="482" w:firstLineChars="200"/>
              <w:jc w:val="left"/>
              <w:rPr>
                <w:rFonts w:ascii="Times New Roman" w:hAnsi="宋体" w:cs="Times New Roman"/>
                <w:b/>
                <w:sz w:val="24"/>
                <w:szCs w:val="26"/>
              </w:rPr>
            </w:pPr>
            <w:bookmarkStart w:id="8" w:name="_Toc405281203"/>
            <w:r>
              <w:rPr>
                <w:rFonts w:hint="eastAsia" w:ascii="宋体" w:hAnsi="宋体" w:cs="Times New Roman"/>
                <w:b/>
                <w:sz w:val="24"/>
                <w:szCs w:val="26"/>
              </w:rPr>
              <w:t>③</w:t>
            </w:r>
            <w:r>
              <w:rPr>
                <w:rFonts w:hint="eastAsia" w:ascii="Times New Roman" w:hAnsi="宋体" w:cs="Times New Roman"/>
                <w:b/>
                <w:sz w:val="24"/>
                <w:szCs w:val="26"/>
              </w:rPr>
              <w:t xml:space="preserve"> </w:t>
            </w:r>
            <w:r>
              <w:rPr>
                <w:rFonts w:ascii="Times New Roman" w:hAnsi="宋体" w:cs="Times New Roman"/>
                <w:b/>
                <w:sz w:val="24"/>
                <w:szCs w:val="26"/>
              </w:rPr>
              <w:t>脱汞</w:t>
            </w:r>
            <w:bookmarkEnd w:id="8"/>
            <w:r>
              <w:rPr>
                <w:rFonts w:hint="eastAsia" w:ascii="Times New Roman" w:hAnsi="宋体" w:cs="Times New Roman"/>
                <w:b/>
                <w:sz w:val="24"/>
                <w:szCs w:val="26"/>
              </w:rPr>
              <w:t>单元</w:t>
            </w:r>
          </w:p>
          <w:p w14:paraId="0ECC1EBA">
            <w:pPr>
              <w:adjustRightInd w:val="0"/>
              <w:snapToGrid w:val="0"/>
              <w:spacing w:line="360" w:lineRule="auto"/>
              <w:jc w:val="center"/>
              <w:rPr>
                <w:rFonts w:ascii="Times New Roman" w:hAnsi="宋体" w:cs="Times New Roman"/>
                <w:b/>
                <w:sz w:val="24"/>
                <w:szCs w:val="26"/>
              </w:rPr>
            </w:pPr>
            <w:r>
              <w:rPr>
                <w:rFonts w:ascii="Times New Roman" w:hAnsi="宋体" w:cs="Times New Roman"/>
                <w:b/>
                <w:sz w:val="24"/>
                <w:szCs w:val="26"/>
              </w:rPr>
              <w:drawing>
                <wp:inline distT="0" distB="0" distL="0" distR="0">
                  <wp:extent cx="3486785" cy="1527175"/>
                  <wp:effectExtent l="0" t="0" r="0" b="0"/>
                  <wp:docPr id="513" name="图片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图片 5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486785" cy="1527175"/>
                          </a:xfrm>
                          <a:prstGeom prst="rect">
                            <a:avLst/>
                          </a:prstGeom>
                          <a:noFill/>
                          <a:ln>
                            <a:noFill/>
                          </a:ln>
                        </pic:spPr>
                      </pic:pic>
                    </a:graphicData>
                  </a:graphic>
                </wp:inline>
              </w:drawing>
            </w:r>
          </w:p>
          <w:p w14:paraId="47C372FA">
            <w:pPr>
              <w:adjustRightInd w:val="0"/>
              <w:snapToGrid w:val="0"/>
              <w:spacing w:line="360" w:lineRule="auto"/>
              <w:jc w:val="center"/>
              <w:rPr>
                <w:rFonts w:ascii="Times New Roman" w:hAnsi="Times New Roman" w:eastAsia="黑体" w:cs="Times New Roman"/>
                <w:bCs/>
                <w:sz w:val="24"/>
              </w:rPr>
            </w:pPr>
            <w:r>
              <w:rPr>
                <w:rFonts w:hint="eastAsia" w:ascii="Times New Roman" w:hAnsi="Times New Roman" w:eastAsia="黑体" w:cs="Times New Roman"/>
                <w:bCs/>
                <w:sz w:val="24"/>
              </w:rPr>
              <w:t>图</w:t>
            </w:r>
            <w:r>
              <w:rPr>
                <w:rFonts w:ascii="Times New Roman" w:hAnsi="Times New Roman" w:eastAsia="黑体" w:cs="Times New Roman"/>
                <w:bCs/>
                <w:sz w:val="24"/>
              </w:rPr>
              <w:t>2.2</w:t>
            </w:r>
            <w:r>
              <w:rPr>
                <w:rFonts w:hint="eastAsia" w:ascii="Times New Roman" w:hAnsi="Times New Roman" w:eastAsia="黑体" w:cs="Times New Roman"/>
                <w:bCs/>
                <w:sz w:val="24"/>
              </w:rPr>
              <w:t>-</w:t>
            </w:r>
            <w:r>
              <w:rPr>
                <w:rFonts w:ascii="Times New Roman" w:hAnsi="Times New Roman" w:eastAsia="黑体" w:cs="Times New Roman"/>
                <w:bCs/>
                <w:sz w:val="24"/>
              </w:rPr>
              <w:t>3</w:t>
            </w:r>
            <w:r>
              <w:rPr>
                <w:rFonts w:hint="eastAsia" w:ascii="Times New Roman" w:hAnsi="Times New Roman" w:eastAsia="黑体" w:cs="Times New Roman"/>
                <w:bCs/>
                <w:sz w:val="24"/>
              </w:rPr>
              <w:t xml:space="preserve">   脱水工艺流程及产污节点图</w:t>
            </w:r>
          </w:p>
          <w:p w14:paraId="301EBD82">
            <w:pPr>
              <w:widowControl/>
              <w:adjustRightInd w:val="0"/>
              <w:snapToGrid w:val="0"/>
              <w:spacing w:line="360" w:lineRule="auto"/>
              <w:ind w:firstLine="520"/>
              <w:jc w:val="left"/>
              <w:rPr>
                <w:rFonts w:ascii="Times New Roman" w:hAnsi="Times New Roman" w:cs="Times New Roman"/>
                <w:sz w:val="24"/>
              </w:rPr>
            </w:pPr>
            <w:bookmarkStart w:id="9" w:name="_Toc398124662"/>
            <w:r>
              <w:rPr>
                <w:rFonts w:ascii="Times New Roman" w:hAnsi="Times New Roman" w:cs="Times New Roman"/>
                <w:sz w:val="24"/>
              </w:rPr>
              <w:t>天然气脱汞原理是汞与浸硫</w:t>
            </w:r>
            <w:r>
              <w:rPr>
                <w:rFonts w:hint="eastAsia" w:ascii="Times New Roman" w:hAnsi="Times New Roman" w:cs="Times New Roman"/>
                <w:sz w:val="24"/>
              </w:rPr>
              <w:t>活性炭</w:t>
            </w:r>
            <w:r>
              <w:rPr>
                <w:rFonts w:ascii="Times New Roman" w:hAnsi="Times New Roman" w:cs="Times New Roman"/>
                <w:sz w:val="24"/>
              </w:rPr>
              <w:t>中的硫在固定床中反应生成硫化汞实现脱除，该脱除过程可不受C</w:t>
            </w:r>
            <w:r>
              <w:rPr>
                <w:rFonts w:ascii="Times New Roman" w:hAnsi="Times New Roman" w:cs="Times New Roman"/>
                <w:sz w:val="24"/>
                <w:vertAlign w:val="subscript"/>
              </w:rPr>
              <w:t>5+</w:t>
            </w:r>
            <w:r>
              <w:rPr>
                <w:rFonts w:ascii="Times New Roman" w:hAnsi="Times New Roman" w:cs="Times New Roman"/>
                <w:sz w:val="24"/>
              </w:rPr>
              <w:t>烃以及水的影响。</w:t>
            </w:r>
          </w:p>
          <w:p w14:paraId="2658F227">
            <w:pPr>
              <w:widowControl/>
              <w:adjustRightInd w:val="0"/>
              <w:snapToGrid w:val="0"/>
              <w:spacing w:line="360" w:lineRule="auto"/>
              <w:ind w:firstLine="520"/>
              <w:jc w:val="left"/>
              <w:rPr>
                <w:rFonts w:ascii="Times New Roman" w:hAnsi="Times New Roman" w:cs="Times New Roman"/>
                <w:sz w:val="24"/>
              </w:rPr>
            </w:pPr>
            <w:r>
              <w:rPr>
                <w:rFonts w:ascii="Times New Roman" w:hAnsi="Times New Roman" w:cs="Times New Roman"/>
                <w:sz w:val="24"/>
              </w:rPr>
              <w:t>活性炭浸硫后，</w:t>
            </w:r>
            <w:r>
              <w:rPr>
                <w:rFonts w:hint="eastAsia" w:ascii="Times New Roman" w:hAnsi="Times New Roman" w:cs="Times New Roman"/>
                <w:sz w:val="24"/>
              </w:rPr>
              <w:t>活性炭</w:t>
            </w:r>
            <w:r>
              <w:rPr>
                <w:rFonts w:ascii="Times New Roman" w:hAnsi="Times New Roman" w:cs="Times New Roman"/>
                <w:sz w:val="24"/>
              </w:rPr>
              <w:t>表面形成了C-S键，对吸附汞有很大的作用。浸硫</w:t>
            </w:r>
            <w:r>
              <w:rPr>
                <w:rFonts w:hint="eastAsia" w:ascii="Times New Roman" w:hAnsi="Times New Roman" w:cs="Times New Roman"/>
                <w:sz w:val="24"/>
              </w:rPr>
              <w:t>活性炭</w:t>
            </w:r>
            <w:r>
              <w:rPr>
                <w:rFonts w:ascii="Times New Roman" w:hAnsi="Times New Roman" w:cs="Times New Roman"/>
                <w:sz w:val="24"/>
              </w:rPr>
              <w:t>对汞的吸附过程包括物理吸附和化学吸附两个过程的叠加。</w:t>
            </w:r>
          </w:p>
          <w:p w14:paraId="3D4E9869">
            <w:pPr>
              <w:widowControl/>
              <w:adjustRightInd w:val="0"/>
              <w:snapToGrid w:val="0"/>
              <w:spacing w:line="360" w:lineRule="auto"/>
              <w:ind w:firstLine="520"/>
              <w:jc w:val="left"/>
              <w:rPr>
                <w:rFonts w:ascii="Times New Roman" w:hAnsi="Times New Roman" w:cs="Times New Roman"/>
                <w:sz w:val="24"/>
              </w:rPr>
            </w:pPr>
            <w:r>
              <w:rPr>
                <w:rFonts w:ascii="Times New Roman" w:hAnsi="Times New Roman" w:cs="Times New Roman"/>
                <w:sz w:val="24"/>
              </w:rPr>
              <w:t>脱水后的天然气进入脱汞反应器，将其中可能携带的汞脱除到0.01μg/Nm</w:t>
            </w:r>
            <w:r>
              <w:rPr>
                <w:rFonts w:ascii="Times New Roman" w:hAnsi="Times New Roman" w:cs="Times New Roman"/>
                <w:sz w:val="24"/>
                <w:vertAlign w:val="superscript"/>
              </w:rPr>
              <w:t>3</w:t>
            </w:r>
            <w:r>
              <w:rPr>
                <w:rFonts w:ascii="Times New Roman" w:hAnsi="Times New Roman" w:cs="Times New Roman"/>
                <w:sz w:val="24"/>
              </w:rPr>
              <w:t>以下。若原料气中含汞超标，会快速腐蚀铝制冷箱，必须去除。最后原料气脱汞后过滤器，脱除夹带的固体颗粒后进入液化单元。过滤器为一开一备，100％负荷工况下可以在线更换滤芯。脱汞床型按原料气中的汞含量最高为200μg/Nm</w:t>
            </w:r>
            <w:r>
              <w:rPr>
                <w:rFonts w:ascii="Times New Roman" w:hAnsi="Times New Roman" w:cs="Times New Roman"/>
                <w:sz w:val="24"/>
                <w:vertAlign w:val="superscript"/>
              </w:rPr>
              <w:t>3</w:t>
            </w:r>
            <w:r>
              <w:rPr>
                <w:rFonts w:ascii="Times New Roman" w:hAnsi="Times New Roman" w:cs="Times New Roman"/>
                <w:sz w:val="24"/>
              </w:rPr>
              <w:t>进行设计（床层寿命为5年）。</w:t>
            </w:r>
            <w:r>
              <w:rPr>
                <w:rFonts w:hint="eastAsia" w:ascii="Times New Roman" w:hAnsi="Times New Roman" w:cs="Times New Roman"/>
                <w:sz w:val="24"/>
              </w:rPr>
              <w:t>此工序会产生脱汞塔废吸附剂（</w:t>
            </w:r>
            <w:r>
              <w:rPr>
                <w:rFonts w:ascii="Times New Roman" w:hAnsi="Times New Roman" w:cs="Times New Roman"/>
                <w:sz w:val="24"/>
              </w:rPr>
              <w:t>S</w:t>
            </w:r>
            <w:r>
              <w:rPr>
                <w:rFonts w:hint="eastAsia" w:ascii="Times New Roman" w:hAnsi="Times New Roman" w:cs="Times New Roman"/>
                <w:sz w:val="24"/>
              </w:rPr>
              <w:t>3）。</w:t>
            </w:r>
          </w:p>
          <w:p w14:paraId="0B39D09C">
            <w:pPr>
              <w:adjustRightInd w:val="0"/>
              <w:snapToGrid w:val="0"/>
              <w:spacing w:line="360" w:lineRule="auto"/>
              <w:ind w:firstLine="482" w:firstLineChars="200"/>
              <w:jc w:val="left"/>
              <w:rPr>
                <w:rFonts w:ascii="Times New Roman" w:hAnsi="Times New Roman" w:cs="Times New Roman"/>
                <w:b/>
                <w:sz w:val="24"/>
                <w:szCs w:val="26"/>
              </w:rPr>
            </w:pPr>
            <w:r>
              <w:rPr>
                <w:rFonts w:ascii="Times New Roman" w:hAnsi="宋体" w:cs="Times New Roman"/>
                <w:b/>
                <w:sz w:val="24"/>
                <w:szCs w:val="26"/>
              </w:rPr>
              <w:t>（</w:t>
            </w:r>
            <w:r>
              <w:rPr>
                <w:rFonts w:hint="eastAsia" w:ascii="Times New Roman" w:hAnsi="Times New Roman" w:cs="Times New Roman"/>
                <w:b/>
                <w:sz w:val="24"/>
                <w:szCs w:val="26"/>
              </w:rPr>
              <w:t>3</w:t>
            </w:r>
            <w:r>
              <w:rPr>
                <w:rFonts w:ascii="Times New Roman" w:hAnsi="宋体" w:cs="Times New Roman"/>
                <w:b/>
                <w:sz w:val="24"/>
                <w:szCs w:val="26"/>
              </w:rPr>
              <w:t>）</w:t>
            </w:r>
            <w:r>
              <w:rPr>
                <w:rFonts w:ascii="Times New Roman" w:hAnsi="Times New Roman" w:cs="Times New Roman"/>
                <w:b/>
                <w:sz w:val="24"/>
                <w:szCs w:val="26"/>
              </w:rPr>
              <w:t>液化单元</w:t>
            </w:r>
            <w:bookmarkEnd w:id="9"/>
          </w:p>
          <w:p w14:paraId="4404A9B1">
            <w:pPr>
              <w:adjustRightInd w:val="0"/>
              <w:snapToGrid w:val="0"/>
              <w:spacing w:line="360" w:lineRule="auto"/>
              <w:ind w:firstLine="480" w:firstLineChars="200"/>
              <w:jc w:val="left"/>
              <w:rPr>
                <w:rFonts w:ascii="Times New Roman" w:hAnsi="宋体" w:cs="Times New Roman"/>
                <w:sz w:val="24"/>
                <w:szCs w:val="26"/>
              </w:rPr>
            </w:pPr>
            <w:r>
              <w:rPr>
                <w:rFonts w:ascii="Times New Roman" w:hAnsi="宋体" w:cs="Times New Roman"/>
                <w:sz w:val="24"/>
                <w:szCs w:val="26"/>
              </w:rPr>
              <w:t>液化单元采用</w:t>
            </w:r>
            <w:r>
              <w:rPr>
                <w:rFonts w:hint="eastAsia" w:ascii="Times New Roman" w:hAnsi="宋体" w:cs="Times New Roman"/>
                <w:sz w:val="24"/>
                <w:szCs w:val="26"/>
              </w:rPr>
              <w:t>中石化公司</w:t>
            </w:r>
            <w:r>
              <w:rPr>
                <w:rFonts w:ascii="Times New Roman" w:hAnsi="宋体" w:cs="Times New Roman"/>
                <w:sz w:val="24"/>
                <w:szCs w:val="26"/>
              </w:rPr>
              <w:t>的低能耗液化技术（LEP）工艺，对净化后的原料气进行液化，产出LNG产品。</w:t>
            </w:r>
          </w:p>
          <w:p w14:paraId="01EECDE9">
            <w:pPr>
              <w:pStyle w:val="207"/>
              <w:numPr>
                <w:ilvl w:val="0"/>
                <w:numId w:val="13"/>
              </w:numPr>
              <w:ind w:firstLineChars="0"/>
              <w:rPr>
                <w:rFonts w:ascii="Times New Roman" w:hAnsi="宋体" w:cs="Times New Roman"/>
                <w:b/>
                <w:szCs w:val="26"/>
              </w:rPr>
            </w:pPr>
            <w:bookmarkStart w:id="10" w:name="_Toc405281204"/>
            <w:r>
              <w:rPr>
                <w:rFonts w:hint="eastAsia" w:ascii="Times New Roman" w:hAnsi="宋体" w:cs="Times New Roman"/>
                <w:b/>
                <w:szCs w:val="26"/>
              </w:rPr>
              <w:t xml:space="preserve"> </w:t>
            </w:r>
            <w:r>
              <w:rPr>
                <w:rFonts w:ascii="Times New Roman" w:hAnsi="宋体" w:cs="Times New Roman"/>
                <w:b/>
                <w:szCs w:val="26"/>
              </w:rPr>
              <w:t>天然气液化</w:t>
            </w:r>
            <w:bookmarkEnd w:id="10"/>
          </w:p>
          <w:p w14:paraId="415E189E">
            <w:pPr>
              <w:adjustRightInd w:val="0"/>
              <w:snapToGrid w:val="0"/>
              <w:spacing w:line="360" w:lineRule="auto"/>
              <w:jc w:val="center"/>
              <w:rPr>
                <w:rFonts w:ascii="Times New Roman" w:hAnsi="宋体" w:cs="Times New Roman"/>
                <w:b/>
                <w:sz w:val="24"/>
                <w:szCs w:val="26"/>
              </w:rPr>
            </w:pPr>
            <w:r>
              <w:rPr>
                <w:rFonts w:ascii="Times New Roman" w:hAnsi="宋体" w:cs="Times New Roman"/>
                <w:b/>
                <w:sz w:val="24"/>
                <w:szCs w:val="26"/>
              </w:rPr>
              <w:drawing>
                <wp:inline distT="0" distB="0" distL="0" distR="0">
                  <wp:extent cx="3286125" cy="1090295"/>
                  <wp:effectExtent l="0" t="0" r="9525" b="0"/>
                  <wp:docPr id="512" name="图片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图片 512"/>
                          <pic:cNvPicPr>
                            <a:picLocks noChangeAspect="1" noChangeArrowheads="1"/>
                          </pic:cNvPicPr>
                        </pic:nvPicPr>
                        <pic:blipFill>
                          <a:blip r:embed="rId21">
                            <a:extLst>
                              <a:ext uri="{28A0092B-C50C-407E-A947-70E740481C1C}">
                                <a14:useLocalDpi xmlns:a14="http://schemas.microsoft.com/office/drawing/2010/main" val="0"/>
                              </a:ext>
                            </a:extLst>
                          </a:blip>
                          <a:srcRect l="4811" t="17567"/>
                          <a:stretch>
                            <a:fillRect/>
                          </a:stretch>
                        </pic:blipFill>
                        <pic:spPr>
                          <a:xfrm>
                            <a:off x="0" y="0"/>
                            <a:ext cx="3286125" cy="1090295"/>
                          </a:xfrm>
                          <a:prstGeom prst="rect">
                            <a:avLst/>
                          </a:prstGeom>
                          <a:noFill/>
                          <a:ln>
                            <a:noFill/>
                          </a:ln>
                        </pic:spPr>
                      </pic:pic>
                    </a:graphicData>
                  </a:graphic>
                </wp:inline>
              </w:drawing>
            </w:r>
          </w:p>
          <w:p w14:paraId="51E34F59">
            <w:pPr>
              <w:adjustRightInd w:val="0"/>
              <w:snapToGrid w:val="0"/>
              <w:spacing w:line="360" w:lineRule="auto"/>
              <w:jc w:val="center"/>
              <w:rPr>
                <w:rFonts w:ascii="Times New Roman" w:hAnsi="Times New Roman" w:eastAsia="黑体" w:cs="Times New Roman"/>
                <w:bCs/>
                <w:sz w:val="24"/>
              </w:rPr>
            </w:pPr>
            <w:r>
              <w:rPr>
                <w:rFonts w:hint="eastAsia" w:ascii="Times New Roman" w:hAnsi="Times New Roman" w:eastAsia="黑体" w:cs="Times New Roman"/>
                <w:bCs/>
                <w:sz w:val="24"/>
              </w:rPr>
              <w:t>图</w:t>
            </w:r>
            <w:r>
              <w:rPr>
                <w:rFonts w:ascii="Times New Roman" w:hAnsi="Times New Roman" w:eastAsia="黑体" w:cs="Times New Roman"/>
                <w:bCs/>
                <w:sz w:val="24"/>
              </w:rPr>
              <w:t>2.2</w:t>
            </w:r>
            <w:r>
              <w:rPr>
                <w:rFonts w:hint="eastAsia" w:ascii="Times New Roman" w:hAnsi="Times New Roman" w:eastAsia="黑体" w:cs="Times New Roman"/>
                <w:bCs/>
                <w:sz w:val="24"/>
              </w:rPr>
              <w:t>-</w:t>
            </w:r>
            <w:r>
              <w:rPr>
                <w:rFonts w:ascii="Times New Roman" w:hAnsi="Times New Roman" w:eastAsia="黑体" w:cs="Times New Roman"/>
                <w:bCs/>
                <w:sz w:val="24"/>
              </w:rPr>
              <w:t>4</w:t>
            </w:r>
            <w:r>
              <w:rPr>
                <w:rFonts w:hint="eastAsia" w:ascii="Times New Roman" w:hAnsi="Times New Roman" w:eastAsia="黑体" w:cs="Times New Roman"/>
                <w:bCs/>
                <w:sz w:val="24"/>
              </w:rPr>
              <w:t xml:space="preserve">   天然气液化工艺流程及产污节点图</w:t>
            </w:r>
          </w:p>
          <w:p w14:paraId="1867F408">
            <w:pPr>
              <w:adjustRightInd w:val="0"/>
              <w:snapToGrid w:val="0"/>
              <w:spacing w:line="360" w:lineRule="auto"/>
              <w:jc w:val="center"/>
              <w:rPr>
                <w:rFonts w:ascii="Times New Roman" w:hAnsi="宋体" w:cs="Times New Roman"/>
                <w:b/>
                <w:sz w:val="24"/>
                <w:szCs w:val="26"/>
              </w:rPr>
            </w:pPr>
          </w:p>
          <w:p w14:paraId="6709A38E">
            <w:pPr>
              <w:adjustRightInd w:val="0"/>
              <w:snapToGrid w:val="0"/>
              <w:spacing w:line="360" w:lineRule="auto"/>
              <w:ind w:firstLine="480" w:firstLineChars="200"/>
              <w:jc w:val="left"/>
              <w:rPr>
                <w:rFonts w:ascii="Times New Roman" w:hAnsi="宋体" w:cs="Times New Roman"/>
                <w:sz w:val="24"/>
                <w:szCs w:val="26"/>
              </w:rPr>
            </w:pPr>
            <w:r>
              <w:rPr>
                <w:rFonts w:ascii="Times New Roman" w:hAnsi="宋体" w:cs="Times New Roman"/>
                <w:sz w:val="24"/>
                <w:szCs w:val="26"/>
              </w:rPr>
              <w:t>预处理后的原料气进入冷箱，先后在五台冷剂换热器中被冷却、液化和过冷。</w:t>
            </w:r>
          </w:p>
          <w:p w14:paraId="77D477D1">
            <w:pPr>
              <w:adjustRightInd w:val="0"/>
              <w:snapToGrid w:val="0"/>
              <w:spacing w:line="360" w:lineRule="auto"/>
              <w:ind w:firstLine="480" w:firstLineChars="200"/>
              <w:jc w:val="left"/>
              <w:rPr>
                <w:rFonts w:ascii="Times New Roman" w:hAnsi="宋体" w:cs="Times New Roman"/>
                <w:sz w:val="24"/>
                <w:szCs w:val="26"/>
              </w:rPr>
            </w:pPr>
            <w:r>
              <w:rPr>
                <w:rFonts w:ascii="Times New Roman" w:hAnsi="宋体" w:cs="Times New Roman"/>
                <w:sz w:val="24"/>
                <w:szCs w:val="26"/>
              </w:rPr>
              <w:t>原料气在冷剂换热器中被冷却到约-60</w:t>
            </w:r>
            <w:r>
              <w:rPr>
                <w:rFonts w:hint="eastAsia" w:ascii="宋体" w:hAnsi="宋体" w:cs="Times New Roman"/>
                <w:sz w:val="24"/>
                <w:szCs w:val="26"/>
              </w:rPr>
              <w:t>℃</w:t>
            </w:r>
            <w:r>
              <w:rPr>
                <w:rFonts w:ascii="Times New Roman" w:hAnsi="宋体" w:cs="Times New Roman"/>
                <w:sz w:val="24"/>
                <w:szCs w:val="26"/>
              </w:rPr>
              <w:t>，冷却后的</w:t>
            </w:r>
            <w:r>
              <w:rPr>
                <w:rFonts w:hint="eastAsia" w:ascii="Times New Roman" w:hAnsi="宋体" w:cs="Times New Roman"/>
                <w:sz w:val="24"/>
                <w:szCs w:val="26"/>
              </w:rPr>
              <w:t>原料气被引</w:t>
            </w:r>
            <w:r>
              <w:rPr>
                <w:rFonts w:ascii="Times New Roman" w:hAnsi="宋体" w:cs="Times New Roman"/>
                <w:sz w:val="24"/>
                <w:szCs w:val="26"/>
              </w:rPr>
              <w:t>出冷箱进入重烃分离罐，冷凝下来的重烃组分从罐底抽出，</w:t>
            </w:r>
            <w:r>
              <w:rPr>
                <w:rFonts w:hint="eastAsia" w:ascii="Times New Roman" w:hAnsi="宋体" w:cs="Times New Roman"/>
                <w:sz w:val="24"/>
                <w:szCs w:val="26"/>
              </w:rPr>
              <w:t>作为副产品外售。</w:t>
            </w:r>
          </w:p>
          <w:p w14:paraId="2D058915">
            <w:pPr>
              <w:adjustRightInd w:val="0"/>
              <w:snapToGrid w:val="0"/>
              <w:spacing w:line="360" w:lineRule="auto"/>
              <w:ind w:firstLine="480" w:firstLineChars="200"/>
              <w:jc w:val="left"/>
              <w:rPr>
                <w:rFonts w:ascii="Times New Roman" w:hAnsi="宋体" w:cs="Times New Roman"/>
                <w:sz w:val="24"/>
                <w:szCs w:val="26"/>
              </w:rPr>
            </w:pPr>
            <w:r>
              <w:rPr>
                <w:rFonts w:ascii="Times New Roman" w:hAnsi="宋体" w:cs="Times New Roman"/>
                <w:sz w:val="24"/>
                <w:szCs w:val="26"/>
              </w:rPr>
              <w:t>重烃分离罐顶部出来的原料气返回到冷箱，继续经冷剂换热器液化和过冷，温度降至-160</w:t>
            </w:r>
            <w:r>
              <w:rPr>
                <w:rFonts w:hint="eastAsia" w:ascii="宋体" w:hAnsi="宋体" w:cs="Times New Roman"/>
                <w:sz w:val="24"/>
                <w:szCs w:val="26"/>
              </w:rPr>
              <w:t>℃</w:t>
            </w:r>
            <w:r>
              <w:rPr>
                <w:rFonts w:ascii="Times New Roman" w:hAnsi="宋体" w:cs="Times New Roman"/>
                <w:sz w:val="24"/>
                <w:szCs w:val="26"/>
              </w:rPr>
              <w:t>后出冷箱，成为液化天然气。液化天然气的总流量由液化天然气产品管线上的调节阀来控制。调节阀后压力降至储罐压力，小部分液化天然气闪蒸为气相，产品最终温度降至-161.7</w:t>
            </w:r>
            <w:r>
              <w:rPr>
                <w:rFonts w:hint="eastAsia" w:ascii="宋体" w:hAnsi="宋体" w:cs="Times New Roman"/>
                <w:sz w:val="24"/>
                <w:szCs w:val="26"/>
              </w:rPr>
              <w:t>℃</w:t>
            </w:r>
            <w:r>
              <w:rPr>
                <w:rFonts w:ascii="Times New Roman" w:hAnsi="宋体" w:cs="Times New Roman"/>
                <w:sz w:val="24"/>
                <w:szCs w:val="26"/>
              </w:rPr>
              <w:t>。</w:t>
            </w:r>
          </w:p>
          <w:p w14:paraId="4868C3B8">
            <w:pPr>
              <w:adjustRightInd w:val="0"/>
              <w:snapToGrid w:val="0"/>
              <w:spacing w:line="360" w:lineRule="auto"/>
              <w:ind w:firstLine="480" w:firstLineChars="200"/>
              <w:jc w:val="left"/>
              <w:rPr>
                <w:rFonts w:ascii="Times New Roman" w:hAnsi="宋体" w:cs="Times New Roman"/>
                <w:sz w:val="24"/>
                <w:szCs w:val="26"/>
              </w:rPr>
            </w:pPr>
            <w:r>
              <w:rPr>
                <w:rFonts w:ascii="Times New Roman" w:hAnsi="宋体" w:cs="Times New Roman"/>
                <w:sz w:val="24"/>
                <w:szCs w:val="26"/>
              </w:rPr>
              <w:t>液化天然气产品调节阀由流量控制，同时也受温度串级控制，这样可以合理控制液化天然气产品流量，避免产品流量超过制冷系统的液化能力。</w:t>
            </w:r>
          </w:p>
          <w:p w14:paraId="7629428E">
            <w:pPr>
              <w:adjustRightInd w:val="0"/>
              <w:snapToGrid w:val="0"/>
              <w:spacing w:line="360" w:lineRule="auto"/>
              <w:ind w:firstLine="480" w:firstLineChars="200"/>
              <w:jc w:val="left"/>
              <w:rPr>
                <w:rFonts w:ascii="Times New Roman" w:hAnsi="宋体" w:cs="Times New Roman"/>
                <w:sz w:val="24"/>
                <w:szCs w:val="26"/>
              </w:rPr>
            </w:pPr>
            <w:r>
              <w:rPr>
                <w:rFonts w:ascii="Times New Roman" w:hAnsi="宋体" w:cs="Times New Roman"/>
                <w:sz w:val="24"/>
                <w:szCs w:val="26"/>
              </w:rPr>
              <w:t>来自LNG储罐的泡点气流股在经压缩和换热后，进入冷箱中重新液化，以分离多余的氮气（避免氮气在系统中积聚）和回收LNG，泡点气冷却到-150</w:t>
            </w:r>
            <w:r>
              <w:rPr>
                <w:rFonts w:hint="eastAsia" w:ascii="宋体" w:hAnsi="宋体" w:cs="Times New Roman"/>
                <w:sz w:val="24"/>
                <w:szCs w:val="26"/>
              </w:rPr>
              <w:t>℃</w:t>
            </w:r>
            <w:r>
              <w:rPr>
                <w:rFonts w:ascii="Times New Roman" w:hAnsi="宋体" w:cs="Times New Roman"/>
                <w:sz w:val="24"/>
                <w:szCs w:val="26"/>
              </w:rPr>
              <w:t>，然后减压到大约0.43MPa</w:t>
            </w:r>
            <w:r>
              <w:rPr>
                <w:rFonts w:hint="eastAsia" w:ascii="Times New Roman" w:hAnsi="宋体" w:cs="Times New Roman"/>
                <w:sz w:val="24"/>
                <w:szCs w:val="26"/>
              </w:rPr>
              <w:t>，</w:t>
            </w:r>
            <w:r>
              <w:rPr>
                <w:rFonts w:ascii="Times New Roman" w:hAnsi="宋体" w:cs="Times New Roman"/>
                <w:sz w:val="24"/>
                <w:szCs w:val="26"/>
              </w:rPr>
              <w:t>进入氮气闪蒸罐</w:t>
            </w:r>
            <w:r>
              <w:rPr>
                <w:rFonts w:hint="eastAsia" w:ascii="Times New Roman" w:hAnsi="宋体" w:cs="Times New Roman"/>
                <w:sz w:val="24"/>
                <w:szCs w:val="26"/>
              </w:rPr>
              <w:t>。</w:t>
            </w:r>
            <w:r>
              <w:rPr>
                <w:rFonts w:ascii="Times New Roman" w:hAnsi="宋体" w:cs="Times New Roman"/>
                <w:sz w:val="24"/>
                <w:szCs w:val="26"/>
              </w:rPr>
              <w:t>富氮气体从氮气闪蒸罐脱除后，经由冷剂换热器回热后进入燃料气系统。闪蒸罐底部的液化天然气送入液化天然气储罐。</w:t>
            </w:r>
          </w:p>
          <w:p w14:paraId="27EB4430">
            <w:pPr>
              <w:pStyle w:val="207"/>
              <w:numPr>
                <w:ilvl w:val="0"/>
                <w:numId w:val="13"/>
              </w:numPr>
              <w:ind w:firstLineChars="0"/>
              <w:rPr>
                <w:rFonts w:ascii="Times New Roman" w:hAnsi="宋体" w:cs="Times New Roman"/>
                <w:b/>
                <w:szCs w:val="26"/>
              </w:rPr>
            </w:pPr>
            <w:bookmarkStart w:id="11" w:name="_Toc405281205"/>
            <w:r>
              <w:rPr>
                <w:rFonts w:hint="eastAsia" w:ascii="Times New Roman" w:hAnsi="宋体" w:cs="Times New Roman"/>
                <w:b/>
                <w:szCs w:val="26"/>
              </w:rPr>
              <w:t xml:space="preserve"> </w:t>
            </w:r>
            <w:r>
              <w:rPr>
                <w:rFonts w:ascii="Times New Roman" w:hAnsi="宋体" w:cs="Times New Roman"/>
                <w:b/>
                <w:szCs w:val="26"/>
              </w:rPr>
              <w:t>混合冷剂制冷</w:t>
            </w:r>
            <w:bookmarkEnd w:id="11"/>
          </w:p>
          <w:p w14:paraId="07A3AFFF">
            <w:pPr>
              <w:adjustRightInd w:val="0"/>
              <w:snapToGrid w:val="0"/>
              <w:spacing w:line="360" w:lineRule="auto"/>
              <w:ind w:firstLine="482" w:firstLineChars="200"/>
              <w:jc w:val="left"/>
              <w:rPr>
                <w:rFonts w:ascii="Times New Roman" w:hAnsi="宋体" w:cs="Times New Roman"/>
                <w:b/>
                <w:sz w:val="24"/>
                <w:szCs w:val="26"/>
              </w:rPr>
            </w:pPr>
            <w:r>
              <w:rPr>
                <w:rFonts w:ascii="Times New Roman" w:hAnsi="宋体" w:cs="Times New Roman"/>
                <w:b/>
                <w:sz w:val="24"/>
                <w:szCs w:val="26"/>
              </w:rPr>
              <w:drawing>
                <wp:inline distT="0" distB="0" distL="0" distR="0">
                  <wp:extent cx="5265420" cy="3160395"/>
                  <wp:effectExtent l="0" t="0" r="0" b="1905"/>
                  <wp:docPr id="508" name="图片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5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65420" cy="3160395"/>
                          </a:xfrm>
                          <a:prstGeom prst="rect">
                            <a:avLst/>
                          </a:prstGeom>
                          <a:noFill/>
                          <a:ln>
                            <a:noFill/>
                          </a:ln>
                        </pic:spPr>
                      </pic:pic>
                    </a:graphicData>
                  </a:graphic>
                </wp:inline>
              </w:drawing>
            </w:r>
          </w:p>
          <w:p w14:paraId="2DA372D9">
            <w:pPr>
              <w:adjustRightInd w:val="0"/>
              <w:snapToGrid w:val="0"/>
              <w:spacing w:line="360" w:lineRule="auto"/>
              <w:jc w:val="center"/>
              <w:rPr>
                <w:rFonts w:ascii="Times New Roman" w:hAnsi="宋体" w:cs="Times New Roman"/>
                <w:b/>
                <w:sz w:val="24"/>
                <w:szCs w:val="26"/>
              </w:rPr>
            </w:pPr>
            <w:r>
              <w:rPr>
                <w:rFonts w:hint="eastAsia" w:ascii="Times New Roman" w:hAnsi="Times New Roman" w:eastAsia="黑体" w:cs="Times New Roman"/>
                <w:bCs/>
                <w:sz w:val="24"/>
              </w:rPr>
              <w:t>图</w:t>
            </w:r>
            <w:r>
              <w:rPr>
                <w:rFonts w:ascii="Times New Roman" w:hAnsi="Times New Roman" w:eastAsia="黑体" w:cs="Times New Roman"/>
                <w:bCs/>
                <w:sz w:val="24"/>
              </w:rPr>
              <w:t>2.2</w:t>
            </w:r>
            <w:r>
              <w:rPr>
                <w:rFonts w:hint="eastAsia" w:ascii="Times New Roman" w:hAnsi="Times New Roman" w:eastAsia="黑体" w:cs="Times New Roman"/>
                <w:bCs/>
                <w:sz w:val="24"/>
              </w:rPr>
              <w:t>-</w:t>
            </w:r>
            <w:r>
              <w:rPr>
                <w:rFonts w:ascii="Times New Roman" w:hAnsi="Times New Roman" w:eastAsia="黑体" w:cs="Times New Roman"/>
                <w:bCs/>
                <w:sz w:val="24"/>
              </w:rPr>
              <w:t>5</w:t>
            </w:r>
            <w:r>
              <w:rPr>
                <w:rFonts w:hint="eastAsia" w:ascii="Times New Roman" w:hAnsi="Times New Roman" w:eastAsia="黑体" w:cs="Times New Roman"/>
                <w:bCs/>
                <w:sz w:val="24"/>
              </w:rPr>
              <w:t xml:space="preserve">   制冷剂制冷流程及产污节点图</w:t>
            </w:r>
          </w:p>
          <w:p w14:paraId="7279C4EC">
            <w:pPr>
              <w:widowControl/>
              <w:adjustRightInd w:val="0"/>
              <w:snapToGrid w:val="0"/>
              <w:spacing w:line="360" w:lineRule="auto"/>
              <w:ind w:firstLine="480" w:firstLineChars="200"/>
              <w:jc w:val="left"/>
              <w:rPr>
                <w:rFonts w:ascii="Times New Roman" w:hAnsi="宋体" w:cs="Times New Roman"/>
                <w:sz w:val="24"/>
                <w:szCs w:val="26"/>
              </w:rPr>
            </w:pPr>
            <w:r>
              <w:rPr>
                <w:rFonts w:ascii="Times New Roman" w:hAnsi="宋体" w:cs="Times New Roman"/>
                <w:sz w:val="24"/>
                <w:szCs w:val="26"/>
              </w:rPr>
              <w:t>制冷系统采用了一个闭路制冷循环，冷剂经压缩、部分冷凝、过冷、节流膨胀，然后被加热从而提供冷量。用于制冷的冷剂为多组分混合物，由氮气和从C1至C5的碳氢化合物组成。混合冷剂压缩机采用三段压缩，由电机驱动。</w:t>
            </w:r>
          </w:p>
          <w:p w14:paraId="4484869F">
            <w:pPr>
              <w:widowControl/>
              <w:adjustRightInd w:val="0"/>
              <w:snapToGrid w:val="0"/>
              <w:spacing w:line="360" w:lineRule="auto"/>
              <w:ind w:firstLine="480" w:firstLineChars="200"/>
              <w:jc w:val="left"/>
              <w:rPr>
                <w:rFonts w:ascii="Times New Roman" w:hAnsi="宋体" w:cs="Times New Roman"/>
                <w:sz w:val="24"/>
              </w:rPr>
            </w:pPr>
            <w:r>
              <w:rPr>
                <w:rFonts w:hint="eastAsia" w:ascii="Times New Roman" w:hAnsi="宋体" w:cs="Times New Roman"/>
                <w:sz w:val="24"/>
              </w:rPr>
              <w:t>此工序会产生制冷剂干燥产生的废分子筛（</w:t>
            </w:r>
            <w:r>
              <w:rPr>
                <w:rFonts w:ascii="Times New Roman" w:hAnsi="宋体" w:cs="Times New Roman"/>
                <w:sz w:val="24"/>
              </w:rPr>
              <w:t>S</w:t>
            </w:r>
            <w:r>
              <w:rPr>
                <w:rFonts w:hint="eastAsia" w:ascii="Times New Roman" w:hAnsi="宋体" w:cs="Times New Roman"/>
                <w:sz w:val="24"/>
              </w:rPr>
              <w:t>4）。</w:t>
            </w:r>
          </w:p>
          <w:p w14:paraId="2B2D6964">
            <w:pPr>
              <w:adjustRightInd w:val="0"/>
              <w:snapToGrid w:val="0"/>
              <w:spacing w:line="360" w:lineRule="auto"/>
              <w:ind w:firstLine="480" w:firstLineChars="200"/>
              <w:jc w:val="left"/>
              <w:rPr>
                <w:rFonts w:ascii="Times New Roman" w:hAnsi="宋体" w:cs="Times New Roman"/>
                <w:sz w:val="24"/>
                <w:szCs w:val="26"/>
              </w:rPr>
            </w:pPr>
          </w:p>
          <w:p w14:paraId="0830DCD3">
            <w:pPr>
              <w:adjustRightInd w:val="0"/>
              <w:snapToGrid w:val="0"/>
              <w:spacing w:line="360" w:lineRule="auto"/>
              <w:ind w:firstLine="482" w:firstLineChars="200"/>
              <w:jc w:val="left"/>
              <w:rPr>
                <w:rFonts w:ascii="Times New Roman" w:hAnsi="宋体" w:cs="Times New Roman"/>
                <w:b/>
                <w:sz w:val="24"/>
                <w:szCs w:val="26"/>
              </w:rPr>
            </w:pPr>
            <w:r>
              <w:rPr>
                <w:rFonts w:hint="eastAsia" w:ascii="Times New Roman" w:hAnsi="宋体" w:cs="Times New Roman"/>
                <w:b/>
                <w:sz w:val="24"/>
                <w:szCs w:val="26"/>
              </w:rPr>
              <w:t>（4）LNG储存单元</w:t>
            </w:r>
            <w:r>
              <w:rPr>
                <w:rFonts w:ascii="Times New Roman" w:hAnsi="宋体" w:cs="Times New Roman"/>
                <w:b/>
                <w:sz w:val="24"/>
                <w:szCs w:val="26"/>
              </w:rPr>
              <w:t>、BOG压缩和LNG装车</w:t>
            </w:r>
          </w:p>
          <w:p w14:paraId="559446AB">
            <w:pPr>
              <w:adjustRightInd w:val="0"/>
              <w:snapToGrid w:val="0"/>
              <w:spacing w:line="360" w:lineRule="auto"/>
              <w:ind w:firstLine="480" w:firstLineChars="200"/>
              <w:jc w:val="left"/>
              <w:rPr>
                <w:rFonts w:ascii="Times New Roman" w:hAnsi="宋体" w:cs="Times New Roman"/>
                <w:sz w:val="24"/>
                <w:szCs w:val="26"/>
              </w:rPr>
            </w:pPr>
            <w:r>
              <w:rPr>
                <w:rFonts w:ascii="Times New Roman" w:hAnsi="宋体" w:cs="Times New Roman"/>
                <w:sz w:val="24"/>
                <w:szCs w:val="26"/>
              </w:rPr>
              <w:t>与液化单元处理能力相配套，LNG储存单元设有1座20000m</w:t>
            </w:r>
            <w:r>
              <w:rPr>
                <w:rFonts w:ascii="Times New Roman" w:hAnsi="宋体" w:cs="Times New Roman"/>
                <w:sz w:val="24"/>
                <w:szCs w:val="26"/>
                <w:vertAlign w:val="superscript"/>
              </w:rPr>
              <w:t>3</w:t>
            </w:r>
            <w:r>
              <w:rPr>
                <w:rFonts w:ascii="Times New Roman" w:hAnsi="宋体" w:cs="Times New Roman"/>
                <w:sz w:val="24"/>
                <w:szCs w:val="26"/>
              </w:rPr>
              <w:t>的LNG低温储罐。</w:t>
            </w:r>
          </w:p>
          <w:p w14:paraId="3467FAEB">
            <w:pPr>
              <w:adjustRightInd w:val="0"/>
              <w:snapToGrid w:val="0"/>
              <w:spacing w:line="360" w:lineRule="auto"/>
              <w:ind w:firstLine="480" w:firstLineChars="200"/>
              <w:jc w:val="left"/>
              <w:rPr>
                <w:rFonts w:ascii="Times New Roman" w:hAnsi="宋体" w:cs="Times New Roman"/>
                <w:sz w:val="24"/>
                <w:szCs w:val="26"/>
              </w:rPr>
            </w:pPr>
            <w:r>
              <w:rPr>
                <w:rFonts w:ascii="Times New Roman" w:hAnsi="宋体" w:cs="Times New Roman"/>
                <w:sz w:val="24"/>
                <w:szCs w:val="26"/>
              </w:rPr>
              <w:t>来自液化单元的LNG在-161.7℃，0.015MPaG进入LNG储罐；储罐的设计压力为-0.5～20kPaG，储罐的压力通过BOG压缩机压缩回收储罐内产生的蒸发气进行控制。</w:t>
            </w:r>
          </w:p>
          <w:p w14:paraId="1411D953">
            <w:pPr>
              <w:adjustRightInd w:val="0"/>
              <w:snapToGrid w:val="0"/>
              <w:spacing w:line="360" w:lineRule="auto"/>
              <w:ind w:firstLine="480" w:firstLineChars="200"/>
              <w:jc w:val="left"/>
              <w:rPr>
                <w:rFonts w:ascii="Times New Roman" w:hAnsi="宋体" w:cs="Times New Roman"/>
                <w:sz w:val="24"/>
                <w:szCs w:val="26"/>
              </w:rPr>
            </w:pPr>
            <w:r>
              <w:rPr>
                <w:rFonts w:ascii="Times New Roman" w:hAnsi="宋体" w:cs="Times New Roman"/>
                <w:sz w:val="24"/>
                <w:szCs w:val="26"/>
              </w:rPr>
              <w:t>来自LNG储罐的BOG，与净化后的天然气在BOG换热器进行换热后，BOG温度由-163</w:t>
            </w:r>
            <w:r>
              <w:rPr>
                <w:rFonts w:hint="eastAsia" w:ascii="宋体" w:hAnsi="宋体" w:cs="Times New Roman"/>
                <w:sz w:val="24"/>
                <w:szCs w:val="26"/>
              </w:rPr>
              <w:t>℃</w:t>
            </w:r>
            <w:r>
              <w:rPr>
                <w:rFonts w:ascii="Times New Roman" w:hAnsi="宋体" w:cs="Times New Roman"/>
                <w:sz w:val="24"/>
                <w:szCs w:val="26"/>
              </w:rPr>
              <w:t>上升达到-30</w:t>
            </w:r>
            <w:r>
              <w:rPr>
                <w:rFonts w:hint="eastAsia" w:ascii="宋体" w:hAnsi="宋体" w:cs="Times New Roman"/>
                <w:sz w:val="24"/>
                <w:szCs w:val="26"/>
              </w:rPr>
              <w:t>℃</w:t>
            </w:r>
            <w:r>
              <w:rPr>
                <w:rFonts w:ascii="Times New Roman" w:hAnsi="宋体" w:cs="Times New Roman"/>
                <w:sz w:val="24"/>
                <w:szCs w:val="26"/>
              </w:rPr>
              <w:t>，经BOG压缩机压缩，增压(1.8MPaG)后返回冷箱进一步冷凝。BOG压缩机采用往复式压缩机，可通过逐级调节来实现流量控制，压缩机负荷由LNG储罐的压力来控制。</w:t>
            </w:r>
          </w:p>
          <w:p w14:paraId="0BCAF15D">
            <w:pPr>
              <w:adjustRightInd w:val="0"/>
              <w:snapToGrid w:val="0"/>
              <w:spacing w:line="360" w:lineRule="auto"/>
              <w:ind w:firstLine="480" w:firstLineChars="200"/>
              <w:jc w:val="left"/>
              <w:rPr>
                <w:rFonts w:ascii="Times New Roman" w:hAnsi="宋体" w:cs="Times New Roman"/>
                <w:sz w:val="24"/>
                <w:szCs w:val="26"/>
              </w:rPr>
            </w:pPr>
            <w:r>
              <w:rPr>
                <w:rFonts w:hint="eastAsia" w:ascii="Times New Roman" w:hAnsi="宋体" w:cs="Times New Roman"/>
                <w:sz w:val="24"/>
                <w:szCs w:val="26"/>
              </w:rPr>
              <w:t>新增</w:t>
            </w:r>
            <w:r>
              <w:rPr>
                <w:rFonts w:ascii="Times New Roman" w:hAnsi="宋体" w:cs="Times New Roman"/>
                <w:sz w:val="24"/>
                <w:szCs w:val="26"/>
              </w:rPr>
              <w:t>设4个</w:t>
            </w:r>
            <w:r>
              <w:rPr>
                <w:rFonts w:hint="eastAsia" w:ascii="Times New Roman" w:hAnsi="宋体" w:cs="Times New Roman"/>
                <w:sz w:val="24"/>
                <w:szCs w:val="26"/>
              </w:rPr>
              <w:t>装车鹤位</w:t>
            </w:r>
            <w:r>
              <w:rPr>
                <w:rFonts w:ascii="Times New Roman" w:hAnsi="宋体" w:cs="Times New Roman"/>
                <w:sz w:val="24"/>
                <w:szCs w:val="26"/>
              </w:rPr>
              <w:t>用于LNG槽车外运。每个装车位系统，设置支管循环管路及开关阀。无装车时，各支路循环线开关阀打开，通过各支路限流孔板控制循环流量，保持LNG管线的冷循环状态；有部分装车时，未使用的装车臂通过限流孔板维持一最小循环量，保持循环总管的循环量在各工况操作时恒定，以保证LNG及冷循环总管的低温状态。</w:t>
            </w:r>
          </w:p>
          <w:p w14:paraId="039A36B5">
            <w:pPr>
              <w:adjustRightInd w:val="0"/>
              <w:snapToGrid w:val="0"/>
              <w:spacing w:line="360" w:lineRule="auto"/>
              <w:ind w:firstLine="482" w:firstLineChars="200"/>
              <w:jc w:val="left"/>
              <w:rPr>
                <w:rFonts w:ascii="Times New Roman" w:hAnsi="宋体" w:cs="Times New Roman"/>
                <w:b/>
                <w:sz w:val="24"/>
                <w:szCs w:val="26"/>
              </w:rPr>
            </w:pPr>
            <w:bookmarkStart w:id="12" w:name="_Toc398124664"/>
            <w:r>
              <w:rPr>
                <w:rFonts w:hint="eastAsia" w:ascii="Times New Roman" w:hAnsi="宋体" w:cs="Times New Roman"/>
                <w:b/>
                <w:sz w:val="24"/>
                <w:szCs w:val="26"/>
              </w:rPr>
              <w:t>（5）冷剂储存单元</w:t>
            </w:r>
          </w:p>
          <w:bookmarkEnd w:id="12"/>
          <w:p w14:paraId="4E3180E4">
            <w:pPr>
              <w:adjustRightInd w:val="0"/>
              <w:snapToGrid w:val="0"/>
              <w:spacing w:line="360" w:lineRule="auto"/>
              <w:ind w:firstLine="480" w:firstLineChars="200"/>
              <w:jc w:val="left"/>
              <w:rPr>
                <w:rFonts w:ascii="Times New Roman" w:hAnsi="宋体" w:cs="Times New Roman"/>
                <w:sz w:val="24"/>
                <w:szCs w:val="26"/>
              </w:rPr>
            </w:pPr>
            <w:r>
              <w:rPr>
                <w:rFonts w:ascii="Times New Roman" w:hAnsi="宋体" w:cs="Times New Roman"/>
                <w:sz w:val="24"/>
                <w:szCs w:val="26"/>
              </w:rPr>
              <w:t>冷剂储存单元在开车期间需要配制满足要求合适的冷剂配比，在运行过程中随时对混合冷剂进行补充、调整，满足不同工况需要。</w:t>
            </w:r>
          </w:p>
          <w:p w14:paraId="5C2A7B13">
            <w:pPr>
              <w:adjustRightInd w:val="0"/>
              <w:snapToGrid w:val="0"/>
              <w:spacing w:line="360" w:lineRule="auto"/>
              <w:ind w:firstLine="480" w:firstLineChars="200"/>
              <w:jc w:val="left"/>
              <w:rPr>
                <w:rFonts w:ascii="Times New Roman" w:hAnsi="宋体" w:cs="Times New Roman"/>
                <w:sz w:val="24"/>
                <w:szCs w:val="26"/>
              </w:rPr>
            </w:pPr>
            <w:r>
              <w:rPr>
                <w:rFonts w:ascii="Times New Roman" w:hAnsi="宋体" w:cs="Times New Roman"/>
                <w:sz w:val="24"/>
                <w:szCs w:val="26"/>
              </w:rPr>
              <w:t>乙烯储存在乙烯补充罐。液态乙烯在乙烯汽化器中汽化并输送至混合冷剂压缩机一段吸入罐。可能存在的微量水和甲醇在乙烯干燥器中除去，固体颗粒在乙烯过滤器中除去。</w:t>
            </w:r>
          </w:p>
          <w:p w14:paraId="64C07658">
            <w:pPr>
              <w:adjustRightInd w:val="0"/>
              <w:snapToGrid w:val="0"/>
              <w:spacing w:line="360" w:lineRule="auto"/>
              <w:ind w:firstLine="480" w:firstLineChars="200"/>
              <w:jc w:val="left"/>
              <w:rPr>
                <w:rFonts w:ascii="Times New Roman" w:hAnsi="宋体" w:cs="Times New Roman"/>
                <w:sz w:val="24"/>
                <w:szCs w:val="26"/>
              </w:rPr>
            </w:pPr>
            <w:r>
              <w:rPr>
                <w:rFonts w:ascii="Times New Roman" w:hAnsi="宋体" w:cs="Times New Roman"/>
                <w:sz w:val="24"/>
                <w:szCs w:val="26"/>
              </w:rPr>
              <w:t>丙烷储存在丙烷储存罐。可能存在的微量水和甲醇在丙烷干燥器中除去，固体颗粒在丙烷过滤器中除去。</w:t>
            </w:r>
          </w:p>
          <w:p w14:paraId="46890421">
            <w:pPr>
              <w:adjustRightInd w:val="0"/>
              <w:snapToGrid w:val="0"/>
              <w:spacing w:line="360" w:lineRule="auto"/>
              <w:ind w:firstLine="480" w:firstLineChars="200"/>
              <w:jc w:val="left"/>
              <w:rPr>
                <w:rFonts w:ascii="Times New Roman" w:hAnsi="宋体" w:cs="Times New Roman"/>
                <w:sz w:val="24"/>
                <w:szCs w:val="26"/>
              </w:rPr>
            </w:pPr>
            <w:r>
              <w:rPr>
                <w:rFonts w:ascii="Times New Roman" w:hAnsi="宋体" w:cs="Times New Roman"/>
                <w:sz w:val="24"/>
                <w:szCs w:val="26"/>
              </w:rPr>
              <w:t>异戊烷储存在异戊烷储存罐，该罐设有水包。可能存在的微量水和甲醇在异戊烷干燥器中除去，固体颗粒在异戊烷过滤器中除去。</w:t>
            </w:r>
          </w:p>
          <w:p w14:paraId="117050FD">
            <w:pPr>
              <w:adjustRightInd w:val="0"/>
              <w:snapToGrid w:val="0"/>
              <w:spacing w:line="360" w:lineRule="auto"/>
              <w:ind w:firstLine="482" w:firstLineChars="200"/>
              <w:jc w:val="left"/>
              <w:rPr>
                <w:rFonts w:ascii="Times New Roman" w:hAnsi="Times New Roman" w:cs="Times New Roman"/>
                <w:b/>
                <w:sz w:val="24"/>
                <w:szCs w:val="26"/>
              </w:rPr>
            </w:pPr>
            <w:bookmarkStart w:id="13" w:name="_Toc398124665"/>
            <w:r>
              <w:rPr>
                <w:rFonts w:ascii="Times New Roman" w:hAnsi="宋体" w:cs="Times New Roman"/>
                <w:b/>
                <w:sz w:val="24"/>
                <w:szCs w:val="26"/>
              </w:rPr>
              <w:t>（</w:t>
            </w:r>
            <w:r>
              <w:rPr>
                <w:rFonts w:hint="eastAsia" w:ascii="Times New Roman" w:hAnsi="Times New Roman" w:cs="Times New Roman"/>
                <w:b/>
                <w:sz w:val="24"/>
                <w:szCs w:val="26"/>
              </w:rPr>
              <w:t>6</w:t>
            </w:r>
            <w:r>
              <w:rPr>
                <w:rFonts w:ascii="Times New Roman" w:hAnsi="宋体" w:cs="Times New Roman"/>
                <w:b/>
                <w:sz w:val="24"/>
                <w:szCs w:val="26"/>
              </w:rPr>
              <w:t>）</w:t>
            </w:r>
            <w:r>
              <w:rPr>
                <w:rFonts w:ascii="Times New Roman" w:hAnsi="Times New Roman" w:cs="Times New Roman"/>
                <w:b/>
                <w:sz w:val="24"/>
                <w:szCs w:val="26"/>
              </w:rPr>
              <w:t>热油系统</w:t>
            </w:r>
            <w:bookmarkEnd w:id="13"/>
          </w:p>
          <w:p w14:paraId="1CDFBC13">
            <w:pPr>
              <w:widowControl/>
              <w:adjustRightInd w:val="0"/>
              <w:snapToGrid w:val="0"/>
              <w:spacing w:line="360" w:lineRule="auto"/>
              <w:ind w:firstLine="480"/>
              <w:rPr>
                <w:rFonts w:ascii="Times New Roman" w:hAnsi="宋体" w:cs="Times New Roman"/>
                <w:sz w:val="24"/>
                <w:szCs w:val="26"/>
              </w:rPr>
            </w:pPr>
            <w:r>
              <w:rPr>
                <w:rFonts w:ascii="Times New Roman" w:hAnsi="宋体" w:cs="Times New Roman"/>
                <w:sz w:val="24"/>
                <w:szCs w:val="26"/>
              </w:rPr>
              <w:t>本装置采用热油系统提供工艺所需的热量，温度等级有两种。中温等级为150</w:t>
            </w:r>
            <w:r>
              <w:rPr>
                <w:rFonts w:hint="eastAsia" w:ascii="宋体" w:hAnsi="宋体" w:cs="Times New Roman"/>
                <w:sz w:val="24"/>
                <w:szCs w:val="26"/>
              </w:rPr>
              <w:t>℃</w:t>
            </w:r>
            <w:r>
              <w:rPr>
                <w:rFonts w:ascii="Times New Roman" w:hAnsi="宋体" w:cs="Times New Roman"/>
                <w:sz w:val="24"/>
                <w:szCs w:val="26"/>
              </w:rPr>
              <w:t>，用于再生塔再沸器，高温等级为330</w:t>
            </w:r>
            <w:r>
              <w:rPr>
                <w:rFonts w:hint="eastAsia" w:ascii="宋体" w:hAnsi="宋体" w:cs="Times New Roman"/>
                <w:sz w:val="24"/>
                <w:szCs w:val="26"/>
              </w:rPr>
              <w:t>℃</w:t>
            </w:r>
            <w:r>
              <w:rPr>
                <w:rFonts w:ascii="Times New Roman" w:hAnsi="宋体" w:cs="Times New Roman"/>
                <w:sz w:val="24"/>
                <w:szCs w:val="26"/>
              </w:rPr>
              <w:t>，用于加热再生气。</w:t>
            </w:r>
            <w:r>
              <w:rPr>
                <w:rFonts w:ascii="Times New Roman" w:hAnsi="Times New Roman" w:cs="Times New Roman"/>
                <w:sz w:val="24"/>
              </w:rPr>
              <w:t>导热油炉以</w:t>
            </w:r>
            <w:r>
              <w:rPr>
                <w:rFonts w:hint="eastAsia" w:ascii="Times New Roman" w:hAnsi="Times New Roman" w:cs="Times New Roman"/>
                <w:sz w:val="24"/>
              </w:rPr>
              <w:t>燃料</w:t>
            </w:r>
            <w:r>
              <w:rPr>
                <w:rFonts w:ascii="Times New Roman" w:hAnsi="Times New Roman" w:cs="Times New Roman"/>
                <w:sz w:val="24"/>
              </w:rPr>
              <w:t>气为燃料，对传热介质（导热油）加热，导热油从锅炉壁吸收燃烧时释放的能量，使温度升高至所需的温度，高温的导热油通过导热油循环管道进入各储罐或生产设施的加热盘管间接加热，从盘管出来后的导热油流经油气分离器和膨胀槽（主要功能是为导热油受热膨胀提供一定容积），从膨胀槽出来的导热油再次进入贮油槽，进行下一次循环利用。</w:t>
            </w:r>
            <w:r>
              <w:rPr>
                <w:rFonts w:hint="eastAsia" w:ascii="Times New Roman" w:hAnsi="Times New Roman" w:cs="Times New Roman"/>
                <w:sz w:val="24"/>
              </w:rPr>
              <w:t>导热油使用多年后不能继续使用，会产生S5废导热油，另外此工序会</w:t>
            </w:r>
            <w:r>
              <w:rPr>
                <w:rFonts w:ascii="Times New Roman" w:hAnsi="Times New Roman" w:cs="Times New Roman"/>
                <w:sz w:val="24"/>
              </w:rPr>
              <w:t>产生</w:t>
            </w:r>
            <w:r>
              <w:rPr>
                <w:rFonts w:hint="eastAsia" w:ascii="Times New Roman" w:hAnsi="Times New Roman" w:cs="Times New Roman"/>
                <w:sz w:val="24"/>
              </w:rPr>
              <w:t>导热油炉燃料燃烧</w:t>
            </w:r>
            <w:r>
              <w:rPr>
                <w:rFonts w:ascii="Times New Roman" w:hAnsi="Times New Roman" w:cs="Times New Roman"/>
                <w:sz w:val="24"/>
              </w:rPr>
              <w:t>废气G</w:t>
            </w:r>
            <w:r>
              <w:rPr>
                <w:rFonts w:hint="eastAsia" w:ascii="Times New Roman" w:hAnsi="Times New Roman" w:cs="Times New Roman"/>
                <w:sz w:val="24"/>
              </w:rPr>
              <w:t>5</w:t>
            </w:r>
            <w:r>
              <w:rPr>
                <w:rFonts w:ascii="Times New Roman" w:hAnsi="Times New Roman" w:cs="Times New Roman"/>
                <w:sz w:val="24"/>
              </w:rPr>
              <w:t>。</w:t>
            </w:r>
          </w:p>
          <w:p w14:paraId="4E3EE74A">
            <w:pPr>
              <w:adjustRightInd w:val="0"/>
              <w:snapToGrid w:val="0"/>
              <w:spacing w:line="360" w:lineRule="auto"/>
              <w:ind w:firstLine="482" w:firstLineChars="200"/>
              <w:jc w:val="left"/>
              <w:rPr>
                <w:rFonts w:ascii="Times New Roman" w:hAnsi="宋体" w:cs="Times New Roman"/>
                <w:b/>
                <w:sz w:val="24"/>
                <w:szCs w:val="26"/>
              </w:rPr>
            </w:pPr>
            <w:r>
              <w:rPr>
                <w:rFonts w:hint="eastAsia" w:ascii="Times New Roman" w:hAnsi="宋体" w:cs="Times New Roman"/>
                <w:b/>
                <w:sz w:val="24"/>
                <w:szCs w:val="26"/>
              </w:rPr>
              <w:t>（7）火炬系统</w:t>
            </w:r>
          </w:p>
          <w:p w14:paraId="5E3BD92C">
            <w:pPr>
              <w:adjustRightInd w:val="0"/>
              <w:snapToGrid w:val="0"/>
              <w:spacing w:line="360" w:lineRule="auto"/>
              <w:ind w:firstLine="480" w:firstLineChars="200"/>
              <w:jc w:val="left"/>
              <w:rPr>
                <w:rFonts w:ascii="Times New Roman" w:hAnsi="宋体" w:cs="Times New Roman"/>
                <w:sz w:val="24"/>
                <w:szCs w:val="26"/>
              </w:rPr>
            </w:pPr>
            <w:r>
              <w:rPr>
                <w:rFonts w:hint="eastAsia" w:ascii="Times New Roman" w:hAnsi="宋体" w:cs="Times New Roman"/>
                <w:sz w:val="24"/>
                <w:szCs w:val="26"/>
              </w:rPr>
              <w:t xml:space="preserve">火炬设施作为本项目重要安全与环保设施之一，用于处理液化天然气装置在正常生产、事故、开停车及紧急状况下排放的可燃性气体，以保护设备和人身安全。 </w:t>
            </w:r>
          </w:p>
          <w:p w14:paraId="39075E47">
            <w:pPr>
              <w:adjustRightInd w:val="0"/>
              <w:snapToGrid w:val="0"/>
              <w:spacing w:line="360" w:lineRule="auto"/>
              <w:ind w:firstLine="480" w:firstLineChars="200"/>
              <w:jc w:val="left"/>
              <w:rPr>
                <w:rFonts w:ascii="Times New Roman" w:hAnsi="宋体" w:cs="Times New Roman"/>
                <w:sz w:val="24"/>
                <w:szCs w:val="26"/>
              </w:rPr>
            </w:pPr>
            <w:r>
              <w:rPr>
                <w:rFonts w:hint="eastAsia" w:ascii="Times New Roman" w:hAnsi="宋体" w:cs="Times New Roman"/>
                <w:sz w:val="24"/>
                <w:szCs w:val="26"/>
              </w:rPr>
              <w:t>天然气液化单元和液化天然气贮存单元各种工况下有冷热火炬气排放，依托现有火炬设施进行处理，根据装置的火炬气排放条件，本项目拟建两套火炬设施，一套为热火炬，用于处理天然气液化单元排放的热火炬气（≥0℃），设计处理能力185t/h，一套为冷火炬，用于处理液化和贮存单元排放的冷火炬气（&lt;0℃），设计处理能力22t/h，两套火炬捆绑共架布置，总高80米。</w:t>
            </w:r>
          </w:p>
          <w:p w14:paraId="6AB895D8">
            <w:pPr>
              <w:adjustRightInd w:val="0"/>
              <w:snapToGrid w:val="0"/>
              <w:spacing w:line="360" w:lineRule="auto"/>
              <w:ind w:firstLine="480" w:firstLineChars="200"/>
              <w:jc w:val="left"/>
              <w:rPr>
                <w:rFonts w:ascii="Times New Roman" w:hAnsi="宋体" w:cs="Times New Roman"/>
                <w:sz w:val="24"/>
                <w:szCs w:val="26"/>
              </w:rPr>
            </w:pPr>
            <w:r>
              <w:rPr>
                <w:rFonts w:hint="eastAsia" w:ascii="Times New Roman" w:hAnsi="宋体" w:cs="Times New Roman"/>
                <w:sz w:val="24"/>
                <w:szCs w:val="26"/>
              </w:rPr>
              <w:t>装置各单元排放的冷、热火炬气通过装置内分液罐分液后分别送至冷、热火炬设施燃烧处理。</w:t>
            </w:r>
          </w:p>
          <w:p w14:paraId="46596752">
            <w:pPr>
              <w:adjustRightInd w:val="0"/>
              <w:snapToGrid w:val="0"/>
              <w:spacing w:line="360" w:lineRule="auto"/>
              <w:ind w:firstLine="480" w:firstLineChars="200"/>
              <w:jc w:val="left"/>
              <w:rPr>
                <w:rFonts w:ascii="Times New Roman" w:hAnsi="宋体" w:cs="Times New Roman"/>
                <w:sz w:val="24"/>
                <w:szCs w:val="26"/>
              </w:rPr>
            </w:pPr>
            <w:r>
              <w:rPr>
                <w:rFonts w:hint="eastAsia" w:ascii="Times New Roman" w:hAnsi="宋体" w:cs="Times New Roman"/>
                <w:sz w:val="24"/>
                <w:szCs w:val="26"/>
              </w:rPr>
              <w:t>每套火炬配备两种点方式，一种为FFG点火，一种为高能高空点火，能实现就地、远传和自动点火三种点火模式；每套火炬配备三支长明灯，长明灯按“常明”设计，每支长明灯配备双支热电偶监视长明灯工作状态；每套火炬设有动态密封器，并设有连续的氮气密封吹扫，防止空气窜入火炬。</w:t>
            </w:r>
          </w:p>
          <w:p w14:paraId="6EDD852F">
            <w:pPr>
              <w:adjustRightInd w:val="0"/>
              <w:snapToGrid w:val="0"/>
              <w:spacing w:line="360" w:lineRule="auto"/>
              <w:ind w:firstLine="480" w:firstLineChars="200"/>
              <w:jc w:val="left"/>
              <w:rPr>
                <w:rFonts w:ascii="Times New Roman" w:hAnsi="宋体" w:cs="Times New Roman"/>
                <w:sz w:val="24"/>
                <w:szCs w:val="26"/>
              </w:rPr>
            </w:pPr>
            <w:r>
              <w:rPr>
                <w:rFonts w:hint="eastAsia" w:ascii="Times New Roman" w:hAnsi="宋体" w:cs="Times New Roman"/>
                <w:sz w:val="24"/>
                <w:szCs w:val="26"/>
              </w:rPr>
              <w:t>此环节将产生废气G7、分液罐废液W7和噪声。</w:t>
            </w:r>
          </w:p>
          <w:p w14:paraId="434B5875">
            <w:pPr>
              <w:spacing w:line="360" w:lineRule="auto"/>
              <w:ind w:firstLine="464" w:firstLineChars="200"/>
              <w:rPr>
                <w:rFonts w:ascii="Times New Roman" w:hAnsi="Times New Roman" w:cs="Times New Roman"/>
                <w:spacing w:val="-4"/>
                <w:kern w:val="24"/>
                <w:sz w:val="24"/>
              </w:rPr>
            </w:pPr>
            <w:r>
              <w:rPr>
                <w:rFonts w:ascii="Times New Roman" w:hAnsi="Times New Roman" w:cs="Times New Roman"/>
                <w:spacing w:val="-4"/>
                <w:kern w:val="24"/>
                <w:sz w:val="24"/>
              </w:rPr>
              <w:t>。</w:t>
            </w:r>
          </w:p>
          <w:p w14:paraId="3C8D4810">
            <w:pPr>
              <w:spacing w:line="460" w:lineRule="exact"/>
              <w:jc w:val="center"/>
              <w:outlineLvl w:val="1"/>
              <w:rPr>
                <w:rFonts w:ascii="Times New Roman" w:hAnsi="Times New Roman" w:cs="Times New Roman"/>
                <w:b/>
                <w:bCs/>
              </w:rPr>
            </w:pPr>
            <w:r>
              <w:rPr>
                <w:rFonts w:ascii="Times New Roman" w:hAnsi="Times New Roman" w:cs="Times New Roman"/>
                <w:b/>
                <w:bCs/>
              </w:rPr>
              <w:t>表2.2.2-1项目运营期产污环节一览表</w:t>
            </w:r>
          </w:p>
          <w:tbl>
            <w:tblPr>
              <w:tblStyle w:val="8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9"/>
              <w:gridCol w:w="920"/>
              <w:gridCol w:w="2852"/>
              <w:gridCol w:w="1517"/>
              <w:gridCol w:w="2460"/>
            </w:tblGrid>
            <w:tr w14:paraId="2EF93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Align w:val="center"/>
                </w:tcPr>
                <w:p w14:paraId="13125333">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工程类别</w:t>
                  </w:r>
                </w:p>
              </w:tc>
              <w:tc>
                <w:tcPr>
                  <w:tcW w:w="0" w:type="auto"/>
                  <w:vAlign w:val="center"/>
                </w:tcPr>
                <w:p w14:paraId="410E86A5">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影响因素</w:t>
                  </w:r>
                </w:p>
              </w:tc>
              <w:tc>
                <w:tcPr>
                  <w:tcW w:w="0" w:type="auto"/>
                  <w:vAlign w:val="center"/>
                </w:tcPr>
                <w:p w14:paraId="65504DD8">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污染来源</w:t>
                  </w:r>
                </w:p>
              </w:tc>
              <w:tc>
                <w:tcPr>
                  <w:tcW w:w="1517" w:type="dxa"/>
                  <w:vAlign w:val="center"/>
                </w:tcPr>
                <w:p w14:paraId="54C73281">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排放方式</w:t>
                  </w:r>
                </w:p>
              </w:tc>
              <w:tc>
                <w:tcPr>
                  <w:tcW w:w="2460" w:type="dxa"/>
                  <w:vAlign w:val="center"/>
                </w:tcPr>
                <w:p w14:paraId="78E9734C">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污染物特征</w:t>
                  </w:r>
                </w:p>
              </w:tc>
            </w:tr>
            <w:tr w14:paraId="54970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978ED77">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计量稳压单元</w:t>
                  </w:r>
                </w:p>
              </w:tc>
              <w:tc>
                <w:tcPr>
                  <w:tcW w:w="0" w:type="auto"/>
                  <w:vAlign w:val="center"/>
                </w:tcPr>
                <w:p w14:paraId="1F3AAEF9">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废水</w:t>
                  </w:r>
                </w:p>
              </w:tc>
              <w:tc>
                <w:tcPr>
                  <w:tcW w:w="0" w:type="auto"/>
                  <w:vAlign w:val="center"/>
                </w:tcPr>
                <w:p w14:paraId="29573789">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过滤分离器产生的游离水（W1）</w:t>
                  </w:r>
                </w:p>
              </w:tc>
              <w:tc>
                <w:tcPr>
                  <w:tcW w:w="1517" w:type="dxa"/>
                  <w:vAlign w:val="center"/>
                </w:tcPr>
                <w:p w14:paraId="11FA5BA3">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进入污水收集池，最后进入园区管网</w:t>
                  </w:r>
                </w:p>
              </w:tc>
              <w:tc>
                <w:tcPr>
                  <w:tcW w:w="2460" w:type="dxa"/>
                  <w:vAlign w:val="center"/>
                </w:tcPr>
                <w:p w14:paraId="4C9A4006">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微量机械杂质</w:t>
                  </w:r>
                </w:p>
              </w:tc>
            </w:tr>
            <w:tr w14:paraId="75E4C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0" w:type="auto"/>
                  <w:vMerge w:val="restart"/>
                  <w:vAlign w:val="center"/>
                </w:tcPr>
                <w:p w14:paraId="421ED803">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脱碳、</w:t>
                  </w:r>
                </w:p>
                <w:p w14:paraId="3451BE43">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脱酸单元</w:t>
                  </w:r>
                </w:p>
              </w:tc>
              <w:tc>
                <w:tcPr>
                  <w:tcW w:w="0" w:type="auto"/>
                  <w:vMerge w:val="restart"/>
                  <w:vAlign w:val="center"/>
                </w:tcPr>
                <w:p w14:paraId="3EFCDBA5">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废气</w:t>
                  </w:r>
                </w:p>
              </w:tc>
              <w:tc>
                <w:tcPr>
                  <w:tcW w:w="0" w:type="auto"/>
                  <w:vAlign w:val="center"/>
                </w:tcPr>
                <w:p w14:paraId="0583117A">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胺闪蒸罐闪蒸气（G1）</w:t>
                  </w:r>
                </w:p>
              </w:tc>
              <w:tc>
                <w:tcPr>
                  <w:tcW w:w="1517" w:type="dxa"/>
                  <w:vAlign w:val="center"/>
                </w:tcPr>
                <w:p w14:paraId="10422235">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进入冷火炬</w:t>
                  </w:r>
                </w:p>
              </w:tc>
              <w:tc>
                <w:tcPr>
                  <w:tcW w:w="2460" w:type="dxa"/>
                  <w:vAlign w:val="center"/>
                </w:tcPr>
                <w:p w14:paraId="5426F729">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CH</w:t>
                  </w:r>
                  <w:r>
                    <w:rPr>
                      <w:rFonts w:ascii="Times New Roman" w:hAnsi="Times New Roman" w:cs="Times New Roman"/>
                      <w:szCs w:val="21"/>
                      <w:vertAlign w:val="subscript"/>
                    </w:rPr>
                    <w:t>4</w:t>
                  </w:r>
                  <w:r>
                    <w:rPr>
                      <w:rFonts w:ascii="Times New Roman" w:hAnsi="Times New Roman" w:cs="Times New Roman"/>
                      <w:szCs w:val="21"/>
                    </w:rPr>
                    <w:t>、CO</w:t>
                  </w:r>
                  <w:r>
                    <w:rPr>
                      <w:rFonts w:ascii="Times New Roman" w:hAnsi="Times New Roman" w:cs="Times New Roman"/>
                      <w:szCs w:val="21"/>
                      <w:vertAlign w:val="subscript"/>
                    </w:rPr>
                    <w:t>2</w:t>
                  </w:r>
                  <w:r>
                    <w:rPr>
                      <w:rFonts w:ascii="Times New Roman" w:hAnsi="Times New Roman" w:cs="Times New Roman"/>
                      <w:szCs w:val="21"/>
                    </w:rPr>
                    <w:t>、C</w:t>
                  </w:r>
                  <w:r>
                    <w:rPr>
                      <w:rFonts w:ascii="Times New Roman" w:hAnsi="Times New Roman" w:cs="Times New Roman"/>
                      <w:szCs w:val="21"/>
                      <w:vertAlign w:val="subscript"/>
                    </w:rPr>
                    <w:t>5</w:t>
                  </w:r>
                  <w:r>
                    <w:rPr>
                      <w:rFonts w:ascii="Times New Roman" w:hAnsi="Times New Roman" w:cs="Times New Roman"/>
                      <w:szCs w:val="21"/>
                    </w:rPr>
                    <w:t>H</w:t>
                  </w:r>
                  <w:r>
                    <w:rPr>
                      <w:rFonts w:ascii="Times New Roman" w:hAnsi="Times New Roman" w:cs="Times New Roman"/>
                      <w:szCs w:val="21"/>
                      <w:vertAlign w:val="subscript"/>
                    </w:rPr>
                    <w:t>12</w:t>
                  </w:r>
                  <w:r>
                    <w:rPr>
                      <w:rFonts w:ascii="Times New Roman" w:hAnsi="Times New Roman" w:cs="Times New Roman"/>
                      <w:szCs w:val="21"/>
                    </w:rPr>
                    <w:t>、N</w:t>
                  </w:r>
                  <w:r>
                    <w:rPr>
                      <w:rFonts w:ascii="Times New Roman" w:hAnsi="Times New Roman" w:cs="Times New Roman"/>
                      <w:szCs w:val="21"/>
                      <w:vertAlign w:val="subscript"/>
                    </w:rPr>
                    <w:t>2</w:t>
                  </w:r>
                </w:p>
              </w:tc>
            </w:tr>
            <w:tr w14:paraId="7D0F8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653FD5BD">
                  <w:pPr>
                    <w:spacing w:line="280" w:lineRule="exact"/>
                    <w:jc w:val="center"/>
                    <w:textAlignment w:val="baseline"/>
                    <w:rPr>
                      <w:rFonts w:ascii="Times New Roman" w:hAnsi="Times New Roman" w:cs="Times New Roman"/>
                      <w:szCs w:val="21"/>
                    </w:rPr>
                  </w:pPr>
                </w:p>
              </w:tc>
              <w:tc>
                <w:tcPr>
                  <w:tcW w:w="0" w:type="auto"/>
                  <w:vMerge w:val="continue"/>
                  <w:vAlign w:val="center"/>
                </w:tcPr>
                <w:p w14:paraId="5CF7A8C6">
                  <w:pPr>
                    <w:spacing w:line="280" w:lineRule="exact"/>
                    <w:jc w:val="center"/>
                    <w:textAlignment w:val="baseline"/>
                    <w:rPr>
                      <w:rFonts w:ascii="Times New Roman" w:hAnsi="Times New Roman" w:cs="Times New Roman"/>
                      <w:szCs w:val="21"/>
                    </w:rPr>
                  </w:pPr>
                </w:p>
              </w:tc>
              <w:tc>
                <w:tcPr>
                  <w:tcW w:w="0" w:type="auto"/>
                  <w:vAlign w:val="center"/>
                </w:tcPr>
                <w:p w14:paraId="24128A19">
                  <w:pPr>
                    <w:autoSpaceDE w:val="0"/>
                    <w:autoSpaceDN w:val="0"/>
                    <w:spacing w:line="280" w:lineRule="exact"/>
                    <w:jc w:val="center"/>
                    <w:textAlignment w:val="baseline"/>
                    <w:rPr>
                      <w:rFonts w:ascii="Times New Roman" w:hAnsi="Times New Roman" w:cs="Times New Roman"/>
                      <w:szCs w:val="21"/>
                    </w:rPr>
                  </w:pPr>
                  <w:r>
                    <w:rPr>
                      <w:rFonts w:ascii="Times New Roman" w:hAnsi="Times New Roman" w:cs="Times New Roman"/>
                      <w:szCs w:val="21"/>
                    </w:rPr>
                    <w:t>胺汽提塔排气（G2）</w:t>
                  </w:r>
                </w:p>
              </w:tc>
              <w:tc>
                <w:tcPr>
                  <w:tcW w:w="1517" w:type="dxa"/>
                  <w:vAlign w:val="center"/>
                </w:tcPr>
                <w:p w14:paraId="7648B692">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排放至大气</w:t>
                  </w:r>
                </w:p>
              </w:tc>
              <w:tc>
                <w:tcPr>
                  <w:tcW w:w="2460" w:type="dxa"/>
                  <w:vAlign w:val="center"/>
                </w:tcPr>
                <w:p w14:paraId="5E9108E8">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CO</w:t>
                  </w:r>
                  <w:r>
                    <w:rPr>
                      <w:rFonts w:ascii="Times New Roman" w:hAnsi="Times New Roman" w:cs="Times New Roman"/>
                      <w:szCs w:val="21"/>
                      <w:vertAlign w:val="subscript"/>
                    </w:rPr>
                    <w:t>2</w:t>
                  </w:r>
                </w:p>
              </w:tc>
            </w:tr>
            <w:tr w14:paraId="47C11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58DB1673">
                  <w:pPr>
                    <w:spacing w:line="280" w:lineRule="exact"/>
                    <w:jc w:val="center"/>
                    <w:textAlignment w:val="baseline"/>
                    <w:rPr>
                      <w:rFonts w:ascii="Times New Roman" w:hAnsi="Times New Roman" w:cs="Times New Roman"/>
                      <w:szCs w:val="21"/>
                    </w:rPr>
                  </w:pPr>
                </w:p>
              </w:tc>
              <w:tc>
                <w:tcPr>
                  <w:tcW w:w="0" w:type="auto"/>
                  <w:vMerge w:val="restart"/>
                  <w:vAlign w:val="center"/>
                </w:tcPr>
                <w:p w14:paraId="67F9121E">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废水</w:t>
                  </w:r>
                </w:p>
              </w:tc>
              <w:tc>
                <w:tcPr>
                  <w:tcW w:w="0" w:type="auto"/>
                  <w:vAlign w:val="center"/>
                </w:tcPr>
                <w:p w14:paraId="5938E8A8">
                  <w:pPr>
                    <w:autoSpaceDE w:val="0"/>
                    <w:autoSpaceDN w:val="0"/>
                    <w:spacing w:line="280" w:lineRule="exact"/>
                    <w:jc w:val="center"/>
                    <w:textAlignment w:val="baseline"/>
                    <w:rPr>
                      <w:rFonts w:ascii="Times New Roman" w:hAnsi="Times New Roman" w:cs="Times New Roman"/>
                      <w:szCs w:val="21"/>
                    </w:rPr>
                  </w:pPr>
                  <w:r>
                    <w:rPr>
                      <w:rFonts w:ascii="Times New Roman" w:hAnsi="Times New Roman" w:cs="Times New Roman"/>
                      <w:szCs w:val="21"/>
                    </w:rPr>
                    <w:t>胺闪蒸罐废液（W2）</w:t>
                  </w:r>
                </w:p>
              </w:tc>
              <w:tc>
                <w:tcPr>
                  <w:tcW w:w="1517" w:type="dxa"/>
                  <w:vAlign w:val="center"/>
                </w:tcPr>
                <w:p w14:paraId="7742541D">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进入污水收集池，最后进入园区管网</w:t>
                  </w:r>
                </w:p>
              </w:tc>
              <w:tc>
                <w:tcPr>
                  <w:tcW w:w="2460" w:type="dxa"/>
                  <w:vAlign w:val="center"/>
                </w:tcPr>
                <w:p w14:paraId="46A1C9A1">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含油、微量轻烃</w:t>
                  </w:r>
                </w:p>
              </w:tc>
            </w:tr>
            <w:tr w14:paraId="773B3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54C1EC26">
                  <w:pPr>
                    <w:spacing w:line="280" w:lineRule="exact"/>
                    <w:jc w:val="center"/>
                    <w:textAlignment w:val="baseline"/>
                    <w:rPr>
                      <w:rFonts w:ascii="Times New Roman" w:hAnsi="Times New Roman" w:cs="Times New Roman"/>
                      <w:szCs w:val="21"/>
                    </w:rPr>
                  </w:pPr>
                </w:p>
              </w:tc>
              <w:tc>
                <w:tcPr>
                  <w:tcW w:w="0" w:type="auto"/>
                  <w:vMerge w:val="continue"/>
                  <w:vAlign w:val="center"/>
                </w:tcPr>
                <w:p w14:paraId="2E8D4F96">
                  <w:pPr>
                    <w:spacing w:line="280" w:lineRule="exact"/>
                    <w:jc w:val="center"/>
                    <w:textAlignment w:val="baseline"/>
                    <w:rPr>
                      <w:rFonts w:ascii="Times New Roman" w:hAnsi="Times New Roman" w:cs="Times New Roman"/>
                      <w:szCs w:val="21"/>
                    </w:rPr>
                  </w:pPr>
                </w:p>
              </w:tc>
              <w:tc>
                <w:tcPr>
                  <w:tcW w:w="0" w:type="auto"/>
                  <w:vAlign w:val="center"/>
                </w:tcPr>
                <w:p w14:paraId="7E3308E7">
                  <w:pPr>
                    <w:autoSpaceDE w:val="0"/>
                    <w:autoSpaceDN w:val="0"/>
                    <w:spacing w:line="280" w:lineRule="exact"/>
                    <w:jc w:val="center"/>
                    <w:textAlignment w:val="baseline"/>
                    <w:rPr>
                      <w:rFonts w:ascii="Times New Roman" w:hAnsi="Times New Roman" w:cs="Times New Roman"/>
                      <w:szCs w:val="21"/>
                    </w:rPr>
                  </w:pPr>
                  <w:r>
                    <w:rPr>
                      <w:rFonts w:ascii="Times New Roman" w:hAnsi="Times New Roman" w:cs="Times New Roman"/>
                      <w:szCs w:val="21"/>
                    </w:rPr>
                    <w:t>汽提塔废液（W3）</w:t>
                  </w:r>
                </w:p>
              </w:tc>
              <w:tc>
                <w:tcPr>
                  <w:tcW w:w="1517" w:type="dxa"/>
                  <w:vAlign w:val="center"/>
                </w:tcPr>
                <w:p w14:paraId="06E976D7">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进入胺闪蒸罐</w:t>
                  </w:r>
                </w:p>
              </w:tc>
              <w:tc>
                <w:tcPr>
                  <w:tcW w:w="2460" w:type="dxa"/>
                  <w:vAlign w:val="center"/>
                </w:tcPr>
                <w:p w14:paraId="4580BF64">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烃类、微量胺</w:t>
                  </w:r>
                </w:p>
              </w:tc>
            </w:tr>
            <w:tr w14:paraId="1982A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368892BC">
                  <w:pPr>
                    <w:spacing w:line="280" w:lineRule="exact"/>
                    <w:jc w:val="center"/>
                    <w:textAlignment w:val="baseline"/>
                    <w:rPr>
                      <w:rFonts w:ascii="Times New Roman" w:hAnsi="Times New Roman" w:cs="Times New Roman"/>
                      <w:szCs w:val="21"/>
                    </w:rPr>
                  </w:pPr>
                </w:p>
              </w:tc>
              <w:tc>
                <w:tcPr>
                  <w:tcW w:w="0" w:type="auto"/>
                  <w:vMerge w:val="continue"/>
                  <w:vAlign w:val="center"/>
                </w:tcPr>
                <w:p w14:paraId="3071F803">
                  <w:pPr>
                    <w:spacing w:line="280" w:lineRule="exact"/>
                    <w:jc w:val="center"/>
                    <w:textAlignment w:val="baseline"/>
                    <w:rPr>
                      <w:rFonts w:ascii="Times New Roman" w:hAnsi="Times New Roman" w:cs="Times New Roman"/>
                      <w:szCs w:val="21"/>
                    </w:rPr>
                  </w:pPr>
                </w:p>
              </w:tc>
              <w:tc>
                <w:tcPr>
                  <w:tcW w:w="0" w:type="auto"/>
                  <w:vAlign w:val="center"/>
                </w:tcPr>
                <w:p w14:paraId="1F444A08">
                  <w:pPr>
                    <w:autoSpaceDE w:val="0"/>
                    <w:autoSpaceDN w:val="0"/>
                    <w:spacing w:line="280" w:lineRule="exact"/>
                    <w:jc w:val="center"/>
                    <w:textAlignment w:val="baseline"/>
                    <w:rPr>
                      <w:rFonts w:ascii="Times New Roman" w:hAnsi="Times New Roman" w:cs="Times New Roman"/>
                      <w:szCs w:val="21"/>
                    </w:rPr>
                  </w:pPr>
                  <w:r>
                    <w:rPr>
                      <w:rFonts w:ascii="Times New Roman" w:hAnsi="Times New Roman" w:cs="Times New Roman"/>
                      <w:szCs w:val="21"/>
                    </w:rPr>
                    <w:t>贫胺顾虑器废液（W6）</w:t>
                  </w:r>
                </w:p>
              </w:tc>
              <w:tc>
                <w:tcPr>
                  <w:tcW w:w="1517" w:type="dxa"/>
                  <w:vAlign w:val="center"/>
                </w:tcPr>
                <w:p w14:paraId="19D8DE90">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进入胺闪蒸罐</w:t>
                  </w:r>
                </w:p>
              </w:tc>
              <w:tc>
                <w:tcPr>
                  <w:tcW w:w="2460" w:type="dxa"/>
                  <w:vAlign w:val="center"/>
                </w:tcPr>
                <w:p w14:paraId="2FDF02FF">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烃类、微量胺</w:t>
                  </w:r>
                </w:p>
              </w:tc>
            </w:tr>
            <w:tr w14:paraId="4BEF2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44F87188">
                  <w:pPr>
                    <w:spacing w:line="280" w:lineRule="exact"/>
                    <w:jc w:val="center"/>
                    <w:textAlignment w:val="baseline"/>
                    <w:rPr>
                      <w:rFonts w:ascii="Times New Roman" w:hAnsi="Times New Roman" w:cs="Times New Roman"/>
                      <w:szCs w:val="21"/>
                    </w:rPr>
                  </w:pPr>
                </w:p>
              </w:tc>
              <w:tc>
                <w:tcPr>
                  <w:tcW w:w="0" w:type="auto"/>
                  <w:vAlign w:val="center"/>
                </w:tcPr>
                <w:p w14:paraId="0A2859EF">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噪声</w:t>
                  </w:r>
                </w:p>
              </w:tc>
              <w:tc>
                <w:tcPr>
                  <w:tcW w:w="0" w:type="auto"/>
                  <w:vAlign w:val="center"/>
                </w:tcPr>
                <w:p w14:paraId="490ECC0A">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各类机泵噪声</w:t>
                  </w:r>
                </w:p>
              </w:tc>
              <w:tc>
                <w:tcPr>
                  <w:tcW w:w="1517" w:type="dxa"/>
                  <w:vAlign w:val="center"/>
                </w:tcPr>
                <w:p w14:paraId="57B66789">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点源</w:t>
                  </w:r>
                </w:p>
              </w:tc>
              <w:tc>
                <w:tcPr>
                  <w:tcW w:w="2460" w:type="dxa"/>
                  <w:vAlign w:val="center"/>
                </w:tcPr>
                <w:p w14:paraId="0BAECCB0">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连续等效A声级</w:t>
                  </w:r>
                </w:p>
              </w:tc>
            </w:tr>
            <w:tr w14:paraId="557AC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31CCC940">
                  <w:pPr>
                    <w:spacing w:line="280" w:lineRule="exact"/>
                    <w:jc w:val="center"/>
                    <w:textAlignment w:val="baseline"/>
                    <w:rPr>
                      <w:rFonts w:ascii="Times New Roman" w:hAnsi="Times New Roman" w:cs="Times New Roman"/>
                      <w:szCs w:val="21"/>
                    </w:rPr>
                  </w:pPr>
                </w:p>
              </w:tc>
              <w:tc>
                <w:tcPr>
                  <w:tcW w:w="0" w:type="auto"/>
                  <w:vMerge w:val="restart"/>
                  <w:vAlign w:val="center"/>
                </w:tcPr>
                <w:p w14:paraId="18516ADA">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固废</w:t>
                  </w:r>
                </w:p>
              </w:tc>
              <w:tc>
                <w:tcPr>
                  <w:tcW w:w="0" w:type="auto"/>
                  <w:vAlign w:val="center"/>
                </w:tcPr>
                <w:p w14:paraId="067CF56E">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贫胺过滤器失效的废吸附剂（S1）</w:t>
                  </w:r>
                </w:p>
              </w:tc>
              <w:tc>
                <w:tcPr>
                  <w:tcW w:w="1517" w:type="dxa"/>
                  <w:vMerge w:val="restart"/>
                  <w:vAlign w:val="center"/>
                </w:tcPr>
                <w:p w14:paraId="02E03456">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委托有资质的单位进行处理</w:t>
                  </w:r>
                </w:p>
              </w:tc>
              <w:tc>
                <w:tcPr>
                  <w:tcW w:w="2460" w:type="dxa"/>
                  <w:vAlign w:val="center"/>
                </w:tcPr>
                <w:p w14:paraId="6E4483A2">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危废</w:t>
                  </w:r>
                </w:p>
              </w:tc>
            </w:tr>
            <w:tr w14:paraId="1258A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62360F55">
                  <w:pPr>
                    <w:spacing w:line="280" w:lineRule="exact"/>
                    <w:jc w:val="center"/>
                    <w:textAlignment w:val="baseline"/>
                    <w:rPr>
                      <w:rFonts w:ascii="Times New Roman" w:hAnsi="Times New Roman" w:cs="Times New Roman"/>
                      <w:szCs w:val="21"/>
                    </w:rPr>
                  </w:pPr>
                </w:p>
              </w:tc>
              <w:tc>
                <w:tcPr>
                  <w:tcW w:w="0" w:type="auto"/>
                  <w:vMerge w:val="continue"/>
                  <w:vAlign w:val="center"/>
                </w:tcPr>
                <w:p w14:paraId="4EF7219F">
                  <w:pPr>
                    <w:spacing w:line="280" w:lineRule="exact"/>
                    <w:jc w:val="center"/>
                    <w:textAlignment w:val="baseline"/>
                    <w:rPr>
                      <w:rFonts w:ascii="Times New Roman" w:hAnsi="Times New Roman" w:cs="Times New Roman"/>
                      <w:szCs w:val="21"/>
                    </w:rPr>
                  </w:pPr>
                </w:p>
              </w:tc>
              <w:tc>
                <w:tcPr>
                  <w:tcW w:w="0" w:type="auto"/>
                  <w:vAlign w:val="center"/>
                </w:tcPr>
                <w:p w14:paraId="79D1A042">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脱硫塔失效的废吸附剂</w:t>
                  </w:r>
                </w:p>
              </w:tc>
              <w:tc>
                <w:tcPr>
                  <w:tcW w:w="1517" w:type="dxa"/>
                  <w:vMerge w:val="continue"/>
                  <w:vAlign w:val="center"/>
                </w:tcPr>
                <w:p w14:paraId="79FDF976">
                  <w:pPr>
                    <w:spacing w:line="280" w:lineRule="exact"/>
                    <w:jc w:val="center"/>
                    <w:textAlignment w:val="baseline"/>
                    <w:rPr>
                      <w:rFonts w:ascii="Times New Roman" w:hAnsi="Times New Roman" w:cs="Times New Roman"/>
                      <w:szCs w:val="21"/>
                    </w:rPr>
                  </w:pPr>
                </w:p>
              </w:tc>
              <w:tc>
                <w:tcPr>
                  <w:tcW w:w="2460" w:type="dxa"/>
                  <w:vAlign w:val="center"/>
                </w:tcPr>
                <w:p w14:paraId="1F581CE1">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危废</w:t>
                  </w:r>
                </w:p>
              </w:tc>
            </w:tr>
            <w:tr w14:paraId="62CCE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6DB3535F">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脱水单元</w:t>
                  </w:r>
                </w:p>
              </w:tc>
              <w:tc>
                <w:tcPr>
                  <w:tcW w:w="0" w:type="auto"/>
                  <w:vMerge w:val="restart"/>
                  <w:vAlign w:val="center"/>
                </w:tcPr>
                <w:p w14:paraId="13925661">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废水</w:t>
                  </w:r>
                </w:p>
              </w:tc>
              <w:tc>
                <w:tcPr>
                  <w:tcW w:w="0" w:type="auto"/>
                  <w:vAlign w:val="center"/>
                </w:tcPr>
                <w:p w14:paraId="70088C3F">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分子筛过滤器废液（W4）</w:t>
                  </w:r>
                </w:p>
              </w:tc>
              <w:tc>
                <w:tcPr>
                  <w:tcW w:w="1517" w:type="dxa"/>
                  <w:vAlign w:val="center"/>
                </w:tcPr>
                <w:p w14:paraId="12F931E5">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进入胺闪蒸罐</w:t>
                  </w:r>
                </w:p>
              </w:tc>
              <w:tc>
                <w:tcPr>
                  <w:tcW w:w="2460" w:type="dxa"/>
                  <w:vAlign w:val="center"/>
                </w:tcPr>
                <w:p w14:paraId="7CFBCBF8">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烃类</w:t>
                  </w:r>
                </w:p>
              </w:tc>
            </w:tr>
            <w:tr w14:paraId="50F15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6A04FB98">
                  <w:pPr>
                    <w:spacing w:line="280" w:lineRule="exact"/>
                    <w:jc w:val="center"/>
                    <w:textAlignment w:val="baseline"/>
                    <w:rPr>
                      <w:rFonts w:ascii="Times New Roman" w:hAnsi="Times New Roman" w:cs="Times New Roman"/>
                      <w:szCs w:val="21"/>
                    </w:rPr>
                  </w:pPr>
                </w:p>
              </w:tc>
              <w:tc>
                <w:tcPr>
                  <w:tcW w:w="0" w:type="auto"/>
                  <w:vMerge w:val="continue"/>
                  <w:vAlign w:val="center"/>
                </w:tcPr>
                <w:p w14:paraId="5C34DC45">
                  <w:pPr>
                    <w:spacing w:line="280" w:lineRule="exact"/>
                    <w:jc w:val="center"/>
                    <w:textAlignment w:val="baseline"/>
                    <w:rPr>
                      <w:rFonts w:ascii="Times New Roman" w:hAnsi="Times New Roman" w:cs="Times New Roman"/>
                      <w:szCs w:val="21"/>
                    </w:rPr>
                  </w:pPr>
                </w:p>
              </w:tc>
              <w:tc>
                <w:tcPr>
                  <w:tcW w:w="0" w:type="auto"/>
                  <w:vAlign w:val="center"/>
                </w:tcPr>
                <w:p w14:paraId="72F32C0A">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干燥器再生凝液（W5）</w:t>
                  </w:r>
                </w:p>
              </w:tc>
              <w:tc>
                <w:tcPr>
                  <w:tcW w:w="1517" w:type="dxa"/>
                  <w:vAlign w:val="center"/>
                </w:tcPr>
                <w:p w14:paraId="75ED67D4">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进入胺闪蒸罐</w:t>
                  </w:r>
                </w:p>
              </w:tc>
              <w:tc>
                <w:tcPr>
                  <w:tcW w:w="2460" w:type="dxa"/>
                  <w:vAlign w:val="center"/>
                </w:tcPr>
                <w:p w14:paraId="2FB514F2">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烃类、微量胺</w:t>
                  </w:r>
                </w:p>
              </w:tc>
            </w:tr>
            <w:tr w14:paraId="027C2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555D1083">
                  <w:pPr>
                    <w:spacing w:line="280" w:lineRule="exact"/>
                    <w:jc w:val="center"/>
                    <w:textAlignment w:val="baseline"/>
                    <w:rPr>
                      <w:rFonts w:ascii="Times New Roman" w:hAnsi="Times New Roman" w:cs="Times New Roman"/>
                      <w:szCs w:val="21"/>
                    </w:rPr>
                  </w:pPr>
                </w:p>
              </w:tc>
              <w:tc>
                <w:tcPr>
                  <w:tcW w:w="0" w:type="auto"/>
                  <w:vAlign w:val="center"/>
                </w:tcPr>
                <w:p w14:paraId="6E4F4CC6">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固废</w:t>
                  </w:r>
                </w:p>
              </w:tc>
              <w:tc>
                <w:tcPr>
                  <w:tcW w:w="0" w:type="auto"/>
                  <w:vAlign w:val="center"/>
                </w:tcPr>
                <w:p w14:paraId="73414A4D">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干燥器废分子筛（S2）</w:t>
                  </w:r>
                </w:p>
              </w:tc>
              <w:tc>
                <w:tcPr>
                  <w:tcW w:w="1517" w:type="dxa"/>
                  <w:vAlign w:val="center"/>
                </w:tcPr>
                <w:p w14:paraId="2ACC6E46">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一般工业固废处理处置</w:t>
                  </w:r>
                </w:p>
              </w:tc>
              <w:tc>
                <w:tcPr>
                  <w:tcW w:w="2460" w:type="dxa"/>
                  <w:vAlign w:val="center"/>
                </w:tcPr>
                <w:p w14:paraId="7FAF4878">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分子筛</w:t>
                  </w:r>
                </w:p>
              </w:tc>
            </w:tr>
            <w:tr w14:paraId="605B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7064B032">
                  <w:pPr>
                    <w:spacing w:line="280" w:lineRule="exact"/>
                    <w:jc w:val="center"/>
                    <w:textAlignment w:val="baseline"/>
                    <w:rPr>
                      <w:rFonts w:ascii="Times New Roman" w:hAnsi="Times New Roman" w:cs="Times New Roman"/>
                      <w:szCs w:val="21"/>
                    </w:rPr>
                  </w:pPr>
                </w:p>
              </w:tc>
              <w:tc>
                <w:tcPr>
                  <w:tcW w:w="0" w:type="auto"/>
                  <w:vAlign w:val="center"/>
                </w:tcPr>
                <w:p w14:paraId="61C858B6">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噪声</w:t>
                  </w:r>
                </w:p>
              </w:tc>
              <w:tc>
                <w:tcPr>
                  <w:tcW w:w="0" w:type="auto"/>
                  <w:vAlign w:val="center"/>
                </w:tcPr>
                <w:p w14:paraId="5E003A46">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各类机泵噪声</w:t>
                  </w:r>
                </w:p>
              </w:tc>
              <w:tc>
                <w:tcPr>
                  <w:tcW w:w="1517" w:type="dxa"/>
                  <w:vAlign w:val="center"/>
                </w:tcPr>
                <w:p w14:paraId="49C86872">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点源</w:t>
                  </w:r>
                </w:p>
              </w:tc>
              <w:tc>
                <w:tcPr>
                  <w:tcW w:w="2460" w:type="dxa"/>
                  <w:vAlign w:val="center"/>
                </w:tcPr>
                <w:p w14:paraId="285BAF2A">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连续等效A声级</w:t>
                  </w:r>
                </w:p>
              </w:tc>
            </w:tr>
            <w:tr w14:paraId="442CB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34ECBFB8">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脱汞单元</w:t>
                  </w:r>
                </w:p>
              </w:tc>
              <w:tc>
                <w:tcPr>
                  <w:tcW w:w="0" w:type="auto"/>
                  <w:vAlign w:val="center"/>
                </w:tcPr>
                <w:p w14:paraId="7983C1F8">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固废</w:t>
                  </w:r>
                </w:p>
              </w:tc>
              <w:tc>
                <w:tcPr>
                  <w:tcW w:w="0" w:type="auto"/>
                  <w:vAlign w:val="center"/>
                </w:tcPr>
                <w:p w14:paraId="4EB535EA">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脱汞塔废吸附剂（S3）</w:t>
                  </w:r>
                </w:p>
              </w:tc>
              <w:tc>
                <w:tcPr>
                  <w:tcW w:w="1517" w:type="dxa"/>
                  <w:vAlign w:val="center"/>
                </w:tcPr>
                <w:p w14:paraId="18E21E5D">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委托有资质的单位进行处理</w:t>
                  </w:r>
                </w:p>
              </w:tc>
              <w:tc>
                <w:tcPr>
                  <w:tcW w:w="2460" w:type="dxa"/>
                  <w:vAlign w:val="center"/>
                </w:tcPr>
                <w:p w14:paraId="35B38CC9">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危废</w:t>
                  </w:r>
                </w:p>
              </w:tc>
            </w:tr>
            <w:tr w14:paraId="7E13B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030C3A58">
                  <w:pPr>
                    <w:spacing w:line="280" w:lineRule="exact"/>
                    <w:jc w:val="center"/>
                    <w:textAlignment w:val="baseline"/>
                    <w:rPr>
                      <w:rFonts w:ascii="Times New Roman" w:hAnsi="Times New Roman" w:cs="Times New Roman"/>
                      <w:szCs w:val="21"/>
                    </w:rPr>
                  </w:pPr>
                </w:p>
              </w:tc>
              <w:tc>
                <w:tcPr>
                  <w:tcW w:w="0" w:type="auto"/>
                  <w:vAlign w:val="center"/>
                </w:tcPr>
                <w:p w14:paraId="0726FB71">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噪声</w:t>
                  </w:r>
                </w:p>
              </w:tc>
              <w:tc>
                <w:tcPr>
                  <w:tcW w:w="0" w:type="auto"/>
                  <w:vAlign w:val="center"/>
                </w:tcPr>
                <w:p w14:paraId="7D88DDBD">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各类机泵噪声</w:t>
                  </w:r>
                </w:p>
              </w:tc>
              <w:tc>
                <w:tcPr>
                  <w:tcW w:w="1517" w:type="dxa"/>
                  <w:vAlign w:val="center"/>
                </w:tcPr>
                <w:p w14:paraId="06AF9BA2">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点源</w:t>
                  </w:r>
                </w:p>
              </w:tc>
              <w:tc>
                <w:tcPr>
                  <w:tcW w:w="2460" w:type="dxa"/>
                  <w:vAlign w:val="center"/>
                </w:tcPr>
                <w:p w14:paraId="19F2437C">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连续等效A声级</w:t>
                  </w:r>
                </w:p>
              </w:tc>
            </w:tr>
            <w:tr w14:paraId="07760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56AE05B">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液化单元</w:t>
                  </w:r>
                </w:p>
              </w:tc>
              <w:tc>
                <w:tcPr>
                  <w:tcW w:w="0" w:type="auto"/>
                  <w:vAlign w:val="center"/>
                </w:tcPr>
                <w:p w14:paraId="002DDA81">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噪声</w:t>
                  </w:r>
                </w:p>
              </w:tc>
              <w:tc>
                <w:tcPr>
                  <w:tcW w:w="0" w:type="auto"/>
                  <w:vAlign w:val="center"/>
                </w:tcPr>
                <w:p w14:paraId="7A24395D">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各类机泵噪声</w:t>
                  </w:r>
                </w:p>
              </w:tc>
              <w:tc>
                <w:tcPr>
                  <w:tcW w:w="1517" w:type="dxa"/>
                  <w:vAlign w:val="center"/>
                </w:tcPr>
                <w:p w14:paraId="5AB98EF5">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点源</w:t>
                  </w:r>
                </w:p>
              </w:tc>
              <w:tc>
                <w:tcPr>
                  <w:tcW w:w="2460" w:type="dxa"/>
                  <w:vAlign w:val="center"/>
                </w:tcPr>
                <w:p w14:paraId="1BAE4411">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连续等效A声级</w:t>
                  </w:r>
                </w:p>
              </w:tc>
            </w:tr>
            <w:tr w14:paraId="3B177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56ABD5D3">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制冷剂压缩单元</w:t>
                  </w:r>
                </w:p>
              </w:tc>
              <w:tc>
                <w:tcPr>
                  <w:tcW w:w="0" w:type="auto"/>
                  <w:vAlign w:val="center"/>
                </w:tcPr>
                <w:p w14:paraId="1936ECE7">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废气</w:t>
                  </w:r>
                </w:p>
              </w:tc>
              <w:tc>
                <w:tcPr>
                  <w:tcW w:w="0" w:type="auto"/>
                  <w:vAlign w:val="center"/>
                </w:tcPr>
                <w:p w14:paraId="6B2B06F3">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各制冷剂储罐闪蒸汽（G5）</w:t>
                  </w:r>
                </w:p>
              </w:tc>
              <w:tc>
                <w:tcPr>
                  <w:tcW w:w="1517" w:type="dxa"/>
                  <w:vAlign w:val="center"/>
                </w:tcPr>
                <w:p w14:paraId="6CB6787C">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至热火炬</w:t>
                  </w:r>
                </w:p>
              </w:tc>
              <w:tc>
                <w:tcPr>
                  <w:tcW w:w="2460" w:type="dxa"/>
                  <w:vAlign w:val="center"/>
                </w:tcPr>
                <w:p w14:paraId="2F390F94">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烃类</w:t>
                  </w:r>
                </w:p>
              </w:tc>
            </w:tr>
            <w:tr w14:paraId="1D6CE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0DF8674C">
                  <w:pPr>
                    <w:spacing w:line="280" w:lineRule="exact"/>
                    <w:jc w:val="center"/>
                    <w:textAlignment w:val="baseline"/>
                    <w:rPr>
                      <w:rFonts w:ascii="Times New Roman" w:hAnsi="Times New Roman" w:cs="Times New Roman"/>
                      <w:szCs w:val="21"/>
                    </w:rPr>
                  </w:pPr>
                </w:p>
              </w:tc>
              <w:tc>
                <w:tcPr>
                  <w:tcW w:w="0" w:type="auto"/>
                  <w:vAlign w:val="center"/>
                </w:tcPr>
                <w:p w14:paraId="0D9F7773">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固废</w:t>
                  </w:r>
                </w:p>
              </w:tc>
              <w:tc>
                <w:tcPr>
                  <w:tcW w:w="0" w:type="auto"/>
                  <w:vAlign w:val="center"/>
                </w:tcPr>
                <w:p w14:paraId="39B62A07">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制冷剂干燥产生的废分子筛（S4）</w:t>
                  </w:r>
                </w:p>
              </w:tc>
              <w:tc>
                <w:tcPr>
                  <w:tcW w:w="1517" w:type="dxa"/>
                  <w:vAlign w:val="center"/>
                </w:tcPr>
                <w:p w14:paraId="1C7731AD">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一般工业固废处理处置</w:t>
                  </w:r>
                </w:p>
              </w:tc>
              <w:tc>
                <w:tcPr>
                  <w:tcW w:w="2460" w:type="dxa"/>
                  <w:vAlign w:val="center"/>
                </w:tcPr>
                <w:p w14:paraId="23B9793D">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分子筛</w:t>
                  </w:r>
                </w:p>
              </w:tc>
            </w:tr>
            <w:tr w14:paraId="05B1E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75CA6EA7">
                  <w:pPr>
                    <w:spacing w:line="280" w:lineRule="exact"/>
                    <w:jc w:val="center"/>
                    <w:textAlignment w:val="baseline"/>
                    <w:rPr>
                      <w:rFonts w:ascii="Times New Roman" w:hAnsi="Times New Roman" w:cs="Times New Roman"/>
                      <w:szCs w:val="21"/>
                    </w:rPr>
                  </w:pPr>
                </w:p>
              </w:tc>
              <w:tc>
                <w:tcPr>
                  <w:tcW w:w="0" w:type="auto"/>
                  <w:vAlign w:val="center"/>
                </w:tcPr>
                <w:p w14:paraId="72040675">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噪声</w:t>
                  </w:r>
                </w:p>
              </w:tc>
              <w:tc>
                <w:tcPr>
                  <w:tcW w:w="0" w:type="auto"/>
                  <w:vAlign w:val="center"/>
                </w:tcPr>
                <w:p w14:paraId="1F78B835">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压缩机组</w:t>
                  </w:r>
                </w:p>
              </w:tc>
              <w:tc>
                <w:tcPr>
                  <w:tcW w:w="1517" w:type="dxa"/>
                  <w:vAlign w:val="center"/>
                </w:tcPr>
                <w:p w14:paraId="753F8CE9">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点源</w:t>
                  </w:r>
                </w:p>
              </w:tc>
              <w:tc>
                <w:tcPr>
                  <w:tcW w:w="2460" w:type="dxa"/>
                  <w:vAlign w:val="center"/>
                </w:tcPr>
                <w:p w14:paraId="220DC7AC">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连续等效A声级</w:t>
                  </w:r>
                </w:p>
              </w:tc>
            </w:tr>
            <w:tr w14:paraId="42C46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4672ECB">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储存单元</w:t>
                  </w:r>
                </w:p>
              </w:tc>
              <w:tc>
                <w:tcPr>
                  <w:tcW w:w="0" w:type="auto"/>
                  <w:vAlign w:val="center"/>
                </w:tcPr>
                <w:p w14:paraId="557AEBD9">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废气</w:t>
                  </w:r>
                </w:p>
              </w:tc>
              <w:tc>
                <w:tcPr>
                  <w:tcW w:w="0" w:type="auto"/>
                  <w:vAlign w:val="center"/>
                </w:tcPr>
                <w:p w14:paraId="67B6D652">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BOG（G4）</w:t>
                  </w:r>
                </w:p>
              </w:tc>
              <w:tc>
                <w:tcPr>
                  <w:tcW w:w="1517" w:type="dxa"/>
                  <w:vAlign w:val="center"/>
                </w:tcPr>
                <w:p w14:paraId="6C48F69B">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至冷火炬</w:t>
                  </w:r>
                </w:p>
              </w:tc>
              <w:tc>
                <w:tcPr>
                  <w:tcW w:w="2460" w:type="dxa"/>
                  <w:vAlign w:val="center"/>
                </w:tcPr>
                <w:p w14:paraId="46298AF3">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烃类</w:t>
                  </w:r>
                </w:p>
              </w:tc>
            </w:tr>
            <w:tr w14:paraId="5A624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30FE444">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热油系统</w:t>
                  </w:r>
                </w:p>
                <w:p w14:paraId="13B4AD3E">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（导热油炉）</w:t>
                  </w:r>
                </w:p>
              </w:tc>
              <w:tc>
                <w:tcPr>
                  <w:tcW w:w="0" w:type="auto"/>
                  <w:vAlign w:val="center"/>
                </w:tcPr>
                <w:p w14:paraId="1566E145">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废气</w:t>
                  </w:r>
                </w:p>
              </w:tc>
              <w:tc>
                <w:tcPr>
                  <w:tcW w:w="0" w:type="auto"/>
                  <w:vAlign w:val="center"/>
                </w:tcPr>
                <w:p w14:paraId="26DCD1F6">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燃烧废气（G6）</w:t>
                  </w:r>
                </w:p>
              </w:tc>
              <w:tc>
                <w:tcPr>
                  <w:tcW w:w="1517" w:type="dxa"/>
                  <w:vAlign w:val="center"/>
                </w:tcPr>
                <w:p w14:paraId="006F7F32">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点源</w:t>
                  </w:r>
                </w:p>
              </w:tc>
              <w:tc>
                <w:tcPr>
                  <w:tcW w:w="2460" w:type="dxa"/>
                  <w:vAlign w:val="center"/>
                </w:tcPr>
                <w:p w14:paraId="506F56D0">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颗粒物、SO</w:t>
                  </w:r>
                  <w:r>
                    <w:rPr>
                      <w:rFonts w:ascii="Times New Roman" w:hAnsi="Times New Roman" w:cs="Times New Roman"/>
                      <w:szCs w:val="21"/>
                      <w:vertAlign w:val="subscript"/>
                    </w:rPr>
                    <w:t>2</w:t>
                  </w:r>
                  <w:r>
                    <w:rPr>
                      <w:rFonts w:ascii="Times New Roman" w:hAnsi="Times New Roman" w:cs="Times New Roman"/>
                      <w:szCs w:val="21"/>
                    </w:rPr>
                    <w:t>、NO</w:t>
                  </w:r>
                  <w:r>
                    <w:rPr>
                      <w:rFonts w:ascii="Times New Roman" w:hAnsi="Times New Roman" w:cs="Times New Roman"/>
                      <w:szCs w:val="21"/>
                      <w:vertAlign w:val="subscript"/>
                    </w:rPr>
                    <w:t>2</w:t>
                  </w:r>
                </w:p>
              </w:tc>
            </w:tr>
            <w:tr w14:paraId="2A154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07111FF0">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火炬系统</w:t>
                  </w:r>
                </w:p>
              </w:tc>
              <w:tc>
                <w:tcPr>
                  <w:tcW w:w="0" w:type="auto"/>
                  <w:vAlign w:val="center"/>
                </w:tcPr>
                <w:p w14:paraId="3702E4E6">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废气</w:t>
                  </w:r>
                </w:p>
              </w:tc>
              <w:tc>
                <w:tcPr>
                  <w:tcW w:w="0" w:type="auto"/>
                  <w:vAlign w:val="center"/>
                </w:tcPr>
                <w:p w14:paraId="05141391">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燃烧废气（G7）</w:t>
                  </w:r>
                </w:p>
              </w:tc>
              <w:tc>
                <w:tcPr>
                  <w:tcW w:w="1517" w:type="dxa"/>
                  <w:vAlign w:val="center"/>
                </w:tcPr>
                <w:p w14:paraId="6E3F4424">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点源</w:t>
                  </w:r>
                </w:p>
              </w:tc>
              <w:tc>
                <w:tcPr>
                  <w:tcW w:w="2460" w:type="dxa"/>
                  <w:vAlign w:val="center"/>
                </w:tcPr>
                <w:p w14:paraId="0C260833">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颗粒物、SO</w:t>
                  </w:r>
                  <w:r>
                    <w:rPr>
                      <w:rFonts w:ascii="Times New Roman" w:hAnsi="Times New Roman" w:cs="Times New Roman"/>
                      <w:szCs w:val="21"/>
                      <w:vertAlign w:val="subscript"/>
                    </w:rPr>
                    <w:t>2</w:t>
                  </w:r>
                  <w:r>
                    <w:rPr>
                      <w:rFonts w:ascii="Times New Roman" w:hAnsi="Times New Roman" w:cs="Times New Roman"/>
                      <w:szCs w:val="21"/>
                    </w:rPr>
                    <w:t>、NO</w:t>
                  </w:r>
                  <w:r>
                    <w:rPr>
                      <w:rFonts w:ascii="Times New Roman" w:hAnsi="Times New Roman" w:cs="Times New Roman"/>
                      <w:szCs w:val="21"/>
                      <w:vertAlign w:val="subscript"/>
                    </w:rPr>
                    <w:t>2</w:t>
                  </w:r>
                </w:p>
              </w:tc>
            </w:tr>
            <w:tr w14:paraId="67FC3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0E6D1F35">
                  <w:pPr>
                    <w:spacing w:line="280" w:lineRule="exact"/>
                    <w:jc w:val="center"/>
                    <w:textAlignment w:val="baseline"/>
                    <w:rPr>
                      <w:rFonts w:ascii="Times New Roman" w:hAnsi="Times New Roman" w:cs="Times New Roman"/>
                      <w:szCs w:val="21"/>
                    </w:rPr>
                  </w:pPr>
                </w:p>
              </w:tc>
              <w:tc>
                <w:tcPr>
                  <w:tcW w:w="0" w:type="auto"/>
                  <w:vAlign w:val="center"/>
                </w:tcPr>
                <w:p w14:paraId="0B52F5AB">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噪声</w:t>
                  </w:r>
                </w:p>
              </w:tc>
              <w:tc>
                <w:tcPr>
                  <w:tcW w:w="0" w:type="auto"/>
                  <w:vAlign w:val="center"/>
                </w:tcPr>
                <w:p w14:paraId="08A76A8E">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放空火炬噪声</w:t>
                  </w:r>
                </w:p>
              </w:tc>
              <w:tc>
                <w:tcPr>
                  <w:tcW w:w="1517" w:type="dxa"/>
                  <w:vAlign w:val="center"/>
                </w:tcPr>
                <w:p w14:paraId="19AF7D5D">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点源</w:t>
                  </w:r>
                </w:p>
              </w:tc>
              <w:tc>
                <w:tcPr>
                  <w:tcW w:w="2460" w:type="dxa"/>
                  <w:vAlign w:val="center"/>
                </w:tcPr>
                <w:p w14:paraId="7C691FF7">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连续等效A声级</w:t>
                  </w:r>
                </w:p>
              </w:tc>
            </w:tr>
            <w:tr w14:paraId="299E2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51B06DCC">
                  <w:pPr>
                    <w:spacing w:line="280" w:lineRule="exact"/>
                    <w:jc w:val="center"/>
                    <w:textAlignment w:val="baseline"/>
                    <w:rPr>
                      <w:rFonts w:ascii="Times New Roman" w:hAnsi="Times New Roman" w:cs="Times New Roman"/>
                      <w:szCs w:val="21"/>
                    </w:rPr>
                  </w:pPr>
                </w:p>
              </w:tc>
              <w:tc>
                <w:tcPr>
                  <w:tcW w:w="0" w:type="auto"/>
                  <w:vAlign w:val="center"/>
                </w:tcPr>
                <w:p w14:paraId="7871161B">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废水</w:t>
                  </w:r>
                </w:p>
              </w:tc>
              <w:tc>
                <w:tcPr>
                  <w:tcW w:w="0" w:type="auto"/>
                  <w:vAlign w:val="center"/>
                </w:tcPr>
                <w:p w14:paraId="2569F256">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分液罐废液（W7）</w:t>
                  </w:r>
                </w:p>
              </w:tc>
              <w:tc>
                <w:tcPr>
                  <w:tcW w:w="1517" w:type="dxa"/>
                  <w:vAlign w:val="center"/>
                </w:tcPr>
                <w:p w14:paraId="6C828FB4">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进入胺闪蒸罐</w:t>
                  </w:r>
                </w:p>
              </w:tc>
              <w:tc>
                <w:tcPr>
                  <w:tcW w:w="2460" w:type="dxa"/>
                  <w:vAlign w:val="center"/>
                </w:tcPr>
                <w:p w14:paraId="67CFCAA6">
                  <w:pPr>
                    <w:spacing w:line="280" w:lineRule="exact"/>
                    <w:jc w:val="center"/>
                    <w:textAlignment w:val="baseline"/>
                    <w:rPr>
                      <w:rFonts w:ascii="Times New Roman" w:hAnsi="Times New Roman" w:cs="Times New Roman"/>
                      <w:szCs w:val="21"/>
                    </w:rPr>
                  </w:pPr>
                  <w:r>
                    <w:rPr>
                      <w:rFonts w:ascii="Times New Roman" w:hAnsi="Times New Roman" w:cs="Times New Roman"/>
                      <w:szCs w:val="21"/>
                    </w:rPr>
                    <w:t>烃类</w:t>
                  </w:r>
                </w:p>
              </w:tc>
            </w:tr>
          </w:tbl>
          <w:p w14:paraId="3495E77D">
            <w:pPr>
              <w:pStyle w:val="34"/>
            </w:pPr>
          </w:p>
          <w:p w14:paraId="75DE827E"/>
          <w:p w14:paraId="7441250A">
            <w:pPr>
              <w:adjustRightInd w:val="0"/>
              <w:snapToGrid w:val="0"/>
              <w:spacing w:line="360" w:lineRule="auto"/>
              <w:ind w:firstLine="482" w:firstLineChars="200"/>
              <w:rPr>
                <w:rFonts w:ascii="Times New Roman" w:hAnsi="Times New Roman" w:cs="Times New Roman"/>
                <w:b/>
                <w:sz w:val="24"/>
              </w:rPr>
            </w:pPr>
          </w:p>
        </w:tc>
      </w:tr>
      <w:tr w14:paraId="0458FC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8" w:hRule="atLeast"/>
          <w:jc w:val="center"/>
        </w:trPr>
        <w:tc>
          <w:tcPr>
            <w:tcW w:w="426" w:type="dxa"/>
            <w:vAlign w:val="center"/>
          </w:tcPr>
          <w:p w14:paraId="0F692303">
            <w:pPr>
              <w:pStyle w:val="76"/>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bCs/>
                <w:kern w:val="2"/>
                <w:sz w:val="21"/>
                <w:szCs w:val="21"/>
              </w:rPr>
              <w:t>与项目有关的原有环境污染问题</w:t>
            </w:r>
          </w:p>
        </w:tc>
        <w:tc>
          <w:tcPr>
            <w:tcW w:w="8712" w:type="dxa"/>
            <w:vAlign w:val="center"/>
          </w:tcPr>
          <w:p w14:paraId="4F70DFE4">
            <w:pPr>
              <w:spacing w:line="360" w:lineRule="auto"/>
              <w:rPr>
                <w:rFonts w:ascii="Times New Roman" w:hAnsi="Times New Roman" w:cs="Times New Roman"/>
                <w:b/>
                <w:bCs/>
                <w:sz w:val="24"/>
              </w:rPr>
            </w:pPr>
            <w:r>
              <w:rPr>
                <w:rFonts w:ascii="Times New Roman" w:hAnsi="Times New Roman" w:cs="Times New Roman"/>
                <w:b/>
                <w:bCs/>
                <w:sz w:val="24"/>
              </w:rPr>
              <w:t>2.3.1现有工程履行环评、验收情况</w:t>
            </w:r>
          </w:p>
          <w:p w14:paraId="384A0858">
            <w:pPr>
              <w:spacing w:line="360" w:lineRule="auto"/>
              <w:ind w:firstLine="480" w:firstLineChars="200"/>
              <w:rPr>
                <w:rFonts w:ascii="Times New Roman" w:hAnsi="Times New Roman" w:cs="Times New Roman"/>
                <w:sz w:val="24"/>
              </w:rPr>
            </w:pPr>
            <w:r>
              <w:rPr>
                <w:rFonts w:ascii="Times New Roman" w:hAnsi="Times New Roman" w:cs="Times New Roman"/>
                <w:sz w:val="24"/>
              </w:rPr>
              <w:t>公司目前环保手续履行情况：</w:t>
            </w:r>
            <w:r>
              <w:rPr>
                <w:rFonts w:hint="eastAsia" w:ascii="Times New Roman" w:hAnsi="Times New Roman" w:cs="Times New Roman"/>
                <w:sz w:val="24"/>
              </w:rPr>
              <w:t>涪陵LNG工厂</w:t>
            </w:r>
            <w:r>
              <w:rPr>
                <w:rFonts w:ascii="Times New Roman" w:hAnsi="Times New Roman" w:cs="Times New Roman"/>
                <w:sz w:val="24"/>
              </w:rPr>
              <w:t>建厂至今主要有</w:t>
            </w:r>
            <w:r>
              <w:rPr>
                <w:rFonts w:hint="eastAsia" w:ascii="Times New Roman" w:hAnsi="Times New Roman" w:cs="Times New Roman"/>
                <w:sz w:val="24"/>
              </w:rPr>
              <w:t>2</w:t>
            </w:r>
            <w:r>
              <w:rPr>
                <w:rFonts w:ascii="Times New Roman" w:hAnsi="Times New Roman" w:cs="Times New Roman"/>
                <w:sz w:val="24"/>
              </w:rPr>
              <w:t>个工程项目，分别环评、施工、建设。</w:t>
            </w:r>
          </w:p>
          <w:p w14:paraId="0B2EDBA2">
            <w:pPr>
              <w:spacing w:line="360" w:lineRule="auto"/>
              <w:ind w:firstLine="480" w:firstLineChars="200"/>
              <w:rPr>
                <w:rFonts w:ascii="Times New Roman" w:hAnsi="Times New Roman" w:cs="Times New Roman"/>
                <w:sz w:val="24"/>
              </w:rPr>
            </w:pPr>
            <w:r>
              <w:rPr>
                <w:rFonts w:ascii="Times New Roman" w:hAnsi="Times New Roman" w:cs="Times New Roman"/>
                <w:sz w:val="24"/>
              </w:rPr>
              <w:t>环保手续履行情况见下表。</w:t>
            </w:r>
          </w:p>
          <w:p w14:paraId="1FAC8A27">
            <w:pPr>
              <w:jc w:val="center"/>
              <w:rPr>
                <w:rFonts w:ascii="Times New Roman" w:hAnsi="Times New Roman" w:cs="Times New Roman"/>
                <w:b/>
                <w:szCs w:val="21"/>
              </w:rPr>
            </w:pPr>
          </w:p>
          <w:p w14:paraId="393CCBC4">
            <w:pPr>
              <w:spacing w:line="360" w:lineRule="auto"/>
              <w:rPr>
                <w:rFonts w:ascii="Times New Roman" w:hAnsi="Times New Roman" w:cs="Times New Roman"/>
                <w:b/>
                <w:spacing w:val="-4"/>
                <w:kern w:val="24"/>
                <w:sz w:val="24"/>
              </w:rPr>
            </w:pPr>
          </w:p>
          <w:p w14:paraId="6C61F09F">
            <w:pPr>
              <w:adjustRightInd w:val="0"/>
              <w:snapToGrid w:val="0"/>
              <w:spacing w:line="360" w:lineRule="auto"/>
              <w:ind w:firstLine="420" w:firstLineChars="200"/>
              <w:jc w:val="center"/>
              <w:rPr>
                <w:rFonts w:ascii="Times New Roman" w:hAnsi="Times New Roman" w:cs="Times New Roman"/>
                <w:bCs/>
                <w:szCs w:val="21"/>
              </w:rPr>
            </w:pPr>
          </w:p>
        </w:tc>
      </w:tr>
    </w:tbl>
    <w:p w14:paraId="64DA7968">
      <w:pPr>
        <w:pStyle w:val="76"/>
        <w:jc w:val="center"/>
        <w:rPr>
          <w:rFonts w:ascii="Times New Roman" w:hAnsi="Times New Roman" w:eastAsia="黑体" w:cs="Times New Roman"/>
          <w:snapToGrid w:val="0"/>
          <w:sz w:val="36"/>
          <w:szCs w:val="36"/>
        </w:rPr>
        <w:sectPr>
          <w:pgSz w:w="11906" w:h="16838"/>
          <w:pgMar w:top="1701" w:right="1531" w:bottom="1701" w:left="1531" w:header="851" w:footer="851" w:gutter="0"/>
          <w:cols w:space="720" w:num="1"/>
          <w:docGrid w:linePitch="312" w:charSpace="0"/>
        </w:sectPr>
      </w:pPr>
    </w:p>
    <w:p w14:paraId="2C70879D">
      <w:pPr>
        <w:spacing w:line="440" w:lineRule="exact"/>
        <w:jc w:val="center"/>
        <w:rPr>
          <w:rFonts w:ascii="Times New Roman" w:hAnsi="Times New Roman" w:cs="Times New Roman"/>
          <w:b/>
          <w:szCs w:val="21"/>
        </w:rPr>
      </w:pPr>
      <w:r>
        <w:rPr>
          <w:rFonts w:ascii="Times New Roman" w:hAnsi="Times New Roman" w:cs="Times New Roman"/>
          <w:b/>
          <w:szCs w:val="21"/>
        </w:rPr>
        <w:t>表2.3.1-1  现有工程环保手续履行情况及建设情况一览表</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479"/>
        <w:gridCol w:w="1612"/>
        <w:gridCol w:w="2248"/>
        <w:gridCol w:w="1853"/>
        <w:gridCol w:w="1189"/>
        <w:gridCol w:w="1853"/>
        <w:gridCol w:w="2115"/>
        <w:gridCol w:w="1889"/>
      </w:tblGrid>
      <w:tr w14:paraId="37C8E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454" w:hRule="atLeast"/>
          <w:tblHeader/>
          <w:jc w:val="center"/>
        </w:trPr>
        <w:tc>
          <w:tcPr>
            <w:tcW w:w="181" w:type="pct"/>
            <w:vAlign w:val="center"/>
          </w:tcPr>
          <w:p w14:paraId="740F5D09">
            <w:pPr>
              <w:jc w:val="center"/>
              <w:rPr>
                <w:rFonts w:ascii="Times New Roman" w:hAnsi="Times New Roman" w:cs="Times New Roman"/>
                <w:b/>
                <w:sz w:val="20"/>
                <w:szCs w:val="18"/>
              </w:rPr>
            </w:pPr>
            <w:r>
              <w:rPr>
                <w:rFonts w:ascii="Times New Roman" w:hAnsi="Times New Roman" w:cs="Times New Roman"/>
                <w:b/>
                <w:sz w:val="20"/>
                <w:szCs w:val="18"/>
              </w:rPr>
              <w:t>序号</w:t>
            </w:r>
          </w:p>
        </w:tc>
        <w:tc>
          <w:tcPr>
            <w:tcW w:w="609" w:type="pct"/>
            <w:tcMar>
              <w:top w:w="15" w:type="dxa"/>
              <w:left w:w="15" w:type="dxa"/>
              <w:bottom w:w="0" w:type="dxa"/>
              <w:right w:w="15" w:type="dxa"/>
            </w:tcMar>
            <w:vAlign w:val="center"/>
          </w:tcPr>
          <w:p w14:paraId="0C711BA8">
            <w:pPr>
              <w:jc w:val="center"/>
              <w:rPr>
                <w:rFonts w:ascii="Times New Roman" w:hAnsi="Times New Roman" w:cs="Times New Roman"/>
                <w:b/>
                <w:sz w:val="20"/>
                <w:szCs w:val="18"/>
              </w:rPr>
            </w:pPr>
            <w:r>
              <w:rPr>
                <w:rFonts w:ascii="Times New Roman" w:hAnsi="Times New Roman" w:cs="Times New Roman"/>
                <w:b/>
                <w:sz w:val="20"/>
                <w:szCs w:val="18"/>
              </w:rPr>
              <w:t>项目名称</w:t>
            </w:r>
          </w:p>
        </w:tc>
        <w:tc>
          <w:tcPr>
            <w:tcW w:w="849" w:type="pct"/>
            <w:vAlign w:val="center"/>
          </w:tcPr>
          <w:p w14:paraId="6A3EB965">
            <w:pPr>
              <w:jc w:val="center"/>
              <w:rPr>
                <w:rFonts w:ascii="Times New Roman" w:hAnsi="Times New Roman" w:cs="Times New Roman"/>
                <w:b/>
                <w:sz w:val="20"/>
                <w:szCs w:val="18"/>
              </w:rPr>
            </w:pPr>
            <w:r>
              <w:rPr>
                <w:rFonts w:ascii="Times New Roman" w:hAnsi="Times New Roman" w:cs="Times New Roman"/>
                <w:b/>
                <w:sz w:val="20"/>
                <w:szCs w:val="18"/>
              </w:rPr>
              <w:t>主要工程内容</w:t>
            </w:r>
          </w:p>
        </w:tc>
        <w:tc>
          <w:tcPr>
            <w:tcW w:w="700" w:type="pct"/>
            <w:tcMar>
              <w:top w:w="15" w:type="dxa"/>
              <w:left w:w="15" w:type="dxa"/>
              <w:bottom w:w="0" w:type="dxa"/>
              <w:right w:w="15" w:type="dxa"/>
            </w:tcMar>
            <w:vAlign w:val="center"/>
          </w:tcPr>
          <w:p w14:paraId="035B4ED5">
            <w:pPr>
              <w:jc w:val="center"/>
              <w:rPr>
                <w:rFonts w:ascii="Times New Roman" w:hAnsi="Times New Roman" w:cs="Times New Roman"/>
                <w:b/>
                <w:sz w:val="20"/>
                <w:szCs w:val="18"/>
              </w:rPr>
            </w:pPr>
            <w:r>
              <w:rPr>
                <w:rFonts w:ascii="Times New Roman" w:hAnsi="Times New Roman" w:cs="Times New Roman"/>
                <w:b/>
                <w:sz w:val="20"/>
                <w:szCs w:val="18"/>
              </w:rPr>
              <w:t>环评及批复</w:t>
            </w:r>
          </w:p>
        </w:tc>
        <w:tc>
          <w:tcPr>
            <w:tcW w:w="449" w:type="pct"/>
            <w:vAlign w:val="center"/>
          </w:tcPr>
          <w:p w14:paraId="60EBED83">
            <w:pPr>
              <w:jc w:val="center"/>
              <w:rPr>
                <w:rFonts w:ascii="Times New Roman" w:hAnsi="Times New Roman" w:cs="Times New Roman"/>
                <w:b/>
                <w:sz w:val="20"/>
                <w:szCs w:val="18"/>
              </w:rPr>
            </w:pPr>
            <w:r>
              <w:rPr>
                <w:rFonts w:ascii="Times New Roman" w:hAnsi="Times New Roman" w:cs="Times New Roman"/>
                <w:b/>
                <w:sz w:val="20"/>
                <w:szCs w:val="18"/>
              </w:rPr>
              <w:t>建设进度</w:t>
            </w:r>
          </w:p>
        </w:tc>
        <w:tc>
          <w:tcPr>
            <w:tcW w:w="700" w:type="pct"/>
            <w:vAlign w:val="center"/>
          </w:tcPr>
          <w:p w14:paraId="560393E7">
            <w:pPr>
              <w:jc w:val="center"/>
              <w:rPr>
                <w:rFonts w:ascii="Times New Roman" w:hAnsi="Times New Roman" w:cs="Times New Roman"/>
                <w:b/>
                <w:sz w:val="20"/>
                <w:szCs w:val="18"/>
              </w:rPr>
            </w:pPr>
            <w:r>
              <w:rPr>
                <w:rFonts w:ascii="Times New Roman" w:hAnsi="Times New Roman" w:cs="Times New Roman"/>
                <w:b/>
                <w:sz w:val="20"/>
                <w:szCs w:val="18"/>
              </w:rPr>
              <w:t>重大变动界定</w:t>
            </w:r>
          </w:p>
        </w:tc>
        <w:tc>
          <w:tcPr>
            <w:tcW w:w="799" w:type="pct"/>
            <w:tcMar>
              <w:top w:w="15" w:type="dxa"/>
              <w:left w:w="15" w:type="dxa"/>
              <w:bottom w:w="0" w:type="dxa"/>
              <w:right w:w="15" w:type="dxa"/>
            </w:tcMar>
            <w:vAlign w:val="center"/>
          </w:tcPr>
          <w:p w14:paraId="624DF289">
            <w:pPr>
              <w:jc w:val="center"/>
              <w:rPr>
                <w:rFonts w:ascii="Times New Roman" w:hAnsi="Times New Roman" w:cs="Times New Roman"/>
                <w:b/>
                <w:sz w:val="20"/>
                <w:szCs w:val="18"/>
              </w:rPr>
            </w:pPr>
            <w:r>
              <w:rPr>
                <w:rFonts w:ascii="Times New Roman" w:hAnsi="Times New Roman" w:cs="Times New Roman"/>
                <w:b/>
                <w:sz w:val="20"/>
                <w:szCs w:val="18"/>
              </w:rPr>
              <w:t>竣工验收</w:t>
            </w:r>
          </w:p>
        </w:tc>
        <w:tc>
          <w:tcPr>
            <w:tcW w:w="713" w:type="pct"/>
            <w:vAlign w:val="center"/>
          </w:tcPr>
          <w:p w14:paraId="635E6801">
            <w:pPr>
              <w:jc w:val="center"/>
              <w:rPr>
                <w:rFonts w:ascii="Times New Roman" w:hAnsi="Times New Roman" w:cs="Times New Roman"/>
                <w:b/>
                <w:sz w:val="20"/>
                <w:szCs w:val="18"/>
              </w:rPr>
            </w:pPr>
            <w:r>
              <w:rPr>
                <w:rFonts w:ascii="Times New Roman" w:hAnsi="Times New Roman" w:cs="Times New Roman"/>
                <w:b/>
                <w:sz w:val="20"/>
                <w:szCs w:val="18"/>
              </w:rPr>
              <w:t>实际生产经营情况</w:t>
            </w:r>
          </w:p>
        </w:tc>
      </w:tr>
      <w:tr w14:paraId="2286A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454" w:hRule="atLeast"/>
          <w:jc w:val="center"/>
        </w:trPr>
        <w:tc>
          <w:tcPr>
            <w:tcW w:w="181" w:type="pct"/>
            <w:vAlign w:val="center"/>
          </w:tcPr>
          <w:p w14:paraId="3052DAEC">
            <w:pPr>
              <w:jc w:val="center"/>
              <w:rPr>
                <w:rFonts w:ascii="Times New Roman" w:hAnsi="Times New Roman" w:cs="Times New Roman"/>
                <w:sz w:val="20"/>
                <w:szCs w:val="18"/>
              </w:rPr>
            </w:pPr>
            <w:r>
              <w:rPr>
                <w:rFonts w:ascii="Times New Roman" w:hAnsi="Times New Roman" w:cs="Times New Roman"/>
                <w:sz w:val="20"/>
                <w:szCs w:val="18"/>
              </w:rPr>
              <w:t>1</w:t>
            </w:r>
          </w:p>
        </w:tc>
        <w:tc>
          <w:tcPr>
            <w:tcW w:w="609" w:type="pct"/>
            <w:tcMar>
              <w:top w:w="15" w:type="dxa"/>
              <w:left w:w="15" w:type="dxa"/>
              <w:bottom w:w="0" w:type="dxa"/>
              <w:right w:w="15" w:type="dxa"/>
            </w:tcMar>
            <w:vAlign w:val="center"/>
          </w:tcPr>
          <w:p w14:paraId="75A5527E">
            <w:pPr>
              <w:jc w:val="center"/>
              <w:rPr>
                <w:rFonts w:ascii="Times New Roman" w:hAnsi="Times New Roman" w:cs="Times New Roman"/>
                <w:sz w:val="20"/>
                <w:szCs w:val="18"/>
              </w:rPr>
            </w:pPr>
            <w:r>
              <w:rPr>
                <w:rFonts w:hint="eastAsia" w:ascii="Times New Roman" w:hAnsi="Times New Roman" w:cs="Times New Roman"/>
                <w:sz w:val="20"/>
                <w:szCs w:val="18"/>
              </w:rPr>
              <w:t>重庆中石化通汇能源有限公司涪陵液化天然气（LNG）工厂项目</w:t>
            </w:r>
          </w:p>
        </w:tc>
        <w:tc>
          <w:tcPr>
            <w:tcW w:w="849" w:type="pct"/>
            <w:vAlign w:val="center"/>
          </w:tcPr>
          <w:p w14:paraId="625AA5E8">
            <w:pPr>
              <w:jc w:val="center"/>
              <w:rPr>
                <w:rFonts w:ascii="Times New Roman" w:hAnsi="Times New Roman" w:cs="Times New Roman"/>
                <w:sz w:val="20"/>
                <w:szCs w:val="18"/>
              </w:rPr>
            </w:pPr>
            <w:r>
              <w:rPr>
                <w:rFonts w:hint="eastAsia" w:ascii="Times New Roman" w:hAnsi="Times New Roman" w:cs="Times New Roman"/>
                <w:sz w:val="20"/>
                <w:szCs w:val="18"/>
              </w:rPr>
              <w:t>一期建设100万Nm3/d的天然气液化装置、10000m3液化天然气低温储罐、配套的公用工程、辅助设施和生产生活设施</w:t>
            </w:r>
          </w:p>
        </w:tc>
        <w:tc>
          <w:tcPr>
            <w:tcW w:w="700" w:type="pct"/>
            <w:tcMar>
              <w:top w:w="15" w:type="dxa"/>
              <w:left w:w="15" w:type="dxa"/>
              <w:bottom w:w="0" w:type="dxa"/>
              <w:right w:w="15" w:type="dxa"/>
            </w:tcMar>
            <w:vAlign w:val="center"/>
          </w:tcPr>
          <w:p w14:paraId="4A9B921E">
            <w:pPr>
              <w:jc w:val="center"/>
              <w:rPr>
                <w:rFonts w:ascii="Times New Roman" w:hAnsi="Times New Roman" w:cs="Times New Roman"/>
                <w:sz w:val="20"/>
                <w:szCs w:val="18"/>
              </w:rPr>
            </w:pPr>
            <w:r>
              <w:rPr>
                <w:rFonts w:hint="eastAsia" w:ascii="Times New Roman" w:hAnsi="Times New Roman" w:cs="Times New Roman"/>
                <w:sz w:val="20"/>
                <w:szCs w:val="18"/>
              </w:rPr>
              <w:t>2015年3月9日，重庆市涪陵区生态环境局以渝（涪）环准[2015]34号文批准</w:t>
            </w:r>
          </w:p>
        </w:tc>
        <w:tc>
          <w:tcPr>
            <w:tcW w:w="449" w:type="pct"/>
            <w:vAlign w:val="center"/>
          </w:tcPr>
          <w:p w14:paraId="4D4164C3">
            <w:pPr>
              <w:jc w:val="center"/>
              <w:rPr>
                <w:rFonts w:ascii="Times New Roman" w:hAnsi="Times New Roman" w:cs="Times New Roman"/>
                <w:sz w:val="20"/>
                <w:szCs w:val="18"/>
              </w:rPr>
            </w:pPr>
            <w:r>
              <w:rPr>
                <w:rFonts w:ascii="Times New Roman" w:hAnsi="Times New Roman" w:cs="Times New Roman"/>
                <w:sz w:val="20"/>
                <w:szCs w:val="18"/>
              </w:rPr>
              <w:t>已建一期</w:t>
            </w:r>
          </w:p>
        </w:tc>
        <w:tc>
          <w:tcPr>
            <w:tcW w:w="700" w:type="pct"/>
            <w:vAlign w:val="center"/>
          </w:tcPr>
          <w:p w14:paraId="60C35AD7">
            <w:pPr>
              <w:jc w:val="center"/>
              <w:rPr>
                <w:rFonts w:ascii="Times New Roman" w:hAnsi="Times New Roman" w:cs="Times New Roman"/>
                <w:sz w:val="20"/>
                <w:szCs w:val="18"/>
              </w:rPr>
            </w:pPr>
            <w:r>
              <w:rPr>
                <w:rFonts w:ascii="Times New Roman" w:hAnsi="Times New Roman" w:cs="Times New Roman"/>
                <w:sz w:val="20"/>
                <w:szCs w:val="18"/>
              </w:rPr>
              <w:t>/</w:t>
            </w:r>
          </w:p>
        </w:tc>
        <w:tc>
          <w:tcPr>
            <w:tcW w:w="799" w:type="pct"/>
            <w:tcMar>
              <w:top w:w="15" w:type="dxa"/>
              <w:left w:w="15" w:type="dxa"/>
              <w:bottom w:w="0" w:type="dxa"/>
              <w:right w:w="15" w:type="dxa"/>
            </w:tcMar>
            <w:vAlign w:val="center"/>
          </w:tcPr>
          <w:p w14:paraId="4180C751">
            <w:pPr>
              <w:jc w:val="center"/>
              <w:rPr>
                <w:rFonts w:ascii="Times New Roman" w:hAnsi="Times New Roman" w:cs="Times New Roman"/>
                <w:sz w:val="20"/>
                <w:szCs w:val="18"/>
              </w:rPr>
            </w:pPr>
            <w:r>
              <w:rPr>
                <w:rFonts w:ascii="Times New Roman" w:hAnsi="Times New Roman" w:cs="Times New Roman"/>
                <w:sz w:val="20"/>
                <w:szCs w:val="18"/>
              </w:rPr>
              <w:t>已于</w:t>
            </w:r>
            <w:r>
              <w:rPr>
                <w:rFonts w:hint="eastAsia" w:ascii="Times New Roman" w:hAnsi="Times New Roman" w:cs="Times New Roman"/>
                <w:sz w:val="20"/>
                <w:szCs w:val="18"/>
              </w:rPr>
              <w:t>2019年3月5日</w:t>
            </w:r>
            <w:r>
              <w:rPr>
                <w:rFonts w:ascii="Times New Roman" w:hAnsi="Times New Roman" w:cs="Times New Roman"/>
                <w:sz w:val="20"/>
                <w:szCs w:val="18"/>
              </w:rPr>
              <w:t>完成自主验收并在“全国建设项目竣工环境保护验收信息系统”备案，</w:t>
            </w:r>
            <w:r>
              <w:rPr>
                <w:rFonts w:hint="eastAsia" w:ascii="Times New Roman" w:hAnsi="Times New Roman" w:cs="Times New Roman"/>
                <w:sz w:val="20"/>
                <w:szCs w:val="18"/>
              </w:rPr>
              <w:t>2019年5月14日获得了重庆市涪陵区生态环境局下发的《重庆市建设项目固体废物污染防治设施竣工环境保护验收批复》（渝（涪）环验[2019]38号）</w:t>
            </w:r>
            <w:r>
              <w:rPr>
                <w:rFonts w:ascii="Times New Roman" w:hAnsi="Times New Roman" w:cs="Times New Roman"/>
                <w:sz w:val="20"/>
                <w:szCs w:val="18"/>
              </w:rPr>
              <w:t>目前正常运营</w:t>
            </w:r>
          </w:p>
        </w:tc>
        <w:tc>
          <w:tcPr>
            <w:tcW w:w="713" w:type="pct"/>
            <w:vAlign w:val="center"/>
          </w:tcPr>
          <w:p w14:paraId="046B46C5">
            <w:pPr>
              <w:jc w:val="center"/>
              <w:rPr>
                <w:rFonts w:ascii="Times New Roman" w:hAnsi="Times New Roman" w:cs="Times New Roman"/>
                <w:sz w:val="20"/>
                <w:szCs w:val="18"/>
              </w:rPr>
            </w:pPr>
            <w:r>
              <w:rPr>
                <w:rFonts w:ascii="Times New Roman" w:hAnsi="Times New Roman" w:cs="Times New Roman"/>
                <w:sz w:val="20"/>
                <w:szCs w:val="18"/>
              </w:rPr>
              <w:t>正常生产</w:t>
            </w:r>
          </w:p>
        </w:tc>
      </w:tr>
      <w:tr w14:paraId="072D4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454" w:hRule="atLeast"/>
          <w:jc w:val="center"/>
        </w:trPr>
        <w:tc>
          <w:tcPr>
            <w:tcW w:w="181" w:type="pct"/>
            <w:vAlign w:val="center"/>
          </w:tcPr>
          <w:p w14:paraId="23A63874">
            <w:pPr>
              <w:jc w:val="center"/>
              <w:rPr>
                <w:rFonts w:ascii="Times New Roman" w:hAnsi="Times New Roman" w:cs="Times New Roman"/>
                <w:sz w:val="20"/>
                <w:szCs w:val="18"/>
              </w:rPr>
            </w:pPr>
            <w:r>
              <w:rPr>
                <w:rFonts w:ascii="Times New Roman" w:hAnsi="Times New Roman" w:cs="Times New Roman"/>
                <w:sz w:val="20"/>
                <w:szCs w:val="18"/>
              </w:rPr>
              <w:t>2</w:t>
            </w:r>
          </w:p>
        </w:tc>
        <w:tc>
          <w:tcPr>
            <w:tcW w:w="609" w:type="pct"/>
            <w:tcMar>
              <w:top w:w="15" w:type="dxa"/>
              <w:left w:w="15" w:type="dxa"/>
              <w:bottom w:w="0" w:type="dxa"/>
              <w:right w:w="15" w:type="dxa"/>
            </w:tcMar>
            <w:vAlign w:val="center"/>
          </w:tcPr>
          <w:p w14:paraId="3AD080E0">
            <w:pPr>
              <w:jc w:val="center"/>
              <w:rPr>
                <w:rFonts w:ascii="Times New Roman" w:hAnsi="Times New Roman" w:cs="Times New Roman"/>
                <w:color w:val="FF0000"/>
                <w:sz w:val="20"/>
                <w:szCs w:val="18"/>
              </w:rPr>
            </w:pPr>
            <w:r>
              <w:rPr>
                <w:rFonts w:hint="eastAsia" w:ascii="Times New Roman" w:hAnsi="Times New Roman" w:cs="Times New Roman"/>
                <w:color w:val="FF0000"/>
                <w:sz w:val="20"/>
                <w:szCs w:val="18"/>
              </w:rPr>
              <w:t>涪陵LNG工厂增设BOG尾气提氦改扩建项目</w:t>
            </w:r>
          </w:p>
        </w:tc>
        <w:tc>
          <w:tcPr>
            <w:tcW w:w="849" w:type="pct"/>
            <w:vAlign w:val="center"/>
          </w:tcPr>
          <w:p w14:paraId="6BECD6D5">
            <w:pPr>
              <w:jc w:val="center"/>
              <w:rPr>
                <w:rFonts w:ascii="Times New Roman" w:hAnsi="Times New Roman" w:cs="Times New Roman"/>
                <w:color w:val="FF0000"/>
                <w:sz w:val="20"/>
                <w:szCs w:val="18"/>
              </w:rPr>
            </w:pPr>
            <w:r>
              <w:rPr>
                <w:rFonts w:hint="eastAsia" w:ascii="Times New Roman" w:hAnsi="Times New Roman" w:cs="Times New Roman"/>
                <w:color w:val="FF0000"/>
                <w:sz w:val="20"/>
                <w:szCs w:val="18"/>
              </w:rPr>
              <w:t>1套20 吨/年提氦装置、配套建设装车及储存单元区，物料输送管线等设施，生产5N级氦气20 吨/年</w:t>
            </w:r>
          </w:p>
        </w:tc>
        <w:tc>
          <w:tcPr>
            <w:tcW w:w="700" w:type="pct"/>
            <w:tcMar>
              <w:top w:w="15" w:type="dxa"/>
              <w:left w:w="15" w:type="dxa"/>
              <w:bottom w:w="0" w:type="dxa"/>
              <w:right w:w="15" w:type="dxa"/>
            </w:tcMar>
            <w:vAlign w:val="center"/>
          </w:tcPr>
          <w:p w14:paraId="77FA91D3">
            <w:pPr>
              <w:jc w:val="center"/>
              <w:rPr>
                <w:rFonts w:ascii="Times New Roman" w:hAnsi="Times New Roman" w:cs="Times New Roman"/>
                <w:color w:val="FF0000"/>
                <w:sz w:val="20"/>
                <w:szCs w:val="18"/>
              </w:rPr>
            </w:pPr>
            <w:r>
              <w:rPr>
                <w:rFonts w:hint="eastAsia" w:ascii="Times New Roman" w:hAnsi="Times New Roman" w:cs="Times New Roman"/>
                <w:color w:val="FF0000"/>
                <w:sz w:val="20"/>
                <w:szCs w:val="18"/>
              </w:rPr>
              <w:t>2022年6月23日，重庆市涪陵区生态环境局以渝（涪）环准[2022]31号文批准</w:t>
            </w:r>
          </w:p>
        </w:tc>
        <w:tc>
          <w:tcPr>
            <w:tcW w:w="449" w:type="pct"/>
            <w:vAlign w:val="center"/>
          </w:tcPr>
          <w:p w14:paraId="62B953F2">
            <w:pPr>
              <w:jc w:val="center"/>
              <w:rPr>
                <w:rFonts w:ascii="Times New Roman" w:hAnsi="Times New Roman" w:cs="Times New Roman"/>
                <w:color w:val="FF0000"/>
                <w:sz w:val="20"/>
                <w:szCs w:val="18"/>
              </w:rPr>
            </w:pPr>
            <w:r>
              <w:rPr>
                <w:rFonts w:hint="eastAsia" w:ascii="Times New Roman" w:hAnsi="Times New Roman" w:cs="Times New Roman"/>
                <w:color w:val="FF0000"/>
                <w:sz w:val="20"/>
                <w:szCs w:val="18"/>
              </w:rPr>
              <w:t>在建</w:t>
            </w:r>
          </w:p>
        </w:tc>
        <w:tc>
          <w:tcPr>
            <w:tcW w:w="700" w:type="pct"/>
            <w:vAlign w:val="center"/>
          </w:tcPr>
          <w:p w14:paraId="7AD65456">
            <w:pPr>
              <w:jc w:val="center"/>
              <w:rPr>
                <w:rFonts w:ascii="Times New Roman" w:hAnsi="Times New Roman" w:cs="Times New Roman"/>
                <w:color w:val="FF0000"/>
                <w:sz w:val="20"/>
                <w:szCs w:val="18"/>
              </w:rPr>
            </w:pPr>
            <w:r>
              <w:rPr>
                <w:rFonts w:ascii="Times New Roman" w:hAnsi="Times New Roman" w:cs="Times New Roman"/>
                <w:color w:val="FF0000"/>
                <w:sz w:val="20"/>
                <w:szCs w:val="18"/>
              </w:rPr>
              <w:t>/</w:t>
            </w:r>
          </w:p>
        </w:tc>
        <w:tc>
          <w:tcPr>
            <w:tcW w:w="799" w:type="pct"/>
            <w:tcMar>
              <w:top w:w="15" w:type="dxa"/>
              <w:left w:w="15" w:type="dxa"/>
              <w:bottom w:w="0" w:type="dxa"/>
              <w:right w:w="15" w:type="dxa"/>
            </w:tcMar>
            <w:vAlign w:val="center"/>
          </w:tcPr>
          <w:p w14:paraId="0B6E56E4">
            <w:pPr>
              <w:jc w:val="center"/>
              <w:rPr>
                <w:rFonts w:ascii="Times New Roman" w:hAnsi="Times New Roman" w:cs="Times New Roman"/>
                <w:color w:val="FF0000"/>
                <w:sz w:val="20"/>
                <w:szCs w:val="18"/>
              </w:rPr>
            </w:pPr>
            <w:r>
              <w:rPr>
                <w:rFonts w:hint="eastAsia" w:ascii="Times New Roman" w:hAnsi="Times New Roman" w:cs="Times New Roman"/>
                <w:color w:val="FF0000"/>
                <w:sz w:val="20"/>
                <w:szCs w:val="18"/>
              </w:rPr>
              <w:t>/</w:t>
            </w:r>
          </w:p>
        </w:tc>
        <w:tc>
          <w:tcPr>
            <w:tcW w:w="713" w:type="pct"/>
            <w:vAlign w:val="center"/>
          </w:tcPr>
          <w:p w14:paraId="23080ED2">
            <w:pPr>
              <w:jc w:val="center"/>
              <w:rPr>
                <w:rFonts w:ascii="Times New Roman" w:hAnsi="Times New Roman" w:cs="Times New Roman"/>
                <w:color w:val="FF0000"/>
                <w:sz w:val="20"/>
                <w:szCs w:val="18"/>
              </w:rPr>
            </w:pPr>
            <w:r>
              <w:rPr>
                <w:rFonts w:hint="eastAsia" w:ascii="Times New Roman" w:hAnsi="Times New Roman" w:cs="Times New Roman"/>
                <w:color w:val="FF0000"/>
                <w:sz w:val="20"/>
                <w:szCs w:val="18"/>
              </w:rPr>
              <w:t>/</w:t>
            </w:r>
          </w:p>
        </w:tc>
      </w:tr>
    </w:tbl>
    <w:p w14:paraId="6EC7E7CB">
      <w:pPr>
        <w:pStyle w:val="76"/>
        <w:outlineLvl w:val="0"/>
        <w:rPr>
          <w:rFonts w:ascii="Times New Roman" w:hAnsi="Times New Roman" w:eastAsia="黑体" w:cs="Times New Roman"/>
          <w:snapToGrid w:val="0"/>
          <w:sz w:val="30"/>
          <w:szCs w:val="30"/>
        </w:rPr>
        <w:sectPr>
          <w:pgSz w:w="16840" w:h="11907" w:orient="landscape"/>
          <w:pgMar w:top="1531" w:right="1701" w:bottom="1531" w:left="2127" w:header="851" w:footer="851" w:gutter="0"/>
          <w:cols w:space="720" w:num="1"/>
          <w:docGrid w:linePitch="312" w:charSpace="0"/>
        </w:sectPr>
      </w:pPr>
    </w:p>
    <w:tbl>
      <w:tblPr>
        <w:tblStyle w:val="81"/>
        <w:tblW w:w="91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286"/>
      </w:tblGrid>
      <w:tr w14:paraId="6B1754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8" w:hRule="atLeast"/>
          <w:jc w:val="center"/>
        </w:trPr>
        <w:tc>
          <w:tcPr>
            <w:tcW w:w="426" w:type="dxa"/>
            <w:vAlign w:val="center"/>
          </w:tcPr>
          <w:p w14:paraId="061454A1">
            <w:pPr>
              <w:pStyle w:val="76"/>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bCs/>
                <w:kern w:val="2"/>
                <w:sz w:val="21"/>
                <w:szCs w:val="21"/>
              </w:rPr>
              <w:t>与项目有关的原有环境污染问题</w:t>
            </w:r>
          </w:p>
        </w:tc>
        <w:tc>
          <w:tcPr>
            <w:tcW w:w="8712" w:type="dxa"/>
            <w:vAlign w:val="center"/>
          </w:tcPr>
          <w:p w14:paraId="54FF5DF5">
            <w:pPr>
              <w:spacing w:line="360" w:lineRule="auto"/>
              <w:rPr>
                <w:rFonts w:ascii="Times New Roman" w:hAnsi="Times New Roman" w:cs="Times New Roman"/>
                <w:b/>
                <w:spacing w:val="-4"/>
                <w:kern w:val="24"/>
                <w:sz w:val="24"/>
              </w:rPr>
            </w:pPr>
            <w:r>
              <w:rPr>
                <w:rFonts w:ascii="Times New Roman" w:hAnsi="Times New Roman" w:cs="Times New Roman"/>
                <w:b/>
                <w:spacing w:val="-4"/>
                <w:kern w:val="24"/>
                <w:sz w:val="24"/>
              </w:rPr>
              <w:t>2.3.2现有工程排污许可执行情况</w:t>
            </w:r>
          </w:p>
          <w:p w14:paraId="63C4660E">
            <w:pPr>
              <w:spacing w:line="440" w:lineRule="exact"/>
              <w:ind w:firstLine="480" w:firstLineChars="200"/>
              <w:rPr>
                <w:rFonts w:ascii="Times New Roman" w:hAnsi="Times New Roman" w:cs="Times New Roman"/>
                <w:sz w:val="24"/>
              </w:rPr>
            </w:pPr>
            <w:r>
              <w:rPr>
                <w:rFonts w:ascii="Times New Roman" w:hAnsi="Times New Roman" w:cs="Times New Roman"/>
                <w:sz w:val="24"/>
              </w:rPr>
              <w:t>企业于2020年12月7</w:t>
            </w:r>
            <w:r>
              <w:rPr>
                <w:rFonts w:hint="eastAsia" w:ascii="Times New Roman" w:hAnsi="Times New Roman" w:cs="Times New Roman"/>
                <w:sz w:val="24"/>
                <w:lang w:eastAsia="zh-CN"/>
              </w:rPr>
              <w:t>日</w:t>
            </w:r>
            <w:r>
              <w:rPr>
                <w:rFonts w:ascii="Times New Roman" w:hAnsi="Times New Roman" w:cs="Times New Roman"/>
                <w:sz w:val="24"/>
              </w:rPr>
              <w:t>变更并申领了排污许可证，排污许可证编号（No.91500102556781535M001P），企业每个季度、年度按时填报季报和年报，对每个季度和年度的原辅料用量、产品信息（产量）、主要能源消耗和污染源排放情况如实进行填报，将主要污染源的在线数据和一般污染物的第三方自行监测数据进行填报，</w:t>
            </w:r>
            <w:r>
              <w:rPr>
                <w:rFonts w:hint="eastAsia" w:ascii="Times New Roman" w:hAnsi="Times New Roman" w:cs="Times New Roman"/>
                <w:sz w:val="24"/>
                <w:lang w:eastAsia="zh-CN"/>
              </w:rPr>
              <w:t>截至目前</w:t>
            </w:r>
            <w:r>
              <w:rPr>
                <w:rFonts w:ascii="Times New Roman" w:hAnsi="Times New Roman" w:cs="Times New Roman"/>
                <w:sz w:val="24"/>
              </w:rPr>
              <w:t>，企业未发生超标排放情况。</w:t>
            </w:r>
          </w:p>
          <w:p w14:paraId="008C1011">
            <w:pPr>
              <w:spacing w:line="440" w:lineRule="exact"/>
              <w:ind w:firstLine="480" w:firstLineChars="200"/>
              <w:rPr>
                <w:rFonts w:ascii="Times New Roman" w:hAnsi="Times New Roman" w:cs="Times New Roman"/>
                <w:sz w:val="24"/>
              </w:rPr>
            </w:pPr>
            <w:r>
              <w:rPr>
                <w:rFonts w:ascii="Times New Roman" w:hAnsi="Times New Roman" w:cs="Times New Roman"/>
                <w:sz w:val="24"/>
              </w:rPr>
              <w:t>按照《企业事业单位环境信息公开办法》和《排污许可证管理暂行规定》的要求，企业的基础信息：包括单位名称、组织机构代码、法定代表人、生产地址、联系方式，以及生产经营和管理服务的主要内容、产品及规模；排污信息：包括主要污染物及特征污染物的名称、排放方式、排放口数量和分布情况、排放浓度和总量、超标情况，以及执行的污染物排放标准、核定的排放总量；防治污染设施的建设和运行情况；建设项目环境影响评价及其他环境保护行政许可情况；突发环境事件应急预案；企业自行监测方案；排污许可证执行报告中的相关内容，均在国家排污许可证信息公开平台及企业信息公开专栏等场所公示。</w:t>
            </w:r>
          </w:p>
          <w:p w14:paraId="1850FBA6">
            <w:pPr>
              <w:keepNext/>
              <w:keepLines/>
              <w:numPr>
                <w:ilvl w:val="1"/>
                <w:numId w:val="0"/>
              </w:numPr>
              <w:spacing w:before="120" w:after="60"/>
              <w:jc w:val="left"/>
              <w:outlineLvl w:val="1"/>
              <w:rPr>
                <w:rFonts w:ascii="Times New Roman" w:hAnsi="Times New Roman" w:cs="Times New Roman"/>
                <w:b/>
                <w:bCs/>
                <w:sz w:val="24"/>
              </w:rPr>
            </w:pPr>
            <w:bookmarkStart w:id="14" w:name="_Toc92815616"/>
            <w:bookmarkStart w:id="15" w:name="_Toc3835931"/>
            <w:bookmarkStart w:id="16" w:name="_Toc17428406"/>
            <w:bookmarkStart w:id="17" w:name="_Toc519151570"/>
            <w:r>
              <w:rPr>
                <w:rFonts w:ascii="Times New Roman" w:hAnsi="Times New Roman" w:cs="Times New Roman"/>
                <w:b/>
                <w:bCs/>
                <w:sz w:val="24"/>
              </w:rPr>
              <w:t>2.3.3 污染源监测及达标情况</w:t>
            </w:r>
            <w:bookmarkEnd w:id="14"/>
            <w:bookmarkEnd w:id="15"/>
          </w:p>
          <w:p w14:paraId="75D2CDDE">
            <w:pPr>
              <w:keepNext/>
              <w:keepLines/>
              <w:outlineLvl w:val="2"/>
              <w:rPr>
                <w:rFonts w:ascii="Times New Roman" w:hAnsi="Times New Roman" w:cs="Times New Roman"/>
                <w:b/>
                <w:bCs/>
                <w:sz w:val="24"/>
              </w:rPr>
            </w:pPr>
            <w:r>
              <w:rPr>
                <w:rFonts w:ascii="Times New Roman" w:hAnsi="Times New Roman" w:cs="Times New Roman"/>
                <w:b/>
                <w:bCs/>
                <w:sz w:val="24"/>
              </w:rPr>
              <w:t>2.3.1已建已验项目污染源监测及达标情况</w:t>
            </w:r>
          </w:p>
          <w:p w14:paraId="3330BCB1">
            <w:pPr>
              <w:spacing w:line="440" w:lineRule="exact"/>
              <w:ind w:firstLine="480" w:firstLineChars="200"/>
              <w:rPr>
                <w:rFonts w:ascii="Times New Roman" w:hAnsi="Times New Roman" w:cs="Times New Roman"/>
                <w:sz w:val="24"/>
              </w:rPr>
            </w:pPr>
            <w:r>
              <w:rPr>
                <w:rFonts w:ascii="Times New Roman" w:hAnsi="Times New Roman" w:cs="Times New Roman"/>
                <w:sz w:val="24"/>
              </w:rPr>
              <w:t>企业目前已验收项目见下表。</w:t>
            </w:r>
          </w:p>
          <w:p w14:paraId="6FC397E8">
            <w:pPr>
              <w:spacing w:line="500" w:lineRule="exact"/>
              <w:ind w:firstLine="482"/>
              <w:jc w:val="center"/>
              <w:rPr>
                <w:rFonts w:ascii="Times New Roman" w:hAnsi="Times New Roman" w:cs="Times New Roman"/>
                <w:b/>
                <w:kern w:val="0"/>
              </w:rPr>
            </w:pPr>
            <w:r>
              <w:rPr>
                <w:rFonts w:ascii="Times New Roman" w:hAnsi="Times New Roman" w:cs="Times New Roman"/>
                <w:b/>
                <w:kern w:val="0"/>
              </w:rPr>
              <w:t>表2.3-1    已建工程验收情况</w:t>
            </w:r>
          </w:p>
          <w:tbl>
            <w:tblPr>
              <w:tblStyle w:val="81"/>
              <w:tblW w:w="90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447"/>
              <w:gridCol w:w="1476"/>
              <w:gridCol w:w="3795"/>
              <w:gridCol w:w="1450"/>
              <w:gridCol w:w="851"/>
              <w:gridCol w:w="1041"/>
            </w:tblGrid>
            <w:tr w14:paraId="00DA71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blHeader/>
              </w:trPr>
              <w:tc>
                <w:tcPr>
                  <w:tcW w:w="447" w:type="dxa"/>
                  <w:vAlign w:val="center"/>
                </w:tcPr>
                <w:p w14:paraId="3DA795AB">
                  <w:pPr>
                    <w:jc w:val="center"/>
                    <w:rPr>
                      <w:rFonts w:ascii="Times New Roman" w:hAnsi="Times New Roman" w:cs="Times New Roman"/>
                      <w:b/>
                      <w:kern w:val="0"/>
                      <w:sz w:val="20"/>
                      <w:szCs w:val="21"/>
                    </w:rPr>
                  </w:pPr>
                  <w:r>
                    <w:rPr>
                      <w:rFonts w:ascii="Times New Roman" w:hAnsi="Times New Roman" w:cs="Times New Roman"/>
                      <w:b/>
                      <w:kern w:val="0"/>
                      <w:sz w:val="20"/>
                      <w:szCs w:val="21"/>
                    </w:rPr>
                    <w:t>序号</w:t>
                  </w:r>
                </w:p>
              </w:tc>
              <w:tc>
                <w:tcPr>
                  <w:tcW w:w="1476" w:type="dxa"/>
                  <w:vAlign w:val="center"/>
                </w:tcPr>
                <w:p w14:paraId="61259AA9">
                  <w:pPr>
                    <w:jc w:val="center"/>
                    <w:rPr>
                      <w:rFonts w:ascii="Times New Roman" w:hAnsi="Times New Roman" w:cs="Times New Roman"/>
                      <w:b/>
                      <w:kern w:val="0"/>
                      <w:sz w:val="20"/>
                      <w:szCs w:val="21"/>
                    </w:rPr>
                  </w:pPr>
                  <w:r>
                    <w:rPr>
                      <w:rFonts w:ascii="Times New Roman" w:hAnsi="Times New Roman" w:cs="Times New Roman"/>
                      <w:b/>
                      <w:kern w:val="0"/>
                      <w:sz w:val="20"/>
                      <w:szCs w:val="21"/>
                    </w:rPr>
                    <w:t>工程名称</w:t>
                  </w:r>
                </w:p>
              </w:tc>
              <w:tc>
                <w:tcPr>
                  <w:tcW w:w="3795" w:type="dxa"/>
                  <w:vAlign w:val="center"/>
                </w:tcPr>
                <w:p w14:paraId="7AAB218E">
                  <w:pPr>
                    <w:jc w:val="center"/>
                    <w:rPr>
                      <w:rFonts w:ascii="Times New Roman" w:hAnsi="Times New Roman" w:cs="Times New Roman"/>
                      <w:b/>
                      <w:kern w:val="0"/>
                      <w:sz w:val="20"/>
                      <w:szCs w:val="21"/>
                    </w:rPr>
                  </w:pPr>
                  <w:r>
                    <w:rPr>
                      <w:rFonts w:ascii="Times New Roman" w:hAnsi="Times New Roman" w:cs="Times New Roman"/>
                      <w:b/>
                      <w:kern w:val="0"/>
                      <w:sz w:val="20"/>
                      <w:szCs w:val="21"/>
                    </w:rPr>
                    <w:t>验收概况</w:t>
                  </w:r>
                </w:p>
              </w:tc>
              <w:tc>
                <w:tcPr>
                  <w:tcW w:w="1450" w:type="dxa"/>
                  <w:vAlign w:val="center"/>
                </w:tcPr>
                <w:p w14:paraId="12332E76">
                  <w:pPr>
                    <w:jc w:val="center"/>
                    <w:rPr>
                      <w:rFonts w:ascii="Times New Roman" w:hAnsi="Times New Roman" w:cs="Times New Roman"/>
                      <w:b/>
                      <w:kern w:val="0"/>
                      <w:sz w:val="20"/>
                      <w:szCs w:val="21"/>
                    </w:rPr>
                  </w:pPr>
                  <w:r>
                    <w:rPr>
                      <w:rFonts w:ascii="Times New Roman" w:hAnsi="Times New Roman" w:cs="Times New Roman"/>
                      <w:b/>
                      <w:kern w:val="0"/>
                      <w:sz w:val="20"/>
                      <w:szCs w:val="21"/>
                    </w:rPr>
                    <w:t>批复文号</w:t>
                  </w:r>
                </w:p>
              </w:tc>
              <w:tc>
                <w:tcPr>
                  <w:tcW w:w="851" w:type="dxa"/>
                  <w:vAlign w:val="center"/>
                </w:tcPr>
                <w:p w14:paraId="508A31AB">
                  <w:pPr>
                    <w:jc w:val="center"/>
                    <w:rPr>
                      <w:rFonts w:ascii="Times New Roman" w:hAnsi="Times New Roman" w:cs="Times New Roman"/>
                      <w:b/>
                      <w:kern w:val="0"/>
                      <w:sz w:val="20"/>
                      <w:szCs w:val="21"/>
                    </w:rPr>
                  </w:pPr>
                  <w:r>
                    <w:rPr>
                      <w:rFonts w:ascii="Times New Roman" w:hAnsi="Times New Roman" w:cs="Times New Roman"/>
                      <w:b/>
                      <w:kern w:val="0"/>
                      <w:sz w:val="20"/>
                      <w:szCs w:val="21"/>
                    </w:rPr>
                    <w:t>验收生产负荷</w:t>
                  </w:r>
                </w:p>
              </w:tc>
              <w:tc>
                <w:tcPr>
                  <w:tcW w:w="1041" w:type="dxa"/>
                  <w:vAlign w:val="center"/>
                </w:tcPr>
                <w:p w14:paraId="60A04DED">
                  <w:pPr>
                    <w:jc w:val="center"/>
                    <w:rPr>
                      <w:rFonts w:ascii="Times New Roman" w:hAnsi="Times New Roman" w:cs="Times New Roman"/>
                      <w:b/>
                      <w:kern w:val="0"/>
                      <w:sz w:val="20"/>
                      <w:szCs w:val="21"/>
                    </w:rPr>
                  </w:pPr>
                  <w:r>
                    <w:rPr>
                      <w:rFonts w:ascii="Times New Roman" w:hAnsi="Times New Roman" w:cs="Times New Roman"/>
                      <w:b/>
                      <w:kern w:val="0"/>
                      <w:sz w:val="20"/>
                      <w:szCs w:val="21"/>
                    </w:rPr>
                    <w:t>是否符合验收要求</w:t>
                  </w:r>
                </w:p>
              </w:tc>
            </w:tr>
            <w:tr w14:paraId="6ADA1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447" w:type="dxa"/>
                  <w:vAlign w:val="center"/>
                </w:tcPr>
                <w:p w14:paraId="572E59DA">
                  <w:pPr>
                    <w:jc w:val="center"/>
                    <w:rPr>
                      <w:rFonts w:ascii="Times New Roman" w:hAnsi="Times New Roman" w:cs="Times New Roman"/>
                      <w:kern w:val="0"/>
                      <w:sz w:val="20"/>
                      <w:szCs w:val="21"/>
                    </w:rPr>
                  </w:pPr>
                  <w:r>
                    <w:rPr>
                      <w:rFonts w:ascii="Times New Roman" w:hAnsi="Times New Roman" w:cs="Times New Roman"/>
                      <w:kern w:val="0"/>
                      <w:sz w:val="20"/>
                      <w:szCs w:val="21"/>
                    </w:rPr>
                    <w:t>1</w:t>
                  </w:r>
                </w:p>
              </w:tc>
              <w:tc>
                <w:tcPr>
                  <w:tcW w:w="1476" w:type="dxa"/>
                  <w:vAlign w:val="center"/>
                </w:tcPr>
                <w:p w14:paraId="2839F144">
                  <w:pPr>
                    <w:rPr>
                      <w:rFonts w:ascii="Times New Roman" w:hAnsi="Times New Roman" w:cs="Times New Roman"/>
                      <w:kern w:val="0"/>
                      <w:sz w:val="20"/>
                      <w:szCs w:val="21"/>
                    </w:rPr>
                  </w:pPr>
                  <w:r>
                    <w:rPr>
                      <w:rFonts w:hint="eastAsia" w:ascii="Times New Roman" w:hAnsi="Times New Roman" w:cs="Times New Roman"/>
                      <w:sz w:val="20"/>
                      <w:szCs w:val="18"/>
                    </w:rPr>
                    <w:t>重庆中石化通汇能源有限公司涪陵液化天然气（LNG）工厂项目</w:t>
                  </w:r>
                </w:p>
              </w:tc>
              <w:tc>
                <w:tcPr>
                  <w:tcW w:w="3795" w:type="dxa"/>
                  <w:vAlign w:val="center"/>
                </w:tcPr>
                <w:p w14:paraId="51E98050">
                  <w:pPr>
                    <w:rPr>
                      <w:rFonts w:ascii="Times New Roman" w:hAnsi="Times New Roman" w:cs="Times New Roman"/>
                      <w:sz w:val="20"/>
                      <w:szCs w:val="18"/>
                    </w:rPr>
                  </w:pPr>
                  <w:r>
                    <w:rPr>
                      <w:rFonts w:ascii="Times New Roman" w:hAnsi="Times New Roman" w:cs="Times New Roman"/>
                      <w:sz w:val="20"/>
                      <w:szCs w:val="18"/>
                    </w:rPr>
                    <w:t>已于</w:t>
                  </w:r>
                  <w:r>
                    <w:rPr>
                      <w:rFonts w:hint="eastAsia" w:ascii="Times New Roman" w:hAnsi="Times New Roman" w:cs="Times New Roman"/>
                      <w:sz w:val="20"/>
                      <w:szCs w:val="18"/>
                    </w:rPr>
                    <w:t>2019年3月5日</w:t>
                  </w:r>
                  <w:r>
                    <w:rPr>
                      <w:rFonts w:ascii="Times New Roman" w:hAnsi="Times New Roman" w:cs="Times New Roman"/>
                      <w:sz w:val="20"/>
                      <w:szCs w:val="18"/>
                    </w:rPr>
                    <w:t>完成自主验收并在“全国建设项目竣工环境保护验收信息系统”备案，</w:t>
                  </w:r>
                  <w:r>
                    <w:rPr>
                      <w:rFonts w:hint="eastAsia" w:ascii="Times New Roman" w:hAnsi="Times New Roman" w:cs="Times New Roman"/>
                      <w:sz w:val="20"/>
                      <w:szCs w:val="18"/>
                    </w:rPr>
                    <w:t>2019年5月14日获得了重庆市涪陵区生态环境局下发的《重庆市建设项目固体废物污染防治设施竣工环境保护验收批复》（渝（涪）环验[2019]38号）</w:t>
                  </w:r>
                </w:p>
                <w:p w14:paraId="05EC6943">
                  <w:pPr>
                    <w:rPr>
                      <w:rFonts w:ascii="Times New Roman" w:hAnsi="Times New Roman" w:cs="Times New Roman"/>
                      <w:kern w:val="0"/>
                      <w:sz w:val="20"/>
                      <w:szCs w:val="21"/>
                    </w:rPr>
                  </w:pPr>
                  <w:r>
                    <w:rPr>
                      <w:rFonts w:ascii="Times New Roman" w:hAnsi="Times New Roman" w:cs="Times New Roman"/>
                      <w:sz w:val="20"/>
                      <w:szCs w:val="18"/>
                    </w:rPr>
                    <w:t>目前正常运营</w:t>
                  </w:r>
                </w:p>
              </w:tc>
              <w:tc>
                <w:tcPr>
                  <w:tcW w:w="1450" w:type="dxa"/>
                  <w:vAlign w:val="center"/>
                </w:tcPr>
                <w:p w14:paraId="598EEDE7">
                  <w:pPr>
                    <w:jc w:val="center"/>
                    <w:rPr>
                      <w:rFonts w:ascii="Times New Roman" w:hAnsi="Times New Roman" w:cs="Times New Roman"/>
                      <w:sz w:val="20"/>
                      <w:szCs w:val="18"/>
                    </w:rPr>
                  </w:pPr>
                  <w:r>
                    <w:rPr>
                      <w:rFonts w:hint="eastAsia" w:ascii="Times New Roman" w:hAnsi="Times New Roman" w:cs="Times New Roman"/>
                      <w:sz w:val="20"/>
                      <w:szCs w:val="18"/>
                    </w:rPr>
                    <w:t>自主验收，</w:t>
                  </w:r>
                </w:p>
                <w:p w14:paraId="5B49AA75">
                  <w:pPr>
                    <w:jc w:val="center"/>
                    <w:rPr>
                      <w:rFonts w:ascii="Times New Roman" w:hAnsi="Times New Roman" w:cs="Times New Roman"/>
                      <w:kern w:val="0"/>
                      <w:sz w:val="20"/>
                      <w:szCs w:val="21"/>
                    </w:rPr>
                  </w:pPr>
                  <w:r>
                    <w:rPr>
                      <w:rFonts w:hint="eastAsia" w:ascii="Times New Roman" w:hAnsi="Times New Roman" w:cs="Times New Roman"/>
                      <w:sz w:val="20"/>
                      <w:szCs w:val="18"/>
                    </w:rPr>
                    <w:t>渝（涪）环验[2019]38号</w:t>
                  </w:r>
                </w:p>
              </w:tc>
              <w:tc>
                <w:tcPr>
                  <w:tcW w:w="851" w:type="dxa"/>
                  <w:vAlign w:val="center"/>
                </w:tcPr>
                <w:p w14:paraId="341D27CA">
                  <w:pPr>
                    <w:jc w:val="center"/>
                    <w:rPr>
                      <w:rFonts w:ascii="Times New Roman" w:hAnsi="Times New Roman" w:cs="Times New Roman"/>
                      <w:kern w:val="0"/>
                      <w:sz w:val="20"/>
                      <w:szCs w:val="21"/>
                    </w:rPr>
                  </w:pPr>
                  <w:r>
                    <w:rPr>
                      <w:rFonts w:ascii="Times New Roman" w:hAnsi="Times New Roman" w:cs="Times New Roman"/>
                      <w:kern w:val="0"/>
                      <w:sz w:val="20"/>
                      <w:szCs w:val="21"/>
                    </w:rPr>
                    <w:t>100%</w:t>
                  </w:r>
                </w:p>
              </w:tc>
              <w:tc>
                <w:tcPr>
                  <w:tcW w:w="1041" w:type="dxa"/>
                  <w:vAlign w:val="center"/>
                </w:tcPr>
                <w:p w14:paraId="5D8C4FB1">
                  <w:pPr>
                    <w:jc w:val="center"/>
                    <w:rPr>
                      <w:rFonts w:ascii="Times New Roman" w:hAnsi="Times New Roman" w:cs="Times New Roman"/>
                      <w:kern w:val="0"/>
                      <w:sz w:val="20"/>
                      <w:szCs w:val="21"/>
                    </w:rPr>
                  </w:pPr>
                  <w:r>
                    <w:rPr>
                      <w:rFonts w:ascii="Times New Roman" w:hAnsi="Times New Roman" w:cs="Times New Roman"/>
                      <w:kern w:val="0"/>
                      <w:sz w:val="20"/>
                      <w:szCs w:val="21"/>
                    </w:rPr>
                    <w:t>符合</w:t>
                  </w:r>
                </w:p>
              </w:tc>
            </w:tr>
          </w:tbl>
          <w:p w14:paraId="4B621AA5">
            <w:pPr>
              <w:ind w:firstLine="480"/>
              <w:rPr>
                <w:rFonts w:ascii="Times New Roman" w:hAnsi="Times New Roman" w:cs="Times New Roman"/>
              </w:rPr>
            </w:pPr>
          </w:p>
          <w:p w14:paraId="0DA515AB">
            <w:pPr>
              <w:spacing w:line="360" w:lineRule="auto"/>
              <w:ind w:firstLine="482"/>
              <w:rPr>
                <w:rFonts w:ascii="Times New Roman" w:hAnsi="Times New Roman" w:cs="Times New Roman"/>
                <w:b/>
              </w:rPr>
            </w:pPr>
            <w:r>
              <w:rPr>
                <w:rFonts w:hint="eastAsia" w:ascii="Times New Roman" w:hAnsi="Times New Roman" w:cs="Times New Roman"/>
                <w:b/>
              </w:rPr>
              <w:t>（</w:t>
            </w:r>
            <w:r>
              <w:rPr>
                <w:rFonts w:ascii="Times New Roman" w:hAnsi="Times New Roman" w:cs="Times New Roman"/>
                <w:b/>
              </w:rPr>
              <w:t>1</w:t>
            </w:r>
            <w:r>
              <w:rPr>
                <w:rFonts w:hint="eastAsia" w:ascii="Times New Roman" w:hAnsi="Times New Roman" w:cs="Times New Roman"/>
                <w:b/>
              </w:rPr>
              <w:t>）</w:t>
            </w:r>
            <w:r>
              <w:rPr>
                <w:rFonts w:ascii="Times New Roman" w:hAnsi="Times New Roman" w:cs="Times New Roman"/>
                <w:b/>
              </w:rPr>
              <w:t>废气污染源梳理情况</w:t>
            </w:r>
          </w:p>
          <w:p w14:paraId="113CFFEA">
            <w:pPr>
              <w:adjustRightInd w:val="0"/>
              <w:snapToGrid w:val="0"/>
              <w:spacing w:line="360" w:lineRule="auto"/>
              <w:ind w:firstLine="480"/>
              <w:rPr>
                <w:rFonts w:ascii="Times New Roman" w:hAnsi="Times New Roman" w:cs="Times New Roman"/>
                <w:color w:val="000000"/>
                <w:sz w:val="24"/>
              </w:rPr>
            </w:pPr>
            <w:r>
              <w:rPr>
                <w:rFonts w:hint="eastAsia" w:ascii="Times New Roman" w:hAnsi="Times New Roman" w:cs="Times New Roman"/>
                <w:color w:val="000000"/>
                <w:sz w:val="24"/>
              </w:rPr>
              <w:t>现有工程</w:t>
            </w:r>
            <w:r>
              <w:rPr>
                <w:rFonts w:ascii="Times New Roman" w:hAnsi="Times New Roman" w:cs="Times New Roman"/>
                <w:color w:val="000000"/>
                <w:sz w:val="24"/>
              </w:rPr>
              <w:t>胺汽提塔废气由15m高的烟囱直接排放。</w:t>
            </w:r>
            <w:r>
              <w:rPr>
                <w:rFonts w:hint="eastAsia" w:ascii="Times New Roman" w:hAnsi="Times New Roman" w:cs="Times New Roman"/>
                <w:color w:val="000000"/>
                <w:sz w:val="24"/>
              </w:rPr>
              <w:t>导热油炉</w:t>
            </w:r>
            <w:r>
              <w:rPr>
                <w:rFonts w:ascii="Times New Roman" w:hAnsi="Times New Roman" w:cs="Times New Roman"/>
                <w:color w:val="000000"/>
                <w:sz w:val="24"/>
              </w:rPr>
              <w:t>燃烧废气颗粒物、SO</w:t>
            </w:r>
            <w:r>
              <w:rPr>
                <w:rFonts w:ascii="Times New Roman" w:hAnsi="Times New Roman" w:cs="Times New Roman"/>
                <w:color w:val="000000"/>
                <w:sz w:val="24"/>
                <w:vertAlign w:val="subscript"/>
              </w:rPr>
              <w:t>2</w:t>
            </w:r>
            <w:r>
              <w:rPr>
                <w:rFonts w:ascii="Times New Roman" w:hAnsi="Times New Roman" w:cs="Times New Roman"/>
                <w:color w:val="000000"/>
                <w:sz w:val="24"/>
              </w:rPr>
              <w:t>、NO</w:t>
            </w:r>
            <w:r>
              <w:rPr>
                <w:rFonts w:hint="eastAsia" w:ascii="Times New Roman" w:hAnsi="Times New Roman" w:cs="Times New Roman"/>
                <w:color w:val="000000"/>
                <w:sz w:val="24"/>
                <w:vertAlign w:val="subscript"/>
              </w:rPr>
              <w:t>X</w:t>
            </w:r>
            <w:r>
              <w:rPr>
                <w:rFonts w:ascii="Times New Roman" w:hAnsi="Times New Roman" w:cs="Times New Roman"/>
                <w:color w:val="000000"/>
                <w:sz w:val="24"/>
              </w:rPr>
              <w:t>通过1个25m高排气筒排放</w:t>
            </w:r>
            <w:r>
              <w:rPr>
                <w:rFonts w:hint="eastAsia" w:ascii="Times New Roman" w:hAnsi="Times New Roman" w:cs="Times New Roman"/>
                <w:color w:val="000000"/>
                <w:sz w:val="24"/>
              </w:rPr>
              <w:t>，非正常工况废气</w:t>
            </w:r>
            <w:r>
              <w:rPr>
                <w:rFonts w:ascii="Times New Roman" w:hAnsi="Times New Roman" w:cs="Times New Roman"/>
                <w:color w:val="000000"/>
                <w:sz w:val="24"/>
              </w:rPr>
              <w:t>送80m高架火炬进行焚烧。</w:t>
            </w:r>
          </w:p>
          <w:p w14:paraId="6C326FB9">
            <w:pPr>
              <w:adjustRightInd w:val="0"/>
              <w:snapToGrid w:val="0"/>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项目</w:t>
            </w:r>
            <w:r>
              <w:rPr>
                <w:rFonts w:hint="eastAsia" w:ascii="Times New Roman" w:hAnsi="Times New Roman" w:cs="Times New Roman"/>
                <w:color w:val="000000"/>
                <w:sz w:val="24"/>
              </w:rPr>
              <w:t>近2年已稳定达产，根据2020~2021年监督性监测报告显示，</w:t>
            </w:r>
            <w:r>
              <w:rPr>
                <w:rFonts w:ascii="Times New Roman" w:hAnsi="Times New Roman" w:cs="Times New Roman"/>
                <w:color w:val="000000"/>
                <w:sz w:val="24"/>
              </w:rPr>
              <w:t>胺汽提塔废气排放口（硫化氢排放浓度</w:t>
            </w:r>
            <w:r>
              <w:rPr>
                <w:rFonts w:hint="eastAsia" w:ascii="Times New Roman" w:hAnsi="Times New Roman" w:cs="Times New Roman"/>
                <w:color w:val="000000"/>
                <w:sz w:val="24"/>
              </w:rPr>
              <w:t>最大为2.69</w:t>
            </w:r>
            <w:r>
              <w:rPr>
                <w:rFonts w:ascii="Times New Roman" w:hAnsi="Times New Roman" w:cs="Times New Roman"/>
                <w:color w:val="000000"/>
                <w:sz w:val="24"/>
              </w:rPr>
              <w:t>mg/m</w:t>
            </w:r>
            <w:r>
              <w:rPr>
                <w:rFonts w:ascii="Times New Roman" w:hAnsi="Times New Roman" w:cs="Times New Roman"/>
                <w:color w:val="000000"/>
                <w:sz w:val="24"/>
                <w:vertAlign w:val="superscript"/>
              </w:rPr>
              <w:t>3</w:t>
            </w:r>
            <w:r>
              <w:rPr>
                <w:rFonts w:ascii="Times New Roman" w:hAnsi="Times New Roman" w:cs="Times New Roman"/>
                <w:color w:val="000000"/>
                <w:sz w:val="24"/>
              </w:rPr>
              <w:t>，对环境影响不大。导热油炉废气排放口颗粒物</w:t>
            </w:r>
            <w:r>
              <w:rPr>
                <w:rFonts w:hint="eastAsia" w:ascii="Times New Roman" w:hAnsi="Times New Roman" w:cs="Times New Roman"/>
                <w:color w:val="000000"/>
                <w:sz w:val="24"/>
              </w:rPr>
              <w:t>最大</w:t>
            </w:r>
            <w:r>
              <w:rPr>
                <w:rFonts w:ascii="Times New Roman" w:hAnsi="Times New Roman" w:cs="Times New Roman"/>
                <w:color w:val="000000"/>
                <w:sz w:val="24"/>
              </w:rPr>
              <w:t>排放浓度</w:t>
            </w:r>
            <w:r>
              <w:rPr>
                <w:rFonts w:hint="eastAsia" w:ascii="Times New Roman" w:hAnsi="Times New Roman" w:cs="Times New Roman"/>
                <w:color w:val="000000"/>
                <w:sz w:val="24"/>
              </w:rPr>
              <w:t>10.6</w:t>
            </w:r>
            <w:r>
              <w:rPr>
                <w:rFonts w:ascii="Times New Roman" w:hAnsi="Times New Roman" w:cs="Times New Roman"/>
                <w:color w:val="000000"/>
                <w:sz w:val="24"/>
              </w:rPr>
              <w:t>mg/m</w:t>
            </w:r>
            <w:r>
              <w:rPr>
                <w:rFonts w:ascii="Times New Roman" w:hAnsi="Times New Roman" w:cs="Times New Roman"/>
                <w:color w:val="000000"/>
                <w:sz w:val="24"/>
                <w:vertAlign w:val="superscript"/>
              </w:rPr>
              <w:t>3</w:t>
            </w:r>
            <w:r>
              <w:rPr>
                <w:rFonts w:ascii="Times New Roman" w:hAnsi="Times New Roman" w:cs="Times New Roman"/>
                <w:color w:val="000000"/>
                <w:sz w:val="24"/>
              </w:rPr>
              <w:t>，SO</w:t>
            </w:r>
            <w:r>
              <w:rPr>
                <w:rFonts w:ascii="Times New Roman" w:hAnsi="Times New Roman" w:cs="Times New Roman"/>
                <w:color w:val="000000"/>
                <w:sz w:val="24"/>
                <w:vertAlign w:val="subscript"/>
              </w:rPr>
              <w:t>2</w:t>
            </w:r>
            <w:r>
              <w:rPr>
                <w:rFonts w:hint="eastAsia" w:ascii="Times New Roman" w:hAnsi="Times New Roman" w:cs="Times New Roman"/>
                <w:color w:val="000000"/>
                <w:sz w:val="24"/>
              </w:rPr>
              <w:t>最大</w:t>
            </w:r>
            <w:r>
              <w:rPr>
                <w:rFonts w:ascii="Times New Roman" w:hAnsi="Times New Roman" w:cs="Times New Roman"/>
                <w:color w:val="000000"/>
                <w:sz w:val="24"/>
              </w:rPr>
              <w:t>排放浓度</w:t>
            </w:r>
            <w:r>
              <w:rPr>
                <w:rFonts w:hint="eastAsia" w:ascii="Times New Roman" w:hAnsi="Times New Roman" w:cs="Times New Roman"/>
                <w:color w:val="000000"/>
                <w:sz w:val="24"/>
              </w:rPr>
              <w:t>9</w:t>
            </w:r>
            <w:r>
              <w:rPr>
                <w:rFonts w:ascii="Times New Roman" w:hAnsi="Times New Roman" w:cs="Times New Roman"/>
                <w:color w:val="000000"/>
                <w:sz w:val="24"/>
              </w:rPr>
              <w:t>mg/m</w:t>
            </w:r>
            <w:r>
              <w:rPr>
                <w:rFonts w:ascii="Times New Roman" w:hAnsi="Times New Roman" w:cs="Times New Roman"/>
                <w:color w:val="000000"/>
                <w:sz w:val="24"/>
                <w:vertAlign w:val="superscript"/>
              </w:rPr>
              <w:t>3</w:t>
            </w:r>
            <w:r>
              <w:rPr>
                <w:rFonts w:ascii="Times New Roman" w:hAnsi="Times New Roman" w:cs="Times New Roman"/>
                <w:color w:val="000000"/>
                <w:sz w:val="24"/>
              </w:rPr>
              <w:t>，NO</w:t>
            </w:r>
            <w:r>
              <w:rPr>
                <w:rFonts w:hint="eastAsia" w:ascii="Times New Roman" w:hAnsi="Times New Roman" w:cs="Times New Roman"/>
                <w:color w:val="000000"/>
                <w:sz w:val="24"/>
                <w:vertAlign w:val="subscript"/>
              </w:rPr>
              <w:t>X</w:t>
            </w:r>
            <w:r>
              <w:rPr>
                <w:rFonts w:ascii="Times New Roman" w:hAnsi="Times New Roman" w:cs="Times New Roman"/>
                <w:color w:val="000000"/>
                <w:sz w:val="24"/>
              </w:rPr>
              <w:t>排放浓度</w:t>
            </w:r>
            <w:r>
              <w:rPr>
                <w:rFonts w:hint="eastAsia" w:ascii="Times New Roman" w:hAnsi="Times New Roman" w:cs="Times New Roman"/>
                <w:color w:val="000000"/>
                <w:sz w:val="24"/>
              </w:rPr>
              <w:t>33</w:t>
            </w:r>
            <w:r>
              <w:rPr>
                <w:rFonts w:ascii="Times New Roman" w:hAnsi="Times New Roman" w:cs="Times New Roman"/>
                <w:color w:val="000000"/>
                <w:sz w:val="24"/>
              </w:rPr>
              <w:t>mg/m</w:t>
            </w:r>
            <w:r>
              <w:rPr>
                <w:rFonts w:ascii="Times New Roman" w:hAnsi="Times New Roman" w:cs="Times New Roman"/>
                <w:color w:val="000000"/>
                <w:sz w:val="24"/>
                <w:vertAlign w:val="superscript"/>
              </w:rPr>
              <w:t>3</w:t>
            </w:r>
            <w:r>
              <w:rPr>
                <w:rFonts w:hint="eastAsia" w:ascii="Times New Roman" w:hAnsi="Times New Roman" w:cs="Times New Roman"/>
                <w:color w:val="000000"/>
                <w:sz w:val="24"/>
              </w:rPr>
              <w:t>~56</w:t>
            </w:r>
            <w:r>
              <w:rPr>
                <w:rFonts w:ascii="Times New Roman" w:hAnsi="Times New Roman" w:cs="Times New Roman"/>
                <w:color w:val="000000"/>
                <w:sz w:val="24"/>
              </w:rPr>
              <w:t>mg/m</w:t>
            </w:r>
            <w:r>
              <w:rPr>
                <w:rFonts w:ascii="Times New Roman" w:hAnsi="Times New Roman" w:cs="Times New Roman"/>
                <w:color w:val="000000"/>
                <w:sz w:val="24"/>
                <w:vertAlign w:val="superscript"/>
              </w:rPr>
              <w:t>3</w:t>
            </w:r>
            <w:r>
              <w:rPr>
                <w:rFonts w:ascii="Times New Roman" w:hAnsi="Times New Roman" w:cs="Times New Roman"/>
                <w:color w:val="000000"/>
                <w:sz w:val="24"/>
              </w:rPr>
              <w:t>，颗粒物</w:t>
            </w:r>
            <w:r>
              <w:rPr>
                <w:rFonts w:hint="eastAsia" w:ascii="Times New Roman" w:hAnsi="Times New Roman" w:cs="Times New Roman"/>
                <w:color w:val="000000"/>
                <w:sz w:val="24"/>
              </w:rPr>
              <w:t>、</w:t>
            </w:r>
            <w:r>
              <w:rPr>
                <w:rFonts w:ascii="Times New Roman" w:hAnsi="Times New Roman" w:cs="Times New Roman"/>
                <w:color w:val="000000"/>
                <w:sz w:val="24"/>
              </w:rPr>
              <w:t>SO</w:t>
            </w:r>
            <w:r>
              <w:rPr>
                <w:rFonts w:ascii="Times New Roman" w:hAnsi="Times New Roman" w:cs="Times New Roman"/>
                <w:color w:val="000000"/>
                <w:sz w:val="24"/>
                <w:vertAlign w:val="subscript"/>
              </w:rPr>
              <w:t>2</w:t>
            </w:r>
            <w:r>
              <w:rPr>
                <w:rFonts w:ascii="Times New Roman" w:hAnsi="Times New Roman" w:cs="Times New Roman"/>
                <w:color w:val="000000"/>
                <w:sz w:val="24"/>
              </w:rPr>
              <w:t>能满足《锅炉大气污染物排放标准》（DB50/658-2016）重庆市地方标准第1号修改单表3标准（颗粒物排放浓度30g/m</w:t>
            </w:r>
            <w:r>
              <w:rPr>
                <w:rFonts w:ascii="Times New Roman" w:hAnsi="Times New Roman" w:cs="Times New Roman"/>
                <w:color w:val="000000"/>
                <w:sz w:val="24"/>
                <w:vertAlign w:val="superscript"/>
              </w:rPr>
              <w:t>3</w:t>
            </w:r>
            <w:r>
              <w:rPr>
                <w:rFonts w:ascii="Times New Roman" w:hAnsi="Times New Roman" w:cs="Times New Roman"/>
                <w:color w:val="000000"/>
                <w:sz w:val="24"/>
              </w:rPr>
              <w:t>，SO</w:t>
            </w:r>
            <w:r>
              <w:rPr>
                <w:rFonts w:ascii="Times New Roman" w:hAnsi="Times New Roman" w:cs="Times New Roman"/>
                <w:color w:val="000000"/>
                <w:sz w:val="24"/>
                <w:vertAlign w:val="subscript"/>
              </w:rPr>
              <w:t>2</w:t>
            </w:r>
            <w:r>
              <w:rPr>
                <w:rFonts w:ascii="Times New Roman" w:hAnsi="Times New Roman" w:cs="Times New Roman"/>
                <w:color w:val="000000"/>
                <w:sz w:val="24"/>
              </w:rPr>
              <w:t>排放浓度100mg/m</w:t>
            </w:r>
            <w:r>
              <w:rPr>
                <w:rFonts w:ascii="Times New Roman" w:hAnsi="Times New Roman" w:cs="Times New Roman"/>
                <w:color w:val="000000"/>
                <w:sz w:val="24"/>
                <w:vertAlign w:val="superscript"/>
              </w:rPr>
              <w:t>3</w:t>
            </w:r>
            <w:r>
              <w:rPr>
                <w:rFonts w:ascii="Times New Roman" w:hAnsi="Times New Roman" w:cs="Times New Roman"/>
                <w:color w:val="000000"/>
                <w:sz w:val="24"/>
              </w:rPr>
              <w:t>）标准限值要求</w:t>
            </w:r>
            <w:r>
              <w:rPr>
                <w:rFonts w:hint="eastAsia" w:ascii="Times New Roman" w:hAnsi="Times New Roman" w:cs="Times New Roman"/>
                <w:color w:val="000000"/>
                <w:sz w:val="24"/>
              </w:rPr>
              <w:t>，</w:t>
            </w:r>
            <w:r>
              <w:rPr>
                <w:rFonts w:ascii="Times New Roman" w:hAnsi="Times New Roman" w:cs="Times New Roman"/>
                <w:color w:val="000000"/>
                <w:sz w:val="24"/>
              </w:rPr>
              <w:t>NO</w:t>
            </w:r>
            <w:r>
              <w:rPr>
                <w:rFonts w:hint="eastAsia" w:ascii="Times New Roman" w:hAnsi="Times New Roman" w:cs="Times New Roman"/>
                <w:color w:val="000000"/>
                <w:sz w:val="24"/>
                <w:vertAlign w:val="subscript"/>
              </w:rPr>
              <w:t>X</w:t>
            </w:r>
            <w:r>
              <w:rPr>
                <w:rFonts w:ascii="Times New Roman" w:hAnsi="Times New Roman" w:cs="Times New Roman"/>
                <w:color w:val="000000"/>
                <w:sz w:val="24"/>
              </w:rPr>
              <w:t>排放浓度</w:t>
            </w:r>
            <w:r>
              <w:rPr>
                <w:rFonts w:hint="eastAsia" w:ascii="Times New Roman" w:hAnsi="Times New Roman" w:cs="Times New Roman"/>
                <w:color w:val="000000"/>
                <w:sz w:val="24"/>
              </w:rPr>
              <w:t>不稳定，不能做到稳定达标排放</w:t>
            </w:r>
            <w:r>
              <w:rPr>
                <w:rFonts w:ascii="Times New Roman" w:hAnsi="Times New Roman" w:cs="Times New Roman"/>
                <w:color w:val="000000"/>
                <w:sz w:val="24"/>
              </w:rPr>
              <w:t>（NO</w:t>
            </w:r>
            <w:r>
              <w:rPr>
                <w:rFonts w:hint="eastAsia" w:ascii="Times New Roman" w:hAnsi="Times New Roman" w:cs="Times New Roman"/>
                <w:color w:val="000000"/>
                <w:sz w:val="24"/>
                <w:vertAlign w:val="subscript"/>
              </w:rPr>
              <w:t>X</w:t>
            </w:r>
            <w:r>
              <w:rPr>
                <w:rFonts w:ascii="Times New Roman" w:hAnsi="Times New Roman" w:cs="Times New Roman"/>
                <w:color w:val="000000"/>
                <w:sz w:val="24"/>
              </w:rPr>
              <w:t>排放浓度50mg/m</w:t>
            </w:r>
            <w:r>
              <w:rPr>
                <w:rFonts w:ascii="Times New Roman" w:hAnsi="Times New Roman" w:cs="Times New Roman"/>
                <w:color w:val="000000"/>
                <w:sz w:val="24"/>
                <w:vertAlign w:val="superscript"/>
              </w:rPr>
              <w:t>3</w:t>
            </w:r>
            <w:r>
              <w:rPr>
                <w:rFonts w:hint="eastAsia" w:ascii="Times New Roman" w:hAnsi="Times New Roman" w:cs="Times New Roman"/>
                <w:color w:val="000000"/>
                <w:sz w:val="24"/>
              </w:rPr>
              <w:t>）</w:t>
            </w:r>
            <w:r>
              <w:rPr>
                <w:rFonts w:ascii="Times New Roman" w:hAnsi="Times New Roman" w:cs="Times New Roman"/>
                <w:color w:val="000000"/>
                <w:sz w:val="24"/>
              </w:rPr>
              <w:t>厂界外硫化氢最大浓度0.01</w:t>
            </w:r>
            <w:r>
              <w:rPr>
                <w:rFonts w:hint="eastAsia" w:ascii="Times New Roman" w:hAnsi="Times New Roman" w:cs="Times New Roman"/>
                <w:color w:val="000000"/>
                <w:sz w:val="24"/>
              </w:rPr>
              <w:t>m</w:t>
            </w:r>
            <w:r>
              <w:rPr>
                <w:rFonts w:ascii="Times New Roman" w:hAnsi="Times New Roman" w:cs="Times New Roman"/>
                <w:color w:val="000000"/>
                <w:sz w:val="24"/>
              </w:rPr>
              <w:t>g/m</w:t>
            </w:r>
            <w:r>
              <w:rPr>
                <w:rFonts w:ascii="Times New Roman" w:hAnsi="Times New Roman" w:cs="Times New Roman"/>
                <w:color w:val="000000"/>
                <w:sz w:val="24"/>
                <w:vertAlign w:val="superscript"/>
              </w:rPr>
              <w:t>3</w:t>
            </w:r>
            <w:r>
              <w:rPr>
                <w:rFonts w:ascii="Times New Roman" w:hAnsi="Times New Roman" w:cs="Times New Roman"/>
                <w:color w:val="000000"/>
                <w:sz w:val="24"/>
              </w:rPr>
              <w:t>，满足《恶臭污染物排放标准》（GB14554-93）中表1二级新扩改建标准要求，非甲烷总烃最大排放浓度2.</w:t>
            </w:r>
            <w:r>
              <w:rPr>
                <w:rFonts w:hint="eastAsia" w:ascii="Times New Roman" w:hAnsi="Times New Roman" w:cs="Times New Roman"/>
                <w:color w:val="000000"/>
                <w:sz w:val="24"/>
              </w:rPr>
              <w:t>71m</w:t>
            </w:r>
            <w:r>
              <w:rPr>
                <w:rFonts w:ascii="Times New Roman" w:hAnsi="Times New Roman" w:cs="Times New Roman"/>
                <w:color w:val="000000"/>
                <w:sz w:val="24"/>
              </w:rPr>
              <w:t>g/m</w:t>
            </w:r>
            <w:r>
              <w:rPr>
                <w:rFonts w:ascii="Times New Roman" w:hAnsi="Times New Roman" w:cs="Times New Roman"/>
                <w:color w:val="000000"/>
                <w:sz w:val="24"/>
                <w:vertAlign w:val="superscript"/>
              </w:rPr>
              <w:t>3</w:t>
            </w:r>
            <w:r>
              <w:rPr>
                <w:rFonts w:ascii="Times New Roman" w:hAnsi="Times New Roman" w:cs="Times New Roman"/>
                <w:color w:val="000000"/>
                <w:sz w:val="24"/>
              </w:rPr>
              <w:t>，满足《大气污染物综合排放标准》（DB50/418-2016）表1标准限值要求。</w:t>
            </w:r>
          </w:p>
          <w:p w14:paraId="65F5037E">
            <w:pPr>
              <w:spacing w:line="360" w:lineRule="auto"/>
              <w:ind w:firstLine="480" w:firstLineChars="200"/>
              <w:rPr>
                <w:rFonts w:ascii="Times New Roman" w:hAnsi="Times New Roman" w:cs="Times New Roman"/>
                <w:color w:val="000000"/>
                <w:sz w:val="24"/>
              </w:rPr>
            </w:pPr>
            <w:r>
              <w:rPr>
                <w:rFonts w:hint="eastAsia" w:ascii="Times New Roman" w:hAnsi="Times New Roman" w:cs="Times New Roman"/>
                <w:color w:val="000000"/>
                <w:sz w:val="24"/>
              </w:rPr>
              <w:t>（</w:t>
            </w:r>
            <w:r>
              <w:rPr>
                <w:rFonts w:ascii="Times New Roman" w:hAnsi="Times New Roman" w:cs="Times New Roman"/>
                <w:color w:val="000000"/>
                <w:sz w:val="24"/>
              </w:rPr>
              <w:t>2</w:t>
            </w:r>
            <w:r>
              <w:rPr>
                <w:rFonts w:hint="eastAsia" w:ascii="Times New Roman" w:hAnsi="Times New Roman" w:cs="Times New Roman"/>
                <w:color w:val="000000"/>
                <w:sz w:val="24"/>
              </w:rPr>
              <w:t>）</w:t>
            </w:r>
            <w:r>
              <w:rPr>
                <w:rFonts w:ascii="Times New Roman" w:hAnsi="Times New Roman" w:cs="Times New Roman"/>
                <w:color w:val="000000"/>
                <w:sz w:val="24"/>
              </w:rPr>
              <w:t>废水污染源梳理情况</w:t>
            </w:r>
          </w:p>
          <w:p w14:paraId="0393D936">
            <w:pPr>
              <w:spacing w:line="360" w:lineRule="auto"/>
              <w:ind w:firstLine="480" w:firstLineChars="200"/>
              <w:rPr>
                <w:rFonts w:ascii="Times New Roman" w:hAnsi="Times New Roman" w:cs="Times New Roman"/>
                <w:color w:val="000000"/>
                <w:sz w:val="24"/>
              </w:rPr>
            </w:pPr>
            <w:r>
              <w:rPr>
                <w:rFonts w:hint="eastAsia" w:ascii="Times New Roman" w:hAnsi="Times New Roman" w:cs="Times New Roman"/>
                <w:color w:val="000000"/>
                <w:sz w:val="24"/>
              </w:rPr>
              <w:t>现有工程生产废水、初期雨水（LNG厂生产区）、生活污水、循环水系统含盐污水分别经管道收集后，经泵提升合并后，经同一外排口输送至潘家坝污水处理厂集中处理。</w:t>
            </w:r>
          </w:p>
          <w:p w14:paraId="5A009753">
            <w:pPr>
              <w:spacing w:line="360" w:lineRule="auto"/>
              <w:ind w:firstLine="480" w:firstLineChars="200"/>
              <w:rPr>
                <w:rFonts w:ascii="Times New Roman" w:hAnsi="Times New Roman" w:cs="Times New Roman"/>
                <w:color w:val="000000"/>
                <w:sz w:val="24"/>
              </w:rPr>
            </w:pPr>
            <w:r>
              <w:rPr>
                <w:rFonts w:hint="eastAsia" w:ascii="Times New Roman" w:hAnsi="Times New Roman" w:cs="Times New Roman"/>
                <w:color w:val="000000"/>
                <w:sz w:val="24"/>
              </w:rPr>
              <w:t>项目近2年已稳定达产，根据2020~2021年监督性监测报告（见附件），该项目生产废水排放口W1中的PH、化学需氧量、悬浮物、动植物油、石油类均满足《污水综合排放标准》（GB8978-1996）表4中三级标准要求。总磷、总氮、氯化物满足《污水排入城镇下水道水质标准》（GB/T 31962-2015）B级标准；生活污水排放口W2中的PH、化学需氧量、悬浮物、动植物油、五日生化需氧量、石油类均满足《污水综合排放标准》（GB8978-1996）表4中三级标准要求 ，总磷、总氮、氯化物满足《污水排入城镇下水道水质标准》（GB/T 31962-2015）B级标准要求。</w:t>
            </w:r>
          </w:p>
          <w:p w14:paraId="63BA3985">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（3）噪声污染源监测情况</w:t>
            </w:r>
          </w:p>
          <w:p w14:paraId="7A3D9282">
            <w:pPr>
              <w:widowControl/>
              <w:adjustRightInd w:val="0"/>
              <w:snapToGrid w:val="0"/>
              <w:spacing w:line="360" w:lineRule="auto"/>
              <w:ind w:firstLine="480" w:firstLineChars="200"/>
              <w:jc w:val="left"/>
              <w:rPr>
                <w:rFonts w:ascii="Times New Roman" w:hAnsi="Times New Roman" w:cs="Times New Roman"/>
                <w:color w:val="000000"/>
                <w:sz w:val="24"/>
              </w:rPr>
            </w:pPr>
            <w:r>
              <w:rPr>
                <w:rFonts w:ascii="Times New Roman" w:hAnsi="Times New Roman" w:cs="Times New Roman"/>
                <w:color w:val="000000"/>
                <w:sz w:val="24"/>
              </w:rPr>
              <w:t>项目</w:t>
            </w:r>
            <w:r>
              <w:rPr>
                <w:rFonts w:hint="eastAsia" w:ascii="Times New Roman" w:hAnsi="Times New Roman" w:cs="Times New Roman"/>
                <w:color w:val="000000"/>
                <w:sz w:val="24"/>
              </w:rPr>
              <w:t>近2年已稳定达产，根据2020~2021年监督性监测报告显示，</w:t>
            </w:r>
            <w:r>
              <w:rPr>
                <w:rFonts w:ascii="Times New Roman" w:hAnsi="Times New Roman" w:cs="Times New Roman"/>
                <w:color w:val="000000"/>
                <w:sz w:val="24"/>
              </w:rPr>
              <w:t>厂界东、西、南、北各厂界均满足《工业企业厂界环境噪声排放标准》（GB12348-2008）3类区标准要求。未发生噪声扰民现象。</w:t>
            </w:r>
          </w:p>
          <w:p w14:paraId="272A7459">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（4）固体废物处置情况</w:t>
            </w:r>
          </w:p>
          <w:p w14:paraId="22BE3C32">
            <w:pPr>
              <w:widowControl/>
              <w:adjustRightInd w:val="0"/>
              <w:snapToGrid w:val="0"/>
              <w:spacing w:line="360" w:lineRule="auto"/>
              <w:ind w:firstLine="520"/>
              <w:jc w:val="left"/>
              <w:rPr>
                <w:rFonts w:ascii="Times New Roman" w:hAnsi="Times New Roman" w:cs="Times New Roman"/>
                <w:sz w:val="24"/>
              </w:rPr>
            </w:pPr>
            <w:r>
              <w:rPr>
                <w:rFonts w:ascii="Times New Roman" w:hAnsi="Times New Roman" w:cs="Times New Roman"/>
                <w:color w:val="000000"/>
                <w:sz w:val="24"/>
              </w:rPr>
              <w:t>项目营运期一般固废主要为干燥器废分子筛、制冷剂干燥产生的废分子筛，</w:t>
            </w:r>
            <w:r>
              <w:rPr>
                <w:rFonts w:hint="eastAsia" w:ascii="Times New Roman" w:hAnsi="Times New Roman" w:cs="Times New Roman"/>
                <w:color w:val="000000"/>
                <w:sz w:val="24"/>
              </w:rPr>
              <w:t>交一般固废处置单位</w:t>
            </w:r>
            <w:r>
              <w:rPr>
                <w:rFonts w:ascii="Times New Roman" w:hAnsi="Times New Roman" w:cs="Times New Roman"/>
                <w:color w:val="000000"/>
                <w:sz w:val="24"/>
              </w:rPr>
              <w:t>进行处置。项目危险废物主要包括贫胺过滤器活性炭吸附剂、脱汞塔废吸附剂、实验室废液、</w:t>
            </w:r>
            <w:r>
              <w:rPr>
                <w:rFonts w:hint="eastAsia" w:ascii="Times New Roman" w:hAnsi="Times New Roman" w:cs="Times New Roman"/>
                <w:color w:val="000000"/>
                <w:sz w:val="24"/>
              </w:rPr>
              <w:t>MDEA闪蒸罐等废液</w:t>
            </w:r>
            <w:r>
              <w:rPr>
                <w:rFonts w:ascii="Times New Roman" w:hAnsi="Times New Roman" w:cs="Times New Roman"/>
                <w:color w:val="000000"/>
                <w:sz w:val="24"/>
              </w:rPr>
              <w:t>、废机油桶、废药剂桶、废润滑油、废矿物油</w:t>
            </w:r>
            <w:r>
              <w:rPr>
                <w:rFonts w:hint="eastAsia" w:ascii="Times New Roman" w:hAnsi="Times New Roman" w:cs="Times New Roman"/>
                <w:color w:val="000000"/>
                <w:sz w:val="24"/>
              </w:rPr>
              <w:t>、废导热油</w:t>
            </w:r>
            <w:r>
              <w:rPr>
                <w:rFonts w:ascii="Times New Roman" w:hAnsi="Times New Roman" w:cs="Times New Roman"/>
                <w:color w:val="000000"/>
                <w:sz w:val="24"/>
              </w:rPr>
              <w:t>等，</w:t>
            </w:r>
            <w:r>
              <w:rPr>
                <w:rFonts w:hint="eastAsia" w:ascii="Times New Roman" w:hAnsi="Times New Roman" w:cs="Times New Roman"/>
                <w:color w:val="000000"/>
                <w:sz w:val="24"/>
              </w:rPr>
              <w:t>交</w:t>
            </w:r>
            <w:r>
              <w:rPr>
                <w:rFonts w:ascii="Times New Roman" w:hAnsi="Times New Roman" w:cs="Times New Roman"/>
                <w:color w:val="000000"/>
                <w:sz w:val="24"/>
              </w:rPr>
              <w:t>危废资质的单位进行处置。</w:t>
            </w:r>
          </w:p>
          <w:p w14:paraId="7718170A">
            <w:pPr>
              <w:spacing w:line="360" w:lineRule="auto"/>
              <w:rPr>
                <w:rFonts w:ascii="Times New Roman" w:hAnsi="Times New Roman" w:cs="Times New Roman"/>
                <w:b/>
                <w:spacing w:val="-4"/>
                <w:kern w:val="24"/>
                <w:sz w:val="24"/>
              </w:rPr>
            </w:pPr>
            <w:r>
              <w:rPr>
                <w:rFonts w:ascii="Times New Roman" w:hAnsi="Times New Roman" w:cs="Times New Roman"/>
                <w:b/>
                <w:spacing w:val="-4"/>
                <w:kern w:val="24"/>
                <w:sz w:val="24"/>
              </w:rPr>
              <w:t>2.3.5现有工程“三废”排放情况汇总</w:t>
            </w:r>
            <w:bookmarkEnd w:id="16"/>
            <w:bookmarkEnd w:id="17"/>
          </w:p>
          <w:p w14:paraId="7238C268">
            <w:pPr>
              <w:spacing w:line="440" w:lineRule="exact"/>
              <w:ind w:firstLine="480" w:firstLineChars="200"/>
              <w:rPr>
                <w:rFonts w:ascii="Times New Roman" w:hAnsi="Times New Roman" w:cs="Times New Roman"/>
                <w:sz w:val="24"/>
              </w:rPr>
            </w:pPr>
            <w:r>
              <w:rPr>
                <w:rFonts w:ascii="Times New Roman" w:hAnsi="Times New Roman" w:cs="Times New Roman"/>
                <w:sz w:val="24"/>
              </w:rPr>
              <w:t>现有全厂“三废”排放见表2.3.5-1。</w:t>
            </w:r>
          </w:p>
          <w:p w14:paraId="0686FFA7">
            <w:pPr>
              <w:spacing w:line="440" w:lineRule="exact"/>
              <w:jc w:val="center"/>
              <w:rPr>
                <w:rFonts w:ascii="Times New Roman" w:hAnsi="Times New Roman" w:cs="Times New Roman"/>
                <w:b/>
                <w:szCs w:val="21"/>
              </w:rPr>
            </w:pPr>
            <w:r>
              <w:rPr>
                <w:rFonts w:ascii="Times New Roman" w:hAnsi="Times New Roman" w:cs="Times New Roman"/>
                <w:b/>
                <w:szCs w:val="21"/>
              </w:rPr>
              <w:t>2.3.5-1   现有项目全厂“三废”排放汇总表</w:t>
            </w:r>
            <w:bookmarkStart w:id="18" w:name="_Toc519151571"/>
            <w:bookmarkStart w:id="19" w:name="_Toc512430836"/>
            <w:bookmarkStart w:id="20" w:name="_Toc17428407"/>
          </w:p>
          <w:tbl>
            <w:tblPr>
              <w:tblStyle w:val="81"/>
              <w:tblW w:w="5000" w:type="pct"/>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autofit"/>
              <w:tblCellMar>
                <w:top w:w="0" w:type="dxa"/>
                <w:left w:w="108" w:type="dxa"/>
                <w:bottom w:w="0" w:type="dxa"/>
                <w:right w:w="108" w:type="dxa"/>
              </w:tblCellMar>
            </w:tblPr>
            <w:tblGrid>
              <w:gridCol w:w="426"/>
              <w:gridCol w:w="1096"/>
              <w:gridCol w:w="574"/>
              <w:gridCol w:w="1502"/>
              <w:gridCol w:w="1656"/>
              <w:gridCol w:w="847"/>
              <w:gridCol w:w="1268"/>
              <w:gridCol w:w="1090"/>
              <w:gridCol w:w="606"/>
            </w:tblGrid>
            <w:tr w14:paraId="67938907">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PrEx>
              <w:trPr>
                <w:trHeight w:val="652" w:hRule="atLeast"/>
                <w:jc w:val="center"/>
              </w:trPr>
              <w:tc>
                <w:tcPr>
                  <w:tcW w:w="841" w:type="pct"/>
                  <w:gridSpan w:val="2"/>
                  <w:tcBorders>
                    <w:tl2br w:val="nil"/>
                    <w:tr2bl w:val="nil"/>
                  </w:tcBorders>
                  <w:vAlign w:val="center"/>
                </w:tcPr>
                <w:p w14:paraId="040A647E">
                  <w:pPr>
                    <w:rPr>
                      <w:color w:val="000000"/>
                      <w:szCs w:val="21"/>
                    </w:rPr>
                  </w:pPr>
                  <w:r>
                    <w:rPr>
                      <w:color w:val="000000"/>
                      <w:szCs w:val="21"/>
                    </w:rPr>
                    <w:t>污染源</w:t>
                  </w:r>
                </w:p>
              </w:tc>
              <w:tc>
                <w:tcPr>
                  <w:tcW w:w="323" w:type="pct"/>
                  <w:tcBorders>
                    <w:tl2br w:val="nil"/>
                    <w:tr2bl w:val="nil"/>
                  </w:tcBorders>
                  <w:vAlign w:val="center"/>
                </w:tcPr>
                <w:p w14:paraId="1DBDD971">
                  <w:pPr>
                    <w:rPr>
                      <w:color w:val="000000"/>
                      <w:szCs w:val="21"/>
                    </w:rPr>
                  </w:pPr>
                  <w:r>
                    <w:rPr>
                      <w:color w:val="000000"/>
                      <w:szCs w:val="21"/>
                    </w:rPr>
                    <w:t>类型</w:t>
                  </w:r>
                </w:p>
              </w:tc>
              <w:tc>
                <w:tcPr>
                  <w:tcW w:w="835" w:type="pct"/>
                  <w:tcBorders>
                    <w:tl2br w:val="nil"/>
                    <w:tr2bl w:val="nil"/>
                  </w:tcBorders>
                  <w:vAlign w:val="center"/>
                </w:tcPr>
                <w:p w14:paraId="174B8936">
                  <w:pPr>
                    <w:rPr>
                      <w:color w:val="000000"/>
                      <w:szCs w:val="21"/>
                    </w:rPr>
                  </w:pPr>
                  <w:r>
                    <w:rPr>
                      <w:color w:val="000000"/>
                      <w:szCs w:val="21"/>
                    </w:rPr>
                    <w:t>污染物</w:t>
                  </w:r>
                </w:p>
              </w:tc>
              <w:tc>
                <w:tcPr>
                  <w:tcW w:w="892" w:type="pct"/>
                  <w:tcBorders>
                    <w:tl2br w:val="nil"/>
                    <w:tr2bl w:val="nil"/>
                  </w:tcBorders>
                  <w:vAlign w:val="center"/>
                </w:tcPr>
                <w:p w14:paraId="47DBA932">
                  <w:pPr>
                    <w:rPr>
                      <w:color w:val="000000"/>
                      <w:szCs w:val="21"/>
                    </w:rPr>
                  </w:pPr>
                  <w:r>
                    <w:rPr>
                      <w:color w:val="000000"/>
                      <w:szCs w:val="21"/>
                    </w:rPr>
                    <w:t>现有工程排放量t/a</w:t>
                  </w:r>
                </w:p>
              </w:tc>
              <w:tc>
                <w:tcPr>
                  <w:tcW w:w="474" w:type="pct"/>
                  <w:tcBorders>
                    <w:tl2br w:val="nil"/>
                    <w:tr2bl w:val="nil"/>
                  </w:tcBorders>
                  <w:vAlign w:val="center"/>
                </w:tcPr>
                <w:p w14:paraId="50F6AF11">
                  <w:pPr>
                    <w:rPr>
                      <w:color w:val="000000"/>
                      <w:szCs w:val="21"/>
                    </w:rPr>
                  </w:pPr>
                  <w:r>
                    <w:rPr>
                      <w:color w:val="000000"/>
                      <w:szCs w:val="21"/>
                    </w:rPr>
                    <w:t>批复量t/a</w:t>
                  </w:r>
                </w:p>
              </w:tc>
              <w:tc>
                <w:tcPr>
                  <w:tcW w:w="706" w:type="pct"/>
                  <w:tcBorders>
                    <w:tl2br w:val="nil"/>
                    <w:tr2bl w:val="nil"/>
                  </w:tcBorders>
                  <w:vAlign w:val="center"/>
                </w:tcPr>
                <w:p w14:paraId="22A6F918">
                  <w:pPr>
                    <w:rPr>
                      <w:color w:val="000000"/>
                      <w:szCs w:val="21"/>
                    </w:rPr>
                  </w:pPr>
                  <w:r>
                    <w:rPr>
                      <w:color w:val="000000"/>
                      <w:szCs w:val="21"/>
                    </w:rPr>
                    <w:t>现有工程</w:t>
                  </w:r>
                  <w:r>
                    <w:rPr>
                      <w:rFonts w:hint="eastAsia"/>
                      <w:color w:val="000000"/>
                      <w:szCs w:val="21"/>
                    </w:rPr>
                    <w:t>最大</w:t>
                  </w:r>
                  <w:r>
                    <w:rPr>
                      <w:color w:val="000000"/>
                      <w:szCs w:val="21"/>
                    </w:rPr>
                    <w:t>排放浓度</w:t>
                  </w:r>
                </w:p>
              </w:tc>
              <w:tc>
                <w:tcPr>
                  <w:tcW w:w="588" w:type="pct"/>
                  <w:tcBorders>
                    <w:tl2br w:val="nil"/>
                    <w:tr2bl w:val="nil"/>
                  </w:tcBorders>
                  <w:vAlign w:val="center"/>
                </w:tcPr>
                <w:p w14:paraId="7AAEBFFE">
                  <w:pPr>
                    <w:rPr>
                      <w:color w:val="000000"/>
                      <w:szCs w:val="21"/>
                    </w:rPr>
                  </w:pPr>
                  <w:r>
                    <w:rPr>
                      <w:color w:val="000000"/>
                      <w:szCs w:val="21"/>
                    </w:rPr>
                    <w:t>执行标准值</w:t>
                  </w:r>
                </w:p>
              </w:tc>
              <w:tc>
                <w:tcPr>
                  <w:tcW w:w="341" w:type="pct"/>
                  <w:tcBorders>
                    <w:tl2br w:val="nil"/>
                    <w:tr2bl w:val="nil"/>
                  </w:tcBorders>
                  <w:vAlign w:val="center"/>
                </w:tcPr>
                <w:p w14:paraId="1D086EE8">
                  <w:pPr>
                    <w:rPr>
                      <w:color w:val="000000"/>
                      <w:szCs w:val="21"/>
                    </w:rPr>
                  </w:pPr>
                  <w:r>
                    <w:rPr>
                      <w:color w:val="000000"/>
                      <w:szCs w:val="21"/>
                    </w:rPr>
                    <w:t>达标情况</w:t>
                  </w:r>
                </w:p>
              </w:tc>
            </w:tr>
            <w:tr w14:paraId="5F7D03A4">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30" w:type="pct"/>
                  <w:vMerge w:val="restart"/>
                  <w:tcBorders>
                    <w:tl2br w:val="nil"/>
                    <w:tr2bl w:val="nil"/>
                  </w:tcBorders>
                  <w:vAlign w:val="center"/>
                </w:tcPr>
                <w:p w14:paraId="21FCCE13">
                  <w:pPr>
                    <w:rPr>
                      <w:color w:val="000000"/>
                      <w:szCs w:val="21"/>
                    </w:rPr>
                  </w:pPr>
                  <w:r>
                    <w:rPr>
                      <w:color w:val="000000"/>
                      <w:szCs w:val="21"/>
                    </w:rPr>
                    <w:t>废气</w:t>
                  </w:r>
                </w:p>
              </w:tc>
              <w:tc>
                <w:tcPr>
                  <w:tcW w:w="611" w:type="pct"/>
                  <w:tcBorders>
                    <w:tl2br w:val="nil"/>
                    <w:tr2bl w:val="nil"/>
                  </w:tcBorders>
                  <w:vAlign w:val="center"/>
                </w:tcPr>
                <w:p w14:paraId="7A7A8464">
                  <w:pPr>
                    <w:adjustRightInd w:val="0"/>
                    <w:snapToGrid w:val="0"/>
                    <w:jc w:val="center"/>
                    <w:rPr>
                      <w:rFonts w:ascii="Times New Roman" w:hAnsi="Times New Roman" w:cs="Times New Roman"/>
                      <w:color w:val="000000"/>
                      <w:szCs w:val="21"/>
                    </w:rPr>
                  </w:pPr>
                  <w:r>
                    <w:rPr>
                      <w:rFonts w:hint="eastAsia" w:ascii="Times New Roman" w:hAnsi="Times New Roman" w:cs="Times New Roman"/>
                      <w:color w:val="000000"/>
                      <w:spacing w:val="24"/>
                    </w:rPr>
                    <w:t>MDEA闪蒸罐</w:t>
                  </w:r>
                  <w:r>
                    <w:rPr>
                      <w:rFonts w:ascii="Times New Roman" w:hAnsi="Times New Roman" w:cs="Times New Roman"/>
                      <w:color w:val="000000"/>
                      <w:spacing w:val="24"/>
                    </w:rPr>
                    <w:t>废气</w:t>
                  </w:r>
                </w:p>
              </w:tc>
              <w:tc>
                <w:tcPr>
                  <w:tcW w:w="323" w:type="pct"/>
                  <w:tcBorders>
                    <w:tl2br w:val="nil"/>
                    <w:tr2bl w:val="nil"/>
                  </w:tcBorders>
                  <w:vAlign w:val="center"/>
                </w:tcPr>
                <w:p w14:paraId="4935FA32">
                  <w:pPr>
                    <w:rPr>
                      <w:color w:val="000000"/>
                      <w:szCs w:val="21"/>
                    </w:rPr>
                  </w:pPr>
                  <w:r>
                    <w:rPr>
                      <w:color w:val="000000"/>
                      <w:szCs w:val="21"/>
                    </w:rPr>
                    <w:t>有组织</w:t>
                  </w:r>
                </w:p>
              </w:tc>
              <w:tc>
                <w:tcPr>
                  <w:tcW w:w="835" w:type="pct"/>
                  <w:tcBorders>
                    <w:tl2br w:val="nil"/>
                    <w:tr2bl w:val="nil"/>
                  </w:tcBorders>
                  <w:vAlign w:val="center"/>
                </w:tcPr>
                <w:p w14:paraId="36CC3265">
                  <w:pPr>
                    <w:adjustRightInd w:val="0"/>
                    <w:snapToGrid w:val="0"/>
                    <w:jc w:val="center"/>
                    <w:rPr>
                      <w:rFonts w:ascii="Times New Roman" w:hAnsi="Times New Roman" w:cs="Times New Roman"/>
                      <w:color w:val="000000"/>
                      <w:szCs w:val="21"/>
                    </w:rPr>
                  </w:pPr>
                  <w:r>
                    <w:rPr>
                      <w:rFonts w:ascii="Times New Roman" w:hAnsi="Times New Roman" w:cs="Times New Roman"/>
                      <w:color w:val="000000"/>
                      <w:spacing w:val="24"/>
                      <w:szCs w:val="21"/>
                    </w:rPr>
                    <w:t>CO</w:t>
                  </w:r>
                  <w:r>
                    <w:rPr>
                      <w:rFonts w:ascii="Times New Roman" w:hAnsi="Times New Roman" w:cs="Times New Roman"/>
                      <w:color w:val="000000"/>
                      <w:spacing w:val="24"/>
                      <w:szCs w:val="21"/>
                      <w:vertAlign w:val="subscript"/>
                    </w:rPr>
                    <w:t>2</w:t>
                  </w:r>
                  <w:r>
                    <w:rPr>
                      <w:rFonts w:hint="eastAsia" w:ascii="Times New Roman" w:hAnsi="Times New Roman" w:cs="Times New Roman"/>
                      <w:color w:val="000000"/>
                      <w:spacing w:val="24"/>
                      <w:szCs w:val="21"/>
                    </w:rPr>
                    <w:t>、</w:t>
                  </w:r>
                  <w:r>
                    <w:rPr>
                      <w:rFonts w:ascii="Times New Roman" w:hAnsi="Times New Roman" w:cs="Times New Roman"/>
                      <w:color w:val="000000"/>
                      <w:szCs w:val="21"/>
                    </w:rPr>
                    <w:t>H</w:t>
                  </w:r>
                  <w:r>
                    <w:rPr>
                      <w:rFonts w:ascii="Times New Roman" w:hAnsi="Times New Roman" w:cs="Times New Roman"/>
                      <w:color w:val="000000"/>
                      <w:szCs w:val="21"/>
                      <w:vertAlign w:val="subscript"/>
                    </w:rPr>
                    <w:t>2</w:t>
                  </w:r>
                  <w:r>
                    <w:rPr>
                      <w:rFonts w:ascii="Times New Roman" w:hAnsi="Times New Roman" w:cs="Times New Roman"/>
                      <w:color w:val="000000"/>
                      <w:szCs w:val="21"/>
                    </w:rPr>
                    <w:t>S</w:t>
                  </w:r>
                </w:p>
              </w:tc>
              <w:tc>
                <w:tcPr>
                  <w:tcW w:w="892" w:type="pct"/>
                  <w:tcBorders>
                    <w:tl2br w:val="nil"/>
                    <w:tr2bl w:val="nil"/>
                  </w:tcBorders>
                  <w:vAlign w:val="center"/>
                </w:tcPr>
                <w:p w14:paraId="52B62B8D">
                  <w:pPr>
                    <w:adjustRightInd w:val="0"/>
                    <w:snapToGrid w:val="0"/>
                    <w:jc w:val="center"/>
                    <w:textAlignment w:val="center"/>
                    <w:rPr>
                      <w:rFonts w:ascii="Times New Roman" w:hAnsi="Times New Roman" w:cs="Times New Roman"/>
                      <w:color w:val="000000"/>
                      <w:szCs w:val="21"/>
                    </w:rPr>
                  </w:pPr>
                  <w:r>
                    <w:rPr>
                      <w:rFonts w:ascii="Times New Roman" w:hAnsi="Times New Roman" w:cs="Times New Roman"/>
                      <w:color w:val="000000"/>
                      <w:szCs w:val="21"/>
                    </w:rPr>
                    <w:t>少量</w:t>
                  </w:r>
                </w:p>
              </w:tc>
              <w:tc>
                <w:tcPr>
                  <w:tcW w:w="474" w:type="pct"/>
                  <w:tcBorders>
                    <w:tl2br w:val="nil"/>
                    <w:tr2bl w:val="nil"/>
                  </w:tcBorders>
                  <w:vAlign w:val="center"/>
                </w:tcPr>
                <w:p w14:paraId="31B1986A">
                  <w:pPr>
                    <w:adjustRightInd w:val="0"/>
                    <w:snapToGrid w:val="0"/>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lang w:bidi="ar"/>
                    </w:rPr>
                    <w:t>/</w:t>
                  </w:r>
                </w:p>
              </w:tc>
              <w:tc>
                <w:tcPr>
                  <w:tcW w:w="706" w:type="pct"/>
                  <w:tcBorders>
                    <w:tl2br w:val="nil"/>
                    <w:tr2bl w:val="nil"/>
                  </w:tcBorders>
                  <w:vAlign w:val="center"/>
                </w:tcPr>
                <w:p w14:paraId="0530EC55">
                  <w:pPr>
                    <w:adjustRightInd w:val="0"/>
                    <w:snapToGrid w:val="0"/>
                    <w:jc w:val="center"/>
                    <w:textAlignment w:val="center"/>
                    <w:rPr>
                      <w:rFonts w:ascii="Times New Roman" w:hAnsi="Times New Roman" w:cs="Times New Roman"/>
                      <w:color w:val="000000"/>
                      <w:szCs w:val="21"/>
                    </w:rPr>
                  </w:pPr>
                  <w:r>
                    <w:rPr>
                      <w:rFonts w:ascii="Times New Roman" w:hAnsi="Times New Roman" w:cs="Times New Roman"/>
                      <w:color w:val="000000"/>
                      <w:szCs w:val="21"/>
                    </w:rPr>
                    <w:t>H</w:t>
                  </w:r>
                  <w:r>
                    <w:rPr>
                      <w:rFonts w:ascii="Times New Roman" w:hAnsi="Times New Roman" w:cs="Times New Roman"/>
                      <w:color w:val="000000"/>
                      <w:szCs w:val="21"/>
                      <w:vertAlign w:val="subscript"/>
                    </w:rPr>
                    <w:t>2</w:t>
                  </w:r>
                  <w:r>
                    <w:rPr>
                      <w:rFonts w:ascii="Times New Roman" w:hAnsi="Times New Roman" w:cs="Times New Roman"/>
                      <w:color w:val="000000"/>
                      <w:szCs w:val="21"/>
                    </w:rPr>
                    <w:t>S</w:t>
                  </w:r>
                  <w:r>
                    <w:rPr>
                      <w:rFonts w:hint="eastAsia" w:ascii="Times New Roman" w:hAnsi="Times New Roman" w:cs="Times New Roman"/>
                      <w:color w:val="000000"/>
                      <w:szCs w:val="21"/>
                    </w:rPr>
                    <w:t>：</w:t>
                  </w:r>
                  <w:r>
                    <w:rPr>
                      <w:rFonts w:ascii="Times New Roman" w:hAnsi="Times New Roman" w:cs="Times New Roman"/>
                      <w:color w:val="000000"/>
                      <w:szCs w:val="21"/>
                    </w:rPr>
                    <w:t>2.69mg/m</w:t>
                  </w:r>
                  <w:r>
                    <w:rPr>
                      <w:rFonts w:ascii="Times New Roman" w:hAnsi="Times New Roman" w:cs="Times New Roman"/>
                      <w:color w:val="000000"/>
                      <w:szCs w:val="21"/>
                      <w:vertAlign w:val="superscript"/>
                    </w:rPr>
                    <w:t>3</w:t>
                  </w:r>
                </w:p>
              </w:tc>
              <w:tc>
                <w:tcPr>
                  <w:tcW w:w="588" w:type="pct"/>
                  <w:tcBorders>
                    <w:tl2br w:val="nil"/>
                    <w:tr2bl w:val="nil"/>
                  </w:tcBorders>
                  <w:vAlign w:val="center"/>
                </w:tcPr>
                <w:p w14:paraId="40E739D8">
                  <w:pPr>
                    <w:adjustRightInd w:val="0"/>
                    <w:snapToGrid w:val="0"/>
                    <w:jc w:val="center"/>
                    <w:textAlignment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w:t>
                  </w:r>
                </w:p>
              </w:tc>
              <w:tc>
                <w:tcPr>
                  <w:tcW w:w="341" w:type="pct"/>
                  <w:tcBorders>
                    <w:tl2br w:val="nil"/>
                    <w:tr2bl w:val="nil"/>
                  </w:tcBorders>
                  <w:vAlign w:val="center"/>
                </w:tcPr>
                <w:p w14:paraId="01A2D975">
                  <w:pPr>
                    <w:adjustRightInd w:val="0"/>
                    <w:snapToGrid w:val="0"/>
                    <w:jc w:val="center"/>
                    <w:textAlignment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w:t>
                  </w:r>
                </w:p>
              </w:tc>
            </w:tr>
            <w:tr w14:paraId="0DE6F6D7">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30" w:type="pct"/>
                  <w:vMerge w:val="continue"/>
                  <w:tcBorders>
                    <w:tl2br w:val="nil"/>
                    <w:tr2bl w:val="nil"/>
                  </w:tcBorders>
                  <w:vAlign w:val="center"/>
                </w:tcPr>
                <w:p w14:paraId="5A0195E0">
                  <w:pPr>
                    <w:rPr>
                      <w:color w:val="000000"/>
                      <w:szCs w:val="21"/>
                    </w:rPr>
                  </w:pPr>
                </w:p>
              </w:tc>
              <w:tc>
                <w:tcPr>
                  <w:tcW w:w="611" w:type="pct"/>
                  <w:vMerge w:val="restart"/>
                  <w:tcBorders>
                    <w:tl2br w:val="nil"/>
                    <w:tr2bl w:val="nil"/>
                  </w:tcBorders>
                  <w:vAlign w:val="center"/>
                </w:tcPr>
                <w:p w14:paraId="09DF9BE1">
                  <w:pPr>
                    <w:adjustRightInd w:val="0"/>
                    <w:snapToGrid w:val="0"/>
                    <w:jc w:val="center"/>
                    <w:rPr>
                      <w:rFonts w:ascii="Times New Roman" w:hAnsi="Times New Roman" w:cs="Times New Roman"/>
                      <w:color w:val="000000"/>
                      <w:szCs w:val="21"/>
                    </w:rPr>
                  </w:pPr>
                  <w:r>
                    <w:rPr>
                      <w:rFonts w:ascii="Times New Roman" w:hAnsi="Times New Roman" w:cs="Times New Roman"/>
                      <w:color w:val="000000"/>
                      <w:spacing w:val="24"/>
                    </w:rPr>
                    <w:t>导热油炉</w:t>
                  </w:r>
                </w:p>
              </w:tc>
              <w:tc>
                <w:tcPr>
                  <w:tcW w:w="323" w:type="pct"/>
                  <w:vMerge w:val="restart"/>
                  <w:tcBorders>
                    <w:tl2br w:val="nil"/>
                    <w:tr2bl w:val="nil"/>
                  </w:tcBorders>
                  <w:vAlign w:val="center"/>
                </w:tcPr>
                <w:p w14:paraId="626BB09F">
                  <w:pPr>
                    <w:adjustRightInd w:val="0"/>
                    <w:snapToGrid w:val="0"/>
                    <w:jc w:val="center"/>
                    <w:rPr>
                      <w:rFonts w:ascii="Times New Roman" w:hAnsi="Times New Roman" w:cs="Times New Roman"/>
                      <w:color w:val="000000"/>
                    </w:rPr>
                  </w:pPr>
                  <w:r>
                    <w:rPr>
                      <w:rFonts w:ascii="Times New Roman" w:hAnsi="Times New Roman" w:cs="Times New Roman"/>
                      <w:color w:val="000000"/>
                      <w:szCs w:val="21"/>
                    </w:rPr>
                    <w:t>有组织</w:t>
                  </w:r>
                </w:p>
              </w:tc>
              <w:tc>
                <w:tcPr>
                  <w:tcW w:w="835" w:type="pct"/>
                  <w:tcBorders>
                    <w:tl2br w:val="nil"/>
                    <w:tr2bl w:val="nil"/>
                  </w:tcBorders>
                  <w:vAlign w:val="center"/>
                </w:tcPr>
                <w:p w14:paraId="5863B234">
                  <w:pPr>
                    <w:pStyle w:val="504"/>
                    <w:adjustRightInd w:val="0"/>
                    <w:snapToGrid w:val="0"/>
                    <w:spacing w:before="0" w:after="0"/>
                    <w:ind w:left="0" w:firstLine="0" w:firstLineChars="0"/>
                    <w:jc w:val="center"/>
                    <w:rPr>
                      <w:rFonts w:ascii="Times New Roman" w:hAnsi="Times New Roman" w:cs="Times New Roman"/>
                      <w:color w:val="000000"/>
                      <w:szCs w:val="21"/>
                      <w:lang w:bidi="ar"/>
                    </w:rPr>
                  </w:pPr>
                  <w:r>
                    <w:rPr>
                      <w:rFonts w:ascii="Times New Roman" w:hAnsi="Times New Roman" w:cs="Times New Roman"/>
                      <w:color w:val="000000"/>
                    </w:rPr>
                    <w:t>颗粒物</w:t>
                  </w:r>
                </w:p>
              </w:tc>
              <w:tc>
                <w:tcPr>
                  <w:tcW w:w="892" w:type="pct"/>
                  <w:tcBorders>
                    <w:tl2br w:val="nil"/>
                    <w:tr2bl w:val="nil"/>
                  </w:tcBorders>
                  <w:vAlign w:val="center"/>
                </w:tcPr>
                <w:p w14:paraId="03B86B0E">
                  <w:pPr>
                    <w:pStyle w:val="504"/>
                    <w:adjustRightInd w:val="0"/>
                    <w:snapToGrid w:val="0"/>
                    <w:spacing w:before="0" w:after="0"/>
                    <w:ind w:left="0" w:firstLine="0" w:firstLineChars="0"/>
                    <w:jc w:val="center"/>
                    <w:rPr>
                      <w:rFonts w:ascii="Times New Roman" w:hAnsi="Times New Roman" w:cs="Times New Roman"/>
                      <w:color w:val="000000"/>
                    </w:rPr>
                  </w:pPr>
                  <w:r>
                    <w:rPr>
                      <w:rFonts w:hint="eastAsia" w:ascii="Times New Roman" w:hAnsi="Times New Roman" w:cs="Times New Roman"/>
                      <w:color w:val="000000"/>
                    </w:rPr>
                    <w:t>0.283</w:t>
                  </w:r>
                </w:p>
              </w:tc>
              <w:tc>
                <w:tcPr>
                  <w:tcW w:w="474" w:type="pct"/>
                  <w:tcBorders>
                    <w:tl2br w:val="nil"/>
                    <w:tr2bl w:val="nil"/>
                  </w:tcBorders>
                  <w:vAlign w:val="center"/>
                </w:tcPr>
                <w:p w14:paraId="54EFBCB8">
                  <w:pPr>
                    <w:adjustRightInd w:val="0"/>
                    <w:snapToGrid w:val="0"/>
                    <w:jc w:val="center"/>
                    <w:rPr>
                      <w:rFonts w:ascii="Times New Roman" w:hAnsi="Times New Roman" w:cs="Times New Roman"/>
                      <w:color w:val="000000"/>
                      <w:szCs w:val="21"/>
                    </w:rPr>
                  </w:pPr>
                  <w:r>
                    <w:rPr>
                      <w:rFonts w:hint="eastAsia" w:ascii="Times New Roman" w:hAnsi="Times New Roman" w:cs="Times New Roman"/>
                      <w:color w:val="000000"/>
                      <w:szCs w:val="21"/>
                    </w:rPr>
                    <w:t>/</w:t>
                  </w:r>
                </w:p>
              </w:tc>
              <w:tc>
                <w:tcPr>
                  <w:tcW w:w="706" w:type="pct"/>
                  <w:tcBorders>
                    <w:tl2br w:val="nil"/>
                    <w:tr2bl w:val="nil"/>
                  </w:tcBorders>
                  <w:vAlign w:val="center"/>
                </w:tcPr>
                <w:p w14:paraId="0C27C75F">
                  <w:pPr>
                    <w:adjustRightInd w:val="0"/>
                    <w:snapToGrid w:val="0"/>
                    <w:jc w:val="center"/>
                    <w:rPr>
                      <w:rFonts w:ascii="Times New Roman" w:hAnsi="Times New Roman" w:cs="Times New Roman"/>
                      <w:color w:val="000000"/>
                      <w:szCs w:val="21"/>
                    </w:rPr>
                  </w:pPr>
                  <w:r>
                    <w:rPr>
                      <w:rFonts w:hint="eastAsia" w:ascii="Times New Roman" w:hAnsi="Times New Roman" w:cs="Times New Roman"/>
                      <w:color w:val="000000"/>
                      <w:szCs w:val="21"/>
                    </w:rPr>
                    <w:t>10.6</w:t>
                  </w:r>
                  <w:r>
                    <w:rPr>
                      <w:rFonts w:ascii="Times New Roman" w:hAnsi="Times New Roman" w:cs="Times New Roman"/>
                      <w:color w:val="000000"/>
                      <w:szCs w:val="21"/>
                    </w:rPr>
                    <w:t>mg/m</w:t>
                  </w:r>
                  <w:r>
                    <w:rPr>
                      <w:rFonts w:ascii="Times New Roman" w:hAnsi="Times New Roman" w:cs="Times New Roman"/>
                      <w:color w:val="000000"/>
                      <w:szCs w:val="21"/>
                      <w:vertAlign w:val="superscript"/>
                    </w:rPr>
                    <w:t>3</w:t>
                  </w:r>
                </w:p>
              </w:tc>
              <w:tc>
                <w:tcPr>
                  <w:tcW w:w="588" w:type="pct"/>
                  <w:tcBorders>
                    <w:tl2br w:val="nil"/>
                    <w:tr2bl w:val="nil"/>
                  </w:tcBorders>
                  <w:vAlign w:val="center"/>
                </w:tcPr>
                <w:p w14:paraId="6D1849E5">
                  <w:pPr>
                    <w:pStyle w:val="76"/>
                    <w:widowControl w:val="0"/>
                    <w:adjustRightInd w:val="0"/>
                    <w:snapToGrid w:val="0"/>
                    <w:spacing w:before="0" w:beforeAutospacing="0" w:after="0" w:afterAutospacing="0"/>
                    <w:jc w:val="center"/>
                    <w:rPr>
                      <w:rFonts w:ascii="Times New Roman" w:hAnsi="Times New Roman" w:cs="Times New Roman"/>
                      <w:color w:val="000000"/>
                      <w:kern w:val="2"/>
                      <w:sz w:val="21"/>
                      <w:szCs w:val="21"/>
                      <w:lang w:bidi="ar"/>
                    </w:rPr>
                  </w:pPr>
                  <w:r>
                    <w:rPr>
                      <w:rFonts w:ascii="Times New Roman" w:hAnsi="Times New Roman" w:cs="Times New Roman"/>
                      <w:color w:val="000000"/>
                      <w:kern w:val="2"/>
                      <w:sz w:val="21"/>
                      <w:szCs w:val="21"/>
                      <w:lang w:bidi="ar"/>
                    </w:rPr>
                    <w:t>30</w:t>
                  </w:r>
                  <w:r>
                    <w:rPr>
                      <w:rFonts w:ascii="Times New Roman" w:hAnsi="Times New Roman" w:cs="Times New Roman"/>
                      <w:color w:val="000000"/>
                      <w:kern w:val="2"/>
                      <w:sz w:val="21"/>
                      <w:szCs w:val="21"/>
                    </w:rPr>
                    <w:t>mg/m</w:t>
                  </w:r>
                  <w:r>
                    <w:rPr>
                      <w:rFonts w:ascii="Times New Roman" w:hAnsi="Times New Roman" w:cs="Times New Roman"/>
                      <w:color w:val="000000"/>
                      <w:kern w:val="2"/>
                      <w:sz w:val="21"/>
                      <w:szCs w:val="21"/>
                      <w:vertAlign w:val="superscript"/>
                    </w:rPr>
                    <w:t>3</w:t>
                  </w:r>
                </w:p>
              </w:tc>
              <w:tc>
                <w:tcPr>
                  <w:tcW w:w="341" w:type="pct"/>
                  <w:tcBorders>
                    <w:tl2br w:val="nil"/>
                    <w:tr2bl w:val="nil"/>
                  </w:tcBorders>
                  <w:vAlign w:val="center"/>
                </w:tcPr>
                <w:p w14:paraId="57D7D3D8">
                  <w:pPr>
                    <w:pStyle w:val="76"/>
                    <w:widowControl w:val="0"/>
                    <w:adjustRightInd w:val="0"/>
                    <w:snapToGrid w:val="0"/>
                    <w:spacing w:before="0" w:beforeAutospacing="0" w:after="0" w:afterAutospacing="0"/>
                    <w:jc w:val="center"/>
                    <w:rPr>
                      <w:rFonts w:ascii="Times New Roman" w:hAnsi="Times New Roman" w:cs="Times New Roman"/>
                      <w:color w:val="000000"/>
                      <w:kern w:val="2"/>
                      <w:sz w:val="21"/>
                      <w:szCs w:val="21"/>
                      <w:lang w:bidi="ar"/>
                    </w:rPr>
                  </w:pPr>
                  <w:r>
                    <w:rPr>
                      <w:rFonts w:ascii="Times New Roman" w:hAnsi="Times New Roman" w:cs="Times New Roman"/>
                      <w:color w:val="000000"/>
                      <w:kern w:val="2"/>
                      <w:sz w:val="21"/>
                      <w:szCs w:val="21"/>
                      <w:lang w:bidi="ar"/>
                    </w:rPr>
                    <w:t>达标</w:t>
                  </w:r>
                </w:p>
              </w:tc>
            </w:tr>
            <w:tr w14:paraId="2CE08F76">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30" w:type="pct"/>
                  <w:vMerge w:val="continue"/>
                  <w:tcBorders>
                    <w:tl2br w:val="nil"/>
                    <w:tr2bl w:val="nil"/>
                  </w:tcBorders>
                  <w:vAlign w:val="center"/>
                </w:tcPr>
                <w:p w14:paraId="709842C3">
                  <w:pPr>
                    <w:rPr>
                      <w:color w:val="000000"/>
                      <w:szCs w:val="21"/>
                    </w:rPr>
                  </w:pPr>
                </w:p>
              </w:tc>
              <w:tc>
                <w:tcPr>
                  <w:tcW w:w="611" w:type="pct"/>
                  <w:vMerge w:val="continue"/>
                  <w:tcBorders>
                    <w:tl2br w:val="nil"/>
                    <w:tr2bl w:val="nil"/>
                  </w:tcBorders>
                  <w:vAlign w:val="center"/>
                </w:tcPr>
                <w:p w14:paraId="1C461692">
                  <w:pPr>
                    <w:adjustRightInd w:val="0"/>
                    <w:snapToGrid w:val="0"/>
                    <w:jc w:val="center"/>
                    <w:rPr>
                      <w:rFonts w:ascii="Times New Roman" w:hAnsi="Times New Roman" w:cs="Times New Roman"/>
                      <w:color w:val="000000"/>
                      <w:spacing w:val="24"/>
                    </w:rPr>
                  </w:pPr>
                </w:p>
              </w:tc>
              <w:tc>
                <w:tcPr>
                  <w:tcW w:w="323" w:type="pct"/>
                  <w:vMerge w:val="continue"/>
                  <w:tcBorders>
                    <w:tl2br w:val="nil"/>
                    <w:tr2bl w:val="nil"/>
                  </w:tcBorders>
                  <w:vAlign w:val="center"/>
                </w:tcPr>
                <w:p w14:paraId="47DCAFE3">
                  <w:pPr>
                    <w:adjustRightInd w:val="0"/>
                    <w:snapToGrid w:val="0"/>
                    <w:jc w:val="center"/>
                    <w:rPr>
                      <w:rFonts w:ascii="Times New Roman" w:hAnsi="Times New Roman" w:cs="Times New Roman"/>
                      <w:color w:val="000000"/>
                      <w:szCs w:val="21"/>
                    </w:rPr>
                  </w:pPr>
                </w:p>
              </w:tc>
              <w:tc>
                <w:tcPr>
                  <w:tcW w:w="835" w:type="pct"/>
                  <w:tcBorders>
                    <w:tl2br w:val="nil"/>
                    <w:tr2bl w:val="nil"/>
                  </w:tcBorders>
                  <w:vAlign w:val="center"/>
                </w:tcPr>
                <w:p w14:paraId="785470ED">
                  <w:pPr>
                    <w:pStyle w:val="504"/>
                    <w:adjustRightInd w:val="0"/>
                    <w:snapToGrid w:val="0"/>
                    <w:spacing w:before="0" w:after="0"/>
                    <w:ind w:left="0" w:firstLine="0" w:firstLineChars="0"/>
                    <w:jc w:val="center"/>
                    <w:rPr>
                      <w:rFonts w:ascii="Times New Roman" w:hAnsi="Times New Roman" w:cs="Times New Roman"/>
                      <w:color w:val="FF0000"/>
                      <w:szCs w:val="21"/>
                      <w:lang w:bidi="ar"/>
                    </w:rPr>
                  </w:pPr>
                  <w:r>
                    <w:rPr>
                      <w:rFonts w:ascii="Times New Roman" w:hAnsi="Times New Roman" w:cs="Times New Roman"/>
                      <w:color w:val="FF0000"/>
                    </w:rPr>
                    <w:t>NO</w:t>
                  </w:r>
                  <w:r>
                    <w:rPr>
                      <w:rFonts w:hint="eastAsia" w:ascii="Times New Roman" w:hAnsi="Times New Roman" w:cs="Times New Roman"/>
                      <w:color w:val="FF0000"/>
                      <w:sz w:val="24"/>
                      <w:vertAlign w:val="subscript"/>
                    </w:rPr>
                    <w:t>X</w:t>
                  </w:r>
                </w:p>
              </w:tc>
              <w:tc>
                <w:tcPr>
                  <w:tcW w:w="892" w:type="pct"/>
                  <w:tcBorders>
                    <w:tl2br w:val="nil"/>
                    <w:tr2bl w:val="nil"/>
                  </w:tcBorders>
                  <w:vAlign w:val="center"/>
                </w:tcPr>
                <w:p w14:paraId="5A7D2FA7">
                  <w:pPr>
                    <w:pStyle w:val="504"/>
                    <w:adjustRightInd w:val="0"/>
                    <w:snapToGrid w:val="0"/>
                    <w:spacing w:before="0" w:after="0"/>
                    <w:ind w:left="0" w:firstLine="0" w:firstLineChars="0"/>
                    <w:jc w:val="center"/>
                    <w:rPr>
                      <w:rFonts w:ascii="Times New Roman" w:hAnsi="Times New Roman" w:cs="Times New Roman"/>
                      <w:color w:val="FF0000"/>
                    </w:rPr>
                  </w:pPr>
                  <w:r>
                    <w:rPr>
                      <w:rFonts w:hint="eastAsia" w:ascii="Times New Roman" w:hAnsi="Times New Roman" w:cs="Times New Roman"/>
                      <w:color w:val="FF0000"/>
                    </w:rPr>
                    <w:t>0.824</w:t>
                  </w:r>
                </w:p>
              </w:tc>
              <w:tc>
                <w:tcPr>
                  <w:tcW w:w="474" w:type="pct"/>
                  <w:tcBorders>
                    <w:tl2br w:val="nil"/>
                    <w:tr2bl w:val="nil"/>
                  </w:tcBorders>
                  <w:vAlign w:val="center"/>
                </w:tcPr>
                <w:p w14:paraId="0F9A07BE">
                  <w:pPr>
                    <w:adjustRightInd w:val="0"/>
                    <w:snapToGrid w:val="0"/>
                    <w:jc w:val="center"/>
                    <w:rPr>
                      <w:rFonts w:ascii="Times New Roman" w:hAnsi="Times New Roman" w:cs="Times New Roman"/>
                      <w:color w:val="FF0000"/>
                      <w:spacing w:val="24"/>
                    </w:rPr>
                  </w:pPr>
                  <w:r>
                    <w:rPr>
                      <w:rFonts w:hint="eastAsia" w:ascii="Times New Roman" w:hAnsi="Times New Roman" w:cs="Times New Roman"/>
                      <w:color w:val="FF0000"/>
                      <w:spacing w:val="24"/>
                    </w:rPr>
                    <w:t>7.2</w:t>
                  </w:r>
                </w:p>
              </w:tc>
              <w:tc>
                <w:tcPr>
                  <w:tcW w:w="706" w:type="pct"/>
                  <w:tcBorders>
                    <w:tl2br w:val="nil"/>
                    <w:tr2bl w:val="nil"/>
                  </w:tcBorders>
                  <w:vAlign w:val="center"/>
                </w:tcPr>
                <w:p w14:paraId="2327B0FC">
                  <w:pPr>
                    <w:adjustRightInd w:val="0"/>
                    <w:snapToGrid w:val="0"/>
                    <w:jc w:val="center"/>
                    <w:rPr>
                      <w:rFonts w:ascii="Times New Roman" w:hAnsi="Times New Roman" w:cs="Times New Roman"/>
                      <w:color w:val="FF0000"/>
                      <w:szCs w:val="21"/>
                    </w:rPr>
                  </w:pPr>
                  <w:r>
                    <w:rPr>
                      <w:rFonts w:ascii="Times New Roman" w:hAnsi="Times New Roman" w:cs="Times New Roman"/>
                      <w:color w:val="FF0000"/>
                      <w:szCs w:val="21"/>
                    </w:rPr>
                    <w:t>46mg/m</w:t>
                  </w:r>
                  <w:r>
                    <w:rPr>
                      <w:rFonts w:ascii="Times New Roman" w:hAnsi="Times New Roman" w:cs="Times New Roman"/>
                      <w:color w:val="FF0000"/>
                      <w:szCs w:val="21"/>
                      <w:vertAlign w:val="superscript"/>
                    </w:rPr>
                    <w:t>3</w:t>
                  </w:r>
                </w:p>
              </w:tc>
              <w:tc>
                <w:tcPr>
                  <w:tcW w:w="588" w:type="pct"/>
                  <w:tcBorders>
                    <w:tl2br w:val="nil"/>
                    <w:tr2bl w:val="nil"/>
                  </w:tcBorders>
                  <w:vAlign w:val="center"/>
                </w:tcPr>
                <w:p w14:paraId="44BD666C">
                  <w:pPr>
                    <w:pStyle w:val="76"/>
                    <w:widowControl w:val="0"/>
                    <w:adjustRightInd w:val="0"/>
                    <w:snapToGrid w:val="0"/>
                    <w:spacing w:before="0" w:beforeAutospacing="0" w:after="0" w:afterAutospacing="0"/>
                    <w:jc w:val="center"/>
                    <w:rPr>
                      <w:rFonts w:ascii="Times New Roman" w:hAnsi="Times New Roman" w:cs="Times New Roman"/>
                      <w:color w:val="FF0000"/>
                      <w:kern w:val="2"/>
                      <w:sz w:val="21"/>
                      <w:szCs w:val="21"/>
                      <w:lang w:bidi="ar"/>
                    </w:rPr>
                  </w:pPr>
                  <w:r>
                    <w:rPr>
                      <w:rFonts w:ascii="Times New Roman" w:hAnsi="Times New Roman" w:cs="Times New Roman"/>
                      <w:color w:val="FF0000"/>
                      <w:kern w:val="2"/>
                      <w:sz w:val="21"/>
                      <w:szCs w:val="21"/>
                      <w:lang w:bidi="ar"/>
                    </w:rPr>
                    <w:t>50</w:t>
                  </w:r>
                  <w:r>
                    <w:rPr>
                      <w:rFonts w:ascii="Times New Roman" w:hAnsi="Times New Roman" w:cs="Times New Roman"/>
                      <w:color w:val="FF0000"/>
                      <w:kern w:val="2"/>
                      <w:sz w:val="21"/>
                      <w:szCs w:val="21"/>
                    </w:rPr>
                    <w:t>mg/m</w:t>
                  </w:r>
                  <w:r>
                    <w:rPr>
                      <w:rFonts w:ascii="Times New Roman" w:hAnsi="Times New Roman" w:cs="Times New Roman"/>
                      <w:color w:val="FF0000"/>
                      <w:kern w:val="2"/>
                      <w:sz w:val="21"/>
                      <w:szCs w:val="21"/>
                      <w:vertAlign w:val="superscript"/>
                    </w:rPr>
                    <w:t>3</w:t>
                  </w:r>
                </w:p>
              </w:tc>
              <w:tc>
                <w:tcPr>
                  <w:tcW w:w="341" w:type="pct"/>
                  <w:tcBorders>
                    <w:tl2br w:val="nil"/>
                    <w:tr2bl w:val="nil"/>
                  </w:tcBorders>
                  <w:vAlign w:val="center"/>
                </w:tcPr>
                <w:p w14:paraId="310F23E3">
                  <w:pPr>
                    <w:adjustRightInd w:val="0"/>
                    <w:snapToGrid w:val="0"/>
                    <w:jc w:val="center"/>
                    <w:rPr>
                      <w:rFonts w:ascii="Times New Roman" w:hAnsi="Times New Roman" w:cs="Times New Roman"/>
                      <w:color w:val="FF0000"/>
                      <w:szCs w:val="21"/>
                      <w:lang w:bidi="ar"/>
                    </w:rPr>
                  </w:pPr>
                  <w:r>
                    <w:rPr>
                      <w:rFonts w:hint="eastAsia" w:ascii="Times New Roman" w:hAnsi="Times New Roman" w:cs="Times New Roman"/>
                      <w:color w:val="FF0000"/>
                      <w:szCs w:val="21"/>
                      <w:lang w:bidi="ar"/>
                    </w:rPr>
                    <w:t>达标</w:t>
                  </w:r>
                </w:p>
              </w:tc>
            </w:tr>
            <w:tr w14:paraId="69247359">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30" w:type="pct"/>
                  <w:vMerge w:val="continue"/>
                  <w:tcBorders>
                    <w:tl2br w:val="nil"/>
                    <w:tr2bl w:val="nil"/>
                  </w:tcBorders>
                  <w:vAlign w:val="center"/>
                </w:tcPr>
                <w:p w14:paraId="3DEC6D18">
                  <w:pPr>
                    <w:rPr>
                      <w:color w:val="000000"/>
                      <w:szCs w:val="21"/>
                    </w:rPr>
                  </w:pPr>
                </w:p>
              </w:tc>
              <w:tc>
                <w:tcPr>
                  <w:tcW w:w="611" w:type="pct"/>
                  <w:vMerge w:val="continue"/>
                  <w:tcBorders>
                    <w:tl2br w:val="nil"/>
                    <w:tr2bl w:val="nil"/>
                  </w:tcBorders>
                  <w:vAlign w:val="center"/>
                </w:tcPr>
                <w:p w14:paraId="322219A5">
                  <w:pPr>
                    <w:pStyle w:val="187"/>
                    <w:spacing w:beforeLines="0" w:afterLines="0" w:line="240" w:lineRule="auto"/>
                    <w:rPr>
                      <w:rFonts w:ascii="Times New Roman" w:hAnsi="Times New Roman" w:cs="Times New Roman"/>
                      <w:color w:val="000000"/>
                      <w:szCs w:val="21"/>
                    </w:rPr>
                  </w:pPr>
                </w:p>
              </w:tc>
              <w:tc>
                <w:tcPr>
                  <w:tcW w:w="323" w:type="pct"/>
                  <w:vMerge w:val="continue"/>
                  <w:tcBorders>
                    <w:tl2br w:val="nil"/>
                    <w:tr2bl w:val="nil"/>
                  </w:tcBorders>
                  <w:vAlign w:val="center"/>
                </w:tcPr>
                <w:p w14:paraId="613EA64E">
                  <w:pPr>
                    <w:pStyle w:val="187"/>
                    <w:spacing w:beforeLines="0" w:afterLines="0" w:line="240" w:lineRule="auto"/>
                    <w:rPr>
                      <w:rFonts w:ascii="Times New Roman" w:hAnsi="Times New Roman" w:cs="Times New Roman"/>
                      <w:color w:val="000000"/>
                      <w:szCs w:val="21"/>
                    </w:rPr>
                  </w:pPr>
                </w:p>
              </w:tc>
              <w:tc>
                <w:tcPr>
                  <w:tcW w:w="835" w:type="pct"/>
                  <w:tcBorders>
                    <w:tl2br w:val="nil"/>
                    <w:tr2bl w:val="nil"/>
                  </w:tcBorders>
                  <w:vAlign w:val="center"/>
                </w:tcPr>
                <w:p w14:paraId="3B7EF699">
                  <w:pPr>
                    <w:pStyle w:val="504"/>
                    <w:adjustRightInd w:val="0"/>
                    <w:snapToGrid w:val="0"/>
                    <w:spacing w:before="0" w:after="0"/>
                    <w:ind w:left="0" w:firstLine="0" w:firstLineChars="0"/>
                    <w:jc w:val="center"/>
                    <w:rPr>
                      <w:rFonts w:ascii="Times New Roman" w:hAnsi="Times New Roman" w:cs="Times New Roman"/>
                      <w:color w:val="000000"/>
                      <w:szCs w:val="21"/>
                      <w:lang w:bidi="ar"/>
                    </w:rPr>
                  </w:pPr>
                  <w:r>
                    <w:rPr>
                      <w:rFonts w:ascii="Times New Roman" w:hAnsi="Times New Roman" w:cs="Times New Roman"/>
                      <w:color w:val="000000"/>
                    </w:rPr>
                    <w:t>SO</w:t>
                  </w:r>
                  <w:r>
                    <w:rPr>
                      <w:rFonts w:ascii="Times New Roman" w:hAnsi="Times New Roman" w:cs="Times New Roman"/>
                      <w:color w:val="000000"/>
                      <w:vertAlign w:val="subscript"/>
                    </w:rPr>
                    <w:t>2</w:t>
                  </w:r>
                </w:p>
              </w:tc>
              <w:tc>
                <w:tcPr>
                  <w:tcW w:w="892" w:type="pct"/>
                  <w:tcBorders>
                    <w:tl2br w:val="nil"/>
                    <w:tr2bl w:val="nil"/>
                  </w:tcBorders>
                  <w:vAlign w:val="center"/>
                </w:tcPr>
                <w:p w14:paraId="10C71384">
                  <w:pPr>
                    <w:pStyle w:val="504"/>
                    <w:adjustRightInd w:val="0"/>
                    <w:snapToGrid w:val="0"/>
                    <w:spacing w:before="0" w:after="0"/>
                    <w:ind w:left="0" w:firstLine="0" w:firstLineChars="0"/>
                    <w:jc w:val="center"/>
                    <w:rPr>
                      <w:rFonts w:ascii="Times New Roman" w:hAnsi="Times New Roman" w:cs="Times New Roman"/>
                      <w:color w:val="000000"/>
                    </w:rPr>
                  </w:pPr>
                  <w:r>
                    <w:rPr>
                      <w:rFonts w:hint="eastAsia" w:ascii="Times New Roman" w:hAnsi="Times New Roman" w:cs="Times New Roman"/>
                      <w:color w:val="000000"/>
                    </w:rPr>
                    <w:t>0.544</w:t>
                  </w:r>
                </w:p>
              </w:tc>
              <w:tc>
                <w:tcPr>
                  <w:tcW w:w="474" w:type="pct"/>
                  <w:tcBorders>
                    <w:tl2br w:val="nil"/>
                    <w:tr2bl w:val="nil"/>
                  </w:tcBorders>
                  <w:vAlign w:val="center"/>
                </w:tcPr>
                <w:p w14:paraId="404470D1">
                  <w:pPr>
                    <w:adjustRightInd w:val="0"/>
                    <w:snapToGrid w:val="0"/>
                    <w:jc w:val="center"/>
                    <w:rPr>
                      <w:rFonts w:ascii="Times New Roman" w:hAnsi="Times New Roman" w:cs="Times New Roman"/>
                      <w:color w:val="000000"/>
                      <w:spacing w:val="24"/>
                    </w:rPr>
                  </w:pPr>
                  <w:r>
                    <w:rPr>
                      <w:rFonts w:hint="eastAsia" w:ascii="Times New Roman" w:hAnsi="Times New Roman" w:cs="Times New Roman"/>
                      <w:color w:val="000000"/>
                      <w:spacing w:val="24"/>
                    </w:rPr>
                    <w:t>2.42</w:t>
                  </w:r>
                </w:p>
              </w:tc>
              <w:tc>
                <w:tcPr>
                  <w:tcW w:w="706" w:type="pct"/>
                  <w:tcBorders>
                    <w:tl2br w:val="nil"/>
                    <w:tr2bl w:val="nil"/>
                  </w:tcBorders>
                  <w:vAlign w:val="center"/>
                </w:tcPr>
                <w:p w14:paraId="1CA8CECE">
                  <w:pPr>
                    <w:adjustRightInd w:val="0"/>
                    <w:snapToGrid w:val="0"/>
                    <w:jc w:val="center"/>
                    <w:rPr>
                      <w:rFonts w:ascii="Times New Roman" w:hAnsi="Times New Roman" w:cs="Times New Roman"/>
                      <w:color w:val="000000"/>
                      <w:szCs w:val="21"/>
                    </w:rPr>
                  </w:pPr>
                  <w:r>
                    <w:rPr>
                      <w:rFonts w:hint="eastAsia" w:ascii="Times New Roman" w:hAnsi="Times New Roman" w:cs="Times New Roman"/>
                      <w:color w:val="000000"/>
                      <w:szCs w:val="21"/>
                    </w:rPr>
                    <w:t>9</w:t>
                  </w:r>
                  <w:r>
                    <w:rPr>
                      <w:rFonts w:ascii="Times New Roman" w:hAnsi="Times New Roman" w:cs="Times New Roman"/>
                      <w:color w:val="000000"/>
                      <w:szCs w:val="21"/>
                    </w:rPr>
                    <w:t>mg/m</w:t>
                  </w:r>
                  <w:r>
                    <w:rPr>
                      <w:rFonts w:ascii="Times New Roman" w:hAnsi="Times New Roman" w:cs="Times New Roman"/>
                      <w:color w:val="000000"/>
                      <w:szCs w:val="21"/>
                      <w:vertAlign w:val="superscript"/>
                    </w:rPr>
                    <w:t>3</w:t>
                  </w:r>
                </w:p>
              </w:tc>
              <w:tc>
                <w:tcPr>
                  <w:tcW w:w="588" w:type="pct"/>
                  <w:tcBorders>
                    <w:tl2br w:val="nil"/>
                    <w:tr2bl w:val="nil"/>
                  </w:tcBorders>
                  <w:vAlign w:val="center"/>
                </w:tcPr>
                <w:p w14:paraId="13127640">
                  <w:pPr>
                    <w:pStyle w:val="76"/>
                    <w:widowControl w:val="0"/>
                    <w:adjustRightInd w:val="0"/>
                    <w:snapToGrid w:val="0"/>
                    <w:spacing w:before="0" w:beforeAutospacing="0" w:after="0" w:afterAutospacing="0"/>
                    <w:jc w:val="center"/>
                    <w:rPr>
                      <w:rFonts w:ascii="Times New Roman" w:hAnsi="Times New Roman" w:cs="Times New Roman"/>
                      <w:color w:val="000000"/>
                      <w:kern w:val="2"/>
                      <w:sz w:val="21"/>
                      <w:szCs w:val="21"/>
                      <w:lang w:bidi="ar"/>
                    </w:rPr>
                  </w:pPr>
                  <w:r>
                    <w:rPr>
                      <w:rFonts w:ascii="Times New Roman" w:hAnsi="Times New Roman" w:cs="Times New Roman"/>
                      <w:color w:val="000000"/>
                      <w:kern w:val="2"/>
                      <w:sz w:val="21"/>
                      <w:szCs w:val="21"/>
                      <w:lang w:bidi="ar"/>
                    </w:rPr>
                    <w:t>100</w:t>
                  </w:r>
                  <w:r>
                    <w:rPr>
                      <w:rFonts w:ascii="Times New Roman" w:hAnsi="Times New Roman" w:cs="Times New Roman"/>
                      <w:color w:val="000000"/>
                      <w:kern w:val="2"/>
                      <w:sz w:val="21"/>
                      <w:szCs w:val="21"/>
                    </w:rPr>
                    <w:t>mg/m</w:t>
                  </w:r>
                  <w:r>
                    <w:rPr>
                      <w:rFonts w:ascii="Times New Roman" w:hAnsi="Times New Roman" w:cs="Times New Roman"/>
                      <w:color w:val="000000"/>
                      <w:kern w:val="2"/>
                      <w:sz w:val="21"/>
                      <w:szCs w:val="21"/>
                      <w:vertAlign w:val="superscript"/>
                    </w:rPr>
                    <w:t>3</w:t>
                  </w:r>
                </w:p>
              </w:tc>
              <w:tc>
                <w:tcPr>
                  <w:tcW w:w="341" w:type="pct"/>
                  <w:tcBorders>
                    <w:tl2br w:val="nil"/>
                    <w:tr2bl w:val="nil"/>
                  </w:tcBorders>
                  <w:vAlign w:val="center"/>
                </w:tcPr>
                <w:p w14:paraId="464F3EAE">
                  <w:pPr>
                    <w:adjustRightInd w:val="0"/>
                    <w:snapToGrid w:val="0"/>
                    <w:jc w:val="center"/>
                    <w:rPr>
                      <w:rFonts w:ascii="Times New Roman" w:hAnsi="Times New Roman" w:cs="Times New Roman"/>
                      <w:color w:val="000000"/>
                      <w:szCs w:val="21"/>
                      <w:lang w:bidi="ar"/>
                    </w:rPr>
                  </w:pPr>
                  <w:r>
                    <w:rPr>
                      <w:rFonts w:ascii="Times New Roman" w:hAnsi="Times New Roman" w:cs="Times New Roman"/>
                      <w:color w:val="000000"/>
                      <w:szCs w:val="21"/>
                      <w:lang w:bidi="ar"/>
                    </w:rPr>
                    <w:t>达标</w:t>
                  </w:r>
                </w:p>
              </w:tc>
            </w:tr>
            <w:tr w14:paraId="4D5141A8">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269" w:hRule="atLeast"/>
                <w:jc w:val="center"/>
              </w:trPr>
              <w:tc>
                <w:tcPr>
                  <w:tcW w:w="230" w:type="pct"/>
                  <w:vMerge w:val="continue"/>
                  <w:tcBorders>
                    <w:tl2br w:val="nil"/>
                    <w:tr2bl w:val="nil"/>
                  </w:tcBorders>
                  <w:vAlign w:val="center"/>
                </w:tcPr>
                <w:p w14:paraId="366A0AE1">
                  <w:pPr>
                    <w:rPr>
                      <w:color w:val="000000"/>
                      <w:szCs w:val="21"/>
                    </w:rPr>
                  </w:pPr>
                </w:p>
              </w:tc>
              <w:tc>
                <w:tcPr>
                  <w:tcW w:w="611" w:type="pct"/>
                  <w:tcBorders>
                    <w:tl2br w:val="nil"/>
                    <w:tr2bl w:val="nil"/>
                  </w:tcBorders>
                  <w:vAlign w:val="center"/>
                </w:tcPr>
                <w:p w14:paraId="1D3022A5">
                  <w:pPr>
                    <w:adjustRightInd w:val="0"/>
                    <w:snapToGrid w:val="0"/>
                    <w:jc w:val="center"/>
                    <w:rPr>
                      <w:rFonts w:ascii="Times New Roman" w:hAnsi="Times New Roman" w:cs="Times New Roman"/>
                      <w:color w:val="000000"/>
                      <w:szCs w:val="21"/>
                    </w:rPr>
                  </w:pPr>
                  <w:r>
                    <w:rPr>
                      <w:rFonts w:ascii="Times New Roman" w:hAnsi="Times New Roman" w:cs="Times New Roman"/>
                      <w:color w:val="000000"/>
                    </w:rPr>
                    <w:t>高架火炬</w:t>
                  </w:r>
                </w:p>
              </w:tc>
              <w:tc>
                <w:tcPr>
                  <w:tcW w:w="323" w:type="pct"/>
                  <w:tcBorders>
                    <w:tl2br w:val="nil"/>
                    <w:tr2bl w:val="nil"/>
                  </w:tcBorders>
                  <w:vAlign w:val="center"/>
                </w:tcPr>
                <w:p w14:paraId="5AADE3AA">
                  <w:pPr>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有组织</w:t>
                  </w:r>
                </w:p>
              </w:tc>
              <w:tc>
                <w:tcPr>
                  <w:tcW w:w="835" w:type="pct"/>
                  <w:tcBorders>
                    <w:tl2br w:val="nil"/>
                    <w:tr2bl w:val="nil"/>
                  </w:tcBorders>
                  <w:vAlign w:val="center"/>
                </w:tcPr>
                <w:p w14:paraId="5C03D4C9">
                  <w:pPr>
                    <w:pStyle w:val="504"/>
                    <w:adjustRightInd w:val="0"/>
                    <w:snapToGrid w:val="0"/>
                    <w:spacing w:before="0" w:after="0"/>
                    <w:ind w:left="0" w:firstLine="0" w:firstLineChars="0"/>
                    <w:jc w:val="center"/>
                    <w:rPr>
                      <w:rFonts w:ascii="Times New Roman" w:hAnsi="Times New Roman" w:cs="Times New Roman"/>
                      <w:color w:val="000000"/>
                      <w:szCs w:val="21"/>
                      <w:lang w:bidi="ar"/>
                    </w:rPr>
                  </w:pPr>
                  <w:r>
                    <w:rPr>
                      <w:rFonts w:ascii="Times New Roman" w:hAnsi="Times New Roman" w:cs="Times New Roman"/>
                      <w:color w:val="000000"/>
                      <w:spacing w:val="24"/>
                      <w:szCs w:val="21"/>
                    </w:rPr>
                    <w:t>CO</w:t>
                  </w:r>
                  <w:r>
                    <w:rPr>
                      <w:rFonts w:ascii="Times New Roman" w:hAnsi="Times New Roman" w:cs="Times New Roman"/>
                      <w:color w:val="000000"/>
                      <w:spacing w:val="24"/>
                      <w:szCs w:val="21"/>
                      <w:vertAlign w:val="subscript"/>
                    </w:rPr>
                    <w:t>2</w:t>
                  </w:r>
                  <w:r>
                    <w:rPr>
                      <w:rFonts w:hint="eastAsia" w:ascii="Times New Roman" w:hAnsi="Times New Roman" w:cs="Times New Roman"/>
                      <w:color w:val="000000"/>
                      <w:spacing w:val="24"/>
                      <w:szCs w:val="21"/>
                    </w:rPr>
                    <w:t>等</w:t>
                  </w:r>
                </w:p>
              </w:tc>
              <w:tc>
                <w:tcPr>
                  <w:tcW w:w="892" w:type="pct"/>
                  <w:tcBorders>
                    <w:tl2br w:val="nil"/>
                    <w:tr2bl w:val="nil"/>
                  </w:tcBorders>
                  <w:vAlign w:val="center"/>
                </w:tcPr>
                <w:p w14:paraId="1A070FAB">
                  <w:pPr>
                    <w:pStyle w:val="504"/>
                    <w:adjustRightInd w:val="0"/>
                    <w:snapToGrid w:val="0"/>
                    <w:spacing w:before="0" w:after="0"/>
                    <w:ind w:left="0" w:firstLine="0" w:firstLineChars="0"/>
                    <w:jc w:val="center"/>
                    <w:rPr>
                      <w:rFonts w:ascii="Times New Roman" w:hAnsi="Times New Roman" w:cs="Times New Roman"/>
                      <w:color w:val="000000"/>
                    </w:rPr>
                  </w:pPr>
                  <w:r>
                    <w:rPr>
                      <w:rFonts w:ascii="Times New Roman" w:hAnsi="Times New Roman" w:cs="Times New Roman"/>
                      <w:color w:val="000000"/>
                    </w:rPr>
                    <w:t>0.06</w:t>
                  </w:r>
                </w:p>
              </w:tc>
              <w:tc>
                <w:tcPr>
                  <w:tcW w:w="474" w:type="pct"/>
                  <w:tcBorders>
                    <w:tl2br w:val="nil"/>
                    <w:tr2bl w:val="nil"/>
                  </w:tcBorders>
                  <w:vAlign w:val="center"/>
                </w:tcPr>
                <w:p w14:paraId="1BF0D523">
                  <w:pPr>
                    <w:adjustRightInd w:val="0"/>
                    <w:snapToGrid w:val="0"/>
                    <w:jc w:val="center"/>
                    <w:rPr>
                      <w:rFonts w:ascii="Times New Roman" w:hAnsi="Times New Roman" w:cs="Times New Roman"/>
                      <w:color w:val="000000"/>
                      <w:spacing w:val="24"/>
                    </w:rPr>
                  </w:pPr>
                  <w:r>
                    <w:rPr>
                      <w:rFonts w:hint="eastAsia" w:ascii="Times New Roman" w:hAnsi="Times New Roman" w:cs="Times New Roman"/>
                      <w:color w:val="000000"/>
                      <w:spacing w:val="24"/>
                    </w:rPr>
                    <w:t>/</w:t>
                  </w:r>
                </w:p>
              </w:tc>
              <w:tc>
                <w:tcPr>
                  <w:tcW w:w="706" w:type="pct"/>
                  <w:tcBorders>
                    <w:tl2br w:val="nil"/>
                    <w:tr2bl w:val="nil"/>
                  </w:tcBorders>
                  <w:vAlign w:val="center"/>
                </w:tcPr>
                <w:p w14:paraId="012D542B">
                  <w:pPr>
                    <w:adjustRightInd w:val="0"/>
                    <w:snapToGrid w:val="0"/>
                    <w:jc w:val="center"/>
                    <w:rPr>
                      <w:rFonts w:ascii="Times New Roman" w:hAnsi="Times New Roman" w:cs="Times New Roman"/>
                      <w:color w:val="000000"/>
                      <w:szCs w:val="21"/>
                    </w:rPr>
                  </w:pPr>
                  <w:r>
                    <w:rPr>
                      <w:rFonts w:hint="eastAsia" w:ascii="Times New Roman" w:hAnsi="Times New Roman" w:cs="Times New Roman"/>
                      <w:color w:val="000000"/>
                      <w:szCs w:val="21"/>
                    </w:rPr>
                    <w:t>/</w:t>
                  </w:r>
                </w:p>
              </w:tc>
              <w:tc>
                <w:tcPr>
                  <w:tcW w:w="588" w:type="pct"/>
                  <w:tcBorders>
                    <w:tl2br w:val="nil"/>
                    <w:tr2bl w:val="nil"/>
                  </w:tcBorders>
                  <w:vAlign w:val="center"/>
                </w:tcPr>
                <w:p w14:paraId="4302AECB">
                  <w:pPr>
                    <w:adjustRightInd w:val="0"/>
                    <w:snapToGrid w:val="0"/>
                    <w:jc w:val="center"/>
                    <w:rPr>
                      <w:rFonts w:ascii="Times New Roman" w:hAnsi="Times New Roman" w:cs="Times New Roman"/>
                      <w:color w:val="000000"/>
                      <w:szCs w:val="21"/>
                      <w:lang w:bidi="ar"/>
                    </w:rPr>
                  </w:pPr>
                  <w:r>
                    <w:rPr>
                      <w:rFonts w:ascii="Times New Roman" w:hAnsi="Times New Roman" w:cs="Times New Roman"/>
                      <w:color w:val="000000"/>
                      <w:szCs w:val="21"/>
                      <w:lang w:bidi="ar"/>
                    </w:rPr>
                    <w:t>/</w:t>
                  </w:r>
                </w:p>
              </w:tc>
              <w:tc>
                <w:tcPr>
                  <w:tcW w:w="341" w:type="pct"/>
                  <w:tcBorders>
                    <w:tl2br w:val="nil"/>
                    <w:tr2bl w:val="nil"/>
                  </w:tcBorders>
                  <w:vAlign w:val="center"/>
                </w:tcPr>
                <w:p w14:paraId="58F86BED">
                  <w:pPr>
                    <w:pStyle w:val="76"/>
                    <w:widowControl w:val="0"/>
                    <w:adjustRightInd w:val="0"/>
                    <w:snapToGrid w:val="0"/>
                    <w:spacing w:before="0" w:beforeAutospacing="0" w:after="0" w:afterAutospacing="0"/>
                    <w:jc w:val="center"/>
                    <w:rPr>
                      <w:rFonts w:ascii="Times New Roman" w:hAnsi="Times New Roman" w:cs="Times New Roman"/>
                      <w:color w:val="000000"/>
                      <w:kern w:val="2"/>
                      <w:sz w:val="21"/>
                      <w:szCs w:val="21"/>
                      <w:lang w:bidi="ar"/>
                    </w:rPr>
                  </w:pPr>
                  <w:r>
                    <w:rPr>
                      <w:rFonts w:ascii="Times New Roman" w:hAnsi="Times New Roman" w:cs="Times New Roman"/>
                      <w:color w:val="000000"/>
                      <w:kern w:val="2"/>
                      <w:sz w:val="21"/>
                      <w:szCs w:val="21"/>
                      <w:lang w:bidi="ar"/>
                    </w:rPr>
                    <w:t>达标</w:t>
                  </w:r>
                </w:p>
              </w:tc>
            </w:tr>
            <w:tr w14:paraId="02366A8E">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269" w:hRule="atLeast"/>
                <w:jc w:val="center"/>
              </w:trPr>
              <w:tc>
                <w:tcPr>
                  <w:tcW w:w="230" w:type="pct"/>
                  <w:vMerge w:val="continue"/>
                  <w:tcBorders>
                    <w:tl2br w:val="nil"/>
                    <w:tr2bl w:val="nil"/>
                  </w:tcBorders>
                  <w:vAlign w:val="center"/>
                </w:tcPr>
                <w:p w14:paraId="4150ACB6">
                  <w:pPr>
                    <w:rPr>
                      <w:color w:val="000000"/>
                      <w:szCs w:val="21"/>
                    </w:rPr>
                  </w:pPr>
                </w:p>
              </w:tc>
              <w:tc>
                <w:tcPr>
                  <w:tcW w:w="611" w:type="pct"/>
                  <w:tcBorders>
                    <w:tl2br w:val="nil"/>
                    <w:tr2bl w:val="nil"/>
                  </w:tcBorders>
                  <w:vAlign w:val="center"/>
                </w:tcPr>
                <w:p w14:paraId="4EFEA46C">
                  <w:pPr>
                    <w:adjustRightInd w:val="0"/>
                    <w:snapToGrid w:val="0"/>
                    <w:jc w:val="center"/>
                    <w:rPr>
                      <w:rFonts w:ascii="Times New Roman" w:hAnsi="Times New Roman" w:cs="Times New Roman"/>
                      <w:color w:val="000000"/>
                      <w:szCs w:val="21"/>
                    </w:rPr>
                  </w:pPr>
                  <w:r>
                    <w:rPr>
                      <w:rFonts w:ascii="Times New Roman" w:hAnsi="Times New Roman" w:cs="Times New Roman"/>
                      <w:color w:val="000000"/>
                    </w:rPr>
                    <w:t>阀门泄漏</w:t>
                  </w:r>
                </w:p>
              </w:tc>
              <w:tc>
                <w:tcPr>
                  <w:tcW w:w="323" w:type="pct"/>
                  <w:vMerge w:val="restart"/>
                  <w:tcBorders>
                    <w:tl2br w:val="nil"/>
                    <w:tr2bl w:val="nil"/>
                  </w:tcBorders>
                  <w:vAlign w:val="center"/>
                </w:tcPr>
                <w:p w14:paraId="19F6A911">
                  <w:pPr>
                    <w:pStyle w:val="187"/>
                    <w:spacing w:beforeLines="0" w:afterLines="0" w:line="240" w:lineRule="auto"/>
                    <w:rPr>
                      <w:rFonts w:ascii="Times New Roman" w:hAnsi="Times New Roman" w:cs="Times New Roman"/>
                      <w:color w:val="000000"/>
                      <w:szCs w:val="21"/>
                    </w:rPr>
                  </w:pPr>
                  <w:r>
                    <w:rPr>
                      <w:rFonts w:ascii="Times New Roman" w:hAnsi="Times New Roman" w:cs="Times New Roman"/>
                      <w:color w:val="000000"/>
                      <w:szCs w:val="21"/>
                    </w:rPr>
                    <w:t>无组织</w:t>
                  </w:r>
                </w:p>
              </w:tc>
              <w:tc>
                <w:tcPr>
                  <w:tcW w:w="835" w:type="pct"/>
                  <w:tcBorders>
                    <w:tl2br w:val="nil"/>
                    <w:tr2bl w:val="nil"/>
                  </w:tcBorders>
                  <w:vAlign w:val="center"/>
                </w:tcPr>
                <w:p w14:paraId="26C09EE2">
                  <w:pPr>
                    <w:adjustRightInd w:val="0"/>
                    <w:snapToGrid w:val="0"/>
                    <w:rPr>
                      <w:rFonts w:ascii="Times New Roman" w:hAnsi="Times New Roman" w:cs="Times New Roman"/>
                      <w:color w:val="000000"/>
                      <w:spacing w:val="24"/>
                    </w:rPr>
                  </w:pPr>
                  <w:r>
                    <w:rPr>
                      <w:rFonts w:ascii="Times New Roman" w:hAnsi="Times New Roman" w:cs="Times New Roman"/>
                      <w:color w:val="000000"/>
                      <w:spacing w:val="24"/>
                    </w:rPr>
                    <w:t>非甲烷总烃</w:t>
                  </w:r>
                </w:p>
              </w:tc>
              <w:tc>
                <w:tcPr>
                  <w:tcW w:w="892" w:type="pct"/>
                  <w:tcBorders>
                    <w:tl2br w:val="nil"/>
                    <w:tr2bl w:val="nil"/>
                  </w:tcBorders>
                  <w:vAlign w:val="center"/>
                </w:tcPr>
                <w:p w14:paraId="469C164C">
                  <w:pPr>
                    <w:pStyle w:val="504"/>
                    <w:adjustRightInd w:val="0"/>
                    <w:snapToGrid w:val="0"/>
                    <w:spacing w:before="0" w:after="0"/>
                    <w:ind w:left="0" w:firstLine="0" w:firstLineChars="0"/>
                    <w:jc w:val="center"/>
                    <w:rPr>
                      <w:rFonts w:ascii="Times New Roman" w:hAnsi="Times New Roman" w:cs="Times New Roman"/>
                      <w:color w:val="000000"/>
                    </w:rPr>
                  </w:pPr>
                  <w:r>
                    <w:rPr>
                      <w:rFonts w:ascii="Times New Roman" w:hAnsi="Times New Roman" w:cs="Times New Roman"/>
                      <w:color w:val="000000"/>
                    </w:rPr>
                    <w:t>1.76</w:t>
                  </w:r>
                </w:p>
              </w:tc>
              <w:tc>
                <w:tcPr>
                  <w:tcW w:w="474" w:type="pct"/>
                  <w:tcBorders>
                    <w:tl2br w:val="nil"/>
                    <w:tr2bl w:val="nil"/>
                  </w:tcBorders>
                  <w:vAlign w:val="center"/>
                </w:tcPr>
                <w:p w14:paraId="6D104569">
                  <w:pPr>
                    <w:adjustRightInd w:val="0"/>
                    <w:snapToGrid w:val="0"/>
                    <w:jc w:val="center"/>
                    <w:rPr>
                      <w:rFonts w:ascii="Times New Roman" w:hAnsi="Times New Roman" w:cs="Times New Roman"/>
                      <w:color w:val="000000"/>
                      <w:spacing w:val="24"/>
                    </w:rPr>
                  </w:pPr>
                  <w:r>
                    <w:rPr>
                      <w:rFonts w:ascii="Times New Roman" w:hAnsi="Times New Roman" w:cs="Times New Roman"/>
                      <w:color w:val="000000"/>
                      <w:spacing w:val="24"/>
                    </w:rPr>
                    <w:t>/</w:t>
                  </w:r>
                </w:p>
              </w:tc>
              <w:tc>
                <w:tcPr>
                  <w:tcW w:w="706" w:type="pct"/>
                  <w:vMerge w:val="restart"/>
                  <w:tcBorders>
                    <w:tl2br w:val="nil"/>
                    <w:tr2bl w:val="nil"/>
                  </w:tcBorders>
                  <w:vAlign w:val="center"/>
                </w:tcPr>
                <w:p w14:paraId="2443CB40">
                  <w:pPr>
                    <w:adjustRightInd w:val="0"/>
                    <w:snapToGrid w:val="0"/>
                    <w:jc w:val="center"/>
                    <w:rPr>
                      <w:rFonts w:ascii="Times New Roman" w:hAnsi="Times New Roman" w:cs="Times New Roman"/>
                      <w:color w:val="000000"/>
                      <w:szCs w:val="21"/>
                    </w:rPr>
                  </w:pPr>
                  <w:r>
                    <w:rPr>
                      <w:rFonts w:hint="eastAsia" w:ascii="Times New Roman" w:hAnsi="Times New Roman" w:cs="Times New Roman"/>
                      <w:color w:val="000000"/>
                      <w:szCs w:val="21"/>
                    </w:rPr>
                    <w:t>2.71</w:t>
                  </w:r>
                  <w:r>
                    <w:rPr>
                      <w:rFonts w:ascii="Times New Roman" w:hAnsi="Times New Roman" w:cs="Times New Roman"/>
                      <w:color w:val="000000"/>
                      <w:szCs w:val="21"/>
                    </w:rPr>
                    <w:t>mg/m</w:t>
                  </w:r>
                  <w:r>
                    <w:rPr>
                      <w:rFonts w:ascii="Times New Roman" w:hAnsi="Times New Roman" w:cs="Times New Roman"/>
                      <w:color w:val="000000"/>
                      <w:szCs w:val="21"/>
                      <w:vertAlign w:val="superscript"/>
                    </w:rPr>
                    <w:t>3</w:t>
                  </w:r>
                </w:p>
              </w:tc>
              <w:tc>
                <w:tcPr>
                  <w:tcW w:w="588" w:type="pct"/>
                  <w:vMerge w:val="restart"/>
                  <w:tcBorders>
                    <w:tl2br w:val="nil"/>
                    <w:tr2bl w:val="nil"/>
                  </w:tcBorders>
                  <w:vAlign w:val="center"/>
                </w:tcPr>
                <w:p w14:paraId="57D924B3">
                  <w:pPr>
                    <w:adjustRightInd w:val="0"/>
                    <w:snapToGrid w:val="0"/>
                    <w:jc w:val="center"/>
                    <w:rPr>
                      <w:rFonts w:ascii="Times New Roman" w:hAnsi="Times New Roman" w:cs="Times New Roman"/>
                      <w:color w:val="000000"/>
                    </w:rPr>
                  </w:pPr>
                  <w:r>
                    <w:rPr>
                      <w:rFonts w:ascii="Times New Roman" w:hAnsi="Times New Roman" w:cs="Times New Roman"/>
                      <w:color w:val="000000"/>
                      <w:spacing w:val="24"/>
                    </w:rPr>
                    <w:t>/</w:t>
                  </w:r>
                </w:p>
              </w:tc>
              <w:tc>
                <w:tcPr>
                  <w:tcW w:w="341" w:type="pct"/>
                  <w:vMerge w:val="restart"/>
                  <w:tcBorders>
                    <w:tl2br w:val="nil"/>
                    <w:tr2bl w:val="nil"/>
                  </w:tcBorders>
                  <w:vAlign w:val="center"/>
                </w:tcPr>
                <w:p w14:paraId="4061C7AF">
                  <w:pPr>
                    <w:pStyle w:val="76"/>
                    <w:widowControl w:val="0"/>
                    <w:adjustRightInd w:val="0"/>
                    <w:snapToGrid w:val="0"/>
                    <w:spacing w:before="0" w:beforeAutospacing="0" w:after="0" w:afterAutospacing="0"/>
                    <w:jc w:val="center"/>
                    <w:rPr>
                      <w:rFonts w:ascii="Times New Roman" w:hAnsi="Times New Roman" w:cs="Times New Roman"/>
                      <w:color w:val="000000"/>
                      <w:sz w:val="21"/>
                    </w:rPr>
                  </w:pPr>
                  <w:r>
                    <w:rPr>
                      <w:rFonts w:ascii="Times New Roman" w:hAnsi="Times New Roman" w:cs="Times New Roman"/>
                      <w:color w:val="000000"/>
                      <w:kern w:val="2"/>
                      <w:sz w:val="21"/>
                      <w:szCs w:val="21"/>
                      <w:lang w:bidi="ar"/>
                    </w:rPr>
                    <w:t>达标</w:t>
                  </w:r>
                </w:p>
              </w:tc>
            </w:tr>
            <w:tr w14:paraId="593FF9CF">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30" w:type="pct"/>
                  <w:vMerge w:val="continue"/>
                  <w:tcBorders>
                    <w:tl2br w:val="nil"/>
                    <w:tr2bl w:val="nil"/>
                  </w:tcBorders>
                  <w:vAlign w:val="center"/>
                </w:tcPr>
                <w:p w14:paraId="7CA2853A">
                  <w:pPr>
                    <w:rPr>
                      <w:color w:val="000000"/>
                      <w:szCs w:val="21"/>
                    </w:rPr>
                  </w:pPr>
                </w:p>
              </w:tc>
              <w:tc>
                <w:tcPr>
                  <w:tcW w:w="611" w:type="pct"/>
                  <w:tcBorders>
                    <w:tl2br w:val="nil"/>
                    <w:tr2bl w:val="nil"/>
                  </w:tcBorders>
                  <w:vAlign w:val="center"/>
                </w:tcPr>
                <w:p w14:paraId="01DDF265">
                  <w:pPr>
                    <w:adjustRightInd w:val="0"/>
                    <w:snapToGrid w:val="0"/>
                    <w:jc w:val="center"/>
                    <w:rPr>
                      <w:rFonts w:ascii="Times New Roman" w:hAnsi="Times New Roman" w:cs="Times New Roman"/>
                      <w:color w:val="000000"/>
                      <w:szCs w:val="21"/>
                    </w:rPr>
                  </w:pPr>
                  <w:r>
                    <w:rPr>
                      <w:rFonts w:ascii="Times New Roman" w:hAnsi="Times New Roman" w:cs="Times New Roman"/>
                      <w:color w:val="000000"/>
                    </w:rPr>
                    <w:t>装车泄漏</w:t>
                  </w:r>
                </w:p>
              </w:tc>
              <w:tc>
                <w:tcPr>
                  <w:tcW w:w="323" w:type="pct"/>
                  <w:vMerge w:val="continue"/>
                  <w:tcBorders>
                    <w:tl2br w:val="nil"/>
                    <w:tr2bl w:val="nil"/>
                  </w:tcBorders>
                  <w:vAlign w:val="center"/>
                </w:tcPr>
                <w:p w14:paraId="3AA8BB86">
                  <w:pPr>
                    <w:pStyle w:val="187"/>
                    <w:spacing w:beforeLines="0" w:afterLines="0" w:line="240" w:lineRule="auto"/>
                    <w:rPr>
                      <w:rFonts w:ascii="Times New Roman" w:hAnsi="Times New Roman" w:cs="Times New Roman"/>
                      <w:color w:val="000000"/>
                      <w:szCs w:val="21"/>
                    </w:rPr>
                  </w:pPr>
                </w:p>
              </w:tc>
              <w:tc>
                <w:tcPr>
                  <w:tcW w:w="835" w:type="pct"/>
                  <w:tcBorders>
                    <w:tl2br w:val="nil"/>
                    <w:tr2bl w:val="nil"/>
                  </w:tcBorders>
                  <w:vAlign w:val="center"/>
                </w:tcPr>
                <w:p w14:paraId="762ECB4F">
                  <w:pPr>
                    <w:adjustRightInd w:val="0"/>
                    <w:snapToGrid w:val="0"/>
                    <w:jc w:val="center"/>
                    <w:rPr>
                      <w:rFonts w:ascii="Times New Roman" w:hAnsi="Times New Roman" w:cs="Times New Roman"/>
                      <w:color w:val="000000"/>
                      <w:spacing w:val="24"/>
                    </w:rPr>
                  </w:pPr>
                  <w:r>
                    <w:rPr>
                      <w:rFonts w:ascii="Times New Roman" w:hAnsi="Times New Roman" w:cs="Times New Roman"/>
                      <w:color w:val="000000"/>
                      <w:spacing w:val="24"/>
                    </w:rPr>
                    <w:t>非甲烷总烃</w:t>
                  </w:r>
                </w:p>
              </w:tc>
              <w:tc>
                <w:tcPr>
                  <w:tcW w:w="892" w:type="pct"/>
                  <w:tcBorders>
                    <w:tl2br w:val="nil"/>
                    <w:tr2bl w:val="nil"/>
                  </w:tcBorders>
                  <w:vAlign w:val="center"/>
                </w:tcPr>
                <w:p w14:paraId="7C3A9F6A">
                  <w:pPr>
                    <w:pStyle w:val="504"/>
                    <w:adjustRightInd w:val="0"/>
                    <w:snapToGrid w:val="0"/>
                    <w:spacing w:before="0" w:after="0"/>
                    <w:ind w:left="0" w:firstLine="0" w:firstLineChars="0"/>
                    <w:jc w:val="center"/>
                    <w:rPr>
                      <w:rFonts w:ascii="Times New Roman" w:hAnsi="Times New Roman" w:cs="Times New Roman"/>
                      <w:color w:val="000000"/>
                    </w:rPr>
                  </w:pPr>
                  <w:r>
                    <w:rPr>
                      <w:rFonts w:ascii="Times New Roman" w:hAnsi="Times New Roman" w:cs="Times New Roman"/>
                      <w:color w:val="000000"/>
                    </w:rPr>
                    <w:t>0.08</w:t>
                  </w:r>
                </w:p>
              </w:tc>
              <w:tc>
                <w:tcPr>
                  <w:tcW w:w="474" w:type="pct"/>
                  <w:tcBorders>
                    <w:tl2br w:val="nil"/>
                    <w:tr2bl w:val="nil"/>
                  </w:tcBorders>
                  <w:vAlign w:val="center"/>
                </w:tcPr>
                <w:p w14:paraId="7002A050">
                  <w:pPr>
                    <w:adjustRightInd w:val="0"/>
                    <w:snapToGrid w:val="0"/>
                    <w:jc w:val="center"/>
                    <w:textAlignment w:val="center"/>
                    <w:rPr>
                      <w:rFonts w:ascii="Times New Roman" w:hAnsi="Times New Roman" w:cs="Times New Roman"/>
                      <w:color w:val="000000"/>
                      <w:spacing w:val="24"/>
                    </w:rPr>
                  </w:pPr>
                  <w:r>
                    <w:rPr>
                      <w:rFonts w:ascii="Times New Roman" w:hAnsi="Times New Roman" w:cs="Times New Roman"/>
                      <w:color w:val="000000"/>
                      <w:kern w:val="0"/>
                      <w:szCs w:val="21"/>
                      <w:lang w:bidi="ar"/>
                    </w:rPr>
                    <w:t>/</w:t>
                  </w:r>
                </w:p>
              </w:tc>
              <w:tc>
                <w:tcPr>
                  <w:tcW w:w="706" w:type="pct"/>
                  <w:vMerge w:val="continue"/>
                  <w:tcBorders>
                    <w:tl2br w:val="nil"/>
                    <w:tr2bl w:val="nil"/>
                  </w:tcBorders>
                  <w:vAlign w:val="center"/>
                </w:tcPr>
                <w:p w14:paraId="2FCD122D">
                  <w:pPr>
                    <w:adjustRightInd w:val="0"/>
                    <w:snapToGrid w:val="0"/>
                    <w:jc w:val="center"/>
                    <w:rPr>
                      <w:rFonts w:ascii="Times New Roman" w:hAnsi="Times New Roman" w:cs="Times New Roman"/>
                      <w:color w:val="000000"/>
                      <w:szCs w:val="21"/>
                    </w:rPr>
                  </w:pPr>
                </w:p>
              </w:tc>
              <w:tc>
                <w:tcPr>
                  <w:tcW w:w="588" w:type="pct"/>
                  <w:vMerge w:val="continue"/>
                  <w:tcBorders>
                    <w:tl2br w:val="nil"/>
                    <w:tr2bl w:val="nil"/>
                  </w:tcBorders>
                  <w:vAlign w:val="center"/>
                </w:tcPr>
                <w:p w14:paraId="693F1E97">
                  <w:pPr>
                    <w:adjustRightInd w:val="0"/>
                    <w:snapToGrid w:val="0"/>
                    <w:jc w:val="center"/>
                    <w:rPr>
                      <w:rFonts w:ascii="Times New Roman" w:hAnsi="Times New Roman" w:cs="Times New Roman"/>
                      <w:color w:val="000000"/>
                    </w:rPr>
                  </w:pPr>
                </w:p>
              </w:tc>
              <w:tc>
                <w:tcPr>
                  <w:tcW w:w="341" w:type="pct"/>
                  <w:vMerge w:val="continue"/>
                  <w:tcBorders>
                    <w:tl2br w:val="nil"/>
                    <w:tr2bl w:val="nil"/>
                  </w:tcBorders>
                  <w:vAlign w:val="center"/>
                </w:tcPr>
                <w:p w14:paraId="35856351">
                  <w:pPr>
                    <w:adjustRightInd w:val="0"/>
                    <w:snapToGrid w:val="0"/>
                    <w:jc w:val="center"/>
                    <w:rPr>
                      <w:rFonts w:ascii="Times New Roman" w:hAnsi="Times New Roman" w:cs="Times New Roman"/>
                      <w:color w:val="000000"/>
                    </w:rPr>
                  </w:pPr>
                </w:p>
              </w:tc>
            </w:tr>
            <w:tr w14:paraId="6ED6150F">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19" w:hRule="atLeast"/>
                <w:jc w:val="center"/>
              </w:trPr>
              <w:tc>
                <w:tcPr>
                  <w:tcW w:w="230" w:type="pct"/>
                  <w:vMerge w:val="restart"/>
                  <w:tcBorders>
                    <w:tl2br w:val="nil"/>
                    <w:tr2bl w:val="nil"/>
                  </w:tcBorders>
                  <w:vAlign w:val="center"/>
                </w:tcPr>
                <w:p w14:paraId="065F5CCF">
                  <w:pPr>
                    <w:rPr>
                      <w:color w:val="000000"/>
                      <w:szCs w:val="21"/>
                    </w:rPr>
                  </w:pPr>
                  <w:r>
                    <w:rPr>
                      <w:color w:val="000000"/>
                      <w:szCs w:val="21"/>
                    </w:rPr>
                    <w:t>废水</w:t>
                  </w:r>
                </w:p>
              </w:tc>
              <w:tc>
                <w:tcPr>
                  <w:tcW w:w="934" w:type="pct"/>
                  <w:gridSpan w:val="2"/>
                  <w:vMerge w:val="restart"/>
                  <w:tcBorders>
                    <w:tl2br w:val="nil"/>
                    <w:tr2bl w:val="nil"/>
                  </w:tcBorders>
                  <w:vAlign w:val="center"/>
                </w:tcPr>
                <w:p w14:paraId="1378262D">
                  <w:pPr>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生产废水(1040m</w:t>
                  </w:r>
                  <w:r>
                    <w:rPr>
                      <w:rFonts w:ascii="Times New Roman" w:hAnsi="Times New Roman" w:cs="Times New Roman"/>
                      <w:color w:val="000000"/>
                      <w:szCs w:val="21"/>
                      <w:vertAlign w:val="superscript"/>
                    </w:rPr>
                    <w:t>3</w:t>
                  </w:r>
                  <w:r>
                    <w:rPr>
                      <w:rFonts w:ascii="Times New Roman" w:hAnsi="Times New Roman" w:cs="Times New Roman"/>
                      <w:color w:val="000000"/>
                      <w:szCs w:val="21"/>
                    </w:rPr>
                    <w:t>/a)</w:t>
                  </w:r>
                </w:p>
              </w:tc>
              <w:tc>
                <w:tcPr>
                  <w:tcW w:w="835" w:type="pct"/>
                  <w:tcBorders>
                    <w:tl2br w:val="nil"/>
                    <w:tr2bl w:val="nil"/>
                  </w:tcBorders>
                  <w:vAlign w:val="center"/>
                </w:tcPr>
                <w:p w14:paraId="035D4FF0">
                  <w:pPr>
                    <w:pStyle w:val="76"/>
                    <w:widowControl w:val="0"/>
                    <w:adjustRightInd w:val="0"/>
                    <w:snapToGrid w:val="0"/>
                    <w:spacing w:before="0" w:beforeAutospacing="0" w:after="0" w:afterAutospacing="0"/>
                    <w:jc w:val="center"/>
                    <w:rPr>
                      <w:rFonts w:ascii="Times New Roman" w:hAnsi="Times New Roman" w:cs="Times New Roman"/>
                      <w:color w:val="000000"/>
                      <w:kern w:val="2"/>
                      <w:sz w:val="21"/>
                      <w:szCs w:val="21"/>
                      <w:lang w:bidi="ar"/>
                    </w:rPr>
                  </w:pPr>
                  <w:r>
                    <w:rPr>
                      <w:rFonts w:ascii="Times New Roman" w:hAnsi="Times New Roman" w:cs="Times New Roman"/>
                      <w:color w:val="000000"/>
                      <w:kern w:val="2"/>
                      <w:sz w:val="21"/>
                      <w:szCs w:val="21"/>
                      <w:lang w:bidi="ar"/>
                    </w:rPr>
                    <w:t>COD</w:t>
                  </w:r>
                </w:p>
              </w:tc>
              <w:tc>
                <w:tcPr>
                  <w:tcW w:w="892" w:type="pct"/>
                  <w:tcBorders>
                    <w:tl2br w:val="nil"/>
                    <w:tr2bl w:val="nil"/>
                  </w:tcBorders>
                  <w:vAlign w:val="center"/>
                </w:tcPr>
                <w:p w14:paraId="2DD05785">
                  <w:pPr>
                    <w:pStyle w:val="504"/>
                    <w:adjustRightInd w:val="0"/>
                    <w:snapToGrid w:val="0"/>
                    <w:spacing w:before="0" w:after="0"/>
                    <w:ind w:left="0" w:firstLine="0" w:firstLineChars="0"/>
                    <w:jc w:val="center"/>
                    <w:rPr>
                      <w:rFonts w:ascii="Times New Roman" w:hAnsi="Times New Roman" w:cs="Times New Roman"/>
                      <w:color w:val="000000"/>
                    </w:rPr>
                  </w:pPr>
                  <w:r>
                    <w:rPr>
                      <w:rFonts w:ascii="Times New Roman" w:hAnsi="Times New Roman" w:cs="Times New Roman"/>
                      <w:color w:val="000000"/>
                    </w:rPr>
                    <w:t>0.083</w:t>
                  </w:r>
                </w:p>
              </w:tc>
              <w:tc>
                <w:tcPr>
                  <w:tcW w:w="474" w:type="pct"/>
                  <w:tcBorders>
                    <w:tl2br w:val="nil"/>
                    <w:tr2bl w:val="nil"/>
                  </w:tcBorders>
                  <w:vAlign w:val="center"/>
                </w:tcPr>
                <w:p w14:paraId="2CBA5F09">
                  <w:pPr>
                    <w:pStyle w:val="76"/>
                    <w:widowControl w:val="0"/>
                    <w:adjustRightInd w:val="0"/>
                    <w:snapToGrid w:val="0"/>
                    <w:spacing w:before="0" w:beforeAutospacing="0" w:after="0" w:afterAutospacing="0"/>
                    <w:jc w:val="center"/>
                    <w:rPr>
                      <w:rFonts w:ascii="Times New Roman" w:hAnsi="Times New Roman" w:cs="Times New Roman"/>
                      <w:color w:val="000000"/>
                      <w:kern w:val="2"/>
                      <w:sz w:val="21"/>
                      <w:szCs w:val="21"/>
                      <w:lang w:bidi="ar"/>
                    </w:rPr>
                  </w:pPr>
                  <w:r>
                    <w:rPr>
                      <w:rFonts w:ascii="Times New Roman" w:hAnsi="Times New Roman" w:cs="Times New Roman"/>
                      <w:color w:val="000000"/>
                      <w:kern w:val="2"/>
                      <w:sz w:val="21"/>
                      <w:szCs w:val="21"/>
                      <w:lang w:bidi="ar"/>
                    </w:rPr>
                    <w:t>0.0833</w:t>
                  </w:r>
                </w:p>
              </w:tc>
              <w:tc>
                <w:tcPr>
                  <w:tcW w:w="706" w:type="pct"/>
                  <w:tcBorders>
                    <w:tl2br w:val="nil"/>
                    <w:tr2bl w:val="nil"/>
                  </w:tcBorders>
                  <w:vAlign w:val="center"/>
                </w:tcPr>
                <w:p w14:paraId="04DCAE52">
                  <w:pPr>
                    <w:pStyle w:val="76"/>
                    <w:widowControl w:val="0"/>
                    <w:adjustRightInd w:val="0"/>
                    <w:snapToGrid w:val="0"/>
                    <w:spacing w:before="0" w:beforeAutospacing="0" w:after="0" w:afterAutospacing="0"/>
                    <w:jc w:val="center"/>
                    <w:rPr>
                      <w:rFonts w:ascii="Times New Roman" w:hAnsi="Times New Roman" w:cs="Times New Roman"/>
                      <w:color w:val="000000"/>
                      <w:kern w:val="2"/>
                      <w:sz w:val="21"/>
                      <w:szCs w:val="21"/>
                      <w:lang w:bidi="ar"/>
                    </w:rPr>
                  </w:pPr>
                  <w:r>
                    <w:rPr>
                      <w:rFonts w:ascii="Times New Roman" w:hAnsi="Times New Roman" w:cs="Times New Roman"/>
                      <w:color w:val="000000"/>
                      <w:kern w:val="2"/>
                      <w:sz w:val="21"/>
                      <w:szCs w:val="21"/>
                      <w:lang w:bidi="ar"/>
                    </w:rPr>
                    <w:t>39mg/L</w:t>
                  </w:r>
                </w:p>
              </w:tc>
              <w:tc>
                <w:tcPr>
                  <w:tcW w:w="588" w:type="pct"/>
                  <w:tcBorders>
                    <w:tl2br w:val="nil"/>
                    <w:tr2bl w:val="nil"/>
                  </w:tcBorders>
                  <w:vAlign w:val="center"/>
                </w:tcPr>
                <w:p w14:paraId="21182F4C">
                  <w:pPr>
                    <w:pStyle w:val="76"/>
                    <w:widowControl w:val="0"/>
                    <w:adjustRightInd w:val="0"/>
                    <w:snapToGrid w:val="0"/>
                    <w:spacing w:before="0" w:beforeAutospacing="0" w:after="0" w:afterAutospacing="0"/>
                    <w:jc w:val="center"/>
                    <w:rPr>
                      <w:rFonts w:ascii="Times New Roman" w:hAnsi="Times New Roman" w:cs="Times New Roman"/>
                      <w:color w:val="000000"/>
                      <w:kern w:val="2"/>
                      <w:sz w:val="21"/>
                      <w:szCs w:val="21"/>
                      <w:lang w:bidi="ar"/>
                    </w:rPr>
                  </w:pPr>
                  <w:r>
                    <w:rPr>
                      <w:rFonts w:ascii="Times New Roman" w:hAnsi="Times New Roman" w:cs="Times New Roman"/>
                      <w:color w:val="000000"/>
                      <w:kern w:val="2"/>
                      <w:sz w:val="21"/>
                      <w:szCs w:val="21"/>
                      <w:lang w:bidi="ar"/>
                    </w:rPr>
                    <w:t>500mg/L</w:t>
                  </w:r>
                </w:p>
              </w:tc>
              <w:tc>
                <w:tcPr>
                  <w:tcW w:w="341" w:type="pct"/>
                  <w:tcBorders>
                    <w:tl2br w:val="nil"/>
                    <w:tr2bl w:val="nil"/>
                  </w:tcBorders>
                  <w:vAlign w:val="center"/>
                </w:tcPr>
                <w:p w14:paraId="37DB303B">
                  <w:pPr>
                    <w:pStyle w:val="76"/>
                    <w:widowControl w:val="0"/>
                    <w:adjustRightInd w:val="0"/>
                    <w:snapToGrid w:val="0"/>
                    <w:spacing w:before="0" w:beforeAutospacing="0" w:after="0" w:afterAutospacing="0"/>
                    <w:jc w:val="center"/>
                    <w:rPr>
                      <w:rFonts w:ascii="Times New Roman" w:hAnsi="Times New Roman" w:cs="Times New Roman"/>
                      <w:color w:val="000000"/>
                      <w:kern w:val="2"/>
                      <w:sz w:val="21"/>
                      <w:szCs w:val="21"/>
                      <w:lang w:bidi="ar"/>
                    </w:rPr>
                  </w:pPr>
                  <w:r>
                    <w:rPr>
                      <w:rFonts w:ascii="Times New Roman" w:hAnsi="Times New Roman" w:cs="Times New Roman"/>
                      <w:color w:val="000000"/>
                      <w:kern w:val="2"/>
                      <w:sz w:val="21"/>
                      <w:szCs w:val="21"/>
                      <w:lang w:bidi="ar"/>
                    </w:rPr>
                    <w:t>达标</w:t>
                  </w:r>
                </w:p>
              </w:tc>
            </w:tr>
            <w:tr w14:paraId="6FD92519">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19" w:hRule="atLeast"/>
                <w:jc w:val="center"/>
              </w:trPr>
              <w:tc>
                <w:tcPr>
                  <w:tcW w:w="230" w:type="pct"/>
                  <w:vMerge w:val="continue"/>
                  <w:tcBorders>
                    <w:tl2br w:val="nil"/>
                    <w:tr2bl w:val="nil"/>
                  </w:tcBorders>
                  <w:vAlign w:val="center"/>
                </w:tcPr>
                <w:p w14:paraId="25F2C12F">
                  <w:pPr>
                    <w:rPr>
                      <w:color w:val="000000"/>
                      <w:szCs w:val="21"/>
                    </w:rPr>
                  </w:pPr>
                </w:p>
              </w:tc>
              <w:tc>
                <w:tcPr>
                  <w:tcW w:w="934" w:type="pct"/>
                  <w:gridSpan w:val="2"/>
                  <w:vMerge w:val="continue"/>
                  <w:tcBorders>
                    <w:tl2br w:val="nil"/>
                    <w:tr2bl w:val="nil"/>
                  </w:tcBorders>
                  <w:vAlign w:val="center"/>
                </w:tcPr>
                <w:p w14:paraId="6CE9EEBB">
                  <w:pPr>
                    <w:rPr>
                      <w:color w:val="000000"/>
                      <w:szCs w:val="21"/>
                    </w:rPr>
                  </w:pPr>
                </w:p>
              </w:tc>
              <w:tc>
                <w:tcPr>
                  <w:tcW w:w="835" w:type="pct"/>
                  <w:tcBorders>
                    <w:tl2br w:val="nil"/>
                    <w:tr2bl w:val="nil"/>
                  </w:tcBorders>
                  <w:vAlign w:val="center"/>
                </w:tcPr>
                <w:p w14:paraId="657860C9">
                  <w:pPr>
                    <w:pStyle w:val="76"/>
                    <w:widowControl w:val="0"/>
                    <w:adjustRightInd w:val="0"/>
                    <w:snapToGrid w:val="0"/>
                    <w:spacing w:before="0" w:beforeAutospacing="0" w:after="0" w:afterAutospacing="0"/>
                    <w:jc w:val="center"/>
                    <w:rPr>
                      <w:rFonts w:ascii="Times New Roman" w:hAnsi="Times New Roman" w:cs="Times New Roman"/>
                      <w:color w:val="000000"/>
                      <w:kern w:val="2"/>
                      <w:sz w:val="21"/>
                      <w:szCs w:val="21"/>
                      <w:lang w:bidi="ar"/>
                    </w:rPr>
                  </w:pPr>
                  <w:r>
                    <w:rPr>
                      <w:rFonts w:ascii="Times New Roman" w:hAnsi="Times New Roman" w:cs="Times New Roman"/>
                      <w:color w:val="000000"/>
                      <w:kern w:val="2"/>
                      <w:sz w:val="21"/>
                      <w:szCs w:val="21"/>
                      <w:lang w:bidi="ar"/>
                    </w:rPr>
                    <w:t>SS</w:t>
                  </w:r>
                </w:p>
              </w:tc>
              <w:tc>
                <w:tcPr>
                  <w:tcW w:w="892" w:type="pct"/>
                  <w:tcBorders>
                    <w:tl2br w:val="nil"/>
                    <w:tr2bl w:val="nil"/>
                  </w:tcBorders>
                  <w:vAlign w:val="center"/>
                </w:tcPr>
                <w:p w14:paraId="5625EBBD">
                  <w:pPr>
                    <w:pStyle w:val="504"/>
                    <w:adjustRightInd w:val="0"/>
                    <w:snapToGrid w:val="0"/>
                    <w:spacing w:before="0" w:after="0"/>
                    <w:ind w:left="0" w:firstLine="0" w:firstLineChars="0"/>
                    <w:jc w:val="center"/>
                    <w:rPr>
                      <w:rFonts w:ascii="Times New Roman" w:hAnsi="Times New Roman" w:cs="Times New Roman"/>
                      <w:color w:val="000000"/>
                    </w:rPr>
                  </w:pPr>
                  <w:r>
                    <w:rPr>
                      <w:rFonts w:ascii="Times New Roman" w:hAnsi="Times New Roman" w:cs="Times New Roman"/>
                      <w:color w:val="000000"/>
                    </w:rPr>
                    <w:t>0.073</w:t>
                  </w:r>
                </w:p>
              </w:tc>
              <w:tc>
                <w:tcPr>
                  <w:tcW w:w="474" w:type="pct"/>
                  <w:tcBorders>
                    <w:tl2br w:val="nil"/>
                    <w:tr2bl w:val="nil"/>
                  </w:tcBorders>
                  <w:vAlign w:val="center"/>
                </w:tcPr>
                <w:p w14:paraId="07D1A102">
                  <w:pPr>
                    <w:adjustRightInd w:val="0"/>
                    <w:snapToGrid w:val="0"/>
                    <w:jc w:val="center"/>
                    <w:rPr>
                      <w:rFonts w:ascii="Times New Roman" w:hAnsi="Times New Roman" w:cs="Times New Roman"/>
                      <w:color w:val="000000"/>
                      <w:szCs w:val="21"/>
                      <w:lang w:bidi="ar"/>
                    </w:rPr>
                  </w:pPr>
                  <w:r>
                    <w:rPr>
                      <w:rFonts w:ascii="Times New Roman" w:hAnsi="Times New Roman" w:cs="Times New Roman"/>
                      <w:color w:val="000000"/>
                      <w:spacing w:val="24"/>
                    </w:rPr>
                    <w:t>/</w:t>
                  </w:r>
                </w:p>
              </w:tc>
              <w:tc>
                <w:tcPr>
                  <w:tcW w:w="706" w:type="pct"/>
                  <w:tcBorders>
                    <w:tl2br w:val="nil"/>
                    <w:tr2bl w:val="nil"/>
                  </w:tcBorders>
                  <w:vAlign w:val="center"/>
                </w:tcPr>
                <w:p w14:paraId="101A7A0F">
                  <w:pPr>
                    <w:pStyle w:val="76"/>
                    <w:widowControl w:val="0"/>
                    <w:adjustRightInd w:val="0"/>
                    <w:snapToGrid w:val="0"/>
                    <w:spacing w:before="0" w:beforeAutospacing="0" w:after="0" w:afterAutospacing="0"/>
                    <w:jc w:val="center"/>
                    <w:rPr>
                      <w:rFonts w:ascii="Times New Roman" w:hAnsi="Times New Roman" w:cs="Times New Roman"/>
                      <w:color w:val="000000"/>
                      <w:kern w:val="2"/>
                      <w:sz w:val="21"/>
                      <w:szCs w:val="21"/>
                      <w:lang w:bidi="ar"/>
                    </w:rPr>
                  </w:pPr>
                  <w:r>
                    <w:rPr>
                      <w:rFonts w:ascii="Times New Roman" w:hAnsi="Times New Roman" w:cs="Times New Roman"/>
                      <w:color w:val="000000"/>
                      <w:kern w:val="2"/>
                      <w:sz w:val="21"/>
                      <w:szCs w:val="21"/>
                      <w:lang w:bidi="ar"/>
                    </w:rPr>
                    <w:t>28mg/L</w:t>
                  </w:r>
                </w:p>
              </w:tc>
              <w:tc>
                <w:tcPr>
                  <w:tcW w:w="588" w:type="pct"/>
                  <w:tcBorders>
                    <w:tl2br w:val="nil"/>
                    <w:tr2bl w:val="nil"/>
                  </w:tcBorders>
                  <w:vAlign w:val="center"/>
                </w:tcPr>
                <w:p w14:paraId="62C94AFE">
                  <w:pPr>
                    <w:pStyle w:val="76"/>
                    <w:widowControl w:val="0"/>
                    <w:adjustRightInd w:val="0"/>
                    <w:snapToGrid w:val="0"/>
                    <w:spacing w:before="0" w:beforeAutospacing="0" w:after="0" w:afterAutospacing="0"/>
                    <w:jc w:val="center"/>
                    <w:rPr>
                      <w:rFonts w:ascii="Times New Roman" w:hAnsi="Times New Roman" w:cs="Times New Roman"/>
                      <w:color w:val="000000"/>
                      <w:kern w:val="2"/>
                      <w:sz w:val="21"/>
                      <w:szCs w:val="21"/>
                      <w:lang w:bidi="ar"/>
                    </w:rPr>
                  </w:pPr>
                  <w:r>
                    <w:rPr>
                      <w:rFonts w:ascii="Times New Roman" w:hAnsi="Times New Roman" w:cs="Times New Roman"/>
                      <w:color w:val="000000"/>
                      <w:kern w:val="2"/>
                      <w:sz w:val="21"/>
                      <w:szCs w:val="21"/>
                      <w:lang w:bidi="ar"/>
                    </w:rPr>
                    <w:t>400mg/L</w:t>
                  </w:r>
                </w:p>
              </w:tc>
              <w:tc>
                <w:tcPr>
                  <w:tcW w:w="341" w:type="pct"/>
                  <w:tcBorders>
                    <w:tl2br w:val="nil"/>
                    <w:tr2bl w:val="nil"/>
                  </w:tcBorders>
                  <w:vAlign w:val="center"/>
                </w:tcPr>
                <w:p w14:paraId="5F4EDF4B">
                  <w:pPr>
                    <w:adjustRightInd w:val="0"/>
                    <w:snapToGrid w:val="0"/>
                    <w:jc w:val="center"/>
                    <w:rPr>
                      <w:rFonts w:ascii="Times New Roman" w:hAnsi="Times New Roman" w:cs="Times New Roman"/>
                      <w:color w:val="000000"/>
                      <w:szCs w:val="21"/>
                      <w:lang w:bidi="ar"/>
                    </w:rPr>
                  </w:pPr>
                  <w:r>
                    <w:rPr>
                      <w:rFonts w:ascii="Times New Roman" w:hAnsi="Times New Roman" w:cs="Times New Roman"/>
                      <w:color w:val="000000"/>
                      <w:szCs w:val="21"/>
                      <w:lang w:bidi="ar"/>
                    </w:rPr>
                    <w:t>达标</w:t>
                  </w:r>
                </w:p>
              </w:tc>
            </w:tr>
            <w:tr w14:paraId="2569F862">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19" w:hRule="atLeast"/>
                <w:jc w:val="center"/>
              </w:trPr>
              <w:tc>
                <w:tcPr>
                  <w:tcW w:w="230" w:type="pct"/>
                  <w:vMerge w:val="continue"/>
                  <w:tcBorders>
                    <w:tl2br w:val="nil"/>
                    <w:tr2bl w:val="nil"/>
                  </w:tcBorders>
                  <w:vAlign w:val="center"/>
                </w:tcPr>
                <w:p w14:paraId="78711CA6">
                  <w:pPr>
                    <w:rPr>
                      <w:color w:val="000000"/>
                      <w:szCs w:val="21"/>
                    </w:rPr>
                  </w:pPr>
                </w:p>
              </w:tc>
              <w:tc>
                <w:tcPr>
                  <w:tcW w:w="934" w:type="pct"/>
                  <w:gridSpan w:val="2"/>
                  <w:vMerge w:val="continue"/>
                  <w:tcBorders>
                    <w:tl2br w:val="nil"/>
                    <w:tr2bl w:val="nil"/>
                  </w:tcBorders>
                  <w:vAlign w:val="center"/>
                </w:tcPr>
                <w:p w14:paraId="26651427">
                  <w:pPr>
                    <w:rPr>
                      <w:color w:val="000000"/>
                      <w:szCs w:val="21"/>
                    </w:rPr>
                  </w:pPr>
                </w:p>
              </w:tc>
              <w:tc>
                <w:tcPr>
                  <w:tcW w:w="835" w:type="pct"/>
                  <w:tcBorders>
                    <w:tl2br w:val="nil"/>
                    <w:tr2bl w:val="nil"/>
                  </w:tcBorders>
                  <w:vAlign w:val="center"/>
                </w:tcPr>
                <w:p w14:paraId="0EC2DBC9">
                  <w:pPr>
                    <w:pStyle w:val="76"/>
                    <w:widowControl w:val="0"/>
                    <w:adjustRightInd w:val="0"/>
                    <w:snapToGrid w:val="0"/>
                    <w:spacing w:before="0" w:beforeAutospacing="0" w:after="0" w:afterAutospacing="0"/>
                    <w:jc w:val="center"/>
                    <w:rPr>
                      <w:rFonts w:ascii="Times New Roman" w:hAnsi="Times New Roman" w:cs="Times New Roman"/>
                      <w:color w:val="000000"/>
                      <w:kern w:val="2"/>
                      <w:sz w:val="21"/>
                      <w:szCs w:val="21"/>
                      <w:lang w:bidi="ar"/>
                    </w:rPr>
                  </w:pPr>
                  <w:r>
                    <w:rPr>
                      <w:rFonts w:ascii="Times New Roman" w:hAnsi="Times New Roman" w:cs="Times New Roman"/>
                      <w:color w:val="000000"/>
                      <w:kern w:val="2"/>
                      <w:sz w:val="21"/>
                      <w:szCs w:val="21"/>
                      <w:lang w:bidi="ar"/>
                    </w:rPr>
                    <w:t>石油类</w:t>
                  </w:r>
                </w:p>
              </w:tc>
              <w:tc>
                <w:tcPr>
                  <w:tcW w:w="892" w:type="pct"/>
                  <w:tcBorders>
                    <w:tl2br w:val="nil"/>
                    <w:tr2bl w:val="nil"/>
                  </w:tcBorders>
                  <w:vAlign w:val="center"/>
                </w:tcPr>
                <w:p w14:paraId="647669A9">
                  <w:pPr>
                    <w:pStyle w:val="504"/>
                    <w:adjustRightInd w:val="0"/>
                    <w:snapToGrid w:val="0"/>
                    <w:spacing w:before="0" w:after="0"/>
                    <w:ind w:left="0" w:firstLine="0" w:firstLineChars="0"/>
                    <w:jc w:val="center"/>
                    <w:rPr>
                      <w:rFonts w:ascii="Times New Roman" w:hAnsi="Times New Roman" w:cs="Times New Roman"/>
                      <w:color w:val="000000"/>
                    </w:rPr>
                  </w:pPr>
                  <w:r>
                    <w:rPr>
                      <w:rFonts w:ascii="Times New Roman" w:hAnsi="Times New Roman" w:cs="Times New Roman"/>
                      <w:color w:val="000000"/>
                    </w:rPr>
                    <w:t>0.003</w:t>
                  </w:r>
                </w:p>
              </w:tc>
              <w:tc>
                <w:tcPr>
                  <w:tcW w:w="474" w:type="pct"/>
                  <w:tcBorders>
                    <w:tl2br w:val="nil"/>
                    <w:tr2bl w:val="nil"/>
                  </w:tcBorders>
                  <w:vAlign w:val="center"/>
                </w:tcPr>
                <w:p w14:paraId="2DC068B7">
                  <w:pPr>
                    <w:adjustRightInd w:val="0"/>
                    <w:snapToGrid w:val="0"/>
                    <w:jc w:val="center"/>
                    <w:textAlignment w:val="center"/>
                    <w:rPr>
                      <w:rFonts w:ascii="Times New Roman" w:hAnsi="Times New Roman" w:cs="Times New Roman"/>
                      <w:color w:val="000000"/>
                      <w:szCs w:val="21"/>
                      <w:lang w:bidi="ar"/>
                    </w:rPr>
                  </w:pPr>
                  <w:r>
                    <w:rPr>
                      <w:rFonts w:ascii="Times New Roman" w:hAnsi="Times New Roman" w:cs="Times New Roman"/>
                      <w:color w:val="000000"/>
                      <w:kern w:val="0"/>
                      <w:szCs w:val="21"/>
                      <w:lang w:bidi="ar"/>
                    </w:rPr>
                    <w:t>/</w:t>
                  </w:r>
                </w:p>
              </w:tc>
              <w:tc>
                <w:tcPr>
                  <w:tcW w:w="706" w:type="pct"/>
                  <w:tcBorders>
                    <w:tl2br w:val="nil"/>
                    <w:tr2bl w:val="nil"/>
                  </w:tcBorders>
                  <w:vAlign w:val="center"/>
                </w:tcPr>
                <w:p w14:paraId="497DF2AC">
                  <w:pPr>
                    <w:pStyle w:val="76"/>
                    <w:widowControl w:val="0"/>
                    <w:adjustRightInd w:val="0"/>
                    <w:snapToGrid w:val="0"/>
                    <w:spacing w:before="0" w:beforeAutospacing="0" w:after="0" w:afterAutospacing="0"/>
                    <w:jc w:val="center"/>
                    <w:rPr>
                      <w:rFonts w:ascii="Times New Roman" w:hAnsi="Times New Roman" w:cs="Times New Roman"/>
                      <w:color w:val="000000"/>
                      <w:kern w:val="2"/>
                      <w:sz w:val="21"/>
                      <w:szCs w:val="21"/>
                      <w:lang w:bidi="ar"/>
                    </w:rPr>
                  </w:pPr>
                  <w:r>
                    <w:rPr>
                      <w:rFonts w:ascii="Times New Roman" w:hAnsi="Times New Roman" w:cs="Times New Roman"/>
                      <w:color w:val="000000"/>
                      <w:kern w:val="2"/>
                      <w:sz w:val="21"/>
                      <w:szCs w:val="21"/>
                      <w:lang w:bidi="ar"/>
                    </w:rPr>
                    <w:t>0.06L</w:t>
                  </w:r>
                </w:p>
              </w:tc>
              <w:tc>
                <w:tcPr>
                  <w:tcW w:w="588" w:type="pct"/>
                  <w:tcBorders>
                    <w:tl2br w:val="nil"/>
                    <w:tr2bl w:val="nil"/>
                  </w:tcBorders>
                  <w:vAlign w:val="center"/>
                </w:tcPr>
                <w:p w14:paraId="7FD3812E">
                  <w:pPr>
                    <w:pStyle w:val="76"/>
                    <w:widowControl w:val="0"/>
                    <w:adjustRightInd w:val="0"/>
                    <w:snapToGrid w:val="0"/>
                    <w:spacing w:before="0" w:beforeAutospacing="0" w:after="0" w:afterAutospacing="0"/>
                    <w:jc w:val="center"/>
                    <w:rPr>
                      <w:rFonts w:ascii="Times New Roman" w:hAnsi="Times New Roman" w:cs="Times New Roman"/>
                      <w:color w:val="000000"/>
                      <w:kern w:val="2"/>
                      <w:sz w:val="21"/>
                      <w:szCs w:val="21"/>
                      <w:lang w:bidi="ar"/>
                    </w:rPr>
                  </w:pPr>
                  <w:r>
                    <w:rPr>
                      <w:rFonts w:ascii="Times New Roman" w:hAnsi="Times New Roman" w:cs="Times New Roman"/>
                      <w:color w:val="000000"/>
                      <w:kern w:val="2"/>
                      <w:sz w:val="21"/>
                      <w:szCs w:val="21"/>
                      <w:lang w:bidi="ar"/>
                    </w:rPr>
                    <w:t>20mg/L</w:t>
                  </w:r>
                </w:p>
              </w:tc>
              <w:tc>
                <w:tcPr>
                  <w:tcW w:w="341" w:type="pct"/>
                  <w:tcBorders>
                    <w:tl2br w:val="nil"/>
                    <w:tr2bl w:val="nil"/>
                  </w:tcBorders>
                  <w:vAlign w:val="center"/>
                </w:tcPr>
                <w:p w14:paraId="700FB399">
                  <w:pPr>
                    <w:adjustRightInd w:val="0"/>
                    <w:snapToGrid w:val="0"/>
                    <w:jc w:val="center"/>
                    <w:rPr>
                      <w:rFonts w:ascii="Times New Roman" w:hAnsi="Times New Roman" w:cs="Times New Roman"/>
                      <w:color w:val="000000"/>
                      <w:szCs w:val="21"/>
                      <w:lang w:bidi="ar"/>
                    </w:rPr>
                  </w:pPr>
                  <w:r>
                    <w:rPr>
                      <w:rFonts w:ascii="Times New Roman" w:hAnsi="Times New Roman" w:cs="Times New Roman"/>
                      <w:color w:val="000000"/>
                      <w:szCs w:val="21"/>
                      <w:lang w:bidi="ar"/>
                    </w:rPr>
                    <w:t>达标</w:t>
                  </w:r>
                </w:p>
              </w:tc>
            </w:tr>
            <w:tr w14:paraId="626752E5">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19" w:hRule="atLeast"/>
                <w:jc w:val="center"/>
              </w:trPr>
              <w:tc>
                <w:tcPr>
                  <w:tcW w:w="230" w:type="pct"/>
                  <w:vMerge w:val="continue"/>
                  <w:tcBorders>
                    <w:tl2br w:val="nil"/>
                    <w:tr2bl w:val="nil"/>
                  </w:tcBorders>
                  <w:vAlign w:val="center"/>
                </w:tcPr>
                <w:p w14:paraId="6D6A8E8E">
                  <w:pPr>
                    <w:rPr>
                      <w:color w:val="000000"/>
                      <w:szCs w:val="21"/>
                    </w:rPr>
                  </w:pPr>
                </w:p>
              </w:tc>
              <w:tc>
                <w:tcPr>
                  <w:tcW w:w="934" w:type="pct"/>
                  <w:gridSpan w:val="2"/>
                  <w:vMerge w:val="restart"/>
                  <w:tcBorders>
                    <w:tl2br w:val="nil"/>
                    <w:tr2bl w:val="nil"/>
                  </w:tcBorders>
                  <w:vAlign w:val="center"/>
                </w:tcPr>
                <w:p w14:paraId="2BEBDE50">
                  <w:pPr>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生活污水(2673m</w:t>
                  </w:r>
                  <w:r>
                    <w:rPr>
                      <w:rFonts w:ascii="Times New Roman" w:hAnsi="Times New Roman" w:cs="Times New Roman"/>
                      <w:color w:val="000000"/>
                      <w:szCs w:val="21"/>
                      <w:vertAlign w:val="superscript"/>
                    </w:rPr>
                    <w:t>3</w:t>
                  </w:r>
                  <w:r>
                    <w:rPr>
                      <w:rFonts w:ascii="Times New Roman" w:hAnsi="Times New Roman" w:cs="Times New Roman"/>
                      <w:color w:val="000000"/>
                      <w:szCs w:val="21"/>
                    </w:rPr>
                    <w:t>/a)</w:t>
                  </w:r>
                </w:p>
                <w:p w14:paraId="12BC7F4D">
                  <w:pPr>
                    <w:adjustRightInd w:val="0"/>
                    <w:snapToGrid w:val="0"/>
                    <w:jc w:val="center"/>
                    <w:rPr>
                      <w:rFonts w:ascii="Times New Roman" w:hAnsi="Times New Roman" w:cs="Times New Roman"/>
                      <w:color w:val="000000"/>
                      <w:szCs w:val="21"/>
                    </w:rPr>
                  </w:pPr>
                </w:p>
              </w:tc>
              <w:tc>
                <w:tcPr>
                  <w:tcW w:w="835" w:type="pct"/>
                  <w:tcBorders>
                    <w:tl2br w:val="nil"/>
                    <w:tr2bl w:val="nil"/>
                  </w:tcBorders>
                  <w:vAlign w:val="center"/>
                </w:tcPr>
                <w:p w14:paraId="646C7773">
                  <w:pPr>
                    <w:pStyle w:val="76"/>
                    <w:widowControl w:val="0"/>
                    <w:adjustRightInd w:val="0"/>
                    <w:snapToGrid w:val="0"/>
                    <w:spacing w:before="0" w:beforeAutospacing="0" w:after="0" w:afterAutospacing="0"/>
                    <w:jc w:val="center"/>
                    <w:rPr>
                      <w:rFonts w:ascii="Times New Roman" w:hAnsi="Times New Roman" w:cs="Times New Roman"/>
                      <w:color w:val="000000"/>
                      <w:sz w:val="21"/>
                      <w:szCs w:val="21"/>
                    </w:rPr>
                  </w:pPr>
                  <w:r>
                    <w:rPr>
                      <w:rFonts w:ascii="Times New Roman" w:hAnsi="Times New Roman" w:cs="Times New Roman"/>
                      <w:color w:val="000000"/>
                      <w:kern w:val="2"/>
                      <w:sz w:val="21"/>
                      <w:szCs w:val="21"/>
                      <w:lang w:bidi="ar"/>
                    </w:rPr>
                    <w:t>COD</w:t>
                  </w:r>
                </w:p>
              </w:tc>
              <w:tc>
                <w:tcPr>
                  <w:tcW w:w="892" w:type="pct"/>
                  <w:tcBorders>
                    <w:tl2br w:val="nil"/>
                    <w:tr2bl w:val="nil"/>
                  </w:tcBorders>
                  <w:vAlign w:val="center"/>
                </w:tcPr>
                <w:p w14:paraId="302F65BF">
                  <w:pPr>
                    <w:pStyle w:val="504"/>
                    <w:adjustRightInd w:val="0"/>
                    <w:snapToGrid w:val="0"/>
                    <w:spacing w:before="0" w:after="0"/>
                    <w:ind w:left="0" w:firstLine="0" w:firstLineChars="0"/>
                    <w:jc w:val="center"/>
                    <w:rPr>
                      <w:rFonts w:ascii="Times New Roman" w:hAnsi="Times New Roman" w:cs="Times New Roman"/>
                      <w:color w:val="000000"/>
                    </w:rPr>
                  </w:pPr>
                  <w:r>
                    <w:rPr>
                      <w:rFonts w:ascii="Times New Roman" w:hAnsi="Times New Roman" w:cs="Times New Roman"/>
                      <w:color w:val="000000"/>
                    </w:rPr>
                    <w:t xml:space="preserve">0.214 </w:t>
                  </w:r>
                </w:p>
              </w:tc>
              <w:tc>
                <w:tcPr>
                  <w:tcW w:w="474" w:type="pct"/>
                  <w:tcBorders>
                    <w:tl2br w:val="nil"/>
                    <w:tr2bl w:val="nil"/>
                  </w:tcBorders>
                  <w:vAlign w:val="center"/>
                </w:tcPr>
                <w:p w14:paraId="255F2A9A">
                  <w:pPr>
                    <w:pStyle w:val="76"/>
                    <w:widowControl w:val="0"/>
                    <w:adjustRightInd w:val="0"/>
                    <w:snapToGrid w:val="0"/>
                    <w:spacing w:before="0" w:beforeAutospacing="0" w:after="0" w:afterAutospacing="0"/>
                    <w:jc w:val="center"/>
                    <w:rPr>
                      <w:rFonts w:ascii="Times New Roman" w:hAnsi="Times New Roman" w:cs="Times New Roman"/>
                      <w:color w:val="000000"/>
                      <w:sz w:val="21"/>
                      <w:szCs w:val="21"/>
                    </w:rPr>
                  </w:pPr>
                  <w:r>
                    <w:rPr>
                      <w:rFonts w:ascii="Times New Roman" w:hAnsi="Times New Roman" w:cs="Times New Roman"/>
                      <w:color w:val="000000"/>
                      <w:sz w:val="21"/>
                      <w:szCs w:val="21"/>
                    </w:rPr>
                    <w:t>0.22</w:t>
                  </w:r>
                </w:p>
              </w:tc>
              <w:tc>
                <w:tcPr>
                  <w:tcW w:w="706" w:type="pct"/>
                  <w:tcBorders>
                    <w:tl2br w:val="nil"/>
                    <w:tr2bl w:val="nil"/>
                  </w:tcBorders>
                  <w:vAlign w:val="center"/>
                </w:tcPr>
                <w:p w14:paraId="4EF22418">
                  <w:pPr>
                    <w:pStyle w:val="76"/>
                    <w:widowControl w:val="0"/>
                    <w:adjustRightInd w:val="0"/>
                    <w:snapToGrid w:val="0"/>
                    <w:spacing w:before="0" w:beforeAutospacing="0" w:after="0" w:afterAutospacing="0"/>
                    <w:jc w:val="center"/>
                    <w:rPr>
                      <w:rFonts w:ascii="Times New Roman" w:hAnsi="Times New Roman" w:cs="Times New Roman"/>
                      <w:color w:val="000000"/>
                      <w:sz w:val="21"/>
                      <w:szCs w:val="21"/>
                    </w:rPr>
                  </w:pPr>
                  <w:r>
                    <w:rPr>
                      <w:rFonts w:ascii="Times New Roman" w:hAnsi="Times New Roman" w:cs="Times New Roman"/>
                      <w:color w:val="000000"/>
                      <w:sz w:val="21"/>
                      <w:szCs w:val="21"/>
                    </w:rPr>
                    <w:t>106</w:t>
                  </w:r>
                  <w:r>
                    <w:rPr>
                      <w:rFonts w:ascii="Times New Roman" w:hAnsi="Times New Roman" w:cs="Times New Roman"/>
                      <w:color w:val="000000"/>
                      <w:kern w:val="2"/>
                      <w:sz w:val="21"/>
                      <w:szCs w:val="21"/>
                      <w:lang w:bidi="ar"/>
                    </w:rPr>
                    <w:t>mg/L</w:t>
                  </w:r>
                </w:p>
              </w:tc>
              <w:tc>
                <w:tcPr>
                  <w:tcW w:w="588" w:type="pct"/>
                  <w:tcBorders>
                    <w:tl2br w:val="nil"/>
                    <w:tr2bl w:val="nil"/>
                  </w:tcBorders>
                  <w:vAlign w:val="center"/>
                </w:tcPr>
                <w:p w14:paraId="3A5F97DE">
                  <w:pPr>
                    <w:widowControl/>
                    <w:adjustRightInd w:val="0"/>
                    <w:snapToGrid w:val="0"/>
                    <w:jc w:val="center"/>
                    <w:textAlignment w:val="center"/>
                    <w:rPr>
                      <w:rFonts w:ascii="Times New Roman" w:hAnsi="Times New Roman" w:cs="Times New Roman"/>
                      <w:color w:val="000000"/>
                      <w:szCs w:val="21"/>
                      <w:lang w:bidi="ar"/>
                    </w:rPr>
                  </w:pPr>
                  <w:r>
                    <w:rPr>
                      <w:rFonts w:ascii="Times New Roman" w:hAnsi="Times New Roman" w:cs="Times New Roman"/>
                      <w:color w:val="000000"/>
                      <w:kern w:val="0"/>
                      <w:szCs w:val="21"/>
                      <w:lang w:bidi="ar"/>
                    </w:rPr>
                    <w:t>500</w:t>
                  </w:r>
                  <w:r>
                    <w:rPr>
                      <w:rFonts w:ascii="Times New Roman" w:hAnsi="Times New Roman" w:cs="Times New Roman"/>
                      <w:color w:val="000000"/>
                      <w:szCs w:val="21"/>
                      <w:lang w:bidi="ar"/>
                    </w:rPr>
                    <w:t>mg/L</w:t>
                  </w:r>
                </w:p>
              </w:tc>
              <w:tc>
                <w:tcPr>
                  <w:tcW w:w="341" w:type="pct"/>
                  <w:tcBorders>
                    <w:tl2br w:val="nil"/>
                    <w:tr2bl w:val="nil"/>
                  </w:tcBorders>
                  <w:vAlign w:val="center"/>
                </w:tcPr>
                <w:p w14:paraId="0051EFC0">
                  <w:pPr>
                    <w:adjustRightInd w:val="0"/>
                    <w:snapToGrid w:val="0"/>
                    <w:jc w:val="center"/>
                    <w:rPr>
                      <w:rFonts w:ascii="Times New Roman" w:hAnsi="Times New Roman" w:cs="Times New Roman"/>
                      <w:color w:val="000000"/>
                      <w:szCs w:val="21"/>
                      <w:lang w:bidi="ar"/>
                    </w:rPr>
                  </w:pPr>
                  <w:r>
                    <w:rPr>
                      <w:rFonts w:ascii="Times New Roman" w:hAnsi="Times New Roman" w:cs="Times New Roman"/>
                      <w:color w:val="000000"/>
                      <w:szCs w:val="21"/>
                      <w:lang w:bidi="ar"/>
                    </w:rPr>
                    <w:t>达标</w:t>
                  </w:r>
                </w:p>
              </w:tc>
            </w:tr>
            <w:tr w14:paraId="30B290C2">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30" w:type="pct"/>
                  <w:vMerge w:val="continue"/>
                  <w:tcBorders>
                    <w:tl2br w:val="nil"/>
                    <w:tr2bl w:val="nil"/>
                  </w:tcBorders>
                  <w:vAlign w:val="center"/>
                </w:tcPr>
                <w:p w14:paraId="30E3F33C">
                  <w:pPr>
                    <w:rPr>
                      <w:color w:val="000000"/>
                      <w:szCs w:val="21"/>
                    </w:rPr>
                  </w:pPr>
                </w:p>
              </w:tc>
              <w:tc>
                <w:tcPr>
                  <w:tcW w:w="934" w:type="pct"/>
                  <w:gridSpan w:val="2"/>
                  <w:vMerge w:val="continue"/>
                  <w:tcBorders>
                    <w:tl2br w:val="nil"/>
                    <w:tr2bl w:val="nil"/>
                  </w:tcBorders>
                  <w:vAlign w:val="center"/>
                </w:tcPr>
                <w:p w14:paraId="33F71712">
                  <w:pPr>
                    <w:rPr>
                      <w:color w:val="000000"/>
                      <w:szCs w:val="21"/>
                    </w:rPr>
                  </w:pPr>
                </w:p>
              </w:tc>
              <w:tc>
                <w:tcPr>
                  <w:tcW w:w="835" w:type="pct"/>
                  <w:tcBorders>
                    <w:tl2br w:val="nil"/>
                    <w:tr2bl w:val="nil"/>
                  </w:tcBorders>
                  <w:vAlign w:val="center"/>
                </w:tcPr>
                <w:p w14:paraId="293CD1F3">
                  <w:pPr>
                    <w:pStyle w:val="76"/>
                    <w:widowControl w:val="0"/>
                    <w:adjustRightInd w:val="0"/>
                    <w:snapToGrid w:val="0"/>
                    <w:spacing w:before="0" w:beforeAutospacing="0" w:after="0" w:afterAutospacing="0"/>
                    <w:jc w:val="center"/>
                    <w:rPr>
                      <w:rFonts w:ascii="Times New Roman" w:hAnsi="Times New Roman" w:cs="Times New Roman"/>
                      <w:color w:val="000000"/>
                      <w:sz w:val="21"/>
                      <w:szCs w:val="21"/>
                    </w:rPr>
                  </w:pPr>
                  <w:r>
                    <w:rPr>
                      <w:rFonts w:ascii="Times New Roman" w:hAnsi="Times New Roman" w:cs="Times New Roman"/>
                      <w:color w:val="000000"/>
                      <w:kern w:val="2"/>
                      <w:sz w:val="21"/>
                      <w:szCs w:val="21"/>
                      <w:lang w:bidi="ar"/>
                    </w:rPr>
                    <w:t>BOD</w:t>
                  </w:r>
                  <w:r>
                    <w:rPr>
                      <w:rFonts w:ascii="Times New Roman" w:hAnsi="Times New Roman" w:cs="Times New Roman"/>
                      <w:color w:val="000000"/>
                      <w:kern w:val="2"/>
                      <w:sz w:val="21"/>
                      <w:szCs w:val="21"/>
                      <w:vertAlign w:val="subscript"/>
                      <w:lang w:bidi="ar"/>
                    </w:rPr>
                    <w:t>5</w:t>
                  </w:r>
                </w:p>
              </w:tc>
              <w:tc>
                <w:tcPr>
                  <w:tcW w:w="892" w:type="pct"/>
                  <w:tcBorders>
                    <w:tl2br w:val="nil"/>
                    <w:tr2bl w:val="nil"/>
                  </w:tcBorders>
                  <w:vAlign w:val="center"/>
                </w:tcPr>
                <w:p w14:paraId="1D4F2AE6">
                  <w:pPr>
                    <w:pStyle w:val="504"/>
                    <w:adjustRightInd w:val="0"/>
                    <w:snapToGrid w:val="0"/>
                    <w:spacing w:before="0" w:after="0"/>
                    <w:ind w:left="0" w:firstLine="0" w:firstLineChars="0"/>
                    <w:jc w:val="center"/>
                    <w:rPr>
                      <w:rFonts w:ascii="Times New Roman" w:hAnsi="Times New Roman" w:cs="Times New Roman"/>
                      <w:color w:val="000000"/>
                    </w:rPr>
                  </w:pPr>
                  <w:r>
                    <w:rPr>
                      <w:rFonts w:ascii="Times New Roman" w:hAnsi="Times New Roman" w:cs="Times New Roman"/>
                      <w:color w:val="000000"/>
                    </w:rPr>
                    <w:t xml:space="preserve">0.053 </w:t>
                  </w:r>
                </w:p>
              </w:tc>
              <w:tc>
                <w:tcPr>
                  <w:tcW w:w="474" w:type="pct"/>
                  <w:tcBorders>
                    <w:tl2br w:val="nil"/>
                    <w:tr2bl w:val="nil"/>
                  </w:tcBorders>
                  <w:vAlign w:val="center"/>
                </w:tcPr>
                <w:p w14:paraId="012D884F">
                  <w:pPr>
                    <w:adjustRightInd w:val="0"/>
                    <w:snapToGrid w:val="0"/>
                    <w:jc w:val="center"/>
                    <w:rPr>
                      <w:rFonts w:ascii="Times New Roman" w:hAnsi="Times New Roman" w:cs="Times New Roman"/>
                      <w:color w:val="000000"/>
                      <w:szCs w:val="21"/>
                    </w:rPr>
                  </w:pPr>
                  <w:r>
                    <w:rPr>
                      <w:rFonts w:ascii="Times New Roman" w:hAnsi="Times New Roman" w:cs="Times New Roman"/>
                      <w:color w:val="000000"/>
                      <w:spacing w:val="24"/>
                    </w:rPr>
                    <w:t>/</w:t>
                  </w:r>
                </w:p>
              </w:tc>
              <w:tc>
                <w:tcPr>
                  <w:tcW w:w="706" w:type="pct"/>
                  <w:tcBorders>
                    <w:tl2br w:val="nil"/>
                    <w:tr2bl w:val="nil"/>
                  </w:tcBorders>
                  <w:vAlign w:val="center"/>
                </w:tcPr>
                <w:p w14:paraId="4AD2EE81">
                  <w:pPr>
                    <w:pStyle w:val="76"/>
                    <w:widowControl w:val="0"/>
                    <w:adjustRightInd w:val="0"/>
                    <w:snapToGrid w:val="0"/>
                    <w:spacing w:before="0" w:beforeAutospacing="0" w:after="0" w:afterAutospacing="0"/>
                    <w:jc w:val="center"/>
                    <w:rPr>
                      <w:rFonts w:ascii="Times New Roman" w:hAnsi="Times New Roman" w:cs="Times New Roman"/>
                      <w:color w:val="000000"/>
                      <w:sz w:val="21"/>
                      <w:szCs w:val="21"/>
                    </w:rPr>
                  </w:pPr>
                  <w:r>
                    <w:rPr>
                      <w:rFonts w:ascii="Times New Roman" w:hAnsi="Times New Roman" w:cs="Times New Roman"/>
                      <w:color w:val="000000"/>
                      <w:sz w:val="21"/>
                      <w:szCs w:val="21"/>
                    </w:rPr>
                    <w:t>9.5</w:t>
                  </w:r>
                  <w:r>
                    <w:rPr>
                      <w:rFonts w:ascii="Times New Roman" w:hAnsi="Times New Roman" w:cs="Times New Roman"/>
                      <w:color w:val="000000"/>
                      <w:kern w:val="2"/>
                      <w:sz w:val="21"/>
                      <w:szCs w:val="21"/>
                      <w:lang w:bidi="ar"/>
                    </w:rPr>
                    <w:t>mg/L</w:t>
                  </w:r>
                </w:p>
              </w:tc>
              <w:tc>
                <w:tcPr>
                  <w:tcW w:w="588" w:type="pct"/>
                  <w:tcBorders>
                    <w:tl2br w:val="nil"/>
                    <w:tr2bl w:val="nil"/>
                  </w:tcBorders>
                  <w:vAlign w:val="center"/>
                </w:tcPr>
                <w:p w14:paraId="1914A05C">
                  <w:pPr>
                    <w:widowControl/>
                    <w:adjustRightInd w:val="0"/>
                    <w:snapToGrid w:val="0"/>
                    <w:jc w:val="center"/>
                    <w:textAlignment w:val="center"/>
                    <w:rPr>
                      <w:rFonts w:ascii="Times New Roman" w:hAnsi="Times New Roman" w:cs="Times New Roman"/>
                      <w:color w:val="000000"/>
                      <w:szCs w:val="21"/>
                      <w:lang w:bidi="ar"/>
                    </w:rPr>
                  </w:pPr>
                  <w:r>
                    <w:rPr>
                      <w:rFonts w:hint="eastAsia" w:ascii="Times New Roman" w:hAnsi="Times New Roman" w:cs="Times New Roman"/>
                      <w:color w:val="000000"/>
                      <w:kern w:val="0"/>
                      <w:szCs w:val="21"/>
                      <w:lang w:bidi="ar"/>
                    </w:rPr>
                    <w:t>300</w:t>
                  </w:r>
                  <w:r>
                    <w:rPr>
                      <w:rFonts w:ascii="Times New Roman" w:hAnsi="Times New Roman" w:cs="Times New Roman"/>
                      <w:color w:val="000000"/>
                      <w:szCs w:val="21"/>
                      <w:lang w:bidi="ar"/>
                    </w:rPr>
                    <w:t>mg/L</w:t>
                  </w:r>
                </w:p>
              </w:tc>
              <w:tc>
                <w:tcPr>
                  <w:tcW w:w="341" w:type="pct"/>
                  <w:tcBorders>
                    <w:tl2br w:val="nil"/>
                    <w:tr2bl w:val="nil"/>
                  </w:tcBorders>
                  <w:vAlign w:val="center"/>
                </w:tcPr>
                <w:p w14:paraId="4758B207">
                  <w:pPr>
                    <w:adjustRightInd w:val="0"/>
                    <w:snapToGrid w:val="0"/>
                    <w:jc w:val="center"/>
                    <w:rPr>
                      <w:rFonts w:ascii="Times New Roman" w:hAnsi="Times New Roman" w:cs="Times New Roman"/>
                      <w:color w:val="000000"/>
                      <w:szCs w:val="21"/>
                      <w:lang w:bidi="ar"/>
                    </w:rPr>
                  </w:pPr>
                  <w:r>
                    <w:rPr>
                      <w:rFonts w:ascii="Times New Roman" w:hAnsi="Times New Roman" w:cs="Times New Roman"/>
                      <w:color w:val="000000"/>
                      <w:szCs w:val="21"/>
                      <w:lang w:bidi="ar"/>
                    </w:rPr>
                    <w:t>达标</w:t>
                  </w:r>
                </w:p>
              </w:tc>
            </w:tr>
            <w:tr w14:paraId="017C1F32">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230" w:type="pct"/>
                  <w:vMerge w:val="continue"/>
                  <w:tcBorders>
                    <w:tl2br w:val="nil"/>
                    <w:tr2bl w:val="nil"/>
                  </w:tcBorders>
                  <w:vAlign w:val="center"/>
                </w:tcPr>
                <w:p w14:paraId="4D6830A0">
                  <w:pPr>
                    <w:rPr>
                      <w:color w:val="000000"/>
                      <w:szCs w:val="21"/>
                    </w:rPr>
                  </w:pPr>
                </w:p>
              </w:tc>
              <w:tc>
                <w:tcPr>
                  <w:tcW w:w="934" w:type="pct"/>
                  <w:gridSpan w:val="2"/>
                  <w:vMerge w:val="continue"/>
                  <w:tcBorders>
                    <w:tl2br w:val="nil"/>
                    <w:tr2bl w:val="nil"/>
                  </w:tcBorders>
                  <w:vAlign w:val="center"/>
                </w:tcPr>
                <w:p w14:paraId="311E5546">
                  <w:pPr>
                    <w:rPr>
                      <w:color w:val="000000"/>
                      <w:szCs w:val="21"/>
                    </w:rPr>
                  </w:pPr>
                </w:p>
              </w:tc>
              <w:tc>
                <w:tcPr>
                  <w:tcW w:w="835" w:type="pct"/>
                  <w:tcBorders>
                    <w:tl2br w:val="nil"/>
                    <w:tr2bl w:val="nil"/>
                  </w:tcBorders>
                  <w:vAlign w:val="center"/>
                </w:tcPr>
                <w:p w14:paraId="73BA2E86">
                  <w:pPr>
                    <w:pStyle w:val="76"/>
                    <w:widowControl w:val="0"/>
                    <w:adjustRightInd w:val="0"/>
                    <w:snapToGrid w:val="0"/>
                    <w:spacing w:before="0" w:beforeAutospacing="0" w:after="0" w:afterAutospacing="0"/>
                    <w:jc w:val="center"/>
                    <w:rPr>
                      <w:rFonts w:ascii="Times New Roman" w:hAnsi="Times New Roman" w:cs="Times New Roman"/>
                      <w:color w:val="000000"/>
                      <w:sz w:val="21"/>
                      <w:szCs w:val="21"/>
                    </w:rPr>
                  </w:pPr>
                  <w:r>
                    <w:rPr>
                      <w:rFonts w:ascii="Times New Roman" w:hAnsi="Times New Roman" w:cs="Times New Roman"/>
                      <w:color w:val="000000"/>
                      <w:kern w:val="2"/>
                      <w:sz w:val="21"/>
                      <w:szCs w:val="21"/>
                      <w:lang w:bidi="ar"/>
                    </w:rPr>
                    <w:t>SS</w:t>
                  </w:r>
                </w:p>
              </w:tc>
              <w:tc>
                <w:tcPr>
                  <w:tcW w:w="892" w:type="pct"/>
                  <w:tcBorders>
                    <w:tl2br w:val="nil"/>
                    <w:tr2bl w:val="nil"/>
                  </w:tcBorders>
                  <w:vAlign w:val="center"/>
                </w:tcPr>
                <w:p w14:paraId="4897D18D">
                  <w:pPr>
                    <w:pStyle w:val="504"/>
                    <w:adjustRightInd w:val="0"/>
                    <w:snapToGrid w:val="0"/>
                    <w:spacing w:before="0" w:after="0"/>
                    <w:ind w:left="0" w:firstLine="0" w:firstLineChars="0"/>
                    <w:jc w:val="center"/>
                    <w:rPr>
                      <w:rFonts w:ascii="Times New Roman" w:hAnsi="Times New Roman" w:cs="Times New Roman"/>
                      <w:color w:val="000000"/>
                    </w:rPr>
                  </w:pPr>
                  <w:r>
                    <w:rPr>
                      <w:rFonts w:ascii="Times New Roman" w:hAnsi="Times New Roman" w:cs="Times New Roman"/>
                      <w:color w:val="000000"/>
                    </w:rPr>
                    <w:t xml:space="preserve">0.187 </w:t>
                  </w:r>
                </w:p>
              </w:tc>
              <w:tc>
                <w:tcPr>
                  <w:tcW w:w="474" w:type="pct"/>
                  <w:tcBorders>
                    <w:tl2br w:val="nil"/>
                    <w:tr2bl w:val="nil"/>
                  </w:tcBorders>
                  <w:vAlign w:val="center"/>
                </w:tcPr>
                <w:p w14:paraId="034EE644">
                  <w:pPr>
                    <w:adjustRightInd w:val="0"/>
                    <w:snapToGrid w:val="0"/>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lang w:bidi="ar"/>
                    </w:rPr>
                    <w:t>/</w:t>
                  </w:r>
                </w:p>
              </w:tc>
              <w:tc>
                <w:tcPr>
                  <w:tcW w:w="706" w:type="pct"/>
                  <w:tcBorders>
                    <w:tl2br w:val="nil"/>
                    <w:tr2bl w:val="nil"/>
                  </w:tcBorders>
                  <w:vAlign w:val="center"/>
                </w:tcPr>
                <w:p w14:paraId="04E48298">
                  <w:pPr>
                    <w:pStyle w:val="76"/>
                    <w:widowControl w:val="0"/>
                    <w:adjustRightInd w:val="0"/>
                    <w:snapToGrid w:val="0"/>
                    <w:spacing w:before="0" w:beforeAutospacing="0" w:after="0" w:afterAutospacing="0"/>
                    <w:jc w:val="center"/>
                    <w:rPr>
                      <w:rFonts w:ascii="Times New Roman" w:hAnsi="Times New Roman" w:cs="Times New Roman"/>
                      <w:color w:val="000000"/>
                      <w:sz w:val="21"/>
                      <w:szCs w:val="21"/>
                    </w:rPr>
                  </w:pPr>
                  <w:r>
                    <w:rPr>
                      <w:rFonts w:ascii="Times New Roman" w:hAnsi="Times New Roman" w:cs="Times New Roman"/>
                      <w:color w:val="000000"/>
                      <w:sz w:val="21"/>
                      <w:szCs w:val="21"/>
                    </w:rPr>
                    <w:t>47</w:t>
                  </w:r>
                  <w:r>
                    <w:rPr>
                      <w:rFonts w:ascii="Times New Roman" w:hAnsi="Times New Roman" w:cs="Times New Roman"/>
                      <w:color w:val="000000"/>
                      <w:kern w:val="2"/>
                      <w:sz w:val="21"/>
                      <w:szCs w:val="21"/>
                      <w:lang w:bidi="ar"/>
                    </w:rPr>
                    <w:t>mg/L</w:t>
                  </w:r>
                </w:p>
              </w:tc>
              <w:tc>
                <w:tcPr>
                  <w:tcW w:w="588" w:type="pct"/>
                  <w:tcBorders>
                    <w:tl2br w:val="nil"/>
                    <w:tr2bl w:val="nil"/>
                  </w:tcBorders>
                  <w:vAlign w:val="center"/>
                </w:tcPr>
                <w:p w14:paraId="4D72A410">
                  <w:pPr>
                    <w:widowControl/>
                    <w:adjustRightInd w:val="0"/>
                    <w:snapToGrid w:val="0"/>
                    <w:jc w:val="center"/>
                    <w:textAlignment w:val="center"/>
                    <w:rPr>
                      <w:rFonts w:ascii="Times New Roman" w:hAnsi="Times New Roman" w:cs="Times New Roman"/>
                      <w:color w:val="000000"/>
                      <w:szCs w:val="21"/>
                      <w:lang w:bidi="ar"/>
                    </w:rPr>
                  </w:pPr>
                  <w:r>
                    <w:rPr>
                      <w:rFonts w:ascii="Times New Roman" w:hAnsi="Times New Roman" w:cs="Times New Roman"/>
                      <w:color w:val="000000"/>
                      <w:kern w:val="0"/>
                      <w:szCs w:val="21"/>
                      <w:lang w:bidi="ar"/>
                    </w:rPr>
                    <w:t>400</w:t>
                  </w:r>
                  <w:r>
                    <w:rPr>
                      <w:rFonts w:ascii="Times New Roman" w:hAnsi="Times New Roman" w:cs="Times New Roman"/>
                      <w:color w:val="000000"/>
                      <w:szCs w:val="21"/>
                      <w:lang w:bidi="ar"/>
                    </w:rPr>
                    <w:t>mg/L</w:t>
                  </w:r>
                </w:p>
              </w:tc>
              <w:tc>
                <w:tcPr>
                  <w:tcW w:w="341" w:type="pct"/>
                  <w:tcBorders>
                    <w:tl2br w:val="nil"/>
                    <w:tr2bl w:val="nil"/>
                  </w:tcBorders>
                  <w:vAlign w:val="center"/>
                </w:tcPr>
                <w:p w14:paraId="420CD60A">
                  <w:pPr>
                    <w:adjustRightInd w:val="0"/>
                    <w:snapToGrid w:val="0"/>
                    <w:jc w:val="center"/>
                    <w:rPr>
                      <w:rFonts w:ascii="Times New Roman" w:hAnsi="Times New Roman" w:cs="Times New Roman"/>
                      <w:color w:val="000000"/>
                      <w:szCs w:val="21"/>
                      <w:lang w:bidi="ar"/>
                    </w:rPr>
                  </w:pPr>
                  <w:r>
                    <w:rPr>
                      <w:rFonts w:ascii="Times New Roman" w:hAnsi="Times New Roman" w:cs="Times New Roman"/>
                      <w:color w:val="000000"/>
                      <w:szCs w:val="21"/>
                      <w:lang w:bidi="ar"/>
                    </w:rPr>
                    <w:t>达标</w:t>
                  </w:r>
                </w:p>
              </w:tc>
            </w:tr>
            <w:tr w14:paraId="05789118">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57" w:hRule="atLeast"/>
                <w:jc w:val="center"/>
              </w:trPr>
              <w:tc>
                <w:tcPr>
                  <w:tcW w:w="230" w:type="pct"/>
                  <w:vMerge w:val="continue"/>
                  <w:tcBorders>
                    <w:tl2br w:val="nil"/>
                    <w:tr2bl w:val="nil"/>
                  </w:tcBorders>
                  <w:vAlign w:val="center"/>
                </w:tcPr>
                <w:p w14:paraId="11C56150">
                  <w:pPr>
                    <w:rPr>
                      <w:color w:val="000000"/>
                      <w:szCs w:val="21"/>
                    </w:rPr>
                  </w:pPr>
                </w:p>
              </w:tc>
              <w:tc>
                <w:tcPr>
                  <w:tcW w:w="934" w:type="pct"/>
                  <w:gridSpan w:val="2"/>
                  <w:vMerge w:val="continue"/>
                  <w:tcBorders>
                    <w:tl2br w:val="nil"/>
                    <w:tr2bl w:val="nil"/>
                  </w:tcBorders>
                  <w:vAlign w:val="center"/>
                </w:tcPr>
                <w:p w14:paraId="5C32EA9E">
                  <w:pPr>
                    <w:adjustRightInd w:val="0"/>
                    <w:snapToGrid w:val="0"/>
                    <w:jc w:val="center"/>
                    <w:rPr>
                      <w:rFonts w:ascii="Times New Roman" w:hAnsi="Times New Roman" w:cs="Times New Roman"/>
                      <w:color w:val="000000"/>
                      <w:szCs w:val="21"/>
                    </w:rPr>
                  </w:pPr>
                </w:p>
              </w:tc>
              <w:tc>
                <w:tcPr>
                  <w:tcW w:w="835" w:type="pct"/>
                  <w:tcBorders>
                    <w:tl2br w:val="nil"/>
                    <w:tr2bl w:val="nil"/>
                  </w:tcBorders>
                  <w:vAlign w:val="center"/>
                </w:tcPr>
                <w:p w14:paraId="285F895A">
                  <w:pPr>
                    <w:pStyle w:val="76"/>
                    <w:widowControl w:val="0"/>
                    <w:adjustRightInd w:val="0"/>
                    <w:snapToGrid w:val="0"/>
                    <w:spacing w:before="0" w:beforeAutospacing="0" w:after="0" w:afterAutospacing="0"/>
                    <w:jc w:val="center"/>
                    <w:rPr>
                      <w:rFonts w:ascii="Times New Roman" w:hAnsi="Times New Roman" w:cs="Times New Roman"/>
                      <w:color w:val="000000"/>
                      <w:sz w:val="21"/>
                      <w:szCs w:val="21"/>
                    </w:rPr>
                  </w:pPr>
                  <w:r>
                    <w:rPr>
                      <w:rFonts w:ascii="Times New Roman" w:hAnsi="Times New Roman" w:cs="Times New Roman"/>
                      <w:color w:val="000000"/>
                      <w:kern w:val="2"/>
                      <w:sz w:val="21"/>
                      <w:szCs w:val="21"/>
                      <w:lang w:bidi="ar"/>
                    </w:rPr>
                    <w:t>NH</w:t>
                  </w:r>
                  <w:r>
                    <w:rPr>
                      <w:rFonts w:ascii="Times New Roman" w:hAnsi="Times New Roman" w:cs="Times New Roman"/>
                      <w:color w:val="000000"/>
                      <w:kern w:val="2"/>
                      <w:sz w:val="21"/>
                      <w:szCs w:val="21"/>
                      <w:vertAlign w:val="subscript"/>
                      <w:lang w:bidi="ar"/>
                    </w:rPr>
                    <w:t>3</w:t>
                  </w:r>
                  <w:r>
                    <w:rPr>
                      <w:rFonts w:ascii="Times New Roman" w:hAnsi="Times New Roman" w:cs="Times New Roman"/>
                      <w:color w:val="000000"/>
                      <w:kern w:val="2"/>
                      <w:sz w:val="21"/>
                      <w:szCs w:val="21"/>
                      <w:lang w:bidi="ar"/>
                    </w:rPr>
                    <w:t>-N</w:t>
                  </w:r>
                </w:p>
              </w:tc>
              <w:tc>
                <w:tcPr>
                  <w:tcW w:w="892" w:type="pct"/>
                  <w:tcBorders>
                    <w:tl2br w:val="nil"/>
                    <w:tr2bl w:val="nil"/>
                  </w:tcBorders>
                  <w:vAlign w:val="center"/>
                </w:tcPr>
                <w:p w14:paraId="74250AAC">
                  <w:pPr>
                    <w:pStyle w:val="504"/>
                    <w:adjustRightInd w:val="0"/>
                    <w:snapToGrid w:val="0"/>
                    <w:spacing w:before="0" w:after="0"/>
                    <w:ind w:left="0" w:firstLine="0" w:firstLineChars="0"/>
                    <w:jc w:val="center"/>
                    <w:rPr>
                      <w:rFonts w:ascii="Times New Roman" w:hAnsi="Times New Roman" w:cs="Times New Roman"/>
                      <w:color w:val="000000"/>
                    </w:rPr>
                  </w:pPr>
                  <w:r>
                    <w:rPr>
                      <w:rFonts w:ascii="Times New Roman" w:hAnsi="Times New Roman" w:cs="Times New Roman"/>
                      <w:color w:val="000000"/>
                    </w:rPr>
                    <w:t xml:space="preserve">0.027 </w:t>
                  </w:r>
                </w:p>
              </w:tc>
              <w:tc>
                <w:tcPr>
                  <w:tcW w:w="474" w:type="pct"/>
                  <w:tcBorders>
                    <w:tl2br w:val="nil"/>
                    <w:tr2bl w:val="nil"/>
                  </w:tcBorders>
                  <w:vAlign w:val="center"/>
                </w:tcPr>
                <w:p w14:paraId="4C17658A">
                  <w:pPr>
                    <w:pStyle w:val="76"/>
                    <w:widowControl w:val="0"/>
                    <w:adjustRightInd w:val="0"/>
                    <w:snapToGrid w:val="0"/>
                    <w:spacing w:before="0" w:beforeAutospacing="0" w:after="0" w:afterAutospacing="0"/>
                    <w:jc w:val="center"/>
                    <w:rPr>
                      <w:rFonts w:ascii="Times New Roman" w:hAnsi="Times New Roman" w:cs="Times New Roman"/>
                      <w:color w:val="000000"/>
                      <w:sz w:val="21"/>
                      <w:szCs w:val="21"/>
                    </w:rPr>
                  </w:pPr>
                  <w:r>
                    <w:rPr>
                      <w:rFonts w:ascii="Times New Roman" w:hAnsi="Times New Roman" w:cs="Times New Roman"/>
                      <w:color w:val="000000"/>
                      <w:sz w:val="21"/>
                      <w:szCs w:val="21"/>
                    </w:rPr>
                    <w:t>0.03</w:t>
                  </w:r>
                </w:p>
              </w:tc>
              <w:tc>
                <w:tcPr>
                  <w:tcW w:w="706" w:type="pct"/>
                  <w:tcBorders>
                    <w:tl2br w:val="nil"/>
                    <w:tr2bl w:val="nil"/>
                  </w:tcBorders>
                  <w:vAlign w:val="center"/>
                </w:tcPr>
                <w:p w14:paraId="389F3F1E">
                  <w:pPr>
                    <w:pStyle w:val="76"/>
                    <w:widowControl w:val="0"/>
                    <w:adjustRightInd w:val="0"/>
                    <w:snapToGrid w:val="0"/>
                    <w:spacing w:before="0" w:beforeAutospacing="0" w:after="0" w:afterAutospacing="0"/>
                    <w:jc w:val="center"/>
                    <w:rPr>
                      <w:rFonts w:ascii="Times New Roman" w:hAnsi="Times New Roman" w:cs="Times New Roman"/>
                      <w:color w:val="000000"/>
                      <w:sz w:val="21"/>
                      <w:szCs w:val="21"/>
                    </w:rPr>
                  </w:pPr>
                  <w:r>
                    <w:rPr>
                      <w:rFonts w:ascii="Times New Roman" w:hAnsi="Times New Roman" w:cs="Times New Roman"/>
                      <w:color w:val="000000"/>
                      <w:sz w:val="21"/>
                      <w:szCs w:val="21"/>
                    </w:rPr>
                    <w:t>45</w:t>
                  </w:r>
                  <w:r>
                    <w:rPr>
                      <w:rFonts w:ascii="Times New Roman" w:hAnsi="Times New Roman" w:cs="Times New Roman"/>
                      <w:color w:val="000000"/>
                      <w:kern w:val="2"/>
                      <w:sz w:val="21"/>
                      <w:szCs w:val="21"/>
                      <w:lang w:bidi="ar"/>
                    </w:rPr>
                    <w:t>mg/L</w:t>
                  </w:r>
                </w:p>
              </w:tc>
              <w:tc>
                <w:tcPr>
                  <w:tcW w:w="588" w:type="pct"/>
                  <w:tcBorders>
                    <w:tl2br w:val="nil"/>
                    <w:tr2bl w:val="nil"/>
                  </w:tcBorders>
                  <w:vAlign w:val="center"/>
                </w:tcPr>
                <w:p w14:paraId="50452F86">
                  <w:pPr>
                    <w:widowControl/>
                    <w:adjustRightInd w:val="0"/>
                    <w:snapToGrid w:val="0"/>
                    <w:jc w:val="center"/>
                    <w:textAlignment w:val="center"/>
                    <w:rPr>
                      <w:rFonts w:ascii="Times New Roman" w:hAnsi="Times New Roman" w:cs="Times New Roman"/>
                      <w:color w:val="000000"/>
                      <w:szCs w:val="21"/>
                      <w:lang w:bidi="ar"/>
                    </w:rPr>
                  </w:pPr>
                  <w:r>
                    <w:rPr>
                      <w:rFonts w:hint="eastAsia" w:ascii="Times New Roman" w:hAnsi="Times New Roman" w:cs="Times New Roman"/>
                      <w:color w:val="000000"/>
                      <w:kern w:val="0"/>
                      <w:szCs w:val="21"/>
                      <w:lang w:bidi="ar"/>
                    </w:rPr>
                    <w:t>45</w:t>
                  </w:r>
                  <w:r>
                    <w:rPr>
                      <w:rFonts w:ascii="Times New Roman" w:hAnsi="Times New Roman" w:cs="Times New Roman"/>
                      <w:color w:val="000000"/>
                      <w:szCs w:val="21"/>
                      <w:lang w:bidi="ar"/>
                    </w:rPr>
                    <w:t>mg/L</w:t>
                  </w:r>
                </w:p>
              </w:tc>
              <w:tc>
                <w:tcPr>
                  <w:tcW w:w="341" w:type="pct"/>
                  <w:tcBorders>
                    <w:tl2br w:val="nil"/>
                    <w:tr2bl w:val="nil"/>
                  </w:tcBorders>
                  <w:vAlign w:val="center"/>
                </w:tcPr>
                <w:p w14:paraId="093D086A">
                  <w:pPr>
                    <w:adjustRightInd w:val="0"/>
                    <w:snapToGrid w:val="0"/>
                    <w:jc w:val="center"/>
                    <w:rPr>
                      <w:rFonts w:ascii="Times New Roman" w:hAnsi="Times New Roman" w:cs="Times New Roman"/>
                      <w:color w:val="000000"/>
                      <w:szCs w:val="21"/>
                      <w:lang w:bidi="ar"/>
                    </w:rPr>
                  </w:pPr>
                  <w:r>
                    <w:rPr>
                      <w:rFonts w:ascii="Times New Roman" w:hAnsi="Times New Roman" w:cs="Times New Roman"/>
                      <w:color w:val="000000"/>
                      <w:szCs w:val="21"/>
                      <w:lang w:bidi="ar"/>
                    </w:rPr>
                    <w:t>达标</w:t>
                  </w:r>
                </w:p>
              </w:tc>
            </w:tr>
            <w:tr w14:paraId="1F8905D3">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57" w:hRule="atLeast"/>
                <w:jc w:val="center"/>
              </w:trPr>
              <w:tc>
                <w:tcPr>
                  <w:tcW w:w="230" w:type="pct"/>
                  <w:vMerge w:val="continue"/>
                  <w:tcBorders>
                    <w:tl2br w:val="nil"/>
                    <w:tr2bl w:val="nil"/>
                  </w:tcBorders>
                  <w:vAlign w:val="center"/>
                </w:tcPr>
                <w:p w14:paraId="7D62FD3D">
                  <w:pPr>
                    <w:rPr>
                      <w:color w:val="000000"/>
                      <w:szCs w:val="21"/>
                    </w:rPr>
                  </w:pPr>
                </w:p>
              </w:tc>
              <w:tc>
                <w:tcPr>
                  <w:tcW w:w="934" w:type="pct"/>
                  <w:gridSpan w:val="2"/>
                  <w:vMerge w:val="restart"/>
                  <w:tcBorders>
                    <w:tl2br w:val="nil"/>
                    <w:tr2bl w:val="nil"/>
                  </w:tcBorders>
                  <w:vAlign w:val="center"/>
                </w:tcPr>
                <w:p w14:paraId="5999FDDA">
                  <w:pPr>
                    <w:adjustRightInd w:val="0"/>
                    <w:snapToGrid w:val="0"/>
                    <w:jc w:val="center"/>
                    <w:rPr>
                      <w:rFonts w:ascii="Times New Roman" w:hAnsi="Times New Roman" w:cs="Times New Roman"/>
                      <w:color w:val="000000"/>
                      <w:szCs w:val="21"/>
                    </w:rPr>
                  </w:pPr>
                  <w:r>
                    <w:rPr>
                      <w:rFonts w:hint="eastAsia" w:ascii="Times New Roman" w:hAnsi="Times New Roman" w:cs="Times New Roman"/>
                      <w:color w:val="000000"/>
                      <w:szCs w:val="21"/>
                    </w:rPr>
                    <w:t>含盐废水（</w:t>
                  </w:r>
                  <w:r>
                    <w:rPr>
                      <w:rFonts w:ascii="Times New Roman" w:hAnsi="Times New Roman" w:cs="Times New Roman"/>
                      <w:color w:val="000000"/>
                      <w:szCs w:val="21"/>
                    </w:rPr>
                    <w:t>2</w:t>
                  </w:r>
                  <w:r>
                    <w:rPr>
                      <w:rFonts w:hint="eastAsia" w:ascii="Times New Roman" w:hAnsi="Times New Roman" w:cs="Times New Roman"/>
                      <w:color w:val="000000"/>
                      <w:szCs w:val="21"/>
                    </w:rPr>
                    <w:t>40</w:t>
                  </w:r>
                  <w:r>
                    <w:rPr>
                      <w:rFonts w:ascii="Times New Roman" w:hAnsi="Times New Roman" w:cs="Times New Roman"/>
                      <w:color w:val="000000"/>
                      <w:szCs w:val="21"/>
                    </w:rPr>
                    <w:t>m</w:t>
                  </w:r>
                  <w:r>
                    <w:rPr>
                      <w:rFonts w:ascii="Times New Roman" w:hAnsi="Times New Roman" w:cs="Times New Roman"/>
                      <w:color w:val="000000"/>
                      <w:szCs w:val="21"/>
                      <w:vertAlign w:val="superscript"/>
                    </w:rPr>
                    <w:t>3</w:t>
                  </w:r>
                  <w:r>
                    <w:rPr>
                      <w:rFonts w:ascii="Times New Roman" w:hAnsi="Times New Roman" w:cs="Times New Roman"/>
                      <w:color w:val="000000"/>
                      <w:szCs w:val="21"/>
                    </w:rPr>
                    <w:t>/a</w:t>
                  </w:r>
                  <w:r>
                    <w:rPr>
                      <w:rFonts w:hint="eastAsia" w:ascii="Times New Roman" w:hAnsi="Times New Roman" w:cs="Times New Roman"/>
                      <w:color w:val="000000"/>
                      <w:szCs w:val="21"/>
                    </w:rPr>
                    <w:t>）</w:t>
                  </w:r>
                </w:p>
              </w:tc>
              <w:tc>
                <w:tcPr>
                  <w:tcW w:w="835" w:type="pct"/>
                  <w:tcBorders>
                    <w:tl2br w:val="nil"/>
                    <w:tr2bl w:val="nil"/>
                  </w:tcBorders>
                  <w:vAlign w:val="center"/>
                </w:tcPr>
                <w:p w14:paraId="03AC753B">
                  <w:pPr>
                    <w:pStyle w:val="76"/>
                    <w:widowControl w:val="0"/>
                    <w:adjustRightInd w:val="0"/>
                    <w:snapToGrid w:val="0"/>
                    <w:spacing w:before="0" w:beforeAutospacing="0" w:after="0" w:afterAutospacing="0"/>
                    <w:jc w:val="center"/>
                    <w:rPr>
                      <w:rFonts w:ascii="Times New Roman" w:hAnsi="Times New Roman" w:cs="Times New Roman"/>
                      <w:color w:val="000000"/>
                      <w:kern w:val="2"/>
                      <w:sz w:val="21"/>
                      <w:szCs w:val="21"/>
                      <w:lang w:bidi="ar"/>
                    </w:rPr>
                  </w:pPr>
                  <w:r>
                    <w:rPr>
                      <w:rFonts w:ascii="Times New Roman" w:hAnsi="Times New Roman" w:cs="Times New Roman"/>
                      <w:color w:val="000000"/>
                      <w:kern w:val="2"/>
                      <w:sz w:val="21"/>
                      <w:szCs w:val="21"/>
                      <w:lang w:bidi="ar"/>
                    </w:rPr>
                    <w:t>COD</w:t>
                  </w:r>
                </w:p>
              </w:tc>
              <w:tc>
                <w:tcPr>
                  <w:tcW w:w="892" w:type="pct"/>
                  <w:tcBorders>
                    <w:tl2br w:val="nil"/>
                    <w:tr2bl w:val="nil"/>
                  </w:tcBorders>
                  <w:vAlign w:val="center"/>
                </w:tcPr>
                <w:p w14:paraId="0A1A1488">
                  <w:pPr>
                    <w:pStyle w:val="504"/>
                    <w:adjustRightInd w:val="0"/>
                    <w:snapToGrid w:val="0"/>
                    <w:spacing w:before="0" w:after="0"/>
                    <w:ind w:left="0" w:firstLine="0" w:firstLineChars="0"/>
                    <w:jc w:val="center"/>
                    <w:rPr>
                      <w:rFonts w:ascii="Times New Roman" w:hAnsi="Times New Roman" w:cs="Times New Roman"/>
                      <w:color w:val="000000"/>
                    </w:rPr>
                  </w:pPr>
                  <w:r>
                    <w:rPr>
                      <w:rFonts w:hint="eastAsia" w:ascii="Times New Roman" w:hAnsi="Times New Roman" w:cs="Times New Roman"/>
                      <w:color w:val="000000"/>
                    </w:rPr>
                    <w:t xml:space="preserve">0.019 </w:t>
                  </w:r>
                </w:p>
              </w:tc>
              <w:tc>
                <w:tcPr>
                  <w:tcW w:w="474" w:type="pct"/>
                  <w:tcBorders>
                    <w:tl2br w:val="nil"/>
                    <w:tr2bl w:val="nil"/>
                  </w:tcBorders>
                  <w:vAlign w:val="center"/>
                </w:tcPr>
                <w:p w14:paraId="25924C72">
                  <w:pPr>
                    <w:pStyle w:val="76"/>
                    <w:widowControl w:val="0"/>
                    <w:adjustRightInd w:val="0"/>
                    <w:snapToGrid w:val="0"/>
                    <w:spacing w:before="0" w:beforeAutospacing="0" w:after="0" w:afterAutospacing="0"/>
                    <w:jc w:val="center"/>
                    <w:rPr>
                      <w:rFonts w:ascii="Times New Roman" w:hAnsi="Times New Roman" w:cs="Times New Roman"/>
                      <w:color w:val="000000"/>
                      <w:kern w:val="2"/>
                      <w:sz w:val="21"/>
                      <w:szCs w:val="21"/>
                      <w:lang w:bidi="ar"/>
                    </w:rPr>
                  </w:pPr>
                  <w:r>
                    <w:rPr>
                      <w:rFonts w:ascii="Times New Roman" w:hAnsi="Times New Roman" w:cs="Times New Roman"/>
                      <w:color w:val="000000"/>
                      <w:kern w:val="2"/>
                      <w:sz w:val="21"/>
                      <w:szCs w:val="21"/>
                      <w:lang w:bidi="ar"/>
                    </w:rPr>
                    <w:t>/</w:t>
                  </w:r>
                </w:p>
              </w:tc>
              <w:tc>
                <w:tcPr>
                  <w:tcW w:w="706" w:type="pct"/>
                  <w:tcBorders>
                    <w:tl2br w:val="nil"/>
                    <w:tr2bl w:val="nil"/>
                  </w:tcBorders>
                  <w:vAlign w:val="center"/>
                </w:tcPr>
                <w:p w14:paraId="788B7D3D">
                  <w:pPr>
                    <w:pStyle w:val="76"/>
                    <w:widowControl w:val="0"/>
                    <w:adjustRightInd w:val="0"/>
                    <w:snapToGrid w:val="0"/>
                    <w:spacing w:before="0" w:beforeAutospacing="0" w:after="0" w:afterAutospacing="0"/>
                    <w:jc w:val="center"/>
                    <w:rPr>
                      <w:rFonts w:ascii="Times New Roman" w:hAnsi="Times New Roman" w:cs="Times New Roman"/>
                      <w:color w:val="000000"/>
                      <w:kern w:val="2"/>
                      <w:sz w:val="21"/>
                      <w:szCs w:val="21"/>
                      <w:lang w:bidi="ar"/>
                    </w:rPr>
                  </w:pPr>
                  <w:r>
                    <w:rPr>
                      <w:rFonts w:ascii="Times New Roman" w:hAnsi="Times New Roman" w:cs="Times New Roman"/>
                      <w:color w:val="000000"/>
                      <w:kern w:val="2"/>
                      <w:sz w:val="21"/>
                      <w:szCs w:val="21"/>
                      <w:lang w:bidi="ar"/>
                    </w:rPr>
                    <w:t>/</w:t>
                  </w:r>
                </w:p>
              </w:tc>
              <w:tc>
                <w:tcPr>
                  <w:tcW w:w="588" w:type="pct"/>
                  <w:tcBorders>
                    <w:tl2br w:val="nil"/>
                    <w:tr2bl w:val="nil"/>
                  </w:tcBorders>
                  <w:vAlign w:val="center"/>
                </w:tcPr>
                <w:p w14:paraId="1A508679">
                  <w:pPr>
                    <w:widowControl/>
                    <w:adjustRightInd w:val="0"/>
                    <w:snapToGrid w:val="0"/>
                    <w:jc w:val="center"/>
                    <w:textAlignment w:val="center"/>
                    <w:rPr>
                      <w:rFonts w:ascii="Times New Roman" w:hAnsi="Times New Roman" w:cs="Times New Roman"/>
                      <w:color w:val="000000"/>
                      <w:kern w:val="0"/>
                      <w:szCs w:val="21"/>
                      <w:lang w:bidi="ar"/>
                    </w:rPr>
                  </w:pPr>
                  <w:r>
                    <w:rPr>
                      <w:rFonts w:ascii="Times New Roman" w:hAnsi="Times New Roman" w:cs="Times New Roman"/>
                      <w:color w:val="000000"/>
                      <w:szCs w:val="21"/>
                      <w:lang w:bidi="ar"/>
                    </w:rPr>
                    <w:t>500mg/L</w:t>
                  </w:r>
                </w:p>
              </w:tc>
              <w:tc>
                <w:tcPr>
                  <w:tcW w:w="341" w:type="pct"/>
                  <w:tcBorders>
                    <w:tl2br w:val="nil"/>
                    <w:tr2bl w:val="nil"/>
                  </w:tcBorders>
                  <w:vAlign w:val="center"/>
                </w:tcPr>
                <w:p w14:paraId="1E43866F">
                  <w:pPr>
                    <w:pStyle w:val="76"/>
                    <w:widowControl w:val="0"/>
                    <w:adjustRightInd w:val="0"/>
                    <w:snapToGrid w:val="0"/>
                    <w:spacing w:before="0" w:beforeAutospacing="0" w:after="0" w:afterAutospacing="0"/>
                    <w:jc w:val="center"/>
                    <w:rPr>
                      <w:rFonts w:ascii="Times New Roman" w:hAnsi="Times New Roman" w:cs="Times New Roman"/>
                      <w:color w:val="000000"/>
                      <w:kern w:val="2"/>
                      <w:sz w:val="21"/>
                      <w:szCs w:val="21"/>
                      <w:lang w:bidi="ar"/>
                    </w:rPr>
                  </w:pPr>
                  <w:r>
                    <w:rPr>
                      <w:rFonts w:hint="eastAsia" w:ascii="Times New Roman" w:hAnsi="Times New Roman" w:cs="Times New Roman"/>
                      <w:color w:val="000000"/>
                      <w:kern w:val="2"/>
                      <w:sz w:val="21"/>
                      <w:szCs w:val="21"/>
                      <w:lang w:bidi="ar"/>
                    </w:rPr>
                    <w:t>/</w:t>
                  </w:r>
                </w:p>
              </w:tc>
            </w:tr>
            <w:tr w14:paraId="5F04789C">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57" w:hRule="atLeast"/>
                <w:jc w:val="center"/>
              </w:trPr>
              <w:tc>
                <w:tcPr>
                  <w:tcW w:w="230" w:type="pct"/>
                  <w:vMerge w:val="continue"/>
                  <w:tcBorders>
                    <w:tl2br w:val="nil"/>
                    <w:tr2bl w:val="nil"/>
                  </w:tcBorders>
                  <w:vAlign w:val="center"/>
                </w:tcPr>
                <w:p w14:paraId="66B13DA7">
                  <w:pPr>
                    <w:rPr>
                      <w:color w:val="000000"/>
                      <w:szCs w:val="21"/>
                    </w:rPr>
                  </w:pPr>
                </w:p>
              </w:tc>
              <w:tc>
                <w:tcPr>
                  <w:tcW w:w="934" w:type="pct"/>
                  <w:gridSpan w:val="2"/>
                  <w:vMerge w:val="continue"/>
                  <w:tcBorders>
                    <w:tl2br w:val="nil"/>
                    <w:tr2bl w:val="nil"/>
                  </w:tcBorders>
                  <w:vAlign w:val="center"/>
                </w:tcPr>
                <w:p w14:paraId="38970CE1">
                  <w:pPr>
                    <w:adjustRightInd w:val="0"/>
                    <w:snapToGrid w:val="0"/>
                    <w:jc w:val="center"/>
                    <w:rPr>
                      <w:rFonts w:ascii="Times New Roman" w:hAnsi="Times New Roman" w:cs="Times New Roman"/>
                      <w:color w:val="000000"/>
                      <w:szCs w:val="21"/>
                    </w:rPr>
                  </w:pPr>
                </w:p>
              </w:tc>
              <w:tc>
                <w:tcPr>
                  <w:tcW w:w="835" w:type="pct"/>
                  <w:tcBorders>
                    <w:tl2br w:val="nil"/>
                    <w:tr2bl w:val="nil"/>
                  </w:tcBorders>
                  <w:vAlign w:val="center"/>
                </w:tcPr>
                <w:p w14:paraId="15D5EC15">
                  <w:pPr>
                    <w:pStyle w:val="76"/>
                    <w:widowControl w:val="0"/>
                    <w:adjustRightInd w:val="0"/>
                    <w:snapToGrid w:val="0"/>
                    <w:spacing w:before="0" w:beforeAutospacing="0" w:after="0" w:afterAutospacing="0"/>
                    <w:jc w:val="center"/>
                    <w:rPr>
                      <w:rFonts w:ascii="Times New Roman" w:hAnsi="Times New Roman" w:cs="Times New Roman"/>
                      <w:color w:val="000000"/>
                      <w:kern w:val="2"/>
                      <w:sz w:val="21"/>
                      <w:szCs w:val="21"/>
                      <w:lang w:bidi="ar"/>
                    </w:rPr>
                  </w:pPr>
                  <w:r>
                    <w:rPr>
                      <w:rFonts w:ascii="Times New Roman" w:hAnsi="Times New Roman" w:cs="Times New Roman"/>
                      <w:color w:val="000000"/>
                      <w:kern w:val="2"/>
                      <w:sz w:val="21"/>
                      <w:szCs w:val="21"/>
                      <w:lang w:bidi="ar"/>
                    </w:rPr>
                    <w:t>SS</w:t>
                  </w:r>
                </w:p>
              </w:tc>
              <w:tc>
                <w:tcPr>
                  <w:tcW w:w="892" w:type="pct"/>
                  <w:tcBorders>
                    <w:tl2br w:val="nil"/>
                    <w:tr2bl w:val="nil"/>
                  </w:tcBorders>
                  <w:vAlign w:val="center"/>
                </w:tcPr>
                <w:p w14:paraId="4ACE9B06">
                  <w:pPr>
                    <w:pStyle w:val="504"/>
                    <w:adjustRightInd w:val="0"/>
                    <w:snapToGrid w:val="0"/>
                    <w:spacing w:before="0" w:after="0"/>
                    <w:ind w:left="0" w:firstLine="0" w:firstLineChars="0"/>
                    <w:jc w:val="center"/>
                    <w:rPr>
                      <w:rFonts w:ascii="Times New Roman" w:hAnsi="Times New Roman" w:cs="Times New Roman"/>
                      <w:color w:val="000000"/>
                    </w:rPr>
                  </w:pPr>
                  <w:r>
                    <w:rPr>
                      <w:rFonts w:hint="eastAsia" w:ascii="Times New Roman" w:hAnsi="Times New Roman" w:cs="Times New Roman"/>
                      <w:color w:val="000000"/>
                    </w:rPr>
                    <w:t xml:space="preserve">0.017 </w:t>
                  </w:r>
                </w:p>
              </w:tc>
              <w:tc>
                <w:tcPr>
                  <w:tcW w:w="474" w:type="pct"/>
                  <w:tcBorders>
                    <w:tl2br w:val="nil"/>
                    <w:tr2bl w:val="nil"/>
                  </w:tcBorders>
                  <w:vAlign w:val="center"/>
                </w:tcPr>
                <w:p w14:paraId="731E1443">
                  <w:pPr>
                    <w:pStyle w:val="76"/>
                    <w:widowControl w:val="0"/>
                    <w:adjustRightInd w:val="0"/>
                    <w:snapToGrid w:val="0"/>
                    <w:spacing w:before="0" w:beforeAutospacing="0" w:after="0" w:afterAutospacing="0"/>
                    <w:jc w:val="center"/>
                    <w:rPr>
                      <w:rFonts w:ascii="Times New Roman" w:hAnsi="Times New Roman" w:cs="Times New Roman"/>
                      <w:color w:val="000000"/>
                      <w:kern w:val="2"/>
                      <w:sz w:val="21"/>
                      <w:szCs w:val="21"/>
                      <w:lang w:bidi="ar"/>
                    </w:rPr>
                  </w:pPr>
                  <w:r>
                    <w:rPr>
                      <w:rFonts w:ascii="Times New Roman" w:hAnsi="Times New Roman" w:cs="Times New Roman"/>
                      <w:color w:val="000000"/>
                      <w:kern w:val="2"/>
                      <w:sz w:val="21"/>
                      <w:szCs w:val="21"/>
                      <w:lang w:bidi="ar"/>
                    </w:rPr>
                    <w:t>/</w:t>
                  </w:r>
                </w:p>
              </w:tc>
              <w:tc>
                <w:tcPr>
                  <w:tcW w:w="706" w:type="pct"/>
                  <w:tcBorders>
                    <w:tl2br w:val="nil"/>
                    <w:tr2bl w:val="nil"/>
                  </w:tcBorders>
                  <w:vAlign w:val="center"/>
                </w:tcPr>
                <w:p w14:paraId="63FC3B6F">
                  <w:pPr>
                    <w:pStyle w:val="76"/>
                    <w:widowControl w:val="0"/>
                    <w:adjustRightInd w:val="0"/>
                    <w:snapToGrid w:val="0"/>
                    <w:spacing w:before="0" w:beforeAutospacing="0" w:after="0" w:afterAutospacing="0"/>
                    <w:jc w:val="center"/>
                    <w:rPr>
                      <w:rFonts w:ascii="Times New Roman" w:hAnsi="Times New Roman" w:cs="Times New Roman"/>
                      <w:color w:val="000000"/>
                      <w:kern w:val="2"/>
                      <w:sz w:val="21"/>
                      <w:szCs w:val="21"/>
                      <w:lang w:bidi="ar"/>
                    </w:rPr>
                  </w:pPr>
                  <w:r>
                    <w:rPr>
                      <w:rFonts w:ascii="Times New Roman" w:hAnsi="Times New Roman" w:cs="Times New Roman"/>
                      <w:color w:val="000000"/>
                      <w:kern w:val="2"/>
                      <w:sz w:val="21"/>
                      <w:szCs w:val="21"/>
                      <w:lang w:bidi="ar"/>
                    </w:rPr>
                    <w:t>/</w:t>
                  </w:r>
                </w:p>
              </w:tc>
              <w:tc>
                <w:tcPr>
                  <w:tcW w:w="588" w:type="pct"/>
                  <w:tcBorders>
                    <w:tl2br w:val="nil"/>
                    <w:tr2bl w:val="nil"/>
                  </w:tcBorders>
                  <w:vAlign w:val="center"/>
                </w:tcPr>
                <w:p w14:paraId="5E80FD25">
                  <w:pPr>
                    <w:widowControl/>
                    <w:adjustRightInd w:val="0"/>
                    <w:snapToGrid w:val="0"/>
                    <w:jc w:val="center"/>
                    <w:textAlignment w:val="center"/>
                    <w:rPr>
                      <w:rFonts w:ascii="Times New Roman" w:hAnsi="Times New Roman" w:cs="Times New Roman"/>
                      <w:color w:val="000000"/>
                      <w:kern w:val="0"/>
                      <w:szCs w:val="21"/>
                      <w:lang w:bidi="ar"/>
                    </w:rPr>
                  </w:pPr>
                  <w:r>
                    <w:rPr>
                      <w:rFonts w:ascii="Times New Roman" w:hAnsi="Times New Roman" w:cs="Times New Roman"/>
                      <w:color w:val="000000"/>
                      <w:szCs w:val="21"/>
                      <w:lang w:bidi="ar"/>
                    </w:rPr>
                    <w:t>400mg/L</w:t>
                  </w:r>
                </w:p>
              </w:tc>
              <w:tc>
                <w:tcPr>
                  <w:tcW w:w="341" w:type="pct"/>
                  <w:tcBorders>
                    <w:tl2br w:val="nil"/>
                    <w:tr2bl w:val="nil"/>
                  </w:tcBorders>
                  <w:vAlign w:val="center"/>
                </w:tcPr>
                <w:p w14:paraId="157C5CE5">
                  <w:pPr>
                    <w:pStyle w:val="76"/>
                    <w:widowControl w:val="0"/>
                    <w:adjustRightInd w:val="0"/>
                    <w:snapToGrid w:val="0"/>
                    <w:spacing w:before="0" w:beforeAutospacing="0" w:after="0" w:afterAutospacing="0"/>
                    <w:jc w:val="center"/>
                    <w:rPr>
                      <w:rFonts w:ascii="Times New Roman" w:hAnsi="Times New Roman" w:cs="Times New Roman"/>
                      <w:color w:val="000000"/>
                      <w:kern w:val="2"/>
                      <w:sz w:val="21"/>
                      <w:szCs w:val="21"/>
                      <w:lang w:bidi="ar"/>
                    </w:rPr>
                  </w:pPr>
                  <w:r>
                    <w:rPr>
                      <w:rFonts w:hint="eastAsia" w:ascii="Times New Roman" w:hAnsi="Times New Roman" w:cs="Times New Roman"/>
                      <w:color w:val="000000"/>
                      <w:kern w:val="2"/>
                      <w:sz w:val="21"/>
                      <w:szCs w:val="21"/>
                      <w:lang w:bidi="ar"/>
                    </w:rPr>
                    <w:t>/</w:t>
                  </w:r>
                </w:p>
              </w:tc>
            </w:tr>
            <w:tr w14:paraId="351548C6">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57" w:hRule="atLeast"/>
                <w:jc w:val="center"/>
              </w:trPr>
              <w:tc>
                <w:tcPr>
                  <w:tcW w:w="230" w:type="pct"/>
                  <w:tcBorders>
                    <w:tl2br w:val="nil"/>
                    <w:tr2bl w:val="nil"/>
                  </w:tcBorders>
                  <w:vAlign w:val="center"/>
                </w:tcPr>
                <w:p w14:paraId="4993D416">
                  <w:pPr>
                    <w:rPr>
                      <w:color w:val="000000"/>
                      <w:szCs w:val="21"/>
                    </w:rPr>
                  </w:pPr>
                  <w:r>
                    <w:rPr>
                      <w:color w:val="000000"/>
                      <w:szCs w:val="21"/>
                    </w:rPr>
                    <w:t>噪声</w:t>
                  </w:r>
                </w:p>
              </w:tc>
              <w:tc>
                <w:tcPr>
                  <w:tcW w:w="934" w:type="pct"/>
                  <w:gridSpan w:val="2"/>
                  <w:tcBorders>
                    <w:tl2br w:val="nil"/>
                    <w:tr2bl w:val="nil"/>
                  </w:tcBorders>
                  <w:vAlign w:val="center"/>
                </w:tcPr>
                <w:p w14:paraId="473C1A8C">
                  <w:pPr>
                    <w:rPr>
                      <w:color w:val="000000"/>
                      <w:szCs w:val="21"/>
                    </w:rPr>
                  </w:pPr>
                  <w:r>
                    <w:rPr>
                      <w:color w:val="000000"/>
                      <w:szCs w:val="21"/>
                    </w:rPr>
                    <w:t>压缩机、各种泵类等机械设备</w:t>
                  </w:r>
                </w:p>
              </w:tc>
              <w:tc>
                <w:tcPr>
                  <w:tcW w:w="835" w:type="pct"/>
                  <w:tcBorders>
                    <w:tl2br w:val="nil"/>
                    <w:tr2bl w:val="nil"/>
                  </w:tcBorders>
                  <w:vAlign w:val="center"/>
                </w:tcPr>
                <w:p w14:paraId="67D33C6E">
                  <w:pPr>
                    <w:rPr>
                      <w:color w:val="000000"/>
                      <w:szCs w:val="21"/>
                      <w:lang w:bidi="ar"/>
                    </w:rPr>
                  </w:pPr>
                  <w:r>
                    <w:rPr>
                      <w:color w:val="000000"/>
                      <w:szCs w:val="21"/>
                    </w:rPr>
                    <w:t>噪声</w:t>
                  </w:r>
                </w:p>
              </w:tc>
              <w:tc>
                <w:tcPr>
                  <w:tcW w:w="892" w:type="pct"/>
                  <w:tcBorders>
                    <w:tl2br w:val="nil"/>
                    <w:tr2bl w:val="nil"/>
                  </w:tcBorders>
                  <w:vAlign w:val="center"/>
                </w:tcPr>
                <w:p w14:paraId="2DC2446B">
                  <w:pPr>
                    <w:adjustRightInd w:val="0"/>
                    <w:snapToGrid w:val="0"/>
                    <w:jc w:val="center"/>
                    <w:rPr>
                      <w:rFonts w:ascii="Times New Roman" w:hAnsi="Times New Roman" w:cs="Times New Roman"/>
                      <w:color w:val="000000"/>
                      <w:spacing w:val="24"/>
                    </w:rPr>
                  </w:pPr>
                  <w:r>
                    <w:rPr>
                      <w:rFonts w:ascii="Times New Roman" w:hAnsi="Times New Roman" w:cs="Times New Roman"/>
                      <w:color w:val="000000"/>
                      <w:spacing w:val="24"/>
                    </w:rPr>
                    <w:t>75~100dB(A)</w:t>
                  </w:r>
                </w:p>
              </w:tc>
              <w:tc>
                <w:tcPr>
                  <w:tcW w:w="474" w:type="pct"/>
                  <w:tcBorders>
                    <w:tl2br w:val="nil"/>
                    <w:tr2bl w:val="nil"/>
                  </w:tcBorders>
                  <w:vAlign w:val="center"/>
                </w:tcPr>
                <w:p w14:paraId="10C78B66">
                  <w:pPr>
                    <w:pStyle w:val="76"/>
                    <w:widowControl w:val="0"/>
                    <w:adjustRightInd w:val="0"/>
                    <w:snapToGrid w:val="0"/>
                    <w:spacing w:before="0" w:beforeAutospacing="0" w:after="0" w:afterAutospacing="0"/>
                    <w:jc w:val="center"/>
                    <w:rPr>
                      <w:rFonts w:ascii="Times New Roman" w:hAnsi="Times New Roman" w:cs="Times New Roman"/>
                      <w:color w:val="000000"/>
                      <w:kern w:val="2"/>
                      <w:sz w:val="21"/>
                      <w:szCs w:val="21"/>
                      <w:lang w:bidi="ar"/>
                    </w:rPr>
                  </w:pPr>
                  <w:r>
                    <w:rPr>
                      <w:rFonts w:ascii="Times New Roman" w:hAnsi="Times New Roman" w:cs="Times New Roman"/>
                      <w:color w:val="000000"/>
                      <w:kern w:val="2"/>
                      <w:sz w:val="21"/>
                      <w:szCs w:val="21"/>
                      <w:lang w:bidi="ar"/>
                    </w:rPr>
                    <w:t>/</w:t>
                  </w:r>
                </w:p>
              </w:tc>
              <w:tc>
                <w:tcPr>
                  <w:tcW w:w="706" w:type="pct"/>
                  <w:tcBorders>
                    <w:tl2br w:val="nil"/>
                    <w:tr2bl w:val="nil"/>
                  </w:tcBorders>
                  <w:vAlign w:val="center"/>
                </w:tcPr>
                <w:p w14:paraId="523B8951">
                  <w:pPr>
                    <w:pStyle w:val="76"/>
                    <w:widowControl w:val="0"/>
                    <w:adjustRightInd w:val="0"/>
                    <w:snapToGrid w:val="0"/>
                    <w:spacing w:before="0" w:beforeAutospacing="0" w:after="0" w:afterAutospacing="0"/>
                    <w:jc w:val="center"/>
                    <w:rPr>
                      <w:rFonts w:ascii="Times New Roman" w:hAnsi="Times New Roman" w:cs="Times New Roman"/>
                      <w:color w:val="000000"/>
                      <w:spacing w:val="24"/>
                      <w:sz w:val="21"/>
                    </w:rPr>
                  </w:pPr>
                  <w:r>
                    <w:rPr>
                      <w:rFonts w:ascii="Times New Roman" w:hAnsi="Times New Roman" w:cs="Times New Roman"/>
                      <w:color w:val="000000"/>
                      <w:kern w:val="2"/>
                      <w:sz w:val="21"/>
                      <w:szCs w:val="21"/>
                      <w:lang w:bidi="ar"/>
                    </w:rPr>
                    <w:t>昼间最大60</w:t>
                  </w:r>
                  <w:r>
                    <w:rPr>
                      <w:rFonts w:ascii="Times New Roman" w:hAnsi="Times New Roman" w:cs="Times New Roman"/>
                      <w:color w:val="000000"/>
                      <w:spacing w:val="24"/>
                      <w:sz w:val="21"/>
                    </w:rPr>
                    <w:t>dB(A)</w:t>
                  </w:r>
                </w:p>
                <w:p w14:paraId="510FCA48">
                  <w:pPr>
                    <w:pStyle w:val="76"/>
                    <w:widowControl w:val="0"/>
                    <w:adjustRightInd w:val="0"/>
                    <w:snapToGrid w:val="0"/>
                    <w:spacing w:before="0" w:beforeAutospacing="0" w:after="0" w:afterAutospacing="0"/>
                    <w:jc w:val="center"/>
                    <w:rPr>
                      <w:rFonts w:ascii="Times New Roman" w:hAnsi="Times New Roman" w:cs="Times New Roman"/>
                      <w:color w:val="000000"/>
                      <w:spacing w:val="24"/>
                      <w:sz w:val="21"/>
                    </w:rPr>
                  </w:pPr>
                  <w:r>
                    <w:rPr>
                      <w:rFonts w:ascii="Times New Roman" w:hAnsi="Times New Roman" w:cs="Times New Roman"/>
                      <w:color w:val="000000"/>
                      <w:kern w:val="2"/>
                      <w:sz w:val="21"/>
                      <w:szCs w:val="21"/>
                      <w:lang w:bidi="ar"/>
                    </w:rPr>
                    <w:t>夜间最大52</w:t>
                  </w:r>
                  <w:r>
                    <w:rPr>
                      <w:rFonts w:ascii="Times New Roman" w:hAnsi="Times New Roman" w:cs="Times New Roman"/>
                      <w:color w:val="000000"/>
                      <w:spacing w:val="24"/>
                      <w:sz w:val="21"/>
                    </w:rPr>
                    <w:t>dB(A)</w:t>
                  </w:r>
                </w:p>
              </w:tc>
              <w:tc>
                <w:tcPr>
                  <w:tcW w:w="588" w:type="pct"/>
                  <w:tcBorders>
                    <w:tl2br w:val="nil"/>
                    <w:tr2bl w:val="nil"/>
                  </w:tcBorders>
                  <w:vAlign w:val="center"/>
                </w:tcPr>
                <w:p w14:paraId="65D00E89">
                  <w:pPr>
                    <w:pStyle w:val="76"/>
                    <w:widowControl w:val="0"/>
                    <w:adjustRightInd w:val="0"/>
                    <w:snapToGrid w:val="0"/>
                    <w:spacing w:before="0" w:beforeAutospacing="0" w:after="0" w:afterAutospacing="0"/>
                    <w:jc w:val="center"/>
                    <w:rPr>
                      <w:rFonts w:ascii="Times New Roman" w:hAnsi="Times New Roman" w:cs="Times New Roman"/>
                      <w:color w:val="000000"/>
                      <w:spacing w:val="24"/>
                      <w:sz w:val="21"/>
                    </w:rPr>
                  </w:pPr>
                  <w:r>
                    <w:rPr>
                      <w:rFonts w:ascii="Times New Roman" w:hAnsi="Times New Roman" w:cs="Times New Roman"/>
                      <w:color w:val="000000"/>
                      <w:kern w:val="2"/>
                      <w:sz w:val="21"/>
                      <w:szCs w:val="21"/>
                      <w:lang w:bidi="ar"/>
                    </w:rPr>
                    <w:t>昼间</w:t>
                  </w:r>
                  <w:r>
                    <w:rPr>
                      <w:rFonts w:hint="eastAsia" w:cs="宋体"/>
                      <w:color w:val="000000"/>
                      <w:kern w:val="2"/>
                      <w:sz w:val="21"/>
                      <w:szCs w:val="21"/>
                      <w:lang w:bidi="ar"/>
                    </w:rPr>
                    <w:t>≦</w:t>
                  </w:r>
                  <w:r>
                    <w:rPr>
                      <w:rFonts w:ascii="Times New Roman" w:hAnsi="Times New Roman" w:cs="Times New Roman"/>
                      <w:color w:val="000000"/>
                      <w:kern w:val="2"/>
                      <w:sz w:val="21"/>
                      <w:szCs w:val="21"/>
                      <w:lang w:bidi="ar"/>
                    </w:rPr>
                    <w:t>65</w:t>
                  </w:r>
                  <w:r>
                    <w:rPr>
                      <w:rFonts w:ascii="Times New Roman" w:hAnsi="Times New Roman" w:cs="Times New Roman"/>
                      <w:color w:val="000000"/>
                      <w:spacing w:val="24"/>
                      <w:sz w:val="21"/>
                    </w:rPr>
                    <w:t>dB(A)</w:t>
                  </w:r>
                </w:p>
                <w:p w14:paraId="79CA8A90">
                  <w:pPr>
                    <w:pStyle w:val="76"/>
                    <w:widowControl w:val="0"/>
                    <w:adjustRightInd w:val="0"/>
                    <w:snapToGrid w:val="0"/>
                    <w:spacing w:before="0" w:beforeAutospacing="0" w:after="0" w:afterAutospacing="0"/>
                    <w:jc w:val="center"/>
                    <w:rPr>
                      <w:rFonts w:ascii="Times New Roman" w:hAnsi="Times New Roman" w:cs="Times New Roman"/>
                      <w:color w:val="000000"/>
                      <w:kern w:val="2"/>
                      <w:sz w:val="21"/>
                      <w:szCs w:val="21"/>
                      <w:lang w:bidi="ar"/>
                    </w:rPr>
                  </w:pPr>
                  <w:r>
                    <w:rPr>
                      <w:rFonts w:ascii="Times New Roman" w:hAnsi="Times New Roman" w:cs="Times New Roman"/>
                      <w:color w:val="000000"/>
                      <w:kern w:val="2"/>
                      <w:sz w:val="21"/>
                      <w:szCs w:val="21"/>
                      <w:lang w:bidi="ar"/>
                    </w:rPr>
                    <w:t>夜间</w:t>
                  </w:r>
                  <w:r>
                    <w:rPr>
                      <w:rFonts w:hint="eastAsia" w:cs="宋体"/>
                      <w:color w:val="000000"/>
                      <w:kern w:val="2"/>
                      <w:sz w:val="21"/>
                      <w:szCs w:val="21"/>
                      <w:lang w:bidi="ar"/>
                    </w:rPr>
                    <w:t>≦</w:t>
                  </w:r>
                  <w:r>
                    <w:rPr>
                      <w:rFonts w:ascii="Times New Roman" w:hAnsi="Times New Roman" w:cs="Times New Roman"/>
                      <w:color w:val="000000"/>
                      <w:kern w:val="2"/>
                      <w:sz w:val="21"/>
                      <w:szCs w:val="21"/>
                      <w:lang w:bidi="ar"/>
                    </w:rPr>
                    <w:t>55</w:t>
                  </w:r>
                  <w:r>
                    <w:rPr>
                      <w:rFonts w:ascii="Times New Roman" w:hAnsi="Times New Roman" w:cs="Times New Roman"/>
                      <w:color w:val="000000"/>
                      <w:spacing w:val="24"/>
                      <w:sz w:val="21"/>
                    </w:rPr>
                    <w:t>dB(A)</w:t>
                  </w:r>
                </w:p>
              </w:tc>
              <w:tc>
                <w:tcPr>
                  <w:tcW w:w="341" w:type="pct"/>
                  <w:tcBorders>
                    <w:tl2br w:val="nil"/>
                    <w:tr2bl w:val="nil"/>
                  </w:tcBorders>
                  <w:vAlign w:val="center"/>
                </w:tcPr>
                <w:p w14:paraId="6A32AC9F">
                  <w:pPr>
                    <w:pStyle w:val="76"/>
                    <w:widowControl w:val="0"/>
                    <w:adjustRightInd w:val="0"/>
                    <w:snapToGrid w:val="0"/>
                    <w:spacing w:before="0" w:beforeAutospacing="0" w:after="0" w:afterAutospacing="0"/>
                    <w:jc w:val="center"/>
                    <w:rPr>
                      <w:rFonts w:ascii="Times New Roman" w:hAnsi="Times New Roman" w:cs="Times New Roman"/>
                      <w:color w:val="000000"/>
                      <w:kern w:val="2"/>
                      <w:sz w:val="21"/>
                      <w:szCs w:val="21"/>
                      <w:lang w:bidi="ar"/>
                    </w:rPr>
                  </w:pPr>
                  <w:r>
                    <w:rPr>
                      <w:rFonts w:ascii="Times New Roman" w:hAnsi="Times New Roman" w:cs="Times New Roman"/>
                      <w:color w:val="000000"/>
                      <w:kern w:val="2"/>
                      <w:sz w:val="21"/>
                      <w:szCs w:val="21"/>
                      <w:lang w:bidi="ar"/>
                    </w:rPr>
                    <w:t>达标</w:t>
                  </w:r>
                </w:p>
              </w:tc>
            </w:tr>
            <w:tr w14:paraId="2CFC1D0D">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57" w:hRule="atLeast"/>
                <w:jc w:val="center"/>
              </w:trPr>
              <w:tc>
                <w:tcPr>
                  <w:tcW w:w="230" w:type="pct"/>
                  <w:vMerge w:val="restart"/>
                  <w:tcBorders>
                    <w:tl2br w:val="nil"/>
                    <w:tr2bl w:val="nil"/>
                  </w:tcBorders>
                  <w:vAlign w:val="center"/>
                </w:tcPr>
                <w:p w14:paraId="0C9594D2">
                  <w:pPr>
                    <w:rPr>
                      <w:color w:val="000000"/>
                      <w:szCs w:val="21"/>
                    </w:rPr>
                  </w:pPr>
                  <w:r>
                    <w:rPr>
                      <w:color w:val="000000"/>
                      <w:szCs w:val="21"/>
                    </w:rPr>
                    <w:t>固体废物</w:t>
                  </w:r>
                </w:p>
              </w:tc>
              <w:tc>
                <w:tcPr>
                  <w:tcW w:w="934" w:type="pct"/>
                  <w:gridSpan w:val="2"/>
                  <w:tcBorders>
                    <w:tl2br w:val="nil"/>
                    <w:tr2bl w:val="nil"/>
                  </w:tcBorders>
                  <w:vAlign w:val="center"/>
                </w:tcPr>
                <w:p w14:paraId="617AFB4D">
                  <w:pPr>
                    <w:adjustRightInd w:val="0"/>
                    <w:snapToGrid w:val="0"/>
                    <w:jc w:val="center"/>
                    <w:textAlignment w:val="baseline"/>
                    <w:rPr>
                      <w:rFonts w:ascii="Times New Roman" w:hAnsi="Times New Roman" w:cs="Times New Roman"/>
                      <w:color w:val="000000"/>
                      <w:szCs w:val="21"/>
                    </w:rPr>
                  </w:pPr>
                  <w:r>
                    <w:rPr>
                      <w:rFonts w:ascii="Times New Roman" w:hAnsi="Times New Roman" w:cs="Times New Roman"/>
                      <w:color w:val="000000"/>
                    </w:rPr>
                    <w:t>贫胺过滤器失效的废吸附剂、脱汞塔废吸附剂、实验室废液、废机油桶、废药剂桶、废润滑油、废矿物油</w:t>
                  </w:r>
                  <w:r>
                    <w:rPr>
                      <w:rFonts w:hint="eastAsia" w:ascii="Times New Roman" w:hAnsi="Times New Roman" w:cs="Times New Roman"/>
                      <w:color w:val="000000"/>
                    </w:rPr>
                    <w:t>、废导热油</w:t>
                  </w:r>
                </w:p>
              </w:tc>
              <w:tc>
                <w:tcPr>
                  <w:tcW w:w="835" w:type="pct"/>
                  <w:tcBorders>
                    <w:tl2br w:val="nil"/>
                    <w:tr2bl w:val="nil"/>
                  </w:tcBorders>
                  <w:vAlign w:val="center"/>
                </w:tcPr>
                <w:p w14:paraId="4607AFF5">
                  <w:pPr>
                    <w:adjustRightInd w:val="0"/>
                    <w:snapToGrid w:val="0"/>
                    <w:jc w:val="center"/>
                    <w:rPr>
                      <w:rFonts w:ascii="Times New Roman" w:hAnsi="Times New Roman" w:cs="Times New Roman"/>
                      <w:color w:val="000000"/>
                      <w:szCs w:val="21"/>
                      <w:lang w:bidi="ar"/>
                    </w:rPr>
                  </w:pPr>
                  <w:r>
                    <w:rPr>
                      <w:rFonts w:ascii="Times New Roman" w:hAnsi="Times New Roman" w:cs="Times New Roman"/>
                      <w:color w:val="000000"/>
                      <w:szCs w:val="21"/>
                    </w:rPr>
                    <w:t>危险废物</w:t>
                  </w:r>
                </w:p>
              </w:tc>
              <w:tc>
                <w:tcPr>
                  <w:tcW w:w="892" w:type="pct"/>
                  <w:tcBorders>
                    <w:tl2br w:val="nil"/>
                    <w:tr2bl w:val="nil"/>
                  </w:tcBorders>
                  <w:vAlign w:val="center"/>
                </w:tcPr>
                <w:p w14:paraId="2FF634EE">
                  <w:pPr>
                    <w:adjustRightInd w:val="0"/>
                    <w:snapToGrid w:val="0"/>
                    <w:jc w:val="center"/>
                    <w:rPr>
                      <w:rFonts w:ascii="Times New Roman" w:hAnsi="Times New Roman" w:cs="Times New Roman"/>
                      <w:color w:val="000000"/>
                      <w:spacing w:val="24"/>
                    </w:rPr>
                  </w:pPr>
                  <w:r>
                    <w:rPr>
                      <w:rFonts w:hint="eastAsia" w:ascii="Times New Roman" w:hAnsi="Times New Roman" w:cs="Times New Roman"/>
                      <w:color w:val="000000"/>
                      <w:spacing w:val="24"/>
                    </w:rPr>
                    <w:t>5.9</w:t>
                  </w:r>
                </w:p>
              </w:tc>
              <w:tc>
                <w:tcPr>
                  <w:tcW w:w="474" w:type="pct"/>
                  <w:tcBorders>
                    <w:tl2br w:val="nil"/>
                    <w:tr2bl w:val="nil"/>
                  </w:tcBorders>
                  <w:vAlign w:val="center"/>
                </w:tcPr>
                <w:p w14:paraId="135949A8">
                  <w:pPr>
                    <w:adjustRightInd w:val="0"/>
                    <w:snapToGrid w:val="0"/>
                    <w:jc w:val="center"/>
                    <w:rPr>
                      <w:rFonts w:ascii="Times New Roman" w:hAnsi="Times New Roman" w:cs="Times New Roman"/>
                      <w:color w:val="000000"/>
                      <w:szCs w:val="21"/>
                      <w:lang w:bidi="ar"/>
                    </w:rPr>
                  </w:pPr>
                  <w:r>
                    <w:rPr>
                      <w:rFonts w:ascii="Times New Roman" w:hAnsi="Times New Roman" w:cs="Times New Roman"/>
                      <w:color w:val="000000"/>
                      <w:szCs w:val="21"/>
                      <w:lang w:bidi="ar"/>
                    </w:rPr>
                    <w:t>/</w:t>
                  </w:r>
                </w:p>
              </w:tc>
              <w:tc>
                <w:tcPr>
                  <w:tcW w:w="1635" w:type="pct"/>
                  <w:gridSpan w:val="3"/>
                  <w:tcBorders>
                    <w:tl2br w:val="nil"/>
                    <w:tr2bl w:val="nil"/>
                  </w:tcBorders>
                  <w:vAlign w:val="center"/>
                </w:tcPr>
                <w:p w14:paraId="636B7889">
                  <w:pPr>
                    <w:pStyle w:val="76"/>
                    <w:widowControl w:val="0"/>
                    <w:adjustRightInd w:val="0"/>
                    <w:snapToGrid w:val="0"/>
                    <w:spacing w:before="0" w:beforeAutospacing="0" w:after="0" w:afterAutospacing="0"/>
                    <w:jc w:val="center"/>
                    <w:rPr>
                      <w:rFonts w:ascii="Times New Roman" w:hAnsi="Times New Roman" w:cs="Times New Roman"/>
                      <w:color w:val="000000"/>
                      <w:kern w:val="2"/>
                      <w:sz w:val="21"/>
                      <w:szCs w:val="21"/>
                      <w:lang w:bidi="ar"/>
                    </w:rPr>
                  </w:pPr>
                  <w:r>
                    <w:rPr>
                      <w:rFonts w:ascii="Times New Roman" w:hAnsi="Times New Roman" w:cs="Times New Roman"/>
                      <w:color w:val="000000"/>
                      <w:kern w:val="2"/>
                      <w:sz w:val="21"/>
                      <w:szCs w:val="21"/>
                      <w:lang w:bidi="ar"/>
                    </w:rPr>
                    <w:t>交危废资质单位</w:t>
                  </w:r>
                </w:p>
              </w:tc>
            </w:tr>
            <w:tr w14:paraId="01FEF5E9">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57" w:hRule="atLeast"/>
                <w:jc w:val="center"/>
              </w:trPr>
              <w:tc>
                <w:tcPr>
                  <w:tcW w:w="230" w:type="pct"/>
                  <w:vMerge w:val="continue"/>
                  <w:tcBorders>
                    <w:tl2br w:val="nil"/>
                    <w:tr2bl w:val="nil"/>
                  </w:tcBorders>
                  <w:vAlign w:val="center"/>
                </w:tcPr>
                <w:p w14:paraId="5EF34A2C">
                  <w:pPr>
                    <w:rPr>
                      <w:color w:val="000000"/>
                      <w:szCs w:val="21"/>
                    </w:rPr>
                  </w:pPr>
                </w:p>
              </w:tc>
              <w:tc>
                <w:tcPr>
                  <w:tcW w:w="934" w:type="pct"/>
                  <w:gridSpan w:val="2"/>
                  <w:tcBorders>
                    <w:tl2br w:val="nil"/>
                    <w:tr2bl w:val="nil"/>
                  </w:tcBorders>
                  <w:vAlign w:val="center"/>
                </w:tcPr>
                <w:p w14:paraId="36715AA5">
                  <w:pPr>
                    <w:adjustRightInd w:val="0"/>
                    <w:snapToGrid w:val="0"/>
                    <w:jc w:val="center"/>
                    <w:rPr>
                      <w:rFonts w:ascii="Times New Roman" w:hAnsi="Times New Roman" w:cs="Times New Roman"/>
                      <w:color w:val="000000"/>
                    </w:rPr>
                  </w:pPr>
                  <w:r>
                    <w:rPr>
                      <w:rFonts w:ascii="Times New Roman" w:hAnsi="Times New Roman" w:cs="Times New Roman"/>
                      <w:color w:val="000000"/>
                    </w:rPr>
                    <w:t>干燥器废分子筛、</w:t>
                  </w:r>
                </w:p>
                <w:p w14:paraId="35AF2B8E">
                  <w:pPr>
                    <w:adjustRightInd w:val="0"/>
                    <w:snapToGrid w:val="0"/>
                    <w:jc w:val="center"/>
                    <w:rPr>
                      <w:rFonts w:ascii="Times New Roman" w:hAnsi="Times New Roman" w:cs="Times New Roman"/>
                      <w:color w:val="000000"/>
                      <w:szCs w:val="21"/>
                    </w:rPr>
                  </w:pPr>
                  <w:r>
                    <w:rPr>
                      <w:rFonts w:ascii="Times New Roman" w:hAnsi="Times New Roman" w:cs="Times New Roman"/>
                      <w:color w:val="000000"/>
                    </w:rPr>
                    <w:t>制冷剂干燥产生的废分子筛</w:t>
                  </w:r>
                </w:p>
              </w:tc>
              <w:tc>
                <w:tcPr>
                  <w:tcW w:w="835" w:type="pct"/>
                  <w:tcBorders>
                    <w:tl2br w:val="nil"/>
                    <w:tr2bl w:val="nil"/>
                  </w:tcBorders>
                  <w:vAlign w:val="center"/>
                </w:tcPr>
                <w:p w14:paraId="1C26C898">
                  <w:pPr>
                    <w:adjustRightInd w:val="0"/>
                    <w:snapToGrid w:val="0"/>
                    <w:jc w:val="center"/>
                    <w:rPr>
                      <w:rFonts w:ascii="Times New Roman" w:hAnsi="Times New Roman" w:cs="Times New Roman"/>
                      <w:color w:val="000000"/>
                      <w:szCs w:val="21"/>
                      <w:lang w:bidi="ar"/>
                    </w:rPr>
                  </w:pPr>
                  <w:r>
                    <w:rPr>
                      <w:rFonts w:ascii="Times New Roman" w:hAnsi="Times New Roman" w:cs="Times New Roman"/>
                      <w:color w:val="000000"/>
                      <w:szCs w:val="21"/>
                    </w:rPr>
                    <w:t>一般工业固废</w:t>
                  </w:r>
                </w:p>
              </w:tc>
              <w:tc>
                <w:tcPr>
                  <w:tcW w:w="892" w:type="pct"/>
                  <w:tcBorders>
                    <w:tl2br w:val="nil"/>
                    <w:tr2bl w:val="nil"/>
                  </w:tcBorders>
                  <w:vAlign w:val="center"/>
                </w:tcPr>
                <w:p w14:paraId="16EA392D">
                  <w:pPr>
                    <w:pStyle w:val="76"/>
                    <w:widowControl w:val="0"/>
                    <w:adjustRightInd w:val="0"/>
                    <w:snapToGrid w:val="0"/>
                    <w:spacing w:before="0" w:beforeAutospacing="0" w:after="0" w:afterAutospacing="0"/>
                    <w:jc w:val="center"/>
                    <w:rPr>
                      <w:rFonts w:ascii="Times New Roman" w:hAnsi="Times New Roman" w:cs="Times New Roman"/>
                      <w:color w:val="000000"/>
                      <w:kern w:val="2"/>
                      <w:sz w:val="21"/>
                      <w:szCs w:val="21"/>
                      <w:lang w:bidi="ar"/>
                    </w:rPr>
                  </w:pPr>
                  <w:r>
                    <w:rPr>
                      <w:rFonts w:hint="eastAsia" w:ascii="Times New Roman" w:hAnsi="Times New Roman" w:cs="Times New Roman"/>
                      <w:color w:val="000000"/>
                      <w:kern w:val="2"/>
                      <w:sz w:val="21"/>
                      <w:szCs w:val="21"/>
                      <w:lang w:bidi="ar"/>
                    </w:rPr>
                    <w:t>8.25</w:t>
                  </w:r>
                </w:p>
              </w:tc>
              <w:tc>
                <w:tcPr>
                  <w:tcW w:w="474" w:type="pct"/>
                  <w:tcBorders>
                    <w:tl2br w:val="nil"/>
                    <w:tr2bl w:val="nil"/>
                  </w:tcBorders>
                  <w:vAlign w:val="center"/>
                </w:tcPr>
                <w:p w14:paraId="32A0318A">
                  <w:pPr>
                    <w:adjustRightInd w:val="0"/>
                    <w:snapToGrid w:val="0"/>
                    <w:jc w:val="center"/>
                    <w:rPr>
                      <w:rFonts w:ascii="Times New Roman" w:hAnsi="Times New Roman" w:cs="Times New Roman"/>
                      <w:color w:val="000000"/>
                      <w:szCs w:val="21"/>
                      <w:lang w:bidi="ar"/>
                    </w:rPr>
                  </w:pPr>
                  <w:r>
                    <w:rPr>
                      <w:rFonts w:ascii="Times New Roman" w:hAnsi="Times New Roman" w:cs="Times New Roman"/>
                      <w:color w:val="000000"/>
                      <w:szCs w:val="21"/>
                      <w:lang w:bidi="ar"/>
                    </w:rPr>
                    <w:t>/</w:t>
                  </w:r>
                </w:p>
              </w:tc>
              <w:tc>
                <w:tcPr>
                  <w:tcW w:w="1635" w:type="pct"/>
                  <w:gridSpan w:val="3"/>
                  <w:tcBorders>
                    <w:tl2br w:val="nil"/>
                    <w:tr2bl w:val="nil"/>
                  </w:tcBorders>
                  <w:vAlign w:val="center"/>
                </w:tcPr>
                <w:p w14:paraId="46994BD5">
                  <w:pPr>
                    <w:pStyle w:val="76"/>
                    <w:widowControl w:val="0"/>
                    <w:adjustRightInd w:val="0"/>
                    <w:snapToGrid w:val="0"/>
                    <w:spacing w:before="0" w:beforeAutospacing="0" w:after="0" w:afterAutospacing="0"/>
                    <w:jc w:val="center"/>
                    <w:rPr>
                      <w:rFonts w:ascii="Times New Roman" w:hAnsi="Times New Roman" w:cs="Times New Roman"/>
                      <w:color w:val="000000"/>
                      <w:kern w:val="2"/>
                      <w:sz w:val="21"/>
                      <w:szCs w:val="21"/>
                      <w:lang w:bidi="ar"/>
                    </w:rPr>
                  </w:pPr>
                  <w:r>
                    <w:rPr>
                      <w:rFonts w:ascii="Times New Roman" w:hAnsi="Times New Roman" w:cs="Times New Roman"/>
                      <w:color w:val="000000"/>
                      <w:kern w:val="2"/>
                      <w:sz w:val="21"/>
                      <w:szCs w:val="21"/>
                      <w:lang w:bidi="ar"/>
                    </w:rPr>
                    <w:t>交</w:t>
                  </w:r>
                  <w:r>
                    <w:rPr>
                      <w:rFonts w:hint="eastAsia" w:ascii="Times New Roman" w:hAnsi="Times New Roman" w:cs="Times New Roman"/>
                      <w:color w:val="000000"/>
                      <w:kern w:val="2"/>
                      <w:sz w:val="21"/>
                      <w:szCs w:val="21"/>
                      <w:lang w:bidi="ar"/>
                    </w:rPr>
                    <w:t>一般固废处置单位处理</w:t>
                  </w:r>
                </w:p>
              </w:tc>
            </w:tr>
            <w:tr w14:paraId="3C590FF8">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57" w:hRule="atLeast"/>
                <w:jc w:val="center"/>
              </w:trPr>
              <w:tc>
                <w:tcPr>
                  <w:tcW w:w="230" w:type="pct"/>
                  <w:vMerge w:val="continue"/>
                  <w:tcBorders>
                    <w:tl2br w:val="nil"/>
                    <w:tr2bl w:val="nil"/>
                  </w:tcBorders>
                  <w:vAlign w:val="center"/>
                </w:tcPr>
                <w:p w14:paraId="2D2CA2B8">
                  <w:pPr>
                    <w:rPr>
                      <w:color w:val="000000"/>
                      <w:szCs w:val="21"/>
                    </w:rPr>
                  </w:pPr>
                </w:p>
              </w:tc>
              <w:tc>
                <w:tcPr>
                  <w:tcW w:w="934" w:type="pct"/>
                  <w:gridSpan w:val="2"/>
                  <w:tcBorders>
                    <w:tl2br w:val="nil"/>
                    <w:tr2bl w:val="nil"/>
                  </w:tcBorders>
                  <w:vAlign w:val="center"/>
                </w:tcPr>
                <w:p w14:paraId="246B33BB">
                  <w:pPr>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生活垃圾</w:t>
                  </w:r>
                </w:p>
              </w:tc>
              <w:tc>
                <w:tcPr>
                  <w:tcW w:w="835" w:type="pct"/>
                  <w:tcBorders>
                    <w:tl2br w:val="nil"/>
                    <w:tr2bl w:val="nil"/>
                  </w:tcBorders>
                  <w:vAlign w:val="center"/>
                </w:tcPr>
                <w:p w14:paraId="3FAC50F8">
                  <w:pPr>
                    <w:adjustRightInd w:val="0"/>
                    <w:snapToGrid w:val="0"/>
                    <w:jc w:val="center"/>
                    <w:rPr>
                      <w:rFonts w:ascii="Times New Roman" w:hAnsi="Times New Roman" w:cs="Times New Roman"/>
                      <w:color w:val="000000"/>
                      <w:szCs w:val="21"/>
                      <w:lang w:bidi="ar"/>
                    </w:rPr>
                  </w:pPr>
                  <w:r>
                    <w:rPr>
                      <w:rFonts w:ascii="Times New Roman" w:hAnsi="Times New Roman" w:cs="Times New Roman"/>
                      <w:color w:val="000000"/>
                      <w:szCs w:val="21"/>
                    </w:rPr>
                    <w:t>生活垃圾</w:t>
                  </w:r>
                </w:p>
              </w:tc>
              <w:tc>
                <w:tcPr>
                  <w:tcW w:w="892" w:type="pct"/>
                  <w:tcBorders>
                    <w:tl2br w:val="nil"/>
                    <w:tr2bl w:val="nil"/>
                  </w:tcBorders>
                  <w:vAlign w:val="center"/>
                </w:tcPr>
                <w:p w14:paraId="50AB113C">
                  <w:pPr>
                    <w:pStyle w:val="76"/>
                    <w:widowControl w:val="0"/>
                    <w:adjustRightInd w:val="0"/>
                    <w:snapToGrid w:val="0"/>
                    <w:spacing w:before="0" w:beforeAutospacing="0" w:after="0" w:afterAutospacing="0"/>
                    <w:jc w:val="center"/>
                    <w:rPr>
                      <w:rFonts w:ascii="Times New Roman" w:hAnsi="Times New Roman" w:cs="Times New Roman"/>
                      <w:color w:val="000000"/>
                      <w:kern w:val="2"/>
                      <w:sz w:val="21"/>
                      <w:szCs w:val="21"/>
                      <w:lang w:bidi="ar"/>
                    </w:rPr>
                  </w:pPr>
                  <w:r>
                    <w:rPr>
                      <w:rFonts w:ascii="Times New Roman" w:hAnsi="Times New Roman" w:cs="Times New Roman"/>
                      <w:color w:val="000000"/>
                      <w:kern w:val="2"/>
                      <w:sz w:val="21"/>
                      <w:szCs w:val="21"/>
                      <w:lang w:bidi="ar"/>
                    </w:rPr>
                    <w:t>19.8</w:t>
                  </w:r>
                </w:p>
              </w:tc>
              <w:tc>
                <w:tcPr>
                  <w:tcW w:w="474" w:type="pct"/>
                  <w:tcBorders>
                    <w:tl2br w:val="nil"/>
                    <w:tr2bl w:val="nil"/>
                  </w:tcBorders>
                  <w:vAlign w:val="center"/>
                </w:tcPr>
                <w:p w14:paraId="4DC10E27">
                  <w:pPr>
                    <w:adjustRightInd w:val="0"/>
                    <w:snapToGrid w:val="0"/>
                    <w:jc w:val="center"/>
                    <w:rPr>
                      <w:rFonts w:ascii="Times New Roman" w:hAnsi="Times New Roman" w:cs="Times New Roman"/>
                      <w:color w:val="000000"/>
                      <w:szCs w:val="21"/>
                      <w:lang w:bidi="ar"/>
                    </w:rPr>
                  </w:pPr>
                  <w:r>
                    <w:rPr>
                      <w:rFonts w:ascii="Times New Roman" w:hAnsi="Times New Roman" w:cs="Times New Roman"/>
                      <w:color w:val="000000"/>
                      <w:szCs w:val="21"/>
                      <w:lang w:bidi="ar"/>
                    </w:rPr>
                    <w:t>/</w:t>
                  </w:r>
                </w:p>
              </w:tc>
              <w:tc>
                <w:tcPr>
                  <w:tcW w:w="1635" w:type="pct"/>
                  <w:gridSpan w:val="3"/>
                  <w:tcBorders>
                    <w:tl2br w:val="nil"/>
                    <w:tr2bl w:val="nil"/>
                  </w:tcBorders>
                  <w:vAlign w:val="center"/>
                </w:tcPr>
                <w:p w14:paraId="0248C277">
                  <w:pPr>
                    <w:pStyle w:val="76"/>
                    <w:widowControl w:val="0"/>
                    <w:adjustRightInd w:val="0"/>
                    <w:snapToGrid w:val="0"/>
                    <w:spacing w:before="0" w:beforeAutospacing="0" w:after="0" w:afterAutospacing="0"/>
                    <w:jc w:val="center"/>
                    <w:rPr>
                      <w:rFonts w:ascii="Times New Roman" w:hAnsi="Times New Roman" w:cs="Times New Roman"/>
                      <w:color w:val="000000"/>
                      <w:kern w:val="2"/>
                      <w:sz w:val="21"/>
                      <w:szCs w:val="21"/>
                      <w:lang w:bidi="ar"/>
                    </w:rPr>
                  </w:pPr>
                  <w:r>
                    <w:rPr>
                      <w:rFonts w:ascii="Times New Roman" w:hAnsi="Times New Roman" w:cs="Times New Roman"/>
                      <w:color w:val="000000"/>
                      <w:kern w:val="2"/>
                      <w:sz w:val="21"/>
                      <w:szCs w:val="21"/>
                      <w:lang w:bidi="ar"/>
                    </w:rPr>
                    <w:t>交环卫部门处理</w:t>
                  </w:r>
                </w:p>
              </w:tc>
            </w:tr>
          </w:tbl>
          <w:p w14:paraId="3FC6748A">
            <w:pPr>
              <w:pStyle w:val="34"/>
            </w:pPr>
          </w:p>
          <w:p w14:paraId="3B719BA3">
            <w:pPr>
              <w:pStyle w:val="982"/>
              <w:spacing w:line="360" w:lineRule="auto"/>
              <w:outlineLvl w:val="1"/>
              <w:rPr>
                <w:rFonts w:ascii="Times New Roman" w:hAnsi="Times New Roman" w:cs="Times New Roman"/>
                <w:color w:val="FF0000"/>
                <w:spacing w:val="-4"/>
                <w:kern w:val="24"/>
                <w:sz w:val="24"/>
                <w:szCs w:val="24"/>
              </w:rPr>
            </w:pPr>
            <w:r>
              <w:rPr>
                <w:rFonts w:ascii="Times New Roman" w:hAnsi="Times New Roman" w:cs="Times New Roman"/>
                <w:color w:val="FF0000"/>
                <w:spacing w:val="-4"/>
                <w:kern w:val="24"/>
                <w:sz w:val="24"/>
                <w:szCs w:val="24"/>
              </w:rPr>
              <w:t>2.3.6项目有关的主要环境问题</w:t>
            </w:r>
            <w:bookmarkEnd w:id="18"/>
            <w:bookmarkEnd w:id="19"/>
            <w:bookmarkEnd w:id="20"/>
            <w:r>
              <w:rPr>
                <w:rFonts w:hint="eastAsia" w:ascii="Times New Roman" w:hAnsi="Times New Roman" w:cs="Times New Roman"/>
                <w:color w:val="FF0000"/>
                <w:spacing w:val="-4"/>
                <w:kern w:val="24"/>
                <w:sz w:val="24"/>
                <w:szCs w:val="24"/>
              </w:rPr>
              <w:t>及“以新带老”措施</w:t>
            </w:r>
          </w:p>
          <w:p w14:paraId="593220DC">
            <w:pPr>
              <w:adjustRightInd w:val="0"/>
              <w:snapToGrid w:val="0"/>
              <w:spacing w:line="360" w:lineRule="auto"/>
              <w:ind w:firstLine="480" w:firstLineChars="200"/>
              <w:rPr>
                <w:rFonts w:ascii="Times New Roman" w:hAnsi="Times New Roman" w:cs="Times New Roman"/>
                <w:color w:val="FF0000"/>
                <w:sz w:val="24"/>
              </w:rPr>
            </w:pPr>
            <w:r>
              <w:rPr>
                <w:rFonts w:ascii="Times New Roman" w:hAnsi="Times New Roman" w:cs="Times New Roman"/>
                <w:color w:val="FF0000"/>
                <w:sz w:val="24"/>
              </w:rPr>
              <w:t>综合以上调查分析，企业现有项目严格执行了环境影响评价制度且已完成环保竣工验收，取得了排污许可。现有各项环保设施和风险防范措施均进行了落实，各项环保设施运行正常，</w:t>
            </w:r>
            <w:r>
              <w:rPr>
                <w:rFonts w:hint="eastAsia" w:ascii="Times New Roman" w:hAnsi="Times New Roman" w:cs="Times New Roman"/>
                <w:color w:val="FF0000"/>
                <w:sz w:val="24"/>
              </w:rPr>
              <w:t>各</w:t>
            </w:r>
            <w:r>
              <w:rPr>
                <w:rFonts w:ascii="Times New Roman" w:hAnsi="Times New Roman" w:cs="Times New Roman"/>
                <w:color w:val="FF0000"/>
                <w:sz w:val="24"/>
              </w:rPr>
              <w:t>污染物</w:t>
            </w:r>
            <w:r>
              <w:rPr>
                <w:rFonts w:hint="eastAsia" w:ascii="Times New Roman" w:hAnsi="Times New Roman" w:cs="Times New Roman"/>
                <w:color w:val="FF0000"/>
                <w:sz w:val="24"/>
              </w:rPr>
              <w:t>均</w:t>
            </w:r>
            <w:r>
              <w:rPr>
                <w:rFonts w:ascii="Times New Roman" w:hAnsi="Times New Roman" w:cs="Times New Roman"/>
                <w:color w:val="FF0000"/>
                <w:sz w:val="24"/>
              </w:rPr>
              <w:t>能实现稳定达标排放。企业突发环境应急预案已进行了备案并定期演练。运行期间无环保投诉，无环境污染事故。</w:t>
            </w:r>
          </w:p>
          <w:p w14:paraId="407BDE98">
            <w:pPr>
              <w:pStyle w:val="2"/>
            </w:pPr>
          </w:p>
        </w:tc>
      </w:tr>
    </w:tbl>
    <w:p w14:paraId="7902059D">
      <w:pPr>
        <w:pStyle w:val="76"/>
        <w:jc w:val="center"/>
        <w:outlineLvl w:val="0"/>
        <w:rPr>
          <w:rFonts w:ascii="Times New Roman" w:hAnsi="Times New Roman" w:eastAsia="黑体" w:cs="Times New Roman"/>
          <w:snapToGrid w:val="0"/>
          <w:sz w:val="30"/>
          <w:szCs w:val="30"/>
        </w:rPr>
        <w:sectPr>
          <w:pgSz w:w="11907" w:h="16840"/>
          <w:pgMar w:top="1701" w:right="1531" w:bottom="2127" w:left="1531" w:header="851" w:footer="851" w:gutter="0"/>
          <w:cols w:space="720" w:num="1"/>
          <w:docGrid w:linePitch="312" w:charSpace="0"/>
        </w:sectPr>
      </w:pPr>
    </w:p>
    <w:p w14:paraId="5D9E63A0">
      <w:pPr>
        <w:pStyle w:val="76"/>
        <w:jc w:val="center"/>
        <w:outlineLvl w:val="0"/>
        <w:rPr>
          <w:rFonts w:ascii="Times New Roman" w:hAnsi="Times New Roman" w:eastAsia="黑体" w:cs="Times New Roman"/>
          <w:snapToGrid w:val="0"/>
          <w:sz w:val="30"/>
          <w:szCs w:val="30"/>
        </w:rPr>
      </w:pPr>
      <w:r>
        <w:rPr>
          <w:rFonts w:ascii="Times New Roman" w:hAnsi="Times New Roman" w:eastAsia="黑体" w:cs="Times New Roman"/>
          <w:snapToGrid w:val="0"/>
          <w:sz w:val="30"/>
          <w:szCs w:val="30"/>
        </w:rPr>
        <w:t>三、</w:t>
      </w:r>
      <w:bookmarkStart w:id="21" w:name="_Hlk83375919"/>
      <w:r>
        <w:rPr>
          <w:rFonts w:ascii="Times New Roman" w:hAnsi="Times New Roman" w:eastAsia="黑体" w:cs="Times New Roman"/>
          <w:snapToGrid w:val="0"/>
          <w:sz w:val="30"/>
          <w:szCs w:val="30"/>
        </w:rPr>
        <w:t>区域环境质量现状、环境保护目标及评价标准</w:t>
      </w:r>
      <w:bookmarkEnd w:id="21"/>
    </w:p>
    <w:tbl>
      <w:tblPr>
        <w:tblStyle w:val="8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5"/>
        <w:gridCol w:w="8636"/>
      </w:tblGrid>
      <w:tr w14:paraId="3D7276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906" w:hRule="atLeast"/>
          <w:jc w:val="center"/>
        </w:trPr>
        <w:tc>
          <w:tcPr>
            <w:tcW w:w="800" w:type="dxa"/>
            <w:vAlign w:val="center"/>
          </w:tcPr>
          <w:p w14:paraId="2060DA40">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区域</w:t>
            </w:r>
          </w:p>
          <w:p w14:paraId="3EA19D05">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环境</w:t>
            </w:r>
          </w:p>
          <w:p w14:paraId="5911A580">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质量</w:t>
            </w:r>
          </w:p>
          <w:p w14:paraId="150713C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现状</w:t>
            </w:r>
          </w:p>
        </w:tc>
        <w:tc>
          <w:tcPr>
            <w:tcW w:w="8190" w:type="dxa"/>
            <w:vAlign w:val="center"/>
          </w:tcPr>
          <w:p w14:paraId="4B8F02A0">
            <w:pPr>
              <w:adjustRightInd w:val="0"/>
              <w:snapToGrid w:val="0"/>
              <w:spacing w:line="360" w:lineRule="auto"/>
              <w:rPr>
                <w:rFonts w:ascii="Times New Roman" w:hAnsi="Times New Roman" w:cs="Times New Roman"/>
                <w:b/>
                <w:sz w:val="24"/>
              </w:rPr>
            </w:pPr>
            <w:r>
              <w:rPr>
                <w:rFonts w:ascii="Times New Roman" w:hAnsi="Times New Roman" w:cs="Times New Roman"/>
                <w:b/>
                <w:sz w:val="24"/>
              </w:rPr>
              <w:t>3.1环境空气质量现状及评价</w:t>
            </w:r>
          </w:p>
          <w:p w14:paraId="48649096">
            <w:pPr>
              <w:adjustRightInd w:val="0"/>
              <w:snapToGrid w:val="0"/>
              <w:spacing w:line="360" w:lineRule="auto"/>
              <w:rPr>
                <w:rFonts w:ascii="Times New Roman" w:hAnsi="Times New Roman" w:cs="Times New Roman"/>
                <w:b/>
                <w:sz w:val="24"/>
              </w:rPr>
            </w:pPr>
            <w:r>
              <w:rPr>
                <w:rFonts w:ascii="Times New Roman" w:hAnsi="Times New Roman" w:cs="Times New Roman"/>
                <w:b/>
                <w:sz w:val="24"/>
              </w:rPr>
              <w:t>3.1.1 环境空气质量达标区判定</w:t>
            </w:r>
          </w:p>
          <w:p w14:paraId="550BA9E0">
            <w:pPr>
              <w:adjustRightInd w:val="0"/>
              <w:snapToGrid w:val="0"/>
              <w:spacing w:line="360" w:lineRule="auto"/>
              <w:ind w:firstLine="482" w:firstLineChars="200"/>
              <w:rPr>
                <w:rFonts w:ascii="Times New Roman" w:hAnsi="Times New Roman" w:cs="Times New Roman"/>
                <w:b/>
                <w:bCs/>
                <w:sz w:val="24"/>
              </w:rPr>
            </w:pPr>
            <w:r>
              <w:rPr>
                <w:rFonts w:ascii="Times New Roman" w:hAnsi="Times New Roman" w:cs="Times New Roman"/>
                <w:b/>
                <w:bCs/>
                <w:sz w:val="24"/>
              </w:rPr>
              <w:t>1. 基本因子</w:t>
            </w:r>
          </w:p>
          <w:p w14:paraId="3B80D8FB">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根据《重庆市环境空气质量功能区划分规定》（渝府发[2016]19 号）等相关文件规定，项目所在区域环境空气功能区划为二类区，环境空气质量常规因子SO</w:t>
            </w:r>
            <w:r>
              <w:rPr>
                <w:rFonts w:ascii="Times New Roman" w:hAnsi="Times New Roman" w:cs="Times New Roman"/>
                <w:sz w:val="24"/>
                <w:vertAlign w:val="subscript"/>
              </w:rPr>
              <w:t>2</w:t>
            </w:r>
            <w:r>
              <w:rPr>
                <w:rFonts w:ascii="Times New Roman" w:hAnsi="Times New Roman" w:cs="Times New Roman"/>
                <w:sz w:val="24"/>
              </w:rPr>
              <w:t>、NO</w:t>
            </w:r>
            <w:r>
              <w:rPr>
                <w:rFonts w:ascii="Times New Roman" w:hAnsi="Times New Roman" w:cs="Times New Roman"/>
                <w:sz w:val="24"/>
                <w:vertAlign w:val="subscript"/>
              </w:rPr>
              <w:t>2</w:t>
            </w:r>
            <w:r>
              <w:rPr>
                <w:rFonts w:ascii="Times New Roman" w:hAnsi="Times New Roman" w:cs="Times New Roman"/>
                <w:sz w:val="24"/>
              </w:rPr>
              <w:t>、PM</w:t>
            </w:r>
            <w:r>
              <w:rPr>
                <w:rFonts w:ascii="Times New Roman" w:hAnsi="Times New Roman" w:cs="Times New Roman"/>
                <w:sz w:val="24"/>
                <w:vertAlign w:val="subscript"/>
              </w:rPr>
              <w:t>10</w:t>
            </w:r>
            <w:r>
              <w:rPr>
                <w:rFonts w:ascii="Times New Roman" w:hAnsi="Times New Roman" w:cs="Times New Roman"/>
                <w:sz w:val="24"/>
              </w:rPr>
              <w:t>、PM</w:t>
            </w:r>
            <w:r>
              <w:rPr>
                <w:rFonts w:ascii="Times New Roman" w:hAnsi="Times New Roman" w:cs="Times New Roman"/>
                <w:sz w:val="24"/>
                <w:vertAlign w:val="subscript"/>
              </w:rPr>
              <w:t>2.5</w:t>
            </w:r>
            <w:r>
              <w:rPr>
                <w:rFonts w:ascii="Times New Roman" w:hAnsi="Times New Roman" w:cs="Times New Roman"/>
                <w:sz w:val="24"/>
              </w:rPr>
              <w:t>、CO、O</w:t>
            </w:r>
            <w:r>
              <w:rPr>
                <w:rFonts w:ascii="Times New Roman" w:hAnsi="Times New Roman" w:cs="Times New Roman"/>
                <w:sz w:val="24"/>
                <w:vertAlign w:val="subscript"/>
              </w:rPr>
              <w:t>3</w:t>
            </w:r>
            <w:r>
              <w:rPr>
                <w:rFonts w:ascii="Times New Roman" w:hAnsi="Times New Roman" w:cs="Times New Roman"/>
                <w:sz w:val="24"/>
              </w:rPr>
              <w:t>执行《环境空气质量标准》（GB3095-2012）二级标准。</w:t>
            </w:r>
          </w:p>
          <w:p w14:paraId="5910F085">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本次评价引用《2021 年重庆市生态环境状况公报》中涪陵区大气环境质量监测数据，环境空气质量监测结果见表3.1-1。</w:t>
            </w:r>
          </w:p>
          <w:p w14:paraId="79E80843">
            <w:pPr>
              <w:spacing w:line="480" w:lineRule="exact"/>
              <w:jc w:val="center"/>
              <w:rPr>
                <w:rFonts w:ascii="Times New Roman" w:hAnsi="Times New Roman" w:cs="Times New Roman"/>
                <w:b/>
                <w:sz w:val="24"/>
              </w:rPr>
            </w:pPr>
            <w:r>
              <w:rPr>
                <w:rFonts w:ascii="Times New Roman" w:hAnsi="Times New Roman" w:cs="Times New Roman"/>
                <w:b/>
                <w:sz w:val="24"/>
              </w:rPr>
              <w:t>表3.1-1   环境空气质量现状监测及评价结果 µg/m</w:t>
            </w:r>
            <w:r>
              <w:rPr>
                <w:rFonts w:ascii="Times New Roman" w:hAnsi="Times New Roman" w:cs="Times New Roman"/>
                <w:b/>
                <w:sz w:val="24"/>
                <w:vertAlign w:val="superscript"/>
              </w:rPr>
              <w:t>3</w:t>
            </w:r>
          </w:p>
          <w:tbl>
            <w:tblPr>
              <w:tblStyle w:val="81"/>
              <w:tblW w:w="8124" w:type="dxa"/>
              <w:tblInd w:w="0" w:type="dxa"/>
              <w:tblLayout w:type="autofit"/>
              <w:tblCellMar>
                <w:top w:w="0" w:type="dxa"/>
                <w:left w:w="108" w:type="dxa"/>
                <w:bottom w:w="0" w:type="dxa"/>
                <w:right w:w="108" w:type="dxa"/>
              </w:tblCellMar>
            </w:tblPr>
            <w:tblGrid>
              <w:gridCol w:w="1337"/>
              <w:gridCol w:w="1170"/>
              <w:gridCol w:w="984"/>
              <w:gridCol w:w="984"/>
              <w:gridCol w:w="1637"/>
              <w:gridCol w:w="1082"/>
              <w:gridCol w:w="930"/>
            </w:tblGrid>
            <w:tr w14:paraId="61515444">
              <w:trPr>
                <w:trHeight w:val="492" w:hRule="atLeast"/>
                <w:tblHeader/>
              </w:trPr>
              <w:tc>
                <w:tcPr>
                  <w:tcW w:w="1337" w:type="dxa"/>
                  <w:tcBorders>
                    <w:top w:val="single" w:color="auto" w:sz="4" w:space="0"/>
                    <w:left w:val="single" w:color="auto" w:sz="4" w:space="0"/>
                    <w:bottom w:val="single" w:color="auto" w:sz="4" w:space="0"/>
                    <w:right w:val="single" w:color="auto" w:sz="4" w:space="0"/>
                  </w:tcBorders>
                  <w:vAlign w:val="center"/>
                </w:tcPr>
                <w:p w14:paraId="5591EC66">
                  <w:pPr>
                    <w:pStyle w:val="229"/>
                    <w:rPr>
                      <w:rFonts w:ascii="Times New Roman" w:hAnsi="Times New Roman" w:cs="Times New Roman"/>
                      <w:sz w:val="21"/>
                      <w:szCs w:val="21"/>
                    </w:rPr>
                  </w:pPr>
                  <w:r>
                    <w:rPr>
                      <w:rFonts w:ascii="Times New Roman" w:hAnsi="Times New Roman" w:cs="Times New Roman"/>
                      <w:sz w:val="21"/>
                      <w:szCs w:val="21"/>
                    </w:rPr>
                    <w:t>年评价指标</w:t>
                  </w:r>
                </w:p>
              </w:tc>
              <w:tc>
                <w:tcPr>
                  <w:tcW w:w="1170" w:type="dxa"/>
                  <w:tcBorders>
                    <w:top w:val="single" w:color="auto" w:sz="4" w:space="0"/>
                    <w:left w:val="nil"/>
                    <w:bottom w:val="single" w:color="auto" w:sz="4" w:space="0"/>
                    <w:right w:val="single" w:color="auto" w:sz="4" w:space="0"/>
                  </w:tcBorders>
                  <w:vAlign w:val="center"/>
                </w:tcPr>
                <w:p w14:paraId="5A26DAD9">
                  <w:pPr>
                    <w:pStyle w:val="229"/>
                    <w:rPr>
                      <w:rFonts w:ascii="Times New Roman" w:hAnsi="Times New Roman" w:cs="Times New Roman"/>
                      <w:sz w:val="21"/>
                      <w:szCs w:val="21"/>
                    </w:rPr>
                  </w:pPr>
                  <w:r>
                    <w:rPr>
                      <w:rFonts w:ascii="Times New Roman" w:hAnsi="Times New Roman" w:cs="Times New Roman"/>
                      <w:sz w:val="21"/>
                      <w:szCs w:val="21"/>
                    </w:rPr>
                    <w:t>污染物</w:t>
                  </w:r>
                </w:p>
              </w:tc>
              <w:tc>
                <w:tcPr>
                  <w:tcW w:w="984" w:type="dxa"/>
                  <w:tcBorders>
                    <w:top w:val="single" w:color="auto" w:sz="4" w:space="0"/>
                    <w:left w:val="nil"/>
                    <w:bottom w:val="single" w:color="auto" w:sz="4" w:space="0"/>
                    <w:right w:val="single" w:color="auto" w:sz="4" w:space="0"/>
                  </w:tcBorders>
                  <w:vAlign w:val="center"/>
                </w:tcPr>
                <w:p w14:paraId="1FA68FD9">
                  <w:pPr>
                    <w:pStyle w:val="229"/>
                    <w:rPr>
                      <w:rFonts w:ascii="Times New Roman" w:hAnsi="Times New Roman" w:cs="Times New Roman"/>
                      <w:sz w:val="21"/>
                      <w:szCs w:val="21"/>
                    </w:rPr>
                  </w:pPr>
                  <w:r>
                    <w:rPr>
                      <w:rFonts w:ascii="Times New Roman" w:hAnsi="Times New Roman" w:cs="Times New Roman"/>
                      <w:sz w:val="21"/>
                      <w:szCs w:val="21"/>
                    </w:rPr>
                    <w:t>评价标准ug/m</w:t>
                  </w:r>
                  <w:r>
                    <w:rPr>
                      <w:rFonts w:ascii="Times New Roman" w:hAnsi="Times New Roman" w:cs="Times New Roman"/>
                      <w:sz w:val="21"/>
                      <w:szCs w:val="21"/>
                      <w:vertAlign w:val="superscript"/>
                    </w:rPr>
                    <w:t>3</w:t>
                  </w:r>
                </w:p>
              </w:tc>
              <w:tc>
                <w:tcPr>
                  <w:tcW w:w="984" w:type="dxa"/>
                  <w:tcBorders>
                    <w:top w:val="single" w:color="auto" w:sz="4" w:space="0"/>
                    <w:left w:val="nil"/>
                    <w:bottom w:val="single" w:color="auto" w:sz="4" w:space="0"/>
                    <w:right w:val="single" w:color="auto" w:sz="4" w:space="0"/>
                  </w:tcBorders>
                  <w:vAlign w:val="center"/>
                </w:tcPr>
                <w:p w14:paraId="53E94994">
                  <w:pPr>
                    <w:pStyle w:val="229"/>
                    <w:rPr>
                      <w:rFonts w:ascii="Times New Roman" w:hAnsi="Times New Roman" w:cs="Times New Roman"/>
                      <w:sz w:val="21"/>
                      <w:szCs w:val="21"/>
                    </w:rPr>
                  </w:pPr>
                  <w:r>
                    <w:rPr>
                      <w:rFonts w:ascii="Times New Roman" w:hAnsi="Times New Roman" w:cs="Times New Roman"/>
                      <w:sz w:val="21"/>
                      <w:szCs w:val="21"/>
                    </w:rPr>
                    <w:t>现状浓度ug/m</w:t>
                  </w:r>
                  <w:r>
                    <w:rPr>
                      <w:rFonts w:ascii="Times New Roman" w:hAnsi="Times New Roman" w:cs="Times New Roman"/>
                      <w:sz w:val="21"/>
                      <w:szCs w:val="21"/>
                      <w:vertAlign w:val="superscript"/>
                    </w:rPr>
                    <w:t>3</w:t>
                  </w:r>
                </w:p>
              </w:tc>
              <w:tc>
                <w:tcPr>
                  <w:tcW w:w="1637" w:type="dxa"/>
                  <w:tcBorders>
                    <w:top w:val="single" w:color="auto" w:sz="4" w:space="0"/>
                    <w:left w:val="nil"/>
                    <w:bottom w:val="single" w:color="auto" w:sz="4" w:space="0"/>
                    <w:right w:val="single" w:color="auto" w:sz="4" w:space="0"/>
                  </w:tcBorders>
                  <w:vAlign w:val="center"/>
                </w:tcPr>
                <w:p w14:paraId="37B89320">
                  <w:pPr>
                    <w:pStyle w:val="229"/>
                    <w:rPr>
                      <w:rFonts w:ascii="Times New Roman" w:hAnsi="Times New Roman" w:cs="Times New Roman"/>
                      <w:sz w:val="21"/>
                      <w:szCs w:val="21"/>
                    </w:rPr>
                  </w:pPr>
                  <w:r>
                    <w:rPr>
                      <w:rFonts w:ascii="Times New Roman" w:hAnsi="Times New Roman" w:cs="Times New Roman"/>
                      <w:sz w:val="21"/>
                      <w:szCs w:val="21"/>
                    </w:rPr>
                    <w:t>最大浓度占标率%</w:t>
                  </w:r>
                </w:p>
              </w:tc>
              <w:tc>
                <w:tcPr>
                  <w:tcW w:w="1082" w:type="dxa"/>
                  <w:tcBorders>
                    <w:top w:val="single" w:color="auto" w:sz="4" w:space="0"/>
                    <w:left w:val="nil"/>
                    <w:bottom w:val="single" w:color="auto" w:sz="4" w:space="0"/>
                    <w:right w:val="single" w:color="auto" w:sz="4" w:space="0"/>
                  </w:tcBorders>
                  <w:vAlign w:val="center"/>
                </w:tcPr>
                <w:p w14:paraId="3EF0FCBB">
                  <w:pPr>
                    <w:pStyle w:val="229"/>
                    <w:rPr>
                      <w:rFonts w:ascii="Times New Roman" w:hAnsi="Times New Roman" w:cs="Times New Roman"/>
                      <w:sz w:val="21"/>
                      <w:szCs w:val="21"/>
                    </w:rPr>
                  </w:pPr>
                  <w:r>
                    <w:rPr>
                      <w:rFonts w:ascii="Times New Roman" w:hAnsi="Times New Roman" w:cs="Times New Roman"/>
                      <w:sz w:val="21"/>
                      <w:szCs w:val="21"/>
                    </w:rPr>
                    <w:t>超标频率%</w:t>
                  </w:r>
                </w:p>
              </w:tc>
              <w:tc>
                <w:tcPr>
                  <w:tcW w:w="930" w:type="dxa"/>
                  <w:tcBorders>
                    <w:top w:val="single" w:color="auto" w:sz="4" w:space="0"/>
                    <w:left w:val="nil"/>
                    <w:bottom w:val="single" w:color="auto" w:sz="4" w:space="0"/>
                    <w:right w:val="single" w:color="auto" w:sz="4" w:space="0"/>
                  </w:tcBorders>
                  <w:vAlign w:val="center"/>
                </w:tcPr>
                <w:p w14:paraId="3E1C5E10">
                  <w:pPr>
                    <w:pStyle w:val="229"/>
                    <w:rPr>
                      <w:rFonts w:ascii="Times New Roman" w:hAnsi="Times New Roman" w:cs="Times New Roman"/>
                      <w:sz w:val="21"/>
                      <w:szCs w:val="21"/>
                    </w:rPr>
                  </w:pPr>
                  <w:r>
                    <w:rPr>
                      <w:rFonts w:ascii="Times New Roman" w:hAnsi="Times New Roman" w:cs="Times New Roman"/>
                      <w:sz w:val="21"/>
                      <w:szCs w:val="21"/>
                    </w:rPr>
                    <w:t>达标情况</w:t>
                  </w:r>
                </w:p>
              </w:tc>
            </w:tr>
            <w:tr w14:paraId="4E866115">
              <w:tblPrEx>
                <w:tblCellMar>
                  <w:top w:w="0" w:type="dxa"/>
                  <w:left w:w="108" w:type="dxa"/>
                  <w:bottom w:w="0" w:type="dxa"/>
                  <w:right w:w="108" w:type="dxa"/>
                </w:tblCellMar>
              </w:tblPrEx>
              <w:trPr>
                <w:trHeight w:val="284" w:hRule="atLeast"/>
              </w:trPr>
              <w:tc>
                <w:tcPr>
                  <w:tcW w:w="1337" w:type="dxa"/>
                  <w:vMerge w:val="restart"/>
                  <w:tcBorders>
                    <w:top w:val="nil"/>
                    <w:left w:val="single" w:color="auto" w:sz="4" w:space="0"/>
                    <w:bottom w:val="single" w:color="auto" w:sz="4" w:space="0"/>
                    <w:right w:val="single" w:color="auto" w:sz="4" w:space="0"/>
                  </w:tcBorders>
                  <w:vAlign w:val="center"/>
                </w:tcPr>
                <w:p w14:paraId="081AA759">
                  <w:pPr>
                    <w:pStyle w:val="229"/>
                    <w:rPr>
                      <w:rFonts w:ascii="Times New Roman" w:hAnsi="Times New Roman" w:cs="Times New Roman"/>
                      <w:sz w:val="21"/>
                      <w:szCs w:val="21"/>
                    </w:rPr>
                  </w:pPr>
                  <w:r>
                    <w:rPr>
                      <w:rFonts w:ascii="Times New Roman" w:hAnsi="Times New Roman" w:cs="Times New Roman"/>
                      <w:sz w:val="21"/>
                      <w:szCs w:val="21"/>
                    </w:rPr>
                    <w:t>年平均质量浓度</w:t>
                  </w:r>
                </w:p>
              </w:tc>
              <w:tc>
                <w:tcPr>
                  <w:tcW w:w="1170" w:type="dxa"/>
                  <w:tcBorders>
                    <w:top w:val="nil"/>
                    <w:left w:val="nil"/>
                    <w:bottom w:val="single" w:color="auto" w:sz="4" w:space="0"/>
                    <w:right w:val="single" w:color="auto" w:sz="4" w:space="0"/>
                  </w:tcBorders>
                  <w:vAlign w:val="center"/>
                </w:tcPr>
                <w:p w14:paraId="0192B15D">
                  <w:pPr>
                    <w:pStyle w:val="229"/>
                    <w:rPr>
                      <w:rFonts w:ascii="Times New Roman" w:hAnsi="Times New Roman" w:cs="Times New Roman"/>
                      <w:sz w:val="21"/>
                      <w:szCs w:val="21"/>
                    </w:rPr>
                  </w:pPr>
                  <w:r>
                    <w:rPr>
                      <w:rFonts w:ascii="Times New Roman" w:hAnsi="Times New Roman" w:cs="Times New Roman"/>
                      <w:sz w:val="21"/>
                      <w:szCs w:val="21"/>
                    </w:rPr>
                    <w:t>SO</w:t>
                  </w:r>
                  <w:r>
                    <w:rPr>
                      <w:rFonts w:ascii="Times New Roman" w:hAnsi="Times New Roman" w:cs="Times New Roman"/>
                      <w:sz w:val="21"/>
                      <w:szCs w:val="21"/>
                      <w:vertAlign w:val="subscript"/>
                    </w:rPr>
                    <w:t>2</w:t>
                  </w:r>
                </w:p>
              </w:tc>
              <w:tc>
                <w:tcPr>
                  <w:tcW w:w="984" w:type="dxa"/>
                  <w:tcBorders>
                    <w:top w:val="nil"/>
                    <w:left w:val="nil"/>
                    <w:bottom w:val="single" w:color="auto" w:sz="4" w:space="0"/>
                    <w:right w:val="single" w:color="auto" w:sz="4" w:space="0"/>
                  </w:tcBorders>
                  <w:vAlign w:val="center"/>
                </w:tcPr>
                <w:p w14:paraId="73AB00D1">
                  <w:pPr>
                    <w:pStyle w:val="229"/>
                    <w:rPr>
                      <w:rFonts w:ascii="Times New Roman" w:hAnsi="Times New Roman" w:cs="Times New Roman"/>
                      <w:sz w:val="21"/>
                      <w:szCs w:val="21"/>
                    </w:rPr>
                  </w:pPr>
                  <w:r>
                    <w:rPr>
                      <w:rFonts w:ascii="Times New Roman" w:hAnsi="Times New Roman" w:cs="Times New Roman"/>
                      <w:sz w:val="21"/>
                      <w:szCs w:val="21"/>
                    </w:rPr>
                    <w:t>60</w:t>
                  </w:r>
                </w:p>
              </w:tc>
              <w:tc>
                <w:tcPr>
                  <w:tcW w:w="984" w:type="dxa"/>
                  <w:tcBorders>
                    <w:top w:val="nil"/>
                    <w:left w:val="nil"/>
                    <w:bottom w:val="single" w:color="auto" w:sz="4" w:space="0"/>
                    <w:right w:val="single" w:color="auto" w:sz="4" w:space="0"/>
                  </w:tcBorders>
                  <w:vAlign w:val="center"/>
                </w:tcPr>
                <w:p w14:paraId="024B4F70">
                  <w:pPr>
                    <w:pStyle w:val="229"/>
                    <w:rPr>
                      <w:rFonts w:ascii="Times New Roman" w:hAnsi="Times New Roman" w:cs="Times New Roman"/>
                      <w:sz w:val="21"/>
                      <w:szCs w:val="21"/>
                    </w:rPr>
                  </w:pPr>
                  <w:r>
                    <w:rPr>
                      <w:rFonts w:ascii="Times New Roman" w:hAnsi="Times New Roman" w:cs="Times New Roman"/>
                      <w:sz w:val="21"/>
                      <w:szCs w:val="21"/>
                    </w:rPr>
                    <w:t>11</w:t>
                  </w:r>
                </w:p>
              </w:tc>
              <w:tc>
                <w:tcPr>
                  <w:tcW w:w="1637" w:type="dxa"/>
                  <w:tcBorders>
                    <w:top w:val="nil"/>
                    <w:left w:val="nil"/>
                    <w:bottom w:val="single" w:color="auto" w:sz="4" w:space="0"/>
                    <w:right w:val="single" w:color="auto" w:sz="4" w:space="0"/>
                  </w:tcBorders>
                  <w:vAlign w:val="center"/>
                </w:tcPr>
                <w:p w14:paraId="1E331DEF">
                  <w:pPr>
                    <w:jc w:val="center"/>
                    <w:rPr>
                      <w:rFonts w:ascii="Times New Roman" w:hAnsi="Times New Roman" w:cs="Times New Roman"/>
                      <w:szCs w:val="21"/>
                    </w:rPr>
                  </w:pPr>
                  <w:r>
                    <w:rPr>
                      <w:rFonts w:ascii="Times New Roman" w:hAnsi="Times New Roman" w:cs="Times New Roman"/>
                      <w:szCs w:val="21"/>
                    </w:rPr>
                    <w:t>18.33</w:t>
                  </w:r>
                </w:p>
              </w:tc>
              <w:tc>
                <w:tcPr>
                  <w:tcW w:w="1082" w:type="dxa"/>
                  <w:tcBorders>
                    <w:top w:val="nil"/>
                    <w:left w:val="nil"/>
                    <w:bottom w:val="single" w:color="auto" w:sz="4" w:space="0"/>
                    <w:right w:val="single" w:color="auto" w:sz="4" w:space="0"/>
                  </w:tcBorders>
                  <w:vAlign w:val="center"/>
                </w:tcPr>
                <w:p w14:paraId="2A100DAE">
                  <w:pPr>
                    <w:pStyle w:val="229"/>
                    <w:rPr>
                      <w:rFonts w:ascii="Times New Roman" w:hAnsi="Times New Roman" w:cs="Times New Roman"/>
                      <w:sz w:val="21"/>
                      <w:szCs w:val="21"/>
                    </w:rPr>
                  </w:pPr>
                  <w:r>
                    <w:rPr>
                      <w:rFonts w:ascii="Times New Roman" w:hAnsi="Times New Roman" w:cs="Times New Roman"/>
                      <w:sz w:val="21"/>
                      <w:szCs w:val="21"/>
                    </w:rPr>
                    <w:t>0</w:t>
                  </w:r>
                </w:p>
              </w:tc>
              <w:tc>
                <w:tcPr>
                  <w:tcW w:w="930" w:type="dxa"/>
                  <w:tcBorders>
                    <w:top w:val="nil"/>
                    <w:left w:val="nil"/>
                    <w:bottom w:val="single" w:color="auto" w:sz="4" w:space="0"/>
                    <w:right w:val="single" w:color="auto" w:sz="4" w:space="0"/>
                  </w:tcBorders>
                  <w:vAlign w:val="center"/>
                </w:tcPr>
                <w:p w14:paraId="44E98B00">
                  <w:pPr>
                    <w:pStyle w:val="229"/>
                    <w:rPr>
                      <w:rFonts w:ascii="Times New Roman" w:hAnsi="Times New Roman" w:cs="Times New Roman"/>
                      <w:sz w:val="21"/>
                      <w:szCs w:val="21"/>
                    </w:rPr>
                  </w:pPr>
                  <w:r>
                    <w:rPr>
                      <w:rFonts w:ascii="Times New Roman" w:hAnsi="Times New Roman" w:cs="Times New Roman"/>
                      <w:sz w:val="21"/>
                      <w:szCs w:val="21"/>
                    </w:rPr>
                    <w:t>达标</w:t>
                  </w:r>
                </w:p>
              </w:tc>
            </w:tr>
            <w:tr w14:paraId="0F27C967">
              <w:tblPrEx>
                <w:tblCellMar>
                  <w:top w:w="0" w:type="dxa"/>
                  <w:left w:w="108" w:type="dxa"/>
                  <w:bottom w:w="0" w:type="dxa"/>
                  <w:right w:w="108" w:type="dxa"/>
                </w:tblCellMar>
              </w:tblPrEx>
              <w:trPr>
                <w:trHeight w:val="259" w:hRule="atLeast"/>
              </w:trPr>
              <w:tc>
                <w:tcPr>
                  <w:tcW w:w="1337" w:type="dxa"/>
                  <w:vMerge w:val="continue"/>
                  <w:tcBorders>
                    <w:top w:val="nil"/>
                    <w:left w:val="single" w:color="auto" w:sz="4" w:space="0"/>
                    <w:bottom w:val="single" w:color="auto" w:sz="4" w:space="0"/>
                    <w:right w:val="single" w:color="auto" w:sz="4" w:space="0"/>
                  </w:tcBorders>
                  <w:vAlign w:val="center"/>
                </w:tcPr>
                <w:p w14:paraId="1447338E">
                  <w:pPr>
                    <w:widowControl/>
                    <w:jc w:val="left"/>
                    <w:rPr>
                      <w:rFonts w:ascii="Times New Roman" w:hAnsi="Times New Roman" w:cs="Times New Roman"/>
                      <w:szCs w:val="21"/>
                    </w:rPr>
                  </w:pPr>
                </w:p>
              </w:tc>
              <w:tc>
                <w:tcPr>
                  <w:tcW w:w="1170" w:type="dxa"/>
                  <w:tcBorders>
                    <w:top w:val="nil"/>
                    <w:left w:val="nil"/>
                    <w:bottom w:val="single" w:color="auto" w:sz="4" w:space="0"/>
                    <w:right w:val="single" w:color="auto" w:sz="4" w:space="0"/>
                  </w:tcBorders>
                  <w:vAlign w:val="center"/>
                </w:tcPr>
                <w:p w14:paraId="0A9188A9">
                  <w:pPr>
                    <w:pStyle w:val="229"/>
                    <w:rPr>
                      <w:rFonts w:ascii="Times New Roman" w:hAnsi="Times New Roman" w:cs="Times New Roman"/>
                      <w:sz w:val="21"/>
                      <w:szCs w:val="21"/>
                    </w:rPr>
                  </w:pPr>
                  <w:r>
                    <w:rPr>
                      <w:rFonts w:ascii="Times New Roman" w:hAnsi="Times New Roman" w:cs="Times New Roman"/>
                      <w:sz w:val="21"/>
                      <w:szCs w:val="21"/>
                    </w:rPr>
                    <w:t>NO</w:t>
                  </w:r>
                  <w:r>
                    <w:rPr>
                      <w:rFonts w:ascii="Times New Roman" w:hAnsi="Times New Roman" w:cs="Times New Roman"/>
                      <w:sz w:val="21"/>
                      <w:szCs w:val="21"/>
                      <w:vertAlign w:val="subscript"/>
                    </w:rPr>
                    <w:t>2</w:t>
                  </w:r>
                </w:p>
              </w:tc>
              <w:tc>
                <w:tcPr>
                  <w:tcW w:w="984" w:type="dxa"/>
                  <w:tcBorders>
                    <w:top w:val="nil"/>
                    <w:left w:val="nil"/>
                    <w:bottom w:val="single" w:color="auto" w:sz="4" w:space="0"/>
                    <w:right w:val="single" w:color="auto" w:sz="4" w:space="0"/>
                  </w:tcBorders>
                  <w:vAlign w:val="center"/>
                </w:tcPr>
                <w:p w14:paraId="0C34661B">
                  <w:pPr>
                    <w:pStyle w:val="229"/>
                    <w:rPr>
                      <w:rFonts w:ascii="Times New Roman" w:hAnsi="Times New Roman" w:cs="Times New Roman"/>
                      <w:sz w:val="21"/>
                      <w:szCs w:val="21"/>
                    </w:rPr>
                  </w:pPr>
                  <w:r>
                    <w:rPr>
                      <w:rFonts w:ascii="Times New Roman" w:hAnsi="Times New Roman" w:cs="Times New Roman"/>
                      <w:sz w:val="21"/>
                      <w:szCs w:val="21"/>
                    </w:rPr>
                    <w:t>40</w:t>
                  </w:r>
                </w:p>
              </w:tc>
              <w:tc>
                <w:tcPr>
                  <w:tcW w:w="984" w:type="dxa"/>
                  <w:tcBorders>
                    <w:top w:val="nil"/>
                    <w:left w:val="nil"/>
                    <w:bottom w:val="single" w:color="auto" w:sz="4" w:space="0"/>
                    <w:right w:val="single" w:color="auto" w:sz="4" w:space="0"/>
                  </w:tcBorders>
                  <w:vAlign w:val="center"/>
                </w:tcPr>
                <w:p w14:paraId="513DE1D0">
                  <w:pPr>
                    <w:pStyle w:val="229"/>
                    <w:rPr>
                      <w:rFonts w:ascii="Times New Roman" w:hAnsi="Times New Roman" w:cs="Times New Roman"/>
                      <w:sz w:val="21"/>
                      <w:szCs w:val="21"/>
                    </w:rPr>
                  </w:pPr>
                  <w:r>
                    <w:rPr>
                      <w:rFonts w:ascii="Times New Roman" w:hAnsi="Times New Roman" w:cs="Times New Roman"/>
                      <w:sz w:val="21"/>
                      <w:szCs w:val="21"/>
                    </w:rPr>
                    <w:t>32</w:t>
                  </w:r>
                </w:p>
              </w:tc>
              <w:tc>
                <w:tcPr>
                  <w:tcW w:w="1637" w:type="dxa"/>
                  <w:tcBorders>
                    <w:top w:val="nil"/>
                    <w:left w:val="nil"/>
                    <w:bottom w:val="single" w:color="auto" w:sz="4" w:space="0"/>
                    <w:right w:val="single" w:color="auto" w:sz="4" w:space="0"/>
                  </w:tcBorders>
                  <w:vAlign w:val="center"/>
                </w:tcPr>
                <w:p w14:paraId="4E0CD7C1">
                  <w:pPr>
                    <w:jc w:val="center"/>
                    <w:rPr>
                      <w:rFonts w:ascii="Times New Roman" w:hAnsi="Times New Roman" w:cs="Times New Roman"/>
                      <w:szCs w:val="21"/>
                    </w:rPr>
                  </w:pPr>
                  <w:r>
                    <w:rPr>
                      <w:rFonts w:ascii="Times New Roman" w:hAnsi="Times New Roman" w:cs="Times New Roman"/>
                      <w:szCs w:val="21"/>
                    </w:rPr>
                    <w:t>80</w:t>
                  </w:r>
                </w:p>
              </w:tc>
              <w:tc>
                <w:tcPr>
                  <w:tcW w:w="1082" w:type="dxa"/>
                  <w:tcBorders>
                    <w:top w:val="nil"/>
                    <w:left w:val="nil"/>
                    <w:bottom w:val="single" w:color="auto" w:sz="4" w:space="0"/>
                    <w:right w:val="single" w:color="auto" w:sz="4" w:space="0"/>
                  </w:tcBorders>
                  <w:vAlign w:val="center"/>
                </w:tcPr>
                <w:p w14:paraId="5DBDF63B">
                  <w:pPr>
                    <w:pStyle w:val="229"/>
                    <w:rPr>
                      <w:rFonts w:ascii="Times New Roman" w:hAnsi="Times New Roman" w:cs="Times New Roman"/>
                      <w:sz w:val="21"/>
                      <w:szCs w:val="21"/>
                    </w:rPr>
                  </w:pPr>
                  <w:r>
                    <w:rPr>
                      <w:rFonts w:ascii="Times New Roman" w:hAnsi="Times New Roman" w:cs="Times New Roman"/>
                      <w:sz w:val="21"/>
                      <w:szCs w:val="21"/>
                    </w:rPr>
                    <w:t>0</w:t>
                  </w:r>
                </w:p>
              </w:tc>
              <w:tc>
                <w:tcPr>
                  <w:tcW w:w="930" w:type="dxa"/>
                  <w:tcBorders>
                    <w:top w:val="nil"/>
                    <w:left w:val="nil"/>
                    <w:bottom w:val="single" w:color="auto" w:sz="4" w:space="0"/>
                    <w:right w:val="single" w:color="auto" w:sz="4" w:space="0"/>
                  </w:tcBorders>
                  <w:vAlign w:val="center"/>
                </w:tcPr>
                <w:p w14:paraId="5B9C1D95">
                  <w:pPr>
                    <w:pStyle w:val="229"/>
                    <w:rPr>
                      <w:rFonts w:ascii="Times New Roman" w:hAnsi="Times New Roman" w:cs="Times New Roman"/>
                      <w:sz w:val="21"/>
                      <w:szCs w:val="21"/>
                    </w:rPr>
                  </w:pPr>
                  <w:r>
                    <w:rPr>
                      <w:rFonts w:ascii="Times New Roman" w:hAnsi="Times New Roman" w:cs="Times New Roman"/>
                      <w:sz w:val="21"/>
                      <w:szCs w:val="21"/>
                    </w:rPr>
                    <w:t>达标</w:t>
                  </w:r>
                </w:p>
              </w:tc>
            </w:tr>
            <w:tr w14:paraId="05E5C889">
              <w:tblPrEx>
                <w:tblCellMar>
                  <w:top w:w="0" w:type="dxa"/>
                  <w:left w:w="108" w:type="dxa"/>
                  <w:bottom w:w="0" w:type="dxa"/>
                  <w:right w:w="108" w:type="dxa"/>
                </w:tblCellMar>
              </w:tblPrEx>
              <w:trPr>
                <w:trHeight w:val="259" w:hRule="atLeast"/>
              </w:trPr>
              <w:tc>
                <w:tcPr>
                  <w:tcW w:w="1337" w:type="dxa"/>
                  <w:vMerge w:val="continue"/>
                  <w:tcBorders>
                    <w:top w:val="nil"/>
                    <w:left w:val="single" w:color="auto" w:sz="4" w:space="0"/>
                    <w:bottom w:val="single" w:color="auto" w:sz="4" w:space="0"/>
                    <w:right w:val="single" w:color="auto" w:sz="4" w:space="0"/>
                  </w:tcBorders>
                  <w:vAlign w:val="center"/>
                </w:tcPr>
                <w:p w14:paraId="046639F5">
                  <w:pPr>
                    <w:widowControl/>
                    <w:jc w:val="left"/>
                    <w:rPr>
                      <w:rFonts w:ascii="Times New Roman" w:hAnsi="Times New Roman" w:cs="Times New Roman"/>
                      <w:szCs w:val="21"/>
                    </w:rPr>
                  </w:pPr>
                </w:p>
              </w:tc>
              <w:tc>
                <w:tcPr>
                  <w:tcW w:w="1170" w:type="dxa"/>
                  <w:tcBorders>
                    <w:top w:val="nil"/>
                    <w:left w:val="nil"/>
                    <w:bottom w:val="single" w:color="auto" w:sz="4" w:space="0"/>
                    <w:right w:val="single" w:color="auto" w:sz="4" w:space="0"/>
                  </w:tcBorders>
                  <w:vAlign w:val="center"/>
                </w:tcPr>
                <w:p w14:paraId="60CA0EB2">
                  <w:pPr>
                    <w:pStyle w:val="229"/>
                    <w:rPr>
                      <w:rFonts w:ascii="Times New Roman" w:hAnsi="Times New Roman" w:cs="Times New Roman"/>
                      <w:sz w:val="21"/>
                      <w:szCs w:val="21"/>
                    </w:rPr>
                  </w:pPr>
                  <w:r>
                    <w:rPr>
                      <w:rFonts w:ascii="Times New Roman" w:hAnsi="Times New Roman" w:cs="Times New Roman"/>
                      <w:sz w:val="21"/>
                      <w:szCs w:val="21"/>
                    </w:rPr>
                    <w:t>PM</w:t>
                  </w:r>
                  <w:r>
                    <w:rPr>
                      <w:rFonts w:ascii="Times New Roman" w:hAnsi="Times New Roman" w:cs="Times New Roman"/>
                      <w:sz w:val="21"/>
                      <w:szCs w:val="21"/>
                      <w:vertAlign w:val="subscript"/>
                    </w:rPr>
                    <w:t>10</w:t>
                  </w:r>
                </w:p>
              </w:tc>
              <w:tc>
                <w:tcPr>
                  <w:tcW w:w="984" w:type="dxa"/>
                  <w:tcBorders>
                    <w:top w:val="nil"/>
                    <w:left w:val="nil"/>
                    <w:bottom w:val="single" w:color="auto" w:sz="4" w:space="0"/>
                    <w:right w:val="single" w:color="auto" w:sz="4" w:space="0"/>
                  </w:tcBorders>
                  <w:vAlign w:val="center"/>
                </w:tcPr>
                <w:p w14:paraId="42A2A053">
                  <w:pPr>
                    <w:pStyle w:val="229"/>
                    <w:rPr>
                      <w:rFonts w:ascii="Times New Roman" w:hAnsi="Times New Roman" w:cs="Times New Roman"/>
                      <w:sz w:val="21"/>
                      <w:szCs w:val="21"/>
                    </w:rPr>
                  </w:pPr>
                  <w:r>
                    <w:rPr>
                      <w:rFonts w:ascii="Times New Roman" w:hAnsi="Times New Roman" w:cs="Times New Roman"/>
                      <w:sz w:val="21"/>
                      <w:szCs w:val="21"/>
                    </w:rPr>
                    <w:t>70</w:t>
                  </w:r>
                </w:p>
              </w:tc>
              <w:tc>
                <w:tcPr>
                  <w:tcW w:w="984" w:type="dxa"/>
                  <w:tcBorders>
                    <w:top w:val="nil"/>
                    <w:left w:val="nil"/>
                    <w:bottom w:val="single" w:color="auto" w:sz="4" w:space="0"/>
                    <w:right w:val="single" w:color="auto" w:sz="4" w:space="0"/>
                  </w:tcBorders>
                  <w:vAlign w:val="center"/>
                </w:tcPr>
                <w:p w14:paraId="73ED6BF0">
                  <w:pPr>
                    <w:pStyle w:val="229"/>
                    <w:rPr>
                      <w:rFonts w:ascii="Times New Roman" w:hAnsi="Times New Roman" w:cs="Times New Roman"/>
                      <w:sz w:val="21"/>
                      <w:szCs w:val="21"/>
                    </w:rPr>
                  </w:pPr>
                  <w:r>
                    <w:rPr>
                      <w:rFonts w:ascii="Times New Roman" w:hAnsi="Times New Roman" w:cs="Times New Roman"/>
                      <w:sz w:val="21"/>
                      <w:szCs w:val="21"/>
                    </w:rPr>
                    <w:t>52</w:t>
                  </w:r>
                </w:p>
              </w:tc>
              <w:tc>
                <w:tcPr>
                  <w:tcW w:w="1637" w:type="dxa"/>
                  <w:tcBorders>
                    <w:top w:val="nil"/>
                    <w:left w:val="nil"/>
                    <w:bottom w:val="single" w:color="auto" w:sz="4" w:space="0"/>
                    <w:right w:val="single" w:color="auto" w:sz="4" w:space="0"/>
                  </w:tcBorders>
                  <w:vAlign w:val="center"/>
                </w:tcPr>
                <w:p w14:paraId="7652C394">
                  <w:pPr>
                    <w:jc w:val="center"/>
                    <w:rPr>
                      <w:rFonts w:ascii="Times New Roman" w:hAnsi="Times New Roman" w:cs="Times New Roman"/>
                      <w:szCs w:val="21"/>
                    </w:rPr>
                  </w:pPr>
                  <w:r>
                    <w:rPr>
                      <w:rFonts w:ascii="Times New Roman" w:hAnsi="Times New Roman" w:cs="Times New Roman"/>
                      <w:szCs w:val="21"/>
                    </w:rPr>
                    <w:t>74.29</w:t>
                  </w:r>
                </w:p>
              </w:tc>
              <w:tc>
                <w:tcPr>
                  <w:tcW w:w="1082" w:type="dxa"/>
                  <w:tcBorders>
                    <w:top w:val="nil"/>
                    <w:left w:val="nil"/>
                    <w:bottom w:val="single" w:color="auto" w:sz="4" w:space="0"/>
                    <w:right w:val="single" w:color="auto" w:sz="4" w:space="0"/>
                  </w:tcBorders>
                  <w:vAlign w:val="center"/>
                </w:tcPr>
                <w:p w14:paraId="60260C76">
                  <w:pPr>
                    <w:jc w:val="center"/>
                    <w:rPr>
                      <w:rFonts w:ascii="Times New Roman" w:hAnsi="Times New Roman" w:cs="Times New Roman"/>
                      <w:szCs w:val="21"/>
                    </w:rPr>
                  </w:pPr>
                  <w:r>
                    <w:rPr>
                      <w:rFonts w:ascii="Times New Roman" w:hAnsi="Times New Roman" w:cs="Times New Roman"/>
                      <w:szCs w:val="21"/>
                    </w:rPr>
                    <w:t>0</w:t>
                  </w:r>
                </w:p>
              </w:tc>
              <w:tc>
                <w:tcPr>
                  <w:tcW w:w="930" w:type="dxa"/>
                  <w:tcBorders>
                    <w:top w:val="nil"/>
                    <w:left w:val="nil"/>
                    <w:bottom w:val="single" w:color="auto" w:sz="4" w:space="0"/>
                    <w:right w:val="single" w:color="auto" w:sz="4" w:space="0"/>
                  </w:tcBorders>
                  <w:vAlign w:val="center"/>
                </w:tcPr>
                <w:p w14:paraId="2EB8E2E9">
                  <w:pPr>
                    <w:pStyle w:val="229"/>
                    <w:rPr>
                      <w:rFonts w:ascii="Times New Roman" w:hAnsi="Times New Roman" w:cs="Times New Roman"/>
                      <w:sz w:val="21"/>
                      <w:szCs w:val="21"/>
                    </w:rPr>
                  </w:pPr>
                  <w:r>
                    <w:rPr>
                      <w:rFonts w:ascii="Times New Roman" w:hAnsi="Times New Roman" w:cs="Times New Roman"/>
                      <w:sz w:val="21"/>
                      <w:szCs w:val="21"/>
                    </w:rPr>
                    <w:t>达标</w:t>
                  </w:r>
                </w:p>
              </w:tc>
            </w:tr>
            <w:tr w14:paraId="18BBADCB">
              <w:tblPrEx>
                <w:tblCellMar>
                  <w:top w:w="0" w:type="dxa"/>
                  <w:left w:w="108" w:type="dxa"/>
                  <w:bottom w:w="0" w:type="dxa"/>
                  <w:right w:w="108" w:type="dxa"/>
                </w:tblCellMar>
              </w:tblPrEx>
              <w:trPr>
                <w:trHeight w:val="259" w:hRule="atLeast"/>
              </w:trPr>
              <w:tc>
                <w:tcPr>
                  <w:tcW w:w="1337" w:type="dxa"/>
                  <w:vMerge w:val="continue"/>
                  <w:tcBorders>
                    <w:top w:val="nil"/>
                    <w:left w:val="single" w:color="auto" w:sz="4" w:space="0"/>
                    <w:bottom w:val="single" w:color="auto" w:sz="4" w:space="0"/>
                    <w:right w:val="single" w:color="auto" w:sz="4" w:space="0"/>
                  </w:tcBorders>
                  <w:vAlign w:val="center"/>
                </w:tcPr>
                <w:p w14:paraId="5B4AD29C">
                  <w:pPr>
                    <w:widowControl/>
                    <w:jc w:val="left"/>
                    <w:rPr>
                      <w:rFonts w:ascii="Times New Roman" w:hAnsi="Times New Roman" w:cs="Times New Roman"/>
                      <w:szCs w:val="21"/>
                    </w:rPr>
                  </w:pPr>
                </w:p>
              </w:tc>
              <w:tc>
                <w:tcPr>
                  <w:tcW w:w="1170" w:type="dxa"/>
                  <w:tcBorders>
                    <w:top w:val="nil"/>
                    <w:left w:val="nil"/>
                    <w:bottom w:val="single" w:color="auto" w:sz="4" w:space="0"/>
                    <w:right w:val="single" w:color="auto" w:sz="4" w:space="0"/>
                  </w:tcBorders>
                  <w:vAlign w:val="center"/>
                </w:tcPr>
                <w:p w14:paraId="607E9644">
                  <w:pPr>
                    <w:pStyle w:val="229"/>
                    <w:rPr>
                      <w:rFonts w:ascii="Times New Roman" w:hAnsi="Times New Roman" w:cs="Times New Roman"/>
                      <w:sz w:val="21"/>
                      <w:szCs w:val="21"/>
                    </w:rPr>
                  </w:pPr>
                  <w:r>
                    <w:rPr>
                      <w:rFonts w:ascii="Times New Roman" w:hAnsi="Times New Roman" w:cs="Times New Roman"/>
                      <w:sz w:val="21"/>
                      <w:szCs w:val="21"/>
                    </w:rPr>
                    <w:t>PM</w:t>
                  </w:r>
                  <w:r>
                    <w:rPr>
                      <w:rFonts w:ascii="Times New Roman" w:hAnsi="Times New Roman" w:cs="Times New Roman"/>
                      <w:sz w:val="21"/>
                      <w:szCs w:val="21"/>
                      <w:vertAlign w:val="subscript"/>
                    </w:rPr>
                    <w:t>2.5</w:t>
                  </w:r>
                </w:p>
              </w:tc>
              <w:tc>
                <w:tcPr>
                  <w:tcW w:w="984" w:type="dxa"/>
                  <w:tcBorders>
                    <w:top w:val="nil"/>
                    <w:left w:val="nil"/>
                    <w:bottom w:val="single" w:color="auto" w:sz="4" w:space="0"/>
                    <w:right w:val="single" w:color="auto" w:sz="4" w:space="0"/>
                  </w:tcBorders>
                  <w:vAlign w:val="center"/>
                </w:tcPr>
                <w:p w14:paraId="7357A89C">
                  <w:pPr>
                    <w:pStyle w:val="229"/>
                    <w:rPr>
                      <w:rFonts w:ascii="Times New Roman" w:hAnsi="Times New Roman" w:cs="Times New Roman"/>
                      <w:sz w:val="21"/>
                      <w:szCs w:val="21"/>
                    </w:rPr>
                  </w:pPr>
                  <w:r>
                    <w:rPr>
                      <w:rFonts w:ascii="Times New Roman" w:hAnsi="Times New Roman" w:cs="Times New Roman"/>
                      <w:sz w:val="21"/>
                      <w:szCs w:val="21"/>
                    </w:rPr>
                    <w:t>35</w:t>
                  </w:r>
                </w:p>
              </w:tc>
              <w:tc>
                <w:tcPr>
                  <w:tcW w:w="984" w:type="dxa"/>
                  <w:tcBorders>
                    <w:top w:val="nil"/>
                    <w:left w:val="nil"/>
                    <w:bottom w:val="single" w:color="auto" w:sz="4" w:space="0"/>
                    <w:right w:val="single" w:color="auto" w:sz="4" w:space="0"/>
                  </w:tcBorders>
                  <w:vAlign w:val="center"/>
                </w:tcPr>
                <w:p w14:paraId="04EC56D2">
                  <w:pPr>
                    <w:pStyle w:val="229"/>
                    <w:rPr>
                      <w:rFonts w:ascii="Times New Roman" w:hAnsi="Times New Roman" w:cs="Times New Roman"/>
                      <w:sz w:val="21"/>
                      <w:szCs w:val="21"/>
                    </w:rPr>
                  </w:pPr>
                  <w:r>
                    <w:rPr>
                      <w:rFonts w:ascii="Times New Roman" w:hAnsi="Times New Roman" w:cs="Times New Roman"/>
                      <w:sz w:val="21"/>
                      <w:szCs w:val="21"/>
                    </w:rPr>
                    <w:t>34</w:t>
                  </w:r>
                </w:p>
              </w:tc>
              <w:tc>
                <w:tcPr>
                  <w:tcW w:w="1637" w:type="dxa"/>
                  <w:tcBorders>
                    <w:top w:val="nil"/>
                    <w:left w:val="nil"/>
                    <w:bottom w:val="single" w:color="auto" w:sz="4" w:space="0"/>
                    <w:right w:val="single" w:color="auto" w:sz="4" w:space="0"/>
                  </w:tcBorders>
                  <w:vAlign w:val="center"/>
                </w:tcPr>
                <w:p w14:paraId="79CB6A5C">
                  <w:pPr>
                    <w:jc w:val="center"/>
                    <w:rPr>
                      <w:rFonts w:ascii="Times New Roman" w:hAnsi="Times New Roman" w:cs="Times New Roman"/>
                      <w:szCs w:val="21"/>
                    </w:rPr>
                  </w:pPr>
                  <w:r>
                    <w:rPr>
                      <w:rFonts w:ascii="Times New Roman" w:hAnsi="Times New Roman" w:cs="Times New Roman"/>
                      <w:szCs w:val="21"/>
                    </w:rPr>
                    <w:t>97.14</w:t>
                  </w:r>
                </w:p>
              </w:tc>
              <w:tc>
                <w:tcPr>
                  <w:tcW w:w="1082" w:type="dxa"/>
                  <w:tcBorders>
                    <w:top w:val="nil"/>
                    <w:left w:val="nil"/>
                    <w:bottom w:val="single" w:color="auto" w:sz="4" w:space="0"/>
                    <w:right w:val="single" w:color="auto" w:sz="4" w:space="0"/>
                  </w:tcBorders>
                  <w:vAlign w:val="center"/>
                </w:tcPr>
                <w:p w14:paraId="0BBC54D8">
                  <w:pPr>
                    <w:jc w:val="center"/>
                    <w:rPr>
                      <w:rFonts w:ascii="Times New Roman" w:hAnsi="Times New Roman" w:cs="Times New Roman"/>
                      <w:szCs w:val="21"/>
                    </w:rPr>
                  </w:pPr>
                  <w:r>
                    <w:rPr>
                      <w:rFonts w:ascii="Times New Roman" w:hAnsi="Times New Roman" w:cs="Times New Roman"/>
                      <w:szCs w:val="21"/>
                    </w:rPr>
                    <w:t>0</w:t>
                  </w:r>
                </w:p>
              </w:tc>
              <w:tc>
                <w:tcPr>
                  <w:tcW w:w="930" w:type="dxa"/>
                  <w:tcBorders>
                    <w:top w:val="nil"/>
                    <w:left w:val="nil"/>
                    <w:bottom w:val="single" w:color="auto" w:sz="4" w:space="0"/>
                    <w:right w:val="single" w:color="auto" w:sz="4" w:space="0"/>
                  </w:tcBorders>
                  <w:vAlign w:val="center"/>
                </w:tcPr>
                <w:p w14:paraId="530F9B0A">
                  <w:pPr>
                    <w:pStyle w:val="229"/>
                    <w:rPr>
                      <w:rFonts w:ascii="Times New Roman" w:hAnsi="Times New Roman" w:cs="Times New Roman"/>
                      <w:sz w:val="21"/>
                      <w:szCs w:val="21"/>
                    </w:rPr>
                  </w:pPr>
                  <w:r>
                    <w:rPr>
                      <w:rFonts w:ascii="Times New Roman" w:hAnsi="Times New Roman" w:cs="Times New Roman"/>
                      <w:sz w:val="21"/>
                      <w:szCs w:val="21"/>
                    </w:rPr>
                    <w:t>达标</w:t>
                  </w:r>
                </w:p>
              </w:tc>
            </w:tr>
            <w:tr w14:paraId="53AB6389">
              <w:tblPrEx>
                <w:tblCellMar>
                  <w:top w:w="0" w:type="dxa"/>
                  <w:left w:w="108" w:type="dxa"/>
                  <w:bottom w:w="0" w:type="dxa"/>
                  <w:right w:w="108" w:type="dxa"/>
                </w:tblCellMar>
              </w:tblPrEx>
              <w:trPr>
                <w:trHeight w:val="311" w:hRule="atLeast"/>
              </w:trPr>
              <w:tc>
                <w:tcPr>
                  <w:tcW w:w="1337" w:type="dxa"/>
                  <w:tcBorders>
                    <w:top w:val="nil"/>
                    <w:left w:val="single" w:color="auto" w:sz="4" w:space="0"/>
                    <w:bottom w:val="single" w:color="auto" w:sz="4" w:space="0"/>
                    <w:right w:val="single" w:color="auto" w:sz="4" w:space="0"/>
                  </w:tcBorders>
                  <w:vAlign w:val="center"/>
                </w:tcPr>
                <w:p w14:paraId="73071272">
                  <w:pPr>
                    <w:pStyle w:val="229"/>
                    <w:rPr>
                      <w:rFonts w:ascii="Times New Roman" w:hAnsi="Times New Roman" w:cs="Times New Roman"/>
                      <w:sz w:val="21"/>
                      <w:szCs w:val="21"/>
                    </w:rPr>
                  </w:pPr>
                  <w:r>
                    <w:rPr>
                      <w:rFonts w:hint="eastAsia" w:ascii="Times New Roman" w:hAnsi="Times New Roman" w:cs="Times New Roman"/>
                      <w:sz w:val="21"/>
                      <w:szCs w:val="21"/>
                    </w:rPr>
                    <w:t>24h平均质量浓度</w:t>
                  </w:r>
                </w:p>
              </w:tc>
              <w:tc>
                <w:tcPr>
                  <w:tcW w:w="1170" w:type="dxa"/>
                  <w:tcBorders>
                    <w:top w:val="nil"/>
                    <w:left w:val="nil"/>
                    <w:bottom w:val="single" w:color="auto" w:sz="4" w:space="0"/>
                    <w:right w:val="single" w:color="auto" w:sz="4" w:space="0"/>
                  </w:tcBorders>
                  <w:vAlign w:val="center"/>
                </w:tcPr>
                <w:p w14:paraId="715B871D">
                  <w:pPr>
                    <w:pStyle w:val="229"/>
                    <w:rPr>
                      <w:rFonts w:ascii="Times New Roman" w:hAnsi="Times New Roman" w:cs="Times New Roman"/>
                      <w:sz w:val="21"/>
                      <w:szCs w:val="21"/>
                    </w:rPr>
                  </w:pPr>
                  <w:r>
                    <w:rPr>
                      <w:rFonts w:ascii="Times New Roman" w:hAnsi="Times New Roman" w:cs="Times New Roman"/>
                      <w:sz w:val="21"/>
                      <w:szCs w:val="21"/>
                    </w:rPr>
                    <w:t>CO/mg/m</w:t>
                  </w:r>
                  <w:r>
                    <w:rPr>
                      <w:rFonts w:ascii="Times New Roman" w:hAnsi="Times New Roman" w:cs="Times New Roman"/>
                      <w:sz w:val="21"/>
                      <w:szCs w:val="21"/>
                      <w:vertAlign w:val="superscript"/>
                    </w:rPr>
                    <w:t>3</w:t>
                  </w:r>
                </w:p>
              </w:tc>
              <w:tc>
                <w:tcPr>
                  <w:tcW w:w="984" w:type="dxa"/>
                  <w:tcBorders>
                    <w:top w:val="nil"/>
                    <w:left w:val="nil"/>
                    <w:bottom w:val="single" w:color="auto" w:sz="4" w:space="0"/>
                    <w:right w:val="single" w:color="auto" w:sz="4" w:space="0"/>
                  </w:tcBorders>
                  <w:vAlign w:val="center"/>
                </w:tcPr>
                <w:p w14:paraId="5F5B4C5C">
                  <w:pPr>
                    <w:pStyle w:val="229"/>
                    <w:rPr>
                      <w:rFonts w:ascii="Times New Roman" w:hAnsi="Times New Roman" w:cs="Times New Roman"/>
                      <w:sz w:val="21"/>
                      <w:szCs w:val="21"/>
                    </w:rPr>
                  </w:pPr>
                  <w:r>
                    <w:rPr>
                      <w:rFonts w:ascii="Times New Roman" w:hAnsi="Times New Roman" w:cs="Times New Roman"/>
                      <w:sz w:val="21"/>
                      <w:szCs w:val="21"/>
                    </w:rPr>
                    <w:t>4.0</w:t>
                  </w:r>
                </w:p>
              </w:tc>
              <w:tc>
                <w:tcPr>
                  <w:tcW w:w="984" w:type="dxa"/>
                  <w:tcBorders>
                    <w:top w:val="nil"/>
                    <w:left w:val="nil"/>
                    <w:bottom w:val="single" w:color="auto" w:sz="4" w:space="0"/>
                    <w:right w:val="single" w:color="auto" w:sz="4" w:space="0"/>
                  </w:tcBorders>
                  <w:vAlign w:val="center"/>
                </w:tcPr>
                <w:p w14:paraId="4C8D43C2">
                  <w:pPr>
                    <w:pStyle w:val="229"/>
                    <w:rPr>
                      <w:rFonts w:ascii="Times New Roman" w:hAnsi="Times New Roman" w:cs="Times New Roman"/>
                      <w:sz w:val="21"/>
                      <w:szCs w:val="21"/>
                    </w:rPr>
                  </w:pPr>
                  <w:r>
                    <w:rPr>
                      <w:rFonts w:ascii="Times New Roman" w:hAnsi="Times New Roman" w:cs="Times New Roman"/>
                      <w:sz w:val="21"/>
                      <w:szCs w:val="21"/>
                    </w:rPr>
                    <w:t>1.2</w:t>
                  </w:r>
                </w:p>
              </w:tc>
              <w:tc>
                <w:tcPr>
                  <w:tcW w:w="1637" w:type="dxa"/>
                  <w:tcBorders>
                    <w:top w:val="nil"/>
                    <w:left w:val="nil"/>
                    <w:bottom w:val="single" w:color="auto" w:sz="4" w:space="0"/>
                    <w:right w:val="single" w:color="auto" w:sz="4" w:space="0"/>
                  </w:tcBorders>
                  <w:vAlign w:val="center"/>
                </w:tcPr>
                <w:p w14:paraId="626D3740">
                  <w:pPr>
                    <w:jc w:val="center"/>
                    <w:rPr>
                      <w:rFonts w:ascii="Times New Roman" w:hAnsi="Times New Roman" w:cs="Times New Roman"/>
                      <w:szCs w:val="21"/>
                    </w:rPr>
                  </w:pPr>
                  <w:r>
                    <w:rPr>
                      <w:rFonts w:hint="eastAsia" w:ascii="Times New Roman" w:hAnsi="Times New Roman" w:cs="Times New Roman"/>
                      <w:szCs w:val="21"/>
                    </w:rPr>
                    <w:t>30</w:t>
                  </w:r>
                </w:p>
              </w:tc>
              <w:tc>
                <w:tcPr>
                  <w:tcW w:w="1082" w:type="dxa"/>
                  <w:tcBorders>
                    <w:top w:val="nil"/>
                    <w:left w:val="nil"/>
                    <w:bottom w:val="single" w:color="auto" w:sz="4" w:space="0"/>
                    <w:right w:val="single" w:color="auto" w:sz="4" w:space="0"/>
                  </w:tcBorders>
                  <w:vAlign w:val="center"/>
                </w:tcPr>
                <w:p w14:paraId="12ED80EC">
                  <w:pPr>
                    <w:jc w:val="center"/>
                    <w:rPr>
                      <w:rFonts w:ascii="Times New Roman" w:hAnsi="Times New Roman" w:cs="Times New Roman"/>
                      <w:szCs w:val="21"/>
                    </w:rPr>
                  </w:pPr>
                  <w:r>
                    <w:rPr>
                      <w:rFonts w:ascii="Times New Roman" w:hAnsi="Times New Roman" w:cs="Times New Roman"/>
                      <w:szCs w:val="21"/>
                    </w:rPr>
                    <w:t>0</w:t>
                  </w:r>
                </w:p>
              </w:tc>
              <w:tc>
                <w:tcPr>
                  <w:tcW w:w="930" w:type="dxa"/>
                  <w:tcBorders>
                    <w:top w:val="nil"/>
                    <w:left w:val="nil"/>
                    <w:bottom w:val="single" w:color="auto" w:sz="4" w:space="0"/>
                    <w:right w:val="single" w:color="auto" w:sz="4" w:space="0"/>
                  </w:tcBorders>
                  <w:vAlign w:val="center"/>
                </w:tcPr>
                <w:p w14:paraId="3C779C13">
                  <w:pPr>
                    <w:pStyle w:val="229"/>
                    <w:rPr>
                      <w:rFonts w:ascii="Times New Roman" w:hAnsi="Times New Roman" w:cs="Times New Roman"/>
                      <w:sz w:val="21"/>
                      <w:szCs w:val="21"/>
                    </w:rPr>
                  </w:pPr>
                  <w:r>
                    <w:rPr>
                      <w:rFonts w:ascii="Times New Roman" w:hAnsi="Times New Roman" w:cs="Times New Roman"/>
                      <w:sz w:val="21"/>
                      <w:szCs w:val="21"/>
                    </w:rPr>
                    <w:t>达标</w:t>
                  </w:r>
                </w:p>
              </w:tc>
            </w:tr>
            <w:tr w14:paraId="766F5FF5">
              <w:tblPrEx>
                <w:tblCellMar>
                  <w:top w:w="0" w:type="dxa"/>
                  <w:left w:w="108" w:type="dxa"/>
                  <w:bottom w:w="0" w:type="dxa"/>
                  <w:right w:w="108" w:type="dxa"/>
                </w:tblCellMar>
              </w:tblPrEx>
              <w:trPr>
                <w:trHeight w:val="727" w:hRule="atLeast"/>
              </w:trPr>
              <w:tc>
                <w:tcPr>
                  <w:tcW w:w="1337" w:type="dxa"/>
                  <w:tcBorders>
                    <w:top w:val="nil"/>
                    <w:left w:val="single" w:color="auto" w:sz="4" w:space="0"/>
                    <w:bottom w:val="single" w:color="auto" w:sz="4" w:space="0"/>
                    <w:right w:val="single" w:color="auto" w:sz="4" w:space="0"/>
                  </w:tcBorders>
                  <w:vAlign w:val="center"/>
                </w:tcPr>
                <w:p w14:paraId="7116686A">
                  <w:pPr>
                    <w:pStyle w:val="229"/>
                    <w:rPr>
                      <w:rFonts w:ascii="Times New Roman" w:hAnsi="Times New Roman" w:cs="Times New Roman"/>
                      <w:sz w:val="21"/>
                      <w:szCs w:val="21"/>
                    </w:rPr>
                  </w:pPr>
                  <w:r>
                    <w:rPr>
                      <w:rFonts w:ascii="Times New Roman" w:hAnsi="Times New Roman" w:cs="Times New Roman"/>
                      <w:sz w:val="21"/>
                      <w:szCs w:val="21"/>
                    </w:rPr>
                    <w:t>百分位数日最大8小时平均</w:t>
                  </w:r>
                </w:p>
              </w:tc>
              <w:tc>
                <w:tcPr>
                  <w:tcW w:w="1170" w:type="dxa"/>
                  <w:tcBorders>
                    <w:top w:val="nil"/>
                    <w:left w:val="nil"/>
                    <w:bottom w:val="single" w:color="auto" w:sz="4" w:space="0"/>
                    <w:right w:val="single" w:color="auto" w:sz="4" w:space="0"/>
                  </w:tcBorders>
                  <w:vAlign w:val="center"/>
                </w:tcPr>
                <w:p w14:paraId="03B0AF0F">
                  <w:pPr>
                    <w:pStyle w:val="229"/>
                    <w:rPr>
                      <w:rFonts w:ascii="Times New Roman" w:hAnsi="Times New Roman" w:cs="Times New Roman"/>
                      <w:sz w:val="21"/>
                      <w:szCs w:val="21"/>
                    </w:rPr>
                  </w:pPr>
                  <w:r>
                    <w:rPr>
                      <w:rFonts w:ascii="Times New Roman" w:hAnsi="Times New Roman" w:cs="Times New Roman"/>
                      <w:sz w:val="21"/>
                      <w:szCs w:val="21"/>
                    </w:rPr>
                    <w:t>O</w:t>
                  </w:r>
                  <w:r>
                    <w:rPr>
                      <w:rFonts w:ascii="Times New Roman" w:hAnsi="Times New Roman" w:cs="Times New Roman"/>
                      <w:sz w:val="21"/>
                      <w:szCs w:val="21"/>
                      <w:vertAlign w:val="subscript"/>
                    </w:rPr>
                    <w:t>3</w:t>
                  </w:r>
                </w:p>
              </w:tc>
              <w:tc>
                <w:tcPr>
                  <w:tcW w:w="984" w:type="dxa"/>
                  <w:tcBorders>
                    <w:top w:val="nil"/>
                    <w:left w:val="nil"/>
                    <w:bottom w:val="single" w:color="auto" w:sz="4" w:space="0"/>
                    <w:right w:val="single" w:color="auto" w:sz="4" w:space="0"/>
                  </w:tcBorders>
                  <w:vAlign w:val="center"/>
                </w:tcPr>
                <w:p w14:paraId="2C38925D">
                  <w:pPr>
                    <w:pStyle w:val="229"/>
                    <w:rPr>
                      <w:rFonts w:ascii="Times New Roman" w:hAnsi="Times New Roman" w:cs="Times New Roman"/>
                      <w:sz w:val="21"/>
                      <w:szCs w:val="21"/>
                    </w:rPr>
                  </w:pPr>
                  <w:r>
                    <w:rPr>
                      <w:rFonts w:ascii="Times New Roman" w:hAnsi="Times New Roman" w:cs="Times New Roman"/>
                      <w:sz w:val="21"/>
                      <w:szCs w:val="21"/>
                    </w:rPr>
                    <w:t>160</w:t>
                  </w:r>
                </w:p>
              </w:tc>
              <w:tc>
                <w:tcPr>
                  <w:tcW w:w="984" w:type="dxa"/>
                  <w:tcBorders>
                    <w:top w:val="nil"/>
                    <w:left w:val="nil"/>
                    <w:bottom w:val="single" w:color="auto" w:sz="4" w:space="0"/>
                    <w:right w:val="single" w:color="auto" w:sz="4" w:space="0"/>
                  </w:tcBorders>
                  <w:vAlign w:val="center"/>
                </w:tcPr>
                <w:p w14:paraId="1153D14E">
                  <w:pPr>
                    <w:pStyle w:val="229"/>
                    <w:rPr>
                      <w:rFonts w:ascii="Times New Roman" w:hAnsi="Times New Roman" w:cs="Times New Roman"/>
                      <w:sz w:val="21"/>
                      <w:szCs w:val="21"/>
                    </w:rPr>
                  </w:pPr>
                  <w:r>
                    <w:rPr>
                      <w:rFonts w:ascii="Times New Roman" w:hAnsi="Times New Roman" w:cs="Times New Roman"/>
                      <w:sz w:val="21"/>
                      <w:szCs w:val="21"/>
                    </w:rPr>
                    <w:t>126</w:t>
                  </w:r>
                </w:p>
              </w:tc>
              <w:tc>
                <w:tcPr>
                  <w:tcW w:w="1637" w:type="dxa"/>
                  <w:tcBorders>
                    <w:top w:val="nil"/>
                    <w:left w:val="nil"/>
                    <w:bottom w:val="single" w:color="auto" w:sz="4" w:space="0"/>
                    <w:right w:val="single" w:color="auto" w:sz="4" w:space="0"/>
                  </w:tcBorders>
                  <w:vAlign w:val="center"/>
                </w:tcPr>
                <w:p w14:paraId="579156CE">
                  <w:pPr>
                    <w:jc w:val="center"/>
                    <w:rPr>
                      <w:rFonts w:ascii="Times New Roman" w:hAnsi="Times New Roman" w:cs="Times New Roman"/>
                      <w:szCs w:val="21"/>
                    </w:rPr>
                  </w:pPr>
                  <w:r>
                    <w:rPr>
                      <w:rFonts w:hint="eastAsia" w:ascii="Times New Roman" w:hAnsi="Times New Roman" w:cs="Times New Roman"/>
                      <w:szCs w:val="21"/>
                    </w:rPr>
                    <w:t>78.75</w:t>
                  </w:r>
                </w:p>
              </w:tc>
              <w:tc>
                <w:tcPr>
                  <w:tcW w:w="1082" w:type="dxa"/>
                  <w:tcBorders>
                    <w:top w:val="nil"/>
                    <w:left w:val="nil"/>
                    <w:bottom w:val="single" w:color="auto" w:sz="4" w:space="0"/>
                    <w:right w:val="single" w:color="auto" w:sz="4" w:space="0"/>
                  </w:tcBorders>
                  <w:vAlign w:val="center"/>
                </w:tcPr>
                <w:p w14:paraId="7DBC02E3">
                  <w:pPr>
                    <w:jc w:val="center"/>
                    <w:rPr>
                      <w:rFonts w:ascii="Times New Roman" w:hAnsi="Times New Roman" w:cs="Times New Roman"/>
                      <w:szCs w:val="21"/>
                    </w:rPr>
                  </w:pPr>
                  <w:r>
                    <w:rPr>
                      <w:rFonts w:ascii="Times New Roman" w:hAnsi="Times New Roman" w:cs="Times New Roman"/>
                      <w:szCs w:val="21"/>
                    </w:rPr>
                    <w:t>0</w:t>
                  </w:r>
                </w:p>
              </w:tc>
              <w:tc>
                <w:tcPr>
                  <w:tcW w:w="930" w:type="dxa"/>
                  <w:tcBorders>
                    <w:top w:val="nil"/>
                    <w:left w:val="nil"/>
                    <w:bottom w:val="single" w:color="auto" w:sz="4" w:space="0"/>
                    <w:right w:val="single" w:color="auto" w:sz="4" w:space="0"/>
                  </w:tcBorders>
                  <w:vAlign w:val="center"/>
                </w:tcPr>
                <w:p w14:paraId="30C7A771">
                  <w:pPr>
                    <w:pStyle w:val="229"/>
                    <w:rPr>
                      <w:rFonts w:ascii="Times New Roman" w:hAnsi="Times New Roman" w:cs="Times New Roman"/>
                      <w:sz w:val="21"/>
                      <w:szCs w:val="21"/>
                    </w:rPr>
                  </w:pPr>
                  <w:r>
                    <w:rPr>
                      <w:rFonts w:ascii="Times New Roman" w:hAnsi="Times New Roman" w:cs="Times New Roman"/>
                      <w:sz w:val="21"/>
                      <w:szCs w:val="21"/>
                    </w:rPr>
                    <w:t>达标</w:t>
                  </w:r>
                </w:p>
              </w:tc>
            </w:tr>
          </w:tbl>
          <w:p w14:paraId="29C125E7">
            <w:pPr>
              <w:spacing w:line="360" w:lineRule="auto"/>
              <w:ind w:firstLine="480" w:firstLineChars="200"/>
              <w:rPr>
                <w:rFonts w:ascii="Times New Roman" w:hAnsi="Times New Roman" w:cs="Times New Roman"/>
                <w:sz w:val="24"/>
              </w:rPr>
            </w:pPr>
            <w:r>
              <w:rPr>
                <w:rFonts w:ascii="Times New Roman" w:hAnsi="Times New Roman" w:cs="Times New Roman"/>
                <w:sz w:val="24"/>
              </w:rPr>
              <w:t>由表可知，项目所在地区各基本因子浓度均达到国家环境空气质量二级标准，项目所在评价区域为达标区。</w:t>
            </w:r>
          </w:p>
          <w:p w14:paraId="71D7D7F8">
            <w:pPr>
              <w:adjustRightInd w:val="0"/>
              <w:snapToGrid w:val="0"/>
              <w:spacing w:line="360" w:lineRule="auto"/>
              <w:rPr>
                <w:rFonts w:ascii="Times New Roman" w:hAnsi="Times New Roman" w:cs="Times New Roman"/>
                <w:b/>
                <w:sz w:val="24"/>
              </w:rPr>
            </w:pPr>
            <w:r>
              <w:rPr>
                <w:rFonts w:ascii="Times New Roman" w:hAnsi="Times New Roman" w:cs="Times New Roman"/>
                <w:b/>
                <w:sz w:val="24"/>
              </w:rPr>
              <w:t>3.2地表水环境质量现状及评价</w:t>
            </w:r>
          </w:p>
          <w:p w14:paraId="0085491F">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根据重庆市及涪陵区“三线一单”划定成果，项目所在区域位于涪陵区重点管控单元1-乌江麻柳嘴内，控制断面为乌江麻柳嘴断面，该单元属性为城镇生活污染重点管控区。乌江涪陵段水域功能为Ⅲ类，水环境质量应执行《地表水环境质量标准》（GB3838-2002）Ⅲ类水域标准；乌江麻柳嘴断面水环境质量管控目标为满足III类水域功能。 本次地表水环境质量现状评价采用白涛断面、麻柳嘴断面2个断面2020年例行监测数据年均值。该监测数据在3年有效期内，监测至今项目所在区域污染物排放未发生明显变化，因此本次评价引用该数据合理可行。</w:t>
            </w:r>
          </w:p>
          <w:p w14:paraId="1452DFD7">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（1）监测断面</w:t>
            </w:r>
          </w:p>
          <w:p w14:paraId="4A61E9B6">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在乌江评价江段设2个地表水监测断面。</w:t>
            </w:r>
          </w:p>
          <w:p w14:paraId="294FCFB6">
            <w:pPr>
              <w:adjustRightInd w:val="0"/>
              <w:snapToGrid w:val="0"/>
              <w:spacing w:line="360" w:lineRule="auto"/>
              <w:ind w:firstLine="480"/>
              <w:rPr>
                <w:rFonts w:ascii="Times New Roman" w:hAnsi="Times New Roman" w:cs="Times New Roman"/>
                <w:sz w:val="24"/>
              </w:rPr>
            </w:pPr>
            <w:r>
              <w:rPr>
                <w:rFonts w:ascii="Times New Roman" w:hAnsi="Times New Roman" w:cs="Times New Roman"/>
                <w:sz w:val="24"/>
              </w:rPr>
              <w:t>乌江：Ⅰ断面：白涛断面；II断面：麻柳嘴断面。</w:t>
            </w:r>
          </w:p>
          <w:p w14:paraId="75E03A27">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（2）监测项目</w:t>
            </w:r>
          </w:p>
          <w:p w14:paraId="3623DD7C">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监测项目：pH、水温、溶解氧、流量、高锰酸盐指数、化学需氧量、五日生化需氧量、氨氮、铜、锌、氟化物、砷、汞、镉、铬（六价）、铅、氰化物、挥发酚、石油类、硫化物、总磷。</w:t>
            </w:r>
          </w:p>
          <w:p w14:paraId="18F4A681">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（3）监测时间和频率</w:t>
            </w:r>
          </w:p>
          <w:p w14:paraId="7CA46F23">
            <w:pPr>
              <w:adjustRightInd w:val="0"/>
              <w:snapToGrid w:val="0"/>
              <w:spacing w:line="360" w:lineRule="auto"/>
              <w:ind w:firstLine="544"/>
              <w:rPr>
                <w:rFonts w:ascii="Times New Roman" w:hAnsi="Times New Roman" w:cs="Times New Roman"/>
                <w:sz w:val="24"/>
              </w:rPr>
            </w:pPr>
            <w:r>
              <w:rPr>
                <w:rFonts w:ascii="Times New Roman" w:hAnsi="Times New Roman" w:cs="Times New Roman"/>
                <w:sz w:val="24"/>
              </w:rPr>
              <w:t>白涛断面、麻柳嘴断面为2020年例行数据年均值。</w:t>
            </w:r>
          </w:p>
          <w:p w14:paraId="4B488E78">
            <w:pPr>
              <w:adjustRightInd w:val="0"/>
              <w:snapToGrid w:val="0"/>
              <w:spacing w:line="360" w:lineRule="auto"/>
              <w:ind w:firstLine="544"/>
              <w:rPr>
                <w:rFonts w:ascii="Times New Roman" w:hAnsi="Times New Roman" w:cs="Times New Roman"/>
                <w:sz w:val="24"/>
              </w:rPr>
            </w:pPr>
            <w:r>
              <w:rPr>
                <w:rFonts w:ascii="Times New Roman" w:hAnsi="Times New Roman" w:cs="Times New Roman"/>
                <w:sz w:val="24"/>
              </w:rPr>
              <w:t>（4）分析方法</w:t>
            </w:r>
          </w:p>
          <w:p w14:paraId="398E7C11">
            <w:pPr>
              <w:adjustRightInd w:val="0"/>
              <w:snapToGrid w:val="0"/>
              <w:spacing w:line="360" w:lineRule="auto"/>
              <w:ind w:firstLine="544"/>
              <w:rPr>
                <w:rFonts w:ascii="Times New Roman" w:hAnsi="Times New Roman" w:cs="Times New Roman"/>
                <w:sz w:val="24"/>
              </w:rPr>
            </w:pPr>
            <w:r>
              <w:rPr>
                <w:rFonts w:ascii="Times New Roman" w:hAnsi="Times New Roman" w:cs="Times New Roman"/>
                <w:sz w:val="24"/>
              </w:rPr>
              <w:t>按《地表水环境质量标准》（GB3838-2002）的规定执行，见表3.2-1。</w:t>
            </w:r>
          </w:p>
          <w:p w14:paraId="2A3A764A">
            <w:pPr>
              <w:spacing w:line="440" w:lineRule="exact"/>
              <w:ind w:firstLine="422" w:firstLineChars="200"/>
              <w:jc w:val="center"/>
              <w:rPr>
                <w:rFonts w:ascii="Times New Roman" w:hAnsi="Times New Roman" w:cs="Times New Roman"/>
                <w:b/>
              </w:rPr>
            </w:pPr>
            <w:r>
              <w:rPr>
                <w:rFonts w:ascii="Times New Roman" w:hAnsi="Times New Roman" w:cs="Times New Roman"/>
                <w:b/>
              </w:rPr>
              <w:t>表3.2-1  地表水环境质量监测分析方法</w:t>
            </w:r>
          </w:p>
          <w:tbl>
            <w:tblPr>
              <w:tblStyle w:val="81"/>
              <w:tblW w:w="84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6"/>
              <w:gridCol w:w="3115"/>
              <w:gridCol w:w="3174"/>
            </w:tblGrid>
            <w:tr w14:paraId="3A3AF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tblHeader/>
                <w:jc w:val="center"/>
              </w:trPr>
              <w:tc>
                <w:tcPr>
                  <w:tcW w:w="2156" w:type="dxa"/>
                  <w:vAlign w:val="center"/>
                </w:tcPr>
                <w:p w14:paraId="1FD8ADC1">
                  <w:pPr>
                    <w:pStyle w:val="34"/>
                    <w:adjustRightInd w:val="0"/>
                    <w:spacing w:after="0"/>
                    <w:ind w:left="480"/>
                    <w:jc w:val="center"/>
                    <w:rPr>
                      <w:rFonts w:ascii="Times New Roman" w:hAnsi="Times New Roman" w:cs="Times New Roman"/>
                      <w:szCs w:val="21"/>
                    </w:rPr>
                  </w:pPr>
                  <w:r>
                    <w:rPr>
                      <w:rFonts w:ascii="Times New Roman" w:hAnsi="Times New Roman" w:cs="Times New Roman"/>
                      <w:szCs w:val="21"/>
                    </w:rPr>
                    <w:t>监测项目</w:t>
                  </w:r>
                </w:p>
              </w:tc>
              <w:tc>
                <w:tcPr>
                  <w:tcW w:w="3115" w:type="dxa"/>
                  <w:vAlign w:val="center"/>
                </w:tcPr>
                <w:p w14:paraId="568E99C8">
                  <w:pPr>
                    <w:pStyle w:val="34"/>
                    <w:adjustRightInd w:val="0"/>
                    <w:spacing w:after="0"/>
                    <w:ind w:left="480"/>
                    <w:jc w:val="center"/>
                    <w:rPr>
                      <w:rFonts w:ascii="Times New Roman" w:hAnsi="Times New Roman" w:cs="Times New Roman"/>
                      <w:szCs w:val="21"/>
                    </w:rPr>
                  </w:pPr>
                  <w:r>
                    <w:rPr>
                      <w:rFonts w:ascii="Times New Roman" w:hAnsi="Times New Roman" w:cs="Times New Roman"/>
                      <w:szCs w:val="21"/>
                    </w:rPr>
                    <w:t>监测方法</w:t>
                  </w:r>
                </w:p>
              </w:tc>
              <w:tc>
                <w:tcPr>
                  <w:tcW w:w="3174" w:type="dxa"/>
                  <w:vAlign w:val="center"/>
                </w:tcPr>
                <w:p w14:paraId="37AE713D">
                  <w:pPr>
                    <w:pStyle w:val="34"/>
                    <w:adjustRightInd w:val="0"/>
                    <w:spacing w:after="0"/>
                    <w:ind w:left="480"/>
                    <w:jc w:val="center"/>
                    <w:rPr>
                      <w:rFonts w:ascii="Times New Roman" w:hAnsi="Times New Roman" w:cs="Times New Roman"/>
                      <w:szCs w:val="21"/>
                    </w:rPr>
                  </w:pPr>
                  <w:r>
                    <w:rPr>
                      <w:rFonts w:ascii="Times New Roman" w:hAnsi="Times New Roman" w:cs="Times New Roman"/>
                      <w:szCs w:val="21"/>
                    </w:rPr>
                    <w:t>监测依据及分析方法</w:t>
                  </w:r>
                </w:p>
              </w:tc>
            </w:tr>
            <w:tr w14:paraId="59131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2156" w:type="dxa"/>
                  <w:vAlign w:val="center"/>
                </w:tcPr>
                <w:p w14:paraId="02AF5861">
                  <w:pPr>
                    <w:pStyle w:val="34"/>
                    <w:adjustRightInd w:val="0"/>
                    <w:spacing w:after="0"/>
                    <w:ind w:left="480"/>
                    <w:jc w:val="center"/>
                    <w:rPr>
                      <w:rFonts w:ascii="Times New Roman" w:hAnsi="Times New Roman" w:cs="Times New Roman"/>
                      <w:szCs w:val="21"/>
                    </w:rPr>
                  </w:pPr>
                  <w:r>
                    <w:rPr>
                      <w:rFonts w:ascii="Times New Roman" w:hAnsi="Times New Roman" w:cs="Times New Roman"/>
                      <w:szCs w:val="21"/>
                    </w:rPr>
                    <w:t>pH</w:t>
                  </w:r>
                </w:p>
              </w:tc>
              <w:tc>
                <w:tcPr>
                  <w:tcW w:w="3115" w:type="dxa"/>
                  <w:vAlign w:val="center"/>
                </w:tcPr>
                <w:p w14:paraId="1BDE3371">
                  <w:pPr>
                    <w:pStyle w:val="34"/>
                    <w:adjustRightInd w:val="0"/>
                    <w:spacing w:after="0"/>
                    <w:ind w:left="480"/>
                    <w:jc w:val="center"/>
                    <w:rPr>
                      <w:rFonts w:ascii="Times New Roman" w:hAnsi="Times New Roman" w:cs="Times New Roman"/>
                      <w:szCs w:val="21"/>
                    </w:rPr>
                  </w:pPr>
                  <w:r>
                    <w:rPr>
                      <w:rFonts w:ascii="Times New Roman" w:hAnsi="Times New Roman" w:cs="Times New Roman"/>
                      <w:szCs w:val="21"/>
                    </w:rPr>
                    <w:t>便携式pH计法</w:t>
                  </w:r>
                </w:p>
              </w:tc>
              <w:tc>
                <w:tcPr>
                  <w:tcW w:w="3174" w:type="dxa"/>
                  <w:vAlign w:val="center"/>
                </w:tcPr>
                <w:p w14:paraId="3668445B">
                  <w:pPr>
                    <w:pStyle w:val="34"/>
                    <w:adjustRightInd w:val="0"/>
                    <w:spacing w:after="0"/>
                    <w:ind w:left="480"/>
                    <w:jc w:val="center"/>
                    <w:rPr>
                      <w:rFonts w:ascii="Times New Roman" w:hAnsi="Times New Roman" w:cs="Times New Roman"/>
                      <w:szCs w:val="21"/>
                    </w:rPr>
                  </w:pPr>
                  <w:r>
                    <w:rPr>
                      <w:rFonts w:ascii="Times New Roman" w:hAnsi="Times New Roman" w:cs="Times New Roman"/>
                      <w:szCs w:val="21"/>
                    </w:rPr>
                    <w:t>《水和废水监测分析方法》第四版</w:t>
                  </w:r>
                </w:p>
              </w:tc>
            </w:tr>
            <w:tr w14:paraId="6CEF6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56" w:type="dxa"/>
                  <w:vAlign w:val="center"/>
                </w:tcPr>
                <w:p w14:paraId="4CE96006">
                  <w:pPr>
                    <w:pStyle w:val="34"/>
                    <w:adjustRightInd w:val="0"/>
                    <w:spacing w:after="0"/>
                    <w:ind w:left="480"/>
                    <w:jc w:val="center"/>
                    <w:rPr>
                      <w:rFonts w:ascii="Times New Roman" w:hAnsi="Times New Roman" w:cs="Times New Roman"/>
                      <w:szCs w:val="21"/>
                    </w:rPr>
                  </w:pPr>
                  <w:r>
                    <w:rPr>
                      <w:rFonts w:ascii="Times New Roman" w:hAnsi="Times New Roman" w:cs="Times New Roman"/>
                      <w:szCs w:val="21"/>
                    </w:rPr>
                    <w:t>水温</w:t>
                  </w:r>
                </w:p>
              </w:tc>
              <w:tc>
                <w:tcPr>
                  <w:tcW w:w="3115" w:type="dxa"/>
                  <w:vAlign w:val="center"/>
                </w:tcPr>
                <w:p w14:paraId="3015A843">
                  <w:pPr>
                    <w:pStyle w:val="34"/>
                    <w:adjustRightInd w:val="0"/>
                    <w:spacing w:after="0"/>
                    <w:ind w:left="480"/>
                    <w:jc w:val="center"/>
                    <w:rPr>
                      <w:rFonts w:ascii="Times New Roman" w:hAnsi="Times New Roman" w:cs="Times New Roman"/>
                      <w:szCs w:val="21"/>
                    </w:rPr>
                  </w:pPr>
                  <w:r>
                    <w:rPr>
                      <w:rFonts w:ascii="Times New Roman" w:hAnsi="Times New Roman" w:cs="Times New Roman"/>
                      <w:szCs w:val="21"/>
                    </w:rPr>
                    <w:t>温度计或颠倒温度计测定法</w:t>
                  </w:r>
                </w:p>
              </w:tc>
              <w:tc>
                <w:tcPr>
                  <w:tcW w:w="3174" w:type="dxa"/>
                  <w:vAlign w:val="center"/>
                </w:tcPr>
                <w:p w14:paraId="49E4E343">
                  <w:pPr>
                    <w:pStyle w:val="34"/>
                    <w:adjustRightInd w:val="0"/>
                    <w:spacing w:after="0"/>
                    <w:ind w:left="480"/>
                    <w:jc w:val="center"/>
                    <w:rPr>
                      <w:rFonts w:ascii="Times New Roman" w:hAnsi="Times New Roman" w:cs="Times New Roman"/>
                      <w:szCs w:val="21"/>
                    </w:rPr>
                  </w:pPr>
                  <w:r>
                    <w:rPr>
                      <w:rFonts w:ascii="Times New Roman" w:hAnsi="Times New Roman" w:cs="Times New Roman"/>
                      <w:szCs w:val="21"/>
                    </w:rPr>
                    <w:t>GB/T13195-1991</w:t>
                  </w:r>
                </w:p>
              </w:tc>
            </w:tr>
            <w:tr w14:paraId="4E041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2156" w:type="dxa"/>
                  <w:vAlign w:val="center"/>
                </w:tcPr>
                <w:p w14:paraId="3686BA01">
                  <w:pPr>
                    <w:pStyle w:val="34"/>
                    <w:adjustRightInd w:val="0"/>
                    <w:spacing w:after="0"/>
                    <w:ind w:left="480"/>
                    <w:jc w:val="center"/>
                    <w:rPr>
                      <w:rFonts w:ascii="Times New Roman" w:hAnsi="Times New Roman" w:cs="Times New Roman"/>
                      <w:szCs w:val="21"/>
                    </w:rPr>
                  </w:pPr>
                  <w:r>
                    <w:rPr>
                      <w:rFonts w:ascii="Times New Roman" w:hAnsi="Times New Roman" w:cs="Times New Roman"/>
                      <w:szCs w:val="21"/>
                    </w:rPr>
                    <w:t>流量</w:t>
                  </w:r>
                </w:p>
              </w:tc>
              <w:tc>
                <w:tcPr>
                  <w:tcW w:w="3115" w:type="dxa"/>
                  <w:vAlign w:val="center"/>
                </w:tcPr>
                <w:p w14:paraId="699A8084">
                  <w:pPr>
                    <w:pStyle w:val="34"/>
                    <w:adjustRightInd w:val="0"/>
                    <w:spacing w:after="0"/>
                    <w:ind w:left="480"/>
                    <w:jc w:val="center"/>
                    <w:rPr>
                      <w:rFonts w:ascii="Times New Roman" w:hAnsi="Times New Roman" w:cs="Times New Roman"/>
                      <w:szCs w:val="21"/>
                    </w:rPr>
                  </w:pPr>
                  <w:r>
                    <w:rPr>
                      <w:rFonts w:ascii="Times New Roman" w:hAnsi="Times New Roman" w:cs="Times New Roman"/>
                      <w:szCs w:val="21"/>
                    </w:rPr>
                    <w:t>河流流量测验规范附录B流速仪法</w:t>
                  </w:r>
                </w:p>
              </w:tc>
              <w:tc>
                <w:tcPr>
                  <w:tcW w:w="3174" w:type="dxa"/>
                  <w:vAlign w:val="center"/>
                </w:tcPr>
                <w:p w14:paraId="67414515">
                  <w:pPr>
                    <w:pStyle w:val="34"/>
                    <w:adjustRightInd w:val="0"/>
                    <w:spacing w:after="0"/>
                    <w:ind w:left="480"/>
                    <w:jc w:val="center"/>
                    <w:rPr>
                      <w:rFonts w:ascii="Times New Roman" w:hAnsi="Times New Roman" w:cs="Times New Roman"/>
                      <w:szCs w:val="21"/>
                    </w:rPr>
                  </w:pPr>
                  <w:r>
                    <w:rPr>
                      <w:rFonts w:ascii="Times New Roman" w:hAnsi="Times New Roman" w:cs="Times New Roman"/>
                      <w:szCs w:val="21"/>
                    </w:rPr>
                    <w:t>GB50179-2015</w:t>
                  </w:r>
                </w:p>
              </w:tc>
            </w:tr>
            <w:tr w14:paraId="00986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2156" w:type="dxa"/>
                  <w:vAlign w:val="center"/>
                </w:tcPr>
                <w:p w14:paraId="0EECC6C4">
                  <w:pPr>
                    <w:pStyle w:val="34"/>
                    <w:adjustRightInd w:val="0"/>
                    <w:spacing w:after="0"/>
                    <w:ind w:left="480"/>
                    <w:jc w:val="center"/>
                    <w:rPr>
                      <w:rFonts w:ascii="Times New Roman" w:hAnsi="Times New Roman" w:cs="Times New Roman"/>
                      <w:szCs w:val="21"/>
                    </w:rPr>
                  </w:pPr>
                  <w:r>
                    <w:rPr>
                      <w:rFonts w:ascii="Times New Roman" w:hAnsi="Times New Roman" w:cs="Times New Roman"/>
                      <w:szCs w:val="21"/>
                    </w:rPr>
                    <w:t>溶解氧</w:t>
                  </w:r>
                </w:p>
              </w:tc>
              <w:tc>
                <w:tcPr>
                  <w:tcW w:w="3115" w:type="dxa"/>
                  <w:vAlign w:val="center"/>
                </w:tcPr>
                <w:p w14:paraId="2C920C12">
                  <w:pPr>
                    <w:pStyle w:val="34"/>
                    <w:adjustRightInd w:val="0"/>
                    <w:spacing w:after="0"/>
                    <w:ind w:left="480"/>
                    <w:jc w:val="center"/>
                    <w:rPr>
                      <w:rFonts w:ascii="Times New Roman" w:hAnsi="Times New Roman" w:cs="Times New Roman"/>
                      <w:szCs w:val="21"/>
                    </w:rPr>
                  </w:pPr>
                  <w:r>
                    <w:rPr>
                      <w:rFonts w:ascii="Times New Roman" w:hAnsi="Times New Roman" w:cs="Times New Roman"/>
                      <w:szCs w:val="21"/>
                    </w:rPr>
                    <w:t>便携式溶解氧仪法</w:t>
                  </w:r>
                </w:p>
              </w:tc>
              <w:tc>
                <w:tcPr>
                  <w:tcW w:w="3174" w:type="dxa"/>
                  <w:vAlign w:val="center"/>
                </w:tcPr>
                <w:p w14:paraId="79E5D139">
                  <w:pPr>
                    <w:pStyle w:val="34"/>
                    <w:adjustRightInd w:val="0"/>
                    <w:spacing w:after="0"/>
                    <w:ind w:left="480"/>
                    <w:jc w:val="center"/>
                    <w:rPr>
                      <w:rFonts w:ascii="Times New Roman" w:hAnsi="Times New Roman" w:cs="Times New Roman"/>
                      <w:szCs w:val="21"/>
                    </w:rPr>
                  </w:pPr>
                  <w:r>
                    <w:rPr>
                      <w:rFonts w:ascii="Times New Roman" w:hAnsi="Times New Roman" w:cs="Times New Roman"/>
                      <w:szCs w:val="21"/>
                    </w:rPr>
                    <w:t>《水和废水监测分析方法》第四版</w:t>
                  </w:r>
                </w:p>
              </w:tc>
            </w:tr>
            <w:tr w14:paraId="42618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156" w:type="dxa"/>
                  <w:vAlign w:val="center"/>
                </w:tcPr>
                <w:p w14:paraId="7248CDE4">
                  <w:pPr>
                    <w:pStyle w:val="34"/>
                    <w:adjustRightInd w:val="0"/>
                    <w:spacing w:after="0"/>
                    <w:ind w:left="480"/>
                    <w:jc w:val="center"/>
                    <w:rPr>
                      <w:rFonts w:ascii="Times New Roman" w:hAnsi="Times New Roman" w:cs="Times New Roman"/>
                      <w:szCs w:val="21"/>
                    </w:rPr>
                  </w:pPr>
                  <w:r>
                    <w:rPr>
                      <w:rFonts w:ascii="Times New Roman" w:hAnsi="Times New Roman" w:cs="Times New Roman"/>
                      <w:szCs w:val="21"/>
                    </w:rPr>
                    <w:t>挥发酚</w:t>
                  </w:r>
                </w:p>
              </w:tc>
              <w:tc>
                <w:tcPr>
                  <w:tcW w:w="3115" w:type="dxa"/>
                  <w:vAlign w:val="center"/>
                </w:tcPr>
                <w:p w14:paraId="6E0F9EB6">
                  <w:pPr>
                    <w:pStyle w:val="34"/>
                    <w:adjustRightInd w:val="0"/>
                    <w:spacing w:after="0"/>
                    <w:ind w:left="480"/>
                    <w:jc w:val="center"/>
                    <w:rPr>
                      <w:rFonts w:ascii="Times New Roman" w:hAnsi="Times New Roman" w:cs="Times New Roman"/>
                      <w:szCs w:val="21"/>
                    </w:rPr>
                  </w:pPr>
                  <w:r>
                    <w:rPr>
                      <w:rFonts w:ascii="Times New Roman" w:hAnsi="Times New Roman" w:cs="Times New Roman"/>
                      <w:szCs w:val="21"/>
                    </w:rPr>
                    <w:t>4-氨基安替比林分光光度法</w:t>
                  </w:r>
                </w:p>
              </w:tc>
              <w:tc>
                <w:tcPr>
                  <w:tcW w:w="3174" w:type="dxa"/>
                  <w:vAlign w:val="center"/>
                </w:tcPr>
                <w:p w14:paraId="68488D4C">
                  <w:pPr>
                    <w:pStyle w:val="34"/>
                    <w:adjustRightInd w:val="0"/>
                    <w:spacing w:after="0"/>
                    <w:ind w:left="480"/>
                    <w:jc w:val="center"/>
                    <w:rPr>
                      <w:rFonts w:ascii="Times New Roman" w:hAnsi="Times New Roman" w:cs="Times New Roman"/>
                      <w:szCs w:val="21"/>
                    </w:rPr>
                  </w:pPr>
                  <w:r>
                    <w:rPr>
                      <w:rFonts w:ascii="Times New Roman" w:hAnsi="Times New Roman" w:cs="Times New Roman"/>
                      <w:szCs w:val="21"/>
                    </w:rPr>
                    <w:t>HJ503-2009</w:t>
                  </w:r>
                </w:p>
              </w:tc>
            </w:tr>
            <w:tr w14:paraId="2A2C5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56" w:type="dxa"/>
                  <w:vAlign w:val="center"/>
                </w:tcPr>
                <w:p w14:paraId="336E0465">
                  <w:pPr>
                    <w:pStyle w:val="34"/>
                    <w:adjustRightInd w:val="0"/>
                    <w:spacing w:after="0"/>
                    <w:ind w:left="480"/>
                    <w:jc w:val="center"/>
                    <w:rPr>
                      <w:rFonts w:ascii="Times New Roman" w:hAnsi="Times New Roman" w:cs="Times New Roman"/>
                      <w:szCs w:val="21"/>
                    </w:rPr>
                  </w:pPr>
                  <w:r>
                    <w:rPr>
                      <w:rFonts w:ascii="Times New Roman" w:hAnsi="Times New Roman" w:cs="Times New Roman"/>
                      <w:szCs w:val="21"/>
                    </w:rPr>
                    <w:t>氰化物</w:t>
                  </w:r>
                </w:p>
              </w:tc>
              <w:tc>
                <w:tcPr>
                  <w:tcW w:w="3115" w:type="dxa"/>
                  <w:vAlign w:val="center"/>
                </w:tcPr>
                <w:p w14:paraId="1EAB5F26">
                  <w:pPr>
                    <w:pStyle w:val="34"/>
                    <w:adjustRightInd w:val="0"/>
                    <w:spacing w:after="0"/>
                    <w:ind w:left="480"/>
                    <w:jc w:val="center"/>
                    <w:rPr>
                      <w:rFonts w:ascii="Times New Roman" w:hAnsi="Times New Roman" w:cs="Times New Roman"/>
                      <w:szCs w:val="21"/>
                    </w:rPr>
                  </w:pPr>
                  <w:r>
                    <w:rPr>
                      <w:rFonts w:ascii="Times New Roman" w:hAnsi="Times New Roman" w:cs="Times New Roman"/>
                      <w:szCs w:val="21"/>
                    </w:rPr>
                    <w:t>异烟酸-吡唑啉酮分光光度法</w:t>
                  </w:r>
                </w:p>
              </w:tc>
              <w:tc>
                <w:tcPr>
                  <w:tcW w:w="3174" w:type="dxa"/>
                  <w:vAlign w:val="center"/>
                </w:tcPr>
                <w:p w14:paraId="2F6E0115">
                  <w:pPr>
                    <w:pStyle w:val="34"/>
                    <w:adjustRightInd w:val="0"/>
                    <w:spacing w:after="0"/>
                    <w:ind w:left="480"/>
                    <w:jc w:val="center"/>
                    <w:rPr>
                      <w:rFonts w:ascii="Times New Roman" w:hAnsi="Times New Roman" w:cs="Times New Roman"/>
                      <w:szCs w:val="21"/>
                    </w:rPr>
                  </w:pPr>
                  <w:r>
                    <w:rPr>
                      <w:rFonts w:ascii="Times New Roman" w:hAnsi="Times New Roman" w:cs="Times New Roman"/>
                      <w:szCs w:val="21"/>
                    </w:rPr>
                    <w:t>HJ484-2009</w:t>
                  </w:r>
                </w:p>
              </w:tc>
            </w:tr>
            <w:tr w14:paraId="41D97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156" w:type="dxa"/>
                  <w:vAlign w:val="center"/>
                </w:tcPr>
                <w:p w14:paraId="025FFF38">
                  <w:pPr>
                    <w:pStyle w:val="34"/>
                    <w:adjustRightInd w:val="0"/>
                    <w:spacing w:after="0"/>
                    <w:ind w:left="480"/>
                    <w:jc w:val="center"/>
                    <w:rPr>
                      <w:rFonts w:ascii="Times New Roman" w:hAnsi="Times New Roman" w:cs="Times New Roman"/>
                      <w:szCs w:val="21"/>
                    </w:rPr>
                  </w:pPr>
                  <w:r>
                    <w:rPr>
                      <w:rFonts w:ascii="Times New Roman" w:hAnsi="Times New Roman" w:cs="Times New Roman"/>
                      <w:szCs w:val="21"/>
                    </w:rPr>
                    <w:t>化学需氧量</w:t>
                  </w:r>
                </w:p>
              </w:tc>
              <w:tc>
                <w:tcPr>
                  <w:tcW w:w="3115" w:type="dxa"/>
                  <w:vAlign w:val="center"/>
                </w:tcPr>
                <w:p w14:paraId="37CEB81F">
                  <w:pPr>
                    <w:pStyle w:val="34"/>
                    <w:adjustRightInd w:val="0"/>
                    <w:spacing w:after="0"/>
                    <w:ind w:left="480"/>
                    <w:jc w:val="center"/>
                    <w:rPr>
                      <w:rFonts w:ascii="Times New Roman" w:hAnsi="Times New Roman" w:cs="Times New Roman"/>
                      <w:szCs w:val="21"/>
                    </w:rPr>
                  </w:pPr>
                  <w:r>
                    <w:rPr>
                      <w:rFonts w:ascii="Times New Roman" w:hAnsi="Times New Roman" w:cs="Times New Roman"/>
                      <w:szCs w:val="21"/>
                    </w:rPr>
                    <w:t>重铬酸盐法</w:t>
                  </w:r>
                </w:p>
              </w:tc>
              <w:tc>
                <w:tcPr>
                  <w:tcW w:w="3174" w:type="dxa"/>
                  <w:vAlign w:val="center"/>
                </w:tcPr>
                <w:p w14:paraId="107A609F">
                  <w:pPr>
                    <w:pStyle w:val="34"/>
                    <w:adjustRightInd w:val="0"/>
                    <w:spacing w:after="0"/>
                    <w:ind w:left="480"/>
                    <w:jc w:val="center"/>
                    <w:rPr>
                      <w:rFonts w:ascii="Times New Roman" w:hAnsi="Times New Roman" w:cs="Times New Roman"/>
                      <w:szCs w:val="21"/>
                    </w:rPr>
                  </w:pPr>
                  <w:r>
                    <w:rPr>
                      <w:rFonts w:ascii="Times New Roman" w:hAnsi="Times New Roman" w:cs="Times New Roman"/>
                      <w:szCs w:val="21"/>
                    </w:rPr>
                    <w:t>HJ828-2017</w:t>
                  </w:r>
                </w:p>
              </w:tc>
            </w:tr>
            <w:tr w14:paraId="21DF2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156" w:type="dxa"/>
                  <w:vAlign w:val="center"/>
                </w:tcPr>
                <w:p w14:paraId="4EF822B3">
                  <w:pPr>
                    <w:pStyle w:val="34"/>
                    <w:adjustRightInd w:val="0"/>
                    <w:spacing w:after="0"/>
                    <w:ind w:left="480"/>
                    <w:jc w:val="center"/>
                    <w:rPr>
                      <w:rFonts w:ascii="Times New Roman" w:hAnsi="Times New Roman" w:cs="Times New Roman"/>
                      <w:szCs w:val="21"/>
                    </w:rPr>
                  </w:pPr>
                  <w:r>
                    <w:rPr>
                      <w:rFonts w:ascii="Times New Roman" w:hAnsi="Times New Roman" w:cs="Times New Roman"/>
                      <w:szCs w:val="21"/>
                    </w:rPr>
                    <w:t>五日生化需氧量</w:t>
                  </w:r>
                </w:p>
              </w:tc>
              <w:tc>
                <w:tcPr>
                  <w:tcW w:w="3115" w:type="dxa"/>
                  <w:vAlign w:val="center"/>
                </w:tcPr>
                <w:p w14:paraId="2058054C">
                  <w:pPr>
                    <w:pStyle w:val="34"/>
                    <w:adjustRightInd w:val="0"/>
                    <w:spacing w:after="0"/>
                    <w:ind w:left="480"/>
                    <w:jc w:val="center"/>
                    <w:rPr>
                      <w:rFonts w:ascii="Times New Roman" w:hAnsi="Times New Roman" w:cs="Times New Roman"/>
                      <w:szCs w:val="21"/>
                    </w:rPr>
                  </w:pPr>
                  <w:r>
                    <w:rPr>
                      <w:rFonts w:ascii="Times New Roman" w:hAnsi="Times New Roman" w:cs="Times New Roman"/>
                      <w:szCs w:val="21"/>
                    </w:rPr>
                    <w:t>稀释与接种法</w:t>
                  </w:r>
                </w:p>
              </w:tc>
              <w:tc>
                <w:tcPr>
                  <w:tcW w:w="3174" w:type="dxa"/>
                  <w:vAlign w:val="center"/>
                </w:tcPr>
                <w:p w14:paraId="6BCFE709">
                  <w:pPr>
                    <w:pStyle w:val="34"/>
                    <w:adjustRightInd w:val="0"/>
                    <w:spacing w:after="0"/>
                    <w:ind w:left="480"/>
                    <w:jc w:val="center"/>
                    <w:rPr>
                      <w:rFonts w:ascii="Times New Roman" w:hAnsi="Times New Roman" w:cs="Times New Roman"/>
                      <w:szCs w:val="21"/>
                    </w:rPr>
                  </w:pPr>
                  <w:r>
                    <w:rPr>
                      <w:rFonts w:ascii="Times New Roman" w:hAnsi="Times New Roman" w:cs="Times New Roman"/>
                      <w:szCs w:val="21"/>
                    </w:rPr>
                    <w:t>HJ505-2009</w:t>
                  </w:r>
                </w:p>
              </w:tc>
            </w:tr>
            <w:tr w14:paraId="3AA25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56" w:type="dxa"/>
                  <w:vAlign w:val="center"/>
                </w:tcPr>
                <w:p w14:paraId="08FA39AF">
                  <w:pPr>
                    <w:pStyle w:val="34"/>
                    <w:adjustRightInd w:val="0"/>
                    <w:spacing w:after="0"/>
                    <w:ind w:left="480"/>
                    <w:jc w:val="center"/>
                    <w:rPr>
                      <w:rFonts w:ascii="Times New Roman" w:hAnsi="Times New Roman" w:cs="Times New Roman"/>
                      <w:szCs w:val="21"/>
                    </w:rPr>
                  </w:pPr>
                  <w:r>
                    <w:rPr>
                      <w:rFonts w:ascii="Times New Roman" w:hAnsi="Times New Roman" w:cs="Times New Roman"/>
                      <w:szCs w:val="21"/>
                    </w:rPr>
                    <w:t>氨氮</w:t>
                  </w:r>
                </w:p>
              </w:tc>
              <w:tc>
                <w:tcPr>
                  <w:tcW w:w="3115" w:type="dxa"/>
                  <w:vAlign w:val="center"/>
                </w:tcPr>
                <w:p w14:paraId="02839132">
                  <w:pPr>
                    <w:pStyle w:val="34"/>
                    <w:adjustRightInd w:val="0"/>
                    <w:spacing w:after="0"/>
                    <w:ind w:left="480"/>
                    <w:jc w:val="center"/>
                    <w:rPr>
                      <w:rFonts w:ascii="Times New Roman" w:hAnsi="Times New Roman" w:cs="Times New Roman"/>
                      <w:szCs w:val="21"/>
                    </w:rPr>
                  </w:pPr>
                  <w:r>
                    <w:rPr>
                      <w:rFonts w:ascii="Times New Roman" w:hAnsi="Times New Roman" w:cs="Times New Roman"/>
                      <w:szCs w:val="21"/>
                    </w:rPr>
                    <w:t>纳氏试剂分光光度法</w:t>
                  </w:r>
                </w:p>
              </w:tc>
              <w:tc>
                <w:tcPr>
                  <w:tcW w:w="3174" w:type="dxa"/>
                  <w:vAlign w:val="center"/>
                </w:tcPr>
                <w:p w14:paraId="0C65DB7F">
                  <w:pPr>
                    <w:pStyle w:val="34"/>
                    <w:adjustRightInd w:val="0"/>
                    <w:spacing w:after="0"/>
                    <w:ind w:left="480"/>
                    <w:jc w:val="center"/>
                    <w:rPr>
                      <w:rFonts w:ascii="Times New Roman" w:hAnsi="Times New Roman" w:cs="Times New Roman"/>
                      <w:szCs w:val="21"/>
                    </w:rPr>
                  </w:pPr>
                  <w:r>
                    <w:rPr>
                      <w:rFonts w:ascii="Times New Roman" w:hAnsi="Times New Roman" w:cs="Times New Roman"/>
                      <w:szCs w:val="21"/>
                    </w:rPr>
                    <w:t>HJ535-2009</w:t>
                  </w:r>
                </w:p>
              </w:tc>
            </w:tr>
            <w:tr w14:paraId="389FA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156" w:type="dxa"/>
                  <w:vAlign w:val="center"/>
                </w:tcPr>
                <w:p w14:paraId="7FFE2739">
                  <w:pPr>
                    <w:pStyle w:val="34"/>
                    <w:adjustRightInd w:val="0"/>
                    <w:spacing w:after="0"/>
                    <w:ind w:left="480"/>
                    <w:jc w:val="center"/>
                    <w:rPr>
                      <w:rFonts w:ascii="Times New Roman" w:hAnsi="Times New Roman" w:cs="Times New Roman"/>
                      <w:szCs w:val="21"/>
                    </w:rPr>
                  </w:pPr>
                  <w:r>
                    <w:rPr>
                      <w:rFonts w:ascii="Times New Roman" w:hAnsi="Times New Roman" w:cs="Times New Roman"/>
                      <w:szCs w:val="21"/>
                    </w:rPr>
                    <w:t>砷、汞</w:t>
                  </w:r>
                </w:p>
              </w:tc>
              <w:tc>
                <w:tcPr>
                  <w:tcW w:w="3115" w:type="dxa"/>
                  <w:vAlign w:val="center"/>
                </w:tcPr>
                <w:p w14:paraId="5433A892">
                  <w:pPr>
                    <w:pStyle w:val="34"/>
                    <w:adjustRightInd w:val="0"/>
                    <w:spacing w:after="0"/>
                    <w:ind w:left="480"/>
                    <w:jc w:val="center"/>
                    <w:rPr>
                      <w:rFonts w:ascii="Times New Roman" w:hAnsi="Times New Roman" w:cs="Times New Roman"/>
                      <w:szCs w:val="21"/>
                    </w:rPr>
                  </w:pPr>
                  <w:r>
                    <w:rPr>
                      <w:rFonts w:ascii="Times New Roman" w:hAnsi="Times New Roman" w:cs="Times New Roman"/>
                      <w:szCs w:val="21"/>
                    </w:rPr>
                    <w:t>原子荧光法</w:t>
                  </w:r>
                </w:p>
              </w:tc>
              <w:tc>
                <w:tcPr>
                  <w:tcW w:w="3174" w:type="dxa"/>
                  <w:vAlign w:val="center"/>
                </w:tcPr>
                <w:p w14:paraId="5CD6D469">
                  <w:pPr>
                    <w:pStyle w:val="34"/>
                    <w:adjustRightInd w:val="0"/>
                    <w:spacing w:after="0"/>
                    <w:ind w:left="480"/>
                    <w:jc w:val="center"/>
                    <w:rPr>
                      <w:rFonts w:ascii="Times New Roman" w:hAnsi="Times New Roman" w:cs="Times New Roman"/>
                      <w:szCs w:val="21"/>
                    </w:rPr>
                  </w:pPr>
                  <w:r>
                    <w:rPr>
                      <w:rFonts w:ascii="Times New Roman" w:hAnsi="Times New Roman" w:cs="Times New Roman"/>
                      <w:szCs w:val="21"/>
                    </w:rPr>
                    <w:t>HJ694-2014</w:t>
                  </w:r>
                </w:p>
              </w:tc>
            </w:tr>
            <w:tr w14:paraId="4AB2C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156" w:type="dxa"/>
                  <w:vAlign w:val="center"/>
                </w:tcPr>
                <w:p w14:paraId="5F8F76F3">
                  <w:pPr>
                    <w:pStyle w:val="34"/>
                    <w:adjustRightInd w:val="0"/>
                    <w:spacing w:after="0"/>
                    <w:ind w:left="480"/>
                    <w:jc w:val="center"/>
                    <w:rPr>
                      <w:rFonts w:ascii="Times New Roman" w:hAnsi="Times New Roman" w:cs="Times New Roman"/>
                      <w:szCs w:val="21"/>
                    </w:rPr>
                  </w:pPr>
                  <w:r>
                    <w:rPr>
                      <w:rFonts w:ascii="Times New Roman" w:hAnsi="Times New Roman" w:cs="Times New Roman"/>
                      <w:szCs w:val="21"/>
                    </w:rPr>
                    <w:t>铜、锌、镉、铅</w:t>
                  </w:r>
                </w:p>
              </w:tc>
              <w:tc>
                <w:tcPr>
                  <w:tcW w:w="3115" w:type="dxa"/>
                  <w:vAlign w:val="center"/>
                </w:tcPr>
                <w:p w14:paraId="1DD32172">
                  <w:pPr>
                    <w:pStyle w:val="34"/>
                    <w:adjustRightInd w:val="0"/>
                    <w:spacing w:after="0"/>
                    <w:ind w:left="480"/>
                    <w:jc w:val="center"/>
                    <w:rPr>
                      <w:rFonts w:ascii="Times New Roman" w:hAnsi="Times New Roman" w:cs="Times New Roman"/>
                      <w:szCs w:val="21"/>
                    </w:rPr>
                  </w:pPr>
                  <w:r>
                    <w:rPr>
                      <w:rFonts w:ascii="Times New Roman" w:hAnsi="Times New Roman" w:cs="Times New Roman"/>
                      <w:szCs w:val="21"/>
                    </w:rPr>
                    <w:t>电感耦合等离子体发射光谱法</w:t>
                  </w:r>
                </w:p>
              </w:tc>
              <w:tc>
                <w:tcPr>
                  <w:tcW w:w="3174" w:type="dxa"/>
                  <w:vAlign w:val="center"/>
                </w:tcPr>
                <w:p w14:paraId="47B6CBBC">
                  <w:pPr>
                    <w:pStyle w:val="34"/>
                    <w:adjustRightInd w:val="0"/>
                    <w:spacing w:after="0"/>
                    <w:ind w:left="480"/>
                    <w:jc w:val="center"/>
                    <w:rPr>
                      <w:rFonts w:ascii="Times New Roman" w:hAnsi="Times New Roman" w:cs="Times New Roman"/>
                      <w:szCs w:val="21"/>
                    </w:rPr>
                  </w:pPr>
                  <w:r>
                    <w:rPr>
                      <w:rFonts w:ascii="Times New Roman" w:hAnsi="Times New Roman" w:cs="Times New Roman"/>
                      <w:szCs w:val="21"/>
                    </w:rPr>
                    <w:t>HJ776-2015</w:t>
                  </w:r>
                </w:p>
              </w:tc>
            </w:tr>
            <w:tr w14:paraId="6F04F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156" w:type="dxa"/>
                  <w:vAlign w:val="center"/>
                </w:tcPr>
                <w:p w14:paraId="46FF845C">
                  <w:pPr>
                    <w:pStyle w:val="34"/>
                    <w:adjustRightInd w:val="0"/>
                    <w:spacing w:after="0"/>
                    <w:ind w:left="480"/>
                    <w:jc w:val="center"/>
                    <w:rPr>
                      <w:rFonts w:ascii="Times New Roman" w:hAnsi="Times New Roman" w:cs="Times New Roman"/>
                      <w:szCs w:val="21"/>
                    </w:rPr>
                  </w:pPr>
                  <w:r>
                    <w:rPr>
                      <w:rFonts w:ascii="Times New Roman" w:hAnsi="Times New Roman" w:cs="Times New Roman"/>
                      <w:szCs w:val="21"/>
                    </w:rPr>
                    <w:t>六价铬</w:t>
                  </w:r>
                </w:p>
              </w:tc>
              <w:tc>
                <w:tcPr>
                  <w:tcW w:w="3115" w:type="dxa"/>
                  <w:vAlign w:val="center"/>
                </w:tcPr>
                <w:p w14:paraId="5385A8DE">
                  <w:pPr>
                    <w:adjustRightInd w:val="0"/>
                    <w:snapToGrid w:val="0"/>
                    <w:jc w:val="center"/>
                    <w:rPr>
                      <w:rFonts w:ascii="Times New Roman" w:hAnsi="Times New Roman" w:cs="Times New Roman"/>
                      <w:szCs w:val="21"/>
                    </w:rPr>
                  </w:pPr>
                  <w:r>
                    <w:rPr>
                      <w:rFonts w:ascii="Times New Roman" w:hAnsi="Times New Roman" w:cs="Times New Roman"/>
                      <w:szCs w:val="21"/>
                    </w:rPr>
                    <w:t>二苯碳酰二肼分光光度法</w:t>
                  </w:r>
                </w:p>
              </w:tc>
              <w:tc>
                <w:tcPr>
                  <w:tcW w:w="3174" w:type="dxa"/>
                  <w:vAlign w:val="center"/>
                </w:tcPr>
                <w:p w14:paraId="49AC389F">
                  <w:pPr>
                    <w:adjustRightInd w:val="0"/>
                    <w:snapToGrid w:val="0"/>
                    <w:jc w:val="center"/>
                    <w:rPr>
                      <w:rFonts w:ascii="Times New Roman" w:hAnsi="Times New Roman" w:cs="Times New Roman"/>
                      <w:szCs w:val="21"/>
                    </w:rPr>
                  </w:pPr>
                  <w:r>
                    <w:rPr>
                      <w:rFonts w:ascii="Times New Roman" w:hAnsi="Times New Roman" w:cs="Times New Roman"/>
                      <w:szCs w:val="21"/>
                    </w:rPr>
                    <w:t>GB/T7467-1987</w:t>
                  </w:r>
                </w:p>
              </w:tc>
            </w:tr>
            <w:tr w14:paraId="42E70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56" w:type="dxa"/>
                  <w:vAlign w:val="center"/>
                </w:tcPr>
                <w:p w14:paraId="2D3C278F">
                  <w:pPr>
                    <w:pStyle w:val="34"/>
                    <w:adjustRightInd w:val="0"/>
                    <w:spacing w:after="0"/>
                    <w:ind w:left="480"/>
                    <w:jc w:val="center"/>
                    <w:rPr>
                      <w:rFonts w:ascii="Times New Roman" w:hAnsi="Times New Roman" w:cs="Times New Roman"/>
                      <w:szCs w:val="21"/>
                    </w:rPr>
                  </w:pPr>
                  <w:r>
                    <w:rPr>
                      <w:rFonts w:ascii="Times New Roman" w:hAnsi="Times New Roman" w:cs="Times New Roman"/>
                      <w:szCs w:val="21"/>
                    </w:rPr>
                    <w:t>石油类</w:t>
                  </w:r>
                </w:p>
              </w:tc>
              <w:tc>
                <w:tcPr>
                  <w:tcW w:w="3115" w:type="dxa"/>
                  <w:vAlign w:val="center"/>
                </w:tcPr>
                <w:p w14:paraId="77C6752F">
                  <w:pPr>
                    <w:pStyle w:val="34"/>
                    <w:adjustRightInd w:val="0"/>
                    <w:spacing w:after="0"/>
                    <w:ind w:left="480"/>
                    <w:jc w:val="center"/>
                    <w:rPr>
                      <w:rFonts w:ascii="Times New Roman" w:hAnsi="Times New Roman" w:cs="Times New Roman"/>
                      <w:szCs w:val="21"/>
                    </w:rPr>
                  </w:pPr>
                  <w:r>
                    <w:rPr>
                      <w:rFonts w:ascii="Times New Roman" w:hAnsi="Times New Roman" w:cs="Times New Roman"/>
                      <w:szCs w:val="21"/>
                    </w:rPr>
                    <w:t>红外分光光度法</w:t>
                  </w:r>
                </w:p>
              </w:tc>
              <w:tc>
                <w:tcPr>
                  <w:tcW w:w="3174" w:type="dxa"/>
                  <w:vAlign w:val="center"/>
                </w:tcPr>
                <w:p w14:paraId="138A7CEB">
                  <w:pPr>
                    <w:pStyle w:val="34"/>
                    <w:adjustRightInd w:val="0"/>
                    <w:spacing w:after="0"/>
                    <w:ind w:left="480"/>
                    <w:jc w:val="center"/>
                    <w:rPr>
                      <w:rFonts w:ascii="Times New Roman" w:hAnsi="Times New Roman" w:cs="Times New Roman"/>
                      <w:szCs w:val="21"/>
                    </w:rPr>
                  </w:pPr>
                  <w:r>
                    <w:rPr>
                      <w:rFonts w:ascii="Times New Roman" w:hAnsi="Times New Roman" w:cs="Times New Roman"/>
                      <w:szCs w:val="21"/>
                    </w:rPr>
                    <w:t>HJ637-2012</w:t>
                  </w:r>
                </w:p>
              </w:tc>
            </w:tr>
            <w:tr w14:paraId="26441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156" w:type="dxa"/>
                  <w:vAlign w:val="center"/>
                </w:tcPr>
                <w:p w14:paraId="34C90FC7">
                  <w:pPr>
                    <w:pStyle w:val="34"/>
                    <w:adjustRightInd w:val="0"/>
                    <w:spacing w:after="0"/>
                    <w:ind w:left="480"/>
                    <w:jc w:val="center"/>
                    <w:rPr>
                      <w:rFonts w:ascii="Times New Roman" w:hAnsi="Times New Roman" w:cs="Times New Roman"/>
                      <w:szCs w:val="21"/>
                    </w:rPr>
                  </w:pPr>
                  <w:r>
                    <w:rPr>
                      <w:rFonts w:ascii="Times New Roman" w:hAnsi="Times New Roman" w:cs="Times New Roman"/>
                      <w:szCs w:val="21"/>
                    </w:rPr>
                    <w:t>硫化物</w:t>
                  </w:r>
                </w:p>
              </w:tc>
              <w:tc>
                <w:tcPr>
                  <w:tcW w:w="3115" w:type="dxa"/>
                  <w:vAlign w:val="center"/>
                </w:tcPr>
                <w:p w14:paraId="206F0B34">
                  <w:pPr>
                    <w:pStyle w:val="34"/>
                    <w:adjustRightInd w:val="0"/>
                    <w:spacing w:after="0"/>
                    <w:ind w:left="480"/>
                    <w:jc w:val="center"/>
                    <w:rPr>
                      <w:rFonts w:ascii="Times New Roman" w:hAnsi="Times New Roman" w:cs="Times New Roman"/>
                      <w:szCs w:val="21"/>
                    </w:rPr>
                  </w:pPr>
                  <w:r>
                    <w:rPr>
                      <w:rFonts w:ascii="Times New Roman" w:hAnsi="Times New Roman" w:cs="Times New Roman"/>
                      <w:szCs w:val="21"/>
                    </w:rPr>
                    <w:t>亚甲基蓝分光光度计</w:t>
                  </w:r>
                </w:p>
              </w:tc>
              <w:tc>
                <w:tcPr>
                  <w:tcW w:w="3174" w:type="dxa"/>
                  <w:vAlign w:val="center"/>
                </w:tcPr>
                <w:p w14:paraId="5F0D8F6C">
                  <w:pPr>
                    <w:pStyle w:val="34"/>
                    <w:adjustRightInd w:val="0"/>
                    <w:spacing w:after="0"/>
                    <w:ind w:left="480"/>
                    <w:jc w:val="center"/>
                    <w:rPr>
                      <w:rFonts w:ascii="Times New Roman" w:hAnsi="Times New Roman" w:cs="Times New Roman"/>
                      <w:szCs w:val="21"/>
                    </w:rPr>
                  </w:pPr>
                  <w:r>
                    <w:rPr>
                      <w:rFonts w:ascii="Times New Roman" w:hAnsi="Times New Roman" w:cs="Times New Roman"/>
                      <w:szCs w:val="21"/>
                    </w:rPr>
                    <w:t>GB/T16489-1996</w:t>
                  </w:r>
                </w:p>
              </w:tc>
            </w:tr>
            <w:tr w14:paraId="01130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56" w:type="dxa"/>
                  <w:vAlign w:val="center"/>
                </w:tcPr>
                <w:p w14:paraId="1C661155">
                  <w:pPr>
                    <w:pStyle w:val="34"/>
                    <w:spacing w:after="0"/>
                    <w:jc w:val="center"/>
                    <w:rPr>
                      <w:rFonts w:ascii="Times New Roman" w:hAnsi="Times New Roman" w:cs="Times New Roman"/>
                      <w:szCs w:val="21"/>
                    </w:rPr>
                  </w:pPr>
                  <w:r>
                    <w:rPr>
                      <w:rFonts w:ascii="Times New Roman" w:hAnsi="Times New Roman" w:cs="Times New Roman"/>
                      <w:szCs w:val="21"/>
                    </w:rPr>
                    <w:t>总磷</w:t>
                  </w:r>
                </w:p>
              </w:tc>
              <w:tc>
                <w:tcPr>
                  <w:tcW w:w="3115" w:type="dxa"/>
                  <w:vAlign w:val="center"/>
                </w:tcPr>
                <w:p w14:paraId="12B39F4E">
                  <w:pPr>
                    <w:pStyle w:val="34"/>
                    <w:spacing w:after="0"/>
                    <w:jc w:val="center"/>
                    <w:rPr>
                      <w:rFonts w:ascii="Times New Roman" w:hAnsi="Times New Roman" w:cs="Times New Roman"/>
                      <w:szCs w:val="21"/>
                    </w:rPr>
                  </w:pPr>
                  <w:r>
                    <w:rPr>
                      <w:rFonts w:ascii="Times New Roman" w:hAnsi="Times New Roman" w:cs="Times New Roman"/>
                      <w:szCs w:val="21"/>
                    </w:rPr>
                    <w:t>V-1200可见分光光度计</w:t>
                  </w:r>
                </w:p>
              </w:tc>
              <w:tc>
                <w:tcPr>
                  <w:tcW w:w="3174" w:type="dxa"/>
                  <w:vAlign w:val="center"/>
                </w:tcPr>
                <w:p w14:paraId="0FF33A5F">
                  <w:pPr>
                    <w:pStyle w:val="34"/>
                    <w:spacing w:after="0"/>
                    <w:jc w:val="center"/>
                    <w:rPr>
                      <w:rFonts w:ascii="Times New Roman" w:hAnsi="Times New Roman" w:cs="Times New Roman"/>
                      <w:szCs w:val="21"/>
                    </w:rPr>
                  </w:pPr>
                  <w:r>
                    <w:rPr>
                      <w:rFonts w:ascii="Times New Roman" w:hAnsi="Times New Roman" w:cs="Times New Roman"/>
                      <w:szCs w:val="21"/>
                    </w:rPr>
                    <w:t>JHJ-238</w:t>
                  </w:r>
                </w:p>
              </w:tc>
            </w:tr>
          </w:tbl>
          <w:p w14:paraId="525F8BA6">
            <w:pPr>
              <w:spacing w:line="360" w:lineRule="auto"/>
              <w:ind w:firstLine="420" w:firstLineChars="200"/>
              <w:rPr>
                <w:rFonts w:ascii="Times New Roman" w:hAnsi="Times New Roman" w:cs="Times New Roman"/>
              </w:rPr>
            </w:pPr>
          </w:p>
          <w:p w14:paraId="367D4296">
            <w:pPr>
              <w:spacing w:line="360" w:lineRule="auto"/>
              <w:ind w:firstLine="480" w:firstLineChars="200"/>
              <w:rPr>
                <w:rFonts w:ascii="Times New Roman" w:hAnsi="Times New Roman" w:cs="Times New Roman"/>
                <w:sz w:val="24"/>
              </w:rPr>
            </w:pPr>
            <w:r>
              <w:rPr>
                <w:rFonts w:ascii="Times New Roman" w:hAnsi="Times New Roman" w:cs="Times New Roman"/>
                <w:sz w:val="24"/>
              </w:rPr>
              <w:t>（5）监测结果统计及现状评价</w:t>
            </w:r>
          </w:p>
          <w:p w14:paraId="7E704D47">
            <w:pPr>
              <w:adjustRightInd w:val="0"/>
              <w:snapToGrid w:val="0"/>
              <w:spacing w:line="360" w:lineRule="auto"/>
              <w:rPr>
                <w:rFonts w:ascii="Times New Roman" w:hAnsi="Times New Roman" w:cs="Times New Roman"/>
                <w:sz w:val="24"/>
              </w:rPr>
            </w:pPr>
            <w:r>
              <w:rPr>
                <w:rFonts w:ascii="Times New Roman" w:hAnsi="Times New Roman" w:cs="Times New Roman"/>
                <w:sz w:val="24"/>
              </w:rPr>
              <w:t>地表水环境质量监测结果统计见表3.2-2，根据《环境影响评价技术导则 地表水环境》（HJ2.3-2018），利用水质指数法评价。</w:t>
            </w:r>
          </w:p>
          <w:p w14:paraId="3551A65D">
            <w:pPr>
              <w:adjustRightInd w:val="0"/>
              <w:snapToGrid w:val="0"/>
              <w:spacing w:line="360" w:lineRule="auto"/>
              <w:rPr>
                <w:rFonts w:ascii="Times New Roman" w:hAnsi="Times New Roman" w:cs="Times New Roman"/>
                <w:sz w:val="24"/>
              </w:rPr>
            </w:pPr>
            <w:r>
              <w:rPr>
                <w:rFonts w:ascii="Times New Roman" w:hAnsi="Times New Roman" w:cs="Times New Roman"/>
                <w:sz w:val="24"/>
              </w:rPr>
              <w:t>一般水质因子</w:t>
            </w:r>
          </w:p>
          <w:p w14:paraId="18680425">
            <w:pPr>
              <w:adjustRightInd w:val="0"/>
              <w:snapToGrid w:val="0"/>
              <w:spacing w:line="360" w:lineRule="auto"/>
              <w:jc w:val="center"/>
              <w:rPr>
                <w:rFonts w:ascii="Times New Roman" w:hAnsi="Times New Roman" w:cs="Times New Roman"/>
                <w:sz w:val="24"/>
              </w:rPr>
            </w:pPr>
            <w:r>
              <w:rPr>
                <w:rFonts w:ascii="Times New Roman" w:hAnsi="Times New Roman" w:cs="Times New Roman"/>
                <w:sz w:val="24"/>
              </w:rPr>
              <w:t>S</w:t>
            </w:r>
            <w:r>
              <w:rPr>
                <w:rFonts w:ascii="Times New Roman" w:hAnsi="Times New Roman" w:cs="Times New Roman"/>
                <w:sz w:val="24"/>
                <w:vertAlign w:val="subscript"/>
              </w:rPr>
              <w:t>i,j</w:t>
            </w:r>
            <w:r>
              <w:rPr>
                <w:rFonts w:ascii="Times New Roman" w:hAnsi="Times New Roman" w:cs="Times New Roman"/>
                <w:sz w:val="24"/>
              </w:rPr>
              <w:t>=C</w:t>
            </w:r>
            <w:r>
              <w:rPr>
                <w:rFonts w:ascii="Times New Roman" w:hAnsi="Times New Roman" w:cs="Times New Roman"/>
                <w:sz w:val="24"/>
                <w:vertAlign w:val="subscript"/>
              </w:rPr>
              <w:t>i，j</w:t>
            </w:r>
            <w:r>
              <w:rPr>
                <w:rFonts w:ascii="Times New Roman" w:hAnsi="Times New Roman" w:cs="Times New Roman"/>
                <w:sz w:val="24"/>
              </w:rPr>
              <w:t>/C</w:t>
            </w:r>
            <w:r>
              <w:rPr>
                <w:rFonts w:ascii="Times New Roman" w:hAnsi="Times New Roman" w:cs="Times New Roman"/>
                <w:sz w:val="24"/>
                <w:vertAlign w:val="subscript"/>
              </w:rPr>
              <w:t>s，i</w:t>
            </w:r>
          </w:p>
          <w:p w14:paraId="6973C86B">
            <w:pPr>
              <w:adjustRightInd w:val="0"/>
              <w:snapToGrid w:val="0"/>
              <w:spacing w:line="360" w:lineRule="auto"/>
              <w:rPr>
                <w:rFonts w:ascii="Times New Roman" w:hAnsi="Times New Roman" w:cs="Times New Roman"/>
                <w:sz w:val="24"/>
              </w:rPr>
            </w:pPr>
            <w:r>
              <w:rPr>
                <w:rFonts w:ascii="Times New Roman" w:hAnsi="Times New Roman" w:cs="Times New Roman"/>
                <w:sz w:val="24"/>
              </w:rPr>
              <w:t>式中：S</w:t>
            </w:r>
            <w:r>
              <w:rPr>
                <w:rFonts w:ascii="Times New Roman" w:hAnsi="Times New Roman" w:cs="Times New Roman"/>
                <w:sz w:val="24"/>
                <w:vertAlign w:val="subscript"/>
              </w:rPr>
              <w:t>i,j</w:t>
            </w:r>
            <w:r>
              <w:rPr>
                <w:rFonts w:ascii="Times New Roman" w:hAnsi="Times New Roman" w:cs="Times New Roman"/>
                <w:sz w:val="24"/>
              </w:rPr>
              <w:t>——评价因子i的水质指数，大于1表明该水质因子超标；</w:t>
            </w:r>
          </w:p>
          <w:p w14:paraId="19DCADEE">
            <w:pPr>
              <w:adjustRightInd w:val="0"/>
              <w:snapToGrid w:val="0"/>
              <w:spacing w:line="360" w:lineRule="auto"/>
              <w:rPr>
                <w:rFonts w:ascii="Times New Roman" w:hAnsi="Times New Roman" w:cs="Times New Roman"/>
                <w:sz w:val="24"/>
              </w:rPr>
            </w:pPr>
            <w:r>
              <w:rPr>
                <w:rFonts w:ascii="Times New Roman" w:hAnsi="Times New Roman" w:cs="Times New Roman"/>
                <w:sz w:val="24"/>
              </w:rPr>
              <w:t>C</w:t>
            </w:r>
            <w:r>
              <w:rPr>
                <w:rFonts w:ascii="Times New Roman" w:hAnsi="Times New Roman" w:cs="Times New Roman"/>
                <w:sz w:val="24"/>
                <w:vertAlign w:val="subscript"/>
              </w:rPr>
              <w:t>i,j</w:t>
            </w:r>
            <w:r>
              <w:rPr>
                <w:rFonts w:ascii="Times New Roman" w:hAnsi="Times New Roman" w:cs="Times New Roman"/>
                <w:sz w:val="24"/>
              </w:rPr>
              <w:t>——评价因子i在j点的实测统计代表值，mg/L；</w:t>
            </w:r>
          </w:p>
          <w:p w14:paraId="42093D02">
            <w:pPr>
              <w:adjustRightInd w:val="0"/>
              <w:snapToGrid w:val="0"/>
              <w:spacing w:line="360" w:lineRule="auto"/>
              <w:rPr>
                <w:rFonts w:ascii="Times New Roman" w:hAnsi="Times New Roman" w:cs="Times New Roman"/>
                <w:sz w:val="24"/>
              </w:rPr>
            </w:pPr>
            <w:r>
              <w:rPr>
                <w:rFonts w:ascii="Times New Roman" w:hAnsi="Times New Roman" w:cs="Times New Roman"/>
                <w:sz w:val="24"/>
              </w:rPr>
              <w:t>C</w:t>
            </w:r>
            <w:r>
              <w:rPr>
                <w:rFonts w:ascii="Times New Roman" w:hAnsi="Times New Roman" w:cs="Times New Roman"/>
                <w:sz w:val="24"/>
                <w:vertAlign w:val="subscript"/>
              </w:rPr>
              <w:t>s,i</w:t>
            </w:r>
            <w:r>
              <w:rPr>
                <w:rFonts w:ascii="Times New Roman" w:hAnsi="Times New Roman" w:cs="Times New Roman"/>
                <w:sz w:val="24"/>
              </w:rPr>
              <w:t>——评价因子i的水质评价标准限值，mg/L。</w:t>
            </w:r>
          </w:p>
          <w:p w14:paraId="77763C62">
            <w:pPr>
              <w:adjustRightInd w:val="0"/>
              <w:snapToGrid w:val="0"/>
              <w:spacing w:line="360" w:lineRule="auto"/>
              <w:rPr>
                <w:rFonts w:ascii="Times New Roman" w:hAnsi="Times New Roman" w:cs="Times New Roman"/>
                <w:sz w:val="24"/>
              </w:rPr>
            </w:pPr>
            <w:r>
              <w:rPr>
                <w:rFonts w:ascii="Times New Roman" w:hAnsi="Times New Roman" w:cs="Times New Roman"/>
                <w:sz w:val="24"/>
              </w:rPr>
              <w:t>溶解氧（DO）标准指数</w:t>
            </w:r>
          </w:p>
          <w:p w14:paraId="0DF76075">
            <w:pPr>
              <w:adjustRightInd w:val="0"/>
              <w:snapToGrid w:val="0"/>
              <w:spacing w:line="360" w:lineRule="auto"/>
              <w:jc w:val="center"/>
              <w:rPr>
                <w:rFonts w:ascii="Times New Roman" w:hAnsi="Times New Roman" w:cs="Times New Roman"/>
                <w:sz w:val="24"/>
              </w:rPr>
            </w:pPr>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DO</m:t>
                  </m:r>
                  <m:r>
                    <m:rPr>
                      <m:sty m:val="p"/>
                    </m:rPr>
                    <w:rPr>
                      <w:rFonts w:ascii="Cambria Math" w:hAnsi="Cambria Math"/>
                    </w:rPr>
                    <m:t>,</m:t>
                  </m:r>
                  <m:r>
                    <m:rPr/>
                    <w:rPr>
                      <w:rFonts w:ascii="Cambria Math" w:hAnsi="Cambria Math"/>
                    </w:rPr>
                    <m:t>j</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DO</m:t>
                  </m:r>
                  <m:ctrlPr>
                    <w:rPr>
                      <w:rFonts w:ascii="Cambria Math" w:hAnsi="Cambria Math"/>
                    </w:rPr>
                  </m:ctrlPr>
                </m:e>
                <m:sub>
                  <m:r>
                    <m:rPr/>
                    <w:rPr>
                      <w:rFonts w:ascii="Cambria Math" w:hAnsi="Cambria Math"/>
                    </w:rPr>
                    <m:t>s</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DO</m:t>
                  </m:r>
                  <m:ctrlPr>
                    <w:rPr>
                      <w:rFonts w:ascii="Cambria Math" w:hAnsi="Cambria Math"/>
                    </w:rPr>
                  </m:ctrlPr>
                </m:e>
                <m:sub>
                  <m:r>
                    <m:rPr/>
                    <w:rPr>
                      <w:rFonts w:ascii="Cambria Math" w:hAnsi="Cambria Math"/>
                    </w:rPr>
                    <m:t>j</m:t>
                  </m:r>
                  <m:ctrlPr>
                    <w:rPr>
                      <w:rFonts w:ascii="Cambria Math" w:hAnsi="Cambria Math"/>
                    </w:rPr>
                  </m:ctrlPr>
                </m:sub>
              </m:sSub>
            </m:oMath>
            <w:r>
              <w:rPr>
                <w:rFonts w:ascii="Times New Roman" w:hAnsi="Times New Roman" w:cs="Times New Roman"/>
                <w:sz w:val="24"/>
              </w:rPr>
              <w:t xml:space="preserve">   </w:t>
            </w:r>
            <w:r>
              <w:rPr>
                <w:rFonts w:ascii="Times New Roman" w:hAnsi="Times New Roman" w:cs="Times New Roman"/>
                <w:sz w:val="24"/>
              </w:rPr>
              <w:fldChar w:fldCharType="begin"/>
            </w:r>
            <w:r>
              <w:rPr>
                <w:rFonts w:ascii="Times New Roman" w:hAnsi="Times New Roman" w:cs="Times New Roman"/>
                <w:sz w:val="24"/>
              </w:rPr>
              <w:instrText xml:space="preserve"> QUOTE </w:instrText>
            </w:r>
            <w:r>
              <w:rPr>
                <w:rFonts w:ascii="Times New Roman" w:hAnsi="Times New Roman" w:cs="Times New Roman"/>
                <w:position w:val="-8"/>
                <w:sz w:val="24"/>
              </w:rPr>
              <w:pict>
                <v:shape id="_x0000_i1027" o:spt="75" type="#_x0000_t75" style="height:14.25pt;width:50.2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isplayBackgroundShape/&gt;&lt;w:doNotEmbedSystemFonts/&gt;&lt;w:stylePaneFormatFilter w:val=&quot;3F01&quot;/&gt;&lt;w:documentProtection w:edit=&quot;tracked-changes&quot; w:enforcement=&quot;off&quot;/&gt;&lt;w:defaultTabStop w:val=&quot;420&quot;/&gt;&lt;w:evenAndOddHeaders/&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compat&gt;&lt;w:doNotExpandShiftReturn/&gt;&lt;w:breakWrappedTables/&gt;&lt;w:snapToGridInCell/&gt;&lt;w:dontGrowAutofit/&gt;&lt;w:useFELayout/&gt;&lt;/w:compat&gt;&lt;wsp:rsids&gt;&lt;wsp:rsidRoot wsp:val=&quot;00A14947&quot;/&gt;&lt;wsp:rsid wsp:val=&quot;00000832&quot;/&gt;&lt;wsp:rsid wsp:val=&quot;0000091E&quot;/&gt;&lt;wsp:rsid wsp:val=&quot;0000192C&quot;/&gt;&lt;wsp:rsid wsp:val=&quot;00002C3F&quot;/&gt;&lt;wsp:rsid wsp:val=&quot;000036F3&quot;/&gt;&lt;wsp:rsid wsp:val=&quot;00003D7D&quot;/&gt;&lt;wsp:rsid wsp:val=&quot;000041E2&quot;/&gt;&lt;wsp:rsid wsp:val=&quot;00004C84&quot;/&gt;&lt;wsp:rsid wsp:val=&quot;00005101&quot;/&gt;&lt;wsp:rsid wsp:val=&quot;000056BD&quot;/&gt;&lt;wsp:rsid wsp:val=&quot;000056FF&quot;/&gt;&lt;wsp:rsid wsp:val=&quot;000060B3&quot;/&gt;&lt;wsp:rsid wsp:val=&quot;0000638D&quot;/&gt;&lt;wsp:rsid wsp:val=&quot;00006578&quot;/&gt;&lt;wsp:rsid wsp:val=&quot;00006FCD&quot;/&gt;&lt;wsp:rsid wsp:val=&quot;00007495&quot;/&gt;&lt;wsp:rsid wsp:val=&quot;0001183E&quot;/&gt;&lt;wsp:rsid wsp:val=&quot;00011E3F&quot;/&gt;&lt;wsp:rsid wsp:val=&quot;000122D3&quot;/&gt;&lt;wsp:rsid wsp:val=&quot;0001235E&quot;/&gt;&lt;wsp:rsid wsp:val=&quot;000129BB&quot;/&gt;&lt;wsp:rsid wsp:val=&quot;0001301D&quot;/&gt;&lt;wsp:rsid wsp:val=&quot;00014435&quot;/&gt;&lt;wsp:rsid wsp:val=&quot;00014948&quot;/&gt;&lt;wsp:rsid wsp:val=&quot;00014C79&quot;/&gt;&lt;wsp:rsid wsp:val=&quot;0001558A&quot;/&gt;&lt;wsp:rsid wsp:val=&quot;000156AB&quot;/&gt;&lt;wsp:rsid wsp:val=&quot;00015C53&quot;/&gt;&lt;wsp:rsid wsp:val=&quot;00016D2F&quot;/&gt;&lt;wsp:rsid wsp:val=&quot;00016EC7&quot;/&gt;&lt;wsp:rsid wsp:val=&quot;00016FA8&quot;/&gt;&lt;wsp:rsid wsp:val=&quot;0001725B&quot;/&gt;&lt;wsp:rsid wsp:val=&quot;00020063&quot;/&gt;&lt;wsp:rsid wsp:val=&quot;00020FA3&quot;/&gt;&lt;wsp:rsid wsp:val=&quot;0002127F&quot;/&gt;&lt;wsp:rsid wsp:val=&quot;00021362&quot;/&gt;&lt;wsp:rsid wsp:val=&quot;000213E0&quot;/&gt;&lt;wsp:rsid wsp:val=&quot;00021F9C&quot;/&gt;&lt;wsp:rsid wsp:val=&quot;00022D29&quot;/&gt;&lt;wsp:rsid wsp:val=&quot;0002302D&quot;/&gt;&lt;wsp:rsid wsp:val=&quot;000230D3&quot;/&gt;&lt;wsp:rsid wsp:val=&quot;000235E2&quot;/&gt;&lt;wsp:rsid wsp:val=&quot;000239CD&quot;/&gt;&lt;wsp:rsid wsp:val=&quot;00023F5A&quot;/&gt;&lt;wsp:rsid wsp:val=&quot;0002432F&quot;/&gt;&lt;wsp:rsid wsp:val=&quot;00024491&quot;/&gt;&lt;wsp:rsid wsp:val=&quot;00024A39&quot;/&gt;&lt;wsp:rsid wsp:val=&quot;00024B3B&quot;/&gt;&lt;wsp:rsid wsp:val=&quot;00024EE9&quot;/&gt;&lt;wsp:rsid wsp:val=&quot;00025B05&quot;/&gt;&lt;wsp:rsid wsp:val=&quot;00026113&quot;/&gt;&lt;wsp:rsid wsp:val=&quot;0002628D&quot;/&gt;&lt;wsp:rsid wsp:val=&quot;000270BC&quot;/&gt;&lt;wsp:rsid wsp:val=&quot;00027420&quot;/&gt;&lt;wsp:rsid wsp:val=&quot;00027A97&quot;/&gt;&lt;wsp:rsid wsp:val=&quot;0003067F&quot;/&gt;&lt;wsp:rsid wsp:val=&quot;00030BB2&quot;/&gt;&lt;wsp:rsid wsp:val=&quot;00032127&quot;/&gt;&lt;wsp:rsid wsp:val=&quot;000321FE&quot;/&gt;&lt;wsp:rsid wsp:val=&quot;000325BB&quot;/&gt;&lt;wsp:rsid wsp:val=&quot;0003312B&quot;/&gt;&lt;wsp:rsid wsp:val=&quot;00033288&quot;/&gt;&lt;wsp:rsid wsp:val=&quot;00033303&quot;/&gt;&lt;wsp:rsid wsp:val=&quot;000334BB&quot;/&gt;&lt;wsp:rsid wsp:val=&quot;00033DBF&quot;/&gt;&lt;wsp:rsid wsp:val=&quot;0003436D&quot;/&gt;&lt;wsp:rsid wsp:val=&quot;00034B45&quot;/&gt;&lt;wsp:rsid wsp:val=&quot;00034FA3&quot;/&gt;&lt;wsp:rsid wsp:val=&quot;000350E9&quot;/&gt;&lt;wsp:rsid wsp:val=&quot;0003711C&quot;/&gt;&lt;wsp:rsid wsp:val=&quot;0003727A&quot;/&gt;&lt;wsp:rsid wsp:val=&quot;000411A0&quot;/&gt;&lt;wsp:rsid wsp:val=&quot;00041816&quot;/&gt;&lt;wsp:rsid wsp:val=&quot;00041C23&quot;/&gt;&lt;wsp:rsid wsp:val=&quot;00041DC1&quot;/&gt;&lt;wsp:rsid wsp:val=&quot;00043370&quot;/&gt;&lt;wsp:rsid wsp:val=&quot;00043497&quot;/&gt;&lt;wsp:rsid wsp:val=&quot;0004364B&quot;/&gt;&lt;wsp:rsid wsp:val=&quot;00043880&quot;/&gt;&lt;wsp:rsid wsp:val=&quot;00043AD5&quot;/&gt;&lt;wsp:rsid wsp:val=&quot;00043D4B&quot;/&gt;&lt;wsp:rsid wsp:val=&quot;00044421&quot;/&gt;&lt;wsp:rsid wsp:val=&quot;0004446D&quot;/&gt;&lt;wsp:rsid wsp:val=&quot;000447AB&quot;/&gt;&lt;wsp:rsid wsp:val=&quot;0004481F&quot;/&gt;&lt;wsp:rsid wsp:val=&quot;00044834&quot;/&gt;&lt;wsp:rsid wsp:val=&quot;000450FA&quot;/&gt;&lt;wsp:rsid wsp:val=&quot;00045848&quot;/&gt;&lt;wsp:rsid wsp:val=&quot;00045EFD&quot;/&gt;&lt;wsp:rsid wsp:val=&quot;0004634A&quot;/&gt;&lt;wsp:rsid wsp:val=&quot;00046711&quot;/&gt;&lt;wsp:rsid wsp:val=&quot;00046BE0&quot;/&gt;&lt;wsp:rsid wsp:val=&quot;00046F8C&quot;/&gt;&lt;wsp:rsid wsp:val=&quot;0004711B&quot;/&gt;&lt;wsp:rsid wsp:val=&quot;00047294&quot;/&gt;&lt;wsp:rsid wsp:val=&quot;00047304&quot;/&gt;&lt;wsp:rsid wsp:val=&quot;00047582&quot;/&gt;&lt;wsp:rsid wsp:val=&quot;00050717&quot;/&gt;&lt;wsp:rsid wsp:val=&quot;00051385&quot;/&gt;&lt;wsp:rsid wsp:val=&quot;00051494&quot;/&gt;&lt;wsp:rsid wsp:val=&quot;00051907&quot;/&gt;&lt;wsp:rsid wsp:val=&quot;000524D1&quot;/&gt;&lt;wsp:rsid wsp:val=&quot;000526A7&quot;/&gt;&lt;wsp:rsid wsp:val=&quot;00053DEA&quot;/&gt;&lt;wsp:rsid wsp:val=&quot;00054829&quot;/&gt;&lt;wsp:rsid wsp:val=&quot;0005491B&quot;/&gt;&lt;wsp:rsid wsp:val=&quot;000553CD&quot;/&gt;&lt;wsp:rsid wsp:val=&quot;00055A69&quot;/&gt;&lt;wsp:rsid wsp:val=&quot;00055DA9&quot;/&gt;&lt;wsp:rsid wsp:val=&quot;00055FBF&quot;/&gt;&lt;wsp:rsid wsp:val=&quot;0005611B&quot;/&gt;&lt;wsp:rsid wsp:val=&quot;000563CC&quot;/&gt;&lt;wsp:rsid wsp:val=&quot;00056784&quot;/&gt;&lt;wsp:rsid wsp:val=&quot;00056E79&quot;/&gt;&lt;wsp:rsid wsp:val=&quot;00056E84&quot;/&gt;&lt;wsp:rsid wsp:val=&quot;00057175&quot;/&gt;&lt;wsp:rsid wsp:val=&quot;000577AC&quot;/&gt;&lt;wsp:rsid wsp:val=&quot;0005782E&quot;/&gt;&lt;wsp:rsid wsp:val=&quot;00060FF6&quot;/&gt;&lt;wsp:rsid wsp:val=&quot;00061900&quot;/&gt;&lt;wsp:rsid wsp:val=&quot;00061AC0&quot;/&gt;&lt;wsp:rsid wsp:val=&quot;00061B1F&quot;/&gt;&lt;wsp:rsid wsp:val=&quot;00061D3A&quot;/&gt;&lt;wsp:rsid wsp:val=&quot;0006227B&quot;/&gt;&lt;wsp:rsid wsp:val=&quot;00063261&quot;/&gt;&lt;wsp:rsid wsp:val=&quot;00064D8B&quot;/&gt;&lt;wsp:rsid wsp:val=&quot;000656FD&quot;/&gt;&lt;wsp:rsid wsp:val=&quot;000658C4&quot;/&gt;&lt;wsp:rsid wsp:val=&quot;00066414&quot;/&gt;&lt;wsp:rsid wsp:val=&quot;00066CB7&quot;/&gt;&lt;wsp:rsid wsp:val=&quot;000671D6&quot;/&gt;&lt;wsp:rsid wsp:val=&quot;000677D6&quot;/&gt;&lt;wsp:rsid wsp:val=&quot;00067856&quot;/&gt;&lt;wsp:rsid wsp:val=&quot;00067CBC&quot;/&gt;&lt;wsp:rsid wsp:val=&quot;00067FB0&quot;/&gt;&lt;wsp:rsid wsp:val=&quot;00070EDC&quot;/&gt;&lt;wsp:rsid wsp:val=&quot;0007101B&quot;/&gt;&lt;wsp:rsid wsp:val=&quot;000717D4&quot;/&gt;&lt;wsp:rsid wsp:val=&quot;00071843&quot;/&gt;&lt;wsp:rsid wsp:val=&quot;00072351&quot;/&gt;&lt;wsp:rsid wsp:val=&quot;00072423&quot;/&gt;&lt;wsp:rsid wsp:val=&quot;00072561&quot;/&gt;&lt;wsp:rsid wsp:val=&quot;00072969&quot;/&gt;&lt;wsp:rsid wsp:val=&quot;00072992&quot;/&gt;&lt;wsp:rsid wsp:val=&quot;000729F2&quot;/&gt;&lt;wsp:rsid wsp:val=&quot;00072ED2&quot;/&gt;&lt;wsp:rsid wsp:val=&quot;00073098&quot;/&gt;&lt;wsp:rsid wsp:val=&quot;00073322&quot;/&gt;&lt;wsp:rsid wsp:val=&quot;000733C4&quot;/&gt;&lt;wsp:rsid wsp:val=&quot;00073636&quot;/&gt;&lt;wsp:rsid wsp:val=&quot;00073670&quot;/&gt;&lt;wsp:rsid wsp:val=&quot;000738E0&quot;/&gt;&lt;wsp:rsid wsp:val=&quot;00074183&quot;/&gt;&lt;wsp:rsid wsp:val=&quot;0007448C&quot;/&gt;&lt;wsp:rsid wsp:val=&quot;000745DA&quot;/&gt;&lt;wsp:rsid wsp:val=&quot;00074783&quot;/&gt;&lt;wsp:rsid wsp:val=&quot;000751B0&quot;/&gt;&lt;wsp:rsid wsp:val=&quot;000754A1&quot;/&gt;&lt;wsp:rsid wsp:val=&quot;000768EB&quot;/&gt;&lt;wsp:rsid wsp:val=&quot;00076DAC&quot;/&gt;&lt;wsp:rsid wsp:val=&quot;0007757F&quot;/&gt;&lt;wsp:rsid wsp:val=&quot;00077AD0&quot;/&gt;&lt;wsp:rsid wsp:val=&quot;000805AD&quot;/&gt;&lt;wsp:rsid wsp:val=&quot;0008070B&quot;/&gt;&lt;wsp:rsid wsp:val=&quot;00080B27&quot;/&gt;&lt;wsp:rsid wsp:val=&quot;00080BA0&quot;/&gt;&lt;wsp:rsid wsp:val=&quot;00080E5F&quot;/&gt;&lt;wsp:rsid wsp:val=&quot;00080FFC&quot;/&gt;&lt;wsp:rsid wsp:val=&quot;000810AC&quot;/&gt;&lt;wsp:rsid wsp:val=&quot;000811A1&quot;/&gt;&lt;wsp:rsid wsp:val=&quot;00081809&quot;/&gt;&lt;wsp:rsid wsp:val=&quot;00081A02&quot;/&gt;&lt;wsp:rsid wsp:val=&quot;00082038&quot;/&gt;&lt;wsp:rsid wsp:val=&quot;00082231&quot;/&gt;&lt;wsp:rsid wsp:val=&quot;0008368D&quot;/&gt;&lt;wsp:rsid wsp:val=&quot;000849D4&quot;/&gt;&lt;wsp:rsid wsp:val=&quot;00084B02&quot;/&gt;&lt;wsp:rsid wsp:val=&quot;000856F3&quot;/&gt;&lt;wsp:rsid wsp:val=&quot;000859E9&quot;/&gt;&lt;wsp:rsid wsp:val=&quot;00086029&quot;/&gt;&lt;wsp:rsid wsp:val=&quot;000865C0&quot;/&gt;&lt;wsp:rsid wsp:val=&quot;000867E1&quot;/&gt;&lt;wsp:rsid wsp:val=&quot;00087B8E&quot;/&gt;&lt;wsp:rsid wsp:val=&quot;000910D9&quot;/&gt;&lt;wsp:rsid wsp:val=&quot;000927B8&quot;/&gt;&lt;wsp:rsid wsp:val=&quot;00092905&quot;/&gt;&lt;wsp:rsid wsp:val=&quot;00092D38&quot;/&gt;&lt;wsp:rsid wsp:val=&quot;00093741&quot;/&gt;&lt;wsp:rsid wsp:val=&quot;0009377B&quot;/&gt;&lt;wsp:rsid wsp:val=&quot;00093F9A&quot;/&gt;&lt;wsp:rsid wsp:val=&quot;00094655&quot;/&gt;&lt;wsp:rsid wsp:val=&quot;00095143&quot;/&gt;&lt;wsp:rsid wsp:val=&quot;00095298&quot;/&gt;&lt;wsp:rsid wsp:val=&quot;00095FAA&quot;/&gt;&lt;wsp:rsid wsp:val=&quot;00096A8F&quot;/&gt;&lt;wsp:rsid wsp:val=&quot;00096F88&quot;/&gt;&lt;wsp:rsid wsp:val=&quot;00097C05&quot;/&gt;&lt;wsp:rsid wsp:val=&quot;000A0250&quot;/&gt;&lt;wsp:rsid wsp:val=&quot;000A154C&quot;/&gt;&lt;wsp:rsid wsp:val=&quot;000A20C9&quot;/&gt;&lt;wsp:rsid wsp:val=&quot;000A22FF&quot;/&gt;&lt;wsp:rsid wsp:val=&quot;000A297D&quot;/&gt;&lt;wsp:rsid wsp:val=&quot;000A2BDF&quot;/&gt;&lt;wsp:rsid wsp:val=&quot;000A3180&quot;/&gt;&lt;wsp:rsid wsp:val=&quot;000A3549&quot;/&gt;&lt;wsp:rsid wsp:val=&quot;000A3773&quot;/&gt;&lt;wsp:rsid wsp:val=&quot;000A4276&quot;/&gt;&lt;wsp:rsid wsp:val=&quot;000A429D&quot;/&gt;&lt;wsp:rsid wsp:val=&quot;000A48A1&quot;/&gt;&lt;wsp:rsid wsp:val=&quot;000A4ADA&quot;/&gt;&lt;wsp:rsid wsp:val=&quot;000A4D9B&quot;/&gt;&lt;wsp:rsid wsp:val=&quot;000A4E63&quot;/&gt;&lt;wsp:rsid wsp:val=&quot;000A4F58&quot;/&gt;&lt;wsp:rsid wsp:val=&quot;000A650D&quot;/&gt;&lt;wsp:rsid wsp:val=&quot;000A6CA9&quot;/&gt;&lt;wsp:rsid wsp:val=&quot;000A6EB8&quot;/&gt;&lt;wsp:rsid wsp:val=&quot;000A736E&quot;/&gt;&lt;wsp:rsid wsp:val=&quot;000A7B15&quot;/&gt;&lt;wsp:rsid wsp:val=&quot;000B058F&quot;/&gt;&lt;wsp:rsid wsp:val=&quot;000B0827&quot;/&gt;&lt;wsp:rsid wsp:val=&quot;000B11F4&quot;/&gt;&lt;wsp:rsid wsp:val=&quot;000B1560&quot;/&gt;&lt;wsp:rsid wsp:val=&quot;000B1967&quot;/&gt;&lt;wsp:rsid wsp:val=&quot;000B1AAF&quot;/&gt;&lt;wsp:rsid wsp:val=&quot;000B22DA&quot;/&gt;&lt;wsp:rsid wsp:val=&quot;000B26C4&quot;/&gt;&lt;wsp:rsid wsp:val=&quot;000B394D&quot;/&gt;&lt;wsp:rsid wsp:val=&quot;000B3AB9&quot;/&gt;&lt;wsp:rsid wsp:val=&quot;000B4393&quot;/&gt;&lt;wsp:rsid wsp:val=&quot;000B4467&quot;/&gt;&lt;wsp:rsid wsp:val=&quot;000B4732&quot;/&gt;&lt;wsp:rsid wsp:val=&quot;000B4B17&quot;/&gt;&lt;wsp:rsid wsp:val=&quot;000B4B23&quot;/&gt;&lt;wsp:rsid wsp:val=&quot;000B4B4F&quot;/&gt;&lt;wsp:rsid wsp:val=&quot;000B4DB9&quot;/&gt;&lt;wsp:rsid wsp:val=&quot;000B5196&quot;/&gt;&lt;wsp:rsid wsp:val=&quot;000B5AD4&quot;/&gt;&lt;wsp:rsid wsp:val=&quot;000B5CF3&quot;/&gt;&lt;wsp:rsid wsp:val=&quot;000B5E34&quot;/&gt;&lt;wsp:rsid wsp:val=&quot;000B647D&quot;/&gt;&lt;wsp:rsid wsp:val=&quot;000B699F&quot;/&gt;&lt;wsp:rsid wsp:val=&quot;000B783D&quot;/&gt;&lt;wsp:rsid wsp:val=&quot;000C09AC&quot;/&gt;&lt;wsp:rsid wsp:val=&quot;000C16B7&quot;/&gt;&lt;wsp:rsid wsp:val=&quot;000C1D4E&quot;/&gt;&lt;wsp:rsid wsp:val=&quot;000C2662&quot;/&gt;&lt;wsp:rsid wsp:val=&quot;000C2677&quot;/&gt;&lt;wsp:rsid wsp:val=&quot;000C295B&quot;/&gt;&lt;wsp:rsid wsp:val=&quot;000C29C1&quot;/&gt;&lt;wsp:rsid wsp:val=&quot;000C2A5B&quot;/&gt;&lt;wsp:rsid wsp:val=&quot;000C32C2&quot;/&gt;&lt;wsp:rsid wsp:val=&quot;000C3D03&quot;/&gt;&lt;wsp:rsid wsp:val=&quot;000C43CA&quot;/&gt;&lt;wsp:rsid wsp:val=&quot;000C4788&quot;/&gt;&lt;wsp:rsid wsp:val=&quot;000C48C5&quot;/&gt;&lt;wsp:rsid wsp:val=&quot;000C5810&quot;/&gt;&lt;wsp:rsid wsp:val=&quot;000C5836&quot;/&gt;&lt;wsp:rsid wsp:val=&quot;000C5941&quot;/&gt;&lt;wsp:rsid wsp:val=&quot;000C5DA2&quot;/&gt;&lt;wsp:rsid wsp:val=&quot;000C638F&quot;/&gt;&lt;wsp:rsid wsp:val=&quot;000C6627&quot;/&gt;&lt;wsp:rsid wsp:val=&quot;000C6A2E&quot;/&gt;&lt;wsp:rsid wsp:val=&quot;000C6CF9&quot;/&gt;&lt;wsp:rsid wsp:val=&quot;000C6E90&quot;/&gt;&lt;wsp:rsid wsp:val=&quot;000C7552&quot;/&gt;&lt;wsp:rsid wsp:val=&quot;000C767F&quot;/&gt;&lt;wsp:rsid wsp:val=&quot;000C76BB&quot;/&gt;&lt;wsp:rsid wsp:val=&quot;000C77D3&quot;/&gt;&lt;wsp:rsid wsp:val=&quot;000C783E&quot;/&gt;&lt;wsp:rsid wsp:val=&quot;000D0D9B&quot;/&gt;&lt;wsp:rsid wsp:val=&quot;000D1250&quot;/&gt;&lt;wsp:rsid wsp:val=&quot;000D1B03&quot;/&gt;&lt;wsp:rsid wsp:val=&quot;000D2673&quot;/&gt;&lt;wsp:rsid wsp:val=&quot;000D3612&quot;/&gt;&lt;wsp:rsid wsp:val=&quot;000D3C46&quot;/&gt;&lt;wsp:rsid wsp:val=&quot;000D3EF2&quot;/&gt;&lt;wsp:rsid wsp:val=&quot;000D4A85&quot;/&gt;&lt;wsp:rsid wsp:val=&quot;000D4BD6&quot;/&gt;&lt;wsp:rsid wsp:val=&quot;000D54C4&quot;/&gt;&lt;wsp:rsid wsp:val=&quot;000D54E3&quot;/&gt;&lt;wsp:rsid wsp:val=&quot;000D59DB&quot;/&gt;&lt;wsp:rsid wsp:val=&quot;000D5A44&quot;/&gt;&lt;wsp:rsid wsp:val=&quot;000D6092&quot;/&gt;&lt;wsp:rsid wsp:val=&quot;000D6229&quot;/&gt;&lt;wsp:rsid wsp:val=&quot;000D64DA&quot;/&gt;&lt;wsp:rsid wsp:val=&quot;000D6C29&quot;/&gt;&lt;wsp:rsid wsp:val=&quot;000D7F60&quot;/&gt;&lt;wsp:rsid wsp:val=&quot;000E0553&quot;/&gt;&lt;wsp:rsid wsp:val=&quot;000E09B9&quot;/&gt;&lt;wsp:rsid wsp:val=&quot;000E11B0&quot;/&gt;&lt;wsp:rsid wsp:val=&quot;000E17E5&quot;/&gt;&lt;wsp:rsid wsp:val=&quot;000E20D7&quot;/&gt;&lt;wsp:rsid wsp:val=&quot;000E2BBB&quot;/&gt;&lt;wsp:rsid wsp:val=&quot;000E2C9B&quot;/&gt;&lt;wsp:rsid wsp:val=&quot;000E2F2E&quot;/&gt;&lt;wsp:rsid wsp:val=&quot;000E3151&quot;/&gt;&lt;wsp:rsid wsp:val=&quot;000E31AC&quot;/&gt;&lt;wsp:rsid wsp:val=&quot;000E361B&quot;/&gt;&lt;wsp:rsid wsp:val=&quot;000E374B&quot;/&gt;&lt;wsp:rsid wsp:val=&quot;000E3D53&quot;/&gt;&lt;wsp:rsid wsp:val=&quot;000E3ED2&quot;/&gt;&lt;wsp:rsid wsp:val=&quot;000E43ED&quot;/&gt;&lt;wsp:rsid wsp:val=&quot;000E5FD4&quot;/&gt;&lt;wsp:rsid wsp:val=&quot;000E6615&quot;/&gt;&lt;wsp:rsid wsp:val=&quot;000F0A52&quot;/&gt;&lt;wsp:rsid wsp:val=&quot;000F19F4&quot;/&gt;&lt;wsp:rsid wsp:val=&quot;000F2918&quot;/&gt;&lt;wsp:rsid wsp:val=&quot;000F2B86&quot;/&gt;&lt;wsp:rsid wsp:val=&quot;000F34C2&quot;/&gt;&lt;wsp:rsid wsp:val=&quot;000F3616&quot;/&gt;&lt;wsp:rsid wsp:val=&quot;000F3B62&quot;/&gt;&lt;wsp:rsid wsp:val=&quot;000F3D93&quot;/&gt;&lt;wsp:rsid wsp:val=&quot;000F3DDA&quot;/&gt;&lt;wsp:rsid wsp:val=&quot;000F452F&quot;/&gt;&lt;wsp:rsid wsp:val=&quot;000F4B7E&quot;/&gt;&lt;wsp:rsid wsp:val=&quot;000F4E57&quot;/&gt;&lt;wsp:rsid wsp:val=&quot;000F5AF3&quot;/&gt;&lt;wsp:rsid wsp:val=&quot;000F5B82&quot;/&gt;&lt;wsp:rsid wsp:val=&quot;000F5FB0&quot;/&gt;&lt;wsp:rsid wsp:val=&quot;000F6013&quot;/&gt;&lt;wsp:rsid wsp:val=&quot;000F6605&quot;/&gt;&lt;wsp:rsid wsp:val=&quot;000F67FF&quot;/&gt;&lt;wsp:rsid wsp:val=&quot;000F6A7B&quot;/&gt;&lt;wsp:rsid wsp:val=&quot;000F6FEF&quot;/&gt;&lt;wsp:rsid wsp:val=&quot;000F728C&quot;/&gt;&lt;wsp:rsid wsp:val=&quot;000F734F&quot;/&gt;&lt;wsp:rsid wsp:val=&quot;000F7C6D&quot;/&gt;&lt;wsp:rsid wsp:val=&quot;000F7E9F&quot;/&gt;&lt;wsp:rsid wsp:val=&quot;001001ED&quot;/&gt;&lt;wsp:rsid wsp:val=&quot;00100B6C&quot;/&gt;&lt;wsp:rsid wsp:val=&quot;00100ECB&quot;/&gt;&lt;wsp:rsid wsp:val=&quot;0010137E&quot;/&gt;&lt;wsp:rsid wsp:val=&quot;001014A9&quot;/&gt;&lt;wsp:rsid wsp:val=&quot;0010190B&quot;/&gt;&lt;wsp:rsid wsp:val=&quot;00101CC3&quot;/&gt;&lt;wsp:rsid wsp:val=&quot;0010287A&quot;/&gt;&lt;wsp:rsid wsp:val=&quot;00102970&quot;/&gt;&lt;wsp:rsid wsp:val=&quot;00103687&quot;/&gt;&lt;wsp:rsid wsp:val=&quot;001039E4&quot;/&gt;&lt;wsp:rsid wsp:val=&quot;001039E8&quot;/&gt;&lt;wsp:rsid wsp:val=&quot;001040DE&quot;/&gt;&lt;wsp:rsid wsp:val=&quot;0010471B&quot;/&gt;&lt;wsp:rsid wsp:val=&quot;00104821&quot;/&gt;&lt;wsp:rsid wsp:val=&quot;001049E3&quot;/&gt;&lt;wsp:rsid wsp:val=&quot;00104BE0&quot;/&gt;&lt;wsp:rsid wsp:val=&quot;00104C71&quot;/&gt;&lt;wsp:rsid wsp:val=&quot;0010545C&quot;/&gt;&lt;wsp:rsid wsp:val=&quot;0010569B&quot;/&gt;&lt;wsp:rsid wsp:val=&quot;001058A3&quot;/&gt;&lt;wsp:rsid wsp:val=&quot;00105A61&quot;/&gt;&lt;wsp:rsid wsp:val=&quot;00106DED&quot;/&gt;&lt;wsp:rsid wsp:val=&quot;001070EC&quot;/&gt;&lt;wsp:rsid wsp:val=&quot;001073EE&quot;/&gt;&lt;wsp:rsid wsp:val=&quot;0010747B&quot;/&gt;&lt;wsp:rsid wsp:val=&quot;00107AA1&quot;/&gt;&lt;wsp:rsid wsp:val=&quot;001107E4&quot;/&gt;&lt;wsp:rsid wsp:val=&quot;00110D63&quot;/&gt;&lt;wsp:rsid wsp:val=&quot;0011156E&quot;/&gt;&lt;wsp:rsid wsp:val=&quot;001121C0&quot;/&gt;&lt;wsp:rsid wsp:val=&quot;001135C8&quot;/&gt;&lt;wsp:rsid wsp:val=&quot;001143DB&quot;/&gt;&lt;wsp:rsid wsp:val=&quot;00114476&quot;/&gt;&lt;wsp:rsid wsp:val=&quot;0011470F&quot;/&gt;&lt;wsp:rsid wsp:val=&quot;00114845&quot;/&gt;&lt;wsp:rsid wsp:val=&quot;00114DF7&quot;/&gt;&lt;wsp:rsid wsp:val=&quot;00115173&quot;/&gt;&lt;wsp:rsid wsp:val=&quot;001159C5&quot;/&gt;&lt;wsp:rsid wsp:val=&quot;0011602B&quot;/&gt;&lt;wsp:rsid wsp:val=&quot;00116209&quot;/&gt;&lt;wsp:rsid wsp:val=&quot;00116549&quot;/&gt;&lt;wsp:rsid wsp:val=&quot;00117246&quot;/&gt;&lt;wsp:rsid wsp:val=&quot;00117503&quot;/&gt;&lt;wsp:rsid wsp:val=&quot;00117AF3&quot;/&gt;&lt;wsp:rsid wsp:val=&quot;001203D1&quot;/&gt;&lt;wsp:rsid wsp:val=&quot;0012046E&quot;/&gt;&lt;wsp:rsid wsp:val=&quot;00120FCD&quot;/&gt;&lt;wsp:rsid wsp:val=&quot;001215AD&quot;/&gt;&lt;wsp:rsid wsp:val=&quot;001216D6&quot;/&gt;&lt;wsp:rsid wsp:val=&quot;001216D9&quot;/&gt;&lt;wsp:rsid wsp:val=&quot;00121EA1&quot;/&gt;&lt;wsp:rsid wsp:val=&quot;0012213A&quot;/&gt;&lt;wsp:rsid wsp:val=&quot;0012273C&quot;/&gt;&lt;wsp:rsid wsp:val=&quot;00122C6A&quot;/&gt;&lt;wsp:rsid wsp:val=&quot;00122E99&quot;/&gt;&lt;wsp:rsid wsp:val=&quot;001243AA&quot;/&gt;&lt;wsp:rsid wsp:val=&quot;00125540&quot;/&gt;&lt;wsp:rsid wsp:val=&quot;00125B8B&quot;/&gt;&lt;wsp:rsid wsp:val=&quot;001264D8&quot;/&gt;&lt;wsp:rsid wsp:val=&quot;001265CD&quot;/&gt;&lt;wsp:rsid wsp:val=&quot;00127B43&quot;/&gt;&lt;wsp:rsid wsp:val=&quot;00127CD0&quot;/&gt;&lt;wsp:rsid wsp:val=&quot;00130100&quot;/&gt;&lt;wsp:rsid wsp:val=&quot;00130421&quot;/&gt;&lt;wsp:rsid wsp:val=&quot;00130ADA&quot;/&gt;&lt;wsp:rsid wsp:val=&quot;00130C7E&quot;/&gt;&lt;wsp:rsid wsp:val=&quot;00130CEE&quot;/&gt;&lt;wsp:rsid wsp:val=&quot;00131019&quot;/&gt;&lt;wsp:rsid wsp:val=&quot;001318C9&quot;/&gt;&lt;wsp:rsid wsp:val=&quot;00131C01&quot;/&gt;&lt;wsp:rsid wsp:val=&quot;00131F42&quot;/&gt;&lt;wsp:rsid wsp:val=&quot;001322E3&quot;/&gt;&lt;wsp:rsid wsp:val=&quot;0013284D&quot;/&gt;&lt;wsp:rsid wsp:val=&quot;00133496&quot;/&gt;&lt;wsp:rsid wsp:val=&quot;001334AC&quot;/&gt;&lt;wsp:rsid wsp:val=&quot;00133731&quot;/&gt;&lt;wsp:rsid wsp:val=&quot;00133918&quot;/&gt;&lt;wsp:rsid wsp:val=&quot;00133B90&quot;/&gt;&lt;wsp:rsid wsp:val=&quot;00134523&quot;/&gt;&lt;wsp:rsid wsp:val=&quot;00134835&quot;/&gt;&lt;wsp:rsid wsp:val=&quot;00134BCB&quot;/&gt;&lt;wsp:rsid wsp:val=&quot;001351A3&quot;/&gt;&lt;wsp:rsid wsp:val=&quot;001357F1&quot;/&gt;&lt;wsp:rsid wsp:val=&quot;0013621B&quot;/&gt;&lt;wsp:rsid wsp:val=&quot;0013702F&quot;/&gt;&lt;wsp:rsid wsp:val=&quot;0014051C&quot;/&gt;&lt;wsp:rsid wsp:val=&quot;001409DA&quot;/&gt;&lt;wsp:rsid wsp:val=&quot;00140FA8&quot;/&gt;&lt;wsp:rsid wsp:val=&quot;00141723&quot;/&gt;&lt;wsp:rsid wsp:val=&quot;00141F0E&quot;/&gt;&lt;wsp:rsid wsp:val=&quot;00142A5E&quot;/&gt;&lt;wsp:rsid wsp:val=&quot;00142FEB&quot;/&gt;&lt;wsp:rsid wsp:val=&quot;001431E2&quot;/&gt;&lt;wsp:rsid wsp:val=&quot;00143A2D&quot;/&gt;&lt;wsp:rsid wsp:val=&quot;001446BC&quot;/&gt;&lt;wsp:rsid wsp:val=&quot;0014506F&quot;/&gt;&lt;wsp:rsid wsp:val=&quot;001450A1&quot;/&gt;&lt;wsp:rsid wsp:val=&quot;00145A41&quot;/&gt;&lt;wsp:rsid wsp:val=&quot;001467CD&quot;/&gt;&lt;wsp:rsid wsp:val=&quot;00147905&quot;/&gt;&lt;wsp:rsid wsp:val=&quot;00147A80&quot;/&gt;&lt;wsp:rsid wsp:val=&quot;00150F6C&quot;/&gt;&lt;wsp:rsid wsp:val=&quot;00151675&quot;/&gt;&lt;wsp:rsid wsp:val=&quot;00152285&quot;/&gt;&lt;wsp:rsid wsp:val=&quot;0015255B&quot;/&gt;&lt;wsp:rsid wsp:val=&quot;00152712&quot;/&gt;&lt;wsp:rsid wsp:val=&quot;00153421&quot;/&gt;&lt;wsp:rsid wsp:val=&quot;00153610&quot;/&gt;&lt;wsp:rsid wsp:val=&quot;001537CB&quot;/&gt;&lt;wsp:rsid wsp:val=&quot;00153B6F&quot;/&gt;&lt;wsp:rsid wsp:val=&quot;001544B0&quot;/&gt;&lt;wsp:rsid wsp:val=&quot;00154B77&quot;/&gt;&lt;wsp:rsid wsp:val=&quot;00154ED1&quot;/&gt;&lt;wsp:rsid wsp:val=&quot;00155546&quot;/&gt;&lt;wsp:rsid wsp:val=&quot;00155596&quot;/&gt;&lt;wsp:rsid wsp:val=&quot;001560DA&quot;/&gt;&lt;wsp:rsid wsp:val=&quot;0015631D&quot;/&gt;&lt;wsp:rsid wsp:val=&quot;001563E5&quot;/&gt;&lt;wsp:rsid wsp:val=&quot;001566D0&quot;/&gt;&lt;wsp:rsid wsp:val=&quot;001566FA&quot;/&gt;&lt;wsp:rsid wsp:val=&quot;001571E8&quot;/&gt;&lt;wsp:rsid wsp:val=&quot;00157435&quot;/&gt;&lt;wsp:rsid wsp:val=&quot;00157965&quot;/&gt;&lt;wsp:rsid wsp:val=&quot;00161242&quot;/&gt;&lt;wsp:rsid wsp:val=&quot;001618E6&quot;/&gt;&lt;wsp:rsid wsp:val=&quot;00161BE6&quot;/&gt;&lt;wsp:rsid wsp:val=&quot;00161FE8&quot;/&gt;&lt;wsp:rsid wsp:val=&quot;001622AE&quot;/&gt;&lt;wsp:rsid wsp:val=&quot;00162B83&quot;/&gt;&lt;wsp:rsid wsp:val=&quot;00162C57&quot;/&gt;&lt;wsp:rsid wsp:val=&quot;00163D37&quot;/&gt;&lt;wsp:rsid wsp:val=&quot;001645A2&quot;/&gt;&lt;wsp:rsid wsp:val=&quot;0016487E&quot;/&gt;&lt;wsp:rsid wsp:val=&quot;00165452&quot;/&gt;&lt;wsp:rsid wsp:val=&quot;00165CB4&quot;/&gt;&lt;wsp:rsid wsp:val=&quot;00166275&quot;/&gt;&lt;wsp:rsid wsp:val=&quot;001669FA&quot;/&gt;&lt;wsp:rsid wsp:val=&quot;00166B43&quot;/&gt;&lt;wsp:rsid wsp:val=&quot;001703FB&quot;/&gt;&lt;wsp:rsid wsp:val=&quot;00170AA8&quot;/&gt;&lt;wsp:rsid wsp:val=&quot;00170B7C&quot;/&gt;&lt;wsp:rsid wsp:val=&quot;00170D96&quot;/&gt;&lt;wsp:rsid wsp:val=&quot;00171184&quot;/&gt;&lt;wsp:rsid wsp:val=&quot;001713B6&quot;/&gt;&lt;wsp:rsid wsp:val=&quot;00171EF0&quot;/&gt;&lt;wsp:rsid wsp:val=&quot;00172519&quot;/&gt;&lt;wsp:rsid wsp:val=&quot;00172A46&quot;/&gt;&lt;wsp:rsid wsp:val=&quot;0017374F&quot;/&gt;&lt;wsp:rsid wsp:val=&quot;0017419C&quot;/&gt;&lt;wsp:rsid wsp:val=&quot;00174700&quot;/&gt;&lt;wsp:rsid wsp:val=&quot;001747C1&quot;/&gt;&lt;wsp:rsid wsp:val=&quot;0017496E&quot;/&gt;&lt;wsp:rsid wsp:val=&quot;00174A9F&quot;/&gt;&lt;wsp:rsid wsp:val=&quot;0017504D&quot;/&gt;&lt;wsp:rsid wsp:val=&quot;00175642&quot;/&gt;&lt;wsp:rsid wsp:val=&quot;001758E0&quot;/&gt;&lt;wsp:rsid wsp:val=&quot;00175A9E&quot;/&gt;&lt;wsp:rsid wsp:val=&quot;001762AD&quot;/&gt;&lt;wsp:rsid wsp:val=&quot;0017671A&quot;/&gt;&lt;wsp:rsid wsp:val=&quot;00176AFE&quot;/&gt;&lt;wsp:rsid wsp:val=&quot;00176CFD&quot;/&gt;&lt;wsp:rsid wsp:val=&quot;00177010&quot;/&gt;&lt;wsp:rsid wsp:val=&quot;00177422&quot;/&gt;&lt;wsp:rsid wsp:val=&quot;00180397&quot;/&gt;&lt;wsp:rsid wsp:val=&quot;00180A1D&quot;/&gt;&lt;wsp:rsid wsp:val=&quot;00180FCA&quot;/&gt;&lt;wsp:rsid wsp:val=&quot;00181017&quot;/&gt;&lt;wsp:rsid wsp:val=&quot;0018107C&quot;/&gt;&lt;wsp:rsid wsp:val=&quot;0018118D&quot;/&gt;&lt;wsp:rsid wsp:val=&quot;00181D4D&quot;/&gt;&lt;wsp:rsid wsp:val=&quot;001821AB&quot;/&gt;&lt;wsp:rsid wsp:val=&quot;00182A8A&quot;/&gt;&lt;wsp:rsid wsp:val=&quot;00182D8D&quot;/&gt;&lt;wsp:rsid wsp:val=&quot;00182F16&quot;/&gt;&lt;wsp:rsid wsp:val=&quot;00183A4F&quot;/&gt;&lt;wsp:rsid wsp:val=&quot;00184590&quot;/&gt;&lt;wsp:rsid wsp:val=&quot;00184B32&quot;/&gt;&lt;wsp:rsid wsp:val=&quot;0018520B&quot;/&gt;&lt;wsp:rsid wsp:val=&quot;00185FE9&quot;/&gt;&lt;wsp:rsid wsp:val=&quot;00186019&quot;/&gt;&lt;wsp:rsid wsp:val=&quot;001867CE&quot;/&gt;&lt;wsp:rsid wsp:val=&quot;00186AFA&quot;/&gt;&lt;wsp:rsid wsp:val=&quot;001870D1&quot;/&gt;&lt;wsp:rsid wsp:val=&quot;00187223&quot;/&gt;&lt;wsp:rsid wsp:val=&quot;0018781E&quot;/&gt;&lt;wsp:rsid wsp:val=&quot;001878F0&quot;/&gt;&lt;wsp:rsid wsp:val=&quot;00187FEF&quot;/&gt;&lt;wsp:rsid wsp:val=&quot;00190439&quot;/&gt;&lt;wsp:rsid wsp:val=&quot;00190EF4&quot;/&gt;&lt;wsp:rsid wsp:val=&quot;001913D0&quot;/&gt;&lt;wsp:rsid wsp:val=&quot;00191627&quot;/&gt;&lt;wsp:rsid wsp:val=&quot;00191E16&quot;/&gt;&lt;wsp:rsid wsp:val=&quot;0019262D&quot;/&gt;&lt;wsp:rsid wsp:val=&quot;001938E0&quot;/&gt;&lt;wsp:rsid wsp:val=&quot;00193975&quot;/&gt;&lt;wsp:rsid wsp:val=&quot;00193B1C&quot;/&gt;&lt;wsp:rsid wsp:val=&quot;00193BB7&quot;/&gt;&lt;wsp:rsid wsp:val=&quot;00194BD6&quot;/&gt;&lt;wsp:rsid wsp:val=&quot;001955D6&quot;/&gt;&lt;wsp:rsid wsp:val=&quot;001962F4&quot;/&gt;&lt;wsp:rsid wsp:val=&quot;001970BE&quot;/&gt;&lt;wsp:rsid wsp:val=&quot;001970FE&quot;/&gt;&lt;wsp:rsid wsp:val=&quot;001A0178&quot;/&gt;&lt;wsp:rsid wsp:val=&quot;001A0A06&quot;/&gt;&lt;wsp:rsid wsp:val=&quot;001A1063&quot;/&gt;&lt;wsp:rsid wsp:val=&quot;001A134B&quot;/&gt;&lt;wsp:rsid wsp:val=&quot;001A1458&quot;/&gt;&lt;wsp:rsid wsp:val=&quot;001A1B35&quot;/&gt;&lt;wsp:rsid wsp:val=&quot;001A2D55&quot;/&gt;&lt;wsp:rsid wsp:val=&quot;001A3886&quot;/&gt;&lt;wsp:rsid wsp:val=&quot;001A3F62&quot;/&gt;&lt;wsp:rsid wsp:val=&quot;001A48A2&quot;/&gt;&lt;wsp:rsid wsp:val=&quot;001A48EC&quot;/&gt;&lt;wsp:rsid wsp:val=&quot;001A4C5D&quot;/&gt;&lt;wsp:rsid wsp:val=&quot;001A6250&quot;/&gt;&lt;wsp:rsid wsp:val=&quot;001A6F61&quot;/&gt;&lt;wsp:rsid wsp:val=&quot;001A7435&quot;/&gt;&lt;wsp:rsid wsp:val=&quot;001A7A66&quot;/&gt;&lt;wsp:rsid wsp:val=&quot;001B0926&quot;/&gt;&lt;wsp:rsid wsp:val=&quot;001B12E2&quot;/&gt;&lt;wsp:rsid wsp:val=&quot;001B1428&quot;/&gt;&lt;wsp:rsid wsp:val=&quot;001B146B&quot;/&gt;&lt;wsp:rsid wsp:val=&quot;001B27F2&quot;/&gt;&lt;wsp:rsid wsp:val=&quot;001B328F&quot;/&gt;&lt;wsp:rsid wsp:val=&quot;001B429C&quot;/&gt;&lt;wsp:rsid wsp:val=&quot;001B4D83&quot;/&gt;&lt;wsp:rsid wsp:val=&quot;001B52CB&quot;/&gt;&lt;wsp:rsid wsp:val=&quot;001B5647&quot;/&gt;&lt;wsp:rsid wsp:val=&quot;001B5EF4&quot;/&gt;&lt;wsp:rsid wsp:val=&quot;001B634C&quot;/&gt;&lt;wsp:rsid wsp:val=&quot;001B72B8&quot;/&gt;&lt;wsp:rsid wsp:val=&quot;001B743E&quot;/&gt;&lt;wsp:rsid wsp:val=&quot;001B7530&quot;/&gt;&lt;wsp:rsid wsp:val=&quot;001B7902&quot;/&gt;&lt;wsp:rsid wsp:val=&quot;001B7911&quot;/&gt;&lt;wsp:rsid wsp:val=&quot;001B7BFD&quot;/&gt;&lt;wsp:rsid wsp:val=&quot;001B7C49&quot;/&gt;&lt;wsp:rsid wsp:val=&quot;001B7C6E&quot;/&gt;&lt;wsp:rsid wsp:val=&quot;001C022A&quot;/&gt;&lt;wsp:rsid wsp:val=&quot;001C0366&quot;/&gt;&lt;wsp:rsid wsp:val=&quot;001C2ED8&quot;/&gt;&lt;wsp:rsid wsp:val=&quot;001C3297&quot;/&gt;&lt;wsp:rsid wsp:val=&quot;001C3A50&quot;/&gt;&lt;wsp:rsid wsp:val=&quot;001C3B98&quot;/&gt;&lt;wsp:rsid wsp:val=&quot;001C4178&quot;/&gt;&lt;wsp:rsid wsp:val=&quot;001C4303&quot;/&gt;&lt;wsp:rsid wsp:val=&quot;001C4EE9&quot;/&gt;&lt;wsp:rsid wsp:val=&quot;001C56AC&quot;/&gt;&lt;wsp:rsid wsp:val=&quot;001C5B8A&quot;/&gt;&lt;wsp:rsid wsp:val=&quot;001C6781&quot;/&gt;&lt;wsp:rsid wsp:val=&quot;001C69B3&quot;/&gt;&lt;wsp:rsid wsp:val=&quot;001C6FCD&quot;/&gt;&lt;wsp:rsid wsp:val=&quot;001C72D9&quot;/&gt;&lt;wsp:rsid wsp:val=&quot;001C72F6&quot;/&gt;&lt;wsp:rsid wsp:val=&quot;001C73D2&quot;/&gt;&lt;wsp:rsid wsp:val=&quot;001C7CD5&quot;/&gt;&lt;wsp:rsid wsp:val=&quot;001D0AA0&quot;/&gt;&lt;wsp:rsid wsp:val=&quot;001D0FF8&quot;/&gt;&lt;wsp:rsid wsp:val=&quot;001D1076&quot;/&gt;&lt;wsp:rsid wsp:val=&quot;001D20DA&quot;/&gt;&lt;wsp:rsid wsp:val=&quot;001D251D&quot;/&gt;&lt;wsp:rsid wsp:val=&quot;001D2638&quot;/&gt;&lt;wsp:rsid wsp:val=&quot;001D2942&quot;/&gt;&lt;wsp:rsid wsp:val=&quot;001D2B4C&quot;/&gt;&lt;wsp:rsid wsp:val=&quot;001D3E5F&quot;/&gt;&lt;wsp:rsid wsp:val=&quot;001D4364&quot;/&gt;&lt;wsp:rsid wsp:val=&quot;001D4B8A&quot;/&gt;&lt;wsp:rsid wsp:val=&quot;001D4C27&quot;/&gt;&lt;wsp:rsid wsp:val=&quot;001D4D06&quot;/&gt;&lt;wsp:rsid wsp:val=&quot;001D507F&quot;/&gt;&lt;wsp:rsid wsp:val=&quot;001D543E&quot;/&gt;&lt;wsp:rsid wsp:val=&quot;001D5595&quot;/&gt;&lt;wsp:rsid wsp:val=&quot;001D6316&quot;/&gt;&lt;wsp:rsid wsp:val=&quot;001D6F65&quot;/&gt;&lt;wsp:rsid wsp:val=&quot;001D71DA&quot;/&gt;&lt;wsp:rsid wsp:val=&quot;001D7874&quot;/&gt;&lt;wsp:rsid wsp:val=&quot;001D79C8&quot;/&gt;&lt;wsp:rsid wsp:val=&quot;001D7F22&quot;/&gt;&lt;wsp:rsid wsp:val=&quot;001E02A5&quot;/&gt;&lt;wsp:rsid wsp:val=&quot;001E0978&quot;/&gt;&lt;wsp:rsid wsp:val=&quot;001E0D74&quot;/&gt;&lt;wsp:rsid wsp:val=&quot;001E0DC8&quot;/&gt;&lt;wsp:rsid wsp:val=&quot;001E136A&quot;/&gt;&lt;wsp:rsid wsp:val=&quot;001E1FFC&quot;/&gt;&lt;wsp:rsid wsp:val=&quot;001E2839&quot;/&gt;&lt;wsp:rsid wsp:val=&quot;001E2F07&quot;/&gt;&lt;wsp:rsid wsp:val=&quot;001E30DF&quot;/&gt;&lt;wsp:rsid wsp:val=&quot;001E3501&quot;/&gt;&lt;wsp:rsid wsp:val=&quot;001E3D34&quot;/&gt;&lt;wsp:rsid wsp:val=&quot;001E3E9C&quot;/&gt;&lt;wsp:rsid wsp:val=&quot;001E446B&quot;/&gt;&lt;wsp:rsid wsp:val=&quot;001E47E4&quot;/&gt;&lt;wsp:rsid wsp:val=&quot;001E496A&quot;/&gt;&lt;wsp:rsid wsp:val=&quot;001E4ADC&quot;/&gt;&lt;wsp:rsid wsp:val=&quot;001E512F&quot;/&gt;&lt;wsp:rsid wsp:val=&quot;001E51AA&quot;/&gt;&lt;wsp:rsid wsp:val=&quot;001E57F7&quot;/&gt;&lt;wsp:rsid wsp:val=&quot;001E5A00&quot;/&gt;&lt;wsp:rsid wsp:val=&quot;001E6393&quot;/&gt;&lt;wsp:rsid wsp:val=&quot;001E648D&quot;/&gt;&lt;wsp:rsid wsp:val=&quot;001E64D4&quot;/&gt;&lt;wsp:rsid wsp:val=&quot;001E769A&quot;/&gt;&lt;wsp:rsid wsp:val=&quot;001E7D81&quot;/&gt;&lt;wsp:rsid wsp:val=&quot;001E7DD0&quot;/&gt;&lt;wsp:rsid wsp:val=&quot;001F09E8&quot;/&gt;&lt;wsp:rsid wsp:val=&quot;001F0C79&quot;/&gt;&lt;wsp:rsid wsp:val=&quot;001F0F17&quot;/&gt;&lt;wsp:rsid wsp:val=&quot;001F1347&quot;/&gt;&lt;wsp:rsid wsp:val=&quot;001F15F8&quot;/&gt;&lt;wsp:rsid wsp:val=&quot;001F17B2&quot;/&gt;&lt;wsp:rsid wsp:val=&quot;001F1C78&quot;/&gt;&lt;wsp:rsid wsp:val=&quot;001F2271&quot;/&gt;&lt;wsp:rsid wsp:val=&quot;001F23D1&quot;/&gt;&lt;wsp:rsid wsp:val=&quot;001F2996&quot;/&gt;&lt;wsp:rsid wsp:val=&quot;001F2DDC&quot;/&gt;&lt;wsp:rsid wsp:val=&quot;001F2E8C&quot;/&gt;&lt;wsp:rsid wsp:val=&quot;001F313A&quot;/&gt;&lt;wsp:rsid wsp:val=&quot;001F3347&quot;/&gt;&lt;wsp:rsid wsp:val=&quot;001F46FA&quot;/&gt;&lt;wsp:rsid wsp:val=&quot;001F4CA7&quot;/&gt;&lt;wsp:rsid wsp:val=&quot;001F51EF&quot;/&gt;&lt;wsp:rsid wsp:val=&quot;001F56D0&quot;/&gt;&lt;wsp:rsid wsp:val=&quot;001F571A&quot;/&gt;&lt;wsp:rsid wsp:val=&quot;001F5B49&quot;/&gt;&lt;wsp:rsid wsp:val=&quot;001F6430&quot;/&gt;&lt;wsp:rsid wsp:val=&quot;001F69E4&quot;/&gt;&lt;wsp:rsid wsp:val=&quot;001F71DC&quot;/&gt;&lt;wsp:rsid wsp:val=&quot;001F7E9B&quot;/&gt;&lt;wsp:rsid wsp:val=&quot;00200365&quot;/&gt;&lt;wsp:rsid wsp:val=&quot;00201976&quot;/&gt;&lt;wsp:rsid wsp:val=&quot;00202084&quot;/&gt;&lt;wsp:rsid wsp:val=&quot;00202635&quot;/&gt;&lt;wsp:rsid wsp:val=&quot;00202870&quot;/&gt;&lt;wsp:rsid wsp:val=&quot;002028B7&quot;/&gt;&lt;wsp:rsid wsp:val=&quot;002031C8&quot;/&gt;&lt;wsp:rsid wsp:val=&quot;00203E62&quot;/&gt;&lt;wsp:rsid wsp:val=&quot;00203F8C&quot;/&gt;&lt;wsp:rsid wsp:val=&quot;00204335&quot;/&gt;&lt;wsp:rsid wsp:val=&quot;00204348&quot;/&gt;&lt;wsp:rsid wsp:val=&quot;002049CE&quot;/&gt;&lt;wsp:rsid wsp:val=&quot;00204D22&quot;/&gt;&lt;wsp:rsid wsp:val=&quot;00204F11&quot;/&gt;&lt;wsp:rsid wsp:val=&quot;00205126&quot;/&gt;&lt;wsp:rsid wsp:val=&quot;00205E6B&quot;/&gt;&lt;wsp:rsid wsp:val=&quot;002063F6&quot;/&gt;&lt;wsp:rsid wsp:val=&quot;00206640&quot;/&gt;&lt;wsp:rsid wsp:val=&quot;002068E2&quot;/&gt;&lt;wsp:rsid wsp:val=&quot;00206FA9&quot;/&gt;&lt;wsp:rsid wsp:val=&quot;002078E4&quot;/&gt;&lt;wsp:rsid wsp:val=&quot;00207BF3&quot;/&gt;&lt;wsp:rsid wsp:val=&quot;00207F34&quot;/&gt;&lt;wsp:rsid wsp:val=&quot;00207FBC&quot;/&gt;&lt;wsp:rsid wsp:val=&quot;002100EE&quot;/&gt;&lt;wsp:rsid wsp:val=&quot;0021156E&quot;/&gt;&lt;wsp:rsid wsp:val=&quot;002118F5&quot;/&gt;&lt;wsp:rsid wsp:val=&quot;00211C3F&quot;/&gt;&lt;wsp:rsid wsp:val=&quot;00211D6A&quot;/&gt;&lt;wsp:rsid wsp:val=&quot;00212043&quot;/&gt;&lt;wsp:rsid wsp:val=&quot;00212294&quot;/&gt;&lt;wsp:rsid wsp:val=&quot;002125B4&quot;/&gt;&lt;wsp:rsid wsp:val=&quot;00212A44&quot;/&gt;&lt;wsp:rsid wsp:val=&quot;002134C3&quot;/&gt;&lt;wsp:rsid wsp:val=&quot;0021374D&quot;/&gt;&lt;wsp:rsid wsp:val=&quot;00213BB9&quot;/&gt;&lt;wsp:rsid wsp:val=&quot;00213F74&quot;/&gt;&lt;wsp:rsid wsp:val=&quot;002142AA&quot;/&gt;&lt;wsp:rsid wsp:val=&quot;00214F62&quot;/&gt;&lt;wsp:rsid wsp:val=&quot;002155B8&quot;/&gt;&lt;wsp:rsid wsp:val=&quot;002159AC&quot;/&gt;&lt;wsp:rsid wsp:val=&quot;00216C11&quot;/&gt;&lt;wsp:rsid wsp:val=&quot;0021786E&quot;/&gt;&lt;wsp:rsid wsp:val=&quot;002201D1&quot;/&gt;&lt;wsp:rsid wsp:val=&quot;00220330&quot;/&gt;&lt;wsp:rsid wsp:val=&quot;00220543&quot;/&gt;&lt;wsp:rsid wsp:val=&quot;00220923&quot;/&gt;&lt;wsp:rsid wsp:val=&quot;00221398&quot;/&gt;&lt;wsp:rsid wsp:val=&quot;00221D11&quot;/&gt;&lt;wsp:rsid wsp:val=&quot;00221DD6&quot;/&gt;&lt;wsp:rsid wsp:val=&quot;00222A77&quot;/&gt;&lt;wsp:rsid wsp:val=&quot;00222F72&quot;/&gt;&lt;wsp:rsid wsp:val=&quot;002235B9&quot;/&gt;&lt;wsp:rsid wsp:val=&quot;00223870&quot;/&gt;&lt;wsp:rsid wsp:val=&quot;00223ED8&quot;/&gt;&lt;wsp:rsid wsp:val=&quot;00223FC3&quot;/&gt;&lt;wsp:rsid wsp:val=&quot;00224406&quot;/&gt;&lt;wsp:rsid wsp:val=&quot;002246EE&quot;/&gt;&lt;wsp:rsid wsp:val=&quot;00224839&quot;/&gt;&lt;wsp:rsid wsp:val=&quot;002249B2&quot;/&gt;&lt;wsp:rsid wsp:val=&quot;00224D49&quot;/&gt;&lt;wsp:rsid wsp:val=&quot;00225526&quot;/&gt;&lt;wsp:rsid wsp:val=&quot;00225B77&quot;/&gt;&lt;wsp:rsid wsp:val=&quot;00226574&quot;/&gt;&lt;wsp:rsid wsp:val=&quot;00226A92&quot;/&gt;&lt;wsp:rsid wsp:val=&quot;00226A93&quot;/&gt;&lt;wsp:rsid wsp:val=&quot;00226DFF&quot;/&gt;&lt;wsp:rsid wsp:val=&quot;0022715F&quot;/&gt;&lt;wsp:rsid wsp:val=&quot;0022753C&quot;/&gt;&lt;wsp:rsid wsp:val=&quot;002278EC&quot;/&gt;&lt;wsp:rsid wsp:val=&quot;00227AE1&quot;/&gt;&lt;wsp:rsid wsp:val=&quot;00230736&quot;/&gt;&lt;wsp:rsid wsp:val=&quot;00232803&quot;/&gt;&lt;wsp:rsid wsp:val=&quot;0023280E&quot;/&gt;&lt;wsp:rsid wsp:val=&quot;00233256&quot;/&gt;&lt;wsp:rsid wsp:val=&quot;0023383E&quot;/&gt;&lt;wsp:rsid wsp:val=&quot;0023389C&quot;/&gt;&lt;wsp:rsid wsp:val=&quot;00233C73&quot;/&gt;&lt;wsp:rsid wsp:val=&quot;0023438D&quot;/&gt;&lt;wsp:rsid wsp:val=&quot;0023476B&quot;/&gt;&lt;wsp:rsid wsp:val=&quot;00235B45&quot;/&gt;&lt;wsp:rsid wsp:val=&quot;00235C82&quot;/&gt;&lt;wsp:rsid wsp:val=&quot;00236478&quot;/&gt;&lt;wsp:rsid wsp:val=&quot;002368B2&quot;/&gt;&lt;wsp:rsid wsp:val=&quot;00236B95&quot;/&gt;&lt;wsp:rsid wsp:val=&quot;00236FC5&quot;/&gt;&lt;wsp:rsid wsp:val=&quot;00237707&quot;/&gt;&lt;wsp:rsid wsp:val=&quot;002377D1&quot;/&gt;&lt;wsp:rsid wsp:val=&quot;00237A6D&quot;/&gt;&lt;wsp:rsid wsp:val=&quot;00240098&quot;/&gt;&lt;wsp:rsid wsp:val=&quot;002402B3&quot;/&gt;&lt;wsp:rsid wsp:val=&quot;00241E67&quot;/&gt;&lt;wsp:rsid wsp:val=&quot;0024259B&quot;/&gt;&lt;wsp:rsid wsp:val=&quot;0024317C&quot;/&gt;&lt;wsp:rsid wsp:val=&quot;0024422C&quot;/&gt;&lt;wsp:rsid wsp:val=&quot;00244AC2&quot;/&gt;&lt;wsp:rsid wsp:val=&quot;002451C1&quot;/&gt;&lt;wsp:rsid wsp:val=&quot;00245AB1&quot;/&gt;&lt;wsp:rsid wsp:val=&quot;00245E45&quot;/&gt;&lt;wsp:rsid wsp:val=&quot;00246B77&quot;/&gt;&lt;wsp:rsid wsp:val=&quot;00247387&quot;/&gt;&lt;wsp:rsid wsp:val=&quot;00247459&quot;/&gt;&lt;wsp:rsid wsp:val=&quot;00247593&quot;/&gt;&lt;wsp:rsid wsp:val=&quot;002477D9&quot;/&gt;&lt;wsp:rsid wsp:val=&quot;002506BC&quot;/&gt;&lt;wsp:rsid wsp:val=&quot;0025086D&quot;/&gt;&lt;wsp:rsid wsp:val=&quot;00252848&quot;/&gt;&lt;wsp:rsid wsp:val=&quot;00252C0E&quot;/&gt;&lt;wsp:rsid wsp:val=&quot;00252EC8&quot;/&gt;&lt;wsp:rsid wsp:val=&quot;0025328A&quot;/&gt;&lt;wsp:rsid wsp:val=&quot;0025347E&quot;/&gt;&lt;wsp:rsid wsp:val=&quot;002538B3&quot;/&gt;&lt;wsp:rsid wsp:val=&quot;0025406E&quot;/&gt;&lt;wsp:rsid wsp:val=&quot;0025408F&quot;/&gt;&lt;wsp:rsid wsp:val=&quot;00254178&quot;/&gt;&lt;wsp:rsid wsp:val=&quot;002542E2&quot;/&gt;&lt;wsp:rsid wsp:val=&quot;00254345&quot;/&gt;&lt;wsp:rsid wsp:val=&quot;00254A80&quot;/&gt;&lt;wsp:rsid wsp:val=&quot;00254C41&quot;/&gt;&lt;wsp:rsid wsp:val=&quot;00254FCB&quot;/&gt;&lt;wsp:rsid wsp:val=&quot;00255300&quot;/&gt;&lt;wsp:rsid wsp:val=&quot;00255D69&quot;/&gt;&lt;wsp:rsid wsp:val=&quot;00255E31&quot;/&gt;&lt;wsp:rsid wsp:val=&quot;002568AD&quot;/&gt;&lt;wsp:rsid wsp:val=&quot;00256CD2&quot;/&gt;&lt;wsp:rsid wsp:val=&quot;00257FF9&quot;/&gt;&lt;wsp:rsid wsp:val=&quot;002607F1&quot;/&gt;&lt;wsp:rsid wsp:val=&quot;00261071&quot;/&gt;&lt;wsp:rsid wsp:val=&quot;002611D3&quot;/&gt;&lt;wsp:rsid wsp:val=&quot;00261274&quot;/&gt;&lt;wsp:rsid wsp:val=&quot;002614AF&quot;/&gt;&lt;wsp:rsid wsp:val=&quot;0026166E&quot;/&gt;&lt;wsp:rsid wsp:val=&quot;00261903&quot;/&gt;&lt;wsp:rsid wsp:val=&quot;00262F2E&quot;/&gt;&lt;wsp:rsid wsp:val=&quot;00263809&quot;/&gt;&lt;wsp:rsid wsp:val=&quot;00264557&quot;/&gt;&lt;wsp:rsid wsp:val=&quot;00264DBF&quot;/&gt;&lt;wsp:rsid wsp:val=&quot;002651C7&quot;/&gt;&lt;wsp:rsid wsp:val=&quot;002655D8&quot;/&gt;&lt;wsp:rsid wsp:val=&quot;002663E2&quot;/&gt;&lt;wsp:rsid wsp:val=&quot;00266C84&quot;/&gt;&lt;wsp:rsid wsp:val=&quot;00267620&quot;/&gt;&lt;wsp:rsid wsp:val=&quot;002700CC&quot;/&gt;&lt;wsp:rsid wsp:val=&quot;00270624&quot;/&gt;&lt;wsp:rsid wsp:val=&quot;00270708&quot;/&gt;&lt;wsp:rsid wsp:val=&quot;0027119D&quot;/&gt;&lt;wsp:rsid wsp:val=&quot;00272942&quot;/&gt;&lt;wsp:rsid wsp:val=&quot;002729A7&quot;/&gt;&lt;wsp:rsid wsp:val=&quot;00272FAA&quot;/&gt;&lt;wsp:rsid wsp:val=&quot;002731D2&quot;/&gt;&lt;wsp:rsid wsp:val=&quot;00273577&quot;/&gt;&lt;wsp:rsid wsp:val=&quot;00273907&quot;/&gt;&lt;wsp:rsid wsp:val=&quot;00273A4E&quot;/&gt;&lt;wsp:rsid wsp:val=&quot;0027414B&quot;/&gt;&lt;wsp:rsid wsp:val=&quot;002748AF&quot;/&gt;&lt;wsp:rsid wsp:val=&quot;002756B6&quot;/&gt;&lt;wsp:rsid wsp:val=&quot;00275C8C&quot;/&gt;&lt;wsp:rsid wsp:val=&quot;00275DD5&quot;/&gt;&lt;wsp:rsid wsp:val=&quot;00275F3C&quot;/&gt;&lt;wsp:rsid wsp:val=&quot;002763FE&quot;/&gt;&lt;wsp:rsid wsp:val=&quot;002764D8&quot;/&gt;&lt;wsp:rsid wsp:val=&quot;00276F6C&quot;/&gt;&lt;wsp:rsid wsp:val=&quot;0027725D&quot;/&gt;&lt;wsp:rsid wsp:val=&quot;00277420&quot;/&gt;&lt;wsp:rsid wsp:val=&quot;00277453&quot;/&gt;&lt;wsp:rsid wsp:val=&quot;002805AB&quot;/&gt;&lt;wsp:rsid wsp:val=&quot;00280FF9&quot;/&gt;&lt;wsp:rsid wsp:val=&quot;0028128D&quot;/&gt;&lt;wsp:rsid wsp:val=&quot;0028168A&quot;/&gt;&lt;wsp:rsid wsp:val=&quot;002821CA&quot;/&gt;&lt;wsp:rsid wsp:val=&quot;00282DB4&quot;/&gt;&lt;wsp:rsid wsp:val=&quot;0028316E&quot;/&gt;&lt;wsp:rsid wsp:val=&quot;00283233&quot;/&gt;&lt;wsp:rsid wsp:val=&quot;00283238&quot;/&gt;&lt;wsp:rsid wsp:val=&quot;00283303&quot;/&gt;&lt;wsp:rsid wsp:val=&quot;0028342E&quot;/&gt;&lt;wsp:rsid wsp:val=&quot;00284075&quot;/&gt;&lt;wsp:rsid wsp:val=&quot;00284204&quot;/&gt;&lt;wsp:rsid wsp:val=&quot;00284793&quot;/&gt;&lt;wsp:rsid wsp:val=&quot;00284D7E&quot;/&gt;&lt;wsp:rsid wsp:val=&quot;0028591B&quot;/&gt;&lt;wsp:rsid wsp:val=&quot;00285B16&quot;/&gt;&lt;wsp:rsid wsp:val=&quot;0028649E&quot;/&gt;&lt;wsp:rsid wsp:val=&quot;00286A59&quot;/&gt;&lt;wsp:rsid wsp:val=&quot;002870F3&quot;/&gt;&lt;wsp:rsid wsp:val=&quot;00287971&quot;/&gt;&lt;wsp:rsid wsp:val=&quot;00287A2F&quot;/&gt;&lt;wsp:rsid wsp:val=&quot;00287D89&quot;/&gt;&lt;wsp:rsid wsp:val=&quot;00290FDA&quot;/&gt;&lt;wsp:rsid wsp:val=&quot;00291773&quot;/&gt;&lt;wsp:rsid wsp:val=&quot;002918DE&quot;/&gt;&lt;wsp:rsid wsp:val=&quot;00291B7B&quot;/&gt;&lt;wsp:rsid wsp:val=&quot;00291D13&quot;/&gt;&lt;wsp:rsid wsp:val=&quot;00292068&quot;/&gt;&lt;wsp:rsid wsp:val=&quot;00292101&quot;/&gt;&lt;wsp:rsid wsp:val=&quot;00292607&quot;/&gt;&lt;wsp:rsid wsp:val=&quot;002927F7&quot;/&gt;&lt;wsp:rsid wsp:val=&quot;00293069&quot;/&gt;&lt;wsp:rsid wsp:val=&quot;00293662&quot;/&gt;&lt;wsp:rsid wsp:val=&quot;00293972&quot;/&gt;&lt;wsp:rsid wsp:val=&quot;0029433F&quot;/&gt;&lt;wsp:rsid wsp:val=&quot;002943B0&quot;/&gt;&lt;wsp:rsid wsp:val=&quot;00294888&quot;/&gt;&lt;wsp:rsid wsp:val=&quot;00295822&quot;/&gt;&lt;wsp:rsid wsp:val=&quot;002958F2&quot;/&gt;&lt;wsp:rsid wsp:val=&quot;00295D0C&quot;/&gt;&lt;wsp:rsid wsp:val=&quot;002965F7&quot;/&gt;&lt;wsp:rsid wsp:val=&quot;00297157&quot;/&gt;&lt;wsp:rsid wsp:val=&quot;0029751D&quot;/&gt;&lt;wsp:rsid wsp:val=&quot;00297FA5&quot;/&gt;&lt;wsp:rsid wsp:val=&quot;002A058E&quot;/&gt;&lt;wsp:rsid wsp:val=&quot;002A168C&quot;/&gt;&lt;wsp:rsid wsp:val=&quot;002A3DC7&quot;/&gt;&lt;wsp:rsid wsp:val=&quot;002A44F7&quot;/&gt;&lt;wsp:rsid wsp:val=&quot;002A5197&quot;/&gt;&lt;wsp:rsid wsp:val=&quot;002A650E&quot;/&gt;&lt;wsp:rsid wsp:val=&quot;002A6B38&quot;/&gt;&lt;wsp:rsid wsp:val=&quot;002A6B9E&quot;/&gt;&lt;wsp:rsid wsp:val=&quot;002A7830&quot;/&gt;&lt;wsp:rsid wsp:val=&quot;002B0CAE&quot;/&gt;&lt;wsp:rsid wsp:val=&quot;002B1F7C&quot;/&gt;&lt;wsp:rsid wsp:val=&quot;002B241A&quot;/&gt;&lt;wsp:rsid wsp:val=&quot;002B2DD5&quot;/&gt;&lt;wsp:rsid wsp:val=&quot;002B2F71&quot;/&gt;&lt;wsp:rsid wsp:val=&quot;002B2FBF&quot;/&gt;&lt;wsp:rsid wsp:val=&quot;002B31C0&quot;/&gt;&lt;wsp:rsid wsp:val=&quot;002B3369&quot;/&gt;&lt;wsp:rsid wsp:val=&quot;002B39D6&quot;/&gt;&lt;wsp:rsid wsp:val=&quot;002B3D03&quot;/&gt;&lt;wsp:rsid wsp:val=&quot;002B3EE5&quot;/&gt;&lt;wsp:rsid wsp:val=&quot;002B4180&quot;/&gt;&lt;wsp:rsid wsp:val=&quot;002B49E2&quot;/&gt;&lt;wsp:rsid wsp:val=&quot;002B5203&quot;/&gt;&lt;wsp:rsid wsp:val=&quot;002B71FA&quot;/&gt;&lt;wsp:rsid wsp:val=&quot;002B7B00&quot;/&gt;&lt;wsp:rsid wsp:val=&quot;002B7C44&quot;/&gt;&lt;wsp:rsid wsp:val=&quot;002B7CEB&quot;/&gt;&lt;wsp:rsid wsp:val=&quot;002C00C5&quot;/&gt;&lt;wsp:rsid wsp:val=&quot;002C059D&quot;/&gt;&lt;wsp:rsid wsp:val=&quot;002C0906&quot;/&gt;&lt;wsp:rsid wsp:val=&quot;002C0B26&quot;/&gt;&lt;wsp:rsid wsp:val=&quot;002C0F5C&quot;/&gt;&lt;wsp:rsid wsp:val=&quot;002C1745&quot;/&gt;&lt;wsp:rsid wsp:val=&quot;002C1BCB&quot;/&gt;&lt;wsp:rsid wsp:val=&quot;002C1D87&quot;/&gt;&lt;wsp:rsid wsp:val=&quot;002C25CC&quot;/&gt;&lt;wsp:rsid wsp:val=&quot;002C2AA3&quot;/&gt;&lt;wsp:rsid wsp:val=&quot;002C2B17&quot;/&gt;&lt;wsp:rsid wsp:val=&quot;002C2FF1&quot;/&gt;&lt;wsp:rsid wsp:val=&quot;002C3FE8&quot;/&gt;&lt;wsp:rsid wsp:val=&quot;002C4091&quot;/&gt;&lt;wsp:rsid wsp:val=&quot;002C4986&quot;/&gt;&lt;wsp:rsid wsp:val=&quot;002C4A16&quot;/&gt;&lt;wsp:rsid wsp:val=&quot;002C4FC5&quot;/&gt;&lt;wsp:rsid wsp:val=&quot;002C58E3&quot;/&gt;&lt;wsp:rsid wsp:val=&quot;002C597A&quot;/&gt;&lt;wsp:rsid wsp:val=&quot;002C6FD2&quot;/&gt;&lt;wsp:rsid wsp:val=&quot;002C7072&quot;/&gt;&lt;wsp:rsid wsp:val=&quot;002C7ACA&quot;/&gt;&lt;wsp:rsid wsp:val=&quot;002C7FDF&quot;/&gt;&lt;wsp:rsid wsp:val=&quot;002D0978&quot;/&gt;&lt;wsp:rsid wsp:val=&quot;002D0BBC&quot;/&gt;&lt;wsp:rsid wsp:val=&quot;002D0C38&quot;/&gt;&lt;wsp:rsid wsp:val=&quot;002D1693&quot;/&gt;&lt;wsp:rsid wsp:val=&quot;002D1B9C&quot;/&gt;&lt;wsp:rsid wsp:val=&quot;002D1F93&quot;/&gt;&lt;wsp:rsid wsp:val=&quot;002D2A77&quot;/&gt;&lt;wsp:rsid wsp:val=&quot;002D2FF2&quot;/&gt;&lt;wsp:rsid wsp:val=&quot;002D310D&quot;/&gt;&lt;wsp:rsid wsp:val=&quot;002D35A9&quot;/&gt;&lt;wsp:rsid wsp:val=&quot;002D3DD0&quot;/&gt;&lt;wsp:rsid wsp:val=&quot;002D3FE3&quot;/&gt;&lt;wsp:rsid wsp:val=&quot;002D4949&quot;/&gt;&lt;wsp:rsid wsp:val=&quot;002D5059&quot;/&gt;&lt;wsp:rsid wsp:val=&quot;002D5B30&quot;/&gt;&lt;wsp:rsid wsp:val=&quot;002D6462&quot;/&gt;&lt;wsp:rsid wsp:val=&quot;002D667A&quot;/&gt;&lt;wsp:rsid wsp:val=&quot;002D78D4&quot;/&gt;&lt;wsp:rsid wsp:val=&quot;002D7C4A&quot;/&gt;&lt;wsp:rsid wsp:val=&quot;002E10B5&quot;/&gt;&lt;wsp:rsid wsp:val=&quot;002E1B11&quot;/&gt;&lt;wsp:rsid wsp:val=&quot;002E1F3A&quot;/&gt;&lt;wsp:rsid wsp:val=&quot;002E20B3&quot;/&gt;&lt;wsp:rsid wsp:val=&quot;002E211F&quot;/&gt;&lt;wsp:rsid wsp:val=&quot;002E22FD&quot;/&gt;&lt;wsp:rsid wsp:val=&quot;002E270E&quot;/&gt;&lt;wsp:rsid wsp:val=&quot;002E298A&quot;/&gt;&lt;wsp:rsid wsp:val=&quot;002E31A3&quot;/&gt;&lt;wsp:rsid wsp:val=&quot;002E333F&quot;/&gt;&lt;wsp:rsid wsp:val=&quot;002E3E25&quot;/&gt;&lt;wsp:rsid wsp:val=&quot;002E3F9A&quot;/&gt;&lt;wsp:rsid wsp:val=&quot;002E4C92&quot;/&gt;&lt;wsp:rsid wsp:val=&quot;002E5378&quot;/&gt;&lt;wsp:rsid wsp:val=&quot;002E65DF&quot;/&gt;&lt;wsp:rsid wsp:val=&quot;002E6DB0&quot;/&gt;&lt;wsp:rsid wsp:val=&quot;002E7D3E&quot;/&gt;&lt;wsp:rsid wsp:val=&quot;002F040A&quot;/&gt;&lt;wsp:rsid wsp:val=&quot;002F08E2&quot;/&gt;&lt;wsp:rsid wsp:val=&quot;002F0EA9&quot;/&gt;&lt;wsp:rsid wsp:val=&quot;002F1A4D&quot;/&gt;&lt;wsp:rsid wsp:val=&quot;002F2B2B&quot;/&gt;&lt;wsp:rsid wsp:val=&quot;002F2EA8&quot;/&gt;&lt;wsp:rsid wsp:val=&quot;002F2F66&quot;/&gt;&lt;wsp:rsid wsp:val=&quot;002F3759&quot;/&gt;&lt;wsp:rsid wsp:val=&quot;002F3D5E&quot;/&gt;&lt;wsp:rsid wsp:val=&quot;002F41A0&quot;/&gt;&lt;wsp:rsid wsp:val=&quot;002F43C2&quot;/&gt;&lt;wsp:rsid wsp:val=&quot;002F46A9&quot;/&gt;&lt;wsp:rsid wsp:val=&quot;002F4B3B&quot;/&gt;&lt;wsp:rsid wsp:val=&quot;002F4BBB&quot;/&gt;&lt;wsp:rsid wsp:val=&quot;002F4D2F&quot;/&gt;&lt;wsp:rsid wsp:val=&quot;002F54E3&quot;/&gt;&lt;wsp:rsid wsp:val=&quot;002F5D15&quot;/&gt;&lt;wsp:rsid wsp:val=&quot;002F5F2F&quot;/&gt;&lt;wsp:rsid wsp:val=&quot;002F6144&quot;/&gt;&lt;wsp:rsid wsp:val=&quot;002F6312&quot;/&gt;&lt;wsp:rsid wsp:val=&quot;002F6F5D&quot;/&gt;&lt;wsp:rsid wsp:val=&quot;002F704F&quot;/&gt;&lt;wsp:rsid wsp:val=&quot;00300CA3&quot;/&gt;&lt;wsp:rsid wsp:val=&quot;00301978&quot;/&gt;&lt;wsp:rsid wsp:val=&quot;00301B68&quot;/&gt;&lt;wsp:rsid wsp:val=&quot;00301EC2&quot;/&gt;&lt;wsp:rsid wsp:val=&quot;00302071&quot;/&gt;&lt;wsp:rsid wsp:val=&quot;00302446&quot;/&gt;&lt;wsp:rsid wsp:val=&quot;00302C15&quot;/&gt;&lt;wsp:rsid wsp:val=&quot;00302CEB&quot;/&gt;&lt;wsp:rsid wsp:val=&quot;0030332C&quot;/&gt;&lt;wsp:rsid wsp:val=&quot;00303A04&quot;/&gt;&lt;wsp:rsid wsp:val=&quot;00303FFA&quot;/&gt;&lt;wsp:rsid wsp:val=&quot;00304351&quot;/&gt;&lt;wsp:rsid wsp:val=&quot;003044CC&quot;/&gt;&lt;wsp:rsid wsp:val=&quot;00304B91&quot;/&gt;&lt;wsp:rsid wsp:val=&quot;00304F79&quot;/&gt;&lt;wsp:rsid wsp:val=&quot;003051C2&quot;/&gt;&lt;wsp:rsid wsp:val=&quot;00305589&quot;/&gt;&lt;wsp:rsid wsp:val=&quot;00305666&quot;/&gt;&lt;wsp:rsid wsp:val=&quot;00305F3C&quot;/&gt;&lt;wsp:rsid wsp:val=&quot;003061BE&quot;/&gt;&lt;wsp:rsid wsp:val=&quot;00306241&quot;/&gt;&lt;wsp:rsid wsp:val=&quot;00306E30&quot;/&gt;&lt;wsp:rsid wsp:val=&quot;00310454&quot;/&gt;&lt;wsp:rsid wsp:val=&quot;003104C2&quot;/&gt;&lt;wsp:rsid wsp:val=&quot;0031068E&quot;/&gt;&lt;wsp:rsid wsp:val=&quot;00310D4F&quot;/&gt;&lt;wsp:rsid wsp:val=&quot;00310E0A&quot;/&gt;&lt;wsp:rsid wsp:val=&quot;00310F19&quot;/&gt;&lt;wsp:rsid wsp:val=&quot;00311338&quot;/&gt;&lt;wsp:rsid wsp:val=&quot;0031149D&quot;/&gt;&lt;wsp:rsid wsp:val=&quot;00312296&quot;/&gt;&lt;wsp:rsid wsp:val=&quot;0031249E&quot;/&gt;&lt;wsp:rsid wsp:val=&quot;003125F1&quot;/&gt;&lt;wsp:rsid wsp:val=&quot;00312AB5&quot;/&gt;&lt;wsp:rsid wsp:val=&quot;0031313A&quot;/&gt;&lt;wsp:rsid wsp:val=&quot;00313529&quot;/&gt;&lt;wsp:rsid wsp:val=&quot;00313791&quot;/&gt;&lt;wsp:rsid wsp:val=&quot;00313986&quot;/&gt;&lt;wsp:rsid wsp:val=&quot;00314686&quot;/&gt;&lt;wsp:rsid wsp:val=&quot;003146DC&quot;/&gt;&lt;wsp:rsid wsp:val=&quot;00314F0E&quot;/&gt;&lt;wsp:rsid wsp:val=&quot;003151EA&quot;/&gt;&lt;wsp:rsid wsp:val=&quot;00315653&quot;/&gt;&lt;wsp:rsid wsp:val=&quot;003157FD&quot;/&gt;&lt;wsp:rsid wsp:val=&quot;00315E7B&quot;/&gt;&lt;wsp:rsid wsp:val=&quot;003162ED&quot;/&gt;&lt;wsp:rsid wsp:val=&quot;003178B7&quot;/&gt;&lt;wsp:rsid wsp:val=&quot;0032032C&quot;/&gt;&lt;wsp:rsid wsp:val=&quot;00320B46&quot;/&gt;&lt;wsp:rsid wsp:val=&quot;00321149&quot;/&gt;&lt;wsp:rsid wsp:val=&quot;00321D8E&quot;/&gt;&lt;wsp:rsid wsp:val=&quot;003222A9&quot;/&gt;&lt;wsp:rsid wsp:val=&quot;003224AC&quot;/&gt;&lt;wsp:rsid wsp:val=&quot;00322636&quot;/&gt;&lt;wsp:rsid wsp:val=&quot;003229DC&quot;/&gt;&lt;wsp:rsid wsp:val=&quot;00322B1B&quot;/&gt;&lt;wsp:rsid wsp:val=&quot;00322D67&quot;/&gt;&lt;wsp:rsid wsp:val=&quot;00323181&quot;/&gt;&lt;wsp:rsid wsp:val=&quot;003237BD&quot;/&gt;&lt;wsp:rsid wsp:val=&quot;00324179&quot;/&gt;&lt;wsp:rsid wsp:val=&quot;003245E2&quot;/&gt;&lt;wsp:rsid wsp:val=&quot;0032474B&quot;/&gt;&lt;wsp:rsid wsp:val=&quot;00324764&quot;/&gt;&lt;wsp:rsid wsp:val=&quot;00324BC4&quot;/&gt;&lt;wsp:rsid wsp:val=&quot;00325057&quot;/&gt;&lt;wsp:rsid wsp:val=&quot;003252C4&quot;/&gt;&lt;wsp:rsid wsp:val=&quot;00325928&quot;/&gt;&lt;wsp:rsid wsp:val=&quot;0032618F&quot;/&gt;&lt;wsp:rsid wsp:val=&quot;00327325&quot;/&gt;&lt;wsp:rsid wsp:val=&quot;00327AF1&quot;/&gt;&lt;wsp:rsid wsp:val=&quot;00327ED1&quot;/&gt;&lt;wsp:rsid wsp:val=&quot;003309A0&quot;/&gt;&lt;wsp:rsid wsp:val=&quot;00331C6B&quot;/&gt;&lt;wsp:rsid wsp:val=&quot;00332863&quot;/&gt;&lt;wsp:rsid wsp:val=&quot;003329F6&quot;/&gt;&lt;wsp:rsid wsp:val=&quot;00333060&quot;/&gt;&lt;wsp:rsid wsp:val=&quot;003332F9&quot;/&gt;&lt;wsp:rsid wsp:val=&quot;00333AD5&quot;/&gt;&lt;wsp:rsid wsp:val=&quot;00333BF9&quot;/&gt;&lt;wsp:rsid wsp:val=&quot;00334487&quot;/&gt;&lt;wsp:rsid wsp:val=&quot;003350A1&quot;/&gt;&lt;wsp:rsid wsp:val=&quot;0033513C&quot;/&gt;&lt;wsp:rsid wsp:val=&quot;00335C2A&quot;/&gt;&lt;wsp:rsid wsp:val=&quot;00335D70&quot;/&gt;&lt;wsp:rsid wsp:val=&quot;00336192&quot;/&gt;&lt;wsp:rsid wsp:val=&quot;00336294&quot;/&gt;&lt;wsp:rsid wsp:val=&quot;0033684D&quot;/&gt;&lt;wsp:rsid wsp:val=&quot;00336B51&quot;/&gt;&lt;wsp:rsid wsp:val=&quot;00337B42&quot;/&gt;&lt;wsp:rsid wsp:val=&quot;00340026&quot;/&gt;&lt;wsp:rsid wsp:val=&quot;00340146&quot;/&gt;&lt;wsp:rsid wsp:val=&quot;00340597&quot;/&gt;&lt;wsp:rsid wsp:val=&quot;00340935&quot;/&gt;&lt;wsp:rsid wsp:val=&quot;00340A87&quot;/&gt;&lt;wsp:rsid wsp:val=&quot;00341B42&quot;/&gt;&lt;wsp:rsid wsp:val=&quot;00341F5A&quot;/&gt;&lt;wsp:rsid wsp:val=&quot;00342F8D&quot;/&gt;&lt;wsp:rsid wsp:val=&quot;0034348F&quot;/&gt;&lt;wsp:rsid wsp:val=&quot;003435B6&quot;/&gt;&lt;wsp:rsid wsp:val=&quot;00343C8A&quot;/&gt;&lt;wsp:rsid wsp:val=&quot;003445B7&quot;/&gt;&lt;wsp:rsid wsp:val=&quot;00344907&quot;/&gt;&lt;wsp:rsid wsp:val=&quot;00344D62&quot;/&gt;&lt;wsp:rsid wsp:val=&quot;0034507D&quot;/&gt;&lt;wsp:rsid wsp:val=&quot;00345126&quot;/&gt;&lt;wsp:rsid wsp:val=&quot;0034539A&quot;/&gt;&lt;wsp:rsid wsp:val=&quot;0034594E&quot;/&gt;&lt;wsp:rsid wsp:val=&quot;00345DE2&quot;/&gt;&lt;wsp:rsid wsp:val=&quot;00346079&quot;/&gt;&lt;wsp:rsid wsp:val=&quot;003468EE&quot;/&gt;&lt;wsp:rsid wsp:val=&quot;00347CC6&quot;/&gt;&lt;wsp:rsid wsp:val=&quot;00347E6B&quot;/&gt;&lt;wsp:rsid wsp:val=&quot;00347EB6&quot;/&gt;&lt;wsp:rsid wsp:val=&quot;00347EED&quot;/&gt;&lt;wsp:rsid wsp:val=&quot;00350420&quot;/&gt;&lt;wsp:rsid wsp:val=&quot;003504B2&quot;/&gt;&lt;wsp:rsid wsp:val=&quot;003509D4&quot;/&gt;&lt;wsp:rsid wsp:val=&quot;00351530&quot;/&gt;&lt;wsp:rsid wsp:val=&quot;00351544&quot;/&gt;&lt;wsp:rsid wsp:val=&quot;00351592&quot;/&gt;&lt;wsp:rsid wsp:val=&quot;00351BFD&quot;/&gt;&lt;wsp:rsid wsp:val=&quot;00352645&quot;/&gt;&lt;wsp:rsid wsp:val=&quot;0035413F&quot;/&gt;&lt;wsp:rsid wsp:val=&quot;003543BD&quot;/&gt;&lt;wsp:rsid wsp:val=&quot;0035473F&quot;/&gt;&lt;wsp:rsid wsp:val=&quot;00354D60&quot;/&gt;&lt;wsp:rsid wsp:val=&quot;00354E0E&quot;/&gt;&lt;wsp:rsid wsp:val=&quot;003558B0&quot;/&gt;&lt;wsp:rsid wsp:val=&quot;00355ECE&quot;/&gt;&lt;wsp:rsid wsp:val=&quot;00356653&quot;/&gt;&lt;wsp:rsid wsp:val=&quot;0035676D&quot;/&gt;&lt;wsp:rsid wsp:val=&quot;0035698D&quot;/&gt;&lt;wsp:rsid wsp:val=&quot;00356E9E&quot;/&gt;&lt;wsp:rsid wsp:val=&quot;00356EF7&quot;/&gt;&lt;wsp:rsid wsp:val=&quot;0035743F&quot;/&gt;&lt;wsp:rsid wsp:val=&quot;00357BE2&quot;/&gt;&lt;wsp:rsid wsp:val=&quot;00357C69&quot;/&gt;&lt;wsp:rsid wsp:val=&quot;003607D1&quot;/&gt;&lt;wsp:rsid wsp:val=&quot;0036170C&quot;/&gt;&lt;wsp:rsid wsp:val=&quot;0036235F&quot;/&gt;&lt;wsp:rsid wsp:val=&quot;00362589&quot;/&gt;&lt;wsp:rsid wsp:val=&quot;00362C0F&quot;/&gt;&lt;wsp:rsid wsp:val=&quot;003633D8&quot;/&gt;&lt;wsp:rsid wsp:val=&quot;00363F80&quot;/&gt;&lt;wsp:rsid wsp:val=&quot;0036411C&quot;/&gt;&lt;wsp:rsid wsp:val=&quot;00366488&quot;/&gt;&lt;wsp:rsid wsp:val=&quot;00366694&quot;/&gt;&lt;wsp:rsid wsp:val=&quot;003666B8&quot;/&gt;&lt;wsp:rsid wsp:val=&quot;00366DC9&quot;/&gt;&lt;wsp:rsid wsp:val=&quot;00366E0F&quot;/&gt;&lt;wsp:rsid wsp:val=&quot;00366E19&quot;/&gt;&lt;wsp:rsid wsp:val=&quot;00366EA5&quot;/&gt;&lt;wsp:rsid wsp:val=&quot;003676D1&quot;/&gt;&lt;wsp:rsid wsp:val=&quot;00367E15&quot;/&gt;&lt;wsp:rsid wsp:val=&quot;003711F3&quot;/&gt;&lt;wsp:rsid wsp:val=&quot;0037152F&quot;/&gt;&lt;wsp:rsid wsp:val=&quot;0037196A&quot;/&gt;&lt;wsp:rsid wsp:val=&quot;0037254A&quot;/&gt;&lt;wsp:rsid wsp:val=&quot;0037280C&quot;/&gt;&lt;wsp:rsid wsp:val=&quot;00373B32&quot;/&gt;&lt;wsp:rsid wsp:val=&quot;003744C0&quot;/&gt;&lt;wsp:rsid wsp:val=&quot;00374F05&quot;/&gt;&lt;wsp:rsid wsp:val=&quot;00375068&quot;/&gt;&lt;wsp:rsid wsp:val=&quot;003753AE&quot;/&gt;&lt;wsp:rsid wsp:val=&quot;003756C2&quot;/&gt;&lt;wsp:rsid wsp:val=&quot;00375A9A&quot;/&gt;&lt;wsp:rsid wsp:val=&quot;0037684E&quot;/&gt;&lt;wsp:rsid wsp:val=&quot;0037685F&quot;/&gt;&lt;wsp:rsid wsp:val=&quot;0037700C&quot;/&gt;&lt;wsp:rsid wsp:val=&quot;00377C3E&quot;/&gt;&lt;wsp:rsid wsp:val=&quot;00377F1C&quot;/&gt;&lt;wsp:rsid wsp:val=&quot;00380183&quot;/&gt;&lt;wsp:rsid wsp:val=&quot;00380696&quot;/&gt;&lt;wsp:rsid wsp:val=&quot;00381197&quot;/&gt;&lt;wsp:rsid wsp:val=&quot;00381A72&quot;/&gt;&lt;wsp:rsid wsp:val=&quot;00382E1A&quot;/&gt;&lt;wsp:rsid wsp:val=&quot;00384676&quot;/&gt;&lt;wsp:rsid wsp:val=&quot;00384B56&quot;/&gt;&lt;wsp:rsid wsp:val=&quot;00384DFE&quot;/&gt;&lt;wsp:rsid wsp:val=&quot;0038619E&quot;/&gt;&lt;wsp:rsid wsp:val=&quot;003863FB&quot;/&gt;&lt;wsp:rsid wsp:val=&quot;0038650A&quot;/&gt;&lt;wsp:rsid wsp:val=&quot;00386623&quot;/&gt;&lt;wsp:rsid wsp:val=&quot;00386863&quot;/&gt;&lt;wsp:rsid wsp:val=&quot;00386B24&quot;/&gt;&lt;wsp:rsid wsp:val=&quot;00386FA6&quot;/&gt;&lt;wsp:rsid wsp:val=&quot;0038796F&quot;/&gt;&lt;wsp:rsid wsp:val=&quot;00387977&quot;/&gt;&lt;wsp:rsid wsp:val=&quot;003879FE&quot;/&gt;&lt;wsp:rsid wsp:val=&quot;00387C5F&quot;/&gt;&lt;wsp:rsid wsp:val=&quot;00390857&quot;/&gt;&lt;wsp:rsid wsp:val=&quot;00390E61&quot;/&gt;&lt;wsp:rsid wsp:val=&quot;00390E9E&quot;/&gt;&lt;wsp:rsid wsp:val=&quot;0039110E&quot;/&gt;&lt;wsp:rsid wsp:val=&quot;00391ED2&quot;/&gt;&lt;wsp:rsid wsp:val=&quot;00391F7B&quot;/&gt;&lt;wsp:rsid wsp:val=&quot;00392213&quot;/&gt;&lt;wsp:rsid wsp:val=&quot;00392600&quot;/&gt;&lt;wsp:rsid wsp:val=&quot;0039347A&quot;/&gt;&lt;wsp:rsid wsp:val=&quot;00394021&quot;/&gt;&lt;wsp:rsid wsp:val=&quot;00394126&quot;/&gt;&lt;wsp:rsid wsp:val=&quot;003941A8&quot;/&gt;&lt;wsp:rsid wsp:val=&quot;0039459E&quot;/&gt;&lt;wsp:rsid wsp:val=&quot;00394BD0&quot;/&gt;&lt;wsp:rsid wsp:val=&quot;00394C5C&quot;/&gt;&lt;wsp:rsid wsp:val=&quot;003951C7&quot;/&gt;&lt;wsp:rsid wsp:val=&quot;003953AE&quot;/&gt;&lt;wsp:rsid wsp:val=&quot;003954F5&quot;/&gt;&lt;wsp:rsid wsp:val=&quot;00395528&quot;/&gt;&lt;wsp:rsid wsp:val=&quot;00395530&quot;/&gt;&lt;wsp:rsid wsp:val=&quot;00395C0B&quot;/&gt;&lt;wsp:rsid wsp:val=&quot;00395FB7&quot;/&gt;&lt;wsp:rsid wsp:val=&quot;00396752&quot;/&gt;&lt;wsp:rsid wsp:val=&quot;003977C9&quot;/&gt;&lt;wsp:rsid wsp:val=&quot;00397C49&quot;/&gt;&lt;wsp:rsid wsp:val=&quot;003A017D&quot;/&gt;&lt;wsp:rsid wsp:val=&quot;003A0CA9&quot;/&gt;&lt;wsp:rsid wsp:val=&quot;003A19F8&quot;/&gt;&lt;wsp:rsid wsp:val=&quot;003A2740&quot;/&gt;&lt;wsp:rsid wsp:val=&quot;003A31B0&quot;/&gt;&lt;wsp:rsid wsp:val=&quot;003A3F3C&quot;/&gt;&lt;wsp:rsid wsp:val=&quot;003A4824&quot;/&gt;&lt;wsp:rsid wsp:val=&quot;003A493F&quot;/&gt;&lt;wsp:rsid wsp:val=&quot;003A4BF3&quot;/&gt;&lt;wsp:rsid wsp:val=&quot;003A4D4B&quot;/&gt;&lt;wsp:rsid wsp:val=&quot;003A5197&quot;/&gt;&lt;wsp:rsid wsp:val=&quot;003A5469&quot;/&gt;&lt;wsp:rsid wsp:val=&quot;003A6212&quot;/&gt;&lt;wsp:rsid wsp:val=&quot;003A6330&quot;/&gt;&lt;wsp:rsid wsp:val=&quot;003A6B5B&quot;/&gt;&lt;wsp:rsid wsp:val=&quot;003A7901&quot;/&gt;&lt;wsp:rsid wsp:val=&quot;003A7D2D&quot;/&gt;&lt;wsp:rsid wsp:val=&quot;003A7D3A&quot;/&gt;&lt;wsp:rsid wsp:val=&quot;003B0458&quot;/&gt;&lt;wsp:rsid wsp:val=&quot;003B064E&quot;/&gt;&lt;wsp:rsid wsp:val=&quot;003B08B9&quot;/&gt;&lt;wsp:rsid wsp:val=&quot;003B090B&quot;/&gt;&lt;wsp:rsid wsp:val=&quot;003B0AF3&quot;/&gt;&lt;wsp:rsid wsp:val=&quot;003B2154&quot;/&gt;&lt;wsp:rsid wsp:val=&quot;003B2354&quot;/&gt;&lt;wsp:rsid wsp:val=&quot;003B2873&quot;/&gt;&lt;wsp:rsid wsp:val=&quot;003B2944&quot;/&gt;&lt;wsp:rsid wsp:val=&quot;003B2D10&quot;/&gt;&lt;wsp:rsid wsp:val=&quot;003B2FFF&quot;/&gt;&lt;wsp:rsid wsp:val=&quot;003B3ADB&quot;/&gt;&lt;wsp:rsid wsp:val=&quot;003B3F11&quot;/&gt;&lt;wsp:rsid wsp:val=&quot;003B420D&quot;/&gt;&lt;wsp:rsid wsp:val=&quot;003B4558&quot;/&gt;&lt;wsp:rsid wsp:val=&quot;003B482B&quot;/&gt;&lt;wsp:rsid wsp:val=&quot;003B53C9&quot;/&gt;&lt;wsp:rsid wsp:val=&quot;003B59DB&quot;/&gt;&lt;wsp:rsid wsp:val=&quot;003B68E1&quot;/&gt;&lt;wsp:rsid wsp:val=&quot;003B717E&quot;/&gt;&lt;wsp:rsid wsp:val=&quot;003B7556&quot;/&gt;&lt;wsp:rsid wsp:val=&quot;003B75CC&quot;/&gt;&lt;wsp:rsid wsp:val=&quot;003B7B62&quot;/&gt;&lt;wsp:rsid wsp:val=&quot;003C01DF&quot;/&gt;&lt;wsp:rsid wsp:val=&quot;003C0463&quot;/&gt;&lt;wsp:rsid wsp:val=&quot;003C0485&quot;/&gt;&lt;wsp:rsid wsp:val=&quot;003C05C2&quot;/&gt;&lt;wsp:rsid wsp:val=&quot;003C06EC&quot;/&gt;&lt;wsp:rsid wsp:val=&quot;003C0EC6&quot;/&gt;&lt;wsp:rsid wsp:val=&quot;003C14D8&quot;/&gt;&lt;wsp:rsid wsp:val=&quot;003C17D1&quot;/&gt;&lt;wsp:rsid wsp:val=&quot;003C18D3&quot;/&gt;&lt;wsp:rsid wsp:val=&quot;003C249B&quot;/&gt;&lt;wsp:rsid wsp:val=&quot;003C4A9C&quot;/&gt;&lt;wsp:rsid wsp:val=&quot;003C4AA3&quot;/&gt;&lt;wsp:rsid wsp:val=&quot;003C5355&quot;/&gt;&lt;wsp:rsid wsp:val=&quot;003C578E&quot;/&gt;&lt;wsp:rsid wsp:val=&quot;003C64FE&quot;/&gt;&lt;wsp:rsid wsp:val=&quot;003C6C16&quot;/&gt;&lt;wsp:rsid wsp:val=&quot;003C73BF&quot;/&gt;&lt;wsp:rsid wsp:val=&quot;003C7722&quot;/&gt;&lt;wsp:rsid wsp:val=&quot;003C7BF7&quot;/&gt;&lt;wsp:rsid wsp:val=&quot;003D0059&quot;/&gt;&lt;wsp:rsid wsp:val=&quot;003D0C92&quot;/&gt;&lt;wsp:rsid wsp:val=&quot;003D0F97&quot;/&gt;&lt;wsp:rsid wsp:val=&quot;003D12F8&quot;/&gt;&lt;wsp:rsid wsp:val=&quot;003D1D31&quot;/&gt;&lt;wsp:rsid wsp:val=&quot;003D2BF7&quot;/&gt;&lt;wsp:rsid wsp:val=&quot;003D3753&quot;/&gt;&lt;wsp:rsid wsp:val=&quot;003D4443&quot;/&gt;&lt;wsp:rsid wsp:val=&quot;003D47AE&quot;/&gt;&lt;wsp:rsid wsp:val=&quot;003D47F8&quot;/&gt;&lt;wsp:rsid wsp:val=&quot;003D497A&quot;/&gt;&lt;wsp:rsid wsp:val=&quot;003D4F78&quot;/&gt;&lt;wsp:rsid wsp:val=&quot;003D5126&quot;/&gt;&lt;wsp:rsid wsp:val=&quot;003D550B&quot;/&gt;&lt;wsp:rsid wsp:val=&quot;003D5786&quot;/&gt;&lt;wsp:rsid wsp:val=&quot;003D585E&quot;/&gt;&lt;wsp:rsid wsp:val=&quot;003D5EA9&quot;/&gt;&lt;wsp:rsid wsp:val=&quot;003D6240&quot;/&gt;&lt;wsp:rsid wsp:val=&quot;003D6BC3&quot;/&gt;&lt;wsp:rsid wsp:val=&quot;003D77A3&quot;/&gt;&lt;wsp:rsid wsp:val=&quot;003D794D&quot;/&gt;&lt;wsp:rsid wsp:val=&quot;003D7AF2&quot;/&gt;&lt;wsp:rsid wsp:val=&quot;003E005B&quot;/&gt;&lt;wsp:rsid wsp:val=&quot;003E03FA&quot;/&gt;&lt;wsp:rsid wsp:val=&quot;003E081F&quot;/&gt;&lt;wsp:rsid wsp:val=&quot;003E17BE&quot;/&gt;&lt;wsp:rsid wsp:val=&quot;003E1F51&quot;/&gt;&lt;wsp:rsid wsp:val=&quot;003E272E&quot;/&gt;&lt;wsp:rsid wsp:val=&quot;003E3058&quot;/&gt;&lt;wsp:rsid wsp:val=&quot;003E30C3&quot;/&gt;&lt;wsp:rsid wsp:val=&quot;003E30D0&quot;/&gt;&lt;wsp:rsid wsp:val=&quot;003E34CF&quot;/&gt;&lt;wsp:rsid wsp:val=&quot;003E399C&quot;/&gt;&lt;wsp:rsid wsp:val=&quot;003E42FF&quot;/&gt;&lt;wsp:rsid wsp:val=&quot;003E4726&quot;/&gt;&lt;wsp:rsid wsp:val=&quot;003E5503&quot;/&gt;&lt;wsp:rsid wsp:val=&quot;003E5880&quot;/&gt;&lt;wsp:rsid wsp:val=&quot;003E5C2F&quot;/&gt;&lt;wsp:rsid wsp:val=&quot;003E61AD&quot;/&gt;&lt;wsp:rsid wsp:val=&quot;003E621C&quot;/&gt;&lt;wsp:rsid wsp:val=&quot;003E76A9&quot;/&gt;&lt;wsp:rsid wsp:val=&quot;003E7A60&quot;/&gt;&lt;wsp:rsid wsp:val=&quot;003F009D&quot;/&gt;&lt;wsp:rsid wsp:val=&quot;003F02C3&quot;/&gt;&lt;wsp:rsid wsp:val=&quot;003F03A4&quot;/&gt;&lt;wsp:rsid wsp:val=&quot;003F0809&quot;/&gt;&lt;wsp:rsid wsp:val=&quot;003F0DCE&quot;/&gt;&lt;wsp:rsid wsp:val=&quot;003F1B43&quot;/&gt;&lt;wsp:rsid wsp:val=&quot;003F1C57&quot;/&gt;&lt;wsp:rsid wsp:val=&quot;003F1CA5&quot;/&gt;&lt;wsp:rsid wsp:val=&quot;003F1D85&quot;/&gt;&lt;wsp:rsid wsp:val=&quot;003F22D3&quot;/&gt;&lt;wsp:rsid wsp:val=&quot;003F2800&quot;/&gt;&lt;wsp:rsid wsp:val=&quot;003F2C2C&quot;/&gt;&lt;wsp:rsid wsp:val=&quot;003F34E7&quot;/&gt;&lt;wsp:rsid wsp:val=&quot;003F382C&quot;/&gt;&lt;wsp:rsid wsp:val=&quot;003F413E&quot;/&gt;&lt;wsp:rsid wsp:val=&quot;003F45C2&quot;/&gt;&lt;wsp:rsid wsp:val=&quot;003F487A&quot;/&gt;&lt;wsp:rsid wsp:val=&quot;003F4E7A&quot;/&gt;&lt;wsp:rsid wsp:val=&quot;003F53A7&quot;/&gt;&lt;wsp:rsid wsp:val=&quot;003F58E9&quot;/&gt;&lt;wsp:rsid wsp:val=&quot;003F60C2&quot;/&gt;&lt;wsp:rsid wsp:val=&quot;003F617C&quot;/&gt;&lt;wsp:rsid wsp:val=&quot;003F6965&quot;/&gt;&lt;wsp:rsid wsp:val=&quot;003F6A8C&quot;/&gt;&lt;wsp:rsid wsp:val=&quot;003F6EE6&quot;/&gt;&lt;wsp:rsid wsp:val=&quot;003F6FAB&quot;/&gt;&lt;wsp:rsid wsp:val=&quot;003F755C&quot;/&gt;&lt;wsp:rsid wsp:val=&quot;003F780A&quot;/&gt;&lt;wsp:rsid wsp:val=&quot;003F7BD7&quot;/&gt;&lt;wsp:rsid wsp:val=&quot;00401346&quot;/&gt;&lt;wsp:rsid wsp:val=&quot;0040152E&quot;/&gt;&lt;wsp:rsid wsp:val=&quot;00402AD1&quot;/&gt;&lt;wsp:rsid wsp:val=&quot;00402BB2&quot;/&gt;&lt;wsp:rsid wsp:val=&quot;00403076&quot;/&gt;&lt;wsp:rsid wsp:val=&quot;004037C3&quot;/&gt;&lt;wsp:rsid wsp:val=&quot;00403926&quot;/&gt;&lt;wsp:rsid wsp:val=&quot;00404F2A&quot;/&gt;&lt;wsp:rsid wsp:val=&quot;004063C3&quot;/&gt;&lt;wsp:rsid wsp:val=&quot;00406802&quot;/&gt;&lt;wsp:rsid wsp:val=&quot;00406F01&quot;/&gt;&lt;wsp:rsid wsp:val=&quot;00407348&quot;/&gt;&lt;wsp:rsid wsp:val=&quot;00407972&quot;/&gt;&lt;wsp:rsid wsp:val=&quot;004104C2&quot;/&gt;&lt;wsp:rsid wsp:val=&quot;004106E6&quot;/&gt;&lt;wsp:rsid wsp:val=&quot;00410AD6&quot;/&gt;&lt;wsp:rsid wsp:val=&quot;00410E0C&quot;/&gt;&lt;wsp:rsid wsp:val=&quot;004137CF&quot;/&gt;&lt;wsp:rsid wsp:val=&quot;00414010&quot;/&gt;&lt;wsp:rsid wsp:val=&quot;00414334&quot;/&gt;&lt;wsp:rsid wsp:val=&quot;0041452C&quot;/&gt;&lt;wsp:rsid wsp:val=&quot;00414AA0&quot;/&gt;&lt;wsp:rsid wsp:val=&quot;00414D23&quot;/&gt;&lt;wsp:rsid wsp:val=&quot;004150B8&quot;/&gt;&lt;wsp:rsid wsp:val=&quot;004152D8&quot;/&gt;&lt;wsp:rsid wsp:val=&quot;004154F0&quot;/&gt;&lt;wsp:rsid wsp:val=&quot;00415671&quot;/&gt;&lt;wsp:rsid wsp:val=&quot;00416D50&quot;/&gt;&lt;wsp:rsid wsp:val=&quot;00416FD5&quot;/&gt;&lt;wsp:rsid wsp:val=&quot;00417171&quot;/&gt;&lt;wsp:rsid wsp:val=&quot;004174DB&quot;/&gt;&lt;wsp:rsid wsp:val=&quot;00417772&quot;/&gt;&lt;wsp:rsid wsp:val=&quot;0041784A&quot;/&gt;&lt;wsp:rsid wsp:val=&quot;00417857&quot;/&gt;&lt;wsp:rsid wsp:val=&quot;004204B5&quot;/&gt;&lt;wsp:rsid wsp:val=&quot;004206D2&quot;/&gt;&lt;wsp:rsid wsp:val=&quot;00420777&quot;/&gt;&lt;wsp:rsid wsp:val=&quot;00420CE1&quot;/&gt;&lt;wsp:rsid wsp:val=&quot;00420E6A&quot;/&gt;&lt;wsp:rsid wsp:val=&quot;004214E4&quot;/&gt;&lt;wsp:rsid wsp:val=&quot;00421B36&quot;/&gt;&lt;wsp:rsid wsp:val=&quot;004220A8&quot;/&gt;&lt;wsp:rsid wsp:val=&quot;00422B37&quot;/&gt;&lt;wsp:rsid wsp:val=&quot;00423A1D&quot;/&gt;&lt;wsp:rsid wsp:val=&quot;00423B75&quot;/&gt;&lt;wsp:rsid wsp:val=&quot;004255C5&quot;/&gt;&lt;wsp:rsid wsp:val=&quot;0042586C&quot;/&gt;&lt;wsp:rsid wsp:val=&quot;00425A9E&quot;/&gt;&lt;wsp:rsid wsp:val=&quot;00426D6B&quot;/&gt;&lt;wsp:rsid wsp:val=&quot;00427FD4&quot;/&gt;&lt;wsp:rsid wsp:val=&quot;00431E6C&quot;/&gt;&lt;wsp:rsid wsp:val=&quot;00432176&quot;/&gt;&lt;wsp:rsid wsp:val=&quot;0043295C&quot;/&gt;&lt;wsp:rsid wsp:val=&quot;00432A2F&quot;/&gt;&lt;wsp:rsid wsp:val=&quot;00432F61&quot;/&gt;&lt;wsp:rsid wsp:val=&quot;0043377B&quot;/&gt;&lt;wsp:rsid wsp:val=&quot;004338CD&quot;/&gt;&lt;wsp:rsid wsp:val=&quot;00433CE7&quot;/&gt;&lt;wsp:rsid wsp:val=&quot;00434098&quot;/&gt;&lt;wsp:rsid wsp:val=&quot;0043409E&quot;/&gt;&lt;wsp:rsid wsp:val=&quot;00434C32&quot;/&gt;&lt;wsp:rsid wsp:val=&quot;0043544A&quot;/&gt;&lt;wsp:rsid wsp:val=&quot;0043556F&quot;/&gt;&lt;wsp:rsid wsp:val=&quot;00435A62&quot;/&gt;&lt;wsp:rsid wsp:val=&quot;00435CA9&quot;/&gt;&lt;wsp:rsid wsp:val=&quot;0043720C&quot;/&gt;&lt;wsp:rsid wsp:val=&quot;00437C37&quot;/&gt;&lt;wsp:rsid wsp:val=&quot;00440DE7&quot;/&gt;&lt;wsp:rsid wsp:val=&quot;00441A25&quot;/&gt;&lt;wsp:rsid wsp:val=&quot;00442C6C&quot;/&gt;&lt;wsp:rsid wsp:val=&quot;004431DD&quot;/&gt;&lt;wsp:rsid wsp:val=&quot;00443270&quot;/&gt;&lt;wsp:rsid wsp:val=&quot;00443DCC&quot;/&gt;&lt;wsp:rsid wsp:val=&quot;00444FE4&quot;/&gt;&lt;wsp:rsid wsp:val=&quot;0044534E&quot;/&gt;&lt;wsp:rsid wsp:val=&quot;00447B0F&quot;/&gt;&lt;wsp:rsid wsp:val=&quot;00447B8B&quot;/&gt;&lt;wsp:rsid wsp:val=&quot;00450001&quot;/&gt;&lt;wsp:rsid wsp:val=&quot;004500E1&quot;/&gt;&lt;wsp:rsid wsp:val=&quot;004501AB&quot;/&gt;&lt;wsp:rsid wsp:val=&quot;00450ACD&quot;/&gt;&lt;wsp:rsid wsp:val=&quot;00451041&quot;/&gt;&lt;wsp:rsid wsp:val=&quot;004515BF&quot;/&gt;&lt;wsp:rsid wsp:val=&quot;004519D9&quot;/&gt;&lt;wsp:rsid wsp:val=&quot;0045240F&quot;/&gt;&lt;wsp:rsid wsp:val=&quot;00452738&quot;/&gt;&lt;wsp:rsid wsp:val=&quot;00452846&quot;/&gt;&lt;wsp:rsid wsp:val=&quot;004529B1&quot;/&gt;&lt;wsp:rsid wsp:val=&quot;00452F32&quot;/&gt;&lt;wsp:rsid wsp:val=&quot;00453080&quot;/&gt;&lt;wsp:rsid wsp:val=&quot;00453564&quot;/&gt;&lt;wsp:rsid wsp:val=&quot;00453E0F&quot;/&gt;&lt;wsp:rsid wsp:val=&quot;004540D3&quot;/&gt;&lt;wsp:rsid wsp:val=&quot;004546DA&quot;/&gt;&lt;wsp:rsid wsp:val=&quot;004549B9&quot;/&gt;&lt;wsp:rsid wsp:val=&quot;00454A9E&quot;/&gt;&lt;wsp:rsid wsp:val=&quot;00454FDC&quot;/&gt;&lt;wsp:rsid wsp:val=&quot;004552EE&quot;/&gt;&lt;wsp:rsid wsp:val=&quot;00455413&quot;/&gt;&lt;wsp:rsid wsp:val=&quot;00456091&quot;/&gt;&lt;wsp:rsid wsp:val=&quot;00456191&quot;/&gt;&lt;wsp:rsid wsp:val=&quot;004561D6&quot;/&gt;&lt;wsp:rsid wsp:val=&quot;00456BE7&quot;/&gt;&lt;wsp:rsid wsp:val=&quot;00456BF0&quot;/&gt;&lt;wsp:rsid wsp:val=&quot;00456DB8&quot;/&gt;&lt;wsp:rsid wsp:val=&quot;00456F4F&quot;/&gt;&lt;wsp:rsid wsp:val=&quot;00457929&quot;/&gt;&lt;wsp:rsid wsp:val=&quot;00457C98&quot;/&gt;&lt;wsp:rsid wsp:val=&quot;00457E8D&quot;/&gt;&lt;wsp:rsid wsp:val=&quot;00457ED0&quot;/&gt;&lt;wsp:rsid wsp:val=&quot;00460AAF&quot;/&gt;&lt;wsp:rsid wsp:val=&quot;00461152&quot;/&gt;&lt;wsp:rsid wsp:val=&quot;004612A8&quot;/&gt;&lt;wsp:rsid wsp:val=&quot;00461F20&quot;/&gt;&lt;wsp:rsid wsp:val=&quot;004622E3&quot;/&gt;&lt;wsp:rsid wsp:val=&quot;004623C1&quot;/&gt;&lt;wsp:rsid wsp:val=&quot;00462BCC&quot;/&gt;&lt;wsp:rsid wsp:val=&quot;00462FAF&quot;/&gt;&lt;wsp:rsid wsp:val=&quot;00463CA2&quot;/&gt;&lt;wsp:rsid wsp:val=&quot;00463D89&quot;/&gt;&lt;wsp:rsid wsp:val=&quot;00464580&quot;/&gt;&lt;wsp:rsid wsp:val=&quot;00464952&quot;/&gt;&lt;wsp:rsid wsp:val=&quot;004659CB&quot;/&gt;&lt;wsp:rsid wsp:val=&quot;00465E09&quot;/&gt;&lt;wsp:rsid wsp:val=&quot;00465F06&quot;/&gt;&lt;wsp:rsid wsp:val=&quot;00466205&quot;/&gt;&lt;wsp:rsid wsp:val=&quot;00466321&quot;/&gt;&lt;wsp:rsid wsp:val=&quot;004663C0&quot;/&gt;&lt;wsp:rsid wsp:val=&quot;00466525&quot;/&gt;&lt;wsp:rsid wsp:val=&quot;00466CD0&quot;/&gt;&lt;wsp:rsid wsp:val=&quot;0046743D&quot;/&gt;&lt;wsp:rsid wsp:val=&quot;00470983&quot;/&gt;&lt;wsp:rsid wsp:val=&quot;00470DFD&quot;/&gt;&lt;wsp:rsid wsp:val=&quot;00471EFD&quot;/&gt;&lt;wsp:rsid wsp:val=&quot;00472042&quot;/&gt;&lt;wsp:rsid wsp:val=&quot;004734DC&quot;/&gt;&lt;wsp:rsid wsp:val=&quot;00473A1F&quot;/&gt;&lt;wsp:rsid wsp:val=&quot;00473C66&quot;/&gt;&lt;wsp:rsid wsp:val=&quot;00473CA3&quot;/&gt;&lt;wsp:rsid wsp:val=&quot;00474174&quot;/&gt;&lt;wsp:rsid wsp:val=&quot;00474D08&quot;/&gt;&lt;wsp:rsid wsp:val=&quot;00474EFB&quot;/&gt;&lt;wsp:rsid wsp:val=&quot;00475497&quot;/&gt;&lt;wsp:rsid wsp:val=&quot;00475E66&quot;/&gt;&lt;wsp:rsid wsp:val=&quot;004779B9&quot;/&gt;&lt;wsp:rsid wsp:val=&quot;00477BF5&quot;/&gt;&lt;wsp:rsid wsp:val=&quot;00480273&quot;/&gt;&lt;wsp:rsid wsp:val=&quot;0048045A&quot;/&gt;&lt;wsp:rsid wsp:val=&quot;0048065F&quot;/&gt;&lt;wsp:rsid wsp:val=&quot;00480EF9&quot;/&gt;&lt;wsp:rsid wsp:val=&quot;004826C0&quot;/&gt;&lt;wsp:rsid wsp:val=&quot;00482788&quot;/&gt;&lt;wsp:rsid wsp:val=&quot;00483786&quot;/&gt;&lt;wsp:rsid wsp:val=&quot;00484B9B&quot;/&gt;&lt;wsp:rsid wsp:val=&quot;004855F6&quot;/&gt;&lt;wsp:rsid wsp:val=&quot;00485739&quot;/&gt;&lt;wsp:rsid wsp:val=&quot;00485C46&quot;/&gt;&lt;wsp:rsid wsp:val=&quot;00485CE7&quot;/&gt;&lt;wsp:rsid wsp:val=&quot;00486310&quot;/&gt;&lt;wsp:rsid wsp:val=&quot;0048661E&quot;/&gt;&lt;wsp:rsid wsp:val=&quot;0048698B&quot;/&gt;&lt;wsp:rsid wsp:val=&quot;00486B1F&quot;/&gt;&lt;wsp:rsid wsp:val=&quot;00487C7F&quot;/&gt;&lt;wsp:rsid wsp:val=&quot;00490605&quot;/&gt;&lt;wsp:rsid wsp:val=&quot;0049060B&quot;/&gt;&lt;wsp:rsid wsp:val=&quot;00490906&quot;/&gt;&lt;wsp:rsid wsp:val=&quot;004912EC&quot;/&gt;&lt;wsp:rsid wsp:val=&quot;00491313&quot;/&gt;&lt;wsp:rsid wsp:val=&quot;004913FF&quot;/&gt;&lt;wsp:rsid wsp:val=&quot;004914DC&quot;/&gt;&lt;wsp:rsid wsp:val=&quot;004919D5&quot;/&gt;&lt;wsp:rsid wsp:val=&quot;004927EC&quot;/&gt;&lt;wsp:rsid wsp:val=&quot;00493008&quot;/&gt;&lt;wsp:rsid wsp:val=&quot;004935E4&quot;/&gt;&lt;wsp:rsid wsp:val=&quot;004941E3&quot;/&gt;&lt;wsp:rsid wsp:val=&quot;00494670&quot;/&gt;&lt;wsp:rsid wsp:val=&quot;00494BE9&quot;/&gt;&lt;wsp:rsid wsp:val=&quot;00494F65&quot;/&gt;&lt;wsp:rsid wsp:val=&quot;004952F9&quot;/&gt;&lt;wsp:rsid wsp:val=&quot;00496297&quot;/&gt;&lt;wsp:rsid wsp:val=&quot;004979B6&quot;/&gt;&lt;wsp:rsid wsp:val=&quot;00497FAF&quot;/&gt;&lt;wsp:rsid wsp:val=&quot;004A10F8&quot;/&gt;&lt;wsp:rsid wsp:val=&quot;004A149B&quot;/&gt;&lt;wsp:rsid wsp:val=&quot;004A2098&quot;/&gt;&lt;wsp:rsid wsp:val=&quot;004A3823&quot;/&gt;&lt;wsp:rsid wsp:val=&quot;004A38B6&quot;/&gt;&lt;wsp:rsid wsp:val=&quot;004A3A75&quot;/&gt;&lt;wsp:rsid wsp:val=&quot;004A3A95&quot;/&gt;&lt;wsp:rsid wsp:val=&quot;004A3ACF&quot;/&gt;&lt;wsp:rsid wsp:val=&quot;004A3BBA&quot;/&gt;&lt;wsp:rsid wsp:val=&quot;004A449B&quot;/&gt;&lt;wsp:rsid wsp:val=&quot;004A476E&quot;/&gt;&lt;wsp:rsid wsp:val=&quot;004A4782&quot;/&gt;&lt;wsp:rsid wsp:val=&quot;004A4D8D&quot;/&gt;&lt;wsp:rsid wsp:val=&quot;004A55F9&quot;/&gt;&lt;wsp:rsid wsp:val=&quot;004A5C8A&quot;/&gt;&lt;wsp:rsid wsp:val=&quot;004A5DAD&quot;/&gt;&lt;wsp:rsid wsp:val=&quot;004A66D2&quot;/&gt;&lt;wsp:rsid wsp:val=&quot;004A6B1C&quot;/&gt;&lt;wsp:rsid wsp:val=&quot;004A6D8B&quot;/&gt;&lt;wsp:rsid wsp:val=&quot;004A6DE5&quot;/&gt;&lt;wsp:rsid wsp:val=&quot;004A6FB7&quot;/&gt;&lt;wsp:rsid wsp:val=&quot;004A7004&quot;/&gt;&lt;wsp:rsid wsp:val=&quot;004B047D&quot;/&gt;&lt;wsp:rsid wsp:val=&quot;004B065B&quot;/&gt;&lt;wsp:rsid wsp:val=&quot;004B0662&quot;/&gt;&lt;wsp:rsid wsp:val=&quot;004B0935&quot;/&gt;&lt;wsp:rsid wsp:val=&quot;004B19D8&quot;/&gt;&lt;wsp:rsid wsp:val=&quot;004B1F6C&quot;/&gt;&lt;wsp:rsid wsp:val=&quot;004B2133&quot;/&gt;&lt;wsp:rsid wsp:val=&quot;004B2BC6&quot;/&gt;&lt;wsp:rsid wsp:val=&quot;004B2E24&quot;/&gt;&lt;wsp:rsid wsp:val=&quot;004B3204&quot;/&gt;&lt;wsp:rsid wsp:val=&quot;004B321F&quot;/&gt;&lt;wsp:rsid wsp:val=&quot;004B3379&quot;/&gt;&lt;wsp:rsid wsp:val=&quot;004B37FC&quot;/&gt;&lt;wsp:rsid wsp:val=&quot;004B4302&quot;/&gt;&lt;wsp:rsid wsp:val=&quot;004B5AF0&quot;/&gt;&lt;wsp:rsid wsp:val=&quot;004B5E3A&quot;/&gt;&lt;wsp:rsid wsp:val=&quot;004B65D0&quot;/&gt;&lt;wsp:rsid wsp:val=&quot;004B6DDB&quot;/&gt;&lt;wsp:rsid wsp:val=&quot;004B6F9C&quot;/&gt;&lt;wsp:rsid wsp:val=&quot;004B7261&quot;/&gt;&lt;wsp:rsid wsp:val=&quot;004C024D&quot;/&gt;&lt;wsp:rsid wsp:val=&quot;004C104A&quot;/&gt;&lt;wsp:rsid wsp:val=&quot;004C1344&quot;/&gt;&lt;wsp:rsid wsp:val=&quot;004C1489&quot;/&gt;&lt;wsp:rsid wsp:val=&quot;004C1734&quot;/&gt;&lt;wsp:rsid wsp:val=&quot;004C183F&quot;/&gt;&lt;wsp:rsid wsp:val=&quot;004C204B&quot;/&gt;&lt;wsp:rsid wsp:val=&quot;004C20AF&quot;/&gt;&lt;wsp:rsid wsp:val=&quot;004C2671&quot;/&gt;&lt;wsp:rsid wsp:val=&quot;004C2CB6&quot;/&gt;&lt;wsp:rsid wsp:val=&quot;004C2F8D&quot;/&gt;&lt;wsp:rsid wsp:val=&quot;004C338C&quot;/&gt;&lt;wsp:rsid wsp:val=&quot;004C3465&quot;/&gt;&lt;wsp:rsid wsp:val=&quot;004C40E7&quot;/&gt;&lt;wsp:rsid wsp:val=&quot;004C4565&quot;/&gt;&lt;wsp:rsid wsp:val=&quot;004C638F&quot;/&gt;&lt;wsp:rsid wsp:val=&quot;004C7148&quot;/&gt;&lt;wsp:rsid wsp:val=&quot;004C76BF&quot;/&gt;&lt;wsp:rsid wsp:val=&quot;004D111B&quot;/&gt;&lt;wsp:rsid wsp:val=&quot;004D1329&quot;/&gt;&lt;wsp:rsid wsp:val=&quot;004D2783&quot;/&gt;&lt;wsp:rsid wsp:val=&quot;004D2C2B&quot;/&gt;&lt;wsp:rsid wsp:val=&quot;004D2D08&quot;/&gt;&lt;wsp:rsid wsp:val=&quot;004D2DE3&quot;/&gt;&lt;wsp:rsid wsp:val=&quot;004D3489&quot;/&gt;&lt;wsp:rsid wsp:val=&quot;004D35E0&quot;/&gt;&lt;wsp:rsid wsp:val=&quot;004D369A&quot;/&gt;&lt;wsp:rsid wsp:val=&quot;004D3C2C&quot;/&gt;&lt;wsp:rsid wsp:val=&quot;004D3E9E&quot;/&gt;&lt;wsp:rsid wsp:val=&quot;004D3EEB&quot;/&gt;&lt;wsp:rsid wsp:val=&quot;004D408B&quot;/&gt;&lt;wsp:rsid wsp:val=&quot;004D40B3&quot;/&gt;&lt;wsp:rsid wsp:val=&quot;004D49D8&quot;/&gt;&lt;wsp:rsid wsp:val=&quot;004D5943&quot;/&gt;&lt;wsp:rsid wsp:val=&quot;004D5CFD&quot;/&gt;&lt;wsp:rsid wsp:val=&quot;004D5F73&quot;/&gt;&lt;wsp:rsid wsp:val=&quot;004D6428&quot;/&gt;&lt;wsp:rsid wsp:val=&quot;004D6AB5&quot;/&gt;&lt;wsp:rsid wsp:val=&quot;004D6BB9&quot;/&gt;&lt;wsp:rsid wsp:val=&quot;004D6F96&quot;/&gt;&lt;wsp:rsid wsp:val=&quot;004D72C8&quot;/&gt;&lt;wsp:rsid wsp:val=&quot;004D76FB&quot;/&gt;&lt;wsp:rsid wsp:val=&quot;004D7B79&quot;/&gt;&lt;wsp:rsid wsp:val=&quot;004E1D60&quot;/&gt;&lt;wsp:rsid wsp:val=&quot;004E1DFA&quot;/&gt;&lt;wsp:rsid wsp:val=&quot;004E2618&quot;/&gt;&lt;wsp:rsid wsp:val=&quot;004E2A9D&quot;/&gt;&lt;wsp:rsid wsp:val=&quot;004E30B5&quot;/&gt;&lt;wsp:rsid wsp:val=&quot;004E320E&quot;/&gt;&lt;wsp:rsid wsp:val=&quot;004E3566&quot;/&gt;&lt;wsp:rsid wsp:val=&quot;004E3AB7&quot;/&gt;&lt;wsp:rsid wsp:val=&quot;004E3E3E&quot;/&gt;&lt;wsp:rsid wsp:val=&quot;004E3EDE&quot;/&gt;&lt;wsp:rsid wsp:val=&quot;004E4683&quot;/&gt;&lt;wsp:rsid wsp:val=&quot;004E4A54&quot;/&gt;&lt;wsp:rsid wsp:val=&quot;004E5494&quot;/&gt;&lt;wsp:rsid wsp:val=&quot;004E623F&quot;/&gt;&lt;wsp:rsid wsp:val=&quot;004E65AD&quot;/&gt;&lt;wsp:rsid wsp:val=&quot;004E6946&quot;/&gt;&lt;wsp:rsid wsp:val=&quot;004E6ACD&quot;/&gt;&lt;wsp:rsid wsp:val=&quot;004E7632&quot;/&gt;&lt;wsp:rsid wsp:val=&quot;004E76B8&quot;/&gt;&lt;wsp:rsid wsp:val=&quot;004E7A19&quot;/&gt;&lt;wsp:rsid wsp:val=&quot;004E7B4E&quot;/&gt;&lt;wsp:rsid wsp:val=&quot;004F0286&quot;/&gt;&lt;wsp:rsid wsp:val=&quot;004F07B8&quot;/&gt;&lt;wsp:rsid wsp:val=&quot;004F0E76&quot;/&gt;&lt;wsp:rsid wsp:val=&quot;004F0FD2&quot;/&gt;&lt;wsp:rsid wsp:val=&quot;004F1AD8&quot;/&gt;&lt;wsp:rsid wsp:val=&quot;004F1D54&quot;/&gt;&lt;wsp:rsid wsp:val=&quot;004F2A58&quot;/&gt;&lt;wsp:rsid wsp:val=&quot;004F2BE0&quot;/&gt;&lt;wsp:rsid wsp:val=&quot;004F3098&quot;/&gt;&lt;wsp:rsid wsp:val=&quot;004F3141&quot;/&gt;&lt;wsp:rsid wsp:val=&quot;004F3626&quot;/&gt;&lt;wsp:rsid wsp:val=&quot;004F450B&quot;/&gt;&lt;wsp:rsid wsp:val=&quot;004F4D10&quot;/&gt;&lt;wsp:rsid wsp:val=&quot;004F56D7&quot;/&gt;&lt;wsp:rsid wsp:val=&quot;004F6C14&quot;/&gt;&lt;wsp:rsid wsp:val=&quot;004F75FD&quot;/&gt;&lt;wsp:rsid wsp:val=&quot;0050067B&quot;/&gt;&lt;wsp:rsid wsp:val=&quot;00500ADB&quot;/&gt;&lt;wsp:rsid wsp:val=&quot;00500D5D&quot;/&gt;&lt;wsp:rsid wsp:val=&quot;0050114C&quot;/&gt;&lt;wsp:rsid wsp:val=&quot;00501290&quot;/&gt;&lt;wsp:rsid wsp:val=&quot;00501652&quot;/&gt;&lt;wsp:rsid wsp:val=&quot;0050176C&quot;/&gt;&lt;wsp:rsid wsp:val=&quot;00502462&quot;/&gt;&lt;wsp:rsid wsp:val=&quot;0050277B&quot;/&gt;&lt;wsp:rsid wsp:val=&quot;00502D5E&quot;/&gt;&lt;wsp:rsid wsp:val=&quot;00503511&quot;/&gt;&lt;wsp:rsid wsp:val=&quot;005039CB&quot;/&gt;&lt;wsp:rsid wsp:val=&quot;00503A88&quot;/&gt;&lt;wsp:rsid wsp:val=&quot;005043BD&quot;/&gt;&lt;wsp:rsid wsp:val=&quot;0050472E&quot;/&gt;&lt;wsp:rsid wsp:val=&quot;00504842&quot;/&gt;&lt;wsp:rsid wsp:val=&quot;00505121&quot;/&gt;&lt;wsp:rsid wsp:val=&quot;005054B0&quot;/&gt;&lt;wsp:rsid wsp:val=&quot;0050558F&quot;/&gt;&lt;wsp:rsid wsp:val=&quot;005055E7&quot;/&gt;&lt;wsp:rsid wsp:val=&quot;00505E17&quot;/&gt;&lt;wsp:rsid wsp:val=&quot;00506286&quot;/&gt;&lt;wsp:rsid wsp:val=&quot;00506985&quot;/&gt;&lt;wsp:rsid wsp:val=&quot;005069DD&quot;/&gt;&lt;wsp:rsid wsp:val=&quot;00506F5B&quot;/&gt;&lt;wsp:rsid wsp:val=&quot;005074FB&quot;/&gt;&lt;wsp:rsid wsp:val=&quot;00507985&quot;/&gt;&lt;wsp:rsid wsp:val=&quot;00507BE2&quot;/&gt;&lt;wsp:rsid wsp:val=&quot;00510813&quot;/&gt;&lt;wsp:rsid wsp:val=&quot;005116C5&quot;/&gt;&lt;wsp:rsid wsp:val=&quot;00511990&quot;/&gt;&lt;wsp:rsid wsp:val=&quot;00511DE0&quot;/&gt;&lt;wsp:rsid wsp:val=&quot;00512C61&quot;/&gt;&lt;wsp:rsid wsp:val=&quot;00512F66&quot;/&gt;&lt;wsp:rsid wsp:val=&quot;0051356A&quot;/&gt;&lt;wsp:rsid wsp:val=&quot;005135C0&quot;/&gt;&lt;wsp:rsid wsp:val=&quot;00513FC8&quot;/&gt;&lt;wsp:rsid wsp:val=&quot;0051414A&quot;/&gt;&lt;wsp:rsid wsp:val=&quot;00514858&quot;/&gt;&lt;wsp:rsid wsp:val=&quot;00514870&quot;/&gt;&lt;wsp:rsid wsp:val=&quot;00514B17&quot;/&gt;&lt;wsp:rsid wsp:val=&quot;00514B9B&quot;/&gt;&lt;wsp:rsid wsp:val=&quot;00514C3F&quot;/&gt;&lt;wsp:rsid wsp:val=&quot;00515E1B&quot;/&gt;&lt;wsp:rsid wsp:val=&quot;0051638B&quot;/&gt;&lt;wsp:rsid wsp:val=&quot;0051696E&quot;/&gt;&lt;wsp:rsid wsp:val=&quot;00516F8D&quot;/&gt;&lt;wsp:rsid wsp:val=&quot;005176FE&quot;/&gt;&lt;wsp:rsid wsp:val=&quot;00517F02&quot;/&gt;&lt;wsp:rsid wsp:val=&quot;005201BA&quot;/&gt;&lt;wsp:rsid wsp:val=&quot;00520DE7&quot;/&gt;&lt;wsp:rsid wsp:val=&quot;00520F34&quot;/&gt;&lt;wsp:rsid wsp:val=&quot;00520F8C&quot;/&gt;&lt;wsp:rsid wsp:val=&quot;00521197&quot;/&gt;&lt;wsp:rsid wsp:val=&quot;00521356&quot;/&gt;&lt;wsp:rsid wsp:val=&quot;0052150B&quot;/&gt;&lt;wsp:rsid wsp:val=&quot;005218F6&quot;/&gt;&lt;wsp:rsid wsp:val=&quot;00521DD4&quot;/&gt;&lt;wsp:rsid wsp:val=&quot;00521EB9&quot;/&gt;&lt;wsp:rsid wsp:val=&quot;0052233A&quot;/&gt;&lt;wsp:rsid wsp:val=&quot;00523B01&quot;/&gt;&lt;wsp:rsid wsp:val=&quot;00524303&quot;/&gt;&lt;wsp:rsid wsp:val=&quot;00524E4D&quot;/&gt;&lt;wsp:rsid wsp:val=&quot;005258A2&quot;/&gt;&lt;wsp:rsid wsp:val=&quot;00525EEA&quot;/&gt;&lt;wsp:rsid wsp:val=&quot;005262A6&quot;/&gt;&lt;wsp:rsid wsp:val=&quot;00526FA2&quot;/&gt;&lt;wsp:rsid wsp:val=&quot;005274D7&quot;/&gt;&lt;wsp:rsid wsp:val=&quot;005279F8&quot;/&gt;&lt;wsp:rsid wsp:val=&quot;0053064A&quot;/&gt;&lt;wsp:rsid wsp:val=&quot;00530F80&quot;/&gt;&lt;wsp:rsid wsp:val=&quot;00531075&quot;/&gt;&lt;wsp:rsid wsp:val=&quot;005313A3&quot;/&gt;&lt;wsp:rsid wsp:val=&quot;00531461&quot;/&gt;&lt;wsp:rsid wsp:val=&quot;005317F8&quot;/&gt;&lt;wsp:rsid wsp:val=&quot;00532087&quot;/&gt;&lt;wsp:rsid wsp:val=&quot;00532658&quot;/&gt;&lt;wsp:rsid wsp:val=&quot;0053468A&quot;/&gt;&lt;wsp:rsid wsp:val=&quot;00535140&quot;/&gt;&lt;wsp:rsid wsp:val=&quot;00535415&quot;/&gt;&lt;wsp:rsid wsp:val=&quot;005355D8&quot;/&gt;&lt;wsp:rsid wsp:val=&quot;005355DD&quot;/&gt;&lt;wsp:rsid wsp:val=&quot;00535C11&quot;/&gt;&lt;wsp:rsid wsp:val=&quot;005368EC&quot;/&gt;&lt;wsp:rsid wsp:val=&quot;00537A42&quot;/&gt;&lt;wsp:rsid wsp:val=&quot;00540022&quot;/&gt;&lt;wsp:rsid wsp:val=&quot;005401AE&quot;/&gt;&lt;wsp:rsid wsp:val=&quot;00540399&quot;/&gt;&lt;wsp:rsid wsp:val=&quot;00540403&quot;/&gt;&lt;wsp:rsid wsp:val=&quot;00540571&quot;/&gt;&lt;wsp:rsid wsp:val=&quot;00540D7E&quot;/&gt;&lt;wsp:rsid wsp:val=&quot;00541009&quot;/&gt;&lt;wsp:rsid wsp:val=&quot;005422BA&quot;/&gt;&lt;wsp:rsid wsp:val=&quot;00542375&quot;/&gt;&lt;wsp:rsid wsp:val=&quot;005428D6&quot;/&gt;&lt;wsp:rsid wsp:val=&quot;00542E07&quot;/&gt;&lt;wsp:rsid wsp:val=&quot;005431A9&quot;/&gt;&lt;wsp:rsid wsp:val=&quot;0054368E&quot;/&gt;&lt;wsp:rsid wsp:val=&quot;00544F55&quot;/&gt;&lt;wsp:rsid wsp:val=&quot;005451AF&quot;/&gt;&lt;wsp:rsid wsp:val=&quot;0054521B&quot;/&gt;&lt;wsp:rsid wsp:val=&quot;00545424&quot;/&gt;&lt;wsp:rsid wsp:val=&quot;00545D54&quot;/&gt;&lt;wsp:rsid wsp:val=&quot;00546299&quot;/&gt;&lt;wsp:rsid wsp:val=&quot;005468D3&quot;/&gt;&lt;wsp:rsid wsp:val=&quot;00546DC3&quot;/&gt;&lt;wsp:rsid wsp:val=&quot;00547B25&quot;/&gt;&lt;wsp:rsid wsp:val=&quot;00547D7E&quot;/&gt;&lt;wsp:rsid wsp:val=&quot;00550600&quot;/&gt;&lt;wsp:rsid wsp:val=&quot;0055095D&quot;/&gt;&lt;wsp:rsid wsp:val=&quot;00550AC3&quot;/&gt;&lt;wsp:rsid wsp:val=&quot;00550C5B&quot;/&gt;&lt;wsp:rsid wsp:val=&quot;0055168F&quot;/&gt;&lt;wsp:rsid wsp:val=&quot;00551EA3&quot;/&gt;&lt;wsp:rsid wsp:val=&quot;00552F6E&quot;/&gt;&lt;wsp:rsid wsp:val=&quot;0055386C&quot;/&gt;&lt;wsp:rsid wsp:val=&quot;00554289&quot;/&gt;&lt;wsp:rsid wsp:val=&quot;00554A7B&quot;/&gt;&lt;wsp:rsid wsp:val=&quot;00554ECD&quot;/&gt;&lt;wsp:rsid wsp:val=&quot;00554FA1&quot;/&gt;&lt;wsp:rsid wsp:val=&quot;005551EA&quot;/&gt;&lt;wsp:rsid wsp:val=&quot;0055572C&quot;/&gt;&lt;wsp:rsid wsp:val=&quot;00555B00&quot;/&gt;&lt;wsp:rsid wsp:val=&quot;00556149&quot;/&gt;&lt;wsp:rsid wsp:val=&quot;005564F4&quot;/&gt;&lt;wsp:rsid wsp:val=&quot;005571E9&quot;/&gt;&lt;wsp:rsid wsp:val=&quot;005573D5&quot;/&gt;&lt;wsp:rsid wsp:val=&quot;005605AA&quot;/&gt;&lt;wsp:rsid wsp:val=&quot;005609DA&quot;/&gt;&lt;wsp:rsid wsp:val=&quot;00560F84&quot;/&gt;&lt;wsp:rsid wsp:val=&quot;0056106A&quot;/&gt;&lt;wsp:rsid wsp:val=&quot;0056213F&quot;/&gt;&lt;wsp:rsid wsp:val=&quot;00562973&quot;/&gt;&lt;wsp:rsid wsp:val=&quot;00563A04&quot;/&gt;&lt;wsp:rsid wsp:val=&quot;00563B88&quot;/&gt;&lt;wsp:rsid wsp:val=&quot;005641BE&quot;/&gt;&lt;wsp:rsid wsp:val=&quot;00564348&quot;/&gt;&lt;wsp:rsid wsp:val=&quot;005656E0&quot;/&gt;&lt;wsp:rsid wsp:val=&quot;00566528&quot;/&gt;&lt;wsp:rsid wsp:val=&quot;005668A3&quot;/&gt;&lt;wsp:rsid wsp:val=&quot;005678A2&quot;/&gt;&lt;wsp:rsid wsp:val=&quot;00567DD6&quot;/&gt;&lt;wsp:rsid wsp:val=&quot;00570393&quot;/&gt;&lt;wsp:rsid wsp:val=&quot;0057167F&quot;/&gt;&lt;wsp:rsid wsp:val=&quot;005720AE&quot;/&gt;&lt;wsp:rsid wsp:val=&quot;005729B1&quot;/&gt;&lt;wsp:rsid wsp:val=&quot;00572AF5&quot;/&gt;&lt;wsp:rsid wsp:val=&quot;00573226&quot;/&gt;&lt;wsp:rsid wsp:val=&quot;005737D2&quot;/&gt;&lt;wsp:rsid wsp:val=&quot;005739F3&quot;/&gt;&lt;wsp:rsid wsp:val=&quot;00574482&quot;/&gt;&lt;wsp:rsid wsp:val=&quot;00574524&quot;/&gt;&lt;wsp:rsid wsp:val=&quot;00574B9E&quot;/&gt;&lt;wsp:rsid wsp:val=&quot;00575656&quot;/&gt;&lt;wsp:rsid wsp:val=&quot;005759E3&quot;/&gt;&lt;wsp:rsid wsp:val=&quot;00575C9E&quot;/&gt;&lt;wsp:rsid wsp:val=&quot;005767E7&quot;/&gt;&lt;wsp:rsid wsp:val=&quot;00576962&quot;/&gt;&lt;wsp:rsid wsp:val=&quot;00577123&quot;/&gt;&lt;wsp:rsid wsp:val=&quot;005771D3&quot;/&gt;&lt;wsp:rsid wsp:val=&quot;00577C24&quot;/&gt;&lt;wsp:rsid wsp:val=&quot;00577C83&quot;/&gt;&lt;wsp:rsid wsp:val=&quot;00580507&quot;/&gt;&lt;wsp:rsid wsp:val=&quot;00580673&quot;/&gt;&lt;wsp:rsid wsp:val=&quot;00580D1D&quot;/&gt;&lt;wsp:rsid wsp:val=&quot;00581451&quot;/&gt;&lt;wsp:rsid wsp:val=&quot;00581BEC&quot;/&gt;&lt;wsp:rsid wsp:val=&quot;00581F46&quot;/&gt;&lt;wsp:rsid wsp:val=&quot;005827B2&quot;/&gt;&lt;wsp:rsid wsp:val=&quot;005833B1&quot;/&gt;&lt;wsp:rsid wsp:val=&quot;005839A9&quot;/&gt;&lt;wsp:rsid wsp:val=&quot;005840AD&quot;/&gt;&lt;wsp:rsid wsp:val=&quot;005845C0&quot;/&gt;&lt;wsp:rsid wsp:val=&quot;00585B14&quot;/&gt;&lt;wsp:rsid wsp:val=&quot;005862A8&quot;/&gt;&lt;wsp:rsid wsp:val=&quot;00586FFA&quot;/&gt;&lt;wsp:rsid wsp:val=&quot;005874DE&quot;/&gt;&lt;wsp:rsid wsp:val=&quot;00587B36&quot;/&gt;&lt;wsp:rsid wsp:val=&quot;00587C53&quot;/&gt;&lt;wsp:rsid wsp:val=&quot;00587D1C&quot;/&gt;&lt;wsp:rsid wsp:val=&quot;00590330&quot;/&gt;&lt;wsp:rsid wsp:val=&quot;00590AFF&quot;/&gt;&lt;wsp:rsid wsp:val=&quot;00591065&quot;/&gt;&lt;wsp:rsid wsp:val=&quot;00591478&quot;/&gt;&lt;wsp:rsid wsp:val=&quot;00591549&quot;/&gt;&lt;wsp:rsid wsp:val=&quot;0059165F&quot;/&gt;&lt;wsp:rsid wsp:val=&quot;00591BC4&quot;/&gt;&lt;wsp:rsid wsp:val=&quot;005920D0&quot;/&gt;&lt;wsp:rsid wsp:val=&quot;0059267A&quot;/&gt;&lt;wsp:rsid wsp:val=&quot;00592761&quot;/&gt;&lt;wsp:rsid wsp:val=&quot;00592B3E&quot;/&gt;&lt;wsp:rsid wsp:val=&quot;0059338E&quot;/&gt;&lt;wsp:rsid wsp:val=&quot;00593B9F&quot;/&gt;&lt;wsp:rsid wsp:val=&quot;0059405D&quot;/&gt;&lt;wsp:rsid wsp:val=&quot;00594487&quot;/&gt;&lt;wsp:rsid wsp:val=&quot;005946F1&quot;/&gt;&lt;wsp:rsid wsp:val=&quot;00594D59&quot;/&gt;&lt;wsp:rsid wsp:val=&quot;00594D77&quot;/&gt;&lt;wsp:rsid wsp:val=&quot;00595F8B&quot;/&gt;&lt;wsp:rsid wsp:val=&quot;00596894&quot;/&gt;&lt;wsp:rsid wsp:val=&quot;005969E4&quot;/&gt;&lt;wsp:rsid wsp:val=&quot;00596BAF&quot;/&gt;&lt;wsp:rsid wsp:val=&quot;00597C75&quot;/&gt;&lt;wsp:rsid wsp:val=&quot;00597FA1&quot;/&gt;&lt;wsp:rsid wsp:val=&quot;005A01D8&quot;/&gt;&lt;wsp:rsid wsp:val=&quot;005A02C6&quot;/&gt;&lt;wsp:rsid wsp:val=&quot;005A056E&quot;/&gt;&lt;wsp:rsid wsp:val=&quot;005A06B7&quot;/&gt;&lt;wsp:rsid wsp:val=&quot;005A1759&quot;/&gt;&lt;wsp:rsid wsp:val=&quot;005A1E5D&quot;/&gt;&lt;wsp:rsid wsp:val=&quot;005A2CD9&quot;/&gt;&lt;wsp:rsid wsp:val=&quot;005A4806&quot;/&gt;&lt;wsp:rsid wsp:val=&quot;005A4B80&quot;/&gt;&lt;wsp:rsid wsp:val=&quot;005A5327&quot;/&gt;&lt;wsp:rsid wsp:val=&quot;005A5BF6&quot;/&gt;&lt;wsp:rsid wsp:val=&quot;005A63D9&quot;/&gt;&lt;wsp:rsid wsp:val=&quot;005A6762&quot;/&gt;&lt;wsp:rsid wsp:val=&quot;005A67FC&quot;/&gt;&lt;wsp:rsid wsp:val=&quot;005A68A7&quot;/&gt;&lt;wsp:rsid wsp:val=&quot;005A6D3A&quot;/&gt;&lt;wsp:rsid wsp:val=&quot;005A77FC&quot;/&gt;&lt;wsp:rsid wsp:val=&quot;005A7D18&quot;/&gt;&lt;wsp:rsid wsp:val=&quot;005A7EE3&quot;/&gt;&lt;wsp:rsid wsp:val=&quot;005B00ED&quot;/&gt;&lt;wsp:rsid wsp:val=&quot;005B027A&quot;/&gt;&lt;wsp:rsid wsp:val=&quot;005B070C&quot;/&gt;&lt;wsp:rsid wsp:val=&quot;005B12CA&quot;/&gt;&lt;wsp:rsid wsp:val=&quot;005B18F1&quot;/&gt;&lt;wsp:rsid wsp:val=&quot;005B29CF&quot;/&gt;&lt;wsp:rsid wsp:val=&quot;005B2C29&quot;/&gt;&lt;wsp:rsid wsp:val=&quot;005B303A&quot;/&gt;&lt;wsp:rsid wsp:val=&quot;005B3B61&quot;/&gt;&lt;wsp:rsid wsp:val=&quot;005B45E0&quot;/&gt;&lt;wsp:rsid wsp:val=&quot;005B494B&quot;/&gt;&lt;wsp:rsid wsp:val=&quot;005B4FEF&quot;/&gt;&lt;wsp:rsid wsp:val=&quot;005B50A3&quot;/&gt;&lt;wsp:rsid wsp:val=&quot;005B520F&quot;/&gt;&lt;wsp:rsid wsp:val=&quot;005B56B5&quot;/&gt;&lt;wsp:rsid wsp:val=&quot;005B584A&quot;/&gt;&lt;wsp:rsid wsp:val=&quot;005B59E1&quot;/&gt;&lt;wsp:rsid wsp:val=&quot;005B728F&quot;/&gt;&lt;wsp:rsid wsp:val=&quot;005B7F9E&quot;/&gt;&lt;wsp:rsid wsp:val=&quot;005C25B2&quot;/&gt;&lt;wsp:rsid wsp:val=&quot;005C2E62&quot;/&gt;&lt;wsp:rsid wsp:val=&quot;005C2E90&quot;/&gt;&lt;wsp:rsid wsp:val=&quot;005C2F37&quot;/&gt;&lt;wsp:rsid wsp:val=&quot;005C3077&quot;/&gt;&lt;wsp:rsid wsp:val=&quot;005C31CA&quot;/&gt;&lt;wsp:rsid wsp:val=&quot;005C31D4&quot;/&gt;&lt;wsp:rsid wsp:val=&quot;005C3300&quot;/&gt;&lt;wsp:rsid wsp:val=&quot;005C36C3&quot;/&gt;&lt;wsp:rsid wsp:val=&quot;005C3DB2&quot;/&gt;&lt;wsp:rsid wsp:val=&quot;005C4258&quot;/&gt;&lt;wsp:rsid wsp:val=&quot;005C4934&quot;/&gt;&lt;wsp:rsid wsp:val=&quot;005C4C33&quot;/&gt;&lt;wsp:rsid wsp:val=&quot;005C5192&quot;/&gt;&lt;wsp:rsid wsp:val=&quot;005C54AC&quot;/&gt;&lt;wsp:rsid wsp:val=&quot;005C59BE&quot;/&gt;&lt;wsp:rsid wsp:val=&quot;005C5B29&quot;/&gt;&lt;wsp:rsid wsp:val=&quot;005C64C8&quot;/&gt;&lt;wsp:rsid wsp:val=&quot;005C68CF&quot;/&gt;&lt;wsp:rsid wsp:val=&quot;005C7630&quot;/&gt;&lt;wsp:rsid wsp:val=&quot;005C76B9&quot;/&gt;&lt;wsp:rsid wsp:val=&quot;005C79D5&quot;/&gt;&lt;wsp:rsid wsp:val=&quot;005D15C3&quot;/&gt;&lt;wsp:rsid wsp:val=&quot;005D1D9B&quot;/&gt;&lt;wsp:rsid wsp:val=&quot;005D2585&quot;/&gt;&lt;wsp:rsid wsp:val=&quot;005D3369&quot;/&gt;&lt;wsp:rsid wsp:val=&quot;005D3549&quot;/&gt;&lt;wsp:rsid wsp:val=&quot;005D36AB&quot;/&gt;&lt;wsp:rsid wsp:val=&quot;005D4725&quot;/&gt;&lt;wsp:rsid wsp:val=&quot;005D47AA&quot;/&gt;&lt;wsp:rsid wsp:val=&quot;005D68CC&quot;/&gt;&lt;wsp:rsid wsp:val=&quot;005D6B55&quot;/&gt;&lt;wsp:rsid wsp:val=&quot;005D7112&quot;/&gt;&lt;wsp:rsid wsp:val=&quot;005E1593&quot;/&gt;&lt;wsp:rsid wsp:val=&quot;005E1594&quot;/&gt;&lt;wsp:rsid wsp:val=&quot;005E1ECB&quot;/&gt;&lt;wsp:rsid wsp:val=&quot;005E200B&quot;/&gt;&lt;wsp:rsid wsp:val=&quot;005E2EE9&quot;/&gt;&lt;wsp:rsid wsp:val=&quot;005E3ED1&quot;/&gt;&lt;wsp:rsid wsp:val=&quot;005E47DC&quot;/&gt;&lt;wsp:rsid wsp:val=&quot;005E5047&quot;/&gt;&lt;wsp:rsid wsp:val=&quot;005E5C27&quot;/&gt;&lt;wsp:rsid wsp:val=&quot;005E62E3&quot;/&gt;&lt;wsp:rsid wsp:val=&quot;005E6427&quot;/&gt;&lt;wsp:rsid wsp:val=&quot;005E740C&quot;/&gt;&lt;wsp:rsid wsp:val=&quot;005F0866&quot;/&gt;&lt;wsp:rsid wsp:val=&quot;005F0975&quot;/&gt;&lt;wsp:rsid wsp:val=&quot;005F0CD5&quot;/&gt;&lt;wsp:rsid wsp:val=&quot;005F1EFD&quot;/&gt;&lt;wsp:rsid wsp:val=&quot;005F266B&quot;/&gt;&lt;wsp:rsid wsp:val=&quot;005F271E&quot;/&gt;&lt;wsp:rsid wsp:val=&quot;005F2B27&quot;/&gt;&lt;wsp:rsid wsp:val=&quot;005F3439&quot;/&gt;&lt;wsp:rsid wsp:val=&quot;005F34CC&quot;/&gt;&lt;wsp:rsid wsp:val=&quot;005F3559&quot;/&gt;&lt;wsp:rsid wsp:val=&quot;005F429A&quot;/&gt;&lt;wsp:rsid wsp:val=&quot;005F47C2&quot;/&gt;&lt;wsp:rsid wsp:val=&quot;005F54A2&quot;/&gt;&lt;wsp:rsid wsp:val=&quot;005F5FDB&quot;/&gt;&lt;wsp:rsid wsp:val=&quot;005F63AC&quot;/&gt;&lt;wsp:rsid wsp:val=&quot;005F6488&quot;/&gt;&lt;wsp:rsid wsp:val=&quot;005F6E2F&quot;/&gt;&lt;wsp:rsid wsp:val=&quot;005F7295&quot;/&gt;&lt;wsp:rsid wsp:val=&quot;005F732C&quot;/&gt;&lt;wsp:rsid wsp:val=&quot;005F73FD&quot;/&gt;&lt;wsp:rsid wsp:val=&quot;005F7402&quot;/&gt;&lt;wsp:rsid wsp:val=&quot;00601373&quot;/&gt;&lt;wsp:rsid wsp:val=&quot;006015AB&quot;/&gt;&lt;wsp:rsid wsp:val=&quot;00601D30&quot;/&gt;&lt;wsp:rsid wsp:val=&quot;00601DE5&quot;/&gt;&lt;wsp:rsid wsp:val=&quot;00602E2D&quot;/&gt;&lt;wsp:rsid wsp:val=&quot;00603061&quot;/&gt;&lt;wsp:rsid wsp:val=&quot;00603399&quot;/&gt;&lt;wsp:rsid wsp:val=&quot;00603644&quot;/&gt;&lt;wsp:rsid wsp:val=&quot;00603C8D&quot;/&gt;&lt;wsp:rsid wsp:val=&quot;00603FD5&quot;/&gt;&lt;wsp:rsid wsp:val=&quot;00605D53&quot;/&gt;&lt;wsp:rsid wsp:val=&quot;00605EAC&quot;/&gt;&lt;wsp:rsid wsp:val=&quot;0060661E&quot;/&gt;&lt;wsp:rsid wsp:val=&quot;00606B32&quot;/&gt;&lt;wsp:rsid wsp:val=&quot;00606BCE&quot;/&gt;&lt;wsp:rsid wsp:val=&quot;00607BF0&quot;/&gt;&lt;wsp:rsid wsp:val=&quot;00610613&quot;/&gt;&lt;wsp:rsid wsp:val=&quot;00610A28&quot;/&gt;&lt;wsp:rsid wsp:val=&quot;00610AC3&quot;/&gt;&lt;wsp:rsid wsp:val=&quot;00610BAC&quot;/&gt;&lt;wsp:rsid wsp:val=&quot;006127AC&quot;/&gt;&lt;wsp:rsid wsp:val=&quot;00612C6D&quot;/&gt;&lt;wsp:rsid wsp:val=&quot;00613436&quot;/&gt;&lt;wsp:rsid wsp:val=&quot;00613783&quot;/&gt;&lt;wsp:rsid wsp:val=&quot;00614AA0&quot;/&gt;&lt;wsp:rsid wsp:val=&quot;00615086&quot;/&gt;&lt;wsp:rsid wsp:val=&quot;00615A2B&quot;/&gt;&lt;wsp:rsid wsp:val=&quot;006160DD&quot;/&gt;&lt;wsp:rsid wsp:val=&quot;0061687F&quot;/&gt;&lt;wsp:rsid wsp:val=&quot;00616AFB&quot;/&gt;&lt;wsp:rsid wsp:val=&quot;0061779B&quot;/&gt;&lt;wsp:rsid wsp:val=&quot;00617815&quot;/&gt;&lt;wsp:rsid wsp:val=&quot;006179A9&quot;/&gt;&lt;wsp:rsid wsp:val=&quot;00617C75&quot;/&gt;&lt;wsp:rsid wsp:val=&quot;00617CC3&quot;/&gt;&lt;wsp:rsid wsp:val=&quot;0062144A&quot;/&gt;&lt;wsp:rsid wsp:val=&quot;006214EC&quot;/&gt;&lt;wsp:rsid wsp:val=&quot;00621E55&quot;/&gt;&lt;wsp:rsid wsp:val=&quot;006222A1&quot;/&gt;&lt;wsp:rsid wsp:val=&quot;006224B6&quot;/&gt;&lt;wsp:rsid wsp:val=&quot;006227D9&quot;/&gt;&lt;wsp:rsid wsp:val=&quot;00622826&quot;/&gt;&lt;wsp:rsid wsp:val=&quot;006238B6&quot;/&gt;&lt;wsp:rsid wsp:val=&quot;00623D3A&quot;/&gt;&lt;wsp:rsid wsp:val=&quot;00624345&quot;/&gt;&lt;wsp:rsid wsp:val=&quot;006246BD&quot;/&gt;&lt;wsp:rsid wsp:val=&quot;00625B34&quot;/&gt;&lt;wsp:rsid wsp:val=&quot;0062674E&quot;/&gt;&lt;wsp:rsid wsp:val=&quot;0062741B&quot;/&gt;&lt;wsp:rsid wsp:val=&quot;00627A31&quot;/&gt;&lt;wsp:rsid wsp:val=&quot;00627CAE&quot;/&gt;&lt;wsp:rsid wsp:val=&quot;00627D87&quot;/&gt;&lt;wsp:rsid wsp:val=&quot;006309D3&quot;/&gt;&lt;wsp:rsid wsp:val=&quot;00630BBE&quot;/&gt;&lt;wsp:rsid wsp:val=&quot;00630D1B&quot;/&gt;&lt;wsp:rsid wsp:val=&quot;00631110&quot;/&gt;&lt;wsp:rsid wsp:val=&quot;0063173F&quot;/&gt;&lt;wsp:rsid wsp:val=&quot;00632000&quot;/&gt;&lt;wsp:rsid wsp:val=&quot;0063243B&quot;/&gt;&lt;wsp:rsid wsp:val=&quot;00632F46&quot;/&gt;&lt;wsp:rsid wsp:val=&quot;00632FFE&quot;/&gt;&lt;wsp:rsid wsp:val=&quot;00633AFD&quot;/&gt;&lt;wsp:rsid wsp:val=&quot;00633CB7&quot;/&gt;&lt;wsp:rsid wsp:val=&quot;00634ACA&quot;/&gt;&lt;wsp:rsid wsp:val=&quot;006352C5&quot;/&gt;&lt;wsp:rsid wsp:val=&quot;0063576B&quot;/&gt;&lt;wsp:rsid wsp:val=&quot;00635810&quot;/&gt;&lt;wsp:rsid wsp:val=&quot;00636159&quot;/&gt;&lt;wsp:rsid wsp:val=&quot;006361F6&quot;/&gt;&lt;wsp:rsid wsp:val=&quot;00636941&quot;/&gt;&lt;wsp:rsid wsp:val=&quot;00637331&quot;/&gt;&lt;wsp:rsid wsp:val=&quot;006377A6&quot;/&gt;&lt;wsp:rsid wsp:val=&quot;00637A3D&quot;/&gt;&lt;wsp:rsid wsp:val=&quot;00637D0F&quot;/&gt;&lt;wsp:rsid wsp:val=&quot;00637D1F&quot;/&gt;&lt;wsp:rsid wsp:val=&quot;00640105&quot;/&gt;&lt;wsp:rsid wsp:val=&quot;0064101C&quot;/&gt;&lt;wsp:rsid wsp:val=&quot;00641087&quot;/&gt;&lt;wsp:rsid wsp:val=&quot;006411EF&quot;/&gt;&lt;wsp:rsid wsp:val=&quot;006425CD&quot;/&gt;&lt;wsp:rsid wsp:val=&quot;00642B2B&quot;/&gt;&lt;wsp:rsid wsp:val=&quot;00643545&quot;/&gt;&lt;wsp:rsid wsp:val=&quot;00643885&quot;/&gt;&lt;wsp:rsid wsp:val=&quot;0064396D&quot;/&gt;&lt;wsp:rsid wsp:val=&quot;00643D49&quot;/&gt;&lt;wsp:rsid wsp:val=&quot;00644566&quot;/&gt;&lt;wsp:rsid wsp:val=&quot;00644592&quot;/&gt;&lt;wsp:rsid wsp:val=&quot;006445E7&quot;/&gt;&lt;wsp:rsid wsp:val=&quot;00644903&quot;/&gt;&lt;wsp:rsid wsp:val=&quot;0064520F&quot;/&gt;&lt;wsp:rsid wsp:val=&quot;00645AF1&quot;/&gt;&lt;wsp:rsid wsp:val=&quot;006470EB&quot;/&gt;&lt;wsp:rsid wsp:val=&quot;00647E3D&quot;/&gt;&lt;wsp:rsid wsp:val=&quot;00647F84&quot;/&gt;&lt;wsp:rsid wsp:val=&quot;00651035&quot;/&gt;&lt;wsp:rsid wsp:val=&quot;0065120E&quot;/&gt;&lt;wsp:rsid wsp:val=&quot;006516C2&quot;/&gt;&lt;wsp:rsid wsp:val=&quot;00651A47&quot;/&gt;&lt;wsp:rsid wsp:val=&quot;006527C6&quot;/&gt;&lt;wsp:rsid wsp:val=&quot;0065296F&quot;/&gt;&lt;wsp:rsid wsp:val=&quot;006529B8&quot;/&gt;&lt;wsp:rsid wsp:val=&quot;00652D20&quot;/&gt;&lt;wsp:rsid wsp:val=&quot;0065346E&quot;/&gt;&lt;wsp:rsid wsp:val=&quot;00653761&quot;/&gt;&lt;wsp:rsid wsp:val=&quot;00654689&quot;/&gt;&lt;wsp:rsid wsp:val=&quot;0065468D&quot;/&gt;&lt;wsp:rsid wsp:val=&quot;00654691&quot;/&gt;&lt;wsp:rsid wsp:val=&quot;00655528&quot;/&gt;&lt;wsp:rsid wsp:val=&quot;00655805&quot;/&gt;&lt;wsp:rsid wsp:val=&quot;00655A76&quot;/&gt;&lt;wsp:rsid wsp:val=&quot;006560AB&quot;/&gt;&lt;wsp:rsid wsp:val=&quot;00656666&quot;/&gt;&lt;wsp:rsid wsp:val=&quot;006571EF&quot;/&gt;&lt;wsp:rsid wsp:val=&quot;00657248&quot;/&gt;&lt;wsp:rsid wsp:val=&quot;006576C7&quot;/&gt;&lt;wsp:rsid wsp:val=&quot;00657773&quot;/&gt;&lt;wsp:rsid wsp:val=&quot;00660029&quot;/&gt;&lt;wsp:rsid wsp:val=&quot;00660A93&quot;/&gt;&lt;wsp:rsid wsp:val=&quot;00661001&quot;/&gt;&lt;wsp:rsid wsp:val=&quot;006610B5&quot;/&gt;&lt;wsp:rsid wsp:val=&quot;00661604&quot;/&gt;&lt;wsp:rsid wsp:val=&quot;00662372&quot;/&gt;&lt;wsp:rsid wsp:val=&quot;00662DD3&quot;/&gt;&lt;wsp:rsid wsp:val=&quot;006631E5&quot;/&gt;&lt;wsp:rsid wsp:val=&quot;00663B3A&quot;/&gt;&lt;wsp:rsid wsp:val=&quot;00664AC5&quot;/&gt;&lt;wsp:rsid wsp:val=&quot;00665553&quot;/&gt;&lt;wsp:rsid wsp:val=&quot;006657F9&quot;/&gt;&lt;wsp:rsid wsp:val=&quot;006658E9&quot;/&gt;&lt;wsp:rsid wsp:val=&quot;00665A5F&quot;/&gt;&lt;wsp:rsid wsp:val=&quot;00665C8D&quot;/&gt;&lt;wsp:rsid wsp:val=&quot;006661F4&quot;/&gt;&lt;wsp:rsid wsp:val=&quot;00666784&quot;/&gt;&lt;wsp:rsid wsp:val=&quot;006668B6&quot;/&gt;&lt;wsp:rsid wsp:val=&quot;006669F9&quot;/&gt;&lt;wsp:rsid wsp:val=&quot;00667DDF&quot;/&gt;&lt;wsp:rsid wsp:val=&quot;00667F02&quot;/&gt;&lt;wsp:rsid wsp:val=&quot;00670C7C&quot;/&gt;&lt;wsp:rsid wsp:val=&quot;00671014&quot;/&gt;&lt;wsp:rsid wsp:val=&quot;0067180E&quot;/&gt;&lt;wsp:rsid wsp:val=&quot;00671A2E&quot;/&gt;&lt;wsp:rsid wsp:val=&quot;00672172&quot;/&gt;&lt;wsp:rsid wsp:val=&quot;00672EAE&quot;/&gt;&lt;wsp:rsid wsp:val=&quot;0067318B&quot;/&gt;&lt;wsp:rsid wsp:val=&quot;00673443&quot;/&gt;&lt;wsp:rsid wsp:val=&quot;0067430E&quot;/&gt;&lt;wsp:rsid wsp:val=&quot;006748B8&quot;/&gt;&lt;wsp:rsid wsp:val=&quot;00674F5F&quot;/&gt;&lt;wsp:rsid wsp:val=&quot;00674F80&quot;/&gt;&lt;wsp:rsid wsp:val=&quot;00675EFE&quot;/&gt;&lt;wsp:rsid wsp:val=&quot;006760E6&quot;/&gt;&lt;wsp:rsid wsp:val=&quot;006775BC&quot;/&gt;&lt;wsp:rsid wsp:val=&quot;006775C3&quot;/&gt;&lt;wsp:rsid wsp:val=&quot;006808D6&quot;/&gt;&lt;wsp:rsid wsp:val=&quot;006808DE&quot;/&gt;&lt;wsp:rsid wsp:val=&quot;0068094A&quot;/&gt;&lt;wsp:rsid wsp:val=&quot;00680AF4&quot;/&gt;&lt;wsp:rsid wsp:val=&quot;00680C0A&quot;/&gt;&lt;wsp:rsid wsp:val=&quot;006811E2&quot;/&gt;&lt;wsp:rsid wsp:val=&quot;00681DE8&quot;/&gt;&lt;wsp:rsid wsp:val=&quot;00682B8E&quot;/&gt;&lt;wsp:rsid wsp:val=&quot;006832EF&quot;/&gt;&lt;wsp:rsid wsp:val=&quot;0068342A&quot;/&gt;&lt;wsp:rsid wsp:val=&quot;00684822&quot;/&gt;&lt;wsp:rsid wsp:val=&quot;00684995&quot;/&gt;&lt;wsp:rsid wsp:val=&quot;0068529C&quot;/&gt;&lt;wsp:rsid wsp:val=&quot;006859DC&quot;/&gt;&lt;wsp:rsid wsp:val=&quot;00685C20&quot;/&gt;&lt;wsp:rsid wsp:val=&quot;0068619E&quot;/&gt;&lt;wsp:rsid wsp:val=&quot;0068691B&quot;/&gt;&lt;wsp:rsid wsp:val=&quot;00686A79&quot;/&gt;&lt;wsp:rsid wsp:val=&quot;00686EDD&quot;/&gt;&lt;wsp:rsid wsp:val=&quot;00690129&quot;/&gt;&lt;wsp:rsid wsp:val=&quot;00691DF6&quot;/&gt;&lt;wsp:rsid wsp:val=&quot;00691F92&quot;/&gt;&lt;wsp:rsid wsp:val=&quot;0069290A&quot;/&gt;&lt;wsp:rsid wsp:val=&quot;00692F07&quot;/&gt;&lt;wsp:rsid wsp:val=&quot;00693BE3&quot;/&gt;&lt;wsp:rsid wsp:val=&quot;00694140&quot;/&gt;&lt;wsp:rsid wsp:val=&quot;006941B3&quot;/&gt;&lt;wsp:rsid wsp:val=&quot;006948F6&quot;/&gt;&lt;wsp:rsid wsp:val=&quot;00695813&quot;/&gt;&lt;wsp:rsid wsp:val=&quot;00695BA6&quot;/&gt;&lt;wsp:rsid wsp:val=&quot;00695D88&quot;/&gt;&lt;wsp:rsid wsp:val=&quot;006966F7&quot;/&gt;&lt;wsp:rsid wsp:val=&quot;0069775A&quot;/&gt;&lt;wsp:rsid wsp:val=&quot;00697813&quot;/&gt;&lt;wsp:rsid wsp:val=&quot;00697BFF&quot;/&gt;&lt;wsp:rsid wsp:val=&quot;006A02C5&quot;/&gt;&lt;wsp:rsid wsp:val=&quot;006A0D07&quot;/&gt;&lt;wsp:rsid wsp:val=&quot;006A152E&quot;/&gt;&lt;wsp:rsid wsp:val=&quot;006A17AF&quot;/&gt;&lt;wsp:rsid wsp:val=&quot;006A1A3E&quot;/&gt;&lt;wsp:rsid wsp:val=&quot;006A1DD1&quot;/&gt;&lt;wsp:rsid wsp:val=&quot;006A21CB&quot;/&gt;&lt;wsp:rsid wsp:val=&quot;006A2436&quot;/&gt;&lt;wsp:rsid wsp:val=&quot;006A2870&quot;/&gt;&lt;wsp:rsid wsp:val=&quot;006A2B6A&quot;/&gt;&lt;wsp:rsid wsp:val=&quot;006A39ED&quot;/&gt;&lt;wsp:rsid wsp:val=&quot;006A3A0A&quot;/&gt;&lt;wsp:rsid wsp:val=&quot;006A3D17&quot;/&gt;&lt;wsp:rsid wsp:val=&quot;006A3EE8&quot;/&gt;&lt;wsp:rsid wsp:val=&quot;006A4206&quot;/&gt;&lt;wsp:rsid wsp:val=&quot;006A4607&quot;/&gt;&lt;wsp:rsid wsp:val=&quot;006A49BF&quot;/&gt;&lt;wsp:rsid wsp:val=&quot;006A4A6F&quot;/&gt;&lt;wsp:rsid wsp:val=&quot;006A4CDE&quot;/&gt;&lt;wsp:rsid wsp:val=&quot;006A525B&quot;/&gt;&lt;wsp:rsid wsp:val=&quot;006A575B&quot;/&gt;&lt;wsp:rsid wsp:val=&quot;006A5A2B&quot;/&gt;&lt;wsp:rsid wsp:val=&quot;006A5AF5&quot;/&gt;&lt;wsp:rsid wsp:val=&quot;006A6C9A&quot;/&gt;&lt;wsp:rsid wsp:val=&quot;006A72BF&quot;/&gt;&lt;wsp:rsid wsp:val=&quot;006A74B3&quot;/&gt;&lt;wsp:rsid wsp:val=&quot;006B0178&quot;/&gt;&lt;wsp:rsid wsp:val=&quot;006B03F2&quot;/&gt;&lt;wsp:rsid wsp:val=&quot;006B07F2&quot;/&gt;&lt;wsp:rsid wsp:val=&quot;006B1569&quot;/&gt;&lt;wsp:rsid wsp:val=&quot;006B195B&quot;/&gt;&lt;wsp:rsid wsp:val=&quot;006B1B39&quot;/&gt;&lt;wsp:rsid wsp:val=&quot;006B1F35&quot;/&gt;&lt;wsp:rsid wsp:val=&quot;006B2559&quot;/&gt;&lt;wsp:rsid wsp:val=&quot;006B2CEC&quot;/&gt;&lt;wsp:rsid wsp:val=&quot;006B2DD8&quot;/&gt;&lt;wsp:rsid wsp:val=&quot;006B37DC&quot;/&gt;&lt;wsp:rsid wsp:val=&quot;006B3CBD&quot;/&gt;&lt;wsp:rsid wsp:val=&quot;006B45CE&quot;/&gt;&lt;wsp:rsid wsp:val=&quot;006B4BE0&quot;/&gt;&lt;wsp:rsid wsp:val=&quot;006B4F68&quot;/&gt;&lt;wsp:rsid wsp:val=&quot;006B50E7&quot;/&gt;&lt;wsp:rsid wsp:val=&quot;006B524C&quot;/&gt;&lt;wsp:rsid wsp:val=&quot;006B563B&quot;/&gt;&lt;wsp:rsid wsp:val=&quot;006B5817&quot;/&gt;&lt;wsp:rsid wsp:val=&quot;006B5B58&quot;/&gt;&lt;wsp:rsid wsp:val=&quot;006B60F8&quot;/&gt;&lt;wsp:rsid wsp:val=&quot;006B69E8&quot;/&gt;&lt;wsp:rsid wsp:val=&quot;006B6A48&quot;/&gt;&lt;wsp:rsid wsp:val=&quot;006B6CC5&quot;/&gt;&lt;wsp:rsid wsp:val=&quot;006B749B&quot;/&gt;&lt;wsp:rsid wsp:val=&quot;006B7775&quot;/&gt;&lt;wsp:rsid wsp:val=&quot;006B7AA3&quot;/&gt;&lt;wsp:rsid wsp:val=&quot;006B7D8F&quot;/&gt;&lt;wsp:rsid wsp:val=&quot;006C00F9&quot;/&gt;&lt;wsp:rsid wsp:val=&quot;006C02FA&quot;/&gt;&lt;wsp:rsid wsp:val=&quot;006C054C&quot;/&gt;&lt;wsp:rsid wsp:val=&quot;006C0592&quot;/&gt;&lt;wsp:rsid wsp:val=&quot;006C0F9C&quot;/&gt;&lt;wsp:rsid wsp:val=&quot;006C18B6&quot;/&gt;&lt;wsp:rsid wsp:val=&quot;006C1A32&quot;/&gt;&lt;wsp:rsid wsp:val=&quot;006C272E&quot;/&gt;&lt;wsp:rsid wsp:val=&quot;006C2827&quot;/&gt;&lt;wsp:rsid wsp:val=&quot;006C3A97&quot;/&gt;&lt;wsp:rsid wsp:val=&quot;006C46C4&quot;/&gt;&lt;wsp:rsid wsp:val=&quot;006C51F9&quot;/&gt;&lt;wsp:rsid wsp:val=&quot;006C5479&quot;/&gt;&lt;wsp:rsid wsp:val=&quot;006C59E5&quot;/&gt;&lt;wsp:rsid wsp:val=&quot;006C5A75&quot;/&gt;&lt;wsp:rsid wsp:val=&quot;006C5FCD&quot;/&gt;&lt;wsp:rsid wsp:val=&quot;006C6439&quot;/&gt;&lt;wsp:rsid wsp:val=&quot;006C6850&quot;/&gt;&lt;wsp:rsid wsp:val=&quot;006C6990&quot;/&gt;&lt;wsp:rsid wsp:val=&quot;006C7013&quot;/&gt;&lt;wsp:rsid wsp:val=&quot;006C716C&quot;/&gt;&lt;wsp:rsid wsp:val=&quot;006C741E&quot;/&gt;&lt;wsp:rsid wsp:val=&quot;006C7EDA&quot;/&gt;&lt;wsp:rsid wsp:val=&quot;006D04FC&quot;/&gt;&lt;wsp:rsid wsp:val=&quot;006D09A2&quot;/&gt;&lt;wsp:rsid wsp:val=&quot;006D0B7A&quot;/&gt;&lt;wsp:rsid wsp:val=&quot;006D1326&quot;/&gt;&lt;wsp:rsid wsp:val=&quot;006D13B5&quot;/&gt;&lt;wsp:rsid wsp:val=&quot;006D1AA4&quot;/&gt;&lt;wsp:rsid wsp:val=&quot;006D2CE2&quot;/&gt;&lt;wsp:rsid wsp:val=&quot;006D2E17&quot;/&gt;&lt;wsp:rsid wsp:val=&quot;006D302A&quot;/&gt;&lt;wsp:rsid wsp:val=&quot;006D3440&quot;/&gt;&lt;wsp:rsid wsp:val=&quot;006D360C&quot;/&gt;&lt;wsp:rsid wsp:val=&quot;006D3E62&quot;/&gt;&lt;wsp:rsid wsp:val=&quot;006D431B&quot;/&gt;&lt;wsp:rsid wsp:val=&quot;006D4552&quot;/&gt;&lt;wsp:rsid wsp:val=&quot;006D4739&quot;/&gt;&lt;wsp:rsid wsp:val=&quot;006D4CFA&quot;/&gt;&lt;wsp:rsid wsp:val=&quot;006D4E80&quot;/&gt;&lt;wsp:rsid wsp:val=&quot;006D4FD8&quot;/&gt;&lt;wsp:rsid wsp:val=&quot;006D5474&quot;/&gt;&lt;wsp:rsid wsp:val=&quot;006D599F&quot;/&gt;&lt;wsp:rsid wsp:val=&quot;006D5C71&quot;/&gt;&lt;wsp:rsid wsp:val=&quot;006D5F77&quot;/&gt;&lt;wsp:rsid wsp:val=&quot;006D607F&quot;/&gt;&lt;wsp:rsid wsp:val=&quot;006D6349&quot;/&gt;&lt;wsp:rsid wsp:val=&quot;006D63F4&quot;/&gt;&lt;wsp:rsid wsp:val=&quot;006D6637&quot;/&gt;&lt;wsp:rsid wsp:val=&quot;006D6ED0&quot;/&gt;&lt;wsp:rsid wsp:val=&quot;006D75CB&quot;/&gt;&lt;wsp:rsid wsp:val=&quot;006D777B&quot;/&gt;&lt;wsp:rsid wsp:val=&quot;006E0307&quot;/&gt;&lt;wsp:rsid wsp:val=&quot;006E05B4&quot;/&gt;&lt;wsp:rsid wsp:val=&quot;006E0FDD&quot;/&gt;&lt;wsp:rsid wsp:val=&quot;006E12FF&quot;/&gt;&lt;wsp:rsid wsp:val=&quot;006E174A&quot;/&gt;&lt;wsp:rsid wsp:val=&quot;006E1A05&quot;/&gt;&lt;wsp:rsid wsp:val=&quot;006E1FD5&quot;/&gt;&lt;wsp:rsid wsp:val=&quot;006E2452&quot;/&gt;&lt;wsp:rsid wsp:val=&quot;006E27D3&quot;/&gt;&lt;wsp:rsid wsp:val=&quot;006E2EA1&quot;/&gt;&lt;wsp:rsid wsp:val=&quot;006E5344&quot;/&gt;&lt;wsp:rsid wsp:val=&quot;006E607E&quot;/&gt;&lt;wsp:rsid wsp:val=&quot;006E6CB4&quot;/&gt;&lt;wsp:rsid wsp:val=&quot;006E6F38&quot;/&gt;&lt;wsp:rsid wsp:val=&quot;006F0AEE&quot;/&gt;&lt;wsp:rsid wsp:val=&quot;006F1177&quot;/&gt;&lt;wsp:rsid wsp:val=&quot;006F19D1&quot;/&gt;&lt;wsp:rsid wsp:val=&quot;006F1F23&quot;/&gt;&lt;wsp:rsid wsp:val=&quot;006F1F68&quot;/&gt;&lt;wsp:rsid wsp:val=&quot;006F1F8A&quot;/&gt;&lt;wsp:rsid wsp:val=&quot;006F2562&quot;/&gt;&lt;wsp:rsid wsp:val=&quot;006F30B7&quot;/&gt;&lt;wsp:rsid wsp:val=&quot;006F3BBC&quot;/&gt;&lt;wsp:rsid wsp:val=&quot;006F4D03&quot;/&gt;&lt;wsp:rsid wsp:val=&quot;006F5046&quot;/&gt;&lt;wsp:rsid wsp:val=&quot;006F5092&quot;/&gt;&lt;wsp:rsid wsp:val=&quot;006F510F&quot;/&gt;&lt;wsp:rsid wsp:val=&quot;006F57F1&quot;/&gt;&lt;wsp:rsid wsp:val=&quot;006F6A55&quot;/&gt;&lt;wsp:rsid wsp:val=&quot;006F72C2&quot;/&gt;&lt;wsp:rsid wsp:val=&quot;006F7EE5&quot;/&gt;&lt;wsp:rsid wsp:val=&quot;007000A1&quot;/&gt;&lt;wsp:rsid wsp:val=&quot;00700122&quot;/&gt;&lt;wsp:rsid wsp:val=&quot;00701385&quot;/&gt;&lt;wsp:rsid wsp:val=&quot;00701393&quot;/&gt;&lt;wsp:rsid wsp:val=&quot;007025F7&quot;/&gt;&lt;wsp:rsid wsp:val=&quot;00702916&quot;/&gt;&lt;wsp:rsid wsp:val=&quot;00703F2B&quot;/&gt;&lt;wsp:rsid wsp:val=&quot;00704138&quot;/&gt;&lt;wsp:rsid wsp:val=&quot;00704446&quot;/&gt;&lt;wsp:rsid wsp:val=&quot;007056E9&quot;/&gt;&lt;wsp:rsid wsp:val=&quot;007057AD&quot;/&gt;&lt;wsp:rsid wsp:val=&quot;00706008&quot;/&gt;&lt;wsp:rsid wsp:val=&quot;00706C5D&quot;/&gt;&lt;wsp:rsid wsp:val=&quot;00706FB7&quot;/&gt;&lt;wsp:rsid wsp:val=&quot;007105C8&quot;/&gt;&lt;wsp:rsid wsp:val=&quot;007107B4&quot;/&gt;&lt;wsp:rsid wsp:val=&quot;00710B17&quot;/&gt;&lt;wsp:rsid wsp:val=&quot;00710B7D&quot;/&gt;&lt;wsp:rsid wsp:val=&quot;00711BD7&quot;/&gt;&lt;wsp:rsid wsp:val=&quot;00712154&quot;/&gt;&lt;wsp:rsid wsp:val=&quot;007124E3&quot;/&gt;&lt;wsp:rsid wsp:val=&quot;00712500&quot;/&gt;&lt;wsp:rsid wsp:val=&quot;007127D3&quot;/&gt;&lt;wsp:rsid wsp:val=&quot;00712AE9&quot;/&gt;&lt;wsp:rsid wsp:val=&quot;00713346&quot;/&gt;&lt;wsp:rsid wsp:val=&quot;007133A6&quot;/&gt;&lt;wsp:rsid wsp:val=&quot;007137E2&quot;/&gt;&lt;wsp:rsid wsp:val=&quot;00713BC4&quot;/&gt;&lt;wsp:rsid wsp:val=&quot;0071480E&quot;/&gt;&lt;wsp:rsid wsp:val=&quot;00715DA4&quot;/&gt;&lt;wsp:rsid wsp:val=&quot;00715F50&quot;/&gt;&lt;wsp:rsid wsp:val=&quot;00716B43&quot;/&gt;&lt;wsp:rsid wsp:val=&quot;00716D9F&quot;/&gt;&lt;wsp:rsid wsp:val=&quot;0071716F&quot;/&gt;&lt;wsp:rsid wsp:val=&quot;00717474&quot;/&gt;&lt;wsp:rsid wsp:val=&quot;00717481&quot;/&gt;&lt;wsp:rsid wsp:val=&quot;00717ACD&quot;/&gt;&lt;wsp:rsid wsp:val=&quot;0072057B&quot;/&gt;&lt;wsp:rsid wsp:val=&quot;00721AC0&quot;/&gt;&lt;wsp:rsid wsp:val=&quot;00721DAA&quot;/&gt;&lt;wsp:rsid wsp:val=&quot;007221F1&quot;/&gt;&lt;wsp:rsid wsp:val=&quot;00722701&quot;/&gt;&lt;wsp:rsid wsp:val=&quot;00722762&quot;/&gt;&lt;wsp:rsid wsp:val=&quot;00722940&quot;/&gt;&lt;wsp:rsid wsp:val=&quot;007229BC&quot;/&gt;&lt;wsp:rsid wsp:val=&quot;00723409&quot;/&gt;&lt;wsp:rsid wsp:val=&quot;00723C73&quot;/&gt;&lt;wsp:rsid wsp:val=&quot;00723EF6&quot;/&gt;&lt;wsp:rsid wsp:val=&quot;007245ED&quot;/&gt;&lt;wsp:rsid wsp:val=&quot;00724C3F&quot;/&gt;&lt;wsp:rsid wsp:val=&quot;00724DDD&quot;/&gt;&lt;wsp:rsid wsp:val=&quot;0072526C&quot;/&gt;&lt;wsp:rsid wsp:val=&quot;0072550F&quot;/&gt;&lt;wsp:rsid wsp:val=&quot;007261B1&quot;/&gt;&lt;wsp:rsid wsp:val=&quot;00726A99&quot;/&gt;&lt;wsp:rsid wsp:val=&quot;00726FF9&quot;/&gt;&lt;wsp:rsid wsp:val=&quot;0072794C&quot;/&gt;&lt;wsp:rsid wsp:val=&quot;0073025D&quot;/&gt;&lt;wsp:rsid wsp:val=&quot;0073093F&quot;/&gt;&lt;wsp:rsid wsp:val=&quot;00730B72&quot;/&gt;&lt;wsp:rsid wsp:val=&quot;00730C19&quot;/&gt;&lt;wsp:rsid wsp:val=&quot;00730FB8&quot;/&gt;&lt;wsp:rsid wsp:val=&quot;00730FC5&quot;/&gt;&lt;wsp:rsid wsp:val=&quot;0073121A&quot;/&gt;&lt;wsp:rsid wsp:val=&quot;00731FBB&quot;/&gt;&lt;wsp:rsid wsp:val=&quot;00732922&quot;/&gt;&lt;wsp:rsid wsp:val=&quot;00732944&quot;/&gt;&lt;wsp:rsid wsp:val=&quot;0073384C&quot;/&gt;&lt;wsp:rsid wsp:val=&quot;00733E99&quot;/&gt;&lt;wsp:rsid wsp:val=&quot;00734AA1&quot;/&gt;&lt;wsp:rsid wsp:val=&quot;00734C95&quot;/&gt;&lt;wsp:rsid wsp:val=&quot;0073529E&quot;/&gt;&lt;wsp:rsid wsp:val=&quot;00735313&quot;/&gt;&lt;wsp:rsid wsp:val=&quot;00735625&quot;/&gt;&lt;wsp:rsid wsp:val=&quot;007356A9&quot;/&gt;&lt;wsp:rsid wsp:val=&quot;007359CD&quot;/&gt;&lt;wsp:rsid wsp:val=&quot;00735D93&quot;/&gt;&lt;wsp:rsid wsp:val=&quot;00735ED0&quot;/&gt;&lt;wsp:rsid wsp:val=&quot;00736193&quot;/&gt;&lt;wsp:rsid wsp:val=&quot;007365BA&quot;/&gt;&lt;wsp:rsid wsp:val=&quot;00736F3A&quot;/&gt;&lt;wsp:rsid wsp:val=&quot;0073714B&quot;/&gt;&lt;wsp:rsid wsp:val=&quot;0073774E&quot;/&gt;&lt;wsp:rsid wsp:val=&quot;00737B9F&quot;/&gt;&lt;wsp:rsid wsp:val=&quot;00737C3D&quot;/&gt;&lt;wsp:rsid wsp:val=&quot;0074017C&quot;/&gt;&lt;wsp:rsid wsp:val=&quot;00740AA9&quot;/&gt;&lt;wsp:rsid wsp:val=&quot;00740EC7&quot;/&gt;&lt;wsp:rsid wsp:val=&quot;00742124&quot;/&gt;&lt;wsp:rsid wsp:val=&quot;00742803&quot;/&gt;&lt;wsp:rsid wsp:val=&quot;00742A3D&quot;/&gt;&lt;wsp:rsid wsp:val=&quot;00742AB1&quot;/&gt;&lt;wsp:rsid wsp:val=&quot;007436F6&quot;/&gt;&lt;wsp:rsid wsp:val=&quot;00743717&quot;/&gt;&lt;wsp:rsid wsp:val=&quot;00744160&quot;/&gt;&lt;wsp:rsid wsp:val=&quot;00745D19&quot;/&gt;&lt;wsp:rsid wsp:val=&quot;007460DD&quot;/&gt;&lt;wsp:rsid wsp:val=&quot;00746650&quot;/&gt;&lt;wsp:rsid wsp:val=&quot;0074691E&quot;/&gt;&lt;wsp:rsid wsp:val=&quot;00746C91&quot;/&gt;&lt;wsp:rsid wsp:val=&quot;00746CEC&quot;/&gt;&lt;wsp:rsid wsp:val=&quot;00747CBC&quot;/&gt;&lt;wsp:rsid wsp:val=&quot;0075146F&quot;/&gt;&lt;wsp:rsid wsp:val=&quot;0075162E&quot;/&gt;&lt;wsp:rsid wsp:val=&quot;00751869&quot;/&gt;&lt;wsp:rsid wsp:val=&quot;007519B3&quot;/&gt;&lt;wsp:rsid wsp:val=&quot;00751B1F&quot;/&gt;&lt;wsp:rsid wsp:val=&quot;00751B87&quot;/&gt;&lt;wsp:rsid wsp:val=&quot;0075236B&quot;/&gt;&lt;wsp:rsid wsp:val=&quot;00752683&quot;/&gt;&lt;wsp:rsid wsp:val=&quot;00752769&quot;/&gt;&lt;wsp:rsid wsp:val=&quot;00752CAA&quot;/&gt;&lt;wsp:rsid wsp:val=&quot;007531A5&quot;/&gt;&lt;wsp:rsid wsp:val=&quot;00753C7A&quot;/&gt;&lt;wsp:rsid wsp:val=&quot;00753EA4&quot;/&gt;&lt;wsp:rsid wsp:val=&quot;00754034&quot;/&gt;&lt;wsp:rsid wsp:val=&quot;007548B1&quot;/&gt;&lt;wsp:rsid wsp:val=&quot;00754B5D&quot;/&gt;&lt;wsp:rsid wsp:val=&quot;00754F1B&quot;/&gt;&lt;wsp:rsid wsp:val=&quot;00754F3B&quot;/&gt;&lt;wsp:rsid wsp:val=&quot;007554AB&quot;/&gt;&lt;wsp:rsid wsp:val=&quot;00755614&quot;/&gt;&lt;wsp:rsid wsp:val=&quot;0075588A&quot;/&gt;&lt;wsp:rsid wsp:val=&quot;00756556&quot;/&gt;&lt;wsp:rsid wsp:val=&quot;00756A3F&quot;/&gt;&lt;wsp:rsid wsp:val=&quot;0075728A&quot;/&gt;&lt;wsp:rsid wsp:val=&quot;00757485&quot;/&gt;&lt;wsp:rsid wsp:val=&quot;00757E83&quot;/&gt;&lt;wsp:rsid wsp:val=&quot;0076029B&quot;/&gt;&lt;wsp:rsid wsp:val=&quot;007613F3&quot;/&gt;&lt;wsp:rsid wsp:val=&quot;0076153E&quot;/&gt;&lt;wsp:rsid wsp:val=&quot;007618C4&quot;/&gt;&lt;wsp:rsid wsp:val=&quot;00761FB4&quot;/&gt;&lt;wsp:rsid wsp:val=&quot;00762784&quot;/&gt;&lt;wsp:rsid wsp:val=&quot;00762DD3&quot;/&gt;&lt;wsp:rsid wsp:val=&quot;007650E6&quot;/&gt;&lt;wsp:rsid wsp:val=&quot;00765F42&quot;/&gt;&lt;wsp:rsid wsp:val=&quot;0076617F&quot;/&gt;&lt;wsp:rsid wsp:val=&quot;007669DE&quot;/&gt;&lt;wsp:rsid wsp:val=&quot;007674DC&quot;/&gt;&lt;wsp:rsid wsp:val=&quot;00767980&quot;/&gt;&lt;wsp:rsid wsp:val=&quot;00767A4D&quot;/&gt;&lt;wsp:rsid wsp:val=&quot;00767B80&quot;/&gt;&lt;wsp:rsid wsp:val=&quot;00767D59&quot;/&gt;&lt;wsp:rsid wsp:val=&quot;00767D8E&quot;/&gt;&lt;wsp:rsid wsp:val=&quot;00770B19&quot;/&gt;&lt;wsp:rsid wsp:val=&quot;00770BD8&quot;/&gt;&lt;wsp:rsid wsp:val=&quot;00770CDA&quot;/&gt;&lt;wsp:rsid wsp:val=&quot;007715F8&quot;/&gt;&lt;wsp:rsid wsp:val=&quot;00771F26&quot;/&gt;&lt;wsp:rsid wsp:val=&quot;00772050&quot;/&gt;&lt;wsp:rsid wsp:val=&quot;00772438&quot;/&gt;&lt;wsp:rsid wsp:val=&quot;0077285E&quot;/&gt;&lt;wsp:rsid wsp:val=&quot;00772E28&quot;/&gt;&lt;wsp:rsid wsp:val=&quot;00772E40&quot;/&gt;&lt;wsp:rsid wsp:val=&quot;00773F9E&quot;/&gt;&lt;wsp:rsid wsp:val=&quot;0077448C&quot;/&gt;&lt;wsp:rsid wsp:val=&quot;0077463F&quot;/&gt;&lt;wsp:rsid wsp:val=&quot;007755A0&quot;/&gt;&lt;wsp:rsid wsp:val=&quot;007758CA&quot;/&gt;&lt;wsp:rsid wsp:val=&quot;00775948&quot;/&gt;&lt;wsp:rsid wsp:val=&quot;00776EC8&quot;/&gt;&lt;wsp:rsid wsp:val=&quot;00777A69&quot;/&gt;&lt;wsp:rsid wsp:val=&quot;00777E61&quot;/&gt;&lt;wsp:rsid wsp:val=&quot;00777E88&quot;/&gt;&lt;wsp:rsid wsp:val=&quot;0078083F&quot;/&gt;&lt;wsp:rsid wsp:val=&quot;00781CA1&quot;/&gt;&lt;wsp:rsid wsp:val=&quot;00782241&quot;/&gt;&lt;wsp:rsid wsp:val=&quot;00782CF0&quot;/&gt;&lt;wsp:rsid wsp:val=&quot;00782F8D&quot;/&gt;&lt;wsp:rsid wsp:val=&quot;0078308D&quot;/&gt;&lt;wsp:rsid wsp:val=&quot;007836EA&quot;/&gt;&lt;wsp:rsid wsp:val=&quot;007838C4&quot;/&gt;&lt;wsp:rsid wsp:val=&quot;00783B8A&quot;/&gt;&lt;wsp:rsid wsp:val=&quot;00783D0C&quot;/&gt;&lt;wsp:rsid wsp:val=&quot;00784AEF&quot;/&gt;&lt;wsp:rsid wsp:val=&quot;00784CDA&quot;/&gt;&lt;wsp:rsid wsp:val=&quot;007857AC&quot;/&gt;&lt;wsp:rsid wsp:val=&quot;00785F53&quot;/&gt;&lt;wsp:rsid wsp:val=&quot;007861F8&quot;/&gt;&lt;wsp:rsid wsp:val=&quot;007906C3&quot;/&gt;&lt;wsp:rsid wsp:val=&quot;007906C4&quot;/&gt;&lt;wsp:rsid wsp:val=&quot;00792026&quot;/&gt;&lt;wsp:rsid wsp:val=&quot;00792206&quot;/&gt;&lt;wsp:rsid wsp:val=&quot;007923D4&quot;/&gt;&lt;wsp:rsid wsp:val=&quot;00792807&quot;/&gt;&lt;wsp:rsid wsp:val=&quot;00793089&quot;/&gt;&lt;wsp:rsid wsp:val=&quot;00793615&quot;/&gt;&lt;wsp:rsid wsp:val=&quot;00793899&quot;/&gt;&lt;wsp:rsid wsp:val=&quot;007940EA&quot;/&gt;&lt;wsp:rsid wsp:val=&quot;00794AD3&quot;/&gt;&lt;wsp:rsid wsp:val=&quot;00795AAE&quot;/&gt;&lt;wsp:rsid wsp:val=&quot;007963E4&quot;/&gt;&lt;wsp:rsid wsp:val=&quot;007967E8&quot;/&gt;&lt;wsp:rsid wsp:val=&quot;007969B1&quot;/&gt;&lt;wsp:rsid wsp:val=&quot;00796B78&quot;/&gt;&lt;wsp:rsid wsp:val=&quot;00797002&quot;/&gt;&lt;wsp:rsid wsp:val=&quot;007975AF&quot;/&gt;&lt;wsp:rsid wsp:val=&quot;00797730&quot;/&gt;&lt;wsp:rsid wsp:val=&quot;0079794B&quot;/&gt;&lt;wsp:rsid wsp:val=&quot;007A03BF&quot;/&gt;&lt;wsp:rsid wsp:val=&quot;007A061B&quot;/&gt;&lt;wsp:rsid wsp:val=&quot;007A1A60&quot;/&gt;&lt;wsp:rsid wsp:val=&quot;007A1B9C&quot;/&gt;&lt;wsp:rsid wsp:val=&quot;007A2170&quot;/&gt;&lt;wsp:rsid wsp:val=&quot;007A22BF&quot;/&gt;&lt;wsp:rsid wsp:val=&quot;007A248F&quot;/&gt;&lt;wsp:rsid wsp:val=&quot;007A28B8&quot;/&gt;&lt;wsp:rsid wsp:val=&quot;007A2CF2&quot;/&gt;&lt;wsp:rsid wsp:val=&quot;007A2F39&quot;/&gt;&lt;wsp:rsid wsp:val=&quot;007A3323&quot;/&gt;&lt;wsp:rsid wsp:val=&quot;007A3FA7&quot;/&gt;&lt;wsp:rsid wsp:val=&quot;007A41AB&quot;/&gt;&lt;wsp:rsid wsp:val=&quot;007A41CC&quot;/&gt;&lt;wsp:rsid wsp:val=&quot;007A5BC0&quot;/&gt;&lt;wsp:rsid wsp:val=&quot;007A5D77&quot;/&gt;&lt;wsp:rsid wsp:val=&quot;007A6049&quot;/&gt;&lt;wsp:rsid wsp:val=&quot;007A63F4&quot;/&gt;&lt;wsp:rsid wsp:val=&quot;007A6568&quot;/&gt;&lt;wsp:rsid wsp:val=&quot;007A727A&quot;/&gt;&lt;wsp:rsid wsp:val=&quot;007A7595&quot;/&gt;&lt;wsp:rsid wsp:val=&quot;007A7D7C&quot;/&gt;&lt;wsp:rsid wsp:val=&quot;007B0523&quot;/&gt;&lt;wsp:rsid wsp:val=&quot;007B0D83&quot;/&gt;&lt;wsp:rsid wsp:val=&quot;007B0EC0&quot;/&gt;&lt;wsp:rsid wsp:val=&quot;007B1123&quot;/&gt;&lt;wsp:rsid wsp:val=&quot;007B1D2D&quot;/&gt;&lt;wsp:rsid wsp:val=&quot;007B2B6A&quot;/&gt;&lt;wsp:rsid wsp:val=&quot;007B3ACD&quot;/&gt;&lt;wsp:rsid wsp:val=&quot;007B416C&quot;/&gt;&lt;wsp:rsid wsp:val=&quot;007B47B4&quot;/&gt;&lt;wsp:rsid wsp:val=&quot;007B49D3&quot;/&gt;&lt;wsp:rsid wsp:val=&quot;007B4A85&quot;/&gt;&lt;wsp:rsid wsp:val=&quot;007B4ABF&quot;/&gt;&lt;wsp:rsid wsp:val=&quot;007B5034&quot;/&gt;&lt;wsp:rsid wsp:val=&quot;007B51BC&quot;/&gt;&lt;wsp:rsid wsp:val=&quot;007B5661&quot;/&gt;&lt;wsp:rsid wsp:val=&quot;007B584C&quot;/&gt;&lt;wsp:rsid wsp:val=&quot;007B5BFF&quot;/&gt;&lt;wsp:rsid wsp:val=&quot;007B5F5F&quot;/&gt;&lt;wsp:rsid wsp:val=&quot;007B65F9&quot;/&gt;&lt;wsp:rsid wsp:val=&quot;007B72B8&quot;/&gt;&lt;wsp:rsid wsp:val=&quot;007B7477&quot;/&gt;&lt;wsp:rsid wsp:val=&quot;007B7A58&quot;/&gt;&lt;wsp:rsid wsp:val=&quot;007B7E97&quot;/&gt;&lt;wsp:rsid wsp:val=&quot;007C0DFB&quot;/&gt;&lt;wsp:rsid wsp:val=&quot;007C0E55&quot;/&gt;&lt;wsp:rsid wsp:val=&quot;007C1318&quot;/&gt;&lt;wsp:rsid wsp:val=&quot;007C21B5&quot;/&gt;&lt;wsp:rsid wsp:val=&quot;007C21C2&quot;/&gt;&lt;wsp:rsid wsp:val=&quot;007C29BA&quot;/&gt;&lt;wsp:rsid wsp:val=&quot;007C475C&quot;/&gt;&lt;wsp:rsid wsp:val=&quot;007C4826&quot;/&gt;&lt;wsp:rsid wsp:val=&quot;007C497B&quot;/&gt;&lt;wsp:rsid wsp:val=&quot;007C4C48&quot;/&gt;&lt;wsp:rsid wsp:val=&quot;007C4F88&quot;/&gt;&lt;wsp:rsid wsp:val=&quot;007C5C2B&quot;/&gt;&lt;wsp:rsid wsp:val=&quot;007C5C52&quot;/&gt;&lt;wsp:rsid wsp:val=&quot;007C5D79&quot;/&gt;&lt;wsp:rsid wsp:val=&quot;007C5F44&quot;/&gt;&lt;wsp:rsid wsp:val=&quot;007C761C&quot;/&gt;&lt;wsp:rsid wsp:val=&quot;007C7698&quot;/&gt;&lt;wsp:rsid wsp:val=&quot;007C7E56&quot;/&gt;&lt;wsp:rsid wsp:val=&quot;007D0456&quot;/&gt;&lt;wsp:rsid wsp:val=&quot;007D05E2&quot;/&gt;&lt;wsp:rsid wsp:val=&quot;007D07FD&quot;/&gt;&lt;wsp:rsid wsp:val=&quot;007D0FB2&quot;/&gt;&lt;wsp:rsid wsp:val=&quot;007D25A3&quot;/&gt;&lt;wsp:rsid wsp:val=&quot;007D2776&quot;/&gt;&lt;wsp:rsid wsp:val=&quot;007D378F&quot;/&gt;&lt;wsp:rsid wsp:val=&quot;007D3E5B&quot;/&gt;&lt;wsp:rsid wsp:val=&quot;007D41DD&quot;/&gt;&lt;wsp:rsid wsp:val=&quot;007D44D9&quot;/&gt;&lt;wsp:rsid wsp:val=&quot;007D4585&quot;/&gt;&lt;wsp:rsid wsp:val=&quot;007D4772&quot;/&gt;&lt;wsp:rsid wsp:val=&quot;007D49D0&quot;/&gt;&lt;wsp:rsid wsp:val=&quot;007D4B29&quot;/&gt;&lt;wsp:rsid wsp:val=&quot;007D5171&quot;/&gt;&lt;wsp:rsid wsp:val=&quot;007D5198&quot;/&gt;&lt;wsp:rsid wsp:val=&quot;007D67F4&quot;/&gt;&lt;wsp:rsid wsp:val=&quot;007D686C&quot;/&gt;&lt;wsp:rsid wsp:val=&quot;007D7548&quot;/&gt;&lt;wsp:rsid wsp:val=&quot;007E0052&quot;/&gt;&lt;wsp:rsid wsp:val=&quot;007E01F7&quot;/&gt;&lt;wsp:rsid wsp:val=&quot;007E047C&quot;/&gt;&lt;wsp:rsid wsp:val=&quot;007E0F3F&quot;/&gt;&lt;wsp:rsid wsp:val=&quot;007E1214&quot;/&gt;&lt;wsp:rsid wsp:val=&quot;007E1291&quot;/&gt;&lt;wsp:rsid wsp:val=&quot;007E1C6A&quot;/&gt;&lt;wsp:rsid wsp:val=&quot;007E1C74&quot;/&gt;&lt;wsp:rsid wsp:val=&quot;007E1F41&quot;/&gt;&lt;wsp:rsid wsp:val=&quot;007E2214&quot;/&gt;&lt;wsp:rsid wsp:val=&quot;007E224B&quot;/&gt;&lt;wsp:rsid wsp:val=&quot;007E2540&quot;/&gt;&lt;wsp:rsid wsp:val=&quot;007E2667&quot;/&gt;&lt;wsp:rsid wsp:val=&quot;007E292E&quot;/&gt;&lt;wsp:rsid wsp:val=&quot;007E2E64&quot;/&gt;&lt;wsp:rsid wsp:val=&quot;007E4781&quot;/&gt;&lt;wsp:rsid wsp:val=&quot;007E4BD2&quot;/&gt;&lt;wsp:rsid wsp:val=&quot;007E4D00&quot;/&gt;&lt;wsp:rsid wsp:val=&quot;007E4E3F&quot;/&gt;&lt;wsp:rsid wsp:val=&quot;007E50F3&quot;/&gt;&lt;wsp:rsid wsp:val=&quot;007E59A8&quot;/&gt;&lt;wsp:rsid wsp:val=&quot;007E5F8C&quot;/&gt;&lt;wsp:rsid wsp:val=&quot;007E5FC4&quot;/&gt;&lt;wsp:rsid wsp:val=&quot;007E6F90&quot;/&gt;&lt;wsp:rsid wsp:val=&quot;007E7014&quot;/&gt;&lt;wsp:rsid wsp:val=&quot;007E724B&quot;/&gt;&lt;wsp:rsid wsp:val=&quot;007F01DD&quot;/&gt;&lt;wsp:rsid wsp:val=&quot;007F01EF&quot;/&gt;&lt;wsp:rsid wsp:val=&quot;007F05C3&quot;/&gt;&lt;wsp:rsid wsp:val=&quot;007F0935&quot;/&gt;&lt;wsp:rsid wsp:val=&quot;007F0D48&quot;/&gt;&lt;wsp:rsid wsp:val=&quot;007F15DE&quot;/&gt;&lt;wsp:rsid wsp:val=&quot;007F1E57&quot;/&gt;&lt;wsp:rsid wsp:val=&quot;007F1E89&quot;/&gt;&lt;wsp:rsid wsp:val=&quot;007F2523&quot;/&gt;&lt;wsp:rsid wsp:val=&quot;007F2CF3&quot;/&gt;&lt;wsp:rsid wsp:val=&quot;007F2DC7&quot;/&gt;&lt;wsp:rsid wsp:val=&quot;007F3049&quot;/&gt;&lt;wsp:rsid wsp:val=&quot;007F32B7&quot;/&gt;&lt;wsp:rsid wsp:val=&quot;007F376A&quot;/&gt;&lt;wsp:rsid wsp:val=&quot;007F3E0A&quot;/&gt;&lt;wsp:rsid wsp:val=&quot;007F4F7E&quot;/&gt;&lt;wsp:rsid wsp:val=&quot;007F5A67&quot;/&gt;&lt;wsp:rsid wsp:val=&quot;007F5F28&quot;/&gt;&lt;wsp:rsid wsp:val=&quot;007F69A0&quot;/&gt;&lt;wsp:rsid wsp:val=&quot;007F774F&quot;/&gt;&lt;wsp:rsid wsp:val=&quot;0080030D&quot;/&gt;&lt;wsp:rsid wsp:val=&quot;00800D3A&quot;/&gt;&lt;wsp:rsid wsp:val=&quot;00800F41&quot;/&gt;&lt;wsp:rsid wsp:val=&quot;00801192&quot;/&gt;&lt;wsp:rsid wsp:val=&quot;008011E6&quot;/&gt;&lt;wsp:rsid wsp:val=&quot;00801393&quot;/&gt;&lt;wsp:rsid wsp:val=&quot;00801A45&quot;/&gt;&lt;wsp:rsid wsp:val=&quot;00801AB1&quot;/&gt;&lt;wsp:rsid wsp:val=&quot;0080211A&quot;/&gt;&lt;wsp:rsid wsp:val=&quot;008026BD&quot;/&gt;&lt;wsp:rsid wsp:val=&quot;00802C05&quot;/&gt;&lt;wsp:rsid wsp:val=&quot;00802F88&quot;/&gt;&lt;wsp:rsid wsp:val=&quot;00803EB6&quot;/&gt;&lt;wsp:rsid wsp:val=&quot;008040AC&quot;/&gt;&lt;wsp:rsid wsp:val=&quot;00804E95&quot;/&gt;&lt;wsp:rsid wsp:val=&quot;00804F0C&quot;/&gt;&lt;wsp:rsid wsp:val=&quot;00805E8B&quot;/&gt;&lt;wsp:rsid wsp:val=&quot;0080696E&quot;/&gt;&lt;wsp:rsid wsp:val=&quot;00807D3B&quot;/&gt;&lt;wsp:rsid wsp:val=&quot;00807EF0&quot;/&gt;&lt;wsp:rsid wsp:val=&quot;00810D01&quot;/&gt;&lt;wsp:rsid wsp:val=&quot;00810F58&quot;/&gt;&lt;wsp:rsid wsp:val=&quot;0081127C&quot;/&gt;&lt;wsp:rsid wsp:val=&quot;008114B5&quot;/&gt;&lt;wsp:rsid wsp:val=&quot;0081164D&quot;/&gt;&lt;wsp:rsid wsp:val=&quot;00811A5B&quot;/&gt;&lt;wsp:rsid wsp:val=&quot;00811E20&quot;/&gt;&lt;wsp:rsid wsp:val=&quot;0081293E&quot;/&gt;&lt;wsp:rsid wsp:val=&quot;008132C9&quot;/&gt;&lt;wsp:rsid wsp:val=&quot;00814040&quot;/&gt;&lt;wsp:rsid wsp:val=&quot;00814278&quot;/&gt;&lt;wsp:rsid wsp:val=&quot;008146A0&quot;/&gt;&lt;wsp:rsid wsp:val=&quot;00814752&quot;/&gt;&lt;wsp:rsid wsp:val=&quot;00814929&quot;/&gt;&lt;wsp:rsid wsp:val=&quot;00814BD2&quot;/&gt;&lt;wsp:rsid wsp:val=&quot;008152E3&quot;/&gt;&lt;wsp:rsid wsp:val=&quot;00815465&quot;/&gt;&lt;wsp:rsid wsp:val=&quot;00816B0D&quot;/&gt;&lt;wsp:rsid wsp:val=&quot;00817487&quot;/&gt;&lt;wsp:rsid wsp:val=&quot;00817CAA&quot;/&gt;&lt;wsp:rsid wsp:val=&quot;00817E9A&quot;/&gt;&lt;wsp:rsid wsp:val=&quot;00820C91&quot;/&gt;&lt;wsp:rsid wsp:val=&quot;00820D13&quot;/&gt;&lt;wsp:rsid wsp:val=&quot;008213C7&quot;/&gt;&lt;wsp:rsid wsp:val=&quot;00821D91&quot;/&gt;&lt;wsp:rsid wsp:val=&quot;00821D9F&quot;/&gt;&lt;wsp:rsid wsp:val=&quot;00821EAB&quot;/&gt;&lt;wsp:rsid wsp:val=&quot;00822140&quot;/&gt;&lt;wsp:rsid wsp:val=&quot;00822564&quot;/&gt;&lt;wsp:rsid wsp:val=&quot;00822DA5&quot;/&gt;&lt;wsp:rsid wsp:val=&quot;00822E81&quot;/&gt;&lt;wsp:rsid wsp:val=&quot;008237BE&quot;/&gt;&lt;wsp:rsid wsp:val=&quot;00823FB0&quot;/&gt;&lt;wsp:rsid wsp:val=&quot;00824A4F&quot;/&gt;&lt;wsp:rsid wsp:val=&quot;00825AD2&quot;/&gt;&lt;wsp:rsid wsp:val=&quot;00825B2C&quot;/&gt;&lt;wsp:rsid wsp:val=&quot;00825E3E&quot;/&gt;&lt;wsp:rsid wsp:val=&quot;00826AC3&quot;/&gt;&lt;wsp:rsid wsp:val=&quot;00827A31&quot;/&gt;&lt;wsp:rsid wsp:val=&quot;00830145&quot;/&gt;&lt;wsp:rsid wsp:val=&quot;00830209&quot;/&gt;&lt;wsp:rsid wsp:val=&quot;0083060B&quot;/&gt;&lt;wsp:rsid wsp:val=&quot;008306BD&quot;/&gt;&lt;wsp:rsid wsp:val=&quot;00830727&quot;/&gt;&lt;wsp:rsid wsp:val=&quot;0083089A&quot;/&gt;&lt;wsp:rsid wsp:val=&quot;008318F4&quot;/&gt;&lt;wsp:rsid wsp:val=&quot;00831A80&quot;/&gt;&lt;wsp:rsid wsp:val=&quot;008321A6&quot;/&gt;&lt;wsp:rsid wsp:val=&quot;00832F8B&quot;/&gt;&lt;wsp:rsid wsp:val=&quot;0083332C&quot;/&gt;&lt;wsp:rsid wsp:val=&quot;00833743&quot;/&gt;&lt;wsp:rsid wsp:val=&quot;008337C9&quot;/&gt;&lt;wsp:rsid wsp:val=&quot;00833CB5&quot;/&gt;&lt;wsp:rsid wsp:val=&quot;008340A4&quot;/&gt;&lt;wsp:rsid wsp:val=&quot;008349A4&quot;/&gt;&lt;wsp:rsid wsp:val=&quot;00836150&quot;/&gt;&lt;wsp:rsid wsp:val=&quot;00836177&quot;/&gt;&lt;wsp:rsid wsp:val=&quot;00836188&quot;/&gt;&lt;wsp:rsid wsp:val=&quot;00836229&quot;/&gt;&lt;wsp:rsid wsp:val=&quot;008369BE&quot;/&gt;&lt;wsp:rsid wsp:val=&quot;008370F9&quot;/&gt;&lt;wsp:rsid wsp:val=&quot;00837477&quot;/&gt;&lt;wsp:rsid wsp:val=&quot;00837E2B&quot;/&gt;&lt;wsp:rsid wsp:val=&quot;00840CF0&quot;/&gt;&lt;wsp:rsid wsp:val=&quot;008417BE&quot;/&gt;&lt;wsp:rsid wsp:val=&quot;00842169&quot;/&gt;&lt;wsp:rsid wsp:val=&quot;00844820&quot;/&gt;&lt;wsp:rsid wsp:val=&quot;0084542A&quot;/&gt;&lt;wsp:rsid wsp:val=&quot;0084561C&quot;/&gt;&lt;wsp:rsid wsp:val=&quot;00846450&quot;/&gt;&lt;wsp:rsid wsp:val=&quot;0084665D&quot;/&gt;&lt;wsp:rsid wsp:val=&quot;00846CBF&quot;/&gt;&lt;wsp:rsid wsp:val=&quot;00846E15&quot;/&gt;&lt;wsp:rsid wsp:val=&quot;00846E9E&quot;/&gt;&lt;wsp:rsid wsp:val=&quot;00846F14&quot;/&gt;&lt;wsp:rsid wsp:val=&quot;00847E5B&quot;/&gt;&lt;wsp:rsid wsp:val=&quot;00850029&quot;/&gt;&lt;wsp:rsid wsp:val=&quot;0085071E&quot;/&gt;&lt;wsp:rsid wsp:val=&quot;00851836&quot;/&gt;&lt;wsp:rsid wsp:val=&quot;00852388&quot;/&gt;&lt;wsp:rsid wsp:val=&quot;0085261B&quot;/&gt;&lt;wsp:rsid wsp:val=&quot;00852AB4&quot;/&gt;&lt;wsp:rsid wsp:val=&quot;00852E62&quot;/&gt;&lt;wsp:rsid wsp:val=&quot;008543DC&quot;/&gt;&lt;wsp:rsid wsp:val=&quot;00855141&quot;/&gt;&lt;wsp:rsid wsp:val=&quot;00855407&quot;/&gt;&lt;wsp:rsid wsp:val=&quot;00855D7D&quot;/&gt;&lt;wsp:rsid wsp:val=&quot;00857452&quot;/&gt;&lt;wsp:rsid wsp:val=&quot;00857C9C&quot;/&gt;&lt;wsp:rsid wsp:val=&quot;00857FBE&quot;/&gt;&lt;wsp:rsid wsp:val=&quot;00860313&quot;/&gt;&lt;wsp:rsid wsp:val=&quot;00861221&quot;/&gt;&lt;wsp:rsid wsp:val=&quot;008614E1&quot;/&gt;&lt;wsp:rsid wsp:val=&quot;0086178C&quot;/&gt;&lt;wsp:rsid wsp:val=&quot;008622BD&quot;/&gt;&lt;wsp:rsid wsp:val=&quot;0086285E&quot;/&gt;&lt;wsp:rsid wsp:val=&quot;00862B3A&quot;/&gt;&lt;wsp:rsid wsp:val=&quot;008636EF&quot;/&gt;&lt;wsp:rsid wsp:val=&quot;00864D47&quot;/&gt;&lt;wsp:rsid wsp:val=&quot;00864DC5&quot;/&gt;&lt;wsp:rsid wsp:val=&quot;00865374&quot;/&gt;&lt;wsp:rsid wsp:val=&quot;008658F6&quot;/&gt;&lt;wsp:rsid wsp:val=&quot;00866029&quot;/&gt;&lt;wsp:rsid wsp:val=&quot;0086603C&quot;/&gt;&lt;wsp:rsid wsp:val=&quot;00866244&quot;/&gt;&lt;wsp:rsid wsp:val=&quot;00866A20&quot;/&gt;&lt;wsp:rsid wsp:val=&quot;008673EB&quot;/&gt;&lt;wsp:rsid wsp:val=&quot;00867409&quot;/&gt;&lt;wsp:rsid wsp:val=&quot;0086792B&quot;/&gt;&lt;wsp:rsid wsp:val=&quot;00867D2A&quot;/&gt;&lt;wsp:rsid wsp:val=&quot;00870586&quot;/&gt;&lt;wsp:rsid wsp:val=&quot;0087059C&quot;/&gt;&lt;wsp:rsid wsp:val=&quot;00870CB1&quot;/&gt;&lt;wsp:rsid wsp:val=&quot;0087135F&quot;/&gt;&lt;wsp:rsid wsp:val=&quot;00871484&quot;/&gt;&lt;wsp:rsid wsp:val=&quot;00871CFB&quot;/&gt;&lt;wsp:rsid wsp:val=&quot;00872027&quot;/&gt;&lt;wsp:rsid wsp:val=&quot;008721AF&quot;/&gt;&lt;wsp:rsid wsp:val=&quot;0087256C&quot;/&gt;&lt;wsp:rsid wsp:val=&quot;00872D94&quot;/&gt;&lt;wsp:rsid wsp:val=&quot;00872E25&quot;/&gt;&lt;wsp:rsid wsp:val=&quot;008730BA&quot;/&gt;&lt;wsp:rsid wsp:val=&quot;00873451&quot;/&gt;&lt;wsp:rsid wsp:val=&quot;008742A5&quot;/&gt;&lt;wsp:rsid wsp:val=&quot;00874705&quot;/&gt;&lt;wsp:rsid wsp:val=&quot;00874A9B&quot;/&gt;&lt;wsp:rsid wsp:val=&quot;00876366&quot;/&gt;&lt;wsp:rsid wsp:val=&quot;0087721C&quot;/&gt;&lt;wsp:rsid wsp:val=&quot;00877983&quot;/&gt;&lt;wsp:rsid wsp:val=&quot;00880364&quot;/&gt;&lt;wsp:rsid wsp:val=&quot;008805AA&quot;/&gt;&lt;wsp:rsid wsp:val=&quot;00881594&quot;/&gt;&lt;wsp:rsid wsp:val=&quot;00882898&quot;/&gt;&lt;wsp:rsid wsp:val=&quot;00882C75&quot;/&gt;&lt;wsp:rsid wsp:val=&quot;00882E8D&quot;/&gt;&lt;wsp:rsid wsp:val=&quot;00883C6B&quot;/&gt;&lt;wsp:rsid wsp:val=&quot;00884434&quot;/&gt;&lt;wsp:rsid wsp:val=&quot;00884585&quot;/&gt;&lt;wsp:rsid wsp:val=&quot;00884DBD&quot;/&gt;&lt;wsp:rsid wsp:val=&quot;00884F91&quot;/&gt;&lt;wsp:rsid wsp:val=&quot;00885866&quot;/&gt;&lt;wsp:rsid wsp:val=&quot;00886069&quot;/&gt;&lt;wsp:rsid wsp:val=&quot;00886483&quot;/&gt;&lt;wsp:rsid wsp:val=&quot;00887170&quot;/&gt;&lt;wsp:rsid wsp:val=&quot;00890664&quot;/&gt;&lt;wsp:rsid wsp:val=&quot;00890E36&quot;/&gt;&lt;wsp:rsid wsp:val=&quot;00891592&quot;/&gt;&lt;wsp:rsid wsp:val=&quot;00891E9E&quot;/&gt;&lt;wsp:rsid wsp:val=&quot;00891EF6&quot;/&gt;&lt;wsp:rsid wsp:val=&quot;008929BD&quot;/&gt;&lt;wsp:rsid wsp:val=&quot;00892B88&quot;/&gt;&lt;wsp:rsid wsp:val=&quot;00892C42&quot;/&gt;&lt;wsp:rsid wsp:val=&quot;00892E32&quot;/&gt;&lt;wsp:rsid wsp:val=&quot;008939E9&quot;/&gt;&lt;wsp:rsid wsp:val=&quot;008940DF&quot;/&gt;&lt;wsp:rsid wsp:val=&quot;00894D10&quot;/&gt;&lt;wsp:rsid wsp:val=&quot;00895CC7&quot;/&gt;&lt;wsp:rsid wsp:val=&quot;00896E97&quot;/&gt;&lt;wsp:rsid wsp:val=&quot;008971B9&quot;/&gt;&lt;wsp:rsid wsp:val=&quot;0089722E&quot;/&gt;&lt;wsp:rsid wsp:val=&quot;008A10E8&quot;/&gt;&lt;wsp:rsid wsp:val=&quot;008A116B&quot;/&gt;&lt;wsp:rsid wsp:val=&quot;008A17D0&quot;/&gt;&lt;wsp:rsid wsp:val=&quot;008A1BF6&quot;/&gt;&lt;wsp:rsid wsp:val=&quot;008A1C8B&quot;/&gt;&lt;wsp:rsid wsp:val=&quot;008A1EF5&quot;/&gt;&lt;wsp:rsid wsp:val=&quot;008A2F68&quot;/&gt;&lt;wsp:rsid wsp:val=&quot;008A32E8&quot;/&gt;&lt;wsp:rsid wsp:val=&quot;008A34A7&quot;/&gt;&lt;wsp:rsid wsp:val=&quot;008A4055&quot;/&gt;&lt;wsp:rsid wsp:val=&quot;008A43DF&quot;/&gt;&lt;wsp:rsid wsp:val=&quot;008A4B4C&quot;/&gt;&lt;wsp:rsid wsp:val=&quot;008A5D0A&quot;/&gt;&lt;wsp:rsid wsp:val=&quot;008A61C2&quot;/&gt;&lt;wsp:rsid wsp:val=&quot;008A662F&quot;/&gt;&lt;wsp:rsid wsp:val=&quot;008A6E74&quot;/&gt;&lt;wsp:rsid wsp:val=&quot;008A7486&quot;/&gt;&lt;wsp:rsid wsp:val=&quot;008A7608&quot;/&gt;&lt;wsp:rsid wsp:val=&quot;008A7CFA&quot;/&gt;&lt;wsp:rsid wsp:val=&quot;008B0372&quot;/&gt;&lt;wsp:rsid wsp:val=&quot;008B05A9&quot;/&gt;&lt;wsp:rsid wsp:val=&quot;008B15CF&quot;/&gt;&lt;wsp:rsid wsp:val=&quot;008B1C19&quot;/&gt;&lt;wsp:rsid wsp:val=&quot;008B224A&quot;/&gt;&lt;wsp:rsid wsp:val=&quot;008B238C&quot;/&gt;&lt;wsp:rsid wsp:val=&quot;008B2515&quot;/&gt;&lt;wsp:rsid wsp:val=&quot;008B2517&quot;/&gt;&lt;wsp:rsid wsp:val=&quot;008B2A59&quot;/&gt;&lt;wsp:rsid wsp:val=&quot;008B31DB&quot;/&gt;&lt;wsp:rsid wsp:val=&quot;008B3FD4&quot;/&gt;&lt;wsp:rsid wsp:val=&quot;008B411D&quot;/&gt;&lt;wsp:rsid wsp:val=&quot;008B43E6&quot;/&gt;&lt;wsp:rsid wsp:val=&quot;008B4816&quot;/&gt;&lt;wsp:rsid wsp:val=&quot;008B4DB0&quot;/&gt;&lt;wsp:rsid wsp:val=&quot;008B4E8E&quot;/&gt;&lt;wsp:rsid wsp:val=&quot;008B4FA6&quot;/&gt;&lt;wsp:rsid wsp:val=&quot;008B503B&quot;/&gt;&lt;wsp:rsid wsp:val=&quot;008B51BA&quot;/&gt;&lt;wsp:rsid wsp:val=&quot;008B5282&quot;/&gt;&lt;wsp:rsid wsp:val=&quot;008B64D7&quot;/&gt;&lt;wsp:rsid wsp:val=&quot;008B6F62&quot;/&gt;&lt;wsp:rsid wsp:val=&quot;008B7765&quot;/&gt;&lt;wsp:rsid wsp:val=&quot;008B7C17&quot;/&gt;&lt;wsp:rsid wsp:val=&quot;008B7E25&quot;/&gt;&lt;wsp:rsid wsp:val=&quot;008C02FE&quot;/&gt;&lt;wsp:rsid wsp:val=&quot;008C0797&quot;/&gt;&lt;wsp:rsid wsp:val=&quot;008C0D9C&quot;/&gt;&lt;wsp:rsid wsp:val=&quot;008C13DD&quot;/&gt;&lt;wsp:rsid wsp:val=&quot;008C23D3&quot;/&gt;&lt;wsp:rsid wsp:val=&quot;008C2765&quot;/&gt;&lt;wsp:rsid wsp:val=&quot;008C2AB7&quot;/&gt;&lt;wsp:rsid wsp:val=&quot;008C2D01&quot;/&gt;&lt;wsp:rsid wsp:val=&quot;008C3050&quot;/&gt;&lt;wsp:rsid wsp:val=&quot;008C32C3&quot;/&gt;&lt;wsp:rsid wsp:val=&quot;008C37AB&quot;/&gt;&lt;wsp:rsid wsp:val=&quot;008C3813&quot;/&gt;&lt;wsp:rsid wsp:val=&quot;008C3AE8&quot;/&gt;&lt;wsp:rsid wsp:val=&quot;008C3FA0&quot;/&gt;&lt;wsp:rsid wsp:val=&quot;008C40E6&quot;/&gt;&lt;wsp:rsid wsp:val=&quot;008C4673&quot;/&gt;&lt;wsp:rsid wsp:val=&quot;008C479F&quot;/&gt;&lt;wsp:rsid wsp:val=&quot;008C4D44&quot;/&gt;&lt;wsp:rsid wsp:val=&quot;008C531B&quot;/&gt;&lt;wsp:rsid wsp:val=&quot;008C5340&quot;/&gt;&lt;wsp:rsid wsp:val=&quot;008C5836&quot;/&gt;&lt;wsp:rsid wsp:val=&quot;008C61C9&quot;/&gt;&lt;wsp:rsid wsp:val=&quot;008C6340&quot;/&gt;&lt;wsp:rsid wsp:val=&quot;008C6BE9&quot;/&gt;&lt;wsp:rsid wsp:val=&quot;008C6C81&quot;/&gt;&lt;wsp:rsid wsp:val=&quot;008C72D7&quot;/&gt;&lt;wsp:rsid wsp:val=&quot;008C7595&quot;/&gt;&lt;wsp:rsid wsp:val=&quot;008C75D6&quot;/&gt;&lt;wsp:rsid wsp:val=&quot;008D052C&quot;/&gt;&lt;wsp:rsid wsp:val=&quot;008D0D17&quot;/&gt;&lt;wsp:rsid wsp:val=&quot;008D0F7A&quot;/&gt;&lt;wsp:rsid wsp:val=&quot;008D1637&quot;/&gt;&lt;wsp:rsid wsp:val=&quot;008D2CF4&quot;/&gt;&lt;wsp:rsid wsp:val=&quot;008D31DA&quot;/&gt;&lt;wsp:rsid wsp:val=&quot;008D3D45&quot;/&gt;&lt;wsp:rsid wsp:val=&quot;008D4296&quot;/&gt;&lt;wsp:rsid wsp:val=&quot;008D465B&quot;/&gt;&lt;wsp:rsid wsp:val=&quot;008D5409&quot;/&gt;&lt;wsp:rsid wsp:val=&quot;008D552F&quot;/&gt;&lt;wsp:rsid wsp:val=&quot;008D594C&quot;/&gt;&lt;wsp:rsid wsp:val=&quot;008D68E4&quot;/&gt;&lt;wsp:rsid wsp:val=&quot;008D6A46&quot;/&gt;&lt;wsp:rsid wsp:val=&quot;008D6A52&quot;/&gt;&lt;wsp:rsid wsp:val=&quot;008D6A56&quot;/&gt;&lt;wsp:rsid wsp:val=&quot;008D717E&quot;/&gt;&lt;wsp:rsid wsp:val=&quot;008D7AA6&quot;/&gt;&lt;wsp:rsid wsp:val=&quot;008E0506&quot;/&gt;&lt;wsp:rsid wsp:val=&quot;008E0B79&quot;/&gt;&lt;wsp:rsid wsp:val=&quot;008E0CFF&quot;/&gt;&lt;wsp:rsid wsp:val=&quot;008E25B5&quot;/&gt;&lt;wsp:rsid wsp:val=&quot;008E25F1&quot;/&gt;&lt;wsp:rsid wsp:val=&quot;008E27EF&quot;/&gt;&lt;wsp:rsid wsp:val=&quot;008E29AB&quot;/&gt;&lt;wsp:rsid wsp:val=&quot;008E2DA3&quot;/&gt;&lt;wsp:rsid wsp:val=&quot;008E358E&quot;/&gt;&lt;wsp:rsid wsp:val=&quot;008E35F4&quot;/&gt;&lt;wsp:rsid wsp:val=&quot;008E377D&quot;/&gt;&lt;wsp:rsid wsp:val=&quot;008E3B20&quot;/&gt;&lt;wsp:rsid wsp:val=&quot;008E3E58&quot;/&gt;&lt;wsp:rsid wsp:val=&quot;008E3F04&quot;/&gt;&lt;wsp:rsid wsp:val=&quot;008E4560&quot;/&gt;&lt;wsp:rsid wsp:val=&quot;008E4FEA&quot;/&gt;&lt;wsp:rsid wsp:val=&quot;008E5639&quot;/&gt;&lt;wsp:rsid wsp:val=&quot;008E5782&quot;/&gt;&lt;wsp:rsid wsp:val=&quot;008E5873&quot;/&gt;&lt;wsp:rsid wsp:val=&quot;008E5D6B&quot;/&gt;&lt;wsp:rsid wsp:val=&quot;008E65DB&quot;/&gt;&lt;wsp:rsid wsp:val=&quot;008E6F0F&quot;/&gt;&lt;wsp:rsid wsp:val=&quot;008E76F0&quot;/&gt;&lt;wsp:rsid wsp:val=&quot;008E7712&quot;/&gt;&lt;wsp:rsid wsp:val=&quot;008E7D7F&quot;/&gt;&lt;wsp:rsid wsp:val=&quot;008E7F3A&quot;/&gt;&lt;wsp:rsid wsp:val=&quot;008F002B&quot;/&gt;&lt;wsp:rsid wsp:val=&quot;008F05AA&quot;/&gt;&lt;wsp:rsid wsp:val=&quot;008F08C9&quot;/&gt;&lt;wsp:rsid wsp:val=&quot;008F0B59&quot;/&gt;&lt;wsp:rsid wsp:val=&quot;008F111D&quot;/&gt;&lt;wsp:rsid wsp:val=&quot;008F11B2&quot;/&gt;&lt;wsp:rsid wsp:val=&quot;008F15FE&quot;/&gt;&lt;wsp:rsid wsp:val=&quot;008F183B&quot;/&gt;&lt;wsp:rsid wsp:val=&quot;008F2476&quot;/&gt;&lt;wsp:rsid wsp:val=&quot;008F2608&quot;/&gt;&lt;wsp:rsid wsp:val=&quot;008F2C7C&quot;/&gt;&lt;wsp:rsid wsp:val=&quot;008F2D29&quot;/&gt;&lt;wsp:rsid wsp:val=&quot;008F2F08&quot;/&gt;&lt;wsp:rsid wsp:val=&quot;008F300C&quot;/&gt;&lt;wsp:rsid wsp:val=&quot;008F3468&quot;/&gt;&lt;wsp:rsid wsp:val=&quot;008F4DBD&quot;/&gt;&lt;wsp:rsid wsp:val=&quot;008F5187&quot;/&gt;&lt;wsp:rsid wsp:val=&quot;008F5B66&quot;/&gt;&lt;wsp:rsid wsp:val=&quot;008F5BEA&quot;/&gt;&lt;wsp:rsid wsp:val=&quot;008F6063&quot;/&gt;&lt;wsp:rsid wsp:val=&quot;008F60D8&quot;/&gt;&lt;wsp:rsid wsp:val=&quot;008F6776&quot;/&gt;&lt;wsp:rsid wsp:val=&quot;008F7297&quot;/&gt;&lt;wsp:rsid wsp:val=&quot;008F7AE6&quot;/&gt;&lt;wsp:rsid wsp:val=&quot;00900194&quot;/&gt;&lt;wsp:rsid wsp:val=&quot;00900E67&quot;/&gt;&lt;wsp:rsid wsp:val=&quot;009012B1&quot;/&gt;&lt;wsp:rsid wsp:val=&quot;00901431&quot;/&gt;&lt;wsp:rsid wsp:val=&quot;00901478&quot;/&gt;&lt;wsp:rsid wsp:val=&quot;0090160F&quot;/&gt;&lt;wsp:rsid wsp:val=&quot;00901C82&quot;/&gt;&lt;wsp:rsid wsp:val=&quot;009022B1&quot;/&gt;&lt;wsp:rsid wsp:val=&quot;00902727&quot;/&gt;&lt;wsp:rsid wsp:val=&quot;0090312B&quot;/&gt;&lt;wsp:rsid wsp:val=&quot;00903B00&quot;/&gt;&lt;wsp:rsid wsp:val=&quot;00904681&quot;/&gt;&lt;wsp:rsid wsp:val=&quot;009054AF&quot;/&gt;&lt;wsp:rsid wsp:val=&quot;00906A48&quot;/&gt;&lt;wsp:rsid wsp:val=&quot;00906F86&quot;/&gt;&lt;wsp:rsid wsp:val=&quot;00907197&quot;/&gt;&lt;wsp:rsid wsp:val=&quot;0090751C&quot;/&gt;&lt;wsp:rsid wsp:val=&quot;00907779&quot;/&gt;&lt;wsp:rsid wsp:val=&quot;009100D0&quot;/&gt;&lt;wsp:rsid wsp:val=&quot;00910454&quot;/&gt;&lt;wsp:rsid wsp:val=&quot;009105BA&quot;/&gt;&lt;wsp:rsid wsp:val=&quot;009116C3&quot;/&gt;&lt;wsp:rsid wsp:val=&quot;009117A6&quot;/&gt;&lt;wsp:rsid wsp:val=&quot;009119AD&quot;/&gt;&lt;wsp:rsid wsp:val=&quot;00911B6E&quot;/&gt;&lt;wsp:rsid wsp:val=&quot;00911FE6&quot;/&gt;&lt;wsp:rsid wsp:val=&quot;00913200&quot;/&gt;&lt;wsp:rsid wsp:val=&quot;00913428&quot;/&gt;&lt;wsp:rsid wsp:val=&quot;009140B0&quot;/&gt;&lt;wsp:rsid wsp:val=&quot;00914938&quot;/&gt;&lt;wsp:rsid wsp:val=&quot;00915392&quot;/&gt;&lt;wsp:rsid wsp:val=&quot;0091639C&quot;/&gt;&lt;wsp:rsid wsp:val=&quot;009171D7&quot;/&gt;&lt;wsp:rsid wsp:val=&quot;0091736D&quot;/&gt;&lt;wsp:rsid wsp:val=&quot;00917C1D&quot;/&gt;&lt;wsp:rsid wsp:val=&quot;009202AA&quot;/&gt;&lt;wsp:rsid wsp:val=&quot;009208A7&quot;/&gt;&lt;wsp:rsid wsp:val=&quot;009209CB&quot;/&gt;&lt;wsp:rsid wsp:val=&quot;00920F86&quot;/&gt;&lt;wsp:rsid wsp:val=&quot;0092113A&quot;/&gt;&lt;wsp:rsid wsp:val=&quot;00922013&quot;/&gt;&lt;wsp:rsid wsp:val=&quot;00922BC1&quot;/&gt;&lt;wsp:rsid wsp:val=&quot;00922EC1&quot;/&gt;&lt;wsp:rsid wsp:val=&quot;0092323D&quot;/&gt;&lt;wsp:rsid wsp:val=&quot;00923392&quot;/&gt;&lt;wsp:rsid wsp:val=&quot;0092475A&quot;/&gt;&lt;wsp:rsid wsp:val=&quot;00924E58&quot;/&gt;&lt;wsp:rsid wsp:val=&quot;00925C31&quot;/&gt;&lt;wsp:rsid wsp:val=&quot;00925F68&quot;/&gt;&lt;wsp:rsid wsp:val=&quot;009266D3&quot;/&gt;&lt;wsp:rsid wsp:val=&quot;00926942&quot;/&gt;&lt;wsp:rsid wsp:val=&quot;00926EDD&quot;/&gt;&lt;wsp:rsid wsp:val=&quot;00927567&quot;/&gt;&lt;wsp:rsid wsp:val=&quot;009276E7&quot;/&gt;&lt;wsp:rsid wsp:val=&quot;00927D1E&quot;/&gt;&lt;wsp:rsid wsp:val=&quot;009300B4&quot;/&gt;&lt;wsp:rsid wsp:val=&quot;0093037A&quot;/&gt;&lt;wsp:rsid wsp:val=&quot;009305D5&quot;/&gt;&lt;wsp:rsid wsp:val=&quot;009306C5&quot;/&gt;&lt;wsp:rsid wsp:val=&quot;009307F8&quot;/&gt;&lt;wsp:rsid wsp:val=&quot;00931173&quot;/&gt;&lt;wsp:rsid wsp:val=&quot;00931476&quot;/&gt;&lt;wsp:rsid wsp:val=&quot;00931F1E&quot;/&gt;&lt;wsp:rsid wsp:val=&quot;00932028&quot;/&gt;&lt;wsp:rsid wsp:val=&quot;0093261A&quot;/&gt;&lt;wsp:rsid wsp:val=&quot;0093291F&quot;/&gt;&lt;wsp:rsid wsp:val=&quot;00932E95&quot;/&gt;&lt;wsp:rsid wsp:val=&quot;00933326&quot;/&gt;&lt;wsp:rsid wsp:val=&quot;009335ED&quot;/&gt;&lt;wsp:rsid wsp:val=&quot;0093400B&quot;/&gt;&lt;wsp:rsid wsp:val=&quot;00934AE7&quot;/&gt;&lt;wsp:rsid wsp:val=&quot;00935025&quot;/&gt;&lt;wsp:rsid wsp:val=&quot;00935600&quot;/&gt;&lt;wsp:rsid wsp:val=&quot;00935629&quot;/&gt;&lt;wsp:rsid wsp:val=&quot;00936436&quot;/&gt;&lt;wsp:rsid wsp:val=&quot;0093691B&quot;/&gt;&lt;wsp:rsid wsp:val=&quot;00937344&quot;/&gt;&lt;wsp:rsid wsp:val=&quot;00937F70&quot;/&gt;&lt;wsp:rsid wsp:val=&quot;0094006B&quot;/&gt;&lt;wsp:rsid wsp:val=&quot;00940243&quot;/&gt;&lt;wsp:rsid wsp:val=&quot;0094027F&quot;/&gt;&lt;wsp:rsid wsp:val=&quot;009412DF&quot;/&gt;&lt;wsp:rsid wsp:val=&quot;0094154D&quot;/&gt;&lt;wsp:rsid wsp:val=&quot;009424C9&quot;/&gt;&lt;wsp:rsid wsp:val=&quot;009425B1&quot;/&gt;&lt;wsp:rsid wsp:val=&quot;009430B3&quot;/&gt;&lt;wsp:rsid wsp:val=&quot;009434DE&quot;/&gt;&lt;wsp:rsid wsp:val=&quot;00943BF8&quot;/&gt;&lt;wsp:rsid wsp:val=&quot;009441F3&quot;/&gt;&lt;wsp:rsid wsp:val=&quot;00944C50&quot;/&gt;&lt;wsp:rsid wsp:val=&quot;009450F7&quot;/&gt;&lt;wsp:rsid wsp:val=&quot;00945C95&quot;/&gt;&lt;wsp:rsid wsp:val=&quot;00945E43&quot;/&gt;&lt;wsp:rsid wsp:val=&quot;009463F6&quot;/&gt;&lt;wsp:rsid wsp:val=&quot;00946431&quot;/&gt;&lt;wsp:rsid wsp:val=&quot;009466C6&quot;/&gt;&lt;wsp:rsid wsp:val=&quot;00946E71&quot;/&gt;&lt;wsp:rsid wsp:val=&quot;00947058&quot;/&gt;&lt;wsp:rsid wsp:val=&quot;009472F4&quot;/&gt;&lt;wsp:rsid wsp:val=&quot;009479F8&quot;/&gt;&lt;wsp:rsid wsp:val=&quot;00947DDF&quot;/&gt;&lt;wsp:rsid wsp:val=&quot;00950015&quot;/&gt;&lt;wsp:rsid wsp:val=&quot;0095006E&quot;/&gt;&lt;wsp:rsid wsp:val=&quot;00950AC4&quot;/&gt;&lt;wsp:rsid wsp:val=&quot;0095155F&quot;/&gt;&lt;wsp:rsid wsp:val=&quot;009517F7&quot;/&gt;&lt;wsp:rsid wsp:val=&quot;00951B04&quot;/&gt;&lt;wsp:rsid wsp:val=&quot;00951D81&quot;/&gt;&lt;wsp:rsid wsp:val=&quot;00951F82&quot;/&gt;&lt;wsp:rsid wsp:val=&quot;00952690&quot;/&gt;&lt;wsp:rsid wsp:val=&quot;0095359D&quot;/&gt;&lt;wsp:rsid wsp:val=&quot;00953C18&quot;/&gt;&lt;wsp:rsid wsp:val=&quot;00954429&quot;/&gt;&lt;wsp:rsid wsp:val=&quot;0095459B&quot;/&gt;&lt;wsp:rsid wsp:val=&quot;0095460C&quot;/&gt;&lt;wsp:rsid wsp:val=&quot;00954D22&quot;/&gt;&lt;wsp:rsid wsp:val=&quot;009553E8&quot;/&gt;&lt;wsp:rsid wsp:val=&quot;009557B4&quot;/&gt;&lt;wsp:rsid wsp:val=&quot;0095586D&quot;/&gt;&lt;wsp:rsid wsp:val=&quot;00955ACA&quot;/&gt;&lt;wsp:rsid wsp:val=&quot;00955C3D&quot;/&gt;&lt;wsp:rsid wsp:val=&quot;00955C98&quot;/&gt;&lt;wsp:rsid wsp:val=&quot;009563CE&quot;/&gt;&lt;wsp:rsid wsp:val=&quot;00956736&quot;/&gt;&lt;wsp:rsid wsp:val=&quot;00960275&quot;/&gt;&lt;wsp:rsid wsp:val=&quot;00960883&quot;/&gt;&lt;wsp:rsid wsp:val=&quot;00961655&quot;/&gt;&lt;wsp:rsid wsp:val=&quot;00961B1F&quot;/&gt;&lt;wsp:rsid wsp:val=&quot;009620DF&quot;/&gt;&lt;wsp:rsid wsp:val=&quot;00962631&quot;/&gt;&lt;wsp:rsid wsp:val=&quot;00962710&quot;/&gt;&lt;wsp:rsid wsp:val=&quot;00962857&quot;/&gt;&lt;wsp:rsid wsp:val=&quot;009629A6&quot;/&gt;&lt;wsp:rsid wsp:val=&quot;00962A28&quot;/&gt;&lt;wsp:rsid wsp:val=&quot;009632C9&quot;/&gt;&lt;wsp:rsid wsp:val=&quot;00963A60&quot;/&gt;&lt;wsp:rsid wsp:val=&quot;00963C85&quot;/&gt;&lt;wsp:rsid wsp:val=&quot;00963D64&quot;/&gt;&lt;wsp:rsid wsp:val=&quot;009656FA&quot;/&gt;&lt;wsp:rsid wsp:val=&quot;00966E01&quot;/&gt;&lt;wsp:rsid wsp:val=&quot;00967271&quot;/&gt;&lt;wsp:rsid wsp:val=&quot;0097016C&quot;/&gt;&lt;wsp:rsid wsp:val=&quot;009704D4&quot;/&gt;&lt;wsp:rsid wsp:val=&quot;00971029&quot;/&gt;&lt;wsp:rsid wsp:val=&quot;00971A24&quot;/&gt;&lt;wsp:rsid wsp:val=&quot;00971D06&quot;/&gt;&lt;wsp:rsid wsp:val=&quot;00971DBB&quot;/&gt;&lt;wsp:rsid wsp:val=&quot;009726DC&quot;/&gt;&lt;wsp:rsid wsp:val=&quot;00973743&quot;/&gt;&lt;wsp:rsid wsp:val=&quot;00973C34&quot;/&gt;&lt;wsp:rsid wsp:val=&quot;00974948&quot;/&gt;&lt;wsp:rsid wsp:val=&quot;00974E0F&quot;/&gt;&lt;wsp:rsid wsp:val=&quot;00975112&quot;/&gt;&lt;wsp:rsid wsp:val=&quot;009755B7&quot;/&gt;&lt;wsp:rsid wsp:val=&quot;00975D55&quot;/&gt;&lt;wsp:rsid wsp:val=&quot;00976022&quot;/&gt;&lt;wsp:rsid wsp:val=&quot;00976328&quot;/&gt;&lt;wsp:rsid wsp:val=&quot;009767C7&quot;/&gt;&lt;wsp:rsid wsp:val=&quot;0097680D&quot;/&gt;&lt;wsp:rsid wsp:val=&quot;00977AC3&quot;/&gt;&lt;wsp:rsid wsp:val=&quot;00977B34&quot;/&gt;&lt;wsp:rsid wsp:val=&quot;009803D6&quot;/&gt;&lt;wsp:rsid wsp:val=&quot;00980FCD&quot;/&gt;&lt;wsp:rsid wsp:val=&quot;009813EF&quot;/&gt;&lt;wsp:rsid wsp:val=&quot;00981F4D&quot;/&gt;&lt;wsp:rsid wsp:val=&quot;00982438&quot;/&gt;&lt;wsp:rsid wsp:val=&quot;009826FD&quot;/&gt;&lt;wsp:rsid wsp:val=&quot;0098368E&quot;/&gt;&lt;wsp:rsid wsp:val=&quot;00983990&quot;/&gt;&lt;wsp:rsid wsp:val=&quot;0098404C&quot;/&gt;&lt;wsp:rsid wsp:val=&quot;00984086&quot;/&gt;&lt;wsp:rsid wsp:val=&quot;00984453&quot;/&gt;&lt;wsp:rsid wsp:val=&quot;00984995&quot;/&gt;&lt;wsp:rsid wsp:val=&quot;00984A74&quot;/&gt;&lt;wsp:rsid wsp:val=&quot;00985283&quot;/&gt;&lt;wsp:rsid wsp:val=&quot;009866FE&quot;/&gt;&lt;wsp:rsid wsp:val=&quot;00986E53&quot;/&gt;&lt;wsp:rsid wsp:val=&quot;00987647&quot;/&gt;&lt;wsp:rsid wsp:val=&quot;00987F0A&quot;/&gt;&lt;wsp:rsid wsp:val=&quot;0099026A&quot;/&gt;&lt;wsp:rsid wsp:val=&quot;00990C4E&quot;/&gt;&lt;wsp:rsid wsp:val=&quot;009911BD&quot;/&gt;&lt;wsp:rsid wsp:val=&quot;0099130D&quot;/&gt;&lt;wsp:rsid wsp:val=&quot;00991B48&quot;/&gt;&lt;wsp:rsid wsp:val=&quot;00991CD3&quot;/&gt;&lt;wsp:rsid wsp:val=&quot;00991ECC&quot;/&gt;&lt;wsp:rsid wsp:val=&quot;00992003&quot;/&gt;&lt;wsp:rsid wsp:val=&quot;009927D9&quot;/&gt;&lt;wsp:rsid wsp:val=&quot;00992D34&quot;/&gt;&lt;wsp:rsid wsp:val=&quot;00992ED0&quot;/&gt;&lt;wsp:rsid wsp:val=&quot;00993323&quot;/&gt;&lt;wsp:rsid wsp:val=&quot;00993583&quot;/&gt;&lt;wsp:rsid wsp:val=&quot;00993D67&quot;/&gt;&lt;wsp:rsid wsp:val=&quot;00993E74&quot;/&gt;&lt;wsp:rsid wsp:val=&quot;0099431E&quot;/&gt;&lt;wsp:rsid wsp:val=&quot;00994338&quot;/&gt;&lt;wsp:rsid wsp:val=&quot;00994F0C&quot;/&gt;&lt;wsp:rsid wsp:val=&quot;009958C9&quot;/&gt;&lt;wsp:rsid wsp:val=&quot;00995992&quot;/&gt;&lt;wsp:rsid wsp:val=&quot;009962D0&quot;/&gt;&lt;wsp:rsid wsp:val=&quot;00996630&quot;/&gt;&lt;wsp:rsid wsp:val=&quot;009966E1&quot;/&gt;&lt;wsp:rsid wsp:val=&quot;0099681A&quot;/&gt;&lt;wsp:rsid wsp:val=&quot;00997960&quot;/&gt;&lt;wsp:rsid wsp:val=&quot;009A0082&quot;/&gt;&lt;wsp:rsid wsp:val=&quot;009A03E5&quot;/&gt;&lt;wsp:rsid wsp:val=&quot;009A0C31&quot;/&gt;&lt;wsp:rsid wsp:val=&quot;009A0F3B&quot;/&gt;&lt;wsp:rsid wsp:val=&quot;009A1BA5&quot;/&gt;&lt;wsp:rsid wsp:val=&quot;009A1BB4&quot;/&gt;&lt;wsp:rsid wsp:val=&quot;009A2628&quot;/&gt;&lt;wsp:rsid wsp:val=&quot;009A299C&quot;/&gt;&lt;wsp:rsid wsp:val=&quot;009A3024&quot;/&gt;&lt;wsp:rsid wsp:val=&quot;009A3200&quot;/&gt;&lt;wsp:rsid wsp:val=&quot;009A32DA&quot;/&gt;&lt;wsp:rsid wsp:val=&quot;009A3458&quot;/&gt;&lt;wsp:rsid wsp:val=&quot;009A524E&quot;/&gt;&lt;wsp:rsid wsp:val=&quot;009A5A6D&quot;/&gt;&lt;wsp:rsid wsp:val=&quot;009A651B&quot;/&gt;&lt;wsp:rsid wsp:val=&quot;009A695E&quot;/&gt;&lt;wsp:rsid wsp:val=&quot;009A6BB8&quot;/&gt;&lt;wsp:rsid wsp:val=&quot;009A6FC3&quot;/&gt;&lt;wsp:rsid wsp:val=&quot;009A7881&quot;/&gt;&lt;wsp:rsid wsp:val=&quot;009A78FE&quot;/&gt;&lt;wsp:rsid wsp:val=&quot;009A7E1E&quot;/&gt;&lt;wsp:rsid wsp:val=&quot;009B0587&quot;/&gt;&lt;wsp:rsid wsp:val=&quot;009B0897&quot;/&gt;&lt;wsp:rsid wsp:val=&quot;009B0F5D&quot;/&gt;&lt;wsp:rsid wsp:val=&quot;009B1539&quot;/&gt;&lt;wsp:rsid wsp:val=&quot;009B246C&quot;/&gt;&lt;wsp:rsid wsp:val=&quot;009B2B7C&quot;/&gt;&lt;wsp:rsid wsp:val=&quot;009B39D1&quot;/&gt;&lt;wsp:rsid wsp:val=&quot;009B3C3A&quot;/&gt;&lt;wsp:rsid wsp:val=&quot;009B4009&quot;/&gt;&lt;wsp:rsid wsp:val=&quot;009B4131&quot;/&gt;&lt;wsp:rsid wsp:val=&quot;009B4490&quot;/&gt;&lt;wsp:rsid wsp:val=&quot;009B540A&quot;/&gt;&lt;wsp:rsid wsp:val=&quot;009B54B3&quot;/&gt;&lt;wsp:rsid wsp:val=&quot;009B57E5&quot;/&gt;&lt;wsp:rsid wsp:val=&quot;009B5D72&quot;/&gt;&lt;wsp:rsid wsp:val=&quot;009B685E&quot;/&gt;&lt;wsp:rsid wsp:val=&quot;009B71AD&quot;/&gt;&lt;wsp:rsid wsp:val=&quot;009B75D7&quot;/&gt;&lt;wsp:rsid wsp:val=&quot;009B76A4&quot;/&gt;&lt;wsp:rsid wsp:val=&quot;009B7BD9&quot;/&gt;&lt;wsp:rsid wsp:val=&quot;009B7BF8&quot;/&gt;&lt;wsp:rsid wsp:val=&quot;009B7FAE&quot;/&gt;&lt;wsp:rsid wsp:val=&quot;009C175F&quot;/&gt;&lt;wsp:rsid wsp:val=&quot;009C218B&quot;/&gt;&lt;wsp:rsid wsp:val=&quot;009C2483&quot;/&gt;&lt;wsp:rsid wsp:val=&quot;009C2992&quot;/&gt;&lt;wsp:rsid wsp:val=&quot;009C2A32&quot;/&gt;&lt;wsp:rsid wsp:val=&quot;009C2FDF&quot;/&gt;&lt;wsp:rsid wsp:val=&quot;009C318D&quot;/&gt;&lt;wsp:rsid wsp:val=&quot;009C3345&quot;/&gt;&lt;wsp:rsid wsp:val=&quot;009C3BDB&quot;/&gt;&lt;wsp:rsid wsp:val=&quot;009C5DE5&quot;/&gt;&lt;wsp:rsid wsp:val=&quot;009C61A4&quot;/&gt;&lt;wsp:rsid wsp:val=&quot;009C620D&quot;/&gt;&lt;wsp:rsid wsp:val=&quot;009C636B&quot;/&gt;&lt;wsp:rsid wsp:val=&quot;009C65F7&quot;/&gt;&lt;wsp:rsid wsp:val=&quot;009C6AD8&quot;/&gt;&lt;wsp:rsid wsp:val=&quot;009C7273&quot;/&gt;&lt;wsp:rsid wsp:val=&quot;009C7514&quot;/&gt;&lt;wsp:rsid wsp:val=&quot;009C798A&quot;/&gt;&lt;wsp:rsid wsp:val=&quot;009C79AF&quot;/&gt;&lt;wsp:rsid wsp:val=&quot;009C7DD5&quot;/&gt;&lt;wsp:rsid wsp:val=&quot;009D2FFA&quot;/&gt;&lt;wsp:rsid wsp:val=&quot;009D3076&quot;/&gt;&lt;wsp:rsid wsp:val=&quot;009D3708&quot;/&gt;&lt;wsp:rsid wsp:val=&quot;009D4117&quot;/&gt;&lt;wsp:rsid wsp:val=&quot;009D4369&quot;/&gt;&lt;wsp:rsid wsp:val=&quot;009D4678&quot;/&gt;&lt;wsp:rsid wsp:val=&quot;009D4D3B&quot;/&gt;&lt;wsp:rsid wsp:val=&quot;009D54C7&quot;/&gt;&lt;wsp:rsid wsp:val=&quot;009D5552&quot;/&gt;&lt;wsp:rsid wsp:val=&quot;009D5628&quot;/&gt;&lt;wsp:rsid wsp:val=&quot;009D56E9&quot;/&gt;&lt;wsp:rsid wsp:val=&quot;009D58FB&quot;/&gt;&lt;wsp:rsid wsp:val=&quot;009D5AED&quot;/&gt;&lt;wsp:rsid wsp:val=&quot;009D63DC&quot;/&gt;&lt;wsp:rsid wsp:val=&quot;009D6BBC&quot;/&gt;&lt;wsp:rsid wsp:val=&quot;009D76C9&quot;/&gt;&lt;wsp:rsid wsp:val=&quot;009D783B&quot;/&gt;&lt;wsp:rsid wsp:val=&quot;009D7C9F&quot;/&gt;&lt;wsp:rsid wsp:val=&quot;009D7EC7&quot;/&gt;&lt;wsp:rsid wsp:val=&quot;009E05F6&quot;/&gt;&lt;wsp:rsid wsp:val=&quot;009E088F&quot;/&gt;&lt;wsp:rsid wsp:val=&quot;009E0BD2&quot;/&gt;&lt;wsp:rsid wsp:val=&quot;009E13EF&quot;/&gt;&lt;wsp:rsid wsp:val=&quot;009E15C9&quot;/&gt;&lt;wsp:rsid wsp:val=&quot;009E18DB&quot;/&gt;&lt;wsp:rsid wsp:val=&quot;009E227D&quot;/&gt;&lt;wsp:rsid wsp:val=&quot;009E240D&quot;/&gt;&lt;wsp:rsid wsp:val=&quot;009E242B&quot;/&gt;&lt;wsp:rsid wsp:val=&quot;009E2741&quot;/&gt;&lt;wsp:rsid wsp:val=&quot;009E283A&quot;/&gt;&lt;wsp:rsid wsp:val=&quot;009E286E&quot;/&gt;&lt;wsp:rsid wsp:val=&quot;009E2E83&quot;/&gt;&lt;wsp:rsid wsp:val=&quot;009E3881&quot;/&gt;&lt;wsp:rsid wsp:val=&quot;009E4609&quot;/&gt;&lt;wsp:rsid wsp:val=&quot;009E4846&quot;/&gt;&lt;wsp:rsid wsp:val=&quot;009E5019&quot;/&gt;&lt;wsp:rsid wsp:val=&quot;009E5A93&quot;/&gt;&lt;wsp:rsid wsp:val=&quot;009E5DEF&quot;/&gt;&lt;wsp:rsid wsp:val=&quot;009E5E29&quot;/&gt;&lt;wsp:rsid wsp:val=&quot;009E6369&quot;/&gt;&lt;wsp:rsid wsp:val=&quot;009E6687&quot;/&gt;&lt;wsp:rsid wsp:val=&quot;009E682A&quot;/&gt;&lt;wsp:rsid wsp:val=&quot;009E6AF1&quot;/&gt;&lt;wsp:rsid wsp:val=&quot;009E71C3&quot;/&gt;&lt;wsp:rsid wsp:val=&quot;009E744B&quot;/&gt;&lt;wsp:rsid wsp:val=&quot;009F115D&quot;/&gt;&lt;wsp:rsid wsp:val=&quot;009F137C&quot;/&gt;&lt;wsp:rsid wsp:val=&quot;009F18F2&quot;/&gt;&lt;wsp:rsid wsp:val=&quot;009F1A26&quot;/&gt;&lt;wsp:rsid wsp:val=&quot;009F317C&quot;/&gt;&lt;wsp:rsid wsp:val=&quot;009F32FB&quot;/&gt;&lt;wsp:rsid wsp:val=&quot;009F3326&quot;/&gt;&lt;wsp:rsid wsp:val=&quot;009F38DB&quot;/&gt;&lt;wsp:rsid wsp:val=&quot;009F4444&quot;/&gt;&lt;wsp:rsid wsp:val=&quot;009F44FE&quot;/&gt;&lt;wsp:rsid wsp:val=&quot;009F4A1B&quot;/&gt;&lt;wsp:rsid wsp:val=&quot;009F4AE9&quot;/&gt;&lt;wsp:rsid wsp:val=&quot;009F5667&quot;/&gt;&lt;wsp:rsid wsp:val=&quot;009F5B4D&quot;/&gt;&lt;wsp:rsid wsp:val=&quot;009F5D44&quot;/&gt;&lt;wsp:rsid wsp:val=&quot;009F5FBF&quot;/&gt;&lt;wsp:rsid wsp:val=&quot;009F62D5&quot;/&gt;&lt;wsp:rsid wsp:val=&quot;009F6489&quot;/&gt;&lt;wsp:rsid wsp:val=&quot;009F6A94&quot;/&gt;&lt;wsp:rsid wsp:val=&quot;00A00B64&quot;/&gt;&lt;wsp:rsid wsp:val=&quot;00A00C0A&quot;/&gt;&lt;wsp:rsid wsp:val=&quot;00A01755&quot;/&gt;&lt;wsp:rsid wsp:val=&quot;00A01F3D&quot;/&gt;&lt;wsp:rsid wsp:val=&quot;00A023CB&quot;/&gt;&lt;wsp:rsid wsp:val=&quot;00A024F9&quot;/&gt;&lt;wsp:rsid wsp:val=&quot;00A03B33&quot;/&gt;&lt;wsp:rsid wsp:val=&quot;00A0415D&quot;/&gt;&lt;wsp:rsid wsp:val=&quot;00A04F1B&quot;/&gt;&lt;wsp:rsid wsp:val=&quot;00A0501B&quot;/&gt;&lt;wsp:rsid wsp:val=&quot;00A05825&quot;/&gt;&lt;wsp:rsid wsp:val=&quot;00A06560&quot;/&gt;&lt;wsp:rsid wsp:val=&quot;00A06AE1&quot;/&gt;&lt;wsp:rsid wsp:val=&quot;00A06F3C&quot;/&gt;&lt;wsp:rsid wsp:val=&quot;00A0720F&quot;/&gt;&lt;wsp:rsid wsp:val=&quot;00A1013B&quot;/&gt;&lt;wsp:rsid wsp:val=&quot;00A1038D&quot;/&gt;&lt;wsp:rsid wsp:val=&quot;00A105DC&quot;/&gt;&lt;wsp:rsid wsp:val=&quot;00A1099F&quot;/&gt;&lt;wsp:rsid wsp:val=&quot;00A10F81&quot;/&gt;&lt;wsp:rsid wsp:val=&quot;00A11537&quot;/&gt;&lt;wsp:rsid wsp:val=&quot;00A1159E&quot;/&gt;&lt;wsp:rsid wsp:val=&quot;00A118BD&quot;/&gt;&lt;wsp:rsid wsp:val=&quot;00A12621&quot;/&gt;&lt;wsp:rsid wsp:val=&quot;00A12C2A&quot;/&gt;&lt;wsp:rsid wsp:val=&quot;00A13165&quot;/&gt;&lt;wsp:rsid wsp:val=&quot;00A13193&quot;/&gt;&lt;wsp:rsid wsp:val=&quot;00A14058&quot;/&gt;&lt;wsp:rsid wsp:val=&quot;00A14274&quot;/&gt;&lt;wsp:rsid wsp:val=&quot;00A1453E&quot;/&gt;&lt;wsp:rsid wsp:val=&quot;00A147FE&quot;/&gt;&lt;wsp:rsid wsp:val=&quot;00A14947&quot;/&gt;&lt;wsp:rsid wsp:val=&quot;00A14F9B&quot;/&gt;&lt;wsp:rsid wsp:val=&quot;00A150EB&quot;/&gt;&lt;wsp:rsid wsp:val=&quot;00A15160&quot;/&gt;&lt;wsp:rsid wsp:val=&quot;00A1538E&quot;/&gt;&lt;wsp:rsid wsp:val=&quot;00A15902&quot;/&gt;&lt;wsp:rsid wsp:val=&quot;00A1590D&quot;/&gt;&lt;wsp:rsid wsp:val=&quot;00A15996&quot;/&gt;&lt;wsp:rsid wsp:val=&quot;00A16421&quot;/&gt;&lt;wsp:rsid wsp:val=&quot;00A1645A&quot;/&gt;&lt;wsp:rsid wsp:val=&quot;00A1653E&quot;/&gt;&lt;wsp:rsid wsp:val=&quot;00A16567&quot;/&gt;&lt;wsp:rsid wsp:val=&quot;00A1673D&quot;/&gt;&lt;wsp:rsid wsp:val=&quot;00A16DD5&quot;/&gt;&lt;wsp:rsid wsp:val=&quot;00A16E65&quot;/&gt;&lt;wsp:rsid wsp:val=&quot;00A17513&quot;/&gt;&lt;wsp:rsid wsp:val=&quot;00A17563&quot;/&gt;&lt;wsp:rsid wsp:val=&quot;00A17846&quot;/&gt;&lt;wsp:rsid wsp:val=&quot;00A2001A&quot;/&gt;&lt;wsp:rsid wsp:val=&quot;00A201AC&quot;/&gt;&lt;wsp:rsid wsp:val=&quot;00A2037D&quot;/&gt;&lt;wsp:rsid wsp:val=&quot;00A219DE&quot;/&gt;&lt;wsp:rsid wsp:val=&quot;00A21D05&quot;/&gt;&lt;wsp:rsid wsp:val=&quot;00A21EDB&quot;/&gt;&lt;wsp:rsid wsp:val=&quot;00A227A0&quot;/&gt;&lt;wsp:rsid wsp:val=&quot;00A228A6&quot;/&gt;&lt;wsp:rsid wsp:val=&quot;00A22F83&quot;/&gt;&lt;wsp:rsid wsp:val=&quot;00A23B34&quot;/&gt;&lt;wsp:rsid wsp:val=&quot;00A23CB6&quot;/&gt;&lt;wsp:rsid wsp:val=&quot;00A24204&quot;/&gt;&lt;wsp:rsid wsp:val=&quot;00A24711&quot;/&gt;&lt;wsp:rsid wsp:val=&quot;00A24C3A&quot;/&gt;&lt;wsp:rsid wsp:val=&quot;00A2574E&quot;/&gt;&lt;wsp:rsid wsp:val=&quot;00A25A3B&quot;/&gt;&lt;wsp:rsid wsp:val=&quot;00A26607&quot;/&gt;&lt;wsp:rsid wsp:val=&quot;00A26CFF&quot;/&gt;&lt;wsp:rsid wsp:val=&quot;00A27459&quot;/&gt;&lt;wsp:rsid wsp:val=&quot;00A27746&quot;/&gt;&lt;wsp:rsid wsp:val=&quot;00A27990&quot;/&gt;&lt;wsp:rsid wsp:val=&quot;00A2799A&quot;/&gt;&lt;wsp:rsid wsp:val=&quot;00A300F8&quot;/&gt;&lt;wsp:rsid wsp:val=&quot;00A301E1&quot;/&gt;&lt;wsp:rsid wsp:val=&quot;00A3026D&quot;/&gt;&lt;wsp:rsid wsp:val=&quot;00A31802&quot;/&gt;&lt;wsp:rsid wsp:val=&quot;00A31998&quot;/&gt;&lt;wsp:rsid wsp:val=&quot;00A3209E&quot;/&gt;&lt;wsp:rsid wsp:val=&quot;00A32A83&quot;/&gt;&lt;wsp:rsid wsp:val=&quot;00A3306F&quot;/&gt;&lt;wsp:rsid wsp:val=&quot;00A3352C&quot;/&gt;&lt;wsp:rsid wsp:val=&quot;00A33D96&quot;/&gt;&lt;wsp:rsid wsp:val=&quot;00A34158&quot;/&gt;&lt;wsp:rsid wsp:val=&quot;00A34307&quot;/&gt;&lt;wsp:rsid wsp:val=&quot;00A349D2&quot;/&gt;&lt;wsp:rsid wsp:val=&quot;00A34F06&quot;/&gt;&lt;wsp:rsid wsp:val=&quot;00A350BA&quot;/&gt;&lt;wsp:rsid wsp:val=&quot;00A363FC&quot;/&gt;&lt;wsp:rsid wsp:val=&quot;00A368DB&quot;/&gt;&lt;wsp:rsid wsp:val=&quot;00A36A63&quot;/&gt;&lt;wsp:rsid wsp:val=&quot;00A36B97&quot;/&gt;&lt;wsp:rsid wsp:val=&quot;00A36EC8&quot;/&gt;&lt;wsp:rsid wsp:val=&quot;00A36F95&quot;/&gt;&lt;wsp:rsid wsp:val=&quot;00A37760&quot;/&gt;&lt;wsp:rsid wsp:val=&quot;00A37F84&quot;/&gt;&lt;wsp:rsid wsp:val=&quot;00A4007C&quot;/&gt;&lt;wsp:rsid wsp:val=&quot;00A421EF&quot;/&gt;&lt;wsp:rsid wsp:val=&quot;00A423AA&quot;/&gt;&lt;wsp:rsid wsp:val=&quot;00A42696&quot;/&gt;&lt;wsp:rsid wsp:val=&quot;00A43048&quot;/&gt;&lt;wsp:rsid wsp:val=&quot;00A43183&quot;/&gt;&lt;wsp:rsid wsp:val=&quot;00A43340&quot;/&gt;&lt;wsp:rsid wsp:val=&quot;00A4356D&quot;/&gt;&lt;wsp:rsid wsp:val=&quot;00A44685&quot;/&gt;&lt;wsp:rsid wsp:val=&quot;00A45305&quot;/&gt;&lt;wsp:rsid wsp:val=&quot;00A45EF2&quot;/&gt;&lt;wsp:rsid wsp:val=&quot;00A4604C&quot;/&gt;&lt;wsp:rsid wsp:val=&quot;00A4622C&quot;/&gt;&lt;wsp:rsid wsp:val=&quot;00A46803&quot;/&gt;&lt;wsp:rsid wsp:val=&quot;00A46C10&quot;/&gt;&lt;wsp:rsid wsp:val=&quot;00A4795D&quot;/&gt;&lt;wsp:rsid wsp:val=&quot;00A479CB&quot;/&gt;&lt;wsp:rsid wsp:val=&quot;00A509B3&quot;/&gt;&lt;wsp:rsid wsp:val=&quot;00A51037&quot;/&gt;&lt;wsp:rsid wsp:val=&quot;00A515AE&quot;/&gt;&lt;wsp:rsid wsp:val=&quot;00A51C55&quot;/&gt;&lt;wsp:rsid wsp:val=&quot;00A51CEC&quot;/&gt;&lt;wsp:rsid wsp:val=&quot;00A523D7&quot;/&gt;&lt;wsp:rsid wsp:val=&quot;00A52A37&quot;/&gt;&lt;wsp:rsid wsp:val=&quot;00A5327B&quot;/&gt;&lt;wsp:rsid wsp:val=&quot;00A536F1&quot;/&gt;&lt;wsp:rsid wsp:val=&quot;00A53AFD&quot;/&gt;&lt;wsp:rsid wsp:val=&quot;00A53EC6&quot;/&gt;&lt;wsp:rsid wsp:val=&quot;00A53F31&quot;/&gt;&lt;wsp:rsid wsp:val=&quot;00A5505C&quot;/&gt;&lt;wsp:rsid wsp:val=&quot;00A55168&quot;/&gt;&lt;wsp:rsid wsp:val=&quot;00A55571&quot;/&gt;&lt;wsp:rsid wsp:val=&quot;00A555E5&quot;/&gt;&lt;wsp:rsid wsp:val=&quot;00A55C0F&quot;/&gt;&lt;wsp:rsid wsp:val=&quot;00A55FAE&quot;/&gt;&lt;wsp:rsid wsp:val=&quot;00A56207&quot;/&gt;&lt;wsp:rsid wsp:val=&quot;00A5669F&quot;/&gt;&lt;wsp:rsid wsp:val=&quot;00A5692D&quot;/&gt;&lt;wsp:rsid wsp:val=&quot;00A56C88&quot;/&gt;&lt;wsp:rsid wsp:val=&quot;00A5705C&quot;/&gt;&lt;wsp:rsid wsp:val=&quot;00A57181&quot;/&gt;&lt;wsp:rsid wsp:val=&quot;00A57792&quot;/&gt;&lt;wsp:rsid wsp:val=&quot;00A577F4&quot;/&gt;&lt;wsp:rsid wsp:val=&quot;00A60031&quot;/&gt;&lt;wsp:rsid wsp:val=&quot;00A601A2&quot;/&gt;&lt;wsp:rsid wsp:val=&quot;00A601BE&quot;/&gt;&lt;wsp:rsid wsp:val=&quot;00A603EE&quot;/&gt;&lt;wsp:rsid wsp:val=&quot;00A608C4&quot;/&gt;&lt;wsp:rsid wsp:val=&quot;00A61562&quot;/&gt;&lt;wsp:rsid wsp:val=&quot;00A61F69&quot;/&gt;&lt;wsp:rsid wsp:val=&quot;00A622D5&quot;/&gt;&lt;wsp:rsid wsp:val=&quot;00A628C5&quot;/&gt;&lt;wsp:rsid wsp:val=&quot;00A648BC&quot;/&gt;&lt;wsp:rsid wsp:val=&quot;00A649D9&quot;/&gt;&lt;wsp:rsid wsp:val=&quot;00A64DA5&quot;/&gt;&lt;wsp:rsid wsp:val=&quot;00A651F5&quot;/&gt;&lt;wsp:rsid wsp:val=&quot;00A655BE&quot;/&gt;&lt;wsp:rsid wsp:val=&quot;00A6580A&quot;/&gt;&lt;wsp:rsid wsp:val=&quot;00A66198&quot;/&gt;&lt;wsp:rsid wsp:val=&quot;00A66320&quot;/&gt;&lt;wsp:rsid wsp:val=&quot;00A6643F&quot;/&gt;&lt;wsp:rsid wsp:val=&quot;00A66BA1&quot;/&gt;&lt;wsp:rsid wsp:val=&quot;00A67ADC&quot;/&gt;&lt;wsp:rsid wsp:val=&quot;00A67D42&quot;/&gt;&lt;wsp:rsid wsp:val=&quot;00A70BCD&quot;/&gt;&lt;wsp:rsid wsp:val=&quot;00A71863&quot;/&gt;&lt;wsp:rsid wsp:val=&quot;00A7238D&quot;/&gt;&lt;wsp:rsid wsp:val=&quot;00A72946&quot;/&gt;&lt;wsp:rsid wsp:val=&quot;00A7340D&quot;/&gt;&lt;wsp:rsid wsp:val=&quot;00A73449&quot;/&gt;&lt;wsp:rsid wsp:val=&quot;00A73876&quot;/&gt;&lt;wsp:rsid wsp:val=&quot;00A73DB0&quot;/&gt;&lt;wsp:rsid wsp:val=&quot;00A74864&quot;/&gt;&lt;wsp:rsid wsp:val=&quot;00A74E42&quot;/&gt;&lt;wsp:rsid wsp:val=&quot;00A754AC&quot;/&gt;&lt;wsp:rsid wsp:val=&quot;00A758E5&quot;/&gt;&lt;wsp:rsid wsp:val=&quot;00A75F40&quot;/&gt;&lt;wsp:rsid wsp:val=&quot;00A76D20&quot;/&gt;&lt;wsp:rsid wsp:val=&quot;00A770E4&quot;/&gt;&lt;wsp:rsid wsp:val=&quot;00A7722D&quot;/&gt;&lt;wsp:rsid wsp:val=&quot;00A7729C&quot;/&gt;&lt;wsp:rsid wsp:val=&quot;00A77431&quot;/&gt;&lt;wsp:rsid wsp:val=&quot;00A774DF&quot;/&gt;&lt;wsp:rsid wsp:val=&quot;00A7795B&quot;/&gt;&lt;wsp:rsid wsp:val=&quot;00A80058&quot;/&gt;&lt;wsp:rsid wsp:val=&quot;00A8019A&quot;/&gt;&lt;wsp:rsid wsp:val=&quot;00A8099B&quot;/&gt;&lt;wsp:rsid wsp:val=&quot;00A81C86&quot;/&gt;&lt;wsp:rsid wsp:val=&quot;00A82332&quot;/&gt;&lt;wsp:rsid wsp:val=&quot;00A82D87&quot;/&gt;&lt;wsp:rsid wsp:val=&quot;00A832A8&quot;/&gt;&lt;wsp:rsid wsp:val=&quot;00A83D47&quot;/&gt;&lt;wsp:rsid wsp:val=&quot;00A8450F&quot;/&gt;&lt;wsp:rsid wsp:val=&quot;00A84925&quot;/&gt;&lt;wsp:rsid wsp:val=&quot;00A85E94&quot;/&gt;&lt;wsp:rsid wsp:val=&quot;00A85EC5&quot;/&gt;&lt;wsp:rsid wsp:val=&quot;00A86803&quot;/&gt;&lt;wsp:rsid wsp:val=&quot;00A86A08&quot;/&gt;&lt;wsp:rsid wsp:val=&quot;00A87000&quot;/&gt;&lt;wsp:rsid wsp:val=&quot;00A8713F&quot;/&gt;&lt;wsp:rsid wsp:val=&quot;00A873A5&quot;/&gt;&lt;wsp:rsid wsp:val=&quot;00A87A58&quot;/&gt;&lt;wsp:rsid wsp:val=&quot;00A902D8&quot;/&gt;&lt;wsp:rsid wsp:val=&quot;00A90559&quot;/&gt;&lt;wsp:rsid wsp:val=&quot;00A90BA1&quot;/&gt;&lt;wsp:rsid wsp:val=&quot;00A90BFA&quot;/&gt;&lt;wsp:rsid wsp:val=&quot;00A90D86&quot;/&gt;&lt;wsp:rsid wsp:val=&quot;00A93075&quot;/&gt;&lt;wsp:rsid wsp:val=&quot;00A930E7&quot;/&gt;&lt;wsp:rsid wsp:val=&quot;00A9334F&quot;/&gt;&lt;wsp:rsid wsp:val=&quot;00A93A90&quot;/&gt;&lt;wsp:rsid wsp:val=&quot;00A93BFE&quot;/&gt;&lt;wsp:rsid wsp:val=&quot;00A94750&quot;/&gt;&lt;wsp:rsid wsp:val=&quot;00A94F9A&quot;/&gt;&lt;wsp:rsid wsp:val=&quot;00A955B9&quot;/&gt;&lt;wsp:rsid wsp:val=&quot;00A95DF9&quot;/&gt;&lt;wsp:rsid wsp:val=&quot;00A95E3D&quot;/&gt;&lt;wsp:rsid wsp:val=&quot;00A960DD&quot;/&gt;&lt;wsp:rsid wsp:val=&quot;00A969FB&quot;/&gt;&lt;wsp:rsid wsp:val=&quot;00A9758F&quot;/&gt;&lt;wsp:rsid wsp:val=&quot;00A978C5&quot;/&gt;&lt;wsp:rsid wsp:val=&quot;00A97A9A&quot;/&gt;&lt;wsp:rsid wsp:val=&quot;00AA0671&quot;/&gt;&lt;wsp:rsid wsp:val=&quot;00AA0AA2&quot;/&gt;&lt;wsp:rsid wsp:val=&quot;00AA0B6D&quot;/&gt;&lt;wsp:rsid wsp:val=&quot;00AA0DF9&quot;/&gt;&lt;wsp:rsid wsp:val=&quot;00AA10F8&quot;/&gt;&lt;wsp:rsid wsp:val=&quot;00AA2531&quot;/&gt;&lt;wsp:rsid wsp:val=&quot;00AA3014&quot;/&gt;&lt;wsp:rsid wsp:val=&quot;00AA3112&quot;/&gt;&lt;wsp:rsid wsp:val=&quot;00AA36F8&quot;/&gt;&lt;wsp:rsid wsp:val=&quot;00AA399D&quot;/&gt;&lt;wsp:rsid wsp:val=&quot;00AA4AEB&quot;/&gt;&lt;wsp:rsid wsp:val=&quot;00AA5087&quot;/&gt;&lt;wsp:rsid wsp:val=&quot;00AA575F&quot;/&gt;&lt;wsp:rsid wsp:val=&quot;00AA5A01&quot;/&gt;&lt;wsp:rsid wsp:val=&quot;00AA5BEE&quot;/&gt;&lt;wsp:rsid wsp:val=&quot;00AA5E95&quot;/&gt;&lt;wsp:rsid wsp:val=&quot;00AA5F02&quot;/&gt;&lt;wsp:rsid wsp:val=&quot;00AA62C2&quot;/&gt;&lt;wsp:rsid wsp:val=&quot;00AB186E&quot;/&gt;&lt;wsp:rsid wsp:val=&quot;00AB196C&quot;/&gt;&lt;wsp:rsid wsp:val=&quot;00AB1E09&quot;/&gt;&lt;wsp:rsid wsp:val=&quot;00AB2F9A&quot;/&gt;&lt;wsp:rsid wsp:val=&quot;00AB3A78&quot;/&gt;&lt;wsp:rsid wsp:val=&quot;00AB408B&quot;/&gt;&lt;wsp:rsid wsp:val=&quot;00AB4C09&quot;/&gt;&lt;wsp:rsid wsp:val=&quot;00AB4D90&quot;/&gt;&lt;wsp:rsid wsp:val=&quot;00AB5294&quot;/&gt;&lt;wsp:rsid wsp:val=&quot;00AB5330&quot;/&gt;&lt;wsp:rsid wsp:val=&quot;00AB5590&quot;/&gt;&lt;wsp:rsid wsp:val=&quot;00AB5EEF&quot;/&gt;&lt;wsp:rsid wsp:val=&quot;00AB6588&quot;/&gt;&lt;wsp:rsid wsp:val=&quot;00AB6818&quot;/&gt;&lt;wsp:rsid wsp:val=&quot;00AB6E7C&quot;/&gt;&lt;wsp:rsid wsp:val=&quot;00AB7073&quot;/&gt;&lt;wsp:rsid wsp:val=&quot;00AB7747&quot;/&gt;&lt;wsp:rsid wsp:val=&quot;00AC05B9&quot;/&gt;&lt;wsp:rsid wsp:val=&quot;00AC096F&quot;/&gt;&lt;wsp:rsid wsp:val=&quot;00AC0ED1&quot;/&gt;&lt;wsp:rsid wsp:val=&quot;00AC144C&quot;/&gt;&lt;wsp:rsid wsp:val=&quot;00AC14CE&quot;/&gt;&lt;wsp:rsid wsp:val=&quot;00AC161B&quot;/&gt;&lt;wsp:rsid wsp:val=&quot;00AC1CD5&quot;/&gt;&lt;wsp:rsid wsp:val=&quot;00AC206A&quot;/&gt;&lt;wsp:rsid wsp:val=&quot;00AC2237&quot;/&gt;&lt;wsp:rsid wsp:val=&quot;00AC2626&quot;/&gt;&lt;wsp:rsid wsp:val=&quot;00AC2A56&quot;/&gt;&lt;wsp:rsid wsp:val=&quot;00AC2A94&quot;/&gt;&lt;wsp:rsid wsp:val=&quot;00AC2EA1&quot;/&gt;&lt;wsp:rsid wsp:val=&quot;00AC32EB&quot;/&gt;&lt;wsp:rsid wsp:val=&quot;00AC37EA&quot;/&gt;&lt;wsp:rsid wsp:val=&quot;00AC3E1F&quot;/&gt;&lt;wsp:rsid wsp:val=&quot;00AC3EF5&quot;/&gt;&lt;wsp:rsid wsp:val=&quot;00AC442D&quot;/&gt;&lt;wsp:rsid wsp:val=&quot;00AC46E0&quot;/&gt;&lt;wsp:rsid wsp:val=&quot;00AC48A9&quot;/&gt;&lt;wsp:rsid wsp:val=&quot;00AC49F7&quot;/&gt;&lt;wsp:rsid wsp:val=&quot;00AC4DC6&quot;/&gt;&lt;wsp:rsid wsp:val=&quot;00AC4F18&quot;/&gt;&lt;wsp:rsid wsp:val=&quot;00AC50B8&quot;/&gt;&lt;wsp:rsid wsp:val=&quot;00AC5295&quot;/&gt;&lt;wsp:rsid wsp:val=&quot;00AC53E7&quot;/&gt;&lt;wsp:rsid wsp:val=&quot;00AC58F1&quot;/&gt;&lt;wsp:rsid wsp:val=&quot;00AC758D&quot;/&gt;&lt;wsp:rsid wsp:val=&quot;00AC78C8&quot;/&gt;&lt;wsp:rsid wsp:val=&quot;00AD0277&quot;/&gt;&lt;wsp:rsid wsp:val=&quot;00AD055E&quot;/&gt;&lt;wsp:rsid wsp:val=&quot;00AD0BDA&quot;/&gt;&lt;wsp:rsid wsp:val=&quot;00AD0E72&quot;/&gt;&lt;wsp:rsid wsp:val=&quot;00AD1002&quot;/&gt;&lt;wsp:rsid wsp:val=&quot;00AD13C8&quot;/&gt;&lt;wsp:rsid wsp:val=&quot;00AD18BC&quot;/&gt;&lt;wsp:rsid wsp:val=&quot;00AD1908&quot;/&gt;&lt;wsp:rsid wsp:val=&quot;00AD1F68&quot;/&gt;&lt;wsp:rsid wsp:val=&quot;00AD2132&quot;/&gt;&lt;wsp:rsid wsp:val=&quot;00AD2285&quot;/&gt;&lt;wsp:rsid wsp:val=&quot;00AD29ED&quot;/&gt;&lt;wsp:rsid wsp:val=&quot;00AD303B&quot;/&gt;&lt;wsp:rsid wsp:val=&quot;00AD31FB&quot;/&gt;&lt;wsp:rsid wsp:val=&quot;00AD32B9&quot;/&gt;&lt;wsp:rsid wsp:val=&quot;00AD3647&quot;/&gt;&lt;wsp:rsid wsp:val=&quot;00AD36EB&quot;/&gt;&lt;wsp:rsid wsp:val=&quot;00AD3826&quot;/&gt;&lt;wsp:rsid wsp:val=&quot;00AD47A7&quot;/&gt;&lt;wsp:rsid wsp:val=&quot;00AD4B35&quot;/&gt;&lt;wsp:rsid wsp:val=&quot;00AD596C&quot;/&gt;&lt;wsp:rsid wsp:val=&quot;00AD5CB1&quot;/&gt;&lt;wsp:rsid wsp:val=&quot;00AD6917&quot;/&gt;&lt;wsp:rsid wsp:val=&quot;00AD6AF9&quot;/&gt;&lt;wsp:rsid wsp:val=&quot;00AD6CE5&quot;/&gt;&lt;wsp:rsid wsp:val=&quot;00AD7078&quot;/&gt;&lt;wsp:rsid wsp:val=&quot;00AD7565&quot;/&gt;&lt;wsp:rsid wsp:val=&quot;00AD7638&quot;/&gt;&lt;wsp:rsid wsp:val=&quot;00AD7E34&quot;/&gt;&lt;wsp:rsid wsp:val=&quot;00AD7EF8&quot;/&gt;&lt;wsp:rsid wsp:val=&quot;00AE0E44&quot;/&gt;&lt;wsp:rsid wsp:val=&quot;00AE11F9&quot;/&gt;&lt;wsp:rsid wsp:val=&quot;00AE1284&quot;/&gt;&lt;wsp:rsid wsp:val=&quot;00AE2577&quot;/&gt;&lt;wsp:rsid wsp:val=&quot;00AE2919&quot;/&gt;&lt;wsp:rsid wsp:val=&quot;00AE4037&quot;/&gt;&lt;wsp:rsid wsp:val=&quot;00AE40F5&quot;/&gt;&lt;wsp:rsid wsp:val=&quot;00AE4568&quot;/&gt;&lt;wsp:rsid wsp:val=&quot;00AE4E10&quot;/&gt;&lt;wsp:rsid wsp:val=&quot;00AE4F9C&quot;/&gt;&lt;wsp:rsid wsp:val=&quot;00AE5042&quot;/&gt;&lt;wsp:rsid wsp:val=&quot;00AE54E2&quot;/&gt;&lt;wsp:rsid wsp:val=&quot;00AE5701&quot;/&gt;&lt;wsp:rsid wsp:val=&quot;00AE5A62&quot;/&gt;&lt;wsp:rsid wsp:val=&quot;00AE5E60&quot;/&gt;&lt;wsp:rsid wsp:val=&quot;00AE625F&quot;/&gt;&lt;wsp:rsid wsp:val=&quot;00AE7947&quot;/&gt;&lt;wsp:rsid wsp:val=&quot;00AE7A15&quot;/&gt;&lt;wsp:rsid wsp:val=&quot;00AE7ECD&quot;/&gt;&lt;wsp:rsid wsp:val=&quot;00AF0CBF&quot;/&gt;&lt;wsp:rsid wsp:val=&quot;00AF0FFA&quot;/&gt;&lt;wsp:rsid wsp:val=&quot;00AF100B&quot;/&gt;&lt;wsp:rsid wsp:val=&quot;00AF14E8&quot;/&gt;&lt;wsp:rsid wsp:val=&quot;00AF16CA&quot;/&gt;&lt;wsp:rsid wsp:val=&quot;00AF2085&quot;/&gt;&lt;wsp:rsid wsp:val=&quot;00AF217A&quot;/&gt;&lt;wsp:rsid wsp:val=&quot;00AF2547&quot;/&gt;&lt;wsp:rsid wsp:val=&quot;00AF257F&quot;/&gt;&lt;wsp:rsid wsp:val=&quot;00AF3136&quot;/&gt;&lt;wsp:rsid wsp:val=&quot;00AF32B4&quot;/&gt;&lt;wsp:rsid wsp:val=&quot;00AF33CF&quot;/&gt;&lt;wsp:rsid wsp:val=&quot;00AF377C&quot;/&gt;&lt;wsp:rsid wsp:val=&quot;00AF3B84&quot;/&gt;&lt;wsp:rsid wsp:val=&quot;00AF4364&quot;/&gt;&lt;wsp:rsid wsp:val=&quot;00AF477A&quot;/&gt;&lt;wsp:rsid wsp:val=&quot;00AF4953&quot;/&gt;&lt;wsp:rsid wsp:val=&quot;00AF4D50&quot;/&gt;&lt;wsp:rsid wsp:val=&quot;00AF5274&quot;/&gt;&lt;wsp:rsid wsp:val=&quot;00AF5ABD&quot;/&gt;&lt;wsp:rsid wsp:val=&quot;00AF6179&quot;/&gt;&lt;wsp:rsid wsp:val=&quot;00AF6DAD&quot;/&gt;&lt;wsp:rsid wsp:val=&quot;00AF70BA&quot;/&gt;&lt;wsp:rsid wsp:val=&quot;00AF756D&quot;/&gt;&lt;wsp:rsid wsp:val=&quot;00AF7599&quot;/&gt;&lt;wsp:rsid wsp:val=&quot;00AF7B55&quot;/&gt;&lt;wsp:rsid wsp:val=&quot;00B00A64&quot;/&gt;&lt;wsp:rsid wsp:val=&quot;00B00B93&quot;/&gt;&lt;wsp:rsid wsp:val=&quot;00B00D9C&quot;/&gt;&lt;wsp:rsid wsp:val=&quot;00B019DF&quot;/&gt;&lt;wsp:rsid wsp:val=&quot;00B01E45&quot;/&gt;&lt;wsp:rsid wsp:val=&quot;00B01EBA&quot;/&gt;&lt;wsp:rsid wsp:val=&quot;00B02CB0&quot;/&gt;&lt;wsp:rsid wsp:val=&quot;00B036D0&quot;/&gt;&lt;wsp:rsid wsp:val=&quot;00B03818&quot;/&gt;&lt;wsp:rsid wsp:val=&quot;00B03832&quot;/&gt;&lt;wsp:rsid wsp:val=&quot;00B03C79&quot;/&gt;&lt;wsp:rsid wsp:val=&quot;00B03DC2&quot;/&gt;&lt;wsp:rsid wsp:val=&quot;00B044C4&quot;/&gt;&lt;wsp:rsid wsp:val=&quot;00B04E90&quot;/&gt;&lt;wsp:rsid wsp:val=&quot;00B055D9&quot;/&gt;&lt;wsp:rsid wsp:val=&quot;00B05DE6&quot;/&gt;&lt;wsp:rsid wsp:val=&quot;00B05E37&quot;/&gt;&lt;wsp:rsid wsp:val=&quot;00B0636E&quot;/&gt;&lt;wsp:rsid wsp:val=&quot;00B06C8C&quot;/&gt;&lt;wsp:rsid wsp:val=&quot;00B07076&quot;/&gt;&lt;wsp:rsid wsp:val=&quot;00B071AD&quot;/&gt;&lt;wsp:rsid wsp:val=&quot;00B0722D&quot;/&gt;&lt;wsp:rsid wsp:val=&quot;00B0794F&quot;/&gt;&lt;wsp:rsid wsp:val=&quot;00B10075&quot;/&gt;&lt;wsp:rsid wsp:val=&quot;00B109A7&quot;/&gt;&lt;wsp:rsid wsp:val=&quot;00B10BC3&quot;/&gt;&lt;wsp:rsid wsp:val=&quot;00B10F04&quot;/&gt;&lt;wsp:rsid wsp:val=&quot;00B11049&quot;/&gt;&lt;wsp:rsid wsp:val=&quot;00B11958&quot;/&gt;&lt;wsp:rsid wsp:val=&quot;00B11E73&quot;/&gt;&lt;wsp:rsid wsp:val=&quot;00B121D8&quot;/&gt;&lt;wsp:rsid wsp:val=&quot;00B12457&quot;/&gt;&lt;wsp:rsid wsp:val=&quot;00B1295A&quot;/&gt;&lt;wsp:rsid wsp:val=&quot;00B12C09&quot;/&gt;&lt;wsp:rsid wsp:val=&quot;00B12ED2&quot;/&gt;&lt;wsp:rsid wsp:val=&quot;00B12FED&quot;/&gt;&lt;wsp:rsid wsp:val=&quot;00B1345D&quot;/&gt;&lt;wsp:rsid wsp:val=&quot;00B134FE&quot;/&gt;&lt;wsp:rsid wsp:val=&quot;00B14102&quot;/&gt;&lt;wsp:rsid wsp:val=&quot;00B148B2&quot;/&gt;&lt;wsp:rsid wsp:val=&quot;00B152AE&quot;/&gt;&lt;wsp:rsid wsp:val=&quot;00B152DA&quot;/&gt;&lt;wsp:rsid wsp:val=&quot;00B15402&quot;/&gt;&lt;wsp:rsid wsp:val=&quot;00B15733&quot;/&gt;&lt;wsp:rsid wsp:val=&quot;00B16C47&quot;/&gt;&lt;wsp:rsid wsp:val=&quot;00B16DFB&quot;/&gt;&lt;wsp:rsid wsp:val=&quot;00B16E77&quot;/&gt;&lt;wsp:rsid wsp:val=&quot;00B17304&quot;/&gt;&lt;wsp:rsid wsp:val=&quot;00B1775F&quot;/&gt;&lt;wsp:rsid wsp:val=&quot;00B17BF0&quot;/&gt;&lt;wsp:rsid wsp:val=&quot;00B201DB&quot;/&gt;&lt;wsp:rsid wsp:val=&quot;00B2024C&quot;/&gt;&lt;wsp:rsid wsp:val=&quot;00B20A45&quot;/&gt;&lt;wsp:rsid wsp:val=&quot;00B2137E&quot;/&gt;&lt;wsp:rsid wsp:val=&quot;00B21C9A&quot;/&gt;&lt;wsp:rsid wsp:val=&quot;00B22081&quot;/&gt;&lt;wsp:rsid wsp:val=&quot;00B22917&quot;/&gt;&lt;wsp:rsid wsp:val=&quot;00B22A50&quot;/&gt;&lt;wsp:rsid wsp:val=&quot;00B22C5C&quot;/&gt;&lt;wsp:rsid wsp:val=&quot;00B231F8&quot;/&gt;&lt;wsp:rsid wsp:val=&quot;00B233DA&quot;/&gt;&lt;wsp:rsid wsp:val=&quot;00B23874&quot;/&gt;&lt;wsp:rsid wsp:val=&quot;00B2400F&quot;/&gt;&lt;wsp:rsid wsp:val=&quot;00B247F3&quot;/&gt;&lt;wsp:rsid wsp:val=&quot;00B24AA0&quot;/&gt;&lt;wsp:rsid wsp:val=&quot;00B24D16&quot;/&gt;&lt;wsp:rsid wsp:val=&quot;00B24DE8&quot;/&gt;&lt;wsp:rsid wsp:val=&quot;00B24E7D&quot;/&gt;&lt;wsp:rsid wsp:val=&quot;00B24F30&quot;/&gt;&lt;wsp:rsid wsp:val=&quot;00B260AA&quot;/&gt;&lt;wsp:rsid wsp:val=&quot;00B26501&quot;/&gt;&lt;wsp:rsid wsp:val=&quot;00B265E5&quot;/&gt;&lt;wsp:rsid wsp:val=&quot;00B26616&quot;/&gt;&lt;wsp:rsid wsp:val=&quot;00B27AA8&quot;/&gt;&lt;wsp:rsid wsp:val=&quot;00B30D79&quot;/&gt;&lt;wsp:rsid wsp:val=&quot;00B31ABF&quot;/&gt;&lt;wsp:rsid wsp:val=&quot;00B3218D&quot;/&gt;&lt;wsp:rsid wsp:val=&quot;00B32489&quot;/&gt;&lt;wsp:rsid wsp:val=&quot;00B328C3&quot;/&gt;&lt;wsp:rsid wsp:val=&quot;00B32AC9&quot;/&gt;&lt;wsp:rsid wsp:val=&quot;00B33BE3&quot;/&gt;&lt;wsp:rsid wsp:val=&quot;00B35223&quot;/&gt;&lt;wsp:rsid wsp:val=&quot;00B3535F&quot;/&gt;&lt;wsp:rsid wsp:val=&quot;00B35471&quot;/&gt;&lt;wsp:rsid wsp:val=&quot;00B357AC&quot;/&gt;&lt;wsp:rsid wsp:val=&quot;00B35870&quot;/&gt;&lt;wsp:rsid wsp:val=&quot;00B35B70&quot;/&gt;&lt;wsp:rsid wsp:val=&quot;00B35B87&quot;/&gt;&lt;wsp:rsid wsp:val=&quot;00B36D71&quot;/&gt;&lt;wsp:rsid wsp:val=&quot;00B371C9&quot;/&gt;&lt;wsp:rsid wsp:val=&quot;00B37BAF&quot;/&gt;&lt;wsp:rsid wsp:val=&quot;00B40034&quot;/&gt;&lt;wsp:rsid wsp:val=&quot;00B40815&quot;/&gt;&lt;wsp:rsid wsp:val=&quot;00B4095F&quot;/&gt;&lt;wsp:rsid wsp:val=&quot;00B41096&quot;/&gt;&lt;wsp:rsid wsp:val=&quot;00B4119C&quot;/&gt;&lt;wsp:rsid wsp:val=&quot;00B41EA6&quot;/&gt;&lt;wsp:rsid wsp:val=&quot;00B42543&quot;/&gt;&lt;wsp:rsid wsp:val=&quot;00B43228&quot;/&gt;&lt;wsp:rsid wsp:val=&quot;00B436D0&quot;/&gt;&lt;wsp:rsid wsp:val=&quot;00B440D1&quot;/&gt;&lt;wsp:rsid wsp:val=&quot;00B456CD&quot;/&gt;&lt;wsp:rsid wsp:val=&quot;00B46061&quot;/&gt;&lt;wsp:rsid wsp:val=&quot;00B469F4&quot;/&gt;&lt;wsp:rsid wsp:val=&quot;00B46A34&quot;/&gt;&lt;wsp:rsid wsp:val=&quot;00B46EDB&quot;/&gt;&lt;wsp:rsid wsp:val=&quot;00B47D13&quot;/&gt;&lt;wsp:rsid wsp:val=&quot;00B47DA7&quot;/&gt;&lt;wsp:rsid wsp:val=&quot;00B50861&quot;/&gt;&lt;wsp:rsid wsp:val=&quot;00B50951&quot;/&gt;&lt;wsp:rsid wsp:val=&quot;00B50B58&quot;/&gt;&lt;wsp:rsid wsp:val=&quot;00B520EE&quot;/&gt;&lt;wsp:rsid wsp:val=&quot;00B52221&quot;/&gt;&lt;wsp:rsid wsp:val=&quot;00B52347&quot;/&gt;&lt;wsp:rsid wsp:val=&quot;00B52672&quot;/&gt;&lt;wsp:rsid wsp:val=&quot;00B52D6E&quot;/&gt;&lt;wsp:rsid wsp:val=&quot;00B5318C&quot;/&gt;&lt;wsp:rsid wsp:val=&quot;00B53763&quot;/&gt;&lt;wsp:rsid wsp:val=&quot;00B53B5D&quot;/&gt;&lt;wsp:rsid wsp:val=&quot;00B53EC7&quot;/&gt;&lt;wsp:rsid wsp:val=&quot;00B55DBC&quot;/&gt;&lt;wsp:rsid wsp:val=&quot;00B56EFA&quot;/&gt;&lt;wsp:rsid wsp:val=&quot;00B57506&quot;/&gt;&lt;wsp:rsid wsp:val=&quot;00B5762E&quot;/&gt;&lt;wsp:rsid wsp:val=&quot;00B6055E&quot;/&gt;&lt;wsp:rsid wsp:val=&quot;00B61103&quot;/&gt;&lt;wsp:rsid wsp:val=&quot;00B61475&quot;/&gt;&lt;wsp:rsid wsp:val=&quot;00B625A3&quot;/&gt;&lt;wsp:rsid wsp:val=&quot;00B62AFA&quot;/&gt;&lt;wsp:rsid wsp:val=&quot;00B62F14&quot;/&gt;&lt;wsp:rsid wsp:val=&quot;00B6317D&quot;/&gt;&lt;wsp:rsid wsp:val=&quot;00B64335&quot;/&gt;&lt;wsp:rsid wsp:val=&quot;00B64511&quot;/&gt;&lt;wsp:rsid wsp:val=&quot;00B64744&quot;/&gt;&lt;wsp:rsid wsp:val=&quot;00B64E1A&quot;/&gt;&lt;wsp:rsid wsp:val=&quot;00B65543&quot;/&gt;&lt;wsp:rsid wsp:val=&quot;00B65691&quot;/&gt;&lt;wsp:rsid wsp:val=&quot;00B65725&quot;/&gt;&lt;wsp:rsid wsp:val=&quot;00B66F5A&quot;/&gt;&lt;wsp:rsid wsp:val=&quot;00B672C7&quot;/&gt;&lt;wsp:rsid wsp:val=&quot;00B67B7E&quot;/&gt;&lt;wsp:rsid wsp:val=&quot;00B67BBD&quot;/&gt;&lt;wsp:rsid wsp:val=&quot;00B703E6&quot;/&gt;&lt;wsp:rsid wsp:val=&quot;00B70F71&quot;/&gt;&lt;wsp:rsid wsp:val=&quot;00B7130A&quot;/&gt;&lt;wsp:rsid wsp:val=&quot;00B71445&quot;/&gt;&lt;wsp:rsid wsp:val=&quot;00B715B3&quot;/&gt;&lt;wsp:rsid wsp:val=&quot;00B719B8&quot;/&gt;&lt;wsp:rsid wsp:val=&quot;00B726CB&quot;/&gt;&lt;wsp:rsid wsp:val=&quot;00B73026&quot;/&gt;&lt;wsp:rsid wsp:val=&quot;00B74691&quot;/&gt;&lt;wsp:rsid wsp:val=&quot;00B74AE8&quot;/&gt;&lt;wsp:rsid wsp:val=&quot;00B74B41&quot;/&gt;&lt;wsp:rsid wsp:val=&quot;00B74CA3&quot;/&gt;&lt;wsp:rsid wsp:val=&quot;00B74ED4&quot;/&gt;&lt;wsp:rsid wsp:val=&quot;00B75125&quot;/&gt;&lt;wsp:rsid wsp:val=&quot;00B75794&quot;/&gt;&lt;wsp:rsid wsp:val=&quot;00B7589E&quot;/&gt;&lt;wsp:rsid wsp:val=&quot;00B75953&quot;/&gt;&lt;wsp:rsid wsp:val=&quot;00B75FB0&quot;/&gt;&lt;wsp:rsid wsp:val=&quot;00B760DE&quot;/&gt;&lt;wsp:rsid wsp:val=&quot;00B7646E&quot;/&gt;&lt;wsp:rsid wsp:val=&quot;00B76779&quot;/&gt;&lt;wsp:rsid wsp:val=&quot;00B76967&quot;/&gt;&lt;wsp:rsid wsp:val=&quot;00B7723F&quot;/&gt;&lt;wsp:rsid wsp:val=&quot;00B77CBF&quot;/&gt;&lt;wsp:rsid wsp:val=&quot;00B77D0C&quot;/&gt;&lt;wsp:rsid wsp:val=&quot;00B80534&quot;/&gt;&lt;wsp:rsid wsp:val=&quot;00B80A53&quot;/&gt;&lt;wsp:rsid wsp:val=&quot;00B80A84&quot;/&gt;&lt;wsp:rsid wsp:val=&quot;00B80CC8&quot;/&gt;&lt;wsp:rsid wsp:val=&quot;00B80CFD&quot;/&gt;&lt;wsp:rsid wsp:val=&quot;00B80E1F&quot;/&gt;&lt;wsp:rsid wsp:val=&quot;00B80FDB&quot;/&gt;&lt;wsp:rsid wsp:val=&quot;00B81959&quot;/&gt;&lt;wsp:rsid wsp:val=&quot;00B81E56&quot;/&gt;&lt;wsp:rsid wsp:val=&quot;00B8253E&quot;/&gt;&lt;wsp:rsid wsp:val=&quot;00B82949&quot;/&gt;&lt;wsp:rsid wsp:val=&quot;00B83109&quot;/&gt;&lt;wsp:rsid wsp:val=&quot;00B8433C&quot;/&gt;&lt;wsp:rsid wsp:val=&quot;00B84660&quot;/&gt;&lt;wsp:rsid wsp:val=&quot;00B861FC&quot;/&gt;&lt;wsp:rsid wsp:val=&quot;00B8626B&quot;/&gt;&lt;wsp:rsid wsp:val=&quot;00B866F1&quot;/&gt;&lt;wsp:rsid wsp:val=&quot;00B86E4B&quot;/&gt;&lt;wsp:rsid wsp:val=&quot;00B87491&quot;/&gt;&lt;wsp:rsid wsp:val=&quot;00B876C6&quot;/&gt;&lt;wsp:rsid wsp:val=&quot;00B877C1&quot;/&gt;&lt;wsp:rsid wsp:val=&quot;00B87986&quot;/&gt;&lt;wsp:rsid wsp:val=&quot;00B87ECE&quot;/&gt;&lt;wsp:rsid wsp:val=&quot;00B9004A&quot;/&gt;&lt;wsp:rsid wsp:val=&quot;00B90873&quot;/&gt;&lt;wsp:rsid wsp:val=&quot;00B90CE3&quot;/&gt;&lt;wsp:rsid wsp:val=&quot;00B919A3&quot;/&gt;&lt;wsp:rsid wsp:val=&quot;00B925A1&quot;/&gt;&lt;wsp:rsid wsp:val=&quot;00B927B6&quot;/&gt;&lt;wsp:rsid wsp:val=&quot;00B9298A&quot;/&gt;&lt;wsp:rsid wsp:val=&quot;00B92A71&quot;/&gt;&lt;wsp:rsid wsp:val=&quot;00B92B55&quot;/&gt;&lt;wsp:rsid wsp:val=&quot;00B9340B&quot;/&gt;&lt;wsp:rsid wsp:val=&quot;00B93729&quot;/&gt;&lt;wsp:rsid wsp:val=&quot;00B9419F&quot;/&gt;&lt;wsp:rsid wsp:val=&quot;00B9447E&quot;/&gt;&lt;wsp:rsid wsp:val=&quot;00B95B13&quot;/&gt;&lt;wsp:rsid wsp:val=&quot;00B969A8&quot;/&gt;&lt;wsp:rsid wsp:val=&quot;00B96A4B&quot;/&gt;&lt;wsp:rsid wsp:val=&quot;00B97269&quot;/&gt;&lt;wsp:rsid wsp:val=&quot;00BA0CE6&quot;/&gt;&lt;wsp:rsid wsp:val=&quot;00BA0DA4&quot;/&gt;&lt;wsp:rsid wsp:val=&quot;00BA1A59&quot;/&gt;&lt;wsp:rsid wsp:val=&quot;00BA23DA&quot;/&gt;&lt;wsp:rsid wsp:val=&quot;00BA2845&quot;/&gt;&lt;wsp:rsid wsp:val=&quot;00BA286C&quot;/&gt;&lt;wsp:rsid wsp:val=&quot;00BA29E9&quot;/&gt;&lt;wsp:rsid wsp:val=&quot;00BA2B0C&quot;/&gt;&lt;wsp:rsid wsp:val=&quot;00BA2CFA&quot;/&gt;&lt;wsp:rsid wsp:val=&quot;00BA2E72&quot;/&gt;&lt;wsp:rsid wsp:val=&quot;00BA3F95&quot;/&gt;&lt;wsp:rsid wsp:val=&quot;00BA459F&quot;/&gt;&lt;wsp:rsid wsp:val=&quot;00BA45AD&quot;/&gt;&lt;wsp:rsid wsp:val=&quot;00BA4E83&quot;/&gt;&lt;wsp:rsid wsp:val=&quot;00BA52FB&quot;/&gt;&lt;wsp:rsid wsp:val=&quot;00BA5907&quot;/&gt;&lt;wsp:rsid wsp:val=&quot;00BA5BA0&quot;/&gt;&lt;wsp:rsid wsp:val=&quot;00BA62C0&quot;/&gt;&lt;wsp:rsid wsp:val=&quot;00BA6728&quot;/&gt;&lt;wsp:rsid wsp:val=&quot;00BA6A07&quot;/&gt;&lt;wsp:rsid wsp:val=&quot;00BA6B5F&quot;/&gt;&lt;wsp:rsid wsp:val=&quot;00BA6F03&quot;/&gt;&lt;wsp:rsid wsp:val=&quot;00BA70B0&quot;/&gt;&lt;wsp:rsid wsp:val=&quot;00BA7142&quot;/&gt;&lt;wsp:rsid wsp:val=&quot;00BA780A&quot;/&gt;&lt;wsp:rsid wsp:val=&quot;00BA7B71&quot;/&gt;&lt;wsp:rsid wsp:val=&quot;00BA7CCD&quot;/&gt;&lt;wsp:rsid wsp:val=&quot;00BB0443&quot;/&gt;&lt;wsp:rsid wsp:val=&quot;00BB11AE&quot;/&gt;&lt;wsp:rsid wsp:val=&quot;00BB168C&quot;/&gt;&lt;wsp:rsid wsp:val=&quot;00BB170E&quot;/&gt;&lt;wsp:rsid wsp:val=&quot;00BB237C&quot;/&gt;&lt;wsp:rsid wsp:val=&quot;00BB2793&quot;/&gt;&lt;wsp:rsid wsp:val=&quot;00BB27A0&quot;/&gt;&lt;wsp:rsid wsp:val=&quot;00BB3421&quot;/&gt;&lt;wsp:rsid wsp:val=&quot;00BB37A6&quot;/&gt;&lt;wsp:rsid wsp:val=&quot;00BB40BE&quot;/&gt;&lt;wsp:rsid wsp:val=&quot;00BB41A3&quot;/&gt;&lt;wsp:rsid wsp:val=&quot;00BB4713&quot;/&gt;&lt;wsp:rsid wsp:val=&quot;00BB4A74&quot;/&gt;&lt;wsp:rsid wsp:val=&quot;00BB5286&quot;/&gt;&lt;wsp:rsid wsp:val=&quot;00BB5B7C&quot;/&gt;&lt;wsp:rsid wsp:val=&quot;00BB5C60&quot;/&gt;&lt;wsp:rsid wsp:val=&quot;00BB6F77&quot;/&gt;&lt;wsp:rsid wsp:val=&quot;00BB79D9&quot;/&gt;&lt;wsp:rsid wsp:val=&quot;00BB7C6D&quot;/&gt;&lt;wsp:rsid wsp:val=&quot;00BB7C79&quot;/&gt;&lt;wsp:rsid wsp:val=&quot;00BC0002&quot;/&gt;&lt;wsp:rsid wsp:val=&quot;00BC0280&quot;/&gt;&lt;wsp:rsid wsp:val=&quot;00BC0315&quot;/&gt;&lt;wsp:rsid wsp:val=&quot;00BC16B1&quot;/&gt;&lt;wsp:rsid wsp:val=&quot;00BC2CC8&quot;/&gt;&lt;wsp:rsid wsp:val=&quot;00BC31F1&quot;/&gt;&lt;wsp:rsid wsp:val=&quot;00BC32DC&quot;/&gt;&lt;wsp:rsid wsp:val=&quot;00BC35B6&quot;/&gt;&lt;wsp:rsid wsp:val=&quot;00BC36AD&quot;/&gt;&lt;wsp:rsid wsp:val=&quot;00BC3833&quot;/&gt;&lt;wsp:rsid wsp:val=&quot;00BC42EF&quot;/&gt;&lt;wsp:rsid wsp:val=&quot;00BC6607&quot;/&gt;&lt;wsp:rsid wsp:val=&quot;00BC74FE&quot;/&gt;&lt;wsp:rsid wsp:val=&quot;00BC7B92&quot;/&gt;&lt;wsp:rsid wsp:val=&quot;00BC7E2E&quot;/&gt;&lt;wsp:rsid wsp:val=&quot;00BD08CF&quot;/&gt;&lt;wsp:rsid wsp:val=&quot;00BD13E2&quot;/&gt;&lt;wsp:rsid wsp:val=&quot;00BD1539&quot;/&gt;&lt;wsp:rsid wsp:val=&quot;00BD1A53&quot;/&gt;&lt;wsp:rsid wsp:val=&quot;00BD1B51&quot;/&gt;&lt;wsp:rsid wsp:val=&quot;00BD1C79&quot;/&gt;&lt;wsp:rsid wsp:val=&quot;00BD2266&quot;/&gt;&lt;wsp:rsid wsp:val=&quot;00BD22CC&quot;/&gt;&lt;wsp:rsid wsp:val=&quot;00BD29C2&quot;/&gt;&lt;wsp:rsid wsp:val=&quot;00BD2E46&quot;/&gt;&lt;wsp:rsid wsp:val=&quot;00BD3220&quot;/&gt;&lt;wsp:rsid wsp:val=&quot;00BD332F&quot;/&gt;&lt;wsp:rsid wsp:val=&quot;00BD33A7&quot;/&gt;&lt;wsp:rsid wsp:val=&quot;00BD367C&quot;/&gt;&lt;wsp:rsid wsp:val=&quot;00BD37F5&quot;/&gt;&lt;wsp:rsid wsp:val=&quot;00BD407C&quot;/&gt;&lt;wsp:rsid wsp:val=&quot;00BD4596&quot;/&gt;&lt;wsp:rsid wsp:val=&quot;00BD4650&quot;/&gt;&lt;wsp:rsid wsp:val=&quot;00BD48AC&quot;/&gt;&lt;wsp:rsid wsp:val=&quot;00BD4D10&quot;/&gt;&lt;wsp:rsid wsp:val=&quot;00BD53D7&quot;/&gt;&lt;wsp:rsid wsp:val=&quot;00BD5C99&quot;/&gt;&lt;wsp:rsid wsp:val=&quot;00BD6414&quot;/&gt;&lt;wsp:rsid wsp:val=&quot;00BD69A6&quot;/&gt;&lt;wsp:rsid wsp:val=&quot;00BD7339&quot;/&gt;&lt;wsp:rsid wsp:val=&quot;00BD774E&quot;/&gt;&lt;wsp:rsid wsp:val=&quot;00BD7788&quot;/&gt;&lt;wsp:rsid wsp:val=&quot;00BE00F3&quot;/&gt;&lt;wsp:rsid wsp:val=&quot;00BE07D6&quot;/&gt;&lt;wsp:rsid wsp:val=&quot;00BE0A2F&quot;/&gt;&lt;wsp:rsid wsp:val=&quot;00BE1405&quot;/&gt;&lt;wsp:rsid wsp:val=&quot;00BE15A2&quot;/&gt;&lt;wsp:rsid wsp:val=&quot;00BE1608&quot;/&gt;&lt;wsp:rsid wsp:val=&quot;00BE1717&quot;/&gt;&lt;wsp:rsid wsp:val=&quot;00BE1F68&quot;/&gt;&lt;wsp:rsid wsp:val=&quot;00BE22BA&quot;/&gt;&lt;wsp:rsid wsp:val=&quot;00BE2363&quot;/&gt;&lt;wsp:rsid wsp:val=&quot;00BE27D4&quot;/&gt;&lt;wsp:rsid wsp:val=&quot;00BE288A&quot;/&gt;&lt;wsp:rsid wsp:val=&quot;00BE29B9&quot;/&gt;&lt;wsp:rsid wsp:val=&quot;00BE29FB&quot;/&gt;&lt;wsp:rsid wsp:val=&quot;00BE2BED&quot;/&gt;&lt;wsp:rsid wsp:val=&quot;00BE312D&quot;/&gt;&lt;wsp:rsid wsp:val=&quot;00BE3217&quot;/&gt;&lt;wsp:rsid wsp:val=&quot;00BE3691&quot;/&gt;&lt;wsp:rsid wsp:val=&quot;00BE37F9&quot;/&gt;&lt;wsp:rsid wsp:val=&quot;00BE4728&quot;/&gt;&lt;wsp:rsid wsp:val=&quot;00BE6BD0&quot;/&gt;&lt;wsp:rsid wsp:val=&quot;00BE719A&quot;/&gt;&lt;wsp:rsid wsp:val=&quot;00BF011C&quot;/&gt;&lt;wsp:rsid wsp:val=&quot;00BF0384&quot;/&gt;&lt;wsp:rsid wsp:val=&quot;00BF06C2&quot;/&gt;&lt;wsp:rsid wsp:val=&quot;00BF0773&quot;/&gt;&lt;wsp:rsid wsp:val=&quot;00BF19DD&quot;/&gt;&lt;wsp:rsid wsp:val=&quot;00BF1C20&quot;/&gt;&lt;wsp:rsid wsp:val=&quot;00BF206F&quot;/&gt;&lt;wsp:rsid wsp:val=&quot;00BF220F&quot;/&gt;&lt;wsp:rsid wsp:val=&quot;00BF2495&quot;/&gt;&lt;wsp:rsid wsp:val=&quot;00BF3447&quot;/&gt;&lt;wsp:rsid wsp:val=&quot;00BF365D&quot;/&gt;&lt;wsp:rsid wsp:val=&quot;00BF382A&quot;/&gt;&lt;wsp:rsid wsp:val=&quot;00BF3A40&quot;/&gt;&lt;wsp:rsid wsp:val=&quot;00BF3B99&quot;/&gt;&lt;wsp:rsid wsp:val=&quot;00BF3D71&quot;/&gt;&lt;wsp:rsid wsp:val=&quot;00BF3E44&quot;/&gt;&lt;wsp:rsid wsp:val=&quot;00BF453A&quot;/&gt;&lt;wsp:rsid wsp:val=&quot;00BF52CC&quot;/&gt;&lt;wsp:rsid wsp:val=&quot;00BF5C39&quot;/&gt;&lt;wsp:rsid wsp:val=&quot;00BF5F11&quot;/&gt;&lt;wsp:rsid wsp:val=&quot;00BF64EF&quot;/&gt;&lt;wsp:rsid wsp:val=&quot;00C003E8&quot;/&gt;&lt;wsp:rsid wsp:val=&quot;00C00A34&quot;/&gt;&lt;wsp:rsid wsp:val=&quot;00C00BED&quot;/&gt;&lt;wsp:rsid wsp:val=&quot;00C00E75&quot;/&gt;&lt;wsp:rsid wsp:val=&quot;00C01000&quot;/&gt;&lt;wsp:rsid wsp:val=&quot;00C012F7&quot;/&gt;&lt;wsp:rsid wsp:val=&quot;00C01899&quot;/&gt;&lt;wsp:rsid wsp:val=&quot;00C02BC4&quot;/&gt;&lt;wsp:rsid wsp:val=&quot;00C03141&quot;/&gt;&lt;wsp:rsid wsp:val=&quot;00C03C22&quot;/&gt;&lt;wsp:rsid wsp:val=&quot;00C045D6&quot;/&gt;&lt;wsp:rsid wsp:val=&quot;00C0477D&quot;/&gt;&lt;wsp:rsid wsp:val=&quot;00C04888&quot;/&gt;&lt;wsp:rsid wsp:val=&quot;00C04C89&quot;/&gt;&lt;wsp:rsid wsp:val=&quot;00C04F67&quot;/&gt;&lt;wsp:rsid wsp:val=&quot;00C054E6&quot;/&gt;&lt;wsp:rsid wsp:val=&quot;00C055F8&quot;/&gt;&lt;wsp:rsid wsp:val=&quot;00C05A3D&quot;/&gt;&lt;wsp:rsid wsp:val=&quot;00C06016&quot;/&gt;&lt;wsp:rsid wsp:val=&quot;00C06AC8&quot;/&gt;&lt;wsp:rsid wsp:val=&quot;00C07366&quot;/&gt;&lt;wsp:rsid wsp:val=&quot;00C079C0&quot;/&gt;&lt;wsp:rsid wsp:val=&quot;00C1001B&quot;/&gt;&lt;wsp:rsid wsp:val=&quot;00C10578&quot;/&gt;&lt;wsp:rsid wsp:val=&quot;00C117EF&quot;/&gt;&lt;wsp:rsid wsp:val=&quot;00C1191D&quot;/&gt;&lt;wsp:rsid wsp:val=&quot;00C135BC&quot;/&gt;&lt;wsp:rsid wsp:val=&quot;00C13E9C&quot;/&gt;&lt;wsp:rsid wsp:val=&quot;00C14009&quot;/&gt;&lt;wsp:rsid wsp:val=&quot;00C146DA&quot;/&gt;&lt;wsp:rsid wsp:val=&quot;00C14938&quot;/&gt;&lt;wsp:rsid wsp:val=&quot;00C14B02&quot;/&gt;&lt;wsp:rsid wsp:val=&quot;00C14FBA&quot;/&gt;&lt;wsp:rsid wsp:val=&quot;00C155C6&quot;/&gt;&lt;wsp:rsid wsp:val=&quot;00C15788&quot;/&gt;&lt;wsp:rsid wsp:val=&quot;00C1593C&quot;/&gt;&lt;wsp:rsid wsp:val=&quot;00C15C95&quot;/&gt;&lt;wsp:rsid wsp:val=&quot;00C15CE2&quot;/&gt;&lt;wsp:rsid wsp:val=&quot;00C15D17&quot;/&gt;&lt;wsp:rsid wsp:val=&quot;00C15E95&quot;/&gt;&lt;wsp:rsid wsp:val=&quot;00C160B9&quot;/&gt;&lt;wsp:rsid wsp:val=&quot;00C165FC&quot;/&gt;&lt;wsp:rsid wsp:val=&quot;00C168BB&quot;/&gt;&lt;wsp:rsid wsp:val=&quot;00C16C83&quot;/&gt;&lt;wsp:rsid wsp:val=&quot;00C1730D&quot;/&gt;&lt;wsp:rsid wsp:val=&quot;00C17A10&quot;/&gt;&lt;wsp:rsid wsp:val=&quot;00C17CDF&quot;/&gt;&lt;wsp:rsid wsp:val=&quot;00C17D65&quot;/&gt;&lt;wsp:rsid wsp:val=&quot;00C2006D&quot;/&gt;&lt;wsp:rsid wsp:val=&quot;00C20CD1&quot;/&gt;&lt;wsp:rsid wsp:val=&quot;00C20DFA&quot;/&gt;&lt;wsp:rsid wsp:val=&quot;00C21386&quot;/&gt;&lt;wsp:rsid wsp:val=&quot;00C22C2A&quot;/&gt;&lt;wsp:rsid wsp:val=&quot;00C25731&quot;/&gt;&lt;wsp:rsid wsp:val=&quot;00C2596A&quot;/&gt;&lt;wsp:rsid wsp:val=&quot;00C25C76&quot;/&gt;&lt;wsp:rsid wsp:val=&quot;00C260EB&quot;/&gt;&lt;wsp:rsid wsp:val=&quot;00C2614A&quot;/&gt;&lt;wsp:rsid wsp:val=&quot;00C262CE&quot;/&gt;&lt;wsp:rsid wsp:val=&quot;00C26327&quot;/&gt;&lt;wsp:rsid wsp:val=&quot;00C263AD&quot;/&gt;&lt;wsp:rsid wsp:val=&quot;00C27537&quot;/&gt;&lt;wsp:rsid wsp:val=&quot;00C27549&quot;/&gt;&lt;wsp:rsid wsp:val=&quot;00C27A18&quot;/&gt;&lt;wsp:rsid wsp:val=&quot;00C27C8B&quot;/&gt;&lt;wsp:rsid wsp:val=&quot;00C30713&quot;/&gt;&lt;wsp:rsid wsp:val=&quot;00C30840&quot;/&gt;&lt;wsp:rsid wsp:val=&quot;00C30DFE&quot;/&gt;&lt;wsp:rsid wsp:val=&quot;00C30EE9&quot;/&gt;&lt;wsp:rsid wsp:val=&quot;00C3160E&quot;/&gt;&lt;wsp:rsid wsp:val=&quot;00C31AB6&quot;/&gt;&lt;wsp:rsid wsp:val=&quot;00C32276&quot;/&gt;&lt;wsp:rsid wsp:val=&quot;00C323A8&quot;/&gt;&lt;wsp:rsid wsp:val=&quot;00C3260F&quot;/&gt;&lt;wsp:rsid wsp:val=&quot;00C328FE&quot;/&gt;&lt;wsp:rsid wsp:val=&quot;00C32E27&quot;/&gt;&lt;wsp:rsid wsp:val=&quot;00C333FB&quot;/&gt;&lt;wsp:rsid wsp:val=&quot;00C33507&quot;/&gt;&lt;wsp:rsid wsp:val=&quot;00C3393B&quot;/&gt;&lt;wsp:rsid wsp:val=&quot;00C33B34&quot;/&gt;&lt;wsp:rsid wsp:val=&quot;00C33D59&quot;/&gt;&lt;wsp:rsid wsp:val=&quot;00C3580E&quot;/&gt;&lt;wsp:rsid wsp:val=&quot;00C3697A&quot;/&gt;&lt;wsp:rsid wsp:val=&quot;00C37B7E&quot;/&gt;&lt;wsp:rsid wsp:val=&quot;00C40078&quot;/&gt;&lt;wsp:rsid wsp:val=&quot;00C40370&quot;/&gt;&lt;wsp:rsid wsp:val=&quot;00C403A6&quot;/&gt;&lt;wsp:rsid wsp:val=&quot;00C4042E&quot;/&gt;&lt;wsp:rsid wsp:val=&quot;00C40A78&quot;/&gt;&lt;wsp:rsid wsp:val=&quot;00C40B19&quot;/&gt;&lt;wsp:rsid wsp:val=&quot;00C40D39&quot;/&gt;&lt;wsp:rsid wsp:val=&quot;00C41243&quot;/&gt;&lt;wsp:rsid wsp:val=&quot;00C4134E&quot;/&gt;&lt;wsp:rsid wsp:val=&quot;00C41606&quot;/&gt;&lt;wsp:rsid wsp:val=&quot;00C41B46&quot;/&gt;&lt;wsp:rsid wsp:val=&quot;00C4291C&quot;/&gt;&lt;wsp:rsid wsp:val=&quot;00C4409D&quot;/&gt;&lt;wsp:rsid wsp:val=&quot;00C44E72&quot;/&gt;&lt;wsp:rsid wsp:val=&quot;00C45520&quot;/&gt;&lt;wsp:rsid wsp:val=&quot;00C45A06&quot;/&gt;&lt;wsp:rsid wsp:val=&quot;00C45C33&quot;/&gt;&lt;wsp:rsid wsp:val=&quot;00C46007&quot;/&gt;&lt;wsp:rsid wsp:val=&quot;00C46C3A&quot;/&gt;&lt;wsp:rsid wsp:val=&quot;00C470F8&quot;/&gt;&lt;wsp:rsid wsp:val=&quot;00C471C7&quot;/&gt;&lt;wsp:rsid wsp:val=&quot;00C47455&quot;/&gt;&lt;wsp:rsid wsp:val=&quot;00C47B3D&quot;/&gt;&lt;wsp:rsid wsp:val=&quot;00C47E5B&quot;/&gt;&lt;wsp:rsid wsp:val=&quot;00C5017A&quot;/&gt;&lt;wsp:rsid wsp:val=&quot;00C5027D&quot;/&gt;&lt;wsp:rsid wsp:val=&quot;00C5079C&quot;/&gt;&lt;wsp:rsid wsp:val=&quot;00C5127D&quot;/&gt;&lt;wsp:rsid wsp:val=&quot;00C52C40&quot;/&gt;&lt;wsp:rsid wsp:val=&quot;00C54574&quot;/&gt;&lt;wsp:rsid wsp:val=&quot;00C546E9&quot;/&gt;&lt;wsp:rsid wsp:val=&quot;00C54819&quot;/&gt;&lt;wsp:rsid wsp:val=&quot;00C54CC6&quot;/&gt;&lt;wsp:rsid wsp:val=&quot;00C5574F&quot;/&gt;&lt;wsp:rsid wsp:val=&quot;00C5575C&quot;/&gt;&lt;wsp:rsid wsp:val=&quot;00C56168&quot;/&gt;&lt;wsp:rsid wsp:val=&quot;00C56428&quot;/&gt;&lt;wsp:rsid wsp:val=&quot;00C567B8&quot;/&gt;&lt;wsp:rsid wsp:val=&quot;00C569B4&quot;/&gt;&lt;wsp:rsid wsp:val=&quot;00C573AB&quot;/&gt;&lt;wsp:rsid wsp:val=&quot;00C603BF&quot;/&gt;&lt;wsp:rsid wsp:val=&quot;00C60C57&quot;/&gt;&lt;wsp:rsid wsp:val=&quot;00C61BE7&quot;/&gt;&lt;wsp:rsid wsp:val=&quot;00C61E4B&quot;/&gt;&lt;wsp:rsid wsp:val=&quot;00C6242D&quot;/&gt;&lt;wsp:rsid wsp:val=&quot;00C62859&quot;/&gt;&lt;wsp:rsid wsp:val=&quot;00C6364E&quot;/&gt;&lt;wsp:rsid wsp:val=&quot;00C63C1F&quot;/&gt;&lt;wsp:rsid wsp:val=&quot;00C63EA0&quot;/&gt;&lt;wsp:rsid wsp:val=&quot;00C64038&quot;/&gt;&lt;wsp:rsid wsp:val=&quot;00C64165&quot;/&gt;&lt;wsp:rsid wsp:val=&quot;00C6426C&quot;/&gt;&lt;wsp:rsid wsp:val=&quot;00C64621&quot;/&gt;&lt;wsp:rsid wsp:val=&quot;00C64698&quot;/&gt;&lt;wsp:rsid wsp:val=&quot;00C646E2&quot;/&gt;&lt;wsp:rsid wsp:val=&quot;00C64BFF&quot;/&gt;&lt;wsp:rsid wsp:val=&quot;00C64C52&quot;/&gt;&lt;wsp:rsid wsp:val=&quot;00C64E1A&quot;/&gt;&lt;wsp:rsid wsp:val=&quot;00C65085&quot;/&gt;&lt;wsp:rsid wsp:val=&quot;00C65A56&quot;/&gt;&lt;wsp:rsid wsp:val=&quot;00C6625B&quot;/&gt;&lt;wsp:rsid wsp:val=&quot;00C6669E&quot;/&gt;&lt;wsp:rsid wsp:val=&quot;00C66E5C&quot;/&gt;&lt;wsp:rsid wsp:val=&quot;00C675EB&quot;/&gt;&lt;wsp:rsid wsp:val=&quot;00C67831&quot;/&gt;&lt;wsp:rsid wsp:val=&quot;00C6784B&quot;/&gt;&lt;wsp:rsid wsp:val=&quot;00C67D85&quot;/&gt;&lt;wsp:rsid wsp:val=&quot;00C7031A&quot;/&gt;&lt;wsp:rsid wsp:val=&quot;00C7042D&quot;/&gt;&lt;wsp:rsid wsp:val=&quot;00C70454&quot;/&gt;&lt;wsp:rsid wsp:val=&quot;00C704E9&quot;/&gt;&lt;wsp:rsid wsp:val=&quot;00C71BC4&quot;/&gt;&lt;wsp:rsid wsp:val=&quot;00C71C39&quot;/&gt;&lt;wsp:rsid wsp:val=&quot;00C71FB7&quot;/&gt;&lt;wsp:rsid wsp:val=&quot;00C72775&quot;/&gt;&lt;wsp:rsid wsp:val=&quot;00C72BD0&quot;/&gt;&lt;wsp:rsid wsp:val=&quot;00C7355C&quot;/&gt;&lt;wsp:rsid wsp:val=&quot;00C74730&quot;/&gt;&lt;wsp:rsid wsp:val=&quot;00C748A3&quot;/&gt;&lt;wsp:rsid wsp:val=&quot;00C74A98&quot;/&gt;&lt;wsp:rsid wsp:val=&quot;00C752BF&quot;/&gt;&lt;wsp:rsid wsp:val=&quot;00C75E9D&quot;/&gt;&lt;wsp:rsid wsp:val=&quot;00C7605E&quot;/&gt;&lt;wsp:rsid wsp:val=&quot;00C763C9&quot;/&gt;&lt;wsp:rsid wsp:val=&quot;00C76AB6&quot;/&gt;&lt;wsp:rsid wsp:val=&quot;00C76E28&quot;/&gt;&lt;wsp:rsid wsp:val=&quot;00C76FB1&quot;/&gt;&lt;wsp:rsid wsp:val=&quot;00C77052&quot;/&gt;&lt;wsp:rsid wsp:val=&quot;00C7726D&quot;/&gt;&lt;wsp:rsid wsp:val=&quot;00C80057&quot;/&gt;&lt;wsp:rsid wsp:val=&quot;00C80908&quot;/&gt;&lt;wsp:rsid wsp:val=&quot;00C80BED&quot;/&gt;&lt;wsp:rsid wsp:val=&quot;00C81D01&quot;/&gt;&lt;wsp:rsid wsp:val=&quot;00C82232&quot;/&gt;&lt;wsp:rsid wsp:val=&quot;00C822FF&quot;/&gt;&lt;wsp:rsid wsp:val=&quot;00C825E3&quot;/&gt;&lt;wsp:rsid wsp:val=&quot;00C82913&quot;/&gt;&lt;wsp:rsid wsp:val=&quot;00C82E45&quot;/&gt;&lt;wsp:rsid wsp:val=&quot;00C837AE&quot;/&gt;&lt;wsp:rsid wsp:val=&quot;00C83C13&quot;/&gt;&lt;wsp:rsid wsp:val=&quot;00C842AB&quot;/&gt;&lt;wsp:rsid wsp:val=&quot;00C8498D&quot;/&gt;&lt;wsp:rsid wsp:val=&quot;00C84F46&quot;/&gt;&lt;wsp:rsid wsp:val=&quot;00C850D2&quot;/&gt;&lt;wsp:rsid wsp:val=&quot;00C851D5&quot;/&gt;&lt;wsp:rsid wsp:val=&quot;00C8565E&quot;/&gt;&lt;wsp:rsid wsp:val=&quot;00C86018&quot;/&gt;&lt;wsp:rsid wsp:val=&quot;00C869E9&quot;/&gt;&lt;wsp:rsid wsp:val=&quot;00C873AE&quot;/&gt;&lt;wsp:rsid wsp:val=&quot;00C87442&quot;/&gt;&lt;wsp:rsid wsp:val=&quot;00C87520&quot;/&gt;&lt;wsp:rsid wsp:val=&quot;00C902C1&quot;/&gt;&lt;wsp:rsid wsp:val=&quot;00C908D9&quot;/&gt;&lt;wsp:rsid wsp:val=&quot;00C90B07&quot;/&gt;&lt;wsp:rsid wsp:val=&quot;00C91FAF&quot;/&gt;&lt;wsp:rsid wsp:val=&quot;00C91FF7&quot;/&gt;&lt;wsp:rsid wsp:val=&quot;00C92A45&quot;/&gt;&lt;wsp:rsid wsp:val=&quot;00C92BEB&quot;/&gt;&lt;wsp:rsid wsp:val=&quot;00C92DD4&quot;/&gt;&lt;wsp:rsid wsp:val=&quot;00C93B28&quot;/&gt;&lt;wsp:rsid wsp:val=&quot;00C94461&quot;/&gt;&lt;wsp:rsid wsp:val=&quot;00C94644&quot;/&gt;&lt;wsp:rsid wsp:val=&quot;00C94DEE&quot;/&gt;&lt;wsp:rsid wsp:val=&quot;00C96041&quot;/&gt;&lt;wsp:rsid wsp:val=&quot;00C96470&quot;/&gt;&lt;wsp:rsid wsp:val=&quot;00C96B49&quot;/&gt;&lt;wsp:rsid wsp:val=&quot;00C972B1&quot;/&gt;&lt;wsp:rsid wsp:val=&quot;00CA046D&quot;/&gt;&lt;wsp:rsid wsp:val=&quot;00CA055C&quot;/&gt;&lt;wsp:rsid wsp:val=&quot;00CA0966&quot;/&gt;&lt;wsp:rsid wsp:val=&quot;00CA0A23&quot;/&gt;&lt;wsp:rsid wsp:val=&quot;00CA0C89&quot;/&gt;&lt;wsp:rsid wsp:val=&quot;00CA0DA2&quot;/&gt;&lt;wsp:rsid wsp:val=&quot;00CA11A1&quot;/&gt;&lt;wsp:rsid wsp:val=&quot;00CA12DC&quot;/&gt;&lt;wsp:rsid wsp:val=&quot;00CA145D&quot;/&gt;&lt;wsp:rsid wsp:val=&quot;00CA212C&quot;/&gt;&lt;wsp:rsid wsp:val=&quot;00CA28A6&quot;/&gt;&lt;wsp:rsid wsp:val=&quot;00CA292A&quot;/&gt;&lt;wsp:rsid wsp:val=&quot;00CA2AF8&quot;/&gt;&lt;wsp:rsid wsp:val=&quot;00CA2CCE&quot;/&gt;&lt;wsp:rsid wsp:val=&quot;00CA43E4&quot;/&gt;&lt;wsp:rsid wsp:val=&quot;00CA43FD&quot;/&gt;&lt;wsp:rsid wsp:val=&quot;00CA458A&quot;/&gt;&lt;wsp:rsid wsp:val=&quot;00CA488A&quot;/&gt;&lt;wsp:rsid wsp:val=&quot;00CA49EE&quot;/&gt;&lt;wsp:rsid wsp:val=&quot;00CA508A&quot;/&gt;&lt;wsp:rsid wsp:val=&quot;00CA534F&quot;/&gt;&lt;wsp:rsid wsp:val=&quot;00CA57BF&quot;/&gt;&lt;wsp:rsid wsp:val=&quot;00CA5A0A&quot;/&gt;&lt;wsp:rsid wsp:val=&quot;00CA5AB5&quot;/&gt;&lt;wsp:rsid wsp:val=&quot;00CA6D38&quot;/&gt;&lt;wsp:rsid wsp:val=&quot;00CA715D&quot;/&gt;&lt;wsp:rsid wsp:val=&quot;00CA769F&quot;/&gt;&lt;wsp:rsid wsp:val=&quot;00CA7EF8&quot;/&gt;&lt;wsp:rsid wsp:val=&quot;00CB00CE&quot;/&gt;&lt;wsp:rsid wsp:val=&quot;00CB04D9&quot;/&gt;&lt;wsp:rsid wsp:val=&quot;00CB0855&quot;/&gt;&lt;wsp:rsid wsp:val=&quot;00CB0A19&quot;/&gt;&lt;wsp:rsid wsp:val=&quot;00CB0F0C&quot;/&gt;&lt;wsp:rsid wsp:val=&quot;00CB114E&quot;/&gt;&lt;wsp:rsid wsp:val=&quot;00CB2867&quot;/&gt;&lt;wsp:rsid wsp:val=&quot;00CB45B7&quot;/&gt;&lt;wsp:rsid wsp:val=&quot;00CB4917&quot;/&gt;&lt;wsp:rsid wsp:val=&quot;00CB4B07&quot;/&gt;&lt;wsp:rsid wsp:val=&quot;00CB4C3A&quot;/&gt;&lt;wsp:rsid wsp:val=&quot;00CB50B9&quot;/&gt;&lt;wsp:rsid wsp:val=&quot;00CB576C&quot;/&gt;&lt;wsp:rsid wsp:val=&quot;00CB581B&quot;/&gt;&lt;wsp:rsid wsp:val=&quot;00CB5E58&quot;/&gt;&lt;wsp:rsid wsp:val=&quot;00CB5F48&quot;/&gt;&lt;wsp:rsid wsp:val=&quot;00CB6662&quot;/&gt;&lt;wsp:rsid wsp:val=&quot;00CB6872&quot;/&gt;&lt;wsp:rsid wsp:val=&quot;00CB78FD&quot;/&gt;&lt;wsp:rsid wsp:val=&quot;00CB7AB8&quot;/&gt;&lt;wsp:rsid wsp:val=&quot;00CC0759&quot;/&gt;&lt;wsp:rsid wsp:val=&quot;00CC0E06&quot;/&gt;&lt;wsp:rsid wsp:val=&quot;00CC0F0C&quot;/&gt;&lt;wsp:rsid wsp:val=&quot;00CC135A&quot;/&gt;&lt;wsp:rsid wsp:val=&quot;00CC209D&quot;/&gt;&lt;wsp:rsid wsp:val=&quot;00CC21F1&quot;/&gt;&lt;wsp:rsid wsp:val=&quot;00CC2A5B&quot;/&gt;&lt;wsp:rsid wsp:val=&quot;00CC3204&quot;/&gt;&lt;wsp:rsid wsp:val=&quot;00CC3702&quot;/&gt;&lt;wsp:rsid wsp:val=&quot;00CC39C5&quot;/&gt;&lt;wsp:rsid wsp:val=&quot;00CC404C&quot;/&gt;&lt;wsp:rsid wsp:val=&quot;00CC46B5&quot;/&gt;&lt;wsp:rsid wsp:val=&quot;00CC489B&quot;/&gt;&lt;wsp:rsid wsp:val=&quot;00CC4AB6&quot;/&gt;&lt;wsp:rsid wsp:val=&quot;00CC5099&quot;/&gt;&lt;wsp:rsid wsp:val=&quot;00CC51B9&quot;/&gt;&lt;wsp:rsid wsp:val=&quot;00CC5ABD&quot;/&gt;&lt;wsp:rsid wsp:val=&quot;00CC5BC5&quot;/&gt;&lt;wsp:rsid wsp:val=&quot;00CC5D1D&quot;/&gt;&lt;wsp:rsid wsp:val=&quot;00CC67BB&quot;/&gt;&lt;wsp:rsid wsp:val=&quot;00CC7ADA&quot;/&gt;&lt;wsp:rsid wsp:val=&quot;00CC7C44&quot;/&gt;&lt;wsp:rsid wsp:val=&quot;00CD00DC&quot;/&gt;&lt;wsp:rsid wsp:val=&quot;00CD0A93&quot;/&gt;&lt;wsp:rsid wsp:val=&quot;00CD0EAD&quot;/&gt;&lt;wsp:rsid wsp:val=&quot;00CD1595&quot;/&gt;&lt;wsp:rsid wsp:val=&quot;00CD19E1&quot;/&gt;&lt;wsp:rsid wsp:val=&quot;00CD2894&quot;/&gt;&lt;wsp:rsid wsp:val=&quot;00CD292D&quot;/&gt;&lt;wsp:rsid wsp:val=&quot;00CD29D2&quot;/&gt;&lt;wsp:rsid wsp:val=&quot;00CD2B60&quot;/&gt;&lt;wsp:rsid wsp:val=&quot;00CD2BCD&quot;/&gt;&lt;wsp:rsid wsp:val=&quot;00CD316B&quot;/&gt;&lt;wsp:rsid wsp:val=&quot;00CD31A8&quot;/&gt;&lt;wsp:rsid wsp:val=&quot;00CD3A4C&quot;/&gt;&lt;wsp:rsid wsp:val=&quot;00CD49CC&quot;/&gt;&lt;wsp:rsid wsp:val=&quot;00CD590C&quot;/&gt;&lt;wsp:rsid wsp:val=&quot;00CD5B19&quot;/&gt;&lt;wsp:rsid wsp:val=&quot;00CD5EA0&quot;/&gt;&lt;wsp:rsid wsp:val=&quot;00CD65FC&quot;/&gt;&lt;wsp:rsid wsp:val=&quot;00CD6854&quot;/&gt;&lt;wsp:rsid wsp:val=&quot;00CD73E8&quot;/&gt;&lt;wsp:rsid wsp:val=&quot;00CE0059&quot;/&gt;&lt;wsp:rsid wsp:val=&quot;00CE10E9&quot;/&gt;&lt;wsp:rsid wsp:val=&quot;00CE144E&quot;/&gt;&lt;wsp:rsid wsp:val=&quot;00CE14C7&quot;/&gt;&lt;wsp:rsid wsp:val=&quot;00CE1C5A&quot;/&gt;&lt;wsp:rsid wsp:val=&quot;00CE2331&quot;/&gt;&lt;wsp:rsid wsp:val=&quot;00CE26FC&quot;/&gt;&lt;wsp:rsid wsp:val=&quot;00CE2817&quot;/&gt;&lt;wsp:rsid wsp:val=&quot;00CE2910&quot;/&gt;&lt;wsp:rsid wsp:val=&quot;00CE34BD&quot;/&gt;&lt;wsp:rsid wsp:val=&quot;00CE3D09&quot;/&gt;&lt;wsp:rsid wsp:val=&quot;00CE3F17&quot;/&gt;&lt;wsp:rsid wsp:val=&quot;00CE3FB1&quot;/&gt;&lt;wsp:rsid wsp:val=&quot;00CE49FD&quot;/&gt;&lt;wsp:rsid wsp:val=&quot;00CE4B2E&quot;/&gt;&lt;wsp:rsid wsp:val=&quot;00CE4FEE&quot;/&gt;&lt;wsp:rsid wsp:val=&quot;00CE5393&quot;/&gt;&lt;wsp:rsid wsp:val=&quot;00CE63E2&quot;/&gt;&lt;wsp:rsid wsp:val=&quot;00CE6FB9&quot;/&gt;&lt;wsp:rsid wsp:val=&quot;00CE7728&quot;/&gt;&lt;wsp:rsid wsp:val=&quot;00CE7A08&quot;/&gt;&lt;wsp:rsid wsp:val=&quot;00CE7C15&quot;/&gt;&lt;wsp:rsid wsp:val=&quot;00CF0771&quot;/&gt;&lt;wsp:rsid wsp:val=&quot;00CF0FCF&quot;/&gt;&lt;wsp:rsid wsp:val=&quot;00CF116C&quot;/&gt;&lt;wsp:rsid wsp:val=&quot;00CF13C8&quot;/&gt;&lt;wsp:rsid wsp:val=&quot;00CF1414&quot;/&gt;&lt;wsp:rsid wsp:val=&quot;00CF1CD7&quot;/&gt;&lt;wsp:rsid wsp:val=&quot;00CF1EB4&quot;/&gt;&lt;wsp:rsid wsp:val=&quot;00CF30C0&quot;/&gt;&lt;wsp:rsid wsp:val=&quot;00CF356D&quot;/&gt;&lt;wsp:rsid wsp:val=&quot;00CF36BE&quot;/&gt;&lt;wsp:rsid wsp:val=&quot;00CF387D&quot;/&gt;&lt;wsp:rsid wsp:val=&quot;00CF3E79&quot;/&gt;&lt;wsp:rsid wsp:val=&quot;00CF3FA8&quot;/&gt;&lt;wsp:rsid wsp:val=&quot;00CF43F3&quot;/&gt;&lt;wsp:rsid wsp:val=&quot;00CF4712&quot;/&gt;&lt;wsp:rsid wsp:val=&quot;00CF4CDD&quot;/&gt;&lt;wsp:rsid wsp:val=&quot;00CF4FC1&quot;/&gt;&lt;wsp:rsid wsp:val=&quot;00CF54D5&quot;/&gt;&lt;wsp:rsid wsp:val=&quot;00CF6000&quot;/&gt;&lt;wsp:rsid wsp:val=&quot;00CF6181&quot;/&gt;&lt;wsp:rsid wsp:val=&quot;00CF6C6A&quot;/&gt;&lt;wsp:rsid wsp:val=&quot;00CF7539&quot;/&gt;&lt;wsp:rsid wsp:val=&quot;00CF77B7&quot;/&gt;&lt;wsp:rsid wsp:val=&quot;00CF7F8F&quot;/&gt;&lt;wsp:rsid wsp:val=&quot;00D003F3&quot;/&gt;&lt;wsp:rsid wsp:val=&quot;00D00A7C&quot;/&gt;&lt;wsp:rsid wsp:val=&quot;00D0364F&quot;/&gt;&lt;wsp:rsid wsp:val=&quot;00D0450A&quot;/&gt;&lt;wsp:rsid wsp:val=&quot;00D04AAF&quot;/&gt;&lt;wsp:rsid wsp:val=&quot;00D054F7&quot;/&gt;&lt;wsp:rsid wsp:val=&quot;00D0672B&quot;/&gt;&lt;wsp:rsid wsp:val=&quot;00D06834&quot;/&gt;&lt;wsp:rsid wsp:val=&quot;00D06B57&quot;/&gt;&lt;wsp:rsid wsp:val=&quot;00D075E5&quot;/&gt;&lt;wsp:rsid wsp:val=&quot;00D109AC&quot;/&gt;&lt;wsp:rsid wsp:val=&quot;00D10B0E&quot;/&gt;&lt;wsp:rsid wsp:val=&quot;00D1106C&quot;/&gt;&lt;wsp:rsid wsp:val=&quot;00D1123F&quot;/&gt;&lt;wsp:rsid wsp:val=&quot;00D116BC&quot;/&gt;&lt;wsp:rsid wsp:val=&quot;00D117CA&quot;/&gt;&lt;wsp:rsid wsp:val=&quot;00D1218B&quot;/&gt;&lt;wsp:rsid wsp:val=&quot;00D12AF8&quot;/&gt;&lt;wsp:rsid wsp:val=&quot;00D1397C&quot;/&gt;&lt;wsp:rsid wsp:val=&quot;00D13C00&quot;/&gt;&lt;wsp:rsid wsp:val=&quot;00D14E77&quot;/&gt;&lt;wsp:rsid wsp:val=&quot;00D153AD&quot;/&gt;&lt;wsp:rsid wsp:val=&quot;00D16081&quot;/&gt;&lt;wsp:rsid wsp:val=&quot;00D162BA&quot;/&gt;&lt;wsp:rsid wsp:val=&quot;00D167BF&quot;/&gt;&lt;wsp:rsid wsp:val=&quot;00D169B7&quot;/&gt;&lt;wsp:rsid wsp:val=&quot;00D16B6C&quot;/&gt;&lt;wsp:rsid wsp:val=&quot;00D17475&quot;/&gt;&lt;wsp:rsid wsp:val=&quot;00D1770A&quot;/&gt;&lt;wsp:rsid wsp:val=&quot;00D17F23&quot;/&gt;&lt;wsp:rsid wsp:val=&quot;00D208A6&quot;/&gt;&lt;wsp:rsid wsp:val=&quot;00D218A1&quot;/&gt;&lt;wsp:rsid wsp:val=&quot;00D21943&quot;/&gt;&lt;wsp:rsid wsp:val=&quot;00D224E3&quot;/&gt;&lt;wsp:rsid wsp:val=&quot;00D229C3&quot;/&gt;&lt;wsp:rsid wsp:val=&quot;00D22A45&quot;/&gt;&lt;wsp:rsid wsp:val=&quot;00D22C08&quot;/&gt;&lt;wsp:rsid wsp:val=&quot;00D23830&quot;/&gt;&lt;wsp:rsid wsp:val=&quot;00D24720&quot;/&gt;&lt;wsp:rsid wsp:val=&quot;00D25753&quot;/&gt;&lt;wsp:rsid wsp:val=&quot;00D25D5E&quot;/&gt;&lt;wsp:rsid wsp:val=&quot;00D27263&quot;/&gt;&lt;wsp:rsid wsp:val=&quot;00D2756B&quot;/&gt;&lt;wsp:rsid wsp:val=&quot;00D279C6&quot;/&gt;&lt;wsp:rsid wsp:val=&quot;00D27EA3&quot;/&gt;&lt;wsp:rsid wsp:val=&quot;00D27F8E&quot;/&gt;&lt;wsp:rsid wsp:val=&quot;00D27FC7&quot;/&gt;&lt;wsp:rsid wsp:val=&quot;00D3067E&quot;/&gt;&lt;wsp:rsid wsp:val=&quot;00D308ED&quot;/&gt;&lt;wsp:rsid wsp:val=&quot;00D30C31&quot;/&gt;&lt;wsp:rsid wsp:val=&quot;00D312A3&quot;/&gt;&lt;wsp:rsid wsp:val=&quot;00D31B75&quot;/&gt;&lt;wsp:rsid wsp:val=&quot;00D32021&quot;/&gt;&lt;wsp:rsid wsp:val=&quot;00D32598&quot;/&gt;&lt;wsp:rsid wsp:val=&quot;00D32775&quot;/&gt;&lt;wsp:rsid wsp:val=&quot;00D33272&quot;/&gt;&lt;wsp:rsid wsp:val=&quot;00D33B25&quot;/&gt;&lt;wsp:rsid wsp:val=&quot;00D33D53&quot;/&gt;&lt;wsp:rsid wsp:val=&quot;00D34AD9&quot;/&gt;&lt;wsp:rsid wsp:val=&quot;00D34FA1&quot;/&gt;&lt;wsp:rsid wsp:val=&quot;00D36D86&quot;/&gt;&lt;wsp:rsid wsp:val=&quot;00D36EDF&quot;/&gt;&lt;wsp:rsid wsp:val=&quot;00D37679&quot;/&gt;&lt;wsp:rsid wsp:val=&quot;00D37D7B&quot;/&gt;&lt;wsp:rsid wsp:val=&quot;00D401BD&quot;/&gt;&lt;wsp:rsid wsp:val=&quot;00D40604&quot;/&gt;&lt;wsp:rsid wsp:val=&quot;00D4156C&quot;/&gt;&lt;wsp:rsid wsp:val=&quot;00D41783&quot;/&gt;&lt;wsp:rsid wsp:val=&quot;00D41FD5&quot;/&gt;&lt;wsp:rsid wsp:val=&quot;00D42441&quot;/&gt;&lt;wsp:rsid wsp:val=&quot;00D42829&quot;/&gt;&lt;wsp:rsid wsp:val=&quot;00D428AA&quot;/&gt;&lt;wsp:rsid wsp:val=&quot;00D42D8C&quot;/&gt;&lt;wsp:rsid wsp:val=&quot;00D438FB&quot;/&gt;&lt;wsp:rsid wsp:val=&quot;00D44830&quot;/&gt;&lt;wsp:rsid wsp:val=&quot;00D44C17&quot;/&gt;&lt;wsp:rsid wsp:val=&quot;00D454CA&quot;/&gt;&lt;wsp:rsid wsp:val=&quot;00D46BC4&quot;/&gt;&lt;wsp:rsid wsp:val=&quot;00D46F0C&quot;/&gt;&lt;wsp:rsid wsp:val=&quot;00D46FF8&quot;/&gt;&lt;wsp:rsid wsp:val=&quot;00D47D29&quot;/&gt;&lt;wsp:rsid wsp:val=&quot;00D5008B&quot;/&gt;&lt;wsp:rsid wsp:val=&quot;00D50A34&quot;/&gt;&lt;wsp:rsid wsp:val=&quot;00D50DC9&quot;/&gt;&lt;wsp:rsid wsp:val=&quot;00D512EF&quot;/&gt;&lt;wsp:rsid wsp:val=&quot;00D51668&quot;/&gt;&lt;wsp:rsid wsp:val=&quot;00D531A4&quot;/&gt;&lt;wsp:rsid wsp:val=&quot;00D53D67&quot;/&gt;&lt;wsp:rsid wsp:val=&quot;00D53E56&quot;/&gt;&lt;wsp:rsid wsp:val=&quot;00D53EFA&quot;/&gt;&lt;wsp:rsid wsp:val=&quot;00D5513D&quot;/&gt;&lt;wsp:rsid wsp:val=&quot;00D552B9&quot;/&gt;&lt;wsp:rsid wsp:val=&quot;00D55405&quot;/&gt;&lt;wsp:rsid wsp:val=&quot;00D558DB&quot;/&gt;&lt;wsp:rsid wsp:val=&quot;00D55F52&quot;/&gt;&lt;wsp:rsid wsp:val=&quot;00D57EDB&quot;/&gt;&lt;wsp:rsid wsp:val=&quot;00D60038&quot;/&gt;&lt;wsp:rsid wsp:val=&quot;00D60232&quot;/&gt;&lt;wsp:rsid wsp:val=&quot;00D60EEA&quot;/&gt;&lt;wsp:rsid wsp:val=&quot;00D6129F&quot;/&gt;&lt;wsp:rsid wsp:val=&quot;00D62122&quot;/&gt;&lt;wsp:rsid wsp:val=&quot;00D62322&quot;/&gt;&lt;wsp:rsid wsp:val=&quot;00D62DA7&quot;/&gt;&lt;wsp:rsid wsp:val=&quot;00D632AA&quot;/&gt;&lt;wsp:rsid wsp:val=&quot;00D63354&quot;/&gt;&lt;wsp:rsid wsp:val=&quot;00D63C2D&quot;/&gt;&lt;wsp:rsid wsp:val=&quot;00D63CD9&quot;/&gt;&lt;wsp:rsid wsp:val=&quot;00D63F8B&quot;/&gt;&lt;wsp:rsid wsp:val=&quot;00D64A34&quot;/&gt;&lt;wsp:rsid wsp:val=&quot;00D64EE9&quot;/&gt;&lt;wsp:rsid wsp:val=&quot;00D651F4&quot;/&gt;&lt;wsp:rsid wsp:val=&quot;00D661D9&quot;/&gt;&lt;wsp:rsid wsp:val=&quot;00D66311&quot;/&gt;&lt;wsp:rsid wsp:val=&quot;00D67714&quot;/&gt;&lt;wsp:rsid wsp:val=&quot;00D70781&quot;/&gt;&lt;wsp:rsid wsp:val=&quot;00D709CD&quot;/&gt;&lt;wsp:rsid wsp:val=&quot;00D70B00&quot;/&gt;&lt;wsp:rsid wsp:val=&quot;00D70BA5&quot;/&gt;&lt;wsp:rsid wsp:val=&quot;00D70D26&quot;/&gt;&lt;wsp:rsid wsp:val=&quot;00D70EDF&quot;/&gt;&lt;wsp:rsid wsp:val=&quot;00D71E07&quot;/&gt;&lt;wsp:rsid wsp:val=&quot;00D72485&quot;/&gt;&lt;wsp:rsid wsp:val=&quot;00D73429&quot;/&gt;&lt;wsp:rsid wsp:val=&quot;00D736E6&quot;/&gt;&lt;wsp:rsid wsp:val=&quot;00D73EC1&quot;/&gt;&lt;wsp:rsid wsp:val=&quot;00D74035&quot;/&gt;&lt;wsp:rsid wsp:val=&quot;00D74941&quot;/&gt;&lt;wsp:rsid wsp:val=&quot;00D74F97&quot;/&gt;&lt;wsp:rsid wsp:val=&quot;00D754EB&quot;/&gt;&lt;wsp:rsid wsp:val=&quot;00D760EC&quot;/&gt;&lt;wsp:rsid wsp:val=&quot;00D7641E&quot;/&gt;&lt;wsp:rsid wsp:val=&quot;00D76605&quot;/&gt;&lt;wsp:rsid wsp:val=&quot;00D76AE4&quot;/&gt;&lt;wsp:rsid wsp:val=&quot;00D76CEA&quot;/&gt;&lt;wsp:rsid wsp:val=&quot;00D77451&quot;/&gt;&lt;wsp:rsid wsp:val=&quot;00D775B4&quot;/&gt;&lt;wsp:rsid wsp:val=&quot;00D777C2&quot;/&gt;&lt;wsp:rsid wsp:val=&quot;00D77B68&quot;/&gt;&lt;wsp:rsid wsp:val=&quot;00D77C09&quot;/&gt;&lt;wsp:rsid wsp:val=&quot;00D77CC3&quot;/&gt;&lt;wsp:rsid wsp:val=&quot;00D77F07&quot;/&gt;&lt;wsp:rsid wsp:val=&quot;00D80AD4&quot;/&gt;&lt;wsp:rsid wsp:val=&quot;00D80CEA&quot;/&gt;&lt;wsp:rsid wsp:val=&quot;00D80D5A&quot;/&gt;&lt;wsp:rsid wsp:val=&quot;00D80E6F&quot;/&gt;&lt;wsp:rsid wsp:val=&quot;00D80F99&quot;/&gt;&lt;wsp:rsid wsp:val=&quot;00D81F98&quot;/&gt;&lt;wsp:rsid wsp:val=&quot;00D829E4&quot;/&gt;&lt;wsp:rsid wsp:val=&quot;00D83172&quot;/&gt;&lt;wsp:rsid wsp:val=&quot;00D83DDD&quot;/&gt;&lt;wsp:rsid wsp:val=&quot;00D84C23&quot;/&gt;&lt;wsp:rsid wsp:val=&quot;00D84D0A&quot;/&gt;&lt;wsp:rsid wsp:val=&quot;00D85521&quot;/&gt;&lt;wsp:rsid wsp:val=&quot;00D86351&quot;/&gt;&lt;wsp:rsid wsp:val=&quot;00D865A6&quot;/&gt;&lt;wsp:rsid wsp:val=&quot;00D86C41&quot;/&gt;&lt;wsp:rsid wsp:val=&quot;00D86CC2&quot;/&gt;&lt;wsp:rsid wsp:val=&quot;00D87A24&quot;/&gt;&lt;wsp:rsid wsp:val=&quot;00D907C4&quot;/&gt;&lt;wsp:rsid wsp:val=&quot;00D92753&quot;/&gt;&lt;wsp:rsid wsp:val=&quot;00D9309B&quot;/&gt;&lt;wsp:rsid wsp:val=&quot;00D93483&quot;/&gt;&lt;wsp:rsid wsp:val=&quot;00D93619&quot;/&gt;&lt;wsp:rsid wsp:val=&quot;00D94501&quot;/&gt;&lt;wsp:rsid wsp:val=&quot;00D94A7C&quot;/&gt;&lt;wsp:rsid wsp:val=&quot;00D94C5F&quot;/&gt;&lt;wsp:rsid wsp:val=&quot;00D94F3A&quot;/&gt;&lt;wsp:rsid wsp:val=&quot;00D953FC&quot;/&gt;&lt;wsp:rsid wsp:val=&quot;00D9567A&quot;/&gt;&lt;wsp:rsid wsp:val=&quot;00D95896&quot;/&gt;&lt;wsp:rsid wsp:val=&quot;00D95B05&quot;/&gt;&lt;wsp:rsid wsp:val=&quot;00D962BC&quot;/&gt;&lt;wsp:rsid wsp:val=&quot;00D96CE9&quot;/&gt;&lt;wsp:rsid wsp:val=&quot;00D96DC3&quot;/&gt;&lt;wsp:rsid wsp:val=&quot;00D9722C&quot;/&gt;&lt;wsp:rsid wsp:val=&quot;00DA0996&quot;/&gt;&lt;wsp:rsid wsp:val=&quot;00DA0E2E&quot;/&gt;&lt;wsp:rsid wsp:val=&quot;00DA0E61&quot;/&gt;&lt;wsp:rsid wsp:val=&quot;00DA1123&quot;/&gt;&lt;wsp:rsid wsp:val=&quot;00DA17CC&quot;/&gt;&lt;wsp:rsid wsp:val=&quot;00DA1AA7&quot;/&gt;&lt;wsp:rsid wsp:val=&quot;00DA1B74&quot;/&gt;&lt;wsp:rsid wsp:val=&quot;00DA24FC&quot;/&gt;&lt;wsp:rsid wsp:val=&quot;00DA266D&quot;/&gt;&lt;wsp:rsid wsp:val=&quot;00DA2760&quot;/&gt;&lt;wsp:rsid wsp:val=&quot;00DA3825&quot;/&gt;&lt;wsp:rsid wsp:val=&quot;00DA3F6C&quot;/&gt;&lt;wsp:rsid wsp:val=&quot;00DA415D&quot;/&gt;&lt;wsp:rsid wsp:val=&quot;00DA4563&quot;/&gt;&lt;wsp:rsid wsp:val=&quot;00DA470C&quot;/&gt;&lt;wsp:rsid wsp:val=&quot;00DA4734&quot;/&gt;&lt;wsp:rsid wsp:val=&quot;00DA4854&quot;/&gt;&lt;wsp:rsid wsp:val=&quot;00DA5299&quot;/&gt;&lt;wsp:rsid wsp:val=&quot;00DA56E6&quot;/&gt;&lt;wsp:rsid wsp:val=&quot;00DA5EE3&quot;/&gt;&lt;wsp:rsid wsp:val=&quot;00DA6BA1&quot;/&gt;&lt;wsp:rsid wsp:val=&quot;00DA6C5E&quot;/&gt;&lt;wsp:rsid wsp:val=&quot;00DA71B2&quot;/&gt;&lt;wsp:rsid wsp:val=&quot;00DA73A2&quot;/&gt;&lt;wsp:rsid wsp:val=&quot;00DA7672&quot;/&gt;&lt;wsp:rsid wsp:val=&quot;00DA7ADE&quot;/&gt;&lt;wsp:rsid wsp:val=&quot;00DA7C50&quot;/&gt;&lt;wsp:rsid wsp:val=&quot;00DA7F95&quot;/&gt;&lt;wsp:rsid wsp:val=&quot;00DA7FC6&quot;/&gt;&lt;wsp:rsid wsp:val=&quot;00DB0E6F&quot;/&gt;&lt;wsp:rsid wsp:val=&quot;00DB1EB1&quot;/&gt;&lt;wsp:rsid wsp:val=&quot;00DB1FF9&quot;/&gt;&lt;wsp:rsid wsp:val=&quot;00DB2696&quot;/&gt;&lt;wsp:rsid wsp:val=&quot;00DB2983&quot;/&gt;&lt;wsp:rsid wsp:val=&quot;00DB3C27&quot;/&gt;&lt;wsp:rsid wsp:val=&quot;00DB3EB1&quot;/&gt;&lt;wsp:rsid wsp:val=&quot;00DB43E5&quot;/&gt;&lt;wsp:rsid wsp:val=&quot;00DB4D4A&quot;/&gt;&lt;wsp:rsid wsp:val=&quot;00DB53AB&quot;/&gt;&lt;wsp:rsid wsp:val=&quot;00DB54B9&quot;/&gt;&lt;wsp:rsid wsp:val=&quot;00DB5922&quot;/&gt;&lt;wsp:rsid wsp:val=&quot;00DB5EA0&quot;/&gt;&lt;wsp:rsid wsp:val=&quot;00DB6473&quot;/&gt;&lt;wsp:rsid wsp:val=&quot;00DB668C&quot;/&gt;&lt;wsp:rsid wsp:val=&quot;00DB6E5D&quot;/&gt;&lt;wsp:rsid wsp:val=&quot;00DB7DEA&quot;/&gt;&lt;wsp:rsid wsp:val=&quot;00DC0114&quot;/&gt;&lt;wsp:rsid wsp:val=&quot;00DC0AD2&quot;/&gt;&lt;wsp:rsid wsp:val=&quot;00DC0E1B&quot;/&gt;&lt;wsp:rsid wsp:val=&quot;00DC1247&quot;/&gt;&lt;wsp:rsid wsp:val=&quot;00DC1257&quot;/&gt;&lt;wsp:rsid wsp:val=&quot;00DC1A9A&quot;/&gt;&lt;wsp:rsid wsp:val=&quot;00DC2216&quot;/&gt;&lt;wsp:rsid wsp:val=&quot;00DC2986&quot;/&gt;&lt;wsp:rsid wsp:val=&quot;00DC3BAB&quot;/&gt;&lt;wsp:rsid wsp:val=&quot;00DC3DC0&quot;/&gt;&lt;wsp:rsid wsp:val=&quot;00DC4518&quot;/&gt;&lt;wsp:rsid wsp:val=&quot;00DC4D51&quot;/&gt;&lt;wsp:rsid wsp:val=&quot;00DC563A&quot;/&gt;&lt;wsp:rsid wsp:val=&quot;00DC5B2B&quot;/&gt;&lt;wsp:rsid wsp:val=&quot;00DC5F5E&quot;/&gt;&lt;wsp:rsid wsp:val=&quot;00DC6334&quot;/&gt;&lt;wsp:rsid wsp:val=&quot;00DC63F0&quot;/&gt;&lt;wsp:rsid wsp:val=&quot;00DC65C3&quot;/&gt;&lt;wsp:rsid wsp:val=&quot;00DC6A82&quot;/&gt;&lt;wsp:rsid wsp:val=&quot;00DC6AFD&quot;/&gt;&lt;wsp:rsid wsp:val=&quot;00DC7574&quot;/&gt;&lt;wsp:rsid wsp:val=&quot;00DC77F6&quot;/&gt;&lt;wsp:rsid wsp:val=&quot;00DC7848&quot;/&gt;&lt;wsp:rsid wsp:val=&quot;00DD0061&quot;/&gt;&lt;wsp:rsid wsp:val=&quot;00DD183E&quot;/&gt;&lt;wsp:rsid wsp:val=&quot;00DD202F&quot;/&gt;&lt;wsp:rsid wsp:val=&quot;00DD23E4&quot;/&gt;&lt;wsp:rsid wsp:val=&quot;00DD28C3&quot;/&gt;&lt;wsp:rsid wsp:val=&quot;00DD318D&quot;/&gt;&lt;wsp:rsid wsp:val=&quot;00DD33E1&quot;/&gt;&lt;wsp:rsid wsp:val=&quot;00DD3534&quot;/&gt;&lt;wsp:rsid wsp:val=&quot;00DD4430&quot;/&gt;&lt;wsp:rsid wsp:val=&quot;00DD5914&quot;/&gt;&lt;wsp:rsid wsp:val=&quot;00DD59FA&quot;/&gt;&lt;wsp:rsid wsp:val=&quot;00DD5EE4&quot;/&gt;&lt;wsp:rsid wsp:val=&quot;00DD6538&quot;/&gt;&lt;wsp:rsid wsp:val=&quot;00DD655A&quot;/&gt;&lt;wsp:rsid wsp:val=&quot;00DD6CF6&quot;/&gt;&lt;wsp:rsid wsp:val=&quot;00DD715C&quot;/&gt;&lt;wsp:rsid wsp:val=&quot;00DD7414&quot;/&gt;&lt;wsp:rsid wsp:val=&quot;00DD75A1&quot;/&gt;&lt;wsp:rsid wsp:val=&quot;00DD78C9&quot;/&gt;&lt;wsp:rsid wsp:val=&quot;00DD7BBC&quot;/&gt;&lt;wsp:rsid wsp:val=&quot;00DD7E1B&quot;/&gt;&lt;wsp:rsid wsp:val=&quot;00DE01C8&quot;/&gt;&lt;wsp:rsid wsp:val=&quot;00DE03B7&quot;/&gt;&lt;wsp:rsid wsp:val=&quot;00DE093E&quot;/&gt;&lt;wsp:rsid wsp:val=&quot;00DE176A&quot;/&gt;&lt;wsp:rsid wsp:val=&quot;00DE270D&quot;/&gt;&lt;wsp:rsid wsp:val=&quot;00DE282D&quot;/&gt;&lt;wsp:rsid wsp:val=&quot;00DE2A0A&quot;/&gt;&lt;wsp:rsid wsp:val=&quot;00DE2B53&quot;/&gt;&lt;wsp:rsid wsp:val=&quot;00DE2C3A&quot;/&gt;&lt;wsp:rsid wsp:val=&quot;00DE316C&quot;/&gt;&lt;wsp:rsid wsp:val=&quot;00DE35D9&quot;/&gt;&lt;wsp:rsid wsp:val=&quot;00DE3BFB&quot;/&gt;&lt;wsp:rsid wsp:val=&quot;00DE4FFA&quot;/&gt;&lt;wsp:rsid wsp:val=&quot;00DE51D9&quot;/&gt;&lt;wsp:rsid wsp:val=&quot;00DE587C&quot;/&gt;&lt;wsp:rsid wsp:val=&quot;00DE6402&quot;/&gt;&lt;wsp:rsid wsp:val=&quot;00DE64A4&quot;/&gt;&lt;wsp:rsid wsp:val=&quot;00DE7810&quot;/&gt;&lt;wsp:rsid wsp:val=&quot;00DE7F9B&quot;/&gt;&lt;wsp:rsid wsp:val=&quot;00DF0215&quot;/&gt;&lt;wsp:rsid wsp:val=&quot;00DF1109&quot;/&gt;&lt;wsp:rsid wsp:val=&quot;00DF122E&quot;/&gt;&lt;wsp:rsid wsp:val=&quot;00DF2E12&quot;/&gt;&lt;wsp:rsid wsp:val=&quot;00DF3454&quot;/&gt;&lt;wsp:rsid wsp:val=&quot;00DF39CA&quot;/&gt;&lt;wsp:rsid wsp:val=&quot;00DF4C83&quot;/&gt;&lt;wsp:rsid wsp:val=&quot;00DF4D99&quot;/&gt;&lt;wsp:rsid wsp:val=&quot;00DF5055&quot;/&gt;&lt;wsp:rsid wsp:val=&quot;00DF514A&quot;/&gt;&lt;wsp:rsid wsp:val=&quot;00DF5458&quot;/&gt;&lt;wsp:rsid wsp:val=&quot;00DF5838&quot;/&gt;&lt;wsp:rsid wsp:val=&quot;00DF59F3&quot;/&gt;&lt;wsp:rsid wsp:val=&quot;00DF5F21&quot;/&gt;&lt;wsp:rsid wsp:val=&quot;00DF5FDF&quot;/&gt;&lt;wsp:rsid wsp:val=&quot;00DF6690&quot;/&gt;&lt;wsp:rsid wsp:val=&quot;00DF6804&quot;/&gt;&lt;wsp:rsid wsp:val=&quot;00DF6AEB&quot;/&gt;&lt;wsp:rsid wsp:val=&quot;00DF6F4F&quot;/&gt;&lt;wsp:rsid wsp:val=&quot;00DF7830&quot;/&gt;&lt;wsp:rsid wsp:val=&quot;00DF7855&quot;/&gt;&lt;wsp:rsid wsp:val=&quot;00DF7B0B&quot;/&gt;&lt;wsp:rsid wsp:val=&quot;00E0228B&quot;/&gt;&lt;wsp:rsid wsp:val=&quot;00E02F46&quot;/&gt;&lt;wsp:rsid wsp:val=&quot;00E0315A&quot;/&gt;&lt;wsp:rsid wsp:val=&quot;00E0358D&quot;/&gt;&lt;wsp:rsid wsp:val=&quot;00E03B23&quot;/&gt;&lt;wsp:rsid wsp:val=&quot;00E03CCD&quot;/&gt;&lt;wsp:rsid wsp:val=&quot;00E04323&quot;/&gt;&lt;wsp:rsid wsp:val=&quot;00E05147&quot;/&gt;&lt;wsp:rsid wsp:val=&quot;00E05202&quot;/&gt;&lt;wsp:rsid wsp:val=&quot;00E0617C&quot;/&gt;&lt;wsp:rsid wsp:val=&quot;00E061AC&quot;/&gt;&lt;wsp:rsid wsp:val=&quot;00E06D95&quot;/&gt;&lt;wsp:rsid wsp:val=&quot;00E070A2&quot;/&gt;&lt;wsp:rsid wsp:val=&quot;00E07B1E&quot;/&gt;&lt;wsp:rsid wsp:val=&quot;00E07C88&quot;/&gt;&lt;wsp:rsid wsp:val=&quot;00E07D30&quot;/&gt;&lt;wsp:rsid wsp:val=&quot;00E11B63&quot;/&gt;&lt;wsp:rsid wsp:val=&quot;00E11C7B&quot;/&gt;&lt;wsp:rsid wsp:val=&quot;00E1467E&quot;/&gt;&lt;wsp:rsid wsp:val=&quot;00E14935&quot;/&gt;&lt;wsp:rsid wsp:val=&quot;00E14E14&quot;/&gt;&lt;wsp:rsid wsp:val=&quot;00E14F62&quot;/&gt;&lt;wsp:rsid wsp:val=&quot;00E1579C&quot;/&gt;&lt;wsp:rsid wsp:val=&quot;00E159B1&quot;/&gt;&lt;wsp:rsid wsp:val=&quot;00E15ABF&quot;/&gt;&lt;wsp:rsid wsp:val=&quot;00E15B8F&quot;/&gt;&lt;wsp:rsid wsp:val=&quot;00E15F14&quot;/&gt;&lt;wsp:rsid wsp:val=&quot;00E164D5&quot;/&gt;&lt;wsp:rsid wsp:val=&quot;00E1651C&quot;/&gt;&lt;wsp:rsid wsp:val=&quot;00E171BB&quot;/&gt;&lt;wsp:rsid wsp:val=&quot;00E174E9&quot;/&gt;&lt;wsp:rsid wsp:val=&quot;00E176B4&quot;/&gt;&lt;wsp:rsid wsp:val=&quot;00E205D9&quot;/&gt;&lt;wsp:rsid wsp:val=&quot;00E20B69&quot;/&gt;&lt;wsp:rsid wsp:val=&quot;00E20CEF&quot;/&gt;&lt;wsp:rsid wsp:val=&quot;00E21331&quot;/&gt;&lt;wsp:rsid wsp:val=&quot;00E219C5&quot;/&gt;&lt;wsp:rsid wsp:val=&quot;00E22C74&quot;/&gt;&lt;wsp:rsid wsp:val=&quot;00E22C95&quot;/&gt;&lt;wsp:rsid wsp:val=&quot;00E2361F&quot;/&gt;&lt;wsp:rsid wsp:val=&quot;00E23A31&quot;/&gt;&lt;wsp:rsid wsp:val=&quot;00E23CFC&quot;/&gt;&lt;wsp:rsid wsp:val=&quot;00E23F16&quot;/&gt;&lt;wsp:rsid wsp:val=&quot;00E24126&quot;/&gt;&lt;wsp:rsid wsp:val=&quot;00E242B5&quot;/&gt;&lt;wsp:rsid wsp:val=&quot;00E2620F&quot;/&gt;&lt;wsp:rsid wsp:val=&quot;00E26356&quot;/&gt;&lt;wsp:rsid wsp:val=&quot;00E2656A&quot;/&gt;&lt;wsp:rsid wsp:val=&quot;00E26D91&quot;/&gt;&lt;wsp:rsid wsp:val=&quot;00E27D26&quot;/&gt;&lt;wsp:rsid wsp:val=&quot;00E27F8E&quot;/&gt;&lt;wsp:rsid wsp:val=&quot;00E30AF6&quot;/&gt;&lt;wsp:rsid wsp:val=&quot;00E313CC&quot;/&gt;&lt;wsp:rsid wsp:val=&quot;00E31679&quot;/&gt;&lt;wsp:rsid wsp:val=&quot;00E322CB&quot;/&gt;&lt;wsp:rsid wsp:val=&quot;00E327BB&quot;/&gt;&lt;wsp:rsid wsp:val=&quot;00E34585&quot;/&gt;&lt;wsp:rsid wsp:val=&quot;00E34C35&quot;/&gt;&lt;wsp:rsid wsp:val=&quot;00E35685&quot;/&gt;&lt;wsp:rsid wsp:val=&quot;00E36672&quot;/&gt;&lt;wsp:rsid wsp:val=&quot;00E36826&quot;/&gt;&lt;wsp:rsid wsp:val=&quot;00E36D79&quot;/&gt;&lt;wsp:rsid wsp:val=&quot;00E36EA9&quot;/&gt;&lt;wsp:rsid wsp:val=&quot;00E373CA&quot;/&gt;&lt;wsp:rsid wsp:val=&quot;00E3765E&quot;/&gt;&lt;wsp:rsid wsp:val=&quot;00E37B06&quot;/&gt;&lt;wsp:rsid wsp:val=&quot;00E37FF6&quot;/&gt;&lt;wsp:rsid wsp:val=&quot;00E40C7A&quot;/&gt;&lt;wsp:rsid wsp:val=&quot;00E40EEB&quot;/&gt;&lt;wsp:rsid wsp:val=&quot;00E40F29&quot;/&gt;&lt;wsp:rsid wsp:val=&quot;00E4120D&quot;/&gt;&lt;wsp:rsid wsp:val=&quot;00E412D0&quot;/&gt;&lt;wsp:rsid wsp:val=&quot;00E415A2&quot;/&gt;&lt;wsp:rsid wsp:val=&quot;00E417AA&quot;/&gt;&lt;wsp:rsid wsp:val=&quot;00E422A8&quot;/&gt;&lt;wsp:rsid wsp:val=&quot;00E42669&quot;/&gt;&lt;wsp:rsid wsp:val=&quot;00E4272C&quot;/&gt;&lt;wsp:rsid wsp:val=&quot;00E44493&quot;/&gt;&lt;wsp:rsid wsp:val=&quot;00E44531&quot;/&gt;&lt;wsp:rsid wsp:val=&quot;00E456E1&quot;/&gt;&lt;wsp:rsid wsp:val=&quot;00E460A0&quot;/&gt;&lt;wsp:rsid wsp:val=&quot;00E46CC7&quot;/&gt;&lt;wsp:rsid wsp:val=&quot;00E46DC4&quot;/&gt;&lt;wsp:rsid wsp:val=&quot;00E478E3&quot;/&gt;&lt;wsp:rsid wsp:val=&quot;00E47A47&quot;/&gt;&lt;wsp:rsid wsp:val=&quot;00E47EBE&quot;/&gt;&lt;wsp:rsid wsp:val=&quot;00E50140&quot;/&gt;&lt;wsp:rsid wsp:val=&quot;00E50CEF&quot;/&gt;&lt;wsp:rsid wsp:val=&quot;00E510BF&quot;/&gt;&lt;wsp:rsid wsp:val=&quot;00E51B1B&quot;/&gt;&lt;wsp:rsid wsp:val=&quot;00E52060&quot;/&gt;&lt;wsp:rsid wsp:val=&quot;00E521E6&quot;/&gt;&lt;wsp:rsid wsp:val=&quot;00E52FF3&quot;/&gt;&lt;wsp:rsid wsp:val=&quot;00E53281&quot;/&gt;&lt;wsp:rsid wsp:val=&quot;00E533CB&quot;/&gt;&lt;wsp:rsid wsp:val=&quot;00E5359B&quot;/&gt;&lt;wsp:rsid wsp:val=&quot;00E538F1&quot;/&gt;&lt;wsp:rsid wsp:val=&quot;00E539F9&quot;/&gt;&lt;wsp:rsid wsp:val=&quot;00E53A23&quot;/&gt;&lt;wsp:rsid wsp:val=&quot;00E5454A&quot;/&gt;&lt;wsp:rsid wsp:val=&quot;00E55F44&quot;/&gt;&lt;wsp:rsid wsp:val=&quot;00E560B8&quot;/&gt;&lt;wsp:rsid wsp:val=&quot;00E56322&quot;/&gt;&lt;wsp:rsid wsp:val=&quot;00E568DD&quot;/&gt;&lt;wsp:rsid wsp:val=&quot;00E5696B&quot;/&gt;&lt;wsp:rsid wsp:val=&quot;00E56A64&quot;/&gt;&lt;wsp:rsid wsp:val=&quot;00E56E12&quot;/&gt;&lt;wsp:rsid wsp:val=&quot;00E57F55&quot;/&gt;&lt;wsp:rsid wsp:val=&quot;00E6047B&quot;/&gt;&lt;wsp:rsid wsp:val=&quot;00E60982&quot;/&gt;&lt;wsp:rsid wsp:val=&quot;00E61972&quot;/&gt;&lt;wsp:rsid wsp:val=&quot;00E62092&quot;/&gt;&lt;wsp:rsid wsp:val=&quot;00E62863&quot;/&gt;&lt;wsp:rsid wsp:val=&quot;00E62A12&quot;/&gt;&lt;wsp:rsid wsp:val=&quot;00E62C62&quot;/&gt;&lt;wsp:rsid wsp:val=&quot;00E62E68&quot;/&gt;&lt;wsp:rsid wsp:val=&quot;00E631CB&quot;/&gt;&lt;wsp:rsid wsp:val=&quot;00E63AD2&quot;/&gt;&lt;wsp:rsid wsp:val=&quot;00E642B3&quot;/&gt;&lt;wsp:rsid wsp:val=&quot;00E64F93&quot;/&gt;&lt;wsp:rsid wsp:val=&quot;00E65210&quot;/&gt;&lt;wsp:rsid wsp:val=&quot;00E654C1&quot;/&gt;&lt;wsp:rsid wsp:val=&quot;00E65770&quot;/&gt;&lt;wsp:rsid wsp:val=&quot;00E65D97&quot;/&gt;&lt;wsp:rsid wsp:val=&quot;00E66142&quot;/&gt;&lt;wsp:rsid wsp:val=&quot;00E6655A&quot;/&gt;&lt;wsp:rsid wsp:val=&quot;00E6736C&quot;/&gt;&lt;wsp:rsid wsp:val=&quot;00E673DB&quot;/&gt;&lt;wsp:rsid wsp:val=&quot;00E67B3F&quot;/&gt;&lt;wsp:rsid wsp:val=&quot;00E67D8C&quot;/&gt;&lt;wsp:rsid wsp:val=&quot;00E7120C&quot;/&gt;&lt;wsp:rsid wsp:val=&quot;00E71DBB&quot;/&gt;&lt;wsp:rsid wsp:val=&quot;00E71EE5&quot;/&gt;&lt;wsp:rsid wsp:val=&quot;00E71FA8&quot;/&gt;&lt;wsp:rsid wsp:val=&quot;00E723F1&quot;/&gt;&lt;wsp:rsid wsp:val=&quot;00E724A7&quot;/&gt;&lt;wsp:rsid wsp:val=&quot;00E72A5A&quot;/&gt;&lt;wsp:rsid wsp:val=&quot;00E73354&quot;/&gt;&lt;wsp:rsid wsp:val=&quot;00E7337D&quot;/&gt;&lt;wsp:rsid wsp:val=&quot;00E73564&quot;/&gt;&lt;wsp:rsid wsp:val=&quot;00E73927&quot;/&gt;&lt;wsp:rsid wsp:val=&quot;00E739CD&quot;/&gt;&lt;wsp:rsid wsp:val=&quot;00E740B1&quot;/&gt;&lt;wsp:rsid wsp:val=&quot;00E752F7&quot;/&gt;&lt;wsp:rsid wsp:val=&quot;00E76147&quot;/&gt;&lt;wsp:rsid wsp:val=&quot;00E768EE&quot;/&gt;&lt;wsp:rsid wsp:val=&quot;00E76B06&quot;/&gt;&lt;wsp:rsid wsp:val=&quot;00E76E3D&quot;/&gt;&lt;wsp:rsid wsp:val=&quot;00E778F7&quot;/&gt;&lt;wsp:rsid wsp:val=&quot;00E77DD4&quot;/&gt;&lt;wsp:rsid wsp:val=&quot;00E77DD9&quot;/&gt;&lt;wsp:rsid wsp:val=&quot;00E77F8E&quot;/&gt;&lt;wsp:rsid wsp:val=&quot;00E802FC&quot;/&gt;&lt;wsp:rsid wsp:val=&quot;00E80432&quot;/&gt;&lt;wsp:rsid wsp:val=&quot;00E80565&quot;/&gt;&lt;wsp:rsid wsp:val=&quot;00E806B1&quot;/&gt;&lt;wsp:rsid wsp:val=&quot;00E80D7F&quot;/&gt;&lt;wsp:rsid wsp:val=&quot;00E815D0&quot;/&gt;&lt;wsp:rsid wsp:val=&quot;00E81703&quot;/&gt;&lt;wsp:rsid wsp:val=&quot;00E81940&quot;/&gt;&lt;wsp:rsid wsp:val=&quot;00E81B4C&quot;/&gt;&lt;wsp:rsid wsp:val=&quot;00E8288F&quot;/&gt;&lt;wsp:rsid wsp:val=&quot;00E82C28&quot;/&gt;&lt;wsp:rsid wsp:val=&quot;00E82D78&quot;/&gt;&lt;wsp:rsid wsp:val=&quot;00E83025&quot;/&gt;&lt;wsp:rsid wsp:val=&quot;00E83B7A&quot;/&gt;&lt;wsp:rsid wsp:val=&quot;00E843A3&quot;/&gt;&lt;wsp:rsid wsp:val=&quot;00E851C1&quot;/&gt;&lt;wsp:rsid wsp:val=&quot;00E85872&quot;/&gt;&lt;wsp:rsid wsp:val=&quot;00E85C4F&quot;/&gt;&lt;wsp:rsid wsp:val=&quot;00E86331&quot;/&gt;&lt;wsp:rsid wsp:val=&quot;00E8641B&quot;/&gt;&lt;wsp:rsid wsp:val=&quot;00E87445&quot;/&gt;&lt;wsp:rsid wsp:val=&quot;00E8752B&quot;/&gt;&lt;wsp:rsid wsp:val=&quot;00E877E8&quot;/&gt;&lt;wsp:rsid wsp:val=&quot;00E903B8&quot;/&gt;&lt;wsp:rsid wsp:val=&quot;00E9126D&quot;/&gt;&lt;wsp:rsid wsp:val=&quot;00E913EE&quot;/&gt;&lt;wsp:rsid wsp:val=&quot;00E9224A&quot;/&gt;&lt;wsp:rsid wsp:val=&quot;00E9242D&quot;/&gt;&lt;wsp:rsid wsp:val=&quot;00E924A2&quot;/&gt;&lt;wsp:rsid wsp:val=&quot;00E93666&quot;/&gt;&lt;wsp:rsid wsp:val=&quot;00E93D61&quot;/&gt;&lt;wsp:rsid wsp:val=&quot;00E94187&quot;/&gt;&lt;wsp:rsid wsp:val=&quot;00E941F4&quot;/&gt;&lt;wsp:rsid wsp:val=&quot;00E94370&quot;/&gt;&lt;wsp:rsid wsp:val=&quot;00E95325&quot;/&gt;&lt;wsp:rsid wsp:val=&quot;00E96F30&quot;/&gt;&lt;wsp:rsid wsp:val=&quot;00E97159&quot;/&gt;&lt;wsp:rsid wsp:val=&quot;00E97A3D&quot;/&gt;&lt;wsp:rsid wsp:val=&quot;00EA0D88&quot;/&gt;&lt;wsp:rsid wsp:val=&quot;00EA1064&quot;/&gt;&lt;wsp:rsid wsp:val=&quot;00EA17B2&quot;/&gt;&lt;wsp:rsid wsp:val=&quot;00EA1E90&quot;/&gt;&lt;wsp:rsid wsp:val=&quot;00EA206F&quot;/&gt;&lt;wsp:rsid wsp:val=&quot;00EA2F66&quot;/&gt;&lt;wsp:rsid wsp:val=&quot;00EA30EF&quot;/&gt;&lt;wsp:rsid wsp:val=&quot;00EA3908&quot;/&gt;&lt;wsp:rsid wsp:val=&quot;00EA404E&quot;/&gt;&lt;wsp:rsid wsp:val=&quot;00EA43BF&quot;/&gt;&lt;wsp:rsid wsp:val=&quot;00EA4A62&quot;/&gt;&lt;wsp:rsid wsp:val=&quot;00EA500F&quot;/&gt;&lt;wsp:rsid wsp:val=&quot;00EA52E4&quot;/&gt;&lt;wsp:rsid wsp:val=&quot;00EA5B7D&quot;/&gt;&lt;wsp:rsid wsp:val=&quot;00EA7116&quot;/&gt;&lt;wsp:rsid wsp:val=&quot;00EA734D&quot;/&gt;&lt;wsp:rsid wsp:val=&quot;00EA738C&quot;/&gt;&lt;wsp:rsid wsp:val=&quot;00EB00AC&quot;/&gt;&lt;wsp:rsid wsp:val=&quot;00EB0145&quot;/&gt;&lt;wsp:rsid wsp:val=&quot;00EB0513&quot;/&gt;&lt;wsp:rsid wsp:val=&quot;00EB07AA&quot;/&gt;&lt;wsp:rsid wsp:val=&quot;00EB1CFE&quot;/&gt;&lt;wsp:rsid wsp:val=&quot;00EB1F47&quot;/&gt;&lt;wsp:rsid wsp:val=&quot;00EB2DF2&quot;/&gt;&lt;wsp:rsid wsp:val=&quot;00EB33D6&quot;/&gt;&lt;wsp:rsid wsp:val=&quot;00EB4E3A&quot;/&gt;&lt;wsp:rsid wsp:val=&quot;00EB4E97&quot;/&gt;&lt;wsp:rsid wsp:val=&quot;00EB5255&quot;/&gt;&lt;wsp:rsid wsp:val=&quot;00EB57FE&quot;/&gt;&lt;wsp:rsid wsp:val=&quot;00EB59E7&quot;/&gt;&lt;wsp:rsid wsp:val=&quot;00EB5C47&quot;/&gt;&lt;wsp:rsid wsp:val=&quot;00EB5D20&quot;/&gt;&lt;wsp:rsid wsp:val=&quot;00EB5D28&quot;/&gt;&lt;wsp:rsid wsp:val=&quot;00EB653B&quot;/&gt;&lt;wsp:rsid wsp:val=&quot;00EB7BAE&quot;/&gt;&lt;wsp:rsid wsp:val=&quot;00EC0F11&quot;/&gt;&lt;wsp:rsid wsp:val=&quot;00EC1011&quot;/&gt;&lt;wsp:rsid wsp:val=&quot;00EC11A1&quot;/&gt;&lt;wsp:rsid wsp:val=&quot;00EC14A4&quot;/&gt;&lt;wsp:rsid wsp:val=&quot;00EC1943&quot;/&gt;&lt;wsp:rsid wsp:val=&quot;00EC2EAD&quot;/&gt;&lt;wsp:rsid wsp:val=&quot;00EC2ED9&quot;/&gt;&lt;wsp:rsid wsp:val=&quot;00EC3652&quot;/&gt;&lt;wsp:rsid wsp:val=&quot;00EC3B55&quot;/&gt;&lt;wsp:rsid wsp:val=&quot;00EC3D63&quot;/&gt;&lt;wsp:rsid wsp:val=&quot;00EC492F&quot;/&gt;&lt;wsp:rsid wsp:val=&quot;00EC4FEB&quot;/&gt;&lt;wsp:rsid wsp:val=&quot;00EC59A8&quot;/&gt;&lt;wsp:rsid wsp:val=&quot;00EC5A67&quot;/&gt;&lt;wsp:rsid wsp:val=&quot;00EC5D34&quot;/&gt;&lt;wsp:rsid wsp:val=&quot;00EC60D4&quot;/&gt;&lt;wsp:rsid wsp:val=&quot;00EC79EA&quot;/&gt;&lt;wsp:rsid wsp:val=&quot;00EC7A47&quot;/&gt;&lt;wsp:rsid wsp:val=&quot;00EC7C47&quot;/&gt;&lt;wsp:rsid wsp:val=&quot;00EC7F64&quot;/&gt;&lt;wsp:rsid wsp:val=&quot;00ED0639&quot;/&gt;&lt;wsp:rsid wsp:val=&quot;00ED06BE&quot;/&gt;&lt;wsp:rsid wsp:val=&quot;00ED06FE&quot;/&gt;&lt;wsp:rsid wsp:val=&quot;00ED0D7C&quot;/&gt;&lt;wsp:rsid wsp:val=&quot;00ED142F&quot;/&gt;&lt;wsp:rsid wsp:val=&quot;00ED152B&quot;/&gt;&lt;wsp:rsid wsp:val=&quot;00ED16DC&quot;/&gt;&lt;wsp:rsid wsp:val=&quot;00ED1A3E&quot;/&gt;&lt;wsp:rsid wsp:val=&quot;00ED2990&quot;/&gt;&lt;wsp:rsid wsp:val=&quot;00ED2A61&quot;/&gt;&lt;wsp:rsid wsp:val=&quot;00ED31CA&quot;/&gt;&lt;wsp:rsid wsp:val=&quot;00ED3DE9&quot;/&gt;&lt;wsp:rsid wsp:val=&quot;00ED41D7&quot;/&gt;&lt;wsp:rsid wsp:val=&quot;00ED4669&quot;/&gt;&lt;wsp:rsid wsp:val=&quot;00ED46E0&quot;/&gt;&lt;wsp:rsid wsp:val=&quot;00ED47FB&quot;/&gt;&lt;wsp:rsid wsp:val=&quot;00ED482B&quot;/&gt;&lt;wsp:rsid wsp:val=&quot;00ED4BE0&quot;/&gt;&lt;wsp:rsid wsp:val=&quot;00ED5263&quot;/&gt;&lt;wsp:rsid wsp:val=&quot;00ED52AE&quot;/&gt;&lt;wsp:rsid wsp:val=&quot;00ED55BC&quot;/&gt;&lt;wsp:rsid wsp:val=&quot;00ED5780&quot;/&gt;&lt;wsp:rsid wsp:val=&quot;00ED60E6&quot;/&gt;&lt;wsp:rsid wsp:val=&quot;00ED63C2&quot;/&gt;&lt;wsp:rsid wsp:val=&quot;00ED7024&quot;/&gt;&lt;wsp:rsid wsp:val=&quot;00ED749A&quot;/&gt;&lt;wsp:rsid wsp:val=&quot;00ED7FAF&quot;/&gt;&lt;wsp:rsid wsp:val=&quot;00EE031E&quot;/&gt;&lt;wsp:rsid wsp:val=&quot;00EE13EE&quot;/&gt;&lt;wsp:rsid wsp:val=&quot;00EE3EA9&quot;/&gt;&lt;wsp:rsid wsp:val=&quot;00EE4187&quot;/&gt;&lt;wsp:rsid wsp:val=&quot;00EE425D&quot;/&gt;&lt;wsp:rsid wsp:val=&quot;00EE4390&quot;/&gt;&lt;wsp:rsid wsp:val=&quot;00EE51C4&quot;/&gt;&lt;wsp:rsid wsp:val=&quot;00EE5331&quot;/&gt;&lt;wsp:rsid wsp:val=&quot;00EE5F0A&quot;/&gt;&lt;wsp:rsid wsp:val=&quot;00EE5FF1&quot;/&gt;&lt;wsp:rsid wsp:val=&quot;00EE629C&quot;/&gt;&lt;wsp:rsid wsp:val=&quot;00EE6A7C&quot;/&gt;&lt;wsp:rsid wsp:val=&quot;00EE77C7&quot;/&gt;&lt;wsp:rsid wsp:val=&quot;00EE7BFD&quot;/&gt;&lt;wsp:rsid wsp:val=&quot;00EF0354&quot;/&gt;&lt;wsp:rsid wsp:val=&quot;00EF14A0&quot;/&gt;&lt;wsp:rsid wsp:val=&quot;00EF1770&quot;/&gt;&lt;wsp:rsid wsp:val=&quot;00EF1A6A&quot;/&gt;&lt;wsp:rsid wsp:val=&quot;00EF1AD8&quot;/&gt;&lt;wsp:rsid wsp:val=&quot;00EF1E8F&quot;/&gt;&lt;wsp:rsid wsp:val=&quot;00EF1EDF&quot;/&gt;&lt;wsp:rsid wsp:val=&quot;00EF215B&quot;/&gt;&lt;wsp:rsid wsp:val=&quot;00EF2446&quot;/&gt;&lt;wsp:rsid wsp:val=&quot;00EF24D5&quot;/&gt;&lt;wsp:rsid wsp:val=&quot;00EF2670&quot;/&gt;&lt;wsp:rsid wsp:val=&quot;00EF2CFA&quot;/&gt;&lt;wsp:rsid wsp:val=&quot;00EF33D1&quot;/&gt;&lt;wsp:rsid wsp:val=&quot;00EF38D7&quot;/&gt;&lt;wsp:rsid wsp:val=&quot;00EF4755&quot;/&gt;&lt;wsp:rsid wsp:val=&quot;00EF4D1B&quot;/&gt;&lt;wsp:rsid wsp:val=&quot;00EF565E&quot;/&gt;&lt;wsp:rsid wsp:val=&quot;00EF5901&quot;/&gt;&lt;wsp:rsid wsp:val=&quot;00EF5943&quot;/&gt;&lt;wsp:rsid wsp:val=&quot;00EF6C64&quot;/&gt;&lt;wsp:rsid wsp:val=&quot;00EF7135&quot;/&gt;&lt;wsp:rsid wsp:val=&quot;00EF785E&quot;/&gt;&lt;wsp:rsid wsp:val=&quot;00EF7AB7&quot;/&gt;&lt;wsp:rsid wsp:val=&quot;00EF7CC6&quot;/&gt;&lt;wsp:rsid wsp:val=&quot;00F00DAA&quot;/&gt;&lt;wsp:rsid wsp:val=&quot;00F01F55&quot;/&gt;&lt;wsp:rsid wsp:val=&quot;00F02554&quot;/&gt;&lt;wsp:rsid wsp:val=&quot;00F027DB&quot;/&gt;&lt;wsp:rsid wsp:val=&quot;00F03744&quot;/&gt;&lt;wsp:rsid wsp:val=&quot;00F0378D&quot;/&gt;&lt;wsp:rsid wsp:val=&quot;00F03A02&quot;/&gt;&lt;wsp:rsid wsp:val=&quot;00F03D45&quot;/&gt;&lt;wsp:rsid wsp:val=&quot;00F05101&quot;/&gt;&lt;wsp:rsid wsp:val=&quot;00F05276&quot;/&gt;&lt;wsp:rsid wsp:val=&quot;00F0549F&quot;/&gt;&lt;wsp:rsid wsp:val=&quot;00F05DA6&quot;/&gt;&lt;wsp:rsid wsp:val=&quot;00F05DE1&quot;/&gt;&lt;wsp:rsid wsp:val=&quot;00F05ED9&quot;/&gt;&lt;wsp:rsid wsp:val=&quot;00F06CE3&quot;/&gt;&lt;wsp:rsid wsp:val=&quot;00F10210&quot;/&gt;&lt;wsp:rsid wsp:val=&quot;00F11C25&quot;/&gt;&lt;wsp:rsid wsp:val=&quot;00F122EF&quot;/&gt;&lt;wsp:rsid wsp:val=&quot;00F12B3F&quot;/&gt;&lt;wsp:rsid wsp:val=&quot;00F12C48&quot;/&gt;&lt;wsp:rsid wsp:val=&quot;00F13AFC&quot;/&gt;&lt;wsp:rsid wsp:val=&quot;00F13BFC&quot;/&gt;&lt;wsp:rsid wsp:val=&quot;00F14026&quot;/&gt;&lt;wsp:rsid wsp:val=&quot;00F1460F&quot;/&gt;&lt;wsp:rsid wsp:val=&quot;00F14A7A&quot;/&gt;&lt;wsp:rsid wsp:val=&quot;00F14E08&quot;/&gt;&lt;wsp:rsid wsp:val=&quot;00F15068&quot;/&gt;&lt;wsp:rsid wsp:val=&quot;00F1577B&quot;/&gt;&lt;wsp:rsid wsp:val=&quot;00F159EC&quot;/&gt;&lt;wsp:rsid wsp:val=&quot;00F15AD4&quot;/&gt;&lt;wsp:rsid wsp:val=&quot;00F15DB5&quot;/&gt;&lt;wsp:rsid wsp:val=&quot;00F15E6A&quot;/&gt;&lt;wsp:rsid wsp:val=&quot;00F15EFE&quot;/&gt;&lt;wsp:rsid wsp:val=&quot;00F164E0&quot;/&gt;&lt;wsp:rsid wsp:val=&quot;00F1687E&quot;/&gt;&lt;wsp:rsid wsp:val=&quot;00F16AC6&quot;/&gt;&lt;wsp:rsid wsp:val=&quot;00F16FC7&quot;/&gt;&lt;wsp:rsid wsp:val=&quot;00F176CE&quot;/&gt;&lt;wsp:rsid wsp:val=&quot;00F17930&quot;/&gt;&lt;wsp:rsid wsp:val=&quot;00F17AE2&quot;/&gt;&lt;wsp:rsid wsp:val=&quot;00F20C1F&quot;/&gt;&lt;wsp:rsid wsp:val=&quot;00F221B2&quot;/&gt;&lt;wsp:rsid wsp:val=&quot;00F225BA&quot;/&gt;&lt;wsp:rsid wsp:val=&quot;00F22687&quot;/&gt;&lt;wsp:rsid wsp:val=&quot;00F22985&quot;/&gt;&lt;wsp:rsid wsp:val=&quot;00F22ABA&quot;/&gt;&lt;wsp:rsid wsp:val=&quot;00F22E75&quot;/&gt;&lt;wsp:rsid wsp:val=&quot;00F2321E&quot;/&gt;&lt;wsp:rsid wsp:val=&quot;00F23333&quot;/&gt;&lt;wsp:rsid wsp:val=&quot;00F25267&quot;/&gt;&lt;wsp:rsid wsp:val=&quot;00F25999&quot;/&gt;&lt;wsp:rsid wsp:val=&quot;00F25B06&quot;/&gt;&lt;wsp:rsid wsp:val=&quot;00F25DF3&quot;/&gt;&lt;wsp:rsid wsp:val=&quot;00F2616A&quot;/&gt;&lt;wsp:rsid wsp:val=&quot;00F26F8F&quot;/&gt;&lt;wsp:rsid wsp:val=&quot;00F271C0&quot;/&gt;&lt;wsp:rsid wsp:val=&quot;00F27615&quot;/&gt;&lt;wsp:rsid wsp:val=&quot;00F27973&quot;/&gt;&lt;wsp:rsid wsp:val=&quot;00F30E38&quot;/&gt;&lt;wsp:rsid wsp:val=&quot;00F30F69&quot;/&gt;&lt;wsp:rsid wsp:val=&quot;00F31419&quot;/&gt;&lt;wsp:rsid wsp:val=&quot;00F3153B&quot;/&gt;&lt;wsp:rsid wsp:val=&quot;00F32291&quot;/&gt;&lt;wsp:rsid wsp:val=&quot;00F322DA&quot;/&gt;&lt;wsp:rsid wsp:val=&quot;00F323FC&quot;/&gt;&lt;wsp:rsid wsp:val=&quot;00F326F7&quot;/&gt;&lt;wsp:rsid wsp:val=&quot;00F32CC7&quot;/&gt;&lt;wsp:rsid wsp:val=&quot;00F32EB7&quot;/&gt;&lt;wsp:rsid wsp:val=&quot;00F336C7&quot;/&gt;&lt;wsp:rsid wsp:val=&quot;00F3383E&quot;/&gt;&lt;wsp:rsid wsp:val=&quot;00F33ED9&quot;/&gt;&lt;wsp:rsid wsp:val=&quot;00F34813&quot;/&gt;&lt;wsp:rsid wsp:val=&quot;00F356E6&quot;/&gt;&lt;wsp:rsid wsp:val=&quot;00F359A6&quot;/&gt;&lt;wsp:rsid wsp:val=&quot;00F36BA2&quot;/&gt;&lt;wsp:rsid wsp:val=&quot;00F36DE8&quot;/&gt;&lt;wsp:rsid wsp:val=&quot;00F37970&quot;/&gt;&lt;wsp:rsid wsp:val=&quot;00F40110&quot;/&gt;&lt;wsp:rsid wsp:val=&quot;00F4100C&quot;/&gt;&lt;wsp:rsid wsp:val=&quot;00F41464&quot;/&gt;&lt;wsp:rsid wsp:val=&quot;00F423CE&quot;/&gt;&lt;wsp:rsid wsp:val=&quot;00F42592&quot;/&gt;&lt;wsp:rsid wsp:val=&quot;00F42F07&quot;/&gt;&lt;wsp:rsid wsp:val=&quot;00F431BB&quot;/&gt;&lt;wsp:rsid wsp:val=&quot;00F444E6&quot;/&gt;&lt;wsp:rsid wsp:val=&quot;00F44B8A&quot;/&gt;&lt;wsp:rsid wsp:val=&quot;00F44D94&quot;/&gt;&lt;wsp:rsid wsp:val=&quot;00F45060&quot;/&gt;&lt;wsp:rsid wsp:val=&quot;00F45BDF&quot;/&gt;&lt;wsp:rsid wsp:val=&quot;00F45E07&quot;/&gt;&lt;wsp:rsid wsp:val=&quot;00F45F44&quot;/&gt;&lt;wsp:rsid wsp:val=&quot;00F465A7&quot;/&gt;&lt;wsp:rsid wsp:val=&quot;00F466E2&quot;/&gt;&lt;wsp:rsid wsp:val=&quot;00F466FB&quot;/&gt;&lt;wsp:rsid wsp:val=&quot;00F476CF&quot;/&gt;&lt;wsp:rsid wsp:val=&quot;00F47B88&quot;/&gt;&lt;wsp:rsid wsp:val=&quot;00F50B7C&quot;/&gt;&lt;wsp:rsid wsp:val=&quot;00F514E1&quot;/&gt;&lt;wsp:rsid wsp:val=&quot;00F5192A&quot;/&gt;&lt;wsp:rsid wsp:val=&quot;00F51B15&quot;/&gt;&lt;wsp:rsid wsp:val=&quot;00F51EFA&quot;/&gt;&lt;wsp:rsid wsp:val=&quot;00F533E7&quot;/&gt;&lt;wsp:rsid wsp:val=&quot;00F53727&quot;/&gt;&lt;wsp:rsid wsp:val=&quot;00F53FBA&quot;/&gt;&lt;wsp:rsid wsp:val=&quot;00F54264&quot;/&gt;&lt;wsp:rsid wsp:val=&quot;00F5426D&quot;/&gt;&lt;wsp:rsid wsp:val=&quot;00F545CB&quot;/&gt;&lt;wsp:rsid wsp:val=&quot;00F54699&quot;/&gt;&lt;wsp:rsid wsp:val=&quot;00F54964&quot;/&gt;&lt;wsp:rsid wsp:val=&quot;00F550E6&quot;/&gt;&lt;wsp:rsid wsp:val=&quot;00F5586C&quot;/&gt;&lt;wsp:rsid wsp:val=&quot;00F5623C&quot;/&gt;&lt;wsp:rsid wsp:val=&quot;00F56582&quot;/&gt;&lt;wsp:rsid wsp:val=&quot;00F56ABF&quot;/&gt;&lt;wsp:rsid wsp:val=&quot;00F56B4F&quot;/&gt;&lt;wsp:rsid wsp:val=&quot;00F5707F&quot;/&gt;&lt;wsp:rsid wsp:val=&quot;00F60469&quot;/&gt;&lt;wsp:rsid wsp:val=&quot;00F60511&quot;/&gt;&lt;wsp:rsid wsp:val=&quot;00F6062E&quot;/&gt;&lt;wsp:rsid wsp:val=&quot;00F6069A&quot;/&gt;&lt;wsp:rsid wsp:val=&quot;00F607BA&quot;/&gt;&lt;wsp:rsid wsp:val=&quot;00F60F24&quot;/&gt;&lt;wsp:rsid wsp:val=&quot;00F60FCE&quot;/&gt;&lt;wsp:rsid wsp:val=&quot;00F6160C&quot;/&gt;&lt;wsp:rsid wsp:val=&quot;00F61D1D&quot;/&gt;&lt;wsp:rsid wsp:val=&quot;00F61E7C&quot;/&gt;&lt;wsp:rsid wsp:val=&quot;00F62156&quot;/&gt;&lt;wsp:rsid wsp:val=&quot;00F628A6&quot;/&gt;&lt;wsp:rsid wsp:val=&quot;00F62BB6&quot;/&gt;&lt;wsp:rsid wsp:val=&quot;00F63120&quot;/&gt;&lt;wsp:rsid wsp:val=&quot;00F63FAF&quot;/&gt;&lt;wsp:rsid wsp:val=&quot;00F64F45&quot;/&gt;&lt;wsp:rsid wsp:val=&quot;00F650D5&quot;/&gt;&lt;wsp:rsid wsp:val=&quot;00F6556C&quot;/&gt;&lt;wsp:rsid wsp:val=&quot;00F65FF3&quot;/&gt;&lt;wsp:rsid wsp:val=&quot;00F67049&quot;/&gt;&lt;wsp:rsid wsp:val=&quot;00F67FC7&quot;/&gt;&lt;wsp:rsid wsp:val=&quot;00F70181&quot;/&gt;&lt;wsp:rsid wsp:val=&quot;00F70C1E&quot;/&gt;&lt;wsp:rsid wsp:val=&quot;00F7153C&quot;/&gt;&lt;wsp:rsid wsp:val=&quot;00F715EC&quot;/&gt;&lt;wsp:rsid wsp:val=&quot;00F7191F&quot;/&gt;&lt;wsp:rsid wsp:val=&quot;00F71DED&quot;/&gt;&lt;wsp:rsid wsp:val=&quot;00F74345&quot;/&gt;&lt;wsp:rsid wsp:val=&quot;00F74881&quot;/&gt;&lt;wsp:rsid wsp:val=&quot;00F74B66&quot;/&gt;&lt;wsp:rsid wsp:val=&quot;00F74BA2&quot;/&gt;&lt;wsp:rsid wsp:val=&quot;00F74E18&quot;/&gt;&lt;wsp:rsid wsp:val=&quot;00F7563C&quot;/&gt;&lt;wsp:rsid wsp:val=&quot;00F75B68&quot;/&gt;&lt;wsp:rsid wsp:val=&quot;00F75B92&quot;/&gt;&lt;wsp:rsid wsp:val=&quot;00F76CFE&quot;/&gt;&lt;wsp:rsid wsp:val=&quot;00F76F07&quot;/&gt;&lt;wsp:rsid wsp:val=&quot;00F779F1&quot;/&gt;&lt;wsp:rsid wsp:val=&quot;00F77D37&quot;/&gt;&lt;wsp:rsid wsp:val=&quot;00F80355&quot;/&gt;&lt;wsp:rsid wsp:val=&quot;00F8068A&quot;/&gt;&lt;wsp:rsid wsp:val=&quot;00F80A0A&quot;/&gt;&lt;wsp:rsid wsp:val=&quot;00F8103C&quot;/&gt;&lt;wsp:rsid wsp:val=&quot;00F81647&quot;/&gt;&lt;wsp:rsid wsp:val=&quot;00F826F6&quot;/&gt;&lt;wsp:rsid wsp:val=&quot;00F82B19&quot;/&gt;&lt;wsp:rsid wsp:val=&quot;00F8317C&quot;/&gt;&lt;wsp:rsid wsp:val=&quot;00F83C66&quot;/&gt;&lt;wsp:rsid wsp:val=&quot;00F84198&quot;/&gt;&lt;wsp:rsid wsp:val=&quot;00F845AF&quot;/&gt;&lt;wsp:rsid wsp:val=&quot;00F84FF6&quot;/&gt;&lt;wsp:rsid wsp:val=&quot;00F85FA4&quot;/&gt;&lt;wsp:rsid wsp:val=&quot;00F86544&quot;/&gt;&lt;wsp:rsid wsp:val=&quot;00F867F6&quot;/&gt;&lt;wsp:rsid wsp:val=&quot;00F870AC&quot;/&gt;&lt;wsp:rsid wsp:val=&quot;00F876C3&quot;/&gt;&lt;wsp:rsid wsp:val=&quot;00F8797B&quot;/&gt;&lt;wsp:rsid wsp:val=&quot;00F901E4&quot;/&gt;&lt;wsp:rsid wsp:val=&quot;00F903C8&quot;/&gt;&lt;wsp:rsid wsp:val=&quot;00F90643&quot;/&gt;&lt;wsp:rsid wsp:val=&quot;00F90677&quot;/&gt;&lt;wsp:rsid wsp:val=&quot;00F9086D&quot;/&gt;&lt;wsp:rsid wsp:val=&quot;00F9150C&quot;/&gt;&lt;wsp:rsid wsp:val=&quot;00F91AB8&quot;/&gt;&lt;wsp:rsid wsp:val=&quot;00F9210F&quot;/&gt;&lt;wsp:rsid wsp:val=&quot;00F9212D&quot;/&gt;&lt;wsp:rsid wsp:val=&quot;00F92CF2&quot;/&gt;&lt;wsp:rsid wsp:val=&quot;00F92E6B&quot;/&gt;&lt;wsp:rsid wsp:val=&quot;00F92EC0&quot;/&gt;&lt;wsp:rsid wsp:val=&quot;00F93432&quot;/&gt;&lt;wsp:rsid wsp:val=&quot;00F936FE&quot;/&gt;&lt;wsp:rsid wsp:val=&quot;00F93B1A&quot;/&gt;&lt;wsp:rsid wsp:val=&quot;00F93DF1&quot;/&gt;&lt;wsp:rsid wsp:val=&quot;00F94055&quot;/&gt;&lt;wsp:rsid wsp:val=&quot;00F94888&quot;/&gt;&lt;wsp:rsid wsp:val=&quot;00F94A06&quot;/&gt;&lt;wsp:rsid wsp:val=&quot;00F94AA4&quot;/&gt;&lt;wsp:rsid wsp:val=&quot;00F9528D&quot;/&gt;&lt;wsp:rsid wsp:val=&quot;00F95297&quot;/&gt;&lt;wsp:rsid wsp:val=&quot;00F952F1&quot;/&gt;&lt;wsp:rsid wsp:val=&quot;00F96133&quot;/&gt;&lt;wsp:rsid wsp:val=&quot;00F961E0&quot;/&gt;&lt;wsp:rsid wsp:val=&quot;00F9633A&quot;/&gt;&lt;wsp:rsid wsp:val=&quot;00F965DA&quot;/&gt;&lt;wsp:rsid wsp:val=&quot;00F96FA4&quot;/&gt;&lt;wsp:rsid wsp:val=&quot;00F970F7&quot;/&gt;&lt;wsp:rsid wsp:val=&quot;00F9763E&quot;/&gt;&lt;wsp:rsid wsp:val=&quot;00F97E5C&quot;/&gt;&lt;wsp:rsid wsp:val=&quot;00FA0052&quot;/&gt;&lt;wsp:rsid wsp:val=&quot;00FA18F8&quot;/&gt;&lt;wsp:rsid wsp:val=&quot;00FA1A7E&quot;/&gt;&lt;wsp:rsid wsp:val=&quot;00FA1DB6&quot;/&gt;&lt;wsp:rsid wsp:val=&quot;00FA2106&quot;/&gt;&lt;wsp:rsid wsp:val=&quot;00FA2D80&quot;/&gt;&lt;wsp:rsid wsp:val=&quot;00FA320A&quot;/&gt;&lt;wsp:rsid wsp:val=&quot;00FA33D0&quot;/&gt;&lt;wsp:rsid wsp:val=&quot;00FA37B8&quot;/&gt;&lt;wsp:rsid wsp:val=&quot;00FA4000&quot;/&gt;&lt;wsp:rsid wsp:val=&quot;00FA406A&quot;/&gt;&lt;wsp:rsid wsp:val=&quot;00FA460E&quot;/&gt;&lt;wsp:rsid wsp:val=&quot;00FA49F4&quot;/&gt;&lt;wsp:rsid wsp:val=&quot;00FA4BE8&quot;/&gt;&lt;wsp:rsid wsp:val=&quot;00FA51D9&quot;/&gt;&lt;wsp:rsid wsp:val=&quot;00FA5FA8&quot;/&gt;&lt;wsp:rsid wsp:val=&quot;00FA609D&quot;/&gt;&lt;wsp:rsid wsp:val=&quot;00FA6660&quot;/&gt;&lt;wsp:rsid wsp:val=&quot;00FA78A2&quot;/&gt;&lt;wsp:rsid wsp:val=&quot;00FA78C3&quot;/&gt;&lt;wsp:rsid wsp:val=&quot;00FB0825&quot;/&gt;&lt;wsp:rsid wsp:val=&quot;00FB0A12&quot;/&gt;&lt;wsp:rsid wsp:val=&quot;00FB1833&quot;/&gt;&lt;wsp:rsid wsp:val=&quot;00FB1D45&quot;/&gt;&lt;wsp:rsid wsp:val=&quot;00FB27A5&quot;/&gt;&lt;wsp:rsid wsp:val=&quot;00FB2A35&quot;/&gt;&lt;wsp:rsid wsp:val=&quot;00FB2EBF&quot;/&gt;&lt;wsp:rsid wsp:val=&quot;00FB4753&quot;/&gt;&lt;wsp:rsid wsp:val=&quot;00FB479A&quot;/&gt;&lt;wsp:rsid wsp:val=&quot;00FB4814&quot;/&gt;&lt;wsp:rsid wsp:val=&quot;00FB4820&quot;/&gt;&lt;wsp:rsid wsp:val=&quot;00FB488B&quot;/&gt;&lt;wsp:rsid wsp:val=&quot;00FB503A&quot;/&gt;&lt;wsp:rsid wsp:val=&quot;00FB516C&quot;/&gt;&lt;wsp:rsid wsp:val=&quot;00FB5E45&quot;/&gt;&lt;wsp:rsid wsp:val=&quot;00FB661A&quot;/&gt;&lt;wsp:rsid wsp:val=&quot;00FB69E9&quot;/&gt;&lt;wsp:rsid wsp:val=&quot;00FB73D5&quot;/&gt;&lt;wsp:rsid wsp:val=&quot;00FB769D&quot;/&gt;&lt;wsp:rsid wsp:val=&quot;00FB7D96&quot;/&gt;&lt;wsp:rsid wsp:val=&quot;00FC10ED&quot;/&gt;&lt;wsp:rsid wsp:val=&quot;00FC137D&quot;/&gt;&lt;wsp:rsid wsp:val=&quot;00FC27E6&quot;/&gt;&lt;wsp:rsid wsp:val=&quot;00FC2A3B&quot;/&gt;&lt;wsp:rsid wsp:val=&quot;00FC2B35&quot;/&gt;&lt;wsp:rsid wsp:val=&quot;00FC2C40&quot;/&gt;&lt;wsp:rsid wsp:val=&quot;00FC2E99&quot;/&gt;&lt;wsp:rsid wsp:val=&quot;00FC317E&quot;/&gt;&lt;wsp:rsid wsp:val=&quot;00FC3189&quot;/&gt;&lt;wsp:rsid wsp:val=&quot;00FC31CC&quot;/&gt;&lt;wsp:rsid wsp:val=&quot;00FC38E0&quot;/&gt;&lt;wsp:rsid wsp:val=&quot;00FC4033&quot;/&gt;&lt;wsp:rsid wsp:val=&quot;00FC4322&quot;/&gt;&lt;wsp:rsid wsp:val=&quot;00FC488F&quot;/&gt;&lt;wsp:rsid wsp:val=&quot;00FC4D7E&quot;/&gt;&lt;wsp:rsid wsp:val=&quot;00FC51B1&quot;/&gt;&lt;wsp:rsid wsp:val=&quot;00FC61CB&quot;/&gt;&lt;wsp:rsid wsp:val=&quot;00FC6A10&quot;/&gt;&lt;wsp:rsid wsp:val=&quot;00FC712B&quot;/&gt;&lt;wsp:rsid wsp:val=&quot;00FC7568&quot;/&gt;&lt;wsp:rsid wsp:val=&quot;00FC7B85&quot;/&gt;&lt;wsp:rsid wsp:val=&quot;00FD002D&quot;/&gt;&lt;wsp:rsid wsp:val=&quot;00FD0236&quot;/&gt;&lt;wsp:rsid wsp:val=&quot;00FD09EA&quot;/&gt;&lt;wsp:rsid wsp:val=&quot;00FD0EDF&quot;/&gt;&lt;wsp:rsid wsp:val=&quot;00FD18F4&quot;/&gt;&lt;wsp:rsid wsp:val=&quot;00FD3DF7&quot;/&gt;&lt;wsp:rsid wsp:val=&quot;00FD3E4B&quot;/&gt;&lt;wsp:rsid wsp:val=&quot;00FD50D3&quot;/&gt;&lt;wsp:rsid wsp:val=&quot;00FD54DB&quot;/&gt;&lt;wsp:rsid wsp:val=&quot;00FD612A&quot;/&gt;&lt;wsp:rsid wsp:val=&quot;00FD619F&quot;/&gt;&lt;wsp:rsid wsp:val=&quot;00FD6F3F&quot;/&gt;&lt;wsp:rsid wsp:val=&quot;00FD7850&quot;/&gt;&lt;wsp:rsid wsp:val=&quot;00FD79A5&quot;/&gt;&lt;wsp:rsid wsp:val=&quot;00FE0BCA&quot;/&gt;&lt;wsp:rsid wsp:val=&quot;00FE0C56&quot;/&gt;&lt;wsp:rsid wsp:val=&quot;00FE0EEE&quot;/&gt;&lt;wsp:rsid wsp:val=&quot;00FE1309&quot;/&gt;&lt;wsp:rsid wsp:val=&quot;00FE1CA7&quot;/&gt;&lt;wsp:rsid wsp:val=&quot;00FE1D4D&quot;/&gt;&lt;wsp:rsid wsp:val=&quot;00FE2B44&quot;/&gt;&lt;wsp:rsid wsp:val=&quot;00FE2BA0&quot;/&gt;&lt;wsp:rsid wsp:val=&quot;00FE3B4D&quot;/&gt;&lt;wsp:rsid wsp:val=&quot;00FE3FA3&quot;/&gt;&lt;wsp:rsid wsp:val=&quot;00FE5BAA&quot;/&gt;&lt;wsp:rsid wsp:val=&quot;00FE7484&quot;/&gt;&lt;wsp:rsid wsp:val=&quot;00FE7731&quot;/&gt;&lt;wsp:rsid wsp:val=&quot;00FE78C7&quot;/&gt;&lt;wsp:rsid wsp:val=&quot;00FF0175&quot;/&gt;&lt;wsp:rsid wsp:val=&quot;00FF0567&quot;/&gt;&lt;wsp:rsid wsp:val=&quot;00FF08FD&quot;/&gt;&lt;wsp:rsid wsp:val=&quot;00FF096E&quot;/&gt;&lt;wsp:rsid wsp:val=&quot;00FF0A7A&quot;/&gt;&lt;wsp:rsid wsp:val=&quot;00FF0AEF&quot;/&gt;&lt;wsp:rsid wsp:val=&quot;00FF133B&quot;/&gt;&lt;wsp:rsid wsp:val=&quot;00FF1BE3&quot;/&gt;&lt;wsp:rsid wsp:val=&quot;00FF1C7A&quot;/&gt;&lt;wsp:rsid wsp:val=&quot;00FF1FF8&quot;/&gt;&lt;wsp:rsid wsp:val=&quot;00FF217E&quot;/&gt;&lt;wsp:rsid wsp:val=&quot;00FF2FD3&quot;/&gt;&lt;wsp:rsid wsp:val=&quot;00FF41F8&quot;/&gt;&lt;wsp:rsid wsp:val=&quot;00FF4A19&quot;/&gt;&lt;wsp:rsid wsp:val=&quot;00FF4CCF&quot;/&gt;&lt;wsp:rsid wsp:val=&quot;00FF5B05&quot;/&gt;&lt;wsp:rsid wsp:val=&quot;00FF6961&quot;/&gt;&lt;wsp:rsid wsp:val=&quot;00FF7CCE&quot;/&gt;&lt;wsp:rsid wsp:val=&quot;01290F7E&quot;/&gt;&lt;wsp:rsid wsp:val=&quot;015D1E09&quot;/&gt;&lt;wsp:rsid wsp:val=&quot;02697903&quot;/&gt;&lt;wsp:rsid wsp:val=&quot;02F96569&quot;/&gt;&lt;wsp:rsid wsp:val=&quot;03EA7B21&quot;/&gt;&lt;wsp:rsid wsp:val=&quot;05F83EAE&quot;/&gt;&lt;wsp:rsid wsp:val=&quot;063E7D85&quot;/&gt;&lt;wsp:rsid wsp:val=&quot;07293586&quot;/&gt;&lt;wsp:rsid wsp:val=&quot;07295285&quot;/&gt;&lt;wsp:rsid wsp:val=&quot;07636392&quot;/&gt;&lt;wsp:rsid wsp:val=&quot;07770C56&quot;/&gt;&lt;wsp:rsid wsp:val=&quot;092217DD&quot;/&gt;&lt;wsp:rsid wsp:val=&quot;093A7294&quot;/&gt;&lt;wsp:rsid wsp:val=&quot;0A263993&quot;/&gt;&lt;wsp:rsid wsp:val=&quot;0A2D3AC2&quot;/&gt;&lt;wsp:rsid wsp:val=&quot;0AA755DF&quot;/&gt;&lt;wsp:rsid wsp:val=&quot;0B120D44&quot;/&gt;&lt;wsp:rsid wsp:val=&quot;0BD27BF6&quot;/&gt;&lt;wsp:rsid wsp:val=&quot;0BF858C2&quot;/&gt;&lt;wsp:rsid wsp:val=&quot;0C3B3C7D&quot;/&gt;&lt;wsp:rsid wsp:val=&quot;0CAB2EAE&quot;/&gt;&lt;wsp:rsid wsp:val=&quot;0D621C7D&quot;/&gt;&lt;wsp:rsid wsp:val=&quot;0E73034D&quot;/&gt;&lt;wsp:rsid wsp:val=&quot;0F13775A&quot;/&gt;&lt;wsp:rsid wsp:val=&quot;0F5F45FE&quot;/&gt;&lt;wsp:rsid wsp:val=&quot;0F9A112B&quot;/&gt;&lt;wsp:rsid wsp:val=&quot;106D2F64&quot;/&gt;&lt;wsp:rsid wsp:val=&quot;10B63710&quot;/&gt;&lt;wsp:rsid wsp:val=&quot;10F10820&quot;/&gt;&lt;wsp:rsid wsp:val=&quot;111C2F7A&quot;/&gt;&lt;wsp:rsid wsp:val=&quot;11665CA1&quot;/&gt;&lt;wsp:rsid wsp:val=&quot;13951726&quot;/&gt;&lt;wsp:rsid wsp:val=&quot;14396509&quot;/&gt;&lt;wsp:rsid wsp:val=&quot;14DD2C3C&quot;/&gt;&lt;wsp:rsid wsp:val=&quot;16087E1D&quot;/&gt;&lt;wsp:rsid wsp:val=&quot;17701D14&quot;/&gt;&lt;wsp:rsid wsp:val=&quot;17735226&quot;/&gt;&lt;wsp:rsid wsp:val=&quot;189F624C&quot;/&gt;&lt;wsp:rsid wsp:val=&quot;1A1C66C0&quot;/&gt;&lt;wsp:rsid wsp:val=&quot;1A42393B&quot;/&gt;&lt;wsp:rsid wsp:val=&quot;1AAD45DE&quot;/&gt;&lt;wsp:rsid wsp:val=&quot;1B046F80&quot;/&gt;&lt;wsp:rsid wsp:val=&quot;1B3267B5&quot;/&gt;&lt;wsp:rsid wsp:val=&quot;1B40161D&quot;/&gt;&lt;wsp:rsid wsp:val=&quot;1B441859&quot;/&gt;&lt;wsp:rsid wsp:val=&quot;1B6606B1&quot;/&gt;&lt;wsp:rsid wsp:val=&quot;1C5936D2&quot;/&gt;&lt;wsp:rsid wsp:val=&quot;1C5E7925&quot;/&gt;&lt;wsp:rsid wsp:val=&quot;1CD90113&quot;/&gt;&lt;wsp:rsid wsp:val=&quot;1CFD070F&quot;/&gt;&lt;wsp:rsid wsp:val=&quot;1D5F6196&quot;/&gt;&lt;wsp:rsid wsp:val=&quot;1D6132A5&quot;/&gt;&lt;wsp:rsid wsp:val=&quot;1D8E56D5&quot;/&gt;&lt;wsp:rsid wsp:val=&quot;1E7A43DA&quot;/&gt;&lt;wsp:rsid wsp:val=&quot;1F1C595D&quot;/&gt;&lt;wsp:rsid wsp:val=&quot;1FE7539E&quot;/&gt;&lt;wsp:rsid wsp:val=&quot;20671BE0&quot;/&gt;&lt;wsp:rsid wsp:val=&quot;20963CB8&quot;/&gt;&lt;wsp:rsid wsp:val=&quot;20A81A1B&quot;/&gt;&lt;wsp:rsid wsp:val=&quot;20B07FB6&quot;/&gt;&lt;wsp:rsid wsp:val=&quot;20B646FB&quot;/&gt;&lt;wsp:rsid wsp:val=&quot;21373521&quot;/&gt;&lt;wsp:rsid wsp:val=&quot;213B74B1&quot;/&gt;&lt;wsp:rsid wsp:val=&quot;215A2310&quot;/&gt;&lt;wsp:rsid wsp:val=&quot;21DE318A&quot;/&gt;&lt;wsp:rsid wsp:val=&quot;21EF5B80&quot;/&gt;&lt;wsp:rsid wsp:val=&quot;22576990&quot;/&gt;&lt;wsp:rsid wsp:val=&quot;22F47480&quot;/&gt;&lt;wsp:rsid wsp:val=&quot;23DE1C48&quot;/&gt;&lt;wsp:rsid wsp:val=&quot;240210CD&quot;/&gt;&lt;wsp:rsid wsp:val=&quot;24293D1D&quot;/&gt;&lt;wsp:rsid wsp:val=&quot;24BF09F7&quot;/&gt;&lt;wsp:rsid wsp:val=&quot;252D53FE&quot;/&gt;&lt;wsp:rsid wsp:val=&quot;25EC2D81&quot;/&gt;&lt;wsp:rsid wsp:val=&quot;277057A2&quot;/&gt;&lt;wsp:rsid wsp:val=&quot;29206EB8&quot;/&gt;&lt;wsp:rsid wsp:val=&quot;29595666&quot;/&gt;&lt;wsp:rsid wsp:val=&quot;296D5306&quot;/&gt;&lt;wsp:rsid wsp:val=&quot;29874881&quot;/&gt;&lt;wsp:rsid wsp:val=&quot;29B7625C&quot;/&gt;&lt;wsp:rsid wsp:val=&quot;29E325E0&quot;/&gt;&lt;wsp:rsid wsp:val=&quot;2A452503&quot;/&gt;&lt;wsp:rsid wsp:val=&quot;2BA936A8&quot;/&gt;&lt;wsp:rsid wsp:val=&quot;2C036885&quot;/&gt;&lt;wsp:rsid wsp:val=&quot;2C315A5A&quot;/&gt;&lt;wsp:rsid wsp:val=&quot;2C4B1C25&quot;/&gt;&lt;wsp:rsid wsp:val=&quot;2D9E56F5&quot;/&gt;&lt;wsp:rsid wsp:val=&quot;2E667F96&quot;/&gt;&lt;wsp:rsid wsp:val=&quot;2E8226AB&quot;/&gt;&lt;wsp:rsid wsp:val=&quot;2FD065E6&quot;/&gt;&lt;wsp:rsid wsp:val=&quot;2FD96870&quot;/&gt;&lt;wsp:rsid wsp:val=&quot;30580BC9&quot;/&gt;&lt;wsp:rsid wsp:val=&quot;311E2ED7&quot;/&gt;&lt;wsp:rsid wsp:val=&quot;3152323C&quot;/&gt;&lt;wsp:rsid wsp:val=&quot;315619EE&quot;/&gt;&lt;wsp:rsid wsp:val=&quot;315C449C&quot;/&gt;&lt;wsp:rsid wsp:val=&quot;31A044A3&quot;/&gt;&lt;wsp:rsid wsp:val=&quot;31B82709&quot;/&gt;&lt;wsp:rsid wsp:val=&quot;31D05482&quot;/&gt;&lt;wsp:rsid wsp:val=&quot;31E4568E&quot;/&gt;&lt;wsp:rsid wsp:val=&quot;32400B34&quot;/&gt;&lt;wsp:rsid wsp:val=&quot;326067DD&quot;/&gt;&lt;wsp:rsid wsp:val=&quot;329E6876&quot;/&gt;&lt;wsp:rsid wsp:val=&quot;3301564A&quot;/&gt;&lt;wsp:rsid wsp:val=&quot;333015F2&quot;/&gt;&lt;wsp:rsid wsp:val=&quot;334B6320&quot;/&gt;&lt;wsp:rsid wsp:val=&quot;33600AA7&quot;/&gt;&lt;wsp:rsid wsp:val=&quot;336B1568&quot;/&gt;&lt;wsp:rsid wsp:val=&quot;33D934D4&quot;/&gt;&lt;wsp:rsid wsp:val=&quot;33FE2F6A&quot;/&gt;&lt;wsp:rsid wsp:val=&quot;340E07E5&quot;/&gt;&lt;wsp:rsid wsp:val=&quot;34235BF7&quot;/&gt;&lt;wsp:rsid wsp:val=&quot;358C5FA8&quot;/&gt;&lt;wsp:rsid wsp:val=&quot;35C15DF1&quot;/&gt;&lt;wsp:rsid wsp:val=&quot;36074A7F&quot;/&gt;&lt;wsp:rsid wsp:val=&quot;367009B4&quot;/&gt;&lt;wsp:rsid wsp:val=&quot;36923549&quot;/&gt;&lt;wsp:rsid wsp:val=&quot;36B75FBF&quot;/&gt;&lt;wsp:rsid wsp:val=&quot;36BD0C45&quot;/&gt;&lt;wsp:rsid wsp:val=&quot;37361E1F&quot;/&gt;&lt;wsp:rsid wsp:val=&quot;37C046DD&quot;/&gt;&lt;wsp:rsid wsp:val=&quot;37E00298&quot;/&gt;&lt;wsp:rsid wsp:val=&quot;38B302F9&quot;/&gt;&lt;wsp:rsid wsp:val=&quot;38F12CD3&quot;/&gt;&lt;wsp:rsid wsp:val=&quot;38F94775&quot;/&gt;&lt;wsp:rsid wsp:val=&quot;392971ED&quot;/&gt;&lt;wsp:rsid wsp:val=&quot;39325651&quot;/&gt;&lt;wsp:rsid wsp:val=&quot;3A872856&quot;/&gt;&lt;wsp:rsid wsp:val=&quot;3B3763D1&quot;/&gt;&lt;wsp:rsid wsp:val=&quot;3C2F6E1E&quot;/&gt;&lt;wsp:rsid wsp:val=&quot;3C4F64BA&quot;/&gt;&lt;wsp:rsid wsp:val=&quot;3CDA245A&quot;/&gt;&lt;wsp:rsid wsp:val=&quot;3D1E06B7&quot;/&gt;&lt;wsp:rsid wsp:val=&quot;3EDA0523&quot;/&gt;&lt;wsp:rsid wsp:val=&quot;407A6407&quot;/&gt;&lt;wsp:rsid wsp:val=&quot;4200449D&quot;/&gt;&lt;wsp:rsid wsp:val=&quot;420507FA&quot;/&gt;&lt;wsp:rsid wsp:val=&quot;423A3BCC&quot;/&gt;&lt;wsp:rsid wsp:val=&quot;424E57D2&quot;/&gt;&lt;wsp:rsid wsp:val=&quot;42B26C49&quot;/&gt;&lt;wsp:rsid wsp:val=&quot;433A6FE6&quot;/&gt;&lt;wsp:rsid wsp:val=&quot;43480868&quot;/&gt;&lt;wsp:rsid wsp:val=&quot;4350713C&quot;/&gt;&lt;wsp:rsid wsp:val=&quot;436653E0&quot;/&gt;&lt;wsp:rsid wsp:val=&quot;43C4431A&quot;/&gt;&lt;wsp:rsid wsp:val=&quot;44B951CC&quot;/&gt;&lt;wsp:rsid wsp:val=&quot;44CD14E0&quot;/&gt;&lt;wsp:rsid wsp:val=&quot;44F20B0B&quot;/&gt;&lt;wsp:rsid wsp:val=&quot;452E5F4C&quot;/&gt;&lt;wsp:rsid wsp:val=&quot;45612018&quot;/&gt;&lt;wsp:rsid wsp:val=&quot;458946E9&quot;/&gt;&lt;wsp:rsid wsp:val=&quot;45A47C0E&quot;/&gt;&lt;wsp:rsid wsp:val=&quot;46577FD6&quot;/&gt;&lt;wsp:rsid wsp:val=&quot;46D955A7&quot;/&gt;&lt;wsp:rsid wsp:val=&quot;47133957&quot;/&gt;&lt;wsp:rsid wsp:val=&quot;47A07E0C&quot;/&gt;&lt;wsp:rsid wsp:val=&quot;483303C3&quot;/&gt;&lt;wsp:rsid wsp:val=&quot;4870272E&quot;/&gt;&lt;wsp:rsid wsp:val=&quot;49DC7715&quot;/&gt;&lt;wsp:rsid wsp:val=&quot;4A023139&quot;/&gt;&lt;wsp:rsid wsp:val=&quot;4A7B576F&quot;/&gt;&lt;wsp:rsid wsp:val=&quot;4AF561A9&quot;/&gt;&lt;wsp:rsid wsp:val=&quot;4C4A0649&quot;/&gt;&lt;wsp:rsid wsp:val=&quot;4C7E5ECA&quot;/&gt;&lt;wsp:rsid wsp:val=&quot;4C876AA5&quot;/&gt;&lt;wsp:rsid wsp:val=&quot;4C8B6DCD&quot;/&gt;&lt;wsp:rsid wsp:val=&quot;4D0E00FB&quot;/&gt;&lt;wsp:rsid wsp:val=&quot;4D176606&quot;/&gt;&lt;wsp:rsid wsp:val=&quot;4DEC4FB0&quot;/&gt;&lt;wsp:rsid wsp:val=&quot;4E075D8A&quot;/&gt;&lt;wsp:rsid wsp:val=&quot;4E8F4DB4&quot;/&gt;&lt;wsp:rsid wsp:val=&quot;4EC00FAD&quot;/&gt;&lt;wsp:rsid wsp:val=&quot;4F9843DC&quot;/&gt;&lt;wsp:rsid wsp:val=&quot;4FC62A8C&quot;/&gt;&lt;wsp:rsid wsp:val=&quot;4FE20F0D&quot;/&gt;&lt;wsp:rsid wsp:val=&quot;4FE51552&quot;/&gt;&lt;wsp:rsid wsp:val=&quot;50504C4B&quot;/&gt;&lt;wsp:rsid wsp:val=&quot;509C6E7C&quot;/&gt;&lt;wsp:rsid wsp:val=&quot;50CB731F&quot;/&gt;&lt;wsp:rsid wsp:val=&quot;5162104E&quot;/&gt;&lt;wsp:rsid wsp:val=&quot;53A039CC&quot;/&gt;&lt;wsp:rsid wsp:val=&quot;53A1505A&quot;/&gt;&lt;wsp:rsid wsp:val=&quot;54063E08&quot;/&gt;&lt;wsp:rsid wsp:val=&quot;543437E8&quot;/&gt;&lt;wsp:rsid wsp:val=&quot;54F73313&quot;/&gt;&lt;wsp:rsid wsp:val=&quot;54F80955&quot;/&gt;&lt;wsp:rsid wsp:val=&quot;555170A7&quot;/&gt;&lt;wsp:rsid wsp:val=&quot;5587536D&quot;/&gt;&lt;wsp:rsid wsp:val=&quot;559B174B&quot;/&gt;&lt;wsp:rsid wsp:val=&quot;55CE0CF4&quot;/&gt;&lt;wsp:rsid wsp:val=&quot;56B22A9C&quot;/&gt;&lt;wsp:rsid wsp:val=&quot;57B72A76&quot;/&gt;&lt;wsp:rsid wsp:val=&quot;57C3426C&quot;/&gt;&lt;wsp:rsid wsp:val=&quot;57CE1F93&quot;/&gt;&lt;wsp:rsid wsp:val=&quot;588743D1&quot;/&gt;&lt;wsp:rsid wsp:val=&quot;5887701A&quot;/&gt;&lt;wsp:rsid wsp:val=&quot;59C0439F&quot;/&gt;&lt;wsp:rsid wsp:val=&quot;5ABE2233&quot;/&gt;&lt;wsp:rsid wsp:val=&quot;5BDF5D95&quot;/&gt;&lt;wsp:rsid wsp:val=&quot;5BFE7528&quot;/&gt;&lt;wsp:rsid wsp:val=&quot;5E2467F1&quot;/&gt;&lt;wsp:rsid wsp:val=&quot;5F1A2B43&quot;/&gt;&lt;wsp:rsid wsp:val=&quot;5FB837BB&quot;/&gt;&lt;wsp:rsid wsp:val=&quot;60CC405A&quot;/&gt;&lt;wsp:rsid wsp:val=&quot;61E215D8&quot;/&gt;&lt;wsp:rsid wsp:val=&quot;621B3775&quot;/&gt;&lt;wsp:rsid wsp:val=&quot;62364782&quot;/&gt;&lt;wsp:rsid wsp:val=&quot;63186930&quot;/&gt;&lt;wsp:rsid wsp:val=&quot;6394356A&quot;/&gt;&lt;wsp:rsid wsp:val=&quot;63C61B2C&quot;/&gt;&lt;wsp:rsid wsp:val=&quot;63D40BE9&quot;/&gt;&lt;wsp:rsid wsp:val=&quot;64102431&quot;/&gt;&lt;wsp:rsid wsp:val=&quot;64A5243A&quot;/&gt;&lt;wsp:rsid wsp:val=&quot;64F531DE&quot;/&gt;&lt;wsp:rsid wsp:val=&quot;65373578&quot;/&gt;&lt;wsp:rsid wsp:val=&quot;66F54451&quot;/&gt;&lt;wsp:rsid wsp:val=&quot;671F124A&quot;/&gt;&lt;wsp:rsid wsp:val=&quot;677A33C6&quot;/&gt;&lt;wsp:rsid wsp:val=&quot;681F6961&quot;/&gt;&lt;wsp:rsid wsp:val=&quot;68610A2F&quot;/&gt;&lt;wsp:rsid wsp:val=&quot;68805514&quot;/&gt;&lt;wsp:rsid wsp:val=&quot;69316E2F&quot;/&gt;&lt;wsp:rsid wsp:val=&quot;694E2071&quot;/&gt;&lt;wsp:rsid wsp:val=&quot;69766163&quot;/&gt;&lt;wsp:rsid wsp:val=&quot;697A3B33&quot;/&gt;&lt;wsp:rsid wsp:val=&quot;69D44760&quot;/&gt;&lt;wsp:rsid wsp:val=&quot;6A520EC7&quot;/&gt;&lt;wsp:rsid wsp:val=&quot;6AF87E20&quot;/&gt;&lt;wsp:rsid wsp:val=&quot;6B322639&quot;/&gt;&lt;wsp:rsid wsp:val=&quot;6C636C38&quot;/&gt;&lt;wsp:rsid wsp:val=&quot;6D7010D8&quot;/&gt;&lt;wsp:rsid wsp:val=&quot;6DB34098&quot;/&gt;&lt;wsp:rsid wsp:val=&quot;6DB545B6&quot;/&gt;&lt;wsp:rsid wsp:val=&quot;6DE02FB4&quot;/&gt;&lt;wsp:rsid wsp:val=&quot;6E514CED&quot;/&gt;&lt;wsp:rsid wsp:val=&quot;6EB563D5&quot;/&gt;&lt;wsp:rsid wsp:val=&quot;6ED92677&quot;/&gt;&lt;wsp:rsid wsp:val=&quot;6F225983&quot;/&gt;&lt;wsp:rsid wsp:val=&quot;6FFC5590&quot;/&gt;&lt;wsp:rsid wsp:val=&quot;706D1559&quot;/&gt;&lt;wsp:rsid wsp:val=&quot;706D1DD0&quot;/&gt;&lt;wsp:rsid wsp:val=&quot;70856B87&quot;/&gt;&lt;wsp:rsid wsp:val=&quot;70D527EE&quot;/&gt;&lt;wsp:rsid wsp:val=&quot;715B5300&quot;/&gt;&lt;wsp:rsid wsp:val=&quot;71D27F8A&quot;/&gt;&lt;wsp:rsid wsp:val=&quot;72070A1D&quot;/&gt;&lt;wsp:rsid wsp:val=&quot;72553024&quot;/&gt;&lt;wsp:rsid wsp:val=&quot;73122968&quot;/&gt;&lt;wsp:rsid wsp:val=&quot;731F5D5E&quot;/&gt;&lt;wsp:rsid wsp:val=&quot;73C51AD5&quot;/&gt;&lt;wsp:rsid wsp:val=&quot;741E793C&quot;/&gt;&lt;wsp:rsid wsp:val=&quot;745E3944&quot;/&gt;&lt;wsp:rsid wsp:val=&quot;7635099D&quot;/&gt;&lt;wsp:rsid wsp:val=&quot;77762421&quot;/&gt;&lt;wsp:rsid wsp:val=&quot;77B56B1F&quot;/&gt;&lt;wsp:rsid wsp:val=&quot;780F09F4&quot;/&gt;&lt;wsp:rsid wsp:val=&quot;78A90480&quot;/&gt;&lt;wsp:rsid wsp:val=&quot;79A74828&quot;/&gt;&lt;wsp:rsid wsp:val=&quot;7A364017&quot;/&gt;&lt;wsp:rsid wsp:val=&quot;7A8265E1&quot;/&gt;&lt;wsp:rsid wsp:val=&quot;7B686D42&quot;/&gt;&lt;wsp:rsid wsp:val=&quot;7B841746&quot;/&gt;&lt;wsp:rsid wsp:val=&quot;7B9701F5&quot;/&gt;&lt;wsp:rsid wsp:val=&quot;7C6C5AC7&quot;/&gt;&lt;wsp:rsid wsp:val=&quot;7CC6544B&quot;/&gt;&lt;wsp:rsid wsp:val=&quot;7D0239FF&quot;/&gt;&lt;wsp:rsid wsp:val=&quot;7D5E40CD&quot;/&gt;&lt;wsp:rsid wsp:val=&quot;7DCD56F2&quot;/&gt;&lt;wsp:rsid wsp:val=&quot;7F001CE7&quot;/&gt;&lt;wsp:rsid wsp:val=&quot;7FAE7925&quot;/&gt;&lt;wsp:rsid wsp:val=&quot;7FE47E50&quot;/&gt;&lt;/wsp:rsids&gt;&lt;/w:docPr&gt;&lt;w:body&gt;&lt;wx:sect&gt;&lt;w:p wsp:rsidR=&quot;00000000&quot; wsp:rsidRDefault=&quot;00422B37&quot; wsp:rsidP=&quot;00422B37&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O&lt;/m:t&gt;&lt;/m:r&gt;&lt;/m:e&gt;&lt;m:sub&gt;&lt;m:r&gt;&lt;w:rPr&gt;&lt;w:rFonts w:ascii=&quot;Cambria Math&quot; w:h-ansi=&quot;Cambria Math&quot;/&gt;&lt;wx:font wx:val=&quot;Cambria Math&quot;/&gt;&lt;w:i/&gt;&lt;/w:rPr&gt;&lt;m:t&gt;j&lt;/m:t&gt;&lt;/m:r&gt;&lt;/m:sub&gt;&lt;/m:sSub&gt;&lt;m:r&gt;&lt;m:rPr&gt;&lt;m:sty m:val=&quot;p&quot;/&gt;&lt;/m:rPr&gt;&lt;w:rPr&gt;&lt;w:rFonts w:ascii=&quot;Cambria Math&quot; w:h-ansi=&quot;Cambria Math&quot;/&gt;&lt;wx:font wx:val=&quot;Cambria Math&quot;/&gt;&lt;/w:rPr&gt;&lt;m:t&gt;≤&lt;/m:t&gt;&lt;/m:r&gt;&lt;m:sSub&gt;&lt;m:sSubPr&gt;&lt;m:ctrlPr&gt;&lt;w:rPrrrrrrrrrr&gt;&lt;aw:rFonts w:ascii=&quot;Cambria Math&quot; w:h-ansi=&quot;Cambria Math&quot;/&gt;&lt;wx:font wx:val=&quot;Cambria Math&quot;/&gt;&lt;/w:rPr&gt;&lt;/m:ctrlPr&gt;&lt;/m:sSubPr&gt;&lt;m:e&gt;&lt;m:r&gt;&lt;w:rPr&gt;&lt;w:rFonts w:ascii=&quot;Cambria Math&quot; w:h-ansi=&quot;Cambria Math&quot;/&gt;&lt;wx:font wx:val=&quot;Cambria Math&quot;/&gt;&lt;w:i/&gt;&lt;/w:rPr&gt;&lt;m:t&gt;DO&lt;/m:t&gt;&lt;/m:r&gt;&lt;/m:e&gt;&lt;m:sub&gt;&lt;m:r&gt;&lt;w:rPr&gt;&lt;w:rFonts w:ascii=&quot;Cambria Math&quot; w:h-ansi=&quot;Cambria Math&quot;/&gt;&lt;wx:font wx:val=&quot;Cambria Math&quot;/&gt;&lt;w:i/&gt;&lt;/w:rPr&gt;&lt;m:t&gt;f&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3" chromakey="#FFFFFF" o:title=""/>
                  <o:lock v:ext="edit" aspectratio="t"/>
                  <w10:wrap type="none"/>
                  <w10:anchorlock/>
                </v:shape>
              </w:pict>
            </w:r>
            <w:r>
              <w:rPr>
                <w:rFonts w:ascii="Times New Roman" w:hAnsi="Times New Roman" w:cs="Times New Roman"/>
                <w:sz w:val="24"/>
              </w:rPr>
              <w:instrText xml:space="preserve"> </w:instrText>
            </w:r>
            <w:r>
              <w:rPr>
                <w:rFonts w:ascii="Times New Roman" w:hAnsi="Times New Roman" w:cs="Times New Roman"/>
                <w:sz w:val="24"/>
              </w:rPr>
              <w:fldChar w:fldCharType="separate"/>
            </w:r>
            <w:r>
              <w:rPr>
                <w:rFonts w:ascii="Times New Roman" w:hAnsi="Times New Roman" w:cs="Times New Roman"/>
                <w:position w:val="-8"/>
                <w:sz w:val="24"/>
              </w:rPr>
              <w:pict>
                <v:shape id="_x0000_i1028" o:spt="75" type="#_x0000_t75" style="height:14.25pt;width:50.2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isplayBackgroundShape/&gt;&lt;w:doNotEmbedSystemFonts/&gt;&lt;w:stylePaneFormatFilter w:val=&quot;3F01&quot;/&gt;&lt;w:documentProtection w:edit=&quot;tracked-changes&quot; w:enforcement=&quot;off&quot;/&gt;&lt;w:defaultTabStop w:val=&quot;420&quot;/&gt;&lt;w:evenAndOddHeaders/&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compat&gt;&lt;w:doNotExpandShiftReturn/&gt;&lt;w:breakWrappedTables/&gt;&lt;w:snapToGridInCell/&gt;&lt;w:dontGrowAutofit/&gt;&lt;w:useFELayout/&gt;&lt;/w:compat&gt;&lt;wsp:rsids&gt;&lt;wsp:rsidRoot wsp:val=&quot;00A14947&quot;/&gt;&lt;wsp:rsid wsp:val=&quot;00000832&quot;/&gt;&lt;wsp:rsid wsp:val=&quot;0000091E&quot;/&gt;&lt;wsp:rsid wsp:val=&quot;0000192C&quot;/&gt;&lt;wsp:rsid wsp:val=&quot;00002C3F&quot;/&gt;&lt;wsp:rsid wsp:val=&quot;000036F3&quot;/&gt;&lt;wsp:rsid wsp:val=&quot;00003D7D&quot;/&gt;&lt;wsp:rsid wsp:val=&quot;000041E2&quot;/&gt;&lt;wsp:rsid wsp:val=&quot;00004C84&quot;/&gt;&lt;wsp:rsid wsp:val=&quot;00005101&quot;/&gt;&lt;wsp:rsid wsp:val=&quot;000056BD&quot;/&gt;&lt;wsp:rsid wsp:val=&quot;000056FF&quot;/&gt;&lt;wsp:rsid wsp:val=&quot;000060B3&quot;/&gt;&lt;wsp:rsid wsp:val=&quot;0000638D&quot;/&gt;&lt;wsp:rsid wsp:val=&quot;00006578&quot;/&gt;&lt;wsp:rsid wsp:val=&quot;00006FCD&quot;/&gt;&lt;wsp:rsid wsp:val=&quot;00007495&quot;/&gt;&lt;wsp:rsid wsp:val=&quot;0001183E&quot;/&gt;&lt;wsp:rsid wsp:val=&quot;00011E3F&quot;/&gt;&lt;wsp:rsid wsp:val=&quot;000122D3&quot;/&gt;&lt;wsp:rsid wsp:val=&quot;0001235E&quot;/&gt;&lt;wsp:rsid wsp:val=&quot;000129BB&quot;/&gt;&lt;wsp:rsid wsp:val=&quot;0001301D&quot;/&gt;&lt;wsp:rsid wsp:val=&quot;00014435&quot;/&gt;&lt;wsp:rsid wsp:val=&quot;00014948&quot;/&gt;&lt;wsp:rsid wsp:val=&quot;00014C79&quot;/&gt;&lt;wsp:rsid wsp:val=&quot;0001558A&quot;/&gt;&lt;wsp:rsid wsp:val=&quot;000156AB&quot;/&gt;&lt;wsp:rsid wsp:val=&quot;00015C53&quot;/&gt;&lt;wsp:rsid wsp:val=&quot;00016D2F&quot;/&gt;&lt;wsp:rsid wsp:val=&quot;00016EC7&quot;/&gt;&lt;wsp:rsid wsp:val=&quot;00016FA8&quot;/&gt;&lt;wsp:rsid wsp:val=&quot;0001725B&quot;/&gt;&lt;wsp:rsid wsp:val=&quot;00020063&quot;/&gt;&lt;wsp:rsid wsp:val=&quot;00020FA3&quot;/&gt;&lt;wsp:rsid wsp:val=&quot;0002127F&quot;/&gt;&lt;wsp:rsid wsp:val=&quot;00021362&quot;/&gt;&lt;wsp:rsid wsp:val=&quot;000213E0&quot;/&gt;&lt;wsp:rsid wsp:val=&quot;00021F9C&quot;/&gt;&lt;wsp:rsid wsp:val=&quot;00022D29&quot;/&gt;&lt;wsp:rsid wsp:val=&quot;0002302D&quot;/&gt;&lt;wsp:rsid wsp:val=&quot;000230D3&quot;/&gt;&lt;wsp:rsid wsp:val=&quot;000235E2&quot;/&gt;&lt;wsp:rsid wsp:val=&quot;000239CD&quot;/&gt;&lt;wsp:rsid wsp:val=&quot;00023F5A&quot;/&gt;&lt;wsp:rsid wsp:val=&quot;0002432F&quot;/&gt;&lt;wsp:rsid wsp:val=&quot;00024491&quot;/&gt;&lt;wsp:rsid wsp:val=&quot;00024A39&quot;/&gt;&lt;wsp:rsid wsp:val=&quot;00024B3B&quot;/&gt;&lt;wsp:rsid wsp:val=&quot;00024EE9&quot;/&gt;&lt;wsp:rsid wsp:val=&quot;00025B05&quot;/&gt;&lt;wsp:rsid wsp:val=&quot;00026113&quot;/&gt;&lt;wsp:rsid wsp:val=&quot;0002628D&quot;/&gt;&lt;wsp:rsid wsp:val=&quot;000270BC&quot;/&gt;&lt;wsp:rsid wsp:val=&quot;00027420&quot;/&gt;&lt;wsp:rsid wsp:val=&quot;00027A97&quot;/&gt;&lt;wsp:rsid wsp:val=&quot;0003067F&quot;/&gt;&lt;wsp:rsid wsp:val=&quot;00030BB2&quot;/&gt;&lt;wsp:rsid wsp:val=&quot;00032127&quot;/&gt;&lt;wsp:rsid wsp:val=&quot;000321FE&quot;/&gt;&lt;wsp:rsid wsp:val=&quot;000325BB&quot;/&gt;&lt;wsp:rsid wsp:val=&quot;0003312B&quot;/&gt;&lt;wsp:rsid wsp:val=&quot;00033288&quot;/&gt;&lt;wsp:rsid wsp:val=&quot;00033303&quot;/&gt;&lt;wsp:rsid wsp:val=&quot;000334BB&quot;/&gt;&lt;wsp:rsid wsp:val=&quot;00033DBF&quot;/&gt;&lt;wsp:rsid wsp:val=&quot;0003436D&quot;/&gt;&lt;wsp:rsid wsp:val=&quot;00034B45&quot;/&gt;&lt;wsp:rsid wsp:val=&quot;00034FA3&quot;/&gt;&lt;wsp:rsid wsp:val=&quot;000350E9&quot;/&gt;&lt;wsp:rsid wsp:val=&quot;0003711C&quot;/&gt;&lt;wsp:rsid wsp:val=&quot;0003727A&quot;/&gt;&lt;wsp:rsid wsp:val=&quot;000411A0&quot;/&gt;&lt;wsp:rsid wsp:val=&quot;00041816&quot;/&gt;&lt;wsp:rsid wsp:val=&quot;00041C23&quot;/&gt;&lt;wsp:rsid wsp:val=&quot;00041DC1&quot;/&gt;&lt;wsp:rsid wsp:val=&quot;00043370&quot;/&gt;&lt;wsp:rsid wsp:val=&quot;00043497&quot;/&gt;&lt;wsp:rsid wsp:val=&quot;0004364B&quot;/&gt;&lt;wsp:rsid wsp:val=&quot;00043880&quot;/&gt;&lt;wsp:rsid wsp:val=&quot;00043AD5&quot;/&gt;&lt;wsp:rsid wsp:val=&quot;00043D4B&quot;/&gt;&lt;wsp:rsid wsp:val=&quot;00044421&quot;/&gt;&lt;wsp:rsid wsp:val=&quot;0004446D&quot;/&gt;&lt;wsp:rsid wsp:val=&quot;000447AB&quot;/&gt;&lt;wsp:rsid wsp:val=&quot;0004481F&quot;/&gt;&lt;wsp:rsid wsp:val=&quot;00044834&quot;/&gt;&lt;wsp:rsid wsp:val=&quot;000450FA&quot;/&gt;&lt;wsp:rsid wsp:val=&quot;00045848&quot;/&gt;&lt;wsp:rsid wsp:val=&quot;00045EFD&quot;/&gt;&lt;wsp:rsid wsp:val=&quot;0004634A&quot;/&gt;&lt;wsp:rsid wsp:val=&quot;00046711&quot;/&gt;&lt;wsp:rsid wsp:val=&quot;00046BE0&quot;/&gt;&lt;wsp:rsid wsp:val=&quot;00046F8C&quot;/&gt;&lt;wsp:rsid wsp:val=&quot;0004711B&quot;/&gt;&lt;wsp:rsid wsp:val=&quot;00047294&quot;/&gt;&lt;wsp:rsid wsp:val=&quot;00047304&quot;/&gt;&lt;wsp:rsid wsp:val=&quot;00047582&quot;/&gt;&lt;wsp:rsid wsp:val=&quot;00050717&quot;/&gt;&lt;wsp:rsid wsp:val=&quot;00051385&quot;/&gt;&lt;wsp:rsid wsp:val=&quot;00051494&quot;/&gt;&lt;wsp:rsid wsp:val=&quot;00051907&quot;/&gt;&lt;wsp:rsid wsp:val=&quot;000524D1&quot;/&gt;&lt;wsp:rsid wsp:val=&quot;000526A7&quot;/&gt;&lt;wsp:rsid wsp:val=&quot;00053DEA&quot;/&gt;&lt;wsp:rsid wsp:val=&quot;00054829&quot;/&gt;&lt;wsp:rsid wsp:val=&quot;0005491B&quot;/&gt;&lt;wsp:rsid wsp:val=&quot;000553CD&quot;/&gt;&lt;wsp:rsid wsp:val=&quot;00055A69&quot;/&gt;&lt;wsp:rsid wsp:val=&quot;00055DA9&quot;/&gt;&lt;wsp:rsid wsp:val=&quot;00055FBF&quot;/&gt;&lt;wsp:rsid wsp:val=&quot;0005611B&quot;/&gt;&lt;wsp:rsid wsp:val=&quot;000563CC&quot;/&gt;&lt;wsp:rsid wsp:val=&quot;00056784&quot;/&gt;&lt;wsp:rsid wsp:val=&quot;00056E79&quot;/&gt;&lt;wsp:rsid wsp:val=&quot;00056E84&quot;/&gt;&lt;wsp:rsid wsp:val=&quot;00057175&quot;/&gt;&lt;wsp:rsid wsp:val=&quot;000577AC&quot;/&gt;&lt;wsp:rsid wsp:val=&quot;0005782E&quot;/&gt;&lt;wsp:rsid wsp:val=&quot;00060FF6&quot;/&gt;&lt;wsp:rsid wsp:val=&quot;00061900&quot;/&gt;&lt;wsp:rsid wsp:val=&quot;00061AC0&quot;/&gt;&lt;wsp:rsid wsp:val=&quot;00061B1F&quot;/&gt;&lt;wsp:rsid wsp:val=&quot;00061D3A&quot;/&gt;&lt;wsp:rsid wsp:val=&quot;0006227B&quot;/&gt;&lt;wsp:rsid wsp:val=&quot;00063261&quot;/&gt;&lt;wsp:rsid wsp:val=&quot;00064D8B&quot;/&gt;&lt;wsp:rsid wsp:val=&quot;000656FD&quot;/&gt;&lt;wsp:rsid wsp:val=&quot;000658C4&quot;/&gt;&lt;wsp:rsid wsp:val=&quot;00066414&quot;/&gt;&lt;wsp:rsid wsp:val=&quot;00066CB7&quot;/&gt;&lt;wsp:rsid wsp:val=&quot;000671D6&quot;/&gt;&lt;wsp:rsid wsp:val=&quot;000677D6&quot;/&gt;&lt;wsp:rsid wsp:val=&quot;00067856&quot;/&gt;&lt;wsp:rsid wsp:val=&quot;00067CBC&quot;/&gt;&lt;wsp:rsid wsp:val=&quot;00067FB0&quot;/&gt;&lt;wsp:rsid wsp:val=&quot;00070EDC&quot;/&gt;&lt;wsp:rsid wsp:val=&quot;0007101B&quot;/&gt;&lt;wsp:rsid wsp:val=&quot;000717D4&quot;/&gt;&lt;wsp:rsid wsp:val=&quot;00071843&quot;/&gt;&lt;wsp:rsid wsp:val=&quot;00072351&quot;/&gt;&lt;wsp:rsid wsp:val=&quot;00072423&quot;/&gt;&lt;wsp:rsid wsp:val=&quot;00072561&quot;/&gt;&lt;wsp:rsid wsp:val=&quot;00072969&quot;/&gt;&lt;wsp:rsid wsp:val=&quot;00072992&quot;/&gt;&lt;wsp:rsid wsp:val=&quot;000729F2&quot;/&gt;&lt;wsp:rsid wsp:val=&quot;00072ED2&quot;/&gt;&lt;wsp:rsid wsp:val=&quot;00073098&quot;/&gt;&lt;wsp:rsid wsp:val=&quot;00073322&quot;/&gt;&lt;wsp:rsid wsp:val=&quot;000733C4&quot;/&gt;&lt;wsp:rsid wsp:val=&quot;00073636&quot;/&gt;&lt;wsp:rsid wsp:val=&quot;00073670&quot;/&gt;&lt;wsp:rsid wsp:val=&quot;000738E0&quot;/&gt;&lt;wsp:rsid wsp:val=&quot;00074183&quot;/&gt;&lt;wsp:rsid wsp:val=&quot;0007448C&quot;/&gt;&lt;wsp:rsid wsp:val=&quot;000745DA&quot;/&gt;&lt;wsp:rsid wsp:val=&quot;00074783&quot;/&gt;&lt;wsp:rsid wsp:val=&quot;000751B0&quot;/&gt;&lt;wsp:rsid wsp:val=&quot;000754A1&quot;/&gt;&lt;wsp:rsid wsp:val=&quot;000768EB&quot;/&gt;&lt;wsp:rsid wsp:val=&quot;00076DAC&quot;/&gt;&lt;wsp:rsid wsp:val=&quot;0007757F&quot;/&gt;&lt;wsp:rsid wsp:val=&quot;00077AD0&quot;/&gt;&lt;wsp:rsid wsp:val=&quot;000805AD&quot;/&gt;&lt;wsp:rsid wsp:val=&quot;0008070B&quot;/&gt;&lt;wsp:rsid wsp:val=&quot;00080B27&quot;/&gt;&lt;wsp:rsid wsp:val=&quot;00080BA0&quot;/&gt;&lt;wsp:rsid wsp:val=&quot;00080E5F&quot;/&gt;&lt;wsp:rsid wsp:val=&quot;00080FFC&quot;/&gt;&lt;wsp:rsid wsp:val=&quot;000810AC&quot;/&gt;&lt;wsp:rsid wsp:val=&quot;000811A1&quot;/&gt;&lt;wsp:rsid wsp:val=&quot;00081809&quot;/&gt;&lt;wsp:rsid wsp:val=&quot;00081A02&quot;/&gt;&lt;wsp:rsid wsp:val=&quot;00082038&quot;/&gt;&lt;wsp:rsid wsp:val=&quot;00082231&quot;/&gt;&lt;wsp:rsid wsp:val=&quot;0008368D&quot;/&gt;&lt;wsp:rsid wsp:val=&quot;000849D4&quot;/&gt;&lt;wsp:rsid wsp:val=&quot;00084B02&quot;/&gt;&lt;wsp:rsid wsp:val=&quot;000856F3&quot;/&gt;&lt;wsp:rsid wsp:val=&quot;000859E9&quot;/&gt;&lt;wsp:rsid wsp:val=&quot;00086029&quot;/&gt;&lt;wsp:rsid wsp:val=&quot;000865C0&quot;/&gt;&lt;wsp:rsid wsp:val=&quot;000867E1&quot;/&gt;&lt;wsp:rsid wsp:val=&quot;00087B8E&quot;/&gt;&lt;wsp:rsid wsp:val=&quot;000910D9&quot;/&gt;&lt;wsp:rsid wsp:val=&quot;000927B8&quot;/&gt;&lt;wsp:rsid wsp:val=&quot;00092905&quot;/&gt;&lt;wsp:rsid wsp:val=&quot;00092D38&quot;/&gt;&lt;wsp:rsid wsp:val=&quot;00093741&quot;/&gt;&lt;wsp:rsid wsp:val=&quot;0009377B&quot;/&gt;&lt;wsp:rsid wsp:val=&quot;00093F9A&quot;/&gt;&lt;wsp:rsid wsp:val=&quot;00094655&quot;/&gt;&lt;wsp:rsid wsp:val=&quot;00095143&quot;/&gt;&lt;wsp:rsid wsp:val=&quot;00095298&quot;/&gt;&lt;wsp:rsid wsp:val=&quot;00095FAA&quot;/&gt;&lt;wsp:rsid wsp:val=&quot;00096A8F&quot;/&gt;&lt;wsp:rsid wsp:val=&quot;00096F88&quot;/&gt;&lt;wsp:rsid wsp:val=&quot;00097C05&quot;/&gt;&lt;wsp:rsid wsp:val=&quot;000A0250&quot;/&gt;&lt;wsp:rsid wsp:val=&quot;000A154C&quot;/&gt;&lt;wsp:rsid wsp:val=&quot;000A20C9&quot;/&gt;&lt;wsp:rsid wsp:val=&quot;000A22FF&quot;/&gt;&lt;wsp:rsid wsp:val=&quot;000A297D&quot;/&gt;&lt;wsp:rsid wsp:val=&quot;000A2BDF&quot;/&gt;&lt;wsp:rsid wsp:val=&quot;000A3180&quot;/&gt;&lt;wsp:rsid wsp:val=&quot;000A3549&quot;/&gt;&lt;wsp:rsid wsp:val=&quot;000A3773&quot;/&gt;&lt;wsp:rsid wsp:val=&quot;000A4276&quot;/&gt;&lt;wsp:rsid wsp:val=&quot;000A429D&quot;/&gt;&lt;wsp:rsid wsp:val=&quot;000A48A1&quot;/&gt;&lt;wsp:rsid wsp:val=&quot;000A4ADA&quot;/&gt;&lt;wsp:rsid wsp:val=&quot;000A4D9B&quot;/&gt;&lt;wsp:rsid wsp:val=&quot;000A4E63&quot;/&gt;&lt;wsp:rsid wsp:val=&quot;000A4F58&quot;/&gt;&lt;wsp:rsid wsp:val=&quot;000A650D&quot;/&gt;&lt;wsp:rsid wsp:val=&quot;000A6CA9&quot;/&gt;&lt;wsp:rsid wsp:val=&quot;000A6EB8&quot;/&gt;&lt;wsp:rsid wsp:val=&quot;000A736E&quot;/&gt;&lt;wsp:rsid wsp:val=&quot;000A7B15&quot;/&gt;&lt;wsp:rsid wsp:val=&quot;000B058F&quot;/&gt;&lt;wsp:rsid wsp:val=&quot;000B0827&quot;/&gt;&lt;wsp:rsid wsp:val=&quot;000B11F4&quot;/&gt;&lt;wsp:rsid wsp:val=&quot;000B1560&quot;/&gt;&lt;wsp:rsid wsp:val=&quot;000B1967&quot;/&gt;&lt;wsp:rsid wsp:val=&quot;000B1AAF&quot;/&gt;&lt;wsp:rsid wsp:val=&quot;000B22DA&quot;/&gt;&lt;wsp:rsid wsp:val=&quot;000B26C4&quot;/&gt;&lt;wsp:rsid wsp:val=&quot;000B394D&quot;/&gt;&lt;wsp:rsid wsp:val=&quot;000B3AB9&quot;/&gt;&lt;wsp:rsid wsp:val=&quot;000B4393&quot;/&gt;&lt;wsp:rsid wsp:val=&quot;000B4467&quot;/&gt;&lt;wsp:rsid wsp:val=&quot;000B4732&quot;/&gt;&lt;wsp:rsid wsp:val=&quot;000B4B17&quot;/&gt;&lt;wsp:rsid wsp:val=&quot;000B4B23&quot;/&gt;&lt;wsp:rsid wsp:val=&quot;000B4B4F&quot;/&gt;&lt;wsp:rsid wsp:val=&quot;000B4DB9&quot;/&gt;&lt;wsp:rsid wsp:val=&quot;000B5196&quot;/&gt;&lt;wsp:rsid wsp:val=&quot;000B5AD4&quot;/&gt;&lt;wsp:rsid wsp:val=&quot;000B5CF3&quot;/&gt;&lt;wsp:rsid wsp:val=&quot;000B5E34&quot;/&gt;&lt;wsp:rsid wsp:val=&quot;000B647D&quot;/&gt;&lt;wsp:rsid wsp:val=&quot;000B699F&quot;/&gt;&lt;wsp:rsid wsp:val=&quot;000B783D&quot;/&gt;&lt;wsp:rsid wsp:val=&quot;000C09AC&quot;/&gt;&lt;wsp:rsid wsp:val=&quot;000C16B7&quot;/&gt;&lt;wsp:rsid wsp:val=&quot;000C1D4E&quot;/&gt;&lt;wsp:rsid wsp:val=&quot;000C2662&quot;/&gt;&lt;wsp:rsid wsp:val=&quot;000C2677&quot;/&gt;&lt;wsp:rsid wsp:val=&quot;000C295B&quot;/&gt;&lt;wsp:rsid wsp:val=&quot;000C29C1&quot;/&gt;&lt;wsp:rsid wsp:val=&quot;000C2A5B&quot;/&gt;&lt;wsp:rsid wsp:val=&quot;000C32C2&quot;/&gt;&lt;wsp:rsid wsp:val=&quot;000C3D03&quot;/&gt;&lt;wsp:rsid wsp:val=&quot;000C43CA&quot;/&gt;&lt;wsp:rsid wsp:val=&quot;000C4788&quot;/&gt;&lt;wsp:rsid wsp:val=&quot;000C48C5&quot;/&gt;&lt;wsp:rsid wsp:val=&quot;000C5810&quot;/&gt;&lt;wsp:rsid wsp:val=&quot;000C5836&quot;/&gt;&lt;wsp:rsid wsp:val=&quot;000C5941&quot;/&gt;&lt;wsp:rsid wsp:val=&quot;000C5DA2&quot;/&gt;&lt;wsp:rsid wsp:val=&quot;000C638F&quot;/&gt;&lt;wsp:rsid wsp:val=&quot;000C6627&quot;/&gt;&lt;wsp:rsid wsp:val=&quot;000C6A2E&quot;/&gt;&lt;wsp:rsid wsp:val=&quot;000C6CF9&quot;/&gt;&lt;wsp:rsid wsp:val=&quot;000C6E90&quot;/&gt;&lt;wsp:rsid wsp:val=&quot;000C7552&quot;/&gt;&lt;wsp:rsid wsp:val=&quot;000C767F&quot;/&gt;&lt;wsp:rsid wsp:val=&quot;000C76BB&quot;/&gt;&lt;wsp:rsid wsp:val=&quot;000C77D3&quot;/&gt;&lt;wsp:rsid wsp:val=&quot;000C783E&quot;/&gt;&lt;wsp:rsid wsp:val=&quot;000D0D9B&quot;/&gt;&lt;wsp:rsid wsp:val=&quot;000D1250&quot;/&gt;&lt;wsp:rsid wsp:val=&quot;000D1B03&quot;/&gt;&lt;wsp:rsid wsp:val=&quot;000D2673&quot;/&gt;&lt;wsp:rsid wsp:val=&quot;000D3612&quot;/&gt;&lt;wsp:rsid wsp:val=&quot;000D3C46&quot;/&gt;&lt;wsp:rsid wsp:val=&quot;000D3EF2&quot;/&gt;&lt;wsp:rsid wsp:val=&quot;000D4A85&quot;/&gt;&lt;wsp:rsid wsp:val=&quot;000D4BD6&quot;/&gt;&lt;wsp:rsid wsp:val=&quot;000D54C4&quot;/&gt;&lt;wsp:rsid wsp:val=&quot;000D54E3&quot;/&gt;&lt;wsp:rsid wsp:val=&quot;000D59DB&quot;/&gt;&lt;wsp:rsid wsp:val=&quot;000D5A44&quot;/&gt;&lt;wsp:rsid wsp:val=&quot;000D6092&quot;/&gt;&lt;wsp:rsid wsp:val=&quot;000D6229&quot;/&gt;&lt;wsp:rsid wsp:val=&quot;000D64DA&quot;/&gt;&lt;wsp:rsid wsp:val=&quot;000D6C29&quot;/&gt;&lt;wsp:rsid wsp:val=&quot;000D7F60&quot;/&gt;&lt;wsp:rsid wsp:val=&quot;000E0553&quot;/&gt;&lt;wsp:rsid wsp:val=&quot;000E09B9&quot;/&gt;&lt;wsp:rsid wsp:val=&quot;000E11B0&quot;/&gt;&lt;wsp:rsid wsp:val=&quot;000E17E5&quot;/&gt;&lt;wsp:rsid wsp:val=&quot;000E20D7&quot;/&gt;&lt;wsp:rsid wsp:val=&quot;000E2BBB&quot;/&gt;&lt;wsp:rsid wsp:val=&quot;000E2C9B&quot;/&gt;&lt;wsp:rsid wsp:val=&quot;000E2F2E&quot;/&gt;&lt;wsp:rsid wsp:val=&quot;000E3151&quot;/&gt;&lt;wsp:rsid wsp:val=&quot;000E31AC&quot;/&gt;&lt;wsp:rsid wsp:val=&quot;000E361B&quot;/&gt;&lt;wsp:rsid wsp:val=&quot;000E374B&quot;/&gt;&lt;wsp:rsid wsp:val=&quot;000E3D53&quot;/&gt;&lt;wsp:rsid wsp:val=&quot;000E3ED2&quot;/&gt;&lt;wsp:rsid wsp:val=&quot;000E43ED&quot;/&gt;&lt;wsp:rsid wsp:val=&quot;000E5FD4&quot;/&gt;&lt;wsp:rsid wsp:val=&quot;000E6615&quot;/&gt;&lt;wsp:rsid wsp:val=&quot;000F0A52&quot;/&gt;&lt;wsp:rsid wsp:val=&quot;000F19F4&quot;/&gt;&lt;wsp:rsid wsp:val=&quot;000F2918&quot;/&gt;&lt;wsp:rsid wsp:val=&quot;000F2B86&quot;/&gt;&lt;wsp:rsid wsp:val=&quot;000F34C2&quot;/&gt;&lt;wsp:rsid wsp:val=&quot;000F3616&quot;/&gt;&lt;wsp:rsid wsp:val=&quot;000F3B62&quot;/&gt;&lt;wsp:rsid wsp:val=&quot;000F3D93&quot;/&gt;&lt;wsp:rsid wsp:val=&quot;000F3DDA&quot;/&gt;&lt;wsp:rsid wsp:val=&quot;000F452F&quot;/&gt;&lt;wsp:rsid wsp:val=&quot;000F4B7E&quot;/&gt;&lt;wsp:rsid wsp:val=&quot;000F4E57&quot;/&gt;&lt;wsp:rsid wsp:val=&quot;000F5AF3&quot;/&gt;&lt;wsp:rsid wsp:val=&quot;000F5B82&quot;/&gt;&lt;wsp:rsid wsp:val=&quot;000F5FB0&quot;/&gt;&lt;wsp:rsid wsp:val=&quot;000F6013&quot;/&gt;&lt;wsp:rsid wsp:val=&quot;000F6605&quot;/&gt;&lt;wsp:rsid wsp:val=&quot;000F67FF&quot;/&gt;&lt;wsp:rsid wsp:val=&quot;000F6A7B&quot;/&gt;&lt;wsp:rsid wsp:val=&quot;000F6FEF&quot;/&gt;&lt;wsp:rsid wsp:val=&quot;000F728C&quot;/&gt;&lt;wsp:rsid wsp:val=&quot;000F734F&quot;/&gt;&lt;wsp:rsid wsp:val=&quot;000F7C6D&quot;/&gt;&lt;wsp:rsid wsp:val=&quot;000F7E9F&quot;/&gt;&lt;wsp:rsid wsp:val=&quot;001001ED&quot;/&gt;&lt;wsp:rsid wsp:val=&quot;00100B6C&quot;/&gt;&lt;wsp:rsid wsp:val=&quot;00100ECB&quot;/&gt;&lt;wsp:rsid wsp:val=&quot;0010137E&quot;/&gt;&lt;wsp:rsid wsp:val=&quot;001014A9&quot;/&gt;&lt;wsp:rsid wsp:val=&quot;0010190B&quot;/&gt;&lt;wsp:rsid wsp:val=&quot;00101CC3&quot;/&gt;&lt;wsp:rsid wsp:val=&quot;0010287A&quot;/&gt;&lt;wsp:rsid wsp:val=&quot;00102970&quot;/&gt;&lt;wsp:rsid wsp:val=&quot;00103687&quot;/&gt;&lt;wsp:rsid wsp:val=&quot;001039E4&quot;/&gt;&lt;wsp:rsid wsp:val=&quot;001039E8&quot;/&gt;&lt;wsp:rsid wsp:val=&quot;001040DE&quot;/&gt;&lt;wsp:rsid wsp:val=&quot;0010471B&quot;/&gt;&lt;wsp:rsid wsp:val=&quot;00104821&quot;/&gt;&lt;wsp:rsid wsp:val=&quot;001049E3&quot;/&gt;&lt;wsp:rsid wsp:val=&quot;00104BE0&quot;/&gt;&lt;wsp:rsid wsp:val=&quot;00104C71&quot;/&gt;&lt;wsp:rsid wsp:val=&quot;0010545C&quot;/&gt;&lt;wsp:rsid wsp:val=&quot;0010569B&quot;/&gt;&lt;wsp:rsid wsp:val=&quot;001058A3&quot;/&gt;&lt;wsp:rsid wsp:val=&quot;00105A61&quot;/&gt;&lt;wsp:rsid wsp:val=&quot;00106DED&quot;/&gt;&lt;wsp:rsid wsp:val=&quot;001070EC&quot;/&gt;&lt;wsp:rsid wsp:val=&quot;001073EE&quot;/&gt;&lt;wsp:rsid wsp:val=&quot;0010747B&quot;/&gt;&lt;wsp:rsid wsp:val=&quot;00107AA1&quot;/&gt;&lt;wsp:rsid wsp:val=&quot;001107E4&quot;/&gt;&lt;wsp:rsid wsp:val=&quot;00110D63&quot;/&gt;&lt;wsp:rsid wsp:val=&quot;0011156E&quot;/&gt;&lt;wsp:rsid wsp:val=&quot;001121C0&quot;/&gt;&lt;wsp:rsid wsp:val=&quot;001135C8&quot;/&gt;&lt;wsp:rsid wsp:val=&quot;001143DB&quot;/&gt;&lt;wsp:rsid wsp:val=&quot;00114476&quot;/&gt;&lt;wsp:rsid wsp:val=&quot;0011470F&quot;/&gt;&lt;wsp:rsid wsp:val=&quot;00114845&quot;/&gt;&lt;wsp:rsid wsp:val=&quot;00114DF7&quot;/&gt;&lt;wsp:rsid wsp:val=&quot;00115173&quot;/&gt;&lt;wsp:rsid wsp:val=&quot;001159C5&quot;/&gt;&lt;wsp:rsid wsp:val=&quot;0011602B&quot;/&gt;&lt;wsp:rsid wsp:val=&quot;00116209&quot;/&gt;&lt;wsp:rsid wsp:val=&quot;00116549&quot;/&gt;&lt;wsp:rsid wsp:val=&quot;00117246&quot;/&gt;&lt;wsp:rsid wsp:val=&quot;00117503&quot;/&gt;&lt;wsp:rsid wsp:val=&quot;00117AF3&quot;/&gt;&lt;wsp:rsid wsp:val=&quot;001203D1&quot;/&gt;&lt;wsp:rsid wsp:val=&quot;0012046E&quot;/&gt;&lt;wsp:rsid wsp:val=&quot;00120FCD&quot;/&gt;&lt;wsp:rsid wsp:val=&quot;001215AD&quot;/&gt;&lt;wsp:rsid wsp:val=&quot;001216D6&quot;/&gt;&lt;wsp:rsid wsp:val=&quot;001216D9&quot;/&gt;&lt;wsp:rsid wsp:val=&quot;00121EA1&quot;/&gt;&lt;wsp:rsid wsp:val=&quot;0012213A&quot;/&gt;&lt;wsp:rsid wsp:val=&quot;0012273C&quot;/&gt;&lt;wsp:rsid wsp:val=&quot;00122C6A&quot;/&gt;&lt;wsp:rsid wsp:val=&quot;00122E99&quot;/&gt;&lt;wsp:rsid wsp:val=&quot;001243AA&quot;/&gt;&lt;wsp:rsid wsp:val=&quot;00125540&quot;/&gt;&lt;wsp:rsid wsp:val=&quot;00125B8B&quot;/&gt;&lt;wsp:rsid wsp:val=&quot;001264D8&quot;/&gt;&lt;wsp:rsid wsp:val=&quot;001265CD&quot;/&gt;&lt;wsp:rsid wsp:val=&quot;00127B43&quot;/&gt;&lt;wsp:rsid wsp:val=&quot;00127CD0&quot;/&gt;&lt;wsp:rsid wsp:val=&quot;00130100&quot;/&gt;&lt;wsp:rsid wsp:val=&quot;00130421&quot;/&gt;&lt;wsp:rsid wsp:val=&quot;00130ADA&quot;/&gt;&lt;wsp:rsid wsp:val=&quot;00130C7E&quot;/&gt;&lt;wsp:rsid wsp:val=&quot;00130CEE&quot;/&gt;&lt;wsp:rsid wsp:val=&quot;00131019&quot;/&gt;&lt;wsp:rsid wsp:val=&quot;001318C9&quot;/&gt;&lt;wsp:rsid wsp:val=&quot;00131C01&quot;/&gt;&lt;wsp:rsid wsp:val=&quot;00131F42&quot;/&gt;&lt;wsp:rsid wsp:val=&quot;001322E3&quot;/&gt;&lt;wsp:rsid wsp:val=&quot;0013284D&quot;/&gt;&lt;wsp:rsid wsp:val=&quot;00133496&quot;/&gt;&lt;wsp:rsid wsp:val=&quot;001334AC&quot;/&gt;&lt;wsp:rsid wsp:val=&quot;00133731&quot;/&gt;&lt;wsp:rsid wsp:val=&quot;00133918&quot;/&gt;&lt;wsp:rsid wsp:val=&quot;00133B90&quot;/&gt;&lt;wsp:rsid wsp:val=&quot;00134523&quot;/&gt;&lt;wsp:rsid wsp:val=&quot;00134835&quot;/&gt;&lt;wsp:rsid wsp:val=&quot;00134BCB&quot;/&gt;&lt;wsp:rsid wsp:val=&quot;001351A3&quot;/&gt;&lt;wsp:rsid wsp:val=&quot;001357F1&quot;/&gt;&lt;wsp:rsid wsp:val=&quot;0013621B&quot;/&gt;&lt;wsp:rsid wsp:val=&quot;0013702F&quot;/&gt;&lt;wsp:rsid wsp:val=&quot;0014051C&quot;/&gt;&lt;wsp:rsid wsp:val=&quot;001409DA&quot;/&gt;&lt;wsp:rsid wsp:val=&quot;00140FA8&quot;/&gt;&lt;wsp:rsid wsp:val=&quot;00141723&quot;/&gt;&lt;wsp:rsid wsp:val=&quot;00141F0E&quot;/&gt;&lt;wsp:rsid wsp:val=&quot;00142A5E&quot;/&gt;&lt;wsp:rsid wsp:val=&quot;00142FEB&quot;/&gt;&lt;wsp:rsid wsp:val=&quot;001431E2&quot;/&gt;&lt;wsp:rsid wsp:val=&quot;00143A2D&quot;/&gt;&lt;wsp:rsid wsp:val=&quot;001446BC&quot;/&gt;&lt;wsp:rsid wsp:val=&quot;0014506F&quot;/&gt;&lt;wsp:rsid wsp:val=&quot;001450A1&quot;/&gt;&lt;wsp:rsid wsp:val=&quot;00145A41&quot;/&gt;&lt;wsp:rsid wsp:val=&quot;001467CD&quot;/&gt;&lt;wsp:rsid wsp:val=&quot;00147905&quot;/&gt;&lt;wsp:rsid wsp:val=&quot;00147A80&quot;/&gt;&lt;wsp:rsid wsp:val=&quot;00150F6C&quot;/&gt;&lt;wsp:rsid wsp:val=&quot;00151675&quot;/&gt;&lt;wsp:rsid wsp:val=&quot;00152285&quot;/&gt;&lt;wsp:rsid wsp:val=&quot;0015255B&quot;/&gt;&lt;wsp:rsid wsp:val=&quot;00152712&quot;/&gt;&lt;wsp:rsid wsp:val=&quot;00153421&quot;/&gt;&lt;wsp:rsid wsp:val=&quot;00153610&quot;/&gt;&lt;wsp:rsid wsp:val=&quot;001537CB&quot;/&gt;&lt;wsp:rsid wsp:val=&quot;00153B6F&quot;/&gt;&lt;wsp:rsid wsp:val=&quot;001544B0&quot;/&gt;&lt;wsp:rsid wsp:val=&quot;00154B77&quot;/&gt;&lt;wsp:rsid wsp:val=&quot;00154ED1&quot;/&gt;&lt;wsp:rsid wsp:val=&quot;00155546&quot;/&gt;&lt;wsp:rsid wsp:val=&quot;00155596&quot;/&gt;&lt;wsp:rsid wsp:val=&quot;001560DA&quot;/&gt;&lt;wsp:rsid wsp:val=&quot;0015631D&quot;/&gt;&lt;wsp:rsid wsp:val=&quot;001563E5&quot;/&gt;&lt;wsp:rsid wsp:val=&quot;001566D0&quot;/&gt;&lt;wsp:rsid wsp:val=&quot;001566FA&quot;/&gt;&lt;wsp:rsid wsp:val=&quot;001571E8&quot;/&gt;&lt;wsp:rsid wsp:val=&quot;00157435&quot;/&gt;&lt;wsp:rsid wsp:val=&quot;00157965&quot;/&gt;&lt;wsp:rsid wsp:val=&quot;00161242&quot;/&gt;&lt;wsp:rsid wsp:val=&quot;001618E6&quot;/&gt;&lt;wsp:rsid wsp:val=&quot;00161BE6&quot;/&gt;&lt;wsp:rsid wsp:val=&quot;00161FE8&quot;/&gt;&lt;wsp:rsid wsp:val=&quot;001622AE&quot;/&gt;&lt;wsp:rsid wsp:val=&quot;00162B83&quot;/&gt;&lt;wsp:rsid wsp:val=&quot;00162C57&quot;/&gt;&lt;wsp:rsid wsp:val=&quot;00163D37&quot;/&gt;&lt;wsp:rsid wsp:val=&quot;001645A2&quot;/&gt;&lt;wsp:rsid wsp:val=&quot;0016487E&quot;/&gt;&lt;wsp:rsid wsp:val=&quot;00165452&quot;/&gt;&lt;wsp:rsid wsp:val=&quot;00165CB4&quot;/&gt;&lt;wsp:rsid wsp:val=&quot;00166275&quot;/&gt;&lt;wsp:rsid wsp:val=&quot;001669FA&quot;/&gt;&lt;wsp:rsid wsp:val=&quot;00166B43&quot;/&gt;&lt;wsp:rsid wsp:val=&quot;001703FB&quot;/&gt;&lt;wsp:rsid wsp:val=&quot;00170AA8&quot;/&gt;&lt;wsp:rsid wsp:val=&quot;00170B7C&quot;/&gt;&lt;wsp:rsid wsp:val=&quot;00170D96&quot;/&gt;&lt;wsp:rsid wsp:val=&quot;00171184&quot;/&gt;&lt;wsp:rsid wsp:val=&quot;001713B6&quot;/&gt;&lt;wsp:rsid wsp:val=&quot;00171EF0&quot;/&gt;&lt;wsp:rsid wsp:val=&quot;00172519&quot;/&gt;&lt;wsp:rsid wsp:val=&quot;00172A46&quot;/&gt;&lt;wsp:rsid wsp:val=&quot;0017374F&quot;/&gt;&lt;wsp:rsid wsp:val=&quot;0017419C&quot;/&gt;&lt;wsp:rsid wsp:val=&quot;00174700&quot;/&gt;&lt;wsp:rsid wsp:val=&quot;001747C1&quot;/&gt;&lt;wsp:rsid wsp:val=&quot;0017496E&quot;/&gt;&lt;wsp:rsid wsp:val=&quot;00174A9F&quot;/&gt;&lt;wsp:rsid wsp:val=&quot;0017504D&quot;/&gt;&lt;wsp:rsid wsp:val=&quot;00175642&quot;/&gt;&lt;wsp:rsid wsp:val=&quot;001758E0&quot;/&gt;&lt;wsp:rsid wsp:val=&quot;00175A9E&quot;/&gt;&lt;wsp:rsid wsp:val=&quot;001762AD&quot;/&gt;&lt;wsp:rsid wsp:val=&quot;0017671A&quot;/&gt;&lt;wsp:rsid wsp:val=&quot;00176AFE&quot;/&gt;&lt;wsp:rsid wsp:val=&quot;00176CFD&quot;/&gt;&lt;wsp:rsid wsp:val=&quot;00177010&quot;/&gt;&lt;wsp:rsid wsp:val=&quot;00177422&quot;/&gt;&lt;wsp:rsid wsp:val=&quot;00180397&quot;/&gt;&lt;wsp:rsid wsp:val=&quot;00180A1D&quot;/&gt;&lt;wsp:rsid wsp:val=&quot;00180FCA&quot;/&gt;&lt;wsp:rsid wsp:val=&quot;00181017&quot;/&gt;&lt;wsp:rsid wsp:val=&quot;0018107C&quot;/&gt;&lt;wsp:rsid wsp:val=&quot;0018118D&quot;/&gt;&lt;wsp:rsid wsp:val=&quot;00181D4D&quot;/&gt;&lt;wsp:rsid wsp:val=&quot;001821AB&quot;/&gt;&lt;wsp:rsid wsp:val=&quot;00182A8A&quot;/&gt;&lt;wsp:rsid wsp:val=&quot;00182D8D&quot;/&gt;&lt;wsp:rsid wsp:val=&quot;00182F16&quot;/&gt;&lt;wsp:rsid wsp:val=&quot;00183A4F&quot;/&gt;&lt;wsp:rsid wsp:val=&quot;00184590&quot;/&gt;&lt;wsp:rsid wsp:val=&quot;00184B32&quot;/&gt;&lt;wsp:rsid wsp:val=&quot;0018520B&quot;/&gt;&lt;wsp:rsid wsp:val=&quot;00185FE9&quot;/&gt;&lt;wsp:rsid wsp:val=&quot;00186019&quot;/&gt;&lt;wsp:rsid wsp:val=&quot;001867CE&quot;/&gt;&lt;wsp:rsid wsp:val=&quot;00186AFA&quot;/&gt;&lt;wsp:rsid wsp:val=&quot;001870D1&quot;/&gt;&lt;wsp:rsid wsp:val=&quot;00187223&quot;/&gt;&lt;wsp:rsid wsp:val=&quot;0018781E&quot;/&gt;&lt;wsp:rsid wsp:val=&quot;001878F0&quot;/&gt;&lt;wsp:rsid wsp:val=&quot;00187FEF&quot;/&gt;&lt;wsp:rsid wsp:val=&quot;00190439&quot;/&gt;&lt;wsp:rsid wsp:val=&quot;00190EF4&quot;/&gt;&lt;wsp:rsid wsp:val=&quot;001913D0&quot;/&gt;&lt;wsp:rsid wsp:val=&quot;00191627&quot;/&gt;&lt;wsp:rsid wsp:val=&quot;00191E16&quot;/&gt;&lt;wsp:rsid wsp:val=&quot;0019262D&quot;/&gt;&lt;wsp:rsid wsp:val=&quot;001938E0&quot;/&gt;&lt;wsp:rsid wsp:val=&quot;00193975&quot;/&gt;&lt;wsp:rsid wsp:val=&quot;00193B1C&quot;/&gt;&lt;wsp:rsid wsp:val=&quot;00193BB7&quot;/&gt;&lt;wsp:rsid wsp:val=&quot;00194BD6&quot;/&gt;&lt;wsp:rsid wsp:val=&quot;001955D6&quot;/&gt;&lt;wsp:rsid wsp:val=&quot;001962F4&quot;/&gt;&lt;wsp:rsid wsp:val=&quot;001970BE&quot;/&gt;&lt;wsp:rsid wsp:val=&quot;001970FE&quot;/&gt;&lt;wsp:rsid wsp:val=&quot;001A0178&quot;/&gt;&lt;wsp:rsid wsp:val=&quot;001A0A06&quot;/&gt;&lt;wsp:rsid wsp:val=&quot;001A1063&quot;/&gt;&lt;wsp:rsid wsp:val=&quot;001A134B&quot;/&gt;&lt;wsp:rsid wsp:val=&quot;001A1458&quot;/&gt;&lt;wsp:rsid wsp:val=&quot;001A1B35&quot;/&gt;&lt;wsp:rsid wsp:val=&quot;001A2D55&quot;/&gt;&lt;wsp:rsid wsp:val=&quot;001A3886&quot;/&gt;&lt;wsp:rsid wsp:val=&quot;001A3F62&quot;/&gt;&lt;wsp:rsid wsp:val=&quot;001A48A2&quot;/&gt;&lt;wsp:rsid wsp:val=&quot;001A48EC&quot;/&gt;&lt;wsp:rsid wsp:val=&quot;001A4C5D&quot;/&gt;&lt;wsp:rsid wsp:val=&quot;001A6250&quot;/&gt;&lt;wsp:rsid wsp:val=&quot;001A6F61&quot;/&gt;&lt;wsp:rsid wsp:val=&quot;001A7435&quot;/&gt;&lt;wsp:rsid wsp:val=&quot;001A7A66&quot;/&gt;&lt;wsp:rsid wsp:val=&quot;001B0926&quot;/&gt;&lt;wsp:rsid wsp:val=&quot;001B12E2&quot;/&gt;&lt;wsp:rsid wsp:val=&quot;001B1428&quot;/&gt;&lt;wsp:rsid wsp:val=&quot;001B146B&quot;/&gt;&lt;wsp:rsid wsp:val=&quot;001B27F2&quot;/&gt;&lt;wsp:rsid wsp:val=&quot;001B328F&quot;/&gt;&lt;wsp:rsid wsp:val=&quot;001B429C&quot;/&gt;&lt;wsp:rsid wsp:val=&quot;001B4D83&quot;/&gt;&lt;wsp:rsid wsp:val=&quot;001B52CB&quot;/&gt;&lt;wsp:rsid wsp:val=&quot;001B5647&quot;/&gt;&lt;wsp:rsid wsp:val=&quot;001B5EF4&quot;/&gt;&lt;wsp:rsid wsp:val=&quot;001B634C&quot;/&gt;&lt;wsp:rsid wsp:val=&quot;001B72B8&quot;/&gt;&lt;wsp:rsid wsp:val=&quot;001B743E&quot;/&gt;&lt;wsp:rsid wsp:val=&quot;001B7530&quot;/&gt;&lt;wsp:rsid wsp:val=&quot;001B7902&quot;/&gt;&lt;wsp:rsid wsp:val=&quot;001B7911&quot;/&gt;&lt;wsp:rsid wsp:val=&quot;001B7BFD&quot;/&gt;&lt;wsp:rsid wsp:val=&quot;001B7C49&quot;/&gt;&lt;wsp:rsid wsp:val=&quot;001B7C6E&quot;/&gt;&lt;wsp:rsid wsp:val=&quot;001C022A&quot;/&gt;&lt;wsp:rsid wsp:val=&quot;001C0366&quot;/&gt;&lt;wsp:rsid wsp:val=&quot;001C2ED8&quot;/&gt;&lt;wsp:rsid wsp:val=&quot;001C3297&quot;/&gt;&lt;wsp:rsid wsp:val=&quot;001C3A50&quot;/&gt;&lt;wsp:rsid wsp:val=&quot;001C3B98&quot;/&gt;&lt;wsp:rsid wsp:val=&quot;001C4178&quot;/&gt;&lt;wsp:rsid wsp:val=&quot;001C4303&quot;/&gt;&lt;wsp:rsid wsp:val=&quot;001C4EE9&quot;/&gt;&lt;wsp:rsid wsp:val=&quot;001C56AC&quot;/&gt;&lt;wsp:rsid wsp:val=&quot;001C5B8A&quot;/&gt;&lt;wsp:rsid wsp:val=&quot;001C6781&quot;/&gt;&lt;wsp:rsid wsp:val=&quot;001C69B3&quot;/&gt;&lt;wsp:rsid wsp:val=&quot;001C6FCD&quot;/&gt;&lt;wsp:rsid wsp:val=&quot;001C72D9&quot;/&gt;&lt;wsp:rsid wsp:val=&quot;001C72F6&quot;/&gt;&lt;wsp:rsid wsp:val=&quot;001C73D2&quot;/&gt;&lt;wsp:rsid wsp:val=&quot;001C7CD5&quot;/&gt;&lt;wsp:rsid wsp:val=&quot;001D0AA0&quot;/&gt;&lt;wsp:rsid wsp:val=&quot;001D0FF8&quot;/&gt;&lt;wsp:rsid wsp:val=&quot;001D1076&quot;/&gt;&lt;wsp:rsid wsp:val=&quot;001D20DA&quot;/&gt;&lt;wsp:rsid wsp:val=&quot;001D251D&quot;/&gt;&lt;wsp:rsid wsp:val=&quot;001D2638&quot;/&gt;&lt;wsp:rsid wsp:val=&quot;001D2942&quot;/&gt;&lt;wsp:rsid wsp:val=&quot;001D2B4C&quot;/&gt;&lt;wsp:rsid wsp:val=&quot;001D3E5F&quot;/&gt;&lt;wsp:rsid wsp:val=&quot;001D4364&quot;/&gt;&lt;wsp:rsid wsp:val=&quot;001D4B8A&quot;/&gt;&lt;wsp:rsid wsp:val=&quot;001D4C27&quot;/&gt;&lt;wsp:rsid wsp:val=&quot;001D4D06&quot;/&gt;&lt;wsp:rsid wsp:val=&quot;001D507F&quot;/&gt;&lt;wsp:rsid wsp:val=&quot;001D543E&quot;/&gt;&lt;wsp:rsid wsp:val=&quot;001D5595&quot;/&gt;&lt;wsp:rsid wsp:val=&quot;001D6316&quot;/&gt;&lt;wsp:rsid wsp:val=&quot;001D6F65&quot;/&gt;&lt;wsp:rsid wsp:val=&quot;001D71DA&quot;/&gt;&lt;wsp:rsid wsp:val=&quot;001D7874&quot;/&gt;&lt;wsp:rsid wsp:val=&quot;001D79C8&quot;/&gt;&lt;wsp:rsid wsp:val=&quot;001D7F22&quot;/&gt;&lt;wsp:rsid wsp:val=&quot;001E02A5&quot;/&gt;&lt;wsp:rsid wsp:val=&quot;001E0978&quot;/&gt;&lt;wsp:rsid wsp:val=&quot;001E0D74&quot;/&gt;&lt;wsp:rsid wsp:val=&quot;001E0DC8&quot;/&gt;&lt;wsp:rsid wsp:val=&quot;001E136A&quot;/&gt;&lt;wsp:rsid wsp:val=&quot;001E1FFC&quot;/&gt;&lt;wsp:rsid wsp:val=&quot;001E2839&quot;/&gt;&lt;wsp:rsid wsp:val=&quot;001E2F07&quot;/&gt;&lt;wsp:rsid wsp:val=&quot;001E30DF&quot;/&gt;&lt;wsp:rsid wsp:val=&quot;001E3501&quot;/&gt;&lt;wsp:rsid wsp:val=&quot;001E3D34&quot;/&gt;&lt;wsp:rsid wsp:val=&quot;001E3E9C&quot;/&gt;&lt;wsp:rsid wsp:val=&quot;001E446B&quot;/&gt;&lt;wsp:rsid wsp:val=&quot;001E47E4&quot;/&gt;&lt;wsp:rsid wsp:val=&quot;001E496A&quot;/&gt;&lt;wsp:rsid wsp:val=&quot;001E4ADC&quot;/&gt;&lt;wsp:rsid wsp:val=&quot;001E512F&quot;/&gt;&lt;wsp:rsid wsp:val=&quot;001E51AA&quot;/&gt;&lt;wsp:rsid wsp:val=&quot;001E57F7&quot;/&gt;&lt;wsp:rsid wsp:val=&quot;001E5A00&quot;/&gt;&lt;wsp:rsid wsp:val=&quot;001E6393&quot;/&gt;&lt;wsp:rsid wsp:val=&quot;001E648D&quot;/&gt;&lt;wsp:rsid wsp:val=&quot;001E64D4&quot;/&gt;&lt;wsp:rsid wsp:val=&quot;001E769A&quot;/&gt;&lt;wsp:rsid wsp:val=&quot;001E7D81&quot;/&gt;&lt;wsp:rsid wsp:val=&quot;001E7DD0&quot;/&gt;&lt;wsp:rsid wsp:val=&quot;001F09E8&quot;/&gt;&lt;wsp:rsid wsp:val=&quot;001F0C79&quot;/&gt;&lt;wsp:rsid wsp:val=&quot;001F0F17&quot;/&gt;&lt;wsp:rsid wsp:val=&quot;001F1347&quot;/&gt;&lt;wsp:rsid wsp:val=&quot;001F15F8&quot;/&gt;&lt;wsp:rsid wsp:val=&quot;001F17B2&quot;/&gt;&lt;wsp:rsid wsp:val=&quot;001F1C78&quot;/&gt;&lt;wsp:rsid wsp:val=&quot;001F2271&quot;/&gt;&lt;wsp:rsid wsp:val=&quot;001F23D1&quot;/&gt;&lt;wsp:rsid wsp:val=&quot;001F2996&quot;/&gt;&lt;wsp:rsid wsp:val=&quot;001F2DDC&quot;/&gt;&lt;wsp:rsid wsp:val=&quot;001F2E8C&quot;/&gt;&lt;wsp:rsid wsp:val=&quot;001F313A&quot;/&gt;&lt;wsp:rsid wsp:val=&quot;001F3347&quot;/&gt;&lt;wsp:rsid wsp:val=&quot;001F46FA&quot;/&gt;&lt;wsp:rsid wsp:val=&quot;001F4CA7&quot;/&gt;&lt;wsp:rsid wsp:val=&quot;001F51EF&quot;/&gt;&lt;wsp:rsid wsp:val=&quot;001F56D0&quot;/&gt;&lt;wsp:rsid wsp:val=&quot;001F571A&quot;/&gt;&lt;wsp:rsid wsp:val=&quot;001F5B49&quot;/&gt;&lt;wsp:rsid wsp:val=&quot;001F6430&quot;/&gt;&lt;wsp:rsid wsp:val=&quot;001F69E4&quot;/&gt;&lt;wsp:rsid wsp:val=&quot;001F71DC&quot;/&gt;&lt;wsp:rsid wsp:val=&quot;001F7E9B&quot;/&gt;&lt;wsp:rsid wsp:val=&quot;00200365&quot;/&gt;&lt;wsp:rsid wsp:val=&quot;00201976&quot;/&gt;&lt;wsp:rsid wsp:val=&quot;00202084&quot;/&gt;&lt;wsp:rsid wsp:val=&quot;00202635&quot;/&gt;&lt;wsp:rsid wsp:val=&quot;00202870&quot;/&gt;&lt;wsp:rsid wsp:val=&quot;002028B7&quot;/&gt;&lt;wsp:rsid wsp:val=&quot;002031C8&quot;/&gt;&lt;wsp:rsid wsp:val=&quot;00203E62&quot;/&gt;&lt;wsp:rsid wsp:val=&quot;00203F8C&quot;/&gt;&lt;wsp:rsid wsp:val=&quot;00204335&quot;/&gt;&lt;wsp:rsid wsp:val=&quot;00204348&quot;/&gt;&lt;wsp:rsid wsp:val=&quot;002049CE&quot;/&gt;&lt;wsp:rsid wsp:val=&quot;00204D22&quot;/&gt;&lt;wsp:rsid wsp:val=&quot;00204F11&quot;/&gt;&lt;wsp:rsid wsp:val=&quot;00205126&quot;/&gt;&lt;wsp:rsid wsp:val=&quot;00205E6B&quot;/&gt;&lt;wsp:rsid wsp:val=&quot;002063F6&quot;/&gt;&lt;wsp:rsid wsp:val=&quot;00206640&quot;/&gt;&lt;wsp:rsid wsp:val=&quot;002068E2&quot;/&gt;&lt;wsp:rsid wsp:val=&quot;00206FA9&quot;/&gt;&lt;wsp:rsid wsp:val=&quot;002078E4&quot;/&gt;&lt;wsp:rsid wsp:val=&quot;00207BF3&quot;/&gt;&lt;wsp:rsid wsp:val=&quot;00207F34&quot;/&gt;&lt;wsp:rsid wsp:val=&quot;00207FBC&quot;/&gt;&lt;wsp:rsid wsp:val=&quot;002100EE&quot;/&gt;&lt;wsp:rsid wsp:val=&quot;0021156E&quot;/&gt;&lt;wsp:rsid wsp:val=&quot;002118F5&quot;/&gt;&lt;wsp:rsid wsp:val=&quot;00211C3F&quot;/&gt;&lt;wsp:rsid wsp:val=&quot;00211D6A&quot;/&gt;&lt;wsp:rsid wsp:val=&quot;00212043&quot;/&gt;&lt;wsp:rsid wsp:val=&quot;00212294&quot;/&gt;&lt;wsp:rsid wsp:val=&quot;002125B4&quot;/&gt;&lt;wsp:rsid wsp:val=&quot;00212A44&quot;/&gt;&lt;wsp:rsid wsp:val=&quot;002134C3&quot;/&gt;&lt;wsp:rsid wsp:val=&quot;0021374D&quot;/&gt;&lt;wsp:rsid wsp:val=&quot;00213BB9&quot;/&gt;&lt;wsp:rsid wsp:val=&quot;00213F74&quot;/&gt;&lt;wsp:rsid wsp:val=&quot;002142AA&quot;/&gt;&lt;wsp:rsid wsp:val=&quot;00214F62&quot;/&gt;&lt;wsp:rsid wsp:val=&quot;002155B8&quot;/&gt;&lt;wsp:rsid wsp:val=&quot;002159AC&quot;/&gt;&lt;wsp:rsid wsp:val=&quot;00216C11&quot;/&gt;&lt;wsp:rsid wsp:val=&quot;0021786E&quot;/&gt;&lt;wsp:rsid wsp:val=&quot;002201D1&quot;/&gt;&lt;wsp:rsid wsp:val=&quot;00220330&quot;/&gt;&lt;wsp:rsid wsp:val=&quot;00220543&quot;/&gt;&lt;wsp:rsid wsp:val=&quot;00220923&quot;/&gt;&lt;wsp:rsid wsp:val=&quot;00221398&quot;/&gt;&lt;wsp:rsid wsp:val=&quot;00221D11&quot;/&gt;&lt;wsp:rsid wsp:val=&quot;00221DD6&quot;/&gt;&lt;wsp:rsid wsp:val=&quot;00222A77&quot;/&gt;&lt;wsp:rsid wsp:val=&quot;00222F72&quot;/&gt;&lt;wsp:rsid wsp:val=&quot;002235B9&quot;/&gt;&lt;wsp:rsid wsp:val=&quot;00223870&quot;/&gt;&lt;wsp:rsid wsp:val=&quot;00223ED8&quot;/&gt;&lt;wsp:rsid wsp:val=&quot;00223FC3&quot;/&gt;&lt;wsp:rsid wsp:val=&quot;00224406&quot;/&gt;&lt;wsp:rsid wsp:val=&quot;002246EE&quot;/&gt;&lt;wsp:rsid wsp:val=&quot;00224839&quot;/&gt;&lt;wsp:rsid wsp:val=&quot;002249B2&quot;/&gt;&lt;wsp:rsid wsp:val=&quot;00224D49&quot;/&gt;&lt;wsp:rsid wsp:val=&quot;00225526&quot;/&gt;&lt;wsp:rsid wsp:val=&quot;00225B77&quot;/&gt;&lt;wsp:rsid wsp:val=&quot;00226574&quot;/&gt;&lt;wsp:rsid wsp:val=&quot;00226A92&quot;/&gt;&lt;wsp:rsid wsp:val=&quot;00226A93&quot;/&gt;&lt;wsp:rsid wsp:val=&quot;00226DFF&quot;/&gt;&lt;wsp:rsid wsp:val=&quot;0022715F&quot;/&gt;&lt;wsp:rsid wsp:val=&quot;0022753C&quot;/&gt;&lt;wsp:rsid wsp:val=&quot;002278EC&quot;/&gt;&lt;wsp:rsid wsp:val=&quot;00227AE1&quot;/&gt;&lt;wsp:rsid wsp:val=&quot;00230736&quot;/&gt;&lt;wsp:rsid wsp:val=&quot;00232803&quot;/&gt;&lt;wsp:rsid wsp:val=&quot;0023280E&quot;/&gt;&lt;wsp:rsid wsp:val=&quot;00233256&quot;/&gt;&lt;wsp:rsid wsp:val=&quot;0023383E&quot;/&gt;&lt;wsp:rsid wsp:val=&quot;0023389C&quot;/&gt;&lt;wsp:rsid wsp:val=&quot;00233C73&quot;/&gt;&lt;wsp:rsid wsp:val=&quot;0023438D&quot;/&gt;&lt;wsp:rsid wsp:val=&quot;0023476B&quot;/&gt;&lt;wsp:rsid wsp:val=&quot;00235B45&quot;/&gt;&lt;wsp:rsid wsp:val=&quot;00235C82&quot;/&gt;&lt;wsp:rsid wsp:val=&quot;00236478&quot;/&gt;&lt;wsp:rsid wsp:val=&quot;002368B2&quot;/&gt;&lt;wsp:rsid wsp:val=&quot;00236B95&quot;/&gt;&lt;wsp:rsid wsp:val=&quot;00236FC5&quot;/&gt;&lt;wsp:rsid wsp:val=&quot;00237707&quot;/&gt;&lt;wsp:rsid wsp:val=&quot;002377D1&quot;/&gt;&lt;wsp:rsid wsp:val=&quot;00237A6D&quot;/&gt;&lt;wsp:rsid wsp:val=&quot;00240098&quot;/&gt;&lt;wsp:rsid wsp:val=&quot;002402B3&quot;/&gt;&lt;wsp:rsid wsp:val=&quot;00241E67&quot;/&gt;&lt;wsp:rsid wsp:val=&quot;0024259B&quot;/&gt;&lt;wsp:rsid wsp:val=&quot;0024317C&quot;/&gt;&lt;wsp:rsid wsp:val=&quot;0024422C&quot;/&gt;&lt;wsp:rsid wsp:val=&quot;00244AC2&quot;/&gt;&lt;wsp:rsid wsp:val=&quot;002451C1&quot;/&gt;&lt;wsp:rsid wsp:val=&quot;00245AB1&quot;/&gt;&lt;wsp:rsid wsp:val=&quot;00245E45&quot;/&gt;&lt;wsp:rsid wsp:val=&quot;00246B77&quot;/&gt;&lt;wsp:rsid wsp:val=&quot;00247387&quot;/&gt;&lt;wsp:rsid wsp:val=&quot;00247459&quot;/&gt;&lt;wsp:rsid wsp:val=&quot;00247593&quot;/&gt;&lt;wsp:rsid wsp:val=&quot;002477D9&quot;/&gt;&lt;wsp:rsid wsp:val=&quot;002506BC&quot;/&gt;&lt;wsp:rsid wsp:val=&quot;0025086D&quot;/&gt;&lt;wsp:rsid wsp:val=&quot;00252848&quot;/&gt;&lt;wsp:rsid wsp:val=&quot;00252C0E&quot;/&gt;&lt;wsp:rsid wsp:val=&quot;00252EC8&quot;/&gt;&lt;wsp:rsid wsp:val=&quot;0025328A&quot;/&gt;&lt;wsp:rsid wsp:val=&quot;0025347E&quot;/&gt;&lt;wsp:rsid wsp:val=&quot;002538B3&quot;/&gt;&lt;wsp:rsid wsp:val=&quot;0025406E&quot;/&gt;&lt;wsp:rsid wsp:val=&quot;0025408F&quot;/&gt;&lt;wsp:rsid wsp:val=&quot;00254178&quot;/&gt;&lt;wsp:rsid wsp:val=&quot;002542E2&quot;/&gt;&lt;wsp:rsid wsp:val=&quot;00254345&quot;/&gt;&lt;wsp:rsid wsp:val=&quot;00254A80&quot;/&gt;&lt;wsp:rsid wsp:val=&quot;00254C41&quot;/&gt;&lt;wsp:rsid wsp:val=&quot;00254FCB&quot;/&gt;&lt;wsp:rsid wsp:val=&quot;00255300&quot;/&gt;&lt;wsp:rsid wsp:val=&quot;00255D69&quot;/&gt;&lt;wsp:rsid wsp:val=&quot;00255E31&quot;/&gt;&lt;wsp:rsid wsp:val=&quot;002568AD&quot;/&gt;&lt;wsp:rsid wsp:val=&quot;00256CD2&quot;/&gt;&lt;wsp:rsid wsp:val=&quot;00257FF9&quot;/&gt;&lt;wsp:rsid wsp:val=&quot;002607F1&quot;/&gt;&lt;wsp:rsid wsp:val=&quot;00261071&quot;/&gt;&lt;wsp:rsid wsp:val=&quot;002611D3&quot;/&gt;&lt;wsp:rsid wsp:val=&quot;00261274&quot;/&gt;&lt;wsp:rsid wsp:val=&quot;002614AF&quot;/&gt;&lt;wsp:rsid wsp:val=&quot;0026166E&quot;/&gt;&lt;wsp:rsid wsp:val=&quot;00261903&quot;/&gt;&lt;wsp:rsid wsp:val=&quot;00262F2E&quot;/&gt;&lt;wsp:rsid wsp:val=&quot;00263809&quot;/&gt;&lt;wsp:rsid wsp:val=&quot;00264557&quot;/&gt;&lt;wsp:rsid wsp:val=&quot;00264DBF&quot;/&gt;&lt;wsp:rsid wsp:val=&quot;002651C7&quot;/&gt;&lt;wsp:rsid wsp:val=&quot;002655D8&quot;/&gt;&lt;wsp:rsid wsp:val=&quot;002663E2&quot;/&gt;&lt;wsp:rsid wsp:val=&quot;00266C84&quot;/&gt;&lt;wsp:rsid wsp:val=&quot;00267620&quot;/&gt;&lt;wsp:rsid wsp:val=&quot;002700CC&quot;/&gt;&lt;wsp:rsid wsp:val=&quot;00270624&quot;/&gt;&lt;wsp:rsid wsp:val=&quot;00270708&quot;/&gt;&lt;wsp:rsid wsp:val=&quot;0027119D&quot;/&gt;&lt;wsp:rsid wsp:val=&quot;00272942&quot;/&gt;&lt;wsp:rsid wsp:val=&quot;002729A7&quot;/&gt;&lt;wsp:rsid wsp:val=&quot;00272FAA&quot;/&gt;&lt;wsp:rsid wsp:val=&quot;002731D2&quot;/&gt;&lt;wsp:rsid wsp:val=&quot;00273577&quot;/&gt;&lt;wsp:rsid wsp:val=&quot;00273907&quot;/&gt;&lt;wsp:rsid wsp:val=&quot;00273A4E&quot;/&gt;&lt;wsp:rsid wsp:val=&quot;0027414B&quot;/&gt;&lt;wsp:rsid wsp:val=&quot;002748AF&quot;/&gt;&lt;wsp:rsid wsp:val=&quot;002756B6&quot;/&gt;&lt;wsp:rsid wsp:val=&quot;00275C8C&quot;/&gt;&lt;wsp:rsid wsp:val=&quot;00275DD5&quot;/&gt;&lt;wsp:rsid wsp:val=&quot;00275F3C&quot;/&gt;&lt;wsp:rsid wsp:val=&quot;002763FE&quot;/&gt;&lt;wsp:rsid wsp:val=&quot;002764D8&quot;/&gt;&lt;wsp:rsid wsp:val=&quot;00276F6C&quot;/&gt;&lt;wsp:rsid wsp:val=&quot;0027725D&quot;/&gt;&lt;wsp:rsid wsp:val=&quot;00277420&quot;/&gt;&lt;wsp:rsid wsp:val=&quot;00277453&quot;/&gt;&lt;wsp:rsid wsp:val=&quot;002805AB&quot;/&gt;&lt;wsp:rsid wsp:val=&quot;00280FF9&quot;/&gt;&lt;wsp:rsid wsp:val=&quot;0028128D&quot;/&gt;&lt;wsp:rsid wsp:val=&quot;0028168A&quot;/&gt;&lt;wsp:rsid wsp:val=&quot;002821CA&quot;/&gt;&lt;wsp:rsid wsp:val=&quot;00282DB4&quot;/&gt;&lt;wsp:rsid wsp:val=&quot;0028316E&quot;/&gt;&lt;wsp:rsid wsp:val=&quot;00283233&quot;/&gt;&lt;wsp:rsid wsp:val=&quot;00283238&quot;/&gt;&lt;wsp:rsid wsp:val=&quot;00283303&quot;/&gt;&lt;wsp:rsid wsp:val=&quot;0028342E&quot;/&gt;&lt;wsp:rsid wsp:val=&quot;00284075&quot;/&gt;&lt;wsp:rsid wsp:val=&quot;00284204&quot;/&gt;&lt;wsp:rsid wsp:val=&quot;00284793&quot;/&gt;&lt;wsp:rsid wsp:val=&quot;00284D7E&quot;/&gt;&lt;wsp:rsid wsp:val=&quot;0028591B&quot;/&gt;&lt;wsp:rsid wsp:val=&quot;00285B16&quot;/&gt;&lt;wsp:rsid wsp:val=&quot;0028649E&quot;/&gt;&lt;wsp:rsid wsp:val=&quot;00286A59&quot;/&gt;&lt;wsp:rsid wsp:val=&quot;002870F3&quot;/&gt;&lt;wsp:rsid wsp:val=&quot;00287971&quot;/&gt;&lt;wsp:rsid wsp:val=&quot;00287A2F&quot;/&gt;&lt;wsp:rsid wsp:val=&quot;00287D89&quot;/&gt;&lt;wsp:rsid wsp:val=&quot;00290FDA&quot;/&gt;&lt;wsp:rsid wsp:val=&quot;00291773&quot;/&gt;&lt;wsp:rsid wsp:val=&quot;002918DE&quot;/&gt;&lt;wsp:rsid wsp:val=&quot;00291B7B&quot;/&gt;&lt;wsp:rsid wsp:val=&quot;00291D13&quot;/&gt;&lt;wsp:rsid wsp:val=&quot;00292068&quot;/&gt;&lt;wsp:rsid wsp:val=&quot;00292101&quot;/&gt;&lt;wsp:rsid wsp:val=&quot;00292607&quot;/&gt;&lt;wsp:rsid wsp:val=&quot;002927F7&quot;/&gt;&lt;wsp:rsid wsp:val=&quot;00293069&quot;/&gt;&lt;wsp:rsid wsp:val=&quot;00293662&quot;/&gt;&lt;wsp:rsid wsp:val=&quot;00293972&quot;/&gt;&lt;wsp:rsid wsp:val=&quot;0029433F&quot;/&gt;&lt;wsp:rsid wsp:val=&quot;002943B0&quot;/&gt;&lt;wsp:rsid wsp:val=&quot;00294888&quot;/&gt;&lt;wsp:rsid wsp:val=&quot;00295822&quot;/&gt;&lt;wsp:rsid wsp:val=&quot;002958F2&quot;/&gt;&lt;wsp:rsid wsp:val=&quot;00295D0C&quot;/&gt;&lt;wsp:rsid wsp:val=&quot;002965F7&quot;/&gt;&lt;wsp:rsid wsp:val=&quot;00297157&quot;/&gt;&lt;wsp:rsid wsp:val=&quot;0029751D&quot;/&gt;&lt;wsp:rsid wsp:val=&quot;00297FA5&quot;/&gt;&lt;wsp:rsid wsp:val=&quot;002A058E&quot;/&gt;&lt;wsp:rsid wsp:val=&quot;002A168C&quot;/&gt;&lt;wsp:rsid wsp:val=&quot;002A3DC7&quot;/&gt;&lt;wsp:rsid wsp:val=&quot;002A44F7&quot;/&gt;&lt;wsp:rsid wsp:val=&quot;002A5197&quot;/&gt;&lt;wsp:rsid wsp:val=&quot;002A650E&quot;/&gt;&lt;wsp:rsid wsp:val=&quot;002A6B38&quot;/&gt;&lt;wsp:rsid wsp:val=&quot;002A6B9E&quot;/&gt;&lt;wsp:rsid wsp:val=&quot;002A7830&quot;/&gt;&lt;wsp:rsid wsp:val=&quot;002B0CAE&quot;/&gt;&lt;wsp:rsid wsp:val=&quot;002B1F7C&quot;/&gt;&lt;wsp:rsid wsp:val=&quot;002B241A&quot;/&gt;&lt;wsp:rsid wsp:val=&quot;002B2DD5&quot;/&gt;&lt;wsp:rsid wsp:val=&quot;002B2F71&quot;/&gt;&lt;wsp:rsid wsp:val=&quot;002B2FBF&quot;/&gt;&lt;wsp:rsid wsp:val=&quot;002B31C0&quot;/&gt;&lt;wsp:rsid wsp:val=&quot;002B3369&quot;/&gt;&lt;wsp:rsid wsp:val=&quot;002B39D6&quot;/&gt;&lt;wsp:rsid wsp:val=&quot;002B3D03&quot;/&gt;&lt;wsp:rsid wsp:val=&quot;002B3EE5&quot;/&gt;&lt;wsp:rsid wsp:val=&quot;002B4180&quot;/&gt;&lt;wsp:rsid wsp:val=&quot;002B49E2&quot;/&gt;&lt;wsp:rsid wsp:val=&quot;002B5203&quot;/&gt;&lt;wsp:rsid wsp:val=&quot;002B71FA&quot;/&gt;&lt;wsp:rsid wsp:val=&quot;002B7B00&quot;/&gt;&lt;wsp:rsid wsp:val=&quot;002B7C44&quot;/&gt;&lt;wsp:rsid wsp:val=&quot;002B7CEB&quot;/&gt;&lt;wsp:rsid wsp:val=&quot;002C00C5&quot;/&gt;&lt;wsp:rsid wsp:val=&quot;002C059D&quot;/&gt;&lt;wsp:rsid wsp:val=&quot;002C0906&quot;/&gt;&lt;wsp:rsid wsp:val=&quot;002C0B26&quot;/&gt;&lt;wsp:rsid wsp:val=&quot;002C0F5C&quot;/&gt;&lt;wsp:rsid wsp:val=&quot;002C1745&quot;/&gt;&lt;wsp:rsid wsp:val=&quot;002C1BCB&quot;/&gt;&lt;wsp:rsid wsp:val=&quot;002C1D87&quot;/&gt;&lt;wsp:rsid wsp:val=&quot;002C25CC&quot;/&gt;&lt;wsp:rsid wsp:val=&quot;002C2AA3&quot;/&gt;&lt;wsp:rsid wsp:val=&quot;002C2B17&quot;/&gt;&lt;wsp:rsid wsp:val=&quot;002C2FF1&quot;/&gt;&lt;wsp:rsid wsp:val=&quot;002C3FE8&quot;/&gt;&lt;wsp:rsid wsp:val=&quot;002C4091&quot;/&gt;&lt;wsp:rsid wsp:val=&quot;002C4986&quot;/&gt;&lt;wsp:rsid wsp:val=&quot;002C4A16&quot;/&gt;&lt;wsp:rsid wsp:val=&quot;002C4FC5&quot;/&gt;&lt;wsp:rsid wsp:val=&quot;002C58E3&quot;/&gt;&lt;wsp:rsid wsp:val=&quot;002C597A&quot;/&gt;&lt;wsp:rsid wsp:val=&quot;002C6FD2&quot;/&gt;&lt;wsp:rsid wsp:val=&quot;002C7072&quot;/&gt;&lt;wsp:rsid wsp:val=&quot;002C7ACA&quot;/&gt;&lt;wsp:rsid wsp:val=&quot;002C7FDF&quot;/&gt;&lt;wsp:rsid wsp:val=&quot;002D0978&quot;/&gt;&lt;wsp:rsid wsp:val=&quot;002D0BBC&quot;/&gt;&lt;wsp:rsid wsp:val=&quot;002D0C38&quot;/&gt;&lt;wsp:rsid wsp:val=&quot;002D1693&quot;/&gt;&lt;wsp:rsid wsp:val=&quot;002D1B9C&quot;/&gt;&lt;wsp:rsid wsp:val=&quot;002D1F93&quot;/&gt;&lt;wsp:rsid wsp:val=&quot;002D2A77&quot;/&gt;&lt;wsp:rsid wsp:val=&quot;002D2FF2&quot;/&gt;&lt;wsp:rsid wsp:val=&quot;002D310D&quot;/&gt;&lt;wsp:rsid wsp:val=&quot;002D35A9&quot;/&gt;&lt;wsp:rsid wsp:val=&quot;002D3DD0&quot;/&gt;&lt;wsp:rsid wsp:val=&quot;002D3FE3&quot;/&gt;&lt;wsp:rsid wsp:val=&quot;002D4949&quot;/&gt;&lt;wsp:rsid wsp:val=&quot;002D5059&quot;/&gt;&lt;wsp:rsid wsp:val=&quot;002D5B30&quot;/&gt;&lt;wsp:rsid wsp:val=&quot;002D6462&quot;/&gt;&lt;wsp:rsid wsp:val=&quot;002D667A&quot;/&gt;&lt;wsp:rsid wsp:val=&quot;002D78D4&quot;/&gt;&lt;wsp:rsid wsp:val=&quot;002D7C4A&quot;/&gt;&lt;wsp:rsid wsp:val=&quot;002E10B5&quot;/&gt;&lt;wsp:rsid wsp:val=&quot;002E1B11&quot;/&gt;&lt;wsp:rsid wsp:val=&quot;002E1F3A&quot;/&gt;&lt;wsp:rsid wsp:val=&quot;002E20B3&quot;/&gt;&lt;wsp:rsid wsp:val=&quot;002E211F&quot;/&gt;&lt;wsp:rsid wsp:val=&quot;002E22FD&quot;/&gt;&lt;wsp:rsid wsp:val=&quot;002E270E&quot;/&gt;&lt;wsp:rsid wsp:val=&quot;002E298A&quot;/&gt;&lt;wsp:rsid wsp:val=&quot;002E31A3&quot;/&gt;&lt;wsp:rsid wsp:val=&quot;002E333F&quot;/&gt;&lt;wsp:rsid wsp:val=&quot;002E3E25&quot;/&gt;&lt;wsp:rsid wsp:val=&quot;002E3F9A&quot;/&gt;&lt;wsp:rsid wsp:val=&quot;002E4C92&quot;/&gt;&lt;wsp:rsid wsp:val=&quot;002E5378&quot;/&gt;&lt;wsp:rsid wsp:val=&quot;002E65DF&quot;/&gt;&lt;wsp:rsid wsp:val=&quot;002E6DB0&quot;/&gt;&lt;wsp:rsid wsp:val=&quot;002E7D3E&quot;/&gt;&lt;wsp:rsid wsp:val=&quot;002F040A&quot;/&gt;&lt;wsp:rsid wsp:val=&quot;002F08E2&quot;/&gt;&lt;wsp:rsid wsp:val=&quot;002F0EA9&quot;/&gt;&lt;wsp:rsid wsp:val=&quot;002F1A4D&quot;/&gt;&lt;wsp:rsid wsp:val=&quot;002F2B2B&quot;/&gt;&lt;wsp:rsid wsp:val=&quot;002F2EA8&quot;/&gt;&lt;wsp:rsid wsp:val=&quot;002F2F66&quot;/&gt;&lt;wsp:rsid wsp:val=&quot;002F3759&quot;/&gt;&lt;wsp:rsid wsp:val=&quot;002F3D5E&quot;/&gt;&lt;wsp:rsid wsp:val=&quot;002F41A0&quot;/&gt;&lt;wsp:rsid wsp:val=&quot;002F43C2&quot;/&gt;&lt;wsp:rsid wsp:val=&quot;002F46A9&quot;/&gt;&lt;wsp:rsid wsp:val=&quot;002F4B3B&quot;/&gt;&lt;wsp:rsid wsp:val=&quot;002F4BBB&quot;/&gt;&lt;wsp:rsid wsp:val=&quot;002F4D2F&quot;/&gt;&lt;wsp:rsid wsp:val=&quot;002F54E3&quot;/&gt;&lt;wsp:rsid wsp:val=&quot;002F5D15&quot;/&gt;&lt;wsp:rsid wsp:val=&quot;002F5F2F&quot;/&gt;&lt;wsp:rsid wsp:val=&quot;002F6144&quot;/&gt;&lt;wsp:rsid wsp:val=&quot;002F6312&quot;/&gt;&lt;wsp:rsid wsp:val=&quot;002F6F5D&quot;/&gt;&lt;wsp:rsid wsp:val=&quot;002F704F&quot;/&gt;&lt;wsp:rsid wsp:val=&quot;00300CA3&quot;/&gt;&lt;wsp:rsid wsp:val=&quot;00301978&quot;/&gt;&lt;wsp:rsid wsp:val=&quot;00301B68&quot;/&gt;&lt;wsp:rsid wsp:val=&quot;00301EC2&quot;/&gt;&lt;wsp:rsid wsp:val=&quot;00302071&quot;/&gt;&lt;wsp:rsid wsp:val=&quot;00302446&quot;/&gt;&lt;wsp:rsid wsp:val=&quot;00302C15&quot;/&gt;&lt;wsp:rsid wsp:val=&quot;00302CEB&quot;/&gt;&lt;wsp:rsid wsp:val=&quot;0030332C&quot;/&gt;&lt;wsp:rsid wsp:val=&quot;00303A04&quot;/&gt;&lt;wsp:rsid wsp:val=&quot;00303FFA&quot;/&gt;&lt;wsp:rsid wsp:val=&quot;00304351&quot;/&gt;&lt;wsp:rsid wsp:val=&quot;003044CC&quot;/&gt;&lt;wsp:rsid wsp:val=&quot;00304B91&quot;/&gt;&lt;wsp:rsid wsp:val=&quot;00304F79&quot;/&gt;&lt;wsp:rsid wsp:val=&quot;003051C2&quot;/&gt;&lt;wsp:rsid wsp:val=&quot;00305589&quot;/&gt;&lt;wsp:rsid wsp:val=&quot;00305666&quot;/&gt;&lt;wsp:rsid wsp:val=&quot;00305F3C&quot;/&gt;&lt;wsp:rsid wsp:val=&quot;003061BE&quot;/&gt;&lt;wsp:rsid wsp:val=&quot;00306241&quot;/&gt;&lt;wsp:rsid wsp:val=&quot;00306E30&quot;/&gt;&lt;wsp:rsid wsp:val=&quot;00310454&quot;/&gt;&lt;wsp:rsid wsp:val=&quot;003104C2&quot;/&gt;&lt;wsp:rsid wsp:val=&quot;0031068E&quot;/&gt;&lt;wsp:rsid wsp:val=&quot;00310D4F&quot;/&gt;&lt;wsp:rsid wsp:val=&quot;00310E0A&quot;/&gt;&lt;wsp:rsid wsp:val=&quot;00310F19&quot;/&gt;&lt;wsp:rsid wsp:val=&quot;00311338&quot;/&gt;&lt;wsp:rsid wsp:val=&quot;0031149D&quot;/&gt;&lt;wsp:rsid wsp:val=&quot;00312296&quot;/&gt;&lt;wsp:rsid wsp:val=&quot;0031249E&quot;/&gt;&lt;wsp:rsid wsp:val=&quot;003125F1&quot;/&gt;&lt;wsp:rsid wsp:val=&quot;00312AB5&quot;/&gt;&lt;wsp:rsid wsp:val=&quot;0031313A&quot;/&gt;&lt;wsp:rsid wsp:val=&quot;00313529&quot;/&gt;&lt;wsp:rsid wsp:val=&quot;00313791&quot;/&gt;&lt;wsp:rsid wsp:val=&quot;00313986&quot;/&gt;&lt;wsp:rsid wsp:val=&quot;00314686&quot;/&gt;&lt;wsp:rsid wsp:val=&quot;003146DC&quot;/&gt;&lt;wsp:rsid wsp:val=&quot;00314F0E&quot;/&gt;&lt;wsp:rsid wsp:val=&quot;003151EA&quot;/&gt;&lt;wsp:rsid wsp:val=&quot;00315653&quot;/&gt;&lt;wsp:rsid wsp:val=&quot;003157FD&quot;/&gt;&lt;wsp:rsid wsp:val=&quot;00315E7B&quot;/&gt;&lt;wsp:rsid wsp:val=&quot;003162ED&quot;/&gt;&lt;wsp:rsid wsp:val=&quot;003178B7&quot;/&gt;&lt;wsp:rsid wsp:val=&quot;0032032C&quot;/&gt;&lt;wsp:rsid wsp:val=&quot;00320B46&quot;/&gt;&lt;wsp:rsid wsp:val=&quot;00321149&quot;/&gt;&lt;wsp:rsid wsp:val=&quot;00321D8E&quot;/&gt;&lt;wsp:rsid wsp:val=&quot;003222A9&quot;/&gt;&lt;wsp:rsid wsp:val=&quot;003224AC&quot;/&gt;&lt;wsp:rsid wsp:val=&quot;00322636&quot;/&gt;&lt;wsp:rsid wsp:val=&quot;003229DC&quot;/&gt;&lt;wsp:rsid wsp:val=&quot;00322B1B&quot;/&gt;&lt;wsp:rsid wsp:val=&quot;00322D67&quot;/&gt;&lt;wsp:rsid wsp:val=&quot;00323181&quot;/&gt;&lt;wsp:rsid wsp:val=&quot;003237BD&quot;/&gt;&lt;wsp:rsid wsp:val=&quot;00324179&quot;/&gt;&lt;wsp:rsid wsp:val=&quot;003245E2&quot;/&gt;&lt;wsp:rsid wsp:val=&quot;0032474B&quot;/&gt;&lt;wsp:rsid wsp:val=&quot;00324764&quot;/&gt;&lt;wsp:rsid wsp:val=&quot;00324BC4&quot;/&gt;&lt;wsp:rsid wsp:val=&quot;00325057&quot;/&gt;&lt;wsp:rsid wsp:val=&quot;003252C4&quot;/&gt;&lt;wsp:rsid wsp:val=&quot;00325928&quot;/&gt;&lt;wsp:rsid wsp:val=&quot;0032618F&quot;/&gt;&lt;wsp:rsid wsp:val=&quot;00327325&quot;/&gt;&lt;wsp:rsid wsp:val=&quot;00327AF1&quot;/&gt;&lt;wsp:rsid wsp:val=&quot;00327ED1&quot;/&gt;&lt;wsp:rsid wsp:val=&quot;003309A0&quot;/&gt;&lt;wsp:rsid wsp:val=&quot;00331C6B&quot;/&gt;&lt;wsp:rsid wsp:val=&quot;00332863&quot;/&gt;&lt;wsp:rsid wsp:val=&quot;003329F6&quot;/&gt;&lt;wsp:rsid wsp:val=&quot;00333060&quot;/&gt;&lt;wsp:rsid wsp:val=&quot;003332F9&quot;/&gt;&lt;wsp:rsid wsp:val=&quot;00333AD5&quot;/&gt;&lt;wsp:rsid wsp:val=&quot;00333BF9&quot;/&gt;&lt;wsp:rsid wsp:val=&quot;00334487&quot;/&gt;&lt;wsp:rsid wsp:val=&quot;003350A1&quot;/&gt;&lt;wsp:rsid wsp:val=&quot;0033513C&quot;/&gt;&lt;wsp:rsid wsp:val=&quot;00335C2A&quot;/&gt;&lt;wsp:rsid wsp:val=&quot;00335D70&quot;/&gt;&lt;wsp:rsid wsp:val=&quot;00336192&quot;/&gt;&lt;wsp:rsid wsp:val=&quot;00336294&quot;/&gt;&lt;wsp:rsid wsp:val=&quot;0033684D&quot;/&gt;&lt;wsp:rsid wsp:val=&quot;00336B51&quot;/&gt;&lt;wsp:rsid wsp:val=&quot;00337B42&quot;/&gt;&lt;wsp:rsid wsp:val=&quot;00340026&quot;/&gt;&lt;wsp:rsid wsp:val=&quot;00340146&quot;/&gt;&lt;wsp:rsid wsp:val=&quot;00340597&quot;/&gt;&lt;wsp:rsid wsp:val=&quot;00340935&quot;/&gt;&lt;wsp:rsid wsp:val=&quot;00340A87&quot;/&gt;&lt;wsp:rsid wsp:val=&quot;00341B42&quot;/&gt;&lt;wsp:rsid wsp:val=&quot;00341F5A&quot;/&gt;&lt;wsp:rsid wsp:val=&quot;00342F8D&quot;/&gt;&lt;wsp:rsid wsp:val=&quot;0034348F&quot;/&gt;&lt;wsp:rsid wsp:val=&quot;003435B6&quot;/&gt;&lt;wsp:rsid wsp:val=&quot;00343C8A&quot;/&gt;&lt;wsp:rsid wsp:val=&quot;003445B7&quot;/&gt;&lt;wsp:rsid wsp:val=&quot;00344907&quot;/&gt;&lt;wsp:rsid wsp:val=&quot;00344D62&quot;/&gt;&lt;wsp:rsid wsp:val=&quot;0034507D&quot;/&gt;&lt;wsp:rsid wsp:val=&quot;00345126&quot;/&gt;&lt;wsp:rsid wsp:val=&quot;0034539A&quot;/&gt;&lt;wsp:rsid wsp:val=&quot;0034594E&quot;/&gt;&lt;wsp:rsid wsp:val=&quot;00345DE2&quot;/&gt;&lt;wsp:rsid wsp:val=&quot;00346079&quot;/&gt;&lt;wsp:rsid wsp:val=&quot;003468EE&quot;/&gt;&lt;wsp:rsid wsp:val=&quot;00347CC6&quot;/&gt;&lt;wsp:rsid wsp:val=&quot;00347E6B&quot;/&gt;&lt;wsp:rsid wsp:val=&quot;00347EB6&quot;/&gt;&lt;wsp:rsid wsp:val=&quot;00347EED&quot;/&gt;&lt;wsp:rsid wsp:val=&quot;00350420&quot;/&gt;&lt;wsp:rsid wsp:val=&quot;003504B2&quot;/&gt;&lt;wsp:rsid wsp:val=&quot;003509D4&quot;/&gt;&lt;wsp:rsid wsp:val=&quot;00351530&quot;/&gt;&lt;wsp:rsid wsp:val=&quot;00351544&quot;/&gt;&lt;wsp:rsid wsp:val=&quot;00351592&quot;/&gt;&lt;wsp:rsid wsp:val=&quot;00351BFD&quot;/&gt;&lt;wsp:rsid wsp:val=&quot;00352645&quot;/&gt;&lt;wsp:rsid wsp:val=&quot;0035413F&quot;/&gt;&lt;wsp:rsid wsp:val=&quot;003543BD&quot;/&gt;&lt;wsp:rsid wsp:val=&quot;0035473F&quot;/&gt;&lt;wsp:rsid wsp:val=&quot;00354D60&quot;/&gt;&lt;wsp:rsid wsp:val=&quot;00354E0E&quot;/&gt;&lt;wsp:rsid wsp:val=&quot;003558B0&quot;/&gt;&lt;wsp:rsid wsp:val=&quot;00355ECE&quot;/&gt;&lt;wsp:rsid wsp:val=&quot;00356653&quot;/&gt;&lt;wsp:rsid wsp:val=&quot;0035676D&quot;/&gt;&lt;wsp:rsid wsp:val=&quot;0035698D&quot;/&gt;&lt;wsp:rsid wsp:val=&quot;00356E9E&quot;/&gt;&lt;wsp:rsid wsp:val=&quot;00356EF7&quot;/&gt;&lt;wsp:rsid wsp:val=&quot;0035743F&quot;/&gt;&lt;wsp:rsid wsp:val=&quot;00357BE2&quot;/&gt;&lt;wsp:rsid wsp:val=&quot;00357C69&quot;/&gt;&lt;wsp:rsid wsp:val=&quot;003607D1&quot;/&gt;&lt;wsp:rsid wsp:val=&quot;0036170C&quot;/&gt;&lt;wsp:rsid wsp:val=&quot;0036235F&quot;/&gt;&lt;wsp:rsid wsp:val=&quot;00362589&quot;/&gt;&lt;wsp:rsid wsp:val=&quot;00362C0F&quot;/&gt;&lt;wsp:rsid wsp:val=&quot;003633D8&quot;/&gt;&lt;wsp:rsid wsp:val=&quot;00363F80&quot;/&gt;&lt;wsp:rsid wsp:val=&quot;0036411C&quot;/&gt;&lt;wsp:rsid wsp:val=&quot;00366488&quot;/&gt;&lt;wsp:rsid wsp:val=&quot;00366694&quot;/&gt;&lt;wsp:rsid wsp:val=&quot;003666B8&quot;/&gt;&lt;wsp:rsid wsp:val=&quot;00366DC9&quot;/&gt;&lt;wsp:rsid wsp:val=&quot;00366E0F&quot;/&gt;&lt;wsp:rsid wsp:val=&quot;00366E19&quot;/&gt;&lt;wsp:rsid wsp:val=&quot;00366EA5&quot;/&gt;&lt;wsp:rsid wsp:val=&quot;003676D1&quot;/&gt;&lt;wsp:rsid wsp:val=&quot;00367E15&quot;/&gt;&lt;wsp:rsid wsp:val=&quot;003711F3&quot;/&gt;&lt;wsp:rsid wsp:val=&quot;0037152F&quot;/&gt;&lt;wsp:rsid wsp:val=&quot;0037196A&quot;/&gt;&lt;wsp:rsid wsp:val=&quot;0037254A&quot;/&gt;&lt;wsp:rsid wsp:val=&quot;0037280C&quot;/&gt;&lt;wsp:rsid wsp:val=&quot;00373B32&quot;/&gt;&lt;wsp:rsid wsp:val=&quot;003744C0&quot;/&gt;&lt;wsp:rsid wsp:val=&quot;00374F05&quot;/&gt;&lt;wsp:rsid wsp:val=&quot;00375068&quot;/&gt;&lt;wsp:rsid wsp:val=&quot;003753AE&quot;/&gt;&lt;wsp:rsid wsp:val=&quot;003756C2&quot;/&gt;&lt;wsp:rsid wsp:val=&quot;00375A9A&quot;/&gt;&lt;wsp:rsid wsp:val=&quot;0037684E&quot;/&gt;&lt;wsp:rsid wsp:val=&quot;0037685F&quot;/&gt;&lt;wsp:rsid wsp:val=&quot;0037700C&quot;/&gt;&lt;wsp:rsid wsp:val=&quot;00377C3E&quot;/&gt;&lt;wsp:rsid wsp:val=&quot;00377F1C&quot;/&gt;&lt;wsp:rsid wsp:val=&quot;00380183&quot;/&gt;&lt;wsp:rsid wsp:val=&quot;00380696&quot;/&gt;&lt;wsp:rsid wsp:val=&quot;00381197&quot;/&gt;&lt;wsp:rsid wsp:val=&quot;00381A72&quot;/&gt;&lt;wsp:rsid wsp:val=&quot;00382E1A&quot;/&gt;&lt;wsp:rsid wsp:val=&quot;00384676&quot;/&gt;&lt;wsp:rsid wsp:val=&quot;00384B56&quot;/&gt;&lt;wsp:rsid wsp:val=&quot;00384DFE&quot;/&gt;&lt;wsp:rsid wsp:val=&quot;0038619E&quot;/&gt;&lt;wsp:rsid wsp:val=&quot;003863FB&quot;/&gt;&lt;wsp:rsid wsp:val=&quot;0038650A&quot;/&gt;&lt;wsp:rsid wsp:val=&quot;00386623&quot;/&gt;&lt;wsp:rsid wsp:val=&quot;00386863&quot;/&gt;&lt;wsp:rsid wsp:val=&quot;00386B24&quot;/&gt;&lt;wsp:rsid wsp:val=&quot;00386FA6&quot;/&gt;&lt;wsp:rsid wsp:val=&quot;0038796F&quot;/&gt;&lt;wsp:rsid wsp:val=&quot;00387977&quot;/&gt;&lt;wsp:rsid wsp:val=&quot;003879FE&quot;/&gt;&lt;wsp:rsid wsp:val=&quot;00387C5F&quot;/&gt;&lt;wsp:rsid wsp:val=&quot;00390857&quot;/&gt;&lt;wsp:rsid wsp:val=&quot;00390E61&quot;/&gt;&lt;wsp:rsid wsp:val=&quot;00390E9E&quot;/&gt;&lt;wsp:rsid wsp:val=&quot;0039110E&quot;/&gt;&lt;wsp:rsid wsp:val=&quot;00391ED2&quot;/&gt;&lt;wsp:rsid wsp:val=&quot;00391F7B&quot;/&gt;&lt;wsp:rsid wsp:val=&quot;00392213&quot;/&gt;&lt;wsp:rsid wsp:val=&quot;00392600&quot;/&gt;&lt;wsp:rsid wsp:val=&quot;0039347A&quot;/&gt;&lt;wsp:rsid wsp:val=&quot;00394021&quot;/&gt;&lt;wsp:rsid wsp:val=&quot;00394126&quot;/&gt;&lt;wsp:rsid wsp:val=&quot;003941A8&quot;/&gt;&lt;wsp:rsid wsp:val=&quot;0039459E&quot;/&gt;&lt;wsp:rsid wsp:val=&quot;00394BD0&quot;/&gt;&lt;wsp:rsid wsp:val=&quot;00394C5C&quot;/&gt;&lt;wsp:rsid wsp:val=&quot;003951C7&quot;/&gt;&lt;wsp:rsid wsp:val=&quot;003953AE&quot;/&gt;&lt;wsp:rsid wsp:val=&quot;003954F5&quot;/&gt;&lt;wsp:rsid wsp:val=&quot;00395528&quot;/&gt;&lt;wsp:rsid wsp:val=&quot;00395530&quot;/&gt;&lt;wsp:rsid wsp:val=&quot;00395C0B&quot;/&gt;&lt;wsp:rsid wsp:val=&quot;00395FB7&quot;/&gt;&lt;wsp:rsid wsp:val=&quot;00396752&quot;/&gt;&lt;wsp:rsid wsp:val=&quot;003977C9&quot;/&gt;&lt;wsp:rsid wsp:val=&quot;00397C49&quot;/&gt;&lt;wsp:rsid wsp:val=&quot;003A017D&quot;/&gt;&lt;wsp:rsid wsp:val=&quot;003A0CA9&quot;/&gt;&lt;wsp:rsid wsp:val=&quot;003A19F8&quot;/&gt;&lt;wsp:rsid wsp:val=&quot;003A2740&quot;/&gt;&lt;wsp:rsid wsp:val=&quot;003A31B0&quot;/&gt;&lt;wsp:rsid wsp:val=&quot;003A3F3C&quot;/&gt;&lt;wsp:rsid wsp:val=&quot;003A4824&quot;/&gt;&lt;wsp:rsid wsp:val=&quot;003A493F&quot;/&gt;&lt;wsp:rsid wsp:val=&quot;003A4BF3&quot;/&gt;&lt;wsp:rsid wsp:val=&quot;003A4D4B&quot;/&gt;&lt;wsp:rsid wsp:val=&quot;003A5197&quot;/&gt;&lt;wsp:rsid wsp:val=&quot;003A5469&quot;/&gt;&lt;wsp:rsid wsp:val=&quot;003A6212&quot;/&gt;&lt;wsp:rsid wsp:val=&quot;003A6330&quot;/&gt;&lt;wsp:rsid wsp:val=&quot;003A6B5B&quot;/&gt;&lt;wsp:rsid wsp:val=&quot;003A7901&quot;/&gt;&lt;wsp:rsid wsp:val=&quot;003A7D2D&quot;/&gt;&lt;wsp:rsid wsp:val=&quot;003A7D3A&quot;/&gt;&lt;wsp:rsid wsp:val=&quot;003B0458&quot;/&gt;&lt;wsp:rsid wsp:val=&quot;003B064E&quot;/&gt;&lt;wsp:rsid wsp:val=&quot;003B08B9&quot;/&gt;&lt;wsp:rsid wsp:val=&quot;003B090B&quot;/&gt;&lt;wsp:rsid wsp:val=&quot;003B0AF3&quot;/&gt;&lt;wsp:rsid wsp:val=&quot;003B2154&quot;/&gt;&lt;wsp:rsid wsp:val=&quot;003B2354&quot;/&gt;&lt;wsp:rsid wsp:val=&quot;003B2873&quot;/&gt;&lt;wsp:rsid wsp:val=&quot;003B2944&quot;/&gt;&lt;wsp:rsid wsp:val=&quot;003B2D10&quot;/&gt;&lt;wsp:rsid wsp:val=&quot;003B2FFF&quot;/&gt;&lt;wsp:rsid wsp:val=&quot;003B3ADB&quot;/&gt;&lt;wsp:rsid wsp:val=&quot;003B3F11&quot;/&gt;&lt;wsp:rsid wsp:val=&quot;003B420D&quot;/&gt;&lt;wsp:rsid wsp:val=&quot;003B4558&quot;/&gt;&lt;wsp:rsid wsp:val=&quot;003B482B&quot;/&gt;&lt;wsp:rsid wsp:val=&quot;003B53C9&quot;/&gt;&lt;wsp:rsid wsp:val=&quot;003B59DB&quot;/&gt;&lt;wsp:rsid wsp:val=&quot;003B68E1&quot;/&gt;&lt;wsp:rsid wsp:val=&quot;003B717E&quot;/&gt;&lt;wsp:rsid wsp:val=&quot;003B7556&quot;/&gt;&lt;wsp:rsid wsp:val=&quot;003B75CC&quot;/&gt;&lt;wsp:rsid wsp:val=&quot;003B7B62&quot;/&gt;&lt;wsp:rsid wsp:val=&quot;003C01DF&quot;/&gt;&lt;wsp:rsid wsp:val=&quot;003C0463&quot;/&gt;&lt;wsp:rsid wsp:val=&quot;003C0485&quot;/&gt;&lt;wsp:rsid wsp:val=&quot;003C05C2&quot;/&gt;&lt;wsp:rsid wsp:val=&quot;003C06EC&quot;/&gt;&lt;wsp:rsid wsp:val=&quot;003C0EC6&quot;/&gt;&lt;wsp:rsid wsp:val=&quot;003C14D8&quot;/&gt;&lt;wsp:rsid wsp:val=&quot;003C17D1&quot;/&gt;&lt;wsp:rsid wsp:val=&quot;003C18D3&quot;/&gt;&lt;wsp:rsid wsp:val=&quot;003C249B&quot;/&gt;&lt;wsp:rsid wsp:val=&quot;003C4A9C&quot;/&gt;&lt;wsp:rsid wsp:val=&quot;003C4AA3&quot;/&gt;&lt;wsp:rsid wsp:val=&quot;003C5355&quot;/&gt;&lt;wsp:rsid wsp:val=&quot;003C578E&quot;/&gt;&lt;wsp:rsid wsp:val=&quot;003C64FE&quot;/&gt;&lt;wsp:rsid wsp:val=&quot;003C6C16&quot;/&gt;&lt;wsp:rsid wsp:val=&quot;003C73BF&quot;/&gt;&lt;wsp:rsid wsp:val=&quot;003C7722&quot;/&gt;&lt;wsp:rsid wsp:val=&quot;003C7BF7&quot;/&gt;&lt;wsp:rsid wsp:val=&quot;003D0059&quot;/&gt;&lt;wsp:rsid wsp:val=&quot;003D0C92&quot;/&gt;&lt;wsp:rsid wsp:val=&quot;003D0F97&quot;/&gt;&lt;wsp:rsid wsp:val=&quot;003D12F8&quot;/&gt;&lt;wsp:rsid wsp:val=&quot;003D1D31&quot;/&gt;&lt;wsp:rsid wsp:val=&quot;003D2BF7&quot;/&gt;&lt;wsp:rsid wsp:val=&quot;003D3753&quot;/&gt;&lt;wsp:rsid wsp:val=&quot;003D4443&quot;/&gt;&lt;wsp:rsid wsp:val=&quot;003D47AE&quot;/&gt;&lt;wsp:rsid wsp:val=&quot;003D47F8&quot;/&gt;&lt;wsp:rsid wsp:val=&quot;003D497A&quot;/&gt;&lt;wsp:rsid wsp:val=&quot;003D4F78&quot;/&gt;&lt;wsp:rsid wsp:val=&quot;003D5126&quot;/&gt;&lt;wsp:rsid wsp:val=&quot;003D550B&quot;/&gt;&lt;wsp:rsid wsp:val=&quot;003D5786&quot;/&gt;&lt;wsp:rsid wsp:val=&quot;003D585E&quot;/&gt;&lt;wsp:rsid wsp:val=&quot;003D5EA9&quot;/&gt;&lt;wsp:rsid wsp:val=&quot;003D6240&quot;/&gt;&lt;wsp:rsid wsp:val=&quot;003D6BC3&quot;/&gt;&lt;wsp:rsid wsp:val=&quot;003D77A3&quot;/&gt;&lt;wsp:rsid wsp:val=&quot;003D794D&quot;/&gt;&lt;wsp:rsid wsp:val=&quot;003D7AF2&quot;/&gt;&lt;wsp:rsid wsp:val=&quot;003E005B&quot;/&gt;&lt;wsp:rsid wsp:val=&quot;003E03FA&quot;/&gt;&lt;wsp:rsid wsp:val=&quot;003E081F&quot;/&gt;&lt;wsp:rsid wsp:val=&quot;003E17BE&quot;/&gt;&lt;wsp:rsid wsp:val=&quot;003E1F51&quot;/&gt;&lt;wsp:rsid wsp:val=&quot;003E272E&quot;/&gt;&lt;wsp:rsid wsp:val=&quot;003E3058&quot;/&gt;&lt;wsp:rsid wsp:val=&quot;003E30C3&quot;/&gt;&lt;wsp:rsid wsp:val=&quot;003E30D0&quot;/&gt;&lt;wsp:rsid wsp:val=&quot;003E34CF&quot;/&gt;&lt;wsp:rsid wsp:val=&quot;003E399C&quot;/&gt;&lt;wsp:rsid wsp:val=&quot;003E42FF&quot;/&gt;&lt;wsp:rsid wsp:val=&quot;003E4726&quot;/&gt;&lt;wsp:rsid wsp:val=&quot;003E5503&quot;/&gt;&lt;wsp:rsid wsp:val=&quot;003E5880&quot;/&gt;&lt;wsp:rsid wsp:val=&quot;003E5C2F&quot;/&gt;&lt;wsp:rsid wsp:val=&quot;003E61AD&quot;/&gt;&lt;wsp:rsid wsp:val=&quot;003E621C&quot;/&gt;&lt;wsp:rsid wsp:val=&quot;003E76A9&quot;/&gt;&lt;wsp:rsid wsp:val=&quot;003E7A60&quot;/&gt;&lt;wsp:rsid wsp:val=&quot;003F009D&quot;/&gt;&lt;wsp:rsid wsp:val=&quot;003F02C3&quot;/&gt;&lt;wsp:rsid wsp:val=&quot;003F03A4&quot;/&gt;&lt;wsp:rsid wsp:val=&quot;003F0809&quot;/&gt;&lt;wsp:rsid wsp:val=&quot;003F0DCE&quot;/&gt;&lt;wsp:rsid wsp:val=&quot;003F1B43&quot;/&gt;&lt;wsp:rsid wsp:val=&quot;003F1C57&quot;/&gt;&lt;wsp:rsid wsp:val=&quot;003F1CA5&quot;/&gt;&lt;wsp:rsid wsp:val=&quot;003F1D85&quot;/&gt;&lt;wsp:rsid wsp:val=&quot;003F22D3&quot;/&gt;&lt;wsp:rsid wsp:val=&quot;003F2800&quot;/&gt;&lt;wsp:rsid wsp:val=&quot;003F2C2C&quot;/&gt;&lt;wsp:rsid wsp:val=&quot;003F34E7&quot;/&gt;&lt;wsp:rsid wsp:val=&quot;003F382C&quot;/&gt;&lt;wsp:rsid wsp:val=&quot;003F413E&quot;/&gt;&lt;wsp:rsid wsp:val=&quot;003F45C2&quot;/&gt;&lt;wsp:rsid wsp:val=&quot;003F487A&quot;/&gt;&lt;wsp:rsid wsp:val=&quot;003F4E7A&quot;/&gt;&lt;wsp:rsid wsp:val=&quot;003F53A7&quot;/&gt;&lt;wsp:rsid wsp:val=&quot;003F58E9&quot;/&gt;&lt;wsp:rsid wsp:val=&quot;003F60C2&quot;/&gt;&lt;wsp:rsid wsp:val=&quot;003F617C&quot;/&gt;&lt;wsp:rsid wsp:val=&quot;003F6965&quot;/&gt;&lt;wsp:rsid wsp:val=&quot;003F6A8C&quot;/&gt;&lt;wsp:rsid wsp:val=&quot;003F6EE6&quot;/&gt;&lt;wsp:rsid wsp:val=&quot;003F6FAB&quot;/&gt;&lt;wsp:rsid wsp:val=&quot;003F755C&quot;/&gt;&lt;wsp:rsid wsp:val=&quot;003F780A&quot;/&gt;&lt;wsp:rsid wsp:val=&quot;003F7BD7&quot;/&gt;&lt;wsp:rsid wsp:val=&quot;00401346&quot;/&gt;&lt;wsp:rsid wsp:val=&quot;0040152E&quot;/&gt;&lt;wsp:rsid wsp:val=&quot;00402AD1&quot;/&gt;&lt;wsp:rsid wsp:val=&quot;00402BB2&quot;/&gt;&lt;wsp:rsid wsp:val=&quot;00403076&quot;/&gt;&lt;wsp:rsid wsp:val=&quot;004037C3&quot;/&gt;&lt;wsp:rsid wsp:val=&quot;00403926&quot;/&gt;&lt;wsp:rsid wsp:val=&quot;00404F2A&quot;/&gt;&lt;wsp:rsid wsp:val=&quot;004063C3&quot;/&gt;&lt;wsp:rsid wsp:val=&quot;00406802&quot;/&gt;&lt;wsp:rsid wsp:val=&quot;00406F01&quot;/&gt;&lt;wsp:rsid wsp:val=&quot;00407348&quot;/&gt;&lt;wsp:rsid wsp:val=&quot;00407972&quot;/&gt;&lt;wsp:rsid wsp:val=&quot;004104C2&quot;/&gt;&lt;wsp:rsid wsp:val=&quot;004106E6&quot;/&gt;&lt;wsp:rsid wsp:val=&quot;00410AD6&quot;/&gt;&lt;wsp:rsid wsp:val=&quot;00410E0C&quot;/&gt;&lt;wsp:rsid wsp:val=&quot;004137CF&quot;/&gt;&lt;wsp:rsid wsp:val=&quot;00414010&quot;/&gt;&lt;wsp:rsid wsp:val=&quot;00414334&quot;/&gt;&lt;wsp:rsid wsp:val=&quot;0041452C&quot;/&gt;&lt;wsp:rsid wsp:val=&quot;00414AA0&quot;/&gt;&lt;wsp:rsid wsp:val=&quot;00414D23&quot;/&gt;&lt;wsp:rsid wsp:val=&quot;004150B8&quot;/&gt;&lt;wsp:rsid wsp:val=&quot;004152D8&quot;/&gt;&lt;wsp:rsid wsp:val=&quot;004154F0&quot;/&gt;&lt;wsp:rsid wsp:val=&quot;00415671&quot;/&gt;&lt;wsp:rsid wsp:val=&quot;00416D50&quot;/&gt;&lt;wsp:rsid wsp:val=&quot;00416FD5&quot;/&gt;&lt;wsp:rsid wsp:val=&quot;00417171&quot;/&gt;&lt;wsp:rsid wsp:val=&quot;004174DB&quot;/&gt;&lt;wsp:rsid wsp:val=&quot;00417772&quot;/&gt;&lt;wsp:rsid wsp:val=&quot;0041784A&quot;/&gt;&lt;wsp:rsid wsp:val=&quot;00417857&quot;/&gt;&lt;wsp:rsid wsp:val=&quot;004204B5&quot;/&gt;&lt;wsp:rsid wsp:val=&quot;004206D2&quot;/&gt;&lt;wsp:rsid wsp:val=&quot;00420777&quot;/&gt;&lt;wsp:rsid wsp:val=&quot;00420CE1&quot;/&gt;&lt;wsp:rsid wsp:val=&quot;00420E6A&quot;/&gt;&lt;wsp:rsid wsp:val=&quot;004214E4&quot;/&gt;&lt;wsp:rsid wsp:val=&quot;00421B36&quot;/&gt;&lt;wsp:rsid wsp:val=&quot;004220A8&quot;/&gt;&lt;wsp:rsid wsp:val=&quot;00422B37&quot;/&gt;&lt;wsp:rsid wsp:val=&quot;00423A1D&quot;/&gt;&lt;wsp:rsid wsp:val=&quot;00423B75&quot;/&gt;&lt;wsp:rsid wsp:val=&quot;004255C5&quot;/&gt;&lt;wsp:rsid wsp:val=&quot;0042586C&quot;/&gt;&lt;wsp:rsid wsp:val=&quot;00425A9E&quot;/&gt;&lt;wsp:rsid wsp:val=&quot;00426D6B&quot;/&gt;&lt;wsp:rsid wsp:val=&quot;00427FD4&quot;/&gt;&lt;wsp:rsid wsp:val=&quot;00431E6C&quot;/&gt;&lt;wsp:rsid wsp:val=&quot;00432176&quot;/&gt;&lt;wsp:rsid wsp:val=&quot;0043295C&quot;/&gt;&lt;wsp:rsid wsp:val=&quot;00432A2F&quot;/&gt;&lt;wsp:rsid wsp:val=&quot;00432F61&quot;/&gt;&lt;wsp:rsid wsp:val=&quot;0043377B&quot;/&gt;&lt;wsp:rsid wsp:val=&quot;004338CD&quot;/&gt;&lt;wsp:rsid wsp:val=&quot;00433CE7&quot;/&gt;&lt;wsp:rsid wsp:val=&quot;00434098&quot;/&gt;&lt;wsp:rsid wsp:val=&quot;0043409E&quot;/&gt;&lt;wsp:rsid wsp:val=&quot;00434C32&quot;/&gt;&lt;wsp:rsid wsp:val=&quot;0043544A&quot;/&gt;&lt;wsp:rsid wsp:val=&quot;0043556F&quot;/&gt;&lt;wsp:rsid wsp:val=&quot;00435A62&quot;/&gt;&lt;wsp:rsid wsp:val=&quot;00435CA9&quot;/&gt;&lt;wsp:rsid wsp:val=&quot;0043720C&quot;/&gt;&lt;wsp:rsid wsp:val=&quot;00437C37&quot;/&gt;&lt;wsp:rsid wsp:val=&quot;00440DE7&quot;/&gt;&lt;wsp:rsid wsp:val=&quot;00441A25&quot;/&gt;&lt;wsp:rsid wsp:val=&quot;00442C6C&quot;/&gt;&lt;wsp:rsid wsp:val=&quot;004431DD&quot;/&gt;&lt;wsp:rsid wsp:val=&quot;00443270&quot;/&gt;&lt;wsp:rsid wsp:val=&quot;00443DCC&quot;/&gt;&lt;wsp:rsid wsp:val=&quot;00444FE4&quot;/&gt;&lt;wsp:rsid wsp:val=&quot;0044534E&quot;/&gt;&lt;wsp:rsid wsp:val=&quot;00447B0F&quot;/&gt;&lt;wsp:rsid wsp:val=&quot;00447B8B&quot;/&gt;&lt;wsp:rsid wsp:val=&quot;00450001&quot;/&gt;&lt;wsp:rsid wsp:val=&quot;004500E1&quot;/&gt;&lt;wsp:rsid wsp:val=&quot;004501AB&quot;/&gt;&lt;wsp:rsid wsp:val=&quot;00450ACD&quot;/&gt;&lt;wsp:rsid wsp:val=&quot;00451041&quot;/&gt;&lt;wsp:rsid wsp:val=&quot;004515BF&quot;/&gt;&lt;wsp:rsid wsp:val=&quot;004519D9&quot;/&gt;&lt;wsp:rsid wsp:val=&quot;0045240F&quot;/&gt;&lt;wsp:rsid wsp:val=&quot;00452738&quot;/&gt;&lt;wsp:rsid wsp:val=&quot;00452846&quot;/&gt;&lt;wsp:rsid wsp:val=&quot;004529B1&quot;/&gt;&lt;wsp:rsid wsp:val=&quot;00452F32&quot;/&gt;&lt;wsp:rsid wsp:val=&quot;00453080&quot;/&gt;&lt;wsp:rsid wsp:val=&quot;00453564&quot;/&gt;&lt;wsp:rsid wsp:val=&quot;00453E0F&quot;/&gt;&lt;wsp:rsid wsp:val=&quot;004540D3&quot;/&gt;&lt;wsp:rsid wsp:val=&quot;004546DA&quot;/&gt;&lt;wsp:rsid wsp:val=&quot;004549B9&quot;/&gt;&lt;wsp:rsid wsp:val=&quot;00454A9E&quot;/&gt;&lt;wsp:rsid wsp:val=&quot;00454FDC&quot;/&gt;&lt;wsp:rsid wsp:val=&quot;004552EE&quot;/&gt;&lt;wsp:rsid wsp:val=&quot;00455413&quot;/&gt;&lt;wsp:rsid wsp:val=&quot;00456091&quot;/&gt;&lt;wsp:rsid wsp:val=&quot;00456191&quot;/&gt;&lt;wsp:rsid wsp:val=&quot;004561D6&quot;/&gt;&lt;wsp:rsid wsp:val=&quot;00456BE7&quot;/&gt;&lt;wsp:rsid wsp:val=&quot;00456BF0&quot;/&gt;&lt;wsp:rsid wsp:val=&quot;00456DB8&quot;/&gt;&lt;wsp:rsid wsp:val=&quot;00456F4F&quot;/&gt;&lt;wsp:rsid wsp:val=&quot;00457929&quot;/&gt;&lt;wsp:rsid wsp:val=&quot;00457C98&quot;/&gt;&lt;wsp:rsid wsp:val=&quot;00457E8D&quot;/&gt;&lt;wsp:rsid wsp:val=&quot;00457ED0&quot;/&gt;&lt;wsp:rsid wsp:val=&quot;00460AAF&quot;/&gt;&lt;wsp:rsid wsp:val=&quot;00461152&quot;/&gt;&lt;wsp:rsid wsp:val=&quot;004612A8&quot;/&gt;&lt;wsp:rsid wsp:val=&quot;00461F20&quot;/&gt;&lt;wsp:rsid wsp:val=&quot;004622E3&quot;/&gt;&lt;wsp:rsid wsp:val=&quot;004623C1&quot;/&gt;&lt;wsp:rsid wsp:val=&quot;00462BCC&quot;/&gt;&lt;wsp:rsid wsp:val=&quot;00462FAF&quot;/&gt;&lt;wsp:rsid wsp:val=&quot;00463CA2&quot;/&gt;&lt;wsp:rsid wsp:val=&quot;00463D89&quot;/&gt;&lt;wsp:rsid wsp:val=&quot;00464580&quot;/&gt;&lt;wsp:rsid wsp:val=&quot;00464952&quot;/&gt;&lt;wsp:rsid wsp:val=&quot;004659CB&quot;/&gt;&lt;wsp:rsid wsp:val=&quot;00465E09&quot;/&gt;&lt;wsp:rsid wsp:val=&quot;00465F06&quot;/&gt;&lt;wsp:rsid wsp:val=&quot;00466205&quot;/&gt;&lt;wsp:rsid wsp:val=&quot;00466321&quot;/&gt;&lt;wsp:rsid wsp:val=&quot;004663C0&quot;/&gt;&lt;wsp:rsid wsp:val=&quot;00466525&quot;/&gt;&lt;wsp:rsid wsp:val=&quot;00466CD0&quot;/&gt;&lt;wsp:rsid wsp:val=&quot;0046743D&quot;/&gt;&lt;wsp:rsid wsp:val=&quot;00470983&quot;/&gt;&lt;wsp:rsid wsp:val=&quot;00470DFD&quot;/&gt;&lt;wsp:rsid wsp:val=&quot;00471EFD&quot;/&gt;&lt;wsp:rsid wsp:val=&quot;00472042&quot;/&gt;&lt;wsp:rsid wsp:val=&quot;004734DC&quot;/&gt;&lt;wsp:rsid wsp:val=&quot;00473A1F&quot;/&gt;&lt;wsp:rsid wsp:val=&quot;00473C66&quot;/&gt;&lt;wsp:rsid wsp:val=&quot;00473CA3&quot;/&gt;&lt;wsp:rsid wsp:val=&quot;00474174&quot;/&gt;&lt;wsp:rsid wsp:val=&quot;00474D08&quot;/&gt;&lt;wsp:rsid wsp:val=&quot;00474EFB&quot;/&gt;&lt;wsp:rsid wsp:val=&quot;00475497&quot;/&gt;&lt;wsp:rsid wsp:val=&quot;00475E66&quot;/&gt;&lt;wsp:rsid wsp:val=&quot;004779B9&quot;/&gt;&lt;wsp:rsid wsp:val=&quot;00477BF5&quot;/&gt;&lt;wsp:rsid wsp:val=&quot;00480273&quot;/&gt;&lt;wsp:rsid wsp:val=&quot;0048045A&quot;/&gt;&lt;wsp:rsid wsp:val=&quot;0048065F&quot;/&gt;&lt;wsp:rsid wsp:val=&quot;00480EF9&quot;/&gt;&lt;wsp:rsid wsp:val=&quot;004826C0&quot;/&gt;&lt;wsp:rsid wsp:val=&quot;00482788&quot;/&gt;&lt;wsp:rsid wsp:val=&quot;00483786&quot;/&gt;&lt;wsp:rsid wsp:val=&quot;00484B9B&quot;/&gt;&lt;wsp:rsid wsp:val=&quot;004855F6&quot;/&gt;&lt;wsp:rsid wsp:val=&quot;00485739&quot;/&gt;&lt;wsp:rsid wsp:val=&quot;00485C46&quot;/&gt;&lt;wsp:rsid wsp:val=&quot;00485CE7&quot;/&gt;&lt;wsp:rsid wsp:val=&quot;00486310&quot;/&gt;&lt;wsp:rsid wsp:val=&quot;0048661E&quot;/&gt;&lt;wsp:rsid wsp:val=&quot;0048698B&quot;/&gt;&lt;wsp:rsid wsp:val=&quot;00486B1F&quot;/&gt;&lt;wsp:rsid wsp:val=&quot;00487C7F&quot;/&gt;&lt;wsp:rsid wsp:val=&quot;00490605&quot;/&gt;&lt;wsp:rsid wsp:val=&quot;0049060B&quot;/&gt;&lt;wsp:rsid wsp:val=&quot;00490906&quot;/&gt;&lt;wsp:rsid wsp:val=&quot;004912EC&quot;/&gt;&lt;wsp:rsid wsp:val=&quot;00491313&quot;/&gt;&lt;wsp:rsid wsp:val=&quot;004913FF&quot;/&gt;&lt;wsp:rsid wsp:val=&quot;004914DC&quot;/&gt;&lt;wsp:rsid wsp:val=&quot;004919D5&quot;/&gt;&lt;wsp:rsid wsp:val=&quot;004927EC&quot;/&gt;&lt;wsp:rsid wsp:val=&quot;00493008&quot;/&gt;&lt;wsp:rsid wsp:val=&quot;004935E4&quot;/&gt;&lt;wsp:rsid wsp:val=&quot;004941E3&quot;/&gt;&lt;wsp:rsid wsp:val=&quot;00494670&quot;/&gt;&lt;wsp:rsid wsp:val=&quot;00494BE9&quot;/&gt;&lt;wsp:rsid wsp:val=&quot;00494F65&quot;/&gt;&lt;wsp:rsid wsp:val=&quot;004952F9&quot;/&gt;&lt;wsp:rsid wsp:val=&quot;00496297&quot;/&gt;&lt;wsp:rsid wsp:val=&quot;004979B6&quot;/&gt;&lt;wsp:rsid wsp:val=&quot;00497FAF&quot;/&gt;&lt;wsp:rsid wsp:val=&quot;004A10F8&quot;/&gt;&lt;wsp:rsid wsp:val=&quot;004A149B&quot;/&gt;&lt;wsp:rsid wsp:val=&quot;004A2098&quot;/&gt;&lt;wsp:rsid wsp:val=&quot;004A3823&quot;/&gt;&lt;wsp:rsid wsp:val=&quot;004A38B6&quot;/&gt;&lt;wsp:rsid wsp:val=&quot;004A3A75&quot;/&gt;&lt;wsp:rsid wsp:val=&quot;004A3A95&quot;/&gt;&lt;wsp:rsid wsp:val=&quot;004A3ACF&quot;/&gt;&lt;wsp:rsid wsp:val=&quot;004A3BBA&quot;/&gt;&lt;wsp:rsid wsp:val=&quot;004A449B&quot;/&gt;&lt;wsp:rsid wsp:val=&quot;004A476E&quot;/&gt;&lt;wsp:rsid wsp:val=&quot;004A4782&quot;/&gt;&lt;wsp:rsid wsp:val=&quot;004A4D8D&quot;/&gt;&lt;wsp:rsid wsp:val=&quot;004A55F9&quot;/&gt;&lt;wsp:rsid wsp:val=&quot;004A5C8A&quot;/&gt;&lt;wsp:rsid wsp:val=&quot;004A5DAD&quot;/&gt;&lt;wsp:rsid wsp:val=&quot;004A66D2&quot;/&gt;&lt;wsp:rsid wsp:val=&quot;004A6B1C&quot;/&gt;&lt;wsp:rsid wsp:val=&quot;004A6D8B&quot;/&gt;&lt;wsp:rsid wsp:val=&quot;004A6DE5&quot;/&gt;&lt;wsp:rsid wsp:val=&quot;004A6FB7&quot;/&gt;&lt;wsp:rsid wsp:val=&quot;004A7004&quot;/&gt;&lt;wsp:rsid wsp:val=&quot;004B047D&quot;/&gt;&lt;wsp:rsid wsp:val=&quot;004B065B&quot;/&gt;&lt;wsp:rsid wsp:val=&quot;004B0662&quot;/&gt;&lt;wsp:rsid wsp:val=&quot;004B0935&quot;/&gt;&lt;wsp:rsid wsp:val=&quot;004B19D8&quot;/&gt;&lt;wsp:rsid wsp:val=&quot;004B1F6C&quot;/&gt;&lt;wsp:rsid wsp:val=&quot;004B2133&quot;/&gt;&lt;wsp:rsid wsp:val=&quot;004B2BC6&quot;/&gt;&lt;wsp:rsid wsp:val=&quot;004B2E24&quot;/&gt;&lt;wsp:rsid wsp:val=&quot;004B3204&quot;/&gt;&lt;wsp:rsid wsp:val=&quot;004B321F&quot;/&gt;&lt;wsp:rsid wsp:val=&quot;004B3379&quot;/&gt;&lt;wsp:rsid wsp:val=&quot;004B37FC&quot;/&gt;&lt;wsp:rsid wsp:val=&quot;004B4302&quot;/&gt;&lt;wsp:rsid wsp:val=&quot;004B5AF0&quot;/&gt;&lt;wsp:rsid wsp:val=&quot;004B5E3A&quot;/&gt;&lt;wsp:rsid wsp:val=&quot;004B65D0&quot;/&gt;&lt;wsp:rsid wsp:val=&quot;004B6DDB&quot;/&gt;&lt;wsp:rsid wsp:val=&quot;004B6F9C&quot;/&gt;&lt;wsp:rsid wsp:val=&quot;004B7261&quot;/&gt;&lt;wsp:rsid wsp:val=&quot;004C024D&quot;/&gt;&lt;wsp:rsid wsp:val=&quot;004C104A&quot;/&gt;&lt;wsp:rsid wsp:val=&quot;004C1344&quot;/&gt;&lt;wsp:rsid wsp:val=&quot;004C1489&quot;/&gt;&lt;wsp:rsid wsp:val=&quot;004C1734&quot;/&gt;&lt;wsp:rsid wsp:val=&quot;004C183F&quot;/&gt;&lt;wsp:rsid wsp:val=&quot;004C204B&quot;/&gt;&lt;wsp:rsid wsp:val=&quot;004C20AF&quot;/&gt;&lt;wsp:rsid wsp:val=&quot;004C2671&quot;/&gt;&lt;wsp:rsid wsp:val=&quot;004C2CB6&quot;/&gt;&lt;wsp:rsid wsp:val=&quot;004C2F8D&quot;/&gt;&lt;wsp:rsid wsp:val=&quot;004C338C&quot;/&gt;&lt;wsp:rsid wsp:val=&quot;004C3465&quot;/&gt;&lt;wsp:rsid wsp:val=&quot;004C40E7&quot;/&gt;&lt;wsp:rsid wsp:val=&quot;004C4565&quot;/&gt;&lt;wsp:rsid wsp:val=&quot;004C638F&quot;/&gt;&lt;wsp:rsid wsp:val=&quot;004C7148&quot;/&gt;&lt;wsp:rsid wsp:val=&quot;004C76BF&quot;/&gt;&lt;wsp:rsid wsp:val=&quot;004D111B&quot;/&gt;&lt;wsp:rsid wsp:val=&quot;004D1329&quot;/&gt;&lt;wsp:rsid wsp:val=&quot;004D2783&quot;/&gt;&lt;wsp:rsid wsp:val=&quot;004D2C2B&quot;/&gt;&lt;wsp:rsid wsp:val=&quot;004D2D08&quot;/&gt;&lt;wsp:rsid wsp:val=&quot;004D2DE3&quot;/&gt;&lt;wsp:rsid wsp:val=&quot;004D3489&quot;/&gt;&lt;wsp:rsid wsp:val=&quot;004D35E0&quot;/&gt;&lt;wsp:rsid wsp:val=&quot;004D369A&quot;/&gt;&lt;wsp:rsid wsp:val=&quot;004D3C2C&quot;/&gt;&lt;wsp:rsid wsp:val=&quot;004D3E9E&quot;/&gt;&lt;wsp:rsid wsp:val=&quot;004D3EEB&quot;/&gt;&lt;wsp:rsid wsp:val=&quot;004D408B&quot;/&gt;&lt;wsp:rsid wsp:val=&quot;004D40B3&quot;/&gt;&lt;wsp:rsid wsp:val=&quot;004D49D8&quot;/&gt;&lt;wsp:rsid wsp:val=&quot;004D5943&quot;/&gt;&lt;wsp:rsid wsp:val=&quot;004D5CFD&quot;/&gt;&lt;wsp:rsid wsp:val=&quot;004D5F73&quot;/&gt;&lt;wsp:rsid wsp:val=&quot;004D6428&quot;/&gt;&lt;wsp:rsid wsp:val=&quot;004D6AB5&quot;/&gt;&lt;wsp:rsid wsp:val=&quot;004D6BB9&quot;/&gt;&lt;wsp:rsid wsp:val=&quot;004D6F96&quot;/&gt;&lt;wsp:rsid wsp:val=&quot;004D72C8&quot;/&gt;&lt;wsp:rsid wsp:val=&quot;004D76FB&quot;/&gt;&lt;wsp:rsid wsp:val=&quot;004D7B79&quot;/&gt;&lt;wsp:rsid wsp:val=&quot;004E1D60&quot;/&gt;&lt;wsp:rsid wsp:val=&quot;004E1DFA&quot;/&gt;&lt;wsp:rsid wsp:val=&quot;004E2618&quot;/&gt;&lt;wsp:rsid wsp:val=&quot;004E2A9D&quot;/&gt;&lt;wsp:rsid wsp:val=&quot;004E30B5&quot;/&gt;&lt;wsp:rsid wsp:val=&quot;004E320E&quot;/&gt;&lt;wsp:rsid wsp:val=&quot;004E3566&quot;/&gt;&lt;wsp:rsid wsp:val=&quot;004E3AB7&quot;/&gt;&lt;wsp:rsid wsp:val=&quot;004E3E3E&quot;/&gt;&lt;wsp:rsid wsp:val=&quot;004E3EDE&quot;/&gt;&lt;wsp:rsid wsp:val=&quot;004E4683&quot;/&gt;&lt;wsp:rsid wsp:val=&quot;004E4A54&quot;/&gt;&lt;wsp:rsid wsp:val=&quot;004E5494&quot;/&gt;&lt;wsp:rsid wsp:val=&quot;004E623F&quot;/&gt;&lt;wsp:rsid wsp:val=&quot;004E65AD&quot;/&gt;&lt;wsp:rsid wsp:val=&quot;004E6946&quot;/&gt;&lt;wsp:rsid wsp:val=&quot;004E6ACD&quot;/&gt;&lt;wsp:rsid wsp:val=&quot;004E7632&quot;/&gt;&lt;wsp:rsid wsp:val=&quot;004E76B8&quot;/&gt;&lt;wsp:rsid wsp:val=&quot;004E7A19&quot;/&gt;&lt;wsp:rsid wsp:val=&quot;004E7B4E&quot;/&gt;&lt;wsp:rsid wsp:val=&quot;004F0286&quot;/&gt;&lt;wsp:rsid wsp:val=&quot;004F07B8&quot;/&gt;&lt;wsp:rsid wsp:val=&quot;004F0E76&quot;/&gt;&lt;wsp:rsid wsp:val=&quot;004F0FD2&quot;/&gt;&lt;wsp:rsid wsp:val=&quot;004F1AD8&quot;/&gt;&lt;wsp:rsid wsp:val=&quot;004F1D54&quot;/&gt;&lt;wsp:rsid wsp:val=&quot;004F2A58&quot;/&gt;&lt;wsp:rsid wsp:val=&quot;004F2BE0&quot;/&gt;&lt;wsp:rsid wsp:val=&quot;004F3098&quot;/&gt;&lt;wsp:rsid wsp:val=&quot;004F3141&quot;/&gt;&lt;wsp:rsid wsp:val=&quot;004F3626&quot;/&gt;&lt;wsp:rsid wsp:val=&quot;004F450B&quot;/&gt;&lt;wsp:rsid wsp:val=&quot;004F4D10&quot;/&gt;&lt;wsp:rsid wsp:val=&quot;004F56D7&quot;/&gt;&lt;wsp:rsid wsp:val=&quot;004F6C14&quot;/&gt;&lt;wsp:rsid wsp:val=&quot;004F75FD&quot;/&gt;&lt;wsp:rsid wsp:val=&quot;0050067B&quot;/&gt;&lt;wsp:rsid wsp:val=&quot;00500ADB&quot;/&gt;&lt;wsp:rsid wsp:val=&quot;00500D5D&quot;/&gt;&lt;wsp:rsid wsp:val=&quot;0050114C&quot;/&gt;&lt;wsp:rsid wsp:val=&quot;00501290&quot;/&gt;&lt;wsp:rsid wsp:val=&quot;00501652&quot;/&gt;&lt;wsp:rsid wsp:val=&quot;0050176C&quot;/&gt;&lt;wsp:rsid wsp:val=&quot;00502462&quot;/&gt;&lt;wsp:rsid wsp:val=&quot;0050277B&quot;/&gt;&lt;wsp:rsid wsp:val=&quot;00502D5E&quot;/&gt;&lt;wsp:rsid wsp:val=&quot;00503511&quot;/&gt;&lt;wsp:rsid wsp:val=&quot;005039CB&quot;/&gt;&lt;wsp:rsid wsp:val=&quot;00503A88&quot;/&gt;&lt;wsp:rsid wsp:val=&quot;005043BD&quot;/&gt;&lt;wsp:rsid wsp:val=&quot;0050472E&quot;/&gt;&lt;wsp:rsid wsp:val=&quot;00504842&quot;/&gt;&lt;wsp:rsid wsp:val=&quot;00505121&quot;/&gt;&lt;wsp:rsid wsp:val=&quot;005054B0&quot;/&gt;&lt;wsp:rsid wsp:val=&quot;0050558F&quot;/&gt;&lt;wsp:rsid wsp:val=&quot;005055E7&quot;/&gt;&lt;wsp:rsid wsp:val=&quot;00505E17&quot;/&gt;&lt;wsp:rsid wsp:val=&quot;00506286&quot;/&gt;&lt;wsp:rsid wsp:val=&quot;00506985&quot;/&gt;&lt;wsp:rsid wsp:val=&quot;005069DD&quot;/&gt;&lt;wsp:rsid wsp:val=&quot;00506F5B&quot;/&gt;&lt;wsp:rsid wsp:val=&quot;005074FB&quot;/&gt;&lt;wsp:rsid wsp:val=&quot;00507985&quot;/&gt;&lt;wsp:rsid wsp:val=&quot;00507BE2&quot;/&gt;&lt;wsp:rsid wsp:val=&quot;00510813&quot;/&gt;&lt;wsp:rsid wsp:val=&quot;005116C5&quot;/&gt;&lt;wsp:rsid wsp:val=&quot;00511990&quot;/&gt;&lt;wsp:rsid wsp:val=&quot;00511DE0&quot;/&gt;&lt;wsp:rsid wsp:val=&quot;00512C61&quot;/&gt;&lt;wsp:rsid wsp:val=&quot;00512F66&quot;/&gt;&lt;wsp:rsid wsp:val=&quot;0051356A&quot;/&gt;&lt;wsp:rsid wsp:val=&quot;005135C0&quot;/&gt;&lt;wsp:rsid wsp:val=&quot;00513FC8&quot;/&gt;&lt;wsp:rsid wsp:val=&quot;0051414A&quot;/&gt;&lt;wsp:rsid wsp:val=&quot;00514858&quot;/&gt;&lt;wsp:rsid wsp:val=&quot;00514870&quot;/&gt;&lt;wsp:rsid wsp:val=&quot;00514B17&quot;/&gt;&lt;wsp:rsid wsp:val=&quot;00514B9B&quot;/&gt;&lt;wsp:rsid wsp:val=&quot;00514C3F&quot;/&gt;&lt;wsp:rsid wsp:val=&quot;00515E1B&quot;/&gt;&lt;wsp:rsid wsp:val=&quot;0051638B&quot;/&gt;&lt;wsp:rsid wsp:val=&quot;0051696E&quot;/&gt;&lt;wsp:rsid wsp:val=&quot;00516F8D&quot;/&gt;&lt;wsp:rsid wsp:val=&quot;005176FE&quot;/&gt;&lt;wsp:rsid wsp:val=&quot;00517F02&quot;/&gt;&lt;wsp:rsid wsp:val=&quot;005201BA&quot;/&gt;&lt;wsp:rsid wsp:val=&quot;00520DE7&quot;/&gt;&lt;wsp:rsid wsp:val=&quot;00520F34&quot;/&gt;&lt;wsp:rsid wsp:val=&quot;00520F8C&quot;/&gt;&lt;wsp:rsid wsp:val=&quot;00521197&quot;/&gt;&lt;wsp:rsid wsp:val=&quot;00521356&quot;/&gt;&lt;wsp:rsid wsp:val=&quot;0052150B&quot;/&gt;&lt;wsp:rsid wsp:val=&quot;005218F6&quot;/&gt;&lt;wsp:rsid wsp:val=&quot;00521DD4&quot;/&gt;&lt;wsp:rsid wsp:val=&quot;00521EB9&quot;/&gt;&lt;wsp:rsid wsp:val=&quot;0052233A&quot;/&gt;&lt;wsp:rsid wsp:val=&quot;00523B01&quot;/&gt;&lt;wsp:rsid wsp:val=&quot;00524303&quot;/&gt;&lt;wsp:rsid wsp:val=&quot;00524E4D&quot;/&gt;&lt;wsp:rsid wsp:val=&quot;005258A2&quot;/&gt;&lt;wsp:rsid wsp:val=&quot;00525EEA&quot;/&gt;&lt;wsp:rsid wsp:val=&quot;005262A6&quot;/&gt;&lt;wsp:rsid wsp:val=&quot;00526FA2&quot;/&gt;&lt;wsp:rsid wsp:val=&quot;005274D7&quot;/&gt;&lt;wsp:rsid wsp:val=&quot;005279F8&quot;/&gt;&lt;wsp:rsid wsp:val=&quot;0053064A&quot;/&gt;&lt;wsp:rsid wsp:val=&quot;00530F80&quot;/&gt;&lt;wsp:rsid wsp:val=&quot;00531075&quot;/&gt;&lt;wsp:rsid wsp:val=&quot;005313A3&quot;/&gt;&lt;wsp:rsid wsp:val=&quot;00531461&quot;/&gt;&lt;wsp:rsid wsp:val=&quot;005317F8&quot;/&gt;&lt;wsp:rsid wsp:val=&quot;00532087&quot;/&gt;&lt;wsp:rsid wsp:val=&quot;00532658&quot;/&gt;&lt;wsp:rsid wsp:val=&quot;0053468A&quot;/&gt;&lt;wsp:rsid wsp:val=&quot;00535140&quot;/&gt;&lt;wsp:rsid wsp:val=&quot;00535415&quot;/&gt;&lt;wsp:rsid wsp:val=&quot;005355D8&quot;/&gt;&lt;wsp:rsid wsp:val=&quot;005355DD&quot;/&gt;&lt;wsp:rsid wsp:val=&quot;00535C11&quot;/&gt;&lt;wsp:rsid wsp:val=&quot;005368EC&quot;/&gt;&lt;wsp:rsid wsp:val=&quot;00537A42&quot;/&gt;&lt;wsp:rsid wsp:val=&quot;00540022&quot;/&gt;&lt;wsp:rsid wsp:val=&quot;005401AE&quot;/&gt;&lt;wsp:rsid wsp:val=&quot;00540399&quot;/&gt;&lt;wsp:rsid wsp:val=&quot;00540403&quot;/&gt;&lt;wsp:rsid wsp:val=&quot;00540571&quot;/&gt;&lt;wsp:rsid wsp:val=&quot;00540D7E&quot;/&gt;&lt;wsp:rsid wsp:val=&quot;00541009&quot;/&gt;&lt;wsp:rsid wsp:val=&quot;005422BA&quot;/&gt;&lt;wsp:rsid wsp:val=&quot;00542375&quot;/&gt;&lt;wsp:rsid wsp:val=&quot;005428D6&quot;/&gt;&lt;wsp:rsid wsp:val=&quot;00542E07&quot;/&gt;&lt;wsp:rsid wsp:val=&quot;005431A9&quot;/&gt;&lt;wsp:rsid wsp:val=&quot;0054368E&quot;/&gt;&lt;wsp:rsid wsp:val=&quot;00544F55&quot;/&gt;&lt;wsp:rsid wsp:val=&quot;005451AF&quot;/&gt;&lt;wsp:rsid wsp:val=&quot;0054521B&quot;/&gt;&lt;wsp:rsid wsp:val=&quot;00545424&quot;/&gt;&lt;wsp:rsid wsp:val=&quot;00545D54&quot;/&gt;&lt;wsp:rsid wsp:val=&quot;00546299&quot;/&gt;&lt;wsp:rsid wsp:val=&quot;005468D3&quot;/&gt;&lt;wsp:rsid wsp:val=&quot;00546DC3&quot;/&gt;&lt;wsp:rsid wsp:val=&quot;00547B25&quot;/&gt;&lt;wsp:rsid wsp:val=&quot;00547D7E&quot;/&gt;&lt;wsp:rsid wsp:val=&quot;00550600&quot;/&gt;&lt;wsp:rsid wsp:val=&quot;0055095D&quot;/&gt;&lt;wsp:rsid wsp:val=&quot;00550AC3&quot;/&gt;&lt;wsp:rsid wsp:val=&quot;00550C5B&quot;/&gt;&lt;wsp:rsid wsp:val=&quot;0055168F&quot;/&gt;&lt;wsp:rsid wsp:val=&quot;00551EA3&quot;/&gt;&lt;wsp:rsid wsp:val=&quot;00552F6E&quot;/&gt;&lt;wsp:rsid wsp:val=&quot;0055386C&quot;/&gt;&lt;wsp:rsid wsp:val=&quot;00554289&quot;/&gt;&lt;wsp:rsid wsp:val=&quot;00554A7B&quot;/&gt;&lt;wsp:rsid wsp:val=&quot;00554ECD&quot;/&gt;&lt;wsp:rsid wsp:val=&quot;00554FA1&quot;/&gt;&lt;wsp:rsid wsp:val=&quot;005551EA&quot;/&gt;&lt;wsp:rsid wsp:val=&quot;0055572C&quot;/&gt;&lt;wsp:rsid wsp:val=&quot;00555B00&quot;/&gt;&lt;wsp:rsid wsp:val=&quot;00556149&quot;/&gt;&lt;wsp:rsid wsp:val=&quot;005564F4&quot;/&gt;&lt;wsp:rsid wsp:val=&quot;005571E9&quot;/&gt;&lt;wsp:rsid wsp:val=&quot;005573D5&quot;/&gt;&lt;wsp:rsid wsp:val=&quot;005605AA&quot;/&gt;&lt;wsp:rsid wsp:val=&quot;005609DA&quot;/&gt;&lt;wsp:rsid wsp:val=&quot;00560F84&quot;/&gt;&lt;wsp:rsid wsp:val=&quot;0056106A&quot;/&gt;&lt;wsp:rsid wsp:val=&quot;0056213F&quot;/&gt;&lt;wsp:rsid wsp:val=&quot;00562973&quot;/&gt;&lt;wsp:rsid wsp:val=&quot;00563A04&quot;/&gt;&lt;wsp:rsid wsp:val=&quot;00563B88&quot;/&gt;&lt;wsp:rsid wsp:val=&quot;005641BE&quot;/&gt;&lt;wsp:rsid wsp:val=&quot;00564348&quot;/&gt;&lt;wsp:rsid wsp:val=&quot;005656E0&quot;/&gt;&lt;wsp:rsid wsp:val=&quot;00566528&quot;/&gt;&lt;wsp:rsid wsp:val=&quot;005668A3&quot;/&gt;&lt;wsp:rsid wsp:val=&quot;005678A2&quot;/&gt;&lt;wsp:rsid wsp:val=&quot;00567DD6&quot;/&gt;&lt;wsp:rsid wsp:val=&quot;00570393&quot;/&gt;&lt;wsp:rsid wsp:val=&quot;0057167F&quot;/&gt;&lt;wsp:rsid wsp:val=&quot;005720AE&quot;/&gt;&lt;wsp:rsid wsp:val=&quot;005729B1&quot;/&gt;&lt;wsp:rsid wsp:val=&quot;00572AF5&quot;/&gt;&lt;wsp:rsid wsp:val=&quot;00573226&quot;/&gt;&lt;wsp:rsid wsp:val=&quot;005737D2&quot;/&gt;&lt;wsp:rsid wsp:val=&quot;005739F3&quot;/&gt;&lt;wsp:rsid wsp:val=&quot;00574482&quot;/&gt;&lt;wsp:rsid wsp:val=&quot;00574524&quot;/&gt;&lt;wsp:rsid wsp:val=&quot;00574B9E&quot;/&gt;&lt;wsp:rsid wsp:val=&quot;00575656&quot;/&gt;&lt;wsp:rsid wsp:val=&quot;005759E3&quot;/&gt;&lt;wsp:rsid wsp:val=&quot;00575C9E&quot;/&gt;&lt;wsp:rsid wsp:val=&quot;005767E7&quot;/&gt;&lt;wsp:rsid wsp:val=&quot;00576962&quot;/&gt;&lt;wsp:rsid wsp:val=&quot;00577123&quot;/&gt;&lt;wsp:rsid wsp:val=&quot;005771D3&quot;/&gt;&lt;wsp:rsid wsp:val=&quot;00577C24&quot;/&gt;&lt;wsp:rsid wsp:val=&quot;00577C83&quot;/&gt;&lt;wsp:rsid wsp:val=&quot;00580507&quot;/&gt;&lt;wsp:rsid wsp:val=&quot;00580673&quot;/&gt;&lt;wsp:rsid wsp:val=&quot;00580D1D&quot;/&gt;&lt;wsp:rsid wsp:val=&quot;00581451&quot;/&gt;&lt;wsp:rsid wsp:val=&quot;00581BEC&quot;/&gt;&lt;wsp:rsid wsp:val=&quot;00581F46&quot;/&gt;&lt;wsp:rsid wsp:val=&quot;005827B2&quot;/&gt;&lt;wsp:rsid wsp:val=&quot;005833B1&quot;/&gt;&lt;wsp:rsid wsp:val=&quot;005839A9&quot;/&gt;&lt;wsp:rsid wsp:val=&quot;005840AD&quot;/&gt;&lt;wsp:rsid wsp:val=&quot;005845C0&quot;/&gt;&lt;wsp:rsid wsp:val=&quot;00585B14&quot;/&gt;&lt;wsp:rsid wsp:val=&quot;005862A8&quot;/&gt;&lt;wsp:rsid wsp:val=&quot;00586FFA&quot;/&gt;&lt;wsp:rsid wsp:val=&quot;005874DE&quot;/&gt;&lt;wsp:rsid wsp:val=&quot;00587B36&quot;/&gt;&lt;wsp:rsid wsp:val=&quot;00587C53&quot;/&gt;&lt;wsp:rsid wsp:val=&quot;00587D1C&quot;/&gt;&lt;wsp:rsid wsp:val=&quot;00590330&quot;/&gt;&lt;wsp:rsid wsp:val=&quot;00590AFF&quot;/&gt;&lt;wsp:rsid wsp:val=&quot;00591065&quot;/&gt;&lt;wsp:rsid wsp:val=&quot;00591478&quot;/&gt;&lt;wsp:rsid wsp:val=&quot;00591549&quot;/&gt;&lt;wsp:rsid wsp:val=&quot;0059165F&quot;/&gt;&lt;wsp:rsid wsp:val=&quot;00591BC4&quot;/&gt;&lt;wsp:rsid wsp:val=&quot;005920D0&quot;/&gt;&lt;wsp:rsid wsp:val=&quot;0059267A&quot;/&gt;&lt;wsp:rsid wsp:val=&quot;00592761&quot;/&gt;&lt;wsp:rsid wsp:val=&quot;00592B3E&quot;/&gt;&lt;wsp:rsid wsp:val=&quot;0059338E&quot;/&gt;&lt;wsp:rsid wsp:val=&quot;00593B9F&quot;/&gt;&lt;wsp:rsid wsp:val=&quot;0059405D&quot;/&gt;&lt;wsp:rsid wsp:val=&quot;00594487&quot;/&gt;&lt;wsp:rsid wsp:val=&quot;005946F1&quot;/&gt;&lt;wsp:rsid wsp:val=&quot;00594D59&quot;/&gt;&lt;wsp:rsid wsp:val=&quot;00594D77&quot;/&gt;&lt;wsp:rsid wsp:val=&quot;00595F8B&quot;/&gt;&lt;wsp:rsid wsp:val=&quot;00596894&quot;/&gt;&lt;wsp:rsid wsp:val=&quot;005969E4&quot;/&gt;&lt;wsp:rsid wsp:val=&quot;00596BAF&quot;/&gt;&lt;wsp:rsid wsp:val=&quot;00597C75&quot;/&gt;&lt;wsp:rsid wsp:val=&quot;00597FA1&quot;/&gt;&lt;wsp:rsid wsp:val=&quot;005A01D8&quot;/&gt;&lt;wsp:rsid wsp:val=&quot;005A02C6&quot;/&gt;&lt;wsp:rsid wsp:val=&quot;005A056E&quot;/&gt;&lt;wsp:rsid wsp:val=&quot;005A06B7&quot;/&gt;&lt;wsp:rsid wsp:val=&quot;005A1759&quot;/&gt;&lt;wsp:rsid wsp:val=&quot;005A1E5D&quot;/&gt;&lt;wsp:rsid wsp:val=&quot;005A2CD9&quot;/&gt;&lt;wsp:rsid wsp:val=&quot;005A4806&quot;/&gt;&lt;wsp:rsid wsp:val=&quot;005A4B80&quot;/&gt;&lt;wsp:rsid wsp:val=&quot;005A5327&quot;/&gt;&lt;wsp:rsid wsp:val=&quot;005A5BF6&quot;/&gt;&lt;wsp:rsid wsp:val=&quot;005A63D9&quot;/&gt;&lt;wsp:rsid wsp:val=&quot;005A6762&quot;/&gt;&lt;wsp:rsid wsp:val=&quot;005A67FC&quot;/&gt;&lt;wsp:rsid wsp:val=&quot;005A68A7&quot;/&gt;&lt;wsp:rsid wsp:val=&quot;005A6D3A&quot;/&gt;&lt;wsp:rsid wsp:val=&quot;005A77FC&quot;/&gt;&lt;wsp:rsid wsp:val=&quot;005A7D18&quot;/&gt;&lt;wsp:rsid wsp:val=&quot;005A7EE3&quot;/&gt;&lt;wsp:rsid wsp:val=&quot;005B00ED&quot;/&gt;&lt;wsp:rsid wsp:val=&quot;005B027A&quot;/&gt;&lt;wsp:rsid wsp:val=&quot;005B070C&quot;/&gt;&lt;wsp:rsid wsp:val=&quot;005B12CA&quot;/&gt;&lt;wsp:rsid wsp:val=&quot;005B18F1&quot;/&gt;&lt;wsp:rsid wsp:val=&quot;005B29CF&quot;/&gt;&lt;wsp:rsid wsp:val=&quot;005B2C29&quot;/&gt;&lt;wsp:rsid wsp:val=&quot;005B303A&quot;/&gt;&lt;wsp:rsid wsp:val=&quot;005B3B61&quot;/&gt;&lt;wsp:rsid wsp:val=&quot;005B45E0&quot;/&gt;&lt;wsp:rsid wsp:val=&quot;005B494B&quot;/&gt;&lt;wsp:rsid wsp:val=&quot;005B4FEF&quot;/&gt;&lt;wsp:rsid wsp:val=&quot;005B50A3&quot;/&gt;&lt;wsp:rsid wsp:val=&quot;005B520F&quot;/&gt;&lt;wsp:rsid wsp:val=&quot;005B56B5&quot;/&gt;&lt;wsp:rsid wsp:val=&quot;005B584A&quot;/&gt;&lt;wsp:rsid wsp:val=&quot;005B59E1&quot;/&gt;&lt;wsp:rsid wsp:val=&quot;005B728F&quot;/&gt;&lt;wsp:rsid wsp:val=&quot;005B7F9E&quot;/&gt;&lt;wsp:rsid wsp:val=&quot;005C25B2&quot;/&gt;&lt;wsp:rsid wsp:val=&quot;005C2E62&quot;/&gt;&lt;wsp:rsid wsp:val=&quot;005C2E90&quot;/&gt;&lt;wsp:rsid wsp:val=&quot;005C2F37&quot;/&gt;&lt;wsp:rsid wsp:val=&quot;005C3077&quot;/&gt;&lt;wsp:rsid wsp:val=&quot;005C31CA&quot;/&gt;&lt;wsp:rsid wsp:val=&quot;005C31D4&quot;/&gt;&lt;wsp:rsid wsp:val=&quot;005C3300&quot;/&gt;&lt;wsp:rsid wsp:val=&quot;005C36C3&quot;/&gt;&lt;wsp:rsid wsp:val=&quot;005C3DB2&quot;/&gt;&lt;wsp:rsid wsp:val=&quot;005C4258&quot;/&gt;&lt;wsp:rsid wsp:val=&quot;005C4934&quot;/&gt;&lt;wsp:rsid wsp:val=&quot;005C4C33&quot;/&gt;&lt;wsp:rsid wsp:val=&quot;005C5192&quot;/&gt;&lt;wsp:rsid wsp:val=&quot;005C54AC&quot;/&gt;&lt;wsp:rsid wsp:val=&quot;005C59BE&quot;/&gt;&lt;wsp:rsid wsp:val=&quot;005C5B29&quot;/&gt;&lt;wsp:rsid wsp:val=&quot;005C64C8&quot;/&gt;&lt;wsp:rsid wsp:val=&quot;005C68CF&quot;/&gt;&lt;wsp:rsid wsp:val=&quot;005C7630&quot;/&gt;&lt;wsp:rsid wsp:val=&quot;005C76B9&quot;/&gt;&lt;wsp:rsid wsp:val=&quot;005C79D5&quot;/&gt;&lt;wsp:rsid wsp:val=&quot;005D15C3&quot;/&gt;&lt;wsp:rsid wsp:val=&quot;005D1D9B&quot;/&gt;&lt;wsp:rsid wsp:val=&quot;005D2585&quot;/&gt;&lt;wsp:rsid wsp:val=&quot;005D3369&quot;/&gt;&lt;wsp:rsid wsp:val=&quot;005D3549&quot;/&gt;&lt;wsp:rsid wsp:val=&quot;005D36AB&quot;/&gt;&lt;wsp:rsid wsp:val=&quot;005D4725&quot;/&gt;&lt;wsp:rsid wsp:val=&quot;005D47AA&quot;/&gt;&lt;wsp:rsid wsp:val=&quot;005D68CC&quot;/&gt;&lt;wsp:rsid wsp:val=&quot;005D6B55&quot;/&gt;&lt;wsp:rsid wsp:val=&quot;005D7112&quot;/&gt;&lt;wsp:rsid wsp:val=&quot;005E1593&quot;/&gt;&lt;wsp:rsid wsp:val=&quot;005E1594&quot;/&gt;&lt;wsp:rsid wsp:val=&quot;005E1ECB&quot;/&gt;&lt;wsp:rsid wsp:val=&quot;005E200B&quot;/&gt;&lt;wsp:rsid wsp:val=&quot;005E2EE9&quot;/&gt;&lt;wsp:rsid wsp:val=&quot;005E3ED1&quot;/&gt;&lt;wsp:rsid wsp:val=&quot;005E47DC&quot;/&gt;&lt;wsp:rsid wsp:val=&quot;005E5047&quot;/&gt;&lt;wsp:rsid wsp:val=&quot;005E5C27&quot;/&gt;&lt;wsp:rsid wsp:val=&quot;005E62E3&quot;/&gt;&lt;wsp:rsid wsp:val=&quot;005E6427&quot;/&gt;&lt;wsp:rsid wsp:val=&quot;005E740C&quot;/&gt;&lt;wsp:rsid wsp:val=&quot;005F0866&quot;/&gt;&lt;wsp:rsid wsp:val=&quot;005F0975&quot;/&gt;&lt;wsp:rsid wsp:val=&quot;005F0CD5&quot;/&gt;&lt;wsp:rsid wsp:val=&quot;005F1EFD&quot;/&gt;&lt;wsp:rsid wsp:val=&quot;005F266B&quot;/&gt;&lt;wsp:rsid wsp:val=&quot;005F271E&quot;/&gt;&lt;wsp:rsid wsp:val=&quot;005F2B27&quot;/&gt;&lt;wsp:rsid wsp:val=&quot;005F3439&quot;/&gt;&lt;wsp:rsid wsp:val=&quot;005F34CC&quot;/&gt;&lt;wsp:rsid wsp:val=&quot;005F3559&quot;/&gt;&lt;wsp:rsid wsp:val=&quot;005F429A&quot;/&gt;&lt;wsp:rsid wsp:val=&quot;005F47C2&quot;/&gt;&lt;wsp:rsid wsp:val=&quot;005F54A2&quot;/&gt;&lt;wsp:rsid wsp:val=&quot;005F5FDB&quot;/&gt;&lt;wsp:rsid wsp:val=&quot;005F63AC&quot;/&gt;&lt;wsp:rsid wsp:val=&quot;005F6488&quot;/&gt;&lt;wsp:rsid wsp:val=&quot;005F6E2F&quot;/&gt;&lt;wsp:rsid wsp:val=&quot;005F7295&quot;/&gt;&lt;wsp:rsid wsp:val=&quot;005F732C&quot;/&gt;&lt;wsp:rsid wsp:val=&quot;005F73FD&quot;/&gt;&lt;wsp:rsid wsp:val=&quot;005F7402&quot;/&gt;&lt;wsp:rsid wsp:val=&quot;00601373&quot;/&gt;&lt;wsp:rsid wsp:val=&quot;006015AB&quot;/&gt;&lt;wsp:rsid wsp:val=&quot;00601D30&quot;/&gt;&lt;wsp:rsid wsp:val=&quot;00601DE5&quot;/&gt;&lt;wsp:rsid wsp:val=&quot;00602E2D&quot;/&gt;&lt;wsp:rsid wsp:val=&quot;00603061&quot;/&gt;&lt;wsp:rsid wsp:val=&quot;00603399&quot;/&gt;&lt;wsp:rsid wsp:val=&quot;00603644&quot;/&gt;&lt;wsp:rsid wsp:val=&quot;00603C8D&quot;/&gt;&lt;wsp:rsid wsp:val=&quot;00603FD5&quot;/&gt;&lt;wsp:rsid wsp:val=&quot;00605D53&quot;/&gt;&lt;wsp:rsid wsp:val=&quot;00605EAC&quot;/&gt;&lt;wsp:rsid wsp:val=&quot;0060661E&quot;/&gt;&lt;wsp:rsid wsp:val=&quot;00606B32&quot;/&gt;&lt;wsp:rsid wsp:val=&quot;00606BCE&quot;/&gt;&lt;wsp:rsid wsp:val=&quot;00607BF0&quot;/&gt;&lt;wsp:rsid wsp:val=&quot;00610613&quot;/&gt;&lt;wsp:rsid wsp:val=&quot;00610A28&quot;/&gt;&lt;wsp:rsid wsp:val=&quot;00610AC3&quot;/&gt;&lt;wsp:rsid wsp:val=&quot;00610BAC&quot;/&gt;&lt;wsp:rsid wsp:val=&quot;006127AC&quot;/&gt;&lt;wsp:rsid wsp:val=&quot;00612C6D&quot;/&gt;&lt;wsp:rsid wsp:val=&quot;00613436&quot;/&gt;&lt;wsp:rsid wsp:val=&quot;00613783&quot;/&gt;&lt;wsp:rsid wsp:val=&quot;00614AA0&quot;/&gt;&lt;wsp:rsid wsp:val=&quot;00615086&quot;/&gt;&lt;wsp:rsid wsp:val=&quot;00615A2B&quot;/&gt;&lt;wsp:rsid wsp:val=&quot;006160DD&quot;/&gt;&lt;wsp:rsid wsp:val=&quot;0061687F&quot;/&gt;&lt;wsp:rsid wsp:val=&quot;00616AFB&quot;/&gt;&lt;wsp:rsid wsp:val=&quot;0061779B&quot;/&gt;&lt;wsp:rsid wsp:val=&quot;00617815&quot;/&gt;&lt;wsp:rsid wsp:val=&quot;006179A9&quot;/&gt;&lt;wsp:rsid wsp:val=&quot;00617C75&quot;/&gt;&lt;wsp:rsid wsp:val=&quot;00617CC3&quot;/&gt;&lt;wsp:rsid wsp:val=&quot;0062144A&quot;/&gt;&lt;wsp:rsid wsp:val=&quot;006214EC&quot;/&gt;&lt;wsp:rsid wsp:val=&quot;00621E55&quot;/&gt;&lt;wsp:rsid wsp:val=&quot;006222A1&quot;/&gt;&lt;wsp:rsid wsp:val=&quot;006224B6&quot;/&gt;&lt;wsp:rsid wsp:val=&quot;006227D9&quot;/&gt;&lt;wsp:rsid wsp:val=&quot;00622826&quot;/&gt;&lt;wsp:rsid wsp:val=&quot;006238B6&quot;/&gt;&lt;wsp:rsid wsp:val=&quot;00623D3A&quot;/&gt;&lt;wsp:rsid wsp:val=&quot;00624345&quot;/&gt;&lt;wsp:rsid wsp:val=&quot;006246BD&quot;/&gt;&lt;wsp:rsid wsp:val=&quot;00625B34&quot;/&gt;&lt;wsp:rsid wsp:val=&quot;0062674E&quot;/&gt;&lt;wsp:rsid wsp:val=&quot;0062741B&quot;/&gt;&lt;wsp:rsid wsp:val=&quot;00627A31&quot;/&gt;&lt;wsp:rsid wsp:val=&quot;00627CAE&quot;/&gt;&lt;wsp:rsid wsp:val=&quot;00627D87&quot;/&gt;&lt;wsp:rsid wsp:val=&quot;006309D3&quot;/&gt;&lt;wsp:rsid wsp:val=&quot;00630BBE&quot;/&gt;&lt;wsp:rsid wsp:val=&quot;00630D1B&quot;/&gt;&lt;wsp:rsid wsp:val=&quot;00631110&quot;/&gt;&lt;wsp:rsid wsp:val=&quot;0063173F&quot;/&gt;&lt;wsp:rsid wsp:val=&quot;00632000&quot;/&gt;&lt;wsp:rsid wsp:val=&quot;0063243B&quot;/&gt;&lt;wsp:rsid wsp:val=&quot;00632F46&quot;/&gt;&lt;wsp:rsid wsp:val=&quot;00632FFE&quot;/&gt;&lt;wsp:rsid wsp:val=&quot;00633AFD&quot;/&gt;&lt;wsp:rsid wsp:val=&quot;00633CB7&quot;/&gt;&lt;wsp:rsid wsp:val=&quot;00634ACA&quot;/&gt;&lt;wsp:rsid wsp:val=&quot;006352C5&quot;/&gt;&lt;wsp:rsid wsp:val=&quot;0063576B&quot;/&gt;&lt;wsp:rsid wsp:val=&quot;00635810&quot;/&gt;&lt;wsp:rsid wsp:val=&quot;00636159&quot;/&gt;&lt;wsp:rsid wsp:val=&quot;006361F6&quot;/&gt;&lt;wsp:rsid wsp:val=&quot;00636941&quot;/&gt;&lt;wsp:rsid wsp:val=&quot;00637331&quot;/&gt;&lt;wsp:rsid wsp:val=&quot;006377A6&quot;/&gt;&lt;wsp:rsid wsp:val=&quot;00637A3D&quot;/&gt;&lt;wsp:rsid wsp:val=&quot;00637D0F&quot;/&gt;&lt;wsp:rsid wsp:val=&quot;00637D1F&quot;/&gt;&lt;wsp:rsid wsp:val=&quot;00640105&quot;/&gt;&lt;wsp:rsid wsp:val=&quot;0064101C&quot;/&gt;&lt;wsp:rsid wsp:val=&quot;00641087&quot;/&gt;&lt;wsp:rsid wsp:val=&quot;006411EF&quot;/&gt;&lt;wsp:rsid wsp:val=&quot;006425CD&quot;/&gt;&lt;wsp:rsid wsp:val=&quot;00642B2B&quot;/&gt;&lt;wsp:rsid wsp:val=&quot;00643545&quot;/&gt;&lt;wsp:rsid wsp:val=&quot;00643885&quot;/&gt;&lt;wsp:rsid wsp:val=&quot;0064396D&quot;/&gt;&lt;wsp:rsid wsp:val=&quot;00643D49&quot;/&gt;&lt;wsp:rsid wsp:val=&quot;00644566&quot;/&gt;&lt;wsp:rsid wsp:val=&quot;00644592&quot;/&gt;&lt;wsp:rsid wsp:val=&quot;006445E7&quot;/&gt;&lt;wsp:rsid wsp:val=&quot;00644903&quot;/&gt;&lt;wsp:rsid wsp:val=&quot;0064520F&quot;/&gt;&lt;wsp:rsid wsp:val=&quot;00645AF1&quot;/&gt;&lt;wsp:rsid wsp:val=&quot;006470EB&quot;/&gt;&lt;wsp:rsid wsp:val=&quot;00647E3D&quot;/&gt;&lt;wsp:rsid wsp:val=&quot;00647F84&quot;/&gt;&lt;wsp:rsid wsp:val=&quot;00651035&quot;/&gt;&lt;wsp:rsid wsp:val=&quot;0065120E&quot;/&gt;&lt;wsp:rsid wsp:val=&quot;006516C2&quot;/&gt;&lt;wsp:rsid wsp:val=&quot;00651A47&quot;/&gt;&lt;wsp:rsid wsp:val=&quot;006527C6&quot;/&gt;&lt;wsp:rsid wsp:val=&quot;0065296F&quot;/&gt;&lt;wsp:rsid wsp:val=&quot;006529B8&quot;/&gt;&lt;wsp:rsid wsp:val=&quot;00652D20&quot;/&gt;&lt;wsp:rsid wsp:val=&quot;0065346E&quot;/&gt;&lt;wsp:rsid wsp:val=&quot;00653761&quot;/&gt;&lt;wsp:rsid wsp:val=&quot;00654689&quot;/&gt;&lt;wsp:rsid wsp:val=&quot;0065468D&quot;/&gt;&lt;wsp:rsid wsp:val=&quot;00654691&quot;/&gt;&lt;wsp:rsid wsp:val=&quot;00655528&quot;/&gt;&lt;wsp:rsid wsp:val=&quot;00655805&quot;/&gt;&lt;wsp:rsid wsp:val=&quot;00655A76&quot;/&gt;&lt;wsp:rsid wsp:val=&quot;006560AB&quot;/&gt;&lt;wsp:rsid wsp:val=&quot;00656666&quot;/&gt;&lt;wsp:rsid wsp:val=&quot;006571EF&quot;/&gt;&lt;wsp:rsid wsp:val=&quot;00657248&quot;/&gt;&lt;wsp:rsid wsp:val=&quot;006576C7&quot;/&gt;&lt;wsp:rsid wsp:val=&quot;00657773&quot;/&gt;&lt;wsp:rsid wsp:val=&quot;00660029&quot;/&gt;&lt;wsp:rsid wsp:val=&quot;00660A93&quot;/&gt;&lt;wsp:rsid wsp:val=&quot;00661001&quot;/&gt;&lt;wsp:rsid wsp:val=&quot;006610B5&quot;/&gt;&lt;wsp:rsid wsp:val=&quot;00661604&quot;/&gt;&lt;wsp:rsid wsp:val=&quot;00662372&quot;/&gt;&lt;wsp:rsid wsp:val=&quot;00662DD3&quot;/&gt;&lt;wsp:rsid wsp:val=&quot;006631E5&quot;/&gt;&lt;wsp:rsid wsp:val=&quot;00663B3A&quot;/&gt;&lt;wsp:rsid wsp:val=&quot;00664AC5&quot;/&gt;&lt;wsp:rsid wsp:val=&quot;00665553&quot;/&gt;&lt;wsp:rsid wsp:val=&quot;006657F9&quot;/&gt;&lt;wsp:rsid wsp:val=&quot;006658E9&quot;/&gt;&lt;wsp:rsid wsp:val=&quot;00665A5F&quot;/&gt;&lt;wsp:rsid wsp:val=&quot;00665C8D&quot;/&gt;&lt;wsp:rsid wsp:val=&quot;006661F4&quot;/&gt;&lt;wsp:rsid wsp:val=&quot;00666784&quot;/&gt;&lt;wsp:rsid wsp:val=&quot;006668B6&quot;/&gt;&lt;wsp:rsid wsp:val=&quot;006669F9&quot;/&gt;&lt;wsp:rsid wsp:val=&quot;00667DDF&quot;/&gt;&lt;wsp:rsid wsp:val=&quot;00667F02&quot;/&gt;&lt;wsp:rsid wsp:val=&quot;00670C7C&quot;/&gt;&lt;wsp:rsid wsp:val=&quot;00671014&quot;/&gt;&lt;wsp:rsid wsp:val=&quot;0067180E&quot;/&gt;&lt;wsp:rsid wsp:val=&quot;00671A2E&quot;/&gt;&lt;wsp:rsid wsp:val=&quot;00672172&quot;/&gt;&lt;wsp:rsid wsp:val=&quot;00672EAE&quot;/&gt;&lt;wsp:rsid wsp:val=&quot;0067318B&quot;/&gt;&lt;wsp:rsid wsp:val=&quot;00673443&quot;/&gt;&lt;wsp:rsid wsp:val=&quot;0067430E&quot;/&gt;&lt;wsp:rsid wsp:val=&quot;006748B8&quot;/&gt;&lt;wsp:rsid wsp:val=&quot;00674F5F&quot;/&gt;&lt;wsp:rsid wsp:val=&quot;00674F80&quot;/&gt;&lt;wsp:rsid wsp:val=&quot;00675EFE&quot;/&gt;&lt;wsp:rsid wsp:val=&quot;006760E6&quot;/&gt;&lt;wsp:rsid wsp:val=&quot;006775BC&quot;/&gt;&lt;wsp:rsid wsp:val=&quot;006775C3&quot;/&gt;&lt;wsp:rsid wsp:val=&quot;006808D6&quot;/&gt;&lt;wsp:rsid wsp:val=&quot;006808DE&quot;/&gt;&lt;wsp:rsid wsp:val=&quot;0068094A&quot;/&gt;&lt;wsp:rsid wsp:val=&quot;00680AF4&quot;/&gt;&lt;wsp:rsid wsp:val=&quot;00680C0A&quot;/&gt;&lt;wsp:rsid wsp:val=&quot;006811E2&quot;/&gt;&lt;wsp:rsid wsp:val=&quot;00681DE8&quot;/&gt;&lt;wsp:rsid wsp:val=&quot;00682B8E&quot;/&gt;&lt;wsp:rsid wsp:val=&quot;006832EF&quot;/&gt;&lt;wsp:rsid wsp:val=&quot;0068342A&quot;/&gt;&lt;wsp:rsid wsp:val=&quot;00684822&quot;/&gt;&lt;wsp:rsid wsp:val=&quot;00684995&quot;/&gt;&lt;wsp:rsid wsp:val=&quot;0068529C&quot;/&gt;&lt;wsp:rsid wsp:val=&quot;006859DC&quot;/&gt;&lt;wsp:rsid wsp:val=&quot;00685C20&quot;/&gt;&lt;wsp:rsid wsp:val=&quot;0068619E&quot;/&gt;&lt;wsp:rsid wsp:val=&quot;0068691B&quot;/&gt;&lt;wsp:rsid wsp:val=&quot;00686A79&quot;/&gt;&lt;wsp:rsid wsp:val=&quot;00686EDD&quot;/&gt;&lt;wsp:rsid wsp:val=&quot;00690129&quot;/&gt;&lt;wsp:rsid wsp:val=&quot;00691DF6&quot;/&gt;&lt;wsp:rsid wsp:val=&quot;00691F92&quot;/&gt;&lt;wsp:rsid wsp:val=&quot;0069290A&quot;/&gt;&lt;wsp:rsid wsp:val=&quot;00692F07&quot;/&gt;&lt;wsp:rsid wsp:val=&quot;00693BE3&quot;/&gt;&lt;wsp:rsid wsp:val=&quot;00694140&quot;/&gt;&lt;wsp:rsid wsp:val=&quot;006941B3&quot;/&gt;&lt;wsp:rsid wsp:val=&quot;006948F6&quot;/&gt;&lt;wsp:rsid wsp:val=&quot;00695813&quot;/&gt;&lt;wsp:rsid wsp:val=&quot;00695BA6&quot;/&gt;&lt;wsp:rsid wsp:val=&quot;00695D88&quot;/&gt;&lt;wsp:rsid wsp:val=&quot;006966F7&quot;/&gt;&lt;wsp:rsid wsp:val=&quot;0069775A&quot;/&gt;&lt;wsp:rsid wsp:val=&quot;00697813&quot;/&gt;&lt;wsp:rsid wsp:val=&quot;00697BFF&quot;/&gt;&lt;wsp:rsid wsp:val=&quot;006A02C5&quot;/&gt;&lt;wsp:rsid wsp:val=&quot;006A0D07&quot;/&gt;&lt;wsp:rsid wsp:val=&quot;006A152E&quot;/&gt;&lt;wsp:rsid wsp:val=&quot;006A17AF&quot;/&gt;&lt;wsp:rsid wsp:val=&quot;006A1A3E&quot;/&gt;&lt;wsp:rsid wsp:val=&quot;006A1DD1&quot;/&gt;&lt;wsp:rsid wsp:val=&quot;006A21CB&quot;/&gt;&lt;wsp:rsid wsp:val=&quot;006A2436&quot;/&gt;&lt;wsp:rsid wsp:val=&quot;006A2870&quot;/&gt;&lt;wsp:rsid wsp:val=&quot;006A2B6A&quot;/&gt;&lt;wsp:rsid wsp:val=&quot;006A39ED&quot;/&gt;&lt;wsp:rsid wsp:val=&quot;006A3A0A&quot;/&gt;&lt;wsp:rsid wsp:val=&quot;006A3D17&quot;/&gt;&lt;wsp:rsid wsp:val=&quot;006A3EE8&quot;/&gt;&lt;wsp:rsid wsp:val=&quot;006A4206&quot;/&gt;&lt;wsp:rsid wsp:val=&quot;006A4607&quot;/&gt;&lt;wsp:rsid wsp:val=&quot;006A49BF&quot;/&gt;&lt;wsp:rsid wsp:val=&quot;006A4A6F&quot;/&gt;&lt;wsp:rsid wsp:val=&quot;006A4CDE&quot;/&gt;&lt;wsp:rsid wsp:val=&quot;006A525B&quot;/&gt;&lt;wsp:rsid wsp:val=&quot;006A575B&quot;/&gt;&lt;wsp:rsid wsp:val=&quot;006A5A2B&quot;/&gt;&lt;wsp:rsid wsp:val=&quot;006A5AF5&quot;/&gt;&lt;wsp:rsid wsp:val=&quot;006A6C9A&quot;/&gt;&lt;wsp:rsid wsp:val=&quot;006A72BF&quot;/&gt;&lt;wsp:rsid wsp:val=&quot;006A74B3&quot;/&gt;&lt;wsp:rsid wsp:val=&quot;006B0178&quot;/&gt;&lt;wsp:rsid wsp:val=&quot;006B03F2&quot;/&gt;&lt;wsp:rsid wsp:val=&quot;006B07F2&quot;/&gt;&lt;wsp:rsid wsp:val=&quot;006B1569&quot;/&gt;&lt;wsp:rsid wsp:val=&quot;006B195B&quot;/&gt;&lt;wsp:rsid wsp:val=&quot;006B1B39&quot;/&gt;&lt;wsp:rsid wsp:val=&quot;006B1F35&quot;/&gt;&lt;wsp:rsid wsp:val=&quot;006B2559&quot;/&gt;&lt;wsp:rsid wsp:val=&quot;006B2CEC&quot;/&gt;&lt;wsp:rsid wsp:val=&quot;006B2DD8&quot;/&gt;&lt;wsp:rsid wsp:val=&quot;006B37DC&quot;/&gt;&lt;wsp:rsid wsp:val=&quot;006B3CBD&quot;/&gt;&lt;wsp:rsid wsp:val=&quot;006B45CE&quot;/&gt;&lt;wsp:rsid wsp:val=&quot;006B4BE0&quot;/&gt;&lt;wsp:rsid wsp:val=&quot;006B4F68&quot;/&gt;&lt;wsp:rsid wsp:val=&quot;006B50E7&quot;/&gt;&lt;wsp:rsid wsp:val=&quot;006B524C&quot;/&gt;&lt;wsp:rsid wsp:val=&quot;006B563B&quot;/&gt;&lt;wsp:rsid wsp:val=&quot;006B5817&quot;/&gt;&lt;wsp:rsid wsp:val=&quot;006B5B58&quot;/&gt;&lt;wsp:rsid wsp:val=&quot;006B60F8&quot;/&gt;&lt;wsp:rsid wsp:val=&quot;006B69E8&quot;/&gt;&lt;wsp:rsid wsp:val=&quot;006B6A48&quot;/&gt;&lt;wsp:rsid wsp:val=&quot;006B6CC5&quot;/&gt;&lt;wsp:rsid wsp:val=&quot;006B749B&quot;/&gt;&lt;wsp:rsid wsp:val=&quot;006B7775&quot;/&gt;&lt;wsp:rsid wsp:val=&quot;006B7AA3&quot;/&gt;&lt;wsp:rsid wsp:val=&quot;006B7D8F&quot;/&gt;&lt;wsp:rsid wsp:val=&quot;006C00F9&quot;/&gt;&lt;wsp:rsid wsp:val=&quot;006C02FA&quot;/&gt;&lt;wsp:rsid wsp:val=&quot;006C054C&quot;/&gt;&lt;wsp:rsid wsp:val=&quot;006C0592&quot;/&gt;&lt;wsp:rsid wsp:val=&quot;006C0F9C&quot;/&gt;&lt;wsp:rsid wsp:val=&quot;006C18B6&quot;/&gt;&lt;wsp:rsid wsp:val=&quot;006C1A32&quot;/&gt;&lt;wsp:rsid wsp:val=&quot;006C272E&quot;/&gt;&lt;wsp:rsid wsp:val=&quot;006C2827&quot;/&gt;&lt;wsp:rsid wsp:val=&quot;006C3A97&quot;/&gt;&lt;wsp:rsid wsp:val=&quot;006C46C4&quot;/&gt;&lt;wsp:rsid wsp:val=&quot;006C51F9&quot;/&gt;&lt;wsp:rsid wsp:val=&quot;006C5479&quot;/&gt;&lt;wsp:rsid wsp:val=&quot;006C59E5&quot;/&gt;&lt;wsp:rsid wsp:val=&quot;006C5A75&quot;/&gt;&lt;wsp:rsid wsp:val=&quot;006C5FCD&quot;/&gt;&lt;wsp:rsid wsp:val=&quot;006C6439&quot;/&gt;&lt;wsp:rsid wsp:val=&quot;006C6850&quot;/&gt;&lt;wsp:rsid wsp:val=&quot;006C6990&quot;/&gt;&lt;wsp:rsid wsp:val=&quot;006C7013&quot;/&gt;&lt;wsp:rsid wsp:val=&quot;006C716C&quot;/&gt;&lt;wsp:rsid wsp:val=&quot;006C741E&quot;/&gt;&lt;wsp:rsid wsp:val=&quot;006C7EDA&quot;/&gt;&lt;wsp:rsid wsp:val=&quot;006D04FC&quot;/&gt;&lt;wsp:rsid wsp:val=&quot;006D09A2&quot;/&gt;&lt;wsp:rsid wsp:val=&quot;006D0B7A&quot;/&gt;&lt;wsp:rsid wsp:val=&quot;006D1326&quot;/&gt;&lt;wsp:rsid wsp:val=&quot;006D13B5&quot;/&gt;&lt;wsp:rsid wsp:val=&quot;006D1AA4&quot;/&gt;&lt;wsp:rsid wsp:val=&quot;006D2CE2&quot;/&gt;&lt;wsp:rsid wsp:val=&quot;006D2E17&quot;/&gt;&lt;wsp:rsid wsp:val=&quot;006D302A&quot;/&gt;&lt;wsp:rsid wsp:val=&quot;006D3440&quot;/&gt;&lt;wsp:rsid wsp:val=&quot;006D360C&quot;/&gt;&lt;wsp:rsid wsp:val=&quot;006D3E62&quot;/&gt;&lt;wsp:rsid wsp:val=&quot;006D431B&quot;/&gt;&lt;wsp:rsid wsp:val=&quot;006D4552&quot;/&gt;&lt;wsp:rsid wsp:val=&quot;006D4739&quot;/&gt;&lt;wsp:rsid wsp:val=&quot;006D4CFA&quot;/&gt;&lt;wsp:rsid wsp:val=&quot;006D4E80&quot;/&gt;&lt;wsp:rsid wsp:val=&quot;006D4FD8&quot;/&gt;&lt;wsp:rsid wsp:val=&quot;006D5474&quot;/&gt;&lt;wsp:rsid wsp:val=&quot;006D599F&quot;/&gt;&lt;wsp:rsid wsp:val=&quot;006D5C71&quot;/&gt;&lt;wsp:rsid wsp:val=&quot;006D5F77&quot;/&gt;&lt;wsp:rsid wsp:val=&quot;006D607F&quot;/&gt;&lt;wsp:rsid wsp:val=&quot;006D6349&quot;/&gt;&lt;wsp:rsid wsp:val=&quot;006D63F4&quot;/&gt;&lt;wsp:rsid wsp:val=&quot;006D6637&quot;/&gt;&lt;wsp:rsid wsp:val=&quot;006D6ED0&quot;/&gt;&lt;wsp:rsid wsp:val=&quot;006D75CB&quot;/&gt;&lt;wsp:rsid wsp:val=&quot;006D777B&quot;/&gt;&lt;wsp:rsid wsp:val=&quot;006E0307&quot;/&gt;&lt;wsp:rsid wsp:val=&quot;006E05B4&quot;/&gt;&lt;wsp:rsid wsp:val=&quot;006E0FDD&quot;/&gt;&lt;wsp:rsid wsp:val=&quot;006E12FF&quot;/&gt;&lt;wsp:rsid wsp:val=&quot;006E174A&quot;/&gt;&lt;wsp:rsid wsp:val=&quot;006E1A05&quot;/&gt;&lt;wsp:rsid wsp:val=&quot;006E1FD5&quot;/&gt;&lt;wsp:rsid wsp:val=&quot;006E2452&quot;/&gt;&lt;wsp:rsid wsp:val=&quot;006E27D3&quot;/&gt;&lt;wsp:rsid wsp:val=&quot;006E2EA1&quot;/&gt;&lt;wsp:rsid wsp:val=&quot;006E5344&quot;/&gt;&lt;wsp:rsid wsp:val=&quot;006E607E&quot;/&gt;&lt;wsp:rsid wsp:val=&quot;006E6CB4&quot;/&gt;&lt;wsp:rsid wsp:val=&quot;006E6F38&quot;/&gt;&lt;wsp:rsid wsp:val=&quot;006F0AEE&quot;/&gt;&lt;wsp:rsid wsp:val=&quot;006F1177&quot;/&gt;&lt;wsp:rsid wsp:val=&quot;006F19D1&quot;/&gt;&lt;wsp:rsid wsp:val=&quot;006F1F23&quot;/&gt;&lt;wsp:rsid wsp:val=&quot;006F1F68&quot;/&gt;&lt;wsp:rsid wsp:val=&quot;006F1F8A&quot;/&gt;&lt;wsp:rsid wsp:val=&quot;006F2562&quot;/&gt;&lt;wsp:rsid wsp:val=&quot;006F30B7&quot;/&gt;&lt;wsp:rsid wsp:val=&quot;006F3BBC&quot;/&gt;&lt;wsp:rsid wsp:val=&quot;006F4D03&quot;/&gt;&lt;wsp:rsid wsp:val=&quot;006F5046&quot;/&gt;&lt;wsp:rsid wsp:val=&quot;006F5092&quot;/&gt;&lt;wsp:rsid wsp:val=&quot;006F510F&quot;/&gt;&lt;wsp:rsid wsp:val=&quot;006F57F1&quot;/&gt;&lt;wsp:rsid wsp:val=&quot;006F6A55&quot;/&gt;&lt;wsp:rsid wsp:val=&quot;006F72C2&quot;/&gt;&lt;wsp:rsid wsp:val=&quot;006F7EE5&quot;/&gt;&lt;wsp:rsid wsp:val=&quot;007000A1&quot;/&gt;&lt;wsp:rsid wsp:val=&quot;00700122&quot;/&gt;&lt;wsp:rsid wsp:val=&quot;00701385&quot;/&gt;&lt;wsp:rsid wsp:val=&quot;00701393&quot;/&gt;&lt;wsp:rsid wsp:val=&quot;007025F7&quot;/&gt;&lt;wsp:rsid wsp:val=&quot;00702916&quot;/&gt;&lt;wsp:rsid wsp:val=&quot;00703F2B&quot;/&gt;&lt;wsp:rsid wsp:val=&quot;00704138&quot;/&gt;&lt;wsp:rsid wsp:val=&quot;00704446&quot;/&gt;&lt;wsp:rsid wsp:val=&quot;007056E9&quot;/&gt;&lt;wsp:rsid wsp:val=&quot;007057AD&quot;/&gt;&lt;wsp:rsid wsp:val=&quot;00706008&quot;/&gt;&lt;wsp:rsid wsp:val=&quot;00706C5D&quot;/&gt;&lt;wsp:rsid wsp:val=&quot;00706FB7&quot;/&gt;&lt;wsp:rsid wsp:val=&quot;007105C8&quot;/&gt;&lt;wsp:rsid wsp:val=&quot;007107B4&quot;/&gt;&lt;wsp:rsid wsp:val=&quot;00710B17&quot;/&gt;&lt;wsp:rsid wsp:val=&quot;00710B7D&quot;/&gt;&lt;wsp:rsid wsp:val=&quot;00711BD7&quot;/&gt;&lt;wsp:rsid wsp:val=&quot;00712154&quot;/&gt;&lt;wsp:rsid wsp:val=&quot;007124E3&quot;/&gt;&lt;wsp:rsid wsp:val=&quot;00712500&quot;/&gt;&lt;wsp:rsid wsp:val=&quot;007127D3&quot;/&gt;&lt;wsp:rsid wsp:val=&quot;00712AE9&quot;/&gt;&lt;wsp:rsid wsp:val=&quot;00713346&quot;/&gt;&lt;wsp:rsid wsp:val=&quot;007133A6&quot;/&gt;&lt;wsp:rsid wsp:val=&quot;007137E2&quot;/&gt;&lt;wsp:rsid wsp:val=&quot;00713BC4&quot;/&gt;&lt;wsp:rsid wsp:val=&quot;0071480E&quot;/&gt;&lt;wsp:rsid wsp:val=&quot;00715DA4&quot;/&gt;&lt;wsp:rsid wsp:val=&quot;00715F50&quot;/&gt;&lt;wsp:rsid wsp:val=&quot;00716B43&quot;/&gt;&lt;wsp:rsid wsp:val=&quot;00716D9F&quot;/&gt;&lt;wsp:rsid wsp:val=&quot;0071716F&quot;/&gt;&lt;wsp:rsid wsp:val=&quot;00717474&quot;/&gt;&lt;wsp:rsid wsp:val=&quot;00717481&quot;/&gt;&lt;wsp:rsid wsp:val=&quot;00717ACD&quot;/&gt;&lt;wsp:rsid wsp:val=&quot;0072057B&quot;/&gt;&lt;wsp:rsid wsp:val=&quot;00721AC0&quot;/&gt;&lt;wsp:rsid wsp:val=&quot;00721DAA&quot;/&gt;&lt;wsp:rsid wsp:val=&quot;007221F1&quot;/&gt;&lt;wsp:rsid wsp:val=&quot;00722701&quot;/&gt;&lt;wsp:rsid wsp:val=&quot;00722762&quot;/&gt;&lt;wsp:rsid wsp:val=&quot;00722940&quot;/&gt;&lt;wsp:rsid wsp:val=&quot;007229BC&quot;/&gt;&lt;wsp:rsid wsp:val=&quot;00723409&quot;/&gt;&lt;wsp:rsid wsp:val=&quot;00723C73&quot;/&gt;&lt;wsp:rsid wsp:val=&quot;00723EF6&quot;/&gt;&lt;wsp:rsid wsp:val=&quot;007245ED&quot;/&gt;&lt;wsp:rsid wsp:val=&quot;00724C3F&quot;/&gt;&lt;wsp:rsid wsp:val=&quot;00724DDD&quot;/&gt;&lt;wsp:rsid wsp:val=&quot;0072526C&quot;/&gt;&lt;wsp:rsid wsp:val=&quot;0072550F&quot;/&gt;&lt;wsp:rsid wsp:val=&quot;007261B1&quot;/&gt;&lt;wsp:rsid wsp:val=&quot;00726A99&quot;/&gt;&lt;wsp:rsid wsp:val=&quot;00726FF9&quot;/&gt;&lt;wsp:rsid wsp:val=&quot;0072794C&quot;/&gt;&lt;wsp:rsid wsp:val=&quot;0073025D&quot;/&gt;&lt;wsp:rsid wsp:val=&quot;0073093F&quot;/&gt;&lt;wsp:rsid wsp:val=&quot;00730B72&quot;/&gt;&lt;wsp:rsid wsp:val=&quot;00730C19&quot;/&gt;&lt;wsp:rsid wsp:val=&quot;00730FB8&quot;/&gt;&lt;wsp:rsid wsp:val=&quot;00730FC5&quot;/&gt;&lt;wsp:rsid wsp:val=&quot;0073121A&quot;/&gt;&lt;wsp:rsid wsp:val=&quot;00731FBB&quot;/&gt;&lt;wsp:rsid wsp:val=&quot;00732922&quot;/&gt;&lt;wsp:rsid wsp:val=&quot;00732944&quot;/&gt;&lt;wsp:rsid wsp:val=&quot;0073384C&quot;/&gt;&lt;wsp:rsid wsp:val=&quot;00733E99&quot;/&gt;&lt;wsp:rsid wsp:val=&quot;00734AA1&quot;/&gt;&lt;wsp:rsid wsp:val=&quot;00734C95&quot;/&gt;&lt;wsp:rsid wsp:val=&quot;0073529E&quot;/&gt;&lt;wsp:rsid wsp:val=&quot;00735313&quot;/&gt;&lt;wsp:rsid wsp:val=&quot;00735625&quot;/&gt;&lt;wsp:rsid wsp:val=&quot;007356A9&quot;/&gt;&lt;wsp:rsid wsp:val=&quot;007359CD&quot;/&gt;&lt;wsp:rsid wsp:val=&quot;00735D93&quot;/&gt;&lt;wsp:rsid wsp:val=&quot;00735ED0&quot;/&gt;&lt;wsp:rsid wsp:val=&quot;00736193&quot;/&gt;&lt;wsp:rsid wsp:val=&quot;007365BA&quot;/&gt;&lt;wsp:rsid wsp:val=&quot;00736F3A&quot;/&gt;&lt;wsp:rsid wsp:val=&quot;0073714B&quot;/&gt;&lt;wsp:rsid wsp:val=&quot;0073774E&quot;/&gt;&lt;wsp:rsid wsp:val=&quot;00737B9F&quot;/&gt;&lt;wsp:rsid wsp:val=&quot;00737C3D&quot;/&gt;&lt;wsp:rsid wsp:val=&quot;0074017C&quot;/&gt;&lt;wsp:rsid wsp:val=&quot;00740AA9&quot;/&gt;&lt;wsp:rsid wsp:val=&quot;00740EC7&quot;/&gt;&lt;wsp:rsid wsp:val=&quot;00742124&quot;/&gt;&lt;wsp:rsid wsp:val=&quot;00742803&quot;/&gt;&lt;wsp:rsid wsp:val=&quot;00742A3D&quot;/&gt;&lt;wsp:rsid wsp:val=&quot;00742AB1&quot;/&gt;&lt;wsp:rsid wsp:val=&quot;007436F6&quot;/&gt;&lt;wsp:rsid wsp:val=&quot;00743717&quot;/&gt;&lt;wsp:rsid wsp:val=&quot;00744160&quot;/&gt;&lt;wsp:rsid wsp:val=&quot;00745D19&quot;/&gt;&lt;wsp:rsid wsp:val=&quot;007460DD&quot;/&gt;&lt;wsp:rsid wsp:val=&quot;00746650&quot;/&gt;&lt;wsp:rsid wsp:val=&quot;0074691E&quot;/&gt;&lt;wsp:rsid wsp:val=&quot;00746C91&quot;/&gt;&lt;wsp:rsid wsp:val=&quot;00746CEC&quot;/&gt;&lt;wsp:rsid wsp:val=&quot;00747CBC&quot;/&gt;&lt;wsp:rsid wsp:val=&quot;0075146F&quot;/&gt;&lt;wsp:rsid wsp:val=&quot;0075162E&quot;/&gt;&lt;wsp:rsid wsp:val=&quot;00751869&quot;/&gt;&lt;wsp:rsid wsp:val=&quot;007519B3&quot;/&gt;&lt;wsp:rsid wsp:val=&quot;00751B1F&quot;/&gt;&lt;wsp:rsid wsp:val=&quot;00751B87&quot;/&gt;&lt;wsp:rsid wsp:val=&quot;0075236B&quot;/&gt;&lt;wsp:rsid wsp:val=&quot;00752683&quot;/&gt;&lt;wsp:rsid wsp:val=&quot;00752769&quot;/&gt;&lt;wsp:rsid wsp:val=&quot;00752CAA&quot;/&gt;&lt;wsp:rsid wsp:val=&quot;007531A5&quot;/&gt;&lt;wsp:rsid wsp:val=&quot;00753C7A&quot;/&gt;&lt;wsp:rsid wsp:val=&quot;00753EA4&quot;/&gt;&lt;wsp:rsid wsp:val=&quot;00754034&quot;/&gt;&lt;wsp:rsid wsp:val=&quot;007548B1&quot;/&gt;&lt;wsp:rsid wsp:val=&quot;00754B5D&quot;/&gt;&lt;wsp:rsid wsp:val=&quot;00754F1B&quot;/&gt;&lt;wsp:rsid wsp:val=&quot;00754F3B&quot;/&gt;&lt;wsp:rsid wsp:val=&quot;007554AB&quot;/&gt;&lt;wsp:rsid wsp:val=&quot;00755614&quot;/&gt;&lt;wsp:rsid wsp:val=&quot;0075588A&quot;/&gt;&lt;wsp:rsid wsp:val=&quot;00756556&quot;/&gt;&lt;wsp:rsid wsp:val=&quot;00756A3F&quot;/&gt;&lt;wsp:rsid wsp:val=&quot;0075728A&quot;/&gt;&lt;wsp:rsid wsp:val=&quot;00757485&quot;/&gt;&lt;wsp:rsid wsp:val=&quot;00757E83&quot;/&gt;&lt;wsp:rsid wsp:val=&quot;0076029B&quot;/&gt;&lt;wsp:rsid wsp:val=&quot;007613F3&quot;/&gt;&lt;wsp:rsid wsp:val=&quot;0076153E&quot;/&gt;&lt;wsp:rsid wsp:val=&quot;007618C4&quot;/&gt;&lt;wsp:rsid wsp:val=&quot;00761FB4&quot;/&gt;&lt;wsp:rsid wsp:val=&quot;00762784&quot;/&gt;&lt;wsp:rsid wsp:val=&quot;00762DD3&quot;/&gt;&lt;wsp:rsid wsp:val=&quot;007650E6&quot;/&gt;&lt;wsp:rsid wsp:val=&quot;00765F42&quot;/&gt;&lt;wsp:rsid wsp:val=&quot;0076617F&quot;/&gt;&lt;wsp:rsid wsp:val=&quot;007669DE&quot;/&gt;&lt;wsp:rsid wsp:val=&quot;007674DC&quot;/&gt;&lt;wsp:rsid wsp:val=&quot;00767980&quot;/&gt;&lt;wsp:rsid wsp:val=&quot;00767A4D&quot;/&gt;&lt;wsp:rsid wsp:val=&quot;00767B80&quot;/&gt;&lt;wsp:rsid wsp:val=&quot;00767D59&quot;/&gt;&lt;wsp:rsid wsp:val=&quot;00767D8E&quot;/&gt;&lt;wsp:rsid wsp:val=&quot;00770B19&quot;/&gt;&lt;wsp:rsid wsp:val=&quot;00770BD8&quot;/&gt;&lt;wsp:rsid wsp:val=&quot;00770CDA&quot;/&gt;&lt;wsp:rsid wsp:val=&quot;007715F8&quot;/&gt;&lt;wsp:rsid wsp:val=&quot;00771F26&quot;/&gt;&lt;wsp:rsid wsp:val=&quot;00772050&quot;/&gt;&lt;wsp:rsid wsp:val=&quot;00772438&quot;/&gt;&lt;wsp:rsid wsp:val=&quot;0077285E&quot;/&gt;&lt;wsp:rsid wsp:val=&quot;00772E28&quot;/&gt;&lt;wsp:rsid wsp:val=&quot;00772E40&quot;/&gt;&lt;wsp:rsid wsp:val=&quot;00773F9E&quot;/&gt;&lt;wsp:rsid wsp:val=&quot;0077448C&quot;/&gt;&lt;wsp:rsid wsp:val=&quot;0077463F&quot;/&gt;&lt;wsp:rsid wsp:val=&quot;007755A0&quot;/&gt;&lt;wsp:rsid wsp:val=&quot;007758CA&quot;/&gt;&lt;wsp:rsid wsp:val=&quot;00775948&quot;/&gt;&lt;wsp:rsid wsp:val=&quot;00776EC8&quot;/&gt;&lt;wsp:rsid wsp:val=&quot;00777A69&quot;/&gt;&lt;wsp:rsid wsp:val=&quot;00777E61&quot;/&gt;&lt;wsp:rsid wsp:val=&quot;00777E88&quot;/&gt;&lt;wsp:rsid wsp:val=&quot;0078083F&quot;/&gt;&lt;wsp:rsid wsp:val=&quot;00781CA1&quot;/&gt;&lt;wsp:rsid wsp:val=&quot;00782241&quot;/&gt;&lt;wsp:rsid wsp:val=&quot;00782CF0&quot;/&gt;&lt;wsp:rsid wsp:val=&quot;00782F8D&quot;/&gt;&lt;wsp:rsid wsp:val=&quot;0078308D&quot;/&gt;&lt;wsp:rsid wsp:val=&quot;007836EA&quot;/&gt;&lt;wsp:rsid wsp:val=&quot;007838C4&quot;/&gt;&lt;wsp:rsid wsp:val=&quot;00783B8A&quot;/&gt;&lt;wsp:rsid wsp:val=&quot;00783D0C&quot;/&gt;&lt;wsp:rsid wsp:val=&quot;00784AEF&quot;/&gt;&lt;wsp:rsid wsp:val=&quot;00784CDA&quot;/&gt;&lt;wsp:rsid wsp:val=&quot;007857AC&quot;/&gt;&lt;wsp:rsid wsp:val=&quot;00785F53&quot;/&gt;&lt;wsp:rsid wsp:val=&quot;007861F8&quot;/&gt;&lt;wsp:rsid wsp:val=&quot;007906C3&quot;/&gt;&lt;wsp:rsid wsp:val=&quot;007906C4&quot;/&gt;&lt;wsp:rsid wsp:val=&quot;00792026&quot;/&gt;&lt;wsp:rsid wsp:val=&quot;00792206&quot;/&gt;&lt;wsp:rsid wsp:val=&quot;007923D4&quot;/&gt;&lt;wsp:rsid wsp:val=&quot;00792807&quot;/&gt;&lt;wsp:rsid wsp:val=&quot;00793089&quot;/&gt;&lt;wsp:rsid wsp:val=&quot;00793615&quot;/&gt;&lt;wsp:rsid wsp:val=&quot;00793899&quot;/&gt;&lt;wsp:rsid wsp:val=&quot;007940EA&quot;/&gt;&lt;wsp:rsid wsp:val=&quot;00794AD3&quot;/&gt;&lt;wsp:rsid wsp:val=&quot;00795AAE&quot;/&gt;&lt;wsp:rsid wsp:val=&quot;007963E4&quot;/&gt;&lt;wsp:rsid wsp:val=&quot;007967E8&quot;/&gt;&lt;wsp:rsid wsp:val=&quot;007969B1&quot;/&gt;&lt;wsp:rsid wsp:val=&quot;00796B78&quot;/&gt;&lt;wsp:rsid wsp:val=&quot;00797002&quot;/&gt;&lt;wsp:rsid wsp:val=&quot;007975AF&quot;/&gt;&lt;wsp:rsid wsp:val=&quot;00797730&quot;/&gt;&lt;wsp:rsid wsp:val=&quot;0079794B&quot;/&gt;&lt;wsp:rsid wsp:val=&quot;007A03BF&quot;/&gt;&lt;wsp:rsid wsp:val=&quot;007A061B&quot;/&gt;&lt;wsp:rsid wsp:val=&quot;007A1A60&quot;/&gt;&lt;wsp:rsid wsp:val=&quot;007A1B9C&quot;/&gt;&lt;wsp:rsid wsp:val=&quot;007A2170&quot;/&gt;&lt;wsp:rsid wsp:val=&quot;007A22BF&quot;/&gt;&lt;wsp:rsid wsp:val=&quot;007A248F&quot;/&gt;&lt;wsp:rsid wsp:val=&quot;007A28B8&quot;/&gt;&lt;wsp:rsid wsp:val=&quot;007A2CF2&quot;/&gt;&lt;wsp:rsid wsp:val=&quot;007A2F39&quot;/&gt;&lt;wsp:rsid wsp:val=&quot;007A3323&quot;/&gt;&lt;wsp:rsid wsp:val=&quot;007A3FA7&quot;/&gt;&lt;wsp:rsid wsp:val=&quot;007A41AB&quot;/&gt;&lt;wsp:rsid wsp:val=&quot;007A41CC&quot;/&gt;&lt;wsp:rsid wsp:val=&quot;007A5BC0&quot;/&gt;&lt;wsp:rsid wsp:val=&quot;007A5D77&quot;/&gt;&lt;wsp:rsid wsp:val=&quot;007A6049&quot;/&gt;&lt;wsp:rsid wsp:val=&quot;007A63F4&quot;/&gt;&lt;wsp:rsid wsp:val=&quot;007A6568&quot;/&gt;&lt;wsp:rsid wsp:val=&quot;007A727A&quot;/&gt;&lt;wsp:rsid wsp:val=&quot;007A7595&quot;/&gt;&lt;wsp:rsid wsp:val=&quot;007A7D7C&quot;/&gt;&lt;wsp:rsid wsp:val=&quot;007B0523&quot;/&gt;&lt;wsp:rsid wsp:val=&quot;007B0D83&quot;/&gt;&lt;wsp:rsid wsp:val=&quot;007B0EC0&quot;/&gt;&lt;wsp:rsid wsp:val=&quot;007B1123&quot;/&gt;&lt;wsp:rsid wsp:val=&quot;007B1D2D&quot;/&gt;&lt;wsp:rsid wsp:val=&quot;007B2B6A&quot;/&gt;&lt;wsp:rsid wsp:val=&quot;007B3ACD&quot;/&gt;&lt;wsp:rsid wsp:val=&quot;007B416C&quot;/&gt;&lt;wsp:rsid wsp:val=&quot;007B47B4&quot;/&gt;&lt;wsp:rsid wsp:val=&quot;007B49D3&quot;/&gt;&lt;wsp:rsid wsp:val=&quot;007B4A85&quot;/&gt;&lt;wsp:rsid wsp:val=&quot;007B4ABF&quot;/&gt;&lt;wsp:rsid wsp:val=&quot;007B5034&quot;/&gt;&lt;wsp:rsid wsp:val=&quot;007B51BC&quot;/&gt;&lt;wsp:rsid wsp:val=&quot;007B5661&quot;/&gt;&lt;wsp:rsid wsp:val=&quot;007B584C&quot;/&gt;&lt;wsp:rsid wsp:val=&quot;007B5BFF&quot;/&gt;&lt;wsp:rsid wsp:val=&quot;007B5F5F&quot;/&gt;&lt;wsp:rsid wsp:val=&quot;007B65F9&quot;/&gt;&lt;wsp:rsid wsp:val=&quot;007B72B8&quot;/&gt;&lt;wsp:rsid wsp:val=&quot;007B7477&quot;/&gt;&lt;wsp:rsid wsp:val=&quot;007B7A58&quot;/&gt;&lt;wsp:rsid wsp:val=&quot;007B7E97&quot;/&gt;&lt;wsp:rsid wsp:val=&quot;007C0DFB&quot;/&gt;&lt;wsp:rsid wsp:val=&quot;007C0E55&quot;/&gt;&lt;wsp:rsid wsp:val=&quot;007C1318&quot;/&gt;&lt;wsp:rsid wsp:val=&quot;007C21B5&quot;/&gt;&lt;wsp:rsid wsp:val=&quot;007C21C2&quot;/&gt;&lt;wsp:rsid wsp:val=&quot;007C29BA&quot;/&gt;&lt;wsp:rsid wsp:val=&quot;007C475C&quot;/&gt;&lt;wsp:rsid wsp:val=&quot;007C4826&quot;/&gt;&lt;wsp:rsid wsp:val=&quot;007C497B&quot;/&gt;&lt;wsp:rsid wsp:val=&quot;007C4C48&quot;/&gt;&lt;wsp:rsid wsp:val=&quot;007C4F88&quot;/&gt;&lt;wsp:rsid wsp:val=&quot;007C5C2B&quot;/&gt;&lt;wsp:rsid wsp:val=&quot;007C5C52&quot;/&gt;&lt;wsp:rsid wsp:val=&quot;007C5D79&quot;/&gt;&lt;wsp:rsid wsp:val=&quot;007C5F44&quot;/&gt;&lt;wsp:rsid wsp:val=&quot;007C761C&quot;/&gt;&lt;wsp:rsid wsp:val=&quot;007C7698&quot;/&gt;&lt;wsp:rsid wsp:val=&quot;007C7E56&quot;/&gt;&lt;wsp:rsid wsp:val=&quot;007D0456&quot;/&gt;&lt;wsp:rsid wsp:val=&quot;007D05E2&quot;/&gt;&lt;wsp:rsid wsp:val=&quot;007D07FD&quot;/&gt;&lt;wsp:rsid wsp:val=&quot;007D0FB2&quot;/&gt;&lt;wsp:rsid wsp:val=&quot;007D25A3&quot;/&gt;&lt;wsp:rsid wsp:val=&quot;007D2776&quot;/&gt;&lt;wsp:rsid wsp:val=&quot;007D378F&quot;/&gt;&lt;wsp:rsid wsp:val=&quot;007D3E5B&quot;/&gt;&lt;wsp:rsid wsp:val=&quot;007D41DD&quot;/&gt;&lt;wsp:rsid wsp:val=&quot;007D44D9&quot;/&gt;&lt;wsp:rsid wsp:val=&quot;007D4585&quot;/&gt;&lt;wsp:rsid wsp:val=&quot;007D4772&quot;/&gt;&lt;wsp:rsid wsp:val=&quot;007D49D0&quot;/&gt;&lt;wsp:rsid wsp:val=&quot;007D4B29&quot;/&gt;&lt;wsp:rsid wsp:val=&quot;007D5171&quot;/&gt;&lt;wsp:rsid wsp:val=&quot;007D5198&quot;/&gt;&lt;wsp:rsid wsp:val=&quot;007D67F4&quot;/&gt;&lt;wsp:rsid wsp:val=&quot;007D686C&quot;/&gt;&lt;wsp:rsid wsp:val=&quot;007D7548&quot;/&gt;&lt;wsp:rsid wsp:val=&quot;007E0052&quot;/&gt;&lt;wsp:rsid wsp:val=&quot;007E01F7&quot;/&gt;&lt;wsp:rsid wsp:val=&quot;007E047C&quot;/&gt;&lt;wsp:rsid wsp:val=&quot;007E0F3F&quot;/&gt;&lt;wsp:rsid wsp:val=&quot;007E1214&quot;/&gt;&lt;wsp:rsid wsp:val=&quot;007E1291&quot;/&gt;&lt;wsp:rsid wsp:val=&quot;007E1C6A&quot;/&gt;&lt;wsp:rsid wsp:val=&quot;007E1C74&quot;/&gt;&lt;wsp:rsid wsp:val=&quot;007E1F41&quot;/&gt;&lt;wsp:rsid wsp:val=&quot;007E2214&quot;/&gt;&lt;wsp:rsid wsp:val=&quot;007E224B&quot;/&gt;&lt;wsp:rsid wsp:val=&quot;007E2540&quot;/&gt;&lt;wsp:rsid wsp:val=&quot;007E2667&quot;/&gt;&lt;wsp:rsid wsp:val=&quot;007E292E&quot;/&gt;&lt;wsp:rsid wsp:val=&quot;007E2E64&quot;/&gt;&lt;wsp:rsid wsp:val=&quot;007E4781&quot;/&gt;&lt;wsp:rsid wsp:val=&quot;007E4BD2&quot;/&gt;&lt;wsp:rsid wsp:val=&quot;007E4D00&quot;/&gt;&lt;wsp:rsid wsp:val=&quot;007E4E3F&quot;/&gt;&lt;wsp:rsid wsp:val=&quot;007E50F3&quot;/&gt;&lt;wsp:rsid wsp:val=&quot;007E59A8&quot;/&gt;&lt;wsp:rsid wsp:val=&quot;007E5F8C&quot;/&gt;&lt;wsp:rsid wsp:val=&quot;007E5FC4&quot;/&gt;&lt;wsp:rsid wsp:val=&quot;007E6F90&quot;/&gt;&lt;wsp:rsid wsp:val=&quot;007E7014&quot;/&gt;&lt;wsp:rsid wsp:val=&quot;007E724B&quot;/&gt;&lt;wsp:rsid wsp:val=&quot;007F01DD&quot;/&gt;&lt;wsp:rsid wsp:val=&quot;007F01EF&quot;/&gt;&lt;wsp:rsid wsp:val=&quot;007F05C3&quot;/&gt;&lt;wsp:rsid wsp:val=&quot;007F0935&quot;/&gt;&lt;wsp:rsid wsp:val=&quot;007F0D48&quot;/&gt;&lt;wsp:rsid wsp:val=&quot;007F15DE&quot;/&gt;&lt;wsp:rsid wsp:val=&quot;007F1E57&quot;/&gt;&lt;wsp:rsid wsp:val=&quot;007F1E89&quot;/&gt;&lt;wsp:rsid wsp:val=&quot;007F2523&quot;/&gt;&lt;wsp:rsid wsp:val=&quot;007F2CF3&quot;/&gt;&lt;wsp:rsid wsp:val=&quot;007F2DC7&quot;/&gt;&lt;wsp:rsid wsp:val=&quot;007F3049&quot;/&gt;&lt;wsp:rsid wsp:val=&quot;007F32B7&quot;/&gt;&lt;wsp:rsid wsp:val=&quot;007F376A&quot;/&gt;&lt;wsp:rsid wsp:val=&quot;007F3E0A&quot;/&gt;&lt;wsp:rsid wsp:val=&quot;007F4F7E&quot;/&gt;&lt;wsp:rsid wsp:val=&quot;007F5A67&quot;/&gt;&lt;wsp:rsid wsp:val=&quot;007F5F28&quot;/&gt;&lt;wsp:rsid wsp:val=&quot;007F69A0&quot;/&gt;&lt;wsp:rsid wsp:val=&quot;007F774F&quot;/&gt;&lt;wsp:rsid wsp:val=&quot;0080030D&quot;/&gt;&lt;wsp:rsid wsp:val=&quot;00800D3A&quot;/&gt;&lt;wsp:rsid wsp:val=&quot;00800F41&quot;/&gt;&lt;wsp:rsid wsp:val=&quot;00801192&quot;/&gt;&lt;wsp:rsid wsp:val=&quot;008011E6&quot;/&gt;&lt;wsp:rsid wsp:val=&quot;00801393&quot;/&gt;&lt;wsp:rsid wsp:val=&quot;00801A45&quot;/&gt;&lt;wsp:rsid wsp:val=&quot;00801AB1&quot;/&gt;&lt;wsp:rsid wsp:val=&quot;0080211A&quot;/&gt;&lt;wsp:rsid wsp:val=&quot;008026BD&quot;/&gt;&lt;wsp:rsid wsp:val=&quot;00802C05&quot;/&gt;&lt;wsp:rsid wsp:val=&quot;00802F88&quot;/&gt;&lt;wsp:rsid wsp:val=&quot;00803EB6&quot;/&gt;&lt;wsp:rsid wsp:val=&quot;008040AC&quot;/&gt;&lt;wsp:rsid wsp:val=&quot;00804E95&quot;/&gt;&lt;wsp:rsid wsp:val=&quot;00804F0C&quot;/&gt;&lt;wsp:rsid wsp:val=&quot;00805E8B&quot;/&gt;&lt;wsp:rsid wsp:val=&quot;0080696E&quot;/&gt;&lt;wsp:rsid wsp:val=&quot;00807D3B&quot;/&gt;&lt;wsp:rsid wsp:val=&quot;00807EF0&quot;/&gt;&lt;wsp:rsid wsp:val=&quot;00810D01&quot;/&gt;&lt;wsp:rsid wsp:val=&quot;00810F58&quot;/&gt;&lt;wsp:rsid wsp:val=&quot;0081127C&quot;/&gt;&lt;wsp:rsid wsp:val=&quot;008114B5&quot;/&gt;&lt;wsp:rsid wsp:val=&quot;0081164D&quot;/&gt;&lt;wsp:rsid wsp:val=&quot;00811A5B&quot;/&gt;&lt;wsp:rsid wsp:val=&quot;00811E20&quot;/&gt;&lt;wsp:rsid wsp:val=&quot;0081293E&quot;/&gt;&lt;wsp:rsid wsp:val=&quot;008132C9&quot;/&gt;&lt;wsp:rsid wsp:val=&quot;00814040&quot;/&gt;&lt;wsp:rsid wsp:val=&quot;00814278&quot;/&gt;&lt;wsp:rsid wsp:val=&quot;008146A0&quot;/&gt;&lt;wsp:rsid wsp:val=&quot;00814752&quot;/&gt;&lt;wsp:rsid wsp:val=&quot;00814929&quot;/&gt;&lt;wsp:rsid wsp:val=&quot;00814BD2&quot;/&gt;&lt;wsp:rsid wsp:val=&quot;008152E3&quot;/&gt;&lt;wsp:rsid wsp:val=&quot;00815465&quot;/&gt;&lt;wsp:rsid wsp:val=&quot;00816B0D&quot;/&gt;&lt;wsp:rsid wsp:val=&quot;00817487&quot;/&gt;&lt;wsp:rsid wsp:val=&quot;00817CAA&quot;/&gt;&lt;wsp:rsid wsp:val=&quot;00817E9A&quot;/&gt;&lt;wsp:rsid wsp:val=&quot;00820C91&quot;/&gt;&lt;wsp:rsid wsp:val=&quot;00820D13&quot;/&gt;&lt;wsp:rsid wsp:val=&quot;008213C7&quot;/&gt;&lt;wsp:rsid wsp:val=&quot;00821D91&quot;/&gt;&lt;wsp:rsid wsp:val=&quot;00821D9F&quot;/&gt;&lt;wsp:rsid wsp:val=&quot;00821EAB&quot;/&gt;&lt;wsp:rsid wsp:val=&quot;00822140&quot;/&gt;&lt;wsp:rsid wsp:val=&quot;00822564&quot;/&gt;&lt;wsp:rsid wsp:val=&quot;00822DA5&quot;/&gt;&lt;wsp:rsid wsp:val=&quot;00822E81&quot;/&gt;&lt;wsp:rsid wsp:val=&quot;008237BE&quot;/&gt;&lt;wsp:rsid wsp:val=&quot;00823FB0&quot;/&gt;&lt;wsp:rsid wsp:val=&quot;00824A4F&quot;/&gt;&lt;wsp:rsid wsp:val=&quot;00825AD2&quot;/&gt;&lt;wsp:rsid wsp:val=&quot;00825B2C&quot;/&gt;&lt;wsp:rsid wsp:val=&quot;00825E3E&quot;/&gt;&lt;wsp:rsid wsp:val=&quot;00826AC3&quot;/&gt;&lt;wsp:rsid wsp:val=&quot;00827A31&quot;/&gt;&lt;wsp:rsid wsp:val=&quot;00830145&quot;/&gt;&lt;wsp:rsid wsp:val=&quot;00830209&quot;/&gt;&lt;wsp:rsid wsp:val=&quot;0083060B&quot;/&gt;&lt;wsp:rsid wsp:val=&quot;008306BD&quot;/&gt;&lt;wsp:rsid wsp:val=&quot;00830727&quot;/&gt;&lt;wsp:rsid wsp:val=&quot;0083089A&quot;/&gt;&lt;wsp:rsid wsp:val=&quot;008318F4&quot;/&gt;&lt;wsp:rsid wsp:val=&quot;00831A80&quot;/&gt;&lt;wsp:rsid wsp:val=&quot;008321A6&quot;/&gt;&lt;wsp:rsid wsp:val=&quot;00832F8B&quot;/&gt;&lt;wsp:rsid wsp:val=&quot;0083332C&quot;/&gt;&lt;wsp:rsid wsp:val=&quot;00833743&quot;/&gt;&lt;wsp:rsid wsp:val=&quot;008337C9&quot;/&gt;&lt;wsp:rsid wsp:val=&quot;00833CB5&quot;/&gt;&lt;wsp:rsid wsp:val=&quot;008340A4&quot;/&gt;&lt;wsp:rsid wsp:val=&quot;008349A4&quot;/&gt;&lt;wsp:rsid wsp:val=&quot;00836150&quot;/&gt;&lt;wsp:rsid wsp:val=&quot;00836177&quot;/&gt;&lt;wsp:rsid wsp:val=&quot;00836188&quot;/&gt;&lt;wsp:rsid wsp:val=&quot;00836229&quot;/&gt;&lt;wsp:rsid wsp:val=&quot;008369BE&quot;/&gt;&lt;wsp:rsid wsp:val=&quot;008370F9&quot;/&gt;&lt;wsp:rsid wsp:val=&quot;00837477&quot;/&gt;&lt;wsp:rsid wsp:val=&quot;00837E2B&quot;/&gt;&lt;wsp:rsid wsp:val=&quot;00840CF0&quot;/&gt;&lt;wsp:rsid wsp:val=&quot;008417BE&quot;/&gt;&lt;wsp:rsid wsp:val=&quot;00842169&quot;/&gt;&lt;wsp:rsid wsp:val=&quot;00844820&quot;/&gt;&lt;wsp:rsid wsp:val=&quot;0084542A&quot;/&gt;&lt;wsp:rsid wsp:val=&quot;0084561C&quot;/&gt;&lt;wsp:rsid wsp:val=&quot;00846450&quot;/&gt;&lt;wsp:rsid wsp:val=&quot;0084665D&quot;/&gt;&lt;wsp:rsid wsp:val=&quot;00846CBF&quot;/&gt;&lt;wsp:rsid wsp:val=&quot;00846E15&quot;/&gt;&lt;wsp:rsid wsp:val=&quot;00846E9E&quot;/&gt;&lt;wsp:rsid wsp:val=&quot;00846F14&quot;/&gt;&lt;wsp:rsid wsp:val=&quot;00847E5B&quot;/&gt;&lt;wsp:rsid wsp:val=&quot;00850029&quot;/&gt;&lt;wsp:rsid wsp:val=&quot;0085071E&quot;/&gt;&lt;wsp:rsid wsp:val=&quot;00851836&quot;/&gt;&lt;wsp:rsid wsp:val=&quot;00852388&quot;/&gt;&lt;wsp:rsid wsp:val=&quot;0085261B&quot;/&gt;&lt;wsp:rsid wsp:val=&quot;00852AB4&quot;/&gt;&lt;wsp:rsid wsp:val=&quot;00852E62&quot;/&gt;&lt;wsp:rsid wsp:val=&quot;008543DC&quot;/&gt;&lt;wsp:rsid wsp:val=&quot;00855141&quot;/&gt;&lt;wsp:rsid wsp:val=&quot;00855407&quot;/&gt;&lt;wsp:rsid wsp:val=&quot;00855D7D&quot;/&gt;&lt;wsp:rsid wsp:val=&quot;00857452&quot;/&gt;&lt;wsp:rsid wsp:val=&quot;00857C9C&quot;/&gt;&lt;wsp:rsid wsp:val=&quot;00857FBE&quot;/&gt;&lt;wsp:rsid wsp:val=&quot;00860313&quot;/&gt;&lt;wsp:rsid wsp:val=&quot;00861221&quot;/&gt;&lt;wsp:rsid wsp:val=&quot;008614E1&quot;/&gt;&lt;wsp:rsid wsp:val=&quot;0086178C&quot;/&gt;&lt;wsp:rsid wsp:val=&quot;008622BD&quot;/&gt;&lt;wsp:rsid wsp:val=&quot;0086285E&quot;/&gt;&lt;wsp:rsid wsp:val=&quot;00862B3A&quot;/&gt;&lt;wsp:rsid wsp:val=&quot;008636EF&quot;/&gt;&lt;wsp:rsid wsp:val=&quot;00864D47&quot;/&gt;&lt;wsp:rsid wsp:val=&quot;00864DC5&quot;/&gt;&lt;wsp:rsid wsp:val=&quot;00865374&quot;/&gt;&lt;wsp:rsid wsp:val=&quot;008658F6&quot;/&gt;&lt;wsp:rsid wsp:val=&quot;00866029&quot;/&gt;&lt;wsp:rsid wsp:val=&quot;0086603C&quot;/&gt;&lt;wsp:rsid wsp:val=&quot;00866244&quot;/&gt;&lt;wsp:rsid wsp:val=&quot;00866A20&quot;/&gt;&lt;wsp:rsid wsp:val=&quot;008673EB&quot;/&gt;&lt;wsp:rsid wsp:val=&quot;00867409&quot;/&gt;&lt;wsp:rsid wsp:val=&quot;0086792B&quot;/&gt;&lt;wsp:rsid wsp:val=&quot;00867D2A&quot;/&gt;&lt;wsp:rsid wsp:val=&quot;00870586&quot;/&gt;&lt;wsp:rsid wsp:val=&quot;0087059C&quot;/&gt;&lt;wsp:rsid wsp:val=&quot;00870CB1&quot;/&gt;&lt;wsp:rsid wsp:val=&quot;0087135F&quot;/&gt;&lt;wsp:rsid wsp:val=&quot;00871484&quot;/&gt;&lt;wsp:rsid wsp:val=&quot;00871CFB&quot;/&gt;&lt;wsp:rsid wsp:val=&quot;00872027&quot;/&gt;&lt;wsp:rsid wsp:val=&quot;008721AF&quot;/&gt;&lt;wsp:rsid wsp:val=&quot;0087256C&quot;/&gt;&lt;wsp:rsid wsp:val=&quot;00872D94&quot;/&gt;&lt;wsp:rsid wsp:val=&quot;00872E25&quot;/&gt;&lt;wsp:rsid wsp:val=&quot;008730BA&quot;/&gt;&lt;wsp:rsid wsp:val=&quot;00873451&quot;/&gt;&lt;wsp:rsid wsp:val=&quot;008742A5&quot;/&gt;&lt;wsp:rsid wsp:val=&quot;00874705&quot;/&gt;&lt;wsp:rsid wsp:val=&quot;00874A9B&quot;/&gt;&lt;wsp:rsid wsp:val=&quot;00876366&quot;/&gt;&lt;wsp:rsid wsp:val=&quot;0087721C&quot;/&gt;&lt;wsp:rsid wsp:val=&quot;00877983&quot;/&gt;&lt;wsp:rsid wsp:val=&quot;00880364&quot;/&gt;&lt;wsp:rsid wsp:val=&quot;008805AA&quot;/&gt;&lt;wsp:rsid wsp:val=&quot;00881594&quot;/&gt;&lt;wsp:rsid wsp:val=&quot;00882898&quot;/&gt;&lt;wsp:rsid wsp:val=&quot;00882C75&quot;/&gt;&lt;wsp:rsid wsp:val=&quot;00882E8D&quot;/&gt;&lt;wsp:rsid wsp:val=&quot;00883C6B&quot;/&gt;&lt;wsp:rsid wsp:val=&quot;00884434&quot;/&gt;&lt;wsp:rsid wsp:val=&quot;00884585&quot;/&gt;&lt;wsp:rsid wsp:val=&quot;00884DBD&quot;/&gt;&lt;wsp:rsid wsp:val=&quot;00884F91&quot;/&gt;&lt;wsp:rsid wsp:val=&quot;00885866&quot;/&gt;&lt;wsp:rsid wsp:val=&quot;00886069&quot;/&gt;&lt;wsp:rsid wsp:val=&quot;00886483&quot;/&gt;&lt;wsp:rsid wsp:val=&quot;00887170&quot;/&gt;&lt;wsp:rsid wsp:val=&quot;00890664&quot;/&gt;&lt;wsp:rsid wsp:val=&quot;00890E36&quot;/&gt;&lt;wsp:rsid wsp:val=&quot;00891592&quot;/&gt;&lt;wsp:rsid wsp:val=&quot;00891E9E&quot;/&gt;&lt;wsp:rsid wsp:val=&quot;00891EF6&quot;/&gt;&lt;wsp:rsid wsp:val=&quot;008929BD&quot;/&gt;&lt;wsp:rsid wsp:val=&quot;00892B88&quot;/&gt;&lt;wsp:rsid wsp:val=&quot;00892C42&quot;/&gt;&lt;wsp:rsid wsp:val=&quot;00892E32&quot;/&gt;&lt;wsp:rsid wsp:val=&quot;008939E9&quot;/&gt;&lt;wsp:rsid wsp:val=&quot;008940DF&quot;/&gt;&lt;wsp:rsid wsp:val=&quot;00894D10&quot;/&gt;&lt;wsp:rsid wsp:val=&quot;00895CC7&quot;/&gt;&lt;wsp:rsid wsp:val=&quot;00896E97&quot;/&gt;&lt;wsp:rsid wsp:val=&quot;008971B9&quot;/&gt;&lt;wsp:rsid wsp:val=&quot;0089722E&quot;/&gt;&lt;wsp:rsid wsp:val=&quot;008A10E8&quot;/&gt;&lt;wsp:rsid wsp:val=&quot;008A116B&quot;/&gt;&lt;wsp:rsid wsp:val=&quot;008A17D0&quot;/&gt;&lt;wsp:rsid wsp:val=&quot;008A1BF6&quot;/&gt;&lt;wsp:rsid wsp:val=&quot;008A1C8B&quot;/&gt;&lt;wsp:rsid wsp:val=&quot;008A1EF5&quot;/&gt;&lt;wsp:rsid wsp:val=&quot;008A2F68&quot;/&gt;&lt;wsp:rsid wsp:val=&quot;008A32E8&quot;/&gt;&lt;wsp:rsid wsp:val=&quot;008A34A7&quot;/&gt;&lt;wsp:rsid wsp:val=&quot;008A4055&quot;/&gt;&lt;wsp:rsid wsp:val=&quot;008A43DF&quot;/&gt;&lt;wsp:rsid wsp:val=&quot;008A4B4C&quot;/&gt;&lt;wsp:rsid wsp:val=&quot;008A5D0A&quot;/&gt;&lt;wsp:rsid wsp:val=&quot;008A61C2&quot;/&gt;&lt;wsp:rsid wsp:val=&quot;008A662F&quot;/&gt;&lt;wsp:rsid wsp:val=&quot;008A6E74&quot;/&gt;&lt;wsp:rsid wsp:val=&quot;008A7486&quot;/&gt;&lt;wsp:rsid wsp:val=&quot;008A7608&quot;/&gt;&lt;wsp:rsid wsp:val=&quot;008A7CFA&quot;/&gt;&lt;wsp:rsid wsp:val=&quot;008B0372&quot;/&gt;&lt;wsp:rsid wsp:val=&quot;008B05A9&quot;/&gt;&lt;wsp:rsid wsp:val=&quot;008B15CF&quot;/&gt;&lt;wsp:rsid wsp:val=&quot;008B1C19&quot;/&gt;&lt;wsp:rsid wsp:val=&quot;008B224A&quot;/&gt;&lt;wsp:rsid wsp:val=&quot;008B238C&quot;/&gt;&lt;wsp:rsid wsp:val=&quot;008B2515&quot;/&gt;&lt;wsp:rsid wsp:val=&quot;008B2517&quot;/&gt;&lt;wsp:rsid wsp:val=&quot;008B2A59&quot;/&gt;&lt;wsp:rsid wsp:val=&quot;008B31DB&quot;/&gt;&lt;wsp:rsid wsp:val=&quot;008B3FD4&quot;/&gt;&lt;wsp:rsid wsp:val=&quot;008B411D&quot;/&gt;&lt;wsp:rsid wsp:val=&quot;008B43E6&quot;/&gt;&lt;wsp:rsid wsp:val=&quot;008B4816&quot;/&gt;&lt;wsp:rsid wsp:val=&quot;008B4DB0&quot;/&gt;&lt;wsp:rsid wsp:val=&quot;008B4E8E&quot;/&gt;&lt;wsp:rsid wsp:val=&quot;008B4FA6&quot;/&gt;&lt;wsp:rsid wsp:val=&quot;008B503B&quot;/&gt;&lt;wsp:rsid wsp:val=&quot;008B51BA&quot;/&gt;&lt;wsp:rsid wsp:val=&quot;008B5282&quot;/&gt;&lt;wsp:rsid wsp:val=&quot;008B64D7&quot;/&gt;&lt;wsp:rsid wsp:val=&quot;008B6F62&quot;/&gt;&lt;wsp:rsid wsp:val=&quot;008B7765&quot;/&gt;&lt;wsp:rsid wsp:val=&quot;008B7C17&quot;/&gt;&lt;wsp:rsid wsp:val=&quot;008B7E25&quot;/&gt;&lt;wsp:rsid wsp:val=&quot;008C02FE&quot;/&gt;&lt;wsp:rsid wsp:val=&quot;008C0797&quot;/&gt;&lt;wsp:rsid wsp:val=&quot;008C0D9C&quot;/&gt;&lt;wsp:rsid wsp:val=&quot;008C13DD&quot;/&gt;&lt;wsp:rsid wsp:val=&quot;008C23D3&quot;/&gt;&lt;wsp:rsid wsp:val=&quot;008C2765&quot;/&gt;&lt;wsp:rsid wsp:val=&quot;008C2AB7&quot;/&gt;&lt;wsp:rsid wsp:val=&quot;008C2D01&quot;/&gt;&lt;wsp:rsid wsp:val=&quot;008C3050&quot;/&gt;&lt;wsp:rsid wsp:val=&quot;008C32C3&quot;/&gt;&lt;wsp:rsid wsp:val=&quot;008C37AB&quot;/&gt;&lt;wsp:rsid wsp:val=&quot;008C3813&quot;/&gt;&lt;wsp:rsid wsp:val=&quot;008C3AE8&quot;/&gt;&lt;wsp:rsid wsp:val=&quot;008C3FA0&quot;/&gt;&lt;wsp:rsid wsp:val=&quot;008C40E6&quot;/&gt;&lt;wsp:rsid wsp:val=&quot;008C4673&quot;/&gt;&lt;wsp:rsid wsp:val=&quot;008C479F&quot;/&gt;&lt;wsp:rsid wsp:val=&quot;008C4D44&quot;/&gt;&lt;wsp:rsid wsp:val=&quot;008C531B&quot;/&gt;&lt;wsp:rsid wsp:val=&quot;008C5340&quot;/&gt;&lt;wsp:rsid wsp:val=&quot;008C5836&quot;/&gt;&lt;wsp:rsid wsp:val=&quot;008C61C9&quot;/&gt;&lt;wsp:rsid wsp:val=&quot;008C6340&quot;/&gt;&lt;wsp:rsid wsp:val=&quot;008C6BE9&quot;/&gt;&lt;wsp:rsid wsp:val=&quot;008C6C81&quot;/&gt;&lt;wsp:rsid wsp:val=&quot;008C72D7&quot;/&gt;&lt;wsp:rsid wsp:val=&quot;008C7595&quot;/&gt;&lt;wsp:rsid wsp:val=&quot;008C75D6&quot;/&gt;&lt;wsp:rsid wsp:val=&quot;008D052C&quot;/&gt;&lt;wsp:rsid wsp:val=&quot;008D0D17&quot;/&gt;&lt;wsp:rsid wsp:val=&quot;008D0F7A&quot;/&gt;&lt;wsp:rsid wsp:val=&quot;008D1637&quot;/&gt;&lt;wsp:rsid wsp:val=&quot;008D2CF4&quot;/&gt;&lt;wsp:rsid wsp:val=&quot;008D31DA&quot;/&gt;&lt;wsp:rsid wsp:val=&quot;008D3D45&quot;/&gt;&lt;wsp:rsid wsp:val=&quot;008D4296&quot;/&gt;&lt;wsp:rsid wsp:val=&quot;008D465B&quot;/&gt;&lt;wsp:rsid wsp:val=&quot;008D5409&quot;/&gt;&lt;wsp:rsid wsp:val=&quot;008D552F&quot;/&gt;&lt;wsp:rsid wsp:val=&quot;008D594C&quot;/&gt;&lt;wsp:rsid wsp:val=&quot;008D68E4&quot;/&gt;&lt;wsp:rsid wsp:val=&quot;008D6A46&quot;/&gt;&lt;wsp:rsid wsp:val=&quot;008D6A52&quot;/&gt;&lt;wsp:rsid wsp:val=&quot;008D6A56&quot;/&gt;&lt;wsp:rsid wsp:val=&quot;008D717E&quot;/&gt;&lt;wsp:rsid wsp:val=&quot;008D7AA6&quot;/&gt;&lt;wsp:rsid wsp:val=&quot;008E0506&quot;/&gt;&lt;wsp:rsid wsp:val=&quot;008E0B79&quot;/&gt;&lt;wsp:rsid wsp:val=&quot;008E0CFF&quot;/&gt;&lt;wsp:rsid wsp:val=&quot;008E25B5&quot;/&gt;&lt;wsp:rsid wsp:val=&quot;008E25F1&quot;/&gt;&lt;wsp:rsid wsp:val=&quot;008E27EF&quot;/&gt;&lt;wsp:rsid wsp:val=&quot;008E29AB&quot;/&gt;&lt;wsp:rsid wsp:val=&quot;008E2DA3&quot;/&gt;&lt;wsp:rsid wsp:val=&quot;008E358E&quot;/&gt;&lt;wsp:rsid wsp:val=&quot;008E35F4&quot;/&gt;&lt;wsp:rsid wsp:val=&quot;008E377D&quot;/&gt;&lt;wsp:rsid wsp:val=&quot;008E3B20&quot;/&gt;&lt;wsp:rsid wsp:val=&quot;008E3E58&quot;/&gt;&lt;wsp:rsid wsp:val=&quot;008E3F04&quot;/&gt;&lt;wsp:rsid wsp:val=&quot;008E4560&quot;/&gt;&lt;wsp:rsid wsp:val=&quot;008E4FEA&quot;/&gt;&lt;wsp:rsid wsp:val=&quot;008E5639&quot;/&gt;&lt;wsp:rsid wsp:val=&quot;008E5782&quot;/&gt;&lt;wsp:rsid wsp:val=&quot;008E5873&quot;/&gt;&lt;wsp:rsid wsp:val=&quot;008E5D6B&quot;/&gt;&lt;wsp:rsid wsp:val=&quot;008E65DB&quot;/&gt;&lt;wsp:rsid wsp:val=&quot;008E6F0F&quot;/&gt;&lt;wsp:rsid wsp:val=&quot;008E76F0&quot;/&gt;&lt;wsp:rsid wsp:val=&quot;008E7712&quot;/&gt;&lt;wsp:rsid wsp:val=&quot;008E7D7F&quot;/&gt;&lt;wsp:rsid wsp:val=&quot;008E7F3A&quot;/&gt;&lt;wsp:rsid wsp:val=&quot;008F002B&quot;/&gt;&lt;wsp:rsid wsp:val=&quot;008F05AA&quot;/&gt;&lt;wsp:rsid wsp:val=&quot;008F08C9&quot;/&gt;&lt;wsp:rsid wsp:val=&quot;008F0B59&quot;/&gt;&lt;wsp:rsid wsp:val=&quot;008F111D&quot;/&gt;&lt;wsp:rsid wsp:val=&quot;008F11B2&quot;/&gt;&lt;wsp:rsid wsp:val=&quot;008F15FE&quot;/&gt;&lt;wsp:rsid wsp:val=&quot;008F183B&quot;/&gt;&lt;wsp:rsid wsp:val=&quot;008F2476&quot;/&gt;&lt;wsp:rsid wsp:val=&quot;008F2608&quot;/&gt;&lt;wsp:rsid wsp:val=&quot;008F2C7C&quot;/&gt;&lt;wsp:rsid wsp:val=&quot;008F2D29&quot;/&gt;&lt;wsp:rsid wsp:val=&quot;008F2F08&quot;/&gt;&lt;wsp:rsid wsp:val=&quot;008F300C&quot;/&gt;&lt;wsp:rsid wsp:val=&quot;008F3468&quot;/&gt;&lt;wsp:rsid wsp:val=&quot;008F4DBD&quot;/&gt;&lt;wsp:rsid wsp:val=&quot;008F5187&quot;/&gt;&lt;wsp:rsid wsp:val=&quot;008F5B66&quot;/&gt;&lt;wsp:rsid wsp:val=&quot;008F5BEA&quot;/&gt;&lt;wsp:rsid wsp:val=&quot;008F6063&quot;/&gt;&lt;wsp:rsid wsp:val=&quot;008F60D8&quot;/&gt;&lt;wsp:rsid wsp:val=&quot;008F6776&quot;/&gt;&lt;wsp:rsid wsp:val=&quot;008F7297&quot;/&gt;&lt;wsp:rsid wsp:val=&quot;008F7AE6&quot;/&gt;&lt;wsp:rsid wsp:val=&quot;00900194&quot;/&gt;&lt;wsp:rsid wsp:val=&quot;00900E67&quot;/&gt;&lt;wsp:rsid wsp:val=&quot;009012B1&quot;/&gt;&lt;wsp:rsid wsp:val=&quot;00901431&quot;/&gt;&lt;wsp:rsid wsp:val=&quot;00901478&quot;/&gt;&lt;wsp:rsid wsp:val=&quot;0090160F&quot;/&gt;&lt;wsp:rsid wsp:val=&quot;00901C82&quot;/&gt;&lt;wsp:rsid wsp:val=&quot;009022B1&quot;/&gt;&lt;wsp:rsid wsp:val=&quot;00902727&quot;/&gt;&lt;wsp:rsid wsp:val=&quot;0090312B&quot;/&gt;&lt;wsp:rsid wsp:val=&quot;00903B00&quot;/&gt;&lt;wsp:rsid wsp:val=&quot;00904681&quot;/&gt;&lt;wsp:rsid wsp:val=&quot;009054AF&quot;/&gt;&lt;wsp:rsid wsp:val=&quot;00906A48&quot;/&gt;&lt;wsp:rsid wsp:val=&quot;00906F86&quot;/&gt;&lt;wsp:rsid wsp:val=&quot;00907197&quot;/&gt;&lt;wsp:rsid wsp:val=&quot;0090751C&quot;/&gt;&lt;wsp:rsid wsp:val=&quot;00907779&quot;/&gt;&lt;wsp:rsid wsp:val=&quot;009100D0&quot;/&gt;&lt;wsp:rsid wsp:val=&quot;00910454&quot;/&gt;&lt;wsp:rsid wsp:val=&quot;009105BA&quot;/&gt;&lt;wsp:rsid wsp:val=&quot;009116C3&quot;/&gt;&lt;wsp:rsid wsp:val=&quot;009117A6&quot;/&gt;&lt;wsp:rsid wsp:val=&quot;009119AD&quot;/&gt;&lt;wsp:rsid wsp:val=&quot;00911B6E&quot;/&gt;&lt;wsp:rsid wsp:val=&quot;00911FE6&quot;/&gt;&lt;wsp:rsid wsp:val=&quot;00913200&quot;/&gt;&lt;wsp:rsid wsp:val=&quot;00913428&quot;/&gt;&lt;wsp:rsid wsp:val=&quot;009140B0&quot;/&gt;&lt;wsp:rsid wsp:val=&quot;00914938&quot;/&gt;&lt;wsp:rsid wsp:val=&quot;00915392&quot;/&gt;&lt;wsp:rsid wsp:val=&quot;0091639C&quot;/&gt;&lt;wsp:rsid wsp:val=&quot;009171D7&quot;/&gt;&lt;wsp:rsid wsp:val=&quot;0091736D&quot;/&gt;&lt;wsp:rsid wsp:val=&quot;00917C1D&quot;/&gt;&lt;wsp:rsid wsp:val=&quot;009202AA&quot;/&gt;&lt;wsp:rsid wsp:val=&quot;009208A7&quot;/&gt;&lt;wsp:rsid wsp:val=&quot;009209CB&quot;/&gt;&lt;wsp:rsid wsp:val=&quot;00920F86&quot;/&gt;&lt;wsp:rsid wsp:val=&quot;0092113A&quot;/&gt;&lt;wsp:rsid wsp:val=&quot;00922013&quot;/&gt;&lt;wsp:rsid wsp:val=&quot;00922BC1&quot;/&gt;&lt;wsp:rsid wsp:val=&quot;00922EC1&quot;/&gt;&lt;wsp:rsid wsp:val=&quot;0092323D&quot;/&gt;&lt;wsp:rsid wsp:val=&quot;00923392&quot;/&gt;&lt;wsp:rsid wsp:val=&quot;0092475A&quot;/&gt;&lt;wsp:rsid wsp:val=&quot;00924E58&quot;/&gt;&lt;wsp:rsid wsp:val=&quot;00925C31&quot;/&gt;&lt;wsp:rsid wsp:val=&quot;00925F68&quot;/&gt;&lt;wsp:rsid wsp:val=&quot;009266D3&quot;/&gt;&lt;wsp:rsid wsp:val=&quot;00926942&quot;/&gt;&lt;wsp:rsid wsp:val=&quot;00926EDD&quot;/&gt;&lt;wsp:rsid wsp:val=&quot;00927567&quot;/&gt;&lt;wsp:rsid wsp:val=&quot;009276E7&quot;/&gt;&lt;wsp:rsid wsp:val=&quot;00927D1E&quot;/&gt;&lt;wsp:rsid wsp:val=&quot;009300B4&quot;/&gt;&lt;wsp:rsid wsp:val=&quot;0093037A&quot;/&gt;&lt;wsp:rsid wsp:val=&quot;009305D5&quot;/&gt;&lt;wsp:rsid wsp:val=&quot;009306C5&quot;/&gt;&lt;wsp:rsid wsp:val=&quot;009307F8&quot;/&gt;&lt;wsp:rsid wsp:val=&quot;00931173&quot;/&gt;&lt;wsp:rsid wsp:val=&quot;00931476&quot;/&gt;&lt;wsp:rsid wsp:val=&quot;00931F1E&quot;/&gt;&lt;wsp:rsid wsp:val=&quot;00932028&quot;/&gt;&lt;wsp:rsid wsp:val=&quot;0093261A&quot;/&gt;&lt;wsp:rsid wsp:val=&quot;0093291F&quot;/&gt;&lt;wsp:rsid wsp:val=&quot;00932E95&quot;/&gt;&lt;wsp:rsid wsp:val=&quot;00933326&quot;/&gt;&lt;wsp:rsid wsp:val=&quot;009335ED&quot;/&gt;&lt;wsp:rsid wsp:val=&quot;0093400B&quot;/&gt;&lt;wsp:rsid wsp:val=&quot;00934AE7&quot;/&gt;&lt;wsp:rsid wsp:val=&quot;00935025&quot;/&gt;&lt;wsp:rsid wsp:val=&quot;00935600&quot;/&gt;&lt;wsp:rsid wsp:val=&quot;00935629&quot;/&gt;&lt;wsp:rsid wsp:val=&quot;00936436&quot;/&gt;&lt;wsp:rsid wsp:val=&quot;0093691B&quot;/&gt;&lt;wsp:rsid wsp:val=&quot;00937344&quot;/&gt;&lt;wsp:rsid wsp:val=&quot;00937F70&quot;/&gt;&lt;wsp:rsid wsp:val=&quot;0094006B&quot;/&gt;&lt;wsp:rsid wsp:val=&quot;00940243&quot;/&gt;&lt;wsp:rsid wsp:val=&quot;0094027F&quot;/&gt;&lt;wsp:rsid wsp:val=&quot;009412DF&quot;/&gt;&lt;wsp:rsid wsp:val=&quot;0094154D&quot;/&gt;&lt;wsp:rsid wsp:val=&quot;009424C9&quot;/&gt;&lt;wsp:rsid wsp:val=&quot;009425B1&quot;/&gt;&lt;wsp:rsid wsp:val=&quot;009430B3&quot;/&gt;&lt;wsp:rsid wsp:val=&quot;009434DE&quot;/&gt;&lt;wsp:rsid wsp:val=&quot;00943BF8&quot;/&gt;&lt;wsp:rsid wsp:val=&quot;009441F3&quot;/&gt;&lt;wsp:rsid wsp:val=&quot;00944C50&quot;/&gt;&lt;wsp:rsid wsp:val=&quot;009450F7&quot;/&gt;&lt;wsp:rsid wsp:val=&quot;00945C95&quot;/&gt;&lt;wsp:rsid wsp:val=&quot;00945E43&quot;/&gt;&lt;wsp:rsid wsp:val=&quot;009463F6&quot;/&gt;&lt;wsp:rsid wsp:val=&quot;00946431&quot;/&gt;&lt;wsp:rsid wsp:val=&quot;009466C6&quot;/&gt;&lt;wsp:rsid wsp:val=&quot;00946E71&quot;/&gt;&lt;wsp:rsid wsp:val=&quot;00947058&quot;/&gt;&lt;wsp:rsid wsp:val=&quot;009472F4&quot;/&gt;&lt;wsp:rsid wsp:val=&quot;009479F8&quot;/&gt;&lt;wsp:rsid wsp:val=&quot;00947DDF&quot;/&gt;&lt;wsp:rsid wsp:val=&quot;00950015&quot;/&gt;&lt;wsp:rsid wsp:val=&quot;0095006E&quot;/&gt;&lt;wsp:rsid wsp:val=&quot;00950AC4&quot;/&gt;&lt;wsp:rsid wsp:val=&quot;0095155F&quot;/&gt;&lt;wsp:rsid wsp:val=&quot;009517F7&quot;/&gt;&lt;wsp:rsid wsp:val=&quot;00951B04&quot;/&gt;&lt;wsp:rsid wsp:val=&quot;00951D81&quot;/&gt;&lt;wsp:rsid wsp:val=&quot;00951F82&quot;/&gt;&lt;wsp:rsid wsp:val=&quot;00952690&quot;/&gt;&lt;wsp:rsid wsp:val=&quot;0095359D&quot;/&gt;&lt;wsp:rsid wsp:val=&quot;00953C18&quot;/&gt;&lt;wsp:rsid wsp:val=&quot;00954429&quot;/&gt;&lt;wsp:rsid wsp:val=&quot;0095459B&quot;/&gt;&lt;wsp:rsid wsp:val=&quot;0095460C&quot;/&gt;&lt;wsp:rsid wsp:val=&quot;00954D22&quot;/&gt;&lt;wsp:rsid wsp:val=&quot;009553E8&quot;/&gt;&lt;wsp:rsid wsp:val=&quot;009557B4&quot;/&gt;&lt;wsp:rsid wsp:val=&quot;0095586D&quot;/&gt;&lt;wsp:rsid wsp:val=&quot;00955ACA&quot;/&gt;&lt;wsp:rsid wsp:val=&quot;00955C3D&quot;/&gt;&lt;wsp:rsid wsp:val=&quot;00955C98&quot;/&gt;&lt;wsp:rsid wsp:val=&quot;009563CE&quot;/&gt;&lt;wsp:rsid wsp:val=&quot;00956736&quot;/&gt;&lt;wsp:rsid wsp:val=&quot;00960275&quot;/&gt;&lt;wsp:rsid wsp:val=&quot;00960883&quot;/&gt;&lt;wsp:rsid wsp:val=&quot;00961655&quot;/&gt;&lt;wsp:rsid wsp:val=&quot;00961B1F&quot;/&gt;&lt;wsp:rsid wsp:val=&quot;009620DF&quot;/&gt;&lt;wsp:rsid wsp:val=&quot;00962631&quot;/&gt;&lt;wsp:rsid wsp:val=&quot;00962710&quot;/&gt;&lt;wsp:rsid wsp:val=&quot;00962857&quot;/&gt;&lt;wsp:rsid wsp:val=&quot;009629A6&quot;/&gt;&lt;wsp:rsid wsp:val=&quot;00962A28&quot;/&gt;&lt;wsp:rsid wsp:val=&quot;009632C9&quot;/&gt;&lt;wsp:rsid wsp:val=&quot;00963A60&quot;/&gt;&lt;wsp:rsid wsp:val=&quot;00963C85&quot;/&gt;&lt;wsp:rsid wsp:val=&quot;00963D64&quot;/&gt;&lt;wsp:rsid wsp:val=&quot;009656FA&quot;/&gt;&lt;wsp:rsid wsp:val=&quot;00966E01&quot;/&gt;&lt;wsp:rsid wsp:val=&quot;00967271&quot;/&gt;&lt;wsp:rsid wsp:val=&quot;0097016C&quot;/&gt;&lt;wsp:rsid wsp:val=&quot;009704D4&quot;/&gt;&lt;wsp:rsid wsp:val=&quot;00971029&quot;/&gt;&lt;wsp:rsid wsp:val=&quot;00971A24&quot;/&gt;&lt;wsp:rsid wsp:val=&quot;00971D06&quot;/&gt;&lt;wsp:rsid wsp:val=&quot;00971DBB&quot;/&gt;&lt;wsp:rsid wsp:val=&quot;009726DC&quot;/&gt;&lt;wsp:rsid wsp:val=&quot;00973743&quot;/&gt;&lt;wsp:rsid wsp:val=&quot;00973C34&quot;/&gt;&lt;wsp:rsid wsp:val=&quot;00974948&quot;/&gt;&lt;wsp:rsid wsp:val=&quot;00974E0F&quot;/&gt;&lt;wsp:rsid wsp:val=&quot;00975112&quot;/&gt;&lt;wsp:rsid wsp:val=&quot;009755B7&quot;/&gt;&lt;wsp:rsid wsp:val=&quot;00975D55&quot;/&gt;&lt;wsp:rsid wsp:val=&quot;00976022&quot;/&gt;&lt;wsp:rsid wsp:val=&quot;00976328&quot;/&gt;&lt;wsp:rsid wsp:val=&quot;009767C7&quot;/&gt;&lt;wsp:rsid wsp:val=&quot;0097680D&quot;/&gt;&lt;wsp:rsid wsp:val=&quot;00977AC3&quot;/&gt;&lt;wsp:rsid wsp:val=&quot;00977B34&quot;/&gt;&lt;wsp:rsid wsp:val=&quot;009803D6&quot;/&gt;&lt;wsp:rsid wsp:val=&quot;00980FCD&quot;/&gt;&lt;wsp:rsid wsp:val=&quot;009813EF&quot;/&gt;&lt;wsp:rsid wsp:val=&quot;00981F4D&quot;/&gt;&lt;wsp:rsid wsp:val=&quot;00982438&quot;/&gt;&lt;wsp:rsid wsp:val=&quot;009826FD&quot;/&gt;&lt;wsp:rsid wsp:val=&quot;0098368E&quot;/&gt;&lt;wsp:rsid wsp:val=&quot;00983990&quot;/&gt;&lt;wsp:rsid wsp:val=&quot;0098404C&quot;/&gt;&lt;wsp:rsid wsp:val=&quot;00984086&quot;/&gt;&lt;wsp:rsid wsp:val=&quot;00984453&quot;/&gt;&lt;wsp:rsid wsp:val=&quot;00984995&quot;/&gt;&lt;wsp:rsid wsp:val=&quot;00984A74&quot;/&gt;&lt;wsp:rsid wsp:val=&quot;00985283&quot;/&gt;&lt;wsp:rsid wsp:val=&quot;009866FE&quot;/&gt;&lt;wsp:rsid wsp:val=&quot;00986E53&quot;/&gt;&lt;wsp:rsid wsp:val=&quot;00987647&quot;/&gt;&lt;wsp:rsid wsp:val=&quot;00987F0A&quot;/&gt;&lt;wsp:rsid wsp:val=&quot;0099026A&quot;/&gt;&lt;wsp:rsid wsp:val=&quot;00990C4E&quot;/&gt;&lt;wsp:rsid wsp:val=&quot;009911BD&quot;/&gt;&lt;wsp:rsid wsp:val=&quot;0099130D&quot;/&gt;&lt;wsp:rsid wsp:val=&quot;00991B48&quot;/&gt;&lt;wsp:rsid wsp:val=&quot;00991CD3&quot;/&gt;&lt;wsp:rsid wsp:val=&quot;00991ECC&quot;/&gt;&lt;wsp:rsid wsp:val=&quot;00992003&quot;/&gt;&lt;wsp:rsid wsp:val=&quot;009927D9&quot;/&gt;&lt;wsp:rsid wsp:val=&quot;00992D34&quot;/&gt;&lt;wsp:rsid wsp:val=&quot;00992ED0&quot;/&gt;&lt;wsp:rsid wsp:val=&quot;00993323&quot;/&gt;&lt;wsp:rsid wsp:val=&quot;00993583&quot;/&gt;&lt;wsp:rsid wsp:val=&quot;00993D67&quot;/&gt;&lt;wsp:rsid wsp:val=&quot;00993E74&quot;/&gt;&lt;wsp:rsid wsp:val=&quot;0099431E&quot;/&gt;&lt;wsp:rsid wsp:val=&quot;00994338&quot;/&gt;&lt;wsp:rsid wsp:val=&quot;00994F0C&quot;/&gt;&lt;wsp:rsid wsp:val=&quot;009958C9&quot;/&gt;&lt;wsp:rsid wsp:val=&quot;00995992&quot;/&gt;&lt;wsp:rsid wsp:val=&quot;009962D0&quot;/&gt;&lt;wsp:rsid wsp:val=&quot;00996630&quot;/&gt;&lt;wsp:rsid wsp:val=&quot;009966E1&quot;/&gt;&lt;wsp:rsid wsp:val=&quot;0099681A&quot;/&gt;&lt;wsp:rsid wsp:val=&quot;00997960&quot;/&gt;&lt;wsp:rsid wsp:val=&quot;009A0082&quot;/&gt;&lt;wsp:rsid wsp:val=&quot;009A03E5&quot;/&gt;&lt;wsp:rsid wsp:val=&quot;009A0C31&quot;/&gt;&lt;wsp:rsid wsp:val=&quot;009A0F3B&quot;/&gt;&lt;wsp:rsid wsp:val=&quot;009A1BA5&quot;/&gt;&lt;wsp:rsid wsp:val=&quot;009A1BB4&quot;/&gt;&lt;wsp:rsid wsp:val=&quot;009A2628&quot;/&gt;&lt;wsp:rsid wsp:val=&quot;009A299C&quot;/&gt;&lt;wsp:rsid wsp:val=&quot;009A3024&quot;/&gt;&lt;wsp:rsid wsp:val=&quot;009A3200&quot;/&gt;&lt;wsp:rsid wsp:val=&quot;009A32DA&quot;/&gt;&lt;wsp:rsid wsp:val=&quot;009A3458&quot;/&gt;&lt;wsp:rsid wsp:val=&quot;009A524E&quot;/&gt;&lt;wsp:rsid wsp:val=&quot;009A5A6D&quot;/&gt;&lt;wsp:rsid wsp:val=&quot;009A651B&quot;/&gt;&lt;wsp:rsid wsp:val=&quot;009A695E&quot;/&gt;&lt;wsp:rsid wsp:val=&quot;009A6BB8&quot;/&gt;&lt;wsp:rsid wsp:val=&quot;009A6FC3&quot;/&gt;&lt;wsp:rsid wsp:val=&quot;009A7881&quot;/&gt;&lt;wsp:rsid wsp:val=&quot;009A78FE&quot;/&gt;&lt;wsp:rsid wsp:val=&quot;009A7E1E&quot;/&gt;&lt;wsp:rsid wsp:val=&quot;009B0587&quot;/&gt;&lt;wsp:rsid wsp:val=&quot;009B0897&quot;/&gt;&lt;wsp:rsid wsp:val=&quot;009B0F5D&quot;/&gt;&lt;wsp:rsid wsp:val=&quot;009B1539&quot;/&gt;&lt;wsp:rsid wsp:val=&quot;009B246C&quot;/&gt;&lt;wsp:rsid wsp:val=&quot;009B2B7C&quot;/&gt;&lt;wsp:rsid wsp:val=&quot;009B39D1&quot;/&gt;&lt;wsp:rsid wsp:val=&quot;009B3C3A&quot;/&gt;&lt;wsp:rsid wsp:val=&quot;009B4009&quot;/&gt;&lt;wsp:rsid wsp:val=&quot;009B4131&quot;/&gt;&lt;wsp:rsid wsp:val=&quot;009B4490&quot;/&gt;&lt;wsp:rsid wsp:val=&quot;009B540A&quot;/&gt;&lt;wsp:rsid wsp:val=&quot;009B54B3&quot;/&gt;&lt;wsp:rsid wsp:val=&quot;009B57E5&quot;/&gt;&lt;wsp:rsid wsp:val=&quot;009B5D72&quot;/&gt;&lt;wsp:rsid wsp:val=&quot;009B685E&quot;/&gt;&lt;wsp:rsid wsp:val=&quot;009B71AD&quot;/&gt;&lt;wsp:rsid wsp:val=&quot;009B75D7&quot;/&gt;&lt;wsp:rsid wsp:val=&quot;009B76A4&quot;/&gt;&lt;wsp:rsid wsp:val=&quot;009B7BD9&quot;/&gt;&lt;wsp:rsid wsp:val=&quot;009B7BF8&quot;/&gt;&lt;wsp:rsid wsp:val=&quot;009B7FAE&quot;/&gt;&lt;wsp:rsid wsp:val=&quot;009C175F&quot;/&gt;&lt;wsp:rsid wsp:val=&quot;009C218B&quot;/&gt;&lt;wsp:rsid wsp:val=&quot;009C2483&quot;/&gt;&lt;wsp:rsid wsp:val=&quot;009C2992&quot;/&gt;&lt;wsp:rsid wsp:val=&quot;009C2A32&quot;/&gt;&lt;wsp:rsid wsp:val=&quot;009C2FDF&quot;/&gt;&lt;wsp:rsid wsp:val=&quot;009C318D&quot;/&gt;&lt;wsp:rsid wsp:val=&quot;009C3345&quot;/&gt;&lt;wsp:rsid wsp:val=&quot;009C3BDB&quot;/&gt;&lt;wsp:rsid wsp:val=&quot;009C5DE5&quot;/&gt;&lt;wsp:rsid wsp:val=&quot;009C61A4&quot;/&gt;&lt;wsp:rsid wsp:val=&quot;009C620D&quot;/&gt;&lt;wsp:rsid wsp:val=&quot;009C636B&quot;/&gt;&lt;wsp:rsid wsp:val=&quot;009C65F7&quot;/&gt;&lt;wsp:rsid wsp:val=&quot;009C6AD8&quot;/&gt;&lt;wsp:rsid wsp:val=&quot;009C7273&quot;/&gt;&lt;wsp:rsid wsp:val=&quot;009C7514&quot;/&gt;&lt;wsp:rsid wsp:val=&quot;009C798A&quot;/&gt;&lt;wsp:rsid wsp:val=&quot;009C79AF&quot;/&gt;&lt;wsp:rsid wsp:val=&quot;009C7DD5&quot;/&gt;&lt;wsp:rsid wsp:val=&quot;009D2FFA&quot;/&gt;&lt;wsp:rsid wsp:val=&quot;009D3076&quot;/&gt;&lt;wsp:rsid wsp:val=&quot;009D3708&quot;/&gt;&lt;wsp:rsid wsp:val=&quot;009D4117&quot;/&gt;&lt;wsp:rsid wsp:val=&quot;009D4369&quot;/&gt;&lt;wsp:rsid wsp:val=&quot;009D4678&quot;/&gt;&lt;wsp:rsid wsp:val=&quot;009D4D3B&quot;/&gt;&lt;wsp:rsid wsp:val=&quot;009D54C7&quot;/&gt;&lt;wsp:rsid wsp:val=&quot;009D5552&quot;/&gt;&lt;wsp:rsid wsp:val=&quot;009D5628&quot;/&gt;&lt;wsp:rsid wsp:val=&quot;009D56E9&quot;/&gt;&lt;wsp:rsid wsp:val=&quot;009D58FB&quot;/&gt;&lt;wsp:rsid wsp:val=&quot;009D5AED&quot;/&gt;&lt;wsp:rsid wsp:val=&quot;009D63DC&quot;/&gt;&lt;wsp:rsid wsp:val=&quot;009D6BBC&quot;/&gt;&lt;wsp:rsid wsp:val=&quot;009D76C9&quot;/&gt;&lt;wsp:rsid wsp:val=&quot;009D783B&quot;/&gt;&lt;wsp:rsid wsp:val=&quot;009D7C9F&quot;/&gt;&lt;wsp:rsid wsp:val=&quot;009D7EC7&quot;/&gt;&lt;wsp:rsid wsp:val=&quot;009E05F6&quot;/&gt;&lt;wsp:rsid wsp:val=&quot;009E088F&quot;/&gt;&lt;wsp:rsid wsp:val=&quot;009E0BD2&quot;/&gt;&lt;wsp:rsid wsp:val=&quot;009E13EF&quot;/&gt;&lt;wsp:rsid wsp:val=&quot;009E15C9&quot;/&gt;&lt;wsp:rsid wsp:val=&quot;009E18DB&quot;/&gt;&lt;wsp:rsid wsp:val=&quot;009E227D&quot;/&gt;&lt;wsp:rsid wsp:val=&quot;009E240D&quot;/&gt;&lt;wsp:rsid wsp:val=&quot;009E242B&quot;/&gt;&lt;wsp:rsid wsp:val=&quot;009E2741&quot;/&gt;&lt;wsp:rsid wsp:val=&quot;009E283A&quot;/&gt;&lt;wsp:rsid wsp:val=&quot;009E286E&quot;/&gt;&lt;wsp:rsid wsp:val=&quot;009E2E83&quot;/&gt;&lt;wsp:rsid wsp:val=&quot;009E3881&quot;/&gt;&lt;wsp:rsid wsp:val=&quot;009E4609&quot;/&gt;&lt;wsp:rsid wsp:val=&quot;009E4846&quot;/&gt;&lt;wsp:rsid wsp:val=&quot;009E5019&quot;/&gt;&lt;wsp:rsid wsp:val=&quot;009E5A93&quot;/&gt;&lt;wsp:rsid wsp:val=&quot;009E5DEF&quot;/&gt;&lt;wsp:rsid wsp:val=&quot;009E5E29&quot;/&gt;&lt;wsp:rsid wsp:val=&quot;009E6369&quot;/&gt;&lt;wsp:rsid wsp:val=&quot;009E6687&quot;/&gt;&lt;wsp:rsid wsp:val=&quot;009E682A&quot;/&gt;&lt;wsp:rsid wsp:val=&quot;009E6AF1&quot;/&gt;&lt;wsp:rsid wsp:val=&quot;009E71C3&quot;/&gt;&lt;wsp:rsid wsp:val=&quot;009E744B&quot;/&gt;&lt;wsp:rsid wsp:val=&quot;009F115D&quot;/&gt;&lt;wsp:rsid wsp:val=&quot;009F137C&quot;/&gt;&lt;wsp:rsid wsp:val=&quot;009F18F2&quot;/&gt;&lt;wsp:rsid wsp:val=&quot;009F1A26&quot;/&gt;&lt;wsp:rsid wsp:val=&quot;009F317C&quot;/&gt;&lt;wsp:rsid wsp:val=&quot;009F32FB&quot;/&gt;&lt;wsp:rsid wsp:val=&quot;009F3326&quot;/&gt;&lt;wsp:rsid wsp:val=&quot;009F38DB&quot;/&gt;&lt;wsp:rsid wsp:val=&quot;009F4444&quot;/&gt;&lt;wsp:rsid wsp:val=&quot;009F44FE&quot;/&gt;&lt;wsp:rsid wsp:val=&quot;009F4A1B&quot;/&gt;&lt;wsp:rsid wsp:val=&quot;009F4AE9&quot;/&gt;&lt;wsp:rsid wsp:val=&quot;009F5667&quot;/&gt;&lt;wsp:rsid wsp:val=&quot;009F5B4D&quot;/&gt;&lt;wsp:rsid wsp:val=&quot;009F5D44&quot;/&gt;&lt;wsp:rsid wsp:val=&quot;009F5FBF&quot;/&gt;&lt;wsp:rsid wsp:val=&quot;009F62D5&quot;/&gt;&lt;wsp:rsid wsp:val=&quot;009F6489&quot;/&gt;&lt;wsp:rsid wsp:val=&quot;009F6A94&quot;/&gt;&lt;wsp:rsid wsp:val=&quot;00A00B64&quot;/&gt;&lt;wsp:rsid wsp:val=&quot;00A00C0A&quot;/&gt;&lt;wsp:rsid wsp:val=&quot;00A01755&quot;/&gt;&lt;wsp:rsid wsp:val=&quot;00A01F3D&quot;/&gt;&lt;wsp:rsid wsp:val=&quot;00A023CB&quot;/&gt;&lt;wsp:rsid wsp:val=&quot;00A024F9&quot;/&gt;&lt;wsp:rsid wsp:val=&quot;00A03B33&quot;/&gt;&lt;wsp:rsid wsp:val=&quot;00A0415D&quot;/&gt;&lt;wsp:rsid wsp:val=&quot;00A04F1B&quot;/&gt;&lt;wsp:rsid wsp:val=&quot;00A0501B&quot;/&gt;&lt;wsp:rsid wsp:val=&quot;00A05825&quot;/&gt;&lt;wsp:rsid wsp:val=&quot;00A06560&quot;/&gt;&lt;wsp:rsid wsp:val=&quot;00A06AE1&quot;/&gt;&lt;wsp:rsid wsp:val=&quot;00A06F3C&quot;/&gt;&lt;wsp:rsid wsp:val=&quot;00A0720F&quot;/&gt;&lt;wsp:rsid wsp:val=&quot;00A1013B&quot;/&gt;&lt;wsp:rsid wsp:val=&quot;00A1038D&quot;/&gt;&lt;wsp:rsid wsp:val=&quot;00A105DC&quot;/&gt;&lt;wsp:rsid wsp:val=&quot;00A1099F&quot;/&gt;&lt;wsp:rsid wsp:val=&quot;00A10F81&quot;/&gt;&lt;wsp:rsid wsp:val=&quot;00A11537&quot;/&gt;&lt;wsp:rsid wsp:val=&quot;00A1159E&quot;/&gt;&lt;wsp:rsid wsp:val=&quot;00A118BD&quot;/&gt;&lt;wsp:rsid wsp:val=&quot;00A12621&quot;/&gt;&lt;wsp:rsid wsp:val=&quot;00A12C2A&quot;/&gt;&lt;wsp:rsid wsp:val=&quot;00A13165&quot;/&gt;&lt;wsp:rsid wsp:val=&quot;00A13193&quot;/&gt;&lt;wsp:rsid wsp:val=&quot;00A14058&quot;/&gt;&lt;wsp:rsid wsp:val=&quot;00A14274&quot;/&gt;&lt;wsp:rsid wsp:val=&quot;00A1453E&quot;/&gt;&lt;wsp:rsid wsp:val=&quot;00A147FE&quot;/&gt;&lt;wsp:rsid wsp:val=&quot;00A14947&quot;/&gt;&lt;wsp:rsid wsp:val=&quot;00A14F9B&quot;/&gt;&lt;wsp:rsid wsp:val=&quot;00A150EB&quot;/&gt;&lt;wsp:rsid wsp:val=&quot;00A15160&quot;/&gt;&lt;wsp:rsid wsp:val=&quot;00A1538E&quot;/&gt;&lt;wsp:rsid wsp:val=&quot;00A15902&quot;/&gt;&lt;wsp:rsid wsp:val=&quot;00A1590D&quot;/&gt;&lt;wsp:rsid wsp:val=&quot;00A15996&quot;/&gt;&lt;wsp:rsid wsp:val=&quot;00A16421&quot;/&gt;&lt;wsp:rsid wsp:val=&quot;00A1645A&quot;/&gt;&lt;wsp:rsid wsp:val=&quot;00A1653E&quot;/&gt;&lt;wsp:rsid wsp:val=&quot;00A16567&quot;/&gt;&lt;wsp:rsid wsp:val=&quot;00A1673D&quot;/&gt;&lt;wsp:rsid wsp:val=&quot;00A16DD5&quot;/&gt;&lt;wsp:rsid wsp:val=&quot;00A16E65&quot;/&gt;&lt;wsp:rsid wsp:val=&quot;00A17513&quot;/&gt;&lt;wsp:rsid wsp:val=&quot;00A17563&quot;/&gt;&lt;wsp:rsid wsp:val=&quot;00A17846&quot;/&gt;&lt;wsp:rsid wsp:val=&quot;00A2001A&quot;/&gt;&lt;wsp:rsid wsp:val=&quot;00A201AC&quot;/&gt;&lt;wsp:rsid wsp:val=&quot;00A2037D&quot;/&gt;&lt;wsp:rsid wsp:val=&quot;00A219DE&quot;/&gt;&lt;wsp:rsid wsp:val=&quot;00A21D05&quot;/&gt;&lt;wsp:rsid wsp:val=&quot;00A21EDB&quot;/&gt;&lt;wsp:rsid wsp:val=&quot;00A227A0&quot;/&gt;&lt;wsp:rsid wsp:val=&quot;00A228A6&quot;/&gt;&lt;wsp:rsid wsp:val=&quot;00A22F83&quot;/&gt;&lt;wsp:rsid wsp:val=&quot;00A23B34&quot;/&gt;&lt;wsp:rsid wsp:val=&quot;00A23CB6&quot;/&gt;&lt;wsp:rsid wsp:val=&quot;00A24204&quot;/&gt;&lt;wsp:rsid wsp:val=&quot;00A24711&quot;/&gt;&lt;wsp:rsid wsp:val=&quot;00A24C3A&quot;/&gt;&lt;wsp:rsid wsp:val=&quot;00A2574E&quot;/&gt;&lt;wsp:rsid wsp:val=&quot;00A25A3B&quot;/&gt;&lt;wsp:rsid wsp:val=&quot;00A26607&quot;/&gt;&lt;wsp:rsid wsp:val=&quot;00A26CFF&quot;/&gt;&lt;wsp:rsid wsp:val=&quot;00A27459&quot;/&gt;&lt;wsp:rsid wsp:val=&quot;00A27746&quot;/&gt;&lt;wsp:rsid wsp:val=&quot;00A27990&quot;/&gt;&lt;wsp:rsid wsp:val=&quot;00A2799A&quot;/&gt;&lt;wsp:rsid wsp:val=&quot;00A300F8&quot;/&gt;&lt;wsp:rsid wsp:val=&quot;00A301E1&quot;/&gt;&lt;wsp:rsid wsp:val=&quot;00A3026D&quot;/&gt;&lt;wsp:rsid wsp:val=&quot;00A31802&quot;/&gt;&lt;wsp:rsid wsp:val=&quot;00A31998&quot;/&gt;&lt;wsp:rsid wsp:val=&quot;00A3209E&quot;/&gt;&lt;wsp:rsid wsp:val=&quot;00A32A83&quot;/&gt;&lt;wsp:rsid wsp:val=&quot;00A3306F&quot;/&gt;&lt;wsp:rsid wsp:val=&quot;00A3352C&quot;/&gt;&lt;wsp:rsid wsp:val=&quot;00A33D96&quot;/&gt;&lt;wsp:rsid wsp:val=&quot;00A34158&quot;/&gt;&lt;wsp:rsid wsp:val=&quot;00A34307&quot;/&gt;&lt;wsp:rsid wsp:val=&quot;00A349D2&quot;/&gt;&lt;wsp:rsid wsp:val=&quot;00A34F06&quot;/&gt;&lt;wsp:rsid wsp:val=&quot;00A350BA&quot;/&gt;&lt;wsp:rsid wsp:val=&quot;00A363FC&quot;/&gt;&lt;wsp:rsid wsp:val=&quot;00A368DB&quot;/&gt;&lt;wsp:rsid wsp:val=&quot;00A36A63&quot;/&gt;&lt;wsp:rsid wsp:val=&quot;00A36B97&quot;/&gt;&lt;wsp:rsid wsp:val=&quot;00A36EC8&quot;/&gt;&lt;wsp:rsid wsp:val=&quot;00A36F95&quot;/&gt;&lt;wsp:rsid wsp:val=&quot;00A37760&quot;/&gt;&lt;wsp:rsid wsp:val=&quot;00A37F84&quot;/&gt;&lt;wsp:rsid wsp:val=&quot;00A4007C&quot;/&gt;&lt;wsp:rsid wsp:val=&quot;00A421EF&quot;/&gt;&lt;wsp:rsid wsp:val=&quot;00A423AA&quot;/&gt;&lt;wsp:rsid wsp:val=&quot;00A42696&quot;/&gt;&lt;wsp:rsid wsp:val=&quot;00A43048&quot;/&gt;&lt;wsp:rsid wsp:val=&quot;00A43183&quot;/&gt;&lt;wsp:rsid wsp:val=&quot;00A43340&quot;/&gt;&lt;wsp:rsid wsp:val=&quot;00A4356D&quot;/&gt;&lt;wsp:rsid wsp:val=&quot;00A44685&quot;/&gt;&lt;wsp:rsid wsp:val=&quot;00A45305&quot;/&gt;&lt;wsp:rsid wsp:val=&quot;00A45EF2&quot;/&gt;&lt;wsp:rsid wsp:val=&quot;00A4604C&quot;/&gt;&lt;wsp:rsid wsp:val=&quot;00A4622C&quot;/&gt;&lt;wsp:rsid wsp:val=&quot;00A46803&quot;/&gt;&lt;wsp:rsid wsp:val=&quot;00A46C10&quot;/&gt;&lt;wsp:rsid wsp:val=&quot;00A4795D&quot;/&gt;&lt;wsp:rsid wsp:val=&quot;00A479CB&quot;/&gt;&lt;wsp:rsid wsp:val=&quot;00A509B3&quot;/&gt;&lt;wsp:rsid wsp:val=&quot;00A51037&quot;/&gt;&lt;wsp:rsid wsp:val=&quot;00A515AE&quot;/&gt;&lt;wsp:rsid wsp:val=&quot;00A51C55&quot;/&gt;&lt;wsp:rsid wsp:val=&quot;00A51CEC&quot;/&gt;&lt;wsp:rsid wsp:val=&quot;00A523D7&quot;/&gt;&lt;wsp:rsid wsp:val=&quot;00A52A37&quot;/&gt;&lt;wsp:rsid wsp:val=&quot;00A5327B&quot;/&gt;&lt;wsp:rsid wsp:val=&quot;00A536F1&quot;/&gt;&lt;wsp:rsid wsp:val=&quot;00A53AFD&quot;/&gt;&lt;wsp:rsid wsp:val=&quot;00A53EC6&quot;/&gt;&lt;wsp:rsid wsp:val=&quot;00A53F31&quot;/&gt;&lt;wsp:rsid wsp:val=&quot;00A5505C&quot;/&gt;&lt;wsp:rsid wsp:val=&quot;00A55168&quot;/&gt;&lt;wsp:rsid wsp:val=&quot;00A55571&quot;/&gt;&lt;wsp:rsid wsp:val=&quot;00A555E5&quot;/&gt;&lt;wsp:rsid wsp:val=&quot;00A55C0F&quot;/&gt;&lt;wsp:rsid wsp:val=&quot;00A55FAE&quot;/&gt;&lt;wsp:rsid wsp:val=&quot;00A56207&quot;/&gt;&lt;wsp:rsid wsp:val=&quot;00A5669F&quot;/&gt;&lt;wsp:rsid wsp:val=&quot;00A5692D&quot;/&gt;&lt;wsp:rsid wsp:val=&quot;00A56C88&quot;/&gt;&lt;wsp:rsid wsp:val=&quot;00A5705C&quot;/&gt;&lt;wsp:rsid wsp:val=&quot;00A57181&quot;/&gt;&lt;wsp:rsid wsp:val=&quot;00A57792&quot;/&gt;&lt;wsp:rsid wsp:val=&quot;00A577F4&quot;/&gt;&lt;wsp:rsid wsp:val=&quot;00A60031&quot;/&gt;&lt;wsp:rsid wsp:val=&quot;00A601A2&quot;/&gt;&lt;wsp:rsid wsp:val=&quot;00A601BE&quot;/&gt;&lt;wsp:rsid wsp:val=&quot;00A603EE&quot;/&gt;&lt;wsp:rsid wsp:val=&quot;00A608C4&quot;/&gt;&lt;wsp:rsid wsp:val=&quot;00A61562&quot;/&gt;&lt;wsp:rsid wsp:val=&quot;00A61F69&quot;/&gt;&lt;wsp:rsid wsp:val=&quot;00A622D5&quot;/&gt;&lt;wsp:rsid wsp:val=&quot;00A628C5&quot;/&gt;&lt;wsp:rsid wsp:val=&quot;00A648BC&quot;/&gt;&lt;wsp:rsid wsp:val=&quot;00A649D9&quot;/&gt;&lt;wsp:rsid wsp:val=&quot;00A64DA5&quot;/&gt;&lt;wsp:rsid wsp:val=&quot;00A651F5&quot;/&gt;&lt;wsp:rsid wsp:val=&quot;00A655BE&quot;/&gt;&lt;wsp:rsid wsp:val=&quot;00A6580A&quot;/&gt;&lt;wsp:rsid wsp:val=&quot;00A66198&quot;/&gt;&lt;wsp:rsid wsp:val=&quot;00A66320&quot;/&gt;&lt;wsp:rsid wsp:val=&quot;00A6643F&quot;/&gt;&lt;wsp:rsid wsp:val=&quot;00A66BA1&quot;/&gt;&lt;wsp:rsid wsp:val=&quot;00A67ADC&quot;/&gt;&lt;wsp:rsid wsp:val=&quot;00A67D42&quot;/&gt;&lt;wsp:rsid wsp:val=&quot;00A70BCD&quot;/&gt;&lt;wsp:rsid wsp:val=&quot;00A71863&quot;/&gt;&lt;wsp:rsid wsp:val=&quot;00A7238D&quot;/&gt;&lt;wsp:rsid wsp:val=&quot;00A72946&quot;/&gt;&lt;wsp:rsid wsp:val=&quot;00A7340D&quot;/&gt;&lt;wsp:rsid wsp:val=&quot;00A73449&quot;/&gt;&lt;wsp:rsid wsp:val=&quot;00A73876&quot;/&gt;&lt;wsp:rsid wsp:val=&quot;00A73DB0&quot;/&gt;&lt;wsp:rsid wsp:val=&quot;00A74864&quot;/&gt;&lt;wsp:rsid wsp:val=&quot;00A74E42&quot;/&gt;&lt;wsp:rsid wsp:val=&quot;00A754AC&quot;/&gt;&lt;wsp:rsid wsp:val=&quot;00A758E5&quot;/&gt;&lt;wsp:rsid wsp:val=&quot;00A75F40&quot;/&gt;&lt;wsp:rsid wsp:val=&quot;00A76D20&quot;/&gt;&lt;wsp:rsid wsp:val=&quot;00A770E4&quot;/&gt;&lt;wsp:rsid wsp:val=&quot;00A7722D&quot;/&gt;&lt;wsp:rsid wsp:val=&quot;00A7729C&quot;/&gt;&lt;wsp:rsid wsp:val=&quot;00A77431&quot;/&gt;&lt;wsp:rsid wsp:val=&quot;00A774DF&quot;/&gt;&lt;wsp:rsid wsp:val=&quot;00A7795B&quot;/&gt;&lt;wsp:rsid wsp:val=&quot;00A80058&quot;/&gt;&lt;wsp:rsid wsp:val=&quot;00A8019A&quot;/&gt;&lt;wsp:rsid wsp:val=&quot;00A8099B&quot;/&gt;&lt;wsp:rsid wsp:val=&quot;00A81C86&quot;/&gt;&lt;wsp:rsid wsp:val=&quot;00A82332&quot;/&gt;&lt;wsp:rsid wsp:val=&quot;00A82D87&quot;/&gt;&lt;wsp:rsid wsp:val=&quot;00A832A8&quot;/&gt;&lt;wsp:rsid wsp:val=&quot;00A83D47&quot;/&gt;&lt;wsp:rsid wsp:val=&quot;00A8450F&quot;/&gt;&lt;wsp:rsid wsp:val=&quot;00A84925&quot;/&gt;&lt;wsp:rsid wsp:val=&quot;00A85E94&quot;/&gt;&lt;wsp:rsid wsp:val=&quot;00A85EC5&quot;/&gt;&lt;wsp:rsid wsp:val=&quot;00A86803&quot;/&gt;&lt;wsp:rsid wsp:val=&quot;00A86A08&quot;/&gt;&lt;wsp:rsid wsp:val=&quot;00A87000&quot;/&gt;&lt;wsp:rsid wsp:val=&quot;00A8713F&quot;/&gt;&lt;wsp:rsid wsp:val=&quot;00A873A5&quot;/&gt;&lt;wsp:rsid wsp:val=&quot;00A87A58&quot;/&gt;&lt;wsp:rsid wsp:val=&quot;00A902D8&quot;/&gt;&lt;wsp:rsid wsp:val=&quot;00A90559&quot;/&gt;&lt;wsp:rsid wsp:val=&quot;00A90BA1&quot;/&gt;&lt;wsp:rsid wsp:val=&quot;00A90BFA&quot;/&gt;&lt;wsp:rsid wsp:val=&quot;00A90D86&quot;/&gt;&lt;wsp:rsid wsp:val=&quot;00A93075&quot;/&gt;&lt;wsp:rsid wsp:val=&quot;00A930E7&quot;/&gt;&lt;wsp:rsid wsp:val=&quot;00A9334F&quot;/&gt;&lt;wsp:rsid wsp:val=&quot;00A93A90&quot;/&gt;&lt;wsp:rsid wsp:val=&quot;00A93BFE&quot;/&gt;&lt;wsp:rsid wsp:val=&quot;00A94750&quot;/&gt;&lt;wsp:rsid wsp:val=&quot;00A94F9A&quot;/&gt;&lt;wsp:rsid wsp:val=&quot;00A955B9&quot;/&gt;&lt;wsp:rsid wsp:val=&quot;00A95DF9&quot;/&gt;&lt;wsp:rsid wsp:val=&quot;00A95E3D&quot;/&gt;&lt;wsp:rsid wsp:val=&quot;00A960DD&quot;/&gt;&lt;wsp:rsid wsp:val=&quot;00A969FB&quot;/&gt;&lt;wsp:rsid wsp:val=&quot;00A9758F&quot;/&gt;&lt;wsp:rsid wsp:val=&quot;00A978C5&quot;/&gt;&lt;wsp:rsid wsp:val=&quot;00A97A9A&quot;/&gt;&lt;wsp:rsid wsp:val=&quot;00AA0671&quot;/&gt;&lt;wsp:rsid wsp:val=&quot;00AA0AA2&quot;/&gt;&lt;wsp:rsid wsp:val=&quot;00AA0B6D&quot;/&gt;&lt;wsp:rsid wsp:val=&quot;00AA0DF9&quot;/&gt;&lt;wsp:rsid wsp:val=&quot;00AA10F8&quot;/&gt;&lt;wsp:rsid wsp:val=&quot;00AA2531&quot;/&gt;&lt;wsp:rsid wsp:val=&quot;00AA3014&quot;/&gt;&lt;wsp:rsid wsp:val=&quot;00AA3112&quot;/&gt;&lt;wsp:rsid wsp:val=&quot;00AA36F8&quot;/&gt;&lt;wsp:rsid wsp:val=&quot;00AA399D&quot;/&gt;&lt;wsp:rsid wsp:val=&quot;00AA4AEB&quot;/&gt;&lt;wsp:rsid wsp:val=&quot;00AA5087&quot;/&gt;&lt;wsp:rsid wsp:val=&quot;00AA575F&quot;/&gt;&lt;wsp:rsid wsp:val=&quot;00AA5A01&quot;/&gt;&lt;wsp:rsid wsp:val=&quot;00AA5BEE&quot;/&gt;&lt;wsp:rsid wsp:val=&quot;00AA5E95&quot;/&gt;&lt;wsp:rsid wsp:val=&quot;00AA5F02&quot;/&gt;&lt;wsp:rsid wsp:val=&quot;00AA62C2&quot;/&gt;&lt;wsp:rsid wsp:val=&quot;00AB186E&quot;/&gt;&lt;wsp:rsid wsp:val=&quot;00AB196C&quot;/&gt;&lt;wsp:rsid wsp:val=&quot;00AB1E09&quot;/&gt;&lt;wsp:rsid wsp:val=&quot;00AB2F9A&quot;/&gt;&lt;wsp:rsid wsp:val=&quot;00AB3A78&quot;/&gt;&lt;wsp:rsid wsp:val=&quot;00AB408B&quot;/&gt;&lt;wsp:rsid wsp:val=&quot;00AB4C09&quot;/&gt;&lt;wsp:rsid wsp:val=&quot;00AB4D90&quot;/&gt;&lt;wsp:rsid wsp:val=&quot;00AB5294&quot;/&gt;&lt;wsp:rsid wsp:val=&quot;00AB5330&quot;/&gt;&lt;wsp:rsid wsp:val=&quot;00AB5590&quot;/&gt;&lt;wsp:rsid wsp:val=&quot;00AB5EEF&quot;/&gt;&lt;wsp:rsid wsp:val=&quot;00AB6588&quot;/&gt;&lt;wsp:rsid wsp:val=&quot;00AB6818&quot;/&gt;&lt;wsp:rsid wsp:val=&quot;00AB6E7C&quot;/&gt;&lt;wsp:rsid wsp:val=&quot;00AB7073&quot;/&gt;&lt;wsp:rsid wsp:val=&quot;00AB7747&quot;/&gt;&lt;wsp:rsid wsp:val=&quot;00AC05B9&quot;/&gt;&lt;wsp:rsid wsp:val=&quot;00AC096F&quot;/&gt;&lt;wsp:rsid wsp:val=&quot;00AC0ED1&quot;/&gt;&lt;wsp:rsid wsp:val=&quot;00AC144C&quot;/&gt;&lt;wsp:rsid wsp:val=&quot;00AC14CE&quot;/&gt;&lt;wsp:rsid wsp:val=&quot;00AC161B&quot;/&gt;&lt;wsp:rsid wsp:val=&quot;00AC1CD5&quot;/&gt;&lt;wsp:rsid wsp:val=&quot;00AC206A&quot;/&gt;&lt;wsp:rsid wsp:val=&quot;00AC2237&quot;/&gt;&lt;wsp:rsid wsp:val=&quot;00AC2626&quot;/&gt;&lt;wsp:rsid wsp:val=&quot;00AC2A56&quot;/&gt;&lt;wsp:rsid wsp:val=&quot;00AC2A94&quot;/&gt;&lt;wsp:rsid wsp:val=&quot;00AC2EA1&quot;/&gt;&lt;wsp:rsid wsp:val=&quot;00AC32EB&quot;/&gt;&lt;wsp:rsid wsp:val=&quot;00AC37EA&quot;/&gt;&lt;wsp:rsid wsp:val=&quot;00AC3E1F&quot;/&gt;&lt;wsp:rsid wsp:val=&quot;00AC3EF5&quot;/&gt;&lt;wsp:rsid wsp:val=&quot;00AC442D&quot;/&gt;&lt;wsp:rsid wsp:val=&quot;00AC46E0&quot;/&gt;&lt;wsp:rsid wsp:val=&quot;00AC48A9&quot;/&gt;&lt;wsp:rsid wsp:val=&quot;00AC49F7&quot;/&gt;&lt;wsp:rsid wsp:val=&quot;00AC4DC6&quot;/&gt;&lt;wsp:rsid wsp:val=&quot;00AC4F18&quot;/&gt;&lt;wsp:rsid wsp:val=&quot;00AC50B8&quot;/&gt;&lt;wsp:rsid wsp:val=&quot;00AC5295&quot;/&gt;&lt;wsp:rsid wsp:val=&quot;00AC53E7&quot;/&gt;&lt;wsp:rsid wsp:val=&quot;00AC58F1&quot;/&gt;&lt;wsp:rsid wsp:val=&quot;00AC758D&quot;/&gt;&lt;wsp:rsid wsp:val=&quot;00AC78C8&quot;/&gt;&lt;wsp:rsid wsp:val=&quot;00AD0277&quot;/&gt;&lt;wsp:rsid wsp:val=&quot;00AD055E&quot;/&gt;&lt;wsp:rsid wsp:val=&quot;00AD0BDA&quot;/&gt;&lt;wsp:rsid wsp:val=&quot;00AD0E72&quot;/&gt;&lt;wsp:rsid wsp:val=&quot;00AD1002&quot;/&gt;&lt;wsp:rsid wsp:val=&quot;00AD13C8&quot;/&gt;&lt;wsp:rsid wsp:val=&quot;00AD18BC&quot;/&gt;&lt;wsp:rsid wsp:val=&quot;00AD1908&quot;/&gt;&lt;wsp:rsid wsp:val=&quot;00AD1F68&quot;/&gt;&lt;wsp:rsid wsp:val=&quot;00AD2132&quot;/&gt;&lt;wsp:rsid wsp:val=&quot;00AD2285&quot;/&gt;&lt;wsp:rsid wsp:val=&quot;00AD29ED&quot;/&gt;&lt;wsp:rsid wsp:val=&quot;00AD303B&quot;/&gt;&lt;wsp:rsid wsp:val=&quot;00AD31FB&quot;/&gt;&lt;wsp:rsid wsp:val=&quot;00AD32B9&quot;/&gt;&lt;wsp:rsid wsp:val=&quot;00AD3647&quot;/&gt;&lt;wsp:rsid wsp:val=&quot;00AD36EB&quot;/&gt;&lt;wsp:rsid wsp:val=&quot;00AD3826&quot;/&gt;&lt;wsp:rsid wsp:val=&quot;00AD47A7&quot;/&gt;&lt;wsp:rsid wsp:val=&quot;00AD4B35&quot;/&gt;&lt;wsp:rsid wsp:val=&quot;00AD596C&quot;/&gt;&lt;wsp:rsid wsp:val=&quot;00AD5CB1&quot;/&gt;&lt;wsp:rsid wsp:val=&quot;00AD6917&quot;/&gt;&lt;wsp:rsid wsp:val=&quot;00AD6AF9&quot;/&gt;&lt;wsp:rsid wsp:val=&quot;00AD6CE5&quot;/&gt;&lt;wsp:rsid wsp:val=&quot;00AD7078&quot;/&gt;&lt;wsp:rsid wsp:val=&quot;00AD7565&quot;/&gt;&lt;wsp:rsid wsp:val=&quot;00AD7638&quot;/&gt;&lt;wsp:rsid wsp:val=&quot;00AD7E34&quot;/&gt;&lt;wsp:rsid wsp:val=&quot;00AD7EF8&quot;/&gt;&lt;wsp:rsid wsp:val=&quot;00AE0E44&quot;/&gt;&lt;wsp:rsid wsp:val=&quot;00AE11F9&quot;/&gt;&lt;wsp:rsid wsp:val=&quot;00AE1284&quot;/&gt;&lt;wsp:rsid wsp:val=&quot;00AE2577&quot;/&gt;&lt;wsp:rsid wsp:val=&quot;00AE2919&quot;/&gt;&lt;wsp:rsid wsp:val=&quot;00AE4037&quot;/&gt;&lt;wsp:rsid wsp:val=&quot;00AE40F5&quot;/&gt;&lt;wsp:rsid wsp:val=&quot;00AE4568&quot;/&gt;&lt;wsp:rsid wsp:val=&quot;00AE4E10&quot;/&gt;&lt;wsp:rsid wsp:val=&quot;00AE4F9C&quot;/&gt;&lt;wsp:rsid wsp:val=&quot;00AE5042&quot;/&gt;&lt;wsp:rsid wsp:val=&quot;00AE54E2&quot;/&gt;&lt;wsp:rsid wsp:val=&quot;00AE5701&quot;/&gt;&lt;wsp:rsid wsp:val=&quot;00AE5A62&quot;/&gt;&lt;wsp:rsid wsp:val=&quot;00AE5E60&quot;/&gt;&lt;wsp:rsid wsp:val=&quot;00AE625F&quot;/&gt;&lt;wsp:rsid wsp:val=&quot;00AE7947&quot;/&gt;&lt;wsp:rsid wsp:val=&quot;00AE7A15&quot;/&gt;&lt;wsp:rsid wsp:val=&quot;00AE7ECD&quot;/&gt;&lt;wsp:rsid wsp:val=&quot;00AF0CBF&quot;/&gt;&lt;wsp:rsid wsp:val=&quot;00AF0FFA&quot;/&gt;&lt;wsp:rsid wsp:val=&quot;00AF100B&quot;/&gt;&lt;wsp:rsid wsp:val=&quot;00AF14E8&quot;/&gt;&lt;wsp:rsid wsp:val=&quot;00AF16CA&quot;/&gt;&lt;wsp:rsid wsp:val=&quot;00AF2085&quot;/&gt;&lt;wsp:rsid wsp:val=&quot;00AF217A&quot;/&gt;&lt;wsp:rsid wsp:val=&quot;00AF2547&quot;/&gt;&lt;wsp:rsid wsp:val=&quot;00AF257F&quot;/&gt;&lt;wsp:rsid wsp:val=&quot;00AF3136&quot;/&gt;&lt;wsp:rsid wsp:val=&quot;00AF32B4&quot;/&gt;&lt;wsp:rsid wsp:val=&quot;00AF33CF&quot;/&gt;&lt;wsp:rsid wsp:val=&quot;00AF377C&quot;/&gt;&lt;wsp:rsid wsp:val=&quot;00AF3B84&quot;/&gt;&lt;wsp:rsid wsp:val=&quot;00AF4364&quot;/&gt;&lt;wsp:rsid wsp:val=&quot;00AF477A&quot;/&gt;&lt;wsp:rsid wsp:val=&quot;00AF4953&quot;/&gt;&lt;wsp:rsid wsp:val=&quot;00AF4D50&quot;/&gt;&lt;wsp:rsid wsp:val=&quot;00AF5274&quot;/&gt;&lt;wsp:rsid wsp:val=&quot;00AF5ABD&quot;/&gt;&lt;wsp:rsid wsp:val=&quot;00AF6179&quot;/&gt;&lt;wsp:rsid wsp:val=&quot;00AF6DAD&quot;/&gt;&lt;wsp:rsid wsp:val=&quot;00AF70BA&quot;/&gt;&lt;wsp:rsid wsp:val=&quot;00AF756D&quot;/&gt;&lt;wsp:rsid wsp:val=&quot;00AF7599&quot;/&gt;&lt;wsp:rsid wsp:val=&quot;00AF7B55&quot;/&gt;&lt;wsp:rsid wsp:val=&quot;00B00A64&quot;/&gt;&lt;wsp:rsid wsp:val=&quot;00B00B93&quot;/&gt;&lt;wsp:rsid wsp:val=&quot;00B00D9C&quot;/&gt;&lt;wsp:rsid wsp:val=&quot;00B019DF&quot;/&gt;&lt;wsp:rsid wsp:val=&quot;00B01E45&quot;/&gt;&lt;wsp:rsid wsp:val=&quot;00B01EBA&quot;/&gt;&lt;wsp:rsid wsp:val=&quot;00B02CB0&quot;/&gt;&lt;wsp:rsid wsp:val=&quot;00B036D0&quot;/&gt;&lt;wsp:rsid wsp:val=&quot;00B03818&quot;/&gt;&lt;wsp:rsid wsp:val=&quot;00B03832&quot;/&gt;&lt;wsp:rsid wsp:val=&quot;00B03C79&quot;/&gt;&lt;wsp:rsid wsp:val=&quot;00B03DC2&quot;/&gt;&lt;wsp:rsid wsp:val=&quot;00B044C4&quot;/&gt;&lt;wsp:rsid wsp:val=&quot;00B04E90&quot;/&gt;&lt;wsp:rsid wsp:val=&quot;00B055D9&quot;/&gt;&lt;wsp:rsid wsp:val=&quot;00B05DE6&quot;/&gt;&lt;wsp:rsid wsp:val=&quot;00B05E37&quot;/&gt;&lt;wsp:rsid wsp:val=&quot;00B0636E&quot;/&gt;&lt;wsp:rsid wsp:val=&quot;00B06C8C&quot;/&gt;&lt;wsp:rsid wsp:val=&quot;00B07076&quot;/&gt;&lt;wsp:rsid wsp:val=&quot;00B071AD&quot;/&gt;&lt;wsp:rsid wsp:val=&quot;00B0722D&quot;/&gt;&lt;wsp:rsid wsp:val=&quot;00B0794F&quot;/&gt;&lt;wsp:rsid wsp:val=&quot;00B10075&quot;/&gt;&lt;wsp:rsid wsp:val=&quot;00B109A7&quot;/&gt;&lt;wsp:rsid wsp:val=&quot;00B10BC3&quot;/&gt;&lt;wsp:rsid wsp:val=&quot;00B10F04&quot;/&gt;&lt;wsp:rsid wsp:val=&quot;00B11049&quot;/&gt;&lt;wsp:rsid wsp:val=&quot;00B11958&quot;/&gt;&lt;wsp:rsid wsp:val=&quot;00B11E73&quot;/&gt;&lt;wsp:rsid wsp:val=&quot;00B121D8&quot;/&gt;&lt;wsp:rsid wsp:val=&quot;00B12457&quot;/&gt;&lt;wsp:rsid wsp:val=&quot;00B1295A&quot;/&gt;&lt;wsp:rsid wsp:val=&quot;00B12C09&quot;/&gt;&lt;wsp:rsid wsp:val=&quot;00B12ED2&quot;/&gt;&lt;wsp:rsid wsp:val=&quot;00B12FED&quot;/&gt;&lt;wsp:rsid wsp:val=&quot;00B1345D&quot;/&gt;&lt;wsp:rsid wsp:val=&quot;00B134FE&quot;/&gt;&lt;wsp:rsid wsp:val=&quot;00B14102&quot;/&gt;&lt;wsp:rsid wsp:val=&quot;00B148B2&quot;/&gt;&lt;wsp:rsid wsp:val=&quot;00B152AE&quot;/&gt;&lt;wsp:rsid wsp:val=&quot;00B152DA&quot;/&gt;&lt;wsp:rsid wsp:val=&quot;00B15402&quot;/&gt;&lt;wsp:rsid wsp:val=&quot;00B15733&quot;/&gt;&lt;wsp:rsid wsp:val=&quot;00B16C47&quot;/&gt;&lt;wsp:rsid wsp:val=&quot;00B16DFB&quot;/&gt;&lt;wsp:rsid wsp:val=&quot;00B16E77&quot;/&gt;&lt;wsp:rsid wsp:val=&quot;00B17304&quot;/&gt;&lt;wsp:rsid wsp:val=&quot;00B1775F&quot;/&gt;&lt;wsp:rsid wsp:val=&quot;00B17BF0&quot;/&gt;&lt;wsp:rsid wsp:val=&quot;00B201DB&quot;/&gt;&lt;wsp:rsid wsp:val=&quot;00B2024C&quot;/&gt;&lt;wsp:rsid wsp:val=&quot;00B20A45&quot;/&gt;&lt;wsp:rsid wsp:val=&quot;00B2137E&quot;/&gt;&lt;wsp:rsid wsp:val=&quot;00B21C9A&quot;/&gt;&lt;wsp:rsid wsp:val=&quot;00B22081&quot;/&gt;&lt;wsp:rsid wsp:val=&quot;00B22917&quot;/&gt;&lt;wsp:rsid wsp:val=&quot;00B22A50&quot;/&gt;&lt;wsp:rsid wsp:val=&quot;00B22C5C&quot;/&gt;&lt;wsp:rsid wsp:val=&quot;00B231F8&quot;/&gt;&lt;wsp:rsid wsp:val=&quot;00B233DA&quot;/&gt;&lt;wsp:rsid wsp:val=&quot;00B23874&quot;/&gt;&lt;wsp:rsid wsp:val=&quot;00B2400F&quot;/&gt;&lt;wsp:rsid wsp:val=&quot;00B247F3&quot;/&gt;&lt;wsp:rsid wsp:val=&quot;00B24AA0&quot;/&gt;&lt;wsp:rsid wsp:val=&quot;00B24D16&quot;/&gt;&lt;wsp:rsid wsp:val=&quot;00B24DE8&quot;/&gt;&lt;wsp:rsid wsp:val=&quot;00B24E7D&quot;/&gt;&lt;wsp:rsid wsp:val=&quot;00B24F30&quot;/&gt;&lt;wsp:rsid wsp:val=&quot;00B260AA&quot;/&gt;&lt;wsp:rsid wsp:val=&quot;00B26501&quot;/&gt;&lt;wsp:rsid wsp:val=&quot;00B265E5&quot;/&gt;&lt;wsp:rsid wsp:val=&quot;00B26616&quot;/&gt;&lt;wsp:rsid wsp:val=&quot;00B27AA8&quot;/&gt;&lt;wsp:rsid wsp:val=&quot;00B30D79&quot;/&gt;&lt;wsp:rsid wsp:val=&quot;00B31ABF&quot;/&gt;&lt;wsp:rsid wsp:val=&quot;00B3218D&quot;/&gt;&lt;wsp:rsid wsp:val=&quot;00B32489&quot;/&gt;&lt;wsp:rsid wsp:val=&quot;00B328C3&quot;/&gt;&lt;wsp:rsid wsp:val=&quot;00B32AC9&quot;/&gt;&lt;wsp:rsid wsp:val=&quot;00B33BE3&quot;/&gt;&lt;wsp:rsid wsp:val=&quot;00B35223&quot;/&gt;&lt;wsp:rsid wsp:val=&quot;00B3535F&quot;/&gt;&lt;wsp:rsid wsp:val=&quot;00B35471&quot;/&gt;&lt;wsp:rsid wsp:val=&quot;00B357AC&quot;/&gt;&lt;wsp:rsid wsp:val=&quot;00B35870&quot;/&gt;&lt;wsp:rsid wsp:val=&quot;00B35B70&quot;/&gt;&lt;wsp:rsid wsp:val=&quot;00B35B87&quot;/&gt;&lt;wsp:rsid wsp:val=&quot;00B36D71&quot;/&gt;&lt;wsp:rsid wsp:val=&quot;00B371C9&quot;/&gt;&lt;wsp:rsid wsp:val=&quot;00B37BAF&quot;/&gt;&lt;wsp:rsid wsp:val=&quot;00B40034&quot;/&gt;&lt;wsp:rsid wsp:val=&quot;00B40815&quot;/&gt;&lt;wsp:rsid wsp:val=&quot;00B4095F&quot;/&gt;&lt;wsp:rsid wsp:val=&quot;00B41096&quot;/&gt;&lt;wsp:rsid wsp:val=&quot;00B4119C&quot;/&gt;&lt;wsp:rsid wsp:val=&quot;00B41EA6&quot;/&gt;&lt;wsp:rsid wsp:val=&quot;00B42543&quot;/&gt;&lt;wsp:rsid wsp:val=&quot;00B43228&quot;/&gt;&lt;wsp:rsid wsp:val=&quot;00B436D0&quot;/&gt;&lt;wsp:rsid wsp:val=&quot;00B440D1&quot;/&gt;&lt;wsp:rsid wsp:val=&quot;00B456CD&quot;/&gt;&lt;wsp:rsid wsp:val=&quot;00B46061&quot;/&gt;&lt;wsp:rsid wsp:val=&quot;00B469F4&quot;/&gt;&lt;wsp:rsid wsp:val=&quot;00B46A34&quot;/&gt;&lt;wsp:rsid wsp:val=&quot;00B46EDB&quot;/&gt;&lt;wsp:rsid wsp:val=&quot;00B47D13&quot;/&gt;&lt;wsp:rsid wsp:val=&quot;00B47DA7&quot;/&gt;&lt;wsp:rsid wsp:val=&quot;00B50861&quot;/&gt;&lt;wsp:rsid wsp:val=&quot;00B50951&quot;/&gt;&lt;wsp:rsid wsp:val=&quot;00B50B58&quot;/&gt;&lt;wsp:rsid wsp:val=&quot;00B520EE&quot;/&gt;&lt;wsp:rsid wsp:val=&quot;00B52221&quot;/&gt;&lt;wsp:rsid wsp:val=&quot;00B52347&quot;/&gt;&lt;wsp:rsid wsp:val=&quot;00B52672&quot;/&gt;&lt;wsp:rsid wsp:val=&quot;00B52D6E&quot;/&gt;&lt;wsp:rsid wsp:val=&quot;00B5318C&quot;/&gt;&lt;wsp:rsid wsp:val=&quot;00B53763&quot;/&gt;&lt;wsp:rsid wsp:val=&quot;00B53B5D&quot;/&gt;&lt;wsp:rsid wsp:val=&quot;00B53EC7&quot;/&gt;&lt;wsp:rsid wsp:val=&quot;00B55DBC&quot;/&gt;&lt;wsp:rsid wsp:val=&quot;00B56EFA&quot;/&gt;&lt;wsp:rsid wsp:val=&quot;00B57506&quot;/&gt;&lt;wsp:rsid wsp:val=&quot;00B5762E&quot;/&gt;&lt;wsp:rsid wsp:val=&quot;00B6055E&quot;/&gt;&lt;wsp:rsid wsp:val=&quot;00B61103&quot;/&gt;&lt;wsp:rsid wsp:val=&quot;00B61475&quot;/&gt;&lt;wsp:rsid wsp:val=&quot;00B625A3&quot;/&gt;&lt;wsp:rsid wsp:val=&quot;00B62AFA&quot;/&gt;&lt;wsp:rsid wsp:val=&quot;00B62F14&quot;/&gt;&lt;wsp:rsid wsp:val=&quot;00B6317D&quot;/&gt;&lt;wsp:rsid wsp:val=&quot;00B64335&quot;/&gt;&lt;wsp:rsid wsp:val=&quot;00B64511&quot;/&gt;&lt;wsp:rsid wsp:val=&quot;00B64744&quot;/&gt;&lt;wsp:rsid wsp:val=&quot;00B64E1A&quot;/&gt;&lt;wsp:rsid wsp:val=&quot;00B65543&quot;/&gt;&lt;wsp:rsid wsp:val=&quot;00B65691&quot;/&gt;&lt;wsp:rsid wsp:val=&quot;00B65725&quot;/&gt;&lt;wsp:rsid wsp:val=&quot;00B66F5A&quot;/&gt;&lt;wsp:rsid wsp:val=&quot;00B672C7&quot;/&gt;&lt;wsp:rsid wsp:val=&quot;00B67B7E&quot;/&gt;&lt;wsp:rsid wsp:val=&quot;00B67BBD&quot;/&gt;&lt;wsp:rsid wsp:val=&quot;00B703E6&quot;/&gt;&lt;wsp:rsid wsp:val=&quot;00B70F71&quot;/&gt;&lt;wsp:rsid wsp:val=&quot;00B7130A&quot;/&gt;&lt;wsp:rsid wsp:val=&quot;00B71445&quot;/&gt;&lt;wsp:rsid wsp:val=&quot;00B715B3&quot;/&gt;&lt;wsp:rsid wsp:val=&quot;00B719B8&quot;/&gt;&lt;wsp:rsid wsp:val=&quot;00B726CB&quot;/&gt;&lt;wsp:rsid wsp:val=&quot;00B73026&quot;/&gt;&lt;wsp:rsid wsp:val=&quot;00B74691&quot;/&gt;&lt;wsp:rsid wsp:val=&quot;00B74AE8&quot;/&gt;&lt;wsp:rsid wsp:val=&quot;00B74B41&quot;/&gt;&lt;wsp:rsid wsp:val=&quot;00B74CA3&quot;/&gt;&lt;wsp:rsid wsp:val=&quot;00B74ED4&quot;/&gt;&lt;wsp:rsid wsp:val=&quot;00B75125&quot;/&gt;&lt;wsp:rsid wsp:val=&quot;00B75794&quot;/&gt;&lt;wsp:rsid wsp:val=&quot;00B7589E&quot;/&gt;&lt;wsp:rsid wsp:val=&quot;00B75953&quot;/&gt;&lt;wsp:rsid wsp:val=&quot;00B75FB0&quot;/&gt;&lt;wsp:rsid wsp:val=&quot;00B760DE&quot;/&gt;&lt;wsp:rsid wsp:val=&quot;00B7646E&quot;/&gt;&lt;wsp:rsid wsp:val=&quot;00B76779&quot;/&gt;&lt;wsp:rsid wsp:val=&quot;00B76967&quot;/&gt;&lt;wsp:rsid wsp:val=&quot;00B7723F&quot;/&gt;&lt;wsp:rsid wsp:val=&quot;00B77CBF&quot;/&gt;&lt;wsp:rsid wsp:val=&quot;00B77D0C&quot;/&gt;&lt;wsp:rsid wsp:val=&quot;00B80534&quot;/&gt;&lt;wsp:rsid wsp:val=&quot;00B80A53&quot;/&gt;&lt;wsp:rsid wsp:val=&quot;00B80A84&quot;/&gt;&lt;wsp:rsid wsp:val=&quot;00B80CC8&quot;/&gt;&lt;wsp:rsid wsp:val=&quot;00B80CFD&quot;/&gt;&lt;wsp:rsid wsp:val=&quot;00B80E1F&quot;/&gt;&lt;wsp:rsid wsp:val=&quot;00B80FDB&quot;/&gt;&lt;wsp:rsid wsp:val=&quot;00B81959&quot;/&gt;&lt;wsp:rsid wsp:val=&quot;00B81E56&quot;/&gt;&lt;wsp:rsid wsp:val=&quot;00B8253E&quot;/&gt;&lt;wsp:rsid wsp:val=&quot;00B82949&quot;/&gt;&lt;wsp:rsid wsp:val=&quot;00B83109&quot;/&gt;&lt;wsp:rsid wsp:val=&quot;00B8433C&quot;/&gt;&lt;wsp:rsid wsp:val=&quot;00B84660&quot;/&gt;&lt;wsp:rsid wsp:val=&quot;00B861FC&quot;/&gt;&lt;wsp:rsid wsp:val=&quot;00B8626B&quot;/&gt;&lt;wsp:rsid wsp:val=&quot;00B866F1&quot;/&gt;&lt;wsp:rsid wsp:val=&quot;00B86E4B&quot;/&gt;&lt;wsp:rsid wsp:val=&quot;00B87491&quot;/&gt;&lt;wsp:rsid wsp:val=&quot;00B876C6&quot;/&gt;&lt;wsp:rsid wsp:val=&quot;00B877C1&quot;/&gt;&lt;wsp:rsid wsp:val=&quot;00B87986&quot;/&gt;&lt;wsp:rsid wsp:val=&quot;00B87ECE&quot;/&gt;&lt;wsp:rsid wsp:val=&quot;00B9004A&quot;/&gt;&lt;wsp:rsid wsp:val=&quot;00B90873&quot;/&gt;&lt;wsp:rsid wsp:val=&quot;00B90CE3&quot;/&gt;&lt;wsp:rsid wsp:val=&quot;00B919A3&quot;/&gt;&lt;wsp:rsid wsp:val=&quot;00B925A1&quot;/&gt;&lt;wsp:rsid wsp:val=&quot;00B927B6&quot;/&gt;&lt;wsp:rsid wsp:val=&quot;00B9298A&quot;/&gt;&lt;wsp:rsid wsp:val=&quot;00B92A71&quot;/&gt;&lt;wsp:rsid wsp:val=&quot;00B92B55&quot;/&gt;&lt;wsp:rsid wsp:val=&quot;00B9340B&quot;/&gt;&lt;wsp:rsid wsp:val=&quot;00B93729&quot;/&gt;&lt;wsp:rsid wsp:val=&quot;00B9419F&quot;/&gt;&lt;wsp:rsid wsp:val=&quot;00B9447E&quot;/&gt;&lt;wsp:rsid wsp:val=&quot;00B95B13&quot;/&gt;&lt;wsp:rsid wsp:val=&quot;00B969A8&quot;/&gt;&lt;wsp:rsid wsp:val=&quot;00B96A4B&quot;/&gt;&lt;wsp:rsid wsp:val=&quot;00B97269&quot;/&gt;&lt;wsp:rsid wsp:val=&quot;00BA0CE6&quot;/&gt;&lt;wsp:rsid wsp:val=&quot;00BA0DA4&quot;/&gt;&lt;wsp:rsid wsp:val=&quot;00BA1A59&quot;/&gt;&lt;wsp:rsid wsp:val=&quot;00BA23DA&quot;/&gt;&lt;wsp:rsid wsp:val=&quot;00BA2845&quot;/&gt;&lt;wsp:rsid wsp:val=&quot;00BA286C&quot;/&gt;&lt;wsp:rsid wsp:val=&quot;00BA29E9&quot;/&gt;&lt;wsp:rsid wsp:val=&quot;00BA2B0C&quot;/&gt;&lt;wsp:rsid wsp:val=&quot;00BA2CFA&quot;/&gt;&lt;wsp:rsid wsp:val=&quot;00BA2E72&quot;/&gt;&lt;wsp:rsid wsp:val=&quot;00BA3F95&quot;/&gt;&lt;wsp:rsid wsp:val=&quot;00BA459F&quot;/&gt;&lt;wsp:rsid wsp:val=&quot;00BA45AD&quot;/&gt;&lt;wsp:rsid wsp:val=&quot;00BA4E83&quot;/&gt;&lt;wsp:rsid wsp:val=&quot;00BA52FB&quot;/&gt;&lt;wsp:rsid wsp:val=&quot;00BA5907&quot;/&gt;&lt;wsp:rsid wsp:val=&quot;00BA5BA0&quot;/&gt;&lt;wsp:rsid wsp:val=&quot;00BA62C0&quot;/&gt;&lt;wsp:rsid wsp:val=&quot;00BA6728&quot;/&gt;&lt;wsp:rsid wsp:val=&quot;00BA6A07&quot;/&gt;&lt;wsp:rsid wsp:val=&quot;00BA6B5F&quot;/&gt;&lt;wsp:rsid wsp:val=&quot;00BA6F03&quot;/&gt;&lt;wsp:rsid wsp:val=&quot;00BA70B0&quot;/&gt;&lt;wsp:rsid wsp:val=&quot;00BA7142&quot;/&gt;&lt;wsp:rsid wsp:val=&quot;00BA780A&quot;/&gt;&lt;wsp:rsid wsp:val=&quot;00BA7B71&quot;/&gt;&lt;wsp:rsid wsp:val=&quot;00BA7CCD&quot;/&gt;&lt;wsp:rsid wsp:val=&quot;00BB0443&quot;/&gt;&lt;wsp:rsid wsp:val=&quot;00BB11AE&quot;/&gt;&lt;wsp:rsid wsp:val=&quot;00BB168C&quot;/&gt;&lt;wsp:rsid wsp:val=&quot;00BB170E&quot;/&gt;&lt;wsp:rsid wsp:val=&quot;00BB237C&quot;/&gt;&lt;wsp:rsid wsp:val=&quot;00BB2793&quot;/&gt;&lt;wsp:rsid wsp:val=&quot;00BB27A0&quot;/&gt;&lt;wsp:rsid wsp:val=&quot;00BB3421&quot;/&gt;&lt;wsp:rsid wsp:val=&quot;00BB37A6&quot;/&gt;&lt;wsp:rsid wsp:val=&quot;00BB40BE&quot;/&gt;&lt;wsp:rsid wsp:val=&quot;00BB41A3&quot;/&gt;&lt;wsp:rsid wsp:val=&quot;00BB4713&quot;/&gt;&lt;wsp:rsid wsp:val=&quot;00BB4A74&quot;/&gt;&lt;wsp:rsid wsp:val=&quot;00BB5286&quot;/&gt;&lt;wsp:rsid wsp:val=&quot;00BB5B7C&quot;/&gt;&lt;wsp:rsid wsp:val=&quot;00BB5C60&quot;/&gt;&lt;wsp:rsid wsp:val=&quot;00BB6F77&quot;/&gt;&lt;wsp:rsid wsp:val=&quot;00BB79D9&quot;/&gt;&lt;wsp:rsid wsp:val=&quot;00BB7C6D&quot;/&gt;&lt;wsp:rsid wsp:val=&quot;00BB7C79&quot;/&gt;&lt;wsp:rsid wsp:val=&quot;00BC0002&quot;/&gt;&lt;wsp:rsid wsp:val=&quot;00BC0280&quot;/&gt;&lt;wsp:rsid wsp:val=&quot;00BC0315&quot;/&gt;&lt;wsp:rsid wsp:val=&quot;00BC16B1&quot;/&gt;&lt;wsp:rsid wsp:val=&quot;00BC2CC8&quot;/&gt;&lt;wsp:rsid wsp:val=&quot;00BC31F1&quot;/&gt;&lt;wsp:rsid wsp:val=&quot;00BC32DC&quot;/&gt;&lt;wsp:rsid wsp:val=&quot;00BC35B6&quot;/&gt;&lt;wsp:rsid wsp:val=&quot;00BC36AD&quot;/&gt;&lt;wsp:rsid wsp:val=&quot;00BC3833&quot;/&gt;&lt;wsp:rsid wsp:val=&quot;00BC42EF&quot;/&gt;&lt;wsp:rsid wsp:val=&quot;00BC6607&quot;/&gt;&lt;wsp:rsid wsp:val=&quot;00BC74FE&quot;/&gt;&lt;wsp:rsid wsp:val=&quot;00BC7B92&quot;/&gt;&lt;wsp:rsid wsp:val=&quot;00BC7E2E&quot;/&gt;&lt;wsp:rsid wsp:val=&quot;00BD08CF&quot;/&gt;&lt;wsp:rsid wsp:val=&quot;00BD13E2&quot;/&gt;&lt;wsp:rsid wsp:val=&quot;00BD1539&quot;/&gt;&lt;wsp:rsid wsp:val=&quot;00BD1A53&quot;/&gt;&lt;wsp:rsid wsp:val=&quot;00BD1B51&quot;/&gt;&lt;wsp:rsid wsp:val=&quot;00BD1C79&quot;/&gt;&lt;wsp:rsid wsp:val=&quot;00BD2266&quot;/&gt;&lt;wsp:rsid wsp:val=&quot;00BD22CC&quot;/&gt;&lt;wsp:rsid wsp:val=&quot;00BD29C2&quot;/&gt;&lt;wsp:rsid wsp:val=&quot;00BD2E46&quot;/&gt;&lt;wsp:rsid wsp:val=&quot;00BD3220&quot;/&gt;&lt;wsp:rsid wsp:val=&quot;00BD332F&quot;/&gt;&lt;wsp:rsid wsp:val=&quot;00BD33A7&quot;/&gt;&lt;wsp:rsid wsp:val=&quot;00BD367C&quot;/&gt;&lt;wsp:rsid wsp:val=&quot;00BD37F5&quot;/&gt;&lt;wsp:rsid wsp:val=&quot;00BD407C&quot;/&gt;&lt;wsp:rsid wsp:val=&quot;00BD4596&quot;/&gt;&lt;wsp:rsid wsp:val=&quot;00BD4650&quot;/&gt;&lt;wsp:rsid wsp:val=&quot;00BD48AC&quot;/&gt;&lt;wsp:rsid wsp:val=&quot;00BD4D10&quot;/&gt;&lt;wsp:rsid wsp:val=&quot;00BD53D7&quot;/&gt;&lt;wsp:rsid wsp:val=&quot;00BD5C99&quot;/&gt;&lt;wsp:rsid wsp:val=&quot;00BD6414&quot;/&gt;&lt;wsp:rsid wsp:val=&quot;00BD69A6&quot;/&gt;&lt;wsp:rsid wsp:val=&quot;00BD7339&quot;/&gt;&lt;wsp:rsid wsp:val=&quot;00BD774E&quot;/&gt;&lt;wsp:rsid wsp:val=&quot;00BD7788&quot;/&gt;&lt;wsp:rsid wsp:val=&quot;00BE00F3&quot;/&gt;&lt;wsp:rsid wsp:val=&quot;00BE07D6&quot;/&gt;&lt;wsp:rsid wsp:val=&quot;00BE0A2F&quot;/&gt;&lt;wsp:rsid wsp:val=&quot;00BE1405&quot;/&gt;&lt;wsp:rsid wsp:val=&quot;00BE15A2&quot;/&gt;&lt;wsp:rsid wsp:val=&quot;00BE1608&quot;/&gt;&lt;wsp:rsid wsp:val=&quot;00BE1717&quot;/&gt;&lt;wsp:rsid wsp:val=&quot;00BE1F68&quot;/&gt;&lt;wsp:rsid wsp:val=&quot;00BE22BA&quot;/&gt;&lt;wsp:rsid wsp:val=&quot;00BE2363&quot;/&gt;&lt;wsp:rsid wsp:val=&quot;00BE27D4&quot;/&gt;&lt;wsp:rsid wsp:val=&quot;00BE288A&quot;/&gt;&lt;wsp:rsid wsp:val=&quot;00BE29B9&quot;/&gt;&lt;wsp:rsid wsp:val=&quot;00BE29FB&quot;/&gt;&lt;wsp:rsid wsp:val=&quot;00BE2BED&quot;/&gt;&lt;wsp:rsid wsp:val=&quot;00BE312D&quot;/&gt;&lt;wsp:rsid wsp:val=&quot;00BE3217&quot;/&gt;&lt;wsp:rsid wsp:val=&quot;00BE3691&quot;/&gt;&lt;wsp:rsid wsp:val=&quot;00BE37F9&quot;/&gt;&lt;wsp:rsid wsp:val=&quot;00BE4728&quot;/&gt;&lt;wsp:rsid wsp:val=&quot;00BE6BD0&quot;/&gt;&lt;wsp:rsid wsp:val=&quot;00BE719A&quot;/&gt;&lt;wsp:rsid wsp:val=&quot;00BF011C&quot;/&gt;&lt;wsp:rsid wsp:val=&quot;00BF0384&quot;/&gt;&lt;wsp:rsid wsp:val=&quot;00BF06C2&quot;/&gt;&lt;wsp:rsid wsp:val=&quot;00BF0773&quot;/&gt;&lt;wsp:rsid wsp:val=&quot;00BF19DD&quot;/&gt;&lt;wsp:rsid wsp:val=&quot;00BF1C20&quot;/&gt;&lt;wsp:rsid wsp:val=&quot;00BF206F&quot;/&gt;&lt;wsp:rsid wsp:val=&quot;00BF220F&quot;/&gt;&lt;wsp:rsid wsp:val=&quot;00BF2495&quot;/&gt;&lt;wsp:rsid wsp:val=&quot;00BF3447&quot;/&gt;&lt;wsp:rsid wsp:val=&quot;00BF365D&quot;/&gt;&lt;wsp:rsid wsp:val=&quot;00BF382A&quot;/&gt;&lt;wsp:rsid wsp:val=&quot;00BF3A40&quot;/&gt;&lt;wsp:rsid wsp:val=&quot;00BF3B99&quot;/&gt;&lt;wsp:rsid wsp:val=&quot;00BF3D71&quot;/&gt;&lt;wsp:rsid wsp:val=&quot;00BF3E44&quot;/&gt;&lt;wsp:rsid wsp:val=&quot;00BF453A&quot;/&gt;&lt;wsp:rsid wsp:val=&quot;00BF52CC&quot;/&gt;&lt;wsp:rsid wsp:val=&quot;00BF5C39&quot;/&gt;&lt;wsp:rsid wsp:val=&quot;00BF5F11&quot;/&gt;&lt;wsp:rsid wsp:val=&quot;00BF64EF&quot;/&gt;&lt;wsp:rsid wsp:val=&quot;00C003E8&quot;/&gt;&lt;wsp:rsid wsp:val=&quot;00C00A34&quot;/&gt;&lt;wsp:rsid wsp:val=&quot;00C00BED&quot;/&gt;&lt;wsp:rsid wsp:val=&quot;00C00E75&quot;/&gt;&lt;wsp:rsid wsp:val=&quot;00C01000&quot;/&gt;&lt;wsp:rsid wsp:val=&quot;00C012F7&quot;/&gt;&lt;wsp:rsid wsp:val=&quot;00C01899&quot;/&gt;&lt;wsp:rsid wsp:val=&quot;00C02BC4&quot;/&gt;&lt;wsp:rsid wsp:val=&quot;00C03141&quot;/&gt;&lt;wsp:rsid wsp:val=&quot;00C03C22&quot;/&gt;&lt;wsp:rsid wsp:val=&quot;00C045D6&quot;/&gt;&lt;wsp:rsid wsp:val=&quot;00C0477D&quot;/&gt;&lt;wsp:rsid wsp:val=&quot;00C04888&quot;/&gt;&lt;wsp:rsid wsp:val=&quot;00C04C89&quot;/&gt;&lt;wsp:rsid wsp:val=&quot;00C04F67&quot;/&gt;&lt;wsp:rsid wsp:val=&quot;00C054E6&quot;/&gt;&lt;wsp:rsid wsp:val=&quot;00C055F8&quot;/&gt;&lt;wsp:rsid wsp:val=&quot;00C05A3D&quot;/&gt;&lt;wsp:rsid wsp:val=&quot;00C06016&quot;/&gt;&lt;wsp:rsid wsp:val=&quot;00C06AC8&quot;/&gt;&lt;wsp:rsid wsp:val=&quot;00C07366&quot;/&gt;&lt;wsp:rsid wsp:val=&quot;00C079C0&quot;/&gt;&lt;wsp:rsid wsp:val=&quot;00C1001B&quot;/&gt;&lt;wsp:rsid wsp:val=&quot;00C10578&quot;/&gt;&lt;wsp:rsid wsp:val=&quot;00C117EF&quot;/&gt;&lt;wsp:rsid wsp:val=&quot;00C1191D&quot;/&gt;&lt;wsp:rsid wsp:val=&quot;00C135BC&quot;/&gt;&lt;wsp:rsid wsp:val=&quot;00C13E9C&quot;/&gt;&lt;wsp:rsid wsp:val=&quot;00C14009&quot;/&gt;&lt;wsp:rsid wsp:val=&quot;00C146DA&quot;/&gt;&lt;wsp:rsid wsp:val=&quot;00C14938&quot;/&gt;&lt;wsp:rsid wsp:val=&quot;00C14B02&quot;/&gt;&lt;wsp:rsid wsp:val=&quot;00C14FBA&quot;/&gt;&lt;wsp:rsid wsp:val=&quot;00C155C6&quot;/&gt;&lt;wsp:rsid wsp:val=&quot;00C15788&quot;/&gt;&lt;wsp:rsid wsp:val=&quot;00C1593C&quot;/&gt;&lt;wsp:rsid wsp:val=&quot;00C15C95&quot;/&gt;&lt;wsp:rsid wsp:val=&quot;00C15CE2&quot;/&gt;&lt;wsp:rsid wsp:val=&quot;00C15D17&quot;/&gt;&lt;wsp:rsid wsp:val=&quot;00C15E95&quot;/&gt;&lt;wsp:rsid wsp:val=&quot;00C160B9&quot;/&gt;&lt;wsp:rsid wsp:val=&quot;00C165FC&quot;/&gt;&lt;wsp:rsid wsp:val=&quot;00C168BB&quot;/&gt;&lt;wsp:rsid wsp:val=&quot;00C16C83&quot;/&gt;&lt;wsp:rsid wsp:val=&quot;00C1730D&quot;/&gt;&lt;wsp:rsid wsp:val=&quot;00C17A10&quot;/&gt;&lt;wsp:rsid wsp:val=&quot;00C17CDF&quot;/&gt;&lt;wsp:rsid wsp:val=&quot;00C17D65&quot;/&gt;&lt;wsp:rsid wsp:val=&quot;00C2006D&quot;/&gt;&lt;wsp:rsid wsp:val=&quot;00C20CD1&quot;/&gt;&lt;wsp:rsid wsp:val=&quot;00C20DFA&quot;/&gt;&lt;wsp:rsid wsp:val=&quot;00C21386&quot;/&gt;&lt;wsp:rsid wsp:val=&quot;00C22C2A&quot;/&gt;&lt;wsp:rsid wsp:val=&quot;00C25731&quot;/&gt;&lt;wsp:rsid wsp:val=&quot;00C2596A&quot;/&gt;&lt;wsp:rsid wsp:val=&quot;00C25C76&quot;/&gt;&lt;wsp:rsid wsp:val=&quot;00C260EB&quot;/&gt;&lt;wsp:rsid wsp:val=&quot;00C2614A&quot;/&gt;&lt;wsp:rsid wsp:val=&quot;00C262CE&quot;/&gt;&lt;wsp:rsid wsp:val=&quot;00C26327&quot;/&gt;&lt;wsp:rsid wsp:val=&quot;00C263AD&quot;/&gt;&lt;wsp:rsid wsp:val=&quot;00C27537&quot;/&gt;&lt;wsp:rsid wsp:val=&quot;00C27549&quot;/&gt;&lt;wsp:rsid wsp:val=&quot;00C27A18&quot;/&gt;&lt;wsp:rsid wsp:val=&quot;00C27C8B&quot;/&gt;&lt;wsp:rsid wsp:val=&quot;00C30713&quot;/&gt;&lt;wsp:rsid wsp:val=&quot;00C30840&quot;/&gt;&lt;wsp:rsid wsp:val=&quot;00C30DFE&quot;/&gt;&lt;wsp:rsid wsp:val=&quot;00C30EE9&quot;/&gt;&lt;wsp:rsid wsp:val=&quot;00C3160E&quot;/&gt;&lt;wsp:rsid wsp:val=&quot;00C31AB6&quot;/&gt;&lt;wsp:rsid wsp:val=&quot;00C32276&quot;/&gt;&lt;wsp:rsid wsp:val=&quot;00C323A8&quot;/&gt;&lt;wsp:rsid wsp:val=&quot;00C3260F&quot;/&gt;&lt;wsp:rsid wsp:val=&quot;00C328FE&quot;/&gt;&lt;wsp:rsid wsp:val=&quot;00C32E27&quot;/&gt;&lt;wsp:rsid wsp:val=&quot;00C333FB&quot;/&gt;&lt;wsp:rsid wsp:val=&quot;00C33507&quot;/&gt;&lt;wsp:rsid wsp:val=&quot;00C3393B&quot;/&gt;&lt;wsp:rsid wsp:val=&quot;00C33B34&quot;/&gt;&lt;wsp:rsid wsp:val=&quot;00C33D59&quot;/&gt;&lt;wsp:rsid wsp:val=&quot;00C3580E&quot;/&gt;&lt;wsp:rsid wsp:val=&quot;00C3697A&quot;/&gt;&lt;wsp:rsid wsp:val=&quot;00C37B7E&quot;/&gt;&lt;wsp:rsid wsp:val=&quot;00C40078&quot;/&gt;&lt;wsp:rsid wsp:val=&quot;00C40370&quot;/&gt;&lt;wsp:rsid wsp:val=&quot;00C403A6&quot;/&gt;&lt;wsp:rsid wsp:val=&quot;00C4042E&quot;/&gt;&lt;wsp:rsid wsp:val=&quot;00C40A78&quot;/&gt;&lt;wsp:rsid wsp:val=&quot;00C40B19&quot;/&gt;&lt;wsp:rsid wsp:val=&quot;00C40D39&quot;/&gt;&lt;wsp:rsid wsp:val=&quot;00C41243&quot;/&gt;&lt;wsp:rsid wsp:val=&quot;00C4134E&quot;/&gt;&lt;wsp:rsid wsp:val=&quot;00C41606&quot;/&gt;&lt;wsp:rsid wsp:val=&quot;00C41B46&quot;/&gt;&lt;wsp:rsid wsp:val=&quot;00C4291C&quot;/&gt;&lt;wsp:rsid wsp:val=&quot;00C4409D&quot;/&gt;&lt;wsp:rsid wsp:val=&quot;00C44E72&quot;/&gt;&lt;wsp:rsid wsp:val=&quot;00C45520&quot;/&gt;&lt;wsp:rsid wsp:val=&quot;00C45A06&quot;/&gt;&lt;wsp:rsid wsp:val=&quot;00C45C33&quot;/&gt;&lt;wsp:rsid wsp:val=&quot;00C46007&quot;/&gt;&lt;wsp:rsid wsp:val=&quot;00C46C3A&quot;/&gt;&lt;wsp:rsid wsp:val=&quot;00C470F8&quot;/&gt;&lt;wsp:rsid wsp:val=&quot;00C471C7&quot;/&gt;&lt;wsp:rsid wsp:val=&quot;00C47455&quot;/&gt;&lt;wsp:rsid wsp:val=&quot;00C47B3D&quot;/&gt;&lt;wsp:rsid wsp:val=&quot;00C47E5B&quot;/&gt;&lt;wsp:rsid wsp:val=&quot;00C5017A&quot;/&gt;&lt;wsp:rsid wsp:val=&quot;00C5027D&quot;/&gt;&lt;wsp:rsid wsp:val=&quot;00C5079C&quot;/&gt;&lt;wsp:rsid wsp:val=&quot;00C5127D&quot;/&gt;&lt;wsp:rsid wsp:val=&quot;00C52C40&quot;/&gt;&lt;wsp:rsid wsp:val=&quot;00C54574&quot;/&gt;&lt;wsp:rsid wsp:val=&quot;00C546E9&quot;/&gt;&lt;wsp:rsid wsp:val=&quot;00C54819&quot;/&gt;&lt;wsp:rsid wsp:val=&quot;00C54CC6&quot;/&gt;&lt;wsp:rsid wsp:val=&quot;00C5574F&quot;/&gt;&lt;wsp:rsid wsp:val=&quot;00C5575C&quot;/&gt;&lt;wsp:rsid wsp:val=&quot;00C56168&quot;/&gt;&lt;wsp:rsid wsp:val=&quot;00C56428&quot;/&gt;&lt;wsp:rsid wsp:val=&quot;00C567B8&quot;/&gt;&lt;wsp:rsid wsp:val=&quot;00C569B4&quot;/&gt;&lt;wsp:rsid wsp:val=&quot;00C573AB&quot;/&gt;&lt;wsp:rsid wsp:val=&quot;00C603BF&quot;/&gt;&lt;wsp:rsid wsp:val=&quot;00C60C57&quot;/&gt;&lt;wsp:rsid wsp:val=&quot;00C61BE7&quot;/&gt;&lt;wsp:rsid wsp:val=&quot;00C61E4B&quot;/&gt;&lt;wsp:rsid wsp:val=&quot;00C6242D&quot;/&gt;&lt;wsp:rsid wsp:val=&quot;00C62859&quot;/&gt;&lt;wsp:rsid wsp:val=&quot;00C6364E&quot;/&gt;&lt;wsp:rsid wsp:val=&quot;00C63C1F&quot;/&gt;&lt;wsp:rsid wsp:val=&quot;00C63EA0&quot;/&gt;&lt;wsp:rsid wsp:val=&quot;00C64038&quot;/&gt;&lt;wsp:rsid wsp:val=&quot;00C64165&quot;/&gt;&lt;wsp:rsid wsp:val=&quot;00C6426C&quot;/&gt;&lt;wsp:rsid wsp:val=&quot;00C64621&quot;/&gt;&lt;wsp:rsid wsp:val=&quot;00C64698&quot;/&gt;&lt;wsp:rsid wsp:val=&quot;00C646E2&quot;/&gt;&lt;wsp:rsid wsp:val=&quot;00C64BFF&quot;/&gt;&lt;wsp:rsid wsp:val=&quot;00C64C52&quot;/&gt;&lt;wsp:rsid wsp:val=&quot;00C64E1A&quot;/&gt;&lt;wsp:rsid wsp:val=&quot;00C65085&quot;/&gt;&lt;wsp:rsid wsp:val=&quot;00C65A56&quot;/&gt;&lt;wsp:rsid wsp:val=&quot;00C6625B&quot;/&gt;&lt;wsp:rsid wsp:val=&quot;00C6669E&quot;/&gt;&lt;wsp:rsid wsp:val=&quot;00C66E5C&quot;/&gt;&lt;wsp:rsid wsp:val=&quot;00C675EB&quot;/&gt;&lt;wsp:rsid wsp:val=&quot;00C67831&quot;/&gt;&lt;wsp:rsid wsp:val=&quot;00C6784B&quot;/&gt;&lt;wsp:rsid wsp:val=&quot;00C67D85&quot;/&gt;&lt;wsp:rsid wsp:val=&quot;00C7031A&quot;/&gt;&lt;wsp:rsid wsp:val=&quot;00C7042D&quot;/&gt;&lt;wsp:rsid wsp:val=&quot;00C70454&quot;/&gt;&lt;wsp:rsid wsp:val=&quot;00C704E9&quot;/&gt;&lt;wsp:rsid wsp:val=&quot;00C71BC4&quot;/&gt;&lt;wsp:rsid wsp:val=&quot;00C71C39&quot;/&gt;&lt;wsp:rsid wsp:val=&quot;00C71FB7&quot;/&gt;&lt;wsp:rsid wsp:val=&quot;00C72775&quot;/&gt;&lt;wsp:rsid wsp:val=&quot;00C72BD0&quot;/&gt;&lt;wsp:rsid wsp:val=&quot;00C7355C&quot;/&gt;&lt;wsp:rsid wsp:val=&quot;00C74730&quot;/&gt;&lt;wsp:rsid wsp:val=&quot;00C748A3&quot;/&gt;&lt;wsp:rsid wsp:val=&quot;00C74A98&quot;/&gt;&lt;wsp:rsid wsp:val=&quot;00C752BF&quot;/&gt;&lt;wsp:rsid wsp:val=&quot;00C75E9D&quot;/&gt;&lt;wsp:rsid wsp:val=&quot;00C7605E&quot;/&gt;&lt;wsp:rsid wsp:val=&quot;00C763C9&quot;/&gt;&lt;wsp:rsid wsp:val=&quot;00C76AB6&quot;/&gt;&lt;wsp:rsid wsp:val=&quot;00C76E28&quot;/&gt;&lt;wsp:rsid wsp:val=&quot;00C76FB1&quot;/&gt;&lt;wsp:rsid wsp:val=&quot;00C77052&quot;/&gt;&lt;wsp:rsid wsp:val=&quot;00C7726D&quot;/&gt;&lt;wsp:rsid wsp:val=&quot;00C80057&quot;/&gt;&lt;wsp:rsid wsp:val=&quot;00C80908&quot;/&gt;&lt;wsp:rsid wsp:val=&quot;00C80BED&quot;/&gt;&lt;wsp:rsid wsp:val=&quot;00C81D01&quot;/&gt;&lt;wsp:rsid wsp:val=&quot;00C82232&quot;/&gt;&lt;wsp:rsid wsp:val=&quot;00C822FF&quot;/&gt;&lt;wsp:rsid wsp:val=&quot;00C825E3&quot;/&gt;&lt;wsp:rsid wsp:val=&quot;00C82913&quot;/&gt;&lt;wsp:rsid wsp:val=&quot;00C82E45&quot;/&gt;&lt;wsp:rsid wsp:val=&quot;00C837AE&quot;/&gt;&lt;wsp:rsid wsp:val=&quot;00C83C13&quot;/&gt;&lt;wsp:rsid wsp:val=&quot;00C842AB&quot;/&gt;&lt;wsp:rsid wsp:val=&quot;00C8498D&quot;/&gt;&lt;wsp:rsid wsp:val=&quot;00C84F46&quot;/&gt;&lt;wsp:rsid wsp:val=&quot;00C850D2&quot;/&gt;&lt;wsp:rsid wsp:val=&quot;00C851D5&quot;/&gt;&lt;wsp:rsid wsp:val=&quot;00C8565E&quot;/&gt;&lt;wsp:rsid wsp:val=&quot;00C86018&quot;/&gt;&lt;wsp:rsid wsp:val=&quot;00C869E9&quot;/&gt;&lt;wsp:rsid wsp:val=&quot;00C873AE&quot;/&gt;&lt;wsp:rsid wsp:val=&quot;00C87442&quot;/&gt;&lt;wsp:rsid wsp:val=&quot;00C87520&quot;/&gt;&lt;wsp:rsid wsp:val=&quot;00C902C1&quot;/&gt;&lt;wsp:rsid wsp:val=&quot;00C908D9&quot;/&gt;&lt;wsp:rsid wsp:val=&quot;00C90B07&quot;/&gt;&lt;wsp:rsid wsp:val=&quot;00C91FAF&quot;/&gt;&lt;wsp:rsid wsp:val=&quot;00C91FF7&quot;/&gt;&lt;wsp:rsid wsp:val=&quot;00C92A45&quot;/&gt;&lt;wsp:rsid wsp:val=&quot;00C92BEB&quot;/&gt;&lt;wsp:rsid wsp:val=&quot;00C92DD4&quot;/&gt;&lt;wsp:rsid wsp:val=&quot;00C93B28&quot;/&gt;&lt;wsp:rsid wsp:val=&quot;00C94461&quot;/&gt;&lt;wsp:rsid wsp:val=&quot;00C94644&quot;/&gt;&lt;wsp:rsid wsp:val=&quot;00C94DEE&quot;/&gt;&lt;wsp:rsid wsp:val=&quot;00C96041&quot;/&gt;&lt;wsp:rsid wsp:val=&quot;00C96470&quot;/&gt;&lt;wsp:rsid wsp:val=&quot;00C96B49&quot;/&gt;&lt;wsp:rsid wsp:val=&quot;00C972B1&quot;/&gt;&lt;wsp:rsid wsp:val=&quot;00CA046D&quot;/&gt;&lt;wsp:rsid wsp:val=&quot;00CA055C&quot;/&gt;&lt;wsp:rsid wsp:val=&quot;00CA0966&quot;/&gt;&lt;wsp:rsid wsp:val=&quot;00CA0A23&quot;/&gt;&lt;wsp:rsid wsp:val=&quot;00CA0C89&quot;/&gt;&lt;wsp:rsid wsp:val=&quot;00CA0DA2&quot;/&gt;&lt;wsp:rsid wsp:val=&quot;00CA11A1&quot;/&gt;&lt;wsp:rsid wsp:val=&quot;00CA12DC&quot;/&gt;&lt;wsp:rsid wsp:val=&quot;00CA145D&quot;/&gt;&lt;wsp:rsid wsp:val=&quot;00CA212C&quot;/&gt;&lt;wsp:rsid wsp:val=&quot;00CA28A6&quot;/&gt;&lt;wsp:rsid wsp:val=&quot;00CA292A&quot;/&gt;&lt;wsp:rsid wsp:val=&quot;00CA2AF8&quot;/&gt;&lt;wsp:rsid wsp:val=&quot;00CA2CCE&quot;/&gt;&lt;wsp:rsid wsp:val=&quot;00CA43E4&quot;/&gt;&lt;wsp:rsid wsp:val=&quot;00CA43FD&quot;/&gt;&lt;wsp:rsid wsp:val=&quot;00CA458A&quot;/&gt;&lt;wsp:rsid wsp:val=&quot;00CA488A&quot;/&gt;&lt;wsp:rsid wsp:val=&quot;00CA49EE&quot;/&gt;&lt;wsp:rsid wsp:val=&quot;00CA508A&quot;/&gt;&lt;wsp:rsid wsp:val=&quot;00CA534F&quot;/&gt;&lt;wsp:rsid wsp:val=&quot;00CA57BF&quot;/&gt;&lt;wsp:rsid wsp:val=&quot;00CA5A0A&quot;/&gt;&lt;wsp:rsid wsp:val=&quot;00CA5AB5&quot;/&gt;&lt;wsp:rsid wsp:val=&quot;00CA6D38&quot;/&gt;&lt;wsp:rsid wsp:val=&quot;00CA715D&quot;/&gt;&lt;wsp:rsid wsp:val=&quot;00CA769F&quot;/&gt;&lt;wsp:rsid wsp:val=&quot;00CA7EF8&quot;/&gt;&lt;wsp:rsid wsp:val=&quot;00CB00CE&quot;/&gt;&lt;wsp:rsid wsp:val=&quot;00CB04D9&quot;/&gt;&lt;wsp:rsid wsp:val=&quot;00CB0855&quot;/&gt;&lt;wsp:rsid wsp:val=&quot;00CB0A19&quot;/&gt;&lt;wsp:rsid wsp:val=&quot;00CB0F0C&quot;/&gt;&lt;wsp:rsid wsp:val=&quot;00CB114E&quot;/&gt;&lt;wsp:rsid wsp:val=&quot;00CB2867&quot;/&gt;&lt;wsp:rsid wsp:val=&quot;00CB45B7&quot;/&gt;&lt;wsp:rsid wsp:val=&quot;00CB4917&quot;/&gt;&lt;wsp:rsid wsp:val=&quot;00CB4B07&quot;/&gt;&lt;wsp:rsid wsp:val=&quot;00CB4C3A&quot;/&gt;&lt;wsp:rsid wsp:val=&quot;00CB50B9&quot;/&gt;&lt;wsp:rsid wsp:val=&quot;00CB576C&quot;/&gt;&lt;wsp:rsid wsp:val=&quot;00CB581B&quot;/&gt;&lt;wsp:rsid wsp:val=&quot;00CB5E58&quot;/&gt;&lt;wsp:rsid wsp:val=&quot;00CB5F48&quot;/&gt;&lt;wsp:rsid wsp:val=&quot;00CB6662&quot;/&gt;&lt;wsp:rsid wsp:val=&quot;00CB6872&quot;/&gt;&lt;wsp:rsid wsp:val=&quot;00CB78FD&quot;/&gt;&lt;wsp:rsid wsp:val=&quot;00CB7AB8&quot;/&gt;&lt;wsp:rsid wsp:val=&quot;00CC0759&quot;/&gt;&lt;wsp:rsid wsp:val=&quot;00CC0E06&quot;/&gt;&lt;wsp:rsid wsp:val=&quot;00CC0F0C&quot;/&gt;&lt;wsp:rsid wsp:val=&quot;00CC135A&quot;/&gt;&lt;wsp:rsid wsp:val=&quot;00CC209D&quot;/&gt;&lt;wsp:rsid wsp:val=&quot;00CC21F1&quot;/&gt;&lt;wsp:rsid wsp:val=&quot;00CC2A5B&quot;/&gt;&lt;wsp:rsid wsp:val=&quot;00CC3204&quot;/&gt;&lt;wsp:rsid wsp:val=&quot;00CC3702&quot;/&gt;&lt;wsp:rsid wsp:val=&quot;00CC39C5&quot;/&gt;&lt;wsp:rsid wsp:val=&quot;00CC404C&quot;/&gt;&lt;wsp:rsid wsp:val=&quot;00CC46B5&quot;/&gt;&lt;wsp:rsid wsp:val=&quot;00CC489B&quot;/&gt;&lt;wsp:rsid wsp:val=&quot;00CC4AB6&quot;/&gt;&lt;wsp:rsid wsp:val=&quot;00CC5099&quot;/&gt;&lt;wsp:rsid wsp:val=&quot;00CC51B9&quot;/&gt;&lt;wsp:rsid wsp:val=&quot;00CC5ABD&quot;/&gt;&lt;wsp:rsid wsp:val=&quot;00CC5BC5&quot;/&gt;&lt;wsp:rsid wsp:val=&quot;00CC5D1D&quot;/&gt;&lt;wsp:rsid wsp:val=&quot;00CC67BB&quot;/&gt;&lt;wsp:rsid wsp:val=&quot;00CC7ADA&quot;/&gt;&lt;wsp:rsid wsp:val=&quot;00CC7C44&quot;/&gt;&lt;wsp:rsid wsp:val=&quot;00CD00DC&quot;/&gt;&lt;wsp:rsid wsp:val=&quot;00CD0A93&quot;/&gt;&lt;wsp:rsid wsp:val=&quot;00CD0EAD&quot;/&gt;&lt;wsp:rsid wsp:val=&quot;00CD1595&quot;/&gt;&lt;wsp:rsid wsp:val=&quot;00CD19E1&quot;/&gt;&lt;wsp:rsid wsp:val=&quot;00CD2894&quot;/&gt;&lt;wsp:rsid wsp:val=&quot;00CD292D&quot;/&gt;&lt;wsp:rsid wsp:val=&quot;00CD29D2&quot;/&gt;&lt;wsp:rsid wsp:val=&quot;00CD2B60&quot;/&gt;&lt;wsp:rsid wsp:val=&quot;00CD2BCD&quot;/&gt;&lt;wsp:rsid wsp:val=&quot;00CD316B&quot;/&gt;&lt;wsp:rsid wsp:val=&quot;00CD31A8&quot;/&gt;&lt;wsp:rsid wsp:val=&quot;00CD3A4C&quot;/&gt;&lt;wsp:rsid wsp:val=&quot;00CD49CC&quot;/&gt;&lt;wsp:rsid wsp:val=&quot;00CD590C&quot;/&gt;&lt;wsp:rsid wsp:val=&quot;00CD5B19&quot;/&gt;&lt;wsp:rsid wsp:val=&quot;00CD5EA0&quot;/&gt;&lt;wsp:rsid wsp:val=&quot;00CD65FC&quot;/&gt;&lt;wsp:rsid wsp:val=&quot;00CD6854&quot;/&gt;&lt;wsp:rsid wsp:val=&quot;00CD73E8&quot;/&gt;&lt;wsp:rsid wsp:val=&quot;00CE0059&quot;/&gt;&lt;wsp:rsid wsp:val=&quot;00CE10E9&quot;/&gt;&lt;wsp:rsid wsp:val=&quot;00CE144E&quot;/&gt;&lt;wsp:rsid wsp:val=&quot;00CE14C7&quot;/&gt;&lt;wsp:rsid wsp:val=&quot;00CE1C5A&quot;/&gt;&lt;wsp:rsid wsp:val=&quot;00CE2331&quot;/&gt;&lt;wsp:rsid wsp:val=&quot;00CE26FC&quot;/&gt;&lt;wsp:rsid wsp:val=&quot;00CE2817&quot;/&gt;&lt;wsp:rsid wsp:val=&quot;00CE2910&quot;/&gt;&lt;wsp:rsid wsp:val=&quot;00CE34BD&quot;/&gt;&lt;wsp:rsid wsp:val=&quot;00CE3D09&quot;/&gt;&lt;wsp:rsid wsp:val=&quot;00CE3F17&quot;/&gt;&lt;wsp:rsid wsp:val=&quot;00CE3FB1&quot;/&gt;&lt;wsp:rsid wsp:val=&quot;00CE49FD&quot;/&gt;&lt;wsp:rsid wsp:val=&quot;00CE4B2E&quot;/&gt;&lt;wsp:rsid wsp:val=&quot;00CE4FEE&quot;/&gt;&lt;wsp:rsid wsp:val=&quot;00CE5393&quot;/&gt;&lt;wsp:rsid wsp:val=&quot;00CE63E2&quot;/&gt;&lt;wsp:rsid wsp:val=&quot;00CE6FB9&quot;/&gt;&lt;wsp:rsid wsp:val=&quot;00CE7728&quot;/&gt;&lt;wsp:rsid wsp:val=&quot;00CE7A08&quot;/&gt;&lt;wsp:rsid wsp:val=&quot;00CE7C15&quot;/&gt;&lt;wsp:rsid wsp:val=&quot;00CF0771&quot;/&gt;&lt;wsp:rsid wsp:val=&quot;00CF0FCF&quot;/&gt;&lt;wsp:rsid wsp:val=&quot;00CF116C&quot;/&gt;&lt;wsp:rsid wsp:val=&quot;00CF13C8&quot;/&gt;&lt;wsp:rsid wsp:val=&quot;00CF1414&quot;/&gt;&lt;wsp:rsid wsp:val=&quot;00CF1CD7&quot;/&gt;&lt;wsp:rsid wsp:val=&quot;00CF1EB4&quot;/&gt;&lt;wsp:rsid wsp:val=&quot;00CF30C0&quot;/&gt;&lt;wsp:rsid wsp:val=&quot;00CF356D&quot;/&gt;&lt;wsp:rsid wsp:val=&quot;00CF36BE&quot;/&gt;&lt;wsp:rsid wsp:val=&quot;00CF387D&quot;/&gt;&lt;wsp:rsid wsp:val=&quot;00CF3E79&quot;/&gt;&lt;wsp:rsid wsp:val=&quot;00CF3FA8&quot;/&gt;&lt;wsp:rsid wsp:val=&quot;00CF43F3&quot;/&gt;&lt;wsp:rsid wsp:val=&quot;00CF4712&quot;/&gt;&lt;wsp:rsid wsp:val=&quot;00CF4CDD&quot;/&gt;&lt;wsp:rsid wsp:val=&quot;00CF4FC1&quot;/&gt;&lt;wsp:rsid wsp:val=&quot;00CF54D5&quot;/&gt;&lt;wsp:rsid wsp:val=&quot;00CF6000&quot;/&gt;&lt;wsp:rsid wsp:val=&quot;00CF6181&quot;/&gt;&lt;wsp:rsid wsp:val=&quot;00CF6C6A&quot;/&gt;&lt;wsp:rsid wsp:val=&quot;00CF7539&quot;/&gt;&lt;wsp:rsid wsp:val=&quot;00CF77B7&quot;/&gt;&lt;wsp:rsid wsp:val=&quot;00CF7F8F&quot;/&gt;&lt;wsp:rsid wsp:val=&quot;00D003F3&quot;/&gt;&lt;wsp:rsid wsp:val=&quot;00D00A7C&quot;/&gt;&lt;wsp:rsid wsp:val=&quot;00D0364F&quot;/&gt;&lt;wsp:rsid wsp:val=&quot;00D0450A&quot;/&gt;&lt;wsp:rsid wsp:val=&quot;00D04AAF&quot;/&gt;&lt;wsp:rsid wsp:val=&quot;00D054F7&quot;/&gt;&lt;wsp:rsid wsp:val=&quot;00D0672B&quot;/&gt;&lt;wsp:rsid wsp:val=&quot;00D06834&quot;/&gt;&lt;wsp:rsid wsp:val=&quot;00D06B57&quot;/&gt;&lt;wsp:rsid wsp:val=&quot;00D075E5&quot;/&gt;&lt;wsp:rsid wsp:val=&quot;00D109AC&quot;/&gt;&lt;wsp:rsid wsp:val=&quot;00D10B0E&quot;/&gt;&lt;wsp:rsid wsp:val=&quot;00D1106C&quot;/&gt;&lt;wsp:rsid wsp:val=&quot;00D1123F&quot;/&gt;&lt;wsp:rsid wsp:val=&quot;00D116BC&quot;/&gt;&lt;wsp:rsid wsp:val=&quot;00D117CA&quot;/&gt;&lt;wsp:rsid wsp:val=&quot;00D1218B&quot;/&gt;&lt;wsp:rsid wsp:val=&quot;00D12AF8&quot;/&gt;&lt;wsp:rsid wsp:val=&quot;00D1397C&quot;/&gt;&lt;wsp:rsid wsp:val=&quot;00D13C00&quot;/&gt;&lt;wsp:rsid wsp:val=&quot;00D14E77&quot;/&gt;&lt;wsp:rsid wsp:val=&quot;00D153AD&quot;/&gt;&lt;wsp:rsid wsp:val=&quot;00D16081&quot;/&gt;&lt;wsp:rsid wsp:val=&quot;00D162BA&quot;/&gt;&lt;wsp:rsid wsp:val=&quot;00D167BF&quot;/&gt;&lt;wsp:rsid wsp:val=&quot;00D169B7&quot;/&gt;&lt;wsp:rsid wsp:val=&quot;00D16B6C&quot;/&gt;&lt;wsp:rsid wsp:val=&quot;00D17475&quot;/&gt;&lt;wsp:rsid wsp:val=&quot;00D1770A&quot;/&gt;&lt;wsp:rsid wsp:val=&quot;00D17F23&quot;/&gt;&lt;wsp:rsid wsp:val=&quot;00D208A6&quot;/&gt;&lt;wsp:rsid wsp:val=&quot;00D218A1&quot;/&gt;&lt;wsp:rsid wsp:val=&quot;00D21943&quot;/&gt;&lt;wsp:rsid wsp:val=&quot;00D224E3&quot;/&gt;&lt;wsp:rsid wsp:val=&quot;00D229C3&quot;/&gt;&lt;wsp:rsid wsp:val=&quot;00D22A45&quot;/&gt;&lt;wsp:rsid wsp:val=&quot;00D22C08&quot;/&gt;&lt;wsp:rsid wsp:val=&quot;00D23830&quot;/&gt;&lt;wsp:rsid wsp:val=&quot;00D24720&quot;/&gt;&lt;wsp:rsid wsp:val=&quot;00D25753&quot;/&gt;&lt;wsp:rsid wsp:val=&quot;00D25D5E&quot;/&gt;&lt;wsp:rsid wsp:val=&quot;00D27263&quot;/&gt;&lt;wsp:rsid wsp:val=&quot;00D2756B&quot;/&gt;&lt;wsp:rsid wsp:val=&quot;00D279C6&quot;/&gt;&lt;wsp:rsid wsp:val=&quot;00D27EA3&quot;/&gt;&lt;wsp:rsid wsp:val=&quot;00D27F8E&quot;/&gt;&lt;wsp:rsid wsp:val=&quot;00D27FC7&quot;/&gt;&lt;wsp:rsid wsp:val=&quot;00D3067E&quot;/&gt;&lt;wsp:rsid wsp:val=&quot;00D308ED&quot;/&gt;&lt;wsp:rsid wsp:val=&quot;00D30C31&quot;/&gt;&lt;wsp:rsid wsp:val=&quot;00D312A3&quot;/&gt;&lt;wsp:rsid wsp:val=&quot;00D31B75&quot;/&gt;&lt;wsp:rsid wsp:val=&quot;00D32021&quot;/&gt;&lt;wsp:rsid wsp:val=&quot;00D32598&quot;/&gt;&lt;wsp:rsid wsp:val=&quot;00D32775&quot;/&gt;&lt;wsp:rsid wsp:val=&quot;00D33272&quot;/&gt;&lt;wsp:rsid wsp:val=&quot;00D33B25&quot;/&gt;&lt;wsp:rsid wsp:val=&quot;00D33D53&quot;/&gt;&lt;wsp:rsid wsp:val=&quot;00D34AD9&quot;/&gt;&lt;wsp:rsid wsp:val=&quot;00D34FA1&quot;/&gt;&lt;wsp:rsid wsp:val=&quot;00D36D86&quot;/&gt;&lt;wsp:rsid wsp:val=&quot;00D36EDF&quot;/&gt;&lt;wsp:rsid wsp:val=&quot;00D37679&quot;/&gt;&lt;wsp:rsid wsp:val=&quot;00D37D7B&quot;/&gt;&lt;wsp:rsid wsp:val=&quot;00D401BD&quot;/&gt;&lt;wsp:rsid wsp:val=&quot;00D40604&quot;/&gt;&lt;wsp:rsid wsp:val=&quot;00D4156C&quot;/&gt;&lt;wsp:rsid wsp:val=&quot;00D41783&quot;/&gt;&lt;wsp:rsid wsp:val=&quot;00D41FD5&quot;/&gt;&lt;wsp:rsid wsp:val=&quot;00D42441&quot;/&gt;&lt;wsp:rsid wsp:val=&quot;00D42829&quot;/&gt;&lt;wsp:rsid wsp:val=&quot;00D428AA&quot;/&gt;&lt;wsp:rsid wsp:val=&quot;00D42D8C&quot;/&gt;&lt;wsp:rsid wsp:val=&quot;00D438FB&quot;/&gt;&lt;wsp:rsid wsp:val=&quot;00D44830&quot;/&gt;&lt;wsp:rsid wsp:val=&quot;00D44C17&quot;/&gt;&lt;wsp:rsid wsp:val=&quot;00D454CA&quot;/&gt;&lt;wsp:rsid wsp:val=&quot;00D46BC4&quot;/&gt;&lt;wsp:rsid wsp:val=&quot;00D46F0C&quot;/&gt;&lt;wsp:rsid wsp:val=&quot;00D46FF8&quot;/&gt;&lt;wsp:rsid wsp:val=&quot;00D47D29&quot;/&gt;&lt;wsp:rsid wsp:val=&quot;00D5008B&quot;/&gt;&lt;wsp:rsid wsp:val=&quot;00D50A34&quot;/&gt;&lt;wsp:rsid wsp:val=&quot;00D50DC9&quot;/&gt;&lt;wsp:rsid wsp:val=&quot;00D512EF&quot;/&gt;&lt;wsp:rsid wsp:val=&quot;00D51668&quot;/&gt;&lt;wsp:rsid wsp:val=&quot;00D531A4&quot;/&gt;&lt;wsp:rsid wsp:val=&quot;00D53D67&quot;/&gt;&lt;wsp:rsid wsp:val=&quot;00D53E56&quot;/&gt;&lt;wsp:rsid wsp:val=&quot;00D53EFA&quot;/&gt;&lt;wsp:rsid wsp:val=&quot;00D5513D&quot;/&gt;&lt;wsp:rsid wsp:val=&quot;00D552B9&quot;/&gt;&lt;wsp:rsid wsp:val=&quot;00D55405&quot;/&gt;&lt;wsp:rsid wsp:val=&quot;00D558DB&quot;/&gt;&lt;wsp:rsid wsp:val=&quot;00D55F52&quot;/&gt;&lt;wsp:rsid wsp:val=&quot;00D57EDB&quot;/&gt;&lt;wsp:rsid wsp:val=&quot;00D60038&quot;/&gt;&lt;wsp:rsid wsp:val=&quot;00D60232&quot;/&gt;&lt;wsp:rsid wsp:val=&quot;00D60EEA&quot;/&gt;&lt;wsp:rsid wsp:val=&quot;00D6129F&quot;/&gt;&lt;wsp:rsid wsp:val=&quot;00D62122&quot;/&gt;&lt;wsp:rsid wsp:val=&quot;00D62322&quot;/&gt;&lt;wsp:rsid wsp:val=&quot;00D62DA7&quot;/&gt;&lt;wsp:rsid wsp:val=&quot;00D632AA&quot;/&gt;&lt;wsp:rsid wsp:val=&quot;00D63354&quot;/&gt;&lt;wsp:rsid wsp:val=&quot;00D63C2D&quot;/&gt;&lt;wsp:rsid wsp:val=&quot;00D63CD9&quot;/&gt;&lt;wsp:rsid wsp:val=&quot;00D63F8B&quot;/&gt;&lt;wsp:rsid wsp:val=&quot;00D64A34&quot;/&gt;&lt;wsp:rsid wsp:val=&quot;00D64EE9&quot;/&gt;&lt;wsp:rsid wsp:val=&quot;00D651F4&quot;/&gt;&lt;wsp:rsid wsp:val=&quot;00D661D9&quot;/&gt;&lt;wsp:rsid wsp:val=&quot;00D66311&quot;/&gt;&lt;wsp:rsid wsp:val=&quot;00D67714&quot;/&gt;&lt;wsp:rsid wsp:val=&quot;00D70781&quot;/&gt;&lt;wsp:rsid wsp:val=&quot;00D709CD&quot;/&gt;&lt;wsp:rsid wsp:val=&quot;00D70B00&quot;/&gt;&lt;wsp:rsid wsp:val=&quot;00D70BA5&quot;/&gt;&lt;wsp:rsid wsp:val=&quot;00D70D26&quot;/&gt;&lt;wsp:rsid wsp:val=&quot;00D70EDF&quot;/&gt;&lt;wsp:rsid wsp:val=&quot;00D71E07&quot;/&gt;&lt;wsp:rsid wsp:val=&quot;00D72485&quot;/&gt;&lt;wsp:rsid wsp:val=&quot;00D73429&quot;/&gt;&lt;wsp:rsid wsp:val=&quot;00D736E6&quot;/&gt;&lt;wsp:rsid wsp:val=&quot;00D73EC1&quot;/&gt;&lt;wsp:rsid wsp:val=&quot;00D74035&quot;/&gt;&lt;wsp:rsid wsp:val=&quot;00D74941&quot;/&gt;&lt;wsp:rsid wsp:val=&quot;00D74F97&quot;/&gt;&lt;wsp:rsid wsp:val=&quot;00D754EB&quot;/&gt;&lt;wsp:rsid wsp:val=&quot;00D760EC&quot;/&gt;&lt;wsp:rsid wsp:val=&quot;00D7641E&quot;/&gt;&lt;wsp:rsid wsp:val=&quot;00D76605&quot;/&gt;&lt;wsp:rsid wsp:val=&quot;00D76AE4&quot;/&gt;&lt;wsp:rsid wsp:val=&quot;00D76CEA&quot;/&gt;&lt;wsp:rsid wsp:val=&quot;00D77451&quot;/&gt;&lt;wsp:rsid wsp:val=&quot;00D775B4&quot;/&gt;&lt;wsp:rsid wsp:val=&quot;00D777C2&quot;/&gt;&lt;wsp:rsid wsp:val=&quot;00D77B68&quot;/&gt;&lt;wsp:rsid wsp:val=&quot;00D77C09&quot;/&gt;&lt;wsp:rsid wsp:val=&quot;00D77CC3&quot;/&gt;&lt;wsp:rsid wsp:val=&quot;00D77F07&quot;/&gt;&lt;wsp:rsid wsp:val=&quot;00D80AD4&quot;/&gt;&lt;wsp:rsid wsp:val=&quot;00D80CEA&quot;/&gt;&lt;wsp:rsid wsp:val=&quot;00D80D5A&quot;/&gt;&lt;wsp:rsid wsp:val=&quot;00D80E6F&quot;/&gt;&lt;wsp:rsid wsp:val=&quot;00D80F99&quot;/&gt;&lt;wsp:rsid wsp:val=&quot;00D81F98&quot;/&gt;&lt;wsp:rsid wsp:val=&quot;00D829E4&quot;/&gt;&lt;wsp:rsid wsp:val=&quot;00D83172&quot;/&gt;&lt;wsp:rsid wsp:val=&quot;00D83DDD&quot;/&gt;&lt;wsp:rsid wsp:val=&quot;00D84C23&quot;/&gt;&lt;wsp:rsid wsp:val=&quot;00D84D0A&quot;/&gt;&lt;wsp:rsid wsp:val=&quot;00D85521&quot;/&gt;&lt;wsp:rsid wsp:val=&quot;00D86351&quot;/&gt;&lt;wsp:rsid wsp:val=&quot;00D865A6&quot;/&gt;&lt;wsp:rsid wsp:val=&quot;00D86C41&quot;/&gt;&lt;wsp:rsid wsp:val=&quot;00D86CC2&quot;/&gt;&lt;wsp:rsid wsp:val=&quot;00D87A24&quot;/&gt;&lt;wsp:rsid wsp:val=&quot;00D907C4&quot;/&gt;&lt;wsp:rsid wsp:val=&quot;00D92753&quot;/&gt;&lt;wsp:rsid wsp:val=&quot;00D9309B&quot;/&gt;&lt;wsp:rsid wsp:val=&quot;00D93483&quot;/&gt;&lt;wsp:rsid wsp:val=&quot;00D93619&quot;/&gt;&lt;wsp:rsid wsp:val=&quot;00D94501&quot;/&gt;&lt;wsp:rsid wsp:val=&quot;00D94A7C&quot;/&gt;&lt;wsp:rsid wsp:val=&quot;00D94C5F&quot;/&gt;&lt;wsp:rsid wsp:val=&quot;00D94F3A&quot;/&gt;&lt;wsp:rsid wsp:val=&quot;00D953FC&quot;/&gt;&lt;wsp:rsid wsp:val=&quot;00D9567A&quot;/&gt;&lt;wsp:rsid wsp:val=&quot;00D95896&quot;/&gt;&lt;wsp:rsid wsp:val=&quot;00D95B05&quot;/&gt;&lt;wsp:rsid wsp:val=&quot;00D962BC&quot;/&gt;&lt;wsp:rsid wsp:val=&quot;00D96CE9&quot;/&gt;&lt;wsp:rsid wsp:val=&quot;00D96DC3&quot;/&gt;&lt;wsp:rsid wsp:val=&quot;00D9722C&quot;/&gt;&lt;wsp:rsid wsp:val=&quot;00DA0996&quot;/&gt;&lt;wsp:rsid wsp:val=&quot;00DA0E2E&quot;/&gt;&lt;wsp:rsid wsp:val=&quot;00DA0E61&quot;/&gt;&lt;wsp:rsid wsp:val=&quot;00DA1123&quot;/&gt;&lt;wsp:rsid wsp:val=&quot;00DA17CC&quot;/&gt;&lt;wsp:rsid wsp:val=&quot;00DA1AA7&quot;/&gt;&lt;wsp:rsid wsp:val=&quot;00DA1B74&quot;/&gt;&lt;wsp:rsid wsp:val=&quot;00DA24FC&quot;/&gt;&lt;wsp:rsid wsp:val=&quot;00DA266D&quot;/&gt;&lt;wsp:rsid wsp:val=&quot;00DA2760&quot;/&gt;&lt;wsp:rsid wsp:val=&quot;00DA3825&quot;/&gt;&lt;wsp:rsid wsp:val=&quot;00DA3F6C&quot;/&gt;&lt;wsp:rsid wsp:val=&quot;00DA415D&quot;/&gt;&lt;wsp:rsid wsp:val=&quot;00DA4563&quot;/&gt;&lt;wsp:rsid wsp:val=&quot;00DA470C&quot;/&gt;&lt;wsp:rsid wsp:val=&quot;00DA4734&quot;/&gt;&lt;wsp:rsid wsp:val=&quot;00DA4854&quot;/&gt;&lt;wsp:rsid wsp:val=&quot;00DA5299&quot;/&gt;&lt;wsp:rsid wsp:val=&quot;00DA56E6&quot;/&gt;&lt;wsp:rsid wsp:val=&quot;00DA5EE3&quot;/&gt;&lt;wsp:rsid wsp:val=&quot;00DA6BA1&quot;/&gt;&lt;wsp:rsid wsp:val=&quot;00DA6C5E&quot;/&gt;&lt;wsp:rsid wsp:val=&quot;00DA71B2&quot;/&gt;&lt;wsp:rsid wsp:val=&quot;00DA73A2&quot;/&gt;&lt;wsp:rsid wsp:val=&quot;00DA7672&quot;/&gt;&lt;wsp:rsid wsp:val=&quot;00DA7ADE&quot;/&gt;&lt;wsp:rsid wsp:val=&quot;00DA7C50&quot;/&gt;&lt;wsp:rsid wsp:val=&quot;00DA7F95&quot;/&gt;&lt;wsp:rsid wsp:val=&quot;00DA7FC6&quot;/&gt;&lt;wsp:rsid wsp:val=&quot;00DB0E6F&quot;/&gt;&lt;wsp:rsid wsp:val=&quot;00DB1EB1&quot;/&gt;&lt;wsp:rsid wsp:val=&quot;00DB1FF9&quot;/&gt;&lt;wsp:rsid wsp:val=&quot;00DB2696&quot;/&gt;&lt;wsp:rsid wsp:val=&quot;00DB2983&quot;/&gt;&lt;wsp:rsid wsp:val=&quot;00DB3C27&quot;/&gt;&lt;wsp:rsid wsp:val=&quot;00DB3EB1&quot;/&gt;&lt;wsp:rsid wsp:val=&quot;00DB43E5&quot;/&gt;&lt;wsp:rsid wsp:val=&quot;00DB4D4A&quot;/&gt;&lt;wsp:rsid wsp:val=&quot;00DB53AB&quot;/&gt;&lt;wsp:rsid wsp:val=&quot;00DB54B9&quot;/&gt;&lt;wsp:rsid wsp:val=&quot;00DB5922&quot;/&gt;&lt;wsp:rsid wsp:val=&quot;00DB5EA0&quot;/&gt;&lt;wsp:rsid wsp:val=&quot;00DB6473&quot;/&gt;&lt;wsp:rsid wsp:val=&quot;00DB668C&quot;/&gt;&lt;wsp:rsid wsp:val=&quot;00DB6E5D&quot;/&gt;&lt;wsp:rsid wsp:val=&quot;00DB7DEA&quot;/&gt;&lt;wsp:rsid wsp:val=&quot;00DC0114&quot;/&gt;&lt;wsp:rsid wsp:val=&quot;00DC0AD2&quot;/&gt;&lt;wsp:rsid wsp:val=&quot;00DC0E1B&quot;/&gt;&lt;wsp:rsid wsp:val=&quot;00DC1247&quot;/&gt;&lt;wsp:rsid wsp:val=&quot;00DC1257&quot;/&gt;&lt;wsp:rsid wsp:val=&quot;00DC1A9A&quot;/&gt;&lt;wsp:rsid wsp:val=&quot;00DC2216&quot;/&gt;&lt;wsp:rsid wsp:val=&quot;00DC2986&quot;/&gt;&lt;wsp:rsid wsp:val=&quot;00DC3BAB&quot;/&gt;&lt;wsp:rsid wsp:val=&quot;00DC3DC0&quot;/&gt;&lt;wsp:rsid wsp:val=&quot;00DC4518&quot;/&gt;&lt;wsp:rsid wsp:val=&quot;00DC4D51&quot;/&gt;&lt;wsp:rsid wsp:val=&quot;00DC563A&quot;/&gt;&lt;wsp:rsid wsp:val=&quot;00DC5B2B&quot;/&gt;&lt;wsp:rsid wsp:val=&quot;00DC5F5E&quot;/&gt;&lt;wsp:rsid wsp:val=&quot;00DC6334&quot;/&gt;&lt;wsp:rsid wsp:val=&quot;00DC63F0&quot;/&gt;&lt;wsp:rsid wsp:val=&quot;00DC65C3&quot;/&gt;&lt;wsp:rsid wsp:val=&quot;00DC6A82&quot;/&gt;&lt;wsp:rsid wsp:val=&quot;00DC6AFD&quot;/&gt;&lt;wsp:rsid wsp:val=&quot;00DC7574&quot;/&gt;&lt;wsp:rsid wsp:val=&quot;00DC77F6&quot;/&gt;&lt;wsp:rsid wsp:val=&quot;00DC7848&quot;/&gt;&lt;wsp:rsid wsp:val=&quot;00DD0061&quot;/&gt;&lt;wsp:rsid wsp:val=&quot;00DD183E&quot;/&gt;&lt;wsp:rsid wsp:val=&quot;00DD202F&quot;/&gt;&lt;wsp:rsid wsp:val=&quot;00DD23E4&quot;/&gt;&lt;wsp:rsid wsp:val=&quot;00DD28C3&quot;/&gt;&lt;wsp:rsid wsp:val=&quot;00DD318D&quot;/&gt;&lt;wsp:rsid wsp:val=&quot;00DD33E1&quot;/&gt;&lt;wsp:rsid wsp:val=&quot;00DD3534&quot;/&gt;&lt;wsp:rsid wsp:val=&quot;00DD4430&quot;/&gt;&lt;wsp:rsid wsp:val=&quot;00DD5914&quot;/&gt;&lt;wsp:rsid wsp:val=&quot;00DD59FA&quot;/&gt;&lt;wsp:rsid wsp:val=&quot;00DD5EE4&quot;/&gt;&lt;wsp:rsid wsp:val=&quot;00DD6538&quot;/&gt;&lt;wsp:rsid wsp:val=&quot;00DD655A&quot;/&gt;&lt;wsp:rsid wsp:val=&quot;00DD6CF6&quot;/&gt;&lt;wsp:rsid wsp:val=&quot;00DD715C&quot;/&gt;&lt;wsp:rsid wsp:val=&quot;00DD7414&quot;/&gt;&lt;wsp:rsid wsp:val=&quot;00DD75A1&quot;/&gt;&lt;wsp:rsid wsp:val=&quot;00DD78C9&quot;/&gt;&lt;wsp:rsid wsp:val=&quot;00DD7BBC&quot;/&gt;&lt;wsp:rsid wsp:val=&quot;00DD7E1B&quot;/&gt;&lt;wsp:rsid wsp:val=&quot;00DE01C8&quot;/&gt;&lt;wsp:rsid wsp:val=&quot;00DE03B7&quot;/&gt;&lt;wsp:rsid wsp:val=&quot;00DE093E&quot;/&gt;&lt;wsp:rsid wsp:val=&quot;00DE176A&quot;/&gt;&lt;wsp:rsid wsp:val=&quot;00DE270D&quot;/&gt;&lt;wsp:rsid wsp:val=&quot;00DE282D&quot;/&gt;&lt;wsp:rsid wsp:val=&quot;00DE2A0A&quot;/&gt;&lt;wsp:rsid wsp:val=&quot;00DE2B53&quot;/&gt;&lt;wsp:rsid wsp:val=&quot;00DE2C3A&quot;/&gt;&lt;wsp:rsid wsp:val=&quot;00DE316C&quot;/&gt;&lt;wsp:rsid wsp:val=&quot;00DE35D9&quot;/&gt;&lt;wsp:rsid wsp:val=&quot;00DE3BFB&quot;/&gt;&lt;wsp:rsid wsp:val=&quot;00DE4FFA&quot;/&gt;&lt;wsp:rsid wsp:val=&quot;00DE51D9&quot;/&gt;&lt;wsp:rsid wsp:val=&quot;00DE587C&quot;/&gt;&lt;wsp:rsid wsp:val=&quot;00DE6402&quot;/&gt;&lt;wsp:rsid wsp:val=&quot;00DE64A4&quot;/&gt;&lt;wsp:rsid wsp:val=&quot;00DE7810&quot;/&gt;&lt;wsp:rsid wsp:val=&quot;00DE7F9B&quot;/&gt;&lt;wsp:rsid wsp:val=&quot;00DF0215&quot;/&gt;&lt;wsp:rsid wsp:val=&quot;00DF1109&quot;/&gt;&lt;wsp:rsid wsp:val=&quot;00DF122E&quot;/&gt;&lt;wsp:rsid wsp:val=&quot;00DF2E12&quot;/&gt;&lt;wsp:rsid wsp:val=&quot;00DF3454&quot;/&gt;&lt;wsp:rsid wsp:val=&quot;00DF39CA&quot;/&gt;&lt;wsp:rsid wsp:val=&quot;00DF4C83&quot;/&gt;&lt;wsp:rsid wsp:val=&quot;00DF4D99&quot;/&gt;&lt;wsp:rsid wsp:val=&quot;00DF5055&quot;/&gt;&lt;wsp:rsid wsp:val=&quot;00DF514A&quot;/&gt;&lt;wsp:rsid wsp:val=&quot;00DF5458&quot;/&gt;&lt;wsp:rsid wsp:val=&quot;00DF5838&quot;/&gt;&lt;wsp:rsid wsp:val=&quot;00DF59F3&quot;/&gt;&lt;wsp:rsid wsp:val=&quot;00DF5F21&quot;/&gt;&lt;wsp:rsid wsp:val=&quot;00DF5FDF&quot;/&gt;&lt;wsp:rsid wsp:val=&quot;00DF6690&quot;/&gt;&lt;wsp:rsid wsp:val=&quot;00DF6804&quot;/&gt;&lt;wsp:rsid wsp:val=&quot;00DF6AEB&quot;/&gt;&lt;wsp:rsid wsp:val=&quot;00DF6F4F&quot;/&gt;&lt;wsp:rsid wsp:val=&quot;00DF7830&quot;/&gt;&lt;wsp:rsid wsp:val=&quot;00DF7855&quot;/&gt;&lt;wsp:rsid wsp:val=&quot;00DF7B0B&quot;/&gt;&lt;wsp:rsid wsp:val=&quot;00E0228B&quot;/&gt;&lt;wsp:rsid wsp:val=&quot;00E02F46&quot;/&gt;&lt;wsp:rsid wsp:val=&quot;00E0315A&quot;/&gt;&lt;wsp:rsid wsp:val=&quot;00E0358D&quot;/&gt;&lt;wsp:rsid wsp:val=&quot;00E03B23&quot;/&gt;&lt;wsp:rsid wsp:val=&quot;00E03CCD&quot;/&gt;&lt;wsp:rsid wsp:val=&quot;00E04323&quot;/&gt;&lt;wsp:rsid wsp:val=&quot;00E05147&quot;/&gt;&lt;wsp:rsid wsp:val=&quot;00E05202&quot;/&gt;&lt;wsp:rsid wsp:val=&quot;00E0617C&quot;/&gt;&lt;wsp:rsid wsp:val=&quot;00E061AC&quot;/&gt;&lt;wsp:rsid wsp:val=&quot;00E06D95&quot;/&gt;&lt;wsp:rsid wsp:val=&quot;00E070A2&quot;/&gt;&lt;wsp:rsid wsp:val=&quot;00E07B1E&quot;/&gt;&lt;wsp:rsid wsp:val=&quot;00E07C88&quot;/&gt;&lt;wsp:rsid wsp:val=&quot;00E07D30&quot;/&gt;&lt;wsp:rsid wsp:val=&quot;00E11B63&quot;/&gt;&lt;wsp:rsid wsp:val=&quot;00E11C7B&quot;/&gt;&lt;wsp:rsid wsp:val=&quot;00E1467E&quot;/&gt;&lt;wsp:rsid wsp:val=&quot;00E14935&quot;/&gt;&lt;wsp:rsid wsp:val=&quot;00E14E14&quot;/&gt;&lt;wsp:rsid wsp:val=&quot;00E14F62&quot;/&gt;&lt;wsp:rsid wsp:val=&quot;00E1579C&quot;/&gt;&lt;wsp:rsid wsp:val=&quot;00E159B1&quot;/&gt;&lt;wsp:rsid wsp:val=&quot;00E15ABF&quot;/&gt;&lt;wsp:rsid wsp:val=&quot;00E15B8F&quot;/&gt;&lt;wsp:rsid wsp:val=&quot;00E15F14&quot;/&gt;&lt;wsp:rsid wsp:val=&quot;00E164D5&quot;/&gt;&lt;wsp:rsid wsp:val=&quot;00E1651C&quot;/&gt;&lt;wsp:rsid wsp:val=&quot;00E171BB&quot;/&gt;&lt;wsp:rsid wsp:val=&quot;00E174E9&quot;/&gt;&lt;wsp:rsid wsp:val=&quot;00E176B4&quot;/&gt;&lt;wsp:rsid wsp:val=&quot;00E205D9&quot;/&gt;&lt;wsp:rsid wsp:val=&quot;00E20B69&quot;/&gt;&lt;wsp:rsid wsp:val=&quot;00E20CEF&quot;/&gt;&lt;wsp:rsid wsp:val=&quot;00E21331&quot;/&gt;&lt;wsp:rsid wsp:val=&quot;00E219C5&quot;/&gt;&lt;wsp:rsid wsp:val=&quot;00E22C74&quot;/&gt;&lt;wsp:rsid wsp:val=&quot;00E22C95&quot;/&gt;&lt;wsp:rsid wsp:val=&quot;00E2361F&quot;/&gt;&lt;wsp:rsid wsp:val=&quot;00E23A31&quot;/&gt;&lt;wsp:rsid wsp:val=&quot;00E23CFC&quot;/&gt;&lt;wsp:rsid wsp:val=&quot;00E23F16&quot;/&gt;&lt;wsp:rsid wsp:val=&quot;00E24126&quot;/&gt;&lt;wsp:rsid wsp:val=&quot;00E242B5&quot;/&gt;&lt;wsp:rsid wsp:val=&quot;00E2620F&quot;/&gt;&lt;wsp:rsid wsp:val=&quot;00E26356&quot;/&gt;&lt;wsp:rsid wsp:val=&quot;00E2656A&quot;/&gt;&lt;wsp:rsid wsp:val=&quot;00E26D91&quot;/&gt;&lt;wsp:rsid wsp:val=&quot;00E27D26&quot;/&gt;&lt;wsp:rsid wsp:val=&quot;00E27F8E&quot;/&gt;&lt;wsp:rsid wsp:val=&quot;00E30AF6&quot;/&gt;&lt;wsp:rsid wsp:val=&quot;00E313CC&quot;/&gt;&lt;wsp:rsid wsp:val=&quot;00E31679&quot;/&gt;&lt;wsp:rsid wsp:val=&quot;00E322CB&quot;/&gt;&lt;wsp:rsid wsp:val=&quot;00E327BB&quot;/&gt;&lt;wsp:rsid wsp:val=&quot;00E34585&quot;/&gt;&lt;wsp:rsid wsp:val=&quot;00E34C35&quot;/&gt;&lt;wsp:rsid wsp:val=&quot;00E35685&quot;/&gt;&lt;wsp:rsid wsp:val=&quot;00E36672&quot;/&gt;&lt;wsp:rsid wsp:val=&quot;00E36826&quot;/&gt;&lt;wsp:rsid wsp:val=&quot;00E36D79&quot;/&gt;&lt;wsp:rsid wsp:val=&quot;00E36EA9&quot;/&gt;&lt;wsp:rsid wsp:val=&quot;00E373CA&quot;/&gt;&lt;wsp:rsid wsp:val=&quot;00E3765E&quot;/&gt;&lt;wsp:rsid wsp:val=&quot;00E37B06&quot;/&gt;&lt;wsp:rsid wsp:val=&quot;00E37FF6&quot;/&gt;&lt;wsp:rsid wsp:val=&quot;00E40C7A&quot;/&gt;&lt;wsp:rsid wsp:val=&quot;00E40EEB&quot;/&gt;&lt;wsp:rsid wsp:val=&quot;00E40F29&quot;/&gt;&lt;wsp:rsid wsp:val=&quot;00E4120D&quot;/&gt;&lt;wsp:rsid wsp:val=&quot;00E412D0&quot;/&gt;&lt;wsp:rsid wsp:val=&quot;00E415A2&quot;/&gt;&lt;wsp:rsid wsp:val=&quot;00E417AA&quot;/&gt;&lt;wsp:rsid wsp:val=&quot;00E422A8&quot;/&gt;&lt;wsp:rsid wsp:val=&quot;00E42669&quot;/&gt;&lt;wsp:rsid wsp:val=&quot;00E4272C&quot;/&gt;&lt;wsp:rsid wsp:val=&quot;00E44493&quot;/&gt;&lt;wsp:rsid wsp:val=&quot;00E44531&quot;/&gt;&lt;wsp:rsid wsp:val=&quot;00E456E1&quot;/&gt;&lt;wsp:rsid wsp:val=&quot;00E460A0&quot;/&gt;&lt;wsp:rsid wsp:val=&quot;00E46CC7&quot;/&gt;&lt;wsp:rsid wsp:val=&quot;00E46DC4&quot;/&gt;&lt;wsp:rsid wsp:val=&quot;00E478E3&quot;/&gt;&lt;wsp:rsid wsp:val=&quot;00E47A47&quot;/&gt;&lt;wsp:rsid wsp:val=&quot;00E47EBE&quot;/&gt;&lt;wsp:rsid wsp:val=&quot;00E50140&quot;/&gt;&lt;wsp:rsid wsp:val=&quot;00E50CEF&quot;/&gt;&lt;wsp:rsid wsp:val=&quot;00E510BF&quot;/&gt;&lt;wsp:rsid wsp:val=&quot;00E51B1B&quot;/&gt;&lt;wsp:rsid wsp:val=&quot;00E52060&quot;/&gt;&lt;wsp:rsid wsp:val=&quot;00E521E6&quot;/&gt;&lt;wsp:rsid wsp:val=&quot;00E52FF3&quot;/&gt;&lt;wsp:rsid wsp:val=&quot;00E53281&quot;/&gt;&lt;wsp:rsid wsp:val=&quot;00E533CB&quot;/&gt;&lt;wsp:rsid wsp:val=&quot;00E5359B&quot;/&gt;&lt;wsp:rsid wsp:val=&quot;00E538F1&quot;/&gt;&lt;wsp:rsid wsp:val=&quot;00E539F9&quot;/&gt;&lt;wsp:rsid wsp:val=&quot;00E53A23&quot;/&gt;&lt;wsp:rsid wsp:val=&quot;00E5454A&quot;/&gt;&lt;wsp:rsid wsp:val=&quot;00E55F44&quot;/&gt;&lt;wsp:rsid wsp:val=&quot;00E560B8&quot;/&gt;&lt;wsp:rsid wsp:val=&quot;00E56322&quot;/&gt;&lt;wsp:rsid wsp:val=&quot;00E568DD&quot;/&gt;&lt;wsp:rsid wsp:val=&quot;00E5696B&quot;/&gt;&lt;wsp:rsid wsp:val=&quot;00E56A64&quot;/&gt;&lt;wsp:rsid wsp:val=&quot;00E56E12&quot;/&gt;&lt;wsp:rsid wsp:val=&quot;00E57F55&quot;/&gt;&lt;wsp:rsid wsp:val=&quot;00E6047B&quot;/&gt;&lt;wsp:rsid wsp:val=&quot;00E60982&quot;/&gt;&lt;wsp:rsid wsp:val=&quot;00E61972&quot;/&gt;&lt;wsp:rsid wsp:val=&quot;00E62092&quot;/&gt;&lt;wsp:rsid wsp:val=&quot;00E62863&quot;/&gt;&lt;wsp:rsid wsp:val=&quot;00E62A12&quot;/&gt;&lt;wsp:rsid wsp:val=&quot;00E62C62&quot;/&gt;&lt;wsp:rsid wsp:val=&quot;00E62E68&quot;/&gt;&lt;wsp:rsid wsp:val=&quot;00E631CB&quot;/&gt;&lt;wsp:rsid wsp:val=&quot;00E63AD2&quot;/&gt;&lt;wsp:rsid wsp:val=&quot;00E642B3&quot;/&gt;&lt;wsp:rsid wsp:val=&quot;00E64F93&quot;/&gt;&lt;wsp:rsid wsp:val=&quot;00E65210&quot;/&gt;&lt;wsp:rsid wsp:val=&quot;00E654C1&quot;/&gt;&lt;wsp:rsid wsp:val=&quot;00E65770&quot;/&gt;&lt;wsp:rsid wsp:val=&quot;00E65D97&quot;/&gt;&lt;wsp:rsid wsp:val=&quot;00E66142&quot;/&gt;&lt;wsp:rsid wsp:val=&quot;00E6655A&quot;/&gt;&lt;wsp:rsid wsp:val=&quot;00E6736C&quot;/&gt;&lt;wsp:rsid wsp:val=&quot;00E673DB&quot;/&gt;&lt;wsp:rsid wsp:val=&quot;00E67B3F&quot;/&gt;&lt;wsp:rsid wsp:val=&quot;00E67D8C&quot;/&gt;&lt;wsp:rsid wsp:val=&quot;00E7120C&quot;/&gt;&lt;wsp:rsid wsp:val=&quot;00E71DBB&quot;/&gt;&lt;wsp:rsid wsp:val=&quot;00E71EE5&quot;/&gt;&lt;wsp:rsid wsp:val=&quot;00E71FA8&quot;/&gt;&lt;wsp:rsid wsp:val=&quot;00E723F1&quot;/&gt;&lt;wsp:rsid wsp:val=&quot;00E724A7&quot;/&gt;&lt;wsp:rsid wsp:val=&quot;00E72A5A&quot;/&gt;&lt;wsp:rsid wsp:val=&quot;00E73354&quot;/&gt;&lt;wsp:rsid wsp:val=&quot;00E7337D&quot;/&gt;&lt;wsp:rsid wsp:val=&quot;00E73564&quot;/&gt;&lt;wsp:rsid wsp:val=&quot;00E73927&quot;/&gt;&lt;wsp:rsid wsp:val=&quot;00E739CD&quot;/&gt;&lt;wsp:rsid wsp:val=&quot;00E740B1&quot;/&gt;&lt;wsp:rsid wsp:val=&quot;00E752F7&quot;/&gt;&lt;wsp:rsid wsp:val=&quot;00E76147&quot;/&gt;&lt;wsp:rsid wsp:val=&quot;00E768EE&quot;/&gt;&lt;wsp:rsid wsp:val=&quot;00E76B06&quot;/&gt;&lt;wsp:rsid wsp:val=&quot;00E76E3D&quot;/&gt;&lt;wsp:rsid wsp:val=&quot;00E778F7&quot;/&gt;&lt;wsp:rsid wsp:val=&quot;00E77DD4&quot;/&gt;&lt;wsp:rsid wsp:val=&quot;00E77DD9&quot;/&gt;&lt;wsp:rsid wsp:val=&quot;00E77F8E&quot;/&gt;&lt;wsp:rsid wsp:val=&quot;00E802FC&quot;/&gt;&lt;wsp:rsid wsp:val=&quot;00E80432&quot;/&gt;&lt;wsp:rsid wsp:val=&quot;00E80565&quot;/&gt;&lt;wsp:rsid wsp:val=&quot;00E806B1&quot;/&gt;&lt;wsp:rsid wsp:val=&quot;00E80D7F&quot;/&gt;&lt;wsp:rsid wsp:val=&quot;00E815D0&quot;/&gt;&lt;wsp:rsid wsp:val=&quot;00E81703&quot;/&gt;&lt;wsp:rsid wsp:val=&quot;00E81940&quot;/&gt;&lt;wsp:rsid wsp:val=&quot;00E81B4C&quot;/&gt;&lt;wsp:rsid wsp:val=&quot;00E8288F&quot;/&gt;&lt;wsp:rsid wsp:val=&quot;00E82C28&quot;/&gt;&lt;wsp:rsid wsp:val=&quot;00E82D78&quot;/&gt;&lt;wsp:rsid wsp:val=&quot;00E83025&quot;/&gt;&lt;wsp:rsid wsp:val=&quot;00E83B7A&quot;/&gt;&lt;wsp:rsid wsp:val=&quot;00E843A3&quot;/&gt;&lt;wsp:rsid wsp:val=&quot;00E851C1&quot;/&gt;&lt;wsp:rsid wsp:val=&quot;00E85872&quot;/&gt;&lt;wsp:rsid wsp:val=&quot;00E85C4F&quot;/&gt;&lt;wsp:rsid wsp:val=&quot;00E86331&quot;/&gt;&lt;wsp:rsid wsp:val=&quot;00E8641B&quot;/&gt;&lt;wsp:rsid wsp:val=&quot;00E87445&quot;/&gt;&lt;wsp:rsid wsp:val=&quot;00E8752B&quot;/&gt;&lt;wsp:rsid wsp:val=&quot;00E877E8&quot;/&gt;&lt;wsp:rsid wsp:val=&quot;00E903B8&quot;/&gt;&lt;wsp:rsid wsp:val=&quot;00E9126D&quot;/&gt;&lt;wsp:rsid wsp:val=&quot;00E913EE&quot;/&gt;&lt;wsp:rsid wsp:val=&quot;00E9224A&quot;/&gt;&lt;wsp:rsid wsp:val=&quot;00E9242D&quot;/&gt;&lt;wsp:rsid wsp:val=&quot;00E924A2&quot;/&gt;&lt;wsp:rsid wsp:val=&quot;00E93666&quot;/&gt;&lt;wsp:rsid wsp:val=&quot;00E93D61&quot;/&gt;&lt;wsp:rsid wsp:val=&quot;00E94187&quot;/&gt;&lt;wsp:rsid wsp:val=&quot;00E941F4&quot;/&gt;&lt;wsp:rsid wsp:val=&quot;00E94370&quot;/&gt;&lt;wsp:rsid wsp:val=&quot;00E95325&quot;/&gt;&lt;wsp:rsid wsp:val=&quot;00E96F30&quot;/&gt;&lt;wsp:rsid wsp:val=&quot;00E97159&quot;/&gt;&lt;wsp:rsid wsp:val=&quot;00E97A3D&quot;/&gt;&lt;wsp:rsid wsp:val=&quot;00EA0D88&quot;/&gt;&lt;wsp:rsid wsp:val=&quot;00EA1064&quot;/&gt;&lt;wsp:rsid wsp:val=&quot;00EA17B2&quot;/&gt;&lt;wsp:rsid wsp:val=&quot;00EA1E90&quot;/&gt;&lt;wsp:rsid wsp:val=&quot;00EA206F&quot;/&gt;&lt;wsp:rsid wsp:val=&quot;00EA2F66&quot;/&gt;&lt;wsp:rsid wsp:val=&quot;00EA30EF&quot;/&gt;&lt;wsp:rsid wsp:val=&quot;00EA3908&quot;/&gt;&lt;wsp:rsid wsp:val=&quot;00EA404E&quot;/&gt;&lt;wsp:rsid wsp:val=&quot;00EA43BF&quot;/&gt;&lt;wsp:rsid wsp:val=&quot;00EA4A62&quot;/&gt;&lt;wsp:rsid wsp:val=&quot;00EA500F&quot;/&gt;&lt;wsp:rsid wsp:val=&quot;00EA52E4&quot;/&gt;&lt;wsp:rsid wsp:val=&quot;00EA5B7D&quot;/&gt;&lt;wsp:rsid wsp:val=&quot;00EA7116&quot;/&gt;&lt;wsp:rsid wsp:val=&quot;00EA734D&quot;/&gt;&lt;wsp:rsid wsp:val=&quot;00EA738C&quot;/&gt;&lt;wsp:rsid wsp:val=&quot;00EB00AC&quot;/&gt;&lt;wsp:rsid wsp:val=&quot;00EB0145&quot;/&gt;&lt;wsp:rsid wsp:val=&quot;00EB0513&quot;/&gt;&lt;wsp:rsid wsp:val=&quot;00EB07AA&quot;/&gt;&lt;wsp:rsid wsp:val=&quot;00EB1CFE&quot;/&gt;&lt;wsp:rsid wsp:val=&quot;00EB1F47&quot;/&gt;&lt;wsp:rsid wsp:val=&quot;00EB2DF2&quot;/&gt;&lt;wsp:rsid wsp:val=&quot;00EB33D6&quot;/&gt;&lt;wsp:rsid wsp:val=&quot;00EB4E3A&quot;/&gt;&lt;wsp:rsid wsp:val=&quot;00EB4E97&quot;/&gt;&lt;wsp:rsid wsp:val=&quot;00EB5255&quot;/&gt;&lt;wsp:rsid wsp:val=&quot;00EB57FE&quot;/&gt;&lt;wsp:rsid wsp:val=&quot;00EB59E7&quot;/&gt;&lt;wsp:rsid wsp:val=&quot;00EB5C47&quot;/&gt;&lt;wsp:rsid wsp:val=&quot;00EB5D20&quot;/&gt;&lt;wsp:rsid wsp:val=&quot;00EB5D28&quot;/&gt;&lt;wsp:rsid wsp:val=&quot;00EB653B&quot;/&gt;&lt;wsp:rsid wsp:val=&quot;00EB7BAE&quot;/&gt;&lt;wsp:rsid wsp:val=&quot;00EC0F11&quot;/&gt;&lt;wsp:rsid wsp:val=&quot;00EC1011&quot;/&gt;&lt;wsp:rsid wsp:val=&quot;00EC11A1&quot;/&gt;&lt;wsp:rsid wsp:val=&quot;00EC14A4&quot;/&gt;&lt;wsp:rsid wsp:val=&quot;00EC1943&quot;/&gt;&lt;wsp:rsid wsp:val=&quot;00EC2EAD&quot;/&gt;&lt;wsp:rsid wsp:val=&quot;00EC2ED9&quot;/&gt;&lt;wsp:rsid wsp:val=&quot;00EC3652&quot;/&gt;&lt;wsp:rsid wsp:val=&quot;00EC3B55&quot;/&gt;&lt;wsp:rsid wsp:val=&quot;00EC3D63&quot;/&gt;&lt;wsp:rsid wsp:val=&quot;00EC492F&quot;/&gt;&lt;wsp:rsid wsp:val=&quot;00EC4FEB&quot;/&gt;&lt;wsp:rsid wsp:val=&quot;00EC59A8&quot;/&gt;&lt;wsp:rsid wsp:val=&quot;00EC5A67&quot;/&gt;&lt;wsp:rsid wsp:val=&quot;00EC5D34&quot;/&gt;&lt;wsp:rsid wsp:val=&quot;00EC60D4&quot;/&gt;&lt;wsp:rsid wsp:val=&quot;00EC79EA&quot;/&gt;&lt;wsp:rsid wsp:val=&quot;00EC7A47&quot;/&gt;&lt;wsp:rsid wsp:val=&quot;00EC7C47&quot;/&gt;&lt;wsp:rsid wsp:val=&quot;00EC7F64&quot;/&gt;&lt;wsp:rsid wsp:val=&quot;00ED0639&quot;/&gt;&lt;wsp:rsid wsp:val=&quot;00ED06BE&quot;/&gt;&lt;wsp:rsid wsp:val=&quot;00ED06FE&quot;/&gt;&lt;wsp:rsid wsp:val=&quot;00ED0D7C&quot;/&gt;&lt;wsp:rsid wsp:val=&quot;00ED142F&quot;/&gt;&lt;wsp:rsid wsp:val=&quot;00ED152B&quot;/&gt;&lt;wsp:rsid wsp:val=&quot;00ED16DC&quot;/&gt;&lt;wsp:rsid wsp:val=&quot;00ED1A3E&quot;/&gt;&lt;wsp:rsid wsp:val=&quot;00ED2990&quot;/&gt;&lt;wsp:rsid wsp:val=&quot;00ED2A61&quot;/&gt;&lt;wsp:rsid wsp:val=&quot;00ED31CA&quot;/&gt;&lt;wsp:rsid wsp:val=&quot;00ED3DE9&quot;/&gt;&lt;wsp:rsid wsp:val=&quot;00ED41D7&quot;/&gt;&lt;wsp:rsid wsp:val=&quot;00ED4669&quot;/&gt;&lt;wsp:rsid wsp:val=&quot;00ED46E0&quot;/&gt;&lt;wsp:rsid wsp:val=&quot;00ED47FB&quot;/&gt;&lt;wsp:rsid wsp:val=&quot;00ED482B&quot;/&gt;&lt;wsp:rsid wsp:val=&quot;00ED4BE0&quot;/&gt;&lt;wsp:rsid wsp:val=&quot;00ED5263&quot;/&gt;&lt;wsp:rsid wsp:val=&quot;00ED52AE&quot;/&gt;&lt;wsp:rsid wsp:val=&quot;00ED55BC&quot;/&gt;&lt;wsp:rsid wsp:val=&quot;00ED5780&quot;/&gt;&lt;wsp:rsid wsp:val=&quot;00ED60E6&quot;/&gt;&lt;wsp:rsid wsp:val=&quot;00ED63C2&quot;/&gt;&lt;wsp:rsid wsp:val=&quot;00ED7024&quot;/&gt;&lt;wsp:rsid wsp:val=&quot;00ED749A&quot;/&gt;&lt;wsp:rsid wsp:val=&quot;00ED7FAF&quot;/&gt;&lt;wsp:rsid wsp:val=&quot;00EE031E&quot;/&gt;&lt;wsp:rsid wsp:val=&quot;00EE13EE&quot;/&gt;&lt;wsp:rsid wsp:val=&quot;00EE3EA9&quot;/&gt;&lt;wsp:rsid wsp:val=&quot;00EE4187&quot;/&gt;&lt;wsp:rsid wsp:val=&quot;00EE425D&quot;/&gt;&lt;wsp:rsid wsp:val=&quot;00EE4390&quot;/&gt;&lt;wsp:rsid wsp:val=&quot;00EE51C4&quot;/&gt;&lt;wsp:rsid wsp:val=&quot;00EE5331&quot;/&gt;&lt;wsp:rsid wsp:val=&quot;00EE5F0A&quot;/&gt;&lt;wsp:rsid wsp:val=&quot;00EE5FF1&quot;/&gt;&lt;wsp:rsid wsp:val=&quot;00EE629C&quot;/&gt;&lt;wsp:rsid wsp:val=&quot;00EE6A7C&quot;/&gt;&lt;wsp:rsid wsp:val=&quot;00EE77C7&quot;/&gt;&lt;wsp:rsid wsp:val=&quot;00EE7BFD&quot;/&gt;&lt;wsp:rsid wsp:val=&quot;00EF0354&quot;/&gt;&lt;wsp:rsid wsp:val=&quot;00EF14A0&quot;/&gt;&lt;wsp:rsid wsp:val=&quot;00EF1770&quot;/&gt;&lt;wsp:rsid wsp:val=&quot;00EF1A6A&quot;/&gt;&lt;wsp:rsid wsp:val=&quot;00EF1AD8&quot;/&gt;&lt;wsp:rsid wsp:val=&quot;00EF1E8F&quot;/&gt;&lt;wsp:rsid wsp:val=&quot;00EF1EDF&quot;/&gt;&lt;wsp:rsid wsp:val=&quot;00EF215B&quot;/&gt;&lt;wsp:rsid wsp:val=&quot;00EF2446&quot;/&gt;&lt;wsp:rsid wsp:val=&quot;00EF24D5&quot;/&gt;&lt;wsp:rsid wsp:val=&quot;00EF2670&quot;/&gt;&lt;wsp:rsid wsp:val=&quot;00EF2CFA&quot;/&gt;&lt;wsp:rsid wsp:val=&quot;00EF33D1&quot;/&gt;&lt;wsp:rsid wsp:val=&quot;00EF38D7&quot;/&gt;&lt;wsp:rsid wsp:val=&quot;00EF4755&quot;/&gt;&lt;wsp:rsid wsp:val=&quot;00EF4D1B&quot;/&gt;&lt;wsp:rsid wsp:val=&quot;00EF565E&quot;/&gt;&lt;wsp:rsid wsp:val=&quot;00EF5901&quot;/&gt;&lt;wsp:rsid wsp:val=&quot;00EF5943&quot;/&gt;&lt;wsp:rsid wsp:val=&quot;00EF6C64&quot;/&gt;&lt;wsp:rsid wsp:val=&quot;00EF7135&quot;/&gt;&lt;wsp:rsid wsp:val=&quot;00EF785E&quot;/&gt;&lt;wsp:rsid wsp:val=&quot;00EF7AB7&quot;/&gt;&lt;wsp:rsid wsp:val=&quot;00EF7CC6&quot;/&gt;&lt;wsp:rsid wsp:val=&quot;00F00DAA&quot;/&gt;&lt;wsp:rsid wsp:val=&quot;00F01F55&quot;/&gt;&lt;wsp:rsid wsp:val=&quot;00F02554&quot;/&gt;&lt;wsp:rsid wsp:val=&quot;00F027DB&quot;/&gt;&lt;wsp:rsid wsp:val=&quot;00F03744&quot;/&gt;&lt;wsp:rsid wsp:val=&quot;00F0378D&quot;/&gt;&lt;wsp:rsid wsp:val=&quot;00F03A02&quot;/&gt;&lt;wsp:rsid wsp:val=&quot;00F03D45&quot;/&gt;&lt;wsp:rsid wsp:val=&quot;00F05101&quot;/&gt;&lt;wsp:rsid wsp:val=&quot;00F05276&quot;/&gt;&lt;wsp:rsid wsp:val=&quot;00F0549F&quot;/&gt;&lt;wsp:rsid wsp:val=&quot;00F05DA6&quot;/&gt;&lt;wsp:rsid wsp:val=&quot;00F05DE1&quot;/&gt;&lt;wsp:rsid wsp:val=&quot;00F05ED9&quot;/&gt;&lt;wsp:rsid wsp:val=&quot;00F06CE3&quot;/&gt;&lt;wsp:rsid wsp:val=&quot;00F10210&quot;/&gt;&lt;wsp:rsid wsp:val=&quot;00F11C25&quot;/&gt;&lt;wsp:rsid wsp:val=&quot;00F122EF&quot;/&gt;&lt;wsp:rsid wsp:val=&quot;00F12B3F&quot;/&gt;&lt;wsp:rsid wsp:val=&quot;00F12C48&quot;/&gt;&lt;wsp:rsid wsp:val=&quot;00F13AFC&quot;/&gt;&lt;wsp:rsid wsp:val=&quot;00F13BFC&quot;/&gt;&lt;wsp:rsid wsp:val=&quot;00F14026&quot;/&gt;&lt;wsp:rsid wsp:val=&quot;00F1460F&quot;/&gt;&lt;wsp:rsid wsp:val=&quot;00F14A7A&quot;/&gt;&lt;wsp:rsid wsp:val=&quot;00F14E08&quot;/&gt;&lt;wsp:rsid wsp:val=&quot;00F15068&quot;/&gt;&lt;wsp:rsid wsp:val=&quot;00F1577B&quot;/&gt;&lt;wsp:rsid wsp:val=&quot;00F159EC&quot;/&gt;&lt;wsp:rsid wsp:val=&quot;00F15AD4&quot;/&gt;&lt;wsp:rsid wsp:val=&quot;00F15DB5&quot;/&gt;&lt;wsp:rsid wsp:val=&quot;00F15E6A&quot;/&gt;&lt;wsp:rsid wsp:val=&quot;00F15EFE&quot;/&gt;&lt;wsp:rsid wsp:val=&quot;00F164E0&quot;/&gt;&lt;wsp:rsid wsp:val=&quot;00F1687E&quot;/&gt;&lt;wsp:rsid wsp:val=&quot;00F16AC6&quot;/&gt;&lt;wsp:rsid wsp:val=&quot;00F16FC7&quot;/&gt;&lt;wsp:rsid wsp:val=&quot;00F176CE&quot;/&gt;&lt;wsp:rsid wsp:val=&quot;00F17930&quot;/&gt;&lt;wsp:rsid wsp:val=&quot;00F17AE2&quot;/&gt;&lt;wsp:rsid wsp:val=&quot;00F20C1F&quot;/&gt;&lt;wsp:rsid wsp:val=&quot;00F221B2&quot;/&gt;&lt;wsp:rsid wsp:val=&quot;00F225BA&quot;/&gt;&lt;wsp:rsid wsp:val=&quot;00F22687&quot;/&gt;&lt;wsp:rsid wsp:val=&quot;00F22985&quot;/&gt;&lt;wsp:rsid wsp:val=&quot;00F22ABA&quot;/&gt;&lt;wsp:rsid wsp:val=&quot;00F22E75&quot;/&gt;&lt;wsp:rsid wsp:val=&quot;00F2321E&quot;/&gt;&lt;wsp:rsid wsp:val=&quot;00F23333&quot;/&gt;&lt;wsp:rsid wsp:val=&quot;00F25267&quot;/&gt;&lt;wsp:rsid wsp:val=&quot;00F25999&quot;/&gt;&lt;wsp:rsid wsp:val=&quot;00F25B06&quot;/&gt;&lt;wsp:rsid wsp:val=&quot;00F25DF3&quot;/&gt;&lt;wsp:rsid wsp:val=&quot;00F2616A&quot;/&gt;&lt;wsp:rsid wsp:val=&quot;00F26F8F&quot;/&gt;&lt;wsp:rsid wsp:val=&quot;00F271C0&quot;/&gt;&lt;wsp:rsid wsp:val=&quot;00F27615&quot;/&gt;&lt;wsp:rsid wsp:val=&quot;00F27973&quot;/&gt;&lt;wsp:rsid wsp:val=&quot;00F30E38&quot;/&gt;&lt;wsp:rsid wsp:val=&quot;00F30F69&quot;/&gt;&lt;wsp:rsid wsp:val=&quot;00F31419&quot;/&gt;&lt;wsp:rsid wsp:val=&quot;00F3153B&quot;/&gt;&lt;wsp:rsid wsp:val=&quot;00F32291&quot;/&gt;&lt;wsp:rsid wsp:val=&quot;00F322DA&quot;/&gt;&lt;wsp:rsid wsp:val=&quot;00F323FC&quot;/&gt;&lt;wsp:rsid wsp:val=&quot;00F326F7&quot;/&gt;&lt;wsp:rsid wsp:val=&quot;00F32CC7&quot;/&gt;&lt;wsp:rsid wsp:val=&quot;00F32EB7&quot;/&gt;&lt;wsp:rsid wsp:val=&quot;00F336C7&quot;/&gt;&lt;wsp:rsid wsp:val=&quot;00F3383E&quot;/&gt;&lt;wsp:rsid wsp:val=&quot;00F33ED9&quot;/&gt;&lt;wsp:rsid wsp:val=&quot;00F34813&quot;/&gt;&lt;wsp:rsid wsp:val=&quot;00F356E6&quot;/&gt;&lt;wsp:rsid wsp:val=&quot;00F359A6&quot;/&gt;&lt;wsp:rsid wsp:val=&quot;00F36BA2&quot;/&gt;&lt;wsp:rsid wsp:val=&quot;00F36DE8&quot;/&gt;&lt;wsp:rsid wsp:val=&quot;00F37970&quot;/&gt;&lt;wsp:rsid wsp:val=&quot;00F40110&quot;/&gt;&lt;wsp:rsid wsp:val=&quot;00F4100C&quot;/&gt;&lt;wsp:rsid wsp:val=&quot;00F41464&quot;/&gt;&lt;wsp:rsid wsp:val=&quot;00F423CE&quot;/&gt;&lt;wsp:rsid wsp:val=&quot;00F42592&quot;/&gt;&lt;wsp:rsid wsp:val=&quot;00F42F07&quot;/&gt;&lt;wsp:rsid wsp:val=&quot;00F431BB&quot;/&gt;&lt;wsp:rsid wsp:val=&quot;00F444E6&quot;/&gt;&lt;wsp:rsid wsp:val=&quot;00F44B8A&quot;/&gt;&lt;wsp:rsid wsp:val=&quot;00F44D94&quot;/&gt;&lt;wsp:rsid wsp:val=&quot;00F45060&quot;/&gt;&lt;wsp:rsid wsp:val=&quot;00F45BDF&quot;/&gt;&lt;wsp:rsid wsp:val=&quot;00F45E07&quot;/&gt;&lt;wsp:rsid wsp:val=&quot;00F45F44&quot;/&gt;&lt;wsp:rsid wsp:val=&quot;00F465A7&quot;/&gt;&lt;wsp:rsid wsp:val=&quot;00F466E2&quot;/&gt;&lt;wsp:rsid wsp:val=&quot;00F466FB&quot;/&gt;&lt;wsp:rsid wsp:val=&quot;00F476CF&quot;/&gt;&lt;wsp:rsid wsp:val=&quot;00F47B88&quot;/&gt;&lt;wsp:rsid wsp:val=&quot;00F50B7C&quot;/&gt;&lt;wsp:rsid wsp:val=&quot;00F514E1&quot;/&gt;&lt;wsp:rsid wsp:val=&quot;00F5192A&quot;/&gt;&lt;wsp:rsid wsp:val=&quot;00F51B15&quot;/&gt;&lt;wsp:rsid wsp:val=&quot;00F51EFA&quot;/&gt;&lt;wsp:rsid wsp:val=&quot;00F533E7&quot;/&gt;&lt;wsp:rsid wsp:val=&quot;00F53727&quot;/&gt;&lt;wsp:rsid wsp:val=&quot;00F53FBA&quot;/&gt;&lt;wsp:rsid wsp:val=&quot;00F54264&quot;/&gt;&lt;wsp:rsid wsp:val=&quot;00F5426D&quot;/&gt;&lt;wsp:rsid wsp:val=&quot;00F545CB&quot;/&gt;&lt;wsp:rsid wsp:val=&quot;00F54699&quot;/&gt;&lt;wsp:rsid wsp:val=&quot;00F54964&quot;/&gt;&lt;wsp:rsid wsp:val=&quot;00F550E6&quot;/&gt;&lt;wsp:rsid wsp:val=&quot;00F5586C&quot;/&gt;&lt;wsp:rsid wsp:val=&quot;00F5623C&quot;/&gt;&lt;wsp:rsid wsp:val=&quot;00F56582&quot;/&gt;&lt;wsp:rsid wsp:val=&quot;00F56ABF&quot;/&gt;&lt;wsp:rsid wsp:val=&quot;00F56B4F&quot;/&gt;&lt;wsp:rsid wsp:val=&quot;00F5707F&quot;/&gt;&lt;wsp:rsid wsp:val=&quot;00F60469&quot;/&gt;&lt;wsp:rsid wsp:val=&quot;00F60511&quot;/&gt;&lt;wsp:rsid wsp:val=&quot;00F6062E&quot;/&gt;&lt;wsp:rsid wsp:val=&quot;00F6069A&quot;/&gt;&lt;wsp:rsid wsp:val=&quot;00F607BA&quot;/&gt;&lt;wsp:rsid wsp:val=&quot;00F60F24&quot;/&gt;&lt;wsp:rsid wsp:val=&quot;00F60FCE&quot;/&gt;&lt;wsp:rsid wsp:val=&quot;00F6160C&quot;/&gt;&lt;wsp:rsid wsp:val=&quot;00F61D1D&quot;/&gt;&lt;wsp:rsid wsp:val=&quot;00F61E7C&quot;/&gt;&lt;wsp:rsid wsp:val=&quot;00F62156&quot;/&gt;&lt;wsp:rsid wsp:val=&quot;00F628A6&quot;/&gt;&lt;wsp:rsid wsp:val=&quot;00F62BB6&quot;/&gt;&lt;wsp:rsid wsp:val=&quot;00F63120&quot;/&gt;&lt;wsp:rsid wsp:val=&quot;00F63FAF&quot;/&gt;&lt;wsp:rsid wsp:val=&quot;00F64F45&quot;/&gt;&lt;wsp:rsid wsp:val=&quot;00F650D5&quot;/&gt;&lt;wsp:rsid wsp:val=&quot;00F6556C&quot;/&gt;&lt;wsp:rsid wsp:val=&quot;00F65FF3&quot;/&gt;&lt;wsp:rsid wsp:val=&quot;00F67049&quot;/&gt;&lt;wsp:rsid wsp:val=&quot;00F67FC7&quot;/&gt;&lt;wsp:rsid wsp:val=&quot;00F70181&quot;/&gt;&lt;wsp:rsid wsp:val=&quot;00F70C1E&quot;/&gt;&lt;wsp:rsid wsp:val=&quot;00F7153C&quot;/&gt;&lt;wsp:rsid wsp:val=&quot;00F715EC&quot;/&gt;&lt;wsp:rsid wsp:val=&quot;00F7191F&quot;/&gt;&lt;wsp:rsid wsp:val=&quot;00F71DED&quot;/&gt;&lt;wsp:rsid wsp:val=&quot;00F74345&quot;/&gt;&lt;wsp:rsid wsp:val=&quot;00F74881&quot;/&gt;&lt;wsp:rsid wsp:val=&quot;00F74B66&quot;/&gt;&lt;wsp:rsid wsp:val=&quot;00F74BA2&quot;/&gt;&lt;wsp:rsid wsp:val=&quot;00F74E18&quot;/&gt;&lt;wsp:rsid wsp:val=&quot;00F7563C&quot;/&gt;&lt;wsp:rsid wsp:val=&quot;00F75B68&quot;/&gt;&lt;wsp:rsid wsp:val=&quot;00F75B92&quot;/&gt;&lt;wsp:rsid wsp:val=&quot;00F76CFE&quot;/&gt;&lt;wsp:rsid wsp:val=&quot;00F76F07&quot;/&gt;&lt;wsp:rsid wsp:val=&quot;00F779F1&quot;/&gt;&lt;wsp:rsid wsp:val=&quot;00F77D37&quot;/&gt;&lt;wsp:rsid wsp:val=&quot;00F80355&quot;/&gt;&lt;wsp:rsid wsp:val=&quot;00F8068A&quot;/&gt;&lt;wsp:rsid wsp:val=&quot;00F80A0A&quot;/&gt;&lt;wsp:rsid wsp:val=&quot;00F8103C&quot;/&gt;&lt;wsp:rsid wsp:val=&quot;00F81647&quot;/&gt;&lt;wsp:rsid wsp:val=&quot;00F826F6&quot;/&gt;&lt;wsp:rsid wsp:val=&quot;00F82B19&quot;/&gt;&lt;wsp:rsid wsp:val=&quot;00F8317C&quot;/&gt;&lt;wsp:rsid wsp:val=&quot;00F83C66&quot;/&gt;&lt;wsp:rsid wsp:val=&quot;00F84198&quot;/&gt;&lt;wsp:rsid wsp:val=&quot;00F845AF&quot;/&gt;&lt;wsp:rsid wsp:val=&quot;00F84FF6&quot;/&gt;&lt;wsp:rsid wsp:val=&quot;00F85FA4&quot;/&gt;&lt;wsp:rsid wsp:val=&quot;00F86544&quot;/&gt;&lt;wsp:rsid wsp:val=&quot;00F867F6&quot;/&gt;&lt;wsp:rsid wsp:val=&quot;00F870AC&quot;/&gt;&lt;wsp:rsid wsp:val=&quot;00F876C3&quot;/&gt;&lt;wsp:rsid wsp:val=&quot;00F8797B&quot;/&gt;&lt;wsp:rsid wsp:val=&quot;00F901E4&quot;/&gt;&lt;wsp:rsid wsp:val=&quot;00F903C8&quot;/&gt;&lt;wsp:rsid wsp:val=&quot;00F90643&quot;/&gt;&lt;wsp:rsid wsp:val=&quot;00F90677&quot;/&gt;&lt;wsp:rsid wsp:val=&quot;00F9086D&quot;/&gt;&lt;wsp:rsid wsp:val=&quot;00F9150C&quot;/&gt;&lt;wsp:rsid wsp:val=&quot;00F91AB8&quot;/&gt;&lt;wsp:rsid wsp:val=&quot;00F9210F&quot;/&gt;&lt;wsp:rsid wsp:val=&quot;00F9212D&quot;/&gt;&lt;wsp:rsid wsp:val=&quot;00F92CF2&quot;/&gt;&lt;wsp:rsid wsp:val=&quot;00F92E6B&quot;/&gt;&lt;wsp:rsid wsp:val=&quot;00F92EC0&quot;/&gt;&lt;wsp:rsid wsp:val=&quot;00F93432&quot;/&gt;&lt;wsp:rsid wsp:val=&quot;00F936FE&quot;/&gt;&lt;wsp:rsid wsp:val=&quot;00F93B1A&quot;/&gt;&lt;wsp:rsid wsp:val=&quot;00F93DF1&quot;/&gt;&lt;wsp:rsid wsp:val=&quot;00F94055&quot;/&gt;&lt;wsp:rsid wsp:val=&quot;00F94888&quot;/&gt;&lt;wsp:rsid wsp:val=&quot;00F94A06&quot;/&gt;&lt;wsp:rsid wsp:val=&quot;00F94AA4&quot;/&gt;&lt;wsp:rsid wsp:val=&quot;00F9528D&quot;/&gt;&lt;wsp:rsid wsp:val=&quot;00F95297&quot;/&gt;&lt;wsp:rsid wsp:val=&quot;00F952F1&quot;/&gt;&lt;wsp:rsid wsp:val=&quot;00F96133&quot;/&gt;&lt;wsp:rsid wsp:val=&quot;00F961E0&quot;/&gt;&lt;wsp:rsid wsp:val=&quot;00F9633A&quot;/&gt;&lt;wsp:rsid wsp:val=&quot;00F965DA&quot;/&gt;&lt;wsp:rsid wsp:val=&quot;00F96FA4&quot;/&gt;&lt;wsp:rsid wsp:val=&quot;00F970F7&quot;/&gt;&lt;wsp:rsid wsp:val=&quot;00F9763E&quot;/&gt;&lt;wsp:rsid wsp:val=&quot;00F97E5C&quot;/&gt;&lt;wsp:rsid wsp:val=&quot;00FA0052&quot;/&gt;&lt;wsp:rsid wsp:val=&quot;00FA18F8&quot;/&gt;&lt;wsp:rsid wsp:val=&quot;00FA1A7E&quot;/&gt;&lt;wsp:rsid wsp:val=&quot;00FA1DB6&quot;/&gt;&lt;wsp:rsid wsp:val=&quot;00FA2106&quot;/&gt;&lt;wsp:rsid wsp:val=&quot;00FA2D80&quot;/&gt;&lt;wsp:rsid wsp:val=&quot;00FA320A&quot;/&gt;&lt;wsp:rsid wsp:val=&quot;00FA33D0&quot;/&gt;&lt;wsp:rsid wsp:val=&quot;00FA37B8&quot;/&gt;&lt;wsp:rsid wsp:val=&quot;00FA4000&quot;/&gt;&lt;wsp:rsid wsp:val=&quot;00FA406A&quot;/&gt;&lt;wsp:rsid wsp:val=&quot;00FA460E&quot;/&gt;&lt;wsp:rsid wsp:val=&quot;00FA49F4&quot;/&gt;&lt;wsp:rsid wsp:val=&quot;00FA4BE8&quot;/&gt;&lt;wsp:rsid wsp:val=&quot;00FA51D9&quot;/&gt;&lt;wsp:rsid wsp:val=&quot;00FA5FA8&quot;/&gt;&lt;wsp:rsid wsp:val=&quot;00FA609D&quot;/&gt;&lt;wsp:rsid wsp:val=&quot;00FA6660&quot;/&gt;&lt;wsp:rsid wsp:val=&quot;00FA78A2&quot;/&gt;&lt;wsp:rsid wsp:val=&quot;00FA78C3&quot;/&gt;&lt;wsp:rsid wsp:val=&quot;00FB0825&quot;/&gt;&lt;wsp:rsid wsp:val=&quot;00FB0A12&quot;/&gt;&lt;wsp:rsid wsp:val=&quot;00FB1833&quot;/&gt;&lt;wsp:rsid wsp:val=&quot;00FB1D45&quot;/&gt;&lt;wsp:rsid wsp:val=&quot;00FB27A5&quot;/&gt;&lt;wsp:rsid wsp:val=&quot;00FB2A35&quot;/&gt;&lt;wsp:rsid wsp:val=&quot;00FB2EBF&quot;/&gt;&lt;wsp:rsid wsp:val=&quot;00FB4753&quot;/&gt;&lt;wsp:rsid wsp:val=&quot;00FB479A&quot;/&gt;&lt;wsp:rsid wsp:val=&quot;00FB4814&quot;/&gt;&lt;wsp:rsid wsp:val=&quot;00FB4820&quot;/&gt;&lt;wsp:rsid wsp:val=&quot;00FB488B&quot;/&gt;&lt;wsp:rsid wsp:val=&quot;00FB503A&quot;/&gt;&lt;wsp:rsid wsp:val=&quot;00FB516C&quot;/&gt;&lt;wsp:rsid wsp:val=&quot;00FB5E45&quot;/&gt;&lt;wsp:rsid wsp:val=&quot;00FB661A&quot;/&gt;&lt;wsp:rsid wsp:val=&quot;00FB69E9&quot;/&gt;&lt;wsp:rsid wsp:val=&quot;00FB73D5&quot;/&gt;&lt;wsp:rsid wsp:val=&quot;00FB769D&quot;/&gt;&lt;wsp:rsid wsp:val=&quot;00FB7D96&quot;/&gt;&lt;wsp:rsid wsp:val=&quot;00FC10ED&quot;/&gt;&lt;wsp:rsid wsp:val=&quot;00FC137D&quot;/&gt;&lt;wsp:rsid wsp:val=&quot;00FC27E6&quot;/&gt;&lt;wsp:rsid wsp:val=&quot;00FC2A3B&quot;/&gt;&lt;wsp:rsid wsp:val=&quot;00FC2B35&quot;/&gt;&lt;wsp:rsid wsp:val=&quot;00FC2C40&quot;/&gt;&lt;wsp:rsid wsp:val=&quot;00FC2E99&quot;/&gt;&lt;wsp:rsid wsp:val=&quot;00FC317E&quot;/&gt;&lt;wsp:rsid wsp:val=&quot;00FC3189&quot;/&gt;&lt;wsp:rsid wsp:val=&quot;00FC31CC&quot;/&gt;&lt;wsp:rsid wsp:val=&quot;00FC38E0&quot;/&gt;&lt;wsp:rsid wsp:val=&quot;00FC4033&quot;/&gt;&lt;wsp:rsid wsp:val=&quot;00FC4322&quot;/&gt;&lt;wsp:rsid wsp:val=&quot;00FC488F&quot;/&gt;&lt;wsp:rsid wsp:val=&quot;00FC4D7E&quot;/&gt;&lt;wsp:rsid wsp:val=&quot;00FC51B1&quot;/&gt;&lt;wsp:rsid wsp:val=&quot;00FC61CB&quot;/&gt;&lt;wsp:rsid wsp:val=&quot;00FC6A10&quot;/&gt;&lt;wsp:rsid wsp:val=&quot;00FC712B&quot;/&gt;&lt;wsp:rsid wsp:val=&quot;00FC7568&quot;/&gt;&lt;wsp:rsid wsp:val=&quot;00FC7B85&quot;/&gt;&lt;wsp:rsid wsp:val=&quot;00FD002D&quot;/&gt;&lt;wsp:rsid wsp:val=&quot;00FD0236&quot;/&gt;&lt;wsp:rsid wsp:val=&quot;00FD09EA&quot;/&gt;&lt;wsp:rsid wsp:val=&quot;00FD0EDF&quot;/&gt;&lt;wsp:rsid wsp:val=&quot;00FD18F4&quot;/&gt;&lt;wsp:rsid wsp:val=&quot;00FD3DF7&quot;/&gt;&lt;wsp:rsid wsp:val=&quot;00FD3E4B&quot;/&gt;&lt;wsp:rsid wsp:val=&quot;00FD50D3&quot;/&gt;&lt;wsp:rsid wsp:val=&quot;00FD54DB&quot;/&gt;&lt;wsp:rsid wsp:val=&quot;00FD612A&quot;/&gt;&lt;wsp:rsid wsp:val=&quot;00FD619F&quot;/&gt;&lt;wsp:rsid wsp:val=&quot;00FD6F3F&quot;/&gt;&lt;wsp:rsid wsp:val=&quot;00FD7850&quot;/&gt;&lt;wsp:rsid wsp:val=&quot;00FD79A5&quot;/&gt;&lt;wsp:rsid wsp:val=&quot;00FE0BCA&quot;/&gt;&lt;wsp:rsid wsp:val=&quot;00FE0C56&quot;/&gt;&lt;wsp:rsid wsp:val=&quot;00FE0EEE&quot;/&gt;&lt;wsp:rsid wsp:val=&quot;00FE1309&quot;/&gt;&lt;wsp:rsid wsp:val=&quot;00FE1CA7&quot;/&gt;&lt;wsp:rsid wsp:val=&quot;00FE1D4D&quot;/&gt;&lt;wsp:rsid wsp:val=&quot;00FE2B44&quot;/&gt;&lt;wsp:rsid wsp:val=&quot;00FE2BA0&quot;/&gt;&lt;wsp:rsid wsp:val=&quot;00FE3B4D&quot;/&gt;&lt;wsp:rsid wsp:val=&quot;00FE3FA3&quot;/&gt;&lt;wsp:rsid wsp:val=&quot;00FE5BAA&quot;/&gt;&lt;wsp:rsid wsp:val=&quot;00FE7484&quot;/&gt;&lt;wsp:rsid wsp:val=&quot;00FE7731&quot;/&gt;&lt;wsp:rsid wsp:val=&quot;00FE78C7&quot;/&gt;&lt;wsp:rsid wsp:val=&quot;00FF0175&quot;/&gt;&lt;wsp:rsid wsp:val=&quot;00FF0567&quot;/&gt;&lt;wsp:rsid wsp:val=&quot;00FF08FD&quot;/&gt;&lt;wsp:rsid wsp:val=&quot;00FF096E&quot;/&gt;&lt;wsp:rsid wsp:val=&quot;00FF0A7A&quot;/&gt;&lt;wsp:rsid wsp:val=&quot;00FF0AEF&quot;/&gt;&lt;wsp:rsid wsp:val=&quot;00FF133B&quot;/&gt;&lt;wsp:rsid wsp:val=&quot;00FF1BE3&quot;/&gt;&lt;wsp:rsid wsp:val=&quot;00FF1C7A&quot;/&gt;&lt;wsp:rsid wsp:val=&quot;00FF1FF8&quot;/&gt;&lt;wsp:rsid wsp:val=&quot;00FF217E&quot;/&gt;&lt;wsp:rsid wsp:val=&quot;00FF2FD3&quot;/&gt;&lt;wsp:rsid wsp:val=&quot;00FF41F8&quot;/&gt;&lt;wsp:rsid wsp:val=&quot;00FF4A19&quot;/&gt;&lt;wsp:rsid wsp:val=&quot;00FF4CCF&quot;/&gt;&lt;wsp:rsid wsp:val=&quot;00FF5B05&quot;/&gt;&lt;wsp:rsid wsp:val=&quot;00FF6961&quot;/&gt;&lt;wsp:rsid wsp:val=&quot;00FF7CCE&quot;/&gt;&lt;wsp:rsid wsp:val=&quot;01290F7E&quot;/&gt;&lt;wsp:rsid wsp:val=&quot;015D1E09&quot;/&gt;&lt;wsp:rsid wsp:val=&quot;02697903&quot;/&gt;&lt;wsp:rsid wsp:val=&quot;02F96569&quot;/&gt;&lt;wsp:rsid wsp:val=&quot;03EA7B21&quot;/&gt;&lt;wsp:rsid wsp:val=&quot;05F83EAE&quot;/&gt;&lt;wsp:rsid wsp:val=&quot;063E7D85&quot;/&gt;&lt;wsp:rsid wsp:val=&quot;07293586&quot;/&gt;&lt;wsp:rsid wsp:val=&quot;07295285&quot;/&gt;&lt;wsp:rsid wsp:val=&quot;07636392&quot;/&gt;&lt;wsp:rsid wsp:val=&quot;07770C56&quot;/&gt;&lt;wsp:rsid wsp:val=&quot;092217DD&quot;/&gt;&lt;wsp:rsid wsp:val=&quot;093A7294&quot;/&gt;&lt;wsp:rsid wsp:val=&quot;0A263993&quot;/&gt;&lt;wsp:rsid wsp:val=&quot;0A2D3AC2&quot;/&gt;&lt;wsp:rsid wsp:val=&quot;0AA755DF&quot;/&gt;&lt;wsp:rsid wsp:val=&quot;0B120D44&quot;/&gt;&lt;wsp:rsid wsp:val=&quot;0BD27BF6&quot;/&gt;&lt;wsp:rsid wsp:val=&quot;0BF858C2&quot;/&gt;&lt;wsp:rsid wsp:val=&quot;0C3B3C7D&quot;/&gt;&lt;wsp:rsid wsp:val=&quot;0CAB2EAE&quot;/&gt;&lt;wsp:rsid wsp:val=&quot;0D621C7D&quot;/&gt;&lt;wsp:rsid wsp:val=&quot;0E73034D&quot;/&gt;&lt;wsp:rsid wsp:val=&quot;0F13775A&quot;/&gt;&lt;wsp:rsid wsp:val=&quot;0F5F45FE&quot;/&gt;&lt;wsp:rsid wsp:val=&quot;0F9A112B&quot;/&gt;&lt;wsp:rsid wsp:val=&quot;106D2F64&quot;/&gt;&lt;wsp:rsid wsp:val=&quot;10B63710&quot;/&gt;&lt;wsp:rsid wsp:val=&quot;10F10820&quot;/&gt;&lt;wsp:rsid wsp:val=&quot;111C2F7A&quot;/&gt;&lt;wsp:rsid wsp:val=&quot;11665CA1&quot;/&gt;&lt;wsp:rsid wsp:val=&quot;13951726&quot;/&gt;&lt;wsp:rsid wsp:val=&quot;14396509&quot;/&gt;&lt;wsp:rsid wsp:val=&quot;14DD2C3C&quot;/&gt;&lt;wsp:rsid wsp:val=&quot;16087E1D&quot;/&gt;&lt;wsp:rsid wsp:val=&quot;17701D14&quot;/&gt;&lt;wsp:rsid wsp:val=&quot;17735226&quot;/&gt;&lt;wsp:rsid wsp:val=&quot;189F624C&quot;/&gt;&lt;wsp:rsid wsp:val=&quot;1A1C66C0&quot;/&gt;&lt;wsp:rsid wsp:val=&quot;1A42393B&quot;/&gt;&lt;wsp:rsid wsp:val=&quot;1AAD45DE&quot;/&gt;&lt;wsp:rsid wsp:val=&quot;1B046F80&quot;/&gt;&lt;wsp:rsid wsp:val=&quot;1B3267B5&quot;/&gt;&lt;wsp:rsid wsp:val=&quot;1B40161D&quot;/&gt;&lt;wsp:rsid wsp:val=&quot;1B441859&quot;/&gt;&lt;wsp:rsid wsp:val=&quot;1B6606B1&quot;/&gt;&lt;wsp:rsid wsp:val=&quot;1C5936D2&quot;/&gt;&lt;wsp:rsid wsp:val=&quot;1C5E7925&quot;/&gt;&lt;wsp:rsid wsp:val=&quot;1CD90113&quot;/&gt;&lt;wsp:rsid wsp:val=&quot;1CFD070F&quot;/&gt;&lt;wsp:rsid wsp:val=&quot;1D5F6196&quot;/&gt;&lt;wsp:rsid wsp:val=&quot;1D6132A5&quot;/&gt;&lt;wsp:rsid wsp:val=&quot;1D8E56D5&quot;/&gt;&lt;wsp:rsid wsp:val=&quot;1E7A43DA&quot;/&gt;&lt;wsp:rsid wsp:val=&quot;1F1C595D&quot;/&gt;&lt;wsp:rsid wsp:val=&quot;1FE7539E&quot;/&gt;&lt;wsp:rsid wsp:val=&quot;20671BE0&quot;/&gt;&lt;wsp:rsid wsp:val=&quot;20963CB8&quot;/&gt;&lt;wsp:rsid wsp:val=&quot;20A81A1B&quot;/&gt;&lt;wsp:rsid wsp:val=&quot;20B07FB6&quot;/&gt;&lt;wsp:rsid wsp:val=&quot;20B646FB&quot;/&gt;&lt;wsp:rsid wsp:val=&quot;21373521&quot;/&gt;&lt;wsp:rsid wsp:val=&quot;213B74B1&quot;/&gt;&lt;wsp:rsid wsp:val=&quot;215A2310&quot;/&gt;&lt;wsp:rsid wsp:val=&quot;21DE318A&quot;/&gt;&lt;wsp:rsid wsp:val=&quot;21EF5B80&quot;/&gt;&lt;wsp:rsid wsp:val=&quot;22576990&quot;/&gt;&lt;wsp:rsid wsp:val=&quot;22F47480&quot;/&gt;&lt;wsp:rsid wsp:val=&quot;23DE1C48&quot;/&gt;&lt;wsp:rsid wsp:val=&quot;240210CD&quot;/&gt;&lt;wsp:rsid wsp:val=&quot;24293D1D&quot;/&gt;&lt;wsp:rsid wsp:val=&quot;24BF09F7&quot;/&gt;&lt;wsp:rsid wsp:val=&quot;252D53FE&quot;/&gt;&lt;wsp:rsid wsp:val=&quot;25EC2D81&quot;/&gt;&lt;wsp:rsid wsp:val=&quot;277057A2&quot;/&gt;&lt;wsp:rsid wsp:val=&quot;29206EB8&quot;/&gt;&lt;wsp:rsid wsp:val=&quot;29595666&quot;/&gt;&lt;wsp:rsid wsp:val=&quot;296D5306&quot;/&gt;&lt;wsp:rsid wsp:val=&quot;29874881&quot;/&gt;&lt;wsp:rsid wsp:val=&quot;29B7625C&quot;/&gt;&lt;wsp:rsid wsp:val=&quot;29E325E0&quot;/&gt;&lt;wsp:rsid wsp:val=&quot;2A452503&quot;/&gt;&lt;wsp:rsid wsp:val=&quot;2BA936A8&quot;/&gt;&lt;wsp:rsid wsp:val=&quot;2C036885&quot;/&gt;&lt;wsp:rsid wsp:val=&quot;2C315A5A&quot;/&gt;&lt;wsp:rsid wsp:val=&quot;2C4B1C25&quot;/&gt;&lt;wsp:rsid wsp:val=&quot;2D9E56F5&quot;/&gt;&lt;wsp:rsid wsp:val=&quot;2E667F96&quot;/&gt;&lt;wsp:rsid wsp:val=&quot;2E8226AB&quot;/&gt;&lt;wsp:rsid wsp:val=&quot;2FD065E6&quot;/&gt;&lt;wsp:rsid wsp:val=&quot;2FD96870&quot;/&gt;&lt;wsp:rsid wsp:val=&quot;30580BC9&quot;/&gt;&lt;wsp:rsid wsp:val=&quot;311E2ED7&quot;/&gt;&lt;wsp:rsid wsp:val=&quot;3152323C&quot;/&gt;&lt;wsp:rsid wsp:val=&quot;315619EE&quot;/&gt;&lt;wsp:rsid wsp:val=&quot;315C449C&quot;/&gt;&lt;wsp:rsid wsp:val=&quot;31A044A3&quot;/&gt;&lt;wsp:rsid wsp:val=&quot;31B82709&quot;/&gt;&lt;wsp:rsid wsp:val=&quot;31D05482&quot;/&gt;&lt;wsp:rsid wsp:val=&quot;31E4568E&quot;/&gt;&lt;wsp:rsid wsp:val=&quot;32400B34&quot;/&gt;&lt;wsp:rsid wsp:val=&quot;326067DD&quot;/&gt;&lt;wsp:rsid wsp:val=&quot;329E6876&quot;/&gt;&lt;wsp:rsid wsp:val=&quot;3301564A&quot;/&gt;&lt;wsp:rsid wsp:val=&quot;333015F2&quot;/&gt;&lt;wsp:rsid wsp:val=&quot;334B6320&quot;/&gt;&lt;wsp:rsid wsp:val=&quot;33600AA7&quot;/&gt;&lt;wsp:rsid wsp:val=&quot;336B1568&quot;/&gt;&lt;wsp:rsid wsp:val=&quot;33D934D4&quot;/&gt;&lt;wsp:rsid wsp:val=&quot;33FE2F6A&quot;/&gt;&lt;wsp:rsid wsp:val=&quot;340E07E5&quot;/&gt;&lt;wsp:rsid wsp:val=&quot;34235BF7&quot;/&gt;&lt;wsp:rsid wsp:val=&quot;358C5FA8&quot;/&gt;&lt;wsp:rsid wsp:val=&quot;35C15DF1&quot;/&gt;&lt;wsp:rsid wsp:val=&quot;36074A7F&quot;/&gt;&lt;wsp:rsid wsp:val=&quot;367009B4&quot;/&gt;&lt;wsp:rsid wsp:val=&quot;36923549&quot;/&gt;&lt;wsp:rsid wsp:val=&quot;36B75FBF&quot;/&gt;&lt;wsp:rsid wsp:val=&quot;36BD0C45&quot;/&gt;&lt;wsp:rsid wsp:val=&quot;37361E1F&quot;/&gt;&lt;wsp:rsid wsp:val=&quot;37C046DD&quot;/&gt;&lt;wsp:rsid wsp:val=&quot;37E00298&quot;/&gt;&lt;wsp:rsid wsp:val=&quot;38B302F9&quot;/&gt;&lt;wsp:rsid wsp:val=&quot;38F12CD3&quot;/&gt;&lt;wsp:rsid wsp:val=&quot;38F94775&quot;/&gt;&lt;wsp:rsid wsp:val=&quot;392971ED&quot;/&gt;&lt;wsp:rsid wsp:val=&quot;39325651&quot;/&gt;&lt;wsp:rsid wsp:val=&quot;3A872856&quot;/&gt;&lt;wsp:rsid wsp:val=&quot;3B3763D1&quot;/&gt;&lt;wsp:rsid wsp:val=&quot;3C2F6E1E&quot;/&gt;&lt;wsp:rsid wsp:val=&quot;3C4F64BA&quot;/&gt;&lt;wsp:rsid wsp:val=&quot;3CDA245A&quot;/&gt;&lt;wsp:rsid wsp:val=&quot;3D1E06B7&quot;/&gt;&lt;wsp:rsid wsp:val=&quot;3EDA0523&quot;/&gt;&lt;wsp:rsid wsp:val=&quot;407A6407&quot;/&gt;&lt;wsp:rsid wsp:val=&quot;4200449D&quot;/&gt;&lt;wsp:rsid wsp:val=&quot;420507FA&quot;/&gt;&lt;wsp:rsid wsp:val=&quot;423A3BCC&quot;/&gt;&lt;wsp:rsid wsp:val=&quot;424E57D2&quot;/&gt;&lt;wsp:rsid wsp:val=&quot;42B26C49&quot;/&gt;&lt;wsp:rsid wsp:val=&quot;433A6FE6&quot;/&gt;&lt;wsp:rsid wsp:val=&quot;43480868&quot;/&gt;&lt;wsp:rsid wsp:val=&quot;4350713C&quot;/&gt;&lt;wsp:rsid wsp:val=&quot;436653E0&quot;/&gt;&lt;wsp:rsid wsp:val=&quot;43C4431A&quot;/&gt;&lt;wsp:rsid wsp:val=&quot;44B951CC&quot;/&gt;&lt;wsp:rsid wsp:val=&quot;44CD14E0&quot;/&gt;&lt;wsp:rsid wsp:val=&quot;44F20B0B&quot;/&gt;&lt;wsp:rsid wsp:val=&quot;452E5F4C&quot;/&gt;&lt;wsp:rsid wsp:val=&quot;45612018&quot;/&gt;&lt;wsp:rsid wsp:val=&quot;458946E9&quot;/&gt;&lt;wsp:rsid wsp:val=&quot;45A47C0E&quot;/&gt;&lt;wsp:rsid wsp:val=&quot;46577FD6&quot;/&gt;&lt;wsp:rsid wsp:val=&quot;46D955A7&quot;/&gt;&lt;wsp:rsid wsp:val=&quot;47133957&quot;/&gt;&lt;wsp:rsid wsp:val=&quot;47A07E0C&quot;/&gt;&lt;wsp:rsid wsp:val=&quot;483303C3&quot;/&gt;&lt;wsp:rsid wsp:val=&quot;4870272E&quot;/&gt;&lt;wsp:rsid wsp:val=&quot;49DC7715&quot;/&gt;&lt;wsp:rsid wsp:val=&quot;4A023139&quot;/&gt;&lt;wsp:rsid wsp:val=&quot;4A7B576F&quot;/&gt;&lt;wsp:rsid wsp:val=&quot;4AF561A9&quot;/&gt;&lt;wsp:rsid wsp:val=&quot;4C4A0649&quot;/&gt;&lt;wsp:rsid wsp:val=&quot;4C7E5ECA&quot;/&gt;&lt;wsp:rsid wsp:val=&quot;4C876AA5&quot;/&gt;&lt;wsp:rsid wsp:val=&quot;4C8B6DCD&quot;/&gt;&lt;wsp:rsid wsp:val=&quot;4D0E00FB&quot;/&gt;&lt;wsp:rsid wsp:val=&quot;4D176606&quot;/&gt;&lt;wsp:rsid wsp:val=&quot;4DEC4FB0&quot;/&gt;&lt;wsp:rsid wsp:val=&quot;4E075D8A&quot;/&gt;&lt;wsp:rsid wsp:val=&quot;4E8F4DB4&quot;/&gt;&lt;wsp:rsid wsp:val=&quot;4EC00FAD&quot;/&gt;&lt;wsp:rsid wsp:val=&quot;4F9843DC&quot;/&gt;&lt;wsp:rsid wsp:val=&quot;4FC62A8C&quot;/&gt;&lt;wsp:rsid wsp:val=&quot;4FE20F0D&quot;/&gt;&lt;wsp:rsid wsp:val=&quot;4FE51552&quot;/&gt;&lt;wsp:rsid wsp:val=&quot;50504C4B&quot;/&gt;&lt;wsp:rsid wsp:val=&quot;509C6E7C&quot;/&gt;&lt;wsp:rsid wsp:val=&quot;50CB731F&quot;/&gt;&lt;wsp:rsid wsp:val=&quot;5162104E&quot;/&gt;&lt;wsp:rsid wsp:val=&quot;53A039CC&quot;/&gt;&lt;wsp:rsid wsp:val=&quot;53A1505A&quot;/&gt;&lt;wsp:rsid wsp:val=&quot;54063E08&quot;/&gt;&lt;wsp:rsid wsp:val=&quot;543437E8&quot;/&gt;&lt;wsp:rsid wsp:val=&quot;54F73313&quot;/&gt;&lt;wsp:rsid wsp:val=&quot;54F80955&quot;/&gt;&lt;wsp:rsid wsp:val=&quot;555170A7&quot;/&gt;&lt;wsp:rsid wsp:val=&quot;5587536D&quot;/&gt;&lt;wsp:rsid wsp:val=&quot;559B174B&quot;/&gt;&lt;wsp:rsid wsp:val=&quot;55CE0CF4&quot;/&gt;&lt;wsp:rsid wsp:val=&quot;56B22A9C&quot;/&gt;&lt;wsp:rsid wsp:val=&quot;57B72A76&quot;/&gt;&lt;wsp:rsid wsp:val=&quot;57C3426C&quot;/&gt;&lt;wsp:rsid wsp:val=&quot;57CE1F93&quot;/&gt;&lt;wsp:rsid wsp:val=&quot;588743D1&quot;/&gt;&lt;wsp:rsid wsp:val=&quot;5887701A&quot;/&gt;&lt;wsp:rsid wsp:val=&quot;59C0439F&quot;/&gt;&lt;wsp:rsid wsp:val=&quot;5ABE2233&quot;/&gt;&lt;wsp:rsid wsp:val=&quot;5BDF5D95&quot;/&gt;&lt;wsp:rsid wsp:val=&quot;5BFE7528&quot;/&gt;&lt;wsp:rsid wsp:val=&quot;5E2467F1&quot;/&gt;&lt;wsp:rsid wsp:val=&quot;5F1A2B43&quot;/&gt;&lt;wsp:rsid wsp:val=&quot;5FB837BB&quot;/&gt;&lt;wsp:rsid wsp:val=&quot;60CC405A&quot;/&gt;&lt;wsp:rsid wsp:val=&quot;61E215D8&quot;/&gt;&lt;wsp:rsid wsp:val=&quot;621B3775&quot;/&gt;&lt;wsp:rsid wsp:val=&quot;62364782&quot;/&gt;&lt;wsp:rsid wsp:val=&quot;63186930&quot;/&gt;&lt;wsp:rsid wsp:val=&quot;6394356A&quot;/&gt;&lt;wsp:rsid wsp:val=&quot;63C61B2C&quot;/&gt;&lt;wsp:rsid wsp:val=&quot;63D40BE9&quot;/&gt;&lt;wsp:rsid wsp:val=&quot;64102431&quot;/&gt;&lt;wsp:rsid wsp:val=&quot;64A5243A&quot;/&gt;&lt;wsp:rsid wsp:val=&quot;64F531DE&quot;/&gt;&lt;wsp:rsid wsp:val=&quot;65373578&quot;/&gt;&lt;wsp:rsid wsp:val=&quot;66F54451&quot;/&gt;&lt;wsp:rsid wsp:val=&quot;671F124A&quot;/&gt;&lt;wsp:rsid wsp:val=&quot;677A33C6&quot;/&gt;&lt;wsp:rsid wsp:val=&quot;681F6961&quot;/&gt;&lt;wsp:rsid wsp:val=&quot;68610A2F&quot;/&gt;&lt;wsp:rsid wsp:val=&quot;68805514&quot;/&gt;&lt;wsp:rsid wsp:val=&quot;69316E2F&quot;/&gt;&lt;wsp:rsid wsp:val=&quot;694E2071&quot;/&gt;&lt;wsp:rsid wsp:val=&quot;69766163&quot;/&gt;&lt;wsp:rsid wsp:val=&quot;697A3B33&quot;/&gt;&lt;wsp:rsid wsp:val=&quot;69D44760&quot;/&gt;&lt;wsp:rsid wsp:val=&quot;6A520EC7&quot;/&gt;&lt;wsp:rsid wsp:val=&quot;6AF87E20&quot;/&gt;&lt;wsp:rsid wsp:val=&quot;6B322639&quot;/&gt;&lt;wsp:rsid wsp:val=&quot;6C636C38&quot;/&gt;&lt;wsp:rsid wsp:val=&quot;6D7010D8&quot;/&gt;&lt;wsp:rsid wsp:val=&quot;6DB34098&quot;/&gt;&lt;wsp:rsid wsp:val=&quot;6DB545B6&quot;/&gt;&lt;wsp:rsid wsp:val=&quot;6DE02FB4&quot;/&gt;&lt;wsp:rsid wsp:val=&quot;6E514CED&quot;/&gt;&lt;wsp:rsid wsp:val=&quot;6EB563D5&quot;/&gt;&lt;wsp:rsid wsp:val=&quot;6ED92677&quot;/&gt;&lt;wsp:rsid wsp:val=&quot;6F225983&quot;/&gt;&lt;wsp:rsid wsp:val=&quot;6FFC5590&quot;/&gt;&lt;wsp:rsid wsp:val=&quot;706D1559&quot;/&gt;&lt;wsp:rsid wsp:val=&quot;706D1DD0&quot;/&gt;&lt;wsp:rsid wsp:val=&quot;70856B87&quot;/&gt;&lt;wsp:rsid wsp:val=&quot;70D527EE&quot;/&gt;&lt;wsp:rsid wsp:val=&quot;715B5300&quot;/&gt;&lt;wsp:rsid wsp:val=&quot;71D27F8A&quot;/&gt;&lt;wsp:rsid wsp:val=&quot;72070A1D&quot;/&gt;&lt;wsp:rsid wsp:val=&quot;72553024&quot;/&gt;&lt;wsp:rsid wsp:val=&quot;73122968&quot;/&gt;&lt;wsp:rsid wsp:val=&quot;731F5D5E&quot;/&gt;&lt;wsp:rsid wsp:val=&quot;73C51AD5&quot;/&gt;&lt;wsp:rsid wsp:val=&quot;741E793C&quot;/&gt;&lt;wsp:rsid wsp:val=&quot;745E3944&quot;/&gt;&lt;wsp:rsid wsp:val=&quot;7635099D&quot;/&gt;&lt;wsp:rsid wsp:val=&quot;77762421&quot;/&gt;&lt;wsp:rsid wsp:val=&quot;77B56B1F&quot;/&gt;&lt;wsp:rsid wsp:val=&quot;780F09F4&quot;/&gt;&lt;wsp:rsid wsp:val=&quot;78A90480&quot;/&gt;&lt;wsp:rsid wsp:val=&quot;79A74828&quot;/&gt;&lt;wsp:rsid wsp:val=&quot;7A364017&quot;/&gt;&lt;wsp:rsid wsp:val=&quot;7A8265E1&quot;/&gt;&lt;wsp:rsid wsp:val=&quot;7B686D42&quot;/&gt;&lt;wsp:rsid wsp:val=&quot;7B841746&quot;/&gt;&lt;wsp:rsid wsp:val=&quot;7B9701F5&quot;/&gt;&lt;wsp:rsid wsp:val=&quot;7C6C5AC7&quot;/&gt;&lt;wsp:rsid wsp:val=&quot;7CC6544B&quot;/&gt;&lt;wsp:rsid wsp:val=&quot;7D0239FF&quot;/&gt;&lt;wsp:rsid wsp:val=&quot;7D5E40CD&quot;/&gt;&lt;wsp:rsid wsp:val=&quot;7DCD56F2&quot;/&gt;&lt;wsp:rsid wsp:val=&quot;7F001CE7&quot;/&gt;&lt;wsp:rsid wsp:val=&quot;7FAE7925&quot;/&gt;&lt;wsp:rsid wsp:val=&quot;7FE47E50&quot;/&gt;&lt;/wsp:rsids&gt;&lt;/w:docPr&gt;&lt;w:body&gt;&lt;wx:sect&gt;&lt;w:p wsp:rsidR=&quot;00000000&quot; wsp:rsidRDefault=&quot;00422B37&quot; wsp:rsidP=&quot;00422B37&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O&lt;/m:t&gt;&lt;/m:r&gt;&lt;/m:e&gt;&lt;m:sub&gt;&lt;m:r&gt;&lt;w:rPr&gt;&lt;w:rFonts w:ascii=&quot;Cambria Math&quot; w:h-ansi=&quot;Cambria Math&quot;/&gt;&lt;wx:font wx:val=&quot;Cambria Math&quot;/&gt;&lt;w:i/&gt;&lt;/w:rPr&gt;&lt;m:t&gt;j&lt;/m:t&gt;&lt;/m:r&gt;&lt;/m:sub&gt;&lt;/m:sSub&gt;&lt;m:r&gt;&lt;m:rPr&gt;&lt;m:sty m:val=&quot;p&quot;/&gt;&lt;/m:rPr&gt;&lt;w:rPr&gt;&lt;w:rFonts w:ascii=&quot;Cambria Math&quot; w:h-ansi=&quot;Cambria Math&quot;/&gt;&lt;wx:font wx:val=&quot;Cambria Math&quot;/&gt;&lt;/w:rPr&gt;&lt;m:t&gt;≤&lt;/m:t&gt;&lt;/m:r&gt;&lt;m:sSub&gt;&lt;m:sSubPr&gt;&lt;m:ctrlPr&gt;&lt;w:rPrrrrrrrrrr&gt;&lt;aw:rFonts w:ascii=&quot;Cambria Math&quot; w:h-ansi=&quot;Cambria Math&quot;/&gt;&lt;wx:font wx:val=&quot;Cambria Math&quot;/&gt;&lt;/w:rPr&gt;&lt;/m:ctrlPr&gt;&lt;/m:sSubPr&gt;&lt;m:e&gt;&lt;m:r&gt;&lt;w:rPr&gt;&lt;w:rFonts w:ascii=&quot;Cambria Math&quot; w:h-ansi=&quot;Cambria Math&quot;/&gt;&lt;wx:font wx:val=&quot;Cambria Math&quot;/&gt;&lt;w:i/&gt;&lt;/w:rPr&gt;&lt;m:t&gt;DO&lt;/m:t&gt;&lt;/m:r&gt;&lt;/m:e&gt;&lt;m:sub&gt;&lt;m:r&gt;&lt;w:rPr&gt;&lt;w:rFonts w:ascii=&quot;Cambria Math&quot; w:h-ansi=&quot;Cambria Math&quot;/&gt;&lt;wx:font wx:val=&quot;Cambria Math&quot;/&gt;&lt;w:i/&gt;&lt;/w:rPr&gt;&lt;m:t&gt;f&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3" chromakey="#FFFFFF" o:title=""/>
                  <o:lock v:ext="edit" aspectratio="t"/>
                  <w10:wrap type="none"/>
                  <w10:anchorlock/>
                </v:shape>
              </w:pict>
            </w:r>
            <w:r>
              <w:rPr>
                <w:rFonts w:ascii="Times New Roman" w:hAnsi="Times New Roman" w:cs="Times New Roman"/>
                <w:sz w:val="24"/>
              </w:rPr>
              <w:fldChar w:fldCharType="end"/>
            </w:r>
          </w:p>
          <w:p w14:paraId="663C2EDC">
            <w:pPr>
              <w:adjustRightInd w:val="0"/>
              <w:snapToGrid w:val="0"/>
              <w:spacing w:line="360" w:lineRule="auto"/>
              <w:jc w:val="center"/>
              <w:rPr>
                <w:rFonts w:ascii="Times New Roman" w:hAnsi="Times New Roman" w:cs="Times New Roman"/>
                <w:sz w:val="24"/>
              </w:rPr>
            </w:pPr>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DO</m:t>
                  </m:r>
                  <m:r>
                    <m:rPr>
                      <m:sty m:val="p"/>
                    </m:rPr>
                    <w:rPr>
                      <w:rFonts w:ascii="Cambria Math" w:hAnsi="Cambria Math"/>
                    </w:rPr>
                    <m:t>,</m:t>
                  </m:r>
                  <m:r>
                    <m:rPr/>
                    <w:rPr>
                      <w:rFonts w:ascii="Cambria Math" w:hAnsi="Cambria Math"/>
                    </w:rPr>
                    <m:t>j</m:t>
                  </m:r>
                  <m:ctrlPr>
                    <w:rPr>
                      <w:rFonts w:ascii="Cambria Math" w:hAnsi="Cambria Math"/>
                    </w:rPr>
                  </m:ctrlPr>
                </m:sub>
              </m:sSub>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m:rPr/>
                            <w:rPr>
                              <w:rFonts w:ascii="Cambria Math" w:hAnsi="Cambria Math"/>
                            </w:rPr>
                            <m:t>DO</m:t>
                          </m:r>
                          <m:ctrlPr>
                            <w:rPr>
                              <w:rFonts w:ascii="Cambria Math" w:hAnsi="Cambria Math"/>
                            </w:rPr>
                          </m:ctrlPr>
                        </m:e>
                        <m:sub>
                          <m:r>
                            <m:rPr/>
                            <w:rPr>
                              <w:rFonts w:ascii="Cambria Math" w:hAnsi="Cambria Math"/>
                            </w:rPr>
                            <m:t>f</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DO</m:t>
                          </m:r>
                          <m:ctrlPr>
                            <w:rPr>
                              <w:rFonts w:ascii="Cambria Math" w:hAnsi="Cambria Math"/>
                            </w:rPr>
                          </m:ctrlPr>
                        </m:e>
                        <m:sub>
                          <m:r>
                            <m:rPr/>
                            <w:rPr>
                              <w:rFonts w:ascii="Cambria Math" w:hAnsi="Cambria Math"/>
                            </w:rPr>
                            <m:t>j</m:t>
                          </m:r>
                          <m:ctrlPr>
                            <w:rPr>
                              <w:rFonts w:ascii="Cambria Math" w:hAnsi="Cambria Math"/>
                            </w:rPr>
                          </m:ctrlPr>
                        </m:sub>
                      </m:sSub>
                      <m:ctrlPr>
                        <w:rPr>
                          <w:rFonts w:ascii="Cambria Math" w:hAnsi="Cambria Math"/>
                        </w:rPr>
                      </m:ctrlPr>
                    </m:e>
                  </m:d>
                  <m:ctrlPr>
                    <w:rPr>
                      <w:rFonts w:ascii="Cambria Math" w:hAnsi="Cambria Math"/>
                    </w:rPr>
                  </m:ctrlPr>
                </m:num>
                <m:den>
                  <m:sSub>
                    <m:sSubPr>
                      <m:ctrlPr>
                        <w:rPr>
                          <w:rFonts w:ascii="Cambria Math" w:hAnsi="Cambria Math"/>
                        </w:rPr>
                      </m:ctrlPr>
                    </m:sSubPr>
                    <m:e>
                      <m:r>
                        <m:rPr/>
                        <w:rPr>
                          <w:rFonts w:ascii="Cambria Math" w:hAnsi="Cambria Math"/>
                        </w:rPr>
                        <m:t>DO</m:t>
                      </m:r>
                      <m:ctrlPr>
                        <w:rPr>
                          <w:rFonts w:ascii="Cambria Math" w:hAnsi="Cambria Math"/>
                        </w:rPr>
                      </m:ctrlPr>
                    </m:e>
                    <m:sub>
                      <m:r>
                        <m:rPr/>
                        <w:rPr>
                          <w:rFonts w:ascii="Cambria Math" w:hAnsi="Cambria Math"/>
                        </w:rPr>
                        <m:t>f</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DO</m:t>
                      </m:r>
                      <m:ctrlPr>
                        <w:rPr>
                          <w:rFonts w:ascii="Cambria Math" w:hAnsi="Cambria Math"/>
                        </w:rPr>
                      </m:ctrlPr>
                    </m:e>
                    <m:sub>
                      <m:r>
                        <m:rPr/>
                        <w:rPr>
                          <w:rFonts w:ascii="Cambria Math" w:hAnsi="Cambria Math"/>
                        </w:rPr>
                        <m:t>s</m:t>
                      </m:r>
                      <m:ctrlPr>
                        <w:rPr>
                          <w:rFonts w:ascii="Cambria Math" w:hAnsi="Cambria Math"/>
                        </w:rPr>
                      </m:ctrlPr>
                    </m:sub>
                  </m:sSub>
                  <m:ctrlPr>
                    <w:rPr>
                      <w:rFonts w:ascii="Cambria Math" w:hAnsi="Cambria Math"/>
                    </w:rPr>
                  </m:ctrlPr>
                </m:den>
              </m:f>
            </m:oMath>
            <w:r>
              <w:rPr>
                <w:rFonts w:ascii="Times New Roman" w:hAnsi="Times New Roman" w:cs="Times New Roman"/>
                <w:sz w:val="24"/>
              </w:rPr>
              <w:t xml:space="preserve">   </w:t>
            </w:r>
            <w:r>
              <w:rPr>
                <w:rFonts w:ascii="Times New Roman" w:hAnsi="Times New Roman" w:cs="Times New Roman"/>
                <w:sz w:val="24"/>
              </w:rPr>
              <w:fldChar w:fldCharType="begin"/>
            </w:r>
            <w:r>
              <w:rPr>
                <w:rFonts w:ascii="Times New Roman" w:hAnsi="Times New Roman" w:cs="Times New Roman"/>
                <w:sz w:val="24"/>
              </w:rPr>
              <w:instrText xml:space="preserve"> QUOTE </w:instrText>
            </w:r>
            <w:r>
              <w:rPr>
                <w:rFonts w:ascii="Times New Roman" w:hAnsi="Times New Roman" w:cs="Times New Roman"/>
                <w:position w:val="-8"/>
                <w:sz w:val="24"/>
              </w:rPr>
              <w:pict>
                <v:shape id="_x0000_i1029" o:spt="75" type="#_x0000_t75" style="height:14.25pt;width:50.2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isplayBackgroundShape/&gt;&lt;w:doNotEmbedSystemFonts/&gt;&lt;w:stylePaneFormatFilter w:val=&quot;3F01&quot;/&gt;&lt;w:documentProtection w:edit=&quot;tracked-changes&quot; w:enforcement=&quot;off&quot;/&gt;&lt;w:defaultTabStop w:val=&quot;420&quot;/&gt;&lt;w:evenAndOddHeaders/&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compat&gt;&lt;w:doNotExpandShiftReturn/&gt;&lt;w:breakWrappedTables/&gt;&lt;w:snapToGridInCell/&gt;&lt;w:dontGrowAutofit/&gt;&lt;w:useFELayout/&gt;&lt;/w:compat&gt;&lt;wsp:rsids&gt;&lt;wsp:rsidRoot wsp:val=&quot;00A14947&quot;/&gt;&lt;wsp:rsid wsp:val=&quot;00000832&quot;/&gt;&lt;wsp:rsid wsp:val=&quot;0000091E&quot;/&gt;&lt;wsp:rsid wsp:val=&quot;0000192C&quot;/&gt;&lt;wsp:rsid wsp:val=&quot;00002C3F&quot;/&gt;&lt;wsp:rsid wsp:val=&quot;000036F3&quot;/&gt;&lt;wsp:rsid wsp:val=&quot;00003D7D&quot;/&gt;&lt;wsp:rsid wsp:val=&quot;000041E2&quot;/&gt;&lt;wsp:rsid wsp:val=&quot;00004C84&quot;/&gt;&lt;wsp:rsid wsp:val=&quot;00005101&quot;/&gt;&lt;wsp:rsid wsp:val=&quot;000056BD&quot;/&gt;&lt;wsp:rsid wsp:val=&quot;000056FF&quot;/&gt;&lt;wsp:rsid wsp:val=&quot;000060B3&quot;/&gt;&lt;wsp:rsid wsp:val=&quot;0000638D&quot;/&gt;&lt;wsp:rsid wsp:val=&quot;00006578&quot;/&gt;&lt;wsp:rsid wsp:val=&quot;00006FCD&quot;/&gt;&lt;wsp:rsid wsp:val=&quot;00007495&quot;/&gt;&lt;wsp:rsid wsp:val=&quot;0001183E&quot;/&gt;&lt;wsp:rsid wsp:val=&quot;00011E3F&quot;/&gt;&lt;wsp:rsid wsp:val=&quot;000122D3&quot;/&gt;&lt;wsp:rsid wsp:val=&quot;0001235E&quot;/&gt;&lt;wsp:rsid wsp:val=&quot;000129BB&quot;/&gt;&lt;wsp:rsid wsp:val=&quot;0001301D&quot;/&gt;&lt;wsp:rsid wsp:val=&quot;00014435&quot;/&gt;&lt;wsp:rsid wsp:val=&quot;00014948&quot;/&gt;&lt;wsp:rsid wsp:val=&quot;00014C79&quot;/&gt;&lt;wsp:rsid wsp:val=&quot;0001558A&quot;/&gt;&lt;wsp:rsid wsp:val=&quot;000156AB&quot;/&gt;&lt;wsp:rsid wsp:val=&quot;00015C53&quot;/&gt;&lt;wsp:rsid wsp:val=&quot;00016D2F&quot;/&gt;&lt;wsp:rsid wsp:val=&quot;00016EC7&quot;/&gt;&lt;wsp:rsid wsp:val=&quot;00016FA8&quot;/&gt;&lt;wsp:rsid wsp:val=&quot;0001725B&quot;/&gt;&lt;wsp:rsid wsp:val=&quot;00020063&quot;/&gt;&lt;wsp:rsid wsp:val=&quot;00020FA3&quot;/&gt;&lt;wsp:rsid wsp:val=&quot;0002127F&quot;/&gt;&lt;wsp:rsid wsp:val=&quot;00021362&quot;/&gt;&lt;wsp:rsid wsp:val=&quot;000213E0&quot;/&gt;&lt;wsp:rsid wsp:val=&quot;00021F9C&quot;/&gt;&lt;wsp:rsid wsp:val=&quot;00022D29&quot;/&gt;&lt;wsp:rsid wsp:val=&quot;0002302D&quot;/&gt;&lt;wsp:rsid wsp:val=&quot;000230D3&quot;/&gt;&lt;wsp:rsid wsp:val=&quot;000235E2&quot;/&gt;&lt;wsp:rsid wsp:val=&quot;000239CD&quot;/&gt;&lt;wsp:rsid wsp:val=&quot;00023F5A&quot;/&gt;&lt;wsp:rsid wsp:val=&quot;0002432F&quot;/&gt;&lt;wsp:rsid wsp:val=&quot;00024491&quot;/&gt;&lt;wsp:rsid wsp:val=&quot;00024A39&quot;/&gt;&lt;wsp:rsid wsp:val=&quot;00024B3B&quot;/&gt;&lt;wsp:rsid wsp:val=&quot;00024EE9&quot;/&gt;&lt;wsp:rsid wsp:val=&quot;00025B05&quot;/&gt;&lt;wsp:rsid wsp:val=&quot;00026113&quot;/&gt;&lt;wsp:rsid wsp:val=&quot;0002628D&quot;/&gt;&lt;wsp:rsid wsp:val=&quot;000270BC&quot;/&gt;&lt;wsp:rsid wsp:val=&quot;00027420&quot;/&gt;&lt;wsp:rsid wsp:val=&quot;00027A97&quot;/&gt;&lt;wsp:rsid wsp:val=&quot;0003067F&quot;/&gt;&lt;wsp:rsid wsp:val=&quot;00030BB2&quot;/&gt;&lt;wsp:rsid wsp:val=&quot;00032127&quot;/&gt;&lt;wsp:rsid wsp:val=&quot;000321FE&quot;/&gt;&lt;wsp:rsid wsp:val=&quot;000325BB&quot;/&gt;&lt;wsp:rsid wsp:val=&quot;0003312B&quot;/&gt;&lt;wsp:rsid wsp:val=&quot;00033288&quot;/&gt;&lt;wsp:rsid wsp:val=&quot;00033303&quot;/&gt;&lt;wsp:rsid wsp:val=&quot;000334BB&quot;/&gt;&lt;wsp:rsid wsp:val=&quot;00033DBF&quot;/&gt;&lt;wsp:rsid wsp:val=&quot;0003436D&quot;/&gt;&lt;wsp:rsid wsp:val=&quot;00034B45&quot;/&gt;&lt;wsp:rsid wsp:val=&quot;00034FA3&quot;/&gt;&lt;wsp:rsid wsp:val=&quot;000350E9&quot;/&gt;&lt;wsp:rsid wsp:val=&quot;0003711C&quot;/&gt;&lt;wsp:rsid wsp:val=&quot;0003727A&quot;/&gt;&lt;wsp:rsid wsp:val=&quot;000411A0&quot;/&gt;&lt;wsp:rsid wsp:val=&quot;00041816&quot;/&gt;&lt;wsp:rsid wsp:val=&quot;00041C23&quot;/&gt;&lt;wsp:rsid wsp:val=&quot;00041DC1&quot;/&gt;&lt;wsp:rsid wsp:val=&quot;00043370&quot;/&gt;&lt;wsp:rsid wsp:val=&quot;00043497&quot;/&gt;&lt;wsp:rsid wsp:val=&quot;0004364B&quot;/&gt;&lt;wsp:rsid wsp:val=&quot;00043880&quot;/&gt;&lt;wsp:rsid wsp:val=&quot;00043AD5&quot;/&gt;&lt;wsp:rsid wsp:val=&quot;00043D4B&quot;/&gt;&lt;wsp:rsid wsp:val=&quot;00044421&quot;/&gt;&lt;wsp:rsid wsp:val=&quot;0004446D&quot;/&gt;&lt;wsp:rsid wsp:val=&quot;000447AB&quot;/&gt;&lt;wsp:rsid wsp:val=&quot;0004481F&quot;/&gt;&lt;wsp:rsid wsp:val=&quot;00044834&quot;/&gt;&lt;wsp:rsid wsp:val=&quot;000450FA&quot;/&gt;&lt;wsp:rsid wsp:val=&quot;00045848&quot;/&gt;&lt;wsp:rsid wsp:val=&quot;00045EFD&quot;/&gt;&lt;wsp:rsid wsp:val=&quot;0004634A&quot;/&gt;&lt;wsp:rsid wsp:val=&quot;00046711&quot;/&gt;&lt;wsp:rsid wsp:val=&quot;00046BE0&quot;/&gt;&lt;wsp:rsid wsp:val=&quot;00046F8C&quot;/&gt;&lt;wsp:rsid wsp:val=&quot;0004711B&quot;/&gt;&lt;wsp:rsid wsp:val=&quot;00047294&quot;/&gt;&lt;wsp:rsid wsp:val=&quot;00047304&quot;/&gt;&lt;wsp:rsid wsp:val=&quot;00047582&quot;/&gt;&lt;wsp:rsid wsp:val=&quot;00050717&quot;/&gt;&lt;wsp:rsid wsp:val=&quot;00051385&quot;/&gt;&lt;wsp:rsid wsp:val=&quot;00051494&quot;/&gt;&lt;wsp:rsid wsp:val=&quot;00051907&quot;/&gt;&lt;wsp:rsid wsp:val=&quot;000524D1&quot;/&gt;&lt;wsp:rsid wsp:val=&quot;000526A7&quot;/&gt;&lt;wsp:rsid wsp:val=&quot;00053DEA&quot;/&gt;&lt;wsp:rsid wsp:val=&quot;00054829&quot;/&gt;&lt;wsp:rsid wsp:val=&quot;0005491B&quot;/&gt;&lt;wsp:rsid wsp:val=&quot;000553CD&quot;/&gt;&lt;wsp:rsid wsp:val=&quot;00055A69&quot;/&gt;&lt;wsp:rsid wsp:val=&quot;00055DA9&quot;/&gt;&lt;wsp:rsid wsp:val=&quot;00055FBF&quot;/&gt;&lt;wsp:rsid wsp:val=&quot;0005611B&quot;/&gt;&lt;wsp:rsid wsp:val=&quot;000563CC&quot;/&gt;&lt;wsp:rsid wsp:val=&quot;00056784&quot;/&gt;&lt;wsp:rsid wsp:val=&quot;00056E79&quot;/&gt;&lt;wsp:rsid wsp:val=&quot;00056E84&quot;/&gt;&lt;wsp:rsid wsp:val=&quot;00057175&quot;/&gt;&lt;wsp:rsid wsp:val=&quot;000577AC&quot;/&gt;&lt;wsp:rsid wsp:val=&quot;0005782E&quot;/&gt;&lt;wsp:rsid wsp:val=&quot;00060FF6&quot;/&gt;&lt;wsp:rsid wsp:val=&quot;00061900&quot;/&gt;&lt;wsp:rsid wsp:val=&quot;00061AC0&quot;/&gt;&lt;wsp:rsid wsp:val=&quot;00061B1F&quot;/&gt;&lt;wsp:rsid wsp:val=&quot;00061D3A&quot;/&gt;&lt;wsp:rsid wsp:val=&quot;0006227B&quot;/&gt;&lt;wsp:rsid wsp:val=&quot;00063261&quot;/&gt;&lt;wsp:rsid wsp:val=&quot;00064D8B&quot;/&gt;&lt;wsp:rsid wsp:val=&quot;000656FD&quot;/&gt;&lt;wsp:rsid wsp:val=&quot;000658C4&quot;/&gt;&lt;wsp:rsid wsp:val=&quot;00066414&quot;/&gt;&lt;wsp:rsid wsp:val=&quot;00066CB7&quot;/&gt;&lt;wsp:rsid wsp:val=&quot;000671D6&quot;/&gt;&lt;wsp:rsid wsp:val=&quot;000677D6&quot;/&gt;&lt;wsp:rsid wsp:val=&quot;00067856&quot;/&gt;&lt;wsp:rsid wsp:val=&quot;00067CBC&quot;/&gt;&lt;wsp:rsid wsp:val=&quot;00067FB0&quot;/&gt;&lt;wsp:rsid wsp:val=&quot;00070EDC&quot;/&gt;&lt;wsp:rsid wsp:val=&quot;0007101B&quot;/&gt;&lt;wsp:rsid wsp:val=&quot;000717D4&quot;/&gt;&lt;wsp:rsid wsp:val=&quot;00071843&quot;/&gt;&lt;wsp:rsid wsp:val=&quot;00072351&quot;/&gt;&lt;wsp:rsid wsp:val=&quot;00072423&quot;/&gt;&lt;wsp:rsid wsp:val=&quot;00072561&quot;/&gt;&lt;wsp:rsid wsp:val=&quot;00072969&quot;/&gt;&lt;wsp:rsid wsp:val=&quot;00072992&quot;/&gt;&lt;wsp:rsid wsp:val=&quot;000729F2&quot;/&gt;&lt;wsp:rsid wsp:val=&quot;00072ED2&quot;/&gt;&lt;wsp:rsid wsp:val=&quot;00073098&quot;/&gt;&lt;wsp:rsid wsp:val=&quot;00073322&quot;/&gt;&lt;wsp:rsid wsp:val=&quot;000733C4&quot;/&gt;&lt;wsp:rsid wsp:val=&quot;00073636&quot;/&gt;&lt;wsp:rsid wsp:val=&quot;00073670&quot;/&gt;&lt;wsp:rsid wsp:val=&quot;000738E0&quot;/&gt;&lt;wsp:rsid wsp:val=&quot;00074183&quot;/&gt;&lt;wsp:rsid wsp:val=&quot;0007448C&quot;/&gt;&lt;wsp:rsid wsp:val=&quot;000745DA&quot;/&gt;&lt;wsp:rsid wsp:val=&quot;00074783&quot;/&gt;&lt;wsp:rsid wsp:val=&quot;000751B0&quot;/&gt;&lt;wsp:rsid wsp:val=&quot;000754A1&quot;/&gt;&lt;wsp:rsid wsp:val=&quot;000768EB&quot;/&gt;&lt;wsp:rsid wsp:val=&quot;00076DAC&quot;/&gt;&lt;wsp:rsid wsp:val=&quot;0007757F&quot;/&gt;&lt;wsp:rsid wsp:val=&quot;00077AD0&quot;/&gt;&lt;wsp:rsid wsp:val=&quot;000805AD&quot;/&gt;&lt;wsp:rsid wsp:val=&quot;0008070B&quot;/&gt;&lt;wsp:rsid wsp:val=&quot;00080B27&quot;/&gt;&lt;wsp:rsid wsp:val=&quot;00080BA0&quot;/&gt;&lt;wsp:rsid wsp:val=&quot;00080E5F&quot;/&gt;&lt;wsp:rsid wsp:val=&quot;00080FFC&quot;/&gt;&lt;wsp:rsid wsp:val=&quot;000810AC&quot;/&gt;&lt;wsp:rsid wsp:val=&quot;000811A1&quot;/&gt;&lt;wsp:rsid wsp:val=&quot;00081809&quot;/&gt;&lt;wsp:rsid wsp:val=&quot;00081A02&quot;/&gt;&lt;wsp:rsid wsp:val=&quot;00082038&quot;/&gt;&lt;wsp:rsid wsp:val=&quot;00082231&quot;/&gt;&lt;wsp:rsid wsp:val=&quot;0008368D&quot;/&gt;&lt;wsp:rsid wsp:val=&quot;000849D4&quot;/&gt;&lt;wsp:rsid wsp:val=&quot;00084B02&quot;/&gt;&lt;wsp:rsid wsp:val=&quot;000856F3&quot;/&gt;&lt;wsp:rsid wsp:val=&quot;000859E9&quot;/&gt;&lt;wsp:rsid wsp:val=&quot;00086029&quot;/&gt;&lt;wsp:rsid wsp:val=&quot;000865C0&quot;/&gt;&lt;wsp:rsid wsp:val=&quot;000867E1&quot;/&gt;&lt;wsp:rsid wsp:val=&quot;00087B8E&quot;/&gt;&lt;wsp:rsid wsp:val=&quot;000910D9&quot;/&gt;&lt;wsp:rsid wsp:val=&quot;000927B8&quot;/&gt;&lt;wsp:rsid wsp:val=&quot;00092905&quot;/&gt;&lt;wsp:rsid wsp:val=&quot;00092D38&quot;/&gt;&lt;wsp:rsid wsp:val=&quot;00093741&quot;/&gt;&lt;wsp:rsid wsp:val=&quot;0009377B&quot;/&gt;&lt;wsp:rsid wsp:val=&quot;00093F9A&quot;/&gt;&lt;wsp:rsid wsp:val=&quot;00094655&quot;/&gt;&lt;wsp:rsid wsp:val=&quot;00095143&quot;/&gt;&lt;wsp:rsid wsp:val=&quot;00095298&quot;/&gt;&lt;wsp:rsid wsp:val=&quot;00095FAA&quot;/&gt;&lt;wsp:rsid wsp:val=&quot;00096A8F&quot;/&gt;&lt;wsp:rsid wsp:val=&quot;00096F88&quot;/&gt;&lt;wsp:rsid wsp:val=&quot;00097C05&quot;/&gt;&lt;wsp:rsid wsp:val=&quot;000A0250&quot;/&gt;&lt;wsp:rsid wsp:val=&quot;000A154C&quot;/&gt;&lt;wsp:rsid wsp:val=&quot;000A20C9&quot;/&gt;&lt;wsp:rsid wsp:val=&quot;000A22FF&quot;/&gt;&lt;wsp:rsid wsp:val=&quot;000A297D&quot;/&gt;&lt;wsp:rsid wsp:val=&quot;000A2BDF&quot;/&gt;&lt;wsp:rsid wsp:val=&quot;000A3180&quot;/&gt;&lt;wsp:rsid wsp:val=&quot;000A3549&quot;/&gt;&lt;wsp:rsid wsp:val=&quot;000A3773&quot;/&gt;&lt;wsp:rsid wsp:val=&quot;000A4276&quot;/&gt;&lt;wsp:rsid wsp:val=&quot;000A429D&quot;/&gt;&lt;wsp:rsid wsp:val=&quot;000A48A1&quot;/&gt;&lt;wsp:rsid wsp:val=&quot;000A4ADA&quot;/&gt;&lt;wsp:rsid wsp:val=&quot;000A4D9B&quot;/&gt;&lt;wsp:rsid wsp:val=&quot;000A4E63&quot;/&gt;&lt;wsp:rsid wsp:val=&quot;000A4F58&quot;/&gt;&lt;wsp:rsid wsp:val=&quot;000A650D&quot;/&gt;&lt;wsp:rsid wsp:val=&quot;000A6CA9&quot;/&gt;&lt;wsp:rsid wsp:val=&quot;000A6EB8&quot;/&gt;&lt;wsp:rsid wsp:val=&quot;000A736E&quot;/&gt;&lt;wsp:rsid wsp:val=&quot;000A7B15&quot;/&gt;&lt;wsp:rsid wsp:val=&quot;000B058F&quot;/&gt;&lt;wsp:rsid wsp:val=&quot;000B0827&quot;/&gt;&lt;wsp:rsid wsp:val=&quot;000B11F4&quot;/&gt;&lt;wsp:rsid wsp:val=&quot;000B1560&quot;/&gt;&lt;wsp:rsid wsp:val=&quot;000B1967&quot;/&gt;&lt;wsp:rsid wsp:val=&quot;000B1AAF&quot;/&gt;&lt;wsp:rsid wsp:val=&quot;000B22DA&quot;/&gt;&lt;wsp:rsid wsp:val=&quot;000B26C4&quot;/&gt;&lt;wsp:rsid wsp:val=&quot;000B394D&quot;/&gt;&lt;wsp:rsid wsp:val=&quot;000B3AB9&quot;/&gt;&lt;wsp:rsid wsp:val=&quot;000B4393&quot;/&gt;&lt;wsp:rsid wsp:val=&quot;000B4467&quot;/&gt;&lt;wsp:rsid wsp:val=&quot;000B4732&quot;/&gt;&lt;wsp:rsid wsp:val=&quot;000B4B17&quot;/&gt;&lt;wsp:rsid wsp:val=&quot;000B4B23&quot;/&gt;&lt;wsp:rsid wsp:val=&quot;000B4B4F&quot;/&gt;&lt;wsp:rsid wsp:val=&quot;000B4DB9&quot;/&gt;&lt;wsp:rsid wsp:val=&quot;000B5196&quot;/&gt;&lt;wsp:rsid wsp:val=&quot;000B5AD4&quot;/&gt;&lt;wsp:rsid wsp:val=&quot;000B5CF3&quot;/&gt;&lt;wsp:rsid wsp:val=&quot;000B5E34&quot;/&gt;&lt;wsp:rsid wsp:val=&quot;000B647D&quot;/&gt;&lt;wsp:rsid wsp:val=&quot;000B699F&quot;/&gt;&lt;wsp:rsid wsp:val=&quot;000B783D&quot;/&gt;&lt;wsp:rsid wsp:val=&quot;000C09AC&quot;/&gt;&lt;wsp:rsid wsp:val=&quot;000C16B7&quot;/&gt;&lt;wsp:rsid wsp:val=&quot;000C1D4E&quot;/&gt;&lt;wsp:rsid wsp:val=&quot;000C2662&quot;/&gt;&lt;wsp:rsid wsp:val=&quot;000C2677&quot;/&gt;&lt;wsp:rsid wsp:val=&quot;000C295B&quot;/&gt;&lt;wsp:rsid wsp:val=&quot;000C29C1&quot;/&gt;&lt;wsp:rsid wsp:val=&quot;000C2A5B&quot;/&gt;&lt;wsp:rsid wsp:val=&quot;000C32C2&quot;/&gt;&lt;wsp:rsid wsp:val=&quot;000C3D03&quot;/&gt;&lt;wsp:rsid wsp:val=&quot;000C43CA&quot;/&gt;&lt;wsp:rsid wsp:val=&quot;000C4788&quot;/&gt;&lt;wsp:rsid wsp:val=&quot;000C48C5&quot;/&gt;&lt;wsp:rsid wsp:val=&quot;000C5810&quot;/&gt;&lt;wsp:rsid wsp:val=&quot;000C5836&quot;/&gt;&lt;wsp:rsid wsp:val=&quot;000C5941&quot;/&gt;&lt;wsp:rsid wsp:val=&quot;000C5DA2&quot;/&gt;&lt;wsp:rsid wsp:val=&quot;000C638F&quot;/&gt;&lt;wsp:rsid wsp:val=&quot;000C6627&quot;/&gt;&lt;wsp:rsid wsp:val=&quot;000C6A2E&quot;/&gt;&lt;wsp:rsid wsp:val=&quot;000C6CF9&quot;/&gt;&lt;wsp:rsid wsp:val=&quot;000C6E90&quot;/&gt;&lt;wsp:rsid wsp:val=&quot;000C7552&quot;/&gt;&lt;wsp:rsid wsp:val=&quot;000C767F&quot;/&gt;&lt;wsp:rsid wsp:val=&quot;000C76BB&quot;/&gt;&lt;wsp:rsid wsp:val=&quot;000C77D3&quot;/&gt;&lt;wsp:rsid wsp:val=&quot;000C783E&quot;/&gt;&lt;wsp:rsid wsp:val=&quot;000D0D9B&quot;/&gt;&lt;wsp:rsid wsp:val=&quot;000D1250&quot;/&gt;&lt;wsp:rsid wsp:val=&quot;000D1B03&quot;/&gt;&lt;wsp:rsid wsp:val=&quot;000D2673&quot;/&gt;&lt;wsp:rsid wsp:val=&quot;000D3612&quot;/&gt;&lt;wsp:rsid wsp:val=&quot;000D3C46&quot;/&gt;&lt;wsp:rsid wsp:val=&quot;000D3EF2&quot;/&gt;&lt;wsp:rsid wsp:val=&quot;000D4A85&quot;/&gt;&lt;wsp:rsid wsp:val=&quot;000D4BD6&quot;/&gt;&lt;wsp:rsid wsp:val=&quot;000D54C4&quot;/&gt;&lt;wsp:rsid wsp:val=&quot;000D54E3&quot;/&gt;&lt;wsp:rsid wsp:val=&quot;000D59DB&quot;/&gt;&lt;wsp:rsid wsp:val=&quot;000D5A44&quot;/&gt;&lt;wsp:rsid wsp:val=&quot;000D6092&quot;/&gt;&lt;wsp:rsid wsp:val=&quot;000D6229&quot;/&gt;&lt;wsp:rsid wsp:val=&quot;000D64DA&quot;/&gt;&lt;wsp:rsid wsp:val=&quot;000D6C29&quot;/&gt;&lt;wsp:rsid wsp:val=&quot;000D7F60&quot;/&gt;&lt;wsp:rsid wsp:val=&quot;000E0553&quot;/&gt;&lt;wsp:rsid wsp:val=&quot;000E09B9&quot;/&gt;&lt;wsp:rsid wsp:val=&quot;000E11B0&quot;/&gt;&lt;wsp:rsid wsp:val=&quot;000E17E5&quot;/&gt;&lt;wsp:rsid wsp:val=&quot;000E20D7&quot;/&gt;&lt;wsp:rsid wsp:val=&quot;000E2BBB&quot;/&gt;&lt;wsp:rsid wsp:val=&quot;000E2C9B&quot;/&gt;&lt;wsp:rsid wsp:val=&quot;000E2F2E&quot;/&gt;&lt;wsp:rsid wsp:val=&quot;000E3151&quot;/&gt;&lt;wsp:rsid wsp:val=&quot;000E31AC&quot;/&gt;&lt;wsp:rsid wsp:val=&quot;000E361B&quot;/&gt;&lt;wsp:rsid wsp:val=&quot;000E374B&quot;/&gt;&lt;wsp:rsid wsp:val=&quot;000E3D53&quot;/&gt;&lt;wsp:rsid wsp:val=&quot;000E3ED2&quot;/&gt;&lt;wsp:rsid wsp:val=&quot;000E43ED&quot;/&gt;&lt;wsp:rsid wsp:val=&quot;000E5FD4&quot;/&gt;&lt;wsp:rsid wsp:val=&quot;000E6615&quot;/&gt;&lt;wsp:rsid wsp:val=&quot;000F0A52&quot;/&gt;&lt;wsp:rsid wsp:val=&quot;000F19F4&quot;/&gt;&lt;wsp:rsid wsp:val=&quot;000F2918&quot;/&gt;&lt;wsp:rsid wsp:val=&quot;000F2B86&quot;/&gt;&lt;wsp:rsid wsp:val=&quot;000F34C2&quot;/&gt;&lt;wsp:rsid wsp:val=&quot;000F3616&quot;/&gt;&lt;wsp:rsid wsp:val=&quot;000F3B62&quot;/&gt;&lt;wsp:rsid wsp:val=&quot;000F3D93&quot;/&gt;&lt;wsp:rsid wsp:val=&quot;000F3DDA&quot;/&gt;&lt;wsp:rsid wsp:val=&quot;000F452F&quot;/&gt;&lt;wsp:rsid wsp:val=&quot;000F4B7E&quot;/&gt;&lt;wsp:rsid wsp:val=&quot;000F4E57&quot;/&gt;&lt;wsp:rsid wsp:val=&quot;000F5AF3&quot;/&gt;&lt;wsp:rsid wsp:val=&quot;000F5B82&quot;/&gt;&lt;wsp:rsid wsp:val=&quot;000F5FB0&quot;/&gt;&lt;wsp:rsid wsp:val=&quot;000F6013&quot;/&gt;&lt;wsp:rsid wsp:val=&quot;000F6605&quot;/&gt;&lt;wsp:rsid wsp:val=&quot;000F67FF&quot;/&gt;&lt;wsp:rsid wsp:val=&quot;000F6A7B&quot;/&gt;&lt;wsp:rsid wsp:val=&quot;000F6FEF&quot;/&gt;&lt;wsp:rsid wsp:val=&quot;000F728C&quot;/&gt;&lt;wsp:rsid wsp:val=&quot;000F734F&quot;/&gt;&lt;wsp:rsid wsp:val=&quot;000F7C6D&quot;/&gt;&lt;wsp:rsid wsp:val=&quot;000F7E9F&quot;/&gt;&lt;wsp:rsid wsp:val=&quot;001001ED&quot;/&gt;&lt;wsp:rsid wsp:val=&quot;00100B6C&quot;/&gt;&lt;wsp:rsid wsp:val=&quot;00100ECB&quot;/&gt;&lt;wsp:rsid wsp:val=&quot;0010137E&quot;/&gt;&lt;wsp:rsid wsp:val=&quot;001014A9&quot;/&gt;&lt;wsp:rsid wsp:val=&quot;0010190B&quot;/&gt;&lt;wsp:rsid wsp:val=&quot;00101CC3&quot;/&gt;&lt;wsp:rsid wsp:val=&quot;0010287A&quot;/&gt;&lt;wsp:rsid wsp:val=&quot;00102970&quot;/&gt;&lt;wsp:rsid wsp:val=&quot;00103687&quot;/&gt;&lt;wsp:rsid wsp:val=&quot;001039E4&quot;/&gt;&lt;wsp:rsid wsp:val=&quot;001039E8&quot;/&gt;&lt;wsp:rsid wsp:val=&quot;001040DE&quot;/&gt;&lt;wsp:rsid wsp:val=&quot;0010471B&quot;/&gt;&lt;wsp:rsid wsp:val=&quot;00104821&quot;/&gt;&lt;wsp:rsid wsp:val=&quot;001049E3&quot;/&gt;&lt;wsp:rsid wsp:val=&quot;00104BE0&quot;/&gt;&lt;wsp:rsid wsp:val=&quot;00104C71&quot;/&gt;&lt;wsp:rsid wsp:val=&quot;0010545C&quot;/&gt;&lt;wsp:rsid wsp:val=&quot;0010569B&quot;/&gt;&lt;wsp:rsid wsp:val=&quot;001058A3&quot;/&gt;&lt;wsp:rsid wsp:val=&quot;00105A61&quot;/&gt;&lt;wsp:rsid wsp:val=&quot;00106DED&quot;/&gt;&lt;wsp:rsid wsp:val=&quot;001070EC&quot;/&gt;&lt;wsp:rsid wsp:val=&quot;001073EE&quot;/&gt;&lt;wsp:rsid wsp:val=&quot;0010747B&quot;/&gt;&lt;wsp:rsid wsp:val=&quot;00107AA1&quot;/&gt;&lt;wsp:rsid wsp:val=&quot;001107E4&quot;/&gt;&lt;wsp:rsid wsp:val=&quot;00110D63&quot;/&gt;&lt;wsp:rsid wsp:val=&quot;0011156E&quot;/&gt;&lt;wsp:rsid wsp:val=&quot;001121C0&quot;/&gt;&lt;wsp:rsid wsp:val=&quot;001135C8&quot;/&gt;&lt;wsp:rsid wsp:val=&quot;001143DB&quot;/&gt;&lt;wsp:rsid wsp:val=&quot;00114476&quot;/&gt;&lt;wsp:rsid wsp:val=&quot;0011470F&quot;/&gt;&lt;wsp:rsid wsp:val=&quot;00114845&quot;/&gt;&lt;wsp:rsid wsp:val=&quot;00114DF7&quot;/&gt;&lt;wsp:rsid wsp:val=&quot;00115173&quot;/&gt;&lt;wsp:rsid wsp:val=&quot;001159C5&quot;/&gt;&lt;wsp:rsid wsp:val=&quot;0011602B&quot;/&gt;&lt;wsp:rsid wsp:val=&quot;00116209&quot;/&gt;&lt;wsp:rsid wsp:val=&quot;00116549&quot;/&gt;&lt;wsp:rsid wsp:val=&quot;00117246&quot;/&gt;&lt;wsp:rsid wsp:val=&quot;00117503&quot;/&gt;&lt;wsp:rsid wsp:val=&quot;00117AF3&quot;/&gt;&lt;wsp:rsid wsp:val=&quot;001203D1&quot;/&gt;&lt;wsp:rsid wsp:val=&quot;0012046E&quot;/&gt;&lt;wsp:rsid wsp:val=&quot;00120FCD&quot;/&gt;&lt;wsp:rsid wsp:val=&quot;001215AD&quot;/&gt;&lt;wsp:rsid wsp:val=&quot;001216D6&quot;/&gt;&lt;wsp:rsid wsp:val=&quot;001216D9&quot;/&gt;&lt;wsp:rsid wsp:val=&quot;00121EA1&quot;/&gt;&lt;wsp:rsid wsp:val=&quot;0012213A&quot;/&gt;&lt;wsp:rsid wsp:val=&quot;0012273C&quot;/&gt;&lt;wsp:rsid wsp:val=&quot;00122C6A&quot;/&gt;&lt;wsp:rsid wsp:val=&quot;00122E99&quot;/&gt;&lt;wsp:rsid wsp:val=&quot;001243AA&quot;/&gt;&lt;wsp:rsid wsp:val=&quot;00125540&quot;/&gt;&lt;wsp:rsid wsp:val=&quot;00125B8B&quot;/&gt;&lt;wsp:rsid wsp:val=&quot;001264D8&quot;/&gt;&lt;wsp:rsid wsp:val=&quot;001265CD&quot;/&gt;&lt;wsp:rsid wsp:val=&quot;00127B43&quot;/&gt;&lt;wsp:rsid wsp:val=&quot;00127CD0&quot;/&gt;&lt;wsp:rsid wsp:val=&quot;00130100&quot;/&gt;&lt;wsp:rsid wsp:val=&quot;00130421&quot;/&gt;&lt;wsp:rsid wsp:val=&quot;00130ADA&quot;/&gt;&lt;wsp:rsid wsp:val=&quot;00130C7E&quot;/&gt;&lt;wsp:rsid wsp:val=&quot;00130CEE&quot;/&gt;&lt;wsp:rsid wsp:val=&quot;00131019&quot;/&gt;&lt;wsp:rsid wsp:val=&quot;001318C9&quot;/&gt;&lt;wsp:rsid wsp:val=&quot;00131C01&quot;/&gt;&lt;wsp:rsid wsp:val=&quot;00131F42&quot;/&gt;&lt;wsp:rsid wsp:val=&quot;001322E3&quot;/&gt;&lt;wsp:rsid wsp:val=&quot;0013284D&quot;/&gt;&lt;wsp:rsid wsp:val=&quot;00133496&quot;/&gt;&lt;wsp:rsid wsp:val=&quot;001334AC&quot;/&gt;&lt;wsp:rsid wsp:val=&quot;00133731&quot;/&gt;&lt;wsp:rsid wsp:val=&quot;00133918&quot;/&gt;&lt;wsp:rsid wsp:val=&quot;00133B90&quot;/&gt;&lt;wsp:rsid wsp:val=&quot;00134523&quot;/&gt;&lt;wsp:rsid wsp:val=&quot;00134835&quot;/&gt;&lt;wsp:rsid wsp:val=&quot;00134BCB&quot;/&gt;&lt;wsp:rsid wsp:val=&quot;001351A3&quot;/&gt;&lt;wsp:rsid wsp:val=&quot;001357F1&quot;/&gt;&lt;wsp:rsid wsp:val=&quot;0013621B&quot;/&gt;&lt;wsp:rsid wsp:val=&quot;0013702F&quot;/&gt;&lt;wsp:rsid wsp:val=&quot;0014051C&quot;/&gt;&lt;wsp:rsid wsp:val=&quot;001409DA&quot;/&gt;&lt;wsp:rsid wsp:val=&quot;00140FA8&quot;/&gt;&lt;wsp:rsid wsp:val=&quot;00141723&quot;/&gt;&lt;wsp:rsid wsp:val=&quot;00141F0E&quot;/&gt;&lt;wsp:rsid wsp:val=&quot;00142A5E&quot;/&gt;&lt;wsp:rsid wsp:val=&quot;00142FEB&quot;/&gt;&lt;wsp:rsid wsp:val=&quot;001431E2&quot;/&gt;&lt;wsp:rsid wsp:val=&quot;00143A2D&quot;/&gt;&lt;wsp:rsid wsp:val=&quot;001446BC&quot;/&gt;&lt;wsp:rsid wsp:val=&quot;0014506F&quot;/&gt;&lt;wsp:rsid wsp:val=&quot;001450A1&quot;/&gt;&lt;wsp:rsid wsp:val=&quot;00145A41&quot;/&gt;&lt;wsp:rsid wsp:val=&quot;001467CD&quot;/&gt;&lt;wsp:rsid wsp:val=&quot;00147905&quot;/&gt;&lt;wsp:rsid wsp:val=&quot;00147A80&quot;/&gt;&lt;wsp:rsid wsp:val=&quot;00150F6C&quot;/&gt;&lt;wsp:rsid wsp:val=&quot;00151675&quot;/&gt;&lt;wsp:rsid wsp:val=&quot;00152285&quot;/&gt;&lt;wsp:rsid wsp:val=&quot;0015255B&quot;/&gt;&lt;wsp:rsid wsp:val=&quot;00152712&quot;/&gt;&lt;wsp:rsid wsp:val=&quot;00153421&quot;/&gt;&lt;wsp:rsid wsp:val=&quot;00153610&quot;/&gt;&lt;wsp:rsid wsp:val=&quot;001537CB&quot;/&gt;&lt;wsp:rsid wsp:val=&quot;00153B6F&quot;/&gt;&lt;wsp:rsid wsp:val=&quot;001544B0&quot;/&gt;&lt;wsp:rsid wsp:val=&quot;00154B77&quot;/&gt;&lt;wsp:rsid wsp:val=&quot;00154ED1&quot;/&gt;&lt;wsp:rsid wsp:val=&quot;00155546&quot;/&gt;&lt;wsp:rsid wsp:val=&quot;00155596&quot;/&gt;&lt;wsp:rsid wsp:val=&quot;001560DA&quot;/&gt;&lt;wsp:rsid wsp:val=&quot;0015631D&quot;/&gt;&lt;wsp:rsid wsp:val=&quot;001563E5&quot;/&gt;&lt;wsp:rsid wsp:val=&quot;001566D0&quot;/&gt;&lt;wsp:rsid wsp:val=&quot;001566FA&quot;/&gt;&lt;wsp:rsid wsp:val=&quot;001571E8&quot;/&gt;&lt;wsp:rsid wsp:val=&quot;00157435&quot;/&gt;&lt;wsp:rsid wsp:val=&quot;00157965&quot;/&gt;&lt;wsp:rsid wsp:val=&quot;00161242&quot;/&gt;&lt;wsp:rsid wsp:val=&quot;001618E6&quot;/&gt;&lt;wsp:rsid wsp:val=&quot;00161BE6&quot;/&gt;&lt;wsp:rsid wsp:val=&quot;00161FE8&quot;/&gt;&lt;wsp:rsid wsp:val=&quot;001622AE&quot;/&gt;&lt;wsp:rsid wsp:val=&quot;00162B83&quot;/&gt;&lt;wsp:rsid wsp:val=&quot;00162C57&quot;/&gt;&lt;wsp:rsid wsp:val=&quot;00163D37&quot;/&gt;&lt;wsp:rsid wsp:val=&quot;001645A2&quot;/&gt;&lt;wsp:rsid wsp:val=&quot;0016487E&quot;/&gt;&lt;wsp:rsid wsp:val=&quot;00165452&quot;/&gt;&lt;wsp:rsid wsp:val=&quot;00165CB4&quot;/&gt;&lt;wsp:rsid wsp:val=&quot;00166275&quot;/&gt;&lt;wsp:rsid wsp:val=&quot;001669FA&quot;/&gt;&lt;wsp:rsid wsp:val=&quot;00166B43&quot;/&gt;&lt;wsp:rsid wsp:val=&quot;001703FB&quot;/&gt;&lt;wsp:rsid wsp:val=&quot;00170AA8&quot;/&gt;&lt;wsp:rsid wsp:val=&quot;00170B7C&quot;/&gt;&lt;wsp:rsid wsp:val=&quot;00170D96&quot;/&gt;&lt;wsp:rsid wsp:val=&quot;00171184&quot;/&gt;&lt;wsp:rsid wsp:val=&quot;001713B6&quot;/&gt;&lt;wsp:rsid wsp:val=&quot;00171EF0&quot;/&gt;&lt;wsp:rsid wsp:val=&quot;00172519&quot;/&gt;&lt;wsp:rsid wsp:val=&quot;00172A46&quot;/&gt;&lt;wsp:rsid wsp:val=&quot;0017374F&quot;/&gt;&lt;wsp:rsid wsp:val=&quot;0017419C&quot;/&gt;&lt;wsp:rsid wsp:val=&quot;00174700&quot;/&gt;&lt;wsp:rsid wsp:val=&quot;001747C1&quot;/&gt;&lt;wsp:rsid wsp:val=&quot;0017496E&quot;/&gt;&lt;wsp:rsid wsp:val=&quot;00174A9F&quot;/&gt;&lt;wsp:rsid wsp:val=&quot;0017504D&quot;/&gt;&lt;wsp:rsid wsp:val=&quot;00175642&quot;/&gt;&lt;wsp:rsid wsp:val=&quot;001758E0&quot;/&gt;&lt;wsp:rsid wsp:val=&quot;00175A9E&quot;/&gt;&lt;wsp:rsid wsp:val=&quot;001762AD&quot;/&gt;&lt;wsp:rsid wsp:val=&quot;0017671A&quot;/&gt;&lt;wsp:rsid wsp:val=&quot;00176AFE&quot;/&gt;&lt;wsp:rsid wsp:val=&quot;00176CFD&quot;/&gt;&lt;wsp:rsid wsp:val=&quot;00177010&quot;/&gt;&lt;wsp:rsid wsp:val=&quot;00177422&quot;/&gt;&lt;wsp:rsid wsp:val=&quot;00180397&quot;/&gt;&lt;wsp:rsid wsp:val=&quot;00180A1D&quot;/&gt;&lt;wsp:rsid wsp:val=&quot;00180FCA&quot;/&gt;&lt;wsp:rsid wsp:val=&quot;00181017&quot;/&gt;&lt;wsp:rsid wsp:val=&quot;0018107C&quot;/&gt;&lt;wsp:rsid wsp:val=&quot;0018118D&quot;/&gt;&lt;wsp:rsid wsp:val=&quot;00181D4D&quot;/&gt;&lt;wsp:rsid wsp:val=&quot;001821AB&quot;/&gt;&lt;wsp:rsid wsp:val=&quot;00182A8A&quot;/&gt;&lt;wsp:rsid wsp:val=&quot;00182D8D&quot;/&gt;&lt;wsp:rsid wsp:val=&quot;00182F16&quot;/&gt;&lt;wsp:rsid wsp:val=&quot;00183A4F&quot;/&gt;&lt;wsp:rsid wsp:val=&quot;00184590&quot;/&gt;&lt;wsp:rsid wsp:val=&quot;00184B32&quot;/&gt;&lt;wsp:rsid wsp:val=&quot;0018520B&quot;/&gt;&lt;wsp:rsid wsp:val=&quot;00185FE9&quot;/&gt;&lt;wsp:rsid wsp:val=&quot;00186019&quot;/&gt;&lt;wsp:rsid wsp:val=&quot;001867CE&quot;/&gt;&lt;wsp:rsid wsp:val=&quot;00186AFA&quot;/&gt;&lt;wsp:rsid wsp:val=&quot;001870D1&quot;/&gt;&lt;wsp:rsid wsp:val=&quot;00187223&quot;/&gt;&lt;wsp:rsid wsp:val=&quot;0018781E&quot;/&gt;&lt;wsp:rsid wsp:val=&quot;001878F0&quot;/&gt;&lt;wsp:rsid wsp:val=&quot;00187FEF&quot;/&gt;&lt;wsp:rsid wsp:val=&quot;00190439&quot;/&gt;&lt;wsp:rsid wsp:val=&quot;00190EF4&quot;/&gt;&lt;wsp:rsid wsp:val=&quot;001913D0&quot;/&gt;&lt;wsp:rsid wsp:val=&quot;00191627&quot;/&gt;&lt;wsp:rsid wsp:val=&quot;00191E16&quot;/&gt;&lt;wsp:rsid wsp:val=&quot;0019262D&quot;/&gt;&lt;wsp:rsid wsp:val=&quot;001938E0&quot;/&gt;&lt;wsp:rsid wsp:val=&quot;00193975&quot;/&gt;&lt;wsp:rsid wsp:val=&quot;00193B1C&quot;/&gt;&lt;wsp:rsid wsp:val=&quot;00193BB7&quot;/&gt;&lt;wsp:rsid wsp:val=&quot;00194BD6&quot;/&gt;&lt;wsp:rsid wsp:val=&quot;001955D6&quot;/&gt;&lt;wsp:rsid wsp:val=&quot;001962F4&quot;/&gt;&lt;wsp:rsid wsp:val=&quot;001970BE&quot;/&gt;&lt;wsp:rsid wsp:val=&quot;001970FE&quot;/&gt;&lt;wsp:rsid wsp:val=&quot;001A0178&quot;/&gt;&lt;wsp:rsid wsp:val=&quot;001A0A06&quot;/&gt;&lt;wsp:rsid wsp:val=&quot;001A1063&quot;/&gt;&lt;wsp:rsid wsp:val=&quot;001A134B&quot;/&gt;&lt;wsp:rsid wsp:val=&quot;001A1458&quot;/&gt;&lt;wsp:rsid wsp:val=&quot;001A1B35&quot;/&gt;&lt;wsp:rsid wsp:val=&quot;001A2D55&quot;/&gt;&lt;wsp:rsid wsp:val=&quot;001A3886&quot;/&gt;&lt;wsp:rsid wsp:val=&quot;001A3F62&quot;/&gt;&lt;wsp:rsid wsp:val=&quot;001A48A2&quot;/&gt;&lt;wsp:rsid wsp:val=&quot;001A48EC&quot;/&gt;&lt;wsp:rsid wsp:val=&quot;001A4C5D&quot;/&gt;&lt;wsp:rsid wsp:val=&quot;001A6250&quot;/&gt;&lt;wsp:rsid wsp:val=&quot;001A6F61&quot;/&gt;&lt;wsp:rsid wsp:val=&quot;001A7435&quot;/&gt;&lt;wsp:rsid wsp:val=&quot;001A7A66&quot;/&gt;&lt;wsp:rsid wsp:val=&quot;001B0926&quot;/&gt;&lt;wsp:rsid wsp:val=&quot;001B12E2&quot;/&gt;&lt;wsp:rsid wsp:val=&quot;001B1428&quot;/&gt;&lt;wsp:rsid wsp:val=&quot;001B146B&quot;/&gt;&lt;wsp:rsid wsp:val=&quot;001B27F2&quot;/&gt;&lt;wsp:rsid wsp:val=&quot;001B328F&quot;/&gt;&lt;wsp:rsid wsp:val=&quot;001B429C&quot;/&gt;&lt;wsp:rsid wsp:val=&quot;001B4D83&quot;/&gt;&lt;wsp:rsid wsp:val=&quot;001B52CB&quot;/&gt;&lt;wsp:rsid wsp:val=&quot;001B5647&quot;/&gt;&lt;wsp:rsid wsp:val=&quot;001B5EF4&quot;/&gt;&lt;wsp:rsid wsp:val=&quot;001B634C&quot;/&gt;&lt;wsp:rsid wsp:val=&quot;001B72B8&quot;/&gt;&lt;wsp:rsid wsp:val=&quot;001B743E&quot;/&gt;&lt;wsp:rsid wsp:val=&quot;001B7530&quot;/&gt;&lt;wsp:rsid wsp:val=&quot;001B7902&quot;/&gt;&lt;wsp:rsid wsp:val=&quot;001B7911&quot;/&gt;&lt;wsp:rsid wsp:val=&quot;001B7BFD&quot;/&gt;&lt;wsp:rsid wsp:val=&quot;001B7C49&quot;/&gt;&lt;wsp:rsid wsp:val=&quot;001B7C6E&quot;/&gt;&lt;wsp:rsid wsp:val=&quot;001C022A&quot;/&gt;&lt;wsp:rsid wsp:val=&quot;001C0366&quot;/&gt;&lt;wsp:rsid wsp:val=&quot;001C2ED8&quot;/&gt;&lt;wsp:rsid wsp:val=&quot;001C3297&quot;/&gt;&lt;wsp:rsid wsp:val=&quot;001C3A50&quot;/&gt;&lt;wsp:rsid wsp:val=&quot;001C3B98&quot;/&gt;&lt;wsp:rsid wsp:val=&quot;001C4178&quot;/&gt;&lt;wsp:rsid wsp:val=&quot;001C4303&quot;/&gt;&lt;wsp:rsid wsp:val=&quot;001C4EE9&quot;/&gt;&lt;wsp:rsid wsp:val=&quot;001C56AC&quot;/&gt;&lt;wsp:rsid wsp:val=&quot;001C5B8A&quot;/&gt;&lt;wsp:rsid wsp:val=&quot;001C6781&quot;/&gt;&lt;wsp:rsid wsp:val=&quot;001C69B3&quot;/&gt;&lt;wsp:rsid wsp:val=&quot;001C6FCD&quot;/&gt;&lt;wsp:rsid wsp:val=&quot;001C72D9&quot;/&gt;&lt;wsp:rsid wsp:val=&quot;001C72F6&quot;/&gt;&lt;wsp:rsid wsp:val=&quot;001C73D2&quot;/&gt;&lt;wsp:rsid wsp:val=&quot;001C7CD5&quot;/&gt;&lt;wsp:rsid wsp:val=&quot;001D0AA0&quot;/&gt;&lt;wsp:rsid wsp:val=&quot;001D0FF8&quot;/&gt;&lt;wsp:rsid wsp:val=&quot;001D1076&quot;/&gt;&lt;wsp:rsid wsp:val=&quot;001D20DA&quot;/&gt;&lt;wsp:rsid wsp:val=&quot;001D251D&quot;/&gt;&lt;wsp:rsid wsp:val=&quot;001D2638&quot;/&gt;&lt;wsp:rsid wsp:val=&quot;001D2942&quot;/&gt;&lt;wsp:rsid wsp:val=&quot;001D2B4C&quot;/&gt;&lt;wsp:rsid wsp:val=&quot;001D3E5F&quot;/&gt;&lt;wsp:rsid wsp:val=&quot;001D4364&quot;/&gt;&lt;wsp:rsid wsp:val=&quot;001D4B8A&quot;/&gt;&lt;wsp:rsid wsp:val=&quot;001D4C27&quot;/&gt;&lt;wsp:rsid wsp:val=&quot;001D4D06&quot;/&gt;&lt;wsp:rsid wsp:val=&quot;001D507F&quot;/&gt;&lt;wsp:rsid wsp:val=&quot;001D543E&quot;/&gt;&lt;wsp:rsid wsp:val=&quot;001D5595&quot;/&gt;&lt;wsp:rsid wsp:val=&quot;001D6316&quot;/&gt;&lt;wsp:rsid wsp:val=&quot;001D6F65&quot;/&gt;&lt;wsp:rsid wsp:val=&quot;001D71DA&quot;/&gt;&lt;wsp:rsid wsp:val=&quot;001D7874&quot;/&gt;&lt;wsp:rsid wsp:val=&quot;001D79C8&quot;/&gt;&lt;wsp:rsid wsp:val=&quot;001D7F22&quot;/&gt;&lt;wsp:rsid wsp:val=&quot;001E02A5&quot;/&gt;&lt;wsp:rsid wsp:val=&quot;001E0978&quot;/&gt;&lt;wsp:rsid wsp:val=&quot;001E0D74&quot;/&gt;&lt;wsp:rsid wsp:val=&quot;001E0DC8&quot;/&gt;&lt;wsp:rsid wsp:val=&quot;001E136A&quot;/&gt;&lt;wsp:rsid wsp:val=&quot;001E1FFC&quot;/&gt;&lt;wsp:rsid wsp:val=&quot;001E2839&quot;/&gt;&lt;wsp:rsid wsp:val=&quot;001E2F07&quot;/&gt;&lt;wsp:rsid wsp:val=&quot;001E30DF&quot;/&gt;&lt;wsp:rsid wsp:val=&quot;001E3501&quot;/&gt;&lt;wsp:rsid wsp:val=&quot;001E3D34&quot;/&gt;&lt;wsp:rsid wsp:val=&quot;001E3E9C&quot;/&gt;&lt;wsp:rsid wsp:val=&quot;001E446B&quot;/&gt;&lt;wsp:rsid wsp:val=&quot;001E47E4&quot;/&gt;&lt;wsp:rsid wsp:val=&quot;001E496A&quot;/&gt;&lt;wsp:rsid wsp:val=&quot;001E4ADC&quot;/&gt;&lt;wsp:rsid wsp:val=&quot;001E512F&quot;/&gt;&lt;wsp:rsid wsp:val=&quot;001E51AA&quot;/&gt;&lt;wsp:rsid wsp:val=&quot;001E57F7&quot;/&gt;&lt;wsp:rsid wsp:val=&quot;001E5A00&quot;/&gt;&lt;wsp:rsid wsp:val=&quot;001E6393&quot;/&gt;&lt;wsp:rsid wsp:val=&quot;001E648D&quot;/&gt;&lt;wsp:rsid wsp:val=&quot;001E64D4&quot;/&gt;&lt;wsp:rsid wsp:val=&quot;001E769A&quot;/&gt;&lt;wsp:rsid wsp:val=&quot;001E7D81&quot;/&gt;&lt;wsp:rsid wsp:val=&quot;001E7DD0&quot;/&gt;&lt;wsp:rsid wsp:val=&quot;001F09E8&quot;/&gt;&lt;wsp:rsid wsp:val=&quot;001F0C79&quot;/&gt;&lt;wsp:rsid wsp:val=&quot;001F0F17&quot;/&gt;&lt;wsp:rsid wsp:val=&quot;001F1347&quot;/&gt;&lt;wsp:rsid wsp:val=&quot;001F15F8&quot;/&gt;&lt;wsp:rsid wsp:val=&quot;001F17B2&quot;/&gt;&lt;wsp:rsid wsp:val=&quot;001F1C78&quot;/&gt;&lt;wsp:rsid wsp:val=&quot;001F2271&quot;/&gt;&lt;wsp:rsid wsp:val=&quot;001F23D1&quot;/&gt;&lt;wsp:rsid wsp:val=&quot;001F2996&quot;/&gt;&lt;wsp:rsid wsp:val=&quot;001F2DDC&quot;/&gt;&lt;wsp:rsid wsp:val=&quot;001F2E8C&quot;/&gt;&lt;wsp:rsid wsp:val=&quot;001F313A&quot;/&gt;&lt;wsp:rsid wsp:val=&quot;001F3347&quot;/&gt;&lt;wsp:rsid wsp:val=&quot;001F46FA&quot;/&gt;&lt;wsp:rsid wsp:val=&quot;001F4CA7&quot;/&gt;&lt;wsp:rsid wsp:val=&quot;001F51EF&quot;/&gt;&lt;wsp:rsid wsp:val=&quot;001F56D0&quot;/&gt;&lt;wsp:rsid wsp:val=&quot;001F571A&quot;/&gt;&lt;wsp:rsid wsp:val=&quot;001F5B49&quot;/&gt;&lt;wsp:rsid wsp:val=&quot;001F6430&quot;/&gt;&lt;wsp:rsid wsp:val=&quot;001F69E4&quot;/&gt;&lt;wsp:rsid wsp:val=&quot;001F71DC&quot;/&gt;&lt;wsp:rsid wsp:val=&quot;001F7E9B&quot;/&gt;&lt;wsp:rsid wsp:val=&quot;00200365&quot;/&gt;&lt;wsp:rsid wsp:val=&quot;00201976&quot;/&gt;&lt;wsp:rsid wsp:val=&quot;00202084&quot;/&gt;&lt;wsp:rsid wsp:val=&quot;00202635&quot;/&gt;&lt;wsp:rsid wsp:val=&quot;00202870&quot;/&gt;&lt;wsp:rsid wsp:val=&quot;002028B7&quot;/&gt;&lt;wsp:rsid wsp:val=&quot;002031C8&quot;/&gt;&lt;wsp:rsid wsp:val=&quot;00203E62&quot;/&gt;&lt;wsp:rsid wsp:val=&quot;00203F8C&quot;/&gt;&lt;wsp:rsid wsp:val=&quot;00204335&quot;/&gt;&lt;wsp:rsid wsp:val=&quot;00204348&quot;/&gt;&lt;wsp:rsid wsp:val=&quot;002049CE&quot;/&gt;&lt;wsp:rsid wsp:val=&quot;00204D22&quot;/&gt;&lt;wsp:rsid wsp:val=&quot;00204F11&quot;/&gt;&lt;wsp:rsid wsp:val=&quot;00205126&quot;/&gt;&lt;wsp:rsid wsp:val=&quot;00205E6B&quot;/&gt;&lt;wsp:rsid wsp:val=&quot;002063F6&quot;/&gt;&lt;wsp:rsid wsp:val=&quot;00206640&quot;/&gt;&lt;wsp:rsid wsp:val=&quot;002068E2&quot;/&gt;&lt;wsp:rsid wsp:val=&quot;00206FA9&quot;/&gt;&lt;wsp:rsid wsp:val=&quot;002078E4&quot;/&gt;&lt;wsp:rsid wsp:val=&quot;00207BF3&quot;/&gt;&lt;wsp:rsid wsp:val=&quot;00207F34&quot;/&gt;&lt;wsp:rsid wsp:val=&quot;00207FBC&quot;/&gt;&lt;wsp:rsid wsp:val=&quot;002100EE&quot;/&gt;&lt;wsp:rsid wsp:val=&quot;0021156E&quot;/&gt;&lt;wsp:rsid wsp:val=&quot;002118F5&quot;/&gt;&lt;wsp:rsid wsp:val=&quot;00211C3F&quot;/&gt;&lt;wsp:rsid wsp:val=&quot;00211D6A&quot;/&gt;&lt;wsp:rsid wsp:val=&quot;00212043&quot;/&gt;&lt;wsp:rsid wsp:val=&quot;00212294&quot;/&gt;&lt;wsp:rsid wsp:val=&quot;002125B4&quot;/&gt;&lt;wsp:rsid wsp:val=&quot;00212A44&quot;/&gt;&lt;wsp:rsid wsp:val=&quot;002134C3&quot;/&gt;&lt;wsp:rsid wsp:val=&quot;0021374D&quot;/&gt;&lt;wsp:rsid wsp:val=&quot;00213BB9&quot;/&gt;&lt;wsp:rsid wsp:val=&quot;00213F74&quot;/&gt;&lt;wsp:rsid wsp:val=&quot;002142AA&quot;/&gt;&lt;wsp:rsid wsp:val=&quot;00214F62&quot;/&gt;&lt;wsp:rsid wsp:val=&quot;002155B8&quot;/&gt;&lt;wsp:rsid wsp:val=&quot;002159AC&quot;/&gt;&lt;wsp:rsid wsp:val=&quot;00216C11&quot;/&gt;&lt;wsp:rsid wsp:val=&quot;0021786E&quot;/&gt;&lt;wsp:rsid wsp:val=&quot;002201D1&quot;/&gt;&lt;wsp:rsid wsp:val=&quot;00220330&quot;/&gt;&lt;wsp:rsid wsp:val=&quot;00220543&quot;/&gt;&lt;wsp:rsid wsp:val=&quot;00220923&quot;/&gt;&lt;wsp:rsid wsp:val=&quot;00221398&quot;/&gt;&lt;wsp:rsid wsp:val=&quot;00221D11&quot;/&gt;&lt;wsp:rsid wsp:val=&quot;00221DD6&quot;/&gt;&lt;wsp:rsid wsp:val=&quot;00222A77&quot;/&gt;&lt;wsp:rsid wsp:val=&quot;00222F72&quot;/&gt;&lt;wsp:rsid wsp:val=&quot;002235B9&quot;/&gt;&lt;wsp:rsid wsp:val=&quot;00223870&quot;/&gt;&lt;wsp:rsid wsp:val=&quot;00223ED8&quot;/&gt;&lt;wsp:rsid wsp:val=&quot;00223FC3&quot;/&gt;&lt;wsp:rsid wsp:val=&quot;00224406&quot;/&gt;&lt;wsp:rsid wsp:val=&quot;002246EE&quot;/&gt;&lt;wsp:rsid wsp:val=&quot;00224839&quot;/&gt;&lt;wsp:rsid wsp:val=&quot;002249B2&quot;/&gt;&lt;wsp:rsid wsp:val=&quot;00224D49&quot;/&gt;&lt;wsp:rsid wsp:val=&quot;00225526&quot;/&gt;&lt;wsp:rsid wsp:val=&quot;00225B77&quot;/&gt;&lt;wsp:rsid wsp:val=&quot;00226574&quot;/&gt;&lt;wsp:rsid wsp:val=&quot;00226A92&quot;/&gt;&lt;wsp:rsid wsp:val=&quot;00226A93&quot;/&gt;&lt;wsp:rsid wsp:val=&quot;00226DFF&quot;/&gt;&lt;wsp:rsid wsp:val=&quot;0022715F&quot;/&gt;&lt;wsp:rsid wsp:val=&quot;0022753C&quot;/&gt;&lt;wsp:rsid wsp:val=&quot;002278EC&quot;/&gt;&lt;wsp:rsid wsp:val=&quot;00227AE1&quot;/&gt;&lt;wsp:rsid wsp:val=&quot;00230736&quot;/&gt;&lt;wsp:rsid wsp:val=&quot;00232803&quot;/&gt;&lt;wsp:rsid wsp:val=&quot;0023280E&quot;/&gt;&lt;wsp:rsid wsp:val=&quot;00233256&quot;/&gt;&lt;wsp:rsid wsp:val=&quot;0023383E&quot;/&gt;&lt;wsp:rsid wsp:val=&quot;0023389C&quot;/&gt;&lt;wsp:rsid wsp:val=&quot;00233C73&quot;/&gt;&lt;wsp:rsid wsp:val=&quot;0023438D&quot;/&gt;&lt;wsp:rsid wsp:val=&quot;0023476B&quot;/&gt;&lt;wsp:rsid wsp:val=&quot;00235B45&quot;/&gt;&lt;wsp:rsid wsp:val=&quot;00235C82&quot;/&gt;&lt;wsp:rsid wsp:val=&quot;00236478&quot;/&gt;&lt;wsp:rsid wsp:val=&quot;002368B2&quot;/&gt;&lt;wsp:rsid wsp:val=&quot;00236B95&quot;/&gt;&lt;wsp:rsid wsp:val=&quot;00236FC5&quot;/&gt;&lt;wsp:rsid wsp:val=&quot;00237707&quot;/&gt;&lt;wsp:rsid wsp:val=&quot;002377D1&quot;/&gt;&lt;wsp:rsid wsp:val=&quot;00237A6D&quot;/&gt;&lt;wsp:rsid wsp:val=&quot;00240098&quot;/&gt;&lt;wsp:rsid wsp:val=&quot;002402B3&quot;/&gt;&lt;wsp:rsid wsp:val=&quot;00241E67&quot;/&gt;&lt;wsp:rsid wsp:val=&quot;0024259B&quot;/&gt;&lt;wsp:rsid wsp:val=&quot;0024317C&quot;/&gt;&lt;wsp:rsid wsp:val=&quot;0024422C&quot;/&gt;&lt;wsp:rsid wsp:val=&quot;00244AC2&quot;/&gt;&lt;wsp:rsid wsp:val=&quot;002451C1&quot;/&gt;&lt;wsp:rsid wsp:val=&quot;00245AB1&quot;/&gt;&lt;wsp:rsid wsp:val=&quot;00245E45&quot;/&gt;&lt;wsp:rsid wsp:val=&quot;00246B77&quot;/&gt;&lt;wsp:rsid wsp:val=&quot;00247387&quot;/&gt;&lt;wsp:rsid wsp:val=&quot;00247459&quot;/&gt;&lt;wsp:rsid wsp:val=&quot;00247593&quot;/&gt;&lt;wsp:rsid wsp:val=&quot;002477D9&quot;/&gt;&lt;wsp:rsid wsp:val=&quot;002506BC&quot;/&gt;&lt;wsp:rsid wsp:val=&quot;0025086D&quot;/&gt;&lt;wsp:rsid wsp:val=&quot;00252848&quot;/&gt;&lt;wsp:rsid wsp:val=&quot;00252C0E&quot;/&gt;&lt;wsp:rsid wsp:val=&quot;00252EC8&quot;/&gt;&lt;wsp:rsid wsp:val=&quot;0025328A&quot;/&gt;&lt;wsp:rsid wsp:val=&quot;0025347E&quot;/&gt;&lt;wsp:rsid wsp:val=&quot;002538B3&quot;/&gt;&lt;wsp:rsid wsp:val=&quot;0025406E&quot;/&gt;&lt;wsp:rsid wsp:val=&quot;0025408F&quot;/&gt;&lt;wsp:rsid wsp:val=&quot;00254178&quot;/&gt;&lt;wsp:rsid wsp:val=&quot;002542E2&quot;/&gt;&lt;wsp:rsid wsp:val=&quot;00254345&quot;/&gt;&lt;wsp:rsid wsp:val=&quot;00254A80&quot;/&gt;&lt;wsp:rsid wsp:val=&quot;00254C41&quot;/&gt;&lt;wsp:rsid wsp:val=&quot;00254FCB&quot;/&gt;&lt;wsp:rsid wsp:val=&quot;00255300&quot;/&gt;&lt;wsp:rsid wsp:val=&quot;00255D69&quot;/&gt;&lt;wsp:rsid wsp:val=&quot;00255E31&quot;/&gt;&lt;wsp:rsid wsp:val=&quot;002568AD&quot;/&gt;&lt;wsp:rsid wsp:val=&quot;00256CD2&quot;/&gt;&lt;wsp:rsid wsp:val=&quot;00257FF9&quot;/&gt;&lt;wsp:rsid wsp:val=&quot;002607F1&quot;/&gt;&lt;wsp:rsid wsp:val=&quot;00261071&quot;/&gt;&lt;wsp:rsid wsp:val=&quot;002611D3&quot;/&gt;&lt;wsp:rsid wsp:val=&quot;00261274&quot;/&gt;&lt;wsp:rsid wsp:val=&quot;002614AF&quot;/&gt;&lt;wsp:rsid wsp:val=&quot;0026166E&quot;/&gt;&lt;wsp:rsid wsp:val=&quot;00261903&quot;/&gt;&lt;wsp:rsid wsp:val=&quot;00262F2E&quot;/&gt;&lt;wsp:rsid wsp:val=&quot;00263809&quot;/&gt;&lt;wsp:rsid wsp:val=&quot;00264557&quot;/&gt;&lt;wsp:rsid wsp:val=&quot;00264DBF&quot;/&gt;&lt;wsp:rsid wsp:val=&quot;002651C7&quot;/&gt;&lt;wsp:rsid wsp:val=&quot;002655D8&quot;/&gt;&lt;wsp:rsid wsp:val=&quot;002663E2&quot;/&gt;&lt;wsp:rsid wsp:val=&quot;00266C84&quot;/&gt;&lt;wsp:rsid wsp:val=&quot;00267620&quot;/&gt;&lt;wsp:rsid wsp:val=&quot;002700CC&quot;/&gt;&lt;wsp:rsid wsp:val=&quot;00270624&quot;/&gt;&lt;wsp:rsid wsp:val=&quot;00270708&quot;/&gt;&lt;wsp:rsid wsp:val=&quot;0027119D&quot;/&gt;&lt;wsp:rsid wsp:val=&quot;00272942&quot;/&gt;&lt;wsp:rsid wsp:val=&quot;002729A7&quot;/&gt;&lt;wsp:rsid wsp:val=&quot;00272FAA&quot;/&gt;&lt;wsp:rsid wsp:val=&quot;002731D2&quot;/&gt;&lt;wsp:rsid wsp:val=&quot;00273577&quot;/&gt;&lt;wsp:rsid wsp:val=&quot;00273907&quot;/&gt;&lt;wsp:rsid wsp:val=&quot;00273A4E&quot;/&gt;&lt;wsp:rsid wsp:val=&quot;0027414B&quot;/&gt;&lt;wsp:rsid wsp:val=&quot;002748AF&quot;/&gt;&lt;wsp:rsid wsp:val=&quot;002756B6&quot;/&gt;&lt;wsp:rsid wsp:val=&quot;00275C8C&quot;/&gt;&lt;wsp:rsid wsp:val=&quot;00275DD5&quot;/&gt;&lt;wsp:rsid wsp:val=&quot;00275F3C&quot;/&gt;&lt;wsp:rsid wsp:val=&quot;002763FE&quot;/&gt;&lt;wsp:rsid wsp:val=&quot;002764D8&quot;/&gt;&lt;wsp:rsid wsp:val=&quot;00276F6C&quot;/&gt;&lt;wsp:rsid wsp:val=&quot;0027725D&quot;/&gt;&lt;wsp:rsid wsp:val=&quot;00277420&quot;/&gt;&lt;wsp:rsid wsp:val=&quot;00277453&quot;/&gt;&lt;wsp:rsid wsp:val=&quot;002805AB&quot;/&gt;&lt;wsp:rsid wsp:val=&quot;00280FF9&quot;/&gt;&lt;wsp:rsid wsp:val=&quot;0028128D&quot;/&gt;&lt;wsp:rsid wsp:val=&quot;0028168A&quot;/&gt;&lt;wsp:rsid wsp:val=&quot;002821CA&quot;/&gt;&lt;wsp:rsid wsp:val=&quot;00282DB4&quot;/&gt;&lt;wsp:rsid wsp:val=&quot;0028316E&quot;/&gt;&lt;wsp:rsid wsp:val=&quot;00283233&quot;/&gt;&lt;wsp:rsid wsp:val=&quot;00283238&quot;/&gt;&lt;wsp:rsid wsp:val=&quot;00283303&quot;/&gt;&lt;wsp:rsid wsp:val=&quot;0028342E&quot;/&gt;&lt;wsp:rsid wsp:val=&quot;00284075&quot;/&gt;&lt;wsp:rsid wsp:val=&quot;00284204&quot;/&gt;&lt;wsp:rsid wsp:val=&quot;00284793&quot;/&gt;&lt;wsp:rsid wsp:val=&quot;00284D7E&quot;/&gt;&lt;wsp:rsid wsp:val=&quot;0028591B&quot;/&gt;&lt;wsp:rsid wsp:val=&quot;00285B16&quot;/&gt;&lt;wsp:rsid wsp:val=&quot;0028649E&quot;/&gt;&lt;wsp:rsid wsp:val=&quot;00286A59&quot;/&gt;&lt;wsp:rsid wsp:val=&quot;002870F3&quot;/&gt;&lt;wsp:rsid wsp:val=&quot;00287971&quot;/&gt;&lt;wsp:rsid wsp:val=&quot;00287A2F&quot;/&gt;&lt;wsp:rsid wsp:val=&quot;00287D89&quot;/&gt;&lt;wsp:rsid wsp:val=&quot;00290FDA&quot;/&gt;&lt;wsp:rsid wsp:val=&quot;00291773&quot;/&gt;&lt;wsp:rsid wsp:val=&quot;002918DE&quot;/&gt;&lt;wsp:rsid wsp:val=&quot;00291B7B&quot;/&gt;&lt;wsp:rsid wsp:val=&quot;00291D13&quot;/&gt;&lt;wsp:rsid wsp:val=&quot;00292068&quot;/&gt;&lt;wsp:rsid wsp:val=&quot;00292101&quot;/&gt;&lt;wsp:rsid wsp:val=&quot;00292607&quot;/&gt;&lt;wsp:rsid wsp:val=&quot;002927F7&quot;/&gt;&lt;wsp:rsid wsp:val=&quot;00293069&quot;/&gt;&lt;wsp:rsid wsp:val=&quot;00293662&quot;/&gt;&lt;wsp:rsid wsp:val=&quot;00293972&quot;/&gt;&lt;wsp:rsid wsp:val=&quot;0029433F&quot;/&gt;&lt;wsp:rsid wsp:val=&quot;002943B0&quot;/&gt;&lt;wsp:rsid wsp:val=&quot;00294888&quot;/&gt;&lt;wsp:rsid wsp:val=&quot;00295822&quot;/&gt;&lt;wsp:rsid wsp:val=&quot;002958F2&quot;/&gt;&lt;wsp:rsid wsp:val=&quot;00295D0C&quot;/&gt;&lt;wsp:rsid wsp:val=&quot;002965F7&quot;/&gt;&lt;wsp:rsid wsp:val=&quot;00297157&quot;/&gt;&lt;wsp:rsid wsp:val=&quot;0029751D&quot;/&gt;&lt;wsp:rsid wsp:val=&quot;00297FA5&quot;/&gt;&lt;wsp:rsid wsp:val=&quot;002A058E&quot;/&gt;&lt;wsp:rsid wsp:val=&quot;002A168C&quot;/&gt;&lt;wsp:rsid wsp:val=&quot;002A3DC7&quot;/&gt;&lt;wsp:rsid wsp:val=&quot;002A44F7&quot;/&gt;&lt;wsp:rsid wsp:val=&quot;002A5197&quot;/&gt;&lt;wsp:rsid wsp:val=&quot;002A650E&quot;/&gt;&lt;wsp:rsid wsp:val=&quot;002A6B38&quot;/&gt;&lt;wsp:rsid wsp:val=&quot;002A6B9E&quot;/&gt;&lt;wsp:rsid wsp:val=&quot;002A7830&quot;/&gt;&lt;wsp:rsid wsp:val=&quot;002B0CAE&quot;/&gt;&lt;wsp:rsid wsp:val=&quot;002B1F7C&quot;/&gt;&lt;wsp:rsid wsp:val=&quot;002B241A&quot;/&gt;&lt;wsp:rsid wsp:val=&quot;002B2DD5&quot;/&gt;&lt;wsp:rsid wsp:val=&quot;002B2F71&quot;/&gt;&lt;wsp:rsid wsp:val=&quot;002B2FBF&quot;/&gt;&lt;wsp:rsid wsp:val=&quot;002B31C0&quot;/&gt;&lt;wsp:rsid wsp:val=&quot;002B3369&quot;/&gt;&lt;wsp:rsid wsp:val=&quot;002B39D6&quot;/&gt;&lt;wsp:rsid wsp:val=&quot;002B3D03&quot;/&gt;&lt;wsp:rsid wsp:val=&quot;002B3EE5&quot;/&gt;&lt;wsp:rsid wsp:val=&quot;002B4180&quot;/&gt;&lt;wsp:rsid wsp:val=&quot;002B49E2&quot;/&gt;&lt;wsp:rsid wsp:val=&quot;002B5203&quot;/&gt;&lt;wsp:rsid wsp:val=&quot;002B71FA&quot;/&gt;&lt;wsp:rsid wsp:val=&quot;002B7B00&quot;/&gt;&lt;wsp:rsid wsp:val=&quot;002B7C44&quot;/&gt;&lt;wsp:rsid wsp:val=&quot;002B7CEB&quot;/&gt;&lt;wsp:rsid wsp:val=&quot;002C00C5&quot;/&gt;&lt;wsp:rsid wsp:val=&quot;002C059D&quot;/&gt;&lt;wsp:rsid wsp:val=&quot;002C0906&quot;/&gt;&lt;wsp:rsid wsp:val=&quot;002C0B26&quot;/&gt;&lt;wsp:rsid wsp:val=&quot;002C0F5C&quot;/&gt;&lt;wsp:rsid wsp:val=&quot;002C1745&quot;/&gt;&lt;wsp:rsid wsp:val=&quot;002C1BCB&quot;/&gt;&lt;wsp:rsid wsp:val=&quot;002C1D87&quot;/&gt;&lt;wsp:rsid wsp:val=&quot;002C25CC&quot;/&gt;&lt;wsp:rsid wsp:val=&quot;002C2AA3&quot;/&gt;&lt;wsp:rsid wsp:val=&quot;002C2B17&quot;/&gt;&lt;wsp:rsid wsp:val=&quot;002C2FF1&quot;/&gt;&lt;wsp:rsid wsp:val=&quot;002C3FE8&quot;/&gt;&lt;wsp:rsid wsp:val=&quot;002C4091&quot;/&gt;&lt;wsp:rsid wsp:val=&quot;002C4986&quot;/&gt;&lt;wsp:rsid wsp:val=&quot;002C4A16&quot;/&gt;&lt;wsp:rsid wsp:val=&quot;002C4FC5&quot;/&gt;&lt;wsp:rsid wsp:val=&quot;002C58E3&quot;/&gt;&lt;wsp:rsid wsp:val=&quot;002C597A&quot;/&gt;&lt;wsp:rsid wsp:val=&quot;002C6FD2&quot;/&gt;&lt;wsp:rsid wsp:val=&quot;002C7072&quot;/&gt;&lt;wsp:rsid wsp:val=&quot;002C7ACA&quot;/&gt;&lt;wsp:rsid wsp:val=&quot;002C7FDF&quot;/&gt;&lt;wsp:rsid wsp:val=&quot;002D0978&quot;/&gt;&lt;wsp:rsid wsp:val=&quot;002D0BBC&quot;/&gt;&lt;wsp:rsid wsp:val=&quot;002D0C38&quot;/&gt;&lt;wsp:rsid wsp:val=&quot;002D1693&quot;/&gt;&lt;wsp:rsid wsp:val=&quot;002D1B9C&quot;/&gt;&lt;wsp:rsid wsp:val=&quot;002D1F93&quot;/&gt;&lt;wsp:rsid wsp:val=&quot;002D2A77&quot;/&gt;&lt;wsp:rsid wsp:val=&quot;002D2FF2&quot;/&gt;&lt;wsp:rsid wsp:val=&quot;002D310D&quot;/&gt;&lt;wsp:rsid wsp:val=&quot;002D35A9&quot;/&gt;&lt;wsp:rsid wsp:val=&quot;002D3DD0&quot;/&gt;&lt;wsp:rsid wsp:val=&quot;002D3FE3&quot;/&gt;&lt;wsp:rsid wsp:val=&quot;002D4949&quot;/&gt;&lt;wsp:rsid wsp:val=&quot;002D5059&quot;/&gt;&lt;wsp:rsid wsp:val=&quot;002D5B30&quot;/&gt;&lt;wsp:rsid wsp:val=&quot;002D6462&quot;/&gt;&lt;wsp:rsid wsp:val=&quot;002D667A&quot;/&gt;&lt;wsp:rsid wsp:val=&quot;002D78D4&quot;/&gt;&lt;wsp:rsid wsp:val=&quot;002D7C4A&quot;/&gt;&lt;wsp:rsid wsp:val=&quot;002E10B5&quot;/&gt;&lt;wsp:rsid wsp:val=&quot;002E1B11&quot;/&gt;&lt;wsp:rsid wsp:val=&quot;002E1F3A&quot;/&gt;&lt;wsp:rsid wsp:val=&quot;002E20B3&quot;/&gt;&lt;wsp:rsid wsp:val=&quot;002E211F&quot;/&gt;&lt;wsp:rsid wsp:val=&quot;002E22FD&quot;/&gt;&lt;wsp:rsid wsp:val=&quot;002E270E&quot;/&gt;&lt;wsp:rsid wsp:val=&quot;002E298A&quot;/&gt;&lt;wsp:rsid wsp:val=&quot;002E31A3&quot;/&gt;&lt;wsp:rsid wsp:val=&quot;002E333F&quot;/&gt;&lt;wsp:rsid wsp:val=&quot;002E3E25&quot;/&gt;&lt;wsp:rsid wsp:val=&quot;002E3F9A&quot;/&gt;&lt;wsp:rsid wsp:val=&quot;002E4C92&quot;/&gt;&lt;wsp:rsid wsp:val=&quot;002E5378&quot;/&gt;&lt;wsp:rsid wsp:val=&quot;002E65DF&quot;/&gt;&lt;wsp:rsid wsp:val=&quot;002E6DB0&quot;/&gt;&lt;wsp:rsid wsp:val=&quot;002E7D3E&quot;/&gt;&lt;wsp:rsid wsp:val=&quot;002F040A&quot;/&gt;&lt;wsp:rsid wsp:val=&quot;002F08E2&quot;/&gt;&lt;wsp:rsid wsp:val=&quot;002F0EA9&quot;/&gt;&lt;wsp:rsid wsp:val=&quot;002F1A4D&quot;/&gt;&lt;wsp:rsid wsp:val=&quot;002F2B2B&quot;/&gt;&lt;wsp:rsid wsp:val=&quot;002F2EA8&quot;/&gt;&lt;wsp:rsid wsp:val=&quot;002F2F66&quot;/&gt;&lt;wsp:rsid wsp:val=&quot;002F3759&quot;/&gt;&lt;wsp:rsid wsp:val=&quot;002F3D5E&quot;/&gt;&lt;wsp:rsid wsp:val=&quot;002F41A0&quot;/&gt;&lt;wsp:rsid wsp:val=&quot;002F43C2&quot;/&gt;&lt;wsp:rsid wsp:val=&quot;002F46A9&quot;/&gt;&lt;wsp:rsid wsp:val=&quot;002F4B3B&quot;/&gt;&lt;wsp:rsid wsp:val=&quot;002F4BBB&quot;/&gt;&lt;wsp:rsid wsp:val=&quot;002F4D2F&quot;/&gt;&lt;wsp:rsid wsp:val=&quot;002F54E3&quot;/&gt;&lt;wsp:rsid wsp:val=&quot;002F5D15&quot;/&gt;&lt;wsp:rsid wsp:val=&quot;002F5F2F&quot;/&gt;&lt;wsp:rsid wsp:val=&quot;002F6144&quot;/&gt;&lt;wsp:rsid wsp:val=&quot;002F6312&quot;/&gt;&lt;wsp:rsid wsp:val=&quot;002F6F5D&quot;/&gt;&lt;wsp:rsid wsp:val=&quot;002F704F&quot;/&gt;&lt;wsp:rsid wsp:val=&quot;00300CA3&quot;/&gt;&lt;wsp:rsid wsp:val=&quot;00301978&quot;/&gt;&lt;wsp:rsid wsp:val=&quot;00301B68&quot;/&gt;&lt;wsp:rsid wsp:val=&quot;00301EC2&quot;/&gt;&lt;wsp:rsid wsp:val=&quot;00302071&quot;/&gt;&lt;wsp:rsid wsp:val=&quot;00302446&quot;/&gt;&lt;wsp:rsid wsp:val=&quot;00302C15&quot;/&gt;&lt;wsp:rsid wsp:val=&quot;00302CEB&quot;/&gt;&lt;wsp:rsid wsp:val=&quot;0030332C&quot;/&gt;&lt;wsp:rsid wsp:val=&quot;00303A04&quot;/&gt;&lt;wsp:rsid wsp:val=&quot;00303FFA&quot;/&gt;&lt;wsp:rsid wsp:val=&quot;00304351&quot;/&gt;&lt;wsp:rsid wsp:val=&quot;003044CC&quot;/&gt;&lt;wsp:rsid wsp:val=&quot;00304B91&quot;/&gt;&lt;wsp:rsid wsp:val=&quot;00304F79&quot;/&gt;&lt;wsp:rsid wsp:val=&quot;003051C2&quot;/&gt;&lt;wsp:rsid wsp:val=&quot;00305589&quot;/&gt;&lt;wsp:rsid wsp:val=&quot;00305666&quot;/&gt;&lt;wsp:rsid wsp:val=&quot;00305F3C&quot;/&gt;&lt;wsp:rsid wsp:val=&quot;003061BE&quot;/&gt;&lt;wsp:rsid wsp:val=&quot;00306241&quot;/&gt;&lt;wsp:rsid wsp:val=&quot;00306E30&quot;/&gt;&lt;wsp:rsid wsp:val=&quot;00310454&quot;/&gt;&lt;wsp:rsid wsp:val=&quot;003104C2&quot;/&gt;&lt;wsp:rsid wsp:val=&quot;0031068E&quot;/&gt;&lt;wsp:rsid wsp:val=&quot;00310D4F&quot;/&gt;&lt;wsp:rsid wsp:val=&quot;00310E0A&quot;/&gt;&lt;wsp:rsid wsp:val=&quot;00310F19&quot;/&gt;&lt;wsp:rsid wsp:val=&quot;00311338&quot;/&gt;&lt;wsp:rsid wsp:val=&quot;0031149D&quot;/&gt;&lt;wsp:rsid wsp:val=&quot;00312296&quot;/&gt;&lt;wsp:rsid wsp:val=&quot;0031249E&quot;/&gt;&lt;wsp:rsid wsp:val=&quot;003125F1&quot;/&gt;&lt;wsp:rsid wsp:val=&quot;00312AB5&quot;/&gt;&lt;wsp:rsid wsp:val=&quot;0031313A&quot;/&gt;&lt;wsp:rsid wsp:val=&quot;00313529&quot;/&gt;&lt;wsp:rsid wsp:val=&quot;00313791&quot;/&gt;&lt;wsp:rsid wsp:val=&quot;00313986&quot;/&gt;&lt;wsp:rsid wsp:val=&quot;00314686&quot;/&gt;&lt;wsp:rsid wsp:val=&quot;003146DC&quot;/&gt;&lt;wsp:rsid wsp:val=&quot;00314F0E&quot;/&gt;&lt;wsp:rsid wsp:val=&quot;003151EA&quot;/&gt;&lt;wsp:rsid wsp:val=&quot;00315653&quot;/&gt;&lt;wsp:rsid wsp:val=&quot;003157FD&quot;/&gt;&lt;wsp:rsid wsp:val=&quot;00315E7B&quot;/&gt;&lt;wsp:rsid wsp:val=&quot;003162ED&quot;/&gt;&lt;wsp:rsid wsp:val=&quot;003178B7&quot;/&gt;&lt;wsp:rsid wsp:val=&quot;0032032C&quot;/&gt;&lt;wsp:rsid wsp:val=&quot;00320B46&quot;/&gt;&lt;wsp:rsid wsp:val=&quot;00321149&quot;/&gt;&lt;wsp:rsid wsp:val=&quot;00321D8E&quot;/&gt;&lt;wsp:rsid wsp:val=&quot;003222A9&quot;/&gt;&lt;wsp:rsid wsp:val=&quot;003224AC&quot;/&gt;&lt;wsp:rsid wsp:val=&quot;00322636&quot;/&gt;&lt;wsp:rsid wsp:val=&quot;003229DC&quot;/&gt;&lt;wsp:rsid wsp:val=&quot;00322B1B&quot;/&gt;&lt;wsp:rsid wsp:val=&quot;00322D67&quot;/&gt;&lt;wsp:rsid wsp:val=&quot;00323181&quot;/&gt;&lt;wsp:rsid wsp:val=&quot;003237BD&quot;/&gt;&lt;wsp:rsid wsp:val=&quot;00324179&quot;/&gt;&lt;wsp:rsid wsp:val=&quot;003245E2&quot;/&gt;&lt;wsp:rsid wsp:val=&quot;0032474B&quot;/&gt;&lt;wsp:rsid wsp:val=&quot;00324764&quot;/&gt;&lt;wsp:rsid wsp:val=&quot;00324BC4&quot;/&gt;&lt;wsp:rsid wsp:val=&quot;00325057&quot;/&gt;&lt;wsp:rsid wsp:val=&quot;003252C4&quot;/&gt;&lt;wsp:rsid wsp:val=&quot;00325928&quot;/&gt;&lt;wsp:rsid wsp:val=&quot;0032618F&quot;/&gt;&lt;wsp:rsid wsp:val=&quot;00327325&quot;/&gt;&lt;wsp:rsid wsp:val=&quot;00327AF1&quot;/&gt;&lt;wsp:rsid wsp:val=&quot;00327ED1&quot;/&gt;&lt;wsp:rsid wsp:val=&quot;003309A0&quot;/&gt;&lt;wsp:rsid wsp:val=&quot;00331C6B&quot;/&gt;&lt;wsp:rsid wsp:val=&quot;00332863&quot;/&gt;&lt;wsp:rsid wsp:val=&quot;003329F6&quot;/&gt;&lt;wsp:rsid wsp:val=&quot;00333060&quot;/&gt;&lt;wsp:rsid wsp:val=&quot;003332F9&quot;/&gt;&lt;wsp:rsid wsp:val=&quot;00333AD5&quot;/&gt;&lt;wsp:rsid wsp:val=&quot;00333BF9&quot;/&gt;&lt;wsp:rsid wsp:val=&quot;00334487&quot;/&gt;&lt;wsp:rsid wsp:val=&quot;003350A1&quot;/&gt;&lt;wsp:rsid wsp:val=&quot;0033513C&quot;/&gt;&lt;wsp:rsid wsp:val=&quot;00335C2A&quot;/&gt;&lt;wsp:rsid wsp:val=&quot;00335D70&quot;/&gt;&lt;wsp:rsid wsp:val=&quot;00336192&quot;/&gt;&lt;wsp:rsid wsp:val=&quot;00336294&quot;/&gt;&lt;wsp:rsid wsp:val=&quot;0033684D&quot;/&gt;&lt;wsp:rsid wsp:val=&quot;00336B51&quot;/&gt;&lt;wsp:rsid wsp:val=&quot;00337B42&quot;/&gt;&lt;wsp:rsid wsp:val=&quot;00340026&quot;/&gt;&lt;wsp:rsid wsp:val=&quot;00340146&quot;/&gt;&lt;wsp:rsid wsp:val=&quot;00340597&quot;/&gt;&lt;wsp:rsid wsp:val=&quot;00340935&quot;/&gt;&lt;wsp:rsid wsp:val=&quot;00340A87&quot;/&gt;&lt;wsp:rsid wsp:val=&quot;00341B42&quot;/&gt;&lt;wsp:rsid wsp:val=&quot;00341F5A&quot;/&gt;&lt;wsp:rsid wsp:val=&quot;00342F8D&quot;/&gt;&lt;wsp:rsid wsp:val=&quot;0034348F&quot;/&gt;&lt;wsp:rsid wsp:val=&quot;003435B6&quot;/&gt;&lt;wsp:rsid wsp:val=&quot;00343C8A&quot;/&gt;&lt;wsp:rsid wsp:val=&quot;003445B7&quot;/&gt;&lt;wsp:rsid wsp:val=&quot;00344907&quot;/&gt;&lt;wsp:rsid wsp:val=&quot;00344D62&quot;/&gt;&lt;wsp:rsid wsp:val=&quot;0034507D&quot;/&gt;&lt;wsp:rsid wsp:val=&quot;00345126&quot;/&gt;&lt;wsp:rsid wsp:val=&quot;0034539A&quot;/&gt;&lt;wsp:rsid wsp:val=&quot;0034594E&quot;/&gt;&lt;wsp:rsid wsp:val=&quot;00345DE2&quot;/&gt;&lt;wsp:rsid wsp:val=&quot;00346079&quot;/&gt;&lt;wsp:rsid wsp:val=&quot;003468EE&quot;/&gt;&lt;wsp:rsid wsp:val=&quot;00347CC6&quot;/&gt;&lt;wsp:rsid wsp:val=&quot;00347E6B&quot;/&gt;&lt;wsp:rsid wsp:val=&quot;00347EB6&quot;/&gt;&lt;wsp:rsid wsp:val=&quot;00347EED&quot;/&gt;&lt;wsp:rsid wsp:val=&quot;00350420&quot;/&gt;&lt;wsp:rsid wsp:val=&quot;003504B2&quot;/&gt;&lt;wsp:rsid wsp:val=&quot;003509D4&quot;/&gt;&lt;wsp:rsid wsp:val=&quot;00351530&quot;/&gt;&lt;wsp:rsid wsp:val=&quot;00351544&quot;/&gt;&lt;wsp:rsid wsp:val=&quot;00351592&quot;/&gt;&lt;wsp:rsid wsp:val=&quot;00351BFD&quot;/&gt;&lt;wsp:rsid wsp:val=&quot;00352645&quot;/&gt;&lt;wsp:rsid wsp:val=&quot;0035413F&quot;/&gt;&lt;wsp:rsid wsp:val=&quot;003543BD&quot;/&gt;&lt;wsp:rsid wsp:val=&quot;0035473F&quot;/&gt;&lt;wsp:rsid wsp:val=&quot;00354D60&quot;/&gt;&lt;wsp:rsid wsp:val=&quot;00354E0E&quot;/&gt;&lt;wsp:rsid wsp:val=&quot;003558B0&quot;/&gt;&lt;wsp:rsid wsp:val=&quot;00355ECE&quot;/&gt;&lt;wsp:rsid wsp:val=&quot;00356653&quot;/&gt;&lt;wsp:rsid wsp:val=&quot;0035676D&quot;/&gt;&lt;wsp:rsid wsp:val=&quot;0035698D&quot;/&gt;&lt;wsp:rsid wsp:val=&quot;00356E9E&quot;/&gt;&lt;wsp:rsid wsp:val=&quot;00356EF7&quot;/&gt;&lt;wsp:rsid wsp:val=&quot;0035743F&quot;/&gt;&lt;wsp:rsid wsp:val=&quot;00357BE2&quot;/&gt;&lt;wsp:rsid wsp:val=&quot;00357C69&quot;/&gt;&lt;wsp:rsid wsp:val=&quot;003607D1&quot;/&gt;&lt;wsp:rsid wsp:val=&quot;0036170C&quot;/&gt;&lt;wsp:rsid wsp:val=&quot;0036235F&quot;/&gt;&lt;wsp:rsid wsp:val=&quot;00362589&quot;/&gt;&lt;wsp:rsid wsp:val=&quot;00362C0F&quot;/&gt;&lt;wsp:rsid wsp:val=&quot;003633D8&quot;/&gt;&lt;wsp:rsid wsp:val=&quot;00363F80&quot;/&gt;&lt;wsp:rsid wsp:val=&quot;0036411C&quot;/&gt;&lt;wsp:rsid wsp:val=&quot;00366488&quot;/&gt;&lt;wsp:rsid wsp:val=&quot;00366694&quot;/&gt;&lt;wsp:rsid wsp:val=&quot;003666B8&quot;/&gt;&lt;wsp:rsid wsp:val=&quot;00366DC9&quot;/&gt;&lt;wsp:rsid wsp:val=&quot;00366E0F&quot;/&gt;&lt;wsp:rsid wsp:val=&quot;00366E19&quot;/&gt;&lt;wsp:rsid wsp:val=&quot;00366EA5&quot;/&gt;&lt;wsp:rsid wsp:val=&quot;003676D1&quot;/&gt;&lt;wsp:rsid wsp:val=&quot;00367E15&quot;/&gt;&lt;wsp:rsid wsp:val=&quot;003711F3&quot;/&gt;&lt;wsp:rsid wsp:val=&quot;0037152F&quot;/&gt;&lt;wsp:rsid wsp:val=&quot;0037196A&quot;/&gt;&lt;wsp:rsid wsp:val=&quot;0037254A&quot;/&gt;&lt;wsp:rsid wsp:val=&quot;0037280C&quot;/&gt;&lt;wsp:rsid wsp:val=&quot;00373B32&quot;/&gt;&lt;wsp:rsid wsp:val=&quot;003744C0&quot;/&gt;&lt;wsp:rsid wsp:val=&quot;00374F05&quot;/&gt;&lt;wsp:rsid wsp:val=&quot;00375068&quot;/&gt;&lt;wsp:rsid wsp:val=&quot;003753AE&quot;/&gt;&lt;wsp:rsid wsp:val=&quot;003756C2&quot;/&gt;&lt;wsp:rsid wsp:val=&quot;00375A9A&quot;/&gt;&lt;wsp:rsid wsp:val=&quot;0037684E&quot;/&gt;&lt;wsp:rsid wsp:val=&quot;0037685F&quot;/&gt;&lt;wsp:rsid wsp:val=&quot;0037700C&quot;/&gt;&lt;wsp:rsid wsp:val=&quot;00377C3E&quot;/&gt;&lt;wsp:rsid wsp:val=&quot;00377F1C&quot;/&gt;&lt;wsp:rsid wsp:val=&quot;00380183&quot;/&gt;&lt;wsp:rsid wsp:val=&quot;00380696&quot;/&gt;&lt;wsp:rsid wsp:val=&quot;00381197&quot;/&gt;&lt;wsp:rsid wsp:val=&quot;00381A72&quot;/&gt;&lt;wsp:rsid wsp:val=&quot;00382E1A&quot;/&gt;&lt;wsp:rsid wsp:val=&quot;00384676&quot;/&gt;&lt;wsp:rsid wsp:val=&quot;00384B56&quot;/&gt;&lt;wsp:rsid wsp:val=&quot;00384DFE&quot;/&gt;&lt;wsp:rsid wsp:val=&quot;0038619E&quot;/&gt;&lt;wsp:rsid wsp:val=&quot;003863FB&quot;/&gt;&lt;wsp:rsid wsp:val=&quot;0038650A&quot;/&gt;&lt;wsp:rsid wsp:val=&quot;00386623&quot;/&gt;&lt;wsp:rsid wsp:val=&quot;00386863&quot;/&gt;&lt;wsp:rsid wsp:val=&quot;00386B24&quot;/&gt;&lt;wsp:rsid wsp:val=&quot;00386FA6&quot;/&gt;&lt;wsp:rsid wsp:val=&quot;0038796F&quot;/&gt;&lt;wsp:rsid wsp:val=&quot;00387977&quot;/&gt;&lt;wsp:rsid wsp:val=&quot;003879FE&quot;/&gt;&lt;wsp:rsid wsp:val=&quot;00387C5F&quot;/&gt;&lt;wsp:rsid wsp:val=&quot;00390857&quot;/&gt;&lt;wsp:rsid wsp:val=&quot;00390E61&quot;/&gt;&lt;wsp:rsid wsp:val=&quot;00390E9E&quot;/&gt;&lt;wsp:rsid wsp:val=&quot;0039110E&quot;/&gt;&lt;wsp:rsid wsp:val=&quot;00391ED2&quot;/&gt;&lt;wsp:rsid wsp:val=&quot;00391F7B&quot;/&gt;&lt;wsp:rsid wsp:val=&quot;00392213&quot;/&gt;&lt;wsp:rsid wsp:val=&quot;00392600&quot;/&gt;&lt;wsp:rsid wsp:val=&quot;0039347A&quot;/&gt;&lt;wsp:rsid wsp:val=&quot;00394021&quot;/&gt;&lt;wsp:rsid wsp:val=&quot;00394126&quot;/&gt;&lt;wsp:rsid wsp:val=&quot;003941A8&quot;/&gt;&lt;wsp:rsid wsp:val=&quot;0039459E&quot;/&gt;&lt;wsp:rsid wsp:val=&quot;00394BD0&quot;/&gt;&lt;wsp:rsid wsp:val=&quot;00394C5C&quot;/&gt;&lt;wsp:rsid wsp:val=&quot;003951C7&quot;/&gt;&lt;wsp:rsid wsp:val=&quot;003953AE&quot;/&gt;&lt;wsp:rsid wsp:val=&quot;003954F5&quot;/&gt;&lt;wsp:rsid wsp:val=&quot;00395528&quot;/&gt;&lt;wsp:rsid wsp:val=&quot;00395530&quot;/&gt;&lt;wsp:rsid wsp:val=&quot;00395C0B&quot;/&gt;&lt;wsp:rsid wsp:val=&quot;00395FB7&quot;/&gt;&lt;wsp:rsid wsp:val=&quot;00396752&quot;/&gt;&lt;wsp:rsid wsp:val=&quot;003977C9&quot;/&gt;&lt;wsp:rsid wsp:val=&quot;00397C49&quot;/&gt;&lt;wsp:rsid wsp:val=&quot;003A017D&quot;/&gt;&lt;wsp:rsid wsp:val=&quot;003A0CA9&quot;/&gt;&lt;wsp:rsid wsp:val=&quot;003A19F8&quot;/&gt;&lt;wsp:rsid wsp:val=&quot;003A2740&quot;/&gt;&lt;wsp:rsid wsp:val=&quot;003A31B0&quot;/&gt;&lt;wsp:rsid wsp:val=&quot;003A3F3C&quot;/&gt;&lt;wsp:rsid wsp:val=&quot;003A4824&quot;/&gt;&lt;wsp:rsid wsp:val=&quot;003A493F&quot;/&gt;&lt;wsp:rsid wsp:val=&quot;003A4BF3&quot;/&gt;&lt;wsp:rsid wsp:val=&quot;003A4D4B&quot;/&gt;&lt;wsp:rsid wsp:val=&quot;003A5197&quot;/&gt;&lt;wsp:rsid wsp:val=&quot;003A5469&quot;/&gt;&lt;wsp:rsid wsp:val=&quot;003A6212&quot;/&gt;&lt;wsp:rsid wsp:val=&quot;003A6330&quot;/&gt;&lt;wsp:rsid wsp:val=&quot;003A6B5B&quot;/&gt;&lt;wsp:rsid wsp:val=&quot;003A7901&quot;/&gt;&lt;wsp:rsid wsp:val=&quot;003A7D2D&quot;/&gt;&lt;wsp:rsid wsp:val=&quot;003A7D3A&quot;/&gt;&lt;wsp:rsid wsp:val=&quot;003B0458&quot;/&gt;&lt;wsp:rsid wsp:val=&quot;003B064E&quot;/&gt;&lt;wsp:rsid wsp:val=&quot;003B08B9&quot;/&gt;&lt;wsp:rsid wsp:val=&quot;003B090B&quot;/&gt;&lt;wsp:rsid wsp:val=&quot;003B0AF3&quot;/&gt;&lt;wsp:rsid wsp:val=&quot;003B2154&quot;/&gt;&lt;wsp:rsid wsp:val=&quot;003B2354&quot;/&gt;&lt;wsp:rsid wsp:val=&quot;003B2873&quot;/&gt;&lt;wsp:rsid wsp:val=&quot;003B2944&quot;/&gt;&lt;wsp:rsid wsp:val=&quot;003B2D10&quot;/&gt;&lt;wsp:rsid wsp:val=&quot;003B2FFF&quot;/&gt;&lt;wsp:rsid wsp:val=&quot;003B3ADB&quot;/&gt;&lt;wsp:rsid wsp:val=&quot;003B3F11&quot;/&gt;&lt;wsp:rsid wsp:val=&quot;003B420D&quot;/&gt;&lt;wsp:rsid wsp:val=&quot;003B4558&quot;/&gt;&lt;wsp:rsid wsp:val=&quot;003B482B&quot;/&gt;&lt;wsp:rsid wsp:val=&quot;003B53C9&quot;/&gt;&lt;wsp:rsid wsp:val=&quot;003B59DB&quot;/&gt;&lt;wsp:rsid wsp:val=&quot;003B68E1&quot;/&gt;&lt;wsp:rsid wsp:val=&quot;003B717E&quot;/&gt;&lt;wsp:rsid wsp:val=&quot;003B7556&quot;/&gt;&lt;wsp:rsid wsp:val=&quot;003B75CC&quot;/&gt;&lt;wsp:rsid wsp:val=&quot;003B7B62&quot;/&gt;&lt;wsp:rsid wsp:val=&quot;003C01DF&quot;/&gt;&lt;wsp:rsid wsp:val=&quot;003C0463&quot;/&gt;&lt;wsp:rsid wsp:val=&quot;003C0485&quot;/&gt;&lt;wsp:rsid wsp:val=&quot;003C05C2&quot;/&gt;&lt;wsp:rsid wsp:val=&quot;003C06EC&quot;/&gt;&lt;wsp:rsid wsp:val=&quot;003C0EC6&quot;/&gt;&lt;wsp:rsid wsp:val=&quot;003C14D8&quot;/&gt;&lt;wsp:rsid wsp:val=&quot;003C17D1&quot;/&gt;&lt;wsp:rsid wsp:val=&quot;003C18D3&quot;/&gt;&lt;wsp:rsid wsp:val=&quot;003C249B&quot;/&gt;&lt;wsp:rsid wsp:val=&quot;003C4A9C&quot;/&gt;&lt;wsp:rsid wsp:val=&quot;003C4AA3&quot;/&gt;&lt;wsp:rsid wsp:val=&quot;003C5355&quot;/&gt;&lt;wsp:rsid wsp:val=&quot;003C578E&quot;/&gt;&lt;wsp:rsid wsp:val=&quot;003C64FE&quot;/&gt;&lt;wsp:rsid wsp:val=&quot;003C6C16&quot;/&gt;&lt;wsp:rsid wsp:val=&quot;003C73BF&quot;/&gt;&lt;wsp:rsid wsp:val=&quot;003C7722&quot;/&gt;&lt;wsp:rsid wsp:val=&quot;003C7BF7&quot;/&gt;&lt;wsp:rsid wsp:val=&quot;003D0059&quot;/&gt;&lt;wsp:rsid wsp:val=&quot;003D0C92&quot;/&gt;&lt;wsp:rsid wsp:val=&quot;003D0F97&quot;/&gt;&lt;wsp:rsid wsp:val=&quot;003D12F8&quot;/&gt;&lt;wsp:rsid wsp:val=&quot;003D1D31&quot;/&gt;&lt;wsp:rsid wsp:val=&quot;003D2BF7&quot;/&gt;&lt;wsp:rsid wsp:val=&quot;003D3753&quot;/&gt;&lt;wsp:rsid wsp:val=&quot;003D4443&quot;/&gt;&lt;wsp:rsid wsp:val=&quot;003D47AE&quot;/&gt;&lt;wsp:rsid wsp:val=&quot;003D47F8&quot;/&gt;&lt;wsp:rsid wsp:val=&quot;003D497A&quot;/&gt;&lt;wsp:rsid wsp:val=&quot;003D4F78&quot;/&gt;&lt;wsp:rsid wsp:val=&quot;003D5126&quot;/&gt;&lt;wsp:rsid wsp:val=&quot;003D550B&quot;/&gt;&lt;wsp:rsid wsp:val=&quot;003D5786&quot;/&gt;&lt;wsp:rsid wsp:val=&quot;003D585E&quot;/&gt;&lt;wsp:rsid wsp:val=&quot;003D5EA9&quot;/&gt;&lt;wsp:rsid wsp:val=&quot;003D6240&quot;/&gt;&lt;wsp:rsid wsp:val=&quot;003D6BC3&quot;/&gt;&lt;wsp:rsid wsp:val=&quot;003D77A3&quot;/&gt;&lt;wsp:rsid wsp:val=&quot;003D794D&quot;/&gt;&lt;wsp:rsid wsp:val=&quot;003D7AF2&quot;/&gt;&lt;wsp:rsid wsp:val=&quot;003E005B&quot;/&gt;&lt;wsp:rsid wsp:val=&quot;003E03FA&quot;/&gt;&lt;wsp:rsid wsp:val=&quot;003E081F&quot;/&gt;&lt;wsp:rsid wsp:val=&quot;003E17BE&quot;/&gt;&lt;wsp:rsid wsp:val=&quot;003E1F51&quot;/&gt;&lt;wsp:rsid wsp:val=&quot;003E272E&quot;/&gt;&lt;wsp:rsid wsp:val=&quot;003E3058&quot;/&gt;&lt;wsp:rsid wsp:val=&quot;003E30C3&quot;/&gt;&lt;wsp:rsid wsp:val=&quot;003E30D0&quot;/&gt;&lt;wsp:rsid wsp:val=&quot;003E34CF&quot;/&gt;&lt;wsp:rsid wsp:val=&quot;003E399C&quot;/&gt;&lt;wsp:rsid wsp:val=&quot;003E42FF&quot;/&gt;&lt;wsp:rsid wsp:val=&quot;003E4726&quot;/&gt;&lt;wsp:rsid wsp:val=&quot;003E5503&quot;/&gt;&lt;wsp:rsid wsp:val=&quot;003E5880&quot;/&gt;&lt;wsp:rsid wsp:val=&quot;003E5C2F&quot;/&gt;&lt;wsp:rsid wsp:val=&quot;003E61AD&quot;/&gt;&lt;wsp:rsid wsp:val=&quot;003E621C&quot;/&gt;&lt;wsp:rsid wsp:val=&quot;003E76A9&quot;/&gt;&lt;wsp:rsid wsp:val=&quot;003E7A60&quot;/&gt;&lt;wsp:rsid wsp:val=&quot;003F009D&quot;/&gt;&lt;wsp:rsid wsp:val=&quot;003F02C3&quot;/&gt;&lt;wsp:rsid wsp:val=&quot;003F03A4&quot;/&gt;&lt;wsp:rsid wsp:val=&quot;003F0809&quot;/&gt;&lt;wsp:rsid wsp:val=&quot;003F0DCE&quot;/&gt;&lt;wsp:rsid wsp:val=&quot;003F1B43&quot;/&gt;&lt;wsp:rsid wsp:val=&quot;003F1C57&quot;/&gt;&lt;wsp:rsid wsp:val=&quot;003F1CA5&quot;/&gt;&lt;wsp:rsid wsp:val=&quot;003F1D85&quot;/&gt;&lt;wsp:rsid wsp:val=&quot;003F22D3&quot;/&gt;&lt;wsp:rsid wsp:val=&quot;003F2800&quot;/&gt;&lt;wsp:rsid wsp:val=&quot;003F2C2C&quot;/&gt;&lt;wsp:rsid wsp:val=&quot;003F34E7&quot;/&gt;&lt;wsp:rsid wsp:val=&quot;003F382C&quot;/&gt;&lt;wsp:rsid wsp:val=&quot;003F413E&quot;/&gt;&lt;wsp:rsid wsp:val=&quot;003F45C2&quot;/&gt;&lt;wsp:rsid wsp:val=&quot;003F487A&quot;/&gt;&lt;wsp:rsid wsp:val=&quot;003F4E7A&quot;/&gt;&lt;wsp:rsid wsp:val=&quot;003F53A7&quot;/&gt;&lt;wsp:rsid wsp:val=&quot;003F58E9&quot;/&gt;&lt;wsp:rsid wsp:val=&quot;003F60C2&quot;/&gt;&lt;wsp:rsid wsp:val=&quot;003F617C&quot;/&gt;&lt;wsp:rsid wsp:val=&quot;003F6965&quot;/&gt;&lt;wsp:rsid wsp:val=&quot;003F6A8C&quot;/&gt;&lt;wsp:rsid wsp:val=&quot;003F6EE6&quot;/&gt;&lt;wsp:rsid wsp:val=&quot;003F6FAB&quot;/&gt;&lt;wsp:rsid wsp:val=&quot;003F755C&quot;/&gt;&lt;wsp:rsid wsp:val=&quot;003F780A&quot;/&gt;&lt;wsp:rsid wsp:val=&quot;003F7BD7&quot;/&gt;&lt;wsp:rsid wsp:val=&quot;00401346&quot;/&gt;&lt;wsp:rsid wsp:val=&quot;0040152E&quot;/&gt;&lt;wsp:rsid wsp:val=&quot;00402AD1&quot;/&gt;&lt;wsp:rsid wsp:val=&quot;00402BB2&quot;/&gt;&lt;wsp:rsid wsp:val=&quot;00403076&quot;/&gt;&lt;wsp:rsid wsp:val=&quot;004037C3&quot;/&gt;&lt;wsp:rsid wsp:val=&quot;00403926&quot;/&gt;&lt;wsp:rsid wsp:val=&quot;00404F2A&quot;/&gt;&lt;wsp:rsid wsp:val=&quot;004063C3&quot;/&gt;&lt;wsp:rsid wsp:val=&quot;00406802&quot;/&gt;&lt;wsp:rsid wsp:val=&quot;00406F01&quot;/&gt;&lt;wsp:rsid wsp:val=&quot;00407348&quot;/&gt;&lt;wsp:rsid wsp:val=&quot;00407972&quot;/&gt;&lt;wsp:rsid wsp:val=&quot;004104C2&quot;/&gt;&lt;wsp:rsid wsp:val=&quot;004106E6&quot;/&gt;&lt;wsp:rsid wsp:val=&quot;00410AD6&quot;/&gt;&lt;wsp:rsid wsp:val=&quot;00410E0C&quot;/&gt;&lt;wsp:rsid wsp:val=&quot;004137CF&quot;/&gt;&lt;wsp:rsid wsp:val=&quot;00414010&quot;/&gt;&lt;wsp:rsid wsp:val=&quot;00414334&quot;/&gt;&lt;wsp:rsid wsp:val=&quot;0041452C&quot;/&gt;&lt;wsp:rsid wsp:val=&quot;00414AA0&quot;/&gt;&lt;wsp:rsid wsp:val=&quot;00414D23&quot;/&gt;&lt;wsp:rsid wsp:val=&quot;004150B8&quot;/&gt;&lt;wsp:rsid wsp:val=&quot;004152D8&quot;/&gt;&lt;wsp:rsid wsp:val=&quot;004154F0&quot;/&gt;&lt;wsp:rsid wsp:val=&quot;00415671&quot;/&gt;&lt;wsp:rsid wsp:val=&quot;00416D50&quot;/&gt;&lt;wsp:rsid wsp:val=&quot;00416FD5&quot;/&gt;&lt;wsp:rsid wsp:val=&quot;00417171&quot;/&gt;&lt;wsp:rsid wsp:val=&quot;004174DB&quot;/&gt;&lt;wsp:rsid wsp:val=&quot;00417772&quot;/&gt;&lt;wsp:rsid wsp:val=&quot;0041784A&quot;/&gt;&lt;wsp:rsid wsp:val=&quot;00417857&quot;/&gt;&lt;wsp:rsid wsp:val=&quot;004204B5&quot;/&gt;&lt;wsp:rsid wsp:val=&quot;004206D2&quot;/&gt;&lt;wsp:rsid wsp:val=&quot;00420777&quot;/&gt;&lt;wsp:rsid wsp:val=&quot;00420CE1&quot;/&gt;&lt;wsp:rsid wsp:val=&quot;00420E6A&quot;/&gt;&lt;wsp:rsid wsp:val=&quot;004214E4&quot;/&gt;&lt;wsp:rsid wsp:val=&quot;00421B36&quot;/&gt;&lt;wsp:rsid wsp:val=&quot;004220A8&quot;/&gt;&lt;wsp:rsid wsp:val=&quot;00423A1D&quot;/&gt;&lt;wsp:rsid wsp:val=&quot;00423B75&quot;/&gt;&lt;wsp:rsid wsp:val=&quot;004255C5&quot;/&gt;&lt;wsp:rsid wsp:val=&quot;0042586C&quot;/&gt;&lt;wsp:rsid wsp:val=&quot;00425A9E&quot;/&gt;&lt;wsp:rsid wsp:val=&quot;00426D6B&quot;/&gt;&lt;wsp:rsid wsp:val=&quot;00427FD4&quot;/&gt;&lt;wsp:rsid wsp:val=&quot;00431E6C&quot;/&gt;&lt;wsp:rsid wsp:val=&quot;00432176&quot;/&gt;&lt;wsp:rsid wsp:val=&quot;0043295C&quot;/&gt;&lt;wsp:rsid wsp:val=&quot;00432A2F&quot;/&gt;&lt;wsp:rsid wsp:val=&quot;00432F61&quot;/&gt;&lt;wsp:rsid wsp:val=&quot;0043377B&quot;/&gt;&lt;wsp:rsid wsp:val=&quot;004338CD&quot;/&gt;&lt;wsp:rsid wsp:val=&quot;00433CE7&quot;/&gt;&lt;wsp:rsid wsp:val=&quot;00434098&quot;/&gt;&lt;wsp:rsid wsp:val=&quot;0043409E&quot;/&gt;&lt;wsp:rsid wsp:val=&quot;00434C32&quot;/&gt;&lt;wsp:rsid wsp:val=&quot;0043544A&quot;/&gt;&lt;wsp:rsid wsp:val=&quot;0043556F&quot;/&gt;&lt;wsp:rsid wsp:val=&quot;00435A62&quot;/&gt;&lt;wsp:rsid wsp:val=&quot;00435CA9&quot;/&gt;&lt;wsp:rsid wsp:val=&quot;0043720C&quot;/&gt;&lt;wsp:rsid wsp:val=&quot;00437C37&quot;/&gt;&lt;wsp:rsid wsp:val=&quot;00440DE7&quot;/&gt;&lt;wsp:rsid wsp:val=&quot;00441A25&quot;/&gt;&lt;wsp:rsid wsp:val=&quot;00442C6C&quot;/&gt;&lt;wsp:rsid wsp:val=&quot;004431DD&quot;/&gt;&lt;wsp:rsid wsp:val=&quot;00443270&quot;/&gt;&lt;wsp:rsid wsp:val=&quot;00443DCC&quot;/&gt;&lt;wsp:rsid wsp:val=&quot;00444FE4&quot;/&gt;&lt;wsp:rsid wsp:val=&quot;0044534E&quot;/&gt;&lt;wsp:rsid wsp:val=&quot;00447B0F&quot;/&gt;&lt;wsp:rsid wsp:val=&quot;00447B8B&quot;/&gt;&lt;wsp:rsid wsp:val=&quot;00450001&quot;/&gt;&lt;wsp:rsid wsp:val=&quot;004500E1&quot;/&gt;&lt;wsp:rsid wsp:val=&quot;004501AB&quot;/&gt;&lt;wsp:rsid wsp:val=&quot;00450ACD&quot;/&gt;&lt;wsp:rsid wsp:val=&quot;00451041&quot;/&gt;&lt;wsp:rsid wsp:val=&quot;004515BF&quot;/&gt;&lt;wsp:rsid wsp:val=&quot;004519D9&quot;/&gt;&lt;wsp:rsid wsp:val=&quot;0045240F&quot;/&gt;&lt;wsp:rsid wsp:val=&quot;00452738&quot;/&gt;&lt;wsp:rsid wsp:val=&quot;00452846&quot;/&gt;&lt;wsp:rsid wsp:val=&quot;004529B1&quot;/&gt;&lt;wsp:rsid wsp:val=&quot;00452F32&quot;/&gt;&lt;wsp:rsid wsp:val=&quot;00453080&quot;/&gt;&lt;wsp:rsid wsp:val=&quot;00453564&quot;/&gt;&lt;wsp:rsid wsp:val=&quot;00453E0F&quot;/&gt;&lt;wsp:rsid wsp:val=&quot;004540D3&quot;/&gt;&lt;wsp:rsid wsp:val=&quot;004546DA&quot;/&gt;&lt;wsp:rsid wsp:val=&quot;004549B9&quot;/&gt;&lt;wsp:rsid wsp:val=&quot;00454A9E&quot;/&gt;&lt;wsp:rsid wsp:val=&quot;00454FDC&quot;/&gt;&lt;wsp:rsid wsp:val=&quot;004552EE&quot;/&gt;&lt;wsp:rsid wsp:val=&quot;00455413&quot;/&gt;&lt;wsp:rsid wsp:val=&quot;00456091&quot;/&gt;&lt;wsp:rsid wsp:val=&quot;00456191&quot;/&gt;&lt;wsp:rsid wsp:val=&quot;004561D6&quot;/&gt;&lt;wsp:rsid wsp:val=&quot;00456BE7&quot;/&gt;&lt;wsp:rsid wsp:val=&quot;00456BF0&quot;/&gt;&lt;wsp:rsid wsp:val=&quot;00456DB8&quot;/&gt;&lt;wsp:rsid wsp:val=&quot;00456F4F&quot;/&gt;&lt;wsp:rsid wsp:val=&quot;00457929&quot;/&gt;&lt;wsp:rsid wsp:val=&quot;00457C98&quot;/&gt;&lt;wsp:rsid wsp:val=&quot;00457E8D&quot;/&gt;&lt;wsp:rsid wsp:val=&quot;00457ED0&quot;/&gt;&lt;wsp:rsid wsp:val=&quot;00460AAF&quot;/&gt;&lt;wsp:rsid wsp:val=&quot;00461152&quot;/&gt;&lt;wsp:rsid wsp:val=&quot;004612A8&quot;/&gt;&lt;wsp:rsid wsp:val=&quot;00461F20&quot;/&gt;&lt;wsp:rsid wsp:val=&quot;004622E3&quot;/&gt;&lt;wsp:rsid wsp:val=&quot;004623C1&quot;/&gt;&lt;wsp:rsid wsp:val=&quot;00462BCC&quot;/&gt;&lt;wsp:rsid wsp:val=&quot;00462FAF&quot;/&gt;&lt;wsp:rsid wsp:val=&quot;00463CA2&quot;/&gt;&lt;wsp:rsid wsp:val=&quot;00463D89&quot;/&gt;&lt;wsp:rsid wsp:val=&quot;00464580&quot;/&gt;&lt;wsp:rsid wsp:val=&quot;00464952&quot;/&gt;&lt;wsp:rsid wsp:val=&quot;004659CB&quot;/&gt;&lt;wsp:rsid wsp:val=&quot;00465E09&quot;/&gt;&lt;wsp:rsid wsp:val=&quot;00465F06&quot;/&gt;&lt;wsp:rsid wsp:val=&quot;00466205&quot;/&gt;&lt;wsp:rsid wsp:val=&quot;00466321&quot;/&gt;&lt;wsp:rsid wsp:val=&quot;004663C0&quot;/&gt;&lt;wsp:rsid wsp:val=&quot;00466525&quot;/&gt;&lt;wsp:rsid wsp:val=&quot;00466CD0&quot;/&gt;&lt;wsp:rsid wsp:val=&quot;0046743D&quot;/&gt;&lt;wsp:rsid wsp:val=&quot;00470983&quot;/&gt;&lt;wsp:rsid wsp:val=&quot;00470DFD&quot;/&gt;&lt;wsp:rsid wsp:val=&quot;00471EFD&quot;/&gt;&lt;wsp:rsid wsp:val=&quot;00472042&quot;/&gt;&lt;wsp:rsid wsp:val=&quot;004734DC&quot;/&gt;&lt;wsp:rsid wsp:val=&quot;00473A1F&quot;/&gt;&lt;wsp:rsid wsp:val=&quot;00473C66&quot;/&gt;&lt;wsp:rsid wsp:val=&quot;00473CA3&quot;/&gt;&lt;wsp:rsid wsp:val=&quot;00474174&quot;/&gt;&lt;wsp:rsid wsp:val=&quot;00474D08&quot;/&gt;&lt;wsp:rsid wsp:val=&quot;00474EFB&quot;/&gt;&lt;wsp:rsid wsp:val=&quot;00475497&quot;/&gt;&lt;wsp:rsid wsp:val=&quot;00475E66&quot;/&gt;&lt;wsp:rsid wsp:val=&quot;004779B9&quot;/&gt;&lt;wsp:rsid wsp:val=&quot;00477BF5&quot;/&gt;&lt;wsp:rsid wsp:val=&quot;00480273&quot;/&gt;&lt;wsp:rsid wsp:val=&quot;0048045A&quot;/&gt;&lt;wsp:rsid wsp:val=&quot;0048065F&quot;/&gt;&lt;wsp:rsid wsp:val=&quot;00480EF9&quot;/&gt;&lt;wsp:rsid wsp:val=&quot;004826C0&quot;/&gt;&lt;wsp:rsid wsp:val=&quot;00482788&quot;/&gt;&lt;wsp:rsid wsp:val=&quot;00483786&quot;/&gt;&lt;wsp:rsid wsp:val=&quot;00484B9B&quot;/&gt;&lt;wsp:rsid wsp:val=&quot;004855F6&quot;/&gt;&lt;wsp:rsid wsp:val=&quot;00485739&quot;/&gt;&lt;wsp:rsid wsp:val=&quot;00485C46&quot;/&gt;&lt;wsp:rsid wsp:val=&quot;00485CE7&quot;/&gt;&lt;wsp:rsid wsp:val=&quot;00486310&quot;/&gt;&lt;wsp:rsid wsp:val=&quot;0048661E&quot;/&gt;&lt;wsp:rsid wsp:val=&quot;0048698B&quot;/&gt;&lt;wsp:rsid wsp:val=&quot;00486B1F&quot;/&gt;&lt;wsp:rsid wsp:val=&quot;00487C7F&quot;/&gt;&lt;wsp:rsid wsp:val=&quot;00490605&quot;/&gt;&lt;wsp:rsid wsp:val=&quot;0049060B&quot;/&gt;&lt;wsp:rsid wsp:val=&quot;00490906&quot;/&gt;&lt;wsp:rsid wsp:val=&quot;004912EC&quot;/&gt;&lt;wsp:rsid wsp:val=&quot;00491313&quot;/&gt;&lt;wsp:rsid wsp:val=&quot;004913FF&quot;/&gt;&lt;wsp:rsid wsp:val=&quot;004914DC&quot;/&gt;&lt;wsp:rsid wsp:val=&quot;004919D5&quot;/&gt;&lt;wsp:rsid wsp:val=&quot;004927EC&quot;/&gt;&lt;wsp:rsid wsp:val=&quot;00493008&quot;/&gt;&lt;wsp:rsid wsp:val=&quot;004935E4&quot;/&gt;&lt;wsp:rsid wsp:val=&quot;004941E3&quot;/&gt;&lt;wsp:rsid wsp:val=&quot;00494670&quot;/&gt;&lt;wsp:rsid wsp:val=&quot;00494BE9&quot;/&gt;&lt;wsp:rsid wsp:val=&quot;00494F65&quot;/&gt;&lt;wsp:rsid wsp:val=&quot;004952F9&quot;/&gt;&lt;wsp:rsid wsp:val=&quot;00496297&quot;/&gt;&lt;wsp:rsid wsp:val=&quot;004979B6&quot;/&gt;&lt;wsp:rsid wsp:val=&quot;00497FAF&quot;/&gt;&lt;wsp:rsid wsp:val=&quot;004A10F8&quot;/&gt;&lt;wsp:rsid wsp:val=&quot;004A149B&quot;/&gt;&lt;wsp:rsid wsp:val=&quot;004A2098&quot;/&gt;&lt;wsp:rsid wsp:val=&quot;004A3823&quot;/&gt;&lt;wsp:rsid wsp:val=&quot;004A38B6&quot;/&gt;&lt;wsp:rsid wsp:val=&quot;004A3A75&quot;/&gt;&lt;wsp:rsid wsp:val=&quot;004A3A95&quot;/&gt;&lt;wsp:rsid wsp:val=&quot;004A3ACF&quot;/&gt;&lt;wsp:rsid wsp:val=&quot;004A3BBA&quot;/&gt;&lt;wsp:rsid wsp:val=&quot;004A449B&quot;/&gt;&lt;wsp:rsid wsp:val=&quot;004A476E&quot;/&gt;&lt;wsp:rsid wsp:val=&quot;004A4782&quot;/&gt;&lt;wsp:rsid wsp:val=&quot;004A4D8D&quot;/&gt;&lt;wsp:rsid wsp:val=&quot;004A55F9&quot;/&gt;&lt;wsp:rsid wsp:val=&quot;004A5C8A&quot;/&gt;&lt;wsp:rsid wsp:val=&quot;004A5DAD&quot;/&gt;&lt;wsp:rsid wsp:val=&quot;004A66D2&quot;/&gt;&lt;wsp:rsid wsp:val=&quot;004A6B1C&quot;/&gt;&lt;wsp:rsid wsp:val=&quot;004A6D8B&quot;/&gt;&lt;wsp:rsid wsp:val=&quot;004A6DE5&quot;/&gt;&lt;wsp:rsid wsp:val=&quot;004A6FB7&quot;/&gt;&lt;wsp:rsid wsp:val=&quot;004A7004&quot;/&gt;&lt;wsp:rsid wsp:val=&quot;004B047D&quot;/&gt;&lt;wsp:rsid wsp:val=&quot;004B065B&quot;/&gt;&lt;wsp:rsid wsp:val=&quot;004B0662&quot;/&gt;&lt;wsp:rsid wsp:val=&quot;004B0935&quot;/&gt;&lt;wsp:rsid wsp:val=&quot;004B19D8&quot;/&gt;&lt;wsp:rsid wsp:val=&quot;004B1F6C&quot;/&gt;&lt;wsp:rsid wsp:val=&quot;004B2133&quot;/&gt;&lt;wsp:rsid wsp:val=&quot;004B2BC6&quot;/&gt;&lt;wsp:rsid wsp:val=&quot;004B2E24&quot;/&gt;&lt;wsp:rsid wsp:val=&quot;004B3204&quot;/&gt;&lt;wsp:rsid wsp:val=&quot;004B321F&quot;/&gt;&lt;wsp:rsid wsp:val=&quot;004B3379&quot;/&gt;&lt;wsp:rsid wsp:val=&quot;004B37FC&quot;/&gt;&lt;wsp:rsid wsp:val=&quot;004B4302&quot;/&gt;&lt;wsp:rsid wsp:val=&quot;004B5AF0&quot;/&gt;&lt;wsp:rsid wsp:val=&quot;004B5E3A&quot;/&gt;&lt;wsp:rsid wsp:val=&quot;004B65D0&quot;/&gt;&lt;wsp:rsid wsp:val=&quot;004B6DDB&quot;/&gt;&lt;wsp:rsid wsp:val=&quot;004B6F9C&quot;/&gt;&lt;wsp:rsid wsp:val=&quot;004B7261&quot;/&gt;&lt;wsp:rsid wsp:val=&quot;004C024D&quot;/&gt;&lt;wsp:rsid wsp:val=&quot;004C104A&quot;/&gt;&lt;wsp:rsid wsp:val=&quot;004C1344&quot;/&gt;&lt;wsp:rsid wsp:val=&quot;004C1489&quot;/&gt;&lt;wsp:rsid wsp:val=&quot;004C1734&quot;/&gt;&lt;wsp:rsid wsp:val=&quot;004C183F&quot;/&gt;&lt;wsp:rsid wsp:val=&quot;004C204B&quot;/&gt;&lt;wsp:rsid wsp:val=&quot;004C20AF&quot;/&gt;&lt;wsp:rsid wsp:val=&quot;004C2671&quot;/&gt;&lt;wsp:rsid wsp:val=&quot;004C2CB6&quot;/&gt;&lt;wsp:rsid wsp:val=&quot;004C2F8D&quot;/&gt;&lt;wsp:rsid wsp:val=&quot;004C338C&quot;/&gt;&lt;wsp:rsid wsp:val=&quot;004C3465&quot;/&gt;&lt;wsp:rsid wsp:val=&quot;004C40E7&quot;/&gt;&lt;wsp:rsid wsp:val=&quot;004C4565&quot;/&gt;&lt;wsp:rsid wsp:val=&quot;004C638F&quot;/&gt;&lt;wsp:rsid wsp:val=&quot;004C7148&quot;/&gt;&lt;wsp:rsid wsp:val=&quot;004C76BF&quot;/&gt;&lt;wsp:rsid wsp:val=&quot;004D111B&quot;/&gt;&lt;wsp:rsid wsp:val=&quot;004D1329&quot;/&gt;&lt;wsp:rsid wsp:val=&quot;004D2783&quot;/&gt;&lt;wsp:rsid wsp:val=&quot;004D2C2B&quot;/&gt;&lt;wsp:rsid wsp:val=&quot;004D2D08&quot;/&gt;&lt;wsp:rsid wsp:val=&quot;004D2DE3&quot;/&gt;&lt;wsp:rsid wsp:val=&quot;004D3489&quot;/&gt;&lt;wsp:rsid wsp:val=&quot;004D35E0&quot;/&gt;&lt;wsp:rsid wsp:val=&quot;004D369A&quot;/&gt;&lt;wsp:rsid wsp:val=&quot;004D3C2C&quot;/&gt;&lt;wsp:rsid wsp:val=&quot;004D3E9E&quot;/&gt;&lt;wsp:rsid wsp:val=&quot;004D3EEB&quot;/&gt;&lt;wsp:rsid wsp:val=&quot;004D408B&quot;/&gt;&lt;wsp:rsid wsp:val=&quot;004D40B3&quot;/&gt;&lt;wsp:rsid wsp:val=&quot;004D49D8&quot;/&gt;&lt;wsp:rsid wsp:val=&quot;004D5943&quot;/&gt;&lt;wsp:rsid wsp:val=&quot;004D5CFD&quot;/&gt;&lt;wsp:rsid wsp:val=&quot;004D5F73&quot;/&gt;&lt;wsp:rsid wsp:val=&quot;004D6428&quot;/&gt;&lt;wsp:rsid wsp:val=&quot;004D6AB5&quot;/&gt;&lt;wsp:rsid wsp:val=&quot;004D6BB9&quot;/&gt;&lt;wsp:rsid wsp:val=&quot;004D6F96&quot;/&gt;&lt;wsp:rsid wsp:val=&quot;004D72C8&quot;/&gt;&lt;wsp:rsid wsp:val=&quot;004D76FB&quot;/&gt;&lt;wsp:rsid wsp:val=&quot;004D7B79&quot;/&gt;&lt;wsp:rsid wsp:val=&quot;004E1D60&quot;/&gt;&lt;wsp:rsid wsp:val=&quot;004E1DFA&quot;/&gt;&lt;wsp:rsid wsp:val=&quot;004E2618&quot;/&gt;&lt;wsp:rsid wsp:val=&quot;004E2A9D&quot;/&gt;&lt;wsp:rsid wsp:val=&quot;004E30B5&quot;/&gt;&lt;wsp:rsid wsp:val=&quot;004E320E&quot;/&gt;&lt;wsp:rsid wsp:val=&quot;004E3566&quot;/&gt;&lt;wsp:rsid wsp:val=&quot;004E3AB7&quot;/&gt;&lt;wsp:rsid wsp:val=&quot;004E3E3E&quot;/&gt;&lt;wsp:rsid wsp:val=&quot;004E3EDE&quot;/&gt;&lt;wsp:rsid wsp:val=&quot;004E4683&quot;/&gt;&lt;wsp:rsid wsp:val=&quot;004E4A54&quot;/&gt;&lt;wsp:rsid wsp:val=&quot;004E5494&quot;/&gt;&lt;wsp:rsid wsp:val=&quot;004E623F&quot;/&gt;&lt;wsp:rsid wsp:val=&quot;004E65AD&quot;/&gt;&lt;wsp:rsid wsp:val=&quot;004E6946&quot;/&gt;&lt;wsp:rsid wsp:val=&quot;004E6ACD&quot;/&gt;&lt;wsp:rsid wsp:val=&quot;004E7632&quot;/&gt;&lt;wsp:rsid wsp:val=&quot;004E76B8&quot;/&gt;&lt;wsp:rsid wsp:val=&quot;004E7A19&quot;/&gt;&lt;wsp:rsid wsp:val=&quot;004E7B4E&quot;/&gt;&lt;wsp:rsid wsp:val=&quot;004F0286&quot;/&gt;&lt;wsp:rsid wsp:val=&quot;004F07B8&quot;/&gt;&lt;wsp:rsid wsp:val=&quot;004F0E76&quot;/&gt;&lt;wsp:rsid wsp:val=&quot;004F0FD2&quot;/&gt;&lt;wsp:rsid wsp:val=&quot;004F1AD8&quot;/&gt;&lt;wsp:rsid wsp:val=&quot;004F1D54&quot;/&gt;&lt;wsp:rsid wsp:val=&quot;004F2A58&quot;/&gt;&lt;wsp:rsid wsp:val=&quot;004F2BE0&quot;/&gt;&lt;wsp:rsid wsp:val=&quot;004F3098&quot;/&gt;&lt;wsp:rsid wsp:val=&quot;004F3141&quot;/&gt;&lt;wsp:rsid wsp:val=&quot;004F3626&quot;/&gt;&lt;wsp:rsid wsp:val=&quot;004F450B&quot;/&gt;&lt;wsp:rsid wsp:val=&quot;004F4D10&quot;/&gt;&lt;wsp:rsid wsp:val=&quot;004F56D7&quot;/&gt;&lt;wsp:rsid wsp:val=&quot;004F6C14&quot;/&gt;&lt;wsp:rsid wsp:val=&quot;004F75FD&quot;/&gt;&lt;wsp:rsid wsp:val=&quot;0050067B&quot;/&gt;&lt;wsp:rsid wsp:val=&quot;00500ADB&quot;/&gt;&lt;wsp:rsid wsp:val=&quot;00500D5D&quot;/&gt;&lt;wsp:rsid wsp:val=&quot;0050114C&quot;/&gt;&lt;wsp:rsid wsp:val=&quot;00501290&quot;/&gt;&lt;wsp:rsid wsp:val=&quot;00501652&quot;/&gt;&lt;wsp:rsid wsp:val=&quot;0050176C&quot;/&gt;&lt;wsp:rsid wsp:val=&quot;00502462&quot;/&gt;&lt;wsp:rsid wsp:val=&quot;0050277B&quot;/&gt;&lt;wsp:rsid wsp:val=&quot;00502D5E&quot;/&gt;&lt;wsp:rsid wsp:val=&quot;00503511&quot;/&gt;&lt;wsp:rsid wsp:val=&quot;005039CB&quot;/&gt;&lt;wsp:rsid wsp:val=&quot;00503A88&quot;/&gt;&lt;wsp:rsid wsp:val=&quot;005043BD&quot;/&gt;&lt;wsp:rsid wsp:val=&quot;0050472E&quot;/&gt;&lt;wsp:rsid wsp:val=&quot;00504842&quot;/&gt;&lt;wsp:rsid wsp:val=&quot;00505121&quot;/&gt;&lt;wsp:rsid wsp:val=&quot;005054B0&quot;/&gt;&lt;wsp:rsid wsp:val=&quot;0050558F&quot;/&gt;&lt;wsp:rsid wsp:val=&quot;005055E7&quot;/&gt;&lt;wsp:rsid wsp:val=&quot;00505E17&quot;/&gt;&lt;wsp:rsid wsp:val=&quot;00506286&quot;/&gt;&lt;wsp:rsid wsp:val=&quot;00506985&quot;/&gt;&lt;wsp:rsid wsp:val=&quot;005069DD&quot;/&gt;&lt;wsp:rsid wsp:val=&quot;00506F5B&quot;/&gt;&lt;wsp:rsid wsp:val=&quot;005074FB&quot;/&gt;&lt;wsp:rsid wsp:val=&quot;00507985&quot;/&gt;&lt;wsp:rsid wsp:val=&quot;00507BE2&quot;/&gt;&lt;wsp:rsid wsp:val=&quot;00510813&quot;/&gt;&lt;wsp:rsid wsp:val=&quot;005116C5&quot;/&gt;&lt;wsp:rsid wsp:val=&quot;00511990&quot;/&gt;&lt;wsp:rsid wsp:val=&quot;00511DE0&quot;/&gt;&lt;wsp:rsid wsp:val=&quot;00512C61&quot;/&gt;&lt;wsp:rsid wsp:val=&quot;00512F66&quot;/&gt;&lt;wsp:rsid wsp:val=&quot;0051356A&quot;/&gt;&lt;wsp:rsid wsp:val=&quot;005135C0&quot;/&gt;&lt;wsp:rsid wsp:val=&quot;00513FC8&quot;/&gt;&lt;wsp:rsid wsp:val=&quot;0051414A&quot;/&gt;&lt;wsp:rsid wsp:val=&quot;00514858&quot;/&gt;&lt;wsp:rsid wsp:val=&quot;00514870&quot;/&gt;&lt;wsp:rsid wsp:val=&quot;00514B17&quot;/&gt;&lt;wsp:rsid wsp:val=&quot;00514B9B&quot;/&gt;&lt;wsp:rsid wsp:val=&quot;00514C3F&quot;/&gt;&lt;wsp:rsid wsp:val=&quot;00515E1B&quot;/&gt;&lt;wsp:rsid wsp:val=&quot;0051638B&quot;/&gt;&lt;wsp:rsid wsp:val=&quot;0051696E&quot;/&gt;&lt;wsp:rsid wsp:val=&quot;00516F8D&quot;/&gt;&lt;wsp:rsid wsp:val=&quot;005176FE&quot;/&gt;&lt;wsp:rsid wsp:val=&quot;00517F02&quot;/&gt;&lt;wsp:rsid wsp:val=&quot;005201BA&quot;/&gt;&lt;wsp:rsid wsp:val=&quot;00520DE7&quot;/&gt;&lt;wsp:rsid wsp:val=&quot;00520F34&quot;/&gt;&lt;wsp:rsid wsp:val=&quot;00520F8C&quot;/&gt;&lt;wsp:rsid wsp:val=&quot;00521197&quot;/&gt;&lt;wsp:rsid wsp:val=&quot;00521356&quot;/&gt;&lt;wsp:rsid wsp:val=&quot;0052150B&quot;/&gt;&lt;wsp:rsid wsp:val=&quot;005218F6&quot;/&gt;&lt;wsp:rsid wsp:val=&quot;00521DD4&quot;/&gt;&lt;wsp:rsid wsp:val=&quot;00521EB9&quot;/&gt;&lt;wsp:rsid wsp:val=&quot;0052233A&quot;/&gt;&lt;wsp:rsid wsp:val=&quot;00523B01&quot;/&gt;&lt;wsp:rsid wsp:val=&quot;00524303&quot;/&gt;&lt;wsp:rsid wsp:val=&quot;00524E4D&quot;/&gt;&lt;wsp:rsid wsp:val=&quot;005258A2&quot;/&gt;&lt;wsp:rsid wsp:val=&quot;00525EEA&quot;/&gt;&lt;wsp:rsid wsp:val=&quot;005262A6&quot;/&gt;&lt;wsp:rsid wsp:val=&quot;00526FA2&quot;/&gt;&lt;wsp:rsid wsp:val=&quot;005274D7&quot;/&gt;&lt;wsp:rsid wsp:val=&quot;005279F8&quot;/&gt;&lt;wsp:rsid wsp:val=&quot;0053064A&quot;/&gt;&lt;wsp:rsid wsp:val=&quot;00530F80&quot;/&gt;&lt;wsp:rsid wsp:val=&quot;00531075&quot;/&gt;&lt;wsp:rsid wsp:val=&quot;005313A3&quot;/&gt;&lt;wsp:rsid wsp:val=&quot;00531461&quot;/&gt;&lt;wsp:rsid wsp:val=&quot;005317F8&quot;/&gt;&lt;wsp:rsid wsp:val=&quot;00532087&quot;/&gt;&lt;wsp:rsid wsp:val=&quot;00532658&quot;/&gt;&lt;wsp:rsid wsp:val=&quot;0053468A&quot;/&gt;&lt;wsp:rsid wsp:val=&quot;00535140&quot;/&gt;&lt;wsp:rsid wsp:val=&quot;00535415&quot;/&gt;&lt;wsp:rsid wsp:val=&quot;005355D8&quot;/&gt;&lt;wsp:rsid wsp:val=&quot;005355DD&quot;/&gt;&lt;wsp:rsid wsp:val=&quot;00535C11&quot;/&gt;&lt;wsp:rsid wsp:val=&quot;005368EC&quot;/&gt;&lt;wsp:rsid wsp:val=&quot;00537A42&quot;/&gt;&lt;wsp:rsid wsp:val=&quot;00540022&quot;/&gt;&lt;wsp:rsid wsp:val=&quot;005401AE&quot;/&gt;&lt;wsp:rsid wsp:val=&quot;00540399&quot;/&gt;&lt;wsp:rsid wsp:val=&quot;00540403&quot;/&gt;&lt;wsp:rsid wsp:val=&quot;00540571&quot;/&gt;&lt;wsp:rsid wsp:val=&quot;00540D7E&quot;/&gt;&lt;wsp:rsid wsp:val=&quot;00541009&quot;/&gt;&lt;wsp:rsid wsp:val=&quot;005422BA&quot;/&gt;&lt;wsp:rsid wsp:val=&quot;00542375&quot;/&gt;&lt;wsp:rsid wsp:val=&quot;005428D6&quot;/&gt;&lt;wsp:rsid wsp:val=&quot;00542E07&quot;/&gt;&lt;wsp:rsid wsp:val=&quot;005431A9&quot;/&gt;&lt;wsp:rsid wsp:val=&quot;0054368E&quot;/&gt;&lt;wsp:rsid wsp:val=&quot;00544F55&quot;/&gt;&lt;wsp:rsid wsp:val=&quot;005451AF&quot;/&gt;&lt;wsp:rsid wsp:val=&quot;0054521B&quot;/&gt;&lt;wsp:rsid wsp:val=&quot;00545424&quot;/&gt;&lt;wsp:rsid wsp:val=&quot;00545D54&quot;/&gt;&lt;wsp:rsid wsp:val=&quot;00546299&quot;/&gt;&lt;wsp:rsid wsp:val=&quot;005468D3&quot;/&gt;&lt;wsp:rsid wsp:val=&quot;00546DC3&quot;/&gt;&lt;wsp:rsid wsp:val=&quot;00547B25&quot;/&gt;&lt;wsp:rsid wsp:val=&quot;00547D7E&quot;/&gt;&lt;wsp:rsid wsp:val=&quot;00550600&quot;/&gt;&lt;wsp:rsid wsp:val=&quot;0055095D&quot;/&gt;&lt;wsp:rsid wsp:val=&quot;00550AC3&quot;/&gt;&lt;wsp:rsid wsp:val=&quot;00550C5B&quot;/&gt;&lt;wsp:rsid wsp:val=&quot;0055168F&quot;/&gt;&lt;wsp:rsid wsp:val=&quot;00551EA3&quot;/&gt;&lt;wsp:rsid wsp:val=&quot;00552F6E&quot;/&gt;&lt;wsp:rsid wsp:val=&quot;0055386C&quot;/&gt;&lt;wsp:rsid wsp:val=&quot;00554289&quot;/&gt;&lt;wsp:rsid wsp:val=&quot;00554A7B&quot;/&gt;&lt;wsp:rsid wsp:val=&quot;00554ECD&quot;/&gt;&lt;wsp:rsid wsp:val=&quot;00554FA1&quot;/&gt;&lt;wsp:rsid wsp:val=&quot;005551EA&quot;/&gt;&lt;wsp:rsid wsp:val=&quot;0055572C&quot;/&gt;&lt;wsp:rsid wsp:val=&quot;00555B00&quot;/&gt;&lt;wsp:rsid wsp:val=&quot;00556149&quot;/&gt;&lt;wsp:rsid wsp:val=&quot;005564F4&quot;/&gt;&lt;wsp:rsid wsp:val=&quot;005571E9&quot;/&gt;&lt;wsp:rsid wsp:val=&quot;005573D5&quot;/&gt;&lt;wsp:rsid wsp:val=&quot;005605AA&quot;/&gt;&lt;wsp:rsid wsp:val=&quot;005609DA&quot;/&gt;&lt;wsp:rsid wsp:val=&quot;00560F84&quot;/&gt;&lt;wsp:rsid wsp:val=&quot;0056106A&quot;/&gt;&lt;wsp:rsid wsp:val=&quot;0056213F&quot;/&gt;&lt;wsp:rsid wsp:val=&quot;00562973&quot;/&gt;&lt;wsp:rsid wsp:val=&quot;00563A04&quot;/&gt;&lt;wsp:rsid wsp:val=&quot;00563B88&quot;/&gt;&lt;wsp:rsid wsp:val=&quot;005641BE&quot;/&gt;&lt;wsp:rsid wsp:val=&quot;00564348&quot;/&gt;&lt;wsp:rsid wsp:val=&quot;005656E0&quot;/&gt;&lt;wsp:rsid wsp:val=&quot;00566528&quot;/&gt;&lt;wsp:rsid wsp:val=&quot;005668A3&quot;/&gt;&lt;wsp:rsid wsp:val=&quot;005678A2&quot;/&gt;&lt;wsp:rsid wsp:val=&quot;00567DD6&quot;/&gt;&lt;wsp:rsid wsp:val=&quot;00570393&quot;/&gt;&lt;wsp:rsid wsp:val=&quot;0057167F&quot;/&gt;&lt;wsp:rsid wsp:val=&quot;005720AE&quot;/&gt;&lt;wsp:rsid wsp:val=&quot;005729B1&quot;/&gt;&lt;wsp:rsid wsp:val=&quot;00572AF5&quot;/&gt;&lt;wsp:rsid wsp:val=&quot;00573226&quot;/&gt;&lt;wsp:rsid wsp:val=&quot;005737D2&quot;/&gt;&lt;wsp:rsid wsp:val=&quot;005739F3&quot;/&gt;&lt;wsp:rsid wsp:val=&quot;00574482&quot;/&gt;&lt;wsp:rsid wsp:val=&quot;00574524&quot;/&gt;&lt;wsp:rsid wsp:val=&quot;00574B9E&quot;/&gt;&lt;wsp:rsid wsp:val=&quot;00575656&quot;/&gt;&lt;wsp:rsid wsp:val=&quot;005759E3&quot;/&gt;&lt;wsp:rsid wsp:val=&quot;00575C9E&quot;/&gt;&lt;wsp:rsid wsp:val=&quot;005767E7&quot;/&gt;&lt;wsp:rsid wsp:val=&quot;00576962&quot;/&gt;&lt;wsp:rsid wsp:val=&quot;00577123&quot;/&gt;&lt;wsp:rsid wsp:val=&quot;005771D3&quot;/&gt;&lt;wsp:rsid wsp:val=&quot;00577C24&quot;/&gt;&lt;wsp:rsid wsp:val=&quot;00577C83&quot;/&gt;&lt;wsp:rsid wsp:val=&quot;00580507&quot;/&gt;&lt;wsp:rsid wsp:val=&quot;00580673&quot;/&gt;&lt;wsp:rsid wsp:val=&quot;00580D1D&quot;/&gt;&lt;wsp:rsid wsp:val=&quot;00581451&quot;/&gt;&lt;wsp:rsid wsp:val=&quot;00581BEC&quot;/&gt;&lt;wsp:rsid wsp:val=&quot;00581F46&quot;/&gt;&lt;wsp:rsid wsp:val=&quot;005827B2&quot;/&gt;&lt;wsp:rsid wsp:val=&quot;005833B1&quot;/&gt;&lt;wsp:rsid wsp:val=&quot;005839A9&quot;/&gt;&lt;wsp:rsid wsp:val=&quot;005840AD&quot;/&gt;&lt;wsp:rsid wsp:val=&quot;005845C0&quot;/&gt;&lt;wsp:rsid wsp:val=&quot;00585B14&quot;/&gt;&lt;wsp:rsid wsp:val=&quot;005862A8&quot;/&gt;&lt;wsp:rsid wsp:val=&quot;00586FFA&quot;/&gt;&lt;wsp:rsid wsp:val=&quot;005874DE&quot;/&gt;&lt;wsp:rsid wsp:val=&quot;00587B36&quot;/&gt;&lt;wsp:rsid wsp:val=&quot;00587C53&quot;/&gt;&lt;wsp:rsid wsp:val=&quot;00587D1C&quot;/&gt;&lt;wsp:rsid wsp:val=&quot;00590330&quot;/&gt;&lt;wsp:rsid wsp:val=&quot;00590AFF&quot;/&gt;&lt;wsp:rsid wsp:val=&quot;00591065&quot;/&gt;&lt;wsp:rsid wsp:val=&quot;00591478&quot;/&gt;&lt;wsp:rsid wsp:val=&quot;00591549&quot;/&gt;&lt;wsp:rsid wsp:val=&quot;0059165F&quot;/&gt;&lt;wsp:rsid wsp:val=&quot;00591BC4&quot;/&gt;&lt;wsp:rsid wsp:val=&quot;005920D0&quot;/&gt;&lt;wsp:rsid wsp:val=&quot;0059267A&quot;/&gt;&lt;wsp:rsid wsp:val=&quot;00592761&quot;/&gt;&lt;wsp:rsid wsp:val=&quot;00592B3E&quot;/&gt;&lt;wsp:rsid wsp:val=&quot;0059338E&quot;/&gt;&lt;wsp:rsid wsp:val=&quot;00593B9F&quot;/&gt;&lt;wsp:rsid wsp:val=&quot;0059405D&quot;/&gt;&lt;wsp:rsid wsp:val=&quot;00594487&quot;/&gt;&lt;wsp:rsid wsp:val=&quot;005946F1&quot;/&gt;&lt;wsp:rsid wsp:val=&quot;00594D59&quot;/&gt;&lt;wsp:rsid wsp:val=&quot;00594D77&quot;/&gt;&lt;wsp:rsid wsp:val=&quot;00595F8B&quot;/&gt;&lt;wsp:rsid wsp:val=&quot;00596894&quot;/&gt;&lt;wsp:rsid wsp:val=&quot;005969E4&quot;/&gt;&lt;wsp:rsid wsp:val=&quot;00596BAF&quot;/&gt;&lt;wsp:rsid wsp:val=&quot;00597C75&quot;/&gt;&lt;wsp:rsid wsp:val=&quot;00597FA1&quot;/&gt;&lt;wsp:rsid wsp:val=&quot;005A01D8&quot;/&gt;&lt;wsp:rsid wsp:val=&quot;005A02C6&quot;/&gt;&lt;wsp:rsid wsp:val=&quot;005A056E&quot;/&gt;&lt;wsp:rsid wsp:val=&quot;005A06B7&quot;/&gt;&lt;wsp:rsid wsp:val=&quot;005A1759&quot;/&gt;&lt;wsp:rsid wsp:val=&quot;005A1E5D&quot;/&gt;&lt;wsp:rsid wsp:val=&quot;005A2CD9&quot;/&gt;&lt;wsp:rsid wsp:val=&quot;005A4806&quot;/&gt;&lt;wsp:rsid wsp:val=&quot;005A4B80&quot;/&gt;&lt;wsp:rsid wsp:val=&quot;005A5327&quot;/&gt;&lt;wsp:rsid wsp:val=&quot;005A5BF6&quot;/&gt;&lt;wsp:rsid wsp:val=&quot;005A63D9&quot;/&gt;&lt;wsp:rsid wsp:val=&quot;005A6762&quot;/&gt;&lt;wsp:rsid wsp:val=&quot;005A67FC&quot;/&gt;&lt;wsp:rsid wsp:val=&quot;005A68A7&quot;/&gt;&lt;wsp:rsid wsp:val=&quot;005A6D3A&quot;/&gt;&lt;wsp:rsid wsp:val=&quot;005A77FC&quot;/&gt;&lt;wsp:rsid wsp:val=&quot;005A7D18&quot;/&gt;&lt;wsp:rsid wsp:val=&quot;005A7EE3&quot;/&gt;&lt;wsp:rsid wsp:val=&quot;005B00ED&quot;/&gt;&lt;wsp:rsid wsp:val=&quot;005B027A&quot;/&gt;&lt;wsp:rsid wsp:val=&quot;005B070C&quot;/&gt;&lt;wsp:rsid wsp:val=&quot;005B12CA&quot;/&gt;&lt;wsp:rsid wsp:val=&quot;005B18F1&quot;/&gt;&lt;wsp:rsid wsp:val=&quot;005B29CF&quot;/&gt;&lt;wsp:rsid wsp:val=&quot;005B2C29&quot;/&gt;&lt;wsp:rsid wsp:val=&quot;005B303A&quot;/&gt;&lt;wsp:rsid wsp:val=&quot;005B3B61&quot;/&gt;&lt;wsp:rsid wsp:val=&quot;005B45E0&quot;/&gt;&lt;wsp:rsid wsp:val=&quot;005B494B&quot;/&gt;&lt;wsp:rsid wsp:val=&quot;005B4FEF&quot;/&gt;&lt;wsp:rsid wsp:val=&quot;005B50A3&quot;/&gt;&lt;wsp:rsid wsp:val=&quot;005B520F&quot;/&gt;&lt;wsp:rsid wsp:val=&quot;005B56B5&quot;/&gt;&lt;wsp:rsid wsp:val=&quot;005B584A&quot;/&gt;&lt;wsp:rsid wsp:val=&quot;005B59E1&quot;/&gt;&lt;wsp:rsid wsp:val=&quot;005B728F&quot;/&gt;&lt;wsp:rsid wsp:val=&quot;005B7F9E&quot;/&gt;&lt;wsp:rsid wsp:val=&quot;005C25B2&quot;/&gt;&lt;wsp:rsid wsp:val=&quot;005C2E62&quot;/&gt;&lt;wsp:rsid wsp:val=&quot;005C2E90&quot;/&gt;&lt;wsp:rsid wsp:val=&quot;005C2F37&quot;/&gt;&lt;wsp:rsid wsp:val=&quot;005C3077&quot;/&gt;&lt;wsp:rsid wsp:val=&quot;005C31CA&quot;/&gt;&lt;wsp:rsid wsp:val=&quot;005C31D4&quot;/&gt;&lt;wsp:rsid wsp:val=&quot;005C3300&quot;/&gt;&lt;wsp:rsid wsp:val=&quot;005C36C3&quot;/&gt;&lt;wsp:rsid wsp:val=&quot;005C3DB2&quot;/&gt;&lt;wsp:rsid wsp:val=&quot;005C4258&quot;/&gt;&lt;wsp:rsid wsp:val=&quot;005C4934&quot;/&gt;&lt;wsp:rsid wsp:val=&quot;005C4C33&quot;/&gt;&lt;wsp:rsid wsp:val=&quot;005C5192&quot;/&gt;&lt;wsp:rsid wsp:val=&quot;005C54AC&quot;/&gt;&lt;wsp:rsid wsp:val=&quot;005C59BE&quot;/&gt;&lt;wsp:rsid wsp:val=&quot;005C5B29&quot;/&gt;&lt;wsp:rsid wsp:val=&quot;005C64C8&quot;/&gt;&lt;wsp:rsid wsp:val=&quot;005C68CF&quot;/&gt;&lt;wsp:rsid wsp:val=&quot;005C7630&quot;/&gt;&lt;wsp:rsid wsp:val=&quot;005C76B9&quot;/&gt;&lt;wsp:rsid wsp:val=&quot;005C79D5&quot;/&gt;&lt;wsp:rsid wsp:val=&quot;005D15C3&quot;/&gt;&lt;wsp:rsid wsp:val=&quot;005D1D9B&quot;/&gt;&lt;wsp:rsid wsp:val=&quot;005D2585&quot;/&gt;&lt;wsp:rsid wsp:val=&quot;005D3369&quot;/&gt;&lt;wsp:rsid wsp:val=&quot;005D3549&quot;/&gt;&lt;wsp:rsid wsp:val=&quot;005D36AB&quot;/&gt;&lt;wsp:rsid wsp:val=&quot;005D4725&quot;/&gt;&lt;wsp:rsid wsp:val=&quot;005D47AA&quot;/&gt;&lt;wsp:rsid wsp:val=&quot;005D68CC&quot;/&gt;&lt;wsp:rsid wsp:val=&quot;005D6B55&quot;/&gt;&lt;wsp:rsid wsp:val=&quot;005D7112&quot;/&gt;&lt;wsp:rsid wsp:val=&quot;005E1593&quot;/&gt;&lt;wsp:rsid wsp:val=&quot;005E1594&quot;/&gt;&lt;wsp:rsid wsp:val=&quot;005E1ECB&quot;/&gt;&lt;wsp:rsid wsp:val=&quot;005E200B&quot;/&gt;&lt;wsp:rsid wsp:val=&quot;005E2EE9&quot;/&gt;&lt;wsp:rsid wsp:val=&quot;005E3ED1&quot;/&gt;&lt;wsp:rsid wsp:val=&quot;005E47DC&quot;/&gt;&lt;wsp:rsid wsp:val=&quot;005E5047&quot;/&gt;&lt;wsp:rsid wsp:val=&quot;005E5C27&quot;/&gt;&lt;wsp:rsid wsp:val=&quot;005E62E3&quot;/&gt;&lt;wsp:rsid wsp:val=&quot;005E6427&quot;/&gt;&lt;wsp:rsid wsp:val=&quot;005E740C&quot;/&gt;&lt;wsp:rsid wsp:val=&quot;005F0866&quot;/&gt;&lt;wsp:rsid wsp:val=&quot;005F0975&quot;/&gt;&lt;wsp:rsid wsp:val=&quot;005F0CD5&quot;/&gt;&lt;wsp:rsid wsp:val=&quot;005F1EFD&quot;/&gt;&lt;wsp:rsid wsp:val=&quot;005F266B&quot;/&gt;&lt;wsp:rsid wsp:val=&quot;005F271E&quot;/&gt;&lt;wsp:rsid wsp:val=&quot;005F2B27&quot;/&gt;&lt;wsp:rsid wsp:val=&quot;005F3439&quot;/&gt;&lt;wsp:rsid wsp:val=&quot;005F34CC&quot;/&gt;&lt;wsp:rsid wsp:val=&quot;005F3559&quot;/&gt;&lt;wsp:rsid wsp:val=&quot;005F429A&quot;/&gt;&lt;wsp:rsid wsp:val=&quot;005F47C2&quot;/&gt;&lt;wsp:rsid wsp:val=&quot;005F54A2&quot;/&gt;&lt;wsp:rsid wsp:val=&quot;005F5FDB&quot;/&gt;&lt;wsp:rsid wsp:val=&quot;005F63AC&quot;/&gt;&lt;wsp:rsid wsp:val=&quot;005F6488&quot;/&gt;&lt;wsp:rsid wsp:val=&quot;005F6E2F&quot;/&gt;&lt;wsp:rsid wsp:val=&quot;005F7295&quot;/&gt;&lt;wsp:rsid wsp:val=&quot;005F732C&quot;/&gt;&lt;wsp:rsid wsp:val=&quot;005F73FD&quot;/&gt;&lt;wsp:rsid wsp:val=&quot;005F7402&quot;/&gt;&lt;wsp:rsid wsp:val=&quot;00601373&quot;/&gt;&lt;wsp:rsid wsp:val=&quot;006015AB&quot;/&gt;&lt;wsp:rsid wsp:val=&quot;00601D30&quot;/&gt;&lt;wsp:rsid wsp:val=&quot;00601DE5&quot;/&gt;&lt;wsp:rsid wsp:val=&quot;00602E2D&quot;/&gt;&lt;wsp:rsid wsp:val=&quot;00603061&quot;/&gt;&lt;wsp:rsid wsp:val=&quot;00603399&quot;/&gt;&lt;wsp:rsid wsp:val=&quot;00603644&quot;/&gt;&lt;wsp:rsid wsp:val=&quot;00603C8D&quot;/&gt;&lt;wsp:rsid wsp:val=&quot;00603FD5&quot;/&gt;&lt;wsp:rsid wsp:val=&quot;00605D53&quot;/&gt;&lt;wsp:rsid wsp:val=&quot;00605EAC&quot;/&gt;&lt;wsp:rsid wsp:val=&quot;0060661E&quot;/&gt;&lt;wsp:rsid wsp:val=&quot;00606B32&quot;/&gt;&lt;wsp:rsid wsp:val=&quot;00606BCE&quot;/&gt;&lt;wsp:rsid wsp:val=&quot;00607BF0&quot;/&gt;&lt;wsp:rsid wsp:val=&quot;00610613&quot;/&gt;&lt;wsp:rsid wsp:val=&quot;00610A28&quot;/&gt;&lt;wsp:rsid wsp:val=&quot;00610AC3&quot;/&gt;&lt;wsp:rsid wsp:val=&quot;00610BAC&quot;/&gt;&lt;wsp:rsid wsp:val=&quot;006127AC&quot;/&gt;&lt;wsp:rsid wsp:val=&quot;00612C6D&quot;/&gt;&lt;wsp:rsid wsp:val=&quot;00613436&quot;/&gt;&lt;wsp:rsid wsp:val=&quot;00613783&quot;/&gt;&lt;wsp:rsid wsp:val=&quot;00614AA0&quot;/&gt;&lt;wsp:rsid wsp:val=&quot;00615086&quot;/&gt;&lt;wsp:rsid wsp:val=&quot;00615A2B&quot;/&gt;&lt;wsp:rsid wsp:val=&quot;006160DD&quot;/&gt;&lt;wsp:rsid wsp:val=&quot;0061687F&quot;/&gt;&lt;wsp:rsid wsp:val=&quot;00616AFB&quot;/&gt;&lt;wsp:rsid wsp:val=&quot;0061779B&quot;/&gt;&lt;wsp:rsid wsp:val=&quot;00617815&quot;/&gt;&lt;wsp:rsid wsp:val=&quot;006179A9&quot;/&gt;&lt;wsp:rsid wsp:val=&quot;00617C75&quot;/&gt;&lt;wsp:rsid wsp:val=&quot;00617CC3&quot;/&gt;&lt;wsp:rsid wsp:val=&quot;0062144A&quot;/&gt;&lt;wsp:rsid wsp:val=&quot;006214EC&quot;/&gt;&lt;wsp:rsid wsp:val=&quot;00621E55&quot;/&gt;&lt;wsp:rsid wsp:val=&quot;006222A1&quot;/&gt;&lt;wsp:rsid wsp:val=&quot;006224B6&quot;/&gt;&lt;wsp:rsid wsp:val=&quot;006227D9&quot;/&gt;&lt;wsp:rsid wsp:val=&quot;00622826&quot;/&gt;&lt;wsp:rsid wsp:val=&quot;006238B6&quot;/&gt;&lt;wsp:rsid wsp:val=&quot;00623D3A&quot;/&gt;&lt;wsp:rsid wsp:val=&quot;00624345&quot;/&gt;&lt;wsp:rsid wsp:val=&quot;006246BD&quot;/&gt;&lt;wsp:rsid wsp:val=&quot;00625B34&quot;/&gt;&lt;wsp:rsid wsp:val=&quot;0062674E&quot;/&gt;&lt;wsp:rsid wsp:val=&quot;0062741B&quot;/&gt;&lt;wsp:rsid wsp:val=&quot;00627A31&quot;/&gt;&lt;wsp:rsid wsp:val=&quot;00627CAE&quot;/&gt;&lt;wsp:rsid wsp:val=&quot;00627D87&quot;/&gt;&lt;wsp:rsid wsp:val=&quot;006309D3&quot;/&gt;&lt;wsp:rsid wsp:val=&quot;00630BBE&quot;/&gt;&lt;wsp:rsid wsp:val=&quot;00630D1B&quot;/&gt;&lt;wsp:rsid wsp:val=&quot;00631110&quot;/&gt;&lt;wsp:rsid wsp:val=&quot;0063173F&quot;/&gt;&lt;wsp:rsid wsp:val=&quot;00632000&quot;/&gt;&lt;wsp:rsid wsp:val=&quot;0063243B&quot;/&gt;&lt;wsp:rsid wsp:val=&quot;00632F46&quot;/&gt;&lt;wsp:rsid wsp:val=&quot;00632FFE&quot;/&gt;&lt;wsp:rsid wsp:val=&quot;00633AFD&quot;/&gt;&lt;wsp:rsid wsp:val=&quot;00633CB7&quot;/&gt;&lt;wsp:rsid wsp:val=&quot;00634ACA&quot;/&gt;&lt;wsp:rsid wsp:val=&quot;006352C5&quot;/&gt;&lt;wsp:rsid wsp:val=&quot;0063576B&quot;/&gt;&lt;wsp:rsid wsp:val=&quot;00635810&quot;/&gt;&lt;wsp:rsid wsp:val=&quot;00636159&quot;/&gt;&lt;wsp:rsid wsp:val=&quot;006361F6&quot;/&gt;&lt;wsp:rsid wsp:val=&quot;00636941&quot;/&gt;&lt;wsp:rsid wsp:val=&quot;00637331&quot;/&gt;&lt;wsp:rsid wsp:val=&quot;006377A6&quot;/&gt;&lt;wsp:rsid wsp:val=&quot;00637A3D&quot;/&gt;&lt;wsp:rsid wsp:val=&quot;00637D0F&quot;/&gt;&lt;wsp:rsid wsp:val=&quot;00637D1F&quot;/&gt;&lt;wsp:rsid wsp:val=&quot;00640105&quot;/&gt;&lt;wsp:rsid wsp:val=&quot;0064101C&quot;/&gt;&lt;wsp:rsid wsp:val=&quot;00641087&quot;/&gt;&lt;wsp:rsid wsp:val=&quot;006411EF&quot;/&gt;&lt;wsp:rsid wsp:val=&quot;006425CD&quot;/&gt;&lt;wsp:rsid wsp:val=&quot;00642B2B&quot;/&gt;&lt;wsp:rsid wsp:val=&quot;00643545&quot;/&gt;&lt;wsp:rsid wsp:val=&quot;00643885&quot;/&gt;&lt;wsp:rsid wsp:val=&quot;0064396D&quot;/&gt;&lt;wsp:rsid wsp:val=&quot;00643D49&quot;/&gt;&lt;wsp:rsid wsp:val=&quot;00644566&quot;/&gt;&lt;wsp:rsid wsp:val=&quot;00644592&quot;/&gt;&lt;wsp:rsid wsp:val=&quot;006445E7&quot;/&gt;&lt;wsp:rsid wsp:val=&quot;00644903&quot;/&gt;&lt;wsp:rsid wsp:val=&quot;0064520F&quot;/&gt;&lt;wsp:rsid wsp:val=&quot;00645AF1&quot;/&gt;&lt;wsp:rsid wsp:val=&quot;006470EB&quot;/&gt;&lt;wsp:rsid wsp:val=&quot;00647E3D&quot;/&gt;&lt;wsp:rsid wsp:val=&quot;00647F84&quot;/&gt;&lt;wsp:rsid wsp:val=&quot;00651035&quot;/&gt;&lt;wsp:rsid wsp:val=&quot;0065120E&quot;/&gt;&lt;wsp:rsid wsp:val=&quot;006516C2&quot;/&gt;&lt;wsp:rsid wsp:val=&quot;00651A47&quot;/&gt;&lt;wsp:rsid wsp:val=&quot;006527C6&quot;/&gt;&lt;wsp:rsid wsp:val=&quot;0065296F&quot;/&gt;&lt;wsp:rsid wsp:val=&quot;006529B8&quot;/&gt;&lt;wsp:rsid wsp:val=&quot;00652D20&quot;/&gt;&lt;wsp:rsid wsp:val=&quot;0065346E&quot;/&gt;&lt;wsp:rsid wsp:val=&quot;00653761&quot;/&gt;&lt;wsp:rsid wsp:val=&quot;00654689&quot;/&gt;&lt;wsp:rsid wsp:val=&quot;0065468D&quot;/&gt;&lt;wsp:rsid wsp:val=&quot;00654691&quot;/&gt;&lt;wsp:rsid wsp:val=&quot;00655528&quot;/&gt;&lt;wsp:rsid wsp:val=&quot;00655805&quot;/&gt;&lt;wsp:rsid wsp:val=&quot;00655A76&quot;/&gt;&lt;wsp:rsid wsp:val=&quot;006560AB&quot;/&gt;&lt;wsp:rsid wsp:val=&quot;00656666&quot;/&gt;&lt;wsp:rsid wsp:val=&quot;006571EF&quot;/&gt;&lt;wsp:rsid wsp:val=&quot;00657248&quot;/&gt;&lt;wsp:rsid wsp:val=&quot;006576C7&quot;/&gt;&lt;wsp:rsid wsp:val=&quot;00657773&quot;/&gt;&lt;wsp:rsid wsp:val=&quot;00660029&quot;/&gt;&lt;wsp:rsid wsp:val=&quot;00660A93&quot;/&gt;&lt;wsp:rsid wsp:val=&quot;00661001&quot;/&gt;&lt;wsp:rsid wsp:val=&quot;006610B5&quot;/&gt;&lt;wsp:rsid wsp:val=&quot;00661604&quot;/&gt;&lt;wsp:rsid wsp:val=&quot;00662372&quot;/&gt;&lt;wsp:rsid wsp:val=&quot;00662DD3&quot;/&gt;&lt;wsp:rsid wsp:val=&quot;006631E5&quot;/&gt;&lt;wsp:rsid wsp:val=&quot;00663B3A&quot;/&gt;&lt;wsp:rsid wsp:val=&quot;00664AC5&quot;/&gt;&lt;wsp:rsid wsp:val=&quot;00665553&quot;/&gt;&lt;wsp:rsid wsp:val=&quot;006657F9&quot;/&gt;&lt;wsp:rsid wsp:val=&quot;006658E9&quot;/&gt;&lt;wsp:rsid wsp:val=&quot;00665A5F&quot;/&gt;&lt;wsp:rsid wsp:val=&quot;00665C8D&quot;/&gt;&lt;wsp:rsid wsp:val=&quot;006661F4&quot;/&gt;&lt;wsp:rsid wsp:val=&quot;00666784&quot;/&gt;&lt;wsp:rsid wsp:val=&quot;006668B6&quot;/&gt;&lt;wsp:rsid wsp:val=&quot;006669F9&quot;/&gt;&lt;wsp:rsid wsp:val=&quot;00667DDF&quot;/&gt;&lt;wsp:rsid wsp:val=&quot;00667F02&quot;/&gt;&lt;wsp:rsid wsp:val=&quot;00670C7C&quot;/&gt;&lt;wsp:rsid wsp:val=&quot;00671014&quot;/&gt;&lt;wsp:rsid wsp:val=&quot;0067180E&quot;/&gt;&lt;wsp:rsid wsp:val=&quot;00671A2E&quot;/&gt;&lt;wsp:rsid wsp:val=&quot;00672172&quot;/&gt;&lt;wsp:rsid wsp:val=&quot;00672EAE&quot;/&gt;&lt;wsp:rsid wsp:val=&quot;0067318B&quot;/&gt;&lt;wsp:rsid wsp:val=&quot;00673443&quot;/&gt;&lt;wsp:rsid wsp:val=&quot;0067430E&quot;/&gt;&lt;wsp:rsid wsp:val=&quot;006748B8&quot;/&gt;&lt;wsp:rsid wsp:val=&quot;00674F5F&quot;/&gt;&lt;wsp:rsid wsp:val=&quot;00674F80&quot;/&gt;&lt;wsp:rsid wsp:val=&quot;00675EFE&quot;/&gt;&lt;wsp:rsid wsp:val=&quot;006760E6&quot;/&gt;&lt;wsp:rsid wsp:val=&quot;006775BC&quot;/&gt;&lt;wsp:rsid wsp:val=&quot;006775C3&quot;/&gt;&lt;wsp:rsid wsp:val=&quot;006808D6&quot;/&gt;&lt;wsp:rsid wsp:val=&quot;006808DE&quot;/&gt;&lt;wsp:rsid wsp:val=&quot;0068094A&quot;/&gt;&lt;wsp:rsid wsp:val=&quot;00680AF4&quot;/&gt;&lt;wsp:rsid wsp:val=&quot;00680C0A&quot;/&gt;&lt;wsp:rsid wsp:val=&quot;006811E2&quot;/&gt;&lt;wsp:rsid wsp:val=&quot;00681DE8&quot;/&gt;&lt;wsp:rsid wsp:val=&quot;00682B8E&quot;/&gt;&lt;wsp:rsid wsp:val=&quot;006832EF&quot;/&gt;&lt;wsp:rsid wsp:val=&quot;0068342A&quot;/&gt;&lt;wsp:rsid wsp:val=&quot;00684822&quot;/&gt;&lt;wsp:rsid wsp:val=&quot;00684995&quot;/&gt;&lt;wsp:rsid wsp:val=&quot;0068529C&quot;/&gt;&lt;wsp:rsid wsp:val=&quot;006859DC&quot;/&gt;&lt;wsp:rsid wsp:val=&quot;00685C20&quot;/&gt;&lt;wsp:rsid wsp:val=&quot;0068619E&quot;/&gt;&lt;wsp:rsid wsp:val=&quot;0068691B&quot;/&gt;&lt;wsp:rsid wsp:val=&quot;00686A79&quot;/&gt;&lt;wsp:rsid wsp:val=&quot;00686EDD&quot;/&gt;&lt;wsp:rsid wsp:val=&quot;00690129&quot;/&gt;&lt;wsp:rsid wsp:val=&quot;00691DF6&quot;/&gt;&lt;wsp:rsid wsp:val=&quot;00691F92&quot;/&gt;&lt;wsp:rsid wsp:val=&quot;0069290A&quot;/&gt;&lt;wsp:rsid wsp:val=&quot;00692F07&quot;/&gt;&lt;wsp:rsid wsp:val=&quot;00693BE3&quot;/&gt;&lt;wsp:rsid wsp:val=&quot;00693F17&quot;/&gt;&lt;wsp:rsid wsp:val=&quot;00694140&quot;/&gt;&lt;wsp:rsid wsp:val=&quot;006941B3&quot;/&gt;&lt;wsp:rsid wsp:val=&quot;006948F6&quot;/&gt;&lt;wsp:rsid wsp:val=&quot;00695813&quot;/&gt;&lt;wsp:rsid wsp:val=&quot;00695BA6&quot;/&gt;&lt;wsp:rsid wsp:val=&quot;00695D88&quot;/&gt;&lt;wsp:rsid wsp:val=&quot;006966F7&quot;/&gt;&lt;wsp:rsid wsp:val=&quot;0069775A&quot;/&gt;&lt;wsp:rsid wsp:val=&quot;00697813&quot;/&gt;&lt;wsp:rsid wsp:val=&quot;00697BFF&quot;/&gt;&lt;wsp:rsid wsp:val=&quot;006A02C5&quot;/&gt;&lt;wsp:rsid wsp:val=&quot;006A0D07&quot;/&gt;&lt;wsp:rsid wsp:val=&quot;006A152E&quot;/&gt;&lt;wsp:rsid wsp:val=&quot;006A17AF&quot;/&gt;&lt;wsp:rsid wsp:val=&quot;006A1A3E&quot;/&gt;&lt;wsp:rsid wsp:val=&quot;006A1DD1&quot;/&gt;&lt;wsp:rsid wsp:val=&quot;006A21CB&quot;/&gt;&lt;wsp:rsid wsp:val=&quot;006A2436&quot;/&gt;&lt;wsp:rsid wsp:val=&quot;006A2870&quot;/&gt;&lt;wsp:rsid wsp:val=&quot;006A2B6A&quot;/&gt;&lt;wsp:rsid wsp:val=&quot;006A39ED&quot;/&gt;&lt;wsp:rsid wsp:val=&quot;006A3A0A&quot;/&gt;&lt;wsp:rsid wsp:val=&quot;006A3D17&quot;/&gt;&lt;wsp:rsid wsp:val=&quot;006A3EE8&quot;/&gt;&lt;wsp:rsid wsp:val=&quot;006A4206&quot;/&gt;&lt;wsp:rsid wsp:val=&quot;006A4607&quot;/&gt;&lt;wsp:rsid wsp:val=&quot;006A49BF&quot;/&gt;&lt;wsp:rsid wsp:val=&quot;006A4A6F&quot;/&gt;&lt;wsp:rsid wsp:val=&quot;006A4CDE&quot;/&gt;&lt;wsp:rsid wsp:val=&quot;006A525B&quot;/&gt;&lt;wsp:rsid wsp:val=&quot;006A575B&quot;/&gt;&lt;wsp:rsid wsp:val=&quot;006A5A2B&quot;/&gt;&lt;wsp:rsid wsp:val=&quot;006A5AF5&quot;/&gt;&lt;wsp:rsid wsp:val=&quot;006A6C9A&quot;/&gt;&lt;wsp:rsid wsp:val=&quot;006A72BF&quot;/&gt;&lt;wsp:rsid wsp:val=&quot;006A74B3&quot;/&gt;&lt;wsp:rsid wsp:val=&quot;006B0178&quot;/&gt;&lt;wsp:rsid wsp:val=&quot;006B03F2&quot;/&gt;&lt;wsp:rsid wsp:val=&quot;006B07F2&quot;/&gt;&lt;wsp:rsid wsp:val=&quot;006B1569&quot;/&gt;&lt;wsp:rsid wsp:val=&quot;006B195B&quot;/&gt;&lt;wsp:rsid wsp:val=&quot;006B1B39&quot;/&gt;&lt;wsp:rsid wsp:val=&quot;006B1F35&quot;/&gt;&lt;wsp:rsid wsp:val=&quot;006B2559&quot;/&gt;&lt;wsp:rsid wsp:val=&quot;006B2CEC&quot;/&gt;&lt;wsp:rsid wsp:val=&quot;006B2DD8&quot;/&gt;&lt;wsp:rsid wsp:val=&quot;006B37DC&quot;/&gt;&lt;wsp:rsid wsp:val=&quot;006B3CBD&quot;/&gt;&lt;wsp:rsid wsp:val=&quot;006B45CE&quot;/&gt;&lt;wsp:rsid wsp:val=&quot;006B4BE0&quot;/&gt;&lt;wsp:rsid wsp:val=&quot;006B4F68&quot;/&gt;&lt;wsp:rsid wsp:val=&quot;006B50E7&quot;/&gt;&lt;wsp:rsid wsp:val=&quot;006B524C&quot;/&gt;&lt;wsp:rsid wsp:val=&quot;006B563B&quot;/&gt;&lt;wsp:rsid wsp:val=&quot;006B5817&quot;/&gt;&lt;wsp:rsid wsp:val=&quot;006B5B58&quot;/&gt;&lt;wsp:rsid wsp:val=&quot;006B60F8&quot;/&gt;&lt;wsp:rsid wsp:val=&quot;006B69E8&quot;/&gt;&lt;wsp:rsid wsp:val=&quot;006B6A48&quot;/&gt;&lt;wsp:rsid wsp:val=&quot;006B6CC5&quot;/&gt;&lt;wsp:rsid wsp:val=&quot;006B749B&quot;/&gt;&lt;wsp:rsid wsp:val=&quot;006B7775&quot;/&gt;&lt;wsp:rsid wsp:val=&quot;006B7AA3&quot;/&gt;&lt;wsp:rsid wsp:val=&quot;006B7D8F&quot;/&gt;&lt;wsp:rsid wsp:val=&quot;006C00F9&quot;/&gt;&lt;wsp:rsid wsp:val=&quot;006C02FA&quot;/&gt;&lt;wsp:rsid wsp:val=&quot;006C054C&quot;/&gt;&lt;wsp:rsid wsp:val=&quot;006C0592&quot;/&gt;&lt;wsp:rsid wsp:val=&quot;006C0F9C&quot;/&gt;&lt;wsp:rsid wsp:val=&quot;006C18B6&quot;/&gt;&lt;wsp:rsid wsp:val=&quot;006C1A32&quot;/&gt;&lt;wsp:rsid wsp:val=&quot;006C272E&quot;/&gt;&lt;wsp:rsid wsp:val=&quot;006C2827&quot;/&gt;&lt;wsp:rsid wsp:val=&quot;006C3A97&quot;/&gt;&lt;wsp:rsid wsp:val=&quot;006C46C4&quot;/&gt;&lt;wsp:rsid wsp:val=&quot;006C51F9&quot;/&gt;&lt;wsp:rsid wsp:val=&quot;006C5479&quot;/&gt;&lt;wsp:rsid wsp:val=&quot;006C59E5&quot;/&gt;&lt;wsp:rsid wsp:val=&quot;006C5A75&quot;/&gt;&lt;wsp:rsid wsp:val=&quot;006C5FCD&quot;/&gt;&lt;wsp:rsid wsp:val=&quot;006C6439&quot;/&gt;&lt;wsp:rsid wsp:val=&quot;006C6850&quot;/&gt;&lt;wsp:rsid wsp:val=&quot;006C6990&quot;/&gt;&lt;wsp:rsid wsp:val=&quot;006C7013&quot;/&gt;&lt;wsp:rsid wsp:val=&quot;006C716C&quot;/&gt;&lt;wsp:rsid wsp:val=&quot;006C741E&quot;/&gt;&lt;wsp:rsid wsp:val=&quot;006C7EDA&quot;/&gt;&lt;wsp:rsid wsp:val=&quot;006D04FC&quot;/&gt;&lt;wsp:rsid wsp:val=&quot;006D09A2&quot;/&gt;&lt;wsp:rsid wsp:val=&quot;006D0B7A&quot;/&gt;&lt;wsp:rsid wsp:val=&quot;006D1326&quot;/&gt;&lt;wsp:rsid wsp:val=&quot;006D13B5&quot;/&gt;&lt;wsp:rsid wsp:val=&quot;006D1AA4&quot;/&gt;&lt;wsp:rsid wsp:val=&quot;006D2CE2&quot;/&gt;&lt;wsp:rsid wsp:val=&quot;006D2E17&quot;/&gt;&lt;wsp:rsid wsp:val=&quot;006D302A&quot;/&gt;&lt;wsp:rsid wsp:val=&quot;006D3440&quot;/&gt;&lt;wsp:rsid wsp:val=&quot;006D360C&quot;/&gt;&lt;wsp:rsid wsp:val=&quot;006D3E62&quot;/&gt;&lt;wsp:rsid wsp:val=&quot;006D431B&quot;/&gt;&lt;wsp:rsid wsp:val=&quot;006D4552&quot;/&gt;&lt;wsp:rsid wsp:val=&quot;006D4739&quot;/&gt;&lt;wsp:rsid wsp:val=&quot;006D4CFA&quot;/&gt;&lt;wsp:rsid wsp:val=&quot;006D4E80&quot;/&gt;&lt;wsp:rsid wsp:val=&quot;006D4FD8&quot;/&gt;&lt;wsp:rsid wsp:val=&quot;006D5474&quot;/&gt;&lt;wsp:rsid wsp:val=&quot;006D599F&quot;/&gt;&lt;wsp:rsid wsp:val=&quot;006D5C71&quot;/&gt;&lt;wsp:rsid wsp:val=&quot;006D5F77&quot;/&gt;&lt;wsp:rsid wsp:val=&quot;006D607F&quot;/&gt;&lt;wsp:rsid wsp:val=&quot;006D6349&quot;/&gt;&lt;wsp:rsid wsp:val=&quot;006D63F4&quot;/&gt;&lt;wsp:rsid wsp:val=&quot;006D6637&quot;/&gt;&lt;wsp:rsid wsp:val=&quot;006D6ED0&quot;/&gt;&lt;wsp:rsid wsp:val=&quot;006D75CB&quot;/&gt;&lt;wsp:rsid wsp:val=&quot;006D777B&quot;/&gt;&lt;wsp:rsid wsp:val=&quot;006E0307&quot;/&gt;&lt;wsp:rsid wsp:val=&quot;006E05B4&quot;/&gt;&lt;wsp:rsid wsp:val=&quot;006E0FDD&quot;/&gt;&lt;wsp:rsid wsp:val=&quot;006E12FF&quot;/&gt;&lt;wsp:rsid wsp:val=&quot;006E174A&quot;/&gt;&lt;wsp:rsid wsp:val=&quot;006E1A05&quot;/&gt;&lt;wsp:rsid wsp:val=&quot;006E1FD5&quot;/&gt;&lt;wsp:rsid wsp:val=&quot;006E2452&quot;/&gt;&lt;wsp:rsid wsp:val=&quot;006E27D3&quot;/&gt;&lt;wsp:rsid wsp:val=&quot;006E2EA1&quot;/&gt;&lt;wsp:rsid wsp:val=&quot;006E5344&quot;/&gt;&lt;wsp:rsid wsp:val=&quot;006E607E&quot;/&gt;&lt;wsp:rsid wsp:val=&quot;006E6CB4&quot;/&gt;&lt;wsp:rsid wsp:val=&quot;006E6F38&quot;/&gt;&lt;wsp:rsid wsp:val=&quot;006F0AEE&quot;/&gt;&lt;wsp:rsid wsp:val=&quot;006F1177&quot;/&gt;&lt;wsp:rsid wsp:val=&quot;006F19D1&quot;/&gt;&lt;wsp:rsid wsp:val=&quot;006F1F23&quot;/&gt;&lt;wsp:rsid wsp:val=&quot;006F1F68&quot;/&gt;&lt;wsp:rsid wsp:val=&quot;006F1F8A&quot;/&gt;&lt;wsp:rsid wsp:val=&quot;006F2562&quot;/&gt;&lt;wsp:rsid wsp:val=&quot;006F30B7&quot;/&gt;&lt;wsp:rsid wsp:val=&quot;006F3BBC&quot;/&gt;&lt;wsp:rsid wsp:val=&quot;006F4D03&quot;/&gt;&lt;wsp:rsid wsp:val=&quot;006F5046&quot;/&gt;&lt;wsp:rsid wsp:val=&quot;006F5092&quot;/&gt;&lt;wsp:rsid wsp:val=&quot;006F510F&quot;/&gt;&lt;wsp:rsid wsp:val=&quot;006F57F1&quot;/&gt;&lt;wsp:rsid wsp:val=&quot;006F6A55&quot;/&gt;&lt;wsp:rsid wsp:val=&quot;006F72C2&quot;/&gt;&lt;wsp:rsid wsp:val=&quot;006F7EE5&quot;/&gt;&lt;wsp:rsid wsp:val=&quot;007000A1&quot;/&gt;&lt;wsp:rsid wsp:val=&quot;00700122&quot;/&gt;&lt;wsp:rsid wsp:val=&quot;00701385&quot;/&gt;&lt;wsp:rsid wsp:val=&quot;00701393&quot;/&gt;&lt;wsp:rsid wsp:val=&quot;007025F7&quot;/&gt;&lt;wsp:rsid wsp:val=&quot;00702916&quot;/&gt;&lt;wsp:rsid wsp:val=&quot;00703F2B&quot;/&gt;&lt;wsp:rsid wsp:val=&quot;00704138&quot;/&gt;&lt;wsp:rsid wsp:val=&quot;00704446&quot;/&gt;&lt;wsp:rsid wsp:val=&quot;007056E9&quot;/&gt;&lt;wsp:rsid wsp:val=&quot;007057AD&quot;/&gt;&lt;wsp:rsid wsp:val=&quot;00706008&quot;/&gt;&lt;wsp:rsid wsp:val=&quot;00706C5D&quot;/&gt;&lt;wsp:rsid wsp:val=&quot;00706FB7&quot;/&gt;&lt;wsp:rsid wsp:val=&quot;007105C8&quot;/&gt;&lt;wsp:rsid wsp:val=&quot;007107B4&quot;/&gt;&lt;wsp:rsid wsp:val=&quot;00710B17&quot;/&gt;&lt;wsp:rsid wsp:val=&quot;00710B7D&quot;/&gt;&lt;wsp:rsid wsp:val=&quot;00711BD7&quot;/&gt;&lt;wsp:rsid wsp:val=&quot;00712154&quot;/&gt;&lt;wsp:rsid wsp:val=&quot;007124E3&quot;/&gt;&lt;wsp:rsid wsp:val=&quot;00712500&quot;/&gt;&lt;wsp:rsid wsp:val=&quot;007127D3&quot;/&gt;&lt;wsp:rsid wsp:val=&quot;00712AE9&quot;/&gt;&lt;wsp:rsid wsp:val=&quot;00713346&quot;/&gt;&lt;wsp:rsid wsp:val=&quot;007133A6&quot;/&gt;&lt;wsp:rsid wsp:val=&quot;007137E2&quot;/&gt;&lt;wsp:rsid wsp:val=&quot;00713BC4&quot;/&gt;&lt;wsp:rsid wsp:val=&quot;0071480E&quot;/&gt;&lt;wsp:rsid wsp:val=&quot;00715DA4&quot;/&gt;&lt;wsp:rsid wsp:val=&quot;00715F50&quot;/&gt;&lt;wsp:rsid wsp:val=&quot;00716B43&quot;/&gt;&lt;wsp:rsid wsp:val=&quot;00716D9F&quot;/&gt;&lt;wsp:rsid wsp:val=&quot;0071716F&quot;/&gt;&lt;wsp:rsid wsp:val=&quot;00717474&quot;/&gt;&lt;wsp:rsid wsp:val=&quot;00717481&quot;/&gt;&lt;wsp:rsid wsp:val=&quot;00717ACD&quot;/&gt;&lt;wsp:rsid wsp:val=&quot;0072057B&quot;/&gt;&lt;wsp:rsid wsp:val=&quot;00721AC0&quot;/&gt;&lt;wsp:rsid wsp:val=&quot;00721DAA&quot;/&gt;&lt;wsp:rsid wsp:val=&quot;007221F1&quot;/&gt;&lt;wsp:rsid wsp:val=&quot;00722701&quot;/&gt;&lt;wsp:rsid wsp:val=&quot;00722762&quot;/&gt;&lt;wsp:rsid wsp:val=&quot;00722940&quot;/&gt;&lt;wsp:rsid wsp:val=&quot;007229BC&quot;/&gt;&lt;wsp:rsid wsp:val=&quot;00723409&quot;/&gt;&lt;wsp:rsid wsp:val=&quot;00723C73&quot;/&gt;&lt;wsp:rsid wsp:val=&quot;00723EF6&quot;/&gt;&lt;wsp:rsid wsp:val=&quot;007245ED&quot;/&gt;&lt;wsp:rsid wsp:val=&quot;00724C3F&quot;/&gt;&lt;wsp:rsid wsp:val=&quot;00724DDD&quot;/&gt;&lt;wsp:rsid wsp:val=&quot;0072526C&quot;/&gt;&lt;wsp:rsid wsp:val=&quot;0072550F&quot;/&gt;&lt;wsp:rsid wsp:val=&quot;007261B1&quot;/&gt;&lt;wsp:rsid wsp:val=&quot;00726A99&quot;/&gt;&lt;wsp:rsid wsp:val=&quot;00726FF9&quot;/&gt;&lt;wsp:rsid wsp:val=&quot;0072794C&quot;/&gt;&lt;wsp:rsid wsp:val=&quot;0073025D&quot;/&gt;&lt;wsp:rsid wsp:val=&quot;0073093F&quot;/&gt;&lt;wsp:rsid wsp:val=&quot;00730B72&quot;/&gt;&lt;wsp:rsid wsp:val=&quot;00730C19&quot;/&gt;&lt;wsp:rsid wsp:val=&quot;00730FB8&quot;/&gt;&lt;wsp:rsid wsp:val=&quot;00730FC5&quot;/&gt;&lt;wsp:rsid wsp:val=&quot;0073121A&quot;/&gt;&lt;wsp:rsid wsp:val=&quot;00731FBB&quot;/&gt;&lt;wsp:rsid wsp:val=&quot;00732922&quot;/&gt;&lt;wsp:rsid wsp:val=&quot;00732944&quot;/&gt;&lt;wsp:rsid wsp:val=&quot;0073384C&quot;/&gt;&lt;wsp:rsid wsp:val=&quot;00733E99&quot;/&gt;&lt;wsp:rsid wsp:val=&quot;00734AA1&quot;/&gt;&lt;wsp:rsid wsp:val=&quot;00734C95&quot;/&gt;&lt;wsp:rsid wsp:val=&quot;0073529E&quot;/&gt;&lt;wsp:rsid wsp:val=&quot;00735313&quot;/&gt;&lt;wsp:rsid wsp:val=&quot;00735625&quot;/&gt;&lt;wsp:rsid wsp:val=&quot;007356A9&quot;/&gt;&lt;wsp:rsid wsp:val=&quot;007359CD&quot;/&gt;&lt;wsp:rsid wsp:val=&quot;00735D93&quot;/&gt;&lt;wsp:rsid wsp:val=&quot;00735ED0&quot;/&gt;&lt;wsp:rsid wsp:val=&quot;00736193&quot;/&gt;&lt;wsp:rsid wsp:val=&quot;007365BA&quot;/&gt;&lt;wsp:rsid wsp:val=&quot;00736F3A&quot;/&gt;&lt;wsp:rsid wsp:val=&quot;0073714B&quot;/&gt;&lt;wsp:rsid wsp:val=&quot;0073774E&quot;/&gt;&lt;wsp:rsid wsp:val=&quot;00737B9F&quot;/&gt;&lt;wsp:rsid wsp:val=&quot;00737C3D&quot;/&gt;&lt;wsp:rsid wsp:val=&quot;0074017C&quot;/&gt;&lt;wsp:rsid wsp:val=&quot;00740AA9&quot;/&gt;&lt;wsp:rsid wsp:val=&quot;00740EC7&quot;/&gt;&lt;wsp:rsid wsp:val=&quot;00742124&quot;/&gt;&lt;wsp:rsid wsp:val=&quot;00742803&quot;/&gt;&lt;wsp:rsid wsp:val=&quot;00742A3D&quot;/&gt;&lt;wsp:rsid wsp:val=&quot;00742AB1&quot;/&gt;&lt;wsp:rsid wsp:val=&quot;007436F6&quot;/&gt;&lt;wsp:rsid wsp:val=&quot;00743717&quot;/&gt;&lt;wsp:rsid wsp:val=&quot;00744160&quot;/&gt;&lt;wsp:rsid wsp:val=&quot;00745D19&quot;/&gt;&lt;wsp:rsid wsp:val=&quot;007460DD&quot;/&gt;&lt;wsp:rsid wsp:val=&quot;00746650&quot;/&gt;&lt;wsp:rsid wsp:val=&quot;0074691E&quot;/&gt;&lt;wsp:rsid wsp:val=&quot;00746C91&quot;/&gt;&lt;wsp:rsid wsp:val=&quot;00746CEC&quot;/&gt;&lt;wsp:rsid wsp:val=&quot;00747CBC&quot;/&gt;&lt;wsp:rsid wsp:val=&quot;0075146F&quot;/&gt;&lt;wsp:rsid wsp:val=&quot;0075162E&quot;/&gt;&lt;wsp:rsid wsp:val=&quot;00751869&quot;/&gt;&lt;wsp:rsid wsp:val=&quot;007519B3&quot;/&gt;&lt;wsp:rsid wsp:val=&quot;00751B1F&quot;/&gt;&lt;wsp:rsid wsp:val=&quot;00751B87&quot;/&gt;&lt;wsp:rsid wsp:val=&quot;0075236B&quot;/&gt;&lt;wsp:rsid wsp:val=&quot;00752683&quot;/&gt;&lt;wsp:rsid wsp:val=&quot;00752769&quot;/&gt;&lt;wsp:rsid wsp:val=&quot;00752CAA&quot;/&gt;&lt;wsp:rsid wsp:val=&quot;007531A5&quot;/&gt;&lt;wsp:rsid wsp:val=&quot;00753C7A&quot;/&gt;&lt;wsp:rsid wsp:val=&quot;00753EA4&quot;/&gt;&lt;wsp:rsid wsp:val=&quot;00754034&quot;/&gt;&lt;wsp:rsid wsp:val=&quot;007548B1&quot;/&gt;&lt;wsp:rsid wsp:val=&quot;00754B5D&quot;/&gt;&lt;wsp:rsid wsp:val=&quot;00754F1B&quot;/&gt;&lt;wsp:rsid wsp:val=&quot;00754F3B&quot;/&gt;&lt;wsp:rsid wsp:val=&quot;007554AB&quot;/&gt;&lt;wsp:rsid wsp:val=&quot;00755614&quot;/&gt;&lt;wsp:rsid wsp:val=&quot;0075588A&quot;/&gt;&lt;wsp:rsid wsp:val=&quot;00756556&quot;/&gt;&lt;wsp:rsid wsp:val=&quot;00756A3F&quot;/&gt;&lt;wsp:rsid wsp:val=&quot;0075728A&quot;/&gt;&lt;wsp:rsid wsp:val=&quot;00757485&quot;/&gt;&lt;wsp:rsid wsp:val=&quot;00757E83&quot;/&gt;&lt;wsp:rsid wsp:val=&quot;0076029B&quot;/&gt;&lt;wsp:rsid wsp:val=&quot;007613F3&quot;/&gt;&lt;wsp:rsid wsp:val=&quot;0076153E&quot;/&gt;&lt;wsp:rsid wsp:val=&quot;007618C4&quot;/&gt;&lt;wsp:rsid wsp:val=&quot;00761FB4&quot;/&gt;&lt;wsp:rsid wsp:val=&quot;00762784&quot;/&gt;&lt;wsp:rsid wsp:val=&quot;00762DD3&quot;/&gt;&lt;wsp:rsid wsp:val=&quot;007650E6&quot;/&gt;&lt;wsp:rsid wsp:val=&quot;00765F42&quot;/&gt;&lt;wsp:rsid wsp:val=&quot;0076617F&quot;/&gt;&lt;wsp:rsid wsp:val=&quot;007669DE&quot;/&gt;&lt;wsp:rsid wsp:val=&quot;007674DC&quot;/&gt;&lt;wsp:rsid wsp:val=&quot;00767980&quot;/&gt;&lt;wsp:rsid wsp:val=&quot;00767A4D&quot;/&gt;&lt;wsp:rsid wsp:val=&quot;00767B80&quot;/&gt;&lt;wsp:rsid wsp:val=&quot;00767D59&quot;/&gt;&lt;wsp:rsid wsp:val=&quot;00767D8E&quot;/&gt;&lt;wsp:rsid wsp:val=&quot;00770B19&quot;/&gt;&lt;wsp:rsid wsp:val=&quot;00770BD8&quot;/&gt;&lt;wsp:rsid wsp:val=&quot;00770CDA&quot;/&gt;&lt;wsp:rsid wsp:val=&quot;007715F8&quot;/&gt;&lt;wsp:rsid wsp:val=&quot;00771F26&quot;/&gt;&lt;wsp:rsid wsp:val=&quot;00772050&quot;/&gt;&lt;wsp:rsid wsp:val=&quot;00772438&quot;/&gt;&lt;wsp:rsid wsp:val=&quot;0077285E&quot;/&gt;&lt;wsp:rsid wsp:val=&quot;00772E28&quot;/&gt;&lt;wsp:rsid wsp:val=&quot;00772E40&quot;/&gt;&lt;wsp:rsid wsp:val=&quot;00773F9E&quot;/&gt;&lt;wsp:rsid wsp:val=&quot;0077448C&quot;/&gt;&lt;wsp:rsid wsp:val=&quot;0077463F&quot;/&gt;&lt;wsp:rsid wsp:val=&quot;007755A0&quot;/&gt;&lt;wsp:rsid wsp:val=&quot;007758CA&quot;/&gt;&lt;wsp:rsid wsp:val=&quot;00775948&quot;/&gt;&lt;wsp:rsid wsp:val=&quot;00776EC8&quot;/&gt;&lt;wsp:rsid wsp:val=&quot;00777A69&quot;/&gt;&lt;wsp:rsid wsp:val=&quot;00777E61&quot;/&gt;&lt;wsp:rsid wsp:val=&quot;00777E88&quot;/&gt;&lt;wsp:rsid wsp:val=&quot;0078083F&quot;/&gt;&lt;wsp:rsid wsp:val=&quot;00781CA1&quot;/&gt;&lt;wsp:rsid wsp:val=&quot;00782241&quot;/&gt;&lt;wsp:rsid wsp:val=&quot;00782CF0&quot;/&gt;&lt;wsp:rsid wsp:val=&quot;00782F8D&quot;/&gt;&lt;wsp:rsid wsp:val=&quot;0078308D&quot;/&gt;&lt;wsp:rsid wsp:val=&quot;007836EA&quot;/&gt;&lt;wsp:rsid wsp:val=&quot;007838C4&quot;/&gt;&lt;wsp:rsid wsp:val=&quot;00783B8A&quot;/&gt;&lt;wsp:rsid wsp:val=&quot;00783D0C&quot;/&gt;&lt;wsp:rsid wsp:val=&quot;00784AEF&quot;/&gt;&lt;wsp:rsid wsp:val=&quot;00784CDA&quot;/&gt;&lt;wsp:rsid wsp:val=&quot;007857AC&quot;/&gt;&lt;wsp:rsid wsp:val=&quot;00785F53&quot;/&gt;&lt;wsp:rsid wsp:val=&quot;007861F8&quot;/&gt;&lt;wsp:rsid wsp:val=&quot;007906C3&quot;/&gt;&lt;wsp:rsid wsp:val=&quot;007906C4&quot;/&gt;&lt;wsp:rsid wsp:val=&quot;00792026&quot;/&gt;&lt;wsp:rsid wsp:val=&quot;00792206&quot;/&gt;&lt;wsp:rsid wsp:val=&quot;007923D4&quot;/&gt;&lt;wsp:rsid wsp:val=&quot;00792807&quot;/&gt;&lt;wsp:rsid wsp:val=&quot;00793089&quot;/&gt;&lt;wsp:rsid wsp:val=&quot;00793615&quot;/&gt;&lt;wsp:rsid wsp:val=&quot;00793899&quot;/&gt;&lt;wsp:rsid wsp:val=&quot;007940EA&quot;/&gt;&lt;wsp:rsid wsp:val=&quot;00794AD3&quot;/&gt;&lt;wsp:rsid wsp:val=&quot;00795AAE&quot;/&gt;&lt;wsp:rsid wsp:val=&quot;007963E4&quot;/&gt;&lt;wsp:rsid wsp:val=&quot;007967E8&quot;/&gt;&lt;wsp:rsid wsp:val=&quot;007969B1&quot;/&gt;&lt;wsp:rsid wsp:val=&quot;00796B78&quot;/&gt;&lt;wsp:rsid wsp:val=&quot;00797002&quot;/&gt;&lt;wsp:rsid wsp:val=&quot;007975AF&quot;/&gt;&lt;wsp:rsid wsp:val=&quot;00797730&quot;/&gt;&lt;wsp:rsid wsp:val=&quot;0079794B&quot;/&gt;&lt;wsp:rsid wsp:val=&quot;007A03BF&quot;/&gt;&lt;wsp:rsid wsp:val=&quot;007A061B&quot;/&gt;&lt;wsp:rsid wsp:val=&quot;007A1A60&quot;/&gt;&lt;wsp:rsid wsp:val=&quot;007A1B9C&quot;/&gt;&lt;wsp:rsid wsp:val=&quot;007A2170&quot;/&gt;&lt;wsp:rsid wsp:val=&quot;007A22BF&quot;/&gt;&lt;wsp:rsid wsp:val=&quot;007A248F&quot;/&gt;&lt;wsp:rsid wsp:val=&quot;007A28B8&quot;/&gt;&lt;wsp:rsid wsp:val=&quot;007A2CF2&quot;/&gt;&lt;wsp:rsid wsp:val=&quot;007A2F39&quot;/&gt;&lt;wsp:rsid wsp:val=&quot;007A3323&quot;/&gt;&lt;wsp:rsid wsp:val=&quot;007A3FA7&quot;/&gt;&lt;wsp:rsid wsp:val=&quot;007A41AB&quot;/&gt;&lt;wsp:rsid wsp:val=&quot;007A41CC&quot;/&gt;&lt;wsp:rsid wsp:val=&quot;007A5BC0&quot;/&gt;&lt;wsp:rsid wsp:val=&quot;007A5D77&quot;/&gt;&lt;wsp:rsid wsp:val=&quot;007A6049&quot;/&gt;&lt;wsp:rsid wsp:val=&quot;007A63F4&quot;/&gt;&lt;wsp:rsid wsp:val=&quot;007A6568&quot;/&gt;&lt;wsp:rsid wsp:val=&quot;007A727A&quot;/&gt;&lt;wsp:rsid wsp:val=&quot;007A7595&quot;/&gt;&lt;wsp:rsid wsp:val=&quot;007A7D7C&quot;/&gt;&lt;wsp:rsid wsp:val=&quot;007B0523&quot;/&gt;&lt;wsp:rsid wsp:val=&quot;007B0D83&quot;/&gt;&lt;wsp:rsid wsp:val=&quot;007B0EC0&quot;/&gt;&lt;wsp:rsid wsp:val=&quot;007B1123&quot;/&gt;&lt;wsp:rsid wsp:val=&quot;007B1D2D&quot;/&gt;&lt;wsp:rsid wsp:val=&quot;007B2B6A&quot;/&gt;&lt;wsp:rsid wsp:val=&quot;007B3ACD&quot;/&gt;&lt;wsp:rsid wsp:val=&quot;007B416C&quot;/&gt;&lt;wsp:rsid wsp:val=&quot;007B47B4&quot;/&gt;&lt;wsp:rsid wsp:val=&quot;007B49D3&quot;/&gt;&lt;wsp:rsid wsp:val=&quot;007B4A85&quot;/&gt;&lt;wsp:rsid wsp:val=&quot;007B4ABF&quot;/&gt;&lt;wsp:rsid wsp:val=&quot;007B5034&quot;/&gt;&lt;wsp:rsid wsp:val=&quot;007B51BC&quot;/&gt;&lt;wsp:rsid wsp:val=&quot;007B5661&quot;/&gt;&lt;wsp:rsid wsp:val=&quot;007B584C&quot;/&gt;&lt;wsp:rsid wsp:val=&quot;007B5BFF&quot;/&gt;&lt;wsp:rsid wsp:val=&quot;007B5F5F&quot;/&gt;&lt;wsp:rsid wsp:val=&quot;007B65F9&quot;/&gt;&lt;wsp:rsid wsp:val=&quot;007B72B8&quot;/&gt;&lt;wsp:rsid wsp:val=&quot;007B7477&quot;/&gt;&lt;wsp:rsid wsp:val=&quot;007B7A58&quot;/&gt;&lt;wsp:rsid wsp:val=&quot;007B7E97&quot;/&gt;&lt;wsp:rsid wsp:val=&quot;007C0DFB&quot;/&gt;&lt;wsp:rsid wsp:val=&quot;007C0E55&quot;/&gt;&lt;wsp:rsid wsp:val=&quot;007C1318&quot;/&gt;&lt;wsp:rsid wsp:val=&quot;007C21B5&quot;/&gt;&lt;wsp:rsid wsp:val=&quot;007C21C2&quot;/&gt;&lt;wsp:rsid wsp:val=&quot;007C29BA&quot;/&gt;&lt;wsp:rsid wsp:val=&quot;007C475C&quot;/&gt;&lt;wsp:rsid wsp:val=&quot;007C4826&quot;/&gt;&lt;wsp:rsid wsp:val=&quot;007C497B&quot;/&gt;&lt;wsp:rsid wsp:val=&quot;007C4C48&quot;/&gt;&lt;wsp:rsid wsp:val=&quot;007C4F88&quot;/&gt;&lt;wsp:rsid wsp:val=&quot;007C5C2B&quot;/&gt;&lt;wsp:rsid wsp:val=&quot;007C5C52&quot;/&gt;&lt;wsp:rsid wsp:val=&quot;007C5D79&quot;/&gt;&lt;wsp:rsid wsp:val=&quot;007C5F44&quot;/&gt;&lt;wsp:rsid wsp:val=&quot;007C761C&quot;/&gt;&lt;wsp:rsid wsp:val=&quot;007C7698&quot;/&gt;&lt;wsp:rsid wsp:val=&quot;007C7E56&quot;/&gt;&lt;wsp:rsid wsp:val=&quot;007D0456&quot;/&gt;&lt;wsp:rsid wsp:val=&quot;007D05E2&quot;/&gt;&lt;wsp:rsid wsp:val=&quot;007D07FD&quot;/&gt;&lt;wsp:rsid wsp:val=&quot;007D0FB2&quot;/&gt;&lt;wsp:rsid wsp:val=&quot;007D25A3&quot;/&gt;&lt;wsp:rsid wsp:val=&quot;007D2776&quot;/&gt;&lt;wsp:rsid wsp:val=&quot;007D378F&quot;/&gt;&lt;wsp:rsid wsp:val=&quot;007D3E5B&quot;/&gt;&lt;wsp:rsid wsp:val=&quot;007D41DD&quot;/&gt;&lt;wsp:rsid wsp:val=&quot;007D44D9&quot;/&gt;&lt;wsp:rsid wsp:val=&quot;007D4585&quot;/&gt;&lt;wsp:rsid wsp:val=&quot;007D4772&quot;/&gt;&lt;wsp:rsid wsp:val=&quot;007D49D0&quot;/&gt;&lt;wsp:rsid wsp:val=&quot;007D4B29&quot;/&gt;&lt;wsp:rsid wsp:val=&quot;007D5171&quot;/&gt;&lt;wsp:rsid wsp:val=&quot;007D5198&quot;/&gt;&lt;wsp:rsid wsp:val=&quot;007D67F4&quot;/&gt;&lt;wsp:rsid wsp:val=&quot;007D686C&quot;/&gt;&lt;wsp:rsid wsp:val=&quot;007D7548&quot;/&gt;&lt;wsp:rsid wsp:val=&quot;007E0052&quot;/&gt;&lt;wsp:rsid wsp:val=&quot;007E01F7&quot;/&gt;&lt;wsp:rsid wsp:val=&quot;007E047C&quot;/&gt;&lt;wsp:rsid wsp:val=&quot;007E0F3F&quot;/&gt;&lt;wsp:rsid wsp:val=&quot;007E1214&quot;/&gt;&lt;wsp:rsid wsp:val=&quot;007E1291&quot;/&gt;&lt;wsp:rsid wsp:val=&quot;007E1C6A&quot;/&gt;&lt;wsp:rsid wsp:val=&quot;007E1C74&quot;/&gt;&lt;wsp:rsid wsp:val=&quot;007E1F41&quot;/&gt;&lt;wsp:rsid wsp:val=&quot;007E2214&quot;/&gt;&lt;wsp:rsid wsp:val=&quot;007E224B&quot;/&gt;&lt;wsp:rsid wsp:val=&quot;007E2540&quot;/&gt;&lt;wsp:rsid wsp:val=&quot;007E2667&quot;/&gt;&lt;wsp:rsid wsp:val=&quot;007E292E&quot;/&gt;&lt;wsp:rsid wsp:val=&quot;007E2E64&quot;/&gt;&lt;wsp:rsid wsp:val=&quot;007E4781&quot;/&gt;&lt;wsp:rsid wsp:val=&quot;007E4BD2&quot;/&gt;&lt;wsp:rsid wsp:val=&quot;007E4D00&quot;/&gt;&lt;wsp:rsid wsp:val=&quot;007E4E3F&quot;/&gt;&lt;wsp:rsid wsp:val=&quot;007E50F3&quot;/&gt;&lt;wsp:rsid wsp:val=&quot;007E59A8&quot;/&gt;&lt;wsp:rsid wsp:val=&quot;007E5F8C&quot;/&gt;&lt;wsp:rsid wsp:val=&quot;007E5FC4&quot;/&gt;&lt;wsp:rsid wsp:val=&quot;007E6F90&quot;/&gt;&lt;wsp:rsid wsp:val=&quot;007E7014&quot;/&gt;&lt;wsp:rsid wsp:val=&quot;007E724B&quot;/&gt;&lt;wsp:rsid wsp:val=&quot;007F01DD&quot;/&gt;&lt;wsp:rsid wsp:val=&quot;007F01EF&quot;/&gt;&lt;wsp:rsid wsp:val=&quot;007F05C3&quot;/&gt;&lt;wsp:rsid wsp:val=&quot;007F0935&quot;/&gt;&lt;wsp:rsid wsp:val=&quot;007F0D48&quot;/&gt;&lt;wsp:rsid wsp:val=&quot;007F15DE&quot;/&gt;&lt;wsp:rsid wsp:val=&quot;007F1E57&quot;/&gt;&lt;wsp:rsid wsp:val=&quot;007F1E89&quot;/&gt;&lt;wsp:rsid wsp:val=&quot;007F2523&quot;/&gt;&lt;wsp:rsid wsp:val=&quot;007F2CF3&quot;/&gt;&lt;wsp:rsid wsp:val=&quot;007F2DC7&quot;/&gt;&lt;wsp:rsid wsp:val=&quot;007F3049&quot;/&gt;&lt;wsp:rsid wsp:val=&quot;007F32B7&quot;/&gt;&lt;wsp:rsid wsp:val=&quot;007F376A&quot;/&gt;&lt;wsp:rsid wsp:val=&quot;007F3E0A&quot;/&gt;&lt;wsp:rsid wsp:val=&quot;007F4F7E&quot;/&gt;&lt;wsp:rsid wsp:val=&quot;007F5A67&quot;/&gt;&lt;wsp:rsid wsp:val=&quot;007F5F28&quot;/&gt;&lt;wsp:rsid wsp:val=&quot;007F69A0&quot;/&gt;&lt;wsp:rsid wsp:val=&quot;007F774F&quot;/&gt;&lt;wsp:rsid wsp:val=&quot;0080030D&quot;/&gt;&lt;wsp:rsid wsp:val=&quot;00800D3A&quot;/&gt;&lt;wsp:rsid wsp:val=&quot;00800F41&quot;/&gt;&lt;wsp:rsid wsp:val=&quot;00801192&quot;/&gt;&lt;wsp:rsid wsp:val=&quot;008011E6&quot;/&gt;&lt;wsp:rsid wsp:val=&quot;00801393&quot;/&gt;&lt;wsp:rsid wsp:val=&quot;00801A45&quot;/&gt;&lt;wsp:rsid wsp:val=&quot;00801AB1&quot;/&gt;&lt;wsp:rsid wsp:val=&quot;0080211A&quot;/&gt;&lt;wsp:rsid wsp:val=&quot;008026BD&quot;/&gt;&lt;wsp:rsid wsp:val=&quot;00802C05&quot;/&gt;&lt;wsp:rsid wsp:val=&quot;00802F88&quot;/&gt;&lt;wsp:rsid wsp:val=&quot;00803EB6&quot;/&gt;&lt;wsp:rsid wsp:val=&quot;008040AC&quot;/&gt;&lt;wsp:rsid wsp:val=&quot;00804E95&quot;/&gt;&lt;wsp:rsid wsp:val=&quot;00804F0C&quot;/&gt;&lt;wsp:rsid wsp:val=&quot;00805E8B&quot;/&gt;&lt;wsp:rsid wsp:val=&quot;0080696E&quot;/&gt;&lt;wsp:rsid wsp:val=&quot;00807D3B&quot;/&gt;&lt;wsp:rsid wsp:val=&quot;00807EF0&quot;/&gt;&lt;wsp:rsid wsp:val=&quot;00810D01&quot;/&gt;&lt;wsp:rsid wsp:val=&quot;00810F58&quot;/&gt;&lt;wsp:rsid wsp:val=&quot;0081127C&quot;/&gt;&lt;wsp:rsid wsp:val=&quot;008114B5&quot;/&gt;&lt;wsp:rsid wsp:val=&quot;0081164D&quot;/&gt;&lt;wsp:rsid wsp:val=&quot;00811A5B&quot;/&gt;&lt;wsp:rsid wsp:val=&quot;00811E20&quot;/&gt;&lt;wsp:rsid wsp:val=&quot;0081293E&quot;/&gt;&lt;wsp:rsid wsp:val=&quot;008132C9&quot;/&gt;&lt;wsp:rsid wsp:val=&quot;00814040&quot;/&gt;&lt;wsp:rsid wsp:val=&quot;00814278&quot;/&gt;&lt;wsp:rsid wsp:val=&quot;008146A0&quot;/&gt;&lt;wsp:rsid wsp:val=&quot;00814752&quot;/&gt;&lt;wsp:rsid wsp:val=&quot;00814929&quot;/&gt;&lt;wsp:rsid wsp:val=&quot;00814BD2&quot;/&gt;&lt;wsp:rsid wsp:val=&quot;008152E3&quot;/&gt;&lt;wsp:rsid wsp:val=&quot;00815465&quot;/&gt;&lt;wsp:rsid wsp:val=&quot;00816B0D&quot;/&gt;&lt;wsp:rsid wsp:val=&quot;00817487&quot;/&gt;&lt;wsp:rsid wsp:val=&quot;00817CAA&quot;/&gt;&lt;wsp:rsid wsp:val=&quot;00817E9A&quot;/&gt;&lt;wsp:rsid wsp:val=&quot;00820C91&quot;/&gt;&lt;wsp:rsid wsp:val=&quot;00820D13&quot;/&gt;&lt;wsp:rsid wsp:val=&quot;008213C7&quot;/&gt;&lt;wsp:rsid wsp:val=&quot;00821D91&quot;/&gt;&lt;wsp:rsid wsp:val=&quot;00821D9F&quot;/&gt;&lt;wsp:rsid wsp:val=&quot;00821EAB&quot;/&gt;&lt;wsp:rsid wsp:val=&quot;00822140&quot;/&gt;&lt;wsp:rsid wsp:val=&quot;00822564&quot;/&gt;&lt;wsp:rsid wsp:val=&quot;00822DA5&quot;/&gt;&lt;wsp:rsid wsp:val=&quot;00822E81&quot;/&gt;&lt;wsp:rsid wsp:val=&quot;008237BE&quot;/&gt;&lt;wsp:rsid wsp:val=&quot;00823FB0&quot;/&gt;&lt;wsp:rsid wsp:val=&quot;00824A4F&quot;/&gt;&lt;wsp:rsid wsp:val=&quot;00825AD2&quot;/&gt;&lt;wsp:rsid wsp:val=&quot;00825B2C&quot;/&gt;&lt;wsp:rsid wsp:val=&quot;00825E3E&quot;/&gt;&lt;wsp:rsid wsp:val=&quot;00826AC3&quot;/&gt;&lt;wsp:rsid wsp:val=&quot;00827A31&quot;/&gt;&lt;wsp:rsid wsp:val=&quot;00830145&quot;/&gt;&lt;wsp:rsid wsp:val=&quot;00830209&quot;/&gt;&lt;wsp:rsid wsp:val=&quot;0083060B&quot;/&gt;&lt;wsp:rsid wsp:val=&quot;008306BD&quot;/&gt;&lt;wsp:rsid wsp:val=&quot;00830727&quot;/&gt;&lt;wsp:rsid wsp:val=&quot;0083089A&quot;/&gt;&lt;wsp:rsid wsp:val=&quot;008318F4&quot;/&gt;&lt;wsp:rsid wsp:val=&quot;00831A80&quot;/&gt;&lt;wsp:rsid wsp:val=&quot;008321A6&quot;/&gt;&lt;wsp:rsid wsp:val=&quot;00832F8B&quot;/&gt;&lt;wsp:rsid wsp:val=&quot;0083332C&quot;/&gt;&lt;wsp:rsid wsp:val=&quot;00833743&quot;/&gt;&lt;wsp:rsid wsp:val=&quot;008337C9&quot;/&gt;&lt;wsp:rsid wsp:val=&quot;00833CB5&quot;/&gt;&lt;wsp:rsid wsp:val=&quot;008340A4&quot;/&gt;&lt;wsp:rsid wsp:val=&quot;008349A4&quot;/&gt;&lt;wsp:rsid wsp:val=&quot;00836150&quot;/&gt;&lt;wsp:rsid wsp:val=&quot;00836177&quot;/&gt;&lt;wsp:rsid wsp:val=&quot;00836188&quot;/&gt;&lt;wsp:rsid wsp:val=&quot;00836229&quot;/&gt;&lt;wsp:rsid wsp:val=&quot;008369BE&quot;/&gt;&lt;wsp:rsid wsp:val=&quot;008370F9&quot;/&gt;&lt;wsp:rsid wsp:val=&quot;00837477&quot;/&gt;&lt;wsp:rsid wsp:val=&quot;00837E2B&quot;/&gt;&lt;wsp:rsid wsp:val=&quot;00840CF0&quot;/&gt;&lt;wsp:rsid wsp:val=&quot;008417BE&quot;/&gt;&lt;wsp:rsid wsp:val=&quot;00842169&quot;/&gt;&lt;wsp:rsid wsp:val=&quot;00844820&quot;/&gt;&lt;wsp:rsid wsp:val=&quot;0084542A&quot;/&gt;&lt;wsp:rsid wsp:val=&quot;0084561C&quot;/&gt;&lt;wsp:rsid wsp:val=&quot;00846450&quot;/&gt;&lt;wsp:rsid wsp:val=&quot;0084665D&quot;/&gt;&lt;wsp:rsid wsp:val=&quot;00846CBF&quot;/&gt;&lt;wsp:rsid wsp:val=&quot;00846E15&quot;/&gt;&lt;wsp:rsid wsp:val=&quot;00846E9E&quot;/&gt;&lt;wsp:rsid wsp:val=&quot;00846F14&quot;/&gt;&lt;wsp:rsid wsp:val=&quot;00847E5B&quot;/&gt;&lt;wsp:rsid wsp:val=&quot;00850029&quot;/&gt;&lt;wsp:rsid wsp:val=&quot;0085071E&quot;/&gt;&lt;wsp:rsid wsp:val=&quot;00851836&quot;/&gt;&lt;wsp:rsid wsp:val=&quot;00852388&quot;/&gt;&lt;wsp:rsid wsp:val=&quot;0085261B&quot;/&gt;&lt;wsp:rsid wsp:val=&quot;00852AB4&quot;/&gt;&lt;wsp:rsid wsp:val=&quot;00852E62&quot;/&gt;&lt;wsp:rsid wsp:val=&quot;008543DC&quot;/&gt;&lt;wsp:rsid wsp:val=&quot;00855141&quot;/&gt;&lt;wsp:rsid wsp:val=&quot;00855407&quot;/&gt;&lt;wsp:rsid wsp:val=&quot;00855D7D&quot;/&gt;&lt;wsp:rsid wsp:val=&quot;00857452&quot;/&gt;&lt;wsp:rsid wsp:val=&quot;00857C9C&quot;/&gt;&lt;wsp:rsid wsp:val=&quot;00857FBE&quot;/&gt;&lt;wsp:rsid wsp:val=&quot;00860313&quot;/&gt;&lt;wsp:rsid wsp:val=&quot;00861221&quot;/&gt;&lt;wsp:rsid wsp:val=&quot;008614E1&quot;/&gt;&lt;wsp:rsid wsp:val=&quot;0086178C&quot;/&gt;&lt;wsp:rsid wsp:val=&quot;008622BD&quot;/&gt;&lt;wsp:rsid wsp:val=&quot;0086285E&quot;/&gt;&lt;wsp:rsid wsp:val=&quot;00862B3A&quot;/&gt;&lt;wsp:rsid wsp:val=&quot;008636EF&quot;/&gt;&lt;wsp:rsid wsp:val=&quot;00864D47&quot;/&gt;&lt;wsp:rsid wsp:val=&quot;00864DC5&quot;/&gt;&lt;wsp:rsid wsp:val=&quot;00865374&quot;/&gt;&lt;wsp:rsid wsp:val=&quot;008658F6&quot;/&gt;&lt;wsp:rsid wsp:val=&quot;00866029&quot;/&gt;&lt;wsp:rsid wsp:val=&quot;0086603C&quot;/&gt;&lt;wsp:rsid wsp:val=&quot;00866244&quot;/&gt;&lt;wsp:rsid wsp:val=&quot;00866A20&quot;/&gt;&lt;wsp:rsid wsp:val=&quot;008673EB&quot;/&gt;&lt;wsp:rsid wsp:val=&quot;00867409&quot;/&gt;&lt;wsp:rsid wsp:val=&quot;0086792B&quot;/&gt;&lt;wsp:rsid wsp:val=&quot;00867D2A&quot;/&gt;&lt;wsp:rsid wsp:val=&quot;00870586&quot;/&gt;&lt;wsp:rsid wsp:val=&quot;0087059C&quot;/&gt;&lt;wsp:rsid wsp:val=&quot;00870CB1&quot;/&gt;&lt;wsp:rsid wsp:val=&quot;0087135F&quot;/&gt;&lt;wsp:rsid wsp:val=&quot;00871484&quot;/&gt;&lt;wsp:rsid wsp:val=&quot;00871CFB&quot;/&gt;&lt;wsp:rsid wsp:val=&quot;00872027&quot;/&gt;&lt;wsp:rsid wsp:val=&quot;008721AF&quot;/&gt;&lt;wsp:rsid wsp:val=&quot;0087256C&quot;/&gt;&lt;wsp:rsid wsp:val=&quot;00872D94&quot;/&gt;&lt;wsp:rsid wsp:val=&quot;00872E25&quot;/&gt;&lt;wsp:rsid wsp:val=&quot;008730BA&quot;/&gt;&lt;wsp:rsid wsp:val=&quot;00873451&quot;/&gt;&lt;wsp:rsid wsp:val=&quot;008742A5&quot;/&gt;&lt;wsp:rsid wsp:val=&quot;00874705&quot;/&gt;&lt;wsp:rsid wsp:val=&quot;00874A9B&quot;/&gt;&lt;wsp:rsid wsp:val=&quot;00876366&quot;/&gt;&lt;wsp:rsid wsp:val=&quot;0087721C&quot;/&gt;&lt;wsp:rsid wsp:val=&quot;00877983&quot;/&gt;&lt;wsp:rsid wsp:val=&quot;00880364&quot;/&gt;&lt;wsp:rsid wsp:val=&quot;008805AA&quot;/&gt;&lt;wsp:rsid wsp:val=&quot;00881594&quot;/&gt;&lt;wsp:rsid wsp:val=&quot;00882898&quot;/&gt;&lt;wsp:rsid wsp:val=&quot;00882C75&quot;/&gt;&lt;wsp:rsid wsp:val=&quot;00882E8D&quot;/&gt;&lt;wsp:rsid wsp:val=&quot;00883C6B&quot;/&gt;&lt;wsp:rsid wsp:val=&quot;00884434&quot;/&gt;&lt;wsp:rsid wsp:val=&quot;00884585&quot;/&gt;&lt;wsp:rsid wsp:val=&quot;00884DBD&quot;/&gt;&lt;wsp:rsid wsp:val=&quot;00884F91&quot;/&gt;&lt;wsp:rsid wsp:val=&quot;00885866&quot;/&gt;&lt;wsp:rsid wsp:val=&quot;00886069&quot;/&gt;&lt;wsp:rsid wsp:val=&quot;00886483&quot;/&gt;&lt;wsp:rsid wsp:val=&quot;00887170&quot;/&gt;&lt;wsp:rsid wsp:val=&quot;00890664&quot;/&gt;&lt;wsp:rsid wsp:val=&quot;00890E36&quot;/&gt;&lt;wsp:rsid wsp:val=&quot;00891592&quot;/&gt;&lt;wsp:rsid wsp:val=&quot;00891E9E&quot;/&gt;&lt;wsp:rsid wsp:val=&quot;00891EF6&quot;/&gt;&lt;wsp:rsid wsp:val=&quot;008929BD&quot;/&gt;&lt;wsp:rsid wsp:val=&quot;00892B88&quot;/&gt;&lt;wsp:rsid wsp:val=&quot;00892C42&quot;/&gt;&lt;wsp:rsid wsp:val=&quot;00892E32&quot;/&gt;&lt;wsp:rsid wsp:val=&quot;008939E9&quot;/&gt;&lt;wsp:rsid wsp:val=&quot;008940DF&quot;/&gt;&lt;wsp:rsid wsp:val=&quot;00894D10&quot;/&gt;&lt;wsp:rsid wsp:val=&quot;00895CC7&quot;/&gt;&lt;wsp:rsid wsp:val=&quot;00896E97&quot;/&gt;&lt;wsp:rsid wsp:val=&quot;008971B9&quot;/&gt;&lt;wsp:rsid wsp:val=&quot;0089722E&quot;/&gt;&lt;wsp:rsid wsp:val=&quot;008A10E8&quot;/&gt;&lt;wsp:rsid wsp:val=&quot;008A116B&quot;/&gt;&lt;wsp:rsid wsp:val=&quot;008A17D0&quot;/&gt;&lt;wsp:rsid wsp:val=&quot;008A1BF6&quot;/&gt;&lt;wsp:rsid wsp:val=&quot;008A1C8B&quot;/&gt;&lt;wsp:rsid wsp:val=&quot;008A1EF5&quot;/&gt;&lt;wsp:rsid wsp:val=&quot;008A2F68&quot;/&gt;&lt;wsp:rsid wsp:val=&quot;008A32E8&quot;/&gt;&lt;wsp:rsid wsp:val=&quot;008A34A7&quot;/&gt;&lt;wsp:rsid wsp:val=&quot;008A4055&quot;/&gt;&lt;wsp:rsid wsp:val=&quot;008A43DF&quot;/&gt;&lt;wsp:rsid wsp:val=&quot;008A4B4C&quot;/&gt;&lt;wsp:rsid wsp:val=&quot;008A5D0A&quot;/&gt;&lt;wsp:rsid wsp:val=&quot;008A61C2&quot;/&gt;&lt;wsp:rsid wsp:val=&quot;008A662F&quot;/&gt;&lt;wsp:rsid wsp:val=&quot;008A6E74&quot;/&gt;&lt;wsp:rsid wsp:val=&quot;008A7486&quot;/&gt;&lt;wsp:rsid wsp:val=&quot;008A7608&quot;/&gt;&lt;wsp:rsid wsp:val=&quot;008A7CFA&quot;/&gt;&lt;wsp:rsid wsp:val=&quot;008B0372&quot;/&gt;&lt;wsp:rsid wsp:val=&quot;008B05A9&quot;/&gt;&lt;wsp:rsid wsp:val=&quot;008B15CF&quot;/&gt;&lt;wsp:rsid wsp:val=&quot;008B1C19&quot;/&gt;&lt;wsp:rsid wsp:val=&quot;008B224A&quot;/&gt;&lt;wsp:rsid wsp:val=&quot;008B238C&quot;/&gt;&lt;wsp:rsid wsp:val=&quot;008B2515&quot;/&gt;&lt;wsp:rsid wsp:val=&quot;008B2517&quot;/&gt;&lt;wsp:rsid wsp:val=&quot;008B2A59&quot;/&gt;&lt;wsp:rsid wsp:val=&quot;008B31DB&quot;/&gt;&lt;wsp:rsid wsp:val=&quot;008B3FD4&quot;/&gt;&lt;wsp:rsid wsp:val=&quot;008B411D&quot;/&gt;&lt;wsp:rsid wsp:val=&quot;008B43E6&quot;/&gt;&lt;wsp:rsid wsp:val=&quot;008B4816&quot;/&gt;&lt;wsp:rsid wsp:val=&quot;008B4DB0&quot;/&gt;&lt;wsp:rsid wsp:val=&quot;008B4E8E&quot;/&gt;&lt;wsp:rsid wsp:val=&quot;008B4FA6&quot;/&gt;&lt;wsp:rsid wsp:val=&quot;008B503B&quot;/&gt;&lt;wsp:rsid wsp:val=&quot;008B51BA&quot;/&gt;&lt;wsp:rsid wsp:val=&quot;008B5282&quot;/&gt;&lt;wsp:rsid wsp:val=&quot;008B64D7&quot;/&gt;&lt;wsp:rsid wsp:val=&quot;008B6F62&quot;/&gt;&lt;wsp:rsid wsp:val=&quot;008B7765&quot;/&gt;&lt;wsp:rsid wsp:val=&quot;008B7C17&quot;/&gt;&lt;wsp:rsid wsp:val=&quot;008B7E25&quot;/&gt;&lt;wsp:rsid wsp:val=&quot;008C02FE&quot;/&gt;&lt;wsp:rsid wsp:val=&quot;008C0797&quot;/&gt;&lt;wsp:rsid wsp:val=&quot;008C0D9C&quot;/&gt;&lt;wsp:rsid wsp:val=&quot;008C13DD&quot;/&gt;&lt;wsp:rsid wsp:val=&quot;008C23D3&quot;/&gt;&lt;wsp:rsid wsp:val=&quot;008C2765&quot;/&gt;&lt;wsp:rsid wsp:val=&quot;008C2AB7&quot;/&gt;&lt;wsp:rsid wsp:val=&quot;008C2D01&quot;/&gt;&lt;wsp:rsid wsp:val=&quot;008C3050&quot;/&gt;&lt;wsp:rsid wsp:val=&quot;008C32C3&quot;/&gt;&lt;wsp:rsid wsp:val=&quot;008C37AB&quot;/&gt;&lt;wsp:rsid wsp:val=&quot;008C3813&quot;/&gt;&lt;wsp:rsid wsp:val=&quot;008C3AE8&quot;/&gt;&lt;wsp:rsid wsp:val=&quot;008C3FA0&quot;/&gt;&lt;wsp:rsid wsp:val=&quot;008C40E6&quot;/&gt;&lt;wsp:rsid wsp:val=&quot;008C4673&quot;/&gt;&lt;wsp:rsid wsp:val=&quot;008C479F&quot;/&gt;&lt;wsp:rsid wsp:val=&quot;008C4D44&quot;/&gt;&lt;wsp:rsid wsp:val=&quot;008C531B&quot;/&gt;&lt;wsp:rsid wsp:val=&quot;008C5340&quot;/&gt;&lt;wsp:rsid wsp:val=&quot;008C5836&quot;/&gt;&lt;wsp:rsid wsp:val=&quot;008C61C9&quot;/&gt;&lt;wsp:rsid wsp:val=&quot;008C6340&quot;/&gt;&lt;wsp:rsid wsp:val=&quot;008C6BE9&quot;/&gt;&lt;wsp:rsid wsp:val=&quot;008C6C81&quot;/&gt;&lt;wsp:rsid wsp:val=&quot;008C72D7&quot;/&gt;&lt;wsp:rsid wsp:val=&quot;008C7595&quot;/&gt;&lt;wsp:rsid wsp:val=&quot;008C75D6&quot;/&gt;&lt;wsp:rsid wsp:val=&quot;008D052C&quot;/&gt;&lt;wsp:rsid wsp:val=&quot;008D0D17&quot;/&gt;&lt;wsp:rsid wsp:val=&quot;008D0F7A&quot;/&gt;&lt;wsp:rsid wsp:val=&quot;008D1637&quot;/&gt;&lt;wsp:rsid wsp:val=&quot;008D2CF4&quot;/&gt;&lt;wsp:rsid wsp:val=&quot;008D31DA&quot;/&gt;&lt;wsp:rsid wsp:val=&quot;008D3D45&quot;/&gt;&lt;wsp:rsid wsp:val=&quot;008D4296&quot;/&gt;&lt;wsp:rsid wsp:val=&quot;008D465B&quot;/&gt;&lt;wsp:rsid wsp:val=&quot;008D5409&quot;/&gt;&lt;wsp:rsid wsp:val=&quot;008D552F&quot;/&gt;&lt;wsp:rsid wsp:val=&quot;008D594C&quot;/&gt;&lt;wsp:rsid wsp:val=&quot;008D68E4&quot;/&gt;&lt;wsp:rsid wsp:val=&quot;008D6A46&quot;/&gt;&lt;wsp:rsid wsp:val=&quot;008D6A52&quot;/&gt;&lt;wsp:rsid wsp:val=&quot;008D6A56&quot;/&gt;&lt;wsp:rsid wsp:val=&quot;008D717E&quot;/&gt;&lt;wsp:rsid wsp:val=&quot;008D7AA6&quot;/&gt;&lt;wsp:rsid wsp:val=&quot;008E0506&quot;/&gt;&lt;wsp:rsid wsp:val=&quot;008E0B79&quot;/&gt;&lt;wsp:rsid wsp:val=&quot;008E0CFF&quot;/&gt;&lt;wsp:rsid wsp:val=&quot;008E25B5&quot;/&gt;&lt;wsp:rsid wsp:val=&quot;008E25F1&quot;/&gt;&lt;wsp:rsid wsp:val=&quot;008E27EF&quot;/&gt;&lt;wsp:rsid wsp:val=&quot;008E29AB&quot;/&gt;&lt;wsp:rsid wsp:val=&quot;008E2DA3&quot;/&gt;&lt;wsp:rsid wsp:val=&quot;008E358E&quot;/&gt;&lt;wsp:rsid wsp:val=&quot;008E35F4&quot;/&gt;&lt;wsp:rsid wsp:val=&quot;008E377D&quot;/&gt;&lt;wsp:rsid wsp:val=&quot;008E3B20&quot;/&gt;&lt;wsp:rsid wsp:val=&quot;008E3E58&quot;/&gt;&lt;wsp:rsid wsp:val=&quot;008E3F04&quot;/&gt;&lt;wsp:rsid wsp:val=&quot;008E4560&quot;/&gt;&lt;wsp:rsid wsp:val=&quot;008E4FEA&quot;/&gt;&lt;wsp:rsid wsp:val=&quot;008E5639&quot;/&gt;&lt;wsp:rsid wsp:val=&quot;008E5782&quot;/&gt;&lt;wsp:rsid wsp:val=&quot;008E5873&quot;/&gt;&lt;wsp:rsid wsp:val=&quot;008E5D6B&quot;/&gt;&lt;wsp:rsid wsp:val=&quot;008E65DB&quot;/&gt;&lt;wsp:rsid wsp:val=&quot;008E6F0F&quot;/&gt;&lt;wsp:rsid wsp:val=&quot;008E76F0&quot;/&gt;&lt;wsp:rsid wsp:val=&quot;008E7712&quot;/&gt;&lt;wsp:rsid wsp:val=&quot;008E7D7F&quot;/&gt;&lt;wsp:rsid wsp:val=&quot;008E7F3A&quot;/&gt;&lt;wsp:rsid wsp:val=&quot;008F002B&quot;/&gt;&lt;wsp:rsid wsp:val=&quot;008F05AA&quot;/&gt;&lt;wsp:rsid wsp:val=&quot;008F08C9&quot;/&gt;&lt;wsp:rsid wsp:val=&quot;008F0B59&quot;/&gt;&lt;wsp:rsid wsp:val=&quot;008F111D&quot;/&gt;&lt;wsp:rsid wsp:val=&quot;008F11B2&quot;/&gt;&lt;wsp:rsid wsp:val=&quot;008F15FE&quot;/&gt;&lt;wsp:rsid wsp:val=&quot;008F183B&quot;/&gt;&lt;wsp:rsid wsp:val=&quot;008F2476&quot;/&gt;&lt;wsp:rsid wsp:val=&quot;008F2608&quot;/&gt;&lt;wsp:rsid wsp:val=&quot;008F2C7C&quot;/&gt;&lt;wsp:rsid wsp:val=&quot;008F2D29&quot;/&gt;&lt;wsp:rsid wsp:val=&quot;008F2F08&quot;/&gt;&lt;wsp:rsid wsp:val=&quot;008F300C&quot;/&gt;&lt;wsp:rsid wsp:val=&quot;008F3468&quot;/&gt;&lt;wsp:rsid wsp:val=&quot;008F4DBD&quot;/&gt;&lt;wsp:rsid wsp:val=&quot;008F5187&quot;/&gt;&lt;wsp:rsid wsp:val=&quot;008F5B66&quot;/&gt;&lt;wsp:rsid wsp:val=&quot;008F5BEA&quot;/&gt;&lt;wsp:rsid wsp:val=&quot;008F6063&quot;/&gt;&lt;wsp:rsid wsp:val=&quot;008F60D8&quot;/&gt;&lt;wsp:rsid wsp:val=&quot;008F6776&quot;/&gt;&lt;wsp:rsid wsp:val=&quot;008F7297&quot;/&gt;&lt;wsp:rsid wsp:val=&quot;008F7AE6&quot;/&gt;&lt;wsp:rsid wsp:val=&quot;00900194&quot;/&gt;&lt;wsp:rsid wsp:val=&quot;00900E67&quot;/&gt;&lt;wsp:rsid wsp:val=&quot;009012B1&quot;/&gt;&lt;wsp:rsid wsp:val=&quot;00901431&quot;/&gt;&lt;wsp:rsid wsp:val=&quot;00901478&quot;/&gt;&lt;wsp:rsid wsp:val=&quot;0090160F&quot;/&gt;&lt;wsp:rsid wsp:val=&quot;00901C82&quot;/&gt;&lt;wsp:rsid wsp:val=&quot;009022B1&quot;/&gt;&lt;wsp:rsid wsp:val=&quot;00902727&quot;/&gt;&lt;wsp:rsid wsp:val=&quot;0090312B&quot;/&gt;&lt;wsp:rsid wsp:val=&quot;00903B00&quot;/&gt;&lt;wsp:rsid wsp:val=&quot;00904681&quot;/&gt;&lt;wsp:rsid wsp:val=&quot;009054AF&quot;/&gt;&lt;wsp:rsid wsp:val=&quot;00906A48&quot;/&gt;&lt;wsp:rsid wsp:val=&quot;00906F86&quot;/&gt;&lt;wsp:rsid wsp:val=&quot;00907197&quot;/&gt;&lt;wsp:rsid wsp:val=&quot;0090751C&quot;/&gt;&lt;wsp:rsid wsp:val=&quot;00907779&quot;/&gt;&lt;wsp:rsid wsp:val=&quot;009100D0&quot;/&gt;&lt;wsp:rsid wsp:val=&quot;00910454&quot;/&gt;&lt;wsp:rsid wsp:val=&quot;009105BA&quot;/&gt;&lt;wsp:rsid wsp:val=&quot;009116C3&quot;/&gt;&lt;wsp:rsid wsp:val=&quot;009117A6&quot;/&gt;&lt;wsp:rsid wsp:val=&quot;009119AD&quot;/&gt;&lt;wsp:rsid wsp:val=&quot;00911B6E&quot;/&gt;&lt;wsp:rsid wsp:val=&quot;00911FE6&quot;/&gt;&lt;wsp:rsid wsp:val=&quot;00913200&quot;/&gt;&lt;wsp:rsid wsp:val=&quot;00913428&quot;/&gt;&lt;wsp:rsid wsp:val=&quot;009140B0&quot;/&gt;&lt;wsp:rsid wsp:val=&quot;00914938&quot;/&gt;&lt;wsp:rsid wsp:val=&quot;00915392&quot;/&gt;&lt;wsp:rsid wsp:val=&quot;0091639C&quot;/&gt;&lt;wsp:rsid wsp:val=&quot;009171D7&quot;/&gt;&lt;wsp:rsid wsp:val=&quot;0091736D&quot;/&gt;&lt;wsp:rsid wsp:val=&quot;00917C1D&quot;/&gt;&lt;wsp:rsid wsp:val=&quot;009202AA&quot;/&gt;&lt;wsp:rsid wsp:val=&quot;009208A7&quot;/&gt;&lt;wsp:rsid wsp:val=&quot;009209CB&quot;/&gt;&lt;wsp:rsid wsp:val=&quot;00920F86&quot;/&gt;&lt;wsp:rsid wsp:val=&quot;0092113A&quot;/&gt;&lt;wsp:rsid wsp:val=&quot;00922013&quot;/&gt;&lt;wsp:rsid wsp:val=&quot;00922BC1&quot;/&gt;&lt;wsp:rsid wsp:val=&quot;00922EC1&quot;/&gt;&lt;wsp:rsid wsp:val=&quot;0092323D&quot;/&gt;&lt;wsp:rsid wsp:val=&quot;00923392&quot;/&gt;&lt;wsp:rsid wsp:val=&quot;0092475A&quot;/&gt;&lt;wsp:rsid wsp:val=&quot;00924E58&quot;/&gt;&lt;wsp:rsid wsp:val=&quot;00925C31&quot;/&gt;&lt;wsp:rsid wsp:val=&quot;00925F68&quot;/&gt;&lt;wsp:rsid wsp:val=&quot;009266D3&quot;/&gt;&lt;wsp:rsid wsp:val=&quot;00926942&quot;/&gt;&lt;wsp:rsid wsp:val=&quot;00926EDD&quot;/&gt;&lt;wsp:rsid wsp:val=&quot;00927567&quot;/&gt;&lt;wsp:rsid wsp:val=&quot;009276E7&quot;/&gt;&lt;wsp:rsid wsp:val=&quot;00927D1E&quot;/&gt;&lt;wsp:rsid wsp:val=&quot;009300B4&quot;/&gt;&lt;wsp:rsid wsp:val=&quot;0093037A&quot;/&gt;&lt;wsp:rsid wsp:val=&quot;009305D5&quot;/&gt;&lt;wsp:rsid wsp:val=&quot;009306C5&quot;/&gt;&lt;wsp:rsid wsp:val=&quot;009307F8&quot;/&gt;&lt;wsp:rsid wsp:val=&quot;00931173&quot;/&gt;&lt;wsp:rsid wsp:val=&quot;00931476&quot;/&gt;&lt;wsp:rsid wsp:val=&quot;00931F1E&quot;/&gt;&lt;wsp:rsid wsp:val=&quot;00932028&quot;/&gt;&lt;wsp:rsid wsp:val=&quot;0093261A&quot;/&gt;&lt;wsp:rsid wsp:val=&quot;0093291F&quot;/&gt;&lt;wsp:rsid wsp:val=&quot;00932E95&quot;/&gt;&lt;wsp:rsid wsp:val=&quot;00933326&quot;/&gt;&lt;wsp:rsid wsp:val=&quot;009335ED&quot;/&gt;&lt;wsp:rsid wsp:val=&quot;0093400B&quot;/&gt;&lt;wsp:rsid wsp:val=&quot;00934AE7&quot;/&gt;&lt;wsp:rsid wsp:val=&quot;00935025&quot;/&gt;&lt;wsp:rsid wsp:val=&quot;00935600&quot;/&gt;&lt;wsp:rsid wsp:val=&quot;00935629&quot;/&gt;&lt;wsp:rsid wsp:val=&quot;00936436&quot;/&gt;&lt;wsp:rsid wsp:val=&quot;0093691B&quot;/&gt;&lt;wsp:rsid wsp:val=&quot;00937344&quot;/&gt;&lt;wsp:rsid wsp:val=&quot;00937F70&quot;/&gt;&lt;wsp:rsid wsp:val=&quot;0094006B&quot;/&gt;&lt;wsp:rsid wsp:val=&quot;00940243&quot;/&gt;&lt;wsp:rsid wsp:val=&quot;0094027F&quot;/&gt;&lt;wsp:rsid wsp:val=&quot;009412DF&quot;/&gt;&lt;wsp:rsid wsp:val=&quot;0094154D&quot;/&gt;&lt;wsp:rsid wsp:val=&quot;009424C9&quot;/&gt;&lt;wsp:rsid wsp:val=&quot;009425B1&quot;/&gt;&lt;wsp:rsid wsp:val=&quot;009430B3&quot;/&gt;&lt;wsp:rsid wsp:val=&quot;009434DE&quot;/&gt;&lt;wsp:rsid wsp:val=&quot;00943BF8&quot;/&gt;&lt;wsp:rsid wsp:val=&quot;009441F3&quot;/&gt;&lt;wsp:rsid wsp:val=&quot;00944C50&quot;/&gt;&lt;wsp:rsid wsp:val=&quot;009450F7&quot;/&gt;&lt;wsp:rsid wsp:val=&quot;00945C95&quot;/&gt;&lt;wsp:rsid wsp:val=&quot;00945E43&quot;/&gt;&lt;wsp:rsid wsp:val=&quot;009463F6&quot;/&gt;&lt;wsp:rsid wsp:val=&quot;00946431&quot;/&gt;&lt;wsp:rsid wsp:val=&quot;009466C6&quot;/&gt;&lt;wsp:rsid wsp:val=&quot;00946E71&quot;/&gt;&lt;wsp:rsid wsp:val=&quot;00947058&quot;/&gt;&lt;wsp:rsid wsp:val=&quot;009472F4&quot;/&gt;&lt;wsp:rsid wsp:val=&quot;009479F8&quot;/&gt;&lt;wsp:rsid wsp:val=&quot;00947DDF&quot;/&gt;&lt;wsp:rsid wsp:val=&quot;00950015&quot;/&gt;&lt;wsp:rsid wsp:val=&quot;0095006E&quot;/&gt;&lt;wsp:rsid wsp:val=&quot;00950AC4&quot;/&gt;&lt;wsp:rsid wsp:val=&quot;0095155F&quot;/&gt;&lt;wsp:rsid wsp:val=&quot;009517F7&quot;/&gt;&lt;wsp:rsid wsp:val=&quot;00951B04&quot;/&gt;&lt;wsp:rsid wsp:val=&quot;00951D81&quot;/&gt;&lt;wsp:rsid wsp:val=&quot;00951F82&quot;/&gt;&lt;wsp:rsid wsp:val=&quot;00952690&quot;/&gt;&lt;wsp:rsid wsp:val=&quot;0095359D&quot;/&gt;&lt;wsp:rsid wsp:val=&quot;00953C18&quot;/&gt;&lt;wsp:rsid wsp:val=&quot;00954429&quot;/&gt;&lt;wsp:rsid wsp:val=&quot;0095459B&quot;/&gt;&lt;wsp:rsid wsp:val=&quot;0095460C&quot;/&gt;&lt;wsp:rsid wsp:val=&quot;00954D22&quot;/&gt;&lt;wsp:rsid wsp:val=&quot;009553E8&quot;/&gt;&lt;wsp:rsid wsp:val=&quot;009557B4&quot;/&gt;&lt;wsp:rsid wsp:val=&quot;0095586D&quot;/&gt;&lt;wsp:rsid wsp:val=&quot;00955ACA&quot;/&gt;&lt;wsp:rsid wsp:val=&quot;00955C3D&quot;/&gt;&lt;wsp:rsid wsp:val=&quot;00955C98&quot;/&gt;&lt;wsp:rsid wsp:val=&quot;009563CE&quot;/&gt;&lt;wsp:rsid wsp:val=&quot;00956736&quot;/&gt;&lt;wsp:rsid wsp:val=&quot;00960275&quot;/&gt;&lt;wsp:rsid wsp:val=&quot;00960883&quot;/&gt;&lt;wsp:rsid wsp:val=&quot;00961655&quot;/&gt;&lt;wsp:rsid wsp:val=&quot;00961B1F&quot;/&gt;&lt;wsp:rsid wsp:val=&quot;009620DF&quot;/&gt;&lt;wsp:rsid wsp:val=&quot;00962631&quot;/&gt;&lt;wsp:rsid wsp:val=&quot;00962710&quot;/&gt;&lt;wsp:rsid wsp:val=&quot;00962857&quot;/&gt;&lt;wsp:rsid wsp:val=&quot;009629A6&quot;/&gt;&lt;wsp:rsid wsp:val=&quot;00962A28&quot;/&gt;&lt;wsp:rsid wsp:val=&quot;009632C9&quot;/&gt;&lt;wsp:rsid wsp:val=&quot;00963A60&quot;/&gt;&lt;wsp:rsid wsp:val=&quot;00963C85&quot;/&gt;&lt;wsp:rsid wsp:val=&quot;00963D64&quot;/&gt;&lt;wsp:rsid wsp:val=&quot;009656FA&quot;/&gt;&lt;wsp:rsid wsp:val=&quot;00966E01&quot;/&gt;&lt;wsp:rsid wsp:val=&quot;00967271&quot;/&gt;&lt;wsp:rsid wsp:val=&quot;0097016C&quot;/&gt;&lt;wsp:rsid wsp:val=&quot;009704D4&quot;/&gt;&lt;wsp:rsid wsp:val=&quot;00971029&quot;/&gt;&lt;wsp:rsid wsp:val=&quot;00971A24&quot;/&gt;&lt;wsp:rsid wsp:val=&quot;00971D06&quot;/&gt;&lt;wsp:rsid wsp:val=&quot;00971DBB&quot;/&gt;&lt;wsp:rsid wsp:val=&quot;009726DC&quot;/&gt;&lt;wsp:rsid wsp:val=&quot;00973743&quot;/&gt;&lt;wsp:rsid wsp:val=&quot;00973C34&quot;/&gt;&lt;wsp:rsid wsp:val=&quot;00974948&quot;/&gt;&lt;wsp:rsid wsp:val=&quot;00974E0F&quot;/&gt;&lt;wsp:rsid wsp:val=&quot;00975112&quot;/&gt;&lt;wsp:rsid wsp:val=&quot;009755B7&quot;/&gt;&lt;wsp:rsid wsp:val=&quot;00975D55&quot;/&gt;&lt;wsp:rsid wsp:val=&quot;00976022&quot;/&gt;&lt;wsp:rsid wsp:val=&quot;00976328&quot;/&gt;&lt;wsp:rsid wsp:val=&quot;009767C7&quot;/&gt;&lt;wsp:rsid wsp:val=&quot;0097680D&quot;/&gt;&lt;wsp:rsid wsp:val=&quot;00977AC3&quot;/&gt;&lt;wsp:rsid wsp:val=&quot;00977B34&quot;/&gt;&lt;wsp:rsid wsp:val=&quot;009803D6&quot;/&gt;&lt;wsp:rsid wsp:val=&quot;00980FCD&quot;/&gt;&lt;wsp:rsid wsp:val=&quot;009813EF&quot;/&gt;&lt;wsp:rsid wsp:val=&quot;00981F4D&quot;/&gt;&lt;wsp:rsid wsp:val=&quot;00982438&quot;/&gt;&lt;wsp:rsid wsp:val=&quot;009826FD&quot;/&gt;&lt;wsp:rsid wsp:val=&quot;0098368E&quot;/&gt;&lt;wsp:rsid wsp:val=&quot;00983990&quot;/&gt;&lt;wsp:rsid wsp:val=&quot;0098404C&quot;/&gt;&lt;wsp:rsid wsp:val=&quot;00984086&quot;/&gt;&lt;wsp:rsid wsp:val=&quot;00984453&quot;/&gt;&lt;wsp:rsid wsp:val=&quot;00984995&quot;/&gt;&lt;wsp:rsid wsp:val=&quot;00984A74&quot;/&gt;&lt;wsp:rsid wsp:val=&quot;00985283&quot;/&gt;&lt;wsp:rsid wsp:val=&quot;009866FE&quot;/&gt;&lt;wsp:rsid wsp:val=&quot;00986E53&quot;/&gt;&lt;wsp:rsid wsp:val=&quot;00987647&quot;/&gt;&lt;wsp:rsid wsp:val=&quot;00987F0A&quot;/&gt;&lt;wsp:rsid wsp:val=&quot;0099026A&quot;/&gt;&lt;wsp:rsid wsp:val=&quot;00990C4E&quot;/&gt;&lt;wsp:rsid wsp:val=&quot;009911BD&quot;/&gt;&lt;wsp:rsid wsp:val=&quot;0099130D&quot;/&gt;&lt;wsp:rsid wsp:val=&quot;00991B48&quot;/&gt;&lt;wsp:rsid wsp:val=&quot;00991CD3&quot;/&gt;&lt;wsp:rsid wsp:val=&quot;00991ECC&quot;/&gt;&lt;wsp:rsid wsp:val=&quot;00992003&quot;/&gt;&lt;wsp:rsid wsp:val=&quot;009927D9&quot;/&gt;&lt;wsp:rsid wsp:val=&quot;00992D34&quot;/&gt;&lt;wsp:rsid wsp:val=&quot;00992ED0&quot;/&gt;&lt;wsp:rsid wsp:val=&quot;00993323&quot;/&gt;&lt;wsp:rsid wsp:val=&quot;00993583&quot;/&gt;&lt;wsp:rsid wsp:val=&quot;00993D67&quot;/&gt;&lt;wsp:rsid wsp:val=&quot;00993E74&quot;/&gt;&lt;wsp:rsid wsp:val=&quot;0099431E&quot;/&gt;&lt;wsp:rsid wsp:val=&quot;00994338&quot;/&gt;&lt;wsp:rsid wsp:val=&quot;00994F0C&quot;/&gt;&lt;wsp:rsid wsp:val=&quot;009958C9&quot;/&gt;&lt;wsp:rsid wsp:val=&quot;00995992&quot;/&gt;&lt;wsp:rsid wsp:val=&quot;009962D0&quot;/&gt;&lt;wsp:rsid wsp:val=&quot;00996630&quot;/&gt;&lt;wsp:rsid wsp:val=&quot;009966E1&quot;/&gt;&lt;wsp:rsid wsp:val=&quot;0099681A&quot;/&gt;&lt;wsp:rsid wsp:val=&quot;00997960&quot;/&gt;&lt;wsp:rsid wsp:val=&quot;009A0082&quot;/&gt;&lt;wsp:rsid wsp:val=&quot;009A03E5&quot;/&gt;&lt;wsp:rsid wsp:val=&quot;009A0C31&quot;/&gt;&lt;wsp:rsid wsp:val=&quot;009A0F3B&quot;/&gt;&lt;wsp:rsid wsp:val=&quot;009A1BA5&quot;/&gt;&lt;wsp:rsid wsp:val=&quot;009A1BB4&quot;/&gt;&lt;wsp:rsid wsp:val=&quot;009A2628&quot;/&gt;&lt;wsp:rsid wsp:val=&quot;009A299C&quot;/&gt;&lt;wsp:rsid wsp:val=&quot;009A3024&quot;/&gt;&lt;wsp:rsid wsp:val=&quot;009A3200&quot;/&gt;&lt;wsp:rsid wsp:val=&quot;009A32DA&quot;/&gt;&lt;wsp:rsid wsp:val=&quot;009A3458&quot;/&gt;&lt;wsp:rsid wsp:val=&quot;009A524E&quot;/&gt;&lt;wsp:rsid wsp:val=&quot;009A5A6D&quot;/&gt;&lt;wsp:rsid wsp:val=&quot;009A651B&quot;/&gt;&lt;wsp:rsid wsp:val=&quot;009A695E&quot;/&gt;&lt;wsp:rsid wsp:val=&quot;009A6BB8&quot;/&gt;&lt;wsp:rsid wsp:val=&quot;009A6FC3&quot;/&gt;&lt;wsp:rsid wsp:val=&quot;009A7881&quot;/&gt;&lt;wsp:rsid wsp:val=&quot;009A78FE&quot;/&gt;&lt;wsp:rsid wsp:val=&quot;009A7E1E&quot;/&gt;&lt;wsp:rsid wsp:val=&quot;009B0587&quot;/&gt;&lt;wsp:rsid wsp:val=&quot;009B0897&quot;/&gt;&lt;wsp:rsid wsp:val=&quot;009B0F5D&quot;/&gt;&lt;wsp:rsid wsp:val=&quot;009B1539&quot;/&gt;&lt;wsp:rsid wsp:val=&quot;009B246C&quot;/&gt;&lt;wsp:rsid wsp:val=&quot;009B2B7C&quot;/&gt;&lt;wsp:rsid wsp:val=&quot;009B39D1&quot;/&gt;&lt;wsp:rsid wsp:val=&quot;009B3C3A&quot;/&gt;&lt;wsp:rsid wsp:val=&quot;009B4009&quot;/&gt;&lt;wsp:rsid wsp:val=&quot;009B4131&quot;/&gt;&lt;wsp:rsid wsp:val=&quot;009B4490&quot;/&gt;&lt;wsp:rsid wsp:val=&quot;009B540A&quot;/&gt;&lt;wsp:rsid wsp:val=&quot;009B54B3&quot;/&gt;&lt;wsp:rsid wsp:val=&quot;009B57E5&quot;/&gt;&lt;wsp:rsid wsp:val=&quot;009B5D72&quot;/&gt;&lt;wsp:rsid wsp:val=&quot;009B685E&quot;/&gt;&lt;wsp:rsid wsp:val=&quot;009B71AD&quot;/&gt;&lt;wsp:rsid wsp:val=&quot;009B75D7&quot;/&gt;&lt;wsp:rsid wsp:val=&quot;009B76A4&quot;/&gt;&lt;wsp:rsid wsp:val=&quot;009B7BD9&quot;/&gt;&lt;wsp:rsid wsp:val=&quot;009B7BF8&quot;/&gt;&lt;wsp:rsid wsp:val=&quot;009B7FAE&quot;/&gt;&lt;wsp:rsid wsp:val=&quot;009C175F&quot;/&gt;&lt;wsp:rsid wsp:val=&quot;009C218B&quot;/&gt;&lt;wsp:rsid wsp:val=&quot;009C2483&quot;/&gt;&lt;wsp:rsid wsp:val=&quot;009C2992&quot;/&gt;&lt;wsp:rsid wsp:val=&quot;009C2A32&quot;/&gt;&lt;wsp:rsid wsp:val=&quot;009C2FDF&quot;/&gt;&lt;wsp:rsid wsp:val=&quot;009C318D&quot;/&gt;&lt;wsp:rsid wsp:val=&quot;009C3345&quot;/&gt;&lt;wsp:rsid wsp:val=&quot;009C3BDB&quot;/&gt;&lt;wsp:rsid wsp:val=&quot;009C5DE5&quot;/&gt;&lt;wsp:rsid wsp:val=&quot;009C61A4&quot;/&gt;&lt;wsp:rsid wsp:val=&quot;009C620D&quot;/&gt;&lt;wsp:rsid wsp:val=&quot;009C636B&quot;/&gt;&lt;wsp:rsid wsp:val=&quot;009C65F7&quot;/&gt;&lt;wsp:rsid wsp:val=&quot;009C6AD8&quot;/&gt;&lt;wsp:rsid wsp:val=&quot;009C7273&quot;/&gt;&lt;wsp:rsid wsp:val=&quot;009C7514&quot;/&gt;&lt;wsp:rsid wsp:val=&quot;009C798A&quot;/&gt;&lt;wsp:rsid wsp:val=&quot;009C79AF&quot;/&gt;&lt;wsp:rsid wsp:val=&quot;009C7DD5&quot;/&gt;&lt;wsp:rsid wsp:val=&quot;009D2FFA&quot;/&gt;&lt;wsp:rsid wsp:val=&quot;009D3076&quot;/&gt;&lt;wsp:rsid wsp:val=&quot;009D3708&quot;/&gt;&lt;wsp:rsid wsp:val=&quot;009D4117&quot;/&gt;&lt;wsp:rsid wsp:val=&quot;009D4369&quot;/&gt;&lt;wsp:rsid wsp:val=&quot;009D4678&quot;/&gt;&lt;wsp:rsid wsp:val=&quot;009D4D3B&quot;/&gt;&lt;wsp:rsid wsp:val=&quot;009D54C7&quot;/&gt;&lt;wsp:rsid wsp:val=&quot;009D5552&quot;/&gt;&lt;wsp:rsid wsp:val=&quot;009D5628&quot;/&gt;&lt;wsp:rsid wsp:val=&quot;009D56E9&quot;/&gt;&lt;wsp:rsid wsp:val=&quot;009D58FB&quot;/&gt;&lt;wsp:rsid wsp:val=&quot;009D5AED&quot;/&gt;&lt;wsp:rsid wsp:val=&quot;009D63DC&quot;/&gt;&lt;wsp:rsid wsp:val=&quot;009D6BBC&quot;/&gt;&lt;wsp:rsid wsp:val=&quot;009D76C9&quot;/&gt;&lt;wsp:rsid wsp:val=&quot;009D783B&quot;/&gt;&lt;wsp:rsid wsp:val=&quot;009D7C9F&quot;/&gt;&lt;wsp:rsid wsp:val=&quot;009D7EC7&quot;/&gt;&lt;wsp:rsid wsp:val=&quot;009E05F6&quot;/&gt;&lt;wsp:rsid wsp:val=&quot;009E088F&quot;/&gt;&lt;wsp:rsid wsp:val=&quot;009E0BD2&quot;/&gt;&lt;wsp:rsid wsp:val=&quot;009E13EF&quot;/&gt;&lt;wsp:rsid wsp:val=&quot;009E15C9&quot;/&gt;&lt;wsp:rsid wsp:val=&quot;009E18DB&quot;/&gt;&lt;wsp:rsid wsp:val=&quot;009E227D&quot;/&gt;&lt;wsp:rsid wsp:val=&quot;009E240D&quot;/&gt;&lt;wsp:rsid wsp:val=&quot;009E242B&quot;/&gt;&lt;wsp:rsid wsp:val=&quot;009E2741&quot;/&gt;&lt;wsp:rsid wsp:val=&quot;009E283A&quot;/&gt;&lt;wsp:rsid wsp:val=&quot;009E286E&quot;/&gt;&lt;wsp:rsid wsp:val=&quot;009E2E83&quot;/&gt;&lt;wsp:rsid wsp:val=&quot;009E3881&quot;/&gt;&lt;wsp:rsid wsp:val=&quot;009E4609&quot;/&gt;&lt;wsp:rsid wsp:val=&quot;009E4846&quot;/&gt;&lt;wsp:rsid wsp:val=&quot;009E5019&quot;/&gt;&lt;wsp:rsid wsp:val=&quot;009E5A93&quot;/&gt;&lt;wsp:rsid wsp:val=&quot;009E5DEF&quot;/&gt;&lt;wsp:rsid wsp:val=&quot;009E5E29&quot;/&gt;&lt;wsp:rsid wsp:val=&quot;009E6369&quot;/&gt;&lt;wsp:rsid wsp:val=&quot;009E6687&quot;/&gt;&lt;wsp:rsid wsp:val=&quot;009E682A&quot;/&gt;&lt;wsp:rsid wsp:val=&quot;009E6AF1&quot;/&gt;&lt;wsp:rsid wsp:val=&quot;009E71C3&quot;/&gt;&lt;wsp:rsid wsp:val=&quot;009E744B&quot;/&gt;&lt;wsp:rsid wsp:val=&quot;009F115D&quot;/&gt;&lt;wsp:rsid wsp:val=&quot;009F137C&quot;/&gt;&lt;wsp:rsid wsp:val=&quot;009F18F2&quot;/&gt;&lt;wsp:rsid wsp:val=&quot;009F1A26&quot;/&gt;&lt;wsp:rsid wsp:val=&quot;009F317C&quot;/&gt;&lt;wsp:rsid wsp:val=&quot;009F32FB&quot;/&gt;&lt;wsp:rsid wsp:val=&quot;009F3326&quot;/&gt;&lt;wsp:rsid wsp:val=&quot;009F38DB&quot;/&gt;&lt;wsp:rsid wsp:val=&quot;009F4444&quot;/&gt;&lt;wsp:rsid wsp:val=&quot;009F44FE&quot;/&gt;&lt;wsp:rsid wsp:val=&quot;009F4A1B&quot;/&gt;&lt;wsp:rsid wsp:val=&quot;009F4AE9&quot;/&gt;&lt;wsp:rsid wsp:val=&quot;009F5667&quot;/&gt;&lt;wsp:rsid wsp:val=&quot;009F5B4D&quot;/&gt;&lt;wsp:rsid wsp:val=&quot;009F5D44&quot;/&gt;&lt;wsp:rsid wsp:val=&quot;009F5FBF&quot;/&gt;&lt;wsp:rsid wsp:val=&quot;009F62D5&quot;/&gt;&lt;wsp:rsid wsp:val=&quot;009F6489&quot;/&gt;&lt;wsp:rsid wsp:val=&quot;009F6A94&quot;/&gt;&lt;wsp:rsid wsp:val=&quot;00A00B64&quot;/&gt;&lt;wsp:rsid wsp:val=&quot;00A00C0A&quot;/&gt;&lt;wsp:rsid wsp:val=&quot;00A01755&quot;/&gt;&lt;wsp:rsid wsp:val=&quot;00A01F3D&quot;/&gt;&lt;wsp:rsid wsp:val=&quot;00A023CB&quot;/&gt;&lt;wsp:rsid wsp:val=&quot;00A024F9&quot;/&gt;&lt;wsp:rsid wsp:val=&quot;00A03B33&quot;/&gt;&lt;wsp:rsid wsp:val=&quot;00A0415D&quot;/&gt;&lt;wsp:rsid wsp:val=&quot;00A04F1B&quot;/&gt;&lt;wsp:rsid wsp:val=&quot;00A0501B&quot;/&gt;&lt;wsp:rsid wsp:val=&quot;00A05825&quot;/&gt;&lt;wsp:rsid wsp:val=&quot;00A06560&quot;/&gt;&lt;wsp:rsid wsp:val=&quot;00A06AE1&quot;/&gt;&lt;wsp:rsid wsp:val=&quot;00A06F3C&quot;/&gt;&lt;wsp:rsid wsp:val=&quot;00A0720F&quot;/&gt;&lt;wsp:rsid wsp:val=&quot;00A1013B&quot;/&gt;&lt;wsp:rsid wsp:val=&quot;00A1038D&quot;/&gt;&lt;wsp:rsid wsp:val=&quot;00A105DC&quot;/&gt;&lt;wsp:rsid wsp:val=&quot;00A1099F&quot;/&gt;&lt;wsp:rsid wsp:val=&quot;00A10F81&quot;/&gt;&lt;wsp:rsid wsp:val=&quot;00A11537&quot;/&gt;&lt;wsp:rsid wsp:val=&quot;00A1159E&quot;/&gt;&lt;wsp:rsid wsp:val=&quot;00A118BD&quot;/&gt;&lt;wsp:rsid wsp:val=&quot;00A12621&quot;/&gt;&lt;wsp:rsid wsp:val=&quot;00A12C2A&quot;/&gt;&lt;wsp:rsid wsp:val=&quot;00A13165&quot;/&gt;&lt;wsp:rsid wsp:val=&quot;00A13193&quot;/&gt;&lt;wsp:rsid wsp:val=&quot;00A14058&quot;/&gt;&lt;wsp:rsid wsp:val=&quot;00A14274&quot;/&gt;&lt;wsp:rsid wsp:val=&quot;00A1453E&quot;/&gt;&lt;wsp:rsid wsp:val=&quot;00A147FE&quot;/&gt;&lt;wsp:rsid wsp:val=&quot;00A14947&quot;/&gt;&lt;wsp:rsid wsp:val=&quot;00A14F9B&quot;/&gt;&lt;wsp:rsid wsp:val=&quot;00A150EB&quot;/&gt;&lt;wsp:rsid wsp:val=&quot;00A15160&quot;/&gt;&lt;wsp:rsid wsp:val=&quot;00A1538E&quot;/&gt;&lt;wsp:rsid wsp:val=&quot;00A15902&quot;/&gt;&lt;wsp:rsid wsp:val=&quot;00A1590D&quot;/&gt;&lt;wsp:rsid wsp:val=&quot;00A15996&quot;/&gt;&lt;wsp:rsid wsp:val=&quot;00A16421&quot;/&gt;&lt;wsp:rsid wsp:val=&quot;00A1645A&quot;/&gt;&lt;wsp:rsid wsp:val=&quot;00A1653E&quot;/&gt;&lt;wsp:rsid wsp:val=&quot;00A16567&quot;/&gt;&lt;wsp:rsid wsp:val=&quot;00A1673D&quot;/&gt;&lt;wsp:rsid wsp:val=&quot;00A16DD5&quot;/&gt;&lt;wsp:rsid wsp:val=&quot;00A16E65&quot;/&gt;&lt;wsp:rsid wsp:val=&quot;00A17513&quot;/&gt;&lt;wsp:rsid wsp:val=&quot;00A17563&quot;/&gt;&lt;wsp:rsid wsp:val=&quot;00A17846&quot;/&gt;&lt;wsp:rsid wsp:val=&quot;00A2001A&quot;/&gt;&lt;wsp:rsid wsp:val=&quot;00A201AC&quot;/&gt;&lt;wsp:rsid wsp:val=&quot;00A2037D&quot;/&gt;&lt;wsp:rsid wsp:val=&quot;00A219DE&quot;/&gt;&lt;wsp:rsid wsp:val=&quot;00A21D05&quot;/&gt;&lt;wsp:rsid wsp:val=&quot;00A21EDB&quot;/&gt;&lt;wsp:rsid wsp:val=&quot;00A227A0&quot;/&gt;&lt;wsp:rsid wsp:val=&quot;00A228A6&quot;/&gt;&lt;wsp:rsid wsp:val=&quot;00A22F83&quot;/&gt;&lt;wsp:rsid wsp:val=&quot;00A23B34&quot;/&gt;&lt;wsp:rsid wsp:val=&quot;00A23CB6&quot;/&gt;&lt;wsp:rsid wsp:val=&quot;00A24204&quot;/&gt;&lt;wsp:rsid wsp:val=&quot;00A24711&quot;/&gt;&lt;wsp:rsid wsp:val=&quot;00A24C3A&quot;/&gt;&lt;wsp:rsid wsp:val=&quot;00A2574E&quot;/&gt;&lt;wsp:rsid wsp:val=&quot;00A25A3B&quot;/&gt;&lt;wsp:rsid wsp:val=&quot;00A26607&quot;/&gt;&lt;wsp:rsid wsp:val=&quot;00A26CFF&quot;/&gt;&lt;wsp:rsid wsp:val=&quot;00A27459&quot;/&gt;&lt;wsp:rsid wsp:val=&quot;00A27746&quot;/&gt;&lt;wsp:rsid wsp:val=&quot;00A27990&quot;/&gt;&lt;wsp:rsid wsp:val=&quot;00A2799A&quot;/&gt;&lt;wsp:rsid wsp:val=&quot;00A300F8&quot;/&gt;&lt;wsp:rsid wsp:val=&quot;00A301E1&quot;/&gt;&lt;wsp:rsid wsp:val=&quot;00A3026D&quot;/&gt;&lt;wsp:rsid wsp:val=&quot;00A31802&quot;/&gt;&lt;wsp:rsid wsp:val=&quot;00A31998&quot;/&gt;&lt;wsp:rsid wsp:val=&quot;00A3209E&quot;/&gt;&lt;wsp:rsid wsp:val=&quot;00A32A83&quot;/&gt;&lt;wsp:rsid wsp:val=&quot;00A3306F&quot;/&gt;&lt;wsp:rsid wsp:val=&quot;00A3352C&quot;/&gt;&lt;wsp:rsid wsp:val=&quot;00A33D96&quot;/&gt;&lt;wsp:rsid wsp:val=&quot;00A34158&quot;/&gt;&lt;wsp:rsid wsp:val=&quot;00A34307&quot;/&gt;&lt;wsp:rsid wsp:val=&quot;00A349D2&quot;/&gt;&lt;wsp:rsid wsp:val=&quot;00A34F06&quot;/&gt;&lt;wsp:rsid wsp:val=&quot;00A350BA&quot;/&gt;&lt;wsp:rsid wsp:val=&quot;00A363FC&quot;/&gt;&lt;wsp:rsid wsp:val=&quot;00A368DB&quot;/&gt;&lt;wsp:rsid wsp:val=&quot;00A36A63&quot;/&gt;&lt;wsp:rsid wsp:val=&quot;00A36B97&quot;/&gt;&lt;wsp:rsid wsp:val=&quot;00A36EC8&quot;/&gt;&lt;wsp:rsid wsp:val=&quot;00A36F95&quot;/&gt;&lt;wsp:rsid wsp:val=&quot;00A37760&quot;/&gt;&lt;wsp:rsid wsp:val=&quot;00A37F84&quot;/&gt;&lt;wsp:rsid wsp:val=&quot;00A4007C&quot;/&gt;&lt;wsp:rsid wsp:val=&quot;00A421EF&quot;/&gt;&lt;wsp:rsid wsp:val=&quot;00A423AA&quot;/&gt;&lt;wsp:rsid wsp:val=&quot;00A42696&quot;/&gt;&lt;wsp:rsid wsp:val=&quot;00A43048&quot;/&gt;&lt;wsp:rsid wsp:val=&quot;00A43183&quot;/&gt;&lt;wsp:rsid wsp:val=&quot;00A43340&quot;/&gt;&lt;wsp:rsid wsp:val=&quot;00A4356D&quot;/&gt;&lt;wsp:rsid wsp:val=&quot;00A44685&quot;/&gt;&lt;wsp:rsid wsp:val=&quot;00A45305&quot;/&gt;&lt;wsp:rsid wsp:val=&quot;00A45EF2&quot;/&gt;&lt;wsp:rsid wsp:val=&quot;00A4604C&quot;/&gt;&lt;wsp:rsid wsp:val=&quot;00A4622C&quot;/&gt;&lt;wsp:rsid wsp:val=&quot;00A46803&quot;/&gt;&lt;wsp:rsid wsp:val=&quot;00A46C10&quot;/&gt;&lt;wsp:rsid wsp:val=&quot;00A4795D&quot;/&gt;&lt;wsp:rsid wsp:val=&quot;00A479CB&quot;/&gt;&lt;wsp:rsid wsp:val=&quot;00A509B3&quot;/&gt;&lt;wsp:rsid wsp:val=&quot;00A51037&quot;/&gt;&lt;wsp:rsid wsp:val=&quot;00A515AE&quot;/&gt;&lt;wsp:rsid wsp:val=&quot;00A51C55&quot;/&gt;&lt;wsp:rsid wsp:val=&quot;00A51CEC&quot;/&gt;&lt;wsp:rsid wsp:val=&quot;00A523D7&quot;/&gt;&lt;wsp:rsid wsp:val=&quot;00A52A37&quot;/&gt;&lt;wsp:rsid wsp:val=&quot;00A5327B&quot;/&gt;&lt;wsp:rsid wsp:val=&quot;00A536F1&quot;/&gt;&lt;wsp:rsid wsp:val=&quot;00A53AFD&quot;/&gt;&lt;wsp:rsid wsp:val=&quot;00A53EC6&quot;/&gt;&lt;wsp:rsid wsp:val=&quot;00A53F31&quot;/&gt;&lt;wsp:rsid wsp:val=&quot;00A5505C&quot;/&gt;&lt;wsp:rsid wsp:val=&quot;00A55168&quot;/&gt;&lt;wsp:rsid wsp:val=&quot;00A55571&quot;/&gt;&lt;wsp:rsid wsp:val=&quot;00A555E5&quot;/&gt;&lt;wsp:rsid wsp:val=&quot;00A55C0F&quot;/&gt;&lt;wsp:rsid wsp:val=&quot;00A55FAE&quot;/&gt;&lt;wsp:rsid wsp:val=&quot;00A56207&quot;/&gt;&lt;wsp:rsid wsp:val=&quot;00A5669F&quot;/&gt;&lt;wsp:rsid wsp:val=&quot;00A5692D&quot;/&gt;&lt;wsp:rsid wsp:val=&quot;00A56C88&quot;/&gt;&lt;wsp:rsid wsp:val=&quot;00A5705C&quot;/&gt;&lt;wsp:rsid wsp:val=&quot;00A57181&quot;/&gt;&lt;wsp:rsid wsp:val=&quot;00A57792&quot;/&gt;&lt;wsp:rsid wsp:val=&quot;00A577F4&quot;/&gt;&lt;wsp:rsid wsp:val=&quot;00A60031&quot;/&gt;&lt;wsp:rsid wsp:val=&quot;00A601A2&quot;/&gt;&lt;wsp:rsid wsp:val=&quot;00A601BE&quot;/&gt;&lt;wsp:rsid wsp:val=&quot;00A603EE&quot;/&gt;&lt;wsp:rsid wsp:val=&quot;00A608C4&quot;/&gt;&lt;wsp:rsid wsp:val=&quot;00A61562&quot;/&gt;&lt;wsp:rsid wsp:val=&quot;00A61F69&quot;/&gt;&lt;wsp:rsid wsp:val=&quot;00A622D5&quot;/&gt;&lt;wsp:rsid wsp:val=&quot;00A628C5&quot;/&gt;&lt;wsp:rsid wsp:val=&quot;00A648BC&quot;/&gt;&lt;wsp:rsid wsp:val=&quot;00A649D9&quot;/&gt;&lt;wsp:rsid wsp:val=&quot;00A64DA5&quot;/&gt;&lt;wsp:rsid wsp:val=&quot;00A651F5&quot;/&gt;&lt;wsp:rsid wsp:val=&quot;00A655BE&quot;/&gt;&lt;wsp:rsid wsp:val=&quot;00A6580A&quot;/&gt;&lt;wsp:rsid wsp:val=&quot;00A66198&quot;/&gt;&lt;wsp:rsid wsp:val=&quot;00A66320&quot;/&gt;&lt;wsp:rsid wsp:val=&quot;00A6643F&quot;/&gt;&lt;wsp:rsid wsp:val=&quot;00A66BA1&quot;/&gt;&lt;wsp:rsid wsp:val=&quot;00A67ADC&quot;/&gt;&lt;wsp:rsid wsp:val=&quot;00A67D42&quot;/&gt;&lt;wsp:rsid wsp:val=&quot;00A70BCD&quot;/&gt;&lt;wsp:rsid wsp:val=&quot;00A71863&quot;/&gt;&lt;wsp:rsid wsp:val=&quot;00A7238D&quot;/&gt;&lt;wsp:rsid wsp:val=&quot;00A72946&quot;/&gt;&lt;wsp:rsid wsp:val=&quot;00A7340D&quot;/&gt;&lt;wsp:rsid wsp:val=&quot;00A73449&quot;/&gt;&lt;wsp:rsid wsp:val=&quot;00A73876&quot;/&gt;&lt;wsp:rsid wsp:val=&quot;00A73DB0&quot;/&gt;&lt;wsp:rsid wsp:val=&quot;00A74864&quot;/&gt;&lt;wsp:rsid wsp:val=&quot;00A74E42&quot;/&gt;&lt;wsp:rsid wsp:val=&quot;00A754AC&quot;/&gt;&lt;wsp:rsid wsp:val=&quot;00A758E5&quot;/&gt;&lt;wsp:rsid wsp:val=&quot;00A75F40&quot;/&gt;&lt;wsp:rsid wsp:val=&quot;00A76D20&quot;/&gt;&lt;wsp:rsid wsp:val=&quot;00A770E4&quot;/&gt;&lt;wsp:rsid wsp:val=&quot;00A7722D&quot;/&gt;&lt;wsp:rsid wsp:val=&quot;00A7729C&quot;/&gt;&lt;wsp:rsid wsp:val=&quot;00A77431&quot;/&gt;&lt;wsp:rsid wsp:val=&quot;00A774DF&quot;/&gt;&lt;wsp:rsid wsp:val=&quot;00A7795B&quot;/&gt;&lt;wsp:rsid wsp:val=&quot;00A80058&quot;/&gt;&lt;wsp:rsid wsp:val=&quot;00A8019A&quot;/&gt;&lt;wsp:rsid wsp:val=&quot;00A8099B&quot;/&gt;&lt;wsp:rsid wsp:val=&quot;00A81C86&quot;/&gt;&lt;wsp:rsid wsp:val=&quot;00A82332&quot;/&gt;&lt;wsp:rsid wsp:val=&quot;00A82D87&quot;/&gt;&lt;wsp:rsid wsp:val=&quot;00A832A8&quot;/&gt;&lt;wsp:rsid wsp:val=&quot;00A83D47&quot;/&gt;&lt;wsp:rsid wsp:val=&quot;00A8450F&quot;/&gt;&lt;wsp:rsid wsp:val=&quot;00A84925&quot;/&gt;&lt;wsp:rsid wsp:val=&quot;00A85E94&quot;/&gt;&lt;wsp:rsid wsp:val=&quot;00A85EC5&quot;/&gt;&lt;wsp:rsid wsp:val=&quot;00A86803&quot;/&gt;&lt;wsp:rsid wsp:val=&quot;00A86A08&quot;/&gt;&lt;wsp:rsid wsp:val=&quot;00A87000&quot;/&gt;&lt;wsp:rsid wsp:val=&quot;00A8713F&quot;/&gt;&lt;wsp:rsid wsp:val=&quot;00A873A5&quot;/&gt;&lt;wsp:rsid wsp:val=&quot;00A87A58&quot;/&gt;&lt;wsp:rsid wsp:val=&quot;00A902D8&quot;/&gt;&lt;wsp:rsid wsp:val=&quot;00A90559&quot;/&gt;&lt;wsp:rsid wsp:val=&quot;00A90BA1&quot;/&gt;&lt;wsp:rsid wsp:val=&quot;00A90BFA&quot;/&gt;&lt;wsp:rsid wsp:val=&quot;00A90D86&quot;/&gt;&lt;wsp:rsid wsp:val=&quot;00A93075&quot;/&gt;&lt;wsp:rsid wsp:val=&quot;00A930E7&quot;/&gt;&lt;wsp:rsid wsp:val=&quot;00A9334F&quot;/&gt;&lt;wsp:rsid wsp:val=&quot;00A93A90&quot;/&gt;&lt;wsp:rsid wsp:val=&quot;00A93BFE&quot;/&gt;&lt;wsp:rsid wsp:val=&quot;00A94750&quot;/&gt;&lt;wsp:rsid wsp:val=&quot;00A94F9A&quot;/&gt;&lt;wsp:rsid wsp:val=&quot;00A955B9&quot;/&gt;&lt;wsp:rsid wsp:val=&quot;00A95DF9&quot;/&gt;&lt;wsp:rsid wsp:val=&quot;00A95E3D&quot;/&gt;&lt;wsp:rsid wsp:val=&quot;00A960DD&quot;/&gt;&lt;wsp:rsid wsp:val=&quot;00A969FB&quot;/&gt;&lt;wsp:rsid wsp:val=&quot;00A9758F&quot;/&gt;&lt;wsp:rsid wsp:val=&quot;00A978C5&quot;/&gt;&lt;wsp:rsid wsp:val=&quot;00A97A9A&quot;/&gt;&lt;wsp:rsid wsp:val=&quot;00AA0671&quot;/&gt;&lt;wsp:rsid wsp:val=&quot;00AA0AA2&quot;/&gt;&lt;wsp:rsid wsp:val=&quot;00AA0B6D&quot;/&gt;&lt;wsp:rsid wsp:val=&quot;00AA0DF9&quot;/&gt;&lt;wsp:rsid wsp:val=&quot;00AA10F8&quot;/&gt;&lt;wsp:rsid wsp:val=&quot;00AA2531&quot;/&gt;&lt;wsp:rsid wsp:val=&quot;00AA3014&quot;/&gt;&lt;wsp:rsid wsp:val=&quot;00AA3112&quot;/&gt;&lt;wsp:rsid wsp:val=&quot;00AA36F8&quot;/&gt;&lt;wsp:rsid wsp:val=&quot;00AA399D&quot;/&gt;&lt;wsp:rsid wsp:val=&quot;00AA4AEB&quot;/&gt;&lt;wsp:rsid wsp:val=&quot;00AA5087&quot;/&gt;&lt;wsp:rsid wsp:val=&quot;00AA575F&quot;/&gt;&lt;wsp:rsid wsp:val=&quot;00AA5A01&quot;/&gt;&lt;wsp:rsid wsp:val=&quot;00AA5BEE&quot;/&gt;&lt;wsp:rsid wsp:val=&quot;00AA5E95&quot;/&gt;&lt;wsp:rsid wsp:val=&quot;00AA5F02&quot;/&gt;&lt;wsp:rsid wsp:val=&quot;00AA62C2&quot;/&gt;&lt;wsp:rsid wsp:val=&quot;00AB186E&quot;/&gt;&lt;wsp:rsid wsp:val=&quot;00AB196C&quot;/&gt;&lt;wsp:rsid wsp:val=&quot;00AB1E09&quot;/&gt;&lt;wsp:rsid wsp:val=&quot;00AB2F9A&quot;/&gt;&lt;wsp:rsid wsp:val=&quot;00AB3A78&quot;/&gt;&lt;wsp:rsid wsp:val=&quot;00AB408B&quot;/&gt;&lt;wsp:rsid wsp:val=&quot;00AB4C09&quot;/&gt;&lt;wsp:rsid wsp:val=&quot;00AB4D90&quot;/&gt;&lt;wsp:rsid wsp:val=&quot;00AB5294&quot;/&gt;&lt;wsp:rsid wsp:val=&quot;00AB5330&quot;/&gt;&lt;wsp:rsid wsp:val=&quot;00AB5590&quot;/&gt;&lt;wsp:rsid wsp:val=&quot;00AB5EEF&quot;/&gt;&lt;wsp:rsid wsp:val=&quot;00AB6588&quot;/&gt;&lt;wsp:rsid wsp:val=&quot;00AB6818&quot;/&gt;&lt;wsp:rsid wsp:val=&quot;00AB6E7C&quot;/&gt;&lt;wsp:rsid wsp:val=&quot;00AB7073&quot;/&gt;&lt;wsp:rsid wsp:val=&quot;00AB7747&quot;/&gt;&lt;wsp:rsid wsp:val=&quot;00AC05B9&quot;/&gt;&lt;wsp:rsid wsp:val=&quot;00AC096F&quot;/&gt;&lt;wsp:rsid wsp:val=&quot;00AC0ED1&quot;/&gt;&lt;wsp:rsid wsp:val=&quot;00AC144C&quot;/&gt;&lt;wsp:rsid wsp:val=&quot;00AC14CE&quot;/&gt;&lt;wsp:rsid wsp:val=&quot;00AC161B&quot;/&gt;&lt;wsp:rsid wsp:val=&quot;00AC1CD5&quot;/&gt;&lt;wsp:rsid wsp:val=&quot;00AC206A&quot;/&gt;&lt;wsp:rsid wsp:val=&quot;00AC2237&quot;/&gt;&lt;wsp:rsid wsp:val=&quot;00AC2626&quot;/&gt;&lt;wsp:rsid wsp:val=&quot;00AC2A56&quot;/&gt;&lt;wsp:rsid wsp:val=&quot;00AC2A94&quot;/&gt;&lt;wsp:rsid wsp:val=&quot;00AC2EA1&quot;/&gt;&lt;wsp:rsid wsp:val=&quot;00AC32EB&quot;/&gt;&lt;wsp:rsid wsp:val=&quot;00AC37EA&quot;/&gt;&lt;wsp:rsid wsp:val=&quot;00AC3E1F&quot;/&gt;&lt;wsp:rsid wsp:val=&quot;00AC3EF5&quot;/&gt;&lt;wsp:rsid wsp:val=&quot;00AC442D&quot;/&gt;&lt;wsp:rsid wsp:val=&quot;00AC46E0&quot;/&gt;&lt;wsp:rsid wsp:val=&quot;00AC48A9&quot;/&gt;&lt;wsp:rsid wsp:val=&quot;00AC49F7&quot;/&gt;&lt;wsp:rsid wsp:val=&quot;00AC4DC6&quot;/&gt;&lt;wsp:rsid wsp:val=&quot;00AC4F18&quot;/&gt;&lt;wsp:rsid wsp:val=&quot;00AC50B8&quot;/&gt;&lt;wsp:rsid wsp:val=&quot;00AC5295&quot;/&gt;&lt;wsp:rsid wsp:val=&quot;00AC53E7&quot;/&gt;&lt;wsp:rsid wsp:val=&quot;00AC58F1&quot;/&gt;&lt;wsp:rsid wsp:val=&quot;00AC758D&quot;/&gt;&lt;wsp:rsid wsp:val=&quot;00AC78C8&quot;/&gt;&lt;wsp:rsid wsp:val=&quot;00AD0277&quot;/&gt;&lt;wsp:rsid wsp:val=&quot;00AD055E&quot;/&gt;&lt;wsp:rsid wsp:val=&quot;00AD0BDA&quot;/&gt;&lt;wsp:rsid wsp:val=&quot;00AD0E72&quot;/&gt;&lt;wsp:rsid wsp:val=&quot;00AD1002&quot;/&gt;&lt;wsp:rsid wsp:val=&quot;00AD13C8&quot;/&gt;&lt;wsp:rsid wsp:val=&quot;00AD18BC&quot;/&gt;&lt;wsp:rsid wsp:val=&quot;00AD1908&quot;/&gt;&lt;wsp:rsid wsp:val=&quot;00AD1F68&quot;/&gt;&lt;wsp:rsid wsp:val=&quot;00AD2132&quot;/&gt;&lt;wsp:rsid wsp:val=&quot;00AD2285&quot;/&gt;&lt;wsp:rsid wsp:val=&quot;00AD29ED&quot;/&gt;&lt;wsp:rsid wsp:val=&quot;00AD303B&quot;/&gt;&lt;wsp:rsid wsp:val=&quot;00AD31FB&quot;/&gt;&lt;wsp:rsid wsp:val=&quot;00AD32B9&quot;/&gt;&lt;wsp:rsid wsp:val=&quot;00AD3647&quot;/&gt;&lt;wsp:rsid wsp:val=&quot;00AD36EB&quot;/&gt;&lt;wsp:rsid wsp:val=&quot;00AD3826&quot;/&gt;&lt;wsp:rsid wsp:val=&quot;00AD47A7&quot;/&gt;&lt;wsp:rsid wsp:val=&quot;00AD4B35&quot;/&gt;&lt;wsp:rsid wsp:val=&quot;00AD596C&quot;/&gt;&lt;wsp:rsid wsp:val=&quot;00AD5CB1&quot;/&gt;&lt;wsp:rsid wsp:val=&quot;00AD6917&quot;/&gt;&lt;wsp:rsid wsp:val=&quot;00AD6AF9&quot;/&gt;&lt;wsp:rsid wsp:val=&quot;00AD6CE5&quot;/&gt;&lt;wsp:rsid wsp:val=&quot;00AD7078&quot;/&gt;&lt;wsp:rsid wsp:val=&quot;00AD7565&quot;/&gt;&lt;wsp:rsid wsp:val=&quot;00AD7638&quot;/&gt;&lt;wsp:rsid wsp:val=&quot;00AD7E34&quot;/&gt;&lt;wsp:rsid wsp:val=&quot;00AD7EF8&quot;/&gt;&lt;wsp:rsid wsp:val=&quot;00AE0E44&quot;/&gt;&lt;wsp:rsid wsp:val=&quot;00AE11F9&quot;/&gt;&lt;wsp:rsid wsp:val=&quot;00AE1284&quot;/&gt;&lt;wsp:rsid wsp:val=&quot;00AE2577&quot;/&gt;&lt;wsp:rsid wsp:val=&quot;00AE2919&quot;/&gt;&lt;wsp:rsid wsp:val=&quot;00AE4037&quot;/&gt;&lt;wsp:rsid wsp:val=&quot;00AE40F5&quot;/&gt;&lt;wsp:rsid wsp:val=&quot;00AE4568&quot;/&gt;&lt;wsp:rsid wsp:val=&quot;00AE4E10&quot;/&gt;&lt;wsp:rsid wsp:val=&quot;00AE4F9C&quot;/&gt;&lt;wsp:rsid wsp:val=&quot;00AE5042&quot;/&gt;&lt;wsp:rsid wsp:val=&quot;00AE54E2&quot;/&gt;&lt;wsp:rsid wsp:val=&quot;00AE5701&quot;/&gt;&lt;wsp:rsid wsp:val=&quot;00AE5A62&quot;/&gt;&lt;wsp:rsid wsp:val=&quot;00AE5E60&quot;/&gt;&lt;wsp:rsid wsp:val=&quot;00AE625F&quot;/&gt;&lt;wsp:rsid wsp:val=&quot;00AE7947&quot;/&gt;&lt;wsp:rsid wsp:val=&quot;00AE7A15&quot;/&gt;&lt;wsp:rsid wsp:val=&quot;00AE7ECD&quot;/&gt;&lt;wsp:rsid wsp:val=&quot;00AF0CBF&quot;/&gt;&lt;wsp:rsid wsp:val=&quot;00AF0FFA&quot;/&gt;&lt;wsp:rsid wsp:val=&quot;00AF100B&quot;/&gt;&lt;wsp:rsid wsp:val=&quot;00AF14E8&quot;/&gt;&lt;wsp:rsid wsp:val=&quot;00AF16CA&quot;/&gt;&lt;wsp:rsid wsp:val=&quot;00AF2085&quot;/&gt;&lt;wsp:rsid wsp:val=&quot;00AF217A&quot;/&gt;&lt;wsp:rsid wsp:val=&quot;00AF2547&quot;/&gt;&lt;wsp:rsid wsp:val=&quot;00AF257F&quot;/&gt;&lt;wsp:rsid wsp:val=&quot;00AF3136&quot;/&gt;&lt;wsp:rsid wsp:val=&quot;00AF32B4&quot;/&gt;&lt;wsp:rsid wsp:val=&quot;00AF33CF&quot;/&gt;&lt;wsp:rsid wsp:val=&quot;00AF377C&quot;/&gt;&lt;wsp:rsid wsp:val=&quot;00AF3B84&quot;/&gt;&lt;wsp:rsid wsp:val=&quot;00AF4364&quot;/&gt;&lt;wsp:rsid wsp:val=&quot;00AF477A&quot;/&gt;&lt;wsp:rsid wsp:val=&quot;00AF4953&quot;/&gt;&lt;wsp:rsid wsp:val=&quot;00AF4D50&quot;/&gt;&lt;wsp:rsid wsp:val=&quot;00AF5274&quot;/&gt;&lt;wsp:rsid wsp:val=&quot;00AF5ABD&quot;/&gt;&lt;wsp:rsid wsp:val=&quot;00AF6179&quot;/&gt;&lt;wsp:rsid wsp:val=&quot;00AF6DAD&quot;/&gt;&lt;wsp:rsid wsp:val=&quot;00AF70BA&quot;/&gt;&lt;wsp:rsid wsp:val=&quot;00AF756D&quot;/&gt;&lt;wsp:rsid wsp:val=&quot;00AF7599&quot;/&gt;&lt;wsp:rsid wsp:val=&quot;00AF7B55&quot;/&gt;&lt;wsp:rsid wsp:val=&quot;00B00A64&quot;/&gt;&lt;wsp:rsid wsp:val=&quot;00B00B93&quot;/&gt;&lt;wsp:rsid wsp:val=&quot;00B00D9C&quot;/&gt;&lt;wsp:rsid wsp:val=&quot;00B019DF&quot;/&gt;&lt;wsp:rsid wsp:val=&quot;00B01E45&quot;/&gt;&lt;wsp:rsid wsp:val=&quot;00B01EBA&quot;/&gt;&lt;wsp:rsid wsp:val=&quot;00B02CB0&quot;/&gt;&lt;wsp:rsid wsp:val=&quot;00B036D0&quot;/&gt;&lt;wsp:rsid wsp:val=&quot;00B03818&quot;/&gt;&lt;wsp:rsid wsp:val=&quot;00B03832&quot;/&gt;&lt;wsp:rsid wsp:val=&quot;00B03C79&quot;/&gt;&lt;wsp:rsid wsp:val=&quot;00B03DC2&quot;/&gt;&lt;wsp:rsid wsp:val=&quot;00B044C4&quot;/&gt;&lt;wsp:rsid wsp:val=&quot;00B04E90&quot;/&gt;&lt;wsp:rsid wsp:val=&quot;00B055D9&quot;/&gt;&lt;wsp:rsid wsp:val=&quot;00B05DE6&quot;/&gt;&lt;wsp:rsid wsp:val=&quot;00B05E37&quot;/&gt;&lt;wsp:rsid wsp:val=&quot;00B0636E&quot;/&gt;&lt;wsp:rsid wsp:val=&quot;00B06C8C&quot;/&gt;&lt;wsp:rsid wsp:val=&quot;00B07076&quot;/&gt;&lt;wsp:rsid wsp:val=&quot;00B071AD&quot;/&gt;&lt;wsp:rsid wsp:val=&quot;00B0722D&quot;/&gt;&lt;wsp:rsid wsp:val=&quot;00B0794F&quot;/&gt;&lt;wsp:rsid wsp:val=&quot;00B10075&quot;/&gt;&lt;wsp:rsid wsp:val=&quot;00B109A7&quot;/&gt;&lt;wsp:rsid wsp:val=&quot;00B10BC3&quot;/&gt;&lt;wsp:rsid wsp:val=&quot;00B10F04&quot;/&gt;&lt;wsp:rsid wsp:val=&quot;00B11049&quot;/&gt;&lt;wsp:rsid wsp:val=&quot;00B11958&quot;/&gt;&lt;wsp:rsid wsp:val=&quot;00B11E73&quot;/&gt;&lt;wsp:rsid wsp:val=&quot;00B121D8&quot;/&gt;&lt;wsp:rsid wsp:val=&quot;00B12457&quot;/&gt;&lt;wsp:rsid wsp:val=&quot;00B1295A&quot;/&gt;&lt;wsp:rsid wsp:val=&quot;00B12C09&quot;/&gt;&lt;wsp:rsid wsp:val=&quot;00B12ED2&quot;/&gt;&lt;wsp:rsid wsp:val=&quot;00B12FED&quot;/&gt;&lt;wsp:rsid wsp:val=&quot;00B1345D&quot;/&gt;&lt;wsp:rsid wsp:val=&quot;00B134FE&quot;/&gt;&lt;wsp:rsid wsp:val=&quot;00B14102&quot;/&gt;&lt;wsp:rsid wsp:val=&quot;00B148B2&quot;/&gt;&lt;wsp:rsid wsp:val=&quot;00B152AE&quot;/&gt;&lt;wsp:rsid wsp:val=&quot;00B152DA&quot;/&gt;&lt;wsp:rsid wsp:val=&quot;00B15402&quot;/&gt;&lt;wsp:rsid wsp:val=&quot;00B15733&quot;/&gt;&lt;wsp:rsid wsp:val=&quot;00B16C47&quot;/&gt;&lt;wsp:rsid wsp:val=&quot;00B16DFB&quot;/&gt;&lt;wsp:rsid wsp:val=&quot;00B16E77&quot;/&gt;&lt;wsp:rsid wsp:val=&quot;00B17304&quot;/&gt;&lt;wsp:rsid wsp:val=&quot;00B1775F&quot;/&gt;&lt;wsp:rsid wsp:val=&quot;00B17BF0&quot;/&gt;&lt;wsp:rsid wsp:val=&quot;00B201DB&quot;/&gt;&lt;wsp:rsid wsp:val=&quot;00B2024C&quot;/&gt;&lt;wsp:rsid wsp:val=&quot;00B20A45&quot;/&gt;&lt;wsp:rsid wsp:val=&quot;00B2137E&quot;/&gt;&lt;wsp:rsid wsp:val=&quot;00B21C9A&quot;/&gt;&lt;wsp:rsid wsp:val=&quot;00B22081&quot;/&gt;&lt;wsp:rsid wsp:val=&quot;00B22917&quot;/&gt;&lt;wsp:rsid wsp:val=&quot;00B22A50&quot;/&gt;&lt;wsp:rsid wsp:val=&quot;00B22C5C&quot;/&gt;&lt;wsp:rsid wsp:val=&quot;00B231F8&quot;/&gt;&lt;wsp:rsid wsp:val=&quot;00B233DA&quot;/&gt;&lt;wsp:rsid wsp:val=&quot;00B23874&quot;/&gt;&lt;wsp:rsid wsp:val=&quot;00B2400F&quot;/&gt;&lt;wsp:rsid wsp:val=&quot;00B247F3&quot;/&gt;&lt;wsp:rsid wsp:val=&quot;00B24AA0&quot;/&gt;&lt;wsp:rsid wsp:val=&quot;00B24D16&quot;/&gt;&lt;wsp:rsid wsp:val=&quot;00B24DE8&quot;/&gt;&lt;wsp:rsid wsp:val=&quot;00B24E7D&quot;/&gt;&lt;wsp:rsid wsp:val=&quot;00B24F30&quot;/&gt;&lt;wsp:rsid wsp:val=&quot;00B260AA&quot;/&gt;&lt;wsp:rsid wsp:val=&quot;00B26501&quot;/&gt;&lt;wsp:rsid wsp:val=&quot;00B265E5&quot;/&gt;&lt;wsp:rsid wsp:val=&quot;00B26616&quot;/&gt;&lt;wsp:rsid wsp:val=&quot;00B27AA8&quot;/&gt;&lt;wsp:rsid wsp:val=&quot;00B30D79&quot;/&gt;&lt;wsp:rsid wsp:val=&quot;00B31ABF&quot;/&gt;&lt;wsp:rsid wsp:val=&quot;00B3218D&quot;/&gt;&lt;wsp:rsid wsp:val=&quot;00B32489&quot;/&gt;&lt;wsp:rsid wsp:val=&quot;00B328C3&quot;/&gt;&lt;wsp:rsid wsp:val=&quot;00B32AC9&quot;/&gt;&lt;wsp:rsid wsp:val=&quot;00B33BE3&quot;/&gt;&lt;wsp:rsid wsp:val=&quot;00B35223&quot;/&gt;&lt;wsp:rsid wsp:val=&quot;00B3535F&quot;/&gt;&lt;wsp:rsid wsp:val=&quot;00B35471&quot;/&gt;&lt;wsp:rsid wsp:val=&quot;00B357AC&quot;/&gt;&lt;wsp:rsid wsp:val=&quot;00B35870&quot;/&gt;&lt;wsp:rsid wsp:val=&quot;00B35B70&quot;/&gt;&lt;wsp:rsid wsp:val=&quot;00B35B87&quot;/&gt;&lt;wsp:rsid wsp:val=&quot;00B36D71&quot;/&gt;&lt;wsp:rsid wsp:val=&quot;00B371C9&quot;/&gt;&lt;wsp:rsid wsp:val=&quot;00B37BAF&quot;/&gt;&lt;wsp:rsid wsp:val=&quot;00B40034&quot;/&gt;&lt;wsp:rsid wsp:val=&quot;00B40815&quot;/&gt;&lt;wsp:rsid wsp:val=&quot;00B4095F&quot;/&gt;&lt;wsp:rsid wsp:val=&quot;00B41096&quot;/&gt;&lt;wsp:rsid wsp:val=&quot;00B4119C&quot;/&gt;&lt;wsp:rsid wsp:val=&quot;00B41EA6&quot;/&gt;&lt;wsp:rsid wsp:val=&quot;00B42543&quot;/&gt;&lt;wsp:rsid wsp:val=&quot;00B43228&quot;/&gt;&lt;wsp:rsid wsp:val=&quot;00B436D0&quot;/&gt;&lt;wsp:rsid wsp:val=&quot;00B440D1&quot;/&gt;&lt;wsp:rsid wsp:val=&quot;00B456CD&quot;/&gt;&lt;wsp:rsid wsp:val=&quot;00B46061&quot;/&gt;&lt;wsp:rsid wsp:val=&quot;00B469F4&quot;/&gt;&lt;wsp:rsid wsp:val=&quot;00B46A34&quot;/&gt;&lt;wsp:rsid wsp:val=&quot;00B46EDB&quot;/&gt;&lt;wsp:rsid wsp:val=&quot;00B47D13&quot;/&gt;&lt;wsp:rsid wsp:val=&quot;00B47DA7&quot;/&gt;&lt;wsp:rsid wsp:val=&quot;00B50861&quot;/&gt;&lt;wsp:rsid wsp:val=&quot;00B50951&quot;/&gt;&lt;wsp:rsid wsp:val=&quot;00B50B58&quot;/&gt;&lt;wsp:rsid wsp:val=&quot;00B520EE&quot;/&gt;&lt;wsp:rsid wsp:val=&quot;00B52221&quot;/&gt;&lt;wsp:rsid wsp:val=&quot;00B52347&quot;/&gt;&lt;wsp:rsid wsp:val=&quot;00B52672&quot;/&gt;&lt;wsp:rsid wsp:val=&quot;00B52D6E&quot;/&gt;&lt;wsp:rsid wsp:val=&quot;00B5318C&quot;/&gt;&lt;wsp:rsid wsp:val=&quot;00B53763&quot;/&gt;&lt;wsp:rsid wsp:val=&quot;00B53B5D&quot;/&gt;&lt;wsp:rsid wsp:val=&quot;00B53EC7&quot;/&gt;&lt;wsp:rsid wsp:val=&quot;00B55DBC&quot;/&gt;&lt;wsp:rsid wsp:val=&quot;00B56EFA&quot;/&gt;&lt;wsp:rsid wsp:val=&quot;00B57506&quot;/&gt;&lt;wsp:rsid wsp:val=&quot;00B5762E&quot;/&gt;&lt;wsp:rsid wsp:val=&quot;00B6055E&quot;/&gt;&lt;wsp:rsid wsp:val=&quot;00B61103&quot;/&gt;&lt;wsp:rsid wsp:val=&quot;00B61475&quot;/&gt;&lt;wsp:rsid wsp:val=&quot;00B625A3&quot;/&gt;&lt;wsp:rsid wsp:val=&quot;00B62AFA&quot;/&gt;&lt;wsp:rsid wsp:val=&quot;00B62F14&quot;/&gt;&lt;wsp:rsid wsp:val=&quot;00B6317D&quot;/&gt;&lt;wsp:rsid wsp:val=&quot;00B64335&quot;/&gt;&lt;wsp:rsid wsp:val=&quot;00B64511&quot;/&gt;&lt;wsp:rsid wsp:val=&quot;00B64744&quot;/&gt;&lt;wsp:rsid wsp:val=&quot;00B64E1A&quot;/&gt;&lt;wsp:rsid wsp:val=&quot;00B65543&quot;/&gt;&lt;wsp:rsid wsp:val=&quot;00B65691&quot;/&gt;&lt;wsp:rsid wsp:val=&quot;00B65725&quot;/&gt;&lt;wsp:rsid wsp:val=&quot;00B66F5A&quot;/&gt;&lt;wsp:rsid wsp:val=&quot;00B672C7&quot;/&gt;&lt;wsp:rsid wsp:val=&quot;00B67B7E&quot;/&gt;&lt;wsp:rsid wsp:val=&quot;00B67BBD&quot;/&gt;&lt;wsp:rsid wsp:val=&quot;00B703E6&quot;/&gt;&lt;wsp:rsid wsp:val=&quot;00B70F71&quot;/&gt;&lt;wsp:rsid wsp:val=&quot;00B7130A&quot;/&gt;&lt;wsp:rsid wsp:val=&quot;00B71445&quot;/&gt;&lt;wsp:rsid wsp:val=&quot;00B715B3&quot;/&gt;&lt;wsp:rsid wsp:val=&quot;00B719B8&quot;/&gt;&lt;wsp:rsid wsp:val=&quot;00B726CB&quot;/&gt;&lt;wsp:rsid wsp:val=&quot;00B73026&quot;/&gt;&lt;wsp:rsid wsp:val=&quot;00B74691&quot;/&gt;&lt;wsp:rsid wsp:val=&quot;00B74AE8&quot;/&gt;&lt;wsp:rsid wsp:val=&quot;00B74B41&quot;/&gt;&lt;wsp:rsid wsp:val=&quot;00B74CA3&quot;/&gt;&lt;wsp:rsid wsp:val=&quot;00B74ED4&quot;/&gt;&lt;wsp:rsid wsp:val=&quot;00B75125&quot;/&gt;&lt;wsp:rsid wsp:val=&quot;00B75794&quot;/&gt;&lt;wsp:rsid wsp:val=&quot;00B7589E&quot;/&gt;&lt;wsp:rsid wsp:val=&quot;00B75953&quot;/&gt;&lt;wsp:rsid wsp:val=&quot;00B75FB0&quot;/&gt;&lt;wsp:rsid wsp:val=&quot;00B760DE&quot;/&gt;&lt;wsp:rsid wsp:val=&quot;00B7646E&quot;/&gt;&lt;wsp:rsid wsp:val=&quot;00B76779&quot;/&gt;&lt;wsp:rsid wsp:val=&quot;00B76967&quot;/&gt;&lt;wsp:rsid wsp:val=&quot;00B7723F&quot;/&gt;&lt;wsp:rsid wsp:val=&quot;00B77CBF&quot;/&gt;&lt;wsp:rsid wsp:val=&quot;00B77D0C&quot;/&gt;&lt;wsp:rsid wsp:val=&quot;00B80534&quot;/&gt;&lt;wsp:rsid wsp:val=&quot;00B80A53&quot;/&gt;&lt;wsp:rsid wsp:val=&quot;00B80A84&quot;/&gt;&lt;wsp:rsid wsp:val=&quot;00B80CC8&quot;/&gt;&lt;wsp:rsid wsp:val=&quot;00B80CFD&quot;/&gt;&lt;wsp:rsid wsp:val=&quot;00B80E1F&quot;/&gt;&lt;wsp:rsid wsp:val=&quot;00B80FDB&quot;/&gt;&lt;wsp:rsid wsp:val=&quot;00B81959&quot;/&gt;&lt;wsp:rsid wsp:val=&quot;00B81E56&quot;/&gt;&lt;wsp:rsid wsp:val=&quot;00B8253E&quot;/&gt;&lt;wsp:rsid wsp:val=&quot;00B82949&quot;/&gt;&lt;wsp:rsid wsp:val=&quot;00B83109&quot;/&gt;&lt;wsp:rsid wsp:val=&quot;00B8433C&quot;/&gt;&lt;wsp:rsid wsp:val=&quot;00B84660&quot;/&gt;&lt;wsp:rsid wsp:val=&quot;00B861FC&quot;/&gt;&lt;wsp:rsid wsp:val=&quot;00B8626B&quot;/&gt;&lt;wsp:rsid wsp:val=&quot;00B866F1&quot;/&gt;&lt;wsp:rsid wsp:val=&quot;00B86E4B&quot;/&gt;&lt;wsp:rsid wsp:val=&quot;00B87491&quot;/&gt;&lt;wsp:rsid wsp:val=&quot;00B876C6&quot;/&gt;&lt;wsp:rsid wsp:val=&quot;00B877C1&quot;/&gt;&lt;wsp:rsid wsp:val=&quot;00B87986&quot;/&gt;&lt;wsp:rsid wsp:val=&quot;00B87ECE&quot;/&gt;&lt;wsp:rsid wsp:val=&quot;00B9004A&quot;/&gt;&lt;wsp:rsid wsp:val=&quot;00B90873&quot;/&gt;&lt;wsp:rsid wsp:val=&quot;00B90CE3&quot;/&gt;&lt;wsp:rsid wsp:val=&quot;00B919A3&quot;/&gt;&lt;wsp:rsid wsp:val=&quot;00B925A1&quot;/&gt;&lt;wsp:rsid wsp:val=&quot;00B927B6&quot;/&gt;&lt;wsp:rsid wsp:val=&quot;00B9298A&quot;/&gt;&lt;wsp:rsid wsp:val=&quot;00B92A71&quot;/&gt;&lt;wsp:rsid wsp:val=&quot;00B92B55&quot;/&gt;&lt;wsp:rsid wsp:val=&quot;00B9340B&quot;/&gt;&lt;wsp:rsid wsp:val=&quot;00B93729&quot;/&gt;&lt;wsp:rsid wsp:val=&quot;00B9419F&quot;/&gt;&lt;wsp:rsid wsp:val=&quot;00B9447E&quot;/&gt;&lt;wsp:rsid wsp:val=&quot;00B95B13&quot;/&gt;&lt;wsp:rsid wsp:val=&quot;00B969A8&quot;/&gt;&lt;wsp:rsid wsp:val=&quot;00B96A4B&quot;/&gt;&lt;wsp:rsid wsp:val=&quot;00B97269&quot;/&gt;&lt;wsp:rsid wsp:val=&quot;00BA0CE6&quot;/&gt;&lt;wsp:rsid wsp:val=&quot;00BA0DA4&quot;/&gt;&lt;wsp:rsid wsp:val=&quot;00BA1A59&quot;/&gt;&lt;wsp:rsid wsp:val=&quot;00BA23DA&quot;/&gt;&lt;wsp:rsid wsp:val=&quot;00BA2845&quot;/&gt;&lt;wsp:rsid wsp:val=&quot;00BA286C&quot;/&gt;&lt;wsp:rsid wsp:val=&quot;00BA29E9&quot;/&gt;&lt;wsp:rsid wsp:val=&quot;00BA2B0C&quot;/&gt;&lt;wsp:rsid wsp:val=&quot;00BA2CFA&quot;/&gt;&lt;wsp:rsid wsp:val=&quot;00BA2E72&quot;/&gt;&lt;wsp:rsid wsp:val=&quot;00BA3F95&quot;/&gt;&lt;wsp:rsid wsp:val=&quot;00BA459F&quot;/&gt;&lt;wsp:rsid wsp:val=&quot;00BA45AD&quot;/&gt;&lt;wsp:rsid wsp:val=&quot;00BA4E83&quot;/&gt;&lt;wsp:rsid wsp:val=&quot;00BA52FB&quot;/&gt;&lt;wsp:rsid wsp:val=&quot;00BA5907&quot;/&gt;&lt;wsp:rsid wsp:val=&quot;00BA5BA0&quot;/&gt;&lt;wsp:rsid wsp:val=&quot;00BA62C0&quot;/&gt;&lt;wsp:rsid wsp:val=&quot;00BA6728&quot;/&gt;&lt;wsp:rsid wsp:val=&quot;00BA6A07&quot;/&gt;&lt;wsp:rsid wsp:val=&quot;00BA6B5F&quot;/&gt;&lt;wsp:rsid wsp:val=&quot;00BA6F03&quot;/&gt;&lt;wsp:rsid wsp:val=&quot;00BA70B0&quot;/&gt;&lt;wsp:rsid wsp:val=&quot;00BA7142&quot;/&gt;&lt;wsp:rsid wsp:val=&quot;00BA780A&quot;/&gt;&lt;wsp:rsid wsp:val=&quot;00BA7B71&quot;/&gt;&lt;wsp:rsid wsp:val=&quot;00BA7CCD&quot;/&gt;&lt;wsp:rsid wsp:val=&quot;00BB0443&quot;/&gt;&lt;wsp:rsid wsp:val=&quot;00BB11AE&quot;/&gt;&lt;wsp:rsid wsp:val=&quot;00BB168C&quot;/&gt;&lt;wsp:rsid wsp:val=&quot;00BB170E&quot;/&gt;&lt;wsp:rsid wsp:val=&quot;00BB237C&quot;/&gt;&lt;wsp:rsid wsp:val=&quot;00BB2793&quot;/&gt;&lt;wsp:rsid wsp:val=&quot;00BB27A0&quot;/&gt;&lt;wsp:rsid wsp:val=&quot;00BB3421&quot;/&gt;&lt;wsp:rsid wsp:val=&quot;00BB37A6&quot;/&gt;&lt;wsp:rsid wsp:val=&quot;00BB40BE&quot;/&gt;&lt;wsp:rsid wsp:val=&quot;00BB41A3&quot;/&gt;&lt;wsp:rsid wsp:val=&quot;00BB4713&quot;/&gt;&lt;wsp:rsid wsp:val=&quot;00BB4A74&quot;/&gt;&lt;wsp:rsid wsp:val=&quot;00BB5286&quot;/&gt;&lt;wsp:rsid wsp:val=&quot;00BB5B7C&quot;/&gt;&lt;wsp:rsid wsp:val=&quot;00BB5C60&quot;/&gt;&lt;wsp:rsid wsp:val=&quot;00BB6F77&quot;/&gt;&lt;wsp:rsid wsp:val=&quot;00BB79D9&quot;/&gt;&lt;wsp:rsid wsp:val=&quot;00BB7C6D&quot;/&gt;&lt;wsp:rsid wsp:val=&quot;00BB7C79&quot;/&gt;&lt;wsp:rsid wsp:val=&quot;00BC0002&quot;/&gt;&lt;wsp:rsid wsp:val=&quot;00BC0280&quot;/&gt;&lt;wsp:rsid wsp:val=&quot;00BC0315&quot;/&gt;&lt;wsp:rsid wsp:val=&quot;00BC16B1&quot;/&gt;&lt;wsp:rsid wsp:val=&quot;00BC2CC8&quot;/&gt;&lt;wsp:rsid wsp:val=&quot;00BC31F1&quot;/&gt;&lt;wsp:rsid wsp:val=&quot;00BC32DC&quot;/&gt;&lt;wsp:rsid wsp:val=&quot;00BC35B6&quot;/&gt;&lt;wsp:rsid wsp:val=&quot;00BC36AD&quot;/&gt;&lt;wsp:rsid wsp:val=&quot;00BC3833&quot;/&gt;&lt;wsp:rsid wsp:val=&quot;00BC42EF&quot;/&gt;&lt;wsp:rsid wsp:val=&quot;00BC6607&quot;/&gt;&lt;wsp:rsid wsp:val=&quot;00BC74FE&quot;/&gt;&lt;wsp:rsid wsp:val=&quot;00BC7B92&quot;/&gt;&lt;wsp:rsid wsp:val=&quot;00BC7E2E&quot;/&gt;&lt;wsp:rsid wsp:val=&quot;00BD08CF&quot;/&gt;&lt;wsp:rsid wsp:val=&quot;00BD13E2&quot;/&gt;&lt;wsp:rsid wsp:val=&quot;00BD1539&quot;/&gt;&lt;wsp:rsid wsp:val=&quot;00BD1A53&quot;/&gt;&lt;wsp:rsid wsp:val=&quot;00BD1B51&quot;/&gt;&lt;wsp:rsid wsp:val=&quot;00BD1C79&quot;/&gt;&lt;wsp:rsid wsp:val=&quot;00BD2266&quot;/&gt;&lt;wsp:rsid wsp:val=&quot;00BD22CC&quot;/&gt;&lt;wsp:rsid wsp:val=&quot;00BD29C2&quot;/&gt;&lt;wsp:rsid wsp:val=&quot;00BD2E46&quot;/&gt;&lt;wsp:rsid wsp:val=&quot;00BD3220&quot;/&gt;&lt;wsp:rsid wsp:val=&quot;00BD332F&quot;/&gt;&lt;wsp:rsid wsp:val=&quot;00BD33A7&quot;/&gt;&lt;wsp:rsid wsp:val=&quot;00BD367C&quot;/&gt;&lt;wsp:rsid wsp:val=&quot;00BD37F5&quot;/&gt;&lt;wsp:rsid wsp:val=&quot;00BD407C&quot;/&gt;&lt;wsp:rsid wsp:val=&quot;00BD4596&quot;/&gt;&lt;wsp:rsid wsp:val=&quot;00BD4650&quot;/&gt;&lt;wsp:rsid wsp:val=&quot;00BD48AC&quot;/&gt;&lt;wsp:rsid wsp:val=&quot;00BD4D10&quot;/&gt;&lt;wsp:rsid wsp:val=&quot;00BD53D7&quot;/&gt;&lt;wsp:rsid wsp:val=&quot;00BD5C99&quot;/&gt;&lt;wsp:rsid wsp:val=&quot;00BD6414&quot;/&gt;&lt;wsp:rsid wsp:val=&quot;00BD69A6&quot;/&gt;&lt;wsp:rsid wsp:val=&quot;00BD7339&quot;/&gt;&lt;wsp:rsid wsp:val=&quot;00BD774E&quot;/&gt;&lt;wsp:rsid wsp:val=&quot;00BD7788&quot;/&gt;&lt;wsp:rsid wsp:val=&quot;00BE00F3&quot;/&gt;&lt;wsp:rsid wsp:val=&quot;00BE07D6&quot;/&gt;&lt;wsp:rsid wsp:val=&quot;00BE0A2F&quot;/&gt;&lt;wsp:rsid wsp:val=&quot;00BE1405&quot;/&gt;&lt;wsp:rsid wsp:val=&quot;00BE15A2&quot;/&gt;&lt;wsp:rsid wsp:val=&quot;00BE1608&quot;/&gt;&lt;wsp:rsid wsp:val=&quot;00BE1717&quot;/&gt;&lt;wsp:rsid wsp:val=&quot;00BE1F68&quot;/&gt;&lt;wsp:rsid wsp:val=&quot;00BE22BA&quot;/&gt;&lt;wsp:rsid wsp:val=&quot;00BE2363&quot;/&gt;&lt;wsp:rsid wsp:val=&quot;00BE27D4&quot;/&gt;&lt;wsp:rsid wsp:val=&quot;00BE288A&quot;/&gt;&lt;wsp:rsid wsp:val=&quot;00BE29B9&quot;/&gt;&lt;wsp:rsid wsp:val=&quot;00BE29FB&quot;/&gt;&lt;wsp:rsid wsp:val=&quot;00BE2BED&quot;/&gt;&lt;wsp:rsid wsp:val=&quot;00BE312D&quot;/&gt;&lt;wsp:rsid wsp:val=&quot;00BE3217&quot;/&gt;&lt;wsp:rsid wsp:val=&quot;00BE3691&quot;/&gt;&lt;wsp:rsid wsp:val=&quot;00BE37F9&quot;/&gt;&lt;wsp:rsid wsp:val=&quot;00BE4728&quot;/&gt;&lt;wsp:rsid wsp:val=&quot;00BE6BD0&quot;/&gt;&lt;wsp:rsid wsp:val=&quot;00BE719A&quot;/&gt;&lt;wsp:rsid wsp:val=&quot;00BF011C&quot;/&gt;&lt;wsp:rsid wsp:val=&quot;00BF0384&quot;/&gt;&lt;wsp:rsid wsp:val=&quot;00BF06C2&quot;/&gt;&lt;wsp:rsid wsp:val=&quot;00BF0773&quot;/&gt;&lt;wsp:rsid wsp:val=&quot;00BF19DD&quot;/&gt;&lt;wsp:rsid wsp:val=&quot;00BF1C20&quot;/&gt;&lt;wsp:rsid wsp:val=&quot;00BF206F&quot;/&gt;&lt;wsp:rsid wsp:val=&quot;00BF220F&quot;/&gt;&lt;wsp:rsid wsp:val=&quot;00BF2495&quot;/&gt;&lt;wsp:rsid wsp:val=&quot;00BF3447&quot;/&gt;&lt;wsp:rsid wsp:val=&quot;00BF365D&quot;/&gt;&lt;wsp:rsid wsp:val=&quot;00BF382A&quot;/&gt;&lt;wsp:rsid wsp:val=&quot;00BF3A40&quot;/&gt;&lt;wsp:rsid wsp:val=&quot;00BF3B99&quot;/&gt;&lt;wsp:rsid wsp:val=&quot;00BF3D71&quot;/&gt;&lt;wsp:rsid wsp:val=&quot;00BF3E44&quot;/&gt;&lt;wsp:rsid wsp:val=&quot;00BF453A&quot;/&gt;&lt;wsp:rsid wsp:val=&quot;00BF52CC&quot;/&gt;&lt;wsp:rsid wsp:val=&quot;00BF5C39&quot;/&gt;&lt;wsp:rsid wsp:val=&quot;00BF5F11&quot;/&gt;&lt;wsp:rsid wsp:val=&quot;00BF64EF&quot;/&gt;&lt;wsp:rsid wsp:val=&quot;00C003E8&quot;/&gt;&lt;wsp:rsid wsp:val=&quot;00C00A34&quot;/&gt;&lt;wsp:rsid wsp:val=&quot;00C00BED&quot;/&gt;&lt;wsp:rsid wsp:val=&quot;00C00E75&quot;/&gt;&lt;wsp:rsid wsp:val=&quot;00C01000&quot;/&gt;&lt;wsp:rsid wsp:val=&quot;00C012F7&quot;/&gt;&lt;wsp:rsid wsp:val=&quot;00C01899&quot;/&gt;&lt;wsp:rsid wsp:val=&quot;00C02BC4&quot;/&gt;&lt;wsp:rsid wsp:val=&quot;00C03141&quot;/&gt;&lt;wsp:rsid wsp:val=&quot;00C03C22&quot;/&gt;&lt;wsp:rsid wsp:val=&quot;00C045D6&quot;/&gt;&lt;wsp:rsid wsp:val=&quot;00C0477D&quot;/&gt;&lt;wsp:rsid wsp:val=&quot;00C04888&quot;/&gt;&lt;wsp:rsid wsp:val=&quot;00C04C89&quot;/&gt;&lt;wsp:rsid wsp:val=&quot;00C04F67&quot;/&gt;&lt;wsp:rsid wsp:val=&quot;00C054E6&quot;/&gt;&lt;wsp:rsid wsp:val=&quot;00C055F8&quot;/&gt;&lt;wsp:rsid wsp:val=&quot;00C05A3D&quot;/&gt;&lt;wsp:rsid wsp:val=&quot;00C06016&quot;/&gt;&lt;wsp:rsid wsp:val=&quot;00C06AC8&quot;/&gt;&lt;wsp:rsid wsp:val=&quot;00C07366&quot;/&gt;&lt;wsp:rsid wsp:val=&quot;00C079C0&quot;/&gt;&lt;wsp:rsid wsp:val=&quot;00C1001B&quot;/&gt;&lt;wsp:rsid wsp:val=&quot;00C10578&quot;/&gt;&lt;wsp:rsid wsp:val=&quot;00C117EF&quot;/&gt;&lt;wsp:rsid wsp:val=&quot;00C1191D&quot;/&gt;&lt;wsp:rsid wsp:val=&quot;00C135BC&quot;/&gt;&lt;wsp:rsid wsp:val=&quot;00C13E9C&quot;/&gt;&lt;wsp:rsid wsp:val=&quot;00C14009&quot;/&gt;&lt;wsp:rsid wsp:val=&quot;00C146DA&quot;/&gt;&lt;wsp:rsid wsp:val=&quot;00C14938&quot;/&gt;&lt;wsp:rsid wsp:val=&quot;00C14B02&quot;/&gt;&lt;wsp:rsid wsp:val=&quot;00C14FBA&quot;/&gt;&lt;wsp:rsid wsp:val=&quot;00C155C6&quot;/&gt;&lt;wsp:rsid wsp:val=&quot;00C15788&quot;/&gt;&lt;wsp:rsid wsp:val=&quot;00C1593C&quot;/&gt;&lt;wsp:rsid wsp:val=&quot;00C15C95&quot;/&gt;&lt;wsp:rsid wsp:val=&quot;00C15CE2&quot;/&gt;&lt;wsp:rsid wsp:val=&quot;00C15D17&quot;/&gt;&lt;wsp:rsid wsp:val=&quot;00C15E95&quot;/&gt;&lt;wsp:rsid wsp:val=&quot;00C160B9&quot;/&gt;&lt;wsp:rsid wsp:val=&quot;00C165FC&quot;/&gt;&lt;wsp:rsid wsp:val=&quot;00C168BB&quot;/&gt;&lt;wsp:rsid wsp:val=&quot;00C16C83&quot;/&gt;&lt;wsp:rsid wsp:val=&quot;00C1730D&quot;/&gt;&lt;wsp:rsid wsp:val=&quot;00C17A10&quot;/&gt;&lt;wsp:rsid wsp:val=&quot;00C17CDF&quot;/&gt;&lt;wsp:rsid wsp:val=&quot;00C17D65&quot;/&gt;&lt;wsp:rsid wsp:val=&quot;00C2006D&quot;/&gt;&lt;wsp:rsid wsp:val=&quot;00C20CD1&quot;/&gt;&lt;wsp:rsid wsp:val=&quot;00C20DFA&quot;/&gt;&lt;wsp:rsid wsp:val=&quot;00C21386&quot;/&gt;&lt;wsp:rsid wsp:val=&quot;00C22C2A&quot;/&gt;&lt;wsp:rsid wsp:val=&quot;00C25731&quot;/&gt;&lt;wsp:rsid wsp:val=&quot;00C2596A&quot;/&gt;&lt;wsp:rsid wsp:val=&quot;00C25C76&quot;/&gt;&lt;wsp:rsid wsp:val=&quot;00C260EB&quot;/&gt;&lt;wsp:rsid wsp:val=&quot;00C2614A&quot;/&gt;&lt;wsp:rsid wsp:val=&quot;00C262CE&quot;/&gt;&lt;wsp:rsid wsp:val=&quot;00C26327&quot;/&gt;&lt;wsp:rsid wsp:val=&quot;00C263AD&quot;/&gt;&lt;wsp:rsid wsp:val=&quot;00C27537&quot;/&gt;&lt;wsp:rsid wsp:val=&quot;00C27549&quot;/&gt;&lt;wsp:rsid wsp:val=&quot;00C27A18&quot;/&gt;&lt;wsp:rsid wsp:val=&quot;00C27C8B&quot;/&gt;&lt;wsp:rsid wsp:val=&quot;00C30713&quot;/&gt;&lt;wsp:rsid wsp:val=&quot;00C30840&quot;/&gt;&lt;wsp:rsid wsp:val=&quot;00C30DFE&quot;/&gt;&lt;wsp:rsid wsp:val=&quot;00C30EE9&quot;/&gt;&lt;wsp:rsid wsp:val=&quot;00C3160E&quot;/&gt;&lt;wsp:rsid wsp:val=&quot;00C31AB6&quot;/&gt;&lt;wsp:rsid wsp:val=&quot;00C32276&quot;/&gt;&lt;wsp:rsid wsp:val=&quot;00C323A8&quot;/&gt;&lt;wsp:rsid wsp:val=&quot;00C3260F&quot;/&gt;&lt;wsp:rsid wsp:val=&quot;00C328FE&quot;/&gt;&lt;wsp:rsid wsp:val=&quot;00C32E27&quot;/&gt;&lt;wsp:rsid wsp:val=&quot;00C333FB&quot;/&gt;&lt;wsp:rsid wsp:val=&quot;00C33507&quot;/&gt;&lt;wsp:rsid wsp:val=&quot;00C3393B&quot;/&gt;&lt;wsp:rsid wsp:val=&quot;00C33B34&quot;/&gt;&lt;wsp:rsid wsp:val=&quot;00C33D59&quot;/&gt;&lt;wsp:rsid wsp:val=&quot;00C3580E&quot;/&gt;&lt;wsp:rsid wsp:val=&quot;00C3697A&quot;/&gt;&lt;wsp:rsid wsp:val=&quot;00C37B7E&quot;/&gt;&lt;wsp:rsid wsp:val=&quot;00C40078&quot;/&gt;&lt;wsp:rsid wsp:val=&quot;00C40370&quot;/&gt;&lt;wsp:rsid wsp:val=&quot;00C403A6&quot;/&gt;&lt;wsp:rsid wsp:val=&quot;00C4042E&quot;/&gt;&lt;wsp:rsid wsp:val=&quot;00C40A78&quot;/&gt;&lt;wsp:rsid wsp:val=&quot;00C40B19&quot;/&gt;&lt;wsp:rsid wsp:val=&quot;00C40D39&quot;/&gt;&lt;wsp:rsid wsp:val=&quot;00C41243&quot;/&gt;&lt;wsp:rsid wsp:val=&quot;00C4134E&quot;/&gt;&lt;wsp:rsid wsp:val=&quot;00C41606&quot;/&gt;&lt;wsp:rsid wsp:val=&quot;00C41B46&quot;/&gt;&lt;wsp:rsid wsp:val=&quot;00C4291C&quot;/&gt;&lt;wsp:rsid wsp:val=&quot;00C4409D&quot;/&gt;&lt;wsp:rsid wsp:val=&quot;00C44E72&quot;/&gt;&lt;wsp:rsid wsp:val=&quot;00C45520&quot;/&gt;&lt;wsp:rsid wsp:val=&quot;00C45A06&quot;/&gt;&lt;wsp:rsid wsp:val=&quot;00C45C33&quot;/&gt;&lt;wsp:rsid wsp:val=&quot;00C46007&quot;/&gt;&lt;wsp:rsid wsp:val=&quot;00C46C3A&quot;/&gt;&lt;wsp:rsid wsp:val=&quot;00C470F8&quot;/&gt;&lt;wsp:rsid wsp:val=&quot;00C471C7&quot;/&gt;&lt;wsp:rsid wsp:val=&quot;00C47455&quot;/&gt;&lt;wsp:rsid wsp:val=&quot;00C47B3D&quot;/&gt;&lt;wsp:rsid wsp:val=&quot;00C47E5B&quot;/&gt;&lt;wsp:rsid wsp:val=&quot;00C5017A&quot;/&gt;&lt;wsp:rsid wsp:val=&quot;00C5027D&quot;/&gt;&lt;wsp:rsid wsp:val=&quot;00C5079C&quot;/&gt;&lt;wsp:rsid wsp:val=&quot;00C5127D&quot;/&gt;&lt;wsp:rsid wsp:val=&quot;00C52C40&quot;/&gt;&lt;wsp:rsid wsp:val=&quot;00C54574&quot;/&gt;&lt;wsp:rsid wsp:val=&quot;00C546E9&quot;/&gt;&lt;wsp:rsid wsp:val=&quot;00C54819&quot;/&gt;&lt;wsp:rsid wsp:val=&quot;00C54CC6&quot;/&gt;&lt;wsp:rsid wsp:val=&quot;00C5574F&quot;/&gt;&lt;wsp:rsid wsp:val=&quot;00C5575C&quot;/&gt;&lt;wsp:rsid wsp:val=&quot;00C56168&quot;/&gt;&lt;wsp:rsid wsp:val=&quot;00C56428&quot;/&gt;&lt;wsp:rsid wsp:val=&quot;00C567B8&quot;/&gt;&lt;wsp:rsid wsp:val=&quot;00C569B4&quot;/&gt;&lt;wsp:rsid wsp:val=&quot;00C573AB&quot;/&gt;&lt;wsp:rsid wsp:val=&quot;00C603BF&quot;/&gt;&lt;wsp:rsid wsp:val=&quot;00C60C57&quot;/&gt;&lt;wsp:rsid wsp:val=&quot;00C61BE7&quot;/&gt;&lt;wsp:rsid wsp:val=&quot;00C61E4B&quot;/&gt;&lt;wsp:rsid wsp:val=&quot;00C6242D&quot;/&gt;&lt;wsp:rsid wsp:val=&quot;00C62859&quot;/&gt;&lt;wsp:rsid wsp:val=&quot;00C6364E&quot;/&gt;&lt;wsp:rsid wsp:val=&quot;00C63C1F&quot;/&gt;&lt;wsp:rsid wsp:val=&quot;00C63EA0&quot;/&gt;&lt;wsp:rsid wsp:val=&quot;00C64038&quot;/&gt;&lt;wsp:rsid wsp:val=&quot;00C64165&quot;/&gt;&lt;wsp:rsid wsp:val=&quot;00C6426C&quot;/&gt;&lt;wsp:rsid wsp:val=&quot;00C64621&quot;/&gt;&lt;wsp:rsid wsp:val=&quot;00C64698&quot;/&gt;&lt;wsp:rsid wsp:val=&quot;00C646E2&quot;/&gt;&lt;wsp:rsid wsp:val=&quot;00C64BFF&quot;/&gt;&lt;wsp:rsid wsp:val=&quot;00C64C52&quot;/&gt;&lt;wsp:rsid wsp:val=&quot;00C64E1A&quot;/&gt;&lt;wsp:rsid wsp:val=&quot;00C65085&quot;/&gt;&lt;wsp:rsid wsp:val=&quot;00C65A56&quot;/&gt;&lt;wsp:rsid wsp:val=&quot;00C6625B&quot;/&gt;&lt;wsp:rsid wsp:val=&quot;00C6669E&quot;/&gt;&lt;wsp:rsid wsp:val=&quot;00C66E5C&quot;/&gt;&lt;wsp:rsid wsp:val=&quot;00C675EB&quot;/&gt;&lt;wsp:rsid wsp:val=&quot;00C67831&quot;/&gt;&lt;wsp:rsid wsp:val=&quot;00C6784B&quot;/&gt;&lt;wsp:rsid wsp:val=&quot;00C67D85&quot;/&gt;&lt;wsp:rsid wsp:val=&quot;00C7031A&quot;/&gt;&lt;wsp:rsid wsp:val=&quot;00C7042D&quot;/&gt;&lt;wsp:rsid wsp:val=&quot;00C70454&quot;/&gt;&lt;wsp:rsid wsp:val=&quot;00C704E9&quot;/&gt;&lt;wsp:rsid wsp:val=&quot;00C71BC4&quot;/&gt;&lt;wsp:rsid wsp:val=&quot;00C71C39&quot;/&gt;&lt;wsp:rsid wsp:val=&quot;00C71FB7&quot;/&gt;&lt;wsp:rsid wsp:val=&quot;00C72775&quot;/&gt;&lt;wsp:rsid wsp:val=&quot;00C72BD0&quot;/&gt;&lt;wsp:rsid wsp:val=&quot;00C7355C&quot;/&gt;&lt;wsp:rsid wsp:val=&quot;00C74730&quot;/&gt;&lt;wsp:rsid wsp:val=&quot;00C748A3&quot;/&gt;&lt;wsp:rsid wsp:val=&quot;00C74A98&quot;/&gt;&lt;wsp:rsid wsp:val=&quot;00C752BF&quot;/&gt;&lt;wsp:rsid wsp:val=&quot;00C75E9D&quot;/&gt;&lt;wsp:rsid wsp:val=&quot;00C7605E&quot;/&gt;&lt;wsp:rsid wsp:val=&quot;00C763C9&quot;/&gt;&lt;wsp:rsid wsp:val=&quot;00C76AB6&quot;/&gt;&lt;wsp:rsid wsp:val=&quot;00C76E28&quot;/&gt;&lt;wsp:rsid wsp:val=&quot;00C76FB1&quot;/&gt;&lt;wsp:rsid wsp:val=&quot;00C77052&quot;/&gt;&lt;wsp:rsid wsp:val=&quot;00C7726D&quot;/&gt;&lt;wsp:rsid wsp:val=&quot;00C80057&quot;/&gt;&lt;wsp:rsid wsp:val=&quot;00C80908&quot;/&gt;&lt;wsp:rsid wsp:val=&quot;00C80BED&quot;/&gt;&lt;wsp:rsid wsp:val=&quot;00C81D01&quot;/&gt;&lt;wsp:rsid wsp:val=&quot;00C82232&quot;/&gt;&lt;wsp:rsid wsp:val=&quot;00C822FF&quot;/&gt;&lt;wsp:rsid wsp:val=&quot;00C825E3&quot;/&gt;&lt;wsp:rsid wsp:val=&quot;00C82913&quot;/&gt;&lt;wsp:rsid wsp:val=&quot;00C82E45&quot;/&gt;&lt;wsp:rsid wsp:val=&quot;00C837AE&quot;/&gt;&lt;wsp:rsid wsp:val=&quot;00C83C13&quot;/&gt;&lt;wsp:rsid wsp:val=&quot;00C842AB&quot;/&gt;&lt;wsp:rsid wsp:val=&quot;00C8498D&quot;/&gt;&lt;wsp:rsid wsp:val=&quot;00C84F46&quot;/&gt;&lt;wsp:rsid wsp:val=&quot;00C850D2&quot;/&gt;&lt;wsp:rsid wsp:val=&quot;00C851D5&quot;/&gt;&lt;wsp:rsid wsp:val=&quot;00C8565E&quot;/&gt;&lt;wsp:rsid wsp:val=&quot;00C86018&quot;/&gt;&lt;wsp:rsid wsp:val=&quot;00C869E9&quot;/&gt;&lt;wsp:rsid wsp:val=&quot;00C873AE&quot;/&gt;&lt;wsp:rsid wsp:val=&quot;00C87442&quot;/&gt;&lt;wsp:rsid wsp:val=&quot;00C87520&quot;/&gt;&lt;wsp:rsid wsp:val=&quot;00C902C1&quot;/&gt;&lt;wsp:rsid wsp:val=&quot;00C908D9&quot;/&gt;&lt;wsp:rsid wsp:val=&quot;00C90B07&quot;/&gt;&lt;wsp:rsid wsp:val=&quot;00C91FAF&quot;/&gt;&lt;wsp:rsid wsp:val=&quot;00C91FF7&quot;/&gt;&lt;wsp:rsid wsp:val=&quot;00C92A45&quot;/&gt;&lt;wsp:rsid wsp:val=&quot;00C92BEB&quot;/&gt;&lt;wsp:rsid wsp:val=&quot;00C92DD4&quot;/&gt;&lt;wsp:rsid wsp:val=&quot;00C93B28&quot;/&gt;&lt;wsp:rsid wsp:val=&quot;00C94461&quot;/&gt;&lt;wsp:rsid wsp:val=&quot;00C94644&quot;/&gt;&lt;wsp:rsid wsp:val=&quot;00C94DEE&quot;/&gt;&lt;wsp:rsid wsp:val=&quot;00C96041&quot;/&gt;&lt;wsp:rsid wsp:val=&quot;00C96470&quot;/&gt;&lt;wsp:rsid wsp:val=&quot;00C96B49&quot;/&gt;&lt;wsp:rsid wsp:val=&quot;00C972B1&quot;/&gt;&lt;wsp:rsid wsp:val=&quot;00CA046D&quot;/&gt;&lt;wsp:rsid wsp:val=&quot;00CA055C&quot;/&gt;&lt;wsp:rsid wsp:val=&quot;00CA0966&quot;/&gt;&lt;wsp:rsid wsp:val=&quot;00CA0A23&quot;/&gt;&lt;wsp:rsid wsp:val=&quot;00CA0C89&quot;/&gt;&lt;wsp:rsid wsp:val=&quot;00CA0DA2&quot;/&gt;&lt;wsp:rsid wsp:val=&quot;00CA11A1&quot;/&gt;&lt;wsp:rsid wsp:val=&quot;00CA12DC&quot;/&gt;&lt;wsp:rsid wsp:val=&quot;00CA145D&quot;/&gt;&lt;wsp:rsid wsp:val=&quot;00CA212C&quot;/&gt;&lt;wsp:rsid wsp:val=&quot;00CA28A6&quot;/&gt;&lt;wsp:rsid wsp:val=&quot;00CA292A&quot;/&gt;&lt;wsp:rsid wsp:val=&quot;00CA2AF8&quot;/&gt;&lt;wsp:rsid wsp:val=&quot;00CA2CCE&quot;/&gt;&lt;wsp:rsid wsp:val=&quot;00CA43E4&quot;/&gt;&lt;wsp:rsid wsp:val=&quot;00CA43FD&quot;/&gt;&lt;wsp:rsid wsp:val=&quot;00CA458A&quot;/&gt;&lt;wsp:rsid wsp:val=&quot;00CA488A&quot;/&gt;&lt;wsp:rsid wsp:val=&quot;00CA49EE&quot;/&gt;&lt;wsp:rsid wsp:val=&quot;00CA508A&quot;/&gt;&lt;wsp:rsid wsp:val=&quot;00CA534F&quot;/&gt;&lt;wsp:rsid wsp:val=&quot;00CA57BF&quot;/&gt;&lt;wsp:rsid wsp:val=&quot;00CA5A0A&quot;/&gt;&lt;wsp:rsid wsp:val=&quot;00CA5AB5&quot;/&gt;&lt;wsp:rsid wsp:val=&quot;00CA6D38&quot;/&gt;&lt;wsp:rsid wsp:val=&quot;00CA715D&quot;/&gt;&lt;wsp:rsid wsp:val=&quot;00CA769F&quot;/&gt;&lt;wsp:rsid wsp:val=&quot;00CA7EF8&quot;/&gt;&lt;wsp:rsid wsp:val=&quot;00CB00CE&quot;/&gt;&lt;wsp:rsid wsp:val=&quot;00CB04D9&quot;/&gt;&lt;wsp:rsid wsp:val=&quot;00CB0855&quot;/&gt;&lt;wsp:rsid wsp:val=&quot;00CB0A19&quot;/&gt;&lt;wsp:rsid wsp:val=&quot;00CB0F0C&quot;/&gt;&lt;wsp:rsid wsp:val=&quot;00CB114E&quot;/&gt;&lt;wsp:rsid wsp:val=&quot;00CB2867&quot;/&gt;&lt;wsp:rsid wsp:val=&quot;00CB45B7&quot;/&gt;&lt;wsp:rsid wsp:val=&quot;00CB4917&quot;/&gt;&lt;wsp:rsid wsp:val=&quot;00CB4B07&quot;/&gt;&lt;wsp:rsid wsp:val=&quot;00CB4C3A&quot;/&gt;&lt;wsp:rsid wsp:val=&quot;00CB50B9&quot;/&gt;&lt;wsp:rsid wsp:val=&quot;00CB576C&quot;/&gt;&lt;wsp:rsid wsp:val=&quot;00CB581B&quot;/&gt;&lt;wsp:rsid wsp:val=&quot;00CB5E58&quot;/&gt;&lt;wsp:rsid wsp:val=&quot;00CB5F48&quot;/&gt;&lt;wsp:rsid wsp:val=&quot;00CB6662&quot;/&gt;&lt;wsp:rsid wsp:val=&quot;00CB6872&quot;/&gt;&lt;wsp:rsid wsp:val=&quot;00CB78FD&quot;/&gt;&lt;wsp:rsid wsp:val=&quot;00CB7AB8&quot;/&gt;&lt;wsp:rsid wsp:val=&quot;00CC0759&quot;/&gt;&lt;wsp:rsid wsp:val=&quot;00CC0E06&quot;/&gt;&lt;wsp:rsid wsp:val=&quot;00CC0F0C&quot;/&gt;&lt;wsp:rsid wsp:val=&quot;00CC135A&quot;/&gt;&lt;wsp:rsid wsp:val=&quot;00CC209D&quot;/&gt;&lt;wsp:rsid wsp:val=&quot;00CC21F1&quot;/&gt;&lt;wsp:rsid wsp:val=&quot;00CC2A5B&quot;/&gt;&lt;wsp:rsid wsp:val=&quot;00CC3204&quot;/&gt;&lt;wsp:rsid wsp:val=&quot;00CC3702&quot;/&gt;&lt;wsp:rsid wsp:val=&quot;00CC39C5&quot;/&gt;&lt;wsp:rsid wsp:val=&quot;00CC404C&quot;/&gt;&lt;wsp:rsid wsp:val=&quot;00CC46B5&quot;/&gt;&lt;wsp:rsid wsp:val=&quot;00CC489B&quot;/&gt;&lt;wsp:rsid wsp:val=&quot;00CC4AB6&quot;/&gt;&lt;wsp:rsid wsp:val=&quot;00CC5099&quot;/&gt;&lt;wsp:rsid wsp:val=&quot;00CC51B9&quot;/&gt;&lt;wsp:rsid wsp:val=&quot;00CC5ABD&quot;/&gt;&lt;wsp:rsid wsp:val=&quot;00CC5BC5&quot;/&gt;&lt;wsp:rsid wsp:val=&quot;00CC5D1D&quot;/&gt;&lt;wsp:rsid wsp:val=&quot;00CC67BB&quot;/&gt;&lt;wsp:rsid wsp:val=&quot;00CC7ADA&quot;/&gt;&lt;wsp:rsid wsp:val=&quot;00CC7C44&quot;/&gt;&lt;wsp:rsid wsp:val=&quot;00CD00DC&quot;/&gt;&lt;wsp:rsid wsp:val=&quot;00CD0A93&quot;/&gt;&lt;wsp:rsid wsp:val=&quot;00CD0EAD&quot;/&gt;&lt;wsp:rsid wsp:val=&quot;00CD1595&quot;/&gt;&lt;wsp:rsid wsp:val=&quot;00CD19E1&quot;/&gt;&lt;wsp:rsid wsp:val=&quot;00CD2894&quot;/&gt;&lt;wsp:rsid wsp:val=&quot;00CD292D&quot;/&gt;&lt;wsp:rsid wsp:val=&quot;00CD29D2&quot;/&gt;&lt;wsp:rsid wsp:val=&quot;00CD2B60&quot;/&gt;&lt;wsp:rsid wsp:val=&quot;00CD2BCD&quot;/&gt;&lt;wsp:rsid wsp:val=&quot;00CD316B&quot;/&gt;&lt;wsp:rsid wsp:val=&quot;00CD31A8&quot;/&gt;&lt;wsp:rsid wsp:val=&quot;00CD3A4C&quot;/&gt;&lt;wsp:rsid wsp:val=&quot;00CD49CC&quot;/&gt;&lt;wsp:rsid wsp:val=&quot;00CD590C&quot;/&gt;&lt;wsp:rsid wsp:val=&quot;00CD5B19&quot;/&gt;&lt;wsp:rsid wsp:val=&quot;00CD5EA0&quot;/&gt;&lt;wsp:rsid wsp:val=&quot;00CD65FC&quot;/&gt;&lt;wsp:rsid wsp:val=&quot;00CD6854&quot;/&gt;&lt;wsp:rsid wsp:val=&quot;00CD73E8&quot;/&gt;&lt;wsp:rsid wsp:val=&quot;00CE0059&quot;/&gt;&lt;wsp:rsid wsp:val=&quot;00CE10E9&quot;/&gt;&lt;wsp:rsid wsp:val=&quot;00CE144E&quot;/&gt;&lt;wsp:rsid wsp:val=&quot;00CE14C7&quot;/&gt;&lt;wsp:rsid wsp:val=&quot;00CE1C5A&quot;/&gt;&lt;wsp:rsid wsp:val=&quot;00CE2331&quot;/&gt;&lt;wsp:rsid wsp:val=&quot;00CE26FC&quot;/&gt;&lt;wsp:rsid wsp:val=&quot;00CE2817&quot;/&gt;&lt;wsp:rsid wsp:val=&quot;00CE2910&quot;/&gt;&lt;wsp:rsid wsp:val=&quot;00CE34BD&quot;/&gt;&lt;wsp:rsid wsp:val=&quot;00CE3D09&quot;/&gt;&lt;wsp:rsid wsp:val=&quot;00CE3F17&quot;/&gt;&lt;wsp:rsid wsp:val=&quot;00CE3FB1&quot;/&gt;&lt;wsp:rsid wsp:val=&quot;00CE49FD&quot;/&gt;&lt;wsp:rsid wsp:val=&quot;00CE4B2E&quot;/&gt;&lt;wsp:rsid wsp:val=&quot;00CE4FEE&quot;/&gt;&lt;wsp:rsid wsp:val=&quot;00CE5393&quot;/&gt;&lt;wsp:rsid wsp:val=&quot;00CE63E2&quot;/&gt;&lt;wsp:rsid wsp:val=&quot;00CE6FB9&quot;/&gt;&lt;wsp:rsid wsp:val=&quot;00CE7728&quot;/&gt;&lt;wsp:rsid wsp:val=&quot;00CE7A08&quot;/&gt;&lt;wsp:rsid wsp:val=&quot;00CE7C15&quot;/&gt;&lt;wsp:rsid wsp:val=&quot;00CF0771&quot;/&gt;&lt;wsp:rsid wsp:val=&quot;00CF0FCF&quot;/&gt;&lt;wsp:rsid wsp:val=&quot;00CF116C&quot;/&gt;&lt;wsp:rsid wsp:val=&quot;00CF13C8&quot;/&gt;&lt;wsp:rsid wsp:val=&quot;00CF1414&quot;/&gt;&lt;wsp:rsid wsp:val=&quot;00CF1CD7&quot;/&gt;&lt;wsp:rsid wsp:val=&quot;00CF1EB4&quot;/&gt;&lt;wsp:rsid wsp:val=&quot;00CF30C0&quot;/&gt;&lt;wsp:rsid wsp:val=&quot;00CF356D&quot;/&gt;&lt;wsp:rsid wsp:val=&quot;00CF36BE&quot;/&gt;&lt;wsp:rsid wsp:val=&quot;00CF387D&quot;/&gt;&lt;wsp:rsid wsp:val=&quot;00CF3E79&quot;/&gt;&lt;wsp:rsid wsp:val=&quot;00CF3FA8&quot;/&gt;&lt;wsp:rsid wsp:val=&quot;00CF43F3&quot;/&gt;&lt;wsp:rsid wsp:val=&quot;00CF4712&quot;/&gt;&lt;wsp:rsid wsp:val=&quot;00CF4CDD&quot;/&gt;&lt;wsp:rsid wsp:val=&quot;00CF4FC1&quot;/&gt;&lt;wsp:rsid wsp:val=&quot;00CF54D5&quot;/&gt;&lt;wsp:rsid wsp:val=&quot;00CF6000&quot;/&gt;&lt;wsp:rsid wsp:val=&quot;00CF6181&quot;/&gt;&lt;wsp:rsid wsp:val=&quot;00CF6C6A&quot;/&gt;&lt;wsp:rsid wsp:val=&quot;00CF7539&quot;/&gt;&lt;wsp:rsid wsp:val=&quot;00CF77B7&quot;/&gt;&lt;wsp:rsid wsp:val=&quot;00CF7F8F&quot;/&gt;&lt;wsp:rsid wsp:val=&quot;00D003F3&quot;/&gt;&lt;wsp:rsid wsp:val=&quot;00D00A7C&quot;/&gt;&lt;wsp:rsid wsp:val=&quot;00D0364F&quot;/&gt;&lt;wsp:rsid wsp:val=&quot;00D0450A&quot;/&gt;&lt;wsp:rsid wsp:val=&quot;00D04AAF&quot;/&gt;&lt;wsp:rsid wsp:val=&quot;00D054F7&quot;/&gt;&lt;wsp:rsid wsp:val=&quot;00D0672B&quot;/&gt;&lt;wsp:rsid wsp:val=&quot;00D06834&quot;/&gt;&lt;wsp:rsid wsp:val=&quot;00D06B57&quot;/&gt;&lt;wsp:rsid wsp:val=&quot;00D075E5&quot;/&gt;&lt;wsp:rsid wsp:val=&quot;00D109AC&quot;/&gt;&lt;wsp:rsid wsp:val=&quot;00D10B0E&quot;/&gt;&lt;wsp:rsid wsp:val=&quot;00D1106C&quot;/&gt;&lt;wsp:rsid wsp:val=&quot;00D1123F&quot;/&gt;&lt;wsp:rsid wsp:val=&quot;00D116BC&quot;/&gt;&lt;wsp:rsid wsp:val=&quot;00D117CA&quot;/&gt;&lt;wsp:rsid wsp:val=&quot;00D1218B&quot;/&gt;&lt;wsp:rsid wsp:val=&quot;00D12AF8&quot;/&gt;&lt;wsp:rsid wsp:val=&quot;00D1397C&quot;/&gt;&lt;wsp:rsid wsp:val=&quot;00D13C00&quot;/&gt;&lt;wsp:rsid wsp:val=&quot;00D14E77&quot;/&gt;&lt;wsp:rsid wsp:val=&quot;00D153AD&quot;/&gt;&lt;wsp:rsid wsp:val=&quot;00D16081&quot;/&gt;&lt;wsp:rsid wsp:val=&quot;00D162BA&quot;/&gt;&lt;wsp:rsid wsp:val=&quot;00D167BF&quot;/&gt;&lt;wsp:rsid wsp:val=&quot;00D169B7&quot;/&gt;&lt;wsp:rsid wsp:val=&quot;00D16B6C&quot;/&gt;&lt;wsp:rsid wsp:val=&quot;00D17475&quot;/&gt;&lt;wsp:rsid wsp:val=&quot;00D1770A&quot;/&gt;&lt;wsp:rsid wsp:val=&quot;00D17F23&quot;/&gt;&lt;wsp:rsid wsp:val=&quot;00D208A6&quot;/&gt;&lt;wsp:rsid wsp:val=&quot;00D218A1&quot;/&gt;&lt;wsp:rsid wsp:val=&quot;00D21943&quot;/&gt;&lt;wsp:rsid wsp:val=&quot;00D224E3&quot;/&gt;&lt;wsp:rsid wsp:val=&quot;00D229C3&quot;/&gt;&lt;wsp:rsid wsp:val=&quot;00D22A45&quot;/&gt;&lt;wsp:rsid wsp:val=&quot;00D22C08&quot;/&gt;&lt;wsp:rsid wsp:val=&quot;00D23830&quot;/&gt;&lt;wsp:rsid wsp:val=&quot;00D24720&quot;/&gt;&lt;wsp:rsid wsp:val=&quot;00D25753&quot;/&gt;&lt;wsp:rsid wsp:val=&quot;00D25D5E&quot;/&gt;&lt;wsp:rsid wsp:val=&quot;00D27263&quot;/&gt;&lt;wsp:rsid wsp:val=&quot;00D2756B&quot;/&gt;&lt;wsp:rsid wsp:val=&quot;00D279C6&quot;/&gt;&lt;wsp:rsid wsp:val=&quot;00D27EA3&quot;/&gt;&lt;wsp:rsid wsp:val=&quot;00D27F8E&quot;/&gt;&lt;wsp:rsid wsp:val=&quot;00D27FC7&quot;/&gt;&lt;wsp:rsid wsp:val=&quot;00D3067E&quot;/&gt;&lt;wsp:rsid wsp:val=&quot;00D308ED&quot;/&gt;&lt;wsp:rsid wsp:val=&quot;00D30C31&quot;/&gt;&lt;wsp:rsid wsp:val=&quot;00D312A3&quot;/&gt;&lt;wsp:rsid wsp:val=&quot;00D31B75&quot;/&gt;&lt;wsp:rsid wsp:val=&quot;00D32021&quot;/&gt;&lt;wsp:rsid wsp:val=&quot;00D32598&quot;/&gt;&lt;wsp:rsid wsp:val=&quot;00D32775&quot;/&gt;&lt;wsp:rsid wsp:val=&quot;00D33272&quot;/&gt;&lt;wsp:rsid wsp:val=&quot;00D33B25&quot;/&gt;&lt;wsp:rsid wsp:val=&quot;00D33D53&quot;/&gt;&lt;wsp:rsid wsp:val=&quot;00D34AD9&quot;/&gt;&lt;wsp:rsid wsp:val=&quot;00D34FA1&quot;/&gt;&lt;wsp:rsid wsp:val=&quot;00D36D86&quot;/&gt;&lt;wsp:rsid wsp:val=&quot;00D36EDF&quot;/&gt;&lt;wsp:rsid wsp:val=&quot;00D37679&quot;/&gt;&lt;wsp:rsid wsp:val=&quot;00D37D7B&quot;/&gt;&lt;wsp:rsid wsp:val=&quot;00D401BD&quot;/&gt;&lt;wsp:rsid wsp:val=&quot;00D40604&quot;/&gt;&lt;wsp:rsid wsp:val=&quot;00D4156C&quot;/&gt;&lt;wsp:rsid wsp:val=&quot;00D41783&quot;/&gt;&lt;wsp:rsid wsp:val=&quot;00D41FD5&quot;/&gt;&lt;wsp:rsid wsp:val=&quot;00D42441&quot;/&gt;&lt;wsp:rsid wsp:val=&quot;00D42829&quot;/&gt;&lt;wsp:rsid wsp:val=&quot;00D428AA&quot;/&gt;&lt;wsp:rsid wsp:val=&quot;00D42D8C&quot;/&gt;&lt;wsp:rsid wsp:val=&quot;00D438FB&quot;/&gt;&lt;wsp:rsid wsp:val=&quot;00D44830&quot;/&gt;&lt;wsp:rsid wsp:val=&quot;00D44C17&quot;/&gt;&lt;wsp:rsid wsp:val=&quot;00D454CA&quot;/&gt;&lt;wsp:rsid wsp:val=&quot;00D46BC4&quot;/&gt;&lt;wsp:rsid wsp:val=&quot;00D46F0C&quot;/&gt;&lt;wsp:rsid wsp:val=&quot;00D46FF8&quot;/&gt;&lt;wsp:rsid wsp:val=&quot;00D47D29&quot;/&gt;&lt;wsp:rsid wsp:val=&quot;00D5008B&quot;/&gt;&lt;wsp:rsid wsp:val=&quot;00D50A34&quot;/&gt;&lt;wsp:rsid wsp:val=&quot;00D50DC9&quot;/&gt;&lt;wsp:rsid wsp:val=&quot;00D512EF&quot;/&gt;&lt;wsp:rsid wsp:val=&quot;00D51668&quot;/&gt;&lt;wsp:rsid wsp:val=&quot;00D531A4&quot;/&gt;&lt;wsp:rsid wsp:val=&quot;00D53D67&quot;/&gt;&lt;wsp:rsid wsp:val=&quot;00D53E56&quot;/&gt;&lt;wsp:rsid wsp:val=&quot;00D53EFA&quot;/&gt;&lt;wsp:rsid wsp:val=&quot;00D5513D&quot;/&gt;&lt;wsp:rsid wsp:val=&quot;00D552B9&quot;/&gt;&lt;wsp:rsid wsp:val=&quot;00D55405&quot;/&gt;&lt;wsp:rsid wsp:val=&quot;00D558DB&quot;/&gt;&lt;wsp:rsid wsp:val=&quot;00D55F52&quot;/&gt;&lt;wsp:rsid wsp:val=&quot;00D57EDB&quot;/&gt;&lt;wsp:rsid wsp:val=&quot;00D60038&quot;/&gt;&lt;wsp:rsid wsp:val=&quot;00D60232&quot;/&gt;&lt;wsp:rsid wsp:val=&quot;00D60EEA&quot;/&gt;&lt;wsp:rsid wsp:val=&quot;00D6129F&quot;/&gt;&lt;wsp:rsid wsp:val=&quot;00D62122&quot;/&gt;&lt;wsp:rsid wsp:val=&quot;00D62322&quot;/&gt;&lt;wsp:rsid wsp:val=&quot;00D62DA7&quot;/&gt;&lt;wsp:rsid wsp:val=&quot;00D632AA&quot;/&gt;&lt;wsp:rsid wsp:val=&quot;00D63354&quot;/&gt;&lt;wsp:rsid wsp:val=&quot;00D63C2D&quot;/&gt;&lt;wsp:rsid wsp:val=&quot;00D63CD9&quot;/&gt;&lt;wsp:rsid wsp:val=&quot;00D63F8B&quot;/&gt;&lt;wsp:rsid wsp:val=&quot;00D64A34&quot;/&gt;&lt;wsp:rsid wsp:val=&quot;00D64EE9&quot;/&gt;&lt;wsp:rsid wsp:val=&quot;00D651F4&quot;/&gt;&lt;wsp:rsid wsp:val=&quot;00D661D9&quot;/&gt;&lt;wsp:rsid wsp:val=&quot;00D66311&quot;/&gt;&lt;wsp:rsid wsp:val=&quot;00D67714&quot;/&gt;&lt;wsp:rsid wsp:val=&quot;00D70781&quot;/&gt;&lt;wsp:rsid wsp:val=&quot;00D709CD&quot;/&gt;&lt;wsp:rsid wsp:val=&quot;00D70B00&quot;/&gt;&lt;wsp:rsid wsp:val=&quot;00D70BA5&quot;/&gt;&lt;wsp:rsid wsp:val=&quot;00D70D26&quot;/&gt;&lt;wsp:rsid wsp:val=&quot;00D70EDF&quot;/&gt;&lt;wsp:rsid wsp:val=&quot;00D71E07&quot;/&gt;&lt;wsp:rsid wsp:val=&quot;00D72485&quot;/&gt;&lt;wsp:rsid wsp:val=&quot;00D73429&quot;/&gt;&lt;wsp:rsid wsp:val=&quot;00D736E6&quot;/&gt;&lt;wsp:rsid wsp:val=&quot;00D73EC1&quot;/&gt;&lt;wsp:rsid wsp:val=&quot;00D74035&quot;/&gt;&lt;wsp:rsid wsp:val=&quot;00D74941&quot;/&gt;&lt;wsp:rsid wsp:val=&quot;00D74F97&quot;/&gt;&lt;wsp:rsid wsp:val=&quot;00D754EB&quot;/&gt;&lt;wsp:rsid wsp:val=&quot;00D760EC&quot;/&gt;&lt;wsp:rsid wsp:val=&quot;00D7641E&quot;/&gt;&lt;wsp:rsid wsp:val=&quot;00D76605&quot;/&gt;&lt;wsp:rsid wsp:val=&quot;00D76AE4&quot;/&gt;&lt;wsp:rsid wsp:val=&quot;00D76CEA&quot;/&gt;&lt;wsp:rsid wsp:val=&quot;00D77451&quot;/&gt;&lt;wsp:rsid wsp:val=&quot;00D775B4&quot;/&gt;&lt;wsp:rsid wsp:val=&quot;00D777C2&quot;/&gt;&lt;wsp:rsid wsp:val=&quot;00D77B68&quot;/&gt;&lt;wsp:rsid wsp:val=&quot;00D77C09&quot;/&gt;&lt;wsp:rsid wsp:val=&quot;00D77CC3&quot;/&gt;&lt;wsp:rsid wsp:val=&quot;00D77F07&quot;/&gt;&lt;wsp:rsid wsp:val=&quot;00D80AD4&quot;/&gt;&lt;wsp:rsid wsp:val=&quot;00D80CEA&quot;/&gt;&lt;wsp:rsid wsp:val=&quot;00D80D5A&quot;/&gt;&lt;wsp:rsid wsp:val=&quot;00D80E6F&quot;/&gt;&lt;wsp:rsid wsp:val=&quot;00D80F99&quot;/&gt;&lt;wsp:rsid wsp:val=&quot;00D81F98&quot;/&gt;&lt;wsp:rsid wsp:val=&quot;00D829E4&quot;/&gt;&lt;wsp:rsid wsp:val=&quot;00D83172&quot;/&gt;&lt;wsp:rsid wsp:val=&quot;00D83DDD&quot;/&gt;&lt;wsp:rsid wsp:val=&quot;00D84C23&quot;/&gt;&lt;wsp:rsid wsp:val=&quot;00D84D0A&quot;/&gt;&lt;wsp:rsid wsp:val=&quot;00D85521&quot;/&gt;&lt;wsp:rsid wsp:val=&quot;00D86351&quot;/&gt;&lt;wsp:rsid wsp:val=&quot;00D865A6&quot;/&gt;&lt;wsp:rsid wsp:val=&quot;00D86C41&quot;/&gt;&lt;wsp:rsid wsp:val=&quot;00D86CC2&quot;/&gt;&lt;wsp:rsid wsp:val=&quot;00D87A24&quot;/&gt;&lt;wsp:rsid wsp:val=&quot;00D907C4&quot;/&gt;&lt;wsp:rsid wsp:val=&quot;00D92753&quot;/&gt;&lt;wsp:rsid wsp:val=&quot;00D9309B&quot;/&gt;&lt;wsp:rsid wsp:val=&quot;00D93483&quot;/&gt;&lt;wsp:rsid wsp:val=&quot;00D93619&quot;/&gt;&lt;wsp:rsid wsp:val=&quot;00D94501&quot;/&gt;&lt;wsp:rsid wsp:val=&quot;00D94A7C&quot;/&gt;&lt;wsp:rsid wsp:val=&quot;00D94C5F&quot;/&gt;&lt;wsp:rsid wsp:val=&quot;00D94F3A&quot;/&gt;&lt;wsp:rsid wsp:val=&quot;00D953FC&quot;/&gt;&lt;wsp:rsid wsp:val=&quot;00D9567A&quot;/&gt;&lt;wsp:rsid wsp:val=&quot;00D95896&quot;/&gt;&lt;wsp:rsid wsp:val=&quot;00D95B05&quot;/&gt;&lt;wsp:rsid wsp:val=&quot;00D962BC&quot;/&gt;&lt;wsp:rsid wsp:val=&quot;00D96CE9&quot;/&gt;&lt;wsp:rsid wsp:val=&quot;00D96DC3&quot;/&gt;&lt;wsp:rsid wsp:val=&quot;00D9722C&quot;/&gt;&lt;wsp:rsid wsp:val=&quot;00DA0996&quot;/&gt;&lt;wsp:rsid wsp:val=&quot;00DA0E2E&quot;/&gt;&lt;wsp:rsid wsp:val=&quot;00DA0E61&quot;/&gt;&lt;wsp:rsid wsp:val=&quot;00DA1123&quot;/&gt;&lt;wsp:rsid wsp:val=&quot;00DA17CC&quot;/&gt;&lt;wsp:rsid wsp:val=&quot;00DA1AA7&quot;/&gt;&lt;wsp:rsid wsp:val=&quot;00DA1B74&quot;/&gt;&lt;wsp:rsid wsp:val=&quot;00DA24FC&quot;/&gt;&lt;wsp:rsid wsp:val=&quot;00DA266D&quot;/&gt;&lt;wsp:rsid wsp:val=&quot;00DA2760&quot;/&gt;&lt;wsp:rsid wsp:val=&quot;00DA3825&quot;/&gt;&lt;wsp:rsid wsp:val=&quot;00DA3F6C&quot;/&gt;&lt;wsp:rsid wsp:val=&quot;00DA415D&quot;/&gt;&lt;wsp:rsid wsp:val=&quot;00DA4563&quot;/&gt;&lt;wsp:rsid wsp:val=&quot;00DA470C&quot;/&gt;&lt;wsp:rsid wsp:val=&quot;00DA4734&quot;/&gt;&lt;wsp:rsid wsp:val=&quot;00DA4854&quot;/&gt;&lt;wsp:rsid wsp:val=&quot;00DA5299&quot;/&gt;&lt;wsp:rsid wsp:val=&quot;00DA56E6&quot;/&gt;&lt;wsp:rsid wsp:val=&quot;00DA5EE3&quot;/&gt;&lt;wsp:rsid wsp:val=&quot;00DA6BA1&quot;/&gt;&lt;wsp:rsid wsp:val=&quot;00DA6C5E&quot;/&gt;&lt;wsp:rsid wsp:val=&quot;00DA71B2&quot;/&gt;&lt;wsp:rsid wsp:val=&quot;00DA73A2&quot;/&gt;&lt;wsp:rsid wsp:val=&quot;00DA7672&quot;/&gt;&lt;wsp:rsid wsp:val=&quot;00DA7ADE&quot;/&gt;&lt;wsp:rsid wsp:val=&quot;00DA7C50&quot;/&gt;&lt;wsp:rsid wsp:val=&quot;00DA7F95&quot;/&gt;&lt;wsp:rsid wsp:val=&quot;00DA7FC6&quot;/&gt;&lt;wsp:rsid wsp:val=&quot;00DB0E6F&quot;/&gt;&lt;wsp:rsid wsp:val=&quot;00DB1EB1&quot;/&gt;&lt;wsp:rsid wsp:val=&quot;00DB1FF9&quot;/&gt;&lt;wsp:rsid wsp:val=&quot;00DB2696&quot;/&gt;&lt;wsp:rsid wsp:val=&quot;00DB2983&quot;/&gt;&lt;wsp:rsid wsp:val=&quot;00DB3C27&quot;/&gt;&lt;wsp:rsid wsp:val=&quot;00DB3EB1&quot;/&gt;&lt;wsp:rsid wsp:val=&quot;00DB43E5&quot;/&gt;&lt;wsp:rsid wsp:val=&quot;00DB4D4A&quot;/&gt;&lt;wsp:rsid wsp:val=&quot;00DB53AB&quot;/&gt;&lt;wsp:rsid wsp:val=&quot;00DB54B9&quot;/&gt;&lt;wsp:rsid wsp:val=&quot;00DB5922&quot;/&gt;&lt;wsp:rsid wsp:val=&quot;00DB5EA0&quot;/&gt;&lt;wsp:rsid wsp:val=&quot;00DB6473&quot;/&gt;&lt;wsp:rsid wsp:val=&quot;00DB668C&quot;/&gt;&lt;wsp:rsid wsp:val=&quot;00DB6E5D&quot;/&gt;&lt;wsp:rsid wsp:val=&quot;00DB7DEA&quot;/&gt;&lt;wsp:rsid wsp:val=&quot;00DC0114&quot;/&gt;&lt;wsp:rsid wsp:val=&quot;00DC0AD2&quot;/&gt;&lt;wsp:rsid wsp:val=&quot;00DC0E1B&quot;/&gt;&lt;wsp:rsid wsp:val=&quot;00DC1247&quot;/&gt;&lt;wsp:rsid wsp:val=&quot;00DC1257&quot;/&gt;&lt;wsp:rsid wsp:val=&quot;00DC1A9A&quot;/&gt;&lt;wsp:rsid wsp:val=&quot;00DC2216&quot;/&gt;&lt;wsp:rsid wsp:val=&quot;00DC2986&quot;/&gt;&lt;wsp:rsid wsp:val=&quot;00DC3BAB&quot;/&gt;&lt;wsp:rsid wsp:val=&quot;00DC3DC0&quot;/&gt;&lt;wsp:rsid wsp:val=&quot;00DC4518&quot;/&gt;&lt;wsp:rsid wsp:val=&quot;00DC4D51&quot;/&gt;&lt;wsp:rsid wsp:val=&quot;00DC563A&quot;/&gt;&lt;wsp:rsid wsp:val=&quot;00DC5B2B&quot;/&gt;&lt;wsp:rsid wsp:val=&quot;00DC5F5E&quot;/&gt;&lt;wsp:rsid wsp:val=&quot;00DC6334&quot;/&gt;&lt;wsp:rsid wsp:val=&quot;00DC63F0&quot;/&gt;&lt;wsp:rsid wsp:val=&quot;00DC65C3&quot;/&gt;&lt;wsp:rsid wsp:val=&quot;00DC6A82&quot;/&gt;&lt;wsp:rsid wsp:val=&quot;00DC6AFD&quot;/&gt;&lt;wsp:rsid wsp:val=&quot;00DC7574&quot;/&gt;&lt;wsp:rsid wsp:val=&quot;00DC77F6&quot;/&gt;&lt;wsp:rsid wsp:val=&quot;00DC7848&quot;/&gt;&lt;wsp:rsid wsp:val=&quot;00DD0061&quot;/&gt;&lt;wsp:rsid wsp:val=&quot;00DD183E&quot;/&gt;&lt;wsp:rsid wsp:val=&quot;00DD202F&quot;/&gt;&lt;wsp:rsid wsp:val=&quot;00DD23E4&quot;/&gt;&lt;wsp:rsid wsp:val=&quot;00DD28C3&quot;/&gt;&lt;wsp:rsid wsp:val=&quot;00DD318D&quot;/&gt;&lt;wsp:rsid wsp:val=&quot;00DD33E1&quot;/&gt;&lt;wsp:rsid wsp:val=&quot;00DD3534&quot;/&gt;&lt;wsp:rsid wsp:val=&quot;00DD4430&quot;/&gt;&lt;wsp:rsid wsp:val=&quot;00DD5914&quot;/&gt;&lt;wsp:rsid wsp:val=&quot;00DD59FA&quot;/&gt;&lt;wsp:rsid wsp:val=&quot;00DD5EE4&quot;/&gt;&lt;wsp:rsid wsp:val=&quot;00DD6538&quot;/&gt;&lt;wsp:rsid wsp:val=&quot;00DD655A&quot;/&gt;&lt;wsp:rsid wsp:val=&quot;00DD6CF6&quot;/&gt;&lt;wsp:rsid wsp:val=&quot;00DD715C&quot;/&gt;&lt;wsp:rsid wsp:val=&quot;00DD7414&quot;/&gt;&lt;wsp:rsid wsp:val=&quot;00DD75A1&quot;/&gt;&lt;wsp:rsid wsp:val=&quot;00DD78C9&quot;/&gt;&lt;wsp:rsid wsp:val=&quot;00DD7BBC&quot;/&gt;&lt;wsp:rsid wsp:val=&quot;00DD7E1B&quot;/&gt;&lt;wsp:rsid wsp:val=&quot;00DE01C8&quot;/&gt;&lt;wsp:rsid wsp:val=&quot;00DE03B7&quot;/&gt;&lt;wsp:rsid wsp:val=&quot;00DE093E&quot;/&gt;&lt;wsp:rsid wsp:val=&quot;00DE176A&quot;/&gt;&lt;wsp:rsid wsp:val=&quot;00DE270D&quot;/&gt;&lt;wsp:rsid wsp:val=&quot;00DE282D&quot;/&gt;&lt;wsp:rsid wsp:val=&quot;00DE2A0A&quot;/&gt;&lt;wsp:rsid wsp:val=&quot;00DE2B53&quot;/&gt;&lt;wsp:rsid wsp:val=&quot;00DE2C3A&quot;/&gt;&lt;wsp:rsid wsp:val=&quot;00DE316C&quot;/&gt;&lt;wsp:rsid wsp:val=&quot;00DE35D9&quot;/&gt;&lt;wsp:rsid wsp:val=&quot;00DE3BFB&quot;/&gt;&lt;wsp:rsid wsp:val=&quot;00DE4FFA&quot;/&gt;&lt;wsp:rsid wsp:val=&quot;00DE51D9&quot;/&gt;&lt;wsp:rsid wsp:val=&quot;00DE587C&quot;/&gt;&lt;wsp:rsid wsp:val=&quot;00DE6402&quot;/&gt;&lt;wsp:rsid wsp:val=&quot;00DE64A4&quot;/&gt;&lt;wsp:rsid wsp:val=&quot;00DE7810&quot;/&gt;&lt;wsp:rsid wsp:val=&quot;00DE7F9B&quot;/&gt;&lt;wsp:rsid wsp:val=&quot;00DF0215&quot;/&gt;&lt;wsp:rsid wsp:val=&quot;00DF1109&quot;/&gt;&lt;wsp:rsid wsp:val=&quot;00DF122E&quot;/&gt;&lt;wsp:rsid wsp:val=&quot;00DF2E12&quot;/&gt;&lt;wsp:rsid wsp:val=&quot;00DF3454&quot;/&gt;&lt;wsp:rsid wsp:val=&quot;00DF39CA&quot;/&gt;&lt;wsp:rsid wsp:val=&quot;00DF4C83&quot;/&gt;&lt;wsp:rsid wsp:val=&quot;00DF4D99&quot;/&gt;&lt;wsp:rsid wsp:val=&quot;00DF5055&quot;/&gt;&lt;wsp:rsid wsp:val=&quot;00DF514A&quot;/&gt;&lt;wsp:rsid wsp:val=&quot;00DF5458&quot;/&gt;&lt;wsp:rsid wsp:val=&quot;00DF5838&quot;/&gt;&lt;wsp:rsid wsp:val=&quot;00DF59F3&quot;/&gt;&lt;wsp:rsid wsp:val=&quot;00DF5F21&quot;/&gt;&lt;wsp:rsid wsp:val=&quot;00DF5FDF&quot;/&gt;&lt;wsp:rsid wsp:val=&quot;00DF6690&quot;/&gt;&lt;wsp:rsid wsp:val=&quot;00DF6804&quot;/&gt;&lt;wsp:rsid wsp:val=&quot;00DF6AEB&quot;/&gt;&lt;wsp:rsid wsp:val=&quot;00DF6F4F&quot;/&gt;&lt;wsp:rsid wsp:val=&quot;00DF7830&quot;/&gt;&lt;wsp:rsid wsp:val=&quot;00DF7855&quot;/&gt;&lt;wsp:rsid wsp:val=&quot;00DF7B0B&quot;/&gt;&lt;wsp:rsid wsp:val=&quot;00E0228B&quot;/&gt;&lt;wsp:rsid wsp:val=&quot;00E02F46&quot;/&gt;&lt;wsp:rsid wsp:val=&quot;00E0315A&quot;/&gt;&lt;wsp:rsid wsp:val=&quot;00E0358D&quot;/&gt;&lt;wsp:rsid wsp:val=&quot;00E03B23&quot;/&gt;&lt;wsp:rsid wsp:val=&quot;00E03CCD&quot;/&gt;&lt;wsp:rsid wsp:val=&quot;00E04323&quot;/&gt;&lt;wsp:rsid wsp:val=&quot;00E05147&quot;/&gt;&lt;wsp:rsid wsp:val=&quot;00E05202&quot;/&gt;&lt;wsp:rsid wsp:val=&quot;00E0617C&quot;/&gt;&lt;wsp:rsid wsp:val=&quot;00E061AC&quot;/&gt;&lt;wsp:rsid wsp:val=&quot;00E06D95&quot;/&gt;&lt;wsp:rsid wsp:val=&quot;00E070A2&quot;/&gt;&lt;wsp:rsid wsp:val=&quot;00E07B1E&quot;/&gt;&lt;wsp:rsid wsp:val=&quot;00E07C88&quot;/&gt;&lt;wsp:rsid wsp:val=&quot;00E07D30&quot;/&gt;&lt;wsp:rsid wsp:val=&quot;00E11B63&quot;/&gt;&lt;wsp:rsid wsp:val=&quot;00E11C7B&quot;/&gt;&lt;wsp:rsid wsp:val=&quot;00E1467E&quot;/&gt;&lt;wsp:rsid wsp:val=&quot;00E14935&quot;/&gt;&lt;wsp:rsid wsp:val=&quot;00E14E14&quot;/&gt;&lt;wsp:rsid wsp:val=&quot;00E14F62&quot;/&gt;&lt;wsp:rsid wsp:val=&quot;00E1579C&quot;/&gt;&lt;wsp:rsid wsp:val=&quot;00E159B1&quot;/&gt;&lt;wsp:rsid wsp:val=&quot;00E15ABF&quot;/&gt;&lt;wsp:rsid wsp:val=&quot;00E15B8F&quot;/&gt;&lt;wsp:rsid wsp:val=&quot;00E15F14&quot;/&gt;&lt;wsp:rsid wsp:val=&quot;00E164D5&quot;/&gt;&lt;wsp:rsid wsp:val=&quot;00E1651C&quot;/&gt;&lt;wsp:rsid wsp:val=&quot;00E171BB&quot;/&gt;&lt;wsp:rsid wsp:val=&quot;00E174E9&quot;/&gt;&lt;wsp:rsid wsp:val=&quot;00E176B4&quot;/&gt;&lt;wsp:rsid wsp:val=&quot;00E205D9&quot;/&gt;&lt;wsp:rsid wsp:val=&quot;00E20B69&quot;/&gt;&lt;wsp:rsid wsp:val=&quot;00E20CEF&quot;/&gt;&lt;wsp:rsid wsp:val=&quot;00E21331&quot;/&gt;&lt;wsp:rsid wsp:val=&quot;00E219C5&quot;/&gt;&lt;wsp:rsid wsp:val=&quot;00E22C74&quot;/&gt;&lt;wsp:rsid wsp:val=&quot;00E22C95&quot;/&gt;&lt;wsp:rsid wsp:val=&quot;00E2361F&quot;/&gt;&lt;wsp:rsid wsp:val=&quot;00E23A31&quot;/&gt;&lt;wsp:rsid wsp:val=&quot;00E23CFC&quot;/&gt;&lt;wsp:rsid wsp:val=&quot;00E23F16&quot;/&gt;&lt;wsp:rsid wsp:val=&quot;00E24126&quot;/&gt;&lt;wsp:rsid wsp:val=&quot;00E242B5&quot;/&gt;&lt;wsp:rsid wsp:val=&quot;00E2620F&quot;/&gt;&lt;wsp:rsid wsp:val=&quot;00E26356&quot;/&gt;&lt;wsp:rsid wsp:val=&quot;00E2656A&quot;/&gt;&lt;wsp:rsid wsp:val=&quot;00E26D91&quot;/&gt;&lt;wsp:rsid wsp:val=&quot;00E27D26&quot;/&gt;&lt;wsp:rsid wsp:val=&quot;00E27F8E&quot;/&gt;&lt;wsp:rsid wsp:val=&quot;00E30AF6&quot;/&gt;&lt;wsp:rsid wsp:val=&quot;00E313CC&quot;/&gt;&lt;wsp:rsid wsp:val=&quot;00E31679&quot;/&gt;&lt;wsp:rsid wsp:val=&quot;00E322CB&quot;/&gt;&lt;wsp:rsid wsp:val=&quot;00E327BB&quot;/&gt;&lt;wsp:rsid wsp:val=&quot;00E34585&quot;/&gt;&lt;wsp:rsid wsp:val=&quot;00E34C35&quot;/&gt;&lt;wsp:rsid wsp:val=&quot;00E35685&quot;/&gt;&lt;wsp:rsid wsp:val=&quot;00E36672&quot;/&gt;&lt;wsp:rsid wsp:val=&quot;00E36826&quot;/&gt;&lt;wsp:rsid wsp:val=&quot;00E36D79&quot;/&gt;&lt;wsp:rsid wsp:val=&quot;00E36EA9&quot;/&gt;&lt;wsp:rsid wsp:val=&quot;00E373CA&quot;/&gt;&lt;wsp:rsid wsp:val=&quot;00E3765E&quot;/&gt;&lt;wsp:rsid wsp:val=&quot;00E37B06&quot;/&gt;&lt;wsp:rsid wsp:val=&quot;00E37FF6&quot;/&gt;&lt;wsp:rsid wsp:val=&quot;00E40C7A&quot;/&gt;&lt;wsp:rsid wsp:val=&quot;00E40EEB&quot;/&gt;&lt;wsp:rsid wsp:val=&quot;00E40F29&quot;/&gt;&lt;wsp:rsid wsp:val=&quot;00E4120D&quot;/&gt;&lt;wsp:rsid wsp:val=&quot;00E412D0&quot;/&gt;&lt;wsp:rsid wsp:val=&quot;00E415A2&quot;/&gt;&lt;wsp:rsid wsp:val=&quot;00E417AA&quot;/&gt;&lt;wsp:rsid wsp:val=&quot;00E422A8&quot;/&gt;&lt;wsp:rsid wsp:val=&quot;00E42669&quot;/&gt;&lt;wsp:rsid wsp:val=&quot;00E4272C&quot;/&gt;&lt;wsp:rsid wsp:val=&quot;00E44493&quot;/&gt;&lt;wsp:rsid wsp:val=&quot;00E44531&quot;/&gt;&lt;wsp:rsid wsp:val=&quot;00E456E1&quot;/&gt;&lt;wsp:rsid wsp:val=&quot;00E460A0&quot;/&gt;&lt;wsp:rsid wsp:val=&quot;00E46CC7&quot;/&gt;&lt;wsp:rsid wsp:val=&quot;00E46DC4&quot;/&gt;&lt;wsp:rsid wsp:val=&quot;00E478E3&quot;/&gt;&lt;wsp:rsid wsp:val=&quot;00E47A47&quot;/&gt;&lt;wsp:rsid wsp:val=&quot;00E47EBE&quot;/&gt;&lt;wsp:rsid wsp:val=&quot;00E50140&quot;/&gt;&lt;wsp:rsid wsp:val=&quot;00E50CEF&quot;/&gt;&lt;wsp:rsid wsp:val=&quot;00E510BF&quot;/&gt;&lt;wsp:rsid wsp:val=&quot;00E51B1B&quot;/&gt;&lt;wsp:rsid wsp:val=&quot;00E52060&quot;/&gt;&lt;wsp:rsid wsp:val=&quot;00E521E6&quot;/&gt;&lt;wsp:rsid wsp:val=&quot;00E52FF3&quot;/&gt;&lt;wsp:rsid wsp:val=&quot;00E53281&quot;/&gt;&lt;wsp:rsid wsp:val=&quot;00E533CB&quot;/&gt;&lt;wsp:rsid wsp:val=&quot;00E5359B&quot;/&gt;&lt;wsp:rsid wsp:val=&quot;00E538F1&quot;/&gt;&lt;wsp:rsid wsp:val=&quot;00E539F9&quot;/&gt;&lt;wsp:rsid wsp:val=&quot;00E53A23&quot;/&gt;&lt;wsp:rsid wsp:val=&quot;00E5454A&quot;/&gt;&lt;wsp:rsid wsp:val=&quot;00E55F44&quot;/&gt;&lt;wsp:rsid wsp:val=&quot;00E560B8&quot;/&gt;&lt;wsp:rsid wsp:val=&quot;00E56322&quot;/&gt;&lt;wsp:rsid wsp:val=&quot;00E568DD&quot;/&gt;&lt;wsp:rsid wsp:val=&quot;00E5696B&quot;/&gt;&lt;wsp:rsid wsp:val=&quot;00E56A64&quot;/&gt;&lt;wsp:rsid wsp:val=&quot;00E56E12&quot;/&gt;&lt;wsp:rsid wsp:val=&quot;00E57F55&quot;/&gt;&lt;wsp:rsid wsp:val=&quot;00E6047B&quot;/&gt;&lt;wsp:rsid wsp:val=&quot;00E60982&quot;/&gt;&lt;wsp:rsid wsp:val=&quot;00E61972&quot;/&gt;&lt;wsp:rsid wsp:val=&quot;00E62092&quot;/&gt;&lt;wsp:rsid wsp:val=&quot;00E62863&quot;/&gt;&lt;wsp:rsid wsp:val=&quot;00E62A12&quot;/&gt;&lt;wsp:rsid wsp:val=&quot;00E62C62&quot;/&gt;&lt;wsp:rsid wsp:val=&quot;00E62E68&quot;/&gt;&lt;wsp:rsid wsp:val=&quot;00E631CB&quot;/&gt;&lt;wsp:rsid wsp:val=&quot;00E63AD2&quot;/&gt;&lt;wsp:rsid wsp:val=&quot;00E642B3&quot;/&gt;&lt;wsp:rsid wsp:val=&quot;00E64F93&quot;/&gt;&lt;wsp:rsid wsp:val=&quot;00E65210&quot;/&gt;&lt;wsp:rsid wsp:val=&quot;00E654C1&quot;/&gt;&lt;wsp:rsid wsp:val=&quot;00E65770&quot;/&gt;&lt;wsp:rsid wsp:val=&quot;00E65D97&quot;/&gt;&lt;wsp:rsid wsp:val=&quot;00E66142&quot;/&gt;&lt;wsp:rsid wsp:val=&quot;00E6655A&quot;/&gt;&lt;wsp:rsid wsp:val=&quot;00E6736C&quot;/&gt;&lt;wsp:rsid wsp:val=&quot;00E673DB&quot;/&gt;&lt;wsp:rsid wsp:val=&quot;00E67B3F&quot;/&gt;&lt;wsp:rsid wsp:val=&quot;00E67D8C&quot;/&gt;&lt;wsp:rsid wsp:val=&quot;00E7120C&quot;/&gt;&lt;wsp:rsid wsp:val=&quot;00E71DBB&quot;/&gt;&lt;wsp:rsid wsp:val=&quot;00E71EE5&quot;/&gt;&lt;wsp:rsid wsp:val=&quot;00E71FA8&quot;/&gt;&lt;wsp:rsid wsp:val=&quot;00E723F1&quot;/&gt;&lt;wsp:rsid wsp:val=&quot;00E724A7&quot;/&gt;&lt;wsp:rsid wsp:val=&quot;00E72A5A&quot;/&gt;&lt;wsp:rsid wsp:val=&quot;00E73354&quot;/&gt;&lt;wsp:rsid wsp:val=&quot;00E7337D&quot;/&gt;&lt;wsp:rsid wsp:val=&quot;00E73564&quot;/&gt;&lt;wsp:rsid wsp:val=&quot;00E73927&quot;/&gt;&lt;wsp:rsid wsp:val=&quot;00E739CD&quot;/&gt;&lt;wsp:rsid wsp:val=&quot;00E740B1&quot;/&gt;&lt;wsp:rsid wsp:val=&quot;00E752F7&quot;/&gt;&lt;wsp:rsid wsp:val=&quot;00E76147&quot;/&gt;&lt;wsp:rsid wsp:val=&quot;00E768EE&quot;/&gt;&lt;wsp:rsid wsp:val=&quot;00E76B06&quot;/&gt;&lt;wsp:rsid wsp:val=&quot;00E76E3D&quot;/&gt;&lt;wsp:rsid wsp:val=&quot;00E778F7&quot;/&gt;&lt;wsp:rsid wsp:val=&quot;00E77DD4&quot;/&gt;&lt;wsp:rsid wsp:val=&quot;00E77DD9&quot;/&gt;&lt;wsp:rsid wsp:val=&quot;00E77F8E&quot;/&gt;&lt;wsp:rsid wsp:val=&quot;00E802FC&quot;/&gt;&lt;wsp:rsid wsp:val=&quot;00E80432&quot;/&gt;&lt;wsp:rsid wsp:val=&quot;00E80565&quot;/&gt;&lt;wsp:rsid wsp:val=&quot;00E806B1&quot;/&gt;&lt;wsp:rsid wsp:val=&quot;00E80D7F&quot;/&gt;&lt;wsp:rsid wsp:val=&quot;00E815D0&quot;/&gt;&lt;wsp:rsid wsp:val=&quot;00E81703&quot;/&gt;&lt;wsp:rsid wsp:val=&quot;00E81940&quot;/&gt;&lt;wsp:rsid wsp:val=&quot;00E81B4C&quot;/&gt;&lt;wsp:rsid wsp:val=&quot;00E8288F&quot;/&gt;&lt;wsp:rsid wsp:val=&quot;00E82C28&quot;/&gt;&lt;wsp:rsid wsp:val=&quot;00E82D78&quot;/&gt;&lt;wsp:rsid wsp:val=&quot;00E83025&quot;/&gt;&lt;wsp:rsid wsp:val=&quot;00E83B7A&quot;/&gt;&lt;wsp:rsid wsp:val=&quot;00E843A3&quot;/&gt;&lt;wsp:rsid wsp:val=&quot;00E851C1&quot;/&gt;&lt;wsp:rsid wsp:val=&quot;00E85872&quot;/&gt;&lt;wsp:rsid wsp:val=&quot;00E85C4F&quot;/&gt;&lt;wsp:rsid wsp:val=&quot;00E86331&quot;/&gt;&lt;wsp:rsid wsp:val=&quot;00E8641B&quot;/&gt;&lt;wsp:rsid wsp:val=&quot;00E87445&quot;/&gt;&lt;wsp:rsid wsp:val=&quot;00E8752B&quot;/&gt;&lt;wsp:rsid wsp:val=&quot;00E877E8&quot;/&gt;&lt;wsp:rsid wsp:val=&quot;00E903B8&quot;/&gt;&lt;wsp:rsid wsp:val=&quot;00E9126D&quot;/&gt;&lt;wsp:rsid wsp:val=&quot;00E913EE&quot;/&gt;&lt;wsp:rsid wsp:val=&quot;00E9224A&quot;/&gt;&lt;wsp:rsid wsp:val=&quot;00E9242D&quot;/&gt;&lt;wsp:rsid wsp:val=&quot;00E924A2&quot;/&gt;&lt;wsp:rsid wsp:val=&quot;00E93666&quot;/&gt;&lt;wsp:rsid wsp:val=&quot;00E93D61&quot;/&gt;&lt;wsp:rsid wsp:val=&quot;00E94187&quot;/&gt;&lt;wsp:rsid wsp:val=&quot;00E941F4&quot;/&gt;&lt;wsp:rsid wsp:val=&quot;00E94370&quot;/&gt;&lt;wsp:rsid wsp:val=&quot;00E95325&quot;/&gt;&lt;wsp:rsid wsp:val=&quot;00E96F30&quot;/&gt;&lt;wsp:rsid wsp:val=&quot;00E97159&quot;/&gt;&lt;wsp:rsid wsp:val=&quot;00E97A3D&quot;/&gt;&lt;wsp:rsid wsp:val=&quot;00EA0D88&quot;/&gt;&lt;wsp:rsid wsp:val=&quot;00EA1064&quot;/&gt;&lt;wsp:rsid wsp:val=&quot;00EA17B2&quot;/&gt;&lt;wsp:rsid wsp:val=&quot;00EA1E90&quot;/&gt;&lt;wsp:rsid wsp:val=&quot;00EA206F&quot;/&gt;&lt;wsp:rsid wsp:val=&quot;00EA2F66&quot;/&gt;&lt;wsp:rsid wsp:val=&quot;00EA30EF&quot;/&gt;&lt;wsp:rsid wsp:val=&quot;00EA3908&quot;/&gt;&lt;wsp:rsid wsp:val=&quot;00EA404E&quot;/&gt;&lt;wsp:rsid wsp:val=&quot;00EA43BF&quot;/&gt;&lt;wsp:rsid wsp:val=&quot;00EA4A62&quot;/&gt;&lt;wsp:rsid wsp:val=&quot;00EA500F&quot;/&gt;&lt;wsp:rsid wsp:val=&quot;00EA52E4&quot;/&gt;&lt;wsp:rsid wsp:val=&quot;00EA5B7D&quot;/&gt;&lt;wsp:rsid wsp:val=&quot;00EA7116&quot;/&gt;&lt;wsp:rsid wsp:val=&quot;00EA734D&quot;/&gt;&lt;wsp:rsid wsp:val=&quot;00EA738C&quot;/&gt;&lt;wsp:rsid wsp:val=&quot;00EB00AC&quot;/&gt;&lt;wsp:rsid wsp:val=&quot;00EB0145&quot;/&gt;&lt;wsp:rsid wsp:val=&quot;00EB0513&quot;/&gt;&lt;wsp:rsid wsp:val=&quot;00EB07AA&quot;/&gt;&lt;wsp:rsid wsp:val=&quot;00EB1CFE&quot;/&gt;&lt;wsp:rsid wsp:val=&quot;00EB1F47&quot;/&gt;&lt;wsp:rsid wsp:val=&quot;00EB2DF2&quot;/&gt;&lt;wsp:rsid wsp:val=&quot;00EB33D6&quot;/&gt;&lt;wsp:rsid wsp:val=&quot;00EB4E3A&quot;/&gt;&lt;wsp:rsid wsp:val=&quot;00EB4E97&quot;/&gt;&lt;wsp:rsid wsp:val=&quot;00EB5255&quot;/&gt;&lt;wsp:rsid wsp:val=&quot;00EB57FE&quot;/&gt;&lt;wsp:rsid wsp:val=&quot;00EB59E7&quot;/&gt;&lt;wsp:rsid wsp:val=&quot;00EB5C47&quot;/&gt;&lt;wsp:rsid wsp:val=&quot;00EB5D20&quot;/&gt;&lt;wsp:rsid wsp:val=&quot;00EB5D28&quot;/&gt;&lt;wsp:rsid wsp:val=&quot;00EB653B&quot;/&gt;&lt;wsp:rsid wsp:val=&quot;00EB7BAE&quot;/&gt;&lt;wsp:rsid wsp:val=&quot;00EC0F11&quot;/&gt;&lt;wsp:rsid wsp:val=&quot;00EC1011&quot;/&gt;&lt;wsp:rsid wsp:val=&quot;00EC11A1&quot;/&gt;&lt;wsp:rsid wsp:val=&quot;00EC14A4&quot;/&gt;&lt;wsp:rsid wsp:val=&quot;00EC1943&quot;/&gt;&lt;wsp:rsid wsp:val=&quot;00EC2EAD&quot;/&gt;&lt;wsp:rsid wsp:val=&quot;00EC2ED9&quot;/&gt;&lt;wsp:rsid wsp:val=&quot;00EC3652&quot;/&gt;&lt;wsp:rsid wsp:val=&quot;00EC3B55&quot;/&gt;&lt;wsp:rsid wsp:val=&quot;00EC3D63&quot;/&gt;&lt;wsp:rsid wsp:val=&quot;00EC492F&quot;/&gt;&lt;wsp:rsid wsp:val=&quot;00EC4FEB&quot;/&gt;&lt;wsp:rsid wsp:val=&quot;00EC59A8&quot;/&gt;&lt;wsp:rsid wsp:val=&quot;00EC5A67&quot;/&gt;&lt;wsp:rsid wsp:val=&quot;00EC5D34&quot;/&gt;&lt;wsp:rsid wsp:val=&quot;00EC60D4&quot;/&gt;&lt;wsp:rsid wsp:val=&quot;00EC79EA&quot;/&gt;&lt;wsp:rsid wsp:val=&quot;00EC7A47&quot;/&gt;&lt;wsp:rsid wsp:val=&quot;00EC7C47&quot;/&gt;&lt;wsp:rsid wsp:val=&quot;00EC7F64&quot;/&gt;&lt;wsp:rsid wsp:val=&quot;00ED0639&quot;/&gt;&lt;wsp:rsid wsp:val=&quot;00ED06BE&quot;/&gt;&lt;wsp:rsid wsp:val=&quot;00ED06FE&quot;/&gt;&lt;wsp:rsid wsp:val=&quot;00ED0D7C&quot;/&gt;&lt;wsp:rsid wsp:val=&quot;00ED142F&quot;/&gt;&lt;wsp:rsid wsp:val=&quot;00ED152B&quot;/&gt;&lt;wsp:rsid wsp:val=&quot;00ED16DC&quot;/&gt;&lt;wsp:rsid wsp:val=&quot;00ED1A3E&quot;/&gt;&lt;wsp:rsid wsp:val=&quot;00ED2990&quot;/&gt;&lt;wsp:rsid wsp:val=&quot;00ED2A61&quot;/&gt;&lt;wsp:rsid wsp:val=&quot;00ED31CA&quot;/&gt;&lt;wsp:rsid wsp:val=&quot;00ED3DE9&quot;/&gt;&lt;wsp:rsid wsp:val=&quot;00ED41D7&quot;/&gt;&lt;wsp:rsid wsp:val=&quot;00ED4669&quot;/&gt;&lt;wsp:rsid wsp:val=&quot;00ED46E0&quot;/&gt;&lt;wsp:rsid wsp:val=&quot;00ED47FB&quot;/&gt;&lt;wsp:rsid wsp:val=&quot;00ED482B&quot;/&gt;&lt;wsp:rsid wsp:val=&quot;00ED4BE0&quot;/&gt;&lt;wsp:rsid wsp:val=&quot;00ED5263&quot;/&gt;&lt;wsp:rsid wsp:val=&quot;00ED52AE&quot;/&gt;&lt;wsp:rsid wsp:val=&quot;00ED55BC&quot;/&gt;&lt;wsp:rsid wsp:val=&quot;00ED5780&quot;/&gt;&lt;wsp:rsid wsp:val=&quot;00ED60E6&quot;/&gt;&lt;wsp:rsid wsp:val=&quot;00ED63C2&quot;/&gt;&lt;wsp:rsid wsp:val=&quot;00ED7024&quot;/&gt;&lt;wsp:rsid wsp:val=&quot;00ED749A&quot;/&gt;&lt;wsp:rsid wsp:val=&quot;00ED7FAF&quot;/&gt;&lt;wsp:rsid wsp:val=&quot;00EE031E&quot;/&gt;&lt;wsp:rsid wsp:val=&quot;00EE13EE&quot;/&gt;&lt;wsp:rsid wsp:val=&quot;00EE3EA9&quot;/&gt;&lt;wsp:rsid wsp:val=&quot;00EE4187&quot;/&gt;&lt;wsp:rsid wsp:val=&quot;00EE425D&quot;/&gt;&lt;wsp:rsid wsp:val=&quot;00EE4390&quot;/&gt;&lt;wsp:rsid wsp:val=&quot;00EE51C4&quot;/&gt;&lt;wsp:rsid wsp:val=&quot;00EE5331&quot;/&gt;&lt;wsp:rsid wsp:val=&quot;00EE5F0A&quot;/&gt;&lt;wsp:rsid wsp:val=&quot;00EE5FF1&quot;/&gt;&lt;wsp:rsid wsp:val=&quot;00EE629C&quot;/&gt;&lt;wsp:rsid wsp:val=&quot;00EE6A7C&quot;/&gt;&lt;wsp:rsid wsp:val=&quot;00EE77C7&quot;/&gt;&lt;wsp:rsid wsp:val=&quot;00EE7BFD&quot;/&gt;&lt;wsp:rsid wsp:val=&quot;00EF0354&quot;/&gt;&lt;wsp:rsid wsp:val=&quot;00EF14A0&quot;/&gt;&lt;wsp:rsid wsp:val=&quot;00EF1770&quot;/&gt;&lt;wsp:rsid wsp:val=&quot;00EF1A6A&quot;/&gt;&lt;wsp:rsid wsp:val=&quot;00EF1AD8&quot;/&gt;&lt;wsp:rsid wsp:val=&quot;00EF1E8F&quot;/&gt;&lt;wsp:rsid wsp:val=&quot;00EF1EDF&quot;/&gt;&lt;wsp:rsid wsp:val=&quot;00EF215B&quot;/&gt;&lt;wsp:rsid wsp:val=&quot;00EF2446&quot;/&gt;&lt;wsp:rsid wsp:val=&quot;00EF24D5&quot;/&gt;&lt;wsp:rsid wsp:val=&quot;00EF2670&quot;/&gt;&lt;wsp:rsid wsp:val=&quot;00EF2CFA&quot;/&gt;&lt;wsp:rsid wsp:val=&quot;00EF33D1&quot;/&gt;&lt;wsp:rsid wsp:val=&quot;00EF38D7&quot;/&gt;&lt;wsp:rsid wsp:val=&quot;00EF4755&quot;/&gt;&lt;wsp:rsid wsp:val=&quot;00EF4D1B&quot;/&gt;&lt;wsp:rsid wsp:val=&quot;00EF565E&quot;/&gt;&lt;wsp:rsid wsp:val=&quot;00EF5901&quot;/&gt;&lt;wsp:rsid wsp:val=&quot;00EF5943&quot;/&gt;&lt;wsp:rsid wsp:val=&quot;00EF6C64&quot;/&gt;&lt;wsp:rsid wsp:val=&quot;00EF7135&quot;/&gt;&lt;wsp:rsid wsp:val=&quot;00EF785E&quot;/&gt;&lt;wsp:rsid wsp:val=&quot;00EF7AB7&quot;/&gt;&lt;wsp:rsid wsp:val=&quot;00EF7CC6&quot;/&gt;&lt;wsp:rsid wsp:val=&quot;00F00DAA&quot;/&gt;&lt;wsp:rsid wsp:val=&quot;00F01F55&quot;/&gt;&lt;wsp:rsid wsp:val=&quot;00F02554&quot;/&gt;&lt;wsp:rsid wsp:val=&quot;00F027DB&quot;/&gt;&lt;wsp:rsid wsp:val=&quot;00F03744&quot;/&gt;&lt;wsp:rsid wsp:val=&quot;00F0378D&quot;/&gt;&lt;wsp:rsid wsp:val=&quot;00F03A02&quot;/&gt;&lt;wsp:rsid wsp:val=&quot;00F03D45&quot;/&gt;&lt;wsp:rsid wsp:val=&quot;00F05101&quot;/&gt;&lt;wsp:rsid wsp:val=&quot;00F05276&quot;/&gt;&lt;wsp:rsid wsp:val=&quot;00F0549F&quot;/&gt;&lt;wsp:rsid wsp:val=&quot;00F05DA6&quot;/&gt;&lt;wsp:rsid wsp:val=&quot;00F05DE1&quot;/&gt;&lt;wsp:rsid wsp:val=&quot;00F05ED9&quot;/&gt;&lt;wsp:rsid wsp:val=&quot;00F06CE3&quot;/&gt;&lt;wsp:rsid wsp:val=&quot;00F10210&quot;/&gt;&lt;wsp:rsid wsp:val=&quot;00F11C25&quot;/&gt;&lt;wsp:rsid wsp:val=&quot;00F122EF&quot;/&gt;&lt;wsp:rsid wsp:val=&quot;00F12B3F&quot;/&gt;&lt;wsp:rsid wsp:val=&quot;00F12C48&quot;/&gt;&lt;wsp:rsid wsp:val=&quot;00F13AFC&quot;/&gt;&lt;wsp:rsid wsp:val=&quot;00F13BFC&quot;/&gt;&lt;wsp:rsid wsp:val=&quot;00F14026&quot;/&gt;&lt;wsp:rsid wsp:val=&quot;00F1460F&quot;/&gt;&lt;wsp:rsid wsp:val=&quot;00F14A7A&quot;/&gt;&lt;wsp:rsid wsp:val=&quot;00F14E08&quot;/&gt;&lt;wsp:rsid wsp:val=&quot;00F15068&quot;/&gt;&lt;wsp:rsid wsp:val=&quot;00F1577B&quot;/&gt;&lt;wsp:rsid wsp:val=&quot;00F159EC&quot;/&gt;&lt;wsp:rsid wsp:val=&quot;00F15AD4&quot;/&gt;&lt;wsp:rsid wsp:val=&quot;00F15DB5&quot;/&gt;&lt;wsp:rsid wsp:val=&quot;00F15E6A&quot;/&gt;&lt;wsp:rsid wsp:val=&quot;00F15EFE&quot;/&gt;&lt;wsp:rsid wsp:val=&quot;00F164E0&quot;/&gt;&lt;wsp:rsid wsp:val=&quot;00F1687E&quot;/&gt;&lt;wsp:rsid wsp:val=&quot;00F16AC6&quot;/&gt;&lt;wsp:rsid wsp:val=&quot;00F16FC7&quot;/&gt;&lt;wsp:rsid wsp:val=&quot;00F176CE&quot;/&gt;&lt;wsp:rsid wsp:val=&quot;00F17930&quot;/&gt;&lt;wsp:rsid wsp:val=&quot;00F17AE2&quot;/&gt;&lt;wsp:rsid wsp:val=&quot;00F20C1F&quot;/&gt;&lt;wsp:rsid wsp:val=&quot;00F221B2&quot;/&gt;&lt;wsp:rsid wsp:val=&quot;00F225BA&quot;/&gt;&lt;wsp:rsid wsp:val=&quot;00F22687&quot;/&gt;&lt;wsp:rsid wsp:val=&quot;00F22985&quot;/&gt;&lt;wsp:rsid wsp:val=&quot;00F22ABA&quot;/&gt;&lt;wsp:rsid wsp:val=&quot;00F22E75&quot;/&gt;&lt;wsp:rsid wsp:val=&quot;00F2321E&quot;/&gt;&lt;wsp:rsid wsp:val=&quot;00F23333&quot;/&gt;&lt;wsp:rsid wsp:val=&quot;00F25267&quot;/&gt;&lt;wsp:rsid wsp:val=&quot;00F25999&quot;/&gt;&lt;wsp:rsid wsp:val=&quot;00F25B06&quot;/&gt;&lt;wsp:rsid wsp:val=&quot;00F25DF3&quot;/&gt;&lt;wsp:rsid wsp:val=&quot;00F2616A&quot;/&gt;&lt;wsp:rsid wsp:val=&quot;00F26F8F&quot;/&gt;&lt;wsp:rsid wsp:val=&quot;00F271C0&quot;/&gt;&lt;wsp:rsid wsp:val=&quot;00F27615&quot;/&gt;&lt;wsp:rsid wsp:val=&quot;00F27973&quot;/&gt;&lt;wsp:rsid wsp:val=&quot;00F30E38&quot;/&gt;&lt;wsp:rsid wsp:val=&quot;00F30F69&quot;/&gt;&lt;wsp:rsid wsp:val=&quot;00F31419&quot;/&gt;&lt;wsp:rsid wsp:val=&quot;00F3153B&quot;/&gt;&lt;wsp:rsid wsp:val=&quot;00F32291&quot;/&gt;&lt;wsp:rsid wsp:val=&quot;00F322DA&quot;/&gt;&lt;wsp:rsid wsp:val=&quot;00F323FC&quot;/&gt;&lt;wsp:rsid wsp:val=&quot;00F326F7&quot;/&gt;&lt;wsp:rsid wsp:val=&quot;00F32CC7&quot;/&gt;&lt;wsp:rsid wsp:val=&quot;00F32EB7&quot;/&gt;&lt;wsp:rsid wsp:val=&quot;00F336C7&quot;/&gt;&lt;wsp:rsid wsp:val=&quot;00F3383E&quot;/&gt;&lt;wsp:rsid wsp:val=&quot;00F33ED9&quot;/&gt;&lt;wsp:rsid wsp:val=&quot;00F34813&quot;/&gt;&lt;wsp:rsid wsp:val=&quot;00F356E6&quot;/&gt;&lt;wsp:rsid wsp:val=&quot;00F359A6&quot;/&gt;&lt;wsp:rsid wsp:val=&quot;00F36BA2&quot;/&gt;&lt;wsp:rsid wsp:val=&quot;00F36DE8&quot;/&gt;&lt;wsp:rsid wsp:val=&quot;00F37970&quot;/&gt;&lt;wsp:rsid wsp:val=&quot;00F40110&quot;/&gt;&lt;wsp:rsid wsp:val=&quot;00F4100C&quot;/&gt;&lt;wsp:rsid wsp:val=&quot;00F41464&quot;/&gt;&lt;wsp:rsid wsp:val=&quot;00F423CE&quot;/&gt;&lt;wsp:rsid wsp:val=&quot;00F42592&quot;/&gt;&lt;wsp:rsid wsp:val=&quot;00F42F07&quot;/&gt;&lt;wsp:rsid wsp:val=&quot;00F431BB&quot;/&gt;&lt;wsp:rsid wsp:val=&quot;00F444E6&quot;/&gt;&lt;wsp:rsid wsp:val=&quot;00F44B8A&quot;/&gt;&lt;wsp:rsid wsp:val=&quot;00F44D94&quot;/&gt;&lt;wsp:rsid wsp:val=&quot;00F45060&quot;/&gt;&lt;wsp:rsid wsp:val=&quot;00F45BDF&quot;/&gt;&lt;wsp:rsid wsp:val=&quot;00F45E07&quot;/&gt;&lt;wsp:rsid wsp:val=&quot;00F45F44&quot;/&gt;&lt;wsp:rsid wsp:val=&quot;00F465A7&quot;/&gt;&lt;wsp:rsid wsp:val=&quot;00F466E2&quot;/&gt;&lt;wsp:rsid wsp:val=&quot;00F466FB&quot;/&gt;&lt;wsp:rsid wsp:val=&quot;00F476CF&quot;/&gt;&lt;wsp:rsid wsp:val=&quot;00F47B88&quot;/&gt;&lt;wsp:rsid wsp:val=&quot;00F50B7C&quot;/&gt;&lt;wsp:rsid wsp:val=&quot;00F514E1&quot;/&gt;&lt;wsp:rsid wsp:val=&quot;00F5192A&quot;/&gt;&lt;wsp:rsid wsp:val=&quot;00F51B15&quot;/&gt;&lt;wsp:rsid wsp:val=&quot;00F51EFA&quot;/&gt;&lt;wsp:rsid wsp:val=&quot;00F533E7&quot;/&gt;&lt;wsp:rsid wsp:val=&quot;00F53727&quot;/&gt;&lt;wsp:rsid wsp:val=&quot;00F53FBA&quot;/&gt;&lt;wsp:rsid wsp:val=&quot;00F54264&quot;/&gt;&lt;wsp:rsid wsp:val=&quot;00F5426D&quot;/&gt;&lt;wsp:rsid wsp:val=&quot;00F545CB&quot;/&gt;&lt;wsp:rsid wsp:val=&quot;00F54699&quot;/&gt;&lt;wsp:rsid wsp:val=&quot;00F54964&quot;/&gt;&lt;wsp:rsid wsp:val=&quot;00F550E6&quot;/&gt;&lt;wsp:rsid wsp:val=&quot;00F5586C&quot;/&gt;&lt;wsp:rsid wsp:val=&quot;00F5623C&quot;/&gt;&lt;wsp:rsid wsp:val=&quot;00F56582&quot;/&gt;&lt;wsp:rsid wsp:val=&quot;00F56ABF&quot;/&gt;&lt;wsp:rsid wsp:val=&quot;00F56B4F&quot;/&gt;&lt;wsp:rsid wsp:val=&quot;00F5707F&quot;/&gt;&lt;wsp:rsid wsp:val=&quot;00F60469&quot;/&gt;&lt;wsp:rsid wsp:val=&quot;00F60511&quot;/&gt;&lt;wsp:rsid wsp:val=&quot;00F6062E&quot;/&gt;&lt;wsp:rsid wsp:val=&quot;00F6069A&quot;/&gt;&lt;wsp:rsid wsp:val=&quot;00F607BA&quot;/&gt;&lt;wsp:rsid wsp:val=&quot;00F60F24&quot;/&gt;&lt;wsp:rsid wsp:val=&quot;00F60FCE&quot;/&gt;&lt;wsp:rsid wsp:val=&quot;00F6160C&quot;/&gt;&lt;wsp:rsid wsp:val=&quot;00F61D1D&quot;/&gt;&lt;wsp:rsid wsp:val=&quot;00F61E7C&quot;/&gt;&lt;wsp:rsid wsp:val=&quot;00F62156&quot;/&gt;&lt;wsp:rsid wsp:val=&quot;00F628A6&quot;/&gt;&lt;wsp:rsid wsp:val=&quot;00F62BB6&quot;/&gt;&lt;wsp:rsid wsp:val=&quot;00F63120&quot;/&gt;&lt;wsp:rsid wsp:val=&quot;00F63FAF&quot;/&gt;&lt;wsp:rsid wsp:val=&quot;00F64F45&quot;/&gt;&lt;wsp:rsid wsp:val=&quot;00F650D5&quot;/&gt;&lt;wsp:rsid wsp:val=&quot;00F6556C&quot;/&gt;&lt;wsp:rsid wsp:val=&quot;00F65FF3&quot;/&gt;&lt;wsp:rsid wsp:val=&quot;00F67049&quot;/&gt;&lt;wsp:rsid wsp:val=&quot;00F67FC7&quot;/&gt;&lt;wsp:rsid wsp:val=&quot;00F70181&quot;/&gt;&lt;wsp:rsid wsp:val=&quot;00F70C1E&quot;/&gt;&lt;wsp:rsid wsp:val=&quot;00F7153C&quot;/&gt;&lt;wsp:rsid wsp:val=&quot;00F715EC&quot;/&gt;&lt;wsp:rsid wsp:val=&quot;00F7191F&quot;/&gt;&lt;wsp:rsid wsp:val=&quot;00F71DED&quot;/&gt;&lt;wsp:rsid wsp:val=&quot;00F74345&quot;/&gt;&lt;wsp:rsid wsp:val=&quot;00F74881&quot;/&gt;&lt;wsp:rsid wsp:val=&quot;00F74B66&quot;/&gt;&lt;wsp:rsid wsp:val=&quot;00F74BA2&quot;/&gt;&lt;wsp:rsid wsp:val=&quot;00F74E18&quot;/&gt;&lt;wsp:rsid wsp:val=&quot;00F7563C&quot;/&gt;&lt;wsp:rsid wsp:val=&quot;00F75B68&quot;/&gt;&lt;wsp:rsid wsp:val=&quot;00F75B92&quot;/&gt;&lt;wsp:rsid wsp:val=&quot;00F76CFE&quot;/&gt;&lt;wsp:rsid wsp:val=&quot;00F76F07&quot;/&gt;&lt;wsp:rsid wsp:val=&quot;00F779F1&quot;/&gt;&lt;wsp:rsid wsp:val=&quot;00F77D37&quot;/&gt;&lt;wsp:rsid wsp:val=&quot;00F80355&quot;/&gt;&lt;wsp:rsid wsp:val=&quot;00F8068A&quot;/&gt;&lt;wsp:rsid wsp:val=&quot;00F80A0A&quot;/&gt;&lt;wsp:rsid wsp:val=&quot;00F8103C&quot;/&gt;&lt;wsp:rsid wsp:val=&quot;00F81647&quot;/&gt;&lt;wsp:rsid wsp:val=&quot;00F826F6&quot;/&gt;&lt;wsp:rsid wsp:val=&quot;00F82B19&quot;/&gt;&lt;wsp:rsid wsp:val=&quot;00F8317C&quot;/&gt;&lt;wsp:rsid wsp:val=&quot;00F83C66&quot;/&gt;&lt;wsp:rsid wsp:val=&quot;00F84198&quot;/&gt;&lt;wsp:rsid wsp:val=&quot;00F845AF&quot;/&gt;&lt;wsp:rsid wsp:val=&quot;00F84FF6&quot;/&gt;&lt;wsp:rsid wsp:val=&quot;00F85FA4&quot;/&gt;&lt;wsp:rsid wsp:val=&quot;00F86544&quot;/&gt;&lt;wsp:rsid wsp:val=&quot;00F867F6&quot;/&gt;&lt;wsp:rsid wsp:val=&quot;00F870AC&quot;/&gt;&lt;wsp:rsid wsp:val=&quot;00F876C3&quot;/&gt;&lt;wsp:rsid wsp:val=&quot;00F8797B&quot;/&gt;&lt;wsp:rsid wsp:val=&quot;00F901E4&quot;/&gt;&lt;wsp:rsid wsp:val=&quot;00F903C8&quot;/&gt;&lt;wsp:rsid wsp:val=&quot;00F90643&quot;/&gt;&lt;wsp:rsid wsp:val=&quot;00F90677&quot;/&gt;&lt;wsp:rsid wsp:val=&quot;00F9086D&quot;/&gt;&lt;wsp:rsid wsp:val=&quot;00F9150C&quot;/&gt;&lt;wsp:rsid wsp:val=&quot;00F91AB8&quot;/&gt;&lt;wsp:rsid wsp:val=&quot;00F9210F&quot;/&gt;&lt;wsp:rsid wsp:val=&quot;00F9212D&quot;/&gt;&lt;wsp:rsid wsp:val=&quot;00F92CF2&quot;/&gt;&lt;wsp:rsid wsp:val=&quot;00F92E6B&quot;/&gt;&lt;wsp:rsid wsp:val=&quot;00F92EC0&quot;/&gt;&lt;wsp:rsid wsp:val=&quot;00F93432&quot;/&gt;&lt;wsp:rsid wsp:val=&quot;00F936FE&quot;/&gt;&lt;wsp:rsid wsp:val=&quot;00F93B1A&quot;/&gt;&lt;wsp:rsid wsp:val=&quot;00F93DF1&quot;/&gt;&lt;wsp:rsid wsp:val=&quot;00F94055&quot;/&gt;&lt;wsp:rsid wsp:val=&quot;00F94888&quot;/&gt;&lt;wsp:rsid wsp:val=&quot;00F94A06&quot;/&gt;&lt;wsp:rsid wsp:val=&quot;00F94AA4&quot;/&gt;&lt;wsp:rsid wsp:val=&quot;00F9528D&quot;/&gt;&lt;wsp:rsid wsp:val=&quot;00F95297&quot;/&gt;&lt;wsp:rsid wsp:val=&quot;00F952F1&quot;/&gt;&lt;wsp:rsid wsp:val=&quot;00F96133&quot;/&gt;&lt;wsp:rsid wsp:val=&quot;00F961E0&quot;/&gt;&lt;wsp:rsid wsp:val=&quot;00F9633A&quot;/&gt;&lt;wsp:rsid wsp:val=&quot;00F965DA&quot;/&gt;&lt;wsp:rsid wsp:val=&quot;00F96FA4&quot;/&gt;&lt;wsp:rsid wsp:val=&quot;00F970F7&quot;/&gt;&lt;wsp:rsid wsp:val=&quot;00F9763E&quot;/&gt;&lt;wsp:rsid wsp:val=&quot;00F97E5C&quot;/&gt;&lt;wsp:rsid wsp:val=&quot;00FA0052&quot;/&gt;&lt;wsp:rsid wsp:val=&quot;00FA18F8&quot;/&gt;&lt;wsp:rsid wsp:val=&quot;00FA1A7E&quot;/&gt;&lt;wsp:rsid wsp:val=&quot;00FA1DB6&quot;/&gt;&lt;wsp:rsid wsp:val=&quot;00FA2106&quot;/&gt;&lt;wsp:rsid wsp:val=&quot;00FA2D80&quot;/&gt;&lt;wsp:rsid wsp:val=&quot;00FA320A&quot;/&gt;&lt;wsp:rsid wsp:val=&quot;00FA33D0&quot;/&gt;&lt;wsp:rsid wsp:val=&quot;00FA37B8&quot;/&gt;&lt;wsp:rsid wsp:val=&quot;00FA4000&quot;/&gt;&lt;wsp:rsid wsp:val=&quot;00FA406A&quot;/&gt;&lt;wsp:rsid wsp:val=&quot;00FA460E&quot;/&gt;&lt;wsp:rsid wsp:val=&quot;00FA49F4&quot;/&gt;&lt;wsp:rsid wsp:val=&quot;00FA4BE8&quot;/&gt;&lt;wsp:rsid wsp:val=&quot;00FA51D9&quot;/&gt;&lt;wsp:rsid wsp:val=&quot;00FA5FA8&quot;/&gt;&lt;wsp:rsid wsp:val=&quot;00FA609D&quot;/&gt;&lt;wsp:rsid wsp:val=&quot;00FA6660&quot;/&gt;&lt;wsp:rsid wsp:val=&quot;00FA78A2&quot;/&gt;&lt;wsp:rsid wsp:val=&quot;00FA78C3&quot;/&gt;&lt;wsp:rsid wsp:val=&quot;00FB0825&quot;/&gt;&lt;wsp:rsid wsp:val=&quot;00FB0A12&quot;/&gt;&lt;wsp:rsid wsp:val=&quot;00FB1833&quot;/&gt;&lt;wsp:rsid wsp:val=&quot;00FB1D45&quot;/&gt;&lt;wsp:rsid wsp:val=&quot;00FB27A5&quot;/&gt;&lt;wsp:rsid wsp:val=&quot;00FB2A35&quot;/&gt;&lt;wsp:rsid wsp:val=&quot;00FB2EBF&quot;/&gt;&lt;wsp:rsid wsp:val=&quot;00FB4753&quot;/&gt;&lt;wsp:rsid wsp:val=&quot;00FB479A&quot;/&gt;&lt;wsp:rsid wsp:val=&quot;00FB4814&quot;/&gt;&lt;wsp:rsid wsp:val=&quot;00FB4820&quot;/&gt;&lt;wsp:rsid wsp:val=&quot;00FB488B&quot;/&gt;&lt;wsp:rsid wsp:val=&quot;00FB503A&quot;/&gt;&lt;wsp:rsid wsp:val=&quot;00FB516C&quot;/&gt;&lt;wsp:rsid wsp:val=&quot;00FB5E45&quot;/&gt;&lt;wsp:rsid wsp:val=&quot;00FB661A&quot;/&gt;&lt;wsp:rsid wsp:val=&quot;00FB69E9&quot;/&gt;&lt;wsp:rsid wsp:val=&quot;00FB73D5&quot;/&gt;&lt;wsp:rsid wsp:val=&quot;00FB769D&quot;/&gt;&lt;wsp:rsid wsp:val=&quot;00FB7D96&quot;/&gt;&lt;wsp:rsid wsp:val=&quot;00FC10ED&quot;/&gt;&lt;wsp:rsid wsp:val=&quot;00FC137D&quot;/&gt;&lt;wsp:rsid wsp:val=&quot;00FC27E6&quot;/&gt;&lt;wsp:rsid wsp:val=&quot;00FC2A3B&quot;/&gt;&lt;wsp:rsid wsp:val=&quot;00FC2B35&quot;/&gt;&lt;wsp:rsid wsp:val=&quot;00FC2C40&quot;/&gt;&lt;wsp:rsid wsp:val=&quot;00FC2E99&quot;/&gt;&lt;wsp:rsid wsp:val=&quot;00FC317E&quot;/&gt;&lt;wsp:rsid wsp:val=&quot;00FC3189&quot;/&gt;&lt;wsp:rsid wsp:val=&quot;00FC31CC&quot;/&gt;&lt;wsp:rsid wsp:val=&quot;00FC38E0&quot;/&gt;&lt;wsp:rsid wsp:val=&quot;00FC4033&quot;/&gt;&lt;wsp:rsid wsp:val=&quot;00FC4322&quot;/&gt;&lt;wsp:rsid wsp:val=&quot;00FC488F&quot;/&gt;&lt;wsp:rsid wsp:val=&quot;00FC4D7E&quot;/&gt;&lt;wsp:rsid wsp:val=&quot;00FC51B1&quot;/&gt;&lt;wsp:rsid wsp:val=&quot;00FC61CB&quot;/&gt;&lt;wsp:rsid wsp:val=&quot;00FC6A10&quot;/&gt;&lt;wsp:rsid wsp:val=&quot;00FC712B&quot;/&gt;&lt;wsp:rsid wsp:val=&quot;00FC7568&quot;/&gt;&lt;wsp:rsid wsp:val=&quot;00FC7B85&quot;/&gt;&lt;wsp:rsid wsp:val=&quot;00FD002D&quot;/&gt;&lt;wsp:rsid wsp:val=&quot;00FD0236&quot;/&gt;&lt;wsp:rsid wsp:val=&quot;00FD09EA&quot;/&gt;&lt;wsp:rsid wsp:val=&quot;00FD0EDF&quot;/&gt;&lt;wsp:rsid wsp:val=&quot;00FD18F4&quot;/&gt;&lt;wsp:rsid wsp:val=&quot;00FD3DF7&quot;/&gt;&lt;wsp:rsid wsp:val=&quot;00FD3E4B&quot;/&gt;&lt;wsp:rsid wsp:val=&quot;00FD50D3&quot;/&gt;&lt;wsp:rsid wsp:val=&quot;00FD54DB&quot;/&gt;&lt;wsp:rsid wsp:val=&quot;00FD612A&quot;/&gt;&lt;wsp:rsid wsp:val=&quot;00FD619F&quot;/&gt;&lt;wsp:rsid wsp:val=&quot;00FD6F3F&quot;/&gt;&lt;wsp:rsid wsp:val=&quot;00FD7850&quot;/&gt;&lt;wsp:rsid wsp:val=&quot;00FD79A5&quot;/&gt;&lt;wsp:rsid wsp:val=&quot;00FE0BCA&quot;/&gt;&lt;wsp:rsid wsp:val=&quot;00FE0C56&quot;/&gt;&lt;wsp:rsid wsp:val=&quot;00FE0EEE&quot;/&gt;&lt;wsp:rsid wsp:val=&quot;00FE1309&quot;/&gt;&lt;wsp:rsid wsp:val=&quot;00FE1CA7&quot;/&gt;&lt;wsp:rsid wsp:val=&quot;00FE1D4D&quot;/&gt;&lt;wsp:rsid wsp:val=&quot;00FE2B44&quot;/&gt;&lt;wsp:rsid wsp:val=&quot;00FE2BA0&quot;/&gt;&lt;wsp:rsid wsp:val=&quot;00FE3B4D&quot;/&gt;&lt;wsp:rsid wsp:val=&quot;00FE3FA3&quot;/&gt;&lt;wsp:rsid wsp:val=&quot;00FE5BAA&quot;/&gt;&lt;wsp:rsid wsp:val=&quot;00FE7484&quot;/&gt;&lt;wsp:rsid wsp:val=&quot;00FE7731&quot;/&gt;&lt;wsp:rsid wsp:val=&quot;00FE78C7&quot;/&gt;&lt;wsp:rsid wsp:val=&quot;00FF0175&quot;/&gt;&lt;wsp:rsid wsp:val=&quot;00FF0567&quot;/&gt;&lt;wsp:rsid wsp:val=&quot;00FF08FD&quot;/&gt;&lt;wsp:rsid wsp:val=&quot;00FF096E&quot;/&gt;&lt;wsp:rsid wsp:val=&quot;00FF0A7A&quot;/&gt;&lt;wsp:rsid wsp:val=&quot;00FF0AEF&quot;/&gt;&lt;wsp:rsid wsp:val=&quot;00FF133B&quot;/&gt;&lt;wsp:rsid wsp:val=&quot;00FF1BE3&quot;/&gt;&lt;wsp:rsid wsp:val=&quot;00FF1C7A&quot;/&gt;&lt;wsp:rsid wsp:val=&quot;00FF1FF8&quot;/&gt;&lt;wsp:rsid wsp:val=&quot;00FF217E&quot;/&gt;&lt;wsp:rsid wsp:val=&quot;00FF2FD3&quot;/&gt;&lt;wsp:rsid wsp:val=&quot;00FF41F8&quot;/&gt;&lt;wsp:rsid wsp:val=&quot;00FF4A19&quot;/&gt;&lt;wsp:rsid wsp:val=&quot;00FF4CCF&quot;/&gt;&lt;wsp:rsid wsp:val=&quot;00FF5B05&quot;/&gt;&lt;wsp:rsid wsp:val=&quot;00FF6961&quot;/&gt;&lt;wsp:rsid wsp:val=&quot;00FF7CCE&quot;/&gt;&lt;wsp:rsid wsp:val=&quot;01290F7E&quot;/&gt;&lt;wsp:rsid wsp:val=&quot;015D1E09&quot;/&gt;&lt;wsp:rsid wsp:val=&quot;02697903&quot;/&gt;&lt;wsp:rsid wsp:val=&quot;02F96569&quot;/&gt;&lt;wsp:rsid wsp:val=&quot;03EA7B21&quot;/&gt;&lt;wsp:rsid wsp:val=&quot;05F83EAE&quot;/&gt;&lt;wsp:rsid wsp:val=&quot;063E7D85&quot;/&gt;&lt;wsp:rsid wsp:val=&quot;07293586&quot;/&gt;&lt;wsp:rsid wsp:val=&quot;07295285&quot;/&gt;&lt;wsp:rsid wsp:val=&quot;07636392&quot;/&gt;&lt;wsp:rsid wsp:val=&quot;07770C56&quot;/&gt;&lt;wsp:rsid wsp:val=&quot;092217DD&quot;/&gt;&lt;wsp:rsid wsp:val=&quot;093A7294&quot;/&gt;&lt;wsp:rsid wsp:val=&quot;0A263993&quot;/&gt;&lt;wsp:rsid wsp:val=&quot;0A2D3AC2&quot;/&gt;&lt;wsp:rsid wsp:val=&quot;0AA755DF&quot;/&gt;&lt;wsp:rsid wsp:val=&quot;0B120D44&quot;/&gt;&lt;wsp:rsid wsp:val=&quot;0BD27BF6&quot;/&gt;&lt;wsp:rsid wsp:val=&quot;0BF858C2&quot;/&gt;&lt;wsp:rsid wsp:val=&quot;0C3B3C7D&quot;/&gt;&lt;wsp:rsid wsp:val=&quot;0CAB2EAE&quot;/&gt;&lt;wsp:rsid wsp:val=&quot;0D621C7D&quot;/&gt;&lt;wsp:rsid wsp:val=&quot;0E73034D&quot;/&gt;&lt;wsp:rsid wsp:val=&quot;0F13775A&quot;/&gt;&lt;wsp:rsid wsp:val=&quot;0F5F45FE&quot;/&gt;&lt;wsp:rsid wsp:val=&quot;0F9A112B&quot;/&gt;&lt;wsp:rsid wsp:val=&quot;106D2F64&quot;/&gt;&lt;wsp:rsid wsp:val=&quot;10B63710&quot;/&gt;&lt;wsp:rsid wsp:val=&quot;10F10820&quot;/&gt;&lt;wsp:rsid wsp:val=&quot;111C2F7A&quot;/&gt;&lt;wsp:rsid wsp:val=&quot;11665CA1&quot;/&gt;&lt;wsp:rsid wsp:val=&quot;13951726&quot;/&gt;&lt;wsp:rsid wsp:val=&quot;14396509&quot;/&gt;&lt;wsp:rsid wsp:val=&quot;14DD2C3C&quot;/&gt;&lt;wsp:rsid wsp:val=&quot;16087E1D&quot;/&gt;&lt;wsp:rsid wsp:val=&quot;17701D14&quot;/&gt;&lt;wsp:rsid wsp:val=&quot;17735226&quot;/&gt;&lt;wsp:rsid wsp:val=&quot;189F624C&quot;/&gt;&lt;wsp:rsid wsp:val=&quot;1A1C66C0&quot;/&gt;&lt;wsp:rsid wsp:val=&quot;1A42393B&quot;/&gt;&lt;wsp:rsid wsp:val=&quot;1AAD45DE&quot;/&gt;&lt;wsp:rsid wsp:val=&quot;1B046F80&quot;/&gt;&lt;wsp:rsid wsp:val=&quot;1B3267B5&quot;/&gt;&lt;wsp:rsid wsp:val=&quot;1B40161D&quot;/&gt;&lt;wsp:rsid wsp:val=&quot;1B441859&quot;/&gt;&lt;wsp:rsid wsp:val=&quot;1B6606B1&quot;/&gt;&lt;wsp:rsid wsp:val=&quot;1C5936D2&quot;/&gt;&lt;wsp:rsid wsp:val=&quot;1C5E7925&quot;/&gt;&lt;wsp:rsid wsp:val=&quot;1CD90113&quot;/&gt;&lt;wsp:rsid wsp:val=&quot;1CFD070F&quot;/&gt;&lt;wsp:rsid wsp:val=&quot;1D5F6196&quot;/&gt;&lt;wsp:rsid wsp:val=&quot;1D6132A5&quot;/&gt;&lt;wsp:rsid wsp:val=&quot;1D8E56D5&quot;/&gt;&lt;wsp:rsid wsp:val=&quot;1E7A43DA&quot;/&gt;&lt;wsp:rsid wsp:val=&quot;1F1C595D&quot;/&gt;&lt;wsp:rsid wsp:val=&quot;1FE7539E&quot;/&gt;&lt;wsp:rsid wsp:val=&quot;20671BE0&quot;/&gt;&lt;wsp:rsid wsp:val=&quot;20963CB8&quot;/&gt;&lt;wsp:rsid wsp:val=&quot;20A81A1B&quot;/&gt;&lt;wsp:rsid wsp:val=&quot;20B07FB6&quot;/&gt;&lt;wsp:rsid wsp:val=&quot;20B646FB&quot;/&gt;&lt;wsp:rsid wsp:val=&quot;21373521&quot;/&gt;&lt;wsp:rsid wsp:val=&quot;213B74B1&quot;/&gt;&lt;wsp:rsid wsp:val=&quot;215A2310&quot;/&gt;&lt;wsp:rsid wsp:val=&quot;21DE318A&quot;/&gt;&lt;wsp:rsid wsp:val=&quot;21EF5B80&quot;/&gt;&lt;wsp:rsid wsp:val=&quot;22576990&quot;/&gt;&lt;wsp:rsid wsp:val=&quot;22F47480&quot;/&gt;&lt;wsp:rsid wsp:val=&quot;23DE1C48&quot;/&gt;&lt;wsp:rsid wsp:val=&quot;240210CD&quot;/&gt;&lt;wsp:rsid wsp:val=&quot;24293D1D&quot;/&gt;&lt;wsp:rsid wsp:val=&quot;24BF09F7&quot;/&gt;&lt;wsp:rsid wsp:val=&quot;252D53FE&quot;/&gt;&lt;wsp:rsid wsp:val=&quot;25EC2D81&quot;/&gt;&lt;wsp:rsid wsp:val=&quot;277057A2&quot;/&gt;&lt;wsp:rsid wsp:val=&quot;29206EB8&quot;/&gt;&lt;wsp:rsid wsp:val=&quot;29595666&quot;/&gt;&lt;wsp:rsid wsp:val=&quot;296D5306&quot;/&gt;&lt;wsp:rsid wsp:val=&quot;29874881&quot;/&gt;&lt;wsp:rsid wsp:val=&quot;29B7625C&quot;/&gt;&lt;wsp:rsid wsp:val=&quot;29E325E0&quot;/&gt;&lt;wsp:rsid wsp:val=&quot;2A452503&quot;/&gt;&lt;wsp:rsid wsp:val=&quot;2BA936A8&quot;/&gt;&lt;wsp:rsid wsp:val=&quot;2C036885&quot;/&gt;&lt;wsp:rsid wsp:val=&quot;2C315A5A&quot;/&gt;&lt;wsp:rsid wsp:val=&quot;2C4B1C25&quot;/&gt;&lt;wsp:rsid wsp:val=&quot;2D9E56F5&quot;/&gt;&lt;wsp:rsid wsp:val=&quot;2E667F96&quot;/&gt;&lt;wsp:rsid wsp:val=&quot;2E8226AB&quot;/&gt;&lt;wsp:rsid wsp:val=&quot;2FD065E6&quot;/&gt;&lt;wsp:rsid wsp:val=&quot;2FD96870&quot;/&gt;&lt;wsp:rsid wsp:val=&quot;30580BC9&quot;/&gt;&lt;wsp:rsid wsp:val=&quot;311E2ED7&quot;/&gt;&lt;wsp:rsid wsp:val=&quot;3152323C&quot;/&gt;&lt;wsp:rsid wsp:val=&quot;315619EE&quot;/&gt;&lt;wsp:rsid wsp:val=&quot;315C449C&quot;/&gt;&lt;wsp:rsid wsp:val=&quot;31A044A3&quot;/&gt;&lt;wsp:rsid wsp:val=&quot;31B82709&quot;/&gt;&lt;wsp:rsid wsp:val=&quot;31D05482&quot;/&gt;&lt;wsp:rsid wsp:val=&quot;31E4568E&quot;/&gt;&lt;wsp:rsid wsp:val=&quot;32400B34&quot;/&gt;&lt;wsp:rsid wsp:val=&quot;326067DD&quot;/&gt;&lt;wsp:rsid wsp:val=&quot;329E6876&quot;/&gt;&lt;wsp:rsid wsp:val=&quot;3301564A&quot;/&gt;&lt;wsp:rsid wsp:val=&quot;333015F2&quot;/&gt;&lt;wsp:rsid wsp:val=&quot;334B6320&quot;/&gt;&lt;wsp:rsid wsp:val=&quot;33600AA7&quot;/&gt;&lt;wsp:rsid wsp:val=&quot;336B1568&quot;/&gt;&lt;wsp:rsid wsp:val=&quot;33D934D4&quot;/&gt;&lt;wsp:rsid wsp:val=&quot;33FE2F6A&quot;/&gt;&lt;wsp:rsid wsp:val=&quot;340E07E5&quot;/&gt;&lt;wsp:rsid wsp:val=&quot;34235BF7&quot;/&gt;&lt;wsp:rsid wsp:val=&quot;358C5FA8&quot;/&gt;&lt;wsp:rsid wsp:val=&quot;35C15DF1&quot;/&gt;&lt;wsp:rsid wsp:val=&quot;36074A7F&quot;/&gt;&lt;wsp:rsid wsp:val=&quot;367009B4&quot;/&gt;&lt;wsp:rsid wsp:val=&quot;36923549&quot;/&gt;&lt;wsp:rsid wsp:val=&quot;36B75FBF&quot;/&gt;&lt;wsp:rsid wsp:val=&quot;36BD0C45&quot;/&gt;&lt;wsp:rsid wsp:val=&quot;37361E1F&quot;/&gt;&lt;wsp:rsid wsp:val=&quot;37C046DD&quot;/&gt;&lt;wsp:rsid wsp:val=&quot;37E00298&quot;/&gt;&lt;wsp:rsid wsp:val=&quot;38B302F9&quot;/&gt;&lt;wsp:rsid wsp:val=&quot;38F12CD3&quot;/&gt;&lt;wsp:rsid wsp:val=&quot;38F94775&quot;/&gt;&lt;wsp:rsid wsp:val=&quot;392971ED&quot;/&gt;&lt;wsp:rsid wsp:val=&quot;39325651&quot;/&gt;&lt;wsp:rsid wsp:val=&quot;3A872856&quot;/&gt;&lt;wsp:rsid wsp:val=&quot;3B3763D1&quot;/&gt;&lt;wsp:rsid wsp:val=&quot;3C2F6E1E&quot;/&gt;&lt;wsp:rsid wsp:val=&quot;3C4F64BA&quot;/&gt;&lt;wsp:rsid wsp:val=&quot;3CDA245A&quot;/&gt;&lt;wsp:rsid wsp:val=&quot;3D1E06B7&quot;/&gt;&lt;wsp:rsid wsp:val=&quot;3EDA0523&quot;/&gt;&lt;wsp:rsid wsp:val=&quot;407A6407&quot;/&gt;&lt;wsp:rsid wsp:val=&quot;4200449D&quot;/&gt;&lt;wsp:rsid wsp:val=&quot;420507FA&quot;/&gt;&lt;wsp:rsid wsp:val=&quot;423A3BCC&quot;/&gt;&lt;wsp:rsid wsp:val=&quot;424E57D2&quot;/&gt;&lt;wsp:rsid wsp:val=&quot;42B26C49&quot;/&gt;&lt;wsp:rsid wsp:val=&quot;433A6FE6&quot;/&gt;&lt;wsp:rsid wsp:val=&quot;43480868&quot;/&gt;&lt;wsp:rsid wsp:val=&quot;4350713C&quot;/&gt;&lt;wsp:rsid wsp:val=&quot;436653E0&quot;/&gt;&lt;wsp:rsid wsp:val=&quot;43C4431A&quot;/&gt;&lt;wsp:rsid wsp:val=&quot;44B951CC&quot;/&gt;&lt;wsp:rsid wsp:val=&quot;44CD14E0&quot;/&gt;&lt;wsp:rsid wsp:val=&quot;44F20B0B&quot;/&gt;&lt;wsp:rsid wsp:val=&quot;452E5F4C&quot;/&gt;&lt;wsp:rsid wsp:val=&quot;45612018&quot;/&gt;&lt;wsp:rsid wsp:val=&quot;458946E9&quot;/&gt;&lt;wsp:rsid wsp:val=&quot;45A47C0E&quot;/&gt;&lt;wsp:rsid wsp:val=&quot;46577FD6&quot;/&gt;&lt;wsp:rsid wsp:val=&quot;46D955A7&quot;/&gt;&lt;wsp:rsid wsp:val=&quot;47133957&quot;/&gt;&lt;wsp:rsid wsp:val=&quot;47A07E0C&quot;/&gt;&lt;wsp:rsid wsp:val=&quot;483303C3&quot;/&gt;&lt;wsp:rsid wsp:val=&quot;4870272E&quot;/&gt;&lt;wsp:rsid wsp:val=&quot;49DC7715&quot;/&gt;&lt;wsp:rsid wsp:val=&quot;4A023139&quot;/&gt;&lt;wsp:rsid wsp:val=&quot;4A7B576F&quot;/&gt;&lt;wsp:rsid wsp:val=&quot;4AF561A9&quot;/&gt;&lt;wsp:rsid wsp:val=&quot;4C4A0649&quot;/&gt;&lt;wsp:rsid wsp:val=&quot;4C7E5ECA&quot;/&gt;&lt;wsp:rsid wsp:val=&quot;4C876AA5&quot;/&gt;&lt;wsp:rsid wsp:val=&quot;4C8B6DCD&quot;/&gt;&lt;wsp:rsid wsp:val=&quot;4D0E00FB&quot;/&gt;&lt;wsp:rsid wsp:val=&quot;4D176606&quot;/&gt;&lt;wsp:rsid wsp:val=&quot;4DEC4FB0&quot;/&gt;&lt;wsp:rsid wsp:val=&quot;4E075D8A&quot;/&gt;&lt;wsp:rsid wsp:val=&quot;4E8F4DB4&quot;/&gt;&lt;wsp:rsid wsp:val=&quot;4EC00FAD&quot;/&gt;&lt;wsp:rsid wsp:val=&quot;4F9843DC&quot;/&gt;&lt;wsp:rsid wsp:val=&quot;4FC62A8C&quot;/&gt;&lt;wsp:rsid wsp:val=&quot;4FE20F0D&quot;/&gt;&lt;wsp:rsid wsp:val=&quot;4FE51552&quot;/&gt;&lt;wsp:rsid wsp:val=&quot;50504C4B&quot;/&gt;&lt;wsp:rsid wsp:val=&quot;509C6E7C&quot;/&gt;&lt;wsp:rsid wsp:val=&quot;50CB731F&quot;/&gt;&lt;wsp:rsid wsp:val=&quot;5162104E&quot;/&gt;&lt;wsp:rsid wsp:val=&quot;53A039CC&quot;/&gt;&lt;wsp:rsid wsp:val=&quot;53A1505A&quot;/&gt;&lt;wsp:rsid wsp:val=&quot;54063E08&quot;/&gt;&lt;wsp:rsid wsp:val=&quot;543437E8&quot;/&gt;&lt;wsp:rsid wsp:val=&quot;54F73313&quot;/&gt;&lt;wsp:rsid wsp:val=&quot;54F80955&quot;/&gt;&lt;wsp:rsid wsp:val=&quot;555170A7&quot;/&gt;&lt;wsp:rsid wsp:val=&quot;5587536D&quot;/&gt;&lt;wsp:rsid wsp:val=&quot;559B174B&quot;/&gt;&lt;wsp:rsid wsp:val=&quot;55CE0CF4&quot;/&gt;&lt;wsp:rsid wsp:val=&quot;56B22A9C&quot;/&gt;&lt;wsp:rsid wsp:val=&quot;57B72A76&quot;/&gt;&lt;wsp:rsid wsp:val=&quot;57C3426C&quot;/&gt;&lt;wsp:rsid wsp:val=&quot;57CE1F93&quot;/&gt;&lt;wsp:rsid wsp:val=&quot;588743D1&quot;/&gt;&lt;wsp:rsid wsp:val=&quot;5887701A&quot;/&gt;&lt;wsp:rsid wsp:val=&quot;59C0439F&quot;/&gt;&lt;wsp:rsid wsp:val=&quot;5ABE2233&quot;/&gt;&lt;wsp:rsid wsp:val=&quot;5BDF5D95&quot;/&gt;&lt;wsp:rsid wsp:val=&quot;5BFE7528&quot;/&gt;&lt;wsp:rsid wsp:val=&quot;5E2467F1&quot;/&gt;&lt;wsp:rsid wsp:val=&quot;5F1A2B43&quot;/&gt;&lt;wsp:rsid wsp:val=&quot;5FB837BB&quot;/&gt;&lt;wsp:rsid wsp:val=&quot;60CC405A&quot;/&gt;&lt;wsp:rsid wsp:val=&quot;61E215D8&quot;/&gt;&lt;wsp:rsid wsp:val=&quot;621B3775&quot;/&gt;&lt;wsp:rsid wsp:val=&quot;62364782&quot;/&gt;&lt;wsp:rsid wsp:val=&quot;63186930&quot;/&gt;&lt;wsp:rsid wsp:val=&quot;6394356A&quot;/&gt;&lt;wsp:rsid wsp:val=&quot;63C61B2C&quot;/&gt;&lt;wsp:rsid wsp:val=&quot;63D40BE9&quot;/&gt;&lt;wsp:rsid wsp:val=&quot;64102431&quot;/&gt;&lt;wsp:rsid wsp:val=&quot;64A5243A&quot;/&gt;&lt;wsp:rsid wsp:val=&quot;64F531DE&quot;/&gt;&lt;wsp:rsid wsp:val=&quot;65373578&quot;/&gt;&lt;wsp:rsid wsp:val=&quot;66F54451&quot;/&gt;&lt;wsp:rsid wsp:val=&quot;671F124A&quot;/&gt;&lt;wsp:rsid wsp:val=&quot;677A33C6&quot;/&gt;&lt;wsp:rsid wsp:val=&quot;681F6961&quot;/&gt;&lt;wsp:rsid wsp:val=&quot;68610A2F&quot;/&gt;&lt;wsp:rsid wsp:val=&quot;68805514&quot;/&gt;&lt;wsp:rsid wsp:val=&quot;69316E2F&quot;/&gt;&lt;wsp:rsid wsp:val=&quot;694E2071&quot;/&gt;&lt;wsp:rsid wsp:val=&quot;69766163&quot;/&gt;&lt;wsp:rsid wsp:val=&quot;697A3B33&quot;/&gt;&lt;wsp:rsid wsp:val=&quot;69D44760&quot;/&gt;&lt;wsp:rsid wsp:val=&quot;6A520EC7&quot;/&gt;&lt;wsp:rsid wsp:val=&quot;6AF87E20&quot;/&gt;&lt;wsp:rsid wsp:val=&quot;6B322639&quot;/&gt;&lt;wsp:rsid wsp:val=&quot;6C636C38&quot;/&gt;&lt;wsp:rsid wsp:val=&quot;6D7010D8&quot;/&gt;&lt;wsp:rsid wsp:val=&quot;6DB34098&quot;/&gt;&lt;wsp:rsid wsp:val=&quot;6DB545B6&quot;/&gt;&lt;wsp:rsid wsp:val=&quot;6DE02FB4&quot;/&gt;&lt;wsp:rsid wsp:val=&quot;6E514CED&quot;/&gt;&lt;wsp:rsid wsp:val=&quot;6EB563D5&quot;/&gt;&lt;wsp:rsid wsp:val=&quot;6ED92677&quot;/&gt;&lt;wsp:rsid wsp:val=&quot;6F225983&quot;/&gt;&lt;wsp:rsid wsp:val=&quot;6FFC5590&quot;/&gt;&lt;wsp:rsid wsp:val=&quot;706D1559&quot;/&gt;&lt;wsp:rsid wsp:val=&quot;706D1DD0&quot;/&gt;&lt;wsp:rsid wsp:val=&quot;70856B87&quot;/&gt;&lt;wsp:rsid wsp:val=&quot;70D527EE&quot;/&gt;&lt;wsp:rsid wsp:val=&quot;715B5300&quot;/&gt;&lt;wsp:rsid wsp:val=&quot;71D27F8A&quot;/&gt;&lt;wsp:rsid wsp:val=&quot;72070A1D&quot;/&gt;&lt;wsp:rsid wsp:val=&quot;72553024&quot;/&gt;&lt;wsp:rsid wsp:val=&quot;73122968&quot;/&gt;&lt;wsp:rsid wsp:val=&quot;731F5D5E&quot;/&gt;&lt;wsp:rsid wsp:val=&quot;73C51AD5&quot;/&gt;&lt;wsp:rsid wsp:val=&quot;741E793C&quot;/&gt;&lt;wsp:rsid wsp:val=&quot;745E3944&quot;/&gt;&lt;wsp:rsid wsp:val=&quot;7635099D&quot;/&gt;&lt;wsp:rsid wsp:val=&quot;77762421&quot;/&gt;&lt;wsp:rsid wsp:val=&quot;77B56B1F&quot;/&gt;&lt;wsp:rsid wsp:val=&quot;780F09F4&quot;/&gt;&lt;wsp:rsid wsp:val=&quot;78A90480&quot;/&gt;&lt;wsp:rsid wsp:val=&quot;79A74828&quot;/&gt;&lt;wsp:rsid wsp:val=&quot;7A364017&quot;/&gt;&lt;wsp:rsid wsp:val=&quot;7A8265E1&quot;/&gt;&lt;wsp:rsid wsp:val=&quot;7B686D42&quot;/&gt;&lt;wsp:rsid wsp:val=&quot;7B841746&quot;/&gt;&lt;wsp:rsid wsp:val=&quot;7B9701F5&quot;/&gt;&lt;wsp:rsid wsp:val=&quot;7C6C5AC7&quot;/&gt;&lt;wsp:rsid wsp:val=&quot;7CC6544B&quot;/&gt;&lt;wsp:rsid wsp:val=&quot;7D0239FF&quot;/&gt;&lt;wsp:rsid wsp:val=&quot;7D5E40CD&quot;/&gt;&lt;wsp:rsid wsp:val=&quot;7DCD56F2&quot;/&gt;&lt;wsp:rsid wsp:val=&quot;7F001CE7&quot;/&gt;&lt;wsp:rsid wsp:val=&quot;7FAE7925&quot;/&gt;&lt;wsp:rsid wsp:val=&quot;7FE47E50&quot;/&gt;&lt;/wsp:rsids&gt;&lt;/w:docPr&gt;&lt;w:body&gt;&lt;wx:sect&gt;&lt;w:p wsp:rsidR=&quot;00000000&quot; wsp:rsidRDefault=&quot;00693F17&quot; wsp:rsidP=&quot;00693F17&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O&lt;/m:t&gt;&lt;/m:r&gt;&lt;/m:e&gt;&lt;m:sub&gt;&lt;m:r&gt;&lt;w:rPr&gt;&lt;w:rFonts w:ascii=&quot;Cambria Math&quot; w:h-ansi=&quot;Cambria Math&quot;/&gt;&lt;wx:font wx:val=&quot;Cambria Math&quot;/&gt;&lt;w:i/&gt;&lt;/w:rPr&gt;&lt;m:t&gt;j&lt;/m:t&gt;&lt;/m:r&gt;&lt;/m:sub&gt;&lt;/m:sSub&gt;&lt;m:r&gt;&lt;m:rPr&gt;&lt;m:sty m:val=&quot;p&quot;/&gt;&lt;/m:rPr&gt;&lt;w:rPr&gt;&lt;w:rFonts w:ascii=&quot;Cambria Math&quot; w:h-ansi=&quot;Cambria Math&quot;/&gt;&lt;wx:font wx:val=&quot;Cambria Math&quot;/&gt;&lt;/w:rPr&gt;&lt;m:t&gt;≥&lt;/m:t&gt;&lt;/m:r&gt;&lt;m:sSub&gt;&lt;m:sSubPr&gt;&lt;m:ctrlPr&gt;&lt;w:rPrrrrrrrrrr&gt;&lt;aw:rFonts w:ascii=&quot;Cambria Math&quot; w:h-ansi=&quot;Cambria Math&quot;/&gt;&lt;wx:font wx:val=&quot;Cambria Math&quot;/&gt;&lt;/w:rPr&gt;&lt;/m:ctrlPr&gt;&lt;/m:sSubPr&gt;&lt;m:e&gt;&lt;m:r&gt;&lt;w:rPr&gt;&lt;w:rFonts w:ascii=&quot;Cambria Math&quot; w:h-ansi=&quot;Cambria Math&quot;/&gt;&lt;wx:font wx:val=&quot;Cambria Math&quot;/&gt;&lt;w:i/&gt;&lt;/w:rPr&gt;&lt;m:t&gt;DO&lt;/m:t&gt;&lt;/m:r&gt;&lt;/m:e&gt;&lt;m:sub&gt;&lt;m:r&gt;&lt;w:rPr&gt;&lt;w:rFonts w:ascii=&quot;Cambria Math&quot; w:h-ansi=&quot;Cambria Math&quot;/&gt;&lt;wx:font wx:val=&quot;Cambria Math&quot;/&gt;&lt;w:i/&gt;&lt;/w:rPr&gt;&lt;m:t&gt;f&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4" chromakey="#FFFFFF" o:title=""/>
                  <o:lock v:ext="edit" aspectratio="t"/>
                  <w10:wrap type="none"/>
                  <w10:anchorlock/>
                </v:shape>
              </w:pict>
            </w:r>
            <w:r>
              <w:rPr>
                <w:rFonts w:ascii="Times New Roman" w:hAnsi="Times New Roman" w:cs="Times New Roman"/>
                <w:sz w:val="24"/>
              </w:rPr>
              <w:instrText xml:space="preserve"> </w:instrText>
            </w:r>
            <w:r>
              <w:rPr>
                <w:rFonts w:ascii="Times New Roman" w:hAnsi="Times New Roman" w:cs="Times New Roman"/>
                <w:sz w:val="24"/>
              </w:rPr>
              <w:fldChar w:fldCharType="separate"/>
            </w:r>
            <w:r>
              <w:rPr>
                <w:rFonts w:ascii="Times New Roman" w:hAnsi="Times New Roman" w:cs="Times New Roman"/>
                <w:position w:val="-8"/>
                <w:sz w:val="24"/>
              </w:rPr>
              <w:pict>
                <v:shape id="_x0000_i1030" o:spt="75" type="#_x0000_t75" style="height:14.25pt;width:50.2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isplayBackgroundShape/&gt;&lt;w:doNotEmbedSystemFonts/&gt;&lt;w:stylePaneFormatFilter w:val=&quot;3F01&quot;/&gt;&lt;w:documentProtection w:edit=&quot;tracked-changes&quot; w:enforcement=&quot;off&quot;/&gt;&lt;w:defaultTabStop w:val=&quot;420&quot;/&gt;&lt;w:evenAndOddHeaders/&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compat&gt;&lt;w:doNotExpandShiftReturn/&gt;&lt;w:breakWrappedTables/&gt;&lt;w:snapToGridInCell/&gt;&lt;w:dontGrowAutofit/&gt;&lt;w:useFELayout/&gt;&lt;/w:compat&gt;&lt;wsp:rsids&gt;&lt;wsp:rsidRoot wsp:val=&quot;00A14947&quot;/&gt;&lt;wsp:rsid wsp:val=&quot;00000832&quot;/&gt;&lt;wsp:rsid wsp:val=&quot;0000091E&quot;/&gt;&lt;wsp:rsid wsp:val=&quot;0000192C&quot;/&gt;&lt;wsp:rsid wsp:val=&quot;00002C3F&quot;/&gt;&lt;wsp:rsid wsp:val=&quot;000036F3&quot;/&gt;&lt;wsp:rsid wsp:val=&quot;00003D7D&quot;/&gt;&lt;wsp:rsid wsp:val=&quot;000041E2&quot;/&gt;&lt;wsp:rsid wsp:val=&quot;00004C84&quot;/&gt;&lt;wsp:rsid wsp:val=&quot;00005101&quot;/&gt;&lt;wsp:rsid wsp:val=&quot;000056BD&quot;/&gt;&lt;wsp:rsid wsp:val=&quot;000056FF&quot;/&gt;&lt;wsp:rsid wsp:val=&quot;000060B3&quot;/&gt;&lt;wsp:rsid wsp:val=&quot;0000638D&quot;/&gt;&lt;wsp:rsid wsp:val=&quot;00006578&quot;/&gt;&lt;wsp:rsid wsp:val=&quot;00006FCD&quot;/&gt;&lt;wsp:rsid wsp:val=&quot;00007495&quot;/&gt;&lt;wsp:rsid wsp:val=&quot;0001183E&quot;/&gt;&lt;wsp:rsid wsp:val=&quot;00011E3F&quot;/&gt;&lt;wsp:rsid wsp:val=&quot;000122D3&quot;/&gt;&lt;wsp:rsid wsp:val=&quot;0001235E&quot;/&gt;&lt;wsp:rsid wsp:val=&quot;000129BB&quot;/&gt;&lt;wsp:rsid wsp:val=&quot;0001301D&quot;/&gt;&lt;wsp:rsid wsp:val=&quot;00014435&quot;/&gt;&lt;wsp:rsid wsp:val=&quot;00014948&quot;/&gt;&lt;wsp:rsid wsp:val=&quot;00014C79&quot;/&gt;&lt;wsp:rsid wsp:val=&quot;0001558A&quot;/&gt;&lt;wsp:rsid wsp:val=&quot;000156AB&quot;/&gt;&lt;wsp:rsid wsp:val=&quot;00015C53&quot;/&gt;&lt;wsp:rsid wsp:val=&quot;00016D2F&quot;/&gt;&lt;wsp:rsid wsp:val=&quot;00016EC7&quot;/&gt;&lt;wsp:rsid wsp:val=&quot;00016FA8&quot;/&gt;&lt;wsp:rsid wsp:val=&quot;0001725B&quot;/&gt;&lt;wsp:rsid wsp:val=&quot;00020063&quot;/&gt;&lt;wsp:rsid wsp:val=&quot;00020FA3&quot;/&gt;&lt;wsp:rsid wsp:val=&quot;0002127F&quot;/&gt;&lt;wsp:rsid wsp:val=&quot;00021362&quot;/&gt;&lt;wsp:rsid wsp:val=&quot;000213E0&quot;/&gt;&lt;wsp:rsid wsp:val=&quot;00021F9C&quot;/&gt;&lt;wsp:rsid wsp:val=&quot;00022D29&quot;/&gt;&lt;wsp:rsid wsp:val=&quot;0002302D&quot;/&gt;&lt;wsp:rsid wsp:val=&quot;000230D3&quot;/&gt;&lt;wsp:rsid wsp:val=&quot;000235E2&quot;/&gt;&lt;wsp:rsid wsp:val=&quot;000239CD&quot;/&gt;&lt;wsp:rsid wsp:val=&quot;00023F5A&quot;/&gt;&lt;wsp:rsid wsp:val=&quot;0002432F&quot;/&gt;&lt;wsp:rsid wsp:val=&quot;00024491&quot;/&gt;&lt;wsp:rsid wsp:val=&quot;00024A39&quot;/&gt;&lt;wsp:rsid wsp:val=&quot;00024B3B&quot;/&gt;&lt;wsp:rsid wsp:val=&quot;00024EE9&quot;/&gt;&lt;wsp:rsid wsp:val=&quot;00025B05&quot;/&gt;&lt;wsp:rsid wsp:val=&quot;00026113&quot;/&gt;&lt;wsp:rsid wsp:val=&quot;0002628D&quot;/&gt;&lt;wsp:rsid wsp:val=&quot;000270BC&quot;/&gt;&lt;wsp:rsid wsp:val=&quot;00027420&quot;/&gt;&lt;wsp:rsid wsp:val=&quot;00027A97&quot;/&gt;&lt;wsp:rsid wsp:val=&quot;0003067F&quot;/&gt;&lt;wsp:rsid wsp:val=&quot;00030BB2&quot;/&gt;&lt;wsp:rsid wsp:val=&quot;00032127&quot;/&gt;&lt;wsp:rsid wsp:val=&quot;000321FE&quot;/&gt;&lt;wsp:rsid wsp:val=&quot;000325BB&quot;/&gt;&lt;wsp:rsid wsp:val=&quot;0003312B&quot;/&gt;&lt;wsp:rsid wsp:val=&quot;00033288&quot;/&gt;&lt;wsp:rsid wsp:val=&quot;00033303&quot;/&gt;&lt;wsp:rsid wsp:val=&quot;000334BB&quot;/&gt;&lt;wsp:rsid wsp:val=&quot;00033DBF&quot;/&gt;&lt;wsp:rsid wsp:val=&quot;0003436D&quot;/&gt;&lt;wsp:rsid wsp:val=&quot;00034B45&quot;/&gt;&lt;wsp:rsid wsp:val=&quot;00034FA3&quot;/&gt;&lt;wsp:rsid wsp:val=&quot;000350E9&quot;/&gt;&lt;wsp:rsid wsp:val=&quot;0003711C&quot;/&gt;&lt;wsp:rsid wsp:val=&quot;0003727A&quot;/&gt;&lt;wsp:rsid wsp:val=&quot;000411A0&quot;/&gt;&lt;wsp:rsid wsp:val=&quot;00041816&quot;/&gt;&lt;wsp:rsid wsp:val=&quot;00041C23&quot;/&gt;&lt;wsp:rsid wsp:val=&quot;00041DC1&quot;/&gt;&lt;wsp:rsid wsp:val=&quot;00043370&quot;/&gt;&lt;wsp:rsid wsp:val=&quot;00043497&quot;/&gt;&lt;wsp:rsid wsp:val=&quot;0004364B&quot;/&gt;&lt;wsp:rsid wsp:val=&quot;00043880&quot;/&gt;&lt;wsp:rsid wsp:val=&quot;00043AD5&quot;/&gt;&lt;wsp:rsid wsp:val=&quot;00043D4B&quot;/&gt;&lt;wsp:rsid wsp:val=&quot;00044421&quot;/&gt;&lt;wsp:rsid wsp:val=&quot;0004446D&quot;/&gt;&lt;wsp:rsid wsp:val=&quot;000447AB&quot;/&gt;&lt;wsp:rsid wsp:val=&quot;0004481F&quot;/&gt;&lt;wsp:rsid wsp:val=&quot;00044834&quot;/&gt;&lt;wsp:rsid wsp:val=&quot;000450FA&quot;/&gt;&lt;wsp:rsid wsp:val=&quot;00045848&quot;/&gt;&lt;wsp:rsid wsp:val=&quot;00045EFD&quot;/&gt;&lt;wsp:rsid wsp:val=&quot;0004634A&quot;/&gt;&lt;wsp:rsid wsp:val=&quot;00046711&quot;/&gt;&lt;wsp:rsid wsp:val=&quot;00046BE0&quot;/&gt;&lt;wsp:rsid wsp:val=&quot;00046F8C&quot;/&gt;&lt;wsp:rsid wsp:val=&quot;0004711B&quot;/&gt;&lt;wsp:rsid wsp:val=&quot;00047294&quot;/&gt;&lt;wsp:rsid wsp:val=&quot;00047304&quot;/&gt;&lt;wsp:rsid wsp:val=&quot;00047582&quot;/&gt;&lt;wsp:rsid wsp:val=&quot;00050717&quot;/&gt;&lt;wsp:rsid wsp:val=&quot;00051385&quot;/&gt;&lt;wsp:rsid wsp:val=&quot;00051494&quot;/&gt;&lt;wsp:rsid wsp:val=&quot;00051907&quot;/&gt;&lt;wsp:rsid wsp:val=&quot;000524D1&quot;/&gt;&lt;wsp:rsid wsp:val=&quot;000526A7&quot;/&gt;&lt;wsp:rsid wsp:val=&quot;00053DEA&quot;/&gt;&lt;wsp:rsid wsp:val=&quot;00054829&quot;/&gt;&lt;wsp:rsid wsp:val=&quot;0005491B&quot;/&gt;&lt;wsp:rsid wsp:val=&quot;000553CD&quot;/&gt;&lt;wsp:rsid wsp:val=&quot;00055A69&quot;/&gt;&lt;wsp:rsid wsp:val=&quot;00055DA9&quot;/&gt;&lt;wsp:rsid wsp:val=&quot;00055FBF&quot;/&gt;&lt;wsp:rsid wsp:val=&quot;0005611B&quot;/&gt;&lt;wsp:rsid wsp:val=&quot;000563CC&quot;/&gt;&lt;wsp:rsid wsp:val=&quot;00056784&quot;/&gt;&lt;wsp:rsid wsp:val=&quot;00056E79&quot;/&gt;&lt;wsp:rsid wsp:val=&quot;00056E84&quot;/&gt;&lt;wsp:rsid wsp:val=&quot;00057175&quot;/&gt;&lt;wsp:rsid wsp:val=&quot;000577AC&quot;/&gt;&lt;wsp:rsid wsp:val=&quot;0005782E&quot;/&gt;&lt;wsp:rsid wsp:val=&quot;00060FF6&quot;/&gt;&lt;wsp:rsid wsp:val=&quot;00061900&quot;/&gt;&lt;wsp:rsid wsp:val=&quot;00061AC0&quot;/&gt;&lt;wsp:rsid wsp:val=&quot;00061B1F&quot;/&gt;&lt;wsp:rsid wsp:val=&quot;00061D3A&quot;/&gt;&lt;wsp:rsid wsp:val=&quot;0006227B&quot;/&gt;&lt;wsp:rsid wsp:val=&quot;00063261&quot;/&gt;&lt;wsp:rsid wsp:val=&quot;00064D8B&quot;/&gt;&lt;wsp:rsid wsp:val=&quot;000656FD&quot;/&gt;&lt;wsp:rsid wsp:val=&quot;000658C4&quot;/&gt;&lt;wsp:rsid wsp:val=&quot;00066414&quot;/&gt;&lt;wsp:rsid wsp:val=&quot;00066CB7&quot;/&gt;&lt;wsp:rsid wsp:val=&quot;000671D6&quot;/&gt;&lt;wsp:rsid wsp:val=&quot;000677D6&quot;/&gt;&lt;wsp:rsid wsp:val=&quot;00067856&quot;/&gt;&lt;wsp:rsid wsp:val=&quot;00067CBC&quot;/&gt;&lt;wsp:rsid wsp:val=&quot;00067FB0&quot;/&gt;&lt;wsp:rsid wsp:val=&quot;00070EDC&quot;/&gt;&lt;wsp:rsid wsp:val=&quot;0007101B&quot;/&gt;&lt;wsp:rsid wsp:val=&quot;000717D4&quot;/&gt;&lt;wsp:rsid wsp:val=&quot;00071843&quot;/&gt;&lt;wsp:rsid wsp:val=&quot;00072351&quot;/&gt;&lt;wsp:rsid wsp:val=&quot;00072423&quot;/&gt;&lt;wsp:rsid wsp:val=&quot;00072561&quot;/&gt;&lt;wsp:rsid wsp:val=&quot;00072969&quot;/&gt;&lt;wsp:rsid wsp:val=&quot;00072992&quot;/&gt;&lt;wsp:rsid wsp:val=&quot;000729F2&quot;/&gt;&lt;wsp:rsid wsp:val=&quot;00072ED2&quot;/&gt;&lt;wsp:rsid wsp:val=&quot;00073098&quot;/&gt;&lt;wsp:rsid wsp:val=&quot;00073322&quot;/&gt;&lt;wsp:rsid wsp:val=&quot;000733C4&quot;/&gt;&lt;wsp:rsid wsp:val=&quot;00073636&quot;/&gt;&lt;wsp:rsid wsp:val=&quot;00073670&quot;/&gt;&lt;wsp:rsid wsp:val=&quot;000738E0&quot;/&gt;&lt;wsp:rsid wsp:val=&quot;00074183&quot;/&gt;&lt;wsp:rsid wsp:val=&quot;0007448C&quot;/&gt;&lt;wsp:rsid wsp:val=&quot;000745DA&quot;/&gt;&lt;wsp:rsid wsp:val=&quot;00074783&quot;/&gt;&lt;wsp:rsid wsp:val=&quot;000751B0&quot;/&gt;&lt;wsp:rsid wsp:val=&quot;000754A1&quot;/&gt;&lt;wsp:rsid wsp:val=&quot;000768EB&quot;/&gt;&lt;wsp:rsid wsp:val=&quot;00076DAC&quot;/&gt;&lt;wsp:rsid wsp:val=&quot;0007757F&quot;/&gt;&lt;wsp:rsid wsp:val=&quot;00077AD0&quot;/&gt;&lt;wsp:rsid wsp:val=&quot;000805AD&quot;/&gt;&lt;wsp:rsid wsp:val=&quot;0008070B&quot;/&gt;&lt;wsp:rsid wsp:val=&quot;00080B27&quot;/&gt;&lt;wsp:rsid wsp:val=&quot;00080BA0&quot;/&gt;&lt;wsp:rsid wsp:val=&quot;00080E5F&quot;/&gt;&lt;wsp:rsid wsp:val=&quot;00080FFC&quot;/&gt;&lt;wsp:rsid wsp:val=&quot;000810AC&quot;/&gt;&lt;wsp:rsid wsp:val=&quot;000811A1&quot;/&gt;&lt;wsp:rsid wsp:val=&quot;00081809&quot;/&gt;&lt;wsp:rsid wsp:val=&quot;00081A02&quot;/&gt;&lt;wsp:rsid wsp:val=&quot;00082038&quot;/&gt;&lt;wsp:rsid wsp:val=&quot;00082231&quot;/&gt;&lt;wsp:rsid wsp:val=&quot;0008368D&quot;/&gt;&lt;wsp:rsid wsp:val=&quot;000849D4&quot;/&gt;&lt;wsp:rsid wsp:val=&quot;00084B02&quot;/&gt;&lt;wsp:rsid wsp:val=&quot;000856F3&quot;/&gt;&lt;wsp:rsid wsp:val=&quot;000859E9&quot;/&gt;&lt;wsp:rsid wsp:val=&quot;00086029&quot;/&gt;&lt;wsp:rsid wsp:val=&quot;000865C0&quot;/&gt;&lt;wsp:rsid wsp:val=&quot;000867E1&quot;/&gt;&lt;wsp:rsid wsp:val=&quot;00087B8E&quot;/&gt;&lt;wsp:rsid wsp:val=&quot;000910D9&quot;/&gt;&lt;wsp:rsid wsp:val=&quot;000927B8&quot;/&gt;&lt;wsp:rsid wsp:val=&quot;00092905&quot;/&gt;&lt;wsp:rsid wsp:val=&quot;00092D38&quot;/&gt;&lt;wsp:rsid wsp:val=&quot;00093741&quot;/&gt;&lt;wsp:rsid wsp:val=&quot;0009377B&quot;/&gt;&lt;wsp:rsid wsp:val=&quot;00093F9A&quot;/&gt;&lt;wsp:rsid wsp:val=&quot;00094655&quot;/&gt;&lt;wsp:rsid wsp:val=&quot;00095143&quot;/&gt;&lt;wsp:rsid wsp:val=&quot;00095298&quot;/&gt;&lt;wsp:rsid wsp:val=&quot;00095FAA&quot;/&gt;&lt;wsp:rsid wsp:val=&quot;00096A8F&quot;/&gt;&lt;wsp:rsid wsp:val=&quot;00096F88&quot;/&gt;&lt;wsp:rsid wsp:val=&quot;00097C05&quot;/&gt;&lt;wsp:rsid wsp:val=&quot;000A0250&quot;/&gt;&lt;wsp:rsid wsp:val=&quot;000A154C&quot;/&gt;&lt;wsp:rsid wsp:val=&quot;000A20C9&quot;/&gt;&lt;wsp:rsid wsp:val=&quot;000A22FF&quot;/&gt;&lt;wsp:rsid wsp:val=&quot;000A297D&quot;/&gt;&lt;wsp:rsid wsp:val=&quot;000A2BDF&quot;/&gt;&lt;wsp:rsid wsp:val=&quot;000A3180&quot;/&gt;&lt;wsp:rsid wsp:val=&quot;000A3549&quot;/&gt;&lt;wsp:rsid wsp:val=&quot;000A3773&quot;/&gt;&lt;wsp:rsid wsp:val=&quot;000A4276&quot;/&gt;&lt;wsp:rsid wsp:val=&quot;000A429D&quot;/&gt;&lt;wsp:rsid wsp:val=&quot;000A48A1&quot;/&gt;&lt;wsp:rsid wsp:val=&quot;000A4ADA&quot;/&gt;&lt;wsp:rsid wsp:val=&quot;000A4D9B&quot;/&gt;&lt;wsp:rsid wsp:val=&quot;000A4E63&quot;/&gt;&lt;wsp:rsid wsp:val=&quot;000A4F58&quot;/&gt;&lt;wsp:rsid wsp:val=&quot;000A650D&quot;/&gt;&lt;wsp:rsid wsp:val=&quot;000A6CA9&quot;/&gt;&lt;wsp:rsid wsp:val=&quot;000A6EB8&quot;/&gt;&lt;wsp:rsid wsp:val=&quot;000A736E&quot;/&gt;&lt;wsp:rsid wsp:val=&quot;000A7B15&quot;/&gt;&lt;wsp:rsid wsp:val=&quot;000B058F&quot;/&gt;&lt;wsp:rsid wsp:val=&quot;000B0827&quot;/&gt;&lt;wsp:rsid wsp:val=&quot;000B11F4&quot;/&gt;&lt;wsp:rsid wsp:val=&quot;000B1560&quot;/&gt;&lt;wsp:rsid wsp:val=&quot;000B1967&quot;/&gt;&lt;wsp:rsid wsp:val=&quot;000B1AAF&quot;/&gt;&lt;wsp:rsid wsp:val=&quot;000B22DA&quot;/&gt;&lt;wsp:rsid wsp:val=&quot;000B26C4&quot;/&gt;&lt;wsp:rsid wsp:val=&quot;000B394D&quot;/&gt;&lt;wsp:rsid wsp:val=&quot;000B3AB9&quot;/&gt;&lt;wsp:rsid wsp:val=&quot;000B4393&quot;/&gt;&lt;wsp:rsid wsp:val=&quot;000B4467&quot;/&gt;&lt;wsp:rsid wsp:val=&quot;000B4732&quot;/&gt;&lt;wsp:rsid wsp:val=&quot;000B4B17&quot;/&gt;&lt;wsp:rsid wsp:val=&quot;000B4B23&quot;/&gt;&lt;wsp:rsid wsp:val=&quot;000B4B4F&quot;/&gt;&lt;wsp:rsid wsp:val=&quot;000B4DB9&quot;/&gt;&lt;wsp:rsid wsp:val=&quot;000B5196&quot;/&gt;&lt;wsp:rsid wsp:val=&quot;000B5AD4&quot;/&gt;&lt;wsp:rsid wsp:val=&quot;000B5CF3&quot;/&gt;&lt;wsp:rsid wsp:val=&quot;000B5E34&quot;/&gt;&lt;wsp:rsid wsp:val=&quot;000B647D&quot;/&gt;&lt;wsp:rsid wsp:val=&quot;000B699F&quot;/&gt;&lt;wsp:rsid wsp:val=&quot;000B783D&quot;/&gt;&lt;wsp:rsid wsp:val=&quot;000C09AC&quot;/&gt;&lt;wsp:rsid wsp:val=&quot;000C16B7&quot;/&gt;&lt;wsp:rsid wsp:val=&quot;000C1D4E&quot;/&gt;&lt;wsp:rsid wsp:val=&quot;000C2662&quot;/&gt;&lt;wsp:rsid wsp:val=&quot;000C2677&quot;/&gt;&lt;wsp:rsid wsp:val=&quot;000C295B&quot;/&gt;&lt;wsp:rsid wsp:val=&quot;000C29C1&quot;/&gt;&lt;wsp:rsid wsp:val=&quot;000C2A5B&quot;/&gt;&lt;wsp:rsid wsp:val=&quot;000C32C2&quot;/&gt;&lt;wsp:rsid wsp:val=&quot;000C3D03&quot;/&gt;&lt;wsp:rsid wsp:val=&quot;000C43CA&quot;/&gt;&lt;wsp:rsid wsp:val=&quot;000C4788&quot;/&gt;&lt;wsp:rsid wsp:val=&quot;000C48C5&quot;/&gt;&lt;wsp:rsid wsp:val=&quot;000C5810&quot;/&gt;&lt;wsp:rsid wsp:val=&quot;000C5836&quot;/&gt;&lt;wsp:rsid wsp:val=&quot;000C5941&quot;/&gt;&lt;wsp:rsid wsp:val=&quot;000C5DA2&quot;/&gt;&lt;wsp:rsid wsp:val=&quot;000C638F&quot;/&gt;&lt;wsp:rsid wsp:val=&quot;000C6627&quot;/&gt;&lt;wsp:rsid wsp:val=&quot;000C6A2E&quot;/&gt;&lt;wsp:rsid wsp:val=&quot;000C6CF9&quot;/&gt;&lt;wsp:rsid wsp:val=&quot;000C6E90&quot;/&gt;&lt;wsp:rsid wsp:val=&quot;000C7552&quot;/&gt;&lt;wsp:rsid wsp:val=&quot;000C767F&quot;/&gt;&lt;wsp:rsid wsp:val=&quot;000C76BB&quot;/&gt;&lt;wsp:rsid wsp:val=&quot;000C77D3&quot;/&gt;&lt;wsp:rsid wsp:val=&quot;000C783E&quot;/&gt;&lt;wsp:rsid wsp:val=&quot;000D0D9B&quot;/&gt;&lt;wsp:rsid wsp:val=&quot;000D1250&quot;/&gt;&lt;wsp:rsid wsp:val=&quot;000D1B03&quot;/&gt;&lt;wsp:rsid wsp:val=&quot;000D2673&quot;/&gt;&lt;wsp:rsid wsp:val=&quot;000D3612&quot;/&gt;&lt;wsp:rsid wsp:val=&quot;000D3C46&quot;/&gt;&lt;wsp:rsid wsp:val=&quot;000D3EF2&quot;/&gt;&lt;wsp:rsid wsp:val=&quot;000D4A85&quot;/&gt;&lt;wsp:rsid wsp:val=&quot;000D4BD6&quot;/&gt;&lt;wsp:rsid wsp:val=&quot;000D54C4&quot;/&gt;&lt;wsp:rsid wsp:val=&quot;000D54E3&quot;/&gt;&lt;wsp:rsid wsp:val=&quot;000D59DB&quot;/&gt;&lt;wsp:rsid wsp:val=&quot;000D5A44&quot;/&gt;&lt;wsp:rsid wsp:val=&quot;000D6092&quot;/&gt;&lt;wsp:rsid wsp:val=&quot;000D6229&quot;/&gt;&lt;wsp:rsid wsp:val=&quot;000D64DA&quot;/&gt;&lt;wsp:rsid wsp:val=&quot;000D6C29&quot;/&gt;&lt;wsp:rsid wsp:val=&quot;000D7F60&quot;/&gt;&lt;wsp:rsid wsp:val=&quot;000E0553&quot;/&gt;&lt;wsp:rsid wsp:val=&quot;000E09B9&quot;/&gt;&lt;wsp:rsid wsp:val=&quot;000E11B0&quot;/&gt;&lt;wsp:rsid wsp:val=&quot;000E17E5&quot;/&gt;&lt;wsp:rsid wsp:val=&quot;000E20D7&quot;/&gt;&lt;wsp:rsid wsp:val=&quot;000E2BBB&quot;/&gt;&lt;wsp:rsid wsp:val=&quot;000E2C9B&quot;/&gt;&lt;wsp:rsid wsp:val=&quot;000E2F2E&quot;/&gt;&lt;wsp:rsid wsp:val=&quot;000E3151&quot;/&gt;&lt;wsp:rsid wsp:val=&quot;000E31AC&quot;/&gt;&lt;wsp:rsid wsp:val=&quot;000E361B&quot;/&gt;&lt;wsp:rsid wsp:val=&quot;000E374B&quot;/&gt;&lt;wsp:rsid wsp:val=&quot;000E3D53&quot;/&gt;&lt;wsp:rsid wsp:val=&quot;000E3ED2&quot;/&gt;&lt;wsp:rsid wsp:val=&quot;000E43ED&quot;/&gt;&lt;wsp:rsid wsp:val=&quot;000E5FD4&quot;/&gt;&lt;wsp:rsid wsp:val=&quot;000E6615&quot;/&gt;&lt;wsp:rsid wsp:val=&quot;000F0A52&quot;/&gt;&lt;wsp:rsid wsp:val=&quot;000F19F4&quot;/&gt;&lt;wsp:rsid wsp:val=&quot;000F2918&quot;/&gt;&lt;wsp:rsid wsp:val=&quot;000F2B86&quot;/&gt;&lt;wsp:rsid wsp:val=&quot;000F34C2&quot;/&gt;&lt;wsp:rsid wsp:val=&quot;000F3616&quot;/&gt;&lt;wsp:rsid wsp:val=&quot;000F3B62&quot;/&gt;&lt;wsp:rsid wsp:val=&quot;000F3D93&quot;/&gt;&lt;wsp:rsid wsp:val=&quot;000F3DDA&quot;/&gt;&lt;wsp:rsid wsp:val=&quot;000F452F&quot;/&gt;&lt;wsp:rsid wsp:val=&quot;000F4B7E&quot;/&gt;&lt;wsp:rsid wsp:val=&quot;000F4E57&quot;/&gt;&lt;wsp:rsid wsp:val=&quot;000F5AF3&quot;/&gt;&lt;wsp:rsid wsp:val=&quot;000F5B82&quot;/&gt;&lt;wsp:rsid wsp:val=&quot;000F5FB0&quot;/&gt;&lt;wsp:rsid wsp:val=&quot;000F6013&quot;/&gt;&lt;wsp:rsid wsp:val=&quot;000F6605&quot;/&gt;&lt;wsp:rsid wsp:val=&quot;000F67FF&quot;/&gt;&lt;wsp:rsid wsp:val=&quot;000F6A7B&quot;/&gt;&lt;wsp:rsid wsp:val=&quot;000F6FEF&quot;/&gt;&lt;wsp:rsid wsp:val=&quot;000F728C&quot;/&gt;&lt;wsp:rsid wsp:val=&quot;000F734F&quot;/&gt;&lt;wsp:rsid wsp:val=&quot;000F7C6D&quot;/&gt;&lt;wsp:rsid wsp:val=&quot;000F7E9F&quot;/&gt;&lt;wsp:rsid wsp:val=&quot;001001ED&quot;/&gt;&lt;wsp:rsid wsp:val=&quot;00100B6C&quot;/&gt;&lt;wsp:rsid wsp:val=&quot;00100ECB&quot;/&gt;&lt;wsp:rsid wsp:val=&quot;0010137E&quot;/&gt;&lt;wsp:rsid wsp:val=&quot;001014A9&quot;/&gt;&lt;wsp:rsid wsp:val=&quot;0010190B&quot;/&gt;&lt;wsp:rsid wsp:val=&quot;00101CC3&quot;/&gt;&lt;wsp:rsid wsp:val=&quot;0010287A&quot;/&gt;&lt;wsp:rsid wsp:val=&quot;00102970&quot;/&gt;&lt;wsp:rsid wsp:val=&quot;00103687&quot;/&gt;&lt;wsp:rsid wsp:val=&quot;001039E4&quot;/&gt;&lt;wsp:rsid wsp:val=&quot;001039E8&quot;/&gt;&lt;wsp:rsid wsp:val=&quot;001040DE&quot;/&gt;&lt;wsp:rsid wsp:val=&quot;0010471B&quot;/&gt;&lt;wsp:rsid wsp:val=&quot;00104821&quot;/&gt;&lt;wsp:rsid wsp:val=&quot;001049E3&quot;/&gt;&lt;wsp:rsid wsp:val=&quot;00104BE0&quot;/&gt;&lt;wsp:rsid wsp:val=&quot;00104C71&quot;/&gt;&lt;wsp:rsid wsp:val=&quot;0010545C&quot;/&gt;&lt;wsp:rsid wsp:val=&quot;0010569B&quot;/&gt;&lt;wsp:rsid wsp:val=&quot;001058A3&quot;/&gt;&lt;wsp:rsid wsp:val=&quot;00105A61&quot;/&gt;&lt;wsp:rsid wsp:val=&quot;00106DED&quot;/&gt;&lt;wsp:rsid wsp:val=&quot;001070EC&quot;/&gt;&lt;wsp:rsid wsp:val=&quot;001073EE&quot;/&gt;&lt;wsp:rsid wsp:val=&quot;0010747B&quot;/&gt;&lt;wsp:rsid wsp:val=&quot;00107AA1&quot;/&gt;&lt;wsp:rsid wsp:val=&quot;001107E4&quot;/&gt;&lt;wsp:rsid wsp:val=&quot;00110D63&quot;/&gt;&lt;wsp:rsid wsp:val=&quot;0011156E&quot;/&gt;&lt;wsp:rsid wsp:val=&quot;001121C0&quot;/&gt;&lt;wsp:rsid wsp:val=&quot;001135C8&quot;/&gt;&lt;wsp:rsid wsp:val=&quot;001143DB&quot;/&gt;&lt;wsp:rsid wsp:val=&quot;00114476&quot;/&gt;&lt;wsp:rsid wsp:val=&quot;0011470F&quot;/&gt;&lt;wsp:rsid wsp:val=&quot;00114845&quot;/&gt;&lt;wsp:rsid wsp:val=&quot;00114DF7&quot;/&gt;&lt;wsp:rsid wsp:val=&quot;00115173&quot;/&gt;&lt;wsp:rsid wsp:val=&quot;001159C5&quot;/&gt;&lt;wsp:rsid wsp:val=&quot;0011602B&quot;/&gt;&lt;wsp:rsid wsp:val=&quot;00116209&quot;/&gt;&lt;wsp:rsid wsp:val=&quot;00116549&quot;/&gt;&lt;wsp:rsid wsp:val=&quot;00117246&quot;/&gt;&lt;wsp:rsid wsp:val=&quot;00117503&quot;/&gt;&lt;wsp:rsid wsp:val=&quot;00117AF3&quot;/&gt;&lt;wsp:rsid wsp:val=&quot;001203D1&quot;/&gt;&lt;wsp:rsid wsp:val=&quot;0012046E&quot;/&gt;&lt;wsp:rsid wsp:val=&quot;00120FCD&quot;/&gt;&lt;wsp:rsid wsp:val=&quot;001215AD&quot;/&gt;&lt;wsp:rsid wsp:val=&quot;001216D6&quot;/&gt;&lt;wsp:rsid wsp:val=&quot;001216D9&quot;/&gt;&lt;wsp:rsid wsp:val=&quot;00121EA1&quot;/&gt;&lt;wsp:rsid wsp:val=&quot;0012213A&quot;/&gt;&lt;wsp:rsid wsp:val=&quot;0012273C&quot;/&gt;&lt;wsp:rsid wsp:val=&quot;00122C6A&quot;/&gt;&lt;wsp:rsid wsp:val=&quot;00122E99&quot;/&gt;&lt;wsp:rsid wsp:val=&quot;001243AA&quot;/&gt;&lt;wsp:rsid wsp:val=&quot;00125540&quot;/&gt;&lt;wsp:rsid wsp:val=&quot;00125B8B&quot;/&gt;&lt;wsp:rsid wsp:val=&quot;001264D8&quot;/&gt;&lt;wsp:rsid wsp:val=&quot;001265CD&quot;/&gt;&lt;wsp:rsid wsp:val=&quot;00127B43&quot;/&gt;&lt;wsp:rsid wsp:val=&quot;00127CD0&quot;/&gt;&lt;wsp:rsid wsp:val=&quot;00130100&quot;/&gt;&lt;wsp:rsid wsp:val=&quot;00130421&quot;/&gt;&lt;wsp:rsid wsp:val=&quot;00130ADA&quot;/&gt;&lt;wsp:rsid wsp:val=&quot;00130C7E&quot;/&gt;&lt;wsp:rsid wsp:val=&quot;00130CEE&quot;/&gt;&lt;wsp:rsid wsp:val=&quot;00131019&quot;/&gt;&lt;wsp:rsid wsp:val=&quot;001318C9&quot;/&gt;&lt;wsp:rsid wsp:val=&quot;00131C01&quot;/&gt;&lt;wsp:rsid wsp:val=&quot;00131F42&quot;/&gt;&lt;wsp:rsid wsp:val=&quot;001322E3&quot;/&gt;&lt;wsp:rsid wsp:val=&quot;0013284D&quot;/&gt;&lt;wsp:rsid wsp:val=&quot;00133496&quot;/&gt;&lt;wsp:rsid wsp:val=&quot;001334AC&quot;/&gt;&lt;wsp:rsid wsp:val=&quot;00133731&quot;/&gt;&lt;wsp:rsid wsp:val=&quot;00133918&quot;/&gt;&lt;wsp:rsid wsp:val=&quot;00133B90&quot;/&gt;&lt;wsp:rsid wsp:val=&quot;00134523&quot;/&gt;&lt;wsp:rsid wsp:val=&quot;00134835&quot;/&gt;&lt;wsp:rsid wsp:val=&quot;00134BCB&quot;/&gt;&lt;wsp:rsid wsp:val=&quot;001351A3&quot;/&gt;&lt;wsp:rsid wsp:val=&quot;001357F1&quot;/&gt;&lt;wsp:rsid wsp:val=&quot;0013621B&quot;/&gt;&lt;wsp:rsid wsp:val=&quot;0013702F&quot;/&gt;&lt;wsp:rsid wsp:val=&quot;0014051C&quot;/&gt;&lt;wsp:rsid wsp:val=&quot;001409DA&quot;/&gt;&lt;wsp:rsid wsp:val=&quot;00140FA8&quot;/&gt;&lt;wsp:rsid wsp:val=&quot;00141723&quot;/&gt;&lt;wsp:rsid wsp:val=&quot;00141F0E&quot;/&gt;&lt;wsp:rsid wsp:val=&quot;00142A5E&quot;/&gt;&lt;wsp:rsid wsp:val=&quot;00142FEB&quot;/&gt;&lt;wsp:rsid wsp:val=&quot;001431E2&quot;/&gt;&lt;wsp:rsid wsp:val=&quot;00143A2D&quot;/&gt;&lt;wsp:rsid wsp:val=&quot;001446BC&quot;/&gt;&lt;wsp:rsid wsp:val=&quot;0014506F&quot;/&gt;&lt;wsp:rsid wsp:val=&quot;001450A1&quot;/&gt;&lt;wsp:rsid wsp:val=&quot;00145A41&quot;/&gt;&lt;wsp:rsid wsp:val=&quot;001467CD&quot;/&gt;&lt;wsp:rsid wsp:val=&quot;00147905&quot;/&gt;&lt;wsp:rsid wsp:val=&quot;00147A80&quot;/&gt;&lt;wsp:rsid wsp:val=&quot;00150F6C&quot;/&gt;&lt;wsp:rsid wsp:val=&quot;00151675&quot;/&gt;&lt;wsp:rsid wsp:val=&quot;00152285&quot;/&gt;&lt;wsp:rsid wsp:val=&quot;0015255B&quot;/&gt;&lt;wsp:rsid wsp:val=&quot;00152712&quot;/&gt;&lt;wsp:rsid wsp:val=&quot;00153421&quot;/&gt;&lt;wsp:rsid wsp:val=&quot;00153610&quot;/&gt;&lt;wsp:rsid wsp:val=&quot;001537CB&quot;/&gt;&lt;wsp:rsid wsp:val=&quot;00153B6F&quot;/&gt;&lt;wsp:rsid wsp:val=&quot;001544B0&quot;/&gt;&lt;wsp:rsid wsp:val=&quot;00154B77&quot;/&gt;&lt;wsp:rsid wsp:val=&quot;00154ED1&quot;/&gt;&lt;wsp:rsid wsp:val=&quot;00155546&quot;/&gt;&lt;wsp:rsid wsp:val=&quot;00155596&quot;/&gt;&lt;wsp:rsid wsp:val=&quot;001560DA&quot;/&gt;&lt;wsp:rsid wsp:val=&quot;0015631D&quot;/&gt;&lt;wsp:rsid wsp:val=&quot;001563E5&quot;/&gt;&lt;wsp:rsid wsp:val=&quot;001566D0&quot;/&gt;&lt;wsp:rsid wsp:val=&quot;001566FA&quot;/&gt;&lt;wsp:rsid wsp:val=&quot;001571E8&quot;/&gt;&lt;wsp:rsid wsp:val=&quot;00157435&quot;/&gt;&lt;wsp:rsid wsp:val=&quot;00157965&quot;/&gt;&lt;wsp:rsid wsp:val=&quot;00161242&quot;/&gt;&lt;wsp:rsid wsp:val=&quot;001618E6&quot;/&gt;&lt;wsp:rsid wsp:val=&quot;00161BE6&quot;/&gt;&lt;wsp:rsid wsp:val=&quot;00161FE8&quot;/&gt;&lt;wsp:rsid wsp:val=&quot;001622AE&quot;/&gt;&lt;wsp:rsid wsp:val=&quot;00162B83&quot;/&gt;&lt;wsp:rsid wsp:val=&quot;00162C57&quot;/&gt;&lt;wsp:rsid wsp:val=&quot;00163D37&quot;/&gt;&lt;wsp:rsid wsp:val=&quot;001645A2&quot;/&gt;&lt;wsp:rsid wsp:val=&quot;0016487E&quot;/&gt;&lt;wsp:rsid wsp:val=&quot;00165452&quot;/&gt;&lt;wsp:rsid wsp:val=&quot;00165CB4&quot;/&gt;&lt;wsp:rsid wsp:val=&quot;00166275&quot;/&gt;&lt;wsp:rsid wsp:val=&quot;001669FA&quot;/&gt;&lt;wsp:rsid wsp:val=&quot;00166B43&quot;/&gt;&lt;wsp:rsid wsp:val=&quot;001703FB&quot;/&gt;&lt;wsp:rsid wsp:val=&quot;00170AA8&quot;/&gt;&lt;wsp:rsid wsp:val=&quot;00170B7C&quot;/&gt;&lt;wsp:rsid wsp:val=&quot;00170D96&quot;/&gt;&lt;wsp:rsid wsp:val=&quot;00171184&quot;/&gt;&lt;wsp:rsid wsp:val=&quot;001713B6&quot;/&gt;&lt;wsp:rsid wsp:val=&quot;00171EF0&quot;/&gt;&lt;wsp:rsid wsp:val=&quot;00172519&quot;/&gt;&lt;wsp:rsid wsp:val=&quot;00172A46&quot;/&gt;&lt;wsp:rsid wsp:val=&quot;0017374F&quot;/&gt;&lt;wsp:rsid wsp:val=&quot;0017419C&quot;/&gt;&lt;wsp:rsid wsp:val=&quot;00174700&quot;/&gt;&lt;wsp:rsid wsp:val=&quot;001747C1&quot;/&gt;&lt;wsp:rsid wsp:val=&quot;0017496E&quot;/&gt;&lt;wsp:rsid wsp:val=&quot;00174A9F&quot;/&gt;&lt;wsp:rsid wsp:val=&quot;0017504D&quot;/&gt;&lt;wsp:rsid wsp:val=&quot;00175642&quot;/&gt;&lt;wsp:rsid wsp:val=&quot;001758E0&quot;/&gt;&lt;wsp:rsid wsp:val=&quot;00175A9E&quot;/&gt;&lt;wsp:rsid wsp:val=&quot;001762AD&quot;/&gt;&lt;wsp:rsid wsp:val=&quot;0017671A&quot;/&gt;&lt;wsp:rsid wsp:val=&quot;00176AFE&quot;/&gt;&lt;wsp:rsid wsp:val=&quot;00176CFD&quot;/&gt;&lt;wsp:rsid wsp:val=&quot;00177010&quot;/&gt;&lt;wsp:rsid wsp:val=&quot;00177422&quot;/&gt;&lt;wsp:rsid wsp:val=&quot;00180397&quot;/&gt;&lt;wsp:rsid wsp:val=&quot;00180A1D&quot;/&gt;&lt;wsp:rsid wsp:val=&quot;00180FCA&quot;/&gt;&lt;wsp:rsid wsp:val=&quot;00181017&quot;/&gt;&lt;wsp:rsid wsp:val=&quot;0018107C&quot;/&gt;&lt;wsp:rsid wsp:val=&quot;0018118D&quot;/&gt;&lt;wsp:rsid wsp:val=&quot;00181D4D&quot;/&gt;&lt;wsp:rsid wsp:val=&quot;001821AB&quot;/&gt;&lt;wsp:rsid wsp:val=&quot;00182A8A&quot;/&gt;&lt;wsp:rsid wsp:val=&quot;00182D8D&quot;/&gt;&lt;wsp:rsid wsp:val=&quot;00182F16&quot;/&gt;&lt;wsp:rsid wsp:val=&quot;00183A4F&quot;/&gt;&lt;wsp:rsid wsp:val=&quot;00184590&quot;/&gt;&lt;wsp:rsid wsp:val=&quot;00184B32&quot;/&gt;&lt;wsp:rsid wsp:val=&quot;0018520B&quot;/&gt;&lt;wsp:rsid wsp:val=&quot;00185FE9&quot;/&gt;&lt;wsp:rsid wsp:val=&quot;00186019&quot;/&gt;&lt;wsp:rsid wsp:val=&quot;001867CE&quot;/&gt;&lt;wsp:rsid wsp:val=&quot;00186AFA&quot;/&gt;&lt;wsp:rsid wsp:val=&quot;001870D1&quot;/&gt;&lt;wsp:rsid wsp:val=&quot;00187223&quot;/&gt;&lt;wsp:rsid wsp:val=&quot;0018781E&quot;/&gt;&lt;wsp:rsid wsp:val=&quot;001878F0&quot;/&gt;&lt;wsp:rsid wsp:val=&quot;00187FEF&quot;/&gt;&lt;wsp:rsid wsp:val=&quot;00190439&quot;/&gt;&lt;wsp:rsid wsp:val=&quot;00190EF4&quot;/&gt;&lt;wsp:rsid wsp:val=&quot;001913D0&quot;/&gt;&lt;wsp:rsid wsp:val=&quot;00191627&quot;/&gt;&lt;wsp:rsid wsp:val=&quot;00191E16&quot;/&gt;&lt;wsp:rsid wsp:val=&quot;0019262D&quot;/&gt;&lt;wsp:rsid wsp:val=&quot;001938E0&quot;/&gt;&lt;wsp:rsid wsp:val=&quot;00193975&quot;/&gt;&lt;wsp:rsid wsp:val=&quot;00193B1C&quot;/&gt;&lt;wsp:rsid wsp:val=&quot;00193BB7&quot;/&gt;&lt;wsp:rsid wsp:val=&quot;00194BD6&quot;/&gt;&lt;wsp:rsid wsp:val=&quot;001955D6&quot;/&gt;&lt;wsp:rsid wsp:val=&quot;001962F4&quot;/&gt;&lt;wsp:rsid wsp:val=&quot;001970BE&quot;/&gt;&lt;wsp:rsid wsp:val=&quot;001970FE&quot;/&gt;&lt;wsp:rsid wsp:val=&quot;001A0178&quot;/&gt;&lt;wsp:rsid wsp:val=&quot;001A0A06&quot;/&gt;&lt;wsp:rsid wsp:val=&quot;001A1063&quot;/&gt;&lt;wsp:rsid wsp:val=&quot;001A134B&quot;/&gt;&lt;wsp:rsid wsp:val=&quot;001A1458&quot;/&gt;&lt;wsp:rsid wsp:val=&quot;001A1B35&quot;/&gt;&lt;wsp:rsid wsp:val=&quot;001A2D55&quot;/&gt;&lt;wsp:rsid wsp:val=&quot;001A3886&quot;/&gt;&lt;wsp:rsid wsp:val=&quot;001A3F62&quot;/&gt;&lt;wsp:rsid wsp:val=&quot;001A48A2&quot;/&gt;&lt;wsp:rsid wsp:val=&quot;001A48EC&quot;/&gt;&lt;wsp:rsid wsp:val=&quot;001A4C5D&quot;/&gt;&lt;wsp:rsid wsp:val=&quot;001A6250&quot;/&gt;&lt;wsp:rsid wsp:val=&quot;001A6F61&quot;/&gt;&lt;wsp:rsid wsp:val=&quot;001A7435&quot;/&gt;&lt;wsp:rsid wsp:val=&quot;001A7A66&quot;/&gt;&lt;wsp:rsid wsp:val=&quot;001B0926&quot;/&gt;&lt;wsp:rsid wsp:val=&quot;001B12E2&quot;/&gt;&lt;wsp:rsid wsp:val=&quot;001B1428&quot;/&gt;&lt;wsp:rsid wsp:val=&quot;001B146B&quot;/&gt;&lt;wsp:rsid wsp:val=&quot;001B27F2&quot;/&gt;&lt;wsp:rsid wsp:val=&quot;001B328F&quot;/&gt;&lt;wsp:rsid wsp:val=&quot;001B429C&quot;/&gt;&lt;wsp:rsid wsp:val=&quot;001B4D83&quot;/&gt;&lt;wsp:rsid wsp:val=&quot;001B52CB&quot;/&gt;&lt;wsp:rsid wsp:val=&quot;001B5647&quot;/&gt;&lt;wsp:rsid wsp:val=&quot;001B5EF4&quot;/&gt;&lt;wsp:rsid wsp:val=&quot;001B634C&quot;/&gt;&lt;wsp:rsid wsp:val=&quot;001B72B8&quot;/&gt;&lt;wsp:rsid wsp:val=&quot;001B743E&quot;/&gt;&lt;wsp:rsid wsp:val=&quot;001B7530&quot;/&gt;&lt;wsp:rsid wsp:val=&quot;001B7902&quot;/&gt;&lt;wsp:rsid wsp:val=&quot;001B7911&quot;/&gt;&lt;wsp:rsid wsp:val=&quot;001B7BFD&quot;/&gt;&lt;wsp:rsid wsp:val=&quot;001B7C49&quot;/&gt;&lt;wsp:rsid wsp:val=&quot;001B7C6E&quot;/&gt;&lt;wsp:rsid wsp:val=&quot;001C022A&quot;/&gt;&lt;wsp:rsid wsp:val=&quot;001C0366&quot;/&gt;&lt;wsp:rsid wsp:val=&quot;001C2ED8&quot;/&gt;&lt;wsp:rsid wsp:val=&quot;001C3297&quot;/&gt;&lt;wsp:rsid wsp:val=&quot;001C3A50&quot;/&gt;&lt;wsp:rsid wsp:val=&quot;001C3B98&quot;/&gt;&lt;wsp:rsid wsp:val=&quot;001C4178&quot;/&gt;&lt;wsp:rsid wsp:val=&quot;001C4303&quot;/&gt;&lt;wsp:rsid wsp:val=&quot;001C4EE9&quot;/&gt;&lt;wsp:rsid wsp:val=&quot;001C56AC&quot;/&gt;&lt;wsp:rsid wsp:val=&quot;001C5B8A&quot;/&gt;&lt;wsp:rsid wsp:val=&quot;001C6781&quot;/&gt;&lt;wsp:rsid wsp:val=&quot;001C69B3&quot;/&gt;&lt;wsp:rsid wsp:val=&quot;001C6FCD&quot;/&gt;&lt;wsp:rsid wsp:val=&quot;001C72D9&quot;/&gt;&lt;wsp:rsid wsp:val=&quot;001C72F6&quot;/&gt;&lt;wsp:rsid wsp:val=&quot;001C73D2&quot;/&gt;&lt;wsp:rsid wsp:val=&quot;001C7CD5&quot;/&gt;&lt;wsp:rsid wsp:val=&quot;001D0AA0&quot;/&gt;&lt;wsp:rsid wsp:val=&quot;001D0FF8&quot;/&gt;&lt;wsp:rsid wsp:val=&quot;001D1076&quot;/&gt;&lt;wsp:rsid wsp:val=&quot;001D20DA&quot;/&gt;&lt;wsp:rsid wsp:val=&quot;001D251D&quot;/&gt;&lt;wsp:rsid wsp:val=&quot;001D2638&quot;/&gt;&lt;wsp:rsid wsp:val=&quot;001D2942&quot;/&gt;&lt;wsp:rsid wsp:val=&quot;001D2B4C&quot;/&gt;&lt;wsp:rsid wsp:val=&quot;001D3E5F&quot;/&gt;&lt;wsp:rsid wsp:val=&quot;001D4364&quot;/&gt;&lt;wsp:rsid wsp:val=&quot;001D4B8A&quot;/&gt;&lt;wsp:rsid wsp:val=&quot;001D4C27&quot;/&gt;&lt;wsp:rsid wsp:val=&quot;001D4D06&quot;/&gt;&lt;wsp:rsid wsp:val=&quot;001D507F&quot;/&gt;&lt;wsp:rsid wsp:val=&quot;001D543E&quot;/&gt;&lt;wsp:rsid wsp:val=&quot;001D5595&quot;/&gt;&lt;wsp:rsid wsp:val=&quot;001D6316&quot;/&gt;&lt;wsp:rsid wsp:val=&quot;001D6F65&quot;/&gt;&lt;wsp:rsid wsp:val=&quot;001D71DA&quot;/&gt;&lt;wsp:rsid wsp:val=&quot;001D7874&quot;/&gt;&lt;wsp:rsid wsp:val=&quot;001D79C8&quot;/&gt;&lt;wsp:rsid wsp:val=&quot;001D7F22&quot;/&gt;&lt;wsp:rsid wsp:val=&quot;001E02A5&quot;/&gt;&lt;wsp:rsid wsp:val=&quot;001E0978&quot;/&gt;&lt;wsp:rsid wsp:val=&quot;001E0D74&quot;/&gt;&lt;wsp:rsid wsp:val=&quot;001E0DC8&quot;/&gt;&lt;wsp:rsid wsp:val=&quot;001E136A&quot;/&gt;&lt;wsp:rsid wsp:val=&quot;001E1FFC&quot;/&gt;&lt;wsp:rsid wsp:val=&quot;001E2839&quot;/&gt;&lt;wsp:rsid wsp:val=&quot;001E2F07&quot;/&gt;&lt;wsp:rsid wsp:val=&quot;001E30DF&quot;/&gt;&lt;wsp:rsid wsp:val=&quot;001E3501&quot;/&gt;&lt;wsp:rsid wsp:val=&quot;001E3D34&quot;/&gt;&lt;wsp:rsid wsp:val=&quot;001E3E9C&quot;/&gt;&lt;wsp:rsid wsp:val=&quot;001E446B&quot;/&gt;&lt;wsp:rsid wsp:val=&quot;001E47E4&quot;/&gt;&lt;wsp:rsid wsp:val=&quot;001E496A&quot;/&gt;&lt;wsp:rsid wsp:val=&quot;001E4ADC&quot;/&gt;&lt;wsp:rsid wsp:val=&quot;001E512F&quot;/&gt;&lt;wsp:rsid wsp:val=&quot;001E51AA&quot;/&gt;&lt;wsp:rsid wsp:val=&quot;001E57F7&quot;/&gt;&lt;wsp:rsid wsp:val=&quot;001E5A00&quot;/&gt;&lt;wsp:rsid wsp:val=&quot;001E6393&quot;/&gt;&lt;wsp:rsid wsp:val=&quot;001E648D&quot;/&gt;&lt;wsp:rsid wsp:val=&quot;001E64D4&quot;/&gt;&lt;wsp:rsid wsp:val=&quot;001E769A&quot;/&gt;&lt;wsp:rsid wsp:val=&quot;001E7D81&quot;/&gt;&lt;wsp:rsid wsp:val=&quot;001E7DD0&quot;/&gt;&lt;wsp:rsid wsp:val=&quot;001F09E8&quot;/&gt;&lt;wsp:rsid wsp:val=&quot;001F0C79&quot;/&gt;&lt;wsp:rsid wsp:val=&quot;001F0F17&quot;/&gt;&lt;wsp:rsid wsp:val=&quot;001F1347&quot;/&gt;&lt;wsp:rsid wsp:val=&quot;001F15F8&quot;/&gt;&lt;wsp:rsid wsp:val=&quot;001F17B2&quot;/&gt;&lt;wsp:rsid wsp:val=&quot;001F1C78&quot;/&gt;&lt;wsp:rsid wsp:val=&quot;001F2271&quot;/&gt;&lt;wsp:rsid wsp:val=&quot;001F23D1&quot;/&gt;&lt;wsp:rsid wsp:val=&quot;001F2996&quot;/&gt;&lt;wsp:rsid wsp:val=&quot;001F2DDC&quot;/&gt;&lt;wsp:rsid wsp:val=&quot;001F2E8C&quot;/&gt;&lt;wsp:rsid wsp:val=&quot;001F313A&quot;/&gt;&lt;wsp:rsid wsp:val=&quot;001F3347&quot;/&gt;&lt;wsp:rsid wsp:val=&quot;001F46FA&quot;/&gt;&lt;wsp:rsid wsp:val=&quot;001F4CA7&quot;/&gt;&lt;wsp:rsid wsp:val=&quot;001F51EF&quot;/&gt;&lt;wsp:rsid wsp:val=&quot;001F56D0&quot;/&gt;&lt;wsp:rsid wsp:val=&quot;001F571A&quot;/&gt;&lt;wsp:rsid wsp:val=&quot;001F5B49&quot;/&gt;&lt;wsp:rsid wsp:val=&quot;001F6430&quot;/&gt;&lt;wsp:rsid wsp:val=&quot;001F69E4&quot;/&gt;&lt;wsp:rsid wsp:val=&quot;001F71DC&quot;/&gt;&lt;wsp:rsid wsp:val=&quot;001F7E9B&quot;/&gt;&lt;wsp:rsid wsp:val=&quot;00200365&quot;/&gt;&lt;wsp:rsid wsp:val=&quot;00201976&quot;/&gt;&lt;wsp:rsid wsp:val=&quot;00202084&quot;/&gt;&lt;wsp:rsid wsp:val=&quot;00202635&quot;/&gt;&lt;wsp:rsid wsp:val=&quot;00202870&quot;/&gt;&lt;wsp:rsid wsp:val=&quot;002028B7&quot;/&gt;&lt;wsp:rsid wsp:val=&quot;002031C8&quot;/&gt;&lt;wsp:rsid wsp:val=&quot;00203E62&quot;/&gt;&lt;wsp:rsid wsp:val=&quot;00203F8C&quot;/&gt;&lt;wsp:rsid wsp:val=&quot;00204335&quot;/&gt;&lt;wsp:rsid wsp:val=&quot;00204348&quot;/&gt;&lt;wsp:rsid wsp:val=&quot;002049CE&quot;/&gt;&lt;wsp:rsid wsp:val=&quot;00204D22&quot;/&gt;&lt;wsp:rsid wsp:val=&quot;00204F11&quot;/&gt;&lt;wsp:rsid wsp:val=&quot;00205126&quot;/&gt;&lt;wsp:rsid wsp:val=&quot;00205E6B&quot;/&gt;&lt;wsp:rsid wsp:val=&quot;002063F6&quot;/&gt;&lt;wsp:rsid wsp:val=&quot;00206640&quot;/&gt;&lt;wsp:rsid wsp:val=&quot;002068E2&quot;/&gt;&lt;wsp:rsid wsp:val=&quot;00206FA9&quot;/&gt;&lt;wsp:rsid wsp:val=&quot;002078E4&quot;/&gt;&lt;wsp:rsid wsp:val=&quot;00207BF3&quot;/&gt;&lt;wsp:rsid wsp:val=&quot;00207F34&quot;/&gt;&lt;wsp:rsid wsp:val=&quot;00207FBC&quot;/&gt;&lt;wsp:rsid wsp:val=&quot;002100EE&quot;/&gt;&lt;wsp:rsid wsp:val=&quot;0021156E&quot;/&gt;&lt;wsp:rsid wsp:val=&quot;002118F5&quot;/&gt;&lt;wsp:rsid wsp:val=&quot;00211C3F&quot;/&gt;&lt;wsp:rsid wsp:val=&quot;00211D6A&quot;/&gt;&lt;wsp:rsid wsp:val=&quot;00212043&quot;/&gt;&lt;wsp:rsid wsp:val=&quot;00212294&quot;/&gt;&lt;wsp:rsid wsp:val=&quot;002125B4&quot;/&gt;&lt;wsp:rsid wsp:val=&quot;00212A44&quot;/&gt;&lt;wsp:rsid wsp:val=&quot;002134C3&quot;/&gt;&lt;wsp:rsid wsp:val=&quot;0021374D&quot;/&gt;&lt;wsp:rsid wsp:val=&quot;00213BB9&quot;/&gt;&lt;wsp:rsid wsp:val=&quot;00213F74&quot;/&gt;&lt;wsp:rsid wsp:val=&quot;002142AA&quot;/&gt;&lt;wsp:rsid wsp:val=&quot;00214F62&quot;/&gt;&lt;wsp:rsid wsp:val=&quot;002155B8&quot;/&gt;&lt;wsp:rsid wsp:val=&quot;002159AC&quot;/&gt;&lt;wsp:rsid wsp:val=&quot;00216C11&quot;/&gt;&lt;wsp:rsid wsp:val=&quot;0021786E&quot;/&gt;&lt;wsp:rsid wsp:val=&quot;002201D1&quot;/&gt;&lt;wsp:rsid wsp:val=&quot;00220330&quot;/&gt;&lt;wsp:rsid wsp:val=&quot;00220543&quot;/&gt;&lt;wsp:rsid wsp:val=&quot;00220923&quot;/&gt;&lt;wsp:rsid wsp:val=&quot;00221398&quot;/&gt;&lt;wsp:rsid wsp:val=&quot;00221D11&quot;/&gt;&lt;wsp:rsid wsp:val=&quot;00221DD6&quot;/&gt;&lt;wsp:rsid wsp:val=&quot;00222A77&quot;/&gt;&lt;wsp:rsid wsp:val=&quot;00222F72&quot;/&gt;&lt;wsp:rsid wsp:val=&quot;002235B9&quot;/&gt;&lt;wsp:rsid wsp:val=&quot;00223870&quot;/&gt;&lt;wsp:rsid wsp:val=&quot;00223ED8&quot;/&gt;&lt;wsp:rsid wsp:val=&quot;00223FC3&quot;/&gt;&lt;wsp:rsid wsp:val=&quot;00224406&quot;/&gt;&lt;wsp:rsid wsp:val=&quot;002246EE&quot;/&gt;&lt;wsp:rsid wsp:val=&quot;00224839&quot;/&gt;&lt;wsp:rsid wsp:val=&quot;002249B2&quot;/&gt;&lt;wsp:rsid wsp:val=&quot;00224D49&quot;/&gt;&lt;wsp:rsid wsp:val=&quot;00225526&quot;/&gt;&lt;wsp:rsid wsp:val=&quot;00225B77&quot;/&gt;&lt;wsp:rsid wsp:val=&quot;00226574&quot;/&gt;&lt;wsp:rsid wsp:val=&quot;00226A92&quot;/&gt;&lt;wsp:rsid wsp:val=&quot;00226A93&quot;/&gt;&lt;wsp:rsid wsp:val=&quot;00226DFF&quot;/&gt;&lt;wsp:rsid wsp:val=&quot;0022715F&quot;/&gt;&lt;wsp:rsid wsp:val=&quot;0022753C&quot;/&gt;&lt;wsp:rsid wsp:val=&quot;002278EC&quot;/&gt;&lt;wsp:rsid wsp:val=&quot;00227AE1&quot;/&gt;&lt;wsp:rsid wsp:val=&quot;00230736&quot;/&gt;&lt;wsp:rsid wsp:val=&quot;00232803&quot;/&gt;&lt;wsp:rsid wsp:val=&quot;0023280E&quot;/&gt;&lt;wsp:rsid wsp:val=&quot;00233256&quot;/&gt;&lt;wsp:rsid wsp:val=&quot;0023383E&quot;/&gt;&lt;wsp:rsid wsp:val=&quot;0023389C&quot;/&gt;&lt;wsp:rsid wsp:val=&quot;00233C73&quot;/&gt;&lt;wsp:rsid wsp:val=&quot;0023438D&quot;/&gt;&lt;wsp:rsid wsp:val=&quot;0023476B&quot;/&gt;&lt;wsp:rsid wsp:val=&quot;00235B45&quot;/&gt;&lt;wsp:rsid wsp:val=&quot;00235C82&quot;/&gt;&lt;wsp:rsid wsp:val=&quot;00236478&quot;/&gt;&lt;wsp:rsid wsp:val=&quot;002368B2&quot;/&gt;&lt;wsp:rsid wsp:val=&quot;00236B95&quot;/&gt;&lt;wsp:rsid wsp:val=&quot;00236FC5&quot;/&gt;&lt;wsp:rsid wsp:val=&quot;00237707&quot;/&gt;&lt;wsp:rsid wsp:val=&quot;002377D1&quot;/&gt;&lt;wsp:rsid wsp:val=&quot;00237A6D&quot;/&gt;&lt;wsp:rsid wsp:val=&quot;00240098&quot;/&gt;&lt;wsp:rsid wsp:val=&quot;002402B3&quot;/&gt;&lt;wsp:rsid wsp:val=&quot;00241E67&quot;/&gt;&lt;wsp:rsid wsp:val=&quot;0024259B&quot;/&gt;&lt;wsp:rsid wsp:val=&quot;0024317C&quot;/&gt;&lt;wsp:rsid wsp:val=&quot;0024422C&quot;/&gt;&lt;wsp:rsid wsp:val=&quot;00244AC2&quot;/&gt;&lt;wsp:rsid wsp:val=&quot;002451C1&quot;/&gt;&lt;wsp:rsid wsp:val=&quot;00245AB1&quot;/&gt;&lt;wsp:rsid wsp:val=&quot;00245E45&quot;/&gt;&lt;wsp:rsid wsp:val=&quot;00246B77&quot;/&gt;&lt;wsp:rsid wsp:val=&quot;00247387&quot;/&gt;&lt;wsp:rsid wsp:val=&quot;00247459&quot;/&gt;&lt;wsp:rsid wsp:val=&quot;00247593&quot;/&gt;&lt;wsp:rsid wsp:val=&quot;002477D9&quot;/&gt;&lt;wsp:rsid wsp:val=&quot;002506BC&quot;/&gt;&lt;wsp:rsid wsp:val=&quot;0025086D&quot;/&gt;&lt;wsp:rsid wsp:val=&quot;00252848&quot;/&gt;&lt;wsp:rsid wsp:val=&quot;00252C0E&quot;/&gt;&lt;wsp:rsid wsp:val=&quot;00252EC8&quot;/&gt;&lt;wsp:rsid wsp:val=&quot;0025328A&quot;/&gt;&lt;wsp:rsid wsp:val=&quot;0025347E&quot;/&gt;&lt;wsp:rsid wsp:val=&quot;002538B3&quot;/&gt;&lt;wsp:rsid wsp:val=&quot;0025406E&quot;/&gt;&lt;wsp:rsid wsp:val=&quot;0025408F&quot;/&gt;&lt;wsp:rsid wsp:val=&quot;00254178&quot;/&gt;&lt;wsp:rsid wsp:val=&quot;002542E2&quot;/&gt;&lt;wsp:rsid wsp:val=&quot;00254345&quot;/&gt;&lt;wsp:rsid wsp:val=&quot;00254A80&quot;/&gt;&lt;wsp:rsid wsp:val=&quot;00254C41&quot;/&gt;&lt;wsp:rsid wsp:val=&quot;00254FCB&quot;/&gt;&lt;wsp:rsid wsp:val=&quot;00255300&quot;/&gt;&lt;wsp:rsid wsp:val=&quot;00255D69&quot;/&gt;&lt;wsp:rsid wsp:val=&quot;00255E31&quot;/&gt;&lt;wsp:rsid wsp:val=&quot;002568AD&quot;/&gt;&lt;wsp:rsid wsp:val=&quot;00256CD2&quot;/&gt;&lt;wsp:rsid wsp:val=&quot;00257FF9&quot;/&gt;&lt;wsp:rsid wsp:val=&quot;002607F1&quot;/&gt;&lt;wsp:rsid wsp:val=&quot;00261071&quot;/&gt;&lt;wsp:rsid wsp:val=&quot;002611D3&quot;/&gt;&lt;wsp:rsid wsp:val=&quot;00261274&quot;/&gt;&lt;wsp:rsid wsp:val=&quot;002614AF&quot;/&gt;&lt;wsp:rsid wsp:val=&quot;0026166E&quot;/&gt;&lt;wsp:rsid wsp:val=&quot;00261903&quot;/&gt;&lt;wsp:rsid wsp:val=&quot;00262F2E&quot;/&gt;&lt;wsp:rsid wsp:val=&quot;00263809&quot;/&gt;&lt;wsp:rsid wsp:val=&quot;00264557&quot;/&gt;&lt;wsp:rsid wsp:val=&quot;00264DBF&quot;/&gt;&lt;wsp:rsid wsp:val=&quot;002651C7&quot;/&gt;&lt;wsp:rsid wsp:val=&quot;002655D8&quot;/&gt;&lt;wsp:rsid wsp:val=&quot;002663E2&quot;/&gt;&lt;wsp:rsid wsp:val=&quot;00266C84&quot;/&gt;&lt;wsp:rsid wsp:val=&quot;00267620&quot;/&gt;&lt;wsp:rsid wsp:val=&quot;002700CC&quot;/&gt;&lt;wsp:rsid wsp:val=&quot;00270624&quot;/&gt;&lt;wsp:rsid wsp:val=&quot;00270708&quot;/&gt;&lt;wsp:rsid wsp:val=&quot;0027119D&quot;/&gt;&lt;wsp:rsid wsp:val=&quot;00272942&quot;/&gt;&lt;wsp:rsid wsp:val=&quot;002729A7&quot;/&gt;&lt;wsp:rsid wsp:val=&quot;00272FAA&quot;/&gt;&lt;wsp:rsid wsp:val=&quot;002731D2&quot;/&gt;&lt;wsp:rsid wsp:val=&quot;00273577&quot;/&gt;&lt;wsp:rsid wsp:val=&quot;00273907&quot;/&gt;&lt;wsp:rsid wsp:val=&quot;00273A4E&quot;/&gt;&lt;wsp:rsid wsp:val=&quot;0027414B&quot;/&gt;&lt;wsp:rsid wsp:val=&quot;002748AF&quot;/&gt;&lt;wsp:rsid wsp:val=&quot;002756B6&quot;/&gt;&lt;wsp:rsid wsp:val=&quot;00275C8C&quot;/&gt;&lt;wsp:rsid wsp:val=&quot;00275DD5&quot;/&gt;&lt;wsp:rsid wsp:val=&quot;00275F3C&quot;/&gt;&lt;wsp:rsid wsp:val=&quot;002763FE&quot;/&gt;&lt;wsp:rsid wsp:val=&quot;002764D8&quot;/&gt;&lt;wsp:rsid wsp:val=&quot;00276F6C&quot;/&gt;&lt;wsp:rsid wsp:val=&quot;0027725D&quot;/&gt;&lt;wsp:rsid wsp:val=&quot;00277420&quot;/&gt;&lt;wsp:rsid wsp:val=&quot;00277453&quot;/&gt;&lt;wsp:rsid wsp:val=&quot;002805AB&quot;/&gt;&lt;wsp:rsid wsp:val=&quot;00280FF9&quot;/&gt;&lt;wsp:rsid wsp:val=&quot;0028128D&quot;/&gt;&lt;wsp:rsid wsp:val=&quot;0028168A&quot;/&gt;&lt;wsp:rsid wsp:val=&quot;002821CA&quot;/&gt;&lt;wsp:rsid wsp:val=&quot;00282DB4&quot;/&gt;&lt;wsp:rsid wsp:val=&quot;0028316E&quot;/&gt;&lt;wsp:rsid wsp:val=&quot;00283233&quot;/&gt;&lt;wsp:rsid wsp:val=&quot;00283238&quot;/&gt;&lt;wsp:rsid wsp:val=&quot;00283303&quot;/&gt;&lt;wsp:rsid wsp:val=&quot;0028342E&quot;/&gt;&lt;wsp:rsid wsp:val=&quot;00284075&quot;/&gt;&lt;wsp:rsid wsp:val=&quot;00284204&quot;/&gt;&lt;wsp:rsid wsp:val=&quot;00284793&quot;/&gt;&lt;wsp:rsid wsp:val=&quot;00284D7E&quot;/&gt;&lt;wsp:rsid wsp:val=&quot;0028591B&quot;/&gt;&lt;wsp:rsid wsp:val=&quot;00285B16&quot;/&gt;&lt;wsp:rsid wsp:val=&quot;0028649E&quot;/&gt;&lt;wsp:rsid wsp:val=&quot;00286A59&quot;/&gt;&lt;wsp:rsid wsp:val=&quot;002870F3&quot;/&gt;&lt;wsp:rsid wsp:val=&quot;00287971&quot;/&gt;&lt;wsp:rsid wsp:val=&quot;00287A2F&quot;/&gt;&lt;wsp:rsid wsp:val=&quot;00287D89&quot;/&gt;&lt;wsp:rsid wsp:val=&quot;00290FDA&quot;/&gt;&lt;wsp:rsid wsp:val=&quot;00291773&quot;/&gt;&lt;wsp:rsid wsp:val=&quot;002918DE&quot;/&gt;&lt;wsp:rsid wsp:val=&quot;00291B7B&quot;/&gt;&lt;wsp:rsid wsp:val=&quot;00291D13&quot;/&gt;&lt;wsp:rsid wsp:val=&quot;00292068&quot;/&gt;&lt;wsp:rsid wsp:val=&quot;00292101&quot;/&gt;&lt;wsp:rsid wsp:val=&quot;00292607&quot;/&gt;&lt;wsp:rsid wsp:val=&quot;002927F7&quot;/&gt;&lt;wsp:rsid wsp:val=&quot;00293069&quot;/&gt;&lt;wsp:rsid wsp:val=&quot;00293662&quot;/&gt;&lt;wsp:rsid wsp:val=&quot;00293972&quot;/&gt;&lt;wsp:rsid wsp:val=&quot;0029433F&quot;/&gt;&lt;wsp:rsid wsp:val=&quot;002943B0&quot;/&gt;&lt;wsp:rsid wsp:val=&quot;00294888&quot;/&gt;&lt;wsp:rsid wsp:val=&quot;00295822&quot;/&gt;&lt;wsp:rsid wsp:val=&quot;002958F2&quot;/&gt;&lt;wsp:rsid wsp:val=&quot;00295D0C&quot;/&gt;&lt;wsp:rsid wsp:val=&quot;002965F7&quot;/&gt;&lt;wsp:rsid wsp:val=&quot;00297157&quot;/&gt;&lt;wsp:rsid wsp:val=&quot;0029751D&quot;/&gt;&lt;wsp:rsid wsp:val=&quot;00297FA5&quot;/&gt;&lt;wsp:rsid wsp:val=&quot;002A058E&quot;/&gt;&lt;wsp:rsid wsp:val=&quot;002A168C&quot;/&gt;&lt;wsp:rsid wsp:val=&quot;002A3DC7&quot;/&gt;&lt;wsp:rsid wsp:val=&quot;002A44F7&quot;/&gt;&lt;wsp:rsid wsp:val=&quot;002A5197&quot;/&gt;&lt;wsp:rsid wsp:val=&quot;002A650E&quot;/&gt;&lt;wsp:rsid wsp:val=&quot;002A6B38&quot;/&gt;&lt;wsp:rsid wsp:val=&quot;002A6B9E&quot;/&gt;&lt;wsp:rsid wsp:val=&quot;002A7830&quot;/&gt;&lt;wsp:rsid wsp:val=&quot;002B0CAE&quot;/&gt;&lt;wsp:rsid wsp:val=&quot;002B1F7C&quot;/&gt;&lt;wsp:rsid wsp:val=&quot;002B241A&quot;/&gt;&lt;wsp:rsid wsp:val=&quot;002B2DD5&quot;/&gt;&lt;wsp:rsid wsp:val=&quot;002B2F71&quot;/&gt;&lt;wsp:rsid wsp:val=&quot;002B2FBF&quot;/&gt;&lt;wsp:rsid wsp:val=&quot;002B31C0&quot;/&gt;&lt;wsp:rsid wsp:val=&quot;002B3369&quot;/&gt;&lt;wsp:rsid wsp:val=&quot;002B39D6&quot;/&gt;&lt;wsp:rsid wsp:val=&quot;002B3D03&quot;/&gt;&lt;wsp:rsid wsp:val=&quot;002B3EE5&quot;/&gt;&lt;wsp:rsid wsp:val=&quot;002B4180&quot;/&gt;&lt;wsp:rsid wsp:val=&quot;002B49E2&quot;/&gt;&lt;wsp:rsid wsp:val=&quot;002B5203&quot;/&gt;&lt;wsp:rsid wsp:val=&quot;002B71FA&quot;/&gt;&lt;wsp:rsid wsp:val=&quot;002B7B00&quot;/&gt;&lt;wsp:rsid wsp:val=&quot;002B7C44&quot;/&gt;&lt;wsp:rsid wsp:val=&quot;002B7CEB&quot;/&gt;&lt;wsp:rsid wsp:val=&quot;002C00C5&quot;/&gt;&lt;wsp:rsid wsp:val=&quot;002C059D&quot;/&gt;&lt;wsp:rsid wsp:val=&quot;002C0906&quot;/&gt;&lt;wsp:rsid wsp:val=&quot;002C0B26&quot;/&gt;&lt;wsp:rsid wsp:val=&quot;002C0F5C&quot;/&gt;&lt;wsp:rsid wsp:val=&quot;002C1745&quot;/&gt;&lt;wsp:rsid wsp:val=&quot;002C1BCB&quot;/&gt;&lt;wsp:rsid wsp:val=&quot;002C1D87&quot;/&gt;&lt;wsp:rsid wsp:val=&quot;002C25CC&quot;/&gt;&lt;wsp:rsid wsp:val=&quot;002C2AA3&quot;/&gt;&lt;wsp:rsid wsp:val=&quot;002C2B17&quot;/&gt;&lt;wsp:rsid wsp:val=&quot;002C2FF1&quot;/&gt;&lt;wsp:rsid wsp:val=&quot;002C3FE8&quot;/&gt;&lt;wsp:rsid wsp:val=&quot;002C4091&quot;/&gt;&lt;wsp:rsid wsp:val=&quot;002C4986&quot;/&gt;&lt;wsp:rsid wsp:val=&quot;002C4A16&quot;/&gt;&lt;wsp:rsid wsp:val=&quot;002C4FC5&quot;/&gt;&lt;wsp:rsid wsp:val=&quot;002C58E3&quot;/&gt;&lt;wsp:rsid wsp:val=&quot;002C597A&quot;/&gt;&lt;wsp:rsid wsp:val=&quot;002C6FD2&quot;/&gt;&lt;wsp:rsid wsp:val=&quot;002C7072&quot;/&gt;&lt;wsp:rsid wsp:val=&quot;002C7ACA&quot;/&gt;&lt;wsp:rsid wsp:val=&quot;002C7FDF&quot;/&gt;&lt;wsp:rsid wsp:val=&quot;002D0978&quot;/&gt;&lt;wsp:rsid wsp:val=&quot;002D0BBC&quot;/&gt;&lt;wsp:rsid wsp:val=&quot;002D0C38&quot;/&gt;&lt;wsp:rsid wsp:val=&quot;002D1693&quot;/&gt;&lt;wsp:rsid wsp:val=&quot;002D1B9C&quot;/&gt;&lt;wsp:rsid wsp:val=&quot;002D1F93&quot;/&gt;&lt;wsp:rsid wsp:val=&quot;002D2A77&quot;/&gt;&lt;wsp:rsid wsp:val=&quot;002D2FF2&quot;/&gt;&lt;wsp:rsid wsp:val=&quot;002D310D&quot;/&gt;&lt;wsp:rsid wsp:val=&quot;002D35A9&quot;/&gt;&lt;wsp:rsid wsp:val=&quot;002D3DD0&quot;/&gt;&lt;wsp:rsid wsp:val=&quot;002D3FE3&quot;/&gt;&lt;wsp:rsid wsp:val=&quot;002D4949&quot;/&gt;&lt;wsp:rsid wsp:val=&quot;002D5059&quot;/&gt;&lt;wsp:rsid wsp:val=&quot;002D5B30&quot;/&gt;&lt;wsp:rsid wsp:val=&quot;002D6462&quot;/&gt;&lt;wsp:rsid wsp:val=&quot;002D667A&quot;/&gt;&lt;wsp:rsid wsp:val=&quot;002D78D4&quot;/&gt;&lt;wsp:rsid wsp:val=&quot;002D7C4A&quot;/&gt;&lt;wsp:rsid wsp:val=&quot;002E10B5&quot;/&gt;&lt;wsp:rsid wsp:val=&quot;002E1B11&quot;/&gt;&lt;wsp:rsid wsp:val=&quot;002E1F3A&quot;/&gt;&lt;wsp:rsid wsp:val=&quot;002E20B3&quot;/&gt;&lt;wsp:rsid wsp:val=&quot;002E211F&quot;/&gt;&lt;wsp:rsid wsp:val=&quot;002E22FD&quot;/&gt;&lt;wsp:rsid wsp:val=&quot;002E270E&quot;/&gt;&lt;wsp:rsid wsp:val=&quot;002E298A&quot;/&gt;&lt;wsp:rsid wsp:val=&quot;002E31A3&quot;/&gt;&lt;wsp:rsid wsp:val=&quot;002E333F&quot;/&gt;&lt;wsp:rsid wsp:val=&quot;002E3E25&quot;/&gt;&lt;wsp:rsid wsp:val=&quot;002E3F9A&quot;/&gt;&lt;wsp:rsid wsp:val=&quot;002E4C92&quot;/&gt;&lt;wsp:rsid wsp:val=&quot;002E5378&quot;/&gt;&lt;wsp:rsid wsp:val=&quot;002E65DF&quot;/&gt;&lt;wsp:rsid wsp:val=&quot;002E6DB0&quot;/&gt;&lt;wsp:rsid wsp:val=&quot;002E7D3E&quot;/&gt;&lt;wsp:rsid wsp:val=&quot;002F040A&quot;/&gt;&lt;wsp:rsid wsp:val=&quot;002F08E2&quot;/&gt;&lt;wsp:rsid wsp:val=&quot;002F0EA9&quot;/&gt;&lt;wsp:rsid wsp:val=&quot;002F1A4D&quot;/&gt;&lt;wsp:rsid wsp:val=&quot;002F2B2B&quot;/&gt;&lt;wsp:rsid wsp:val=&quot;002F2EA8&quot;/&gt;&lt;wsp:rsid wsp:val=&quot;002F2F66&quot;/&gt;&lt;wsp:rsid wsp:val=&quot;002F3759&quot;/&gt;&lt;wsp:rsid wsp:val=&quot;002F3D5E&quot;/&gt;&lt;wsp:rsid wsp:val=&quot;002F41A0&quot;/&gt;&lt;wsp:rsid wsp:val=&quot;002F43C2&quot;/&gt;&lt;wsp:rsid wsp:val=&quot;002F46A9&quot;/&gt;&lt;wsp:rsid wsp:val=&quot;002F4B3B&quot;/&gt;&lt;wsp:rsid wsp:val=&quot;002F4BBB&quot;/&gt;&lt;wsp:rsid wsp:val=&quot;002F4D2F&quot;/&gt;&lt;wsp:rsid wsp:val=&quot;002F54E3&quot;/&gt;&lt;wsp:rsid wsp:val=&quot;002F5D15&quot;/&gt;&lt;wsp:rsid wsp:val=&quot;002F5F2F&quot;/&gt;&lt;wsp:rsid wsp:val=&quot;002F6144&quot;/&gt;&lt;wsp:rsid wsp:val=&quot;002F6312&quot;/&gt;&lt;wsp:rsid wsp:val=&quot;002F6F5D&quot;/&gt;&lt;wsp:rsid wsp:val=&quot;002F704F&quot;/&gt;&lt;wsp:rsid wsp:val=&quot;00300CA3&quot;/&gt;&lt;wsp:rsid wsp:val=&quot;00301978&quot;/&gt;&lt;wsp:rsid wsp:val=&quot;00301B68&quot;/&gt;&lt;wsp:rsid wsp:val=&quot;00301EC2&quot;/&gt;&lt;wsp:rsid wsp:val=&quot;00302071&quot;/&gt;&lt;wsp:rsid wsp:val=&quot;00302446&quot;/&gt;&lt;wsp:rsid wsp:val=&quot;00302C15&quot;/&gt;&lt;wsp:rsid wsp:val=&quot;00302CEB&quot;/&gt;&lt;wsp:rsid wsp:val=&quot;0030332C&quot;/&gt;&lt;wsp:rsid wsp:val=&quot;00303A04&quot;/&gt;&lt;wsp:rsid wsp:val=&quot;00303FFA&quot;/&gt;&lt;wsp:rsid wsp:val=&quot;00304351&quot;/&gt;&lt;wsp:rsid wsp:val=&quot;003044CC&quot;/&gt;&lt;wsp:rsid wsp:val=&quot;00304B91&quot;/&gt;&lt;wsp:rsid wsp:val=&quot;00304F79&quot;/&gt;&lt;wsp:rsid wsp:val=&quot;003051C2&quot;/&gt;&lt;wsp:rsid wsp:val=&quot;00305589&quot;/&gt;&lt;wsp:rsid wsp:val=&quot;00305666&quot;/&gt;&lt;wsp:rsid wsp:val=&quot;00305F3C&quot;/&gt;&lt;wsp:rsid wsp:val=&quot;003061BE&quot;/&gt;&lt;wsp:rsid wsp:val=&quot;00306241&quot;/&gt;&lt;wsp:rsid wsp:val=&quot;00306E30&quot;/&gt;&lt;wsp:rsid wsp:val=&quot;00310454&quot;/&gt;&lt;wsp:rsid wsp:val=&quot;003104C2&quot;/&gt;&lt;wsp:rsid wsp:val=&quot;0031068E&quot;/&gt;&lt;wsp:rsid wsp:val=&quot;00310D4F&quot;/&gt;&lt;wsp:rsid wsp:val=&quot;00310E0A&quot;/&gt;&lt;wsp:rsid wsp:val=&quot;00310F19&quot;/&gt;&lt;wsp:rsid wsp:val=&quot;00311338&quot;/&gt;&lt;wsp:rsid wsp:val=&quot;0031149D&quot;/&gt;&lt;wsp:rsid wsp:val=&quot;00312296&quot;/&gt;&lt;wsp:rsid wsp:val=&quot;0031249E&quot;/&gt;&lt;wsp:rsid wsp:val=&quot;003125F1&quot;/&gt;&lt;wsp:rsid wsp:val=&quot;00312AB5&quot;/&gt;&lt;wsp:rsid wsp:val=&quot;0031313A&quot;/&gt;&lt;wsp:rsid wsp:val=&quot;00313529&quot;/&gt;&lt;wsp:rsid wsp:val=&quot;00313791&quot;/&gt;&lt;wsp:rsid wsp:val=&quot;00313986&quot;/&gt;&lt;wsp:rsid wsp:val=&quot;00314686&quot;/&gt;&lt;wsp:rsid wsp:val=&quot;003146DC&quot;/&gt;&lt;wsp:rsid wsp:val=&quot;00314F0E&quot;/&gt;&lt;wsp:rsid wsp:val=&quot;003151EA&quot;/&gt;&lt;wsp:rsid wsp:val=&quot;00315653&quot;/&gt;&lt;wsp:rsid wsp:val=&quot;003157FD&quot;/&gt;&lt;wsp:rsid wsp:val=&quot;00315E7B&quot;/&gt;&lt;wsp:rsid wsp:val=&quot;003162ED&quot;/&gt;&lt;wsp:rsid wsp:val=&quot;003178B7&quot;/&gt;&lt;wsp:rsid wsp:val=&quot;0032032C&quot;/&gt;&lt;wsp:rsid wsp:val=&quot;00320B46&quot;/&gt;&lt;wsp:rsid wsp:val=&quot;00321149&quot;/&gt;&lt;wsp:rsid wsp:val=&quot;00321D8E&quot;/&gt;&lt;wsp:rsid wsp:val=&quot;003222A9&quot;/&gt;&lt;wsp:rsid wsp:val=&quot;003224AC&quot;/&gt;&lt;wsp:rsid wsp:val=&quot;00322636&quot;/&gt;&lt;wsp:rsid wsp:val=&quot;003229DC&quot;/&gt;&lt;wsp:rsid wsp:val=&quot;00322B1B&quot;/&gt;&lt;wsp:rsid wsp:val=&quot;00322D67&quot;/&gt;&lt;wsp:rsid wsp:val=&quot;00323181&quot;/&gt;&lt;wsp:rsid wsp:val=&quot;003237BD&quot;/&gt;&lt;wsp:rsid wsp:val=&quot;00324179&quot;/&gt;&lt;wsp:rsid wsp:val=&quot;003245E2&quot;/&gt;&lt;wsp:rsid wsp:val=&quot;0032474B&quot;/&gt;&lt;wsp:rsid wsp:val=&quot;00324764&quot;/&gt;&lt;wsp:rsid wsp:val=&quot;00324BC4&quot;/&gt;&lt;wsp:rsid wsp:val=&quot;00325057&quot;/&gt;&lt;wsp:rsid wsp:val=&quot;003252C4&quot;/&gt;&lt;wsp:rsid wsp:val=&quot;00325928&quot;/&gt;&lt;wsp:rsid wsp:val=&quot;0032618F&quot;/&gt;&lt;wsp:rsid wsp:val=&quot;00327325&quot;/&gt;&lt;wsp:rsid wsp:val=&quot;00327AF1&quot;/&gt;&lt;wsp:rsid wsp:val=&quot;00327ED1&quot;/&gt;&lt;wsp:rsid wsp:val=&quot;003309A0&quot;/&gt;&lt;wsp:rsid wsp:val=&quot;00331C6B&quot;/&gt;&lt;wsp:rsid wsp:val=&quot;00332863&quot;/&gt;&lt;wsp:rsid wsp:val=&quot;003329F6&quot;/&gt;&lt;wsp:rsid wsp:val=&quot;00333060&quot;/&gt;&lt;wsp:rsid wsp:val=&quot;003332F9&quot;/&gt;&lt;wsp:rsid wsp:val=&quot;00333AD5&quot;/&gt;&lt;wsp:rsid wsp:val=&quot;00333BF9&quot;/&gt;&lt;wsp:rsid wsp:val=&quot;00334487&quot;/&gt;&lt;wsp:rsid wsp:val=&quot;003350A1&quot;/&gt;&lt;wsp:rsid wsp:val=&quot;0033513C&quot;/&gt;&lt;wsp:rsid wsp:val=&quot;00335C2A&quot;/&gt;&lt;wsp:rsid wsp:val=&quot;00335D70&quot;/&gt;&lt;wsp:rsid wsp:val=&quot;00336192&quot;/&gt;&lt;wsp:rsid wsp:val=&quot;00336294&quot;/&gt;&lt;wsp:rsid wsp:val=&quot;0033684D&quot;/&gt;&lt;wsp:rsid wsp:val=&quot;00336B51&quot;/&gt;&lt;wsp:rsid wsp:val=&quot;00337B42&quot;/&gt;&lt;wsp:rsid wsp:val=&quot;00340026&quot;/&gt;&lt;wsp:rsid wsp:val=&quot;00340146&quot;/&gt;&lt;wsp:rsid wsp:val=&quot;00340597&quot;/&gt;&lt;wsp:rsid wsp:val=&quot;00340935&quot;/&gt;&lt;wsp:rsid wsp:val=&quot;00340A87&quot;/&gt;&lt;wsp:rsid wsp:val=&quot;00341B42&quot;/&gt;&lt;wsp:rsid wsp:val=&quot;00341F5A&quot;/&gt;&lt;wsp:rsid wsp:val=&quot;00342F8D&quot;/&gt;&lt;wsp:rsid wsp:val=&quot;0034348F&quot;/&gt;&lt;wsp:rsid wsp:val=&quot;003435B6&quot;/&gt;&lt;wsp:rsid wsp:val=&quot;00343C8A&quot;/&gt;&lt;wsp:rsid wsp:val=&quot;003445B7&quot;/&gt;&lt;wsp:rsid wsp:val=&quot;00344907&quot;/&gt;&lt;wsp:rsid wsp:val=&quot;00344D62&quot;/&gt;&lt;wsp:rsid wsp:val=&quot;0034507D&quot;/&gt;&lt;wsp:rsid wsp:val=&quot;00345126&quot;/&gt;&lt;wsp:rsid wsp:val=&quot;0034539A&quot;/&gt;&lt;wsp:rsid wsp:val=&quot;0034594E&quot;/&gt;&lt;wsp:rsid wsp:val=&quot;00345DE2&quot;/&gt;&lt;wsp:rsid wsp:val=&quot;00346079&quot;/&gt;&lt;wsp:rsid wsp:val=&quot;003468EE&quot;/&gt;&lt;wsp:rsid wsp:val=&quot;00347CC6&quot;/&gt;&lt;wsp:rsid wsp:val=&quot;00347E6B&quot;/&gt;&lt;wsp:rsid wsp:val=&quot;00347EB6&quot;/&gt;&lt;wsp:rsid wsp:val=&quot;00347EED&quot;/&gt;&lt;wsp:rsid wsp:val=&quot;00350420&quot;/&gt;&lt;wsp:rsid wsp:val=&quot;003504B2&quot;/&gt;&lt;wsp:rsid wsp:val=&quot;003509D4&quot;/&gt;&lt;wsp:rsid wsp:val=&quot;00351530&quot;/&gt;&lt;wsp:rsid wsp:val=&quot;00351544&quot;/&gt;&lt;wsp:rsid wsp:val=&quot;00351592&quot;/&gt;&lt;wsp:rsid wsp:val=&quot;00351BFD&quot;/&gt;&lt;wsp:rsid wsp:val=&quot;00352645&quot;/&gt;&lt;wsp:rsid wsp:val=&quot;0035413F&quot;/&gt;&lt;wsp:rsid wsp:val=&quot;003543BD&quot;/&gt;&lt;wsp:rsid wsp:val=&quot;0035473F&quot;/&gt;&lt;wsp:rsid wsp:val=&quot;00354D60&quot;/&gt;&lt;wsp:rsid wsp:val=&quot;00354E0E&quot;/&gt;&lt;wsp:rsid wsp:val=&quot;003558B0&quot;/&gt;&lt;wsp:rsid wsp:val=&quot;00355ECE&quot;/&gt;&lt;wsp:rsid wsp:val=&quot;00356653&quot;/&gt;&lt;wsp:rsid wsp:val=&quot;0035676D&quot;/&gt;&lt;wsp:rsid wsp:val=&quot;0035698D&quot;/&gt;&lt;wsp:rsid wsp:val=&quot;00356E9E&quot;/&gt;&lt;wsp:rsid wsp:val=&quot;00356EF7&quot;/&gt;&lt;wsp:rsid wsp:val=&quot;0035743F&quot;/&gt;&lt;wsp:rsid wsp:val=&quot;00357BE2&quot;/&gt;&lt;wsp:rsid wsp:val=&quot;00357C69&quot;/&gt;&lt;wsp:rsid wsp:val=&quot;003607D1&quot;/&gt;&lt;wsp:rsid wsp:val=&quot;0036170C&quot;/&gt;&lt;wsp:rsid wsp:val=&quot;0036235F&quot;/&gt;&lt;wsp:rsid wsp:val=&quot;00362589&quot;/&gt;&lt;wsp:rsid wsp:val=&quot;00362C0F&quot;/&gt;&lt;wsp:rsid wsp:val=&quot;003633D8&quot;/&gt;&lt;wsp:rsid wsp:val=&quot;00363F80&quot;/&gt;&lt;wsp:rsid wsp:val=&quot;0036411C&quot;/&gt;&lt;wsp:rsid wsp:val=&quot;00366488&quot;/&gt;&lt;wsp:rsid wsp:val=&quot;00366694&quot;/&gt;&lt;wsp:rsid wsp:val=&quot;003666B8&quot;/&gt;&lt;wsp:rsid wsp:val=&quot;00366DC9&quot;/&gt;&lt;wsp:rsid wsp:val=&quot;00366E0F&quot;/&gt;&lt;wsp:rsid wsp:val=&quot;00366E19&quot;/&gt;&lt;wsp:rsid wsp:val=&quot;00366EA5&quot;/&gt;&lt;wsp:rsid wsp:val=&quot;003676D1&quot;/&gt;&lt;wsp:rsid wsp:val=&quot;00367E15&quot;/&gt;&lt;wsp:rsid wsp:val=&quot;003711F3&quot;/&gt;&lt;wsp:rsid wsp:val=&quot;0037152F&quot;/&gt;&lt;wsp:rsid wsp:val=&quot;0037196A&quot;/&gt;&lt;wsp:rsid wsp:val=&quot;0037254A&quot;/&gt;&lt;wsp:rsid wsp:val=&quot;0037280C&quot;/&gt;&lt;wsp:rsid wsp:val=&quot;00373B32&quot;/&gt;&lt;wsp:rsid wsp:val=&quot;003744C0&quot;/&gt;&lt;wsp:rsid wsp:val=&quot;00374F05&quot;/&gt;&lt;wsp:rsid wsp:val=&quot;00375068&quot;/&gt;&lt;wsp:rsid wsp:val=&quot;003753AE&quot;/&gt;&lt;wsp:rsid wsp:val=&quot;003756C2&quot;/&gt;&lt;wsp:rsid wsp:val=&quot;00375A9A&quot;/&gt;&lt;wsp:rsid wsp:val=&quot;0037684E&quot;/&gt;&lt;wsp:rsid wsp:val=&quot;0037685F&quot;/&gt;&lt;wsp:rsid wsp:val=&quot;0037700C&quot;/&gt;&lt;wsp:rsid wsp:val=&quot;00377C3E&quot;/&gt;&lt;wsp:rsid wsp:val=&quot;00377F1C&quot;/&gt;&lt;wsp:rsid wsp:val=&quot;00380183&quot;/&gt;&lt;wsp:rsid wsp:val=&quot;00380696&quot;/&gt;&lt;wsp:rsid wsp:val=&quot;00381197&quot;/&gt;&lt;wsp:rsid wsp:val=&quot;00381A72&quot;/&gt;&lt;wsp:rsid wsp:val=&quot;00382E1A&quot;/&gt;&lt;wsp:rsid wsp:val=&quot;00384676&quot;/&gt;&lt;wsp:rsid wsp:val=&quot;00384B56&quot;/&gt;&lt;wsp:rsid wsp:val=&quot;00384DFE&quot;/&gt;&lt;wsp:rsid wsp:val=&quot;0038619E&quot;/&gt;&lt;wsp:rsid wsp:val=&quot;003863FB&quot;/&gt;&lt;wsp:rsid wsp:val=&quot;0038650A&quot;/&gt;&lt;wsp:rsid wsp:val=&quot;00386623&quot;/&gt;&lt;wsp:rsid wsp:val=&quot;00386863&quot;/&gt;&lt;wsp:rsid wsp:val=&quot;00386B24&quot;/&gt;&lt;wsp:rsid wsp:val=&quot;00386FA6&quot;/&gt;&lt;wsp:rsid wsp:val=&quot;0038796F&quot;/&gt;&lt;wsp:rsid wsp:val=&quot;00387977&quot;/&gt;&lt;wsp:rsid wsp:val=&quot;003879FE&quot;/&gt;&lt;wsp:rsid wsp:val=&quot;00387C5F&quot;/&gt;&lt;wsp:rsid wsp:val=&quot;00390857&quot;/&gt;&lt;wsp:rsid wsp:val=&quot;00390E61&quot;/&gt;&lt;wsp:rsid wsp:val=&quot;00390E9E&quot;/&gt;&lt;wsp:rsid wsp:val=&quot;0039110E&quot;/&gt;&lt;wsp:rsid wsp:val=&quot;00391ED2&quot;/&gt;&lt;wsp:rsid wsp:val=&quot;00391F7B&quot;/&gt;&lt;wsp:rsid wsp:val=&quot;00392213&quot;/&gt;&lt;wsp:rsid wsp:val=&quot;00392600&quot;/&gt;&lt;wsp:rsid wsp:val=&quot;0039347A&quot;/&gt;&lt;wsp:rsid wsp:val=&quot;00394021&quot;/&gt;&lt;wsp:rsid wsp:val=&quot;00394126&quot;/&gt;&lt;wsp:rsid wsp:val=&quot;003941A8&quot;/&gt;&lt;wsp:rsid wsp:val=&quot;0039459E&quot;/&gt;&lt;wsp:rsid wsp:val=&quot;00394BD0&quot;/&gt;&lt;wsp:rsid wsp:val=&quot;00394C5C&quot;/&gt;&lt;wsp:rsid wsp:val=&quot;003951C7&quot;/&gt;&lt;wsp:rsid wsp:val=&quot;003953AE&quot;/&gt;&lt;wsp:rsid wsp:val=&quot;003954F5&quot;/&gt;&lt;wsp:rsid wsp:val=&quot;00395528&quot;/&gt;&lt;wsp:rsid wsp:val=&quot;00395530&quot;/&gt;&lt;wsp:rsid wsp:val=&quot;00395C0B&quot;/&gt;&lt;wsp:rsid wsp:val=&quot;00395FB7&quot;/&gt;&lt;wsp:rsid wsp:val=&quot;00396752&quot;/&gt;&lt;wsp:rsid wsp:val=&quot;003977C9&quot;/&gt;&lt;wsp:rsid wsp:val=&quot;00397C49&quot;/&gt;&lt;wsp:rsid wsp:val=&quot;003A017D&quot;/&gt;&lt;wsp:rsid wsp:val=&quot;003A0CA9&quot;/&gt;&lt;wsp:rsid wsp:val=&quot;003A19F8&quot;/&gt;&lt;wsp:rsid wsp:val=&quot;003A2740&quot;/&gt;&lt;wsp:rsid wsp:val=&quot;003A31B0&quot;/&gt;&lt;wsp:rsid wsp:val=&quot;003A3F3C&quot;/&gt;&lt;wsp:rsid wsp:val=&quot;003A4824&quot;/&gt;&lt;wsp:rsid wsp:val=&quot;003A493F&quot;/&gt;&lt;wsp:rsid wsp:val=&quot;003A4BF3&quot;/&gt;&lt;wsp:rsid wsp:val=&quot;003A4D4B&quot;/&gt;&lt;wsp:rsid wsp:val=&quot;003A5197&quot;/&gt;&lt;wsp:rsid wsp:val=&quot;003A5469&quot;/&gt;&lt;wsp:rsid wsp:val=&quot;003A6212&quot;/&gt;&lt;wsp:rsid wsp:val=&quot;003A6330&quot;/&gt;&lt;wsp:rsid wsp:val=&quot;003A6B5B&quot;/&gt;&lt;wsp:rsid wsp:val=&quot;003A7901&quot;/&gt;&lt;wsp:rsid wsp:val=&quot;003A7D2D&quot;/&gt;&lt;wsp:rsid wsp:val=&quot;003A7D3A&quot;/&gt;&lt;wsp:rsid wsp:val=&quot;003B0458&quot;/&gt;&lt;wsp:rsid wsp:val=&quot;003B064E&quot;/&gt;&lt;wsp:rsid wsp:val=&quot;003B08B9&quot;/&gt;&lt;wsp:rsid wsp:val=&quot;003B090B&quot;/&gt;&lt;wsp:rsid wsp:val=&quot;003B0AF3&quot;/&gt;&lt;wsp:rsid wsp:val=&quot;003B2154&quot;/&gt;&lt;wsp:rsid wsp:val=&quot;003B2354&quot;/&gt;&lt;wsp:rsid wsp:val=&quot;003B2873&quot;/&gt;&lt;wsp:rsid wsp:val=&quot;003B2944&quot;/&gt;&lt;wsp:rsid wsp:val=&quot;003B2D10&quot;/&gt;&lt;wsp:rsid wsp:val=&quot;003B2FFF&quot;/&gt;&lt;wsp:rsid wsp:val=&quot;003B3ADB&quot;/&gt;&lt;wsp:rsid wsp:val=&quot;003B3F11&quot;/&gt;&lt;wsp:rsid wsp:val=&quot;003B420D&quot;/&gt;&lt;wsp:rsid wsp:val=&quot;003B4558&quot;/&gt;&lt;wsp:rsid wsp:val=&quot;003B482B&quot;/&gt;&lt;wsp:rsid wsp:val=&quot;003B53C9&quot;/&gt;&lt;wsp:rsid wsp:val=&quot;003B59DB&quot;/&gt;&lt;wsp:rsid wsp:val=&quot;003B68E1&quot;/&gt;&lt;wsp:rsid wsp:val=&quot;003B717E&quot;/&gt;&lt;wsp:rsid wsp:val=&quot;003B7556&quot;/&gt;&lt;wsp:rsid wsp:val=&quot;003B75CC&quot;/&gt;&lt;wsp:rsid wsp:val=&quot;003B7B62&quot;/&gt;&lt;wsp:rsid wsp:val=&quot;003C01DF&quot;/&gt;&lt;wsp:rsid wsp:val=&quot;003C0463&quot;/&gt;&lt;wsp:rsid wsp:val=&quot;003C0485&quot;/&gt;&lt;wsp:rsid wsp:val=&quot;003C05C2&quot;/&gt;&lt;wsp:rsid wsp:val=&quot;003C06EC&quot;/&gt;&lt;wsp:rsid wsp:val=&quot;003C0EC6&quot;/&gt;&lt;wsp:rsid wsp:val=&quot;003C14D8&quot;/&gt;&lt;wsp:rsid wsp:val=&quot;003C17D1&quot;/&gt;&lt;wsp:rsid wsp:val=&quot;003C18D3&quot;/&gt;&lt;wsp:rsid wsp:val=&quot;003C249B&quot;/&gt;&lt;wsp:rsid wsp:val=&quot;003C4A9C&quot;/&gt;&lt;wsp:rsid wsp:val=&quot;003C4AA3&quot;/&gt;&lt;wsp:rsid wsp:val=&quot;003C5355&quot;/&gt;&lt;wsp:rsid wsp:val=&quot;003C578E&quot;/&gt;&lt;wsp:rsid wsp:val=&quot;003C64FE&quot;/&gt;&lt;wsp:rsid wsp:val=&quot;003C6C16&quot;/&gt;&lt;wsp:rsid wsp:val=&quot;003C73BF&quot;/&gt;&lt;wsp:rsid wsp:val=&quot;003C7722&quot;/&gt;&lt;wsp:rsid wsp:val=&quot;003C7BF7&quot;/&gt;&lt;wsp:rsid wsp:val=&quot;003D0059&quot;/&gt;&lt;wsp:rsid wsp:val=&quot;003D0C92&quot;/&gt;&lt;wsp:rsid wsp:val=&quot;003D0F97&quot;/&gt;&lt;wsp:rsid wsp:val=&quot;003D12F8&quot;/&gt;&lt;wsp:rsid wsp:val=&quot;003D1D31&quot;/&gt;&lt;wsp:rsid wsp:val=&quot;003D2BF7&quot;/&gt;&lt;wsp:rsid wsp:val=&quot;003D3753&quot;/&gt;&lt;wsp:rsid wsp:val=&quot;003D4443&quot;/&gt;&lt;wsp:rsid wsp:val=&quot;003D47AE&quot;/&gt;&lt;wsp:rsid wsp:val=&quot;003D47F8&quot;/&gt;&lt;wsp:rsid wsp:val=&quot;003D497A&quot;/&gt;&lt;wsp:rsid wsp:val=&quot;003D4F78&quot;/&gt;&lt;wsp:rsid wsp:val=&quot;003D5126&quot;/&gt;&lt;wsp:rsid wsp:val=&quot;003D550B&quot;/&gt;&lt;wsp:rsid wsp:val=&quot;003D5786&quot;/&gt;&lt;wsp:rsid wsp:val=&quot;003D585E&quot;/&gt;&lt;wsp:rsid wsp:val=&quot;003D5EA9&quot;/&gt;&lt;wsp:rsid wsp:val=&quot;003D6240&quot;/&gt;&lt;wsp:rsid wsp:val=&quot;003D6BC3&quot;/&gt;&lt;wsp:rsid wsp:val=&quot;003D77A3&quot;/&gt;&lt;wsp:rsid wsp:val=&quot;003D794D&quot;/&gt;&lt;wsp:rsid wsp:val=&quot;003D7AF2&quot;/&gt;&lt;wsp:rsid wsp:val=&quot;003E005B&quot;/&gt;&lt;wsp:rsid wsp:val=&quot;003E03FA&quot;/&gt;&lt;wsp:rsid wsp:val=&quot;003E081F&quot;/&gt;&lt;wsp:rsid wsp:val=&quot;003E17BE&quot;/&gt;&lt;wsp:rsid wsp:val=&quot;003E1F51&quot;/&gt;&lt;wsp:rsid wsp:val=&quot;003E272E&quot;/&gt;&lt;wsp:rsid wsp:val=&quot;003E3058&quot;/&gt;&lt;wsp:rsid wsp:val=&quot;003E30C3&quot;/&gt;&lt;wsp:rsid wsp:val=&quot;003E30D0&quot;/&gt;&lt;wsp:rsid wsp:val=&quot;003E34CF&quot;/&gt;&lt;wsp:rsid wsp:val=&quot;003E399C&quot;/&gt;&lt;wsp:rsid wsp:val=&quot;003E42FF&quot;/&gt;&lt;wsp:rsid wsp:val=&quot;003E4726&quot;/&gt;&lt;wsp:rsid wsp:val=&quot;003E5503&quot;/&gt;&lt;wsp:rsid wsp:val=&quot;003E5880&quot;/&gt;&lt;wsp:rsid wsp:val=&quot;003E5C2F&quot;/&gt;&lt;wsp:rsid wsp:val=&quot;003E61AD&quot;/&gt;&lt;wsp:rsid wsp:val=&quot;003E621C&quot;/&gt;&lt;wsp:rsid wsp:val=&quot;003E76A9&quot;/&gt;&lt;wsp:rsid wsp:val=&quot;003E7A60&quot;/&gt;&lt;wsp:rsid wsp:val=&quot;003F009D&quot;/&gt;&lt;wsp:rsid wsp:val=&quot;003F02C3&quot;/&gt;&lt;wsp:rsid wsp:val=&quot;003F03A4&quot;/&gt;&lt;wsp:rsid wsp:val=&quot;003F0809&quot;/&gt;&lt;wsp:rsid wsp:val=&quot;003F0DCE&quot;/&gt;&lt;wsp:rsid wsp:val=&quot;003F1B43&quot;/&gt;&lt;wsp:rsid wsp:val=&quot;003F1C57&quot;/&gt;&lt;wsp:rsid wsp:val=&quot;003F1CA5&quot;/&gt;&lt;wsp:rsid wsp:val=&quot;003F1D85&quot;/&gt;&lt;wsp:rsid wsp:val=&quot;003F22D3&quot;/&gt;&lt;wsp:rsid wsp:val=&quot;003F2800&quot;/&gt;&lt;wsp:rsid wsp:val=&quot;003F2C2C&quot;/&gt;&lt;wsp:rsid wsp:val=&quot;003F34E7&quot;/&gt;&lt;wsp:rsid wsp:val=&quot;003F382C&quot;/&gt;&lt;wsp:rsid wsp:val=&quot;003F413E&quot;/&gt;&lt;wsp:rsid wsp:val=&quot;003F45C2&quot;/&gt;&lt;wsp:rsid wsp:val=&quot;003F487A&quot;/&gt;&lt;wsp:rsid wsp:val=&quot;003F4E7A&quot;/&gt;&lt;wsp:rsid wsp:val=&quot;003F53A7&quot;/&gt;&lt;wsp:rsid wsp:val=&quot;003F58E9&quot;/&gt;&lt;wsp:rsid wsp:val=&quot;003F60C2&quot;/&gt;&lt;wsp:rsid wsp:val=&quot;003F617C&quot;/&gt;&lt;wsp:rsid wsp:val=&quot;003F6965&quot;/&gt;&lt;wsp:rsid wsp:val=&quot;003F6A8C&quot;/&gt;&lt;wsp:rsid wsp:val=&quot;003F6EE6&quot;/&gt;&lt;wsp:rsid wsp:val=&quot;003F6FAB&quot;/&gt;&lt;wsp:rsid wsp:val=&quot;003F755C&quot;/&gt;&lt;wsp:rsid wsp:val=&quot;003F780A&quot;/&gt;&lt;wsp:rsid wsp:val=&quot;003F7BD7&quot;/&gt;&lt;wsp:rsid wsp:val=&quot;00401346&quot;/&gt;&lt;wsp:rsid wsp:val=&quot;0040152E&quot;/&gt;&lt;wsp:rsid wsp:val=&quot;00402AD1&quot;/&gt;&lt;wsp:rsid wsp:val=&quot;00402BB2&quot;/&gt;&lt;wsp:rsid wsp:val=&quot;00403076&quot;/&gt;&lt;wsp:rsid wsp:val=&quot;004037C3&quot;/&gt;&lt;wsp:rsid wsp:val=&quot;00403926&quot;/&gt;&lt;wsp:rsid wsp:val=&quot;00404F2A&quot;/&gt;&lt;wsp:rsid wsp:val=&quot;004063C3&quot;/&gt;&lt;wsp:rsid wsp:val=&quot;00406802&quot;/&gt;&lt;wsp:rsid wsp:val=&quot;00406F01&quot;/&gt;&lt;wsp:rsid wsp:val=&quot;00407348&quot;/&gt;&lt;wsp:rsid wsp:val=&quot;00407972&quot;/&gt;&lt;wsp:rsid wsp:val=&quot;004104C2&quot;/&gt;&lt;wsp:rsid wsp:val=&quot;004106E6&quot;/&gt;&lt;wsp:rsid wsp:val=&quot;00410AD6&quot;/&gt;&lt;wsp:rsid wsp:val=&quot;00410E0C&quot;/&gt;&lt;wsp:rsid wsp:val=&quot;004137CF&quot;/&gt;&lt;wsp:rsid wsp:val=&quot;00414010&quot;/&gt;&lt;wsp:rsid wsp:val=&quot;00414334&quot;/&gt;&lt;wsp:rsid wsp:val=&quot;0041452C&quot;/&gt;&lt;wsp:rsid wsp:val=&quot;00414AA0&quot;/&gt;&lt;wsp:rsid wsp:val=&quot;00414D23&quot;/&gt;&lt;wsp:rsid wsp:val=&quot;004150B8&quot;/&gt;&lt;wsp:rsid wsp:val=&quot;004152D8&quot;/&gt;&lt;wsp:rsid wsp:val=&quot;004154F0&quot;/&gt;&lt;wsp:rsid wsp:val=&quot;00415671&quot;/&gt;&lt;wsp:rsid wsp:val=&quot;00416D50&quot;/&gt;&lt;wsp:rsid wsp:val=&quot;00416FD5&quot;/&gt;&lt;wsp:rsid wsp:val=&quot;00417171&quot;/&gt;&lt;wsp:rsid wsp:val=&quot;004174DB&quot;/&gt;&lt;wsp:rsid wsp:val=&quot;00417772&quot;/&gt;&lt;wsp:rsid wsp:val=&quot;0041784A&quot;/&gt;&lt;wsp:rsid wsp:val=&quot;00417857&quot;/&gt;&lt;wsp:rsid wsp:val=&quot;004204B5&quot;/&gt;&lt;wsp:rsid wsp:val=&quot;004206D2&quot;/&gt;&lt;wsp:rsid wsp:val=&quot;00420777&quot;/&gt;&lt;wsp:rsid wsp:val=&quot;00420CE1&quot;/&gt;&lt;wsp:rsid wsp:val=&quot;00420E6A&quot;/&gt;&lt;wsp:rsid wsp:val=&quot;004214E4&quot;/&gt;&lt;wsp:rsid wsp:val=&quot;00421B36&quot;/&gt;&lt;wsp:rsid wsp:val=&quot;004220A8&quot;/&gt;&lt;wsp:rsid wsp:val=&quot;00423A1D&quot;/&gt;&lt;wsp:rsid wsp:val=&quot;00423B75&quot;/&gt;&lt;wsp:rsid wsp:val=&quot;004255C5&quot;/&gt;&lt;wsp:rsid wsp:val=&quot;0042586C&quot;/&gt;&lt;wsp:rsid wsp:val=&quot;00425A9E&quot;/&gt;&lt;wsp:rsid wsp:val=&quot;00426D6B&quot;/&gt;&lt;wsp:rsid wsp:val=&quot;00427FD4&quot;/&gt;&lt;wsp:rsid wsp:val=&quot;00431E6C&quot;/&gt;&lt;wsp:rsid wsp:val=&quot;00432176&quot;/&gt;&lt;wsp:rsid wsp:val=&quot;0043295C&quot;/&gt;&lt;wsp:rsid wsp:val=&quot;00432A2F&quot;/&gt;&lt;wsp:rsid wsp:val=&quot;00432F61&quot;/&gt;&lt;wsp:rsid wsp:val=&quot;0043377B&quot;/&gt;&lt;wsp:rsid wsp:val=&quot;004338CD&quot;/&gt;&lt;wsp:rsid wsp:val=&quot;00433CE7&quot;/&gt;&lt;wsp:rsid wsp:val=&quot;00434098&quot;/&gt;&lt;wsp:rsid wsp:val=&quot;0043409E&quot;/&gt;&lt;wsp:rsid wsp:val=&quot;00434C32&quot;/&gt;&lt;wsp:rsid wsp:val=&quot;0043544A&quot;/&gt;&lt;wsp:rsid wsp:val=&quot;0043556F&quot;/&gt;&lt;wsp:rsid wsp:val=&quot;00435A62&quot;/&gt;&lt;wsp:rsid wsp:val=&quot;00435CA9&quot;/&gt;&lt;wsp:rsid wsp:val=&quot;0043720C&quot;/&gt;&lt;wsp:rsid wsp:val=&quot;00437C37&quot;/&gt;&lt;wsp:rsid wsp:val=&quot;00440DE7&quot;/&gt;&lt;wsp:rsid wsp:val=&quot;00441A25&quot;/&gt;&lt;wsp:rsid wsp:val=&quot;00442C6C&quot;/&gt;&lt;wsp:rsid wsp:val=&quot;004431DD&quot;/&gt;&lt;wsp:rsid wsp:val=&quot;00443270&quot;/&gt;&lt;wsp:rsid wsp:val=&quot;00443DCC&quot;/&gt;&lt;wsp:rsid wsp:val=&quot;00444FE4&quot;/&gt;&lt;wsp:rsid wsp:val=&quot;0044534E&quot;/&gt;&lt;wsp:rsid wsp:val=&quot;00447B0F&quot;/&gt;&lt;wsp:rsid wsp:val=&quot;00447B8B&quot;/&gt;&lt;wsp:rsid wsp:val=&quot;00450001&quot;/&gt;&lt;wsp:rsid wsp:val=&quot;004500E1&quot;/&gt;&lt;wsp:rsid wsp:val=&quot;004501AB&quot;/&gt;&lt;wsp:rsid wsp:val=&quot;00450ACD&quot;/&gt;&lt;wsp:rsid wsp:val=&quot;00451041&quot;/&gt;&lt;wsp:rsid wsp:val=&quot;004515BF&quot;/&gt;&lt;wsp:rsid wsp:val=&quot;004519D9&quot;/&gt;&lt;wsp:rsid wsp:val=&quot;0045240F&quot;/&gt;&lt;wsp:rsid wsp:val=&quot;00452738&quot;/&gt;&lt;wsp:rsid wsp:val=&quot;00452846&quot;/&gt;&lt;wsp:rsid wsp:val=&quot;004529B1&quot;/&gt;&lt;wsp:rsid wsp:val=&quot;00452F32&quot;/&gt;&lt;wsp:rsid wsp:val=&quot;00453080&quot;/&gt;&lt;wsp:rsid wsp:val=&quot;00453564&quot;/&gt;&lt;wsp:rsid wsp:val=&quot;00453E0F&quot;/&gt;&lt;wsp:rsid wsp:val=&quot;004540D3&quot;/&gt;&lt;wsp:rsid wsp:val=&quot;004546DA&quot;/&gt;&lt;wsp:rsid wsp:val=&quot;004549B9&quot;/&gt;&lt;wsp:rsid wsp:val=&quot;00454A9E&quot;/&gt;&lt;wsp:rsid wsp:val=&quot;00454FDC&quot;/&gt;&lt;wsp:rsid wsp:val=&quot;004552EE&quot;/&gt;&lt;wsp:rsid wsp:val=&quot;00455413&quot;/&gt;&lt;wsp:rsid wsp:val=&quot;00456091&quot;/&gt;&lt;wsp:rsid wsp:val=&quot;00456191&quot;/&gt;&lt;wsp:rsid wsp:val=&quot;004561D6&quot;/&gt;&lt;wsp:rsid wsp:val=&quot;00456BE7&quot;/&gt;&lt;wsp:rsid wsp:val=&quot;00456BF0&quot;/&gt;&lt;wsp:rsid wsp:val=&quot;00456DB8&quot;/&gt;&lt;wsp:rsid wsp:val=&quot;00456F4F&quot;/&gt;&lt;wsp:rsid wsp:val=&quot;00457929&quot;/&gt;&lt;wsp:rsid wsp:val=&quot;00457C98&quot;/&gt;&lt;wsp:rsid wsp:val=&quot;00457E8D&quot;/&gt;&lt;wsp:rsid wsp:val=&quot;00457ED0&quot;/&gt;&lt;wsp:rsid wsp:val=&quot;00460AAF&quot;/&gt;&lt;wsp:rsid wsp:val=&quot;00461152&quot;/&gt;&lt;wsp:rsid wsp:val=&quot;004612A8&quot;/&gt;&lt;wsp:rsid wsp:val=&quot;00461F20&quot;/&gt;&lt;wsp:rsid wsp:val=&quot;004622E3&quot;/&gt;&lt;wsp:rsid wsp:val=&quot;004623C1&quot;/&gt;&lt;wsp:rsid wsp:val=&quot;00462BCC&quot;/&gt;&lt;wsp:rsid wsp:val=&quot;00462FAF&quot;/&gt;&lt;wsp:rsid wsp:val=&quot;00463CA2&quot;/&gt;&lt;wsp:rsid wsp:val=&quot;00463D89&quot;/&gt;&lt;wsp:rsid wsp:val=&quot;00464580&quot;/&gt;&lt;wsp:rsid wsp:val=&quot;00464952&quot;/&gt;&lt;wsp:rsid wsp:val=&quot;004659CB&quot;/&gt;&lt;wsp:rsid wsp:val=&quot;00465E09&quot;/&gt;&lt;wsp:rsid wsp:val=&quot;00465F06&quot;/&gt;&lt;wsp:rsid wsp:val=&quot;00466205&quot;/&gt;&lt;wsp:rsid wsp:val=&quot;00466321&quot;/&gt;&lt;wsp:rsid wsp:val=&quot;004663C0&quot;/&gt;&lt;wsp:rsid wsp:val=&quot;00466525&quot;/&gt;&lt;wsp:rsid wsp:val=&quot;00466CD0&quot;/&gt;&lt;wsp:rsid wsp:val=&quot;0046743D&quot;/&gt;&lt;wsp:rsid wsp:val=&quot;00470983&quot;/&gt;&lt;wsp:rsid wsp:val=&quot;00470DFD&quot;/&gt;&lt;wsp:rsid wsp:val=&quot;00471EFD&quot;/&gt;&lt;wsp:rsid wsp:val=&quot;00472042&quot;/&gt;&lt;wsp:rsid wsp:val=&quot;004734DC&quot;/&gt;&lt;wsp:rsid wsp:val=&quot;00473A1F&quot;/&gt;&lt;wsp:rsid wsp:val=&quot;00473C66&quot;/&gt;&lt;wsp:rsid wsp:val=&quot;00473CA3&quot;/&gt;&lt;wsp:rsid wsp:val=&quot;00474174&quot;/&gt;&lt;wsp:rsid wsp:val=&quot;00474D08&quot;/&gt;&lt;wsp:rsid wsp:val=&quot;00474EFB&quot;/&gt;&lt;wsp:rsid wsp:val=&quot;00475497&quot;/&gt;&lt;wsp:rsid wsp:val=&quot;00475E66&quot;/&gt;&lt;wsp:rsid wsp:val=&quot;004779B9&quot;/&gt;&lt;wsp:rsid wsp:val=&quot;00477BF5&quot;/&gt;&lt;wsp:rsid wsp:val=&quot;00480273&quot;/&gt;&lt;wsp:rsid wsp:val=&quot;0048045A&quot;/&gt;&lt;wsp:rsid wsp:val=&quot;0048065F&quot;/&gt;&lt;wsp:rsid wsp:val=&quot;00480EF9&quot;/&gt;&lt;wsp:rsid wsp:val=&quot;004826C0&quot;/&gt;&lt;wsp:rsid wsp:val=&quot;00482788&quot;/&gt;&lt;wsp:rsid wsp:val=&quot;00483786&quot;/&gt;&lt;wsp:rsid wsp:val=&quot;00484B9B&quot;/&gt;&lt;wsp:rsid wsp:val=&quot;004855F6&quot;/&gt;&lt;wsp:rsid wsp:val=&quot;00485739&quot;/&gt;&lt;wsp:rsid wsp:val=&quot;00485C46&quot;/&gt;&lt;wsp:rsid wsp:val=&quot;00485CE7&quot;/&gt;&lt;wsp:rsid wsp:val=&quot;00486310&quot;/&gt;&lt;wsp:rsid wsp:val=&quot;0048661E&quot;/&gt;&lt;wsp:rsid wsp:val=&quot;0048698B&quot;/&gt;&lt;wsp:rsid wsp:val=&quot;00486B1F&quot;/&gt;&lt;wsp:rsid wsp:val=&quot;00487C7F&quot;/&gt;&lt;wsp:rsid wsp:val=&quot;00490605&quot;/&gt;&lt;wsp:rsid wsp:val=&quot;0049060B&quot;/&gt;&lt;wsp:rsid wsp:val=&quot;00490906&quot;/&gt;&lt;wsp:rsid wsp:val=&quot;004912EC&quot;/&gt;&lt;wsp:rsid wsp:val=&quot;00491313&quot;/&gt;&lt;wsp:rsid wsp:val=&quot;004913FF&quot;/&gt;&lt;wsp:rsid wsp:val=&quot;004914DC&quot;/&gt;&lt;wsp:rsid wsp:val=&quot;004919D5&quot;/&gt;&lt;wsp:rsid wsp:val=&quot;004927EC&quot;/&gt;&lt;wsp:rsid wsp:val=&quot;00493008&quot;/&gt;&lt;wsp:rsid wsp:val=&quot;004935E4&quot;/&gt;&lt;wsp:rsid wsp:val=&quot;004941E3&quot;/&gt;&lt;wsp:rsid wsp:val=&quot;00494670&quot;/&gt;&lt;wsp:rsid wsp:val=&quot;00494BE9&quot;/&gt;&lt;wsp:rsid wsp:val=&quot;00494F65&quot;/&gt;&lt;wsp:rsid wsp:val=&quot;004952F9&quot;/&gt;&lt;wsp:rsid wsp:val=&quot;00496297&quot;/&gt;&lt;wsp:rsid wsp:val=&quot;004979B6&quot;/&gt;&lt;wsp:rsid wsp:val=&quot;00497FAF&quot;/&gt;&lt;wsp:rsid wsp:val=&quot;004A10F8&quot;/&gt;&lt;wsp:rsid wsp:val=&quot;004A149B&quot;/&gt;&lt;wsp:rsid wsp:val=&quot;004A2098&quot;/&gt;&lt;wsp:rsid wsp:val=&quot;004A3823&quot;/&gt;&lt;wsp:rsid wsp:val=&quot;004A38B6&quot;/&gt;&lt;wsp:rsid wsp:val=&quot;004A3A75&quot;/&gt;&lt;wsp:rsid wsp:val=&quot;004A3A95&quot;/&gt;&lt;wsp:rsid wsp:val=&quot;004A3ACF&quot;/&gt;&lt;wsp:rsid wsp:val=&quot;004A3BBA&quot;/&gt;&lt;wsp:rsid wsp:val=&quot;004A449B&quot;/&gt;&lt;wsp:rsid wsp:val=&quot;004A476E&quot;/&gt;&lt;wsp:rsid wsp:val=&quot;004A4782&quot;/&gt;&lt;wsp:rsid wsp:val=&quot;004A4D8D&quot;/&gt;&lt;wsp:rsid wsp:val=&quot;004A55F9&quot;/&gt;&lt;wsp:rsid wsp:val=&quot;004A5C8A&quot;/&gt;&lt;wsp:rsid wsp:val=&quot;004A5DAD&quot;/&gt;&lt;wsp:rsid wsp:val=&quot;004A66D2&quot;/&gt;&lt;wsp:rsid wsp:val=&quot;004A6B1C&quot;/&gt;&lt;wsp:rsid wsp:val=&quot;004A6D8B&quot;/&gt;&lt;wsp:rsid wsp:val=&quot;004A6DE5&quot;/&gt;&lt;wsp:rsid wsp:val=&quot;004A6FB7&quot;/&gt;&lt;wsp:rsid wsp:val=&quot;004A7004&quot;/&gt;&lt;wsp:rsid wsp:val=&quot;004B047D&quot;/&gt;&lt;wsp:rsid wsp:val=&quot;004B065B&quot;/&gt;&lt;wsp:rsid wsp:val=&quot;004B0662&quot;/&gt;&lt;wsp:rsid wsp:val=&quot;004B0935&quot;/&gt;&lt;wsp:rsid wsp:val=&quot;004B19D8&quot;/&gt;&lt;wsp:rsid wsp:val=&quot;004B1F6C&quot;/&gt;&lt;wsp:rsid wsp:val=&quot;004B2133&quot;/&gt;&lt;wsp:rsid wsp:val=&quot;004B2BC6&quot;/&gt;&lt;wsp:rsid wsp:val=&quot;004B2E24&quot;/&gt;&lt;wsp:rsid wsp:val=&quot;004B3204&quot;/&gt;&lt;wsp:rsid wsp:val=&quot;004B321F&quot;/&gt;&lt;wsp:rsid wsp:val=&quot;004B3379&quot;/&gt;&lt;wsp:rsid wsp:val=&quot;004B37FC&quot;/&gt;&lt;wsp:rsid wsp:val=&quot;004B4302&quot;/&gt;&lt;wsp:rsid wsp:val=&quot;004B5AF0&quot;/&gt;&lt;wsp:rsid wsp:val=&quot;004B5E3A&quot;/&gt;&lt;wsp:rsid wsp:val=&quot;004B65D0&quot;/&gt;&lt;wsp:rsid wsp:val=&quot;004B6DDB&quot;/&gt;&lt;wsp:rsid wsp:val=&quot;004B6F9C&quot;/&gt;&lt;wsp:rsid wsp:val=&quot;004B7261&quot;/&gt;&lt;wsp:rsid wsp:val=&quot;004C024D&quot;/&gt;&lt;wsp:rsid wsp:val=&quot;004C104A&quot;/&gt;&lt;wsp:rsid wsp:val=&quot;004C1344&quot;/&gt;&lt;wsp:rsid wsp:val=&quot;004C1489&quot;/&gt;&lt;wsp:rsid wsp:val=&quot;004C1734&quot;/&gt;&lt;wsp:rsid wsp:val=&quot;004C183F&quot;/&gt;&lt;wsp:rsid wsp:val=&quot;004C204B&quot;/&gt;&lt;wsp:rsid wsp:val=&quot;004C20AF&quot;/&gt;&lt;wsp:rsid wsp:val=&quot;004C2671&quot;/&gt;&lt;wsp:rsid wsp:val=&quot;004C2CB6&quot;/&gt;&lt;wsp:rsid wsp:val=&quot;004C2F8D&quot;/&gt;&lt;wsp:rsid wsp:val=&quot;004C338C&quot;/&gt;&lt;wsp:rsid wsp:val=&quot;004C3465&quot;/&gt;&lt;wsp:rsid wsp:val=&quot;004C40E7&quot;/&gt;&lt;wsp:rsid wsp:val=&quot;004C4565&quot;/&gt;&lt;wsp:rsid wsp:val=&quot;004C638F&quot;/&gt;&lt;wsp:rsid wsp:val=&quot;004C7148&quot;/&gt;&lt;wsp:rsid wsp:val=&quot;004C76BF&quot;/&gt;&lt;wsp:rsid wsp:val=&quot;004D111B&quot;/&gt;&lt;wsp:rsid wsp:val=&quot;004D1329&quot;/&gt;&lt;wsp:rsid wsp:val=&quot;004D2783&quot;/&gt;&lt;wsp:rsid wsp:val=&quot;004D2C2B&quot;/&gt;&lt;wsp:rsid wsp:val=&quot;004D2D08&quot;/&gt;&lt;wsp:rsid wsp:val=&quot;004D2DE3&quot;/&gt;&lt;wsp:rsid wsp:val=&quot;004D3489&quot;/&gt;&lt;wsp:rsid wsp:val=&quot;004D35E0&quot;/&gt;&lt;wsp:rsid wsp:val=&quot;004D369A&quot;/&gt;&lt;wsp:rsid wsp:val=&quot;004D3C2C&quot;/&gt;&lt;wsp:rsid wsp:val=&quot;004D3E9E&quot;/&gt;&lt;wsp:rsid wsp:val=&quot;004D3EEB&quot;/&gt;&lt;wsp:rsid wsp:val=&quot;004D408B&quot;/&gt;&lt;wsp:rsid wsp:val=&quot;004D40B3&quot;/&gt;&lt;wsp:rsid wsp:val=&quot;004D49D8&quot;/&gt;&lt;wsp:rsid wsp:val=&quot;004D5943&quot;/&gt;&lt;wsp:rsid wsp:val=&quot;004D5CFD&quot;/&gt;&lt;wsp:rsid wsp:val=&quot;004D5F73&quot;/&gt;&lt;wsp:rsid wsp:val=&quot;004D6428&quot;/&gt;&lt;wsp:rsid wsp:val=&quot;004D6AB5&quot;/&gt;&lt;wsp:rsid wsp:val=&quot;004D6BB9&quot;/&gt;&lt;wsp:rsid wsp:val=&quot;004D6F96&quot;/&gt;&lt;wsp:rsid wsp:val=&quot;004D72C8&quot;/&gt;&lt;wsp:rsid wsp:val=&quot;004D76FB&quot;/&gt;&lt;wsp:rsid wsp:val=&quot;004D7B79&quot;/&gt;&lt;wsp:rsid wsp:val=&quot;004E1D60&quot;/&gt;&lt;wsp:rsid wsp:val=&quot;004E1DFA&quot;/&gt;&lt;wsp:rsid wsp:val=&quot;004E2618&quot;/&gt;&lt;wsp:rsid wsp:val=&quot;004E2A9D&quot;/&gt;&lt;wsp:rsid wsp:val=&quot;004E30B5&quot;/&gt;&lt;wsp:rsid wsp:val=&quot;004E320E&quot;/&gt;&lt;wsp:rsid wsp:val=&quot;004E3566&quot;/&gt;&lt;wsp:rsid wsp:val=&quot;004E3AB7&quot;/&gt;&lt;wsp:rsid wsp:val=&quot;004E3E3E&quot;/&gt;&lt;wsp:rsid wsp:val=&quot;004E3EDE&quot;/&gt;&lt;wsp:rsid wsp:val=&quot;004E4683&quot;/&gt;&lt;wsp:rsid wsp:val=&quot;004E4A54&quot;/&gt;&lt;wsp:rsid wsp:val=&quot;004E5494&quot;/&gt;&lt;wsp:rsid wsp:val=&quot;004E623F&quot;/&gt;&lt;wsp:rsid wsp:val=&quot;004E65AD&quot;/&gt;&lt;wsp:rsid wsp:val=&quot;004E6946&quot;/&gt;&lt;wsp:rsid wsp:val=&quot;004E6ACD&quot;/&gt;&lt;wsp:rsid wsp:val=&quot;004E7632&quot;/&gt;&lt;wsp:rsid wsp:val=&quot;004E76B8&quot;/&gt;&lt;wsp:rsid wsp:val=&quot;004E7A19&quot;/&gt;&lt;wsp:rsid wsp:val=&quot;004E7B4E&quot;/&gt;&lt;wsp:rsid wsp:val=&quot;004F0286&quot;/&gt;&lt;wsp:rsid wsp:val=&quot;004F07B8&quot;/&gt;&lt;wsp:rsid wsp:val=&quot;004F0E76&quot;/&gt;&lt;wsp:rsid wsp:val=&quot;004F0FD2&quot;/&gt;&lt;wsp:rsid wsp:val=&quot;004F1AD8&quot;/&gt;&lt;wsp:rsid wsp:val=&quot;004F1D54&quot;/&gt;&lt;wsp:rsid wsp:val=&quot;004F2A58&quot;/&gt;&lt;wsp:rsid wsp:val=&quot;004F2BE0&quot;/&gt;&lt;wsp:rsid wsp:val=&quot;004F3098&quot;/&gt;&lt;wsp:rsid wsp:val=&quot;004F3141&quot;/&gt;&lt;wsp:rsid wsp:val=&quot;004F3626&quot;/&gt;&lt;wsp:rsid wsp:val=&quot;004F450B&quot;/&gt;&lt;wsp:rsid wsp:val=&quot;004F4D10&quot;/&gt;&lt;wsp:rsid wsp:val=&quot;004F56D7&quot;/&gt;&lt;wsp:rsid wsp:val=&quot;004F6C14&quot;/&gt;&lt;wsp:rsid wsp:val=&quot;004F75FD&quot;/&gt;&lt;wsp:rsid wsp:val=&quot;0050067B&quot;/&gt;&lt;wsp:rsid wsp:val=&quot;00500ADB&quot;/&gt;&lt;wsp:rsid wsp:val=&quot;00500D5D&quot;/&gt;&lt;wsp:rsid wsp:val=&quot;0050114C&quot;/&gt;&lt;wsp:rsid wsp:val=&quot;00501290&quot;/&gt;&lt;wsp:rsid wsp:val=&quot;00501652&quot;/&gt;&lt;wsp:rsid wsp:val=&quot;0050176C&quot;/&gt;&lt;wsp:rsid wsp:val=&quot;00502462&quot;/&gt;&lt;wsp:rsid wsp:val=&quot;0050277B&quot;/&gt;&lt;wsp:rsid wsp:val=&quot;00502D5E&quot;/&gt;&lt;wsp:rsid wsp:val=&quot;00503511&quot;/&gt;&lt;wsp:rsid wsp:val=&quot;005039CB&quot;/&gt;&lt;wsp:rsid wsp:val=&quot;00503A88&quot;/&gt;&lt;wsp:rsid wsp:val=&quot;005043BD&quot;/&gt;&lt;wsp:rsid wsp:val=&quot;0050472E&quot;/&gt;&lt;wsp:rsid wsp:val=&quot;00504842&quot;/&gt;&lt;wsp:rsid wsp:val=&quot;00505121&quot;/&gt;&lt;wsp:rsid wsp:val=&quot;005054B0&quot;/&gt;&lt;wsp:rsid wsp:val=&quot;0050558F&quot;/&gt;&lt;wsp:rsid wsp:val=&quot;005055E7&quot;/&gt;&lt;wsp:rsid wsp:val=&quot;00505E17&quot;/&gt;&lt;wsp:rsid wsp:val=&quot;00506286&quot;/&gt;&lt;wsp:rsid wsp:val=&quot;00506985&quot;/&gt;&lt;wsp:rsid wsp:val=&quot;005069DD&quot;/&gt;&lt;wsp:rsid wsp:val=&quot;00506F5B&quot;/&gt;&lt;wsp:rsid wsp:val=&quot;005074FB&quot;/&gt;&lt;wsp:rsid wsp:val=&quot;00507985&quot;/&gt;&lt;wsp:rsid wsp:val=&quot;00507BE2&quot;/&gt;&lt;wsp:rsid wsp:val=&quot;00510813&quot;/&gt;&lt;wsp:rsid wsp:val=&quot;005116C5&quot;/&gt;&lt;wsp:rsid wsp:val=&quot;00511990&quot;/&gt;&lt;wsp:rsid wsp:val=&quot;00511DE0&quot;/&gt;&lt;wsp:rsid wsp:val=&quot;00512C61&quot;/&gt;&lt;wsp:rsid wsp:val=&quot;00512F66&quot;/&gt;&lt;wsp:rsid wsp:val=&quot;0051356A&quot;/&gt;&lt;wsp:rsid wsp:val=&quot;005135C0&quot;/&gt;&lt;wsp:rsid wsp:val=&quot;00513FC8&quot;/&gt;&lt;wsp:rsid wsp:val=&quot;0051414A&quot;/&gt;&lt;wsp:rsid wsp:val=&quot;00514858&quot;/&gt;&lt;wsp:rsid wsp:val=&quot;00514870&quot;/&gt;&lt;wsp:rsid wsp:val=&quot;00514B17&quot;/&gt;&lt;wsp:rsid wsp:val=&quot;00514B9B&quot;/&gt;&lt;wsp:rsid wsp:val=&quot;00514C3F&quot;/&gt;&lt;wsp:rsid wsp:val=&quot;00515E1B&quot;/&gt;&lt;wsp:rsid wsp:val=&quot;0051638B&quot;/&gt;&lt;wsp:rsid wsp:val=&quot;0051696E&quot;/&gt;&lt;wsp:rsid wsp:val=&quot;00516F8D&quot;/&gt;&lt;wsp:rsid wsp:val=&quot;005176FE&quot;/&gt;&lt;wsp:rsid wsp:val=&quot;00517F02&quot;/&gt;&lt;wsp:rsid wsp:val=&quot;005201BA&quot;/&gt;&lt;wsp:rsid wsp:val=&quot;00520DE7&quot;/&gt;&lt;wsp:rsid wsp:val=&quot;00520F34&quot;/&gt;&lt;wsp:rsid wsp:val=&quot;00520F8C&quot;/&gt;&lt;wsp:rsid wsp:val=&quot;00521197&quot;/&gt;&lt;wsp:rsid wsp:val=&quot;00521356&quot;/&gt;&lt;wsp:rsid wsp:val=&quot;0052150B&quot;/&gt;&lt;wsp:rsid wsp:val=&quot;005218F6&quot;/&gt;&lt;wsp:rsid wsp:val=&quot;00521DD4&quot;/&gt;&lt;wsp:rsid wsp:val=&quot;00521EB9&quot;/&gt;&lt;wsp:rsid wsp:val=&quot;0052233A&quot;/&gt;&lt;wsp:rsid wsp:val=&quot;00523B01&quot;/&gt;&lt;wsp:rsid wsp:val=&quot;00524303&quot;/&gt;&lt;wsp:rsid wsp:val=&quot;00524E4D&quot;/&gt;&lt;wsp:rsid wsp:val=&quot;005258A2&quot;/&gt;&lt;wsp:rsid wsp:val=&quot;00525EEA&quot;/&gt;&lt;wsp:rsid wsp:val=&quot;005262A6&quot;/&gt;&lt;wsp:rsid wsp:val=&quot;00526FA2&quot;/&gt;&lt;wsp:rsid wsp:val=&quot;005274D7&quot;/&gt;&lt;wsp:rsid wsp:val=&quot;005279F8&quot;/&gt;&lt;wsp:rsid wsp:val=&quot;0053064A&quot;/&gt;&lt;wsp:rsid wsp:val=&quot;00530F80&quot;/&gt;&lt;wsp:rsid wsp:val=&quot;00531075&quot;/&gt;&lt;wsp:rsid wsp:val=&quot;005313A3&quot;/&gt;&lt;wsp:rsid wsp:val=&quot;00531461&quot;/&gt;&lt;wsp:rsid wsp:val=&quot;005317F8&quot;/&gt;&lt;wsp:rsid wsp:val=&quot;00532087&quot;/&gt;&lt;wsp:rsid wsp:val=&quot;00532658&quot;/&gt;&lt;wsp:rsid wsp:val=&quot;0053468A&quot;/&gt;&lt;wsp:rsid wsp:val=&quot;00535140&quot;/&gt;&lt;wsp:rsid wsp:val=&quot;00535415&quot;/&gt;&lt;wsp:rsid wsp:val=&quot;005355D8&quot;/&gt;&lt;wsp:rsid wsp:val=&quot;005355DD&quot;/&gt;&lt;wsp:rsid wsp:val=&quot;00535C11&quot;/&gt;&lt;wsp:rsid wsp:val=&quot;005368EC&quot;/&gt;&lt;wsp:rsid wsp:val=&quot;00537A42&quot;/&gt;&lt;wsp:rsid wsp:val=&quot;00540022&quot;/&gt;&lt;wsp:rsid wsp:val=&quot;005401AE&quot;/&gt;&lt;wsp:rsid wsp:val=&quot;00540399&quot;/&gt;&lt;wsp:rsid wsp:val=&quot;00540403&quot;/&gt;&lt;wsp:rsid wsp:val=&quot;00540571&quot;/&gt;&lt;wsp:rsid wsp:val=&quot;00540D7E&quot;/&gt;&lt;wsp:rsid wsp:val=&quot;00541009&quot;/&gt;&lt;wsp:rsid wsp:val=&quot;005422BA&quot;/&gt;&lt;wsp:rsid wsp:val=&quot;00542375&quot;/&gt;&lt;wsp:rsid wsp:val=&quot;005428D6&quot;/&gt;&lt;wsp:rsid wsp:val=&quot;00542E07&quot;/&gt;&lt;wsp:rsid wsp:val=&quot;005431A9&quot;/&gt;&lt;wsp:rsid wsp:val=&quot;0054368E&quot;/&gt;&lt;wsp:rsid wsp:val=&quot;00544F55&quot;/&gt;&lt;wsp:rsid wsp:val=&quot;005451AF&quot;/&gt;&lt;wsp:rsid wsp:val=&quot;0054521B&quot;/&gt;&lt;wsp:rsid wsp:val=&quot;00545424&quot;/&gt;&lt;wsp:rsid wsp:val=&quot;00545D54&quot;/&gt;&lt;wsp:rsid wsp:val=&quot;00546299&quot;/&gt;&lt;wsp:rsid wsp:val=&quot;005468D3&quot;/&gt;&lt;wsp:rsid wsp:val=&quot;00546DC3&quot;/&gt;&lt;wsp:rsid wsp:val=&quot;00547B25&quot;/&gt;&lt;wsp:rsid wsp:val=&quot;00547D7E&quot;/&gt;&lt;wsp:rsid wsp:val=&quot;00550600&quot;/&gt;&lt;wsp:rsid wsp:val=&quot;0055095D&quot;/&gt;&lt;wsp:rsid wsp:val=&quot;00550AC3&quot;/&gt;&lt;wsp:rsid wsp:val=&quot;00550C5B&quot;/&gt;&lt;wsp:rsid wsp:val=&quot;0055168F&quot;/&gt;&lt;wsp:rsid wsp:val=&quot;00551EA3&quot;/&gt;&lt;wsp:rsid wsp:val=&quot;00552F6E&quot;/&gt;&lt;wsp:rsid wsp:val=&quot;0055386C&quot;/&gt;&lt;wsp:rsid wsp:val=&quot;00554289&quot;/&gt;&lt;wsp:rsid wsp:val=&quot;00554A7B&quot;/&gt;&lt;wsp:rsid wsp:val=&quot;00554ECD&quot;/&gt;&lt;wsp:rsid wsp:val=&quot;00554FA1&quot;/&gt;&lt;wsp:rsid wsp:val=&quot;005551EA&quot;/&gt;&lt;wsp:rsid wsp:val=&quot;0055572C&quot;/&gt;&lt;wsp:rsid wsp:val=&quot;00555B00&quot;/&gt;&lt;wsp:rsid wsp:val=&quot;00556149&quot;/&gt;&lt;wsp:rsid wsp:val=&quot;005564F4&quot;/&gt;&lt;wsp:rsid wsp:val=&quot;005571E9&quot;/&gt;&lt;wsp:rsid wsp:val=&quot;005573D5&quot;/&gt;&lt;wsp:rsid wsp:val=&quot;005605AA&quot;/&gt;&lt;wsp:rsid wsp:val=&quot;005609DA&quot;/&gt;&lt;wsp:rsid wsp:val=&quot;00560F84&quot;/&gt;&lt;wsp:rsid wsp:val=&quot;0056106A&quot;/&gt;&lt;wsp:rsid wsp:val=&quot;0056213F&quot;/&gt;&lt;wsp:rsid wsp:val=&quot;00562973&quot;/&gt;&lt;wsp:rsid wsp:val=&quot;00563A04&quot;/&gt;&lt;wsp:rsid wsp:val=&quot;00563B88&quot;/&gt;&lt;wsp:rsid wsp:val=&quot;005641BE&quot;/&gt;&lt;wsp:rsid wsp:val=&quot;00564348&quot;/&gt;&lt;wsp:rsid wsp:val=&quot;005656E0&quot;/&gt;&lt;wsp:rsid wsp:val=&quot;00566528&quot;/&gt;&lt;wsp:rsid wsp:val=&quot;005668A3&quot;/&gt;&lt;wsp:rsid wsp:val=&quot;005678A2&quot;/&gt;&lt;wsp:rsid wsp:val=&quot;00567DD6&quot;/&gt;&lt;wsp:rsid wsp:val=&quot;00570393&quot;/&gt;&lt;wsp:rsid wsp:val=&quot;0057167F&quot;/&gt;&lt;wsp:rsid wsp:val=&quot;005720AE&quot;/&gt;&lt;wsp:rsid wsp:val=&quot;005729B1&quot;/&gt;&lt;wsp:rsid wsp:val=&quot;00572AF5&quot;/&gt;&lt;wsp:rsid wsp:val=&quot;00573226&quot;/&gt;&lt;wsp:rsid wsp:val=&quot;005737D2&quot;/&gt;&lt;wsp:rsid wsp:val=&quot;005739F3&quot;/&gt;&lt;wsp:rsid wsp:val=&quot;00574482&quot;/&gt;&lt;wsp:rsid wsp:val=&quot;00574524&quot;/&gt;&lt;wsp:rsid wsp:val=&quot;00574B9E&quot;/&gt;&lt;wsp:rsid wsp:val=&quot;00575656&quot;/&gt;&lt;wsp:rsid wsp:val=&quot;005759E3&quot;/&gt;&lt;wsp:rsid wsp:val=&quot;00575C9E&quot;/&gt;&lt;wsp:rsid wsp:val=&quot;005767E7&quot;/&gt;&lt;wsp:rsid wsp:val=&quot;00576962&quot;/&gt;&lt;wsp:rsid wsp:val=&quot;00577123&quot;/&gt;&lt;wsp:rsid wsp:val=&quot;005771D3&quot;/&gt;&lt;wsp:rsid wsp:val=&quot;00577C24&quot;/&gt;&lt;wsp:rsid wsp:val=&quot;00577C83&quot;/&gt;&lt;wsp:rsid wsp:val=&quot;00580507&quot;/&gt;&lt;wsp:rsid wsp:val=&quot;00580673&quot;/&gt;&lt;wsp:rsid wsp:val=&quot;00580D1D&quot;/&gt;&lt;wsp:rsid wsp:val=&quot;00581451&quot;/&gt;&lt;wsp:rsid wsp:val=&quot;00581BEC&quot;/&gt;&lt;wsp:rsid wsp:val=&quot;00581F46&quot;/&gt;&lt;wsp:rsid wsp:val=&quot;005827B2&quot;/&gt;&lt;wsp:rsid wsp:val=&quot;005833B1&quot;/&gt;&lt;wsp:rsid wsp:val=&quot;005839A9&quot;/&gt;&lt;wsp:rsid wsp:val=&quot;005840AD&quot;/&gt;&lt;wsp:rsid wsp:val=&quot;005845C0&quot;/&gt;&lt;wsp:rsid wsp:val=&quot;00585B14&quot;/&gt;&lt;wsp:rsid wsp:val=&quot;005862A8&quot;/&gt;&lt;wsp:rsid wsp:val=&quot;00586FFA&quot;/&gt;&lt;wsp:rsid wsp:val=&quot;005874DE&quot;/&gt;&lt;wsp:rsid wsp:val=&quot;00587B36&quot;/&gt;&lt;wsp:rsid wsp:val=&quot;00587C53&quot;/&gt;&lt;wsp:rsid wsp:val=&quot;00587D1C&quot;/&gt;&lt;wsp:rsid wsp:val=&quot;00590330&quot;/&gt;&lt;wsp:rsid wsp:val=&quot;00590AFF&quot;/&gt;&lt;wsp:rsid wsp:val=&quot;00591065&quot;/&gt;&lt;wsp:rsid wsp:val=&quot;00591478&quot;/&gt;&lt;wsp:rsid wsp:val=&quot;00591549&quot;/&gt;&lt;wsp:rsid wsp:val=&quot;0059165F&quot;/&gt;&lt;wsp:rsid wsp:val=&quot;00591BC4&quot;/&gt;&lt;wsp:rsid wsp:val=&quot;005920D0&quot;/&gt;&lt;wsp:rsid wsp:val=&quot;0059267A&quot;/&gt;&lt;wsp:rsid wsp:val=&quot;00592761&quot;/&gt;&lt;wsp:rsid wsp:val=&quot;00592B3E&quot;/&gt;&lt;wsp:rsid wsp:val=&quot;0059338E&quot;/&gt;&lt;wsp:rsid wsp:val=&quot;00593B9F&quot;/&gt;&lt;wsp:rsid wsp:val=&quot;0059405D&quot;/&gt;&lt;wsp:rsid wsp:val=&quot;00594487&quot;/&gt;&lt;wsp:rsid wsp:val=&quot;005946F1&quot;/&gt;&lt;wsp:rsid wsp:val=&quot;00594D59&quot;/&gt;&lt;wsp:rsid wsp:val=&quot;00594D77&quot;/&gt;&lt;wsp:rsid wsp:val=&quot;00595F8B&quot;/&gt;&lt;wsp:rsid wsp:val=&quot;00596894&quot;/&gt;&lt;wsp:rsid wsp:val=&quot;005969E4&quot;/&gt;&lt;wsp:rsid wsp:val=&quot;00596BAF&quot;/&gt;&lt;wsp:rsid wsp:val=&quot;00597C75&quot;/&gt;&lt;wsp:rsid wsp:val=&quot;00597FA1&quot;/&gt;&lt;wsp:rsid wsp:val=&quot;005A01D8&quot;/&gt;&lt;wsp:rsid wsp:val=&quot;005A02C6&quot;/&gt;&lt;wsp:rsid wsp:val=&quot;005A056E&quot;/&gt;&lt;wsp:rsid wsp:val=&quot;005A06B7&quot;/&gt;&lt;wsp:rsid wsp:val=&quot;005A1759&quot;/&gt;&lt;wsp:rsid wsp:val=&quot;005A1E5D&quot;/&gt;&lt;wsp:rsid wsp:val=&quot;005A2CD9&quot;/&gt;&lt;wsp:rsid wsp:val=&quot;005A4806&quot;/&gt;&lt;wsp:rsid wsp:val=&quot;005A4B80&quot;/&gt;&lt;wsp:rsid wsp:val=&quot;005A5327&quot;/&gt;&lt;wsp:rsid wsp:val=&quot;005A5BF6&quot;/&gt;&lt;wsp:rsid wsp:val=&quot;005A63D9&quot;/&gt;&lt;wsp:rsid wsp:val=&quot;005A6762&quot;/&gt;&lt;wsp:rsid wsp:val=&quot;005A67FC&quot;/&gt;&lt;wsp:rsid wsp:val=&quot;005A68A7&quot;/&gt;&lt;wsp:rsid wsp:val=&quot;005A6D3A&quot;/&gt;&lt;wsp:rsid wsp:val=&quot;005A77FC&quot;/&gt;&lt;wsp:rsid wsp:val=&quot;005A7D18&quot;/&gt;&lt;wsp:rsid wsp:val=&quot;005A7EE3&quot;/&gt;&lt;wsp:rsid wsp:val=&quot;005B00ED&quot;/&gt;&lt;wsp:rsid wsp:val=&quot;005B027A&quot;/&gt;&lt;wsp:rsid wsp:val=&quot;005B070C&quot;/&gt;&lt;wsp:rsid wsp:val=&quot;005B12CA&quot;/&gt;&lt;wsp:rsid wsp:val=&quot;005B18F1&quot;/&gt;&lt;wsp:rsid wsp:val=&quot;005B29CF&quot;/&gt;&lt;wsp:rsid wsp:val=&quot;005B2C29&quot;/&gt;&lt;wsp:rsid wsp:val=&quot;005B303A&quot;/&gt;&lt;wsp:rsid wsp:val=&quot;005B3B61&quot;/&gt;&lt;wsp:rsid wsp:val=&quot;005B45E0&quot;/&gt;&lt;wsp:rsid wsp:val=&quot;005B494B&quot;/&gt;&lt;wsp:rsid wsp:val=&quot;005B4FEF&quot;/&gt;&lt;wsp:rsid wsp:val=&quot;005B50A3&quot;/&gt;&lt;wsp:rsid wsp:val=&quot;005B520F&quot;/&gt;&lt;wsp:rsid wsp:val=&quot;005B56B5&quot;/&gt;&lt;wsp:rsid wsp:val=&quot;005B584A&quot;/&gt;&lt;wsp:rsid wsp:val=&quot;005B59E1&quot;/&gt;&lt;wsp:rsid wsp:val=&quot;005B728F&quot;/&gt;&lt;wsp:rsid wsp:val=&quot;005B7F9E&quot;/&gt;&lt;wsp:rsid wsp:val=&quot;005C25B2&quot;/&gt;&lt;wsp:rsid wsp:val=&quot;005C2E62&quot;/&gt;&lt;wsp:rsid wsp:val=&quot;005C2E90&quot;/&gt;&lt;wsp:rsid wsp:val=&quot;005C2F37&quot;/&gt;&lt;wsp:rsid wsp:val=&quot;005C3077&quot;/&gt;&lt;wsp:rsid wsp:val=&quot;005C31CA&quot;/&gt;&lt;wsp:rsid wsp:val=&quot;005C31D4&quot;/&gt;&lt;wsp:rsid wsp:val=&quot;005C3300&quot;/&gt;&lt;wsp:rsid wsp:val=&quot;005C36C3&quot;/&gt;&lt;wsp:rsid wsp:val=&quot;005C3DB2&quot;/&gt;&lt;wsp:rsid wsp:val=&quot;005C4258&quot;/&gt;&lt;wsp:rsid wsp:val=&quot;005C4934&quot;/&gt;&lt;wsp:rsid wsp:val=&quot;005C4C33&quot;/&gt;&lt;wsp:rsid wsp:val=&quot;005C5192&quot;/&gt;&lt;wsp:rsid wsp:val=&quot;005C54AC&quot;/&gt;&lt;wsp:rsid wsp:val=&quot;005C59BE&quot;/&gt;&lt;wsp:rsid wsp:val=&quot;005C5B29&quot;/&gt;&lt;wsp:rsid wsp:val=&quot;005C64C8&quot;/&gt;&lt;wsp:rsid wsp:val=&quot;005C68CF&quot;/&gt;&lt;wsp:rsid wsp:val=&quot;005C7630&quot;/&gt;&lt;wsp:rsid wsp:val=&quot;005C76B9&quot;/&gt;&lt;wsp:rsid wsp:val=&quot;005C79D5&quot;/&gt;&lt;wsp:rsid wsp:val=&quot;005D15C3&quot;/&gt;&lt;wsp:rsid wsp:val=&quot;005D1D9B&quot;/&gt;&lt;wsp:rsid wsp:val=&quot;005D2585&quot;/&gt;&lt;wsp:rsid wsp:val=&quot;005D3369&quot;/&gt;&lt;wsp:rsid wsp:val=&quot;005D3549&quot;/&gt;&lt;wsp:rsid wsp:val=&quot;005D36AB&quot;/&gt;&lt;wsp:rsid wsp:val=&quot;005D4725&quot;/&gt;&lt;wsp:rsid wsp:val=&quot;005D47AA&quot;/&gt;&lt;wsp:rsid wsp:val=&quot;005D68CC&quot;/&gt;&lt;wsp:rsid wsp:val=&quot;005D6B55&quot;/&gt;&lt;wsp:rsid wsp:val=&quot;005D7112&quot;/&gt;&lt;wsp:rsid wsp:val=&quot;005E1593&quot;/&gt;&lt;wsp:rsid wsp:val=&quot;005E1594&quot;/&gt;&lt;wsp:rsid wsp:val=&quot;005E1ECB&quot;/&gt;&lt;wsp:rsid wsp:val=&quot;005E200B&quot;/&gt;&lt;wsp:rsid wsp:val=&quot;005E2EE9&quot;/&gt;&lt;wsp:rsid wsp:val=&quot;005E3ED1&quot;/&gt;&lt;wsp:rsid wsp:val=&quot;005E47DC&quot;/&gt;&lt;wsp:rsid wsp:val=&quot;005E5047&quot;/&gt;&lt;wsp:rsid wsp:val=&quot;005E5C27&quot;/&gt;&lt;wsp:rsid wsp:val=&quot;005E62E3&quot;/&gt;&lt;wsp:rsid wsp:val=&quot;005E6427&quot;/&gt;&lt;wsp:rsid wsp:val=&quot;005E740C&quot;/&gt;&lt;wsp:rsid wsp:val=&quot;005F0866&quot;/&gt;&lt;wsp:rsid wsp:val=&quot;005F0975&quot;/&gt;&lt;wsp:rsid wsp:val=&quot;005F0CD5&quot;/&gt;&lt;wsp:rsid wsp:val=&quot;005F1EFD&quot;/&gt;&lt;wsp:rsid wsp:val=&quot;005F266B&quot;/&gt;&lt;wsp:rsid wsp:val=&quot;005F271E&quot;/&gt;&lt;wsp:rsid wsp:val=&quot;005F2B27&quot;/&gt;&lt;wsp:rsid wsp:val=&quot;005F3439&quot;/&gt;&lt;wsp:rsid wsp:val=&quot;005F34CC&quot;/&gt;&lt;wsp:rsid wsp:val=&quot;005F3559&quot;/&gt;&lt;wsp:rsid wsp:val=&quot;005F429A&quot;/&gt;&lt;wsp:rsid wsp:val=&quot;005F47C2&quot;/&gt;&lt;wsp:rsid wsp:val=&quot;005F54A2&quot;/&gt;&lt;wsp:rsid wsp:val=&quot;005F5FDB&quot;/&gt;&lt;wsp:rsid wsp:val=&quot;005F63AC&quot;/&gt;&lt;wsp:rsid wsp:val=&quot;005F6488&quot;/&gt;&lt;wsp:rsid wsp:val=&quot;005F6E2F&quot;/&gt;&lt;wsp:rsid wsp:val=&quot;005F7295&quot;/&gt;&lt;wsp:rsid wsp:val=&quot;005F732C&quot;/&gt;&lt;wsp:rsid wsp:val=&quot;005F73FD&quot;/&gt;&lt;wsp:rsid wsp:val=&quot;005F7402&quot;/&gt;&lt;wsp:rsid wsp:val=&quot;00601373&quot;/&gt;&lt;wsp:rsid wsp:val=&quot;006015AB&quot;/&gt;&lt;wsp:rsid wsp:val=&quot;00601D30&quot;/&gt;&lt;wsp:rsid wsp:val=&quot;00601DE5&quot;/&gt;&lt;wsp:rsid wsp:val=&quot;00602E2D&quot;/&gt;&lt;wsp:rsid wsp:val=&quot;00603061&quot;/&gt;&lt;wsp:rsid wsp:val=&quot;00603399&quot;/&gt;&lt;wsp:rsid wsp:val=&quot;00603644&quot;/&gt;&lt;wsp:rsid wsp:val=&quot;00603C8D&quot;/&gt;&lt;wsp:rsid wsp:val=&quot;00603FD5&quot;/&gt;&lt;wsp:rsid wsp:val=&quot;00605D53&quot;/&gt;&lt;wsp:rsid wsp:val=&quot;00605EAC&quot;/&gt;&lt;wsp:rsid wsp:val=&quot;0060661E&quot;/&gt;&lt;wsp:rsid wsp:val=&quot;00606B32&quot;/&gt;&lt;wsp:rsid wsp:val=&quot;00606BCE&quot;/&gt;&lt;wsp:rsid wsp:val=&quot;00607BF0&quot;/&gt;&lt;wsp:rsid wsp:val=&quot;00610613&quot;/&gt;&lt;wsp:rsid wsp:val=&quot;00610A28&quot;/&gt;&lt;wsp:rsid wsp:val=&quot;00610AC3&quot;/&gt;&lt;wsp:rsid wsp:val=&quot;00610BAC&quot;/&gt;&lt;wsp:rsid wsp:val=&quot;006127AC&quot;/&gt;&lt;wsp:rsid wsp:val=&quot;00612C6D&quot;/&gt;&lt;wsp:rsid wsp:val=&quot;00613436&quot;/&gt;&lt;wsp:rsid wsp:val=&quot;00613783&quot;/&gt;&lt;wsp:rsid wsp:val=&quot;00614AA0&quot;/&gt;&lt;wsp:rsid wsp:val=&quot;00615086&quot;/&gt;&lt;wsp:rsid wsp:val=&quot;00615A2B&quot;/&gt;&lt;wsp:rsid wsp:val=&quot;006160DD&quot;/&gt;&lt;wsp:rsid wsp:val=&quot;0061687F&quot;/&gt;&lt;wsp:rsid wsp:val=&quot;00616AFB&quot;/&gt;&lt;wsp:rsid wsp:val=&quot;0061779B&quot;/&gt;&lt;wsp:rsid wsp:val=&quot;00617815&quot;/&gt;&lt;wsp:rsid wsp:val=&quot;006179A9&quot;/&gt;&lt;wsp:rsid wsp:val=&quot;00617C75&quot;/&gt;&lt;wsp:rsid wsp:val=&quot;00617CC3&quot;/&gt;&lt;wsp:rsid wsp:val=&quot;0062144A&quot;/&gt;&lt;wsp:rsid wsp:val=&quot;006214EC&quot;/&gt;&lt;wsp:rsid wsp:val=&quot;00621E55&quot;/&gt;&lt;wsp:rsid wsp:val=&quot;006222A1&quot;/&gt;&lt;wsp:rsid wsp:val=&quot;006224B6&quot;/&gt;&lt;wsp:rsid wsp:val=&quot;006227D9&quot;/&gt;&lt;wsp:rsid wsp:val=&quot;00622826&quot;/&gt;&lt;wsp:rsid wsp:val=&quot;006238B6&quot;/&gt;&lt;wsp:rsid wsp:val=&quot;00623D3A&quot;/&gt;&lt;wsp:rsid wsp:val=&quot;00624345&quot;/&gt;&lt;wsp:rsid wsp:val=&quot;006246BD&quot;/&gt;&lt;wsp:rsid wsp:val=&quot;00625B34&quot;/&gt;&lt;wsp:rsid wsp:val=&quot;0062674E&quot;/&gt;&lt;wsp:rsid wsp:val=&quot;0062741B&quot;/&gt;&lt;wsp:rsid wsp:val=&quot;00627A31&quot;/&gt;&lt;wsp:rsid wsp:val=&quot;00627CAE&quot;/&gt;&lt;wsp:rsid wsp:val=&quot;00627D87&quot;/&gt;&lt;wsp:rsid wsp:val=&quot;006309D3&quot;/&gt;&lt;wsp:rsid wsp:val=&quot;00630BBE&quot;/&gt;&lt;wsp:rsid wsp:val=&quot;00630D1B&quot;/&gt;&lt;wsp:rsid wsp:val=&quot;00631110&quot;/&gt;&lt;wsp:rsid wsp:val=&quot;0063173F&quot;/&gt;&lt;wsp:rsid wsp:val=&quot;00632000&quot;/&gt;&lt;wsp:rsid wsp:val=&quot;0063243B&quot;/&gt;&lt;wsp:rsid wsp:val=&quot;00632F46&quot;/&gt;&lt;wsp:rsid wsp:val=&quot;00632FFE&quot;/&gt;&lt;wsp:rsid wsp:val=&quot;00633AFD&quot;/&gt;&lt;wsp:rsid wsp:val=&quot;00633CB7&quot;/&gt;&lt;wsp:rsid wsp:val=&quot;00634ACA&quot;/&gt;&lt;wsp:rsid wsp:val=&quot;006352C5&quot;/&gt;&lt;wsp:rsid wsp:val=&quot;0063576B&quot;/&gt;&lt;wsp:rsid wsp:val=&quot;00635810&quot;/&gt;&lt;wsp:rsid wsp:val=&quot;00636159&quot;/&gt;&lt;wsp:rsid wsp:val=&quot;006361F6&quot;/&gt;&lt;wsp:rsid wsp:val=&quot;00636941&quot;/&gt;&lt;wsp:rsid wsp:val=&quot;00637331&quot;/&gt;&lt;wsp:rsid wsp:val=&quot;006377A6&quot;/&gt;&lt;wsp:rsid wsp:val=&quot;00637A3D&quot;/&gt;&lt;wsp:rsid wsp:val=&quot;00637D0F&quot;/&gt;&lt;wsp:rsid wsp:val=&quot;00637D1F&quot;/&gt;&lt;wsp:rsid wsp:val=&quot;00640105&quot;/&gt;&lt;wsp:rsid wsp:val=&quot;0064101C&quot;/&gt;&lt;wsp:rsid wsp:val=&quot;00641087&quot;/&gt;&lt;wsp:rsid wsp:val=&quot;006411EF&quot;/&gt;&lt;wsp:rsid wsp:val=&quot;006425CD&quot;/&gt;&lt;wsp:rsid wsp:val=&quot;00642B2B&quot;/&gt;&lt;wsp:rsid wsp:val=&quot;00643545&quot;/&gt;&lt;wsp:rsid wsp:val=&quot;00643885&quot;/&gt;&lt;wsp:rsid wsp:val=&quot;0064396D&quot;/&gt;&lt;wsp:rsid wsp:val=&quot;00643D49&quot;/&gt;&lt;wsp:rsid wsp:val=&quot;00644566&quot;/&gt;&lt;wsp:rsid wsp:val=&quot;00644592&quot;/&gt;&lt;wsp:rsid wsp:val=&quot;006445E7&quot;/&gt;&lt;wsp:rsid wsp:val=&quot;00644903&quot;/&gt;&lt;wsp:rsid wsp:val=&quot;0064520F&quot;/&gt;&lt;wsp:rsid wsp:val=&quot;00645AF1&quot;/&gt;&lt;wsp:rsid wsp:val=&quot;006470EB&quot;/&gt;&lt;wsp:rsid wsp:val=&quot;00647E3D&quot;/&gt;&lt;wsp:rsid wsp:val=&quot;00647F84&quot;/&gt;&lt;wsp:rsid wsp:val=&quot;00651035&quot;/&gt;&lt;wsp:rsid wsp:val=&quot;0065120E&quot;/&gt;&lt;wsp:rsid wsp:val=&quot;006516C2&quot;/&gt;&lt;wsp:rsid wsp:val=&quot;00651A47&quot;/&gt;&lt;wsp:rsid wsp:val=&quot;006527C6&quot;/&gt;&lt;wsp:rsid wsp:val=&quot;0065296F&quot;/&gt;&lt;wsp:rsid wsp:val=&quot;006529B8&quot;/&gt;&lt;wsp:rsid wsp:val=&quot;00652D20&quot;/&gt;&lt;wsp:rsid wsp:val=&quot;0065346E&quot;/&gt;&lt;wsp:rsid wsp:val=&quot;00653761&quot;/&gt;&lt;wsp:rsid wsp:val=&quot;00654689&quot;/&gt;&lt;wsp:rsid wsp:val=&quot;0065468D&quot;/&gt;&lt;wsp:rsid wsp:val=&quot;00654691&quot;/&gt;&lt;wsp:rsid wsp:val=&quot;00655528&quot;/&gt;&lt;wsp:rsid wsp:val=&quot;00655805&quot;/&gt;&lt;wsp:rsid wsp:val=&quot;00655A76&quot;/&gt;&lt;wsp:rsid wsp:val=&quot;006560AB&quot;/&gt;&lt;wsp:rsid wsp:val=&quot;00656666&quot;/&gt;&lt;wsp:rsid wsp:val=&quot;006571EF&quot;/&gt;&lt;wsp:rsid wsp:val=&quot;00657248&quot;/&gt;&lt;wsp:rsid wsp:val=&quot;006576C7&quot;/&gt;&lt;wsp:rsid wsp:val=&quot;00657773&quot;/&gt;&lt;wsp:rsid wsp:val=&quot;00660029&quot;/&gt;&lt;wsp:rsid wsp:val=&quot;00660A93&quot;/&gt;&lt;wsp:rsid wsp:val=&quot;00661001&quot;/&gt;&lt;wsp:rsid wsp:val=&quot;006610B5&quot;/&gt;&lt;wsp:rsid wsp:val=&quot;00661604&quot;/&gt;&lt;wsp:rsid wsp:val=&quot;00662372&quot;/&gt;&lt;wsp:rsid wsp:val=&quot;00662DD3&quot;/&gt;&lt;wsp:rsid wsp:val=&quot;006631E5&quot;/&gt;&lt;wsp:rsid wsp:val=&quot;00663B3A&quot;/&gt;&lt;wsp:rsid wsp:val=&quot;00664AC5&quot;/&gt;&lt;wsp:rsid wsp:val=&quot;00665553&quot;/&gt;&lt;wsp:rsid wsp:val=&quot;006657F9&quot;/&gt;&lt;wsp:rsid wsp:val=&quot;006658E9&quot;/&gt;&lt;wsp:rsid wsp:val=&quot;00665A5F&quot;/&gt;&lt;wsp:rsid wsp:val=&quot;00665C8D&quot;/&gt;&lt;wsp:rsid wsp:val=&quot;006661F4&quot;/&gt;&lt;wsp:rsid wsp:val=&quot;00666784&quot;/&gt;&lt;wsp:rsid wsp:val=&quot;006668B6&quot;/&gt;&lt;wsp:rsid wsp:val=&quot;006669F9&quot;/&gt;&lt;wsp:rsid wsp:val=&quot;00667DDF&quot;/&gt;&lt;wsp:rsid wsp:val=&quot;00667F02&quot;/&gt;&lt;wsp:rsid wsp:val=&quot;00670C7C&quot;/&gt;&lt;wsp:rsid wsp:val=&quot;00671014&quot;/&gt;&lt;wsp:rsid wsp:val=&quot;0067180E&quot;/&gt;&lt;wsp:rsid wsp:val=&quot;00671A2E&quot;/&gt;&lt;wsp:rsid wsp:val=&quot;00672172&quot;/&gt;&lt;wsp:rsid wsp:val=&quot;00672EAE&quot;/&gt;&lt;wsp:rsid wsp:val=&quot;0067318B&quot;/&gt;&lt;wsp:rsid wsp:val=&quot;00673443&quot;/&gt;&lt;wsp:rsid wsp:val=&quot;0067430E&quot;/&gt;&lt;wsp:rsid wsp:val=&quot;006748B8&quot;/&gt;&lt;wsp:rsid wsp:val=&quot;00674F5F&quot;/&gt;&lt;wsp:rsid wsp:val=&quot;00674F80&quot;/&gt;&lt;wsp:rsid wsp:val=&quot;00675EFE&quot;/&gt;&lt;wsp:rsid wsp:val=&quot;006760E6&quot;/&gt;&lt;wsp:rsid wsp:val=&quot;006775BC&quot;/&gt;&lt;wsp:rsid wsp:val=&quot;006775C3&quot;/&gt;&lt;wsp:rsid wsp:val=&quot;006808D6&quot;/&gt;&lt;wsp:rsid wsp:val=&quot;006808DE&quot;/&gt;&lt;wsp:rsid wsp:val=&quot;0068094A&quot;/&gt;&lt;wsp:rsid wsp:val=&quot;00680AF4&quot;/&gt;&lt;wsp:rsid wsp:val=&quot;00680C0A&quot;/&gt;&lt;wsp:rsid wsp:val=&quot;006811E2&quot;/&gt;&lt;wsp:rsid wsp:val=&quot;00681DE8&quot;/&gt;&lt;wsp:rsid wsp:val=&quot;00682B8E&quot;/&gt;&lt;wsp:rsid wsp:val=&quot;006832EF&quot;/&gt;&lt;wsp:rsid wsp:val=&quot;0068342A&quot;/&gt;&lt;wsp:rsid wsp:val=&quot;00684822&quot;/&gt;&lt;wsp:rsid wsp:val=&quot;00684995&quot;/&gt;&lt;wsp:rsid wsp:val=&quot;0068529C&quot;/&gt;&lt;wsp:rsid wsp:val=&quot;006859DC&quot;/&gt;&lt;wsp:rsid wsp:val=&quot;00685C20&quot;/&gt;&lt;wsp:rsid wsp:val=&quot;0068619E&quot;/&gt;&lt;wsp:rsid wsp:val=&quot;0068691B&quot;/&gt;&lt;wsp:rsid wsp:val=&quot;00686A79&quot;/&gt;&lt;wsp:rsid wsp:val=&quot;00686EDD&quot;/&gt;&lt;wsp:rsid wsp:val=&quot;00690129&quot;/&gt;&lt;wsp:rsid wsp:val=&quot;00691DF6&quot;/&gt;&lt;wsp:rsid wsp:val=&quot;00691F92&quot;/&gt;&lt;wsp:rsid wsp:val=&quot;0069290A&quot;/&gt;&lt;wsp:rsid wsp:val=&quot;00692F07&quot;/&gt;&lt;wsp:rsid wsp:val=&quot;00693BE3&quot;/&gt;&lt;wsp:rsid wsp:val=&quot;00693F17&quot;/&gt;&lt;wsp:rsid wsp:val=&quot;00694140&quot;/&gt;&lt;wsp:rsid wsp:val=&quot;006941B3&quot;/&gt;&lt;wsp:rsid wsp:val=&quot;006948F6&quot;/&gt;&lt;wsp:rsid wsp:val=&quot;00695813&quot;/&gt;&lt;wsp:rsid wsp:val=&quot;00695BA6&quot;/&gt;&lt;wsp:rsid wsp:val=&quot;00695D88&quot;/&gt;&lt;wsp:rsid wsp:val=&quot;006966F7&quot;/&gt;&lt;wsp:rsid wsp:val=&quot;0069775A&quot;/&gt;&lt;wsp:rsid wsp:val=&quot;00697813&quot;/&gt;&lt;wsp:rsid wsp:val=&quot;00697BFF&quot;/&gt;&lt;wsp:rsid wsp:val=&quot;006A02C5&quot;/&gt;&lt;wsp:rsid wsp:val=&quot;006A0D07&quot;/&gt;&lt;wsp:rsid wsp:val=&quot;006A152E&quot;/&gt;&lt;wsp:rsid wsp:val=&quot;006A17AF&quot;/&gt;&lt;wsp:rsid wsp:val=&quot;006A1A3E&quot;/&gt;&lt;wsp:rsid wsp:val=&quot;006A1DD1&quot;/&gt;&lt;wsp:rsid wsp:val=&quot;006A21CB&quot;/&gt;&lt;wsp:rsid wsp:val=&quot;006A2436&quot;/&gt;&lt;wsp:rsid wsp:val=&quot;006A2870&quot;/&gt;&lt;wsp:rsid wsp:val=&quot;006A2B6A&quot;/&gt;&lt;wsp:rsid wsp:val=&quot;006A39ED&quot;/&gt;&lt;wsp:rsid wsp:val=&quot;006A3A0A&quot;/&gt;&lt;wsp:rsid wsp:val=&quot;006A3D17&quot;/&gt;&lt;wsp:rsid wsp:val=&quot;006A3EE8&quot;/&gt;&lt;wsp:rsid wsp:val=&quot;006A4206&quot;/&gt;&lt;wsp:rsid wsp:val=&quot;006A4607&quot;/&gt;&lt;wsp:rsid wsp:val=&quot;006A49BF&quot;/&gt;&lt;wsp:rsid wsp:val=&quot;006A4A6F&quot;/&gt;&lt;wsp:rsid wsp:val=&quot;006A4CDE&quot;/&gt;&lt;wsp:rsid wsp:val=&quot;006A525B&quot;/&gt;&lt;wsp:rsid wsp:val=&quot;006A575B&quot;/&gt;&lt;wsp:rsid wsp:val=&quot;006A5A2B&quot;/&gt;&lt;wsp:rsid wsp:val=&quot;006A5AF5&quot;/&gt;&lt;wsp:rsid wsp:val=&quot;006A6C9A&quot;/&gt;&lt;wsp:rsid wsp:val=&quot;006A72BF&quot;/&gt;&lt;wsp:rsid wsp:val=&quot;006A74B3&quot;/&gt;&lt;wsp:rsid wsp:val=&quot;006B0178&quot;/&gt;&lt;wsp:rsid wsp:val=&quot;006B03F2&quot;/&gt;&lt;wsp:rsid wsp:val=&quot;006B07F2&quot;/&gt;&lt;wsp:rsid wsp:val=&quot;006B1569&quot;/&gt;&lt;wsp:rsid wsp:val=&quot;006B195B&quot;/&gt;&lt;wsp:rsid wsp:val=&quot;006B1B39&quot;/&gt;&lt;wsp:rsid wsp:val=&quot;006B1F35&quot;/&gt;&lt;wsp:rsid wsp:val=&quot;006B2559&quot;/&gt;&lt;wsp:rsid wsp:val=&quot;006B2CEC&quot;/&gt;&lt;wsp:rsid wsp:val=&quot;006B2DD8&quot;/&gt;&lt;wsp:rsid wsp:val=&quot;006B37DC&quot;/&gt;&lt;wsp:rsid wsp:val=&quot;006B3CBD&quot;/&gt;&lt;wsp:rsid wsp:val=&quot;006B45CE&quot;/&gt;&lt;wsp:rsid wsp:val=&quot;006B4BE0&quot;/&gt;&lt;wsp:rsid wsp:val=&quot;006B4F68&quot;/&gt;&lt;wsp:rsid wsp:val=&quot;006B50E7&quot;/&gt;&lt;wsp:rsid wsp:val=&quot;006B524C&quot;/&gt;&lt;wsp:rsid wsp:val=&quot;006B563B&quot;/&gt;&lt;wsp:rsid wsp:val=&quot;006B5817&quot;/&gt;&lt;wsp:rsid wsp:val=&quot;006B5B58&quot;/&gt;&lt;wsp:rsid wsp:val=&quot;006B60F8&quot;/&gt;&lt;wsp:rsid wsp:val=&quot;006B69E8&quot;/&gt;&lt;wsp:rsid wsp:val=&quot;006B6A48&quot;/&gt;&lt;wsp:rsid wsp:val=&quot;006B6CC5&quot;/&gt;&lt;wsp:rsid wsp:val=&quot;006B749B&quot;/&gt;&lt;wsp:rsid wsp:val=&quot;006B7775&quot;/&gt;&lt;wsp:rsid wsp:val=&quot;006B7AA3&quot;/&gt;&lt;wsp:rsid wsp:val=&quot;006B7D8F&quot;/&gt;&lt;wsp:rsid wsp:val=&quot;006C00F9&quot;/&gt;&lt;wsp:rsid wsp:val=&quot;006C02FA&quot;/&gt;&lt;wsp:rsid wsp:val=&quot;006C054C&quot;/&gt;&lt;wsp:rsid wsp:val=&quot;006C0592&quot;/&gt;&lt;wsp:rsid wsp:val=&quot;006C0F9C&quot;/&gt;&lt;wsp:rsid wsp:val=&quot;006C18B6&quot;/&gt;&lt;wsp:rsid wsp:val=&quot;006C1A32&quot;/&gt;&lt;wsp:rsid wsp:val=&quot;006C272E&quot;/&gt;&lt;wsp:rsid wsp:val=&quot;006C2827&quot;/&gt;&lt;wsp:rsid wsp:val=&quot;006C3A97&quot;/&gt;&lt;wsp:rsid wsp:val=&quot;006C46C4&quot;/&gt;&lt;wsp:rsid wsp:val=&quot;006C51F9&quot;/&gt;&lt;wsp:rsid wsp:val=&quot;006C5479&quot;/&gt;&lt;wsp:rsid wsp:val=&quot;006C59E5&quot;/&gt;&lt;wsp:rsid wsp:val=&quot;006C5A75&quot;/&gt;&lt;wsp:rsid wsp:val=&quot;006C5FCD&quot;/&gt;&lt;wsp:rsid wsp:val=&quot;006C6439&quot;/&gt;&lt;wsp:rsid wsp:val=&quot;006C6850&quot;/&gt;&lt;wsp:rsid wsp:val=&quot;006C6990&quot;/&gt;&lt;wsp:rsid wsp:val=&quot;006C7013&quot;/&gt;&lt;wsp:rsid wsp:val=&quot;006C716C&quot;/&gt;&lt;wsp:rsid wsp:val=&quot;006C741E&quot;/&gt;&lt;wsp:rsid wsp:val=&quot;006C7EDA&quot;/&gt;&lt;wsp:rsid wsp:val=&quot;006D04FC&quot;/&gt;&lt;wsp:rsid wsp:val=&quot;006D09A2&quot;/&gt;&lt;wsp:rsid wsp:val=&quot;006D0B7A&quot;/&gt;&lt;wsp:rsid wsp:val=&quot;006D1326&quot;/&gt;&lt;wsp:rsid wsp:val=&quot;006D13B5&quot;/&gt;&lt;wsp:rsid wsp:val=&quot;006D1AA4&quot;/&gt;&lt;wsp:rsid wsp:val=&quot;006D2CE2&quot;/&gt;&lt;wsp:rsid wsp:val=&quot;006D2E17&quot;/&gt;&lt;wsp:rsid wsp:val=&quot;006D302A&quot;/&gt;&lt;wsp:rsid wsp:val=&quot;006D3440&quot;/&gt;&lt;wsp:rsid wsp:val=&quot;006D360C&quot;/&gt;&lt;wsp:rsid wsp:val=&quot;006D3E62&quot;/&gt;&lt;wsp:rsid wsp:val=&quot;006D431B&quot;/&gt;&lt;wsp:rsid wsp:val=&quot;006D4552&quot;/&gt;&lt;wsp:rsid wsp:val=&quot;006D4739&quot;/&gt;&lt;wsp:rsid wsp:val=&quot;006D4CFA&quot;/&gt;&lt;wsp:rsid wsp:val=&quot;006D4E80&quot;/&gt;&lt;wsp:rsid wsp:val=&quot;006D4FD8&quot;/&gt;&lt;wsp:rsid wsp:val=&quot;006D5474&quot;/&gt;&lt;wsp:rsid wsp:val=&quot;006D599F&quot;/&gt;&lt;wsp:rsid wsp:val=&quot;006D5C71&quot;/&gt;&lt;wsp:rsid wsp:val=&quot;006D5F77&quot;/&gt;&lt;wsp:rsid wsp:val=&quot;006D607F&quot;/&gt;&lt;wsp:rsid wsp:val=&quot;006D6349&quot;/&gt;&lt;wsp:rsid wsp:val=&quot;006D63F4&quot;/&gt;&lt;wsp:rsid wsp:val=&quot;006D6637&quot;/&gt;&lt;wsp:rsid wsp:val=&quot;006D6ED0&quot;/&gt;&lt;wsp:rsid wsp:val=&quot;006D75CB&quot;/&gt;&lt;wsp:rsid wsp:val=&quot;006D777B&quot;/&gt;&lt;wsp:rsid wsp:val=&quot;006E0307&quot;/&gt;&lt;wsp:rsid wsp:val=&quot;006E05B4&quot;/&gt;&lt;wsp:rsid wsp:val=&quot;006E0FDD&quot;/&gt;&lt;wsp:rsid wsp:val=&quot;006E12FF&quot;/&gt;&lt;wsp:rsid wsp:val=&quot;006E174A&quot;/&gt;&lt;wsp:rsid wsp:val=&quot;006E1A05&quot;/&gt;&lt;wsp:rsid wsp:val=&quot;006E1FD5&quot;/&gt;&lt;wsp:rsid wsp:val=&quot;006E2452&quot;/&gt;&lt;wsp:rsid wsp:val=&quot;006E27D3&quot;/&gt;&lt;wsp:rsid wsp:val=&quot;006E2EA1&quot;/&gt;&lt;wsp:rsid wsp:val=&quot;006E5344&quot;/&gt;&lt;wsp:rsid wsp:val=&quot;006E607E&quot;/&gt;&lt;wsp:rsid wsp:val=&quot;006E6CB4&quot;/&gt;&lt;wsp:rsid wsp:val=&quot;006E6F38&quot;/&gt;&lt;wsp:rsid wsp:val=&quot;006F0AEE&quot;/&gt;&lt;wsp:rsid wsp:val=&quot;006F1177&quot;/&gt;&lt;wsp:rsid wsp:val=&quot;006F19D1&quot;/&gt;&lt;wsp:rsid wsp:val=&quot;006F1F23&quot;/&gt;&lt;wsp:rsid wsp:val=&quot;006F1F68&quot;/&gt;&lt;wsp:rsid wsp:val=&quot;006F1F8A&quot;/&gt;&lt;wsp:rsid wsp:val=&quot;006F2562&quot;/&gt;&lt;wsp:rsid wsp:val=&quot;006F30B7&quot;/&gt;&lt;wsp:rsid wsp:val=&quot;006F3BBC&quot;/&gt;&lt;wsp:rsid wsp:val=&quot;006F4D03&quot;/&gt;&lt;wsp:rsid wsp:val=&quot;006F5046&quot;/&gt;&lt;wsp:rsid wsp:val=&quot;006F5092&quot;/&gt;&lt;wsp:rsid wsp:val=&quot;006F510F&quot;/&gt;&lt;wsp:rsid wsp:val=&quot;006F57F1&quot;/&gt;&lt;wsp:rsid wsp:val=&quot;006F6A55&quot;/&gt;&lt;wsp:rsid wsp:val=&quot;006F72C2&quot;/&gt;&lt;wsp:rsid wsp:val=&quot;006F7EE5&quot;/&gt;&lt;wsp:rsid wsp:val=&quot;007000A1&quot;/&gt;&lt;wsp:rsid wsp:val=&quot;00700122&quot;/&gt;&lt;wsp:rsid wsp:val=&quot;00701385&quot;/&gt;&lt;wsp:rsid wsp:val=&quot;00701393&quot;/&gt;&lt;wsp:rsid wsp:val=&quot;007025F7&quot;/&gt;&lt;wsp:rsid wsp:val=&quot;00702916&quot;/&gt;&lt;wsp:rsid wsp:val=&quot;00703F2B&quot;/&gt;&lt;wsp:rsid wsp:val=&quot;00704138&quot;/&gt;&lt;wsp:rsid wsp:val=&quot;00704446&quot;/&gt;&lt;wsp:rsid wsp:val=&quot;007056E9&quot;/&gt;&lt;wsp:rsid wsp:val=&quot;007057AD&quot;/&gt;&lt;wsp:rsid wsp:val=&quot;00706008&quot;/&gt;&lt;wsp:rsid wsp:val=&quot;00706C5D&quot;/&gt;&lt;wsp:rsid wsp:val=&quot;00706FB7&quot;/&gt;&lt;wsp:rsid wsp:val=&quot;007105C8&quot;/&gt;&lt;wsp:rsid wsp:val=&quot;007107B4&quot;/&gt;&lt;wsp:rsid wsp:val=&quot;00710B17&quot;/&gt;&lt;wsp:rsid wsp:val=&quot;00710B7D&quot;/&gt;&lt;wsp:rsid wsp:val=&quot;00711BD7&quot;/&gt;&lt;wsp:rsid wsp:val=&quot;00712154&quot;/&gt;&lt;wsp:rsid wsp:val=&quot;007124E3&quot;/&gt;&lt;wsp:rsid wsp:val=&quot;00712500&quot;/&gt;&lt;wsp:rsid wsp:val=&quot;007127D3&quot;/&gt;&lt;wsp:rsid wsp:val=&quot;00712AE9&quot;/&gt;&lt;wsp:rsid wsp:val=&quot;00713346&quot;/&gt;&lt;wsp:rsid wsp:val=&quot;007133A6&quot;/&gt;&lt;wsp:rsid wsp:val=&quot;007137E2&quot;/&gt;&lt;wsp:rsid wsp:val=&quot;00713BC4&quot;/&gt;&lt;wsp:rsid wsp:val=&quot;0071480E&quot;/&gt;&lt;wsp:rsid wsp:val=&quot;00715DA4&quot;/&gt;&lt;wsp:rsid wsp:val=&quot;00715F50&quot;/&gt;&lt;wsp:rsid wsp:val=&quot;00716B43&quot;/&gt;&lt;wsp:rsid wsp:val=&quot;00716D9F&quot;/&gt;&lt;wsp:rsid wsp:val=&quot;0071716F&quot;/&gt;&lt;wsp:rsid wsp:val=&quot;00717474&quot;/&gt;&lt;wsp:rsid wsp:val=&quot;00717481&quot;/&gt;&lt;wsp:rsid wsp:val=&quot;00717ACD&quot;/&gt;&lt;wsp:rsid wsp:val=&quot;0072057B&quot;/&gt;&lt;wsp:rsid wsp:val=&quot;00721AC0&quot;/&gt;&lt;wsp:rsid wsp:val=&quot;00721DAA&quot;/&gt;&lt;wsp:rsid wsp:val=&quot;007221F1&quot;/&gt;&lt;wsp:rsid wsp:val=&quot;00722701&quot;/&gt;&lt;wsp:rsid wsp:val=&quot;00722762&quot;/&gt;&lt;wsp:rsid wsp:val=&quot;00722940&quot;/&gt;&lt;wsp:rsid wsp:val=&quot;007229BC&quot;/&gt;&lt;wsp:rsid wsp:val=&quot;00723409&quot;/&gt;&lt;wsp:rsid wsp:val=&quot;00723C73&quot;/&gt;&lt;wsp:rsid wsp:val=&quot;00723EF6&quot;/&gt;&lt;wsp:rsid wsp:val=&quot;007245ED&quot;/&gt;&lt;wsp:rsid wsp:val=&quot;00724C3F&quot;/&gt;&lt;wsp:rsid wsp:val=&quot;00724DDD&quot;/&gt;&lt;wsp:rsid wsp:val=&quot;0072526C&quot;/&gt;&lt;wsp:rsid wsp:val=&quot;0072550F&quot;/&gt;&lt;wsp:rsid wsp:val=&quot;007261B1&quot;/&gt;&lt;wsp:rsid wsp:val=&quot;00726A99&quot;/&gt;&lt;wsp:rsid wsp:val=&quot;00726FF9&quot;/&gt;&lt;wsp:rsid wsp:val=&quot;0072794C&quot;/&gt;&lt;wsp:rsid wsp:val=&quot;0073025D&quot;/&gt;&lt;wsp:rsid wsp:val=&quot;0073093F&quot;/&gt;&lt;wsp:rsid wsp:val=&quot;00730B72&quot;/&gt;&lt;wsp:rsid wsp:val=&quot;00730C19&quot;/&gt;&lt;wsp:rsid wsp:val=&quot;00730FB8&quot;/&gt;&lt;wsp:rsid wsp:val=&quot;00730FC5&quot;/&gt;&lt;wsp:rsid wsp:val=&quot;0073121A&quot;/&gt;&lt;wsp:rsid wsp:val=&quot;00731FBB&quot;/&gt;&lt;wsp:rsid wsp:val=&quot;00732922&quot;/&gt;&lt;wsp:rsid wsp:val=&quot;00732944&quot;/&gt;&lt;wsp:rsid wsp:val=&quot;0073384C&quot;/&gt;&lt;wsp:rsid wsp:val=&quot;00733E99&quot;/&gt;&lt;wsp:rsid wsp:val=&quot;00734AA1&quot;/&gt;&lt;wsp:rsid wsp:val=&quot;00734C95&quot;/&gt;&lt;wsp:rsid wsp:val=&quot;0073529E&quot;/&gt;&lt;wsp:rsid wsp:val=&quot;00735313&quot;/&gt;&lt;wsp:rsid wsp:val=&quot;00735625&quot;/&gt;&lt;wsp:rsid wsp:val=&quot;007356A9&quot;/&gt;&lt;wsp:rsid wsp:val=&quot;007359CD&quot;/&gt;&lt;wsp:rsid wsp:val=&quot;00735D93&quot;/&gt;&lt;wsp:rsid wsp:val=&quot;00735ED0&quot;/&gt;&lt;wsp:rsid wsp:val=&quot;00736193&quot;/&gt;&lt;wsp:rsid wsp:val=&quot;007365BA&quot;/&gt;&lt;wsp:rsid wsp:val=&quot;00736F3A&quot;/&gt;&lt;wsp:rsid wsp:val=&quot;0073714B&quot;/&gt;&lt;wsp:rsid wsp:val=&quot;0073774E&quot;/&gt;&lt;wsp:rsid wsp:val=&quot;00737B9F&quot;/&gt;&lt;wsp:rsid wsp:val=&quot;00737C3D&quot;/&gt;&lt;wsp:rsid wsp:val=&quot;0074017C&quot;/&gt;&lt;wsp:rsid wsp:val=&quot;00740AA9&quot;/&gt;&lt;wsp:rsid wsp:val=&quot;00740EC7&quot;/&gt;&lt;wsp:rsid wsp:val=&quot;00742124&quot;/&gt;&lt;wsp:rsid wsp:val=&quot;00742803&quot;/&gt;&lt;wsp:rsid wsp:val=&quot;00742A3D&quot;/&gt;&lt;wsp:rsid wsp:val=&quot;00742AB1&quot;/&gt;&lt;wsp:rsid wsp:val=&quot;007436F6&quot;/&gt;&lt;wsp:rsid wsp:val=&quot;00743717&quot;/&gt;&lt;wsp:rsid wsp:val=&quot;00744160&quot;/&gt;&lt;wsp:rsid wsp:val=&quot;00745D19&quot;/&gt;&lt;wsp:rsid wsp:val=&quot;007460DD&quot;/&gt;&lt;wsp:rsid wsp:val=&quot;00746650&quot;/&gt;&lt;wsp:rsid wsp:val=&quot;0074691E&quot;/&gt;&lt;wsp:rsid wsp:val=&quot;00746C91&quot;/&gt;&lt;wsp:rsid wsp:val=&quot;00746CEC&quot;/&gt;&lt;wsp:rsid wsp:val=&quot;00747CBC&quot;/&gt;&lt;wsp:rsid wsp:val=&quot;0075146F&quot;/&gt;&lt;wsp:rsid wsp:val=&quot;0075162E&quot;/&gt;&lt;wsp:rsid wsp:val=&quot;00751869&quot;/&gt;&lt;wsp:rsid wsp:val=&quot;007519B3&quot;/&gt;&lt;wsp:rsid wsp:val=&quot;00751B1F&quot;/&gt;&lt;wsp:rsid wsp:val=&quot;00751B87&quot;/&gt;&lt;wsp:rsid wsp:val=&quot;0075236B&quot;/&gt;&lt;wsp:rsid wsp:val=&quot;00752683&quot;/&gt;&lt;wsp:rsid wsp:val=&quot;00752769&quot;/&gt;&lt;wsp:rsid wsp:val=&quot;00752CAA&quot;/&gt;&lt;wsp:rsid wsp:val=&quot;007531A5&quot;/&gt;&lt;wsp:rsid wsp:val=&quot;00753C7A&quot;/&gt;&lt;wsp:rsid wsp:val=&quot;00753EA4&quot;/&gt;&lt;wsp:rsid wsp:val=&quot;00754034&quot;/&gt;&lt;wsp:rsid wsp:val=&quot;007548B1&quot;/&gt;&lt;wsp:rsid wsp:val=&quot;00754B5D&quot;/&gt;&lt;wsp:rsid wsp:val=&quot;00754F1B&quot;/&gt;&lt;wsp:rsid wsp:val=&quot;00754F3B&quot;/&gt;&lt;wsp:rsid wsp:val=&quot;007554AB&quot;/&gt;&lt;wsp:rsid wsp:val=&quot;00755614&quot;/&gt;&lt;wsp:rsid wsp:val=&quot;0075588A&quot;/&gt;&lt;wsp:rsid wsp:val=&quot;00756556&quot;/&gt;&lt;wsp:rsid wsp:val=&quot;00756A3F&quot;/&gt;&lt;wsp:rsid wsp:val=&quot;0075728A&quot;/&gt;&lt;wsp:rsid wsp:val=&quot;00757485&quot;/&gt;&lt;wsp:rsid wsp:val=&quot;00757E83&quot;/&gt;&lt;wsp:rsid wsp:val=&quot;0076029B&quot;/&gt;&lt;wsp:rsid wsp:val=&quot;007613F3&quot;/&gt;&lt;wsp:rsid wsp:val=&quot;0076153E&quot;/&gt;&lt;wsp:rsid wsp:val=&quot;007618C4&quot;/&gt;&lt;wsp:rsid wsp:val=&quot;00761FB4&quot;/&gt;&lt;wsp:rsid wsp:val=&quot;00762784&quot;/&gt;&lt;wsp:rsid wsp:val=&quot;00762DD3&quot;/&gt;&lt;wsp:rsid wsp:val=&quot;007650E6&quot;/&gt;&lt;wsp:rsid wsp:val=&quot;00765F42&quot;/&gt;&lt;wsp:rsid wsp:val=&quot;0076617F&quot;/&gt;&lt;wsp:rsid wsp:val=&quot;007669DE&quot;/&gt;&lt;wsp:rsid wsp:val=&quot;007674DC&quot;/&gt;&lt;wsp:rsid wsp:val=&quot;00767980&quot;/&gt;&lt;wsp:rsid wsp:val=&quot;00767A4D&quot;/&gt;&lt;wsp:rsid wsp:val=&quot;00767B80&quot;/&gt;&lt;wsp:rsid wsp:val=&quot;00767D59&quot;/&gt;&lt;wsp:rsid wsp:val=&quot;00767D8E&quot;/&gt;&lt;wsp:rsid wsp:val=&quot;00770B19&quot;/&gt;&lt;wsp:rsid wsp:val=&quot;00770BD8&quot;/&gt;&lt;wsp:rsid wsp:val=&quot;00770CDA&quot;/&gt;&lt;wsp:rsid wsp:val=&quot;007715F8&quot;/&gt;&lt;wsp:rsid wsp:val=&quot;00771F26&quot;/&gt;&lt;wsp:rsid wsp:val=&quot;00772050&quot;/&gt;&lt;wsp:rsid wsp:val=&quot;00772438&quot;/&gt;&lt;wsp:rsid wsp:val=&quot;0077285E&quot;/&gt;&lt;wsp:rsid wsp:val=&quot;00772E28&quot;/&gt;&lt;wsp:rsid wsp:val=&quot;00772E40&quot;/&gt;&lt;wsp:rsid wsp:val=&quot;00773F9E&quot;/&gt;&lt;wsp:rsid wsp:val=&quot;0077448C&quot;/&gt;&lt;wsp:rsid wsp:val=&quot;0077463F&quot;/&gt;&lt;wsp:rsid wsp:val=&quot;007755A0&quot;/&gt;&lt;wsp:rsid wsp:val=&quot;007758CA&quot;/&gt;&lt;wsp:rsid wsp:val=&quot;00775948&quot;/&gt;&lt;wsp:rsid wsp:val=&quot;00776EC8&quot;/&gt;&lt;wsp:rsid wsp:val=&quot;00777A69&quot;/&gt;&lt;wsp:rsid wsp:val=&quot;00777E61&quot;/&gt;&lt;wsp:rsid wsp:val=&quot;00777E88&quot;/&gt;&lt;wsp:rsid wsp:val=&quot;0078083F&quot;/&gt;&lt;wsp:rsid wsp:val=&quot;00781CA1&quot;/&gt;&lt;wsp:rsid wsp:val=&quot;00782241&quot;/&gt;&lt;wsp:rsid wsp:val=&quot;00782CF0&quot;/&gt;&lt;wsp:rsid wsp:val=&quot;00782F8D&quot;/&gt;&lt;wsp:rsid wsp:val=&quot;0078308D&quot;/&gt;&lt;wsp:rsid wsp:val=&quot;007836EA&quot;/&gt;&lt;wsp:rsid wsp:val=&quot;007838C4&quot;/&gt;&lt;wsp:rsid wsp:val=&quot;00783B8A&quot;/&gt;&lt;wsp:rsid wsp:val=&quot;00783D0C&quot;/&gt;&lt;wsp:rsid wsp:val=&quot;00784AEF&quot;/&gt;&lt;wsp:rsid wsp:val=&quot;00784CDA&quot;/&gt;&lt;wsp:rsid wsp:val=&quot;007857AC&quot;/&gt;&lt;wsp:rsid wsp:val=&quot;00785F53&quot;/&gt;&lt;wsp:rsid wsp:val=&quot;007861F8&quot;/&gt;&lt;wsp:rsid wsp:val=&quot;007906C3&quot;/&gt;&lt;wsp:rsid wsp:val=&quot;007906C4&quot;/&gt;&lt;wsp:rsid wsp:val=&quot;00792026&quot;/&gt;&lt;wsp:rsid wsp:val=&quot;00792206&quot;/&gt;&lt;wsp:rsid wsp:val=&quot;007923D4&quot;/&gt;&lt;wsp:rsid wsp:val=&quot;00792807&quot;/&gt;&lt;wsp:rsid wsp:val=&quot;00793089&quot;/&gt;&lt;wsp:rsid wsp:val=&quot;00793615&quot;/&gt;&lt;wsp:rsid wsp:val=&quot;00793899&quot;/&gt;&lt;wsp:rsid wsp:val=&quot;007940EA&quot;/&gt;&lt;wsp:rsid wsp:val=&quot;00794AD3&quot;/&gt;&lt;wsp:rsid wsp:val=&quot;00795AAE&quot;/&gt;&lt;wsp:rsid wsp:val=&quot;007963E4&quot;/&gt;&lt;wsp:rsid wsp:val=&quot;007967E8&quot;/&gt;&lt;wsp:rsid wsp:val=&quot;007969B1&quot;/&gt;&lt;wsp:rsid wsp:val=&quot;00796B78&quot;/&gt;&lt;wsp:rsid wsp:val=&quot;00797002&quot;/&gt;&lt;wsp:rsid wsp:val=&quot;007975AF&quot;/&gt;&lt;wsp:rsid wsp:val=&quot;00797730&quot;/&gt;&lt;wsp:rsid wsp:val=&quot;0079794B&quot;/&gt;&lt;wsp:rsid wsp:val=&quot;007A03BF&quot;/&gt;&lt;wsp:rsid wsp:val=&quot;007A061B&quot;/&gt;&lt;wsp:rsid wsp:val=&quot;007A1A60&quot;/&gt;&lt;wsp:rsid wsp:val=&quot;007A1B9C&quot;/&gt;&lt;wsp:rsid wsp:val=&quot;007A2170&quot;/&gt;&lt;wsp:rsid wsp:val=&quot;007A22BF&quot;/&gt;&lt;wsp:rsid wsp:val=&quot;007A248F&quot;/&gt;&lt;wsp:rsid wsp:val=&quot;007A28B8&quot;/&gt;&lt;wsp:rsid wsp:val=&quot;007A2CF2&quot;/&gt;&lt;wsp:rsid wsp:val=&quot;007A2F39&quot;/&gt;&lt;wsp:rsid wsp:val=&quot;007A3323&quot;/&gt;&lt;wsp:rsid wsp:val=&quot;007A3FA7&quot;/&gt;&lt;wsp:rsid wsp:val=&quot;007A41AB&quot;/&gt;&lt;wsp:rsid wsp:val=&quot;007A41CC&quot;/&gt;&lt;wsp:rsid wsp:val=&quot;007A5BC0&quot;/&gt;&lt;wsp:rsid wsp:val=&quot;007A5D77&quot;/&gt;&lt;wsp:rsid wsp:val=&quot;007A6049&quot;/&gt;&lt;wsp:rsid wsp:val=&quot;007A63F4&quot;/&gt;&lt;wsp:rsid wsp:val=&quot;007A6568&quot;/&gt;&lt;wsp:rsid wsp:val=&quot;007A727A&quot;/&gt;&lt;wsp:rsid wsp:val=&quot;007A7595&quot;/&gt;&lt;wsp:rsid wsp:val=&quot;007A7D7C&quot;/&gt;&lt;wsp:rsid wsp:val=&quot;007B0523&quot;/&gt;&lt;wsp:rsid wsp:val=&quot;007B0D83&quot;/&gt;&lt;wsp:rsid wsp:val=&quot;007B0EC0&quot;/&gt;&lt;wsp:rsid wsp:val=&quot;007B1123&quot;/&gt;&lt;wsp:rsid wsp:val=&quot;007B1D2D&quot;/&gt;&lt;wsp:rsid wsp:val=&quot;007B2B6A&quot;/&gt;&lt;wsp:rsid wsp:val=&quot;007B3ACD&quot;/&gt;&lt;wsp:rsid wsp:val=&quot;007B416C&quot;/&gt;&lt;wsp:rsid wsp:val=&quot;007B47B4&quot;/&gt;&lt;wsp:rsid wsp:val=&quot;007B49D3&quot;/&gt;&lt;wsp:rsid wsp:val=&quot;007B4A85&quot;/&gt;&lt;wsp:rsid wsp:val=&quot;007B4ABF&quot;/&gt;&lt;wsp:rsid wsp:val=&quot;007B5034&quot;/&gt;&lt;wsp:rsid wsp:val=&quot;007B51BC&quot;/&gt;&lt;wsp:rsid wsp:val=&quot;007B5661&quot;/&gt;&lt;wsp:rsid wsp:val=&quot;007B584C&quot;/&gt;&lt;wsp:rsid wsp:val=&quot;007B5BFF&quot;/&gt;&lt;wsp:rsid wsp:val=&quot;007B5F5F&quot;/&gt;&lt;wsp:rsid wsp:val=&quot;007B65F9&quot;/&gt;&lt;wsp:rsid wsp:val=&quot;007B72B8&quot;/&gt;&lt;wsp:rsid wsp:val=&quot;007B7477&quot;/&gt;&lt;wsp:rsid wsp:val=&quot;007B7A58&quot;/&gt;&lt;wsp:rsid wsp:val=&quot;007B7E97&quot;/&gt;&lt;wsp:rsid wsp:val=&quot;007C0DFB&quot;/&gt;&lt;wsp:rsid wsp:val=&quot;007C0E55&quot;/&gt;&lt;wsp:rsid wsp:val=&quot;007C1318&quot;/&gt;&lt;wsp:rsid wsp:val=&quot;007C21B5&quot;/&gt;&lt;wsp:rsid wsp:val=&quot;007C21C2&quot;/&gt;&lt;wsp:rsid wsp:val=&quot;007C29BA&quot;/&gt;&lt;wsp:rsid wsp:val=&quot;007C475C&quot;/&gt;&lt;wsp:rsid wsp:val=&quot;007C4826&quot;/&gt;&lt;wsp:rsid wsp:val=&quot;007C497B&quot;/&gt;&lt;wsp:rsid wsp:val=&quot;007C4C48&quot;/&gt;&lt;wsp:rsid wsp:val=&quot;007C4F88&quot;/&gt;&lt;wsp:rsid wsp:val=&quot;007C5C2B&quot;/&gt;&lt;wsp:rsid wsp:val=&quot;007C5C52&quot;/&gt;&lt;wsp:rsid wsp:val=&quot;007C5D79&quot;/&gt;&lt;wsp:rsid wsp:val=&quot;007C5F44&quot;/&gt;&lt;wsp:rsid wsp:val=&quot;007C761C&quot;/&gt;&lt;wsp:rsid wsp:val=&quot;007C7698&quot;/&gt;&lt;wsp:rsid wsp:val=&quot;007C7E56&quot;/&gt;&lt;wsp:rsid wsp:val=&quot;007D0456&quot;/&gt;&lt;wsp:rsid wsp:val=&quot;007D05E2&quot;/&gt;&lt;wsp:rsid wsp:val=&quot;007D07FD&quot;/&gt;&lt;wsp:rsid wsp:val=&quot;007D0FB2&quot;/&gt;&lt;wsp:rsid wsp:val=&quot;007D25A3&quot;/&gt;&lt;wsp:rsid wsp:val=&quot;007D2776&quot;/&gt;&lt;wsp:rsid wsp:val=&quot;007D378F&quot;/&gt;&lt;wsp:rsid wsp:val=&quot;007D3E5B&quot;/&gt;&lt;wsp:rsid wsp:val=&quot;007D41DD&quot;/&gt;&lt;wsp:rsid wsp:val=&quot;007D44D9&quot;/&gt;&lt;wsp:rsid wsp:val=&quot;007D4585&quot;/&gt;&lt;wsp:rsid wsp:val=&quot;007D4772&quot;/&gt;&lt;wsp:rsid wsp:val=&quot;007D49D0&quot;/&gt;&lt;wsp:rsid wsp:val=&quot;007D4B29&quot;/&gt;&lt;wsp:rsid wsp:val=&quot;007D5171&quot;/&gt;&lt;wsp:rsid wsp:val=&quot;007D5198&quot;/&gt;&lt;wsp:rsid wsp:val=&quot;007D67F4&quot;/&gt;&lt;wsp:rsid wsp:val=&quot;007D686C&quot;/&gt;&lt;wsp:rsid wsp:val=&quot;007D7548&quot;/&gt;&lt;wsp:rsid wsp:val=&quot;007E0052&quot;/&gt;&lt;wsp:rsid wsp:val=&quot;007E01F7&quot;/&gt;&lt;wsp:rsid wsp:val=&quot;007E047C&quot;/&gt;&lt;wsp:rsid wsp:val=&quot;007E0F3F&quot;/&gt;&lt;wsp:rsid wsp:val=&quot;007E1214&quot;/&gt;&lt;wsp:rsid wsp:val=&quot;007E1291&quot;/&gt;&lt;wsp:rsid wsp:val=&quot;007E1C6A&quot;/&gt;&lt;wsp:rsid wsp:val=&quot;007E1C74&quot;/&gt;&lt;wsp:rsid wsp:val=&quot;007E1F41&quot;/&gt;&lt;wsp:rsid wsp:val=&quot;007E2214&quot;/&gt;&lt;wsp:rsid wsp:val=&quot;007E224B&quot;/&gt;&lt;wsp:rsid wsp:val=&quot;007E2540&quot;/&gt;&lt;wsp:rsid wsp:val=&quot;007E2667&quot;/&gt;&lt;wsp:rsid wsp:val=&quot;007E292E&quot;/&gt;&lt;wsp:rsid wsp:val=&quot;007E2E64&quot;/&gt;&lt;wsp:rsid wsp:val=&quot;007E4781&quot;/&gt;&lt;wsp:rsid wsp:val=&quot;007E4BD2&quot;/&gt;&lt;wsp:rsid wsp:val=&quot;007E4D00&quot;/&gt;&lt;wsp:rsid wsp:val=&quot;007E4E3F&quot;/&gt;&lt;wsp:rsid wsp:val=&quot;007E50F3&quot;/&gt;&lt;wsp:rsid wsp:val=&quot;007E59A8&quot;/&gt;&lt;wsp:rsid wsp:val=&quot;007E5F8C&quot;/&gt;&lt;wsp:rsid wsp:val=&quot;007E5FC4&quot;/&gt;&lt;wsp:rsid wsp:val=&quot;007E6F90&quot;/&gt;&lt;wsp:rsid wsp:val=&quot;007E7014&quot;/&gt;&lt;wsp:rsid wsp:val=&quot;007E724B&quot;/&gt;&lt;wsp:rsid wsp:val=&quot;007F01DD&quot;/&gt;&lt;wsp:rsid wsp:val=&quot;007F01EF&quot;/&gt;&lt;wsp:rsid wsp:val=&quot;007F05C3&quot;/&gt;&lt;wsp:rsid wsp:val=&quot;007F0935&quot;/&gt;&lt;wsp:rsid wsp:val=&quot;007F0D48&quot;/&gt;&lt;wsp:rsid wsp:val=&quot;007F15DE&quot;/&gt;&lt;wsp:rsid wsp:val=&quot;007F1E57&quot;/&gt;&lt;wsp:rsid wsp:val=&quot;007F1E89&quot;/&gt;&lt;wsp:rsid wsp:val=&quot;007F2523&quot;/&gt;&lt;wsp:rsid wsp:val=&quot;007F2CF3&quot;/&gt;&lt;wsp:rsid wsp:val=&quot;007F2DC7&quot;/&gt;&lt;wsp:rsid wsp:val=&quot;007F3049&quot;/&gt;&lt;wsp:rsid wsp:val=&quot;007F32B7&quot;/&gt;&lt;wsp:rsid wsp:val=&quot;007F376A&quot;/&gt;&lt;wsp:rsid wsp:val=&quot;007F3E0A&quot;/&gt;&lt;wsp:rsid wsp:val=&quot;007F4F7E&quot;/&gt;&lt;wsp:rsid wsp:val=&quot;007F5A67&quot;/&gt;&lt;wsp:rsid wsp:val=&quot;007F5F28&quot;/&gt;&lt;wsp:rsid wsp:val=&quot;007F69A0&quot;/&gt;&lt;wsp:rsid wsp:val=&quot;007F774F&quot;/&gt;&lt;wsp:rsid wsp:val=&quot;0080030D&quot;/&gt;&lt;wsp:rsid wsp:val=&quot;00800D3A&quot;/&gt;&lt;wsp:rsid wsp:val=&quot;00800F41&quot;/&gt;&lt;wsp:rsid wsp:val=&quot;00801192&quot;/&gt;&lt;wsp:rsid wsp:val=&quot;008011E6&quot;/&gt;&lt;wsp:rsid wsp:val=&quot;00801393&quot;/&gt;&lt;wsp:rsid wsp:val=&quot;00801A45&quot;/&gt;&lt;wsp:rsid wsp:val=&quot;00801AB1&quot;/&gt;&lt;wsp:rsid wsp:val=&quot;0080211A&quot;/&gt;&lt;wsp:rsid wsp:val=&quot;008026BD&quot;/&gt;&lt;wsp:rsid wsp:val=&quot;00802C05&quot;/&gt;&lt;wsp:rsid wsp:val=&quot;00802F88&quot;/&gt;&lt;wsp:rsid wsp:val=&quot;00803EB6&quot;/&gt;&lt;wsp:rsid wsp:val=&quot;008040AC&quot;/&gt;&lt;wsp:rsid wsp:val=&quot;00804E95&quot;/&gt;&lt;wsp:rsid wsp:val=&quot;00804F0C&quot;/&gt;&lt;wsp:rsid wsp:val=&quot;00805E8B&quot;/&gt;&lt;wsp:rsid wsp:val=&quot;0080696E&quot;/&gt;&lt;wsp:rsid wsp:val=&quot;00807D3B&quot;/&gt;&lt;wsp:rsid wsp:val=&quot;00807EF0&quot;/&gt;&lt;wsp:rsid wsp:val=&quot;00810D01&quot;/&gt;&lt;wsp:rsid wsp:val=&quot;00810F58&quot;/&gt;&lt;wsp:rsid wsp:val=&quot;0081127C&quot;/&gt;&lt;wsp:rsid wsp:val=&quot;008114B5&quot;/&gt;&lt;wsp:rsid wsp:val=&quot;0081164D&quot;/&gt;&lt;wsp:rsid wsp:val=&quot;00811A5B&quot;/&gt;&lt;wsp:rsid wsp:val=&quot;00811E20&quot;/&gt;&lt;wsp:rsid wsp:val=&quot;0081293E&quot;/&gt;&lt;wsp:rsid wsp:val=&quot;008132C9&quot;/&gt;&lt;wsp:rsid wsp:val=&quot;00814040&quot;/&gt;&lt;wsp:rsid wsp:val=&quot;00814278&quot;/&gt;&lt;wsp:rsid wsp:val=&quot;008146A0&quot;/&gt;&lt;wsp:rsid wsp:val=&quot;00814752&quot;/&gt;&lt;wsp:rsid wsp:val=&quot;00814929&quot;/&gt;&lt;wsp:rsid wsp:val=&quot;00814BD2&quot;/&gt;&lt;wsp:rsid wsp:val=&quot;008152E3&quot;/&gt;&lt;wsp:rsid wsp:val=&quot;00815465&quot;/&gt;&lt;wsp:rsid wsp:val=&quot;00816B0D&quot;/&gt;&lt;wsp:rsid wsp:val=&quot;00817487&quot;/&gt;&lt;wsp:rsid wsp:val=&quot;00817CAA&quot;/&gt;&lt;wsp:rsid wsp:val=&quot;00817E9A&quot;/&gt;&lt;wsp:rsid wsp:val=&quot;00820C91&quot;/&gt;&lt;wsp:rsid wsp:val=&quot;00820D13&quot;/&gt;&lt;wsp:rsid wsp:val=&quot;008213C7&quot;/&gt;&lt;wsp:rsid wsp:val=&quot;00821D91&quot;/&gt;&lt;wsp:rsid wsp:val=&quot;00821D9F&quot;/&gt;&lt;wsp:rsid wsp:val=&quot;00821EAB&quot;/&gt;&lt;wsp:rsid wsp:val=&quot;00822140&quot;/&gt;&lt;wsp:rsid wsp:val=&quot;00822564&quot;/&gt;&lt;wsp:rsid wsp:val=&quot;00822DA5&quot;/&gt;&lt;wsp:rsid wsp:val=&quot;00822E81&quot;/&gt;&lt;wsp:rsid wsp:val=&quot;008237BE&quot;/&gt;&lt;wsp:rsid wsp:val=&quot;00823FB0&quot;/&gt;&lt;wsp:rsid wsp:val=&quot;00824A4F&quot;/&gt;&lt;wsp:rsid wsp:val=&quot;00825AD2&quot;/&gt;&lt;wsp:rsid wsp:val=&quot;00825B2C&quot;/&gt;&lt;wsp:rsid wsp:val=&quot;00825E3E&quot;/&gt;&lt;wsp:rsid wsp:val=&quot;00826AC3&quot;/&gt;&lt;wsp:rsid wsp:val=&quot;00827A31&quot;/&gt;&lt;wsp:rsid wsp:val=&quot;00830145&quot;/&gt;&lt;wsp:rsid wsp:val=&quot;00830209&quot;/&gt;&lt;wsp:rsid wsp:val=&quot;0083060B&quot;/&gt;&lt;wsp:rsid wsp:val=&quot;008306BD&quot;/&gt;&lt;wsp:rsid wsp:val=&quot;00830727&quot;/&gt;&lt;wsp:rsid wsp:val=&quot;0083089A&quot;/&gt;&lt;wsp:rsid wsp:val=&quot;008318F4&quot;/&gt;&lt;wsp:rsid wsp:val=&quot;00831A80&quot;/&gt;&lt;wsp:rsid wsp:val=&quot;008321A6&quot;/&gt;&lt;wsp:rsid wsp:val=&quot;00832F8B&quot;/&gt;&lt;wsp:rsid wsp:val=&quot;0083332C&quot;/&gt;&lt;wsp:rsid wsp:val=&quot;00833743&quot;/&gt;&lt;wsp:rsid wsp:val=&quot;008337C9&quot;/&gt;&lt;wsp:rsid wsp:val=&quot;00833CB5&quot;/&gt;&lt;wsp:rsid wsp:val=&quot;008340A4&quot;/&gt;&lt;wsp:rsid wsp:val=&quot;008349A4&quot;/&gt;&lt;wsp:rsid wsp:val=&quot;00836150&quot;/&gt;&lt;wsp:rsid wsp:val=&quot;00836177&quot;/&gt;&lt;wsp:rsid wsp:val=&quot;00836188&quot;/&gt;&lt;wsp:rsid wsp:val=&quot;00836229&quot;/&gt;&lt;wsp:rsid wsp:val=&quot;008369BE&quot;/&gt;&lt;wsp:rsid wsp:val=&quot;008370F9&quot;/&gt;&lt;wsp:rsid wsp:val=&quot;00837477&quot;/&gt;&lt;wsp:rsid wsp:val=&quot;00837E2B&quot;/&gt;&lt;wsp:rsid wsp:val=&quot;00840CF0&quot;/&gt;&lt;wsp:rsid wsp:val=&quot;008417BE&quot;/&gt;&lt;wsp:rsid wsp:val=&quot;00842169&quot;/&gt;&lt;wsp:rsid wsp:val=&quot;00844820&quot;/&gt;&lt;wsp:rsid wsp:val=&quot;0084542A&quot;/&gt;&lt;wsp:rsid wsp:val=&quot;0084561C&quot;/&gt;&lt;wsp:rsid wsp:val=&quot;00846450&quot;/&gt;&lt;wsp:rsid wsp:val=&quot;0084665D&quot;/&gt;&lt;wsp:rsid wsp:val=&quot;00846CBF&quot;/&gt;&lt;wsp:rsid wsp:val=&quot;00846E15&quot;/&gt;&lt;wsp:rsid wsp:val=&quot;00846E9E&quot;/&gt;&lt;wsp:rsid wsp:val=&quot;00846F14&quot;/&gt;&lt;wsp:rsid wsp:val=&quot;00847E5B&quot;/&gt;&lt;wsp:rsid wsp:val=&quot;00850029&quot;/&gt;&lt;wsp:rsid wsp:val=&quot;0085071E&quot;/&gt;&lt;wsp:rsid wsp:val=&quot;00851836&quot;/&gt;&lt;wsp:rsid wsp:val=&quot;00852388&quot;/&gt;&lt;wsp:rsid wsp:val=&quot;0085261B&quot;/&gt;&lt;wsp:rsid wsp:val=&quot;00852AB4&quot;/&gt;&lt;wsp:rsid wsp:val=&quot;00852E62&quot;/&gt;&lt;wsp:rsid wsp:val=&quot;008543DC&quot;/&gt;&lt;wsp:rsid wsp:val=&quot;00855141&quot;/&gt;&lt;wsp:rsid wsp:val=&quot;00855407&quot;/&gt;&lt;wsp:rsid wsp:val=&quot;00855D7D&quot;/&gt;&lt;wsp:rsid wsp:val=&quot;00857452&quot;/&gt;&lt;wsp:rsid wsp:val=&quot;00857C9C&quot;/&gt;&lt;wsp:rsid wsp:val=&quot;00857FBE&quot;/&gt;&lt;wsp:rsid wsp:val=&quot;00860313&quot;/&gt;&lt;wsp:rsid wsp:val=&quot;00861221&quot;/&gt;&lt;wsp:rsid wsp:val=&quot;008614E1&quot;/&gt;&lt;wsp:rsid wsp:val=&quot;0086178C&quot;/&gt;&lt;wsp:rsid wsp:val=&quot;008622BD&quot;/&gt;&lt;wsp:rsid wsp:val=&quot;0086285E&quot;/&gt;&lt;wsp:rsid wsp:val=&quot;00862B3A&quot;/&gt;&lt;wsp:rsid wsp:val=&quot;008636EF&quot;/&gt;&lt;wsp:rsid wsp:val=&quot;00864D47&quot;/&gt;&lt;wsp:rsid wsp:val=&quot;00864DC5&quot;/&gt;&lt;wsp:rsid wsp:val=&quot;00865374&quot;/&gt;&lt;wsp:rsid wsp:val=&quot;008658F6&quot;/&gt;&lt;wsp:rsid wsp:val=&quot;00866029&quot;/&gt;&lt;wsp:rsid wsp:val=&quot;0086603C&quot;/&gt;&lt;wsp:rsid wsp:val=&quot;00866244&quot;/&gt;&lt;wsp:rsid wsp:val=&quot;00866A20&quot;/&gt;&lt;wsp:rsid wsp:val=&quot;008673EB&quot;/&gt;&lt;wsp:rsid wsp:val=&quot;00867409&quot;/&gt;&lt;wsp:rsid wsp:val=&quot;0086792B&quot;/&gt;&lt;wsp:rsid wsp:val=&quot;00867D2A&quot;/&gt;&lt;wsp:rsid wsp:val=&quot;00870586&quot;/&gt;&lt;wsp:rsid wsp:val=&quot;0087059C&quot;/&gt;&lt;wsp:rsid wsp:val=&quot;00870CB1&quot;/&gt;&lt;wsp:rsid wsp:val=&quot;0087135F&quot;/&gt;&lt;wsp:rsid wsp:val=&quot;00871484&quot;/&gt;&lt;wsp:rsid wsp:val=&quot;00871CFB&quot;/&gt;&lt;wsp:rsid wsp:val=&quot;00872027&quot;/&gt;&lt;wsp:rsid wsp:val=&quot;008721AF&quot;/&gt;&lt;wsp:rsid wsp:val=&quot;0087256C&quot;/&gt;&lt;wsp:rsid wsp:val=&quot;00872D94&quot;/&gt;&lt;wsp:rsid wsp:val=&quot;00872E25&quot;/&gt;&lt;wsp:rsid wsp:val=&quot;008730BA&quot;/&gt;&lt;wsp:rsid wsp:val=&quot;00873451&quot;/&gt;&lt;wsp:rsid wsp:val=&quot;008742A5&quot;/&gt;&lt;wsp:rsid wsp:val=&quot;00874705&quot;/&gt;&lt;wsp:rsid wsp:val=&quot;00874A9B&quot;/&gt;&lt;wsp:rsid wsp:val=&quot;00876366&quot;/&gt;&lt;wsp:rsid wsp:val=&quot;0087721C&quot;/&gt;&lt;wsp:rsid wsp:val=&quot;00877983&quot;/&gt;&lt;wsp:rsid wsp:val=&quot;00880364&quot;/&gt;&lt;wsp:rsid wsp:val=&quot;008805AA&quot;/&gt;&lt;wsp:rsid wsp:val=&quot;00881594&quot;/&gt;&lt;wsp:rsid wsp:val=&quot;00882898&quot;/&gt;&lt;wsp:rsid wsp:val=&quot;00882C75&quot;/&gt;&lt;wsp:rsid wsp:val=&quot;00882E8D&quot;/&gt;&lt;wsp:rsid wsp:val=&quot;00883C6B&quot;/&gt;&lt;wsp:rsid wsp:val=&quot;00884434&quot;/&gt;&lt;wsp:rsid wsp:val=&quot;00884585&quot;/&gt;&lt;wsp:rsid wsp:val=&quot;00884DBD&quot;/&gt;&lt;wsp:rsid wsp:val=&quot;00884F91&quot;/&gt;&lt;wsp:rsid wsp:val=&quot;00885866&quot;/&gt;&lt;wsp:rsid wsp:val=&quot;00886069&quot;/&gt;&lt;wsp:rsid wsp:val=&quot;00886483&quot;/&gt;&lt;wsp:rsid wsp:val=&quot;00887170&quot;/&gt;&lt;wsp:rsid wsp:val=&quot;00890664&quot;/&gt;&lt;wsp:rsid wsp:val=&quot;00890E36&quot;/&gt;&lt;wsp:rsid wsp:val=&quot;00891592&quot;/&gt;&lt;wsp:rsid wsp:val=&quot;00891E9E&quot;/&gt;&lt;wsp:rsid wsp:val=&quot;00891EF6&quot;/&gt;&lt;wsp:rsid wsp:val=&quot;008929BD&quot;/&gt;&lt;wsp:rsid wsp:val=&quot;00892B88&quot;/&gt;&lt;wsp:rsid wsp:val=&quot;00892C42&quot;/&gt;&lt;wsp:rsid wsp:val=&quot;00892E32&quot;/&gt;&lt;wsp:rsid wsp:val=&quot;008939E9&quot;/&gt;&lt;wsp:rsid wsp:val=&quot;008940DF&quot;/&gt;&lt;wsp:rsid wsp:val=&quot;00894D10&quot;/&gt;&lt;wsp:rsid wsp:val=&quot;00895CC7&quot;/&gt;&lt;wsp:rsid wsp:val=&quot;00896E97&quot;/&gt;&lt;wsp:rsid wsp:val=&quot;008971B9&quot;/&gt;&lt;wsp:rsid wsp:val=&quot;0089722E&quot;/&gt;&lt;wsp:rsid wsp:val=&quot;008A10E8&quot;/&gt;&lt;wsp:rsid wsp:val=&quot;008A116B&quot;/&gt;&lt;wsp:rsid wsp:val=&quot;008A17D0&quot;/&gt;&lt;wsp:rsid wsp:val=&quot;008A1BF6&quot;/&gt;&lt;wsp:rsid wsp:val=&quot;008A1C8B&quot;/&gt;&lt;wsp:rsid wsp:val=&quot;008A1EF5&quot;/&gt;&lt;wsp:rsid wsp:val=&quot;008A2F68&quot;/&gt;&lt;wsp:rsid wsp:val=&quot;008A32E8&quot;/&gt;&lt;wsp:rsid wsp:val=&quot;008A34A7&quot;/&gt;&lt;wsp:rsid wsp:val=&quot;008A4055&quot;/&gt;&lt;wsp:rsid wsp:val=&quot;008A43DF&quot;/&gt;&lt;wsp:rsid wsp:val=&quot;008A4B4C&quot;/&gt;&lt;wsp:rsid wsp:val=&quot;008A5D0A&quot;/&gt;&lt;wsp:rsid wsp:val=&quot;008A61C2&quot;/&gt;&lt;wsp:rsid wsp:val=&quot;008A662F&quot;/&gt;&lt;wsp:rsid wsp:val=&quot;008A6E74&quot;/&gt;&lt;wsp:rsid wsp:val=&quot;008A7486&quot;/&gt;&lt;wsp:rsid wsp:val=&quot;008A7608&quot;/&gt;&lt;wsp:rsid wsp:val=&quot;008A7CFA&quot;/&gt;&lt;wsp:rsid wsp:val=&quot;008B0372&quot;/&gt;&lt;wsp:rsid wsp:val=&quot;008B05A9&quot;/&gt;&lt;wsp:rsid wsp:val=&quot;008B15CF&quot;/&gt;&lt;wsp:rsid wsp:val=&quot;008B1C19&quot;/&gt;&lt;wsp:rsid wsp:val=&quot;008B224A&quot;/&gt;&lt;wsp:rsid wsp:val=&quot;008B238C&quot;/&gt;&lt;wsp:rsid wsp:val=&quot;008B2515&quot;/&gt;&lt;wsp:rsid wsp:val=&quot;008B2517&quot;/&gt;&lt;wsp:rsid wsp:val=&quot;008B2A59&quot;/&gt;&lt;wsp:rsid wsp:val=&quot;008B31DB&quot;/&gt;&lt;wsp:rsid wsp:val=&quot;008B3FD4&quot;/&gt;&lt;wsp:rsid wsp:val=&quot;008B411D&quot;/&gt;&lt;wsp:rsid wsp:val=&quot;008B43E6&quot;/&gt;&lt;wsp:rsid wsp:val=&quot;008B4816&quot;/&gt;&lt;wsp:rsid wsp:val=&quot;008B4DB0&quot;/&gt;&lt;wsp:rsid wsp:val=&quot;008B4E8E&quot;/&gt;&lt;wsp:rsid wsp:val=&quot;008B4FA6&quot;/&gt;&lt;wsp:rsid wsp:val=&quot;008B503B&quot;/&gt;&lt;wsp:rsid wsp:val=&quot;008B51BA&quot;/&gt;&lt;wsp:rsid wsp:val=&quot;008B5282&quot;/&gt;&lt;wsp:rsid wsp:val=&quot;008B64D7&quot;/&gt;&lt;wsp:rsid wsp:val=&quot;008B6F62&quot;/&gt;&lt;wsp:rsid wsp:val=&quot;008B7765&quot;/&gt;&lt;wsp:rsid wsp:val=&quot;008B7C17&quot;/&gt;&lt;wsp:rsid wsp:val=&quot;008B7E25&quot;/&gt;&lt;wsp:rsid wsp:val=&quot;008C02FE&quot;/&gt;&lt;wsp:rsid wsp:val=&quot;008C0797&quot;/&gt;&lt;wsp:rsid wsp:val=&quot;008C0D9C&quot;/&gt;&lt;wsp:rsid wsp:val=&quot;008C13DD&quot;/&gt;&lt;wsp:rsid wsp:val=&quot;008C23D3&quot;/&gt;&lt;wsp:rsid wsp:val=&quot;008C2765&quot;/&gt;&lt;wsp:rsid wsp:val=&quot;008C2AB7&quot;/&gt;&lt;wsp:rsid wsp:val=&quot;008C2D01&quot;/&gt;&lt;wsp:rsid wsp:val=&quot;008C3050&quot;/&gt;&lt;wsp:rsid wsp:val=&quot;008C32C3&quot;/&gt;&lt;wsp:rsid wsp:val=&quot;008C37AB&quot;/&gt;&lt;wsp:rsid wsp:val=&quot;008C3813&quot;/&gt;&lt;wsp:rsid wsp:val=&quot;008C3AE8&quot;/&gt;&lt;wsp:rsid wsp:val=&quot;008C3FA0&quot;/&gt;&lt;wsp:rsid wsp:val=&quot;008C40E6&quot;/&gt;&lt;wsp:rsid wsp:val=&quot;008C4673&quot;/&gt;&lt;wsp:rsid wsp:val=&quot;008C479F&quot;/&gt;&lt;wsp:rsid wsp:val=&quot;008C4D44&quot;/&gt;&lt;wsp:rsid wsp:val=&quot;008C531B&quot;/&gt;&lt;wsp:rsid wsp:val=&quot;008C5340&quot;/&gt;&lt;wsp:rsid wsp:val=&quot;008C5836&quot;/&gt;&lt;wsp:rsid wsp:val=&quot;008C61C9&quot;/&gt;&lt;wsp:rsid wsp:val=&quot;008C6340&quot;/&gt;&lt;wsp:rsid wsp:val=&quot;008C6BE9&quot;/&gt;&lt;wsp:rsid wsp:val=&quot;008C6C81&quot;/&gt;&lt;wsp:rsid wsp:val=&quot;008C72D7&quot;/&gt;&lt;wsp:rsid wsp:val=&quot;008C7595&quot;/&gt;&lt;wsp:rsid wsp:val=&quot;008C75D6&quot;/&gt;&lt;wsp:rsid wsp:val=&quot;008D052C&quot;/&gt;&lt;wsp:rsid wsp:val=&quot;008D0D17&quot;/&gt;&lt;wsp:rsid wsp:val=&quot;008D0F7A&quot;/&gt;&lt;wsp:rsid wsp:val=&quot;008D1637&quot;/&gt;&lt;wsp:rsid wsp:val=&quot;008D2CF4&quot;/&gt;&lt;wsp:rsid wsp:val=&quot;008D31DA&quot;/&gt;&lt;wsp:rsid wsp:val=&quot;008D3D45&quot;/&gt;&lt;wsp:rsid wsp:val=&quot;008D4296&quot;/&gt;&lt;wsp:rsid wsp:val=&quot;008D465B&quot;/&gt;&lt;wsp:rsid wsp:val=&quot;008D5409&quot;/&gt;&lt;wsp:rsid wsp:val=&quot;008D552F&quot;/&gt;&lt;wsp:rsid wsp:val=&quot;008D594C&quot;/&gt;&lt;wsp:rsid wsp:val=&quot;008D68E4&quot;/&gt;&lt;wsp:rsid wsp:val=&quot;008D6A46&quot;/&gt;&lt;wsp:rsid wsp:val=&quot;008D6A52&quot;/&gt;&lt;wsp:rsid wsp:val=&quot;008D6A56&quot;/&gt;&lt;wsp:rsid wsp:val=&quot;008D717E&quot;/&gt;&lt;wsp:rsid wsp:val=&quot;008D7AA6&quot;/&gt;&lt;wsp:rsid wsp:val=&quot;008E0506&quot;/&gt;&lt;wsp:rsid wsp:val=&quot;008E0B79&quot;/&gt;&lt;wsp:rsid wsp:val=&quot;008E0CFF&quot;/&gt;&lt;wsp:rsid wsp:val=&quot;008E25B5&quot;/&gt;&lt;wsp:rsid wsp:val=&quot;008E25F1&quot;/&gt;&lt;wsp:rsid wsp:val=&quot;008E27EF&quot;/&gt;&lt;wsp:rsid wsp:val=&quot;008E29AB&quot;/&gt;&lt;wsp:rsid wsp:val=&quot;008E2DA3&quot;/&gt;&lt;wsp:rsid wsp:val=&quot;008E358E&quot;/&gt;&lt;wsp:rsid wsp:val=&quot;008E35F4&quot;/&gt;&lt;wsp:rsid wsp:val=&quot;008E377D&quot;/&gt;&lt;wsp:rsid wsp:val=&quot;008E3B20&quot;/&gt;&lt;wsp:rsid wsp:val=&quot;008E3E58&quot;/&gt;&lt;wsp:rsid wsp:val=&quot;008E3F04&quot;/&gt;&lt;wsp:rsid wsp:val=&quot;008E4560&quot;/&gt;&lt;wsp:rsid wsp:val=&quot;008E4FEA&quot;/&gt;&lt;wsp:rsid wsp:val=&quot;008E5639&quot;/&gt;&lt;wsp:rsid wsp:val=&quot;008E5782&quot;/&gt;&lt;wsp:rsid wsp:val=&quot;008E5873&quot;/&gt;&lt;wsp:rsid wsp:val=&quot;008E5D6B&quot;/&gt;&lt;wsp:rsid wsp:val=&quot;008E65DB&quot;/&gt;&lt;wsp:rsid wsp:val=&quot;008E6F0F&quot;/&gt;&lt;wsp:rsid wsp:val=&quot;008E76F0&quot;/&gt;&lt;wsp:rsid wsp:val=&quot;008E7712&quot;/&gt;&lt;wsp:rsid wsp:val=&quot;008E7D7F&quot;/&gt;&lt;wsp:rsid wsp:val=&quot;008E7F3A&quot;/&gt;&lt;wsp:rsid wsp:val=&quot;008F002B&quot;/&gt;&lt;wsp:rsid wsp:val=&quot;008F05AA&quot;/&gt;&lt;wsp:rsid wsp:val=&quot;008F08C9&quot;/&gt;&lt;wsp:rsid wsp:val=&quot;008F0B59&quot;/&gt;&lt;wsp:rsid wsp:val=&quot;008F111D&quot;/&gt;&lt;wsp:rsid wsp:val=&quot;008F11B2&quot;/&gt;&lt;wsp:rsid wsp:val=&quot;008F15FE&quot;/&gt;&lt;wsp:rsid wsp:val=&quot;008F183B&quot;/&gt;&lt;wsp:rsid wsp:val=&quot;008F2476&quot;/&gt;&lt;wsp:rsid wsp:val=&quot;008F2608&quot;/&gt;&lt;wsp:rsid wsp:val=&quot;008F2C7C&quot;/&gt;&lt;wsp:rsid wsp:val=&quot;008F2D29&quot;/&gt;&lt;wsp:rsid wsp:val=&quot;008F2F08&quot;/&gt;&lt;wsp:rsid wsp:val=&quot;008F300C&quot;/&gt;&lt;wsp:rsid wsp:val=&quot;008F3468&quot;/&gt;&lt;wsp:rsid wsp:val=&quot;008F4DBD&quot;/&gt;&lt;wsp:rsid wsp:val=&quot;008F5187&quot;/&gt;&lt;wsp:rsid wsp:val=&quot;008F5B66&quot;/&gt;&lt;wsp:rsid wsp:val=&quot;008F5BEA&quot;/&gt;&lt;wsp:rsid wsp:val=&quot;008F6063&quot;/&gt;&lt;wsp:rsid wsp:val=&quot;008F60D8&quot;/&gt;&lt;wsp:rsid wsp:val=&quot;008F6776&quot;/&gt;&lt;wsp:rsid wsp:val=&quot;008F7297&quot;/&gt;&lt;wsp:rsid wsp:val=&quot;008F7AE6&quot;/&gt;&lt;wsp:rsid wsp:val=&quot;00900194&quot;/&gt;&lt;wsp:rsid wsp:val=&quot;00900E67&quot;/&gt;&lt;wsp:rsid wsp:val=&quot;009012B1&quot;/&gt;&lt;wsp:rsid wsp:val=&quot;00901431&quot;/&gt;&lt;wsp:rsid wsp:val=&quot;00901478&quot;/&gt;&lt;wsp:rsid wsp:val=&quot;0090160F&quot;/&gt;&lt;wsp:rsid wsp:val=&quot;00901C82&quot;/&gt;&lt;wsp:rsid wsp:val=&quot;009022B1&quot;/&gt;&lt;wsp:rsid wsp:val=&quot;00902727&quot;/&gt;&lt;wsp:rsid wsp:val=&quot;0090312B&quot;/&gt;&lt;wsp:rsid wsp:val=&quot;00903B00&quot;/&gt;&lt;wsp:rsid wsp:val=&quot;00904681&quot;/&gt;&lt;wsp:rsid wsp:val=&quot;009054AF&quot;/&gt;&lt;wsp:rsid wsp:val=&quot;00906A48&quot;/&gt;&lt;wsp:rsid wsp:val=&quot;00906F86&quot;/&gt;&lt;wsp:rsid wsp:val=&quot;00907197&quot;/&gt;&lt;wsp:rsid wsp:val=&quot;0090751C&quot;/&gt;&lt;wsp:rsid wsp:val=&quot;00907779&quot;/&gt;&lt;wsp:rsid wsp:val=&quot;009100D0&quot;/&gt;&lt;wsp:rsid wsp:val=&quot;00910454&quot;/&gt;&lt;wsp:rsid wsp:val=&quot;009105BA&quot;/&gt;&lt;wsp:rsid wsp:val=&quot;009116C3&quot;/&gt;&lt;wsp:rsid wsp:val=&quot;009117A6&quot;/&gt;&lt;wsp:rsid wsp:val=&quot;009119AD&quot;/&gt;&lt;wsp:rsid wsp:val=&quot;00911B6E&quot;/&gt;&lt;wsp:rsid wsp:val=&quot;00911FE6&quot;/&gt;&lt;wsp:rsid wsp:val=&quot;00913200&quot;/&gt;&lt;wsp:rsid wsp:val=&quot;00913428&quot;/&gt;&lt;wsp:rsid wsp:val=&quot;009140B0&quot;/&gt;&lt;wsp:rsid wsp:val=&quot;00914938&quot;/&gt;&lt;wsp:rsid wsp:val=&quot;00915392&quot;/&gt;&lt;wsp:rsid wsp:val=&quot;0091639C&quot;/&gt;&lt;wsp:rsid wsp:val=&quot;009171D7&quot;/&gt;&lt;wsp:rsid wsp:val=&quot;0091736D&quot;/&gt;&lt;wsp:rsid wsp:val=&quot;00917C1D&quot;/&gt;&lt;wsp:rsid wsp:val=&quot;009202AA&quot;/&gt;&lt;wsp:rsid wsp:val=&quot;009208A7&quot;/&gt;&lt;wsp:rsid wsp:val=&quot;009209CB&quot;/&gt;&lt;wsp:rsid wsp:val=&quot;00920F86&quot;/&gt;&lt;wsp:rsid wsp:val=&quot;0092113A&quot;/&gt;&lt;wsp:rsid wsp:val=&quot;00922013&quot;/&gt;&lt;wsp:rsid wsp:val=&quot;00922BC1&quot;/&gt;&lt;wsp:rsid wsp:val=&quot;00922EC1&quot;/&gt;&lt;wsp:rsid wsp:val=&quot;0092323D&quot;/&gt;&lt;wsp:rsid wsp:val=&quot;00923392&quot;/&gt;&lt;wsp:rsid wsp:val=&quot;0092475A&quot;/&gt;&lt;wsp:rsid wsp:val=&quot;00924E58&quot;/&gt;&lt;wsp:rsid wsp:val=&quot;00925C31&quot;/&gt;&lt;wsp:rsid wsp:val=&quot;00925F68&quot;/&gt;&lt;wsp:rsid wsp:val=&quot;009266D3&quot;/&gt;&lt;wsp:rsid wsp:val=&quot;00926942&quot;/&gt;&lt;wsp:rsid wsp:val=&quot;00926EDD&quot;/&gt;&lt;wsp:rsid wsp:val=&quot;00927567&quot;/&gt;&lt;wsp:rsid wsp:val=&quot;009276E7&quot;/&gt;&lt;wsp:rsid wsp:val=&quot;00927D1E&quot;/&gt;&lt;wsp:rsid wsp:val=&quot;009300B4&quot;/&gt;&lt;wsp:rsid wsp:val=&quot;0093037A&quot;/&gt;&lt;wsp:rsid wsp:val=&quot;009305D5&quot;/&gt;&lt;wsp:rsid wsp:val=&quot;009306C5&quot;/&gt;&lt;wsp:rsid wsp:val=&quot;009307F8&quot;/&gt;&lt;wsp:rsid wsp:val=&quot;00931173&quot;/&gt;&lt;wsp:rsid wsp:val=&quot;00931476&quot;/&gt;&lt;wsp:rsid wsp:val=&quot;00931F1E&quot;/&gt;&lt;wsp:rsid wsp:val=&quot;00932028&quot;/&gt;&lt;wsp:rsid wsp:val=&quot;0093261A&quot;/&gt;&lt;wsp:rsid wsp:val=&quot;0093291F&quot;/&gt;&lt;wsp:rsid wsp:val=&quot;00932E95&quot;/&gt;&lt;wsp:rsid wsp:val=&quot;00933326&quot;/&gt;&lt;wsp:rsid wsp:val=&quot;009335ED&quot;/&gt;&lt;wsp:rsid wsp:val=&quot;0093400B&quot;/&gt;&lt;wsp:rsid wsp:val=&quot;00934AE7&quot;/&gt;&lt;wsp:rsid wsp:val=&quot;00935025&quot;/&gt;&lt;wsp:rsid wsp:val=&quot;00935600&quot;/&gt;&lt;wsp:rsid wsp:val=&quot;00935629&quot;/&gt;&lt;wsp:rsid wsp:val=&quot;00936436&quot;/&gt;&lt;wsp:rsid wsp:val=&quot;0093691B&quot;/&gt;&lt;wsp:rsid wsp:val=&quot;00937344&quot;/&gt;&lt;wsp:rsid wsp:val=&quot;00937F70&quot;/&gt;&lt;wsp:rsid wsp:val=&quot;0094006B&quot;/&gt;&lt;wsp:rsid wsp:val=&quot;00940243&quot;/&gt;&lt;wsp:rsid wsp:val=&quot;0094027F&quot;/&gt;&lt;wsp:rsid wsp:val=&quot;009412DF&quot;/&gt;&lt;wsp:rsid wsp:val=&quot;0094154D&quot;/&gt;&lt;wsp:rsid wsp:val=&quot;009424C9&quot;/&gt;&lt;wsp:rsid wsp:val=&quot;009425B1&quot;/&gt;&lt;wsp:rsid wsp:val=&quot;009430B3&quot;/&gt;&lt;wsp:rsid wsp:val=&quot;009434DE&quot;/&gt;&lt;wsp:rsid wsp:val=&quot;00943BF8&quot;/&gt;&lt;wsp:rsid wsp:val=&quot;009441F3&quot;/&gt;&lt;wsp:rsid wsp:val=&quot;00944C50&quot;/&gt;&lt;wsp:rsid wsp:val=&quot;009450F7&quot;/&gt;&lt;wsp:rsid wsp:val=&quot;00945C95&quot;/&gt;&lt;wsp:rsid wsp:val=&quot;00945E43&quot;/&gt;&lt;wsp:rsid wsp:val=&quot;009463F6&quot;/&gt;&lt;wsp:rsid wsp:val=&quot;00946431&quot;/&gt;&lt;wsp:rsid wsp:val=&quot;009466C6&quot;/&gt;&lt;wsp:rsid wsp:val=&quot;00946E71&quot;/&gt;&lt;wsp:rsid wsp:val=&quot;00947058&quot;/&gt;&lt;wsp:rsid wsp:val=&quot;009472F4&quot;/&gt;&lt;wsp:rsid wsp:val=&quot;009479F8&quot;/&gt;&lt;wsp:rsid wsp:val=&quot;00947DDF&quot;/&gt;&lt;wsp:rsid wsp:val=&quot;00950015&quot;/&gt;&lt;wsp:rsid wsp:val=&quot;0095006E&quot;/&gt;&lt;wsp:rsid wsp:val=&quot;00950AC4&quot;/&gt;&lt;wsp:rsid wsp:val=&quot;0095155F&quot;/&gt;&lt;wsp:rsid wsp:val=&quot;009517F7&quot;/&gt;&lt;wsp:rsid wsp:val=&quot;00951B04&quot;/&gt;&lt;wsp:rsid wsp:val=&quot;00951D81&quot;/&gt;&lt;wsp:rsid wsp:val=&quot;00951F82&quot;/&gt;&lt;wsp:rsid wsp:val=&quot;00952690&quot;/&gt;&lt;wsp:rsid wsp:val=&quot;0095359D&quot;/&gt;&lt;wsp:rsid wsp:val=&quot;00953C18&quot;/&gt;&lt;wsp:rsid wsp:val=&quot;00954429&quot;/&gt;&lt;wsp:rsid wsp:val=&quot;0095459B&quot;/&gt;&lt;wsp:rsid wsp:val=&quot;0095460C&quot;/&gt;&lt;wsp:rsid wsp:val=&quot;00954D22&quot;/&gt;&lt;wsp:rsid wsp:val=&quot;009553E8&quot;/&gt;&lt;wsp:rsid wsp:val=&quot;009557B4&quot;/&gt;&lt;wsp:rsid wsp:val=&quot;0095586D&quot;/&gt;&lt;wsp:rsid wsp:val=&quot;00955ACA&quot;/&gt;&lt;wsp:rsid wsp:val=&quot;00955C3D&quot;/&gt;&lt;wsp:rsid wsp:val=&quot;00955C98&quot;/&gt;&lt;wsp:rsid wsp:val=&quot;009563CE&quot;/&gt;&lt;wsp:rsid wsp:val=&quot;00956736&quot;/&gt;&lt;wsp:rsid wsp:val=&quot;00960275&quot;/&gt;&lt;wsp:rsid wsp:val=&quot;00960883&quot;/&gt;&lt;wsp:rsid wsp:val=&quot;00961655&quot;/&gt;&lt;wsp:rsid wsp:val=&quot;00961B1F&quot;/&gt;&lt;wsp:rsid wsp:val=&quot;009620DF&quot;/&gt;&lt;wsp:rsid wsp:val=&quot;00962631&quot;/&gt;&lt;wsp:rsid wsp:val=&quot;00962710&quot;/&gt;&lt;wsp:rsid wsp:val=&quot;00962857&quot;/&gt;&lt;wsp:rsid wsp:val=&quot;009629A6&quot;/&gt;&lt;wsp:rsid wsp:val=&quot;00962A28&quot;/&gt;&lt;wsp:rsid wsp:val=&quot;009632C9&quot;/&gt;&lt;wsp:rsid wsp:val=&quot;00963A60&quot;/&gt;&lt;wsp:rsid wsp:val=&quot;00963C85&quot;/&gt;&lt;wsp:rsid wsp:val=&quot;00963D64&quot;/&gt;&lt;wsp:rsid wsp:val=&quot;009656FA&quot;/&gt;&lt;wsp:rsid wsp:val=&quot;00966E01&quot;/&gt;&lt;wsp:rsid wsp:val=&quot;00967271&quot;/&gt;&lt;wsp:rsid wsp:val=&quot;0097016C&quot;/&gt;&lt;wsp:rsid wsp:val=&quot;009704D4&quot;/&gt;&lt;wsp:rsid wsp:val=&quot;00971029&quot;/&gt;&lt;wsp:rsid wsp:val=&quot;00971A24&quot;/&gt;&lt;wsp:rsid wsp:val=&quot;00971D06&quot;/&gt;&lt;wsp:rsid wsp:val=&quot;00971DBB&quot;/&gt;&lt;wsp:rsid wsp:val=&quot;009726DC&quot;/&gt;&lt;wsp:rsid wsp:val=&quot;00973743&quot;/&gt;&lt;wsp:rsid wsp:val=&quot;00973C34&quot;/&gt;&lt;wsp:rsid wsp:val=&quot;00974948&quot;/&gt;&lt;wsp:rsid wsp:val=&quot;00974E0F&quot;/&gt;&lt;wsp:rsid wsp:val=&quot;00975112&quot;/&gt;&lt;wsp:rsid wsp:val=&quot;009755B7&quot;/&gt;&lt;wsp:rsid wsp:val=&quot;00975D55&quot;/&gt;&lt;wsp:rsid wsp:val=&quot;00976022&quot;/&gt;&lt;wsp:rsid wsp:val=&quot;00976328&quot;/&gt;&lt;wsp:rsid wsp:val=&quot;009767C7&quot;/&gt;&lt;wsp:rsid wsp:val=&quot;0097680D&quot;/&gt;&lt;wsp:rsid wsp:val=&quot;00977AC3&quot;/&gt;&lt;wsp:rsid wsp:val=&quot;00977B34&quot;/&gt;&lt;wsp:rsid wsp:val=&quot;009803D6&quot;/&gt;&lt;wsp:rsid wsp:val=&quot;00980FCD&quot;/&gt;&lt;wsp:rsid wsp:val=&quot;009813EF&quot;/&gt;&lt;wsp:rsid wsp:val=&quot;00981F4D&quot;/&gt;&lt;wsp:rsid wsp:val=&quot;00982438&quot;/&gt;&lt;wsp:rsid wsp:val=&quot;009826FD&quot;/&gt;&lt;wsp:rsid wsp:val=&quot;0098368E&quot;/&gt;&lt;wsp:rsid wsp:val=&quot;00983990&quot;/&gt;&lt;wsp:rsid wsp:val=&quot;0098404C&quot;/&gt;&lt;wsp:rsid wsp:val=&quot;00984086&quot;/&gt;&lt;wsp:rsid wsp:val=&quot;00984453&quot;/&gt;&lt;wsp:rsid wsp:val=&quot;00984995&quot;/&gt;&lt;wsp:rsid wsp:val=&quot;00984A74&quot;/&gt;&lt;wsp:rsid wsp:val=&quot;00985283&quot;/&gt;&lt;wsp:rsid wsp:val=&quot;009866FE&quot;/&gt;&lt;wsp:rsid wsp:val=&quot;00986E53&quot;/&gt;&lt;wsp:rsid wsp:val=&quot;00987647&quot;/&gt;&lt;wsp:rsid wsp:val=&quot;00987F0A&quot;/&gt;&lt;wsp:rsid wsp:val=&quot;0099026A&quot;/&gt;&lt;wsp:rsid wsp:val=&quot;00990C4E&quot;/&gt;&lt;wsp:rsid wsp:val=&quot;009911BD&quot;/&gt;&lt;wsp:rsid wsp:val=&quot;0099130D&quot;/&gt;&lt;wsp:rsid wsp:val=&quot;00991B48&quot;/&gt;&lt;wsp:rsid wsp:val=&quot;00991CD3&quot;/&gt;&lt;wsp:rsid wsp:val=&quot;00991ECC&quot;/&gt;&lt;wsp:rsid wsp:val=&quot;00992003&quot;/&gt;&lt;wsp:rsid wsp:val=&quot;009927D9&quot;/&gt;&lt;wsp:rsid wsp:val=&quot;00992D34&quot;/&gt;&lt;wsp:rsid wsp:val=&quot;00992ED0&quot;/&gt;&lt;wsp:rsid wsp:val=&quot;00993323&quot;/&gt;&lt;wsp:rsid wsp:val=&quot;00993583&quot;/&gt;&lt;wsp:rsid wsp:val=&quot;00993D67&quot;/&gt;&lt;wsp:rsid wsp:val=&quot;00993E74&quot;/&gt;&lt;wsp:rsid wsp:val=&quot;0099431E&quot;/&gt;&lt;wsp:rsid wsp:val=&quot;00994338&quot;/&gt;&lt;wsp:rsid wsp:val=&quot;00994F0C&quot;/&gt;&lt;wsp:rsid wsp:val=&quot;009958C9&quot;/&gt;&lt;wsp:rsid wsp:val=&quot;00995992&quot;/&gt;&lt;wsp:rsid wsp:val=&quot;009962D0&quot;/&gt;&lt;wsp:rsid wsp:val=&quot;00996630&quot;/&gt;&lt;wsp:rsid wsp:val=&quot;009966E1&quot;/&gt;&lt;wsp:rsid wsp:val=&quot;0099681A&quot;/&gt;&lt;wsp:rsid wsp:val=&quot;00997960&quot;/&gt;&lt;wsp:rsid wsp:val=&quot;009A0082&quot;/&gt;&lt;wsp:rsid wsp:val=&quot;009A03E5&quot;/&gt;&lt;wsp:rsid wsp:val=&quot;009A0C31&quot;/&gt;&lt;wsp:rsid wsp:val=&quot;009A0F3B&quot;/&gt;&lt;wsp:rsid wsp:val=&quot;009A1BA5&quot;/&gt;&lt;wsp:rsid wsp:val=&quot;009A1BB4&quot;/&gt;&lt;wsp:rsid wsp:val=&quot;009A2628&quot;/&gt;&lt;wsp:rsid wsp:val=&quot;009A299C&quot;/&gt;&lt;wsp:rsid wsp:val=&quot;009A3024&quot;/&gt;&lt;wsp:rsid wsp:val=&quot;009A3200&quot;/&gt;&lt;wsp:rsid wsp:val=&quot;009A32DA&quot;/&gt;&lt;wsp:rsid wsp:val=&quot;009A3458&quot;/&gt;&lt;wsp:rsid wsp:val=&quot;009A524E&quot;/&gt;&lt;wsp:rsid wsp:val=&quot;009A5A6D&quot;/&gt;&lt;wsp:rsid wsp:val=&quot;009A651B&quot;/&gt;&lt;wsp:rsid wsp:val=&quot;009A695E&quot;/&gt;&lt;wsp:rsid wsp:val=&quot;009A6BB8&quot;/&gt;&lt;wsp:rsid wsp:val=&quot;009A6FC3&quot;/&gt;&lt;wsp:rsid wsp:val=&quot;009A7881&quot;/&gt;&lt;wsp:rsid wsp:val=&quot;009A78FE&quot;/&gt;&lt;wsp:rsid wsp:val=&quot;009A7E1E&quot;/&gt;&lt;wsp:rsid wsp:val=&quot;009B0587&quot;/&gt;&lt;wsp:rsid wsp:val=&quot;009B0897&quot;/&gt;&lt;wsp:rsid wsp:val=&quot;009B0F5D&quot;/&gt;&lt;wsp:rsid wsp:val=&quot;009B1539&quot;/&gt;&lt;wsp:rsid wsp:val=&quot;009B246C&quot;/&gt;&lt;wsp:rsid wsp:val=&quot;009B2B7C&quot;/&gt;&lt;wsp:rsid wsp:val=&quot;009B39D1&quot;/&gt;&lt;wsp:rsid wsp:val=&quot;009B3C3A&quot;/&gt;&lt;wsp:rsid wsp:val=&quot;009B4009&quot;/&gt;&lt;wsp:rsid wsp:val=&quot;009B4131&quot;/&gt;&lt;wsp:rsid wsp:val=&quot;009B4490&quot;/&gt;&lt;wsp:rsid wsp:val=&quot;009B540A&quot;/&gt;&lt;wsp:rsid wsp:val=&quot;009B54B3&quot;/&gt;&lt;wsp:rsid wsp:val=&quot;009B57E5&quot;/&gt;&lt;wsp:rsid wsp:val=&quot;009B5D72&quot;/&gt;&lt;wsp:rsid wsp:val=&quot;009B685E&quot;/&gt;&lt;wsp:rsid wsp:val=&quot;009B71AD&quot;/&gt;&lt;wsp:rsid wsp:val=&quot;009B75D7&quot;/&gt;&lt;wsp:rsid wsp:val=&quot;009B76A4&quot;/&gt;&lt;wsp:rsid wsp:val=&quot;009B7BD9&quot;/&gt;&lt;wsp:rsid wsp:val=&quot;009B7BF8&quot;/&gt;&lt;wsp:rsid wsp:val=&quot;009B7FAE&quot;/&gt;&lt;wsp:rsid wsp:val=&quot;009C175F&quot;/&gt;&lt;wsp:rsid wsp:val=&quot;009C218B&quot;/&gt;&lt;wsp:rsid wsp:val=&quot;009C2483&quot;/&gt;&lt;wsp:rsid wsp:val=&quot;009C2992&quot;/&gt;&lt;wsp:rsid wsp:val=&quot;009C2A32&quot;/&gt;&lt;wsp:rsid wsp:val=&quot;009C2FDF&quot;/&gt;&lt;wsp:rsid wsp:val=&quot;009C318D&quot;/&gt;&lt;wsp:rsid wsp:val=&quot;009C3345&quot;/&gt;&lt;wsp:rsid wsp:val=&quot;009C3BDB&quot;/&gt;&lt;wsp:rsid wsp:val=&quot;009C5DE5&quot;/&gt;&lt;wsp:rsid wsp:val=&quot;009C61A4&quot;/&gt;&lt;wsp:rsid wsp:val=&quot;009C620D&quot;/&gt;&lt;wsp:rsid wsp:val=&quot;009C636B&quot;/&gt;&lt;wsp:rsid wsp:val=&quot;009C65F7&quot;/&gt;&lt;wsp:rsid wsp:val=&quot;009C6AD8&quot;/&gt;&lt;wsp:rsid wsp:val=&quot;009C7273&quot;/&gt;&lt;wsp:rsid wsp:val=&quot;009C7514&quot;/&gt;&lt;wsp:rsid wsp:val=&quot;009C798A&quot;/&gt;&lt;wsp:rsid wsp:val=&quot;009C79AF&quot;/&gt;&lt;wsp:rsid wsp:val=&quot;009C7DD5&quot;/&gt;&lt;wsp:rsid wsp:val=&quot;009D2FFA&quot;/&gt;&lt;wsp:rsid wsp:val=&quot;009D3076&quot;/&gt;&lt;wsp:rsid wsp:val=&quot;009D3708&quot;/&gt;&lt;wsp:rsid wsp:val=&quot;009D4117&quot;/&gt;&lt;wsp:rsid wsp:val=&quot;009D4369&quot;/&gt;&lt;wsp:rsid wsp:val=&quot;009D4678&quot;/&gt;&lt;wsp:rsid wsp:val=&quot;009D4D3B&quot;/&gt;&lt;wsp:rsid wsp:val=&quot;009D54C7&quot;/&gt;&lt;wsp:rsid wsp:val=&quot;009D5552&quot;/&gt;&lt;wsp:rsid wsp:val=&quot;009D5628&quot;/&gt;&lt;wsp:rsid wsp:val=&quot;009D56E9&quot;/&gt;&lt;wsp:rsid wsp:val=&quot;009D58FB&quot;/&gt;&lt;wsp:rsid wsp:val=&quot;009D5AED&quot;/&gt;&lt;wsp:rsid wsp:val=&quot;009D63DC&quot;/&gt;&lt;wsp:rsid wsp:val=&quot;009D6BBC&quot;/&gt;&lt;wsp:rsid wsp:val=&quot;009D76C9&quot;/&gt;&lt;wsp:rsid wsp:val=&quot;009D783B&quot;/&gt;&lt;wsp:rsid wsp:val=&quot;009D7C9F&quot;/&gt;&lt;wsp:rsid wsp:val=&quot;009D7EC7&quot;/&gt;&lt;wsp:rsid wsp:val=&quot;009E05F6&quot;/&gt;&lt;wsp:rsid wsp:val=&quot;009E088F&quot;/&gt;&lt;wsp:rsid wsp:val=&quot;009E0BD2&quot;/&gt;&lt;wsp:rsid wsp:val=&quot;009E13EF&quot;/&gt;&lt;wsp:rsid wsp:val=&quot;009E15C9&quot;/&gt;&lt;wsp:rsid wsp:val=&quot;009E18DB&quot;/&gt;&lt;wsp:rsid wsp:val=&quot;009E227D&quot;/&gt;&lt;wsp:rsid wsp:val=&quot;009E240D&quot;/&gt;&lt;wsp:rsid wsp:val=&quot;009E242B&quot;/&gt;&lt;wsp:rsid wsp:val=&quot;009E2741&quot;/&gt;&lt;wsp:rsid wsp:val=&quot;009E283A&quot;/&gt;&lt;wsp:rsid wsp:val=&quot;009E286E&quot;/&gt;&lt;wsp:rsid wsp:val=&quot;009E2E83&quot;/&gt;&lt;wsp:rsid wsp:val=&quot;009E3881&quot;/&gt;&lt;wsp:rsid wsp:val=&quot;009E4609&quot;/&gt;&lt;wsp:rsid wsp:val=&quot;009E4846&quot;/&gt;&lt;wsp:rsid wsp:val=&quot;009E5019&quot;/&gt;&lt;wsp:rsid wsp:val=&quot;009E5A93&quot;/&gt;&lt;wsp:rsid wsp:val=&quot;009E5DEF&quot;/&gt;&lt;wsp:rsid wsp:val=&quot;009E5E29&quot;/&gt;&lt;wsp:rsid wsp:val=&quot;009E6369&quot;/&gt;&lt;wsp:rsid wsp:val=&quot;009E6687&quot;/&gt;&lt;wsp:rsid wsp:val=&quot;009E682A&quot;/&gt;&lt;wsp:rsid wsp:val=&quot;009E6AF1&quot;/&gt;&lt;wsp:rsid wsp:val=&quot;009E71C3&quot;/&gt;&lt;wsp:rsid wsp:val=&quot;009E744B&quot;/&gt;&lt;wsp:rsid wsp:val=&quot;009F115D&quot;/&gt;&lt;wsp:rsid wsp:val=&quot;009F137C&quot;/&gt;&lt;wsp:rsid wsp:val=&quot;009F18F2&quot;/&gt;&lt;wsp:rsid wsp:val=&quot;009F1A26&quot;/&gt;&lt;wsp:rsid wsp:val=&quot;009F317C&quot;/&gt;&lt;wsp:rsid wsp:val=&quot;009F32FB&quot;/&gt;&lt;wsp:rsid wsp:val=&quot;009F3326&quot;/&gt;&lt;wsp:rsid wsp:val=&quot;009F38DB&quot;/&gt;&lt;wsp:rsid wsp:val=&quot;009F4444&quot;/&gt;&lt;wsp:rsid wsp:val=&quot;009F44FE&quot;/&gt;&lt;wsp:rsid wsp:val=&quot;009F4A1B&quot;/&gt;&lt;wsp:rsid wsp:val=&quot;009F4AE9&quot;/&gt;&lt;wsp:rsid wsp:val=&quot;009F5667&quot;/&gt;&lt;wsp:rsid wsp:val=&quot;009F5B4D&quot;/&gt;&lt;wsp:rsid wsp:val=&quot;009F5D44&quot;/&gt;&lt;wsp:rsid wsp:val=&quot;009F5FBF&quot;/&gt;&lt;wsp:rsid wsp:val=&quot;009F62D5&quot;/&gt;&lt;wsp:rsid wsp:val=&quot;009F6489&quot;/&gt;&lt;wsp:rsid wsp:val=&quot;009F6A94&quot;/&gt;&lt;wsp:rsid wsp:val=&quot;00A00B64&quot;/&gt;&lt;wsp:rsid wsp:val=&quot;00A00C0A&quot;/&gt;&lt;wsp:rsid wsp:val=&quot;00A01755&quot;/&gt;&lt;wsp:rsid wsp:val=&quot;00A01F3D&quot;/&gt;&lt;wsp:rsid wsp:val=&quot;00A023CB&quot;/&gt;&lt;wsp:rsid wsp:val=&quot;00A024F9&quot;/&gt;&lt;wsp:rsid wsp:val=&quot;00A03B33&quot;/&gt;&lt;wsp:rsid wsp:val=&quot;00A0415D&quot;/&gt;&lt;wsp:rsid wsp:val=&quot;00A04F1B&quot;/&gt;&lt;wsp:rsid wsp:val=&quot;00A0501B&quot;/&gt;&lt;wsp:rsid wsp:val=&quot;00A05825&quot;/&gt;&lt;wsp:rsid wsp:val=&quot;00A06560&quot;/&gt;&lt;wsp:rsid wsp:val=&quot;00A06AE1&quot;/&gt;&lt;wsp:rsid wsp:val=&quot;00A06F3C&quot;/&gt;&lt;wsp:rsid wsp:val=&quot;00A0720F&quot;/&gt;&lt;wsp:rsid wsp:val=&quot;00A1013B&quot;/&gt;&lt;wsp:rsid wsp:val=&quot;00A1038D&quot;/&gt;&lt;wsp:rsid wsp:val=&quot;00A105DC&quot;/&gt;&lt;wsp:rsid wsp:val=&quot;00A1099F&quot;/&gt;&lt;wsp:rsid wsp:val=&quot;00A10F81&quot;/&gt;&lt;wsp:rsid wsp:val=&quot;00A11537&quot;/&gt;&lt;wsp:rsid wsp:val=&quot;00A1159E&quot;/&gt;&lt;wsp:rsid wsp:val=&quot;00A118BD&quot;/&gt;&lt;wsp:rsid wsp:val=&quot;00A12621&quot;/&gt;&lt;wsp:rsid wsp:val=&quot;00A12C2A&quot;/&gt;&lt;wsp:rsid wsp:val=&quot;00A13165&quot;/&gt;&lt;wsp:rsid wsp:val=&quot;00A13193&quot;/&gt;&lt;wsp:rsid wsp:val=&quot;00A14058&quot;/&gt;&lt;wsp:rsid wsp:val=&quot;00A14274&quot;/&gt;&lt;wsp:rsid wsp:val=&quot;00A1453E&quot;/&gt;&lt;wsp:rsid wsp:val=&quot;00A147FE&quot;/&gt;&lt;wsp:rsid wsp:val=&quot;00A14947&quot;/&gt;&lt;wsp:rsid wsp:val=&quot;00A14F9B&quot;/&gt;&lt;wsp:rsid wsp:val=&quot;00A150EB&quot;/&gt;&lt;wsp:rsid wsp:val=&quot;00A15160&quot;/&gt;&lt;wsp:rsid wsp:val=&quot;00A1538E&quot;/&gt;&lt;wsp:rsid wsp:val=&quot;00A15902&quot;/&gt;&lt;wsp:rsid wsp:val=&quot;00A1590D&quot;/&gt;&lt;wsp:rsid wsp:val=&quot;00A15996&quot;/&gt;&lt;wsp:rsid wsp:val=&quot;00A16421&quot;/&gt;&lt;wsp:rsid wsp:val=&quot;00A1645A&quot;/&gt;&lt;wsp:rsid wsp:val=&quot;00A1653E&quot;/&gt;&lt;wsp:rsid wsp:val=&quot;00A16567&quot;/&gt;&lt;wsp:rsid wsp:val=&quot;00A1673D&quot;/&gt;&lt;wsp:rsid wsp:val=&quot;00A16DD5&quot;/&gt;&lt;wsp:rsid wsp:val=&quot;00A16E65&quot;/&gt;&lt;wsp:rsid wsp:val=&quot;00A17513&quot;/&gt;&lt;wsp:rsid wsp:val=&quot;00A17563&quot;/&gt;&lt;wsp:rsid wsp:val=&quot;00A17846&quot;/&gt;&lt;wsp:rsid wsp:val=&quot;00A2001A&quot;/&gt;&lt;wsp:rsid wsp:val=&quot;00A201AC&quot;/&gt;&lt;wsp:rsid wsp:val=&quot;00A2037D&quot;/&gt;&lt;wsp:rsid wsp:val=&quot;00A219DE&quot;/&gt;&lt;wsp:rsid wsp:val=&quot;00A21D05&quot;/&gt;&lt;wsp:rsid wsp:val=&quot;00A21EDB&quot;/&gt;&lt;wsp:rsid wsp:val=&quot;00A227A0&quot;/&gt;&lt;wsp:rsid wsp:val=&quot;00A228A6&quot;/&gt;&lt;wsp:rsid wsp:val=&quot;00A22F83&quot;/&gt;&lt;wsp:rsid wsp:val=&quot;00A23B34&quot;/&gt;&lt;wsp:rsid wsp:val=&quot;00A23CB6&quot;/&gt;&lt;wsp:rsid wsp:val=&quot;00A24204&quot;/&gt;&lt;wsp:rsid wsp:val=&quot;00A24711&quot;/&gt;&lt;wsp:rsid wsp:val=&quot;00A24C3A&quot;/&gt;&lt;wsp:rsid wsp:val=&quot;00A2574E&quot;/&gt;&lt;wsp:rsid wsp:val=&quot;00A25A3B&quot;/&gt;&lt;wsp:rsid wsp:val=&quot;00A26607&quot;/&gt;&lt;wsp:rsid wsp:val=&quot;00A26CFF&quot;/&gt;&lt;wsp:rsid wsp:val=&quot;00A27459&quot;/&gt;&lt;wsp:rsid wsp:val=&quot;00A27746&quot;/&gt;&lt;wsp:rsid wsp:val=&quot;00A27990&quot;/&gt;&lt;wsp:rsid wsp:val=&quot;00A2799A&quot;/&gt;&lt;wsp:rsid wsp:val=&quot;00A300F8&quot;/&gt;&lt;wsp:rsid wsp:val=&quot;00A301E1&quot;/&gt;&lt;wsp:rsid wsp:val=&quot;00A3026D&quot;/&gt;&lt;wsp:rsid wsp:val=&quot;00A31802&quot;/&gt;&lt;wsp:rsid wsp:val=&quot;00A31998&quot;/&gt;&lt;wsp:rsid wsp:val=&quot;00A3209E&quot;/&gt;&lt;wsp:rsid wsp:val=&quot;00A32A83&quot;/&gt;&lt;wsp:rsid wsp:val=&quot;00A3306F&quot;/&gt;&lt;wsp:rsid wsp:val=&quot;00A3352C&quot;/&gt;&lt;wsp:rsid wsp:val=&quot;00A33D96&quot;/&gt;&lt;wsp:rsid wsp:val=&quot;00A34158&quot;/&gt;&lt;wsp:rsid wsp:val=&quot;00A34307&quot;/&gt;&lt;wsp:rsid wsp:val=&quot;00A349D2&quot;/&gt;&lt;wsp:rsid wsp:val=&quot;00A34F06&quot;/&gt;&lt;wsp:rsid wsp:val=&quot;00A350BA&quot;/&gt;&lt;wsp:rsid wsp:val=&quot;00A363FC&quot;/&gt;&lt;wsp:rsid wsp:val=&quot;00A368DB&quot;/&gt;&lt;wsp:rsid wsp:val=&quot;00A36A63&quot;/&gt;&lt;wsp:rsid wsp:val=&quot;00A36B97&quot;/&gt;&lt;wsp:rsid wsp:val=&quot;00A36EC8&quot;/&gt;&lt;wsp:rsid wsp:val=&quot;00A36F95&quot;/&gt;&lt;wsp:rsid wsp:val=&quot;00A37760&quot;/&gt;&lt;wsp:rsid wsp:val=&quot;00A37F84&quot;/&gt;&lt;wsp:rsid wsp:val=&quot;00A4007C&quot;/&gt;&lt;wsp:rsid wsp:val=&quot;00A421EF&quot;/&gt;&lt;wsp:rsid wsp:val=&quot;00A423AA&quot;/&gt;&lt;wsp:rsid wsp:val=&quot;00A42696&quot;/&gt;&lt;wsp:rsid wsp:val=&quot;00A43048&quot;/&gt;&lt;wsp:rsid wsp:val=&quot;00A43183&quot;/&gt;&lt;wsp:rsid wsp:val=&quot;00A43340&quot;/&gt;&lt;wsp:rsid wsp:val=&quot;00A4356D&quot;/&gt;&lt;wsp:rsid wsp:val=&quot;00A44685&quot;/&gt;&lt;wsp:rsid wsp:val=&quot;00A45305&quot;/&gt;&lt;wsp:rsid wsp:val=&quot;00A45EF2&quot;/&gt;&lt;wsp:rsid wsp:val=&quot;00A4604C&quot;/&gt;&lt;wsp:rsid wsp:val=&quot;00A4622C&quot;/&gt;&lt;wsp:rsid wsp:val=&quot;00A46803&quot;/&gt;&lt;wsp:rsid wsp:val=&quot;00A46C10&quot;/&gt;&lt;wsp:rsid wsp:val=&quot;00A4795D&quot;/&gt;&lt;wsp:rsid wsp:val=&quot;00A479CB&quot;/&gt;&lt;wsp:rsid wsp:val=&quot;00A509B3&quot;/&gt;&lt;wsp:rsid wsp:val=&quot;00A51037&quot;/&gt;&lt;wsp:rsid wsp:val=&quot;00A515AE&quot;/&gt;&lt;wsp:rsid wsp:val=&quot;00A51C55&quot;/&gt;&lt;wsp:rsid wsp:val=&quot;00A51CEC&quot;/&gt;&lt;wsp:rsid wsp:val=&quot;00A523D7&quot;/&gt;&lt;wsp:rsid wsp:val=&quot;00A52A37&quot;/&gt;&lt;wsp:rsid wsp:val=&quot;00A5327B&quot;/&gt;&lt;wsp:rsid wsp:val=&quot;00A536F1&quot;/&gt;&lt;wsp:rsid wsp:val=&quot;00A53AFD&quot;/&gt;&lt;wsp:rsid wsp:val=&quot;00A53EC6&quot;/&gt;&lt;wsp:rsid wsp:val=&quot;00A53F31&quot;/&gt;&lt;wsp:rsid wsp:val=&quot;00A5505C&quot;/&gt;&lt;wsp:rsid wsp:val=&quot;00A55168&quot;/&gt;&lt;wsp:rsid wsp:val=&quot;00A55571&quot;/&gt;&lt;wsp:rsid wsp:val=&quot;00A555E5&quot;/&gt;&lt;wsp:rsid wsp:val=&quot;00A55C0F&quot;/&gt;&lt;wsp:rsid wsp:val=&quot;00A55FAE&quot;/&gt;&lt;wsp:rsid wsp:val=&quot;00A56207&quot;/&gt;&lt;wsp:rsid wsp:val=&quot;00A5669F&quot;/&gt;&lt;wsp:rsid wsp:val=&quot;00A5692D&quot;/&gt;&lt;wsp:rsid wsp:val=&quot;00A56C88&quot;/&gt;&lt;wsp:rsid wsp:val=&quot;00A5705C&quot;/&gt;&lt;wsp:rsid wsp:val=&quot;00A57181&quot;/&gt;&lt;wsp:rsid wsp:val=&quot;00A57792&quot;/&gt;&lt;wsp:rsid wsp:val=&quot;00A577F4&quot;/&gt;&lt;wsp:rsid wsp:val=&quot;00A60031&quot;/&gt;&lt;wsp:rsid wsp:val=&quot;00A601A2&quot;/&gt;&lt;wsp:rsid wsp:val=&quot;00A601BE&quot;/&gt;&lt;wsp:rsid wsp:val=&quot;00A603EE&quot;/&gt;&lt;wsp:rsid wsp:val=&quot;00A608C4&quot;/&gt;&lt;wsp:rsid wsp:val=&quot;00A61562&quot;/&gt;&lt;wsp:rsid wsp:val=&quot;00A61F69&quot;/&gt;&lt;wsp:rsid wsp:val=&quot;00A622D5&quot;/&gt;&lt;wsp:rsid wsp:val=&quot;00A628C5&quot;/&gt;&lt;wsp:rsid wsp:val=&quot;00A648BC&quot;/&gt;&lt;wsp:rsid wsp:val=&quot;00A649D9&quot;/&gt;&lt;wsp:rsid wsp:val=&quot;00A64DA5&quot;/&gt;&lt;wsp:rsid wsp:val=&quot;00A651F5&quot;/&gt;&lt;wsp:rsid wsp:val=&quot;00A655BE&quot;/&gt;&lt;wsp:rsid wsp:val=&quot;00A6580A&quot;/&gt;&lt;wsp:rsid wsp:val=&quot;00A66198&quot;/&gt;&lt;wsp:rsid wsp:val=&quot;00A66320&quot;/&gt;&lt;wsp:rsid wsp:val=&quot;00A6643F&quot;/&gt;&lt;wsp:rsid wsp:val=&quot;00A66BA1&quot;/&gt;&lt;wsp:rsid wsp:val=&quot;00A67ADC&quot;/&gt;&lt;wsp:rsid wsp:val=&quot;00A67D42&quot;/&gt;&lt;wsp:rsid wsp:val=&quot;00A70BCD&quot;/&gt;&lt;wsp:rsid wsp:val=&quot;00A71863&quot;/&gt;&lt;wsp:rsid wsp:val=&quot;00A7238D&quot;/&gt;&lt;wsp:rsid wsp:val=&quot;00A72946&quot;/&gt;&lt;wsp:rsid wsp:val=&quot;00A7340D&quot;/&gt;&lt;wsp:rsid wsp:val=&quot;00A73449&quot;/&gt;&lt;wsp:rsid wsp:val=&quot;00A73876&quot;/&gt;&lt;wsp:rsid wsp:val=&quot;00A73DB0&quot;/&gt;&lt;wsp:rsid wsp:val=&quot;00A74864&quot;/&gt;&lt;wsp:rsid wsp:val=&quot;00A74E42&quot;/&gt;&lt;wsp:rsid wsp:val=&quot;00A754AC&quot;/&gt;&lt;wsp:rsid wsp:val=&quot;00A758E5&quot;/&gt;&lt;wsp:rsid wsp:val=&quot;00A75F40&quot;/&gt;&lt;wsp:rsid wsp:val=&quot;00A76D20&quot;/&gt;&lt;wsp:rsid wsp:val=&quot;00A770E4&quot;/&gt;&lt;wsp:rsid wsp:val=&quot;00A7722D&quot;/&gt;&lt;wsp:rsid wsp:val=&quot;00A7729C&quot;/&gt;&lt;wsp:rsid wsp:val=&quot;00A77431&quot;/&gt;&lt;wsp:rsid wsp:val=&quot;00A774DF&quot;/&gt;&lt;wsp:rsid wsp:val=&quot;00A7795B&quot;/&gt;&lt;wsp:rsid wsp:val=&quot;00A80058&quot;/&gt;&lt;wsp:rsid wsp:val=&quot;00A8019A&quot;/&gt;&lt;wsp:rsid wsp:val=&quot;00A8099B&quot;/&gt;&lt;wsp:rsid wsp:val=&quot;00A81C86&quot;/&gt;&lt;wsp:rsid wsp:val=&quot;00A82332&quot;/&gt;&lt;wsp:rsid wsp:val=&quot;00A82D87&quot;/&gt;&lt;wsp:rsid wsp:val=&quot;00A832A8&quot;/&gt;&lt;wsp:rsid wsp:val=&quot;00A83D47&quot;/&gt;&lt;wsp:rsid wsp:val=&quot;00A8450F&quot;/&gt;&lt;wsp:rsid wsp:val=&quot;00A84925&quot;/&gt;&lt;wsp:rsid wsp:val=&quot;00A85E94&quot;/&gt;&lt;wsp:rsid wsp:val=&quot;00A85EC5&quot;/&gt;&lt;wsp:rsid wsp:val=&quot;00A86803&quot;/&gt;&lt;wsp:rsid wsp:val=&quot;00A86A08&quot;/&gt;&lt;wsp:rsid wsp:val=&quot;00A87000&quot;/&gt;&lt;wsp:rsid wsp:val=&quot;00A8713F&quot;/&gt;&lt;wsp:rsid wsp:val=&quot;00A873A5&quot;/&gt;&lt;wsp:rsid wsp:val=&quot;00A87A58&quot;/&gt;&lt;wsp:rsid wsp:val=&quot;00A902D8&quot;/&gt;&lt;wsp:rsid wsp:val=&quot;00A90559&quot;/&gt;&lt;wsp:rsid wsp:val=&quot;00A90BA1&quot;/&gt;&lt;wsp:rsid wsp:val=&quot;00A90BFA&quot;/&gt;&lt;wsp:rsid wsp:val=&quot;00A90D86&quot;/&gt;&lt;wsp:rsid wsp:val=&quot;00A93075&quot;/&gt;&lt;wsp:rsid wsp:val=&quot;00A930E7&quot;/&gt;&lt;wsp:rsid wsp:val=&quot;00A9334F&quot;/&gt;&lt;wsp:rsid wsp:val=&quot;00A93A90&quot;/&gt;&lt;wsp:rsid wsp:val=&quot;00A93BFE&quot;/&gt;&lt;wsp:rsid wsp:val=&quot;00A94750&quot;/&gt;&lt;wsp:rsid wsp:val=&quot;00A94F9A&quot;/&gt;&lt;wsp:rsid wsp:val=&quot;00A955B9&quot;/&gt;&lt;wsp:rsid wsp:val=&quot;00A95DF9&quot;/&gt;&lt;wsp:rsid wsp:val=&quot;00A95E3D&quot;/&gt;&lt;wsp:rsid wsp:val=&quot;00A960DD&quot;/&gt;&lt;wsp:rsid wsp:val=&quot;00A969FB&quot;/&gt;&lt;wsp:rsid wsp:val=&quot;00A9758F&quot;/&gt;&lt;wsp:rsid wsp:val=&quot;00A978C5&quot;/&gt;&lt;wsp:rsid wsp:val=&quot;00A97A9A&quot;/&gt;&lt;wsp:rsid wsp:val=&quot;00AA0671&quot;/&gt;&lt;wsp:rsid wsp:val=&quot;00AA0AA2&quot;/&gt;&lt;wsp:rsid wsp:val=&quot;00AA0B6D&quot;/&gt;&lt;wsp:rsid wsp:val=&quot;00AA0DF9&quot;/&gt;&lt;wsp:rsid wsp:val=&quot;00AA10F8&quot;/&gt;&lt;wsp:rsid wsp:val=&quot;00AA2531&quot;/&gt;&lt;wsp:rsid wsp:val=&quot;00AA3014&quot;/&gt;&lt;wsp:rsid wsp:val=&quot;00AA3112&quot;/&gt;&lt;wsp:rsid wsp:val=&quot;00AA36F8&quot;/&gt;&lt;wsp:rsid wsp:val=&quot;00AA399D&quot;/&gt;&lt;wsp:rsid wsp:val=&quot;00AA4AEB&quot;/&gt;&lt;wsp:rsid wsp:val=&quot;00AA5087&quot;/&gt;&lt;wsp:rsid wsp:val=&quot;00AA575F&quot;/&gt;&lt;wsp:rsid wsp:val=&quot;00AA5A01&quot;/&gt;&lt;wsp:rsid wsp:val=&quot;00AA5BEE&quot;/&gt;&lt;wsp:rsid wsp:val=&quot;00AA5E95&quot;/&gt;&lt;wsp:rsid wsp:val=&quot;00AA5F02&quot;/&gt;&lt;wsp:rsid wsp:val=&quot;00AA62C2&quot;/&gt;&lt;wsp:rsid wsp:val=&quot;00AB186E&quot;/&gt;&lt;wsp:rsid wsp:val=&quot;00AB196C&quot;/&gt;&lt;wsp:rsid wsp:val=&quot;00AB1E09&quot;/&gt;&lt;wsp:rsid wsp:val=&quot;00AB2F9A&quot;/&gt;&lt;wsp:rsid wsp:val=&quot;00AB3A78&quot;/&gt;&lt;wsp:rsid wsp:val=&quot;00AB408B&quot;/&gt;&lt;wsp:rsid wsp:val=&quot;00AB4C09&quot;/&gt;&lt;wsp:rsid wsp:val=&quot;00AB4D90&quot;/&gt;&lt;wsp:rsid wsp:val=&quot;00AB5294&quot;/&gt;&lt;wsp:rsid wsp:val=&quot;00AB5330&quot;/&gt;&lt;wsp:rsid wsp:val=&quot;00AB5590&quot;/&gt;&lt;wsp:rsid wsp:val=&quot;00AB5EEF&quot;/&gt;&lt;wsp:rsid wsp:val=&quot;00AB6588&quot;/&gt;&lt;wsp:rsid wsp:val=&quot;00AB6818&quot;/&gt;&lt;wsp:rsid wsp:val=&quot;00AB6E7C&quot;/&gt;&lt;wsp:rsid wsp:val=&quot;00AB7073&quot;/&gt;&lt;wsp:rsid wsp:val=&quot;00AB7747&quot;/&gt;&lt;wsp:rsid wsp:val=&quot;00AC05B9&quot;/&gt;&lt;wsp:rsid wsp:val=&quot;00AC096F&quot;/&gt;&lt;wsp:rsid wsp:val=&quot;00AC0ED1&quot;/&gt;&lt;wsp:rsid wsp:val=&quot;00AC144C&quot;/&gt;&lt;wsp:rsid wsp:val=&quot;00AC14CE&quot;/&gt;&lt;wsp:rsid wsp:val=&quot;00AC161B&quot;/&gt;&lt;wsp:rsid wsp:val=&quot;00AC1CD5&quot;/&gt;&lt;wsp:rsid wsp:val=&quot;00AC206A&quot;/&gt;&lt;wsp:rsid wsp:val=&quot;00AC2237&quot;/&gt;&lt;wsp:rsid wsp:val=&quot;00AC2626&quot;/&gt;&lt;wsp:rsid wsp:val=&quot;00AC2A56&quot;/&gt;&lt;wsp:rsid wsp:val=&quot;00AC2A94&quot;/&gt;&lt;wsp:rsid wsp:val=&quot;00AC2EA1&quot;/&gt;&lt;wsp:rsid wsp:val=&quot;00AC32EB&quot;/&gt;&lt;wsp:rsid wsp:val=&quot;00AC37EA&quot;/&gt;&lt;wsp:rsid wsp:val=&quot;00AC3E1F&quot;/&gt;&lt;wsp:rsid wsp:val=&quot;00AC3EF5&quot;/&gt;&lt;wsp:rsid wsp:val=&quot;00AC442D&quot;/&gt;&lt;wsp:rsid wsp:val=&quot;00AC46E0&quot;/&gt;&lt;wsp:rsid wsp:val=&quot;00AC48A9&quot;/&gt;&lt;wsp:rsid wsp:val=&quot;00AC49F7&quot;/&gt;&lt;wsp:rsid wsp:val=&quot;00AC4DC6&quot;/&gt;&lt;wsp:rsid wsp:val=&quot;00AC4F18&quot;/&gt;&lt;wsp:rsid wsp:val=&quot;00AC50B8&quot;/&gt;&lt;wsp:rsid wsp:val=&quot;00AC5295&quot;/&gt;&lt;wsp:rsid wsp:val=&quot;00AC53E7&quot;/&gt;&lt;wsp:rsid wsp:val=&quot;00AC58F1&quot;/&gt;&lt;wsp:rsid wsp:val=&quot;00AC758D&quot;/&gt;&lt;wsp:rsid wsp:val=&quot;00AC78C8&quot;/&gt;&lt;wsp:rsid wsp:val=&quot;00AD0277&quot;/&gt;&lt;wsp:rsid wsp:val=&quot;00AD055E&quot;/&gt;&lt;wsp:rsid wsp:val=&quot;00AD0BDA&quot;/&gt;&lt;wsp:rsid wsp:val=&quot;00AD0E72&quot;/&gt;&lt;wsp:rsid wsp:val=&quot;00AD1002&quot;/&gt;&lt;wsp:rsid wsp:val=&quot;00AD13C8&quot;/&gt;&lt;wsp:rsid wsp:val=&quot;00AD18BC&quot;/&gt;&lt;wsp:rsid wsp:val=&quot;00AD1908&quot;/&gt;&lt;wsp:rsid wsp:val=&quot;00AD1F68&quot;/&gt;&lt;wsp:rsid wsp:val=&quot;00AD2132&quot;/&gt;&lt;wsp:rsid wsp:val=&quot;00AD2285&quot;/&gt;&lt;wsp:rsid wsp:val=&quot;00AD29ED&quot;/&gt;&lt;wsp:rsid wsp:val=&quot;00AD303B&quot;/&gt;&lt;wsp:rsid wsp:val=&quot;00AD31FB&quot;/&gt;&lt;wsp:rsid wsp:val=&quot;00AD32B9&quot;/&gt;&lt;wsp:rsid wsp:val=&quot;00AD3647&quot;/&gt;&lt;wsp:rsid wsp:val=&quot;00AD36EB&quot;/&gt;&lt;wsp:rsid wsp:val=&quot;00AD3826&quot;/&gt;&lt;wsp:rsid wsp:val=&quot;00AD47A7&quot;/&gt;&lt;wsp:rsid wsp:val=&quot;00AD4B35&quot;/&gt;&lt;wsp:rsid wsp:val=&quot;00AD596C&quot;/&gt;&lt;wsp:rsid wsp:val=&quot;00AD5CB1&quot;/&gt;&lt;wsp:rsid wsp:val=&quot;00AD6917&quot;/&gt;&lt;wsp:rsid wsp:val=&quot;00AD6AF9&quot;/&gt;&lt;wsp:rsid wsp:val=&quot;00AD6CE5&quot;/&gt;&lt;wsp:rsid wsp:val=&quot;00AD7078&quot;/&gt;&lt;wsp:rsid wsp:val=&quot;00AD7565&quot;/&gt;&lt;wsp:rsid wsp:val=&quot;00AD7638&quot;/&gt;&lt;wsp:rsid wsp:val=&quot;00AD7E34&quot;/&gt;&lt;wsp:rsid wsp:val=&quot;00AD7EF8&quot;/&gt;&lt;wsp:rsid wsp:val=&quot;00AE0E44&quot;/&gt;&lt;wsp:rsid wsp:val=&quot;00AE11F9&quot;/&gt;&lt;wsp:rsid wsp:val=&quot;00AE1284&quot;/&gt;&lt;wsp:rsid wsp:val=&quot;00AE2577&quot;/&gt;&lt;wsp:rsid wsp:val=&quot;00AE2919&quot;/&gt;&lt;wsp:rsid wsp:val=&quot;00AE4037&quot;/&gt;&lt;wsp:rsid wsp:val=&quot;00AE40F5&quot;/&gt;&lt;wsp:rsid wsp:val=&quot;00AE4568&quot;/&gt;&lt;wsp:rsid wsp:val=&quot;00AE4E10&quot;/&gt;&lt;wsp:rsid wsp:val=&quot;00AE4F9C&quot;/&gt;&lt;wsp:rsid wsp:val=&quot;00AE5042&quot;/&gt;&lt;wsp:rsid wsp:val=&quot;00AE54E2&quot;/&gt;&lt;wsp:rsid wsp:val=&quot;00AE5701&quot;/&gt;&lt;wsp:rsid wsp:val=&quot;00AE5A62&quot;/&gt;&lt;wsp:rsid wsp:val=&quot;00AE5E60&quot;/&gt;&lt;wsp:rsid wsp:val=&quot;00AE625F&quot;/&gt;&lt;wsp:rsid wsp:val=&quot;00AE7947&quot;/&gt;&lt;wsp:rsid wsp:val=&quot;00AE7A15&quot;/&gt;&lt;wsp:rsid wsp:val=&quot;00AE7ECD&quot;/&gt;&lt;wsp:rsid wsp:val=&quot;00AF0CBF&quot;/&gt;&lt;wsp:rsid wsp:val=&quot;00AF0FFA&quot;/&gt;&lt;wsp:rsid wsp:val=&quot;00AF100B&quot;/&gt;&lt;wsp:rsid wsp:val=&quot;00AF14E8&quot;/&gt;&lt;wsp:rsid wsp:val=&quot;00AF16CA&quot;/&gt;&lt;wsp:rsid wsp:val=&quot;00AF2085&quot;/&gt;&lt;wsp:rsid wsp:val=&quot;00AF217A&quot;/&gt;&lt;wsp:rsid wsp:val=&quot;00AF2547&quot;/&gt;&lt;wsp:rsid wsp:val=&quot;00AF257F&quot;/&gt;&lt;wsp:rsid wsp:val=&quot;00AF3136&quot;/&gt;&lt;wsp:rsid wsp:val=&quot;00AF32B4&quot;/&gt;&lt;wsp:rsid wsp:val=&quot;00AF33CF&quot;/&gt;&lt;wsp:rsid wsp:val=&quot;00AF377C&quot;/&gt;&lt;wsp:rsid wsp:val=&quot;00AF3B84&quot;/&gt;&lt;wsp:rsid wsp:val=&quot;00AF4364&quot;/&gt;&lt;wsp:rsid wsp:val=&quot;00AF477A&quot;/&gt;&lt;wsp:rsid wsp:val=&quot;00AF4953&quot;/&gt;&lt;wsp:rsid wsp:val=&quot;00AF4D50&quot;/&gt;&lt;wsp:rsid wsp:val=&quot;00AF5274&quot;/&gt;&lt;wsp:rsid wsp:val=&quot;00AF5ABD&quot;/&gt;&lt;wsp:rsid wsp:val=&quot;00AF6179&quot;/&gt;&lt;wsp:rsid wsp:val=&quot;00AF6DAD&quot;/&gt;&lt;wsp:rsid wsp:val=&quot;00AF70BA&quot;/&gt;&lt;wsp:rsid wsp:val=&quot;00AF756D&quot;/&gt;&lt;wsp:rsid wsp:val=&quot;00AF7599&quot;/&gt;&lt;wsp:rsid wsp:val=&quot;00AF7B55&quot;/&gt;&lt;wsp:rsid wsp:val=&quot;00B00A64&quot;/&gt;&lt;wsp:rsid wsp:val=&quot;00B00B93&quot;/&gt;&lt;wsp:rsid wsp:val=&quot;00B00D9C&quot;/&gt;&lt;wsp:rsid wsp:val=&quot;00B019DF&quot;/&gt;&lt;wsp:rsid wsp:val=&quot;00B01E45&quot;/&gt;&lt;wsp:rsid wsp:val=&quot;00B01EBA&quot;/&gt;&lt;wsp:rsid wsp:val=&quot;00B02CB0&quot;/&gt;&lt;wsp:rsid wsp:val=&quot;00B036D0&quot;/&gt;&lt;wsp:rsid wsp:val=&quot;00B03818&quot;/&gt;&lt;wsp:rsid wsp:val=&quot;00B03832&quot;/&gt;&lt;wsp:rsid wsp:val=&quot;00B03C79&quot;/&gt;&lt;wsp:rsid wsp:val=&quot;00B03DC2&quot;/&gt;&lt;wsp:rsid wsp:val=&quot;00B044C4&quot;/&gt;&lt;wsp:rsid wsp:val=&quot;00B04E90&quot;/&gt;&lt;wsp:rsid wsp:val=&quot;00B055D9&quot;/&gt;&lt;wsp:rsid wsp:val=&quot;00B05DE6&quot;/&gt;&lt;wsp:rsid wsp:val=&quot;00B05E37&quot;/&gt;&lt;wsp:rsid wsp:val=&quot;00B0636E&quot;/&gt;&lt;wsp:rsid wsp:val=&quot;00B06C8C&quot;/&gt;&lt;wsp:rsid wsp:val=&quot;00B07076&quot;/&gt;&lt;wsp:rsid wsp:val=&quot;00B071AD&quot;/&gt;&lt;wsp:rsid wsp:val=&quot;00B0722D&quot;/&gt;&lt;wsp:rsid wsp:val=&quot;00B0794F&quot;/&gt;&lt;wsp:rsid wsp:val=&quot;00B10075&quot;/&gt;&lt;wsp:rsid wsp:val=&quot;00B109A7&quot;/&gt;&lt;wsp:rsid wsp:val=&quot;00B10BC3&quot;/&gt;&lt;wsp:rsid wsp:val=&quot;00B10F04&quot;/&gt;&lt;wsp:rsid wsp:val=&quot;00B11049&quot;/&gt;&lt;wsp:rsid wsp:val=&quot;00B11958&quot;/&gt;&lt;wsp:rsid wsp:val=&quot;00B11E73&quot;/&gt;&lt;wsp:rsid wsp:val=&quot;00B121D8&quot;/&gt;&lt;wsp:rsid wsp:val=&quot;00B12457&quot;/&gt;&lt;wsp:rsid wsp:val=&quot;00B1295A&quot;/&gt;&lt;wsp:rsid wsp:val=&quot;00B12C09&quot;/&gt;&lt;wsp:rsid wsp:val=&quot;00B12ED2&quot;/&gt;&lt;wsp:rsid wsp:val=&quot;00B12FED&quot;/&gt;&lt;wsp:rsid wsp:val=&quot;00B1345D&quot;/&gt;&lt;wsp:rsid wsp:val=&quot;00B134FE&quot;/&gt;&lt;wsp:rsid wsp:val=&quot;00B14102&quot;/&gt;&lt;wsp:rsid wsp:val=&quot;00B148B2&quot;/&gt;&lt;wsp:rsid wsp:val=&quot;00B152AE&quot;/&gt;&lt;wsp:rsid wsp:val=&quot;00B152DA&quot;/&gt;&lt;wsp:rsid wsp:val=&quot;00B15402&quot;/&gt;&lt;wsp:rsid wsp:val=&quot;00B15733&quot;/&gt;&lt;wsp:rsid wsp:val=&quot;00B16C47&quot;/&gt;&lt;wsp:rsid wsp:val=&quot;00B16DFB&quot;/&gt;&lt;wsp:rsid wsp:val=&quot;00B16E77&quot;/&gt;&lt;wsp:rsid wsp:val=&quot;00B17304&quot;/&gt;&lt;wsp:rsid wsp:val=&quot;00B1775F&quot;/&gt;&lt;wsp:rsid wsp:val=&quot;00B17BF0&quot;/&gt;&lt;wsp:rsid wsp:val=&quot;00B201DB&quot;/&gt;&lt;wsp:rsid wsp:val=&quot;00B2024C&quot;/&gt;&lt;wsp:rsid wsp:val=&quot;00B20A45&quot;/&gt;&lt;wsp:rsid wsp:val=&quot;00B2137E&quot;/&gt;&lt;wsp:rsid wsp:val=&quot;00B21C9A&quot;/&gt;&lt;wsp:rsid wsp:val=&quot;00B22081&quot;/&gt;&lt;wsp:rsid wsp:val=&quot;00B22917&quot;/&gt;&lt;wsp:rsid wsp:val=&quot;00B22A50&quot;/&gt;&lt;wsp:rsid wsp:val=&quot;00B22C5C&quot;/&gt;&lt;wsp:rsid wsp:val=&quot;00B231F8&quot;/&gt;&lt;wsp:rsid wsp:val=&quot;00B233DA&quot;/&gt;&lt;wsp:rsid wsp:val=&quot;00B23874&quot;/&gt;&lt;wsp:rsid wsp:val=&quot;00B2400F&quot;/&gt;&lt;wsp:rsid wsp:val=&quot;00B247F3&quot;/&gt;&lt;wsp:rsid wsp:val=&quot;00B24AA0&quot;/&gt;&lt;wsp:rsid wsp:val=&quot;00B24D16&quot;/&gt;&lt;wsp:rsid wsp:val=&quot;00B24DE8&quot;/&gt;&lt;wsp:rsid wsp:val=&quot;00B24E7D&quot;/&gt;&lt;wsp:rsid wsp:val=&quot;00B24F30&quot;/&gt;&lt;wsp:rsid wsp:val=&quot;00B260AA&quot;/&gt;&lt;wsp:rsid wsp:val=&quot;00B26501&quot;/&gt;&lt;wsp:rsid wsp:val=&quot;00B265E5&quot;/&gt;&lt;wsp:rsid wsp:val=&quot;00B26616&quot;/&gt;&lt;wsp:rsid wsp:val=&quot;00B27AA8&quot;/&gt;&lt;wsp:rsid wsp:val=&quot;00B30D79&quot;/&gt;&lt;wsp:rsid wsp:val=&quot;00B31ABF&quot;/&gt;&lt;wsp:rsid wsp:val=&quot;00B3218D&quot;/&gt;&lt;wsp:rsid wsp:val=&quot;00B32489&quot;/&gt;&lt;wsp:rsid wsp:val=&quot;00B328C3&quot;/&gt;&lt;wsp:rsid wsp:val=&quot;00B32AC9&quot;/&gt;&lt;wsp:rsid wsp:val=&quot;00B33BE3&quot;/&gt;&lt;wsp:rsid wsp:val=&quot;00B35223&quot;/&gt;&lt;wsp:rsid wsp:val=&quot;00B3535F&quot;/&gt;&lt;wsp:rsid wsp:val=&quot;00B35471&quot;/&gt;&lt;wsp:rsid wsp:val=&quot;00B357AC&quot;/&gt;&lt;wsp:rsid wsp:val=&quot;00B35870&quot;/&gt;&lt;wsp:rsid wsp:val=&quot;00B35B70&quot;/&gt;&lt;wsp:rsid wsp:val=&quot;00B35B87&quot;/&gt;&lt;wsp:rsid wsp:val=&quot;00B36D71&quot;/&gt;&lt;wsp:rsid wsp:val=&quot;00B371C9&quot;/&gt;&lt;wsp:rsid wsp:val=&quot;00B37BAF&quot;/&gt;&lt;wsp:rsid wsp:val=&quot;00B40034&quot;/&gt;&lt;wsp:rsid wsp:val=&quot;00B40815&quot;/&gt;&lt;wsp:rsid wsp:val=&quot;00B4095F&quot;/&gt;&lt;wsp:rsid wsp:val=&quot;00B41096&quot;/&gt;&lt;wsp:rsid wsp:val=&quot;00B4119C&quot;/&gt;&lt;wsp:rsid wsp:val=&quot;00B41EA6&quot;/&gt;&lt;wsp:rsid wsp:val=&quot;00B42543&quot;/&gt;&lt;wsp:rsid wsp:val=&quot;00B43228&quot;/&gt;&lt;wsp:rsid wsp:val=&quot;00B436D0&quot;/&gt;&lt;wsp:rsid wsp:val=&quot;00B440D1&quot;/&gt;&lt;wsp:rsid wsp:val=&quot;00B456CD&quot;/&gt;&lt;wsp:rsid wsp:val=&quot;00B46061&quot;/&gt;&lt;wsp:rsid wsp:val=&quot;00B469F4&quot;/&gt;&lt;wsp:rsid wsp:val=&quot;00B46A34&quot;/&gt;&lt;wsp:rsid wsp:val=&quot;00B46EDB&quot;/&gt;&lt;wsp:rsid wsp:val=&quot;00B47D13&quot;/&gt;&lt;wsp:rsid wsp:val=&quot;00B47DA7&quot;/&gt;&lt;wsp:rsid wsp:val=&quot;00B50861&quot;/&gt;&lt;wsp:rsid wsp:val=&quot;00B50951&quot;/&gt;&lt;wsp:rsid wsp:val=&quot;00B50B58&quot;/&gt;&lt;wsp:rsid wsp:val=&quot;00B520EE&quot;/&gt;&lt;wsp:rsid wsp:val=&quot;00B52221&quot;/&gt;&lt;wsp:rsid wsp:val=&quot;00B52347&quot;/&gt;&lt;wsp:rsid wsp:val=&quot;00B52672&quot;/&gt;&lt;wsp:rsid wsp:val=&quot;00B52D6E&quot;/&gt;&lt;wsp:rsid wsp:val=&quot;00B5318C&quot;/&gt;&lt;wsp:rsid wsp:val=&quot;00B53763&quot;/&gt;&lt;wsp:rsid wsp:val=&quot;00B53B5D&quot;/&gt;&lt;wsp:rsid wsp:val=&quot;00B53EC7&quot;/&gt;&lt;wsp:rsid wsp:val=&quot;00B55DBC&quot;/&gt;&lt;wsp:rsid wsp:val=&quot;00B56EFA&quot;/&gt;&lt;wsp:rsid wsp:val=&quot;00B57506&quot;/&gt;&lt;wsp:rsid wsp:val=&quot;00B5762E&quot;/&gt;&lt;wsp:rsid wsp:val=&quot;00B6055E&quot;/&gt;&lt;wsp:rsid wsp:val=&quot;00B61103&quot;/&gt;&lt;wsp:rsid wsp:val=&quot;00B61475&quot;/&gt;&lt;wsp:rsid wsp:val=&quot;00B625A3&quot;/&gt;&lt;wsp:rsid wsp:val=&quot;00B62AFA&quot;/&gt;&lt;wsp:rsid wsp:val=&quot;00B62F14&quot;/&gt;&lt;wsp:rsid wsp:val=&quot;00B6317D&quot;/&gt;&lt;wsp:rsid wsp:val=&quot;00B64335&quot;/&gt;&lt;wsp:rsid wsp:val=&quot;00B64511&quot;/&gt;&lt;wsp:rsid wsp:val=&quot;00B64744&quot;/&gt;&lt;wsp:rsid wsp:val=&quot;00B64E1A&quot;/&gt;&lt;wsp:rsid wsp:val=&quot;00B65543&quot;/&gt;&lt;wsp:rsid wsp:val=&quot;00B65691&quot;/&gt;&lt;wsp:rsid wsp:val=&quot;00B65725&quot;/&gt;&lt;wsp:rsid wsp:val=&quot;00B66F5A&quot;/&gt;&lt;wsp:rsid wsp:val=&quot;00B672C7&quot;/&gt;&lt;wsp:rsid wsp:val=&quot;00B67B7E&quot;/&gt;&lt;wsp:rsid wsp:val=&quot;00B67BBD&quot;/&gt;&lt;wsp:rsid wsp:val=&quot;00B703E6&quot;/&gt;&lt;wsp:rsid wsp:val=&quot;00B70F71&quot;/&gt;&lt;wsp:rsid wsp:val=&quot;00B7130A&quot;/&gt;&lt;wsp:rsid wsp:val=&quot;00B71445&quot;/&gt;&lt;wsp:rsid wsp:val=&quot;00B715B3&quot;/&gt;&lt;wsp:rsid wsp:val=&quot;00B719B8&quot;/&gt;&lt;wsp:rsid wsp:val=&quot;00B726CB&quot;/&gt;&lt;wsp:rsid wsp:val=&quot;00B73026&quot;/&gt;&lt;wsp:rsid wsp:val=&quot;00B74691&quot;/&gt;&lt;wsp:rsid wsp:val=&quot;00B74AE8&quot;/&gt;&lt;wsp:rsid wsp:val=&quot;00B74B41&quot;/&gt;&lt;wsp:rsid wsp:val=&quot;00B74CA3&quot;/&gt;&lt;wsp:rsid wsp:val=&quot;00B74ED4&quot;/&gt;&lt;wsp:rsid wsp:val=&quot;00B75125&quot;/&gt;&lt;wsp:rsid wsp:val=&quot;00B75794&quot;/&gt;&lt;wsp:rsid wsp:val=&quot;00B7589E&quot;/&gt;&lt;wsp:rsid wsp:val=&quot;00B75953&quot;/&gt;&lt;wsp:rsid wsp:val=&quot;00B75FB0&quot;/&gt;&lt;wsp:rsid wsp:val=&quot;00B760DE&quot;/&gt;&lt;wsp:rsid wsp:val=&quot;00B7646E&quot;/&gt;&lt;wsp:rsid wsp:val=&quot;00B76779&quot;/&gt;&lt;wsp:rsid wsp:val=&quot;00B76967&quot;/&gt;&lt;wsp:rsid wsp:val=&quot;00B7723F&quot;/&gt;&lt;wsp:rsid wsp:val=&quot;00B77CBF&quot;/&gt;&lt;wsp:rsid wsp:val=&quot;00B77D0C&quot;/&gt;&lt;wsp:rsid wsp:val=&quot;00B80534&quot;/&gt;&lt;wsp:rsid wsp:val=&quot;00B80A53&quot;/&gt;&lt;wsp:rsid wsp:val=&quot;00B80A84&quot;/&gt;&lt;wsp:rsid wsp:val=&quot;00B80CC8&quot;/&gt;&lt;wsp:rsid wsp:val=&quot;00B80CFD&quot;/&gt;&lt;wsp:rsid wsp:val=&quot;00B80E1F&quot;/&gt;&lt;wsp:rsid wsp:val=&quot;00B80FDB&quot;/&gt;&lt;wsp:rsid wsp:val=&quot;00B81959&quot;/&gt;&lt;wsp:rsid wsp:val=&quot;00B81E56&quot;/&gt;&lt;wsp:rsid wsp:val=&quot;00B8253E&quot;/&gt;&lt;wsp:rsid wsp:val=&quot;00B82949&quot;/&gt;&lt;wsp:rsid wsp:val=&quot;00B83109&quot;/&gt;&lt;wsp:rsid wsp:val=&quot;00B8433C&quot;/&gt;&lt;wsp:rsid wsp:val=&quot;00B84660&quot;/&gt;&lt;wsp:rsid wsp:val=&quot;00B861FC&quot;/&gt;&lt;wsp:rsid wsp:val=&quot;00B8626B&quot;/&gt;&lt;wsp:rsid wsp:val=&quot;00B866F1&quot;/&gt;&lt;wsp:rsid wsp:val=&quot;00B86E4B&quot;/&gt;&lt;wsp:rsid wsp:val=&quot;00B87491&quot;/&gt;&lt;wsp:rsid wsp:val=&quot;00B876C6&quot;/&gt;&lt;wsp:rsid wsp:val=&quot;00B877C1&quot;/&gt;&lt;wsp:rsid wsp:val=&quot;00B87986&quot;/&gt;&lt;wsp:rsid wsp:val=&quot;00B87ECE&quot;/&gt;&lt;wsp:rsid wsp:val=&quot;00B9004A&quot;/&gt;&lt;wsp:rsid wsp:val=&quot;00B90873&quot;/&gt;&lt;wsp:rsid wsp:val=&quot;00B90CE3&quot;/&gt;&lt;wsp:rsid wsp:val=&quot;00B919A3&quot;/&gt;&lt;wsp:rsid wsp:val=&quot;00B925A1&quot;/&gt;&lt;wsp:rsid wsp:val=&quot;00B927B6&quot;/&gt;&lt;wsp:rsid wsp:val=&quot;00B9298A&quot;/&gt;&lt;wsp:rsid wsp:val=&quot;00B92A71&quot;/&gt;&lt;wsp:rsid wsp:val=&quot;00B92B55&quot;/&gt;&lt;wsp:rsid wsp:val=&quot;00B9340B&quot;/&gt;&lt;wsp:rsid wsp:val=&quot;00B93729&quot;/&gt;&lt;wsp:rsid wsp:val=&quot;00B9419F&quot;/&gt;&lt;wsp:rsid wsp:val=&quot;00B9447E&quot;/&gt;&lt;wsp:rsid wsp:val=&quot;00B95B13&quot;/&gt;&lt;wsp:rsid wsp:val=&quot;00B969A8&quot;/&gt;&lt;wsp:rsid wsp:val=&quot;00B96A4B&quot;/&gt;&lt;wsp:rsid wsp:val=&quot;00B97269&quot;/&gt;&lt;wsp:rsid wsp:val=&quot;00BA0CE6&quot;/&gt;&lt;wsp:rsid wsp:val=&quot;00BA0DA4&quot;/&gt;&lt;wsp:rsid wsp:val=&quot;00BA1A59&quot;/&gt;&lt;wsp:rsid wsp:val=&quot;00BA23DA&quot;/&gt;&lt;wsp:rsid wsp:val=&quot;00BA2845&quot;/&gt;&lt;wsp:rsid wsp:val=&quot;00BA286C&quot;/&gt;&lt;wsp:rsid wsp:val=&quot;00BA29E9&quot;/&gt;&lt;wsp:rsid wsp:val=&quot;00BA2B0C&quot;/&gt;&lt;wsp:rsid wsp:val=&quot;00BA2CFA&quot;/&gt;&lt;wsp:rsid wsp:val=&quot;00BA2E72&quot;/&gt;&lt;wsp:rsid wsp:val=&quot;00BA3F95&quot;/&gt;&lt;wsp:rsid wsp:val=&quot;00BA459F&quot;/&gt;&lt;wsp:rsid wsp:val=&quot;00BA45AD&quot;/&gt;&lt;wsp:rsid wsp:val=&quot;00BA4E83&quot;/&gt;&lt;wsp:rsid wsp:val=&quot;00BA52FB&quot;/&gt;&lt;wsp:rsid wsp:val=&quot;00BA5907&quot;/&gt;&lt;wsp:rsid wsp:val=&quot;00BA5BA0&quot;/&gt;&lt;wsp:rsid wsp:val=&quot;00BA62C0&quot;/&gt;&lt;wsp:rsid wsp:val=&quot;00BA6728&quot;/&gt;&lt;wsp:rsid wsp:val=&quot;00BA6A07&quot;/&gt;&lt;wsp:rsid wsp:val=&quot;00BA6B5F&quot;/&gt;&lt;wsp:rsid wsp:val=&quot;00BA6F03&quot;/&gt;&lt;wsp:rsid wsp:val=&quot;00BA70B0&quot;/&gt;&lt;wsp:rsid wsp:val=&quot;00BA7142&quot;/&gt;&lt;wsp:rsid wsp:val=&quot;00BA780A&quot;/&gt;&lt;wsp:rsid wsp:val=&quot;00BA7B71&quot;/&gt;&lt;wsp:rsid wsp:val=&quot;00BA7CCD&quot;/&gt;&lt;wsp:rsid wsp:val=&quot;00BB0443&quot;/&gt;&lt;wsp:rsid wsp:val=&quot;00BB11AE&quot;/&gt;&lt;wsp:rsid wsp:val=&quot;00BB168C&quot;/&gt;&lt;wsp:rsid wsp:val=&quot;00BB170E&quot;/&gt;&lt;wsp:rsid wsp:val=&quot;00BB237C&quot;/&gt;&lt;wsp:rsid wsp:val=&quot;00BB2793&quot;/&gt;&lt;wsp:rsid wsp:val=&quot;00BB27A0&quot;/&gt;&lt;wsp:rsid wsp:val=&quot;00BB3421&quot;/&gt;&lt;wsp:rsid wsp:val=&quot;00BB37A6&quot;/&gt;&lt;wsp:rsid wsp:val=&quot;00BB40BE&quot;/&gt;&lt;wsp:rsid wsp:val=&quot;00BB41A3&quot;/&gt;&lt;wsp:rsid wsp:val=&quot;00BB4713&quot;/&gt;&lt;wsp:rsid wsp:val=&quot;00BB4A74&quot;/&gt;&lt;wsp:rsid wsp:val=&quot;00BB5286&quot;/&gt;&lt;wsp:rsid wsp:val=&quot;00BB5B7C&quot;/&gt;&lt;wsp:rsid wsp:val=&quot;00BB5C60&quot;/&gt;&lt;wsp:rsid wsp:val=&quot;00BB6F77&quot;/&gt;&lt;wsp:rsid wsp:val=&quot;00BB79D9&quot;/&gt;&lt;wsp:rsid wsp:val=&quot;00BB7C6D&quot;/&gt;&lt;wsp:rsid wsp:val=&quot;00BB7C79&quot;/&gt;&lt;wsp:rsid wsp:val=&quot;00BC0002&quot;/&gt;&lt;wsp:rsid wsp:val=&quot;00BC0280&quot;/&gt;&lt;wsp:rsid wsp:val=&quot;00BC0315&quot;/&gt;&lt;wsp:rsid wsp:val=&quot;00BC16B1&quot;/&gt;&lt;wsp:rsid wsp:val=&quot;00BC2CC8&quot;/&gt;&lt;wsp:rsid wsp:val=&quot;00BC31F1&quot;/&gt;&lt;wsp:rsid wsp:val=&quot;00BC32DC&quot;/&gt;&lt;wsp:rsid wsp:val=&quot;00BC35B6&quot;/&gt;&lt;wsp:rsid wsp:val=&quot;00BC36AD&quot;/&gt;&lt;wsp:rsid wsp:val=&quot;00BC3833&quot;/&gt;&lt;wsp:rsid wsp:val=&quot;00BC42EF&quot;/&gt;&lt;wsp:rsid wsp:val=&quot;00BC6607&quot;/&gt;&lt;wsp:rsid wsp:val=&quot;00BC74FE&quot;/&gt;&lt;wsp:rsid wsp:val=&quot;00BC7B92&quot;/&gt;&lt;wsp:rsid wsp:val=&quot;00BC7E2E&quot;/&gt;&lt;wsp:rsid wsp:val=&quot;00BD08CF&quot;/&gt;&lt;wsp:rsid wsp:val=&quot;00BD13E2&quot;/&gt;&lt;wsp:rsid wsp:val=&quot;00BD1539&quot;/&gt;&lt;wsp:rsid wsp:val=&quot;00BD1A53&quot;/&gt;&lt;wsp:rsid wsp:val=&quot;00BD1B51&quot;/&gt;&lt;wsp:rsid wsp:val=&quot;00BD1C79&quot;/&gt;&lt;wsp:rsid wsp:val=&quot;00BD2266&quot;/&gt;&lt;wsp:rsid wsp:val=&quot;00BD22CC&quot;/&gt;&lt;wsp:rsid wsp:val=&quot;00BD29C2&quot;/&gt;&lt;wsp:rsid wsp:val=&quot;00BD2E46&quot;/&gt;&lt;wsp:rsid wsp:val=&quot;00BD3220&quot;/&gt;&lt;wsp:rsid wsp:val=&quot;00BD332F&quot;/&gt;&lt;wsp:rsid wsp:val=&quot;00BD33A7&quot;/&gt;&lt;wsp:rsid wsp:val=&quot;00BD367C&quot;/&gt;&lt;wsp:rsid wsp:val=&quot;00BD37F5&quot;/&gt;&lt;wsp:rsid wsp:val=&quot;00BD407C&quot;/&gt;&lt;wsp:rsid wsp:val=&quot;00BD4596&quot;/&gt;&lt;wsp:rsid wsp:val=&quot;00BD4650&quot;/&gt;&lt;wsp:rsid wsp:val=&quot;00BD48AC&quot;/&gt;&lt;wsp:rsid wsp:val=&quot;00BD4D10&quot;/&gt;&lt;wsp:rsid wsp:val=&quot;00BD53D7&quot;/&gt;&lt;wsp:rsid wsp:val=&quot;00BD5C99&quot;/&gt;&lt;wsp:rsid wsp:val=&quot;00BD6414&quot;/&gt;&lt;wsp:rsid wsp:val=&quot;00BD69A6&quot;/&gt;&lt;wsp:rsid wsp:val=&quot;00BD7339&quot;/&gt;&lt;wsp:rsid wsp:val=&quot;00BD774E&quot;/&gt;&lt;wsp:rsid wsp:val=&quot;00BD7788&quot;/&gt;&lt;wsp:rsid wsp:val=&quot;00BE00F3&quot;/&gt;&lt;wsp:rsid wsp:val=&quot;00BE07D6&quot;/&gt;&lt;wsp:rsid wsp:val=&quot;00BE0A2F&quot;/&gt;&lt;wsp:rsid wsp:val=&quot;00BE1405&quot;/&gt;&lt;wsp:rsid wsp:val=&quot;00BE15A2&quot;/&gt;&lt;wsp:rsid wsp:val=&quot;00BE1608&quot;/&gt;&lt;wsp:rsid wsp:val=&quot;00BE1717&quot;/&gt;&lt;wsp:rsid wsp:val=&quot;00BE1F68&quot;/&gt;&lt;wsp:rsid wsp:val=&quot;00BE22BA&quot;/&gt;&lt;wsp:rsid wsp:val=&quot;00BE2363&quot;/&gt;&lt;wsp:rsid wsp:val=&quot;00BE27D4&quot;/&gt;&lt;wsp:rsid wsp:val=&quot;00BE288A&quot;/&gt;&lt;wsp:rsid wsp:val=&quot;00BE29B9&quot;/&gt;&lt;wsp:rsid wsp:val=&quot;00BE29FB&quot;/&gt;&lt;wsp:rsid wsp:val=&quot;00BE2BED&quot;/&gt;&lt;wsp:rsid wsp:val=&quot;00BE312D&quot;/&gt;&lt;wsp:rsid wsp:val=&quot;00BE3217&quot;/&gt;&lt;wsp:rsid wsp:val=&quot;00BE3691&quot;/&gt;&lt;wsp:rsid wsp:val=&quot;00BE37F9&quot;/&gt;&lt;wsp:rsid wsp:val=&quot;00BE4728&quot;/&gt;&lt;wsp:rsid wsp:val=&quot;00BE6BD0&quot;/&gt;&lt;wsp:rsid wsp:val=&quot;00BE719A&quot;/&gt;&lt;wsp:rsid wsp:val=&quot;00BF011C&quot;/&gt;&lt;wsp:rsid wsp:val=&quot;00BF0384&quot;/&gt;&lt;wsp:rsid wsp:val=&quot;00BF06C2&quot;/&gt;&lt;wsp:rsid wsp:val=&quot;00BF0773&quot;/&gt;&lt;wsp:rsid wsp:val=&quot;00BF19DD&quot;/&gt;&lt;wsp:rsid wsp:val=&quot;00BF1C20&quot;/&gt;&lt;wsp:rsid wsp:val=&quot;00BF206F&quot;/&gt;&lt;wsp:rsid wsp:val=&quot;00BF220F&quot;/&gt;&lt;wsp:rsid wsp:val=&quot;00BF2495&quot;/&gt;&lt;wsp:rsid wsp:val=&quot;00BF3447&quot;/&gt;&lt;wsp:rsid wsp:val=&quot;00BF365D&quot;/&gt;&lt;wsp:rsid wsp:val=&quot;00BF382A&quot;/&gt;&lt;wsp:rsid wsp:val=&quot;00BF3A40&quot;/&gt;&lt;wsp:rsid wsp:val=&quot;00BF3B99&quot;/&gt;&lt;wsp:rsid wsp:val=&quot;00BF3D71&quot;/&gt;&lt;wsp:rsid wsp:val=&quot;00BF3E44&quot;/&gt;&lt;wsp:rsid wsp:val=&quot;00BF453A&quot;/&gt;&lt;wsp:rsid wsp:val=&quot;00BF52CC&quot;/&gt;&lt;wsp:rsid wsp:val=&quot;00BF5C39&quot;/&gt;&lt;wsp:rsid wsp:val=&quot;00BF5F11&quot;/&gt;&lt;wsp:rsid wsp:val=&quot;00BF64EF&quot;/&gt;&lt;wsp:rsid wsp:val=&quot;00C003E8&quot;/&gt;&lt;wsp:rsid wsp:val=&quot;00C00A34&quot;/&gt;&lt;wsp:rsid wsp:val=&quot;00C00BED&quot;/&gt;&lt;wsp:rsid wsp:val=&quot;00C00E75&quot;/&gt;&lt;wsp:rsid wsp:val=&quot;00C01000&quot;/&gt;&lt;wsp:rsid wsp:val=&quot;00C012F7&quot;/&gt;&lt;wsp:rsid wsp:val=&quot;00C01899&quot;/&gt;&lt;wsp:rsid wsp:val=&quot;00C02BC4&quot;/&gt;&lt;wsp:rsid wsp:val=&quot;00C03141&quot;/&gt;&lt;wsp:rsid wsp:val=&quot;00C03C22&quot;/&gt;&lt;wsp:rsid wsp:val=&quot;00C045D6&quot;/&gt;&lt;wsp:rsid wsp:val=&quot;00C0477D&quot;/&gt;&lt;wsp:rsid wsp:val=&quot;00C04888&quot;/&gt;&lt;wsp:rsid wsp:val=&quot;00C04C89&quot;/&gt;&lt;wsp:rsid wsp:val=&quot;00C04F67&quot;/&gt;&lt;wsp:rsid wsp:val=&quot;00C054E6&quot;/&gt;&lt;wsp:rsid wsp:val=&quot;00C055F8&quot;/&gt;&lt;wsp:rsid wsp:val=&quot;00C05A3D&quot;/&gt;&lt;wsp:rsid wsp:val=&quot;00C06016&quot;/&gt;&lt;wsp:rsid wsp:val=&quot;00C06AC8&quot;/&gt;&lt;wsp:rsid wsp:val=&quot;00C07366&quot;/&gt;&lt;wsp:rsid wsp:val=&quot;00C079C0&quot;/&gt;&lt;wsp:rsid wsp:val=&quot;00C1001B&quot;/&gt;&lt;wsp:rsid wsp:val=&quot;00C10578&quot;/&gt;&lt;wsp:rsid wsp:val=&quot;00C117EF&quot;/&gt;&lt;wsp:rsid wsp:val=&quot;00C1191D&quot;/&gt;&lt;wsp:rsid wsp:val=&quot;00C135BC&quot;/&gt;&lt;wsp:rsid wsp:val=&quot;00C13E9C&quot;/&gt;&lt;wsp:rsid wsp:val=&quot;00C14009&quot;/&gt;&lt;wsp:rsid wsp:val=&quot;00C146DA&quot;/&gt;&lt;wsp:rsid wsp:val=&quot;00C14938&quot;/&gt;&lt;wsp:rsid wsp:val=&quot;00C14B02&quot;/&gt;&lt;wsp:rsid wsp:val=&quot;00C14FBA&quot;/&gt;&lt;wsp:rsid wsp:val=&quot;00C155C6&quot;/&gt;&lt;wsp:rsid wsp:val=&quot;00C15788&quot;/&gt;&lt;wsp:rsid wsp:val=&quot;00C1593C&quot;/&gt;&lt;wsp:rsid wsp:val=&quot;00C15C95&quot;/&gt;&lt;wsp:rsid wsp:val=&quot;00C15CE2&quot;/&gt;&lt;wsp:rsid wsp:val=&quot;00C15D17&quot;/&gt;&lt;wsp:rsid wsp:val=&quot;00C15E95&quot;/&gt;&lt;wsp:rsid wsp:val=&quot;00C160B9&quot;/&gt;&lt;wsp:rsid wsp:val=&quot;00C165FC&quot;/&gt;&lt;wsp:rsid wsp:val=&quot;00C168BB&quot;/&gt;&lt;wsp:rsid wsp:val=&quot;00C16C83&quot;/&gt;&lt;wsp:rsid wsp:val=&quot;00C1730D&quot;/&gt;&lt;wsp:rsid wsp:val=&quot;00C17A10&quot;/&gt;&lt;wsp:rsid wsp:val=&quot;00C17CDF&quot;/&gt;&lt;wsp:rsid wsp:val=&quot;00C17D65&quot;/&gt;&lt;wsp:rsid wsp:val=&quot;00C2006D&quot;/&gt;&lt;wsp:rsid wsp:val=&quot;00C20CD1&quot;/&gt;&lt;wsp:rsid wsp:val=&quot;00C20DFA&quot;/&gt;&lt;wsp:rsid wsp:val=&quot;00C21386&quot;/&gt;&lt;wsp:rsid wsp:val=&quot;00C22C2A&quot;/&gt;&lt;wsp:rsid wsp:val=&quot;00C25731&quot;/&gt;&lt;wsp:rsid wsp:val=&quot;00C2596A&quot;/&gt;&lt;wsp:rsid wsp:val=&quot;00C25C76&quot;/&gt;&lt;wsp:rsid wsp:val=&quot;00C260EB&quot;/&gt;&lt;wsp:rsid wsp:val=&quot;00C2614A&quot;/&gt;&lt;wsp:rsid wsp:val=&quot;00C262CE&quot;/&gt;&lt;wsp:rsid wsp:val=&quot;00C26327&quot;/&gt;&lt;wsp:rsid wsp:val=&quot;00C263AD&quot;/&gt;&lt;wsp:rsid wsp:val=&quot;00C27537&quot;/&gt;&lt;wsp:rsid wsp:val=&quot;00C27549&quot;/&gt;&lt;wsp:rsid wsp:val=&quot;00C27A18&quot;/&gt;&lt;wsp:rsid wsp:val=&quot;00C27C8B&quot;/&gt;&lt;wsp:rsid wsp:val=&quot;00C30713&quot;/&gt;&lt;wsp:rsid wsp:val=&quot;00C30840&quot;/&gt;&lt;wsp:rsid wsp:val=&quot;00C30DFE&quot;/&gt;&lt;wsp:rsid wsp:val=&quot;00C30EE9&quot;/&gt;&lt;wsp:rsid wsp:val=&quot;00C3160E&quot;/&gt;&lt;wsp:rsid wsp:val=&quot;00C31AB6&quot;/&gt;&lt;wsp:rsid wsp:val=&quot;00C32276&quot;/&gt;&lt;wsp:rsid wsp:val=&quot;00C323A8&quot;/&gt;&lt;wsp:rsid wsp:val=&quot;00C3260F&quot;/&gt;&lt;wsp:rsid wsp:val=&quot;00C328FE&quot;/&gt;&lt;wsp:rsid wsp:val=&quot;00C32E27&quot;/&gt;&lt;wsp:rsid wsp:val=&quot;00C333FB&quot;/&gt;&lt;wsp:rsid wsp:val=&quot;00C33507&quot;/&gt;&lt;wsp:rsid wsp:val=&quot;00C3393B&quot;/&gt;&lt;wsp:rsid wsp:val=&quot;00C33B34&quot;/&gt;&lt;wsp:rsid wsp:val=&quot;00C33D59&quot;/&gt;&lt;wsp:rsid wsp:val=&quot;00C3580E&quot;/&gt;&lt;wsp:rsid wsp:val=&quot;00C3697A&quot;/&gt;&lt;wsp:rsid wsp:val=&quot;00C37B7E&quot;/&gt;&lt;wsp:rsid wsp:val=&quot;00C40078&quot;/&gt;&lt;wsp:rsid wsp:val=&quot;00C40370&quot;/&gt;&lt;wsp:rsid wsp:val=&quot;00C403A6&quot;/&gt;&lt;wsp:rsid wsp:val=&quot;00C4042E&quot;/&gt;&lt;wsp:rsid wsp:val=&quot;00C40A78&quot;/&gt;&lt;wsp:rsid wsp:val=&quot;00C40B19&quot;/&gt;&lt;wsp:rsid wsp:val=&quot;00C40D39&quot;/&gt;&lt;wsp:rsid wsp:val=&quot;00C41243&quot;/&gt;&lt;wsp:rsid wsp:val=&quot;00C4134E&quot;/&gt;&lt;wsp:rsid wsp:val=&quot;00C41606&quot;/&gt;&lt;wsp:rsid wsp:val=&quot;00C41B46&quot;/&gt;&lt;wsp:rsid wsp:val=&quot;00C4291C&quot;/&gt;&lt;wsp:rsid wsp:val=&quot;00C4409D&quot;/&gt;&lt;wsp:rsid wsp:val=&quot;00C44E72&quot;/&gt;&lt;wsp:rsid wsp:val=&quot;00C45520&quot;/&gt;&lt;wsp:rsid wsp:val=&quot;00C45A06&quot;/&gt;&lt;wsp:rsid wsp:val=&quot;00C45C33&quot;/&gt;&lt;wsp:rsid wsp:val=&quot;00C46007&quot;/&gt;&lt;wsp:rsid wsp:val=&quot;00C46C3A&quot;/&gt;&lt;wsp:rsid wsp:val=&quot;00C470F8&quot;/&gt;&lt;wsp:rsid wsp:val=&quot;00C471C7&quot;/&gt;&lt;wsp:rsid wsp:val=&quot;00C47455&quot;/&gt;&lt;wsp:rsid wsp:val=&quot;00C47B3D&quot;/&gt;&lt;wsp:rsid wsp:val=&quot;00C47E5B&quot;/&gt;&lt;wsp:rsid wsp:val=&quot;00C5017A&quot;/&gt;&lt;wsp:rsid wsp:val=&quot;00C5027D&quot;/&gt;&lt;wsp:rsid wsp:val=&quot;00C5079C&quot;/&gt;&lt;wsp:rsid wsp:val=&quot;00C5127D&quot;/&gt;&lt;wsp:rsid wsp:val=&quot;00C52C40&quot;/&gt;&lt;wsp:rsid wsp:val=&quot;00C54574&quot;/&gt;&lt;wsp:rsid wsp:val=&quot;00C546E9&quot;/&gt;&lt;wsp:rsid wsp:val=&quot;00C54819&quot;/&gt;&lt;wsp:rsid wsp:val=&quot;00C54CC6&quot;/&gt;&lt;wsp:rsid wsp:val=&quot;00C5574F&quot;/&gt;&lt;wsp:rsid wsp:val=&quot;00C5575C&quot;/&gt;&lt;wsp:rsid wsp:val=&quot;00C56168&quot;/&gt;&lt;wsp:rsid wsp:val=&quot;00C56428&quot;/&gt;&lt;wsp:rsid wsp:val=&quot;00C567B8&quot;/&gt;&lt;wsp:rsid wsp:val=&quot;00C569B4&quot;/&gt;&lt;wsp:rsid wsp:val=&quot;00C573AB&quot;/&gt;&lt;wsp:rsid wsp:val=&quot;00C603BF&quot;/&gt;&lt;wsp:rsid wsp:val=&quot;00C60C57&quot;/&gt;&lt;wsp:rsid wsp:val=&quot;00C61BE7&quot;/&gt;&lt;wsp:rsid wsp:val=&quot;00C61E4B&quot;/&gt;&lt;wsp:rsid wsp:val=&quot;00C6242D&quot;/&gt;&lt;wsp:rsid wsp:val=&quot;00C62859&quot;/&gt;&lt;wsp:rsid wsp:val=&quot;00C6364E&quot;/&gt;&lt;wsp:rsid wsp:val=&quot;00C63C1F&quot;/&gt;&lt;wsp:rsid wsp:val=&quot;00C63EA0&quot;/&gt;&lt;wsp:rsid wsp:val=&quot;00C64038&quot;/&gt;&lt;wsp:rsid wsp:val=&quot;00C64165&quot;/&gt;&lt;wsp:rsid wsp:val=&quot;00C6426C&quot;/&gt;&lt;wsp:rsid wsp:val=&quot;00C64621&quot;/&gt;&lt;wsp:rsid wsp:val=&quot;00C64698&quot;/&gt;&lt;wsp:rsid wsp:val=&quot;00C646E2&quot;/&gt;&lt;wsp:rsid wsp:val=&quot;00C64BFF&quot;/&gt;&lt;wsp:rsid wsp:val=&quot;00C64C52&quot;/&gt;&lt;wsp:rsid wsp:val=&quot;00C64E1A&quot;/&gt;&lt;wsp:rsid wsp:val=&quot;00C65085&quot;/&gt;&lt;wsp:rsid wsp:val=&quot;00C65A56&quot;/&gt;&lt;wsp:rsid wsp:val=&quot;00C6625B&quot;/&gt;&lt;wsp:rsid wsp:val=&quot;00C6669E&quot;/&gt;&lt;wsp:rsid wsp:val=&quot;00C66E5C&quot;/&gt;&lt;wsp:rsid wsp:val=&quot;00C675EB&quot;/&gt;&lt;wsp:rsid wsp:val=&quot;00C67831&quot;/&gt;&lt;wsp:rsid wsp:val=&quot;00C6784B&quot;/&gt;&lt;wsp:rsid wsp:val=&quot;00C67D85&quot;/&gt;&lt;wsp:rsid wsp:val=&quot;00C7031A&quot;/&gt;&lt;wsp:rsid wsp:val=&quot;00C7042D&quot;/&gt;&lt;wsp:rsid wsp:val=&quot;00C70454&quot;/&gt;&lt;wsp:rsid wsp:val=&quot;00C704E9&quot;/&gt;&lt;wsp:rsid wsp:val=&quot;00C71BC4&quot;/&gt;&lt;wsp:rsid wsp:val=&quot;00C71C39&quot;/&gt;&lt;wsp:rsid wsp:val=&quot;00C71FB7&quot;/&gt;&lt;wsp:rsid wsp:val=&quot;00C72775&quot;/&gt;&lt;wsp:rsid wsp:val=&quot;00C72BD0&quot;/&gt;&lt;wsp:rsid wsp:val=&quot;00C7355C&quot;/&gt;&lt;wsp:rsid wsp:val=&quot;00C74730&quot;/&gt;&lt;wsp:rsid wsp:val=&quot;00C748A3&quot;/&gt;&lt;wsp:rsid wsp:val=&quot;00C74A98&quot;/&gt;&lt;wsp:rsid wsp:val=&quot;00C752BF&quot;/&gt;&lt;wsp:rsid wsp:val=&quot;00C75E9D&quot;/&gt;&lt;wsp:rsid wsp:val=&quot;00C7605E&quot;/&gt;&lt;wsp:rsid wsp:val=&quot;00C763C9&quot;/&gt;&lt;wsp:rsid wsp:val=&quot;00C76AB6&quot;/&gt;&lt;wsp:rsid wsp:val=&quot;00C76E28&quot;/&gt;&lt;wsp:rsid wsp:val=&quot;00C76FB1&quot;/&gt;&lt;wsp:rsid wsp:val=&quot;00C77052&quot;/&gt;&lt;wsp:rsid wsp:val=&quot;00C7726D&quot;/&gt;&lt;wsp:rsid wsp:val=&quot;00C80057&quot;/&gt;&lt;wsp:rsid wsp:val=&quot;00C80908&quot;/&gt;&lt;wsp:rsid wsp:val=&quot;00C80BED&quot;/&gt;&lt;wsp:rsid wsp:val=&quot;00C81D01&quot;/&gt;&lt;wsp:rsid wsp:val=&quot;00C82232&quot;/&gt;&lt;wsp:rsid wsp:val=&quot;00C822FF&quot;/&gt;&lt;wsp:rsid wsp:val=&quot;00C825E3&quot;/&gt;&lt;wsp:rsid wsp:val=&quot;00C82913&quot;/&gt;&lt;wsp:rsid wsp:val=&quot;00C82E45&quot;/&gt;&lt;wsp:rsid wsp:val=&quot;00C837AE&quot;/&gt;&lt;wsp:rsid wsp:val=&quot;00C83C13&quot;/&gt;&lt;wsp:rsid wsp:val=&quot;00C842AB&quot;/&gt;&lt;wsp:rsid wsp:val=&quot;00C8498D&quot;/&gt;&lt;wsp:rsid wsp:val=&quot;00C84F46&quot;/&gt;&lt;wsp:rsid wsp:val=&quot;00C850D2&quot;/&gt;&lt;wsp:rsid wsp:val=&quot;00C851D5&quot;/&gt;&lt;wsp:rsid wsp:val=&quot;00C8565E&quot;/&gt;&lt;wsp:rsid wsp:val=&quot;00C86018&quot;/&gt;&lt;wsp:rsid wsp:val=&quot;00C869E9&quot;/&gt;&lt;wsp:rsid wsp:val=&quot;00C873AE&quot;/&gt;&lt;wsp:rsid wsp:val=&quot;00C87442&quot;/&gt;&lt;wsp:rsid wsp:val=&quot;00C87520&quot;/&gt;&lt;wsp:rsid wsp:val=&quot;00C902C1&quot;/&gt;&lt;wsp:rsid wsp:val=&quot;00C908D9&quot;/&gt;&lt;wsp:rsid wsp:val=&quot;00C90B07&quot;/&gt;&lt;wsp:rsid wsp:val=&quot;00C91FAF&quot;/&gt;&lt;wsp:rsid wsp:val=&quot;00C91FF7&quot;/&gt;&lt;wsp:rsid wsp:val=&quot;00C92A45&quot;/&gt;&lt;wsp:rsid wsp:val=&quot;00C92BEB&quot;/&gt;&lt;wsp:rsid wsp:val=&quot;00C92DD4&quot;/&gt;&lt;wsp:rsid wsp:val=&quot;00C93B28&quot;/&gt;&lt;wsp:rsid wsp:val=&quot;00C94461&quot;/&gt;&lt;wsp:rsid wsp:val=&quot;00C94644&quot;/&gt;&lt;wsp:rsid wsp:val=&quot;00C94DEE&quot;/&gt;&lt;wsp:rsid wsp:val=&quot;00C96041&quot;/&gt;&lt;wsp:rsid wsp:val=&quot;00C96470&quot;/&gt;&lt;wsp:rsid wsp:val=&quot;00C96B49&quot;/&gt;&lt;wsp:rsid wsp:val=&quot;00C972B1&quot;/&gt;&lt;wsp:rsid wsp:val=&quot;00CA046D&quot;/&gt;&lt;wsp:rsid wsp:val=&quot;00CA055C&quot;/&gt;&lt;wsp:rsid wsp:val=&quot;00CA0966&quot;/&gt;&lt;wsp:rsid wsp:val=&quot;00CA0A23&quot;/&gt;&lt;wsp:rsid wsp:val=&quot;00CA0C89&quot;/&gt;&lt;wsp:rsid wsp:val=&quot;00CA0DA2&quot;/&gt;&lt;wsp:rsid wsp:val=&quot;00CA11A1&quot;/&gt;&lt;wsp:rsid wsp:val=&quot;00CA12DC&quot;/&gt;&lt;wsp:rsid wsp:val=&quot;00CA145D&quot;/&gt;&lt;wsp:rsid wsp:val=&quot;00CA212C&quot;/&gt;&lt;wsp:rsid wsp:val=&quot;00CA28A6&quot;/&gt;&lt;wsp:rsid wsp:val=&quot;00CA292A&quot;/&gt;&lt;wsp:rsid wsp:val=&quot;00CA2AF8&quot;/&gt;&lt;wsp:rsid wsp:val=&quot;00CA2CCE&quot;/&gt;&lt;wsp:rsid wsp:val=&quot;00CA43E4&quot;/&gt;&lt;wsp:rsid wsp:val=&quot;00CA43FD&quot;/&gt;&lt;wsp:rsid wsp:val=&quot;00CA458A&quot;/&gt;&lt;wsp:rsid wsp:val=&quot;00CA488A&quot;/&gt;&lt;wsp:rsid wsp:val=&quot;00CA49EE&quot;/&gt;&lt;wsp:rsid wsp:val=&quot;00CA508A&quot;/&gt;&lt;wsp:rsid wsp:val=&quot;00CA534F&quot;/&gt;&lt;wsp:rsid wsp:val=&quot;00CA57BF&quot;/&gt;&lt;wsp:rsid wsp:val=&quot;00CA5A0A&quot;/&gt;&lt;wsp:rsid wsp:val=&quot;00CA5AB5&quot;/&gt;&lt;wsp:rsid wsp:val=&quot;00CA6D38&quot;/&gt;&lt;wsp:rsid wsp:val=&quot;00CA715D&quot;/&gt;&lt;wsp:rsid wsp:val=&quot;00CA769F&quot;/&gt;&lt;wsp:rsid wsp:val=&quot;00CA7EF8&quot;/&gt;&lt;wsp:rsid wsp:val=&quot;00CB00CE&quot;/&gt;&lt;wsp:rsid wsp:val=&quot;00CB04D9&quot;/&gt;&lt;wsp:rsid wsp:val=&quot;00CB0855&quot;/&gt;&lt;wsp:rsid wsp:val=&quot;00CB0A19&quot;/&gt;&lt;wsp:rsid wsp:val=&quot;00CB0F0C&quot;/&gt;&lt;wsp:rsid wsp:val=&quot;00CB114E&quot;/&gt;&lt;wsp:rsid wsp:val=&quot;00CB2867&quot;/&gt;&lt;wsp:rsid wsp:val=&quot;00CB45B7&quot;/&gt;&lt;wsp:rsid wsp:val=&quot;00CB4917&quot;/&gt;&lt;wsp:rsid wsp:val=&quot;00CB4B07&quot;/&gt;&lt;wsp:rsid wsp:val=&quot;00CB4C3A&quot;/&gt;&lt;wsp:rsid wsp:val=&quot;00CB50B9&quot;/&gt;&lt;wsp:rsid wsp:val=&quot;00CB576C&quot;/&gt;&lt;wsp:rsid wsp:val=&quot;00CB581B&quot;/&gt;&lt;wsp:rsid wsp:val=&quot;00CB5E58&quot;/&gt;&lt;wsp:rsid wsp:val=&quot;00CB5F48&quot;/&gt;&lt;wsp:rsid wsp:val=&quot;00CB6662&quot;/&gt;&lt;wsp:rsid wsp:val=&quot;00CB6872&quot;/&gt;&lt;wsp:rsid wsp:val=&quot;00CB78FD&quot;/&gt;&lt;wsp:rsid wsp:val=&quot;00CB7AB8&quot;/&gt;&lt;wsp:rsid wsp:val=&quot;00CC0759&quot;/&gt;&lt;wsp:rsid wsp:val=&quot;00CC0E06&quot;/&gt;&lt;wsp:rsid wsp:val=&quot;00CC0F0C&quot;/&gt;&lt;wsp:rsid wsp:val=&quot;00CC135A&quot;/&gt;&lt;wsp:rsid wsp:val=&quot;00CC209D&quot;/&gt;&lt;wsp:rsid wsp:val=&quot;00CC21F1&quot;/&gt;&lt;wsp:rsid wsp:val=&quot;00CC2A5B&quot;/&gt;&lt;wsp:rsid wsp:val=&quot;00CC3204&quot;/&gt;&lt;wsp:rsid wsp:val=&quot;00CC3702&quot;/&gt;&lt;wsp:rsid wsp:val=&quot;00CC39C5&quot;/&gt;&lt;wsp:rsid wsp:val=&quot;00CC404C&quot;/&gt;&lt;wsp:rsid wsp:val=&quot;00CC46B5&quot;/&gt;&lt;wsp:rsid wsp:val=&quot;00CC489B&quot;/&gt;&lt;wsp:rsid wsp:val=&quot;00CC4AB6&quot;/&gt;&lt;wsp:rsid wsp:val=&quot;00CC5099&quot;/&gt;&lt;wsp:rsid wsp:val=&quot;00CC51B9&quot;/&gt;&lt;wsp:rsid wsp:val=&quot;00CC5ABD&quot;/&gt;&lt;wsp:rsid wsp:val=&quot;00CC5BC5&quot;/&gt;&lt;wsp:rsid wsp:val=&quot;00CC5D1D&quot;/&gt;&lt;wsp:rsid wsp:val=&quot;00CC67BB&quot;/&gt;&lt;wsp:rsid wsp:val=&quot;00CC7ADA&quot;/&gt;&lt;wsp:rsid wsp:val=&quot;00CC7C44&quot;/&gt;&lt;wsp:rsid wsp:val=&quot;00CD00DC&quot;/&gt;&lt;wsp:rsid wsp:val=&quot;00CD0A93&quot;/&gt;&lt;wsp:rsid wsp:val=&quot;00CD0EAD&quot;/&gt;&lt;wsp:rsid wsp:val=&quot;00CD1595&quot;/&gt;&lt;wsp:rsid wsp:val=&quot;00CD19E1&quot;/&gt;&lt;wsp:rsid wsp:val=&quot;00CD2894&quot;/&gt;&lt;wsp:rsid wsp:val=&quot;00CD292D&quot;/&gt;&lt;wsp:rsid wsp:val=&quot;00CD29D2&quot;/&gt;&lt;wsp:rsid wsp:val=&quot;00CD2B60&quot;/&gt;&lt;wsp:rsid wsp:val=&quot;00CD2BCD&quot;/&gt;&lt;wsp:rsid wsp:val=&quot;00CD316B&quot;/&gt;&lt;wsp:rsid wsp:val=&quot;00CD31A8&quot;/&gt;&lt;wsp:rsid wsp:val=&quot;00CD3A4C&quot;/&gt;&lt;wsp:rsid wsp:val=&quot;00CD49CC&quot;/&gt;&lt;wsp:rsid wsp:val=&quot;00CD590C&quot;/&gt;&lt;wsp:rsid wsp:val=&quot;00CD5B19&quot;/&gt;&lt;wsp:rsid wsp:val=&quot;00CD5EA0&quot;/&gt;&lt;wsp:rsid wsp:val=&quot;00CD65FC&quot;/&gt;&lt;wsp:rsid wsp:val=&quot;00CD6854&quot;/&gt;&lt;wsp:rsid wsp:val=&quot;00CD73E8&quot;/&gt;&lt;wsp:rsid wsp:val=&quot;00CE0059&quot;/&gt;&lt;wsp:rsid wsp:val=&quot;00CE10E9&quot;/&gt;&lt;wsp:rsid wsp:val=&quot;00CE144E&quot;/&gt;&lt;wsp:rsid wsp:val=&quot;00CE14C7&quot;/&gt;&lt;wsp:rsid wsp:val=&quot;00CE1C5A&quot;/&gt;&lt;wsp:rsid wsp:val=&quot;00CE2331&quot;/&gt;&lt;wsp:rsid wsp:val=&quot;00CE26FC&quot;/&gt;&lt;wsp:rsid wsp:val=&quot;00CE2817&quot;/&gt;&lt;wsp:rsid wsp:val=&quot;00CE2910&quot;/&gt;&lt;wsp:rsid wsp:val=&quot;00CE34BD&quot;/&gt;&lt;wsp:rsid wsp:val=&quot;00CE3D09&quot;/&gt;&lt;wsp:rsid wsp:val=&quot;00CE3F17&quot;/&gt;&lt;wsp:rsid wsp:val=&quot;00CE3FB1&quot;/&gt;&lt;wsp:rsid wsp:val=&quot;00CE49FD&quot;/&gt;&lt;wsp:rsid wsp:val=&quot;00CE4B2E&quot;/&gt;&lt;wsp:rsid wsp:val=&quot;00CE4FEE&quot;/&gt;&lt;wsp:rsid wsp:val=&quot;00CE5393&quot;/&gt;&lt;wsp:rsid wsp:val=&quot;00CE63E2&quot;/&gt;&lt;wsp:rsid wsp:val=&quot;00CE6FB9&quot;/&gt;&lt;wsp:rsid wsp:val=&quot;00CE7728&quot;/&gt;&lt;wsp:rsid wsp:val=&quot;00CE7A08&quot;/&gt;&lt;wsp:rsid wsp:val=&quot;00CE7C15&quot;/&gt;&lt;wsp:rsid wsp:val=&quot;00CF0771&quot;/&gt;&lt;wsp:rsid wsp:val=&quot;00CF0FCF&quot;/&gt;&lt;wsp:rsid wsp:val=&quot;00CF116C&quot;/&gt;&lt;wsp:rsid wsp:val=&quot;00CF13C8&quot;/&gt;&lt;wsp:rsid wsp:val=&quot;00CF1414&quot;/&gt;&lt;wsp:rsid wsp:val=&quot;00CF1CD7&quot;/&gt;&lt;wsp:rsid wsp:val=&quot;00CF1EB4&quot;/&gt;&lt;wsp:rsid wsp:val=&quot;00CF30C0&quot;/&gt;&lt;wsp:rsid wsp:val=&quot;00CF356D&quot;/&gt;&lt;wsp:rsid wsp:val=&quot;00CF36BE&quot;/&gt;&lt;wsp:rsid wsp:val=&quot;00CF387D&quot;/&gt;&lt;wsp:rsid wsp:val=&quot;00CF3E79&quot;/&gt;&lt;wsp:rsid wsp:val=&quot;00CF3FA8&quot;/&gt;&lt;wsp:rsid wsp:val=&quot;00CF43F3&quot;/&gt;&lt;wsp:rsid wsp:val=&quot;00CF4712&quot;/&gt;&lt;wsp:rsid wsp:val=&quot;00CF4CDD&quot;/&gt;&lt;wsp:rsid wsp:val=&quot;00CF4FC1&quot;/&gt;&lt;wsp:rsid wsp:val=&quot;00CF54D5&quot;/&gt;&lt;wsp:rsid wsp:val=&quot;00CF6000&quot;/&gt;&lt;wsp:rsid wsp:val=&quot;00CF6181&quot;/&gt;&lt;wsp:rsid wsp:val=&quot;00CF6C6A&quot;/&gt;&lt;wsp:rsid wsp:val=&quot;00CF7539&quot;/&gt;&lt;wsp:rsid wsp:val=&quot;00CF77B7&quot;/&gt;&lt;wsp:rsid wsp:val=&quot;00CF7F8F&quot;/&gt;&lt;wsp:rsid wsp:val=&quot;00D003F3&quot;/&gt;&lt;wsp:rsid wsp:val=&quot;00D00A7C&quot;/&gt;&lt;wsp:rsid wsp:val=&quot;00D0364F&quot;/&gt;&lt;wsp:rsid wsp:val=&quot;00D0450A&quot;/&gt;&lt;wsp:rsid wsp:val=&quot;00D04AAF&quot;/&gt;&lt;wsp:rsid wsp:val=&quot;00D054F7&quot;/&gt;&lt;wsp:rsid wsp:val=&quot;00D0672B&quot;/&gt;&lt;wsp:rsid wsp:val=&quot;00D06834&quot;/&gt;&lt;wsp:rsid wsp:val=&quot;00D06B57&quot;/&gt;&lt;wsp:rsid wsp:val=&quot;00D075E5&quot;/&gt;&lt;wsp:rsid wsp:val=&quot;00D109AC&quot;/&gt;&lt;wsp:rsid wsp:val=&quot;00D10B0E&quot;/&gt;&lt;wsp:rsid wsp:val=&quot;00D1106C&quot;/&gt;&lt;wsp:rsid wsp:val=&quot;00D1123F&quot;/&gt;&lt;wsp:rsid wsp:val=&quot;00D116BC&quot;/&gt;&lt;wsp:rsid wsp:val=&quot;00D117CA&quot;/&gt;&lt;wsp:rsid wsp:val=&quot;00D1218B&quot;/&gt;&lt;wsp:rsid wsp:val=&quot;00D12AF8&quot;/&gt;&lt;wsp:rsid wsp:val=&quot;00D1397C&quot;/&gt;&lt;wsp:rsid wsp:val=&quot;00D13C00&quot;/&gt;&lt;wsp:rsid wsp:val=&quot;00D14E77&quot;/&gt;&lt;wsp:rsid wsp:val=&quot;00D153AD&quot;/&gt;&lt;wsp:rsid wsp:val=&quot;00D16081&quot;/&gt;&lt;wsp:rsid wsp:val=&quot;00D162BA&quot;/&gt;&lt;wsp:rsid wsp:val=&quot;00D167BF&quot;/&gt;&lt;wsp:rsid wsp:val=&quot;00D169B7&quot;/&gt;&lt;wsp:rsid wsp:val=&quot;00D16B6C&quot;/&gt;&lt;wsp:rsid wsp:val=&quot;00D17475&quot;/&gt;&lt;wsp:rsid wsp:val=&quot;00D1770A&quot;/&gt;&lt;wsp:rsid wsp:val=&quot;00D17F23&quot;/&gt;&lt;wsp:rsid wsp:val=&quot;00D208A6&quot;/&gt;&lt;wsp:rsid wsp:val=&quot;00D218A1&quot;/&gt;&lt;wsp:rsid wsp:val=&quot;00D21943&quot;/&gt;&lt;wsp:rsid wsp:val=&quot;00D224E3&quot;/&gt;&lt;wsp:rsid wsp:val=&quot;00D229C3&quot;/&gt;&lt;wsp:rsid wsp:val=&quot;00D22A45&quot;/&gt;&lt;wsp:rsid wsp:val=&quot;00D22C08&quot;/&gt;&lt;wsp:rsid wsp:val=&quot;00D23830&quot;/&gt;&lt;wsp:rsid wsp:val=&quot;00D24720&quot;/&gt;&lt;wsp:rsid wsp:val=&quot;00D25753&quot;/&gt;&lt;wsp:rsid wsp:val=&quot;00D25D5E&quot;/&gt;&lt;wsp:rsid wsp:val=&quot;00D27263&quot;/&gt;&lt;wsp:rsid wsp:val=&quot;00D2756B&quot;/&gt;&lt;wsp:rsid wsp:val=&quot;00D279C6&quot;/&gt;&lt;wsp:rsid wsp:val=&quot;00D27EA3&quot;/&gt;&lt;wsp:rsid wsp:val=&quot;00D27F8E&quot;/&gt;&lt;wsp:rsid wsp:val=&quot;00D27FC7&quot;/&gt;&lt;wsp:rsid wsp:val=&quot;00D3067E&quot;/&gt;&lt;wsp:rsid wsp:val=&quot;00D308ED&quot;/&gt;&lt;wsp:rsid wsp:val=&quot;00D30C31&quot;/&gt;&lt;wsp:rsid wsp:val=&quot;00D312A3&quot;/&gt;&lt;wsp:rsid wsp:val=&quot;00D31B75&quot;/&gt;&lt;wsp:rsid wsp:val=&quot;00D32021&quot;/&gt;&lt;wsp:rsid wsp:val=&quot;00D32598&quot;/&gt;&lt;wsp:rsid wsp:val=&quot;00D32775&quot;/&gt;&lt;wsp:rsid wsp:val=&quot;00D33272&quot;/&gt;&lt;wsp:rsid wsp:val=&quot;00D33B25&quot;/&gt;&lt;wsp:rsid wsp:val=&quot;00D33D53&quot;/&gt;&lt;wsp:rsid wsp:val=&quot;00D34AD9&quot;/&gt;&lt;wsp:rsid wsp:val=&quot;00D34FA1&quot;/&gt;&lt;wsp:rsid wsp:val=&quot;00D36D86&quot;/&gt;&lt;wsp:rsid wsp:val=&quot;00D36EDF&quot;/&gt;&lt;wsp:rsid wsp:val=&quot;00D37679&quot;/&gt;&lt;wsp:rsid wsp:val=&quot;00D37D7B&quot;/&gt;&lt;wsp:rsid wsp:val=&quot;00D401BD&quot;/&gt;&lt;wsp:rsid wsp:val=&quot;00D40604&quot;/&gt;&lt;wsp:rsid wsp:val=&quot;00D4156C&quot;/&gt;&lt;wsp:rsid wsp:val=&quot;00D41783&quot;/&gt;&lt;wsp:rsid wsp:val=&quot;00D41FD5&quot;/&gt;&lt;wsp:rsid wsp:val=&quot;00D42441&quot;/&gt;&lt;wsp:rsid wsp:val=&quot;00D42829&quot;/&gt;&lt;wsp:rsid wsp:val=&quot;00D428AA&quot;/&gt;&lt;wsp:rsid wsp:val=&quot;00D42D8C&quot;/&gt;&lt;wsp:rsid wsp:val=&quot;00D438FB&quot;/&gt;&lt;wsp:rsid wsp:val=&quot;00D44830&quot;/&gt;&lt;wsp:rsid wsp:val=&quot;00D44C17&quot;/&gt;&lt;wsp:rsid wsp:val=&quot;00D454CA&quot;/&gt;&lt;wsp:rsid wsp:val=&quot;00D46BC4&quot;/&gt;&lt;wsp:rsid wsp:val=&quot;00D46F0C&quot;/&gt;&lt;wsp:rsid wsp:val=&quot;00D46FF8&quot;/&gt;&lt;wsp:rsid wsp:val=&quot;00D47D29&quot;/&gt;&lt;wsp:rsid wsp:val=&quot;00D5008B&quot;/&gt;&lt;wsp:rsid wsp:val=&quot;00D50A34&quot;/&gt;&lt;wsp:rsid wsp:val=&quot;00D50DC9&quot;/&gt;&lt;wsp:rsid wsp:val=&quot;00D512EF&quot;/&gt;&lt;wsp:rsid wsp:val=&quot;00D51668&quot;/&gt;&lt;wsp:rsid wsp:val=&quot;00D531A4&quot;/&gt;&lt;wsp:rsid wsp:val=&quot;00D53D67&quot;/&gt;&lt;wsp:rsid wsp:val=&quot;00D53E56&quot;/&gt;&lt;wsp:rsid wsp:val=&quot;00D53EFA&quot;/&gt;&lt;wsp:rsid wsp:val=&quot;00D5513D&quot;/&gt;&lt;wsp:rsid wsp:val=&quot;00D552B9&quot;/&gt;&lt;wsp:rsid wsp:val=&quot;00D55405&quot;/&gt;&lt;wsp:rsid wsp:val=&quot;00D558DB&quot;/&gt;&lt;wsp:rsid wsp:val=&quot;00D55F52&quot;/&gt;&lt;wsp:rsid wsp:val=&quot;00D57EDB&quot;/&gt;&lt;wsp:rsid wsp:val=&quot;00D60038&quot;/&gt;&lt;wsp:rsid wsp:val=&quot;00D60232&quot;/&gt;&lt;wsp:rsid wsp:val=&quot;00D60EEA&quot;/&gt;&lt;wsp:rsid wsp:val=&quot;00D6129F&quot;/&gt;&lt;wsp:rsid wsp:val=&quot;00D62122&quot;/&gt;&lt;wsp:rsid wsp:val=&quot;00D62322&quot;/&gt;&lt;wsp:rsid wsp:val=&quot;00D62DA7&quot;/&gt;&lt;wsp:rsid wsp:val=&quot;00D632AA&quot;/&gt;&lt;wsp:rsid wsp:val=&quot;00D63354&quot;/&gt;&lt;wsp:rsid wsp:val=&quot;00D63C2D&quot;/&gt;&lt;wsp:rsid wsp:val=&quot;00D63CD9&quot;/&gt;&lt;wsp:rsid wsp:val=&quot;00D63F8B&quot;/&gt;&lt;wsp:rsid wsp:val=&quot;00D64A34&quot;/&gt;&lt;wsp:rsid wsp:val=&quot;00D64EE9&quot;/&gt;&lt;wsp:rsid wsp:val=&quot;00D651F4&quot;/&gt;&lt;wsp:rsid wsp:val=&quot;00D661D9&quot;/&gt;&lt;wsp:rsid wsp:val=&quot;00D66311&quot;/&gt;&lt;wsp:rsid wsp:val=&quot;00D67714&quot;/&gt;&lt;wsp:rsid wsp:val=&quot;00D70781&quot;/&gt;&lt;wsp:rsid wsp:val=&quot;00D709CD&quot;/&gt;&lt;wsp:rsid wsp:val=&quot;00D70B00&quot;/&gt;&lt;wsp:rsid wsp:val=&quot;00D70BA5&quot;/&gt;&lt;wsp:rsid wsp:val=&quot;00D70D26&quot;/&gt;&lt;wsp:rsid wsp:val=&quot;00D70EDF&quot;/&gt;&lt;wsp:rsid wsp:val=&quot;00D71E07&quot;/&gt;&lt;wsp:rsid wsp:val=&quot;00D72485&quot;/&gt;&lt;wsp:rsid wsp:val=&quot;00D73429&quot;/&gt;&lt;wsp:rsid wsp:val=&quot;00D736E6&quot;/&gt;&lt;wsp:rsid wsp:val=&quot;00D73EC1&quot;/&gt;&lt;wsp:rsid wsp:val=&quot;00D74035&quot;/&gt;&lt;wsp:rsid wsp:val=&quot;00D74941&quot;/&gt;&lt;wsp:rsid wsp:val=&quot;00D74F97&quot;/&gt;&lt;wsp:rsid wsp:val=&quot;00D754EB&quot;/&gt;&lt;wsp:rsid wsp:val=&quot;00D760EC&quot;/&gt;&lt;wsp:rsid wsp:val=&quot;00D7641E&quot;/&gt;&lt;wsp:rsid wsp:val=&quot;00D76605&quot;/&gt;&lt;wsp:rsid wsp:val=&quot;00D76AE4&quot;/&gt;&lt;wsp:rsid wsp:val=&quot;00D76CEA&quot;/&gt;&lt;wsp:rsid wsp:val=&quot;00D77451&quot;/&gt;&lt;wsp:rsid wsp:val=&quot;00D775B4&quot;/&gt;&lt;wsp:rsid wsp:val=&quot;00D777C2&quot;/&gt;&lt;wsp:rsid wsp:val=&quot;00D77B68&quot;/&gt;&lt;wsp:rsid wsp:val=&quot;00D77C09&quot;/&gt;&lt;wsp:rsid wsp:val=&quot;00D77CC3&quot;/&gt;&lt;wsp:rsid wsp:val=&quot;00D77F07&quot;/&gt;&lt;wsp:rsid wsp:val=&quot;00D80AD4&quot;/&gt;&lt;wsp:rsid wsp:val=&quot;00D80CEA&quot;/&gt;&lt;wsp:rsid wsp:val=&quot;00D80D5A&quot;/&gt;&lt;wsp:rsid wsp:val=&quot;00D80E6F&quot;/&gt;&lt;wsp:rsid wsp:val=&quot;00D80F99&quot;/&gt;&lt;wsp:rsid wsp:val=&quot;00D81F98&quot;/&gt;&lt;wsp:rsid wsp:val=&quot;00D829E4&quot;/&gt;&lt;wsp:rsid wsp:val=&quot;00D83172&quot;/&gt;&lt;wsp:rsid wsp:val=&quot;00D83DDD&quot;/&gt;&lt;wsp:rsid wsp:val=&quot;00D84C23&quot;/&gt;&lt;wsp:rsid wsp:val=&quot;00D84D0A&quot;/&gt;&lt;wsp:rsid wsp:val=&quot;00D85521&quot;/&gt;&lt;wsp:rsid wsp:val=&quot;00D86351&quot;/&gt;&lt;wsp:rsid wsp:val=&quot;00D865A6&quot;/&gt;&lt;wsp:rsid wsp:val=&quot;00D86C41&quot;/&gt;&lt;wsp:rsid wsp:val=&quot;00D86CC2&quot;/&gt;&lt;wsp:rsid wsp:val=&quot;00D87A24&quot;/&gt;&lt;wsp:rsid wsp:val=&quot;00D907C4&quot;/&gt;&lt;wsp:rsid wsp:val=&quot;00D92753&quot;/&gt;&lt;wsp:rsid wsp:val=&quot;00D9309B&quot;/&gt;&lt;wsp:rsid wsp:val=&quot;00D93483&quot;/&gt;&lt;wsp:rsid wsp:val=&quot;00D93619&quot;/&gt;&lt;wsp:rsid wsp:val=&quot;00D94501&quot;/&gt;&lt;wsp:rsid wsp:val=&quot;00D94A7C&quot;/&gt;&lt;wsp:rsid wsp:val=&quot;00D94C5F&quot;/&gt;&lt;wsp:rsid wsp:val=&quot;00D94F3A&quot;/&gt;&lt;wsp:rsid wsp:val=&quot;00D953FC&quot;/&gt;&lt;wsp:rsid wsp:val=&quot;00D9567A&quot;/&gt;&lt;wsp:rsid wsp:val=&quot;00D95896&quot;/&gt;&lt;wsp:rsid wsp:val=&quot;00D95B05&quot;/&gt;&lt;wsp:rsid wsp:val=&quot;00D962BC&quot;/&gt;&lt;wsp:rsid wsp:val=&quot;00D96CE9&quot;/&gt;&lt;wsp:rsid wsp:val=&quot;00D96DC3&quot;/&gt;&lt;wsp:rsid wsp:val=&quot;00D9722C&quot;/&gt;&lt;wsp:rsid wsp:val=&quot;00DA0996&quot;/&gt;&lt;wsp:rsid wsp:val=&quot;00DA0E2E&quot;/&gt;&lt;wsp:rsid wsp:val=&quot;00DA0E61&quot;/&gt;&lt;wsp:rsid wsp:val=&quot;00DA1123&quot;/&gt;&lt;wsp:rsid wsp:val=&quot;00DA17CC&quot;/&gt;&lt;wsp:rsid wsp:val=&quot;00DA1AA7&quot;/&gt;&lt;wsp:rsid wsp:val=&quot;00DA1B74&quot;/&gt;&lt;wsp:rsid wsp:val=&quot;00DA24FC&quot;/&gt;&lt;wsp:rsid wsp:val=&quot;00DA266D&quot;/&gt;&lt;wsp:rsid wsp:val=&quot;00DA2760&quot;/&gt;&lt;wsp:rsid wsp:val=&quot;00DA3825&quot;/&gt;&lt;wsp:rsid wsp:val=&quot;00DA3F6C&quot;/&gt;&lt;wsp:rsid wsp:val=&quot;00DA415D&quot;/&gt;&lt;wsp:rsid wsp:val=&quot;00DA4563&quot;/&gt;&lt;wsp:rsid wsp:val=&quot;00DA470C&quot;/&gt;&lt;wsp:rsid wsp:val=&quot;00DA4734&quot;/&gt;&lt;wsp:rsid wsp:val=&quot;00DA4854&quot;/&gt;&lt;wsp:rsid wsp:val=&quot;00DA5299&quot;/&gt;&lt;wsp:rsid wsp:val=&quot;00DA56E6&quot;/&gt;&lt;wsp:rsid wsp:val=&quot;00DA5EE3&quot;/&gt;&lt;wsp:rsid wsp:val=&quot;00DA6BA1&quot;/&gt;&lt;wsp:rsid wsp:val=&quot;00DA6C5E&quot;/&gt;&lt;wsp:rsid wsp:val=&quot;00DA71B2&quot;/&gt;&lt;wsp:rsid wsp:val=&quot;00DA73A2&quot;/&gt;&lt;wsp:rsid wsp:val=&quot;00DA7672&quot;/&gt;&lt;wsp:rsid wsp:val=&quot;00DA7ADE&quot;/&gt;&lt;wsp:rsid wsp:val=&quot;00DA7C50&quot;/&gt;&lt;wsp:rsid wsp:val=&quot;00DA7F95&quot;/&gt;&lt;wsp:rsid wsp:val=&quot;00DA7FC6&quot;/&gt;&lt;wsp:rsid wsp:val=&quot;00DB0E6F&quot;/&gt;&lt;wsp:rsid wsp:val=&quot;00DB1EB1&quot;/&gt;&lt;wsp:rsid wsp:val=&quot;00DB1FF9&quot;/&gt;&lt;wsp:rsid wsp:val=&quot;00DB2696&quot;/&gt;&lt;wsp:rsid wsp:val=&quot;00DB2983&quot;/&gt;&lt;wsp:rsid wsp:val=&quot;00DB3C27&quot;/&gt;&lt;wsp:rsid wsp:val=&quot;00DB3EB1&quot;/&gt;&lt;wsp:rsid wsp:val=&quot;00DB43E5&quot;/&gt;&lt;wsp:rsid wsp:val=&quot;00DB4D4A&quot;/&gt;&lt;wsp:rsid wsp:val=&quot;00DB53AB&quot;/&gt;&lt;wsp:rsid wsp:val=&quot;00DB54B9&quot;/&gt;&lt;wsp:rsid wsp:val=&quot;00DB5922&quot;/&gt;&lt;wsp:rsid wsp:val=&quot;00DB5EA0&quot;/&gt;&lt;wsp:rsid wsp:val=&quot;00DB6473&quot;/&gt;&lt;wsp:rsid wsp:val=&quot;00DB668C&quot;/&gt;&lt;wsp:rsid wsp:val=&quot;00DB6E5D&quot;/&gt;&lt;wsp:rsid wsp:val=&quot;00DB7DEA&quot;/&gt;&lt;wsp:rsid wsp:val=&quot;00DC0114&quot;/&gt;&lt;wsp:rsid wsp:val=&quot;00DC0AD2&quot;/&gt;&lt;wsp:rsid wsp:val=&quot;00DC0E1B&quot;/&gt;&lt;wsp:rsid wsp:val=&quot;00DC1247&quot;/&gt;&lt;wsp:rsid wsp:val=&quot;00DC1257&quot;/&gt;&lt;wsp:rsid wsp:val=&quot;00DC1A9A&quot;/&gt;&lt;wsp:rsid wsp:val=&quot;00DC2216&quot;/&gt;&lt;wsp:rsid wsp:val=&quot;00DC2986&quot;/&gt;&lt;wsp:rsid wsp:val=&quot;00DC3BAB&quot;/&gt;&lt;wsp:rsid wsp:val=&quot;00DC3DC0&quot;/&gt;&lt;wsp:rsid wsp:val=&quot;00DC4518&quot;/&gt;&lt;wsp:rsid wsp:val=&quot;00DC4D51&quot;/&gt;&lt;wsp:rsid wsp:val=&quot;00DC563A&quot;/&gt;&lt;wsp:rsid wsp:val=&quot;00DC5B2B&quot;/&gt;&lt;wsp:rsid wsp:val=&quot;00DC5F5E&quot;/&gt;&lt;wsp:rsid wsp:val=&quot;00DC6334&quot;/&gt;&lt;wsp:rsid wsp:val=&quot;00DC63F0&quot;/&gt;&lt;wsp:rsid wsp:val=&quot;00DC65C3&quot;/&gt;&lt;wsp:rsid wsp:val=&quot;00DC6A82&quot;/&gt;&lt;wsp:rsid wsp:val=&quot;00DC6AFD&quot;/&gt;&lt;wsp:rsid wsp:val=&quot;00DC7574&quot;/&gt;&lt;wsp:rsid wsp:val=&quot;00DC77F6&quot;/&gt;&lt;wsp:rsid wsp:val=&quot;00DC7848&quot;/&gt;&lt;wsp:rsid wsp:val=&quot;00DD0061&quot;/&gt;&lt;wsp:rsid wsp:val=&quot;00DD183E&quot;/&gt;&lt;wsp:rsid wsp:val=&quot;00DD202F&quot;/&gt;&lt;wsp:rsid wsp:val=&quot;00DD23E4&quot;/&gt;&lt;wsp:rsid wsp:val=&quot;00DD28C3&quot;/&gt;&lt;wsp:rsid wsp:val=&quot;00DD318D&quot;/&gt;&lt;wsp:rsid wsp:val=&quot;00DD33E1&quot;/&gt;&lt;wsp:rsid wsp:val=&quot;00DD3534&quot;/&gt;&lt;wsp:rsid wsp:val=&quot;00DD4430&quot;/&gt;&lt;wsp:rsid wsp:val=&quot;00DD5914&quot;/&gt;&lt;wsp:rsid wsp:val=&quot;00DD59FA&quot;/&gt;&lt;wsp:rsid wsp:val=&quot;00DD5EE4&quot;/&gt;&lt;wsp:rsid wsp:val=&quot;00DD6538&quot;/&gt;&lt;wsp:rsid wsp:val=&quot;00DD655A&quot;/&gt;&lt;wsp:rsid wsp:val=&quot;00DD6CF6&quot;/&gt;&lt;wsp:rsid wsp:val=&quot;00DD715C&quot;/&gt;&lt;wsp:rsid wsp:val=&quot;00DD7414&quot;/&gt;&lt;wsp:rsid wsp:val=&quot;00DD75A1&quot;/&gt;&lt;wsp:rsid wsp:val=&quot;00DD78C9&quot;/&gt;&lt;wsp:rsid wsp:val=&quot;00DD7BBC&quot;/&gt;&lt;wsp:rsid wsp:val=&quot;00DD7E1B&quot;/&gt;&lt;wsp:rsid wsp:val=&quot;00DE01C8&quot;/&gt;&lt;wsp:rsid wsp:val=&quot;00DE03B7&quot;/&gt;&lt;wsp:rsid wsp:val=&quot;00DE093E&quot;/&gt;&lt;wsp:rsid wsp:val=&quot;00DE176A&quot;/&gt;&lt;wsp:rsid wsp:val=&quot;00DE270D&quot;/&gt;&lt;wsp:rsid wsp:val=&quot;00DE282D&quot;/&gt;&lt;wsp:rsid wsp:val=&quot;00DE2A0A&quot;/&gt;&lt;wsp:rsid wsp:val=&quot;00DE2B53&quot;/&gt;&lt;wsp:rsid wsp:val=&quot;00DE2C3A&quot;/&gt;&lt;wsp:rsid wsp:val=&quot;00DE316C&quot;/&gt;&lt;wsp:rsid wsp:val=&quot;00DE35D9&quot;/&gt;&lt;wsp:rsid wsp:val=&quot;00DE3BFB&quot;/&gt;&lt;wsp:rsid wsp:val=&quot;00DE4FFA&quot;/&gt;&lt;wsp:rsid wsp:val=&quot;00DE51D9&quot;/&gt;&lt;wsp:rsid wsp:val=&quot;00DE587C&quot;/&gt;&lt;wsp:rsid wsp:val=&quot;00DE6402&quot;/&gt;&lt;wsp:rsid wsp:val=&quot;00DE64A4&quot;/&gt;&lt;wsp:rsid wsp:val=&quot;00DE7810&quot;/&gt;&lt;wsp:rsid wsp:val=&quot;00DE7F9B&quot;/&gt;&lt;wsp:rsid wsp:val=&quot;00DF0215&quot;/&gt;&lt;wsp:rsid wsp:val=&quot;00DF1109&quot;/&gt;&lt;wsp:rsid wsp:val=&quot;00DF122E&quot;/&gt;&lt;wsp:rsid wsp:val=&quot;00DF2E12&quot;/&gt;&lt;wsp:rsid wsp:val=&quot;00DF3454&quot;/&gt;&lt;wsp:rsid wsp:val=&quot;00DF39CA&quot;/&gt;&lt;wsp:rsid wsp:val=&quot;00DF4C83&quot;/&gt;&lt;wsp:rsid wsp:val=&quot;00DF4D99&quot;/&gt;&lt;wsp:rsid wsp:val=&quot;00DF5055&quot;/&gt;&lt;wsp:rsid wsp:val=&quot;00DF514A&quot;/&gt;&lt;wsp:rsid wsp:val=&quot;00DF5458&quot;/&gt;&lt;wsp:rsid wsp:val=&quot;00DF5838&quot;/&gt;&lt;wsp:rsid wsp:val=&quot;00DF59F3&quot;/&gt;&lt;wsp:rsid wsp:val=&quot;00DF5F21&quot;/&gt;&lt;wsp:rsid wsp:val=&quot;00DF5FDF&quot;/&gt;&lt;wsp:rsid wsp:val=&quot;00DF6690&quot;/&gt;&lt;wsp:rsid wsp:val=&quot;00DF6804&quot;/&gt;&lt;wsp:rsid wsp:val=&quot;00DF6AEB&quot;/&gt;&lt;wsp:rsid wsp:val=&quot;00DF6F4F&quot;/&gt;&lt;wsp:rsid wsp:val=&quot;00DF7830&quot;/&gt;&lt;wsp:rsid wsp:val=&quot;00DF7855&quot;/&gt;&lt;wsp:rsid wsp:val=&quot;00DF7B0B&quot;/&gt;&lt;wsp:rsid wsp:val=&quot;00E0228B&quot;/&gt;&lt;wsp:rsid wsp:val=&quot;00E02F46&quot;/&gt;&lt;wsp:rsid wsp:val=&quot;00E0315A&quot;/&gt;&lt;wsp:rsid wsp:val=&quot;00E0358D&quot;/&gt;&lt;wsp:rsid wsp:val=&quot;00E03B23&quot;/&gt;&lt;wsp:rsid wsp:val=&quot;00E03CCD&quot;/&gt;&lt;wsp:rsid wsp:val=&quot;00E04323&quot;/&gt;&lt;wsp:rsid wsp:val=&quot;00E05147&quot;/&gt;&lt;wsp:rsid wsp:val=&quot;00E05202&quot;/&gt;&lt;wsp:rsid wsp:val=&quot;00E0617C&quot;/&gt;&lt;wsp:rsid wsp:val=&quot;00E061AC&quot;/&gt;&lt;wsp:rsid wsp:val=&quot;00E06D95&quot;/&gt;&lt;wsp:rsid wsp:val=&quot;00E070A2&quot;/&gt;&lt;wsp:rsid wsp:val=&quot;00E07B1E&quot;/&gt;&lt;wsp:rsid wsp:val=&quot;00E07C88&quot;/&gt;&lt;wsp:rsid wsp:val=&quot;00E07D30&quot;/&gt;&lt;wsp:rsid wsp:val=&quot;00E11B63&quot;/&gt;&lt;wsp:rsid wsp:val=&quot;00E11C7B&quot;/&gt;&lt;wsp:rsid wsp:val=&quot;00E1467E&quot;/&gt;&lt;wsp:rsid wsp:val=&quot;00E14935&quot;/&gt;&lt;wsp:rsid wsp:val=&quot;00E14E14&quot;/&gt;&lt;wsp:rsid wsp:val=&quot;00E14F62&quot;/&gt;&lt;wsp:rsid wsp:val=&quot;00E1579C&quot;/&gt;&lt;wsp:rsid wsp:val=&quot;00E159B1&quot;/&gt;&lt;wsp:rsid wsp:val=&quot;00E15ABF&quot;/&gt;&lt;wsp:rsid wsp:val=&quot;00E15B8F&quot;/&gt;&lt;wsp:rsid wsp:val=&quot;00E15F14&quot;/&gt;&lt;wsp:rsid wsp:val=&quot;00E164D5&quot;/&gt;&lt;wsp:rsid wsp:val=&quot;00E1651C&quot;/&gt;&lt;wsp:rsid wsp:val=&quot;00E171BB&quot;/&gt;&lt;wsp:rsid wsp:val=&quot;00E174E9&quot;/&gt;&lt;wsp:rsid wsp:val=&quot;00E176B4&quot;/&gt;&lt;wsp:rsid wsp:val=&quot;00E205D9&quot;/&gt;&lt;wsp:rsid wsp:val=&quot;00E20B69&quot;/&gt;&lt;wsp:rsid wsp:val=&quot;00E20CEF&quot;/&gt;&lt;wsp:rsid wsp:val=&quot;00E21331&quot;/&gt;&lt;wsp:rsid wsp:val=&quot;00E219C5&quot;/&gt;&lt;wsp:rsid wsp:val=&quot;00E22C74&quot;/&gt;&lt;wsp:rsid wsp:val=&quot;00E22C95&quot;/&gt;&lt;wsp:rsid wsp:val=&quot;00E2361F&quot;/&gt;&lt;wsp:rsid wsp:val=&quot;00E23A31&quot;/&gt;&lt;wsp:rsid wsp:val=&quot;00E23CFC&quot;/&gt;&lt;wsp:rsid wsp:val=&quot;00E23F16&quot;/&gt;&lt;wsp:rsid wsp:val=&quot;00E24126&quot;/&gt;&lt;wsp:rsid wsp:val=&quot;00E242B5&quot;/&gt;&lt;wsp:rsid wsp:val=&quot;00E2620F&quot;/&gt;&lt;wsp:rsid wsp:val=&quot;00E26356&quot;/&gt;&lt;wsp:rsid wsp:val=&quot;00E2656A&quot;/&gt;&lt;wsp:rsid wsp:val=&quot;00E26D91&quot;/&gt;&lt;wsp:rsid wsp:val=&quot;00E27D26&quot;/&gt;&lt;wsp:rsid wsp:val=&quot;00E27F8E&quot;/&gt;&lt;wsp:rsid wsp:val=&quot;00E30AF6&quot;/&gt;&lt;wsp:rsid wsp:val=&quot;00E313CC&quot;/&gt;&lt;wsp:rsid wsp:val=&quot;00E31679&quot;/&gt;&lt;wsp:rsid wsp:val=&quot;00E322CB&quot;/&gt;&lt;wsp:rsid wsp:val=&quot;00E327BB&quot;/&gt;&lt;wsp:rsid wsp:val=&quot;00E34585&quot;/&gt;&lt;wsp:rsid wsp:val=&quot;00E34C35&quot;/&gt;&lt;wsp:rsid wsp:val=&quot;00E35685&quot;/&gt;&lt;wsp:rsid wsp:val=&quot;00E36672&quot;/&gt;&lt;wsp:rsid wsp:val=&quot;00E36826&quot;/&gt;&lt;wsp:rsid wsp:val=&quot;00E36D79&quot;/&gt;&lt;wsp:rsid wsp:val=&quot;00E36EA9&quot;/&gt;&lt;wsp:rsid wsp:val=&quot;00E373CA&quot;/&gt;&lt;wsp:rsid wsp:val=&quot;00E3765E&quot;/&gt;&lt;wsp:rsid wsp:val=&quot;00E37B06&quot;/&gt;&lt;wsp:rsid wsp:val=&quot;00E37FF6&quot;/&gt;&lt;wsp:rsid wsp:val=&quot;00E40C7A&quot;/&gt;&lt;wsp:rsid wsp:val=&quot;00E40EEB&quot;/&gt;&lt;wsp:rsid wsp:val=&quot;00E40F29&quot;/&gt;&lt;wsp:rsid wsp:val=&quot;00E4120D&quot;/&gt;&lt;wsp:rsid wsp:val=&quot;00E412D0&quot;/&gt;&lt;wsp:rsid wsp:val=&quot;00E415A2&quot;/&gt;&lt;wsp:rsid wsp:val=&quot;00E417AA&quot;/&gt;&lt;wsp:rsid wsp:val=&quot;00E422A8&quot;/&gt;&lt;wsp:rsid wsp:val=&quot;00E42669&quot;/&gt;&lt;wsp:rsid wsp:val=&quot;00E4272C&quot;/&gt;&lt;wsp:rsid wsp:val=&quot;00E44493&quot;/&gt;&lt;wsp:rsid wsp:val=&quot;00E44531&quot;/&gt;&lt;wsp:rsid wsp:val=&quot;00E456E1&quot;/&gt;&lt;wsp:rsid wsp:val=&quot;00E460A0&quot;/&gt;&lt;wsp:rsid wsp:val=&quot;00E46CC7&quot;/&gt;&lt;wsp:rsid wsp:val=&quot;00E46DC4&quot;/&gt;&lt;wsp:rsid wsp:val=&quot;00E478E3&quot;/&gt;&lt;wsp:rsid wsp:val=&quot;00E47A47&quot;/&gt;&lt;wsp:rsid wsp:val=&quot;00E47EBE&quot;/&gt;&lt;wsp:rsid wsp:val=&quot;00E50140&quot;/&gt;&lt;wsp:rsid wsp:val=&quot;00E50CEF&quot;/&gt;&lt;wsp:rsid wsp:val=&quot;00E510BF&quot;/&gt;&lt;wsp:rsid wsp:val=&quot;00E51B1B&quot;/&gt;&lt;wsp:rsid wsp:val=&quot;00E52060&quot;/&gt;&lt;wsp:rsid wsp:val=&quot;00E521E6&quot;/&gt;&lt;wsp:rsid wsp:val=&quot;00E52FF3&quot;/&gt;&lt;wsp:rsid wsp:val=&quot;00E53281&quot;/&gt;&lt;wsp:rsid wsp:val=&quot;00E533CB&quot;/&gt;&lt;wsp:rsid wsp:val=&quot;00E5359B&quot;/&gt;&lt;wsp:rsid wsp:val=&quot;00E538F1&quot;/&gt;&lt;wsp:rsid wsp:val=&quot;00E539F9&quot;/&gt;&lt;wsp:rsid wsp:val=&quot;00E53A23&quot;/&gt;&lt;wsp:rsid wsp:val=&quot;00E5454A&quot;/&gt;&lt;wsp:rsid wsp:val=&quot;00E55F44&quot;/&gt;&lt;wsp:rsid wsp:val=&quot;00E560B8&quot;/&gt;&lt;wsp:rsid wsp:val=&quot;00E56322&quot;/&gt;&lt;wsp:rsid wsp:val=&quot;00E568DD&quot;/&gt;&lt;wsp:rsid wsp:val=&quot;00E5696B&quot;/&gt;&lt;wsp:rsid wsp:val=&quot;00E56A64&quot;/&gt;&lt;wsp:rsid wsp:val=&quot;00E56E12&quot;/&gt;&lt;wsp:rsid wsp:val=&quot;00E57F55&quot;/&gt;&lt;wsp:rsid wsp:val=&quot;00E6047B&quot;/&gt;&lt;wsp:rsid wsp:val=&quot;00E60982&quot;/&gt;&lt;wsp:rsid wsp:val=&quot;00E61972&quot;/&gt;&lt;wsp:rsid wsp:val=&quot;00E62092&quot;/&gt;&lt;wsp:rsid wsp:val=&quot;00E62863&quot;/&gt;&lt;wsp:rsid wsp:val=&quot;00E62A12&quot;/&gt;&lt;wsp:rsid wsp:val=&quot;00E62C62&quot;/&gt;&lt;wsp:rsid wsp:val=&quot;00E62E68&quot;/&gt;&lt;wsp:rsid wsp:val=&quot;00E631CB&quot;/&gt;&lt;wsp:rsid wsp:val=&quot;00E63AD2&quot;/&gt;&lt;wsp:rsid wsp:val=&quot;00E642B3&quot;/&gt;&lt;wsp:rsid wsp:val=&quot;00E64F93&quot;/&gt;&lt;wsp:rsid wsp:val=&quot;00E65210&quot;/&gt;&lt;wsp:rsid wsp:val=&quot;00E654C1&quot;/&gt;&lt;wsp:rsid wsp:val=&quot;00E65770&quot;/&gt;&lt;wsp:rsid wsp:val=&quot;00E65D97&quot;/&gt;&lt;wsp:rsid wsp:val=&quot;00E66142&quot;/&gt;&lt;wsp:rsid wsp:val=&quot;00E6655A&quot;/&gt;&lt;wsp:rsid wsp:val=&quot;00E6736C&quot;/&gt;&lt;wsp:rsid wsp:val=&quot;00E673DB&quot;/&gt;&lt;wsp:rsid wsp:val=&quot;00E67B3F&quot;/&gt;&lt;wsp:rsid wsp:val=&quot;00E67D8C&quot;/&gt;&lt;wsp:rsid wsp:val=&quot;00E7120C&quot;/&gt;&lt;wsp:rsid wsp:val=&quot;00E71DBB&quot;/&gt;&lt;wsp:rsid wsp:val=&quot;00E71EE5&quot;/&gt;&lt;wsp:rsid wsp:val=&quot;00E71FA8&quot;/&gt;&lt;wsp:rsid wsp:val=&quot;00E723F1&quot;/&gt;&lt;wsp:rsid wsp:val=&quot;00E724A7&quot;/&gt;&lt;wsp:rsid wsp:val=&quot;00E72A5A&quot;/&gt;&lt;wsp:rsid wsp:val=&quot;00E73354&quot;/&gt;&lt;wsp:rsid wsp:val=&quot;00E7337D&quot;/&gt;&lt;wsp:rsid wsp:val=&quot;00E73564&quot;/&gt;&lt;wsp:rsid wsp:val=&quot;00E73927&quot;/&gt;&lt;wsp:rsid wsp:val=&quot;00E739CD&quot;/&gt;&lt;wsp:rsid wsp:val=&quot;00E740B1&quot;/&gt;&lt;wsp:rsid wsp:val=&quot;00E752F7&quot;/&gt;&lt;wsp:rsid wsp:val=&quot;00E76147&quot;/&gt;&lt;wsp:rsid wsp:val=&quot;00E768EE&quot;/&gt;&lt;wsp:rsid wsp:val=&quot;00E76B06&quot;/&gt;&lt;wsp:rsid wsp:val=&quot;00E76E3D&quot;/&gt;&lt;wsp:rsid wsp:val=&quot;00E778F7&quot;/&gt;&lt;wsp:rsid wsp:val=&quot;00E77DD4&quot;/&gt;&lt;wsp:rsid wsp:val=&quot;00E77DD9&quot;/&gt;&lt;wsp:rsid wsp:val=&quot;00E77F8E&quot;/&gt;&lt;wsp:rsid wsp:val=&quot;00E802FC&quot;/&gt;&lt;wsp:rsid wsp:val=&quot;00E80432&quot;/&gt;&lt;wsp:rsid wsp:val=&quot;00E80565&quot;/&gt;&lt;wsp:rsid wsp:val=&quot;00E806B1&quot;/&gt;&lt;wsp:rsid wsp:val=&quot;00E80D7F&quot;/&gt;&lt;wsp:rsid wsp:val=&quot;00E815D0&quot;/&gt;&lt;wsp:rsid wsp:val=&quot;00E81703&quot;/&gt;&lt;wsp:rsid wsp:val=&quot;00E81940&quot;/&gt;&lt;wsp:rsid wsp:val=&quot;00E81B4C&quot;/&gt;&lt;wsp:rsid wsp:val=&quot;00E8288F&quot;/&gt;&lt;wsp:rsid wsp:val=&quot;00E82C28&quot;/&gt;&lt;wsp:rsid wsp:val=&quot;00E82D78&quot;/&gt;&lt;wsp:rsid wsp:val=&quot;00E83025&quot;/&gt;&lt;wsp:rsid wsp:val=&quot;00E83B7A&quot;/&gt;&lt;wsp:rsid wsp:val=&quot;00E843A3&quot;/&gt;&lt;wsp:rsid wsp:val=&quot;00E851C1&quot;/&gt;&lt;wsp:rsid wsp:val=&quot;00E85872&quot;/&gt;&lt;wsp:rsid wsp:val=&quot;00E85C4F&quot;/&gt;&lt;wsp:rsid wsp:val=&quot;00E86331&quot;/&gt;&lt;wsp:rsid wsp:val=&quot;00E8641B&quot;/&gt;&lt;wsp:rsid wsp:val=&quot;00E87445&quot;/&gt;&lt;wsp:rsid wsp:val=&quot;00E8752B&quot;/&gt;&lt;wsp:rsid wsp:val=&quot;00E877E8&quot;/&gt;&lt;wsp:rsid wsp:val=&quot;00E903B8&quot;/&gt;&lt;wsp:rsid wsp:val=&quot;00E9126D&quot;/&gt;&lt;wsp:rsid wsp:val=&quot;00E913EE&quot;/&gt;&lt;wsp:rsid wsp:val=&quot;00E9224A&quot;/&gt;&lt;wsp:rsid wsp:val=&quot;00E9242D&quot;/&gt;&lt;wsp:rsid wsp:val=&quot;00E924A2&quot;/&gt;&lt;wsp:rsid wsp:val=&quot;00E93666&quot;/&gt;&lt;wsp:rsid wsp:val=&quot;00E93D61&quot;/&gt;&lt;wsp:rsid wsp:val=&quot;00E94187&quot;/&gt;&lt;wsp:rsid wsp:val=&quot;00E941F4&quot;/&gt;&lt;wsp:rsid wsp:val=&quot;00E94370&quot;/&gt;&lt;wsp:rsid wsp:val=&quot;00E95325&quot;/&gt;&lt;wsp:rsid wsp:val=&quot;00E96F30&quot;/&gt;&lt;wsp:rsid wsp:val=&quot;00E97159&quot;/&gt;&lt;wsp:rsid wsp:val=&quot;00E97A3D&quot;/&gt;&lt;wsp:rsid wsp:val=&quot;00EA0D88&quot;/&gt;&lt;wsp:rsid wsp:val=&quot;00EA1064&quot;/&gt;&lt;wsp:rsid wsp:val=&quot;00EA17B2&quot;/&gt;&lt;wsp:rsid wsp:val=&quot;00EA1E90&quot;/&gt;&lt;wsp:rsid wsp:val=&quot;00EA206F&quot;/&gt;&lt;wsp:rsid wsp:val=&quot;00EA2F66&quot;/&gt;&lt;wsp:rsid wsp:val=&quot;00EA30EF&quot;/&gt;&lt;wsp:rsid wsp:val=&quot;00EA3908&quot;/&gt;&lt;wsp:rsid wsp:val=&quot;00EA404E&quot;/&gt;&lt;wsp:rsid wsp:val=&quot;00EA43BF&quot;/&gt;&lt;wsp:rsid wsp:val=&quot;00EA4A62&quot;/&gt;&lt;wsp:rsid wsp:val=&quot;00EA500F&quot;/&gt;&lt;wsp:rsid wsp:val=&quot;00EA52E4&quot;/&gt;&lt;wsp:rsid wsp:val=&quot;00EA5B7D&quot;/&gt;&lt;wsp:rsid wsp:val=&quot;00EA7116&quot;/&gt;&lt;wsp:rsid wsp:val=&quot;00EA734D&quot;/&gt;&lt;wsp:rsid wsp:val=&quot;00EA738C&quot;/&gt;&lt;wsp:rsid wsp:val=&quot;00EB00AC&quot;/&gt;&lt;wsp:rsid wsp:val=&quot;00EB0145&quot;/&gt;&lt;wsp:rsid wsp:val=&quot;00EB0513&quot;/&gt;&lt;wsp:rsid wsp:val=&quot;00EB07AA&quot;/&gt;&lt;wsp:rsid wsp:val=&quot;00EB1CFE&quot;/&gt;&lt;wsp:rsid wsp:val=&quot;00EB1F47&quot;/&gt;&lt;wsp:rsid wsp:val=&quot;00EB2DF2&quot;/&gt;&lt;wsp:rsid wsp:val=&quot;00EB33D6&quot;/&gt;&lt;wsp:rsid wsp:val=&quot;00EB4E3A&quot;/&gt;&lt;wsp:rsid wsp:val=&quot;00EB4E97&quot;/&gt;&lt;wsp:rsid wsp:val=&quot;00EB5255&quot;/&gt;&lt;wsp:rsid wsp:val=&quot;00EB57FE&quot;/&gt;&lt;wsp:rsid wsp:val=&quot;00EB59E7&quot;/&gt;&lt;wsp:rsid wsp:val=&quot;00EB5C47&quot;/&gt;&lt;wsp:rsid wsp:val=&quot;00EB5D20&quot;/&gt;&lt;wsp:rsid wsp:val=&quot;00EB5D28&quot;/&gt;&lt;wsp:rsid wsp:val=&quot;00EB653B&quot;/&gt;&lt;wsp:rsid wsp:val=&quot;00EB7BAE&quot;/&gt;&lt;wsp:rsid wsp:val=&quot;00EC0F11&quot;/&gt;&lt;wsp:rsid wsp:val=&quot;00EC1011&quot;/&gt;&lt;wsp:rsid wsp:val=&quot;00EC11A1&quot;/&gt;&lt;wsp:rsid wsp:val=&quot;00EC14A4&quot;/&gt;&lt;wsp:rsid wsp:val=&quot;00EC1943&quot;/&gt;&lt;wsp:rsid wsp:val=&quot;00EC2EAD&quot;/&gt;&lt;wsp:rsid wsp:val=&quot;00EC2ED9&quot;/&gt;&lt;wsp:rsid wsp:val=&quot;00EC3652&quot;/&gt;&lt;wsp:rsid wsp:val=&quot;00EC3B55&quot;/&gt;&lt;wsp:rsid wsp:val=&quot;00EC3D63&quot;/&gt;&lt;wsp:rsid wsp:val=&quot;00EC492F&quot;/&gt;&lt;wsp:rsid wsp:val=&quot;00EC4FEB&quot;/&gt;&lt;wsp:rsid wsp:val=&quot;00EC59A8&quot;/&gt;&lt;wsp:rsid wsp:val=&quot;00EC5A67&quot;/&gt;&lt;wsp:rsid wsp:val=&quot;00EC5D34&quot;/&gt;&lt;wsp:rsid wsp:val=&quot;00EC60D4&quot;/&gt;&lt;wsp:rsid wsp:val=&quot;00EC79EA&quot;/&gt;&lt;wsp:rsid wsp:val=&quot;00EC7A47&quot;/&gt;&lt;wsp:rsid wsp:val=&quot;00EC7C47&quot;/&gt;&lt;wsp:rsid wsp:val=&quot;00EC7F64&quot;/&gt;&lt;wsp:rsid wsp:val=&quot;00ED0639&quot;/&gt;&lt;wsp:rsid wsp:val=&quot;00ED06BE&quot;/&gt;&lt;wsp:rsid wsp:val=&quot;00ED06FE&quot;/&gt;&lt;wsp:rsid wsp:val=&quot;00ED0D7C&quot;/&gt;&lt;wsp:rsid wsp:val=&quot;00ED142F&quot;/&gt;&lt;wsp:rsid wsp:val=&quot;00ED152B&quot;/&gt;&lt;wsp:rsid wsp:val=&quot;00ED16DC&quot;/&gt;&lt;wsp:rsid wsp:val=&quot;00ED1A3E&quot;/&gt;&lt;wsp:rsid wsp:val=&quot;00ED2990&quot;/&gt;&lt;wsp:rsid wsp:val=&quot;00ED2A61&quot;/&gt;&lt;wsp:rsid wsp:val=&quot;00ED31CA&quot;/&gt;&lt;wsp:rsid wsp:val=&quot;00ED3DE9&quot;/&gt;&lt;wsp:rsid wsp:val=&quot;00ED41D7&quot;/&gt;&lt;wsp:rsid wsp:val=&quot;00ED4669&quot;/&gt;&lt;wsp:rsid wsp:val=&quot;00ED46E0&quot;/&gt;&lt;wsp:rsid wsp:val=&quot;00ED47FB&quot;/&gt;&lt;wsp:rsid wsp:val=&quot;00ED482B&quot;/&gt;&lt;wsp:rsid wsp:val=&quot;00ED4BE0&quot;/&gt;&lt;wsp:rsid wsp:val=&quot;00ED5263&quot;/&gt;&lt;wsp:rsid wsp:val=&quot;00ED52AE&quot;/&gt;&lt;wsp:rsid wsp:val=&quot;00ED55BC&quot;/&gt;&lt;wsp:rsid wsp:val=&quot;00ED5780&quot;/&gt;&lt;wsp:rsid wsp:val=&quot;00ED60E6&quot;/&gt;&lt;wsp:rsid wsp:val=&quot;00ED63C2&quot;/&gt;&lt;wsp:rsid wsp:val=&quot;00ED7024&quot;/&gt;&lt;wsp:rsid wsp:val=&quot;00ED749A&quot;/&gt;&lt;wsp:rsid wsp:val=&quot;00ED7FAF&quot;/&gt;&lt;wsp:rsid wsp:val=&quot;00EE031E&quot;/&gt;&lt;wsp:rsid wsp:val=&quot;00EE13EE&quot;/&gt;&lt;wsp:rsid wsp:val=&quot;00EE3EA9&quot;/&gt;&lt;wsp:rsid wsp:val=&quot;00EE4187&quot;/&gt;&lt;wsp:rsid wsp:val=&quot;00EE425D&quot;/&gt;&lt;wsp:rsid wsp:val=&quot;00EE4390&quot;/&gt;&lt;wsp:rsid wsp:val=&quot;00EE51C4&quot;/&gt;&lt;wsp:rsid wsp:val=&quot;00EE5331&quot;/&gt;&lt;wsp:rsid wsp:val=&quot;00EE5F0A&quot;/&gt;&lt;wsp:rsid wsp:val=&quot;00EE5FF1&quot;/&gt;&lt;wsp:rsid wsp:val=&quot;00EE629C&quot;/&gt;&lt;wsp:rsid wsp:val=&quot;00EE6A7C&quot;/&gt;&lt;wsp:rsid wsp:val=&quot;00EE77C7&quot;/&gt;&lt;wsp:rsid wsp:val=&quot;00EE7BFD&quot;/&gt;&lt;wsp:rsid wsp:val=&quot;00EF0354&quot;/&gt;&lt;wsp:rsid wsp:val=&quot;00EF14A0&quot;/&gt;&lt;wsp:rsid wsp:val=&quot;00EF1770&quot;/&gt;&lt;wsp:rsid wsp:val=&quot;00EF1A6A&quot;/&gt;&lt;wsp:rsid wsp:val=&quot;00EF1AD8&quot;/&gt;&lt;wsp:rsid wsp:val=&quot;00EF1E8F&quot;/&gt;&lt;wsp:rsid wsp:val=&quot;00EF1EDF&quot;/&gt;&lt;wsp:rsid wsp:val=&quot;00EF215B&quot;/&gt;&lt;wsp:rsid wsp:val=&quot;00EF2446&quot;/&gt;&lt;wsp:rsid wsp:val=&quot;00EF24D5&quot;/&gt;&lt;wsp:rsid wsp:val=&quot;00EF2670&quot;/&gt;&lt;wsp:rsid wsp:val=&quot;00EF2CFA&quot;/&gt;&lt;wsp:rsid wsp:val=&quot;00EF33D1&quot;/&gt;&lt;wsp:rsid wsp:val=&quot;00EF38D7&quot;/&gt;&lt;wsp:rsid wsp:val=&quot;00EF4755&quot;/&gt;&lt;wsp:rsid wsp:val=&quot;00EF4D1B&quot;/&gt;&lt;wsp:rsid wsp:val=&quot;00EF565E&quot;/&gt;&lt;wsp:rsid wsp:val=&quot;00EF5901&quot;/&gt;&lt;wsp:rsid wsp:val=&quot;00EF5943&quot;/&gt;&lt;wsp:rsid wsp:val=&quot;00EF6C64&quot;/&gt;&lt;wsp:rsid wsp:val=&quot;00EF7135&quot;/&gt;&lt;wsp:rsid wsp:val=&quot;00EF785E&quot;/&gt;&lt;wsp:rsid wsp:val=&quot;00EF7AB7&quot;/&gt;&lt;wsp:rsid wsp:val=&quot;00EF7CC6&quot;/&gt;&lt;wsp:rsid wsp:val=&quot;00F00DAA&quot;/&gt;&lt;wsp:rsid wsp:val=&quot;00F01F55&quot;/&gt;&lt;wsp:rsid wsp:val=&quot;00F02554&quot;/&gt;&lt;wsp:rsid wsp:val=&quot;00F027DB&quot;/&gt;&lt;wsp:rsid wsp:val=&quot;00F03744&quot;/&gt;&lt;wsp:rsid wsp:val=&quot;00F0378D&quot;/&gt;&lt;wsp:rsid wsp:val=&quot;00F03A02&quot;/&gt;&lt;wsp:rsid wsp:val=&quot;00F03D45&quot;/&gt;&lt;wsp:rsid wsp:val=&quot;00F05101&quot;/&gt;&lt;wsp:rsid wsp:val=&quot;00F05276&quot;/&gt;&lt;wsp:rsid wsp:val=&quot;00F0549F&quot;/&gt;&lt;wsp:rsid wsp:val=&quot;00F05DA6&quot;/&gt;&lt;wsp:rsid wsp:val=&quot;00F05DE1&quot;/&gt;&lt;wsp:rsid wsp:val=&quot;00F05ED9&quot;/&gt;&lt;wsp:rsid wsp:val=&quot;00F06CE3&quot;/&gt;&lt;wsp:rsid wsp:val=&quot;00F10210&quot;/&gt;&lt;wsp:rsid wsp:val=&quot;00F11C25&quot;/&gt;&lt;wsp:rsid wsp:val=&quot;00F122EF&quot;/&gt;&lt;wsp:rsid wsp:val=&quot;00F12B3F&quot;/&gt;&lt;wsp:rsid wsp:val=&quot;00F12C48&quot;/&gt;&lt;wsp:rsid wsp:val=&quot;00F13AFC&quot;/&gt;&lt;wsp:rsid wsp:val=&quot;00F13BFC&quot;/&gt;&lt;wsp:rsid wsp:val=&quot;00F14026&quot;/&gt;&lt;wsp:rsid wsp:val=&quot;00F1460F&quot;/&gt;&lt;wsp:rsid wsp:val=&quot;00F14A7A&quot;/&gt;&lt;wsp:rsid wsp:val=&quot;00F14E08&quot;/&gt;&lt;wsp:rsid wsp:val=&quot;00F15068&quot;/&gt;&lt;wsp:rsid wsp:val=&quot;00F1577B&quot;/&gt;&lt;wsp:rsid wsp:val=&quot;00F159EC&quot;/&gt;&lt;wsp:rsid wsp:val=&quot;00F15AD4&quot;/&gt;&lt;wsp:rsid wsp:val=&quot;00F15DB5&quot;/&gt;&lt;wsp:rsid wsp:val=&quot;00F15E6A&quot;/&gt;&lt;wsp:rsid wsp:val=&quot;00F15EFE&quot;/&gt;&lt;wsp:rsid wsp:val=&quot;00F164E0&quot;/&gt;&lt;wsp:rsid wsp:val=&quot;00F1687E&quot;/&gt;&lt;wsp:rsid wsp:val=&quot;00F16AC6&quot;/&gt;&lt;wsp:rsid wsp:val=&quot;00F16FC7&quot;/&gt;&lt;wsp:rsid wsp:val=&quot;00F176CE&quot;/&gt;&lt;wsp:rsid wsp:val=&quot;00F17930&quot;/&gt;&lt;wsp:rsid wsp:val=&quot;00F17AE2&quot;/&gt;&lt;wsp:rsid wsp:val=&quot;00F20C1F&quot;/&gt;&lt;wsp:rsid wsp:val=&quot;00F221B2&quot;/&gt;&lt;wsp:rsid wsp:val=&quot;00F225BA&quot;/&gt;&lt;wsp:rsid wsp:val=&quot;00F22687&quot;/&gt;&lt;wsp:rsid wsp:val=&quot;00F22985&quot;/&gt;&lt;wsp:rsid wsp:val=&quot;00F22ABA&quot;/&gt;&lt;wsp:rsid wsp:val=&quot;00F22E75&quot;/&gt;&lt;wsp:rsid wsp:val=&quot;00F2321E&quot;/&gt;&lt;wsp:rsid wsp:val=&quot;00F23333&quot;/&gt;&lt;wsp:rsid wsp:val=&quot;00F25267&quot;/&gt;&lt;wsp:rsid wsp:val=&quot;00F25999&quot;/&gt;&lt;wsp:rsid wsp:val=&quot;00F25B06&quot;/&gt;&lt;wsp:rsid wsp:val=&quot;00F25DF3&quot;/&gt;&lt;wsp:rsid wsp:val=&quot;00F2616A&quot;/&gt;&lt;wsp:rsid wsp:val=&quot;00F26F8F&quot;/&gt;&lt;wsp:rsid wsp:val=&quot;00F271C0&quot;/&gt;&lt;wsp:rsid wsp:val=&quot;00F27615&quot;/&gt;&lt;wsp:rsid wsp:val=&quot;00F27973&quot;/&gt;&lt;wsp:rsid wsp:val=&quot;00F30E38&quot;/&gt;&lt;wsp:rsid wsp:val=&quot;00F30F69&quot;/&gt;&lt;wsp:rsid wsp:val=&quot;00F31419&quot;/&gt;&lt;wsp:rsid wsp:val=&quot;00F3153B&quot;/&gt;&lt;wsp:rsid wsp:val=&quot;00F32291&quot;/&gt;&lt;wsp:rsid wsp:val=&quot;00F322DA&quot;/&gt;&lt;wsp:rsid wsp:val=&quot;00F323FC&quot;/&gt;&lt;wsp:rsid wsp:val=&quot;00F326F7&quot;/&gt;&lt;wsp:rsid wsp:val=&quot;00F32CC7&quot;/&gt;&lt;wsp:rsid wsp:val=&quot;00F32EB7&quot;/&gt;&lt;wsp:rsid wsp:val=&quot;00F336C7&quot;/&gt;&lt;wsp:rsid wsp:val=&quot;00F3383E&quot;/&gt;&lt;wsp:rsid wsp:val=&quot;00F33ED9&quot;/&gt;&lt;wsp:rsid wsp:val=&quot;00F34813&quot;/&gt;&lt;wsp:rsid wsp:val=&quot;00F356E6&quot;/&gt;&lt;wsp:rsid wsp:val=&quot;00F359A6&quot;/&gt;&lt;wsp:rsid wsp:val=&quot;00F36BA2&quot;/&gt;&lt;wsp:rsid wsp:val=&quot;00F36DE8&quot;/&gt;&lt;wsp:rsid wsp:val=&quot;00F37970&quot;/&gt;&lt;wsp:rsid wsp:val=&quot;00F40110&quot;/&gt;&lt;wsp:rsid wsp:val=&quot;00F4100C&quot;/&gt;&lt;wsp:rsid wsp:val=&quot;00F41464&quot;/&gt;&lt;wsp:rsid wsp:val=&quot;00F423CE&quot;/&gt;&lt;wsp:rsid wsp:val=&quot;00F42592&quot;/&gt;&lt;wsp:rsid wsp:val=&quot;00F42F07&quot;/&gt;&lt;wsp:rsid wsp:val=&quot;00F431BB&quot;/&gt;&lt;wsp:rsid wsp:val=&quot;00F444E6&quot;/&gt;&lt;wsp:rsid wsp:val=&quot;00F44B8A&quot;/&gt;&lt;wsp:rsid wsp:val=&quot;00F44D94&quot;/&gt;&lt;wsp:rsid wsp:val=&quot;00F45060&quot;/&gt;&lt;wsp:rsid wsp:val=&quot;00F45BDF&quot;/&gt;&lt;wsp:rsid wsp:val=&quot;00F45E07&quot;/&gt;&lt;wsp:rsid wsp:val=&quot;00F45F44&quot;/&gt;&lt;wsp:rsid wsp:val=&quot;00F465A7&quot;/&gt;&lt;wsp:rsid wsp:val=&quot;00F466E2&quot;/&gt;&lt;wsp:rsid wsp:val=&quot;00F466FB&quot;/&gt;&lt;wsp:rsid wsp:val=&quot;00F476CF&quot;/&gt;&lt;wsp:rsid wsp:val=&quot;00F47B88&quot;/&gt;&lt;wsp:rsid wsp:val=&quot;00F50B7C&quot;/&gt;&lt;wsp:rsid wsp:val=&quot;00F514E1&quot;/&gt;&lt;wsp:rsid wsp:val=&quot;00F5192A&quot;/&gt;&lt;wsp:rsid wsp:val=&quot;00F51B15&quot;/&gt;&lt;wsp:rsid wsp:val=&quot;00F51EFA&quot;/&gt;&lt;wsp:rsid wsp:val=&quot;00F533E7&quot;/&gt;&lt;wsp:rsid wsp:val=&quot;00F53727&quot;/&gt;&lt;wsp:rsid wsp:val=&quot;00F53FBA&quot;/&gt;&lt;wsp:rsid wsp:val=&quot;00F54264&quot;/&gt;&lt;wsp:rsid wsp:val=&quot;00F5426D&quot;/&gt;&lt;wsp:rsid wsp:val=&quot;00F545CB&quot;/&gt;&lt;wsp:rsid wsp:val=&quot;00F54699&quot;/&gt;&lt;wsp:rsid wsp:val=&quot;00F54964&quot;/&gt;&lt;wsp:rsid wsp:val=&quot;00F550E6&quot;/&gt;&lt;wsp:rsid wsp:val=&quot;00F5586C&quot;/&gt;&lt;wsp:rsid wsp:val=&quot;00F5623C&quot;/&gt;&lt;wsp:rsid wsp:val=&quot;00F56582&quot;/&gt;&lt;wsp:rsid wsp:val=&quot;00F56ABF&quot;/&gt;&lt;wsp:rsid wsp:val=&quot;00F56B4F&quot;/&gt;&lt;wsp:rsid wsp:val=&quot;00F5707F&quot;/&gt;&lt;wsp:rsid wsp:val=&quot;00F60469&quot;/&gt;&lt;wsp:rsid wsp:val=&quot;00F60511&quot;/&gt;&lt;wsp:rsid wsp:val=&quot;00F6062E&quot;/&gt;&lt;wsp:rsid wsp:val=&quot;00F6069A&quot;/&gt;&lt;wsp:rsid wsp:val=&quot;00F607BA&quot;/&gt;&lt;wsp:rsid wsp:val=&quot;00F60F24&quot;/&gt;&lt;wsp:rsid wsp:val=&quot;00F60FCE&quot;/&gt;&lt;wsp:rsid wsp:val=&quot;00F6160C&quot;/&gt;&lt;wsp:rsid wsp:val=&quot;00F61D1D&quot;/&gt;&lt;wsp:rsid wsp:val=&quot;00F61E7C&quot;/&gt;&lt;wsp:rsid wsp:val=&quot;00F62156&quot;/&gt;&lt;wsp:rsid wsp:val=&quot;00F628A6&quot;/&gt;&lt;wsp:rsid wsp:val=&quot;00F62BB6&quot;/&gt;&lt;wsp:rsid wsp:val=&quot;00F63120&quot;/&gt;&lt;wsp:rsid wsp:val=&quot;00F63FAF&quot;/&gt;&lt;wsp:rsid wsp:val=&quot;00F64F45&quot;/&gt;&lt;wsp:rsid wsp:val=&quot;00F650D5&quot;/&gt;&lt;wsp:rsid wsp:val=&quot;00F6556C&quot;/&gt;&lt;wsp:rsid wsp:val=&quot;00F65FF3&quot;/&gt;&lt;wsp:rsid wsp:val=&quot;00F67049&quot;/&gt;&lt;wsp:rsid wsp:val=&quot;00F67FC7&quot;/&gt;&lt;wsp:rsid wsp:val=&quot;00F70181&quot;/&gt;&lt;wsp:rsid wsp:val=&quot;00F70C1E&quot;/&gt;&lt;wsp:rsid wsp:val=&quot;00F7153C&quot;/&gt;&lt;wsp:rsid wsp:val=&quot;00F715EC&quot;/&gt;&lt;wsp:rsid wsp:val=&quot;00F7191F&quot;/&gt;&lt;wsp:rsid wsp:val=&quot;00F71DED&quot;/&gt;&lt;wsp:rsid wsp:val=&quot;00F74345&quot;/&gt;&lt;wsp:rsid wsp:val=&quot;00F74881&quot;/&gt;&lt;wsp:rsid wsp:val=&quot;00F74B66&quot;/&gt;&lt;wsp:rsid wsp:val=&quot;00F74BA2&quot;/&gt;&lt;wsp:rsid wsp:val=&quot;00F74E18&quot;/&gt;&lt;wsp:rsid wsp:val=&quot;00F7563C&quot;/&gt;&lt;wsp:rsid wsp:val=&quot;00F75B68&quot;/&gt;&lt;wsp:rsid wsp:val=&quot;00F75B92&quot;/&gt;&lt;wsp:rsid wsp:val=&quot;00F76CFE&quot;/&gt;&lt;wsp:rsid wsp:val=&quot;00F76F07&quot;/&gt;&lt;wsp:rsid wsp:val=&quot;00F779F1&quot;/&gt;&lt;wsp:rsid wsp:val=&quot;00F77D37&quot;/&gt;&lt;wsp:rsid wsp:val=&quot;00F80355&quot;/&gt;&lt;wsp:rsid wsp:val=&quot;00F8068A&quot;/&gt;&lt;wsp:rsid wsp:val=&quot;00F80A0A&quot;/&gt;&lt;wsp:rsid wsp:val=&quot;00F8103C&quot;/&gt;&lt;wsp:rsid wsp:val=&quot;00F81647&quot;/&gt;&lt;wsp:rsid wsp:val=&quot;00F826F6&quot;/&gt;&lt;wsp:rsid wsp:val=&quot;00F82B19&quot;/&gt;&lt;wsp:rsid wsp:val=&quot;00F8317C&quot;/&gt;&lt;wsp:rsid wsp:val=&quot;00F83C66&quot;/&gt;&lt;wsp:rsid wsp:val=&quot;00F84198&quot;/&gt;&lt;wsp:rsid wsp:val=&quot;00F845AF&quot;/&gt;&lt;wsp:rsid wsp:val=&quot;00F84FF6&quot;/&gt;&lt;wsp:rsid wsp:val=&quot;00F85FA4&quot;/&gt;&lt;wsp:rsid wsp:val=&quot;00F86544&quot;/&gt;&lt;wsp:rsid wsp:val=&quot;00F867F6&quot;/&gt;&lt;wsp:rsid wsp:val=&quot;00F870AC&quot;/&gt;&lt;wsp:rsid wsp:val=&quot;00F876C3&quot;/&gt;&lt;wsp:rsid wsp:val=&quot;00F8797B&quot;/&gt;&lt;wsp:rsid wsp:val=&quot;00F901E4&quot;/&gt;&lt;wsp:rsid wsp:val=&quot;00F903C8&quot;/&gt;&lt;wsp:rsid wsp:val=&quot;00F90643&quot;/&gt;&lt;wsp:rsid wsp:val=&quot;00F90677&quot;/&gt;&lt;wsp:rsid wsp:val=&quot;00F9086D&quot;/&gt;&lt;wsp:rsid wsp:val=&quot;00F9150C&quot;/&gt;&lt;wsp:rsid wsp:val=&quot;00F91AB8&quot;/&gt;&lt;wsp:rsid wsp:val=&quot;00F9210F&quot;/&gt;&lt;wsp:rsid wsp:val=&quot;00F9212D&quot;/&gt;&lt;wsp:rsid wsp:val=&quot;00F92CF2&quot;/&gt;&lt;wsp:rsid wsp:val=&quot;00F92E6B&quot;/&gt;&lt;wsp:rsid wsp:val=&quot;00F92EC0&quot;/&gt;&lt;wsp:rsid wsp:val=&quot;00F93432&quot;/&gt;&lt;wsp:rsid wsp:val=&quot;00F936FE&quot;/&gt;&lt;wsp:rsid wsp:val=&quot;00F93B1A&quot;/&gt;&lt;wsp:rsid wsp:val=&quot;00F93DF1&quot;/&gt;&lt;wsp:rsid wsp:val=&quot;00F94055&quot;/&gt;&lt;wsp:rsid wsp:val=&quot;00F94888&quot;/&gt;&lt;wsp:rsid wsp:val=&quot;00F94A06&quot;/&gt;&lt;wsp:rsid wsp:val=&quot;00F94AA4&quot;/&gt;&lt;wsp:rsid wsp:val=&quot;00F9528D&quot;/&gt;&lt;wsp:rsid wsp:val=&quot;00F95297&quot;/&gt;&lt;wsp:rsid wsp:val=&quot;00F952F1&quot;/&gt;&lt;wsp:rsid wsp:val=&quot;00F96133&quot;/&gt;&lt;wsp:rsid wsp:val=&quot;00F961E0&quot;/&gt;&lt;wsp:rsid wsp:val=&quot;00F9633A&quot;/&gt;&lt;wsp:rsid wsp:val=&quot;00F965DA&quot;/&gt;&lt;wsp:rsid wsp:val=&quot;00F96FA4&quot;/&gt;&lt;wsp:rsid wsp:val=&quot;00F970F7&quot;/&gt;&lt;wsp:rsid wsp:val=&quot;00F9763E&quot;/&gt;&lt;wsp:rsid wsp:val=&quot;00F97E5C&quot;/&gt;&lt;wsp:rsid wsp:val=&quot;00FA0052&quot;/&gt;&lt;wsp:rsid wsp:val=&quot;00FA18F8&quot;/&gt;&lt;wsp:rsid wsp:val=&quot;00FA1A7E&quot;/&gt;&lt;wsp:rsid wsp:val=&quot;00FA1DB6&quot;/&gt;&lt;wsp:rsid wsp:val=&quot;00FA2106&quot;/&gt;&lt;wsp:rsid wsp:val=&quot;00FA2D80&quot;/&gt;&lt;wsp:rsid wsp:val=&quot;00FA320A&quot;/&gt;&lt;wsp:rsid wsp:val=&quot;00FA33D0&quot;/&gt;&lt;wsp:rsid wsp:val=&quot;00FA37B8&quot;/&gt;&lt;wsp:rsid wsp:val=&quot;00FA4000&quot;/&gt;&lt;wsp:rsid wsp:val=&quot;00FA406A&quot;/&gt;&lt;wsp:rsid wsp:val=&quot;00FA460E&quot;/&gt;&lt;wsp:rsid wsp:val=&quot;00FA49F4&quot;/&gt;&lt;wsp:rsid wsp:val=&quot;00FA4BE8&quot;/&gt;&lt;wsp:rsid wsp:val=&quot;00FA51D9&quot;/&gt;&lt;wsp:rsid wsp:val=&quot;00FA5FA8&quot;/&gt;&lt;wsp:rsid wsp:val=&quot;00FA609D&quot;/&gt;&lt;wsp:rsid wsp:val=&quot;00FA6660&quot;/&gt;&lt;wsp:rsid wsp:val=&quot;00FA78A2&quot;/&gt;&lt;wsp:rsid wsp:val=&quot;00FA78C3&quot;/&gt;&lt;wsp:rsid wsp:val=&quot;00FB0825&quot;/&gt;&lt;wsp:rsid wsp:val=&quot;00FB0A12&quot;/&gt;&lt;wsp:rsid wsp:val=&quot;00FB1833&quot;/&gt;&lt;wsp:rsid wsp:val=&quot;00FB1D45&quot;/&gt;&lt;wsp:rsid wsp:val=&quot;00FB27A5&quot;/&gt;&lt;wsp:rsid wsp:val=&quot;00FB2A35&quot;/&gt;&lt;wsp:rsid wsp:val=&quot;00FB2EBF&quot;/&gt;&lt;wsp:rsid wsp:val=&quot;00FB4753&quot;/&gt;&lt;wsp:rsid wsp:val=&quot;00FB479A&quot;/&gt;&lt;wsp:rsid wsp:val=&quot;00FB4814&quot;/&gt;&lt;wsp:rsid wsp:val=&quot;00FB4820&quot;/&gt;&lt;wsp:rsid wsp:val=&quot;00FB488B&quot;/&gt;&lt;wsp:rsid wsp:val=&quot;00FB503A&quot;/&gt;&lt;wsp:rsid wsp:val=&quot;00FB516C&quot;/&gt;&lt;wsp:rsid wsp:val=&quot;00FB5E45&quot;/&gt;&lt;wsp:rsid wsp:val=&quot;00FB661A&quot;/&gt;&lt;wsp:rsid wsp:val=&quot;00FB69E9&quot;/&gt;&lt;wsp:rsid wsp:val=&quot;00FB73D5&quot;/&gt;&lt;wsp:rsid wsp:val=&quot;00FB769D&quot;/&gt;&lt;wsp:rsid wsp:val=&quot;00FB7D96&quot;/&gt;&lt;wsp:rsid wsp:val=&quot;00FC10ED&quot;/&gt;&lt;wsp:rsid wsp:val=&quot;00FC137D&quot;/&gt;&lt;wsp:rsid wsp:val=&quot;00FC27E6&quot;/&gt;&lt;wsp:rsid wsp:val=&quot;00FC2A3B&quot;/&gt;&lt;wsp:rsid wsp:val=&quot;00FC2B35&quot;/&gt;&lt;wsp:rsid wsp:val=&quot;00FC2C40&quot;/&gt;&lt;wsp:rsid wsp:val=&quot;00FC2E99&quot;/&gt;&lt;wsp:rsid wsp:val=&quot;00FC317E&quot;/&gt;&lt;wsp:rsid wsp:val=&quot;00FC3189&quot;/&gt;&lt;wsp:rsid wsp:val=&quot;00FC31CC&quot;/&gt;&lt;wsp:rsid wsp:val=&quot;00FC38E0&quot;/&gt;&lt;wsp:rsid wsp:val=&quot;00FC4033&quot;/&gt;&lt;wsp:rsid wsp:val=&quot;00FC4322&quot;/&gt;&lt;wsp:rsid wsp:val=&quot;00FC488F&quot;/&gt;&lt;wsp:rsid wsp:val=&quot;00FC4D7E&quot;/&gt;&lt;wsp:rsid wsp:val=&quot;00FC51B1&quot;/&gt;&lt;wsp:rsid wsp:val=&quot;00FC61CB&quot;/&gt;&lt;wsp:rsid wsp:val=&quot;00FC6A10&quot;/&gt;&lt;wsp:rsid wsp:val=&quot;00FC712B&quot;/&gt;&lt;wsp:rsid wsp:val=&quot;00FC7568&quot;/&gt;&lt;wsp:rsid wsp:val=&quot;00FC7B85&quot;/&gt;&lt;wsp:rsid wsp:val=&quot;00FD002D&quot;/&gt;&lt;wsp:rsid wsp:val=&quot;00FD0236&quot;/&gt;&lt;wsp:rsid wsp:val=&quot;00FD09EA&quot;/&gt;&lt;wsp:rsid wsp:val=&quot;00FD0EDF&quot;/&gt;&lt;wsp:rsid wsp:val=&quot;00FD18F4&quot;/&gt;&lt;wsp:rsid wsp:val=&quot;00FD3DF7&quot;/&gt;&lt;wsp:rsid wsp:val=&quot;00FD3E4B&quot;/&gt;&lt;wsp:rsid wsp:val=&quot;00FD50D3&quot;/&gt;&lt;wsp:rsid wsp:val=&quot;00FD54DB&quot;/&gt;&lt;wsp:rsid wsp:val=&quot;00FD612A&quot;/&gt;&lt;wsp:rsid wsp:val=&quot;00FD619F&quot;/&gt;&lt;wsp:rsid wsp:val=&quot;00FD6F3F&quot;/&gt;&lt;wsp:rsid wsp:val=&quot;00FD7850&quot;/&gt;&lt;wsp:rsid wsp:val=&quot;00FD79A5&quot;/&gt;&lt;wsp:rsid wsp:val=&quot;00FE0BCA&quot;/&gt;&lt;wsp:rsid wsp:val=&quot;00FE0C56&quot;/&gt;&lt;wsp:rsid wsp:val=&quot;00FE0EEE&quot;/&gt;&lt;wsp:rsid wsp:val=&quot;00FE1309&quot;/&gt;&lt;wsp:rsid wsp:val=&quot;00FE1CA7&quot;/&gt;&lt;wsp:rsid wsp:val=&quot;00FE1D4D&quot;/&gt;&lt;wsp:rsid wsp:val=&quot;00FE2B44&quot;/&gt;&lt;wsp:rsid wsp:val=&quot;00FE2BA0&quot;/&gt;&lt;wsp:rsid wsp:val=&quot;00FE3B4D&quot;/&gt;&lt;wsp:rsid wsp:val=&quot;00FE3FA3&quot;/&gt;&lt;wsp:rsid wsp:val=&quot;00FE5BAA&quot;/&gt;&lt;wsp:rsid wsp:val=&quot;00FE7484&quot;/&gt;&lt;wsp:rsid wsp:val=&quot;00FE7731&quot;/&gt;&lt;wsp:rsid wsp:val=&quot;00FE78C7&quot;/&gt;&lt;wsp:rsid wsp:val=&quot;00FF0175&quot;/&gt;&lt;wsp:rsid wsp:val=&quot;00FF0567&quot;/&gt;&lt;wsp:rsid wsp:val=&quot;00FF08FD&quot;/&gt;&lt;wsp:rsid wsp:val=&quot;00FF096E&quot;/&gt;&lt;wsp:rsid wsp:val=&quot;00FF0A7A&quot;/&gt;&lt;wsp:rsid wsp:val=&quot;00FF0AEF&quot;/&gt;&lt;wsp:rsid wsp:val=&quot;00FF133B&quot;/&gt;&lt;wsp:rsid wsp:val=&quot;00FF1BE3&quot;/&gt;&lt;wsp:rsid wsp:val=&quot;00FF1C7A&quot;/&gt;&lt;wsp:rsid wsp:val=&quot;00FF1FF8&quot;/&gt;&lt;wsp:rsid wsp:val=&quot;00FF217E&quot;/&gt;&lt;wsp:rsid wsp:val=&quot;00FF2FD3&quot;/&gt;&lt;wsp:rsid wsp:val=&quot;00FF41F8&quot;/&gt;&lt;wsp:rsid wsp:val=&quot;00FF4A19&quot;/&gt;&lt;wsp:rsid wsp:val=&quot;00FF4CCF&quot;/&gt;&lt;wsp:rsid wsp:val=&quot;00FF5B05&quot;/&gt;&lt;wsp:rsid wsp:val=&quot;00FF6961&quot;/&gt;&lt;wsp:rsid wsp:val=&quot;00FF7CCE&quot;/&gt;&lt;wsp:rsid wsp:val=&quot;01290F7E&quot;/&gt;&lt;wsp:rsid wsp:val=&quot;015D1E09&quot;/&gt;&lt;wsp:rsid wsp:val=&quot;02697903&quot;/&gt;&lt;wsp:rsid wsp:val=&quot;02F96569&quot;/&gt;&lt;wsp:rsid wsp:val=&quot;03EA7B21&quot;/&gt;&lt;wsp:rsid wsp:val=&quot;05F83EAE&quot;/&gt;&lt;wsp:rsid wsp:val=&quot;063E7D85&quot;/&gt;&lt;wsp:rsid wsp:val=&quot;07293586&quot;/&gt;&lt;wsp:rsid wsp:val=&quot;07295285&quot;/&gt;&lt;wsp:rsid wsp:val=&quot;07636392&quot;/&gt;&lt;wsp:rsid wsp:val=&quot;07770C56&quot;/&gt;&lt;wsp:rsid wsp:val=&quot;092217DD&quot;/&gt;&lt;wsp:rsid wsp:val=&quot;093A7294&quot;/&gt;&lt;wsp:rsid wsp:val=&quot;0A263993&quot;/&gt;&lt;wsp:rsid wsp:val=&quot;0A2D3AC2&quot;/&gt;&lt;wsp:rsid wsp:val=&quot;0AA755DF&quot;/&gt;&lt;wsp:rsid wsp:val=&quot;0B120D44&quot;/&gt;&lt;wsp:rsid wsp:val=&quot;0BD27BF6&quot;/&gt;&lt;wsp:rsid wsp:val=&quot;0BF858C2&quot;/&gt;&lt;wsp:rsid wsp:val=&quot;0C3B3C7D&quot;/&gt;&lt;wsp:rsid wsp:val=&quot;0CAB2EAE&quot;/&gt;&lt;wsp:rsid wsp:val=&quot;0D621C7D&quot;/&gt;&lt;wsp:rsid wsp:val=&quot;0E73034D&quot;/&gt;&lt;wsp:rsid wsp:val=&quot;0F13775A&quot;/&gt;&lt;wsp:rsid wsp:val=&quot;0F5F45FE&quot;/&gt;&lt;wsp:rsid wsp:val=&quot;0F9A112B&quot;/&gt;&lt;wsp:rsid wsp:val=&quot;106D2F64&quot;/&gt;&lt;wsp:rsid wsp:val=&quot;10B63710&quot;/&gt;&lt;wsp:rsid wsp:val=&quot;10F10820&quot;/&gt;&lt;wsp:rsid wsp:val=&quot;111C2F7A&quot;/&gt;&lt;wsp:rsid wsp:val=&quot;11665CA1&quot;/&gt;&lt;wsp:rsid wsp:val=&quot;13951726&quot;/&gt;&lt;wsp:rsid wsp:val=&quot;14396509&quot;/&gt;&lt;wsp:rsid wsp:val=&quot;14DD2C3C&quot;/&gt;&lt;wsp:rsid wsp:val=&quot;16087E1D&quot;/&gt;&lt;wsp:rsid wsp:val=&quot;17701D14&quot;/&gt;&lt;wsp:rsid wsp:val=&quot;17735226&quot;/&gt;&lt;wsp:rsid wsp:val=&quot;189F624C&quot;/&gt;&lt;wsp:rsid wsp:val=&quot;1A1C66C0&quot;/&gt;&lt;wsp:rsid wsp:val=&quot;1A42393B&quot;/&gt;&lt;wsp:rsid wsp:val=&quot;1AAD45DE&quot;/&gt;&lt;wsp:rsid wsp:val=&quot;1B046F80&quot;/&gt;&lt;wsp:rsid wsp:val=&quot;1B3267B5&quot;/&gt;&lt;wsp:rsid wsp:val=&quot;1B40161D&quot;/&gt;&lt;wsp:rsid wsp:val=&quot;1B441859&quot;/&gt;&lt;wsp:rsid wsp:val=&quot;1B6606B1&quot;/&gt;&lt;wsp:rsid wsp:val=&quot;1C5936D2&quot;/&gt;&lt;wsp:rsid wsp:val=&quot;1C5E7925&quot;/&gt;&lt;wsp:rsid wsp:val=&quot;1CD90113&quot;/&gt;&lt;wsp:rsid wsp:val=&quot;1CFD070F&quot;/&gt;&lt;wsp:rsid wsp:val=&quot;1D5F6196&quot;/&gt;&lt;wsp:rsid wsp:val=&quot;1D6132A5&quot;/&gt;&lt;wsp:rsid wsp:val=&quot;1D8E56D5&quot;/&gt;&lt;wsp:rsid wsp:val=&quot;1E7A43DA&quot;/&gt;&lt;wsp:rsid wsp:val=&quot;1F1C595D&quot;/&gt;&lt;wsp:rsid wsp:val=&quot;1FE7539E&quot;/&gt;&lt;wsp:rsid wsp:val=&quot;20671BE0&quot;/&gt;&lt;wsp:rsid wsp:val=&quot;20963CB8&quot;/&gt;&lt;wsp:rsid wsp:val=&quot;20A81A1B&quot;/&gt;&lt;wsp:rsid wsp:val=&quot;20B07FB6&quot;/&gt;&lt;wsp:rsid wsp:val=&quot;20B646FB&quot;/&gt;&lt;wsp:rsid wsp:val=&quot;21373521&quot;/&gt;&lt;wsp:rsid wsp:val=&quot;213B74B1&quot;/&gt;&lt;wsp:rsid wsp:val=&quot;215A2310&quot;/&gt;&lt;wsp:rsid wsp:val=&quot;21DE318A&quot;/&gt;&lt;wsp:rsid wsp:val=&quot;21EF5B80&quot;/&gt;&lt;wsp:rsid wsp:val=&quot;22576990&quot;/&gt;&lt;wsp:rsid wsp:val=&quot;22F47480&quot;/&gt;&lt;wsp:rsid wsp:val=&quot;23DE1C48&quot;/&gt;&lt;wsp:rsid wsp:val=&quot;240210CD&quot;/&gt;&lt;wsp:rsid wsp:val=&quot;24293D1D&quot;/&gt;&lt;wsp:rsid wsp:val=&quot;24BF09F7&quot;/&gt;&lt;wsp:rsid wsp:val=&quot;252D53FE&quot;/&gt;&lt;wsp:rsid wsp:val=&quot;25EC2D81&quot;/&gt;&lt;wsp:rsid wsp:val=&quot;277057A2&quot;/&gt;&lt;wsp:rsid wsp:val=&quot;29206EB8&quot;/&gt;&lt;wsp:rsid wsp:val=&quot;29595666&quot;/&gt;&lt;wsp:rsid wsp:val=&quot;296D5306&quot;/&gt;&lt;wsp:rsid wsp:val=&quot;29874881&quot;/&gt;&lt;wsp:rsid wsp:val=&quot;29B7625C&quot;/&gt;&lt;wsp:rsid wsp:val=&quot;29E325E0&quot;/&gt;&lt;wsp:rsid wsp:val=&quot;2A452503&quot;/&gt;&lt;wsp:rsid wsp:val=&quot;2BA936A8&quot;/&gt;&lt;wsp:rsid wsp:val=&quot;2C036885&quot;/&gt;&lt;wsp:rsid wsp:val=&quot;2C315A5A&quot;/&gt;&lt;wsp:rsid wsp:val=&quot;2C4B1C25&quot;/&gt;&lt;wsp:rsid wsp:val=&quot;2D9E56F5&quot;/&gt;&lt;wsp:rsid wsp:val=&quot;2E667F96&quot;/&gt;&lt;wsp:rsid wsp:val=&quot;2E8226AB&quot;/&gt;&lt;wsp:rsid wsp:val=&quot;2FD065E6&quot;/&gt;&lt;wsp:rsid wsp:val=&quot;2FD96870&quot;/&gt;&lt;wsp:rsid wsp:val=&quot;30580BC9&quot;/&gt;&lt;wsp:rsid wsp:val=&quot;311E2ED7&quot;/&gt;&lt;wsp:rsid wsp:val=&quot;3152323C&quot;/&gt;&lt;wsp:rsid wsp:val=&quot;315619EE&quot;/&gt;&lt;wsp:rsid wsp:val=&quot;315C449C&quot;/&gt;&lt;wsp:rsid wsp:val=&quot;31A044A3&quot;/&gt;&lt;wsp:rsid wsp:val=&quot;31B82709&quot;/&gt;&lt;wsp:rsid wsp:val=&quot;31D05482&quot;/&gt;&lt;wsp:rsid wsp:val=&quot;31E4568E&quot;/&gt;&lt;wsp:rsid wsp:val=&quot;32400B34&quot;/&gt;&lt;wsp:rsid wsp:val=&quot;326067DD&quot;/&gt;&lt;wsp:rsid wsp:val=&quot;329E6876&quot;/&gt;&lt;wsp:rsid wsp:val=&quot;3301564A&quot;/&gt;&lt;wsp:rsid wsp:val=&quot;333015F2&quot;/&gt;&lt;wsp:rsid wsp:val=&quot;334B6320&quot;/&gt;&lt;wsp:rsid wsp:val=&quot;33600AA7&quot;/&gt;&lt;wsp:rsid wsp:val=&quot;336B1568&quot;/&gt;&lt;wsp:rsid wsp:val=&quot;33D934D4&quot;/&gt;&lt;wsp:rsid wsp:val=&quot;33FE2F6A&quot;/&gt;&lt;wsp:rsid wsp:val=&quot;340E07E5&quot;/&gt;&lt;wsp:rsid wsp:val=&quot;34235BF7&quot;/&gt;&lt;wsp:rsid wsp:val=&quot;358C5FA8&quot;/&gt;&lt;wsp:rsid wsp:val=&quot;35C15DF1&quot;/&gt;&lt;wsp:rsid wsp:val=&quot;36074A7F&quot;/&gt;&lt;wsp:rsid wsp:val=&quot;367009B4&quot;/&gt;&lt;wsp:rsid wsp:val=&quot;36923549&quot;/&gt;&lt;wsp:rsid wsp:val=&quot;36B75FBF&quot;/&gt;&lt;wsp:rsid wsp:val=&quot;36BD0C45&quot;/&gt;&lt;wsp:rsid wsp:val=&quot;37361E1F&quot;/&gt;&lt;wsp:rsid wsp:val=&quot;37C046DD&quot;/&gt;&lt;wsp:rsid wsp:val=&quot;37E00298&quot;/&gt;&lt;wsp:rsid wsp:val=&quot;38B302F9&quot;/&gt;&lt;wsp:rsid wsp:val=&quot;38F12CD3&quot;/&gt;&lt;wsp:rsid wsp:val=&quot;38F94775&quot;/&gt;&lt;wsp:rsid wsp:val=&quot;392971ED&quot;/&gt;&lt;wsp:rsid wsp:val=&quot;39325651&quot;/&gt;&lt;wsp:rsid wsp:val=&quot;3A872856&quot;/&gt;&lt;wsp:rsid wsp:val=&quot;3B3763D1&quot;/&gt;&lt;wsp:rsid wsp:val=&quot;3C2F6E1E&quot;/&gt;&lt;wsp:rsid wsp:val=&quot;3C4F64BA&quot;/&gt;&lt;wsp:rsid wsp:val=&quot;3CDA245A&quot;/&gt;&lt;wsp:rsid wsp:val=&quot;3D1E06B7&quot;/&gt;&lt;wsp:rsid wsp:val=&quot;3EDA0523&quot;/&gt;&lt;wsp:rsid wsp:val=&quot;407A6407&quot;/&gt;&lt;wsp:rsid wsp:val=&quot;4200449D&quot;/&gt;&lt;wsp:rsid wsp:val=&quot;420507FA&quot;/&gt;&lt;wsp:rsid wsp:val=&quot;423A3BCC&quot;/&gt;&lt;wsp:rsid wsp:val=&quot;424E57D2&quot;/&gt;&lt;wsp:rsid wsp:val=&quot;42B26C49&quot;/&gt;&lt;wsp:rsid wsp:val=&quot;433A6FE6&quot;/&gt;&lt;wsp:rsid wsp:val=&quot;43480868&quot;/&gt;&lt;wsp:rsid wsp:val=&quot;4350713C&quot;/&gt;&lt;wsp:rsid wsp:val=&quot;436653E0&quot;/&gt;&lt;wsp:rsid wsp:val=&quot;43C4431A&quot;/&gt;&lt;wsp:rsid wsp:val=&quot;44B951CC&quot;/&gt;&lt;wsp:rsid wsp:val=&quot;44CD14E0&quot;/&gt;&lt;wsp:rsid wsp:val=&quot;44F20B0B&quot;/&gt;&lt;wsp:rsid wsp:val=&quot;452E5F4C&quot;/&gt;&lt;wsp:rsid wsp:val=&quot;45612018&quot;/&gt;&lt;wsp:rsid wsp:val=&quot;458946E9&quot;/&gt;&lt;wsp:rsid wsp:val=&quot;45A47C0E&quot;/&gt;&lt;wsp:rsid wsp:val=&quot;46577FD6&quot;/&gt;&lt;wsp:rsid wsp:val=&quot;46D955A7&quot;/&gt;&lt;wsp:rsid wsp:val=&quot;47133957&quot;/&gt;&lt;wsp:rsid wsp:val=&quot;47A07E0C&quot;/&gt;&lt;wsp:rsid wsp:val=&quot;483303C3&quot;/&gt;&lt;wsp:rsid wsp:val=&quot;4870272E&quot;/&gt;&lt;wsp:rsid wsp:val=&quot;49DC7715&quot;/&gt;&lt;wsp:rsid wsp:val=&quot;4A023139&quot;/&gt;&lt;wsp:rsid wsp:val=&quot;4A7B576F&quot;/&gt;&lt;wsp:rsid wsp:val=&quot;4AF561A9&quot;/&gt;&lt;wsp:rsid wsp:val=&quot;4C4A0649&quot;/&gt;&lt;wsp:rsid wsp:val=&quot;4C7E5ECA&quot;/&gt;&lt;wsp:rsid wsp:val=&quot;4C876AA5&quot;/&gt;&lt;wsp:rsid wsp:val=&quot;4C8B6DCD&quot;/&gt;&lt;wsp:rsid wsp:val=&quot;4D0E00FB&quot;/&gt;&lt;wsp:rsid wsp:val=&quot;4D176606&quot;/&gt;&lt;wsp:rsid wsp:val=&quot;4DEC4FB0&quot;/&gt;&lt;wsp:rsid wsp:val=&quot;4E075D8A&quot;/&gt;&lt;wsp:rsid wsp:val=&quot;4E8F4DB4&quot;/&gt;&lt;wsp:rsid wsp:val=&quot;4EC00FAD&quot;/&gt;&lt;wsp:rsid wsp:val=&quot;4F9843DC&quot;/&gt;&lt;wsp:rsid wsp:val=&quot;4FC62A8C&quot;/&gt;&lt;wsp:rsid wsp:val=&quot;4FE20F0D&quot;/&gt;&lt;wsp:rsid wsp:val=&quot;4FE51552&quot;/&gt;&lt;wsp:rsid wsp:val=&quot;50504C4B&quot;/&gt;&lt;wsp:rsid wsp:val=&quot;509C6E7C&quot;/&gt;&lt;wsp:rsid wsp:val=&quot;50CB731F&quot;/&gt;&lt;wsp:rsid wsp:val=&quot;5162104E&quot;/&gt;&lt;wsp:rsid wsp:val=&quot;53A039CC&quot;/&gt;&lt;wsp:rsid wsp:val=&quot;53A1505A&quot;/&gt;&lt;wsp:rsid wsp:val=&quot;54063E08&quot;/&gt;&lt;wsp:rsid wsp:val=&quot;543437E8&quot;/&gt;&lt;wsp:rsid wsp:val=&quot;54F73313&quot;/&gt;&lt;wsp:rsid wsp:val=&quot;54F80955&quot;/&gt;&lt;wsp:rsid wsp:val=&quot;555170A7&quot;/&gt;&lt;wsp:rsid wsp:val=&quot;5587536D&quot;/&gt;&lt;wsp:rsid wsp:val=&quot;559B174B&quot;/&gt;&lt;wsp:rsid wsp:val=&quot;55CE0CF4&quot;/&gt;&lt;wsp:rsid wsp:val=&quot;56B22A9C&quot;/&gt;&lt;wsp:rsid wsp:val=&quot;57B72A76&quot;/&gt;&lt;wsp:rsid wsp:val=&quot;57C3426C&quot;/&gt;&lt;wsp:rsid wsp:val=&quot;57CE1F93&quot;/&gt;&lt;wsp:rsid wsp:val=&quot;588743D1&quot;/&gt;&lt;wsp:rsid wsp:val=&quot;5887701A&quot;/&gt;&lt;wsp:rsid wsp:val=&quot;59C0439F&quot;/&gt;&lt;wsp:rsid wsp:val=&quot;5ABE2233&quot;/&gt;&lt;wsp:rsid wsp:val=&quot;5BDF5D95&quot;/&gt;&lt;wsp:rsid wsp:val=&quot;5BFE7528&quot;/&gt;&lt;wsp:rsid wsp:val=&quot;5E2467F1&quot;/&gt;&lt;wsp:rsid wsp:val=&quot;5F1A2B43&quot;/&gt;&lt;wsp:rsid wsp:val=&quot;5FB837BB&quot;/&gt;&lt;wsp:rsid wsp:val=&quot;60CC405A&quot;/&gt;&lt;wsp:rsid wsp:val=&quot;61E215D8&quot;/&gt;&lt;wsp:rsid wsp:val=&quot;621B3775&quot;/&gt;&lt;wsp:rsid wsp:val=&quot;62364782&quot;/&gt;&lt;wsp:rsid wsp:val=&quot;63186930&quot;/&gt;&lt;wsp:rsid wsp:val=&quot;6394356A&quot;/&gt;&lt;wsp:rsid wsp:val=&quot;63C61B2C&quot;/&gt;&lt;wsp:rsid wsp:val=&quot;63D40BE9&quot;/&gt;&lt;wsp:rsid wsp:val=&quot;64102431&quot;/&gt;&lt;wsp:rsid wsp:val=&quot;64A5243A&quot;/&gt;&lt;wsp:rsid wsp:val=&quot;64F531DE&quot;/&gt;&lt;wsp:rsid wsp:val=&quot;65373578&quot;/&gt;&lt;wsp:rsid wsp:val=&quot;66F54451&quot;/&gt;&lt;wsp:rsid wsp:val=&quot;671F124A&quot;/&gt;&lt;wsp:rsid wsp:val=&quot;677A33C6&quot;/&gt;&lt;wsp:rsid wsp:val=&quot;681F6961&quot;/&gt;&lt;wsp:rsid wsp:val=&quot;68610A2F&quot;/&gt;&lt;wsp:rsid wsp:val=&quot;68805514&quot;/&gt;&lt;wsp:rsid wsp:val=&quot;69316E2F&quot;/&gt;&lt;wsp:rsid wsp:val=&quot;694E2071&quot;/&gt;&lt;wsp:rsid wsp:val=&quot;69766163&quot;/&gt;&lt;wsp:rsid wsp:val=&quot;697A3B33&quot;/&gt;&lt;wsp:rsid wsp:val=&quot;69D44760&quot;/&gt;&lt;wsp:rsid wsp:val=&quot;6A520EC7&quot;/&gt;&lt;wsp:rsid wsp:val=&quot;6AF87E20&quot;/&gt;&lt;wsp:rsid wsp:val=&quot;6B322639&quot;/&gt;&lt;wsp:rsid wsp:val=&quot;6C636C38&quot;/&gt;&lt;wsp:rsid wsp:val=&quot;6D7010D8&quot;/&gt;&lt;wsp:rsid wsp:val=&quot;6DB34098&quot;/&gt;&lt;wsp:rsid wsp:val=&quot;6DB545B6&quot;/&gt;&lt;wsp:rsid wsp:val=&quot;6DE02FB4&quot;/&gt;&lt;wsp:rsid wsp:val=&quot;6E514CED&quot;/&gt;&lt;wsp:rsid wsp:val=&quot;6EB563D5&quot;/&gt;&lt;wsp:rsid wsp:val=&quot;6ED92677&quot;/&gt;&lt;wsp:rsid wsp:val=&quot;6F225983&quot;/&gt;&lt;wsp:rsid wsp:val=&quot;6FFC5590&quot;/&gt;&lt;wsp:rsid wsp:val=&quot;706D1559&quot;/&gt;&lt;wsp:rsid wsp:val=&quot;706D1DD0&quot;/&gt;&lt;wsp:rsid wsp:val=&quot;70856B87&quot;/&gt;&lt;wsp:rsid wsp:val=&quot;70D527EE&quot;/&gt;&lt;wsp:rsid wsp:val=&quot;715B5300&quot;/&gt;&lt;wsp:rsid wsp:val=&quot;71D27F8A&quot;/&gt;&lt;wsp:rsid wsp:val=&quot;72070A1D&quot;/&gt;&lt;wsp:rsid wsp:val=&quot;72553024&quot;/&gt;&lt;wsp:rsid wsp:val=&quot;73122968&quot;/&gt;&lt;wsp:rsid wsp:val=&quot;731F5D5E&quot;/&gt;&lt;wsp:rsid wsp:val=&quot;73C51AD5&quot;/&gt;&lt;wsp:rsid wsp:val=&quot;741E793C&quot;/&gt;&lt;wsp:rsid wsp:val=&quot;745E3944&quot;/&gt;&lt;wsp:rsid wsp:val=&quot;7635099D&quot;/&gt;&lt;wsp:rsid wsp:val=&quot;77762421&quot;/&gt;&lt;wsp:rsid wsp:val=&quot;77B56B1F&quot;/&gt;&lt;wsp:rsid wsp:val=&quot;780F09F4&quot;/&gt;&lt;wsp:rsid wsp:val=&quot;78A90480&quot;/&gt;&lt;wsp:rsid wsp:val=&quot;79A74828&quot;/&gt;&lt;wsp:rsid wsp:val=&quot;7A364017&quot;/&gt;&lt;wsp:rsid wsp:val=&quot;7A8265E1&quot;/&gt;&lt;wsp:rsid wsp:val=&quot;7B686D42&quot;/&gt;&lt;wsp:rsid wsp:val=&quot;7B841746&quot;/&gt;&lt;wsp:rsid wsp:val=&quot;7B9701F5&quot;/&gt;&lt;wsp:rsid wsp:val=&quot;7C6C5AC7&quot;/&gt;&lt;wsp:rsid wsp:val=&quot;7CC6544B&quot;/&gt;&lt;wsp:rsid wsp:val=&quot;7D0239FF&quot;/&gt;&lt;wsp:rsid wsp:val=&quot;7D5E40CD&quot;/&gt;&lt;wsp:rsid wsp:val=&quot;7DCD56F2&quot;/&gt;&lt;wsp:rsid wsp:val=&quot;7F001CE7&quot;/&gt;&lt;wsp:rsid wsp:val=&quot;7FAE7925&quot;/&gt;&lt;wsp:rsid wsp:val=&quot;7FE47E50&quot;/&gt;&lt;/wsp:rsids&gt;&lt;/w:docPr&gt;&lt;w:body&gt;&lt;wx:sect&gt;&lt;w:p wsp:rsidR=&quot;00000000&quot; wsp:rsidRDefault=&quot;00693F17&quot; wsp:rsidP=&quot;00693F17&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O&lt;/m:t&gt;&lt;/m:r&gt;&lt;/m:e&gt;&lt;m:sub&gt;&lt;m:r&gt;&lt;w:rPr&gt;&lt;w:rFonts w:ascii=&quot;Cambria Math&quot; w:h-ansi=&quot;Cambria Math&quot;/&gt;&lt;wx:font wx:val=&quot;Cambria Math&quot;/&gt;&lt;w:i/&gt;&lt;/w:rPr&gt;&lt;m:t&gt;j&lt;/m:t&gt;&lt;/m:r&gt;&lt;/m:sub&gt;&lt;/m:sSub&gt;&lt;m:r&gt;&lt;m:rPr&gt;&lt;m:sty m:val=&quot;p&quot;/&gt;&lt;/m:rPr&gt;&lt;w:rPr&gt;&lt;w:rFonts w:ascii=&quot;Cambria Math&quot; w:h-ansi=&quot;Cambria Math&quot;/&gt;&lt;wx:font wx:val=&quot;Cambria Math&quot;/&gt;&lt;/w:rPr&gt;&lt;m:t&gt;≥&lt;/m:t&gt;&lt;/m:r&gt;&lt;m:sSub&gt;&lt;m:sSubPr&gt;&lt;m:ctrlPr&gt;&lt;w:rPrrrrrrrrrr&gt;&lt;aw:rFonts w:ascii=&quot;Cambria Math&quot; w:h-ansi=&quot;Cambria Math&quot;/&gt;&lt;wx:font wx:val=&quot;Cambria Math&quot;/&gt;&lt;/w:rPr&gt;&lt;/m:ctrlPr&gt;&lt;/m:sSubPr&gt;&lt;m:e&gt;&lt;m:r&gt;&lt;w:rPr&gt;&lt;w:rFonts w:ascii=&quot;Cambria Math&quot; w:h-ansi=&quot;Cambria Math&quot;/&gt;&lt;wx:font wx:val=&quot;Cambria Math&quot;/&gt;&lt;w:i/&gt;&lt;/w:rPr&gt;&lt;m:t&gt;DO&lt;/m:t&gt;&lt;/m:r&gt;&lt;/m:e&gt;&lt;m:sub&gt;&lt;m:r&gt;&lt;w:rPr&gt;&lt;w:rFonts w:ascii=&quot;Cambria Math&quot; w:h-ansi=&quot;Cambria Math&quot;/&gt;&lt;wx:font wx:val=&quot;Cambria Math&quot;/&gt;&lt;w:i/&gt;&lt;/w:rPr&gt;&lt;m:t&gt;f&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4" chromakey="#FFFFFF" o:title=""/>
                  <o:lock v:ext="edit" aspectratio="t"/>
                  <w10:wrap type="none"/>
                  <w10:anchorlock/>
                </v:shape>
              </w:pict>
            </w:r>
            <w:r>
              <w:rPr>
                <w:rFonts w:ascii="Times New Roman" w:hAnsi="Times New Roman" w:cs="Times New Roman"/>
                <w:sz w:val="24"/>
              </w:rPr>
              <w:fldChar w:fldCharType="end"/>
            </w:r>
          </w:p>
          <w:p w14:paraId="2DDE9D44">
            <w:pPr>
              <w:adjustRightInd w:val="0"/>
              <w:snapToGrid w:val="0"/>
              <w:spacing w:line="360" w:lineRule="auto"/>
              <w:rPr>
                <w:rFonts w:ascii="Times New Roman" w:hAnsi="Times New Roman" w:cs="Times New Roman"/>
                <w:sz w:val="24"/>
              </w:rPr>
            </w:pPr>
            <w:r>
              <w:rPr>
                <w:rFonts w:ascii="Times New Roman" w:hAnsi="Times New Roman" w:cs="Times New Roman"/>
                <w:sz w:val="24"/>
              </w:rPr>
              <w:t>式中：S</w:t>
            </w:r>
            <w:r>
              <w:rPr>
                <w:rFonts w:ascii="Times New Roman" w:hAnsi="Times New Roman" w:cs="Times New Roman"/>
                <w:sz w:val="24"/>
                <w:vertAlign w:val="subscript"/>
              </w:rPr>
              <w:t>DO，j</w:t>
            </w:r>
            <w:r>
              <w:rPr>
                <w:rFonts w:ascii="Times New Roman" w:hAnsi="Times New Roman" w:cs="Times New Roman"/>
                <w:sz w:val="24"/>
              </w:rPr>
              <w:t>——溶解氧的标准指数，大于1表明该水质因子超标；</w:t>
            </w:r>
          </w:p>
          <w:p w14:paraId="50441065">
            <w:pPr>
              <w:adjustRightInd w:val="0"/>
              <w:snapToGrid w:val="0"/>
              <w:spacing w:line="360" w:lineRule="auto"/>
              <w:rPr>
                <w:rFonts w:ascii="Times New Roman" w:hAnsi="Times New Roman" w:cs="Times New Roman"/>
                <w:sz w:val="24"/>
              </w:rPr>
            </w:pPr>
            <w:r>
              <w:rPr>
                <w:rFonts w:ascii="Times New Roman" w:hAnsi="Times New Roman" w:cs="Times New Roman"/>
                <w:sz w:val="24"/>
              </w:rPr>
              <w:t>DO</w:t>
            </w:r>
            <w:r>
              <w:rPr>
                <w:rFonts w:ascii="Times New Roman" w:hAnsi="Times New Roman" w:cs="Times New Roman"/>
                <w:sz w:val="24"/>
                <w:vertAlign w:val="subscript"/>
              </w:rPr>
              <w:t>j</w:t>
            </w:r>
            <w:r>
              <w:rPr>
                <w:rFonts w:ascii="Times New Roman" w:hAnsi="Times New Roman" w:cs="Times New Roman"/>
                <w:sz w:val="24"/>
              </w:rPr>
              <w:t>——溶解氧在j点的实测统计代表值，mg/L；</w:t>
            </w:r>
          </w:p>
          <w:p w14:paraId="5E35D299">
            <w:pPr>
              <w:adjustRightInd w:val="0"/>
              <w:snapToGrid w:val="0"/>
              <w:spacing w:line="360" w:lineRule="auto"/>
              <w:rPr>
                <w:rFonts w:ascii="Times New Roman" w:hAnsi="Times New Roman" w:cs="Times New Roman"/>
                <w:sz w:val="24"/>
              </w:rPr>
            </w:pPr>
            <w:r>
              <w:rPr>
                <w:rFonts w:ascii="Times New Roman" w:hAnsi="Times New Roman" w:cs="Times New Roman"/>
                <w:sz w:val="24"/>
              </w:rPr>
              <w:t>DO</w:t>
            </w:r>
            <w:r>
              <w:rPr>
                <w:rFonts w:ascii="Times New Roman" w:hAnsi="Times New Roman" w:cs="Times New Roman"/>
                <w:sz w:val="24"/>
                <w:vertAlign w:val="subscript"/>
              </w:rPr>
              <w:t>s</w:t>
            </w:r>
            <w:r>
              <w:rPr>
                <w:rFonts w:ascii="Times New Roman" w:hAnsi="Times New Roman" w:cs="Times New Roman"/>
                <w:sz w:val="24"/>
              </w:rPr>
              <w:t>——溶解氧的水质评价标准限值，mg/L；</w:t>
            </w:r>
          </w:p>
          <w:p w14:paraId="51DD249A">
            <w:pPr>
              <w:adjustRightInd w:val="0"/>
              <w:snapToGrid w:val="0"/>
              <w:spacing w:line="360" w:lineRule="auto"/>
              <w:rPr>
                <w:rFonts w:ascii="Times New Roman" w:hAnsi="Times New Roman" w:cs="Times New Roman"/>
                <w:sz w:val="24"/>
              </w:rPr>
            </w:pPr>
            <w:r>
              <w:rPr>
                <w:rFonts w:ascii="Times New Roman" w:hAnsi="Times New Roman" w:cs="Times New Roman"/>
                <w:sz w:val="24"/>
              </w:rPr>
              <w:t>DO</w:t>
            </w:r>
            <w:r>
              <w:rPr>
                <w:rFonts w:ascii="Times New Roman" w:hAnsi="Times New Roman" w:cs="Times New Roman"/>
                <w:sz w:val="24"/>
                <w:vertAlign w:val="subscript"/>
              </w:rPr>
              <w:t>f</w:t>
            </w:r>
            <w:r>
              <w:rPr>
                <w:rFonts w:ascii="Times New Roman" w:hAnsi="Times New Roman" w:cs="Times New Roman"/>
                <w:sz w:val="24"/>
              </w:rPr>
              <w:t>——饱和溶解氧浓度，mg/L，对于河流，DO</w:t>
            </w:r>
            <w:r>
              <w:rPr>
                <w:rFonts w:ascii="Times New Roman" w:hAnsi="Times New Roman" w:cs="Times New Roman"/>
                <w:sz w:val="24"/>
                <w:vertAlign w:val="subscript"/>
              </w:rPr>
              <w:t>f</w:t>
            </w:r>
            <w:r>
              <w:rPr>
                <w:rFonts w:ascii="Times New Roman" w:hAnsi="Times New Roman" w:cs="Times New Roman"/>
                <w:sz w:val="24"/>
              </w:rPr>
              <w:t>=468/（31.6+T）；对于盐度比较高的湖泊、水库及入海河口、近岸区域，DO</w:t>
            </w:r>
            <w:r>
              <w:rPr>
                <w:rFonts w:ascii="Times New Roman" w:hAnsi="Times New Roman" w:cs="Times New Roman"/>
                <w:sz w:val="24"/>
                <w:vertAlign w:val="subscript"/>
              </w:rPr>
              <w:t>f</w:t>
            </w:r>
            <w:r>
              <w:rPr>
                <w:rFonts w:ascii="Times New Roman" w:hAnsi="Times New Roman" w:cs="Times New Roman"/>
                <w:sz w:val="24"/>
              </w:rPr>
              <w:t>=（491-2.65S）/（33.5+T）；</w:t>
            </w:r>
          </w:p>
          <w:p w14:paraId="2BD20CCD">
            <w:pPr>
              <w:adjustRightInd w:val="0"/>
              <w:snapToGrid w:val="0"/>
              <w:spacing w:line="360" w:lineRule="auto"/>
              <w:rPr>
                <w:rFonts w:ascii="Times New Roman" w:hAnsi="Times New Roman" w:cs="Times New Roman"/>
                <w:sz w:val="24"/>
              </w:rPr>
            </w:pPr>
            <w:r>
              <w:rPr>
                <w:rFonts w:ascii="Times New Roman" w:hAnsi="Times New Roman" w:cs="Times New Roman"/>
                <w:sz w:val="24"/>
              </w:rPr>
              <w:t>S——实用盐度符号，量纲为1；</w:t>
            </w:r>
          </w:p>
          <w:p w14:paraId="3441DAAE">
            <w:pPr>
              <w:adjustRightInd w:val="0"/>
              <w:snapToGrid w:val="0"/>
              <w:spacing w:line="360" w:lineRule="auto"/>
              <w:rPr>
                <w:rFonts w:ascii="Times New Roman" w:hAnsi="Times New Roman" w:cs="Times New Roman"/>
                <w:sz w:val="24"/>
              </w:rPr>
            </w:pPr>
            <w:r>
              <w:rPr>
                <w:rFonts w:ascii="Times New Roman" w:hAnsi="Times New Roman" w:cs="Times New Roman"/>
                <w:sz w:val="24"/>
              </w:rPr>
              <w:t>T——水温，℃。</w:t>
            </w:r>
          </w:p>
          <w:p w14:paraId="5D6F269E">
            <w:pPr>
              <w:adjustRightInd w:val="0"/>
              <w:snapToGrid w:val="0"/>
              <w:spacing w:line="360" w:lineRule="auto"/>
              <w:rPr>
                <w:rFonts w:ascii="Times New Roman" w:hAnsi="Times New Roman" w:cs="Times New Roman"/>
                <w:sz w:val="24"/>
              </w:rPr>
            </w:pPr>
            <w:r>
              <w:rPr>
                <w:rFonts w:ascii="Times New Roman" w:hAnsi="Times New Roman" w:cs="Times New Roman"/>
                <w:sz w:val="24"/>
              </w:rPr>
              <w:t>pH标准指数</w:t>
            </w:r>
          </w:p>
          <w:p w14:paraId="0C295A56">
            <w:pPr>
              <w:adjustRightInd w:val="0"/>
              <w:snapToGrid w:val="0"/>
              <w:spacing w:line="360" w:lineRule="auto"/>
              <w:jc w:val="center"/>
              <w:rPr>
                <w:rFonts w:ascii="Times New Roman" w:hAnsi="Times New Roman" w:cs="Times New Roman"/>
                <w:sz w:val="24"/>
              </w:rPr>
            </w:pPr>
            <w:r>
              <w:rPr>
                <w:rFonts w:ascii="Times New Roman" w:hAnsi="Times New Roman" w:cs="Times New Roman"/>
                <w:sz w:val="24"/>
              </w:rPr>
              <w:object>
                <v:shape id="_x0000_i1031" o:spt="75" type="#_x0000_t75" style="height:28.9pt;width:79.1pt;" o:ole="t" filled="f" o:preferrelative="t" stroked="f" coordsize="21600,21600">
                  <v:path/>
                  <v:fill on="f" focussize="0,0"/>
                  <v:stroke on="f" joinstyle="miter"/>
                  <v:imagedata r:id="rId26" o:title=""/>
                  <o:lock v:ext="edit" aspectratio="f"/>
                  <w10:wrap type="none"/>
                  <w10:anchorlock/>
                </v:shape>
                <o:OLEObject Type="Embed" ProgID="Equation.3" ShapeID="_x0000_i1031" DrawAspect="Content" ObjectID="_1468075727" r:id="rId25">
                  <o:LockedField>false</o:LockedField>
                </o:OLEObject>
              </w:object>
            </w:r>
            <w:r>
              <w:rPr>
                <w:rFonts w:ascii="Times New Roman" w:hAnsi="Times New Roman" w:cs="Times New Roman"/>
                <w:sz w:val="24"/>
              </w:rPr>
              <w:t>， pHj＞7.0；</w:t>
            </w:r>
          </w:p>
          <w:p w14:paraId="297B4E0A">
            <w:pPr>
              <w:adjustRightInd w:val="0"/>
              <w:snapToGrid w:val="0"/>
              <w:spacing w:line="360" w:lineRule="auto"/>
              <w:jc w:val="center"/>
              <w:rPr>
                <w:rFonts w:ascii="Times New Roman" w:hAnsi="Times New Roman" w:cs="Times New Roman"/>
                <w:sz w:val="24"/>
              </w:rPr>
            </w:pPr>
            <w:r>
              <w:rPr>
                <w:rFonts w:ascii="Times New Roman" w:hAnsi="Times New Roman" w:cs="Times New Roman"/>
                <w:sz w:val="24"/>
              </w:rPr>
              <w:object>
                <v:shape id="_x0000_i1032" o:spt="75" type="#_x0000_t75" style="height:28.9pt;width:79.1pt;" o:ole="t" filled="f" o:preferrelative="t" stroked="f" coordsize="21600,21600">
                  <v:path/>
                  <v:fill on="f" focussize="0,0"/>
                  <v:stroke on="f" joinstyle="miter"/>
                  <v:imagedata r:id="rId28" o:title=""/>
                  <o:lock v:ext="edit" aspectratio="f"/>
                  <w10:wrap type="none"/>
                  <w10:anchorlock/>
                </v:shape>
                <o:OLEObject Type="Embed" ProgID="Equation.3" ShapeID="_x0000_i1032" DrawAspect="Content" ObjectID="_1468075728" r:id="rId27">
                  <o:LockedField>false</o:LockedField>
                </o:OLEObject>
              </w:object>
            </w:r>
            <w:r>
              <w:rPr>
                <w:rFonts w:ascii="Times New Roman" w:hAnsi="Times New Roman" w:cs="Times New Roman"/>
                <w:sz w:val="24"/>
              </w:rPr>
              <w:t>， pHj≤7.0；</w:t>
            </w:r>
          </w:p>
          <w:p w14:paraId="7A6DA355">
            <w:pPr>
              <w:adjustRightInd w:val="0"/>
              <w:snapToGrid w:val="0"/>
              <w:spacing w:line="360" w:lineRule="auto"/>
              <w:rPr>
                <w:rFonts w:ascii="Times New Roman" w:hAnsi="Times New Roman" w:cs="Times New Roman"/>
                <w:sz w:val="24"/>
              </w:rPr>
            </w:pPr>
            <w:r>
              <w:rPr>
                <w:rFonts w:ascii="Times New Roman" w:hAnsi="Times New Roman" w:cs="Times New Roman"/>
                <w:sz w:val="24"/>
              </w:rPr>
              <w:t>式中：S</w:t>
            </w:r>
            <w:r>
              <w:rPr>
                <w:rFonts w:ascii="Times New Roman" w:hAnsi="Times New Roman" w:cs="Times New Roman"/>
                <w:sz w:val="24"/>
                <w:vertAlign w:val="subscript"/>
              </w:rPr>
              <w:t>pH，j</w:t>
            </w:r>
            <w:r>
              <w:rPr>
                <w:rFonts w:ascii="Times New Roman" w:hAnsi="Times New Roman" w:cs="Times New Roman"/>
                <w:sz w:val="24"/>
              </w:rPr>
              <w:t>——pH值的指数，大于1表明该水质因子超标；</w:t>
            </w:r>
          </w:p>
          <w:p w14:paraId="5B1FDB94">
            <w:pPr>
              <w:adjustRightInd w:val="0"/>
              <w:snapToGrid w:val="0"/>
              <w:spacing w:line="360" w:lineRule="auto"/>
              <w:rPr>
                <w:rFonts w:ascii="Times New Roman" w:hAnsi="Times New Roman" w:cs="Times New Roman"/>
                <w:sz w:val="24"/>
              </w:rPr>
            </w:pPr>
            <w:r>
              <w:rPr>
                <w:rFonts w:ascii="Times New Roman" w:hAnsi="Times New Roman" w:cs="Times New Roman"/>
                <w:sz w:val="24"/>
              </w:rPr>
              <w:t>pH</w:t>
            </w:r>
            <w:r>
              <w:rPr>
                <w:rFonts w:ascii="Times New Roman" w:hAnsi="Times New Roman" w:cs="Times New Roman"/>
                <w:sz w:val="24"/>
                <w:vertAlign w:val="subscript"/>
              </w:rPr>
              <w:t>j</w:t>
            </w:r>
            <w:r>
              <w:rPr>
                <w:rFonts w:ascii="Times New Roman" w:hAnsi="Times New Roman" w:cs="Times New Roman"/>
                <w:sz w:val="24"/>
              </w:rPr>
              <w:t>——pH值实测统计代表值；</w:t>
            </w:r>
          </w:p>
          <w:p w14:paraId="7037A596">
            <w:pPr>
              <w:adjustRightInd w:val="0"/>
              <w:snapToGrid w:val="0"/>
              <w:spacing w:line="360" w:lineRule="auto"/>
              <w:rPr>
                <w:rFonts w:ascii="Times New Roman" w:hAnsi="Times New Roman" w:cs="Times New Roman"/>
                <w:sz w:val="24"/>
              </w:rPr>
            </w:pPr>
            <w:r>
              <w:rPr>
                <w:rFonts w:ascii="Times New Roman" w:hAnsi="Times New Roman" w:cs="Times New Roman"/>
                <w:sz w:val="24"/>
              </w:rPr>
              <w:t>pH</w:t>
            </w:r>
            <w:r>
              <w:rPr>
                <w:rFonts w:ascii="Times New Roman" w:hAnsi="Times New Roman" w:cs="Times New Roman"/>
                <w:sz w:val="24"/>
                <w:vertAlign w:val="subscript"/>
              </w:rPr>
              <w:t>sd</w:t>
            </w:r>
            <w:r>
              <w:rPr>
                <w:rFonts w:ascii="Times New Roman" w:hAnsi="Times New Roman" w:cs="Times New Roman"/>
                <w:sz w:val="24"/>
              </w:rPr>
              <w:t>——评价标准中pH值的下限值；</w:t>
            </w:r>
          </w:p>
          <w:p w14:paraId="21D8701E">
            <w:pPr>
              <w:adjustRightInd w:val="0"/>
              <w:snapToGrid w:val="0"/>
              <w:spacing w:line="360" w:lineRule="auto"/>
              <w:rPr>
                <w:rFonts w:ascii="Times New Roman" w:hAnsi="Times New Roman" w:cs="Times New Roman"/>
                <w:sz w:val="24"/>
              </w:rPr>
            </w:pPr>
            <w:r>
              <w:rPr>
                <w:rFonts w:ascii="Times New Roman" w:hAnsi="Times New Roman" w:cs="Times New Roman"/>
                <w:sz w:val="24"/>
              </w:rPr>
              <w:t>pH</w:t>
            </w:r>
            <w:r>
              <w:rPr>
                <w:rFonts w:ascii="Times New Roman" w:hAnsi="Times New Roman" w:cs="Times New Roman"/>
                <w:sz w:val="24"/>
                <w:vertAlign w:val="subscript"/>
              </w:rPr>
              <w:t>su</w:t>
            </w:r>
            <w:r>
              <w:rPr>
                <w:rFonts w:ascii="Times New Roman" w:hAnsi="Times New Roman" w:cs="Times New Roman"/>
                <w:sz w:val="24"/>
              </w:rPr>
              <w:t>——评价标准中pH值的上限值。</w:t>
            </w:r>
          </w:p>
          <w:p w14:paraId="0751F5DC">
            <w:pPr>
              <w:spacing w:line="360" w:lineRule="auto"/>
              <w:ind w:firstLine="482"/>
              <w:rPr>
                <w:rFonts w:ascii="Times New Roman" w:hAnsi="Times New Roman" w:cs="Times New Roman"/>
                <w:sz w:val="24"/>
              </w:rPr>
            </w:pPr>
            <w:r>
              <w:rPr>
                <w:rFonts w:ascii="Times New Roman" w:hAnsi="Times New Roman" w:cs="Times New Roman"/>
                <w:sz w:val="24"/>
              </w:rPr>
              <w:t>由表3.2-2可知，乌江2个现状监测断面各监测因子均符合《地表水环境质量标准》（GB3838-2002）Ⅲ类标准的要求，其Ii值均小于1。</w:t>
            </w:r>
          </w:p>
          <w:p w14:paraId="6E51ACEB">
            <w:pPr>
              <w:spacing w:line="440" w:lineRule="exact"/>
              <w:ind w:firstLine="480" w:firstLineChars="200"/>
              <w:rPr>
                <w:rFonts w:ascii="Times New Roman" w:hAnsi="Times New Roman" w:cs="Times New Roman"/>
                <w:sz w:val="24"/>
              </w:rPr>
            </w:pPr>
            <w:r>
              <w:rPr>
                <w:rFonts w:ascii="Times New Roman" w:hAnsi="Times New Roman" w:cs="Times New Roman"/>
                <w:sz w:val="24"/>
              </w:rPr>
              <w:t>（6）监测结果与分析</w:t>
            </w:r>
          </w:p>
          <w:p w14:paraId="4E63B5D2">
            <w:pPr>
              <w:spacing w:line="480" w:lineRule="exact"/>
              <w:jc w:val="center"/>
              <w:rPr>
                <w:rFonts w:ascii="Times New Roman" w:hAnsi="Times New Roman" w:cs="Times New Roman"/>
                <w:b/>
                <w:sz w:val="24"/>
              </w:rPr>
            </w:pPr>
            <w:r>
              <w:rPr>
                <w:rFonts w:ascii="Times New Roman" w:hAnsi="Times New Roman" w:cs="Times New Roman"/>
                <w:b/>
                <w:sz w:val="24"/>
              </w:rPr>
              <w:t>表3.2-2   地表水现状监测结果统计及评价结果表  mg/L</w:t>
            </w:r>
          </w:p>
          <w:tbl>
            <w:tblPr>
              <w:tblStyle w:val="81"/>
              <w:tblW w:w="5000" w:type="pct"/>
              <w:tblInd w:w="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57" w:type="dxa"/>
                <w:bottom w:w="0" w:type="dxa"/>
                <w:right w:w="57" w:type="dxa"/>
              </w:tblCellMar>
            </w:tblPr>
            <w:tblGrid>
              <w:gridCol w:w="296"/>
              <w:gridCol w:w="476"/>
              <w:gridCol w:w="708"/>
              <w:gridCol w:w="603"/>
              <w:gridCol w:w="646"/>
              <w:gridCol w:w="647"/>
              <w:gridCol w:w="758"/>
              <w:gridCol w:w="654"/>
              <w:gridCol w:w="755"/>
              <w:gridCol w:w="788"/>
              <w:gridCol w:w="889"/>
              <w:gridCol w:w="593"/>
              <w:gridCol w:w="592"/>
            </w:tblGrid>
            <w:tr w14:paraId="2A9220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369" w:hRule="atLeast"/>
              </w:trPr>
              <w:tc>
                <w:tcPr>
                  <w:tcW w:w="880" w:type="pct"/>
                  <w:gridSpan w:val="3"/>
                  <w:vAlign w:val="center"/>
                </w:tcPr>
                <w:p w14:paraId="62431C44">
                  <w:pPr>
                    <w:pStyle w:val="569"/>
                    <w:adjustRightInd w:val="0"/>
                    <w:snapToGrid w:val="0"/>
                    <w:rPr>
                      <w:rFonts w:ascii="Times New Roman" w:hAnsi="Times New Roman" w:cs="Times New Roman"/>
                      <w:sz w:val="18"/>
                    </w:rPr>
                  </w:pPr>
                  <w:r>
                    <w:rPr>
                      <w:rFonts w:ascii="Times New Roman" w:hAnsi="Times New Roman" w:cs="Times New Roman"/>
                    </w:rPr>
                    <mc:AlternateContent>
                      <mc:Choice Requires="wps">
                        <w:drawing>
                          <wp:anchor distT="0" distB="0" distL="114300" distR="114300" simplePos="0" relativeHeight="251661312" behindDoc="0" locked="0" layoutInCell="1" allowOverlap="1">
                            <wp:simplePos x="0" y="0"/>
                            <wp:positionH relativeFrom="column">
                              <wp:posOffset>-14605</wp:posOffset>
                            </wp:positionH>
                            <wp:positionV relativeFrom="paragraph">
                              <wp:posOffset>7620</wp:posOffset>
                            </wp:positionV>
                            <wp:extent cx="478155" cy="427355"/>
                            <wp:effectExtent l="3175" t="3810" r="13970" b="6985"/>
                            <wp:wrapNone/>
                            <wp:docPr id="105" name="直接连接符 498"/>
                            <wp:cNvGraphicFramePr/>
                            <a:graphic xmlns:a="http://schemas.openxmlformats.org/drawingml/2006/main">
                              <a:graphicData uri="http://schemas.microsoft.com/office/word/2010/wordprocessingShape">
                                <wps:wsp>
                                  <wps:cNvCnPr>
                                    <a:cxnSpLocks noChangeShapeType="1"/>
                                  </wps:cNvCnPr>
                                  <wps:spPr bwMode="auto">
                                    <a:xfrm>
                                      <a:off x="0" y="0"/>
                                      <a:ext cx="478155" cy="427355"/>
                                    </a:xfrm>
                                    <a:prstGeom prst="line">
                                      <a:avLst/>
                                    </a:prstGeom>
                                    <a:noFill/>
                                    <a:ln w="9525">
                                      <a:solidFill>
                                        <a:srgbClr val="000000"/>
                                      </a:solidFill>
                                      <a:round/>
                                    </a:ln>
                                    <a:effectLst/>
                                  </wps:spPr>
                                  <wps:bodyPr/>
                                </wps:wsp>
                              </a:graphicData>
                            </a:graphic>
                          </wp:anchor>
                        </w:drawing>
                      </mc:Choice>
                      <mc:Fallback>
                        <w:pict>
                          <v:line id="直接连接符 498" o:spid="_x0000_s1026" o:spt="20" style="position:absolute;left:0pt;margin-left:-1.15pt;margin-top:0.6pt;height:33.65pt;width:37.65pt;z-index:251661312;mso-width-relative:page;mso-height-relative:page;" filled="f" stroked="t" coordsize="21600,21600" o:gfxdata="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McMvLVAAAABgEAAA8AAAAAAAAAAQAgAAAAIgAAAGRycy9kb3ducmV2LnhtbFBLAQIUABQAAAAI&#10;AIdO4kC/OWL08AEAAMADAAAOAAAAAAAAAAEAIAAAACQBAABkcnMvZTJvRG9jLnhtbFBLBQYAAAAA&#10;BgAGAFkBAACGBQAAAAA=&#10;">
                            <v:fill on="f" focussize="0,0"/>
                            <v:stroke color="#0000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column">
                              <wp:posOffset>-38100</wp:posOffset>
                            </wp:positionH>
                            <wp:positionV relativeFrom="paragraph">
                              <wp:posOffset>-1270</wp:posOffset>
                            </wp:positionV>
                            <wp:extent cx="914400" cy="399415"/>
                            <wp:effectExtent l="1905" t="4445" r="17145" b="15240"/>
                            <wp:wrapNone/>
                            <wp:docPr id="104" name="直接连接符 469"/>
                            <wp:cNvGraphicFramePr/>
                            <a:graphic xmlns:a="http://schemas.openxmlformats.org/drawingml/2006/main">
                              <a:graphicData uri="http://schemas.microsoft.com/office/word/2010/wordprocessingShape">
                                <wps:wsp>
                                  <wps:cNvCnPr>
                                    <a:cxnSpLocks noChangeShapeType="1"/>
                                  </wps:cNvCnPr>
                                  <wps:spPr bwMode="auto">
                                    <a:xfrm>
                                      <a:off x="0" y="0"/>
                                      <a:ext cx="914400" cy="399415"/>
                                    </a:xfrm>
                                    <a:prstGeom prst="line">
                                      <a:avLst/>
                                    </a:prstGeom>
                                    <a:noFill/>
                                    <a:ln w="9525">
                                      <a:solidFill>
                                        <a:srgbClr val="000000"/>
                                      </a:solidFill>
                                      <a:round/>
                                    </a:ln>
                                    <a:effectLst/>
                                  </wps:spPr>
                                  <wps:bodyPr/>
                                </wps:wsp>
                              </a:graphicData>
                            </a:graphic>
                          </wp:anchor>
                        </w:drawing>
                      </mc:Choice>
                      <mc:Fallback>
                        <w:pict>
                          <v:line id="直接连接符 469" o:spid="_x0000_s1026" o:spt="20" style="position:absolute;left:0pt;margin-left:-3pt;margin-top:-0.1pt;height:31.45pt;width:72pt;z-index:251660288;mso-width-relative:page;mso-height-relative:page;" filled="f" stroked="t" coordsize="21600,21600" o:gfxdata="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3MQOnVAAAABwEAAA8AAAAAAAAAAQAgAAAAIgAAAGRycy9kb3ducmV2LnhtbFBLAQIUABQAAAAI&#10;AIdO4kAs85rO8AEAAMADAAAOAAAAAAAAAAEAIAAAACQBAABkcnMvZTJvRG9jLnhtbFBLBQYAAAAA&#10;BgAGAFkBAACGBQAAAAA=&#10;">
                            <v:fill on="f" focussize="0,0"/>
                            <v:stroke color="#000000" joinstyle="round"/>
                            <v:imagedata o:title=""/>
                            <o:lock v:ext="edit" aspectratio="f"/>
                          </v:line>
                        </w:pict>
                      </mc:Fallback>
                    </mc:AlternateContent>
                  </w:r>
                  <w:r>
                    <w:rPr>
                      <w:rFonts w:ascii="Times New Roman" w:hAnsi="Times New Roman" w:cs="Times New Roman"/>
                      <w:sz w:val="18"/>
                    </w:rPr>
                    <w:t xml:space="preserve">       监测项目</w:t>
                  </w:r>
                </w:p>
                <w:p w14:paraId="43A05AE2">
                  <w:pPr>
                    <w:pStyle w:val="569"/>
                    <w:adjustRightInd w:val="0"/>
                    <w:snapToGrid w:val="0"/>
                    <w:jc w:val="left"/>
                    <w:rPr>
                      <w:rFonts w:ascii="Times New Roman" w:hAnsi="Times New Roman" w:cs="Times New Roman"/>
                      <w:sz w:val="18"/>
                    </w:rPr>
                  </w:pPr>
                </w:p>
                <w:p w14:paraId="79CB6571">
                  <w:pPr>
                    <w:pStyle w:val="569"/>
                    <w:adjustRightInd w:val="0"/>
                    <w:snapToGrid w:val="0"/>
                    <w:jc w:val="left"/>
                    <w:rPr>
                      <w:rFonts w:ascii="Times New Roman" w:hAnsi="Times New Roman" w:cs="Times New Roman"/>
                      <w:sz w:val="18"/>
                    </w:rPr>
                  </w:pPr>
                  <w:r>
                    <w:rPr>
                      <w:rFonts w:ascii="Times New Roman" w:hAnsi="Times New Roman" w:cs="Times New Roman"/>
                      <w:sz w:val="18"/>
                    </w:rPr>
                    <w:t xml:space="preserve">断面     指标 </w:t>
                  </w:r>
                </w:p>
              </w:tc>
              <w:tc>
                <w:tcPr>
                  <w:tcW w:w="359" w:type="pct"/>
                  <w:vAlign w:val="center"/>
                </w:tcPr>
                <w:p w14:paraId="0AFF9BFC">
                  <w:pPr>
                    <w:pStyle w:val="569"/>
                    <w:adjustRightInd w:val="0"/>
                    <w:snapToGrid w:val="0"/>
                    <w:rPr>
                      <w:rFonts w:ascii="Times New Roman" w:hAnsi="Times New Roman" w:cs="Times New Roman"/>
                      <w:sz w:val="18"/>
                    </w:rPr>
                  </w:pPr>
                  <w:r>
                    <w:rPr>
                      <w:rFonts w:ascii="Times New Roman" w:hAnsi="Times New Roman" w:cs="Times New Roman"/>
                      <w:sz w:val="18"/>
                    </w:rPr>
                    <w:t>pH</w:t>
                  </w:r>
                </w:p>
              </w:tc>
              <w:tc>
                <w:tcPr>
                  <w:tcW w:w="384" w:type="pct"/>
                  <w:vAlign w:val="center"/>
                </w:tcPr>
                <w:p w14:paraId="0B0FD6CF">
                  <w:pPr>
                    <w:pStyle w:val="569"/>
                    <w:adjustRightInd w:val="0"/>
                    <w:snapToGrid w:val="0"/>
                    <w:rPr>
                      <w:rFonts w:ascii="Times New Roman" w:hAnsi="Times New Roman" w:cs="Times New Roman"/>
                      <w:sz w:val="18"/>
                    </w:rPr>
                  </w:pPr>
                  <w:r>
                    <w:rPr>
                      <w:rFonts w:ascii="Times New Roman" w:hAnsi="Times New Roman" w:cs="Times New Roman"/>
                      <w:sz w:val="18"/>
                    </w:rPr>
                    <w:t>溶解氧</w:t>
                  </w:r>
                </w:p>
              </w:tc>
              <w:tc>
                <w:tcPr>
                  <w:tcW w:w="385" w:type="pct"/>
                  <w:vAlign w:val="center"/>
                </w:tcPr>
                <w:p w14:paraId="79B088E1">
                  <w:pPr>
                    <w:pStyle w:val="569"/>
                    <w:adjustRightInd w:val="0"/>
                    <w:snapToGrid w:val="0"/>
                    <w:rPr>
                      <w:rFonts w:ascii="Times New Roman" w:hAnsi="Times New Roman" w:cs="Times New Roman"/>
                      <w:sz w:val="18"/>
                    </w:rPr>
                  </w:pPr>
                  <w:r>
                    <w:rPr>
                      <w:rFonts w:ascii="Times New Roman" w:hAnsi="Times New Roman" w:cs="Times New Roman"/>
                      <w:sz w:val="18"/>
                    </w:rPr>
                    <w:t>高锰酸盐指数</w:t>
                  </w:r>
                </w:p>
              </w:tc>
              <w:tc>
                <w:tcPr>
                  <w:tcW w:w="451" w:type="pct"/>
                  <w:vAlign w:val="center"/>
                </w:tcPr>
                <w:p w14:paraId="04801D19">
                  <w:pPr>
                    <w:pStyle w:val="569"/>
                    <w:adjustRightInd w:val="0"/>
                    <w:snapToGrid w:val="0"/>
                    <w:rPr>
                      <w:rFonts w:ascii="Times New Roman" w:hAnsi="Times New Roman" w:cs="Times New Roman"/>
                      <w:sz w:val="18"/>
                    </w:rPr>
                  </w:pPr>
                  <w:r>
                    <w:rPr>
                      <w:rFonts w:ascii="Times New Roman" w:hAnsi="Times New Roman" w:cs="Times New Roman"/>
                      <w:sz w:val="18"/>
                    </w:rPr>
                    <w:t>氨氮</w:t>
                  </w:r>
                </w:p>
              </w:tc>
              <w:tc>
                <w:tcPr>
                  <w:tcW w:w="389" w:type="pct"/>
                  <w:vAlign w:val="center"/>
                </w:tcPr>
                <w:p w14:paraId="41E8F736">
                  <w:pPr>
                    <w:pStyle w:val="569"/>
                    <w:adjustRightInd w:val="0"/>
                    <w:snapToGrid w:val="0"/>
                    <w:rPr>
                      <w:rFonts w:ascii="Times New Roman" w:hAnsi="Times New Roman" w:cs="Times New Roman"/>
                      <w:sz w:val="18"/>
                    </w:rPr>
                  </w:pPr>
                  <w:r>
                    <w:rPr>
                      <w:rFonts w:ascii="Times New Roman" w:hAnsi="Times New Roman" w:cs="Times New Roman"/>
                      <w:sz w:val="18"/>
                    </w:rPr>
                    <w:t>水温（℃）</w:t>
                  </w:r>
                </w:p>
              </w:tc>
              <w:tc>
                <w:tcPr>
                  <w:tcW w:w="449" w:type="pct"/>
                  <w:vAlign w:val="center"/>
                </w:tcPr>
                <w:p w14:paraId="2160B620">
                  <w:pPr>
                    <w:pStyle w:val="569"/>
                    <w:adjustRightInd w:val="0"/>
                    <w:snapToGrid w:val="0"/>
                    <w:rPr>
                      <w:rFonts w:ascii="Times New Roman" w:hAnsi="Times New Roman" w:cs="Times New Roman"/>
                      <w:sz w:val="18"/>
                    </w:rPr>
                  </w:pPr>
                  <w:r>
                    <w:rPr>
                      <w:rFonts w:ascii="Times New Roman" w:hAnsi="Times New Roman" w:cs="Times New Roman"/>
                      <w:sz w:val="18"/>
                    </w:rPr>
                    <w:t>硫化物</w:t>
                  </w:r>
                </w:p>
              </w:tc>
              <w:tc>
                <w:tcPr>
                  <w:tcW w:w="469" w:type="pct"/>
                  <w:vAlign w:val="center"/>
                </w:tcPr>
                <w:p w14:paraId="1637A57F">
                  <w:pPr>
                    <w:pStyle w:val="569"/>
                    <w:adjustRightInd w:val="0"/>
                    <w:snapToGrid w:val="0"/>
                    <w:rPr>
                      <w:rFonts w:ascii="Times New Roman" w:hAnsi="Times New Roman" w:cs="Times New Roman"/>
                      <w:sz w:val="18"/>
                    </w:rPr>
                  </w:pPr>
                  <w:r>
                    <w:rPr>
                      <w:rFonts w:ascii="Times New Roman" w:hAnsi="Times New Roman" w:cs="Times New Roman"/>
                      <w:sz w:val="18"/>
                    </w:rPr>
                    <w:t>铜</w:t>
                  </w:r>
                </w:p>
              </w:tc>
              <w:tc>
                <w:tcPr>
                  <w:tcW w:w="529" w:type="pct"/>
                  <w:vAlign w:val="center"/>
                </w:tcPr>
                <w:p w14:paraId="6FD4B1A1">
                  <w:pPr>
                    <w:pStyle w:val="569"/>
                    <w:adjustRightInd w:val="0"/>
                    <w:snapToGrid w:val="0"/>
                    <w:rPr>
                      <w:rFonts w:ascii="Times New Roman" w:hAnsi="Times New Roman" w:cs="Times New Roman"/>
                      <w:sz w:val="18"/>
                    </w:rPr>
                  </w:pPr>
                  <w:r>
                    <w:rPr>
                      <w:rFonts w:ascii="Times New Roman" w:hAnsi="Times New Roman" w:cs="Times New Roman"/>
                      <w:sz w:val="18"/>
                    </w:rPr>
                    <w:t>锌</w:t>
                  </w:r>
                </w:p>
              </w:tc>
              <w:tc>
                <w:tcPr>
                  <w:tcW w:w="353" w:type="pct"/>
                  <w:vAlign w:val="center"/>
                </w:tcPr>
                <w:p w14:paraId="4DAF6C0B">
                  <w:pPr>
                    <w:pStyle w:val="569"/>
                    <w:adjustRightInd w:val="0"/>
                    <w:snapToGrid w:val="0"/>
                    <w:rPr>
                      <w:rFonts w:ascii="Times New Roman" w:hAnsi="Times New Roman" w:cs="Times New Roman"/>
                      <w:sz w:val="18"/>
                    </w:rPr>
                  </w:pPr>
                  <w:r>
                    <w:rPr>
                      <w:rFonts w:ascii="Times New Roman" w:hAnsi="Times New Roman" w:cs="Times New Roman"/>
                      <w:sz w:val="18"/>
                    </w:rPr>
                    <w:t>氟化物</w:t>
                  </w:r>
                </w:p>
              </w:tc>
              <w:tc>
                <w:tcPr>
                  <w:tcW w:w="353" w:type="pct"/>
                  <w:vAlign w:val="center"/>
                </w:tcPr>
                <w:p w14:paraId="5DD0B3E4">
                  <w:pPr>
                    <w:pStyle w:val="569"/>
                    <w:adjustRightInd w:val="0"/>
                    <w:snapToGrid w:val="0"/>
                    <w:rPr>
                      <w:rFonts w:ascii="Times New Roman" w:hAnsi="Times New Roman" w:cs="Times New Roman"/>
                      <w:sz w:val="18"/>
                    </w:rPr>
                  </w:pPr>
                  <w:r>
                    <w:rPr>
                      <w:rFonts w:ascii="Times New Roman" w:hAnsi="Times New Roman" w:cs="Times New Roman"/>
                      <w:sz w:val="18"/>
                    </w:rPr>
                    <w:t>总磷</w:t>
                  </w:r>
                </w:p>
              </w:tc>
            </w:tr>
            <w:tr w14:paraId="457DE9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cantSplit/>
                <w:trHeight w:val="369" w:hRule="atLeast"/>
              </w:trPr>
              <w:tc>
                <w:tcPr>
                  <w:tcW w:w="176" w:type="pct"/>
                  <w:vMerge w:val="restart"/>
                  <w:tcBorders>
                    <w:top w:val="single" w:color="auto" w:sz="4" w:space="0"/>
                  </w:tcBorders>
                  <w:vAlign w:val="center"/>
                </w:tcPr>
                <w:p w14:paraId="42E72D7D">
                  <w:pPr>
                    <w:pStyle w:val="569"/>
                    <w:adjustRightInd w:val="0"/>
                    <w:snapToGrid w:val="0"/>
                    <w:rPr>
                      <w:rFonts w:ascii="Times New Roman" w:hAnsi="Times New Roman" w:cs="Times New Roman"/>
                      <w:sz w:val="18"/>
                    </w:rPr>
                  </w:pPr>
                  <w:r>
                    <w:rPr>
                      <w:rFonts w:ascii="Times New Roman" w:hAnsi="Times New Roman" w:cs="Times New Roman"/>
                      <w:sz w:val="18"/>
                    </w:rPr>
                    <w:t>乌江</w:t>
                  </w:r>
                </w:p>
              </w:tc>
              <w:tc>
                <w:tcPr>
                  <w:tcW w:w="283" w:type="pct"/>
                  <w:vMerge w:val="restart"/>
                  <w:vAlign w:val="center"/>
                </w:tcPr>
                <w:p w14:paraId="39C8E14A">
                  <w:pPr>
                    <w:pStyle w:val="569"/>
                    <w:adjustRightInd w:val="0"/>
                    <w:snapToGrid w:val="0"/>
                    <w:rPr>
                      <w:rFonts w:ascii="Times New Roman" w:hAnsi="Times New Roman" w:cs="Times New Roman"/>
                      <w:sz w:val="18"/>
                    </w:rPr>
                  </w:pPr>
                  <w:r>
                    <w:rPr>
                      <w:rFonts w:ascii="Times New Roman" w:hAnsi="Times New Roman" w:cs="Times New Roman"/>
                      <w:sz w:val="18"/>
                    </w:rPr>
                    <w:t>2020年Ⅰ断面</w:t>
                  </w:r>
                </w:p>
                <w:p w14:paraId="6A77954B">
                  <w:pPr>
                    <w:pStyle w:val="569"/>
                    <w:adjustRightInd w:val="0"/>
                    <w:snapToGrid w:val="0"/>
                    <w:rPr>
                      <w:rFonts w:ascii="Times New Roman" w:hAnsi="Times New Roman" w:cs="Times New Roman"/>
                      <w:sz w:val="18"/>
                    </w:rPr>
                  </w:pPr>
                  <w:r>
                    <w:rPr>
                      <w:rFonts w:ascii="Times New Roman" w:hAnsi="Times New Roman" w:cs="Times New Roman"/>
                      <w:sz w:val="18"/>
                    </w:rPr>
                    <w:t>白涛断面</w:t>
                  </w:r>
                </w:p>
              </w:tc>
              <w:tc>
                <w:tcPr>
                  <w:tcW w:w="421" w:type="pct"/>
                  <w:vAlign w:val="center"/>
                </w:tcPr>
                <w:p w14:paraId="08A74E0B">
                  <w:pPr>
                    <w:pStyle w:val="569"/>
                    <w:adjustRightInd w:val="0"/>
                    <w:snapToGrid w:val="0"/>
                    <w:rPr>
                      <w:rFonts w:ascii="Times New Roman" w:hAnsi="Times New Roman" w:cs="Times New Roman"/>
                      <w:sz w:val="18"/>
                    </w:rPr>
                  </w:pPr>
                  <w:r>
                    <w:rPr>
                      <w:rFonts w:ascii="Times New Roman" w:hAnsi="Times New Roman" w:cs="Times New Roman"/>
                      <w:sz w:val="18"/>
                    </w:rPr>
                    <w:t>浓度平均值</w:t>
                  </w:r>
                </w:p>
              </w:tc>
              <w:tc>
                <w:tcPr>
                  <w:tcW w:w="359" w:type="pct"/>
                  <w:vAlign w:val="center"/>
                </w:tcPr>
                <w:p w14:paraId="1569AFC6">
                  <w:pPr>
                    <w:pStyle w:val="569"/>
                    <w:adjustRightInd w:val="0"/>
                    <w:snapToGrid w:val="0"/>
                    <w:rPr>
                      <w:rFonts w:ascii="Times New Roman" w:hAnsi="Times New Roman" w:cs="Times New Roman"/>
                      <w:sz w:val="18"/>
                    </w:rPr>
                  </w:pPr>
                  <w:r>
                    <w:rPr>
                      <w:rFonts w:ascii="Times New Roman" w:hAnsi="Times New Roman" w:cs="Times New Roman"/>
                      <w:sz w:val="18"/>
                    </w:rPr>
                    <w:t xml:space="preserve">7.92 </w:t>
                  </w:r>
                </w:p>
              </w:tc>
              <w:tc>
                <w:tcPr>
                  <w:tcW w:w="384" w:type="pct"/>
                  <w:vAlign w:val="center"/>
                </w:tcPr>
                <w:p w14:paraId="1289061D">
                  <w:pPr>
                    <w:pStyle w:val="569"/>
                    <w:adjustRightInd w:val="0"/>
                    <w:snapToGrid w:val="0"/>
                    <w:rPr>
                      <w:rFonts w:ascii="Times New Roman" w:hAnsi="Times New Roman" w:cs="Times New Roman"/>
                      <w:sz w:val="18"/>
                    </w:rPr>
                  </w:pPr>
                  <w:r>
                    <w:rPr>
                      <w:rFonts w:ascii="Times New Roman" w:hAnsi="Times New Roman" w:cs="Times New Roman"/>
                      <w:sz w:val="18"/>
                    </w:rPr>
                    <w:t xml:space="preserve">9.16 </w:t>
                  </w:r>
                </w:p>
              </w:tc>
              <w:tc>
                <w:tcPr>
                  <w:tcW w:w="385" w:type="pct"/>
                  <w:vAlign w:val="center"/>
                </w:tcPr>
                <w:p w14:paraId="2DBC4F71">
                  <w:pPr>
                    <w:pStyle w:val="569"/>
                    <w:adjustRightInd w:val="0"/>
                    <w:snapToGrid w:val="0"/>
                    <w:rPr>
                      <w:rFonts w:ascii="Times New Roman" w:hAnsi="Times New Roman" w:cs="Times New Roman"/>
                      <w:sz w:val="18"/>
                    </w:rPr>
                  </w:pPr>
                  <w:r>
                    <w:rPr>
                      <w:rFonts w:ascii="Times New Roman" w:hAnsi="Times New Roman" w:cs="Times New Roman"/>
                      <w:sz w:val="18"/>
                    </w:rPr>
                    <w:t xml:space="preserve">1.28 </w:t>
                  </w:r>
                </w:p>
              </w:tc>
              <w:tc>
                <w:tcPr>
                  <w:tcW w:w="451" w:type="pct"/>
                  <w:vAlign w:val="center"/>
                </w:tcPr>
                <w:p w14:paraId="2C4071C7">
                  <w:pPr>
                    <w:pStyle w:val="569"/>
                    <w:adjustRightInd w:val="0"/>
                    <w:snapToGrid w:val="0"/>
                    <w:rPr>
                      <w:rFonts w:ascii="Times New Roman" w:hAnsi="Times New Roman" w:cs="Times New Roman"/>
                      <w:sz w:val="18"/>
                    </w:rPr>
                  </w:pPr>
                  <w:r>
                    <w:rPr>
                      <w:rFonts w:ascii="Times New Roman" w:hAnsi="Times New Roman" w:cs="Times New Roman"/>
                      <w:sz w:val="18"/>
                    </w:rPr>
                    <w:t xml:space="preserve">0.12 </w:t>
                  </w:r>
                </w:p>
              </w:tc>
              <w:tc>
                <w:tcPr>
                  <w:tcW w:w="389" w:type="pct"/>
                  <w:vAlign w:val="center"/>
                </w:tcPr>
                <w:p w14:paraId="3F599CF6">
                  <w:pPr>
                    <w:pStyle w:val="569"/>
                    <w:adjustRightInd w:val="0"/>
                    <w:snapToGrid w:val="0"/>
                    <w:rPr>
                      <w:rFonts w:ascii="Times New Roman" w:hAnsi="Times New Roman" w:cs="Times New Roman"/>
                      <w:sz w:val="18"/>
                    </w:rPr>
                  </w:pPr>
                  <w:r>
                    <w:rPr>
                      <w:rFonts w:ascii="Times New Roman" w:hAnsi="Times New Roman" w:cs="Times New Roman"/>
                      <w:sz w:val="18"/>
                    </w:rPr>
                    <w:t>15.1</w:t>
                  </w:r>
                </w:p>
              </w:tc>
              <w:tc>
                <w:tcPr>
                  <w:tcW w:w="449" w:type="pct"/>
                  <w:vAlign w:val="center"/>
                </w:tcPr>
                <w:p w14:paraId="6BE74FA6">
                  <w:pPr>
                    <w:pStyle w:val="569"/>
                    <w:adjustRightInd w:val="0"/>
                    <w:snapToGrid w:val="0"/>
                    <w:rPr>
                      <w:rFonts w:ascii="Times New Roman" w:hAnsi="Times New Roman" w:cs="Times New Roman"/>
                      <w:sz w:val="18"/>
                    </w:rPr>
                  </w:pPr>
                  <w:r>
                    <w:rPr>
                      <w:rFonts w:ascii="Times New Roman" w:hAnsi="Times New Roman" w:cs="Times New Roman"/>
                      <w:sz w:val="18"/>
                    </w:rPr>
                    <w:t>0.005L</w:t>
                  </w:r>
                </w:p>
              </w:tc>
              <w:tc>
                <w:tcPr>
                  <w:tcW w:w="469" w:type="pct"/>
                  <w:vAlign w:val="center"/>
                </w:tcPr>
                <w:p w14:paraId="23E77BAF">
                  <w:pPr>
                    <w:pStyle w:val="569"/>
                    <w:adjustRightInd w:val="0"/>
                    <w:snapToGrid w:val="0"/>
                    <w:rPr>
                      <w:rFonts w:ascii="Times New Roman" w:hAnsi="Times New Roman" w:cs="Times New Roman"/>
                      <w:kern w:val="0"/>
                      <w:sz w:val="18"/>
                    </w:rPr>
                  </w:pPr>
                  <w:r>
                    <w:rPr>
                      <w:rFonts w:ascii="Times New Roman" w:hAnsi="Times New Roman" w:cs="Times New Roman"/>
                      <w:sz w:val="18"/>
                    </w:rPr>
                    <w:t xml:space="preserve">0.18 </w:t>
                  </w:r>
                </w:p>
              </w:tc>
              <w:tc>
                <w:tcPr>
                  <w:tcW w:w="529" w:type="pct"/>
                  <w:vAlign w:val="center"/>
                </w:tcPr>
                <w:p w14:paraId="02809D1A">
                  <w:pPr>
                    <w:pStyle w:val="569"/>
                    <w:adjustRightInd w:val="0"/>
                    <w:snapToGrid w:val="0"/>
                    <w:rPr>
                      <w:rFonts w:ascii="Times New Roman" w:hAnsi="Times New Roman" w:cs="Times New Roman"/>
                      <w:sz w:val="18"/>
                    </w:rPr>
                  </w:pPr>
                  <w:r>
                    <w:rPr>
                      <w:rFonts w:ascii="Times New Roman" w:hAnsi="Times New Roman" w:cs="Times New Roman"/>
                      <w:sz w:val="18"/>
                    </w:rPr>
                    <w:t>0.05L</w:t>
                  </w:r>
                </w:p>
              </w:tc>
              <w:tc>
                <w:tcPr>
                  <w:tcW w:w="353" w:type="pct"/>
                  <w:vAlign w:val="center"/>
                </w:tcPr>
                <w:p w14:paraId="1B17AE96">
                  <w:pPr>
                    <w:pStyle w:val="569"/>
                    <w:adjustRightInd w:val="0"/>
                    <w:snapToGrid w:val="0"/>
                    <w:rPr>
                      <w:rFonts w:ascii="Times New Roman" w:hAnsi="Times New Roman" w:cs="Times New Roman"/>
                      <w:sz w:val="18"/>
                    </w:rPr>
                  </w:pPr>
                  <w:r>
                    <w:rPr>
                      <w:rFonts w:ascii="Times New Roman" w:hAnsi="Times New Roman" w:cs="Times New Roman"/>
                      <w:sz w:val="18"/>
                    </w:rPr>
                    <w:t>0.18</w:t>
                  </w:r>
                </w:p>
              </w:tc>
              <w:tc>
                <w:tcPr>
                  <w:tcW w:w="353" w:type="pct"/>
                  <w:vAlign w:val="center"/>
                </w:tcPr>
                <w:p w14:paraId="7691768D">
                  <w:pPr>
                    <w:pStyle w:val="569"/>
                    <w:adjustRightInd w:val="0"/>
                    <w:snapToGrid w:val="0"/>
                    <w:rPr>
                      <w:rFonts w:ascii="Times New Roman" w:hAnsi="Times New Roman" w:cs="Times New Roman"/>
                      <w:sz w:val="18"/>
                    </w:rPr>
                  </w:pPr>
                  <w:r>
                    <w:rPr>
                      <w:rFonts w:ascii="Times New Roman" w:hAnsi="Times New Roman" w:cs="Times New Roman"/>
                      <w:sz w:val="18"/>
                    </w:rPr>
                    <w:t xml:space="preserve">0.07 </w:t>
                  </w:r>
                </w:p>
              </w:tc>
            </w:tr>
            <w:tr w14:paraId="5B4643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cantSplit/>
                <w:trHeight w:val="369" w:hRule="atLeast"/>
              </w:trPr>
              <w:tc>
                <w:tcPr>
                  <w:tcW w:w="176" w:type="pct"/>
                  <w:vMerge w:val="continue"/>
                  <w:vAlign w:val="center"/>
                </w:tcPr>
                <w:p w14:paraId="0A7B2FDA">
                  <w:pPr>
                    <w:pStyle w:val="569"/>
                    <w:adjustRightInd w:val="0"/>
                    <w:snapToGrid w:val="0"/>
                    <w:rPr>
                      <w:rFonts w:ascii="Times New Roman" w:hAnsi="Times New Roman" w:cs="Times New Roman"/>
                      <w:sz w:val="18"/>
                    </w:rPr>
                  </w:pPr>
                </w:p>
              </w:tc>
              <w:tc>
                <w:tcPr>
                  <w:tcW w:w="283" w:type="pct"/>
                  <w:vMerge w:val="continue"/>
                  <w:vAlign w:val="center"/>
                </w:tcPr>
                <w:p w14:paraId="32E77E09">
                  <w:pPr>
                    <w:pStyle w:val="569"/>
                    <w:adjustRightInd w:val="0"/>
                    <w:snapToGrid w:val="0"/>
                    <w:rPr>
                      <w:rFonts w:ascii="Times New Roman" w:hAnsi="Times New Roman" w:cs="Times New Roman"/>
                      <w:sz w:val="18"/>
                    </w:rPr>
                  </w:pPr>
                </w:p>
              </w:tc>
              <w:tc>
                <w:tcPr>
                  <w:tcW w:w="421" w:type="pct"/>
                  <w:vAlign w:val="center"/>
                </w:tcPr>
                <w:p w14:paraId="75DAEFD1">
                  <w:pPr>
                    <w:pStyle w:val="569"/>
                    <w:adjustRightInd w:val="0"/>
                    <w:snapToGrid w:val="0"/>
                    <w:rPr>
                      <w:rFonts w:ascii="Times New Roman" w:hAnsi="Times New Roman" w:cs="Times New Roman"/>
                      <w:sz w:val="18"/>
                    </w:rPr>
                  </w:pPr>
                  <w:r>
                    <w:rPr>
                      <w:rFonts w:ascii="Times New Roman" w:hAnsi="Times New Roman" w:cs="Times New Roman"/>
                      <w:sz w:val="18"/>
                    </w:rPr>
                    <w:t>超标率%</w:t>
                  </w:r>
                </w:p>
              </w:tc>
              <w:tc>
                <w:tcPr>
                  <w:tcW w:w="359" w:type="pct"/>
                  <w:vAlign w:val="center"/>
                </w:tcPr>
                <w:p w14:paraId="6B2F08E1">
                  <w:pPr>
                    <w:pStyle w:val="569"/>
                    <w:adjustRightInd w:val="0"/>
                    <w:snapToGrid w:val="0"/>
                    <w:rPr>
                      <w:rFonts w:ascii="Times New Roman" w:hAnsi="Times New Roman" w:cs="Times New Roman"/>
                      <w:sz w:val="18"/>
                    </w:rPr>
                  </w:pPr>
                  <w:r>
                    <w:rPr>
                      <w:rFonts w:ascii="Times New Roman" w:hAnsi="Times New Roman" w:cs="Times New Roman"/>
                      <w:sz w:val="18"/>
                    </w:rPr>
                    <w:t>0</w:t>
                  </w:r>
                </w:p>
              </w:tc>
              <w:tc>
                <w:tcPr>
                  <w:tcW w:w="384" w:type="pct"/>
                  <w:vAlign w:val="center"/>
                </w:tcPr>
                <w:p w14:paraId="06748592">
                  <w:pPr>
                    <w:pStyle w:val="569"/>
                    <w:adjustRightInd w:val="0"/>
                    <w:snapToGrid w:val="0"/>
                    <w:rPr>
                      <w:rFonts w:ascii="Times New Roman" w:hAnsi="Times New Roman" w:cs="Times New Roman"/>
                      <w:sz w:val="18"/>
                    </w:rPr>
                  </w:pPr>
                  <w:r>
                    <w:rPr>
                      <w:rFonts w:ascii="Times New Roman" w:hAnsi="Times New Roman" w:cs="Times New Roman"/>
                      <w:sz w:val="18"/>
                    </w:rPr>
                    <w:t>0</w:t>
                  </w:r>
                </w:p>
              </w:tc>
              <w:tc>
                <w:tcPr>
                  <w:tcW w:w="385" w:type="pct"/>
                  <w:vAlign w:val="center"/>
                </w:tcPr>
                <w:p w14:paraId="3F34DFD2">
                  <w:pPr>
                    <w:pStyle w:val="569"/>
                    <w:adjustRightInd w:val="0"/>
                    <w:snapToGrid w:val="0"/>
                    <w:rPr>
                      <w:rFonts w:ascii="Times New Roman" w:hAnsi="Times New Roman" w:cs="Times New Roman"/>
                      <w:sz w:val="18"/>
                    </w:rPr>
                  </w:pPr>
                  <w:r>
                    <w:rPr>
                      <w:rFonts w:ascii="Times New Roman" w:hAnsi="Times New Roman" w:cs="Times New Roman"/>
                      <w:sz w:val="18"/>
                    </w:rPr>
                    <w:t>0</w:t>
                  </w:r>
                </w:p>
              </w:tc>
              <w:tc>
                <w:tcPr>
                  <w:tcW w:w="451" w:type="pct"/>
                  <w:vAlign w:val="center"/>
                </w:tcPr>
                <w:p w14:paraId="6A7B5474">
                  <w:pPr>
                    <w:pStyle w:val="569"/>
                    <w:adjustRightInd w:val="0"/>
                    <w:snapToGrid w:val="0"/>
                    <w:rPr>
                      <w:rFonts w:ascii="Times New Roman" w:hAnsi="Times New Roman" w:cs="Times New Roman"/>
                      <w:sz w:val="18"/>
                    </w:rPr>
                  </w:pPr>
                  <w:r>
                    <w:rPr>
                      <w:rFonts w:ascii="Times New Roman" w:hAnsi="Times New Roman" w:cs="Times New Roman"/>
                      <w:sz w:val="18"/>
                    </w:rPr>
                    <w:t>0</w:t>
                  </w:r>
                </w:p>
              </w:tc>
              <w:tc>
                <w:tcPr>
                  <w:tcW w:w="389" w:type="pct"/>
                  <w:vAlign w:val="center"/>
                </w:tcPr>
                <w:p w14:paraId="1863C5D4">
                  <w:pPr>
                    <w:pStyle w:val="569"/>
                    <w:adjustRightInd w:val="0"/>
                    <w:snapToGrid w:val="0"/>
                    <w:rPr>
                      <w:rFonts w:ascii="Times New Roman" w:hAnsi="Times New Roman" w:cs="Times New Roman"/>
                      <w:sz w:val="18"/>
                    </w:rPr>
                  </w:pPr>
                  <w:r>
                    <w:rPr>
                      <w:rFonts w:ascii="Times New Roman" w:hAnsi="Times New Roman" w:cs="Times New Roman"/>
                      <w:sz w:val="18"/>
                    </w:rPr>
                    <w:t>/</w:t>
                  </w:r>
                </w:p>
              </w:tc>
              <w:tc>
                <w:tcPr>
                  <w:tcW w:w="449" w:type="pct"/>
                  <w:vAlign w:val="center"/>
                </w:tcPr>
                <w:p w14:paraId="46A907C5">
                  <w:pPr>
                    <w:pStyle w:val="569"/>
                    <w:adjustRightInd w:val="0"/>
                    <w:snapToGrid w:val="0"/>
                    <w:rPr>
                      <w:rFonts w:ascii="Times New Roman" w:hAnsi="Times New Roman" w:cs="Times New Roman"/>
                      <w:sz w:val="18"/>
                    </w:rPr>
                  </w:pPr>
                  <w:r>
                    <w:rPr>
                      <w:rFonts w:ascii="Times New Roman" w:hAnsi="Times New Roman" w:cs="Times New Roman"/>
                      <w:sz w:val="18"/>
                    </w:rPr>
                    <w:t>0</w:t>
                  </w:r>
                </w:p>
              </w:tc>
              <w:tc>
                <w:tcPr>
                  <w:tcW w:w="469" w:type="pct"/>
                  <w:vAlign w:val="center"/>
                </w:tcPr>
                <w:p w14:paraId="5D9BDB6B">
                  <w:pPr>
                    <w:pStyle w:val="569"/>
                    <w:adjustRightInd w:val="0"/>
                    <w:snapToGrid w:val="0"/>
                    <w:rPr>
                      <w:rFonts w:ascii="Times New Roman" w:hAnsi="Times New Roman" w:cs="Times New Roman"/>
                      <w:sz w:val="18"/>
                    </w:rPr>
                  </w:pPr>
                  <w:r>
                    <w:rPr>
                      <w:rFonts w:ascii="Times New Roman" w:hAnsi="Times New Roman" w:cs="Times New Roman"/>
                      <w:sz w:val="18"/>
                    </w:rPr>
                    <w:t>0</w:t>
                  </w:r>
                </w:p>
              </w:tc>
              <w:tc>
                <w:tcPr>
                  <w:tcW w:w="529" w:type="pct"/>
                  <w:vAlign w:val="center"/>
                </w:tcPr>
                <w:p w14:paraId="3F3D8352">
                  <w:pPr>
                    <w:pStyle w:val="569"/>
                    <w:adjustRightInd w:val="0"/>
                    <w:snapToGrid w:val="0"/>
                    <w:rPr>
                      <w:rFonts w:ascii="Times New Roman" w:hAnsi="Times New Roman" w:cs="Times New Roman"/>
                      <w:sz w:val="18"/>
                    </w:rPr>
                  </w:pPr>
                  <w:r>
                    <w:rPr>
                      <w:rFonts w:ascii="Times New Roman" w:hAnsi="Times New Roman" w:cs="Times New Roman"/>
                      <w:sz w:val="18"/>
                    </w:rPr>
                    <w:t>0</w:t>
                  </w:r>
                </w:p>
              </w:tc>
              <w:tc>
                <w:tcPr>
                  <w:tcW w:w="353" w:type="pct"/>
                  <w:vAlign w:val="center"/>
                </w:tcPr>
                <w:p w14:paraId="35E3A666">
                  <w:pPr>
                    <w:pStyle w:val="569"/>
                    <w:adjustRightInd w:val="0"/>
                    <w:snapToGrid w:val="0"/>
                    <w:rPr>
                      <w:rFonts w:ascii="Times New Roman" w:hAnsi="Times New Roman" w:cs="Times New Roman"/>
                      <w:sz w:val="18"/>
                    </w:rPr>
                  </w:pPr>
                  <w:r>
                    <w:rPr>
                      <w:rFonts w:ascii="Times New Roman" w:hAnsi="Times New Roman" w:cs="Times New Roman"/>
                      <w:sz w:val="18"/>
                    </w:rPr>
                    <w:t>0</w:t>
                  </w:r>
                </w:p>
              </w:tc>
              <w:tc>
                <w:tcPr>
                  <w:tcW w:w="353" w:type="pct"/>
                  <w:vAlign w:val="center"/>
                </w:tcPr>
                <w:p w14:paraId="79736713">
                  <w:pPr>
                    <w:pStyle w:val="569"/>
                    <w:adjustRightInd w:val="0"/>
                    <w:snapToGrid w:val="0"/>
                    <w:rPr>
                      <w:rFonts w:ascii="Times New Roman" w:hAnsi="Times New Roman" w:cs="Times New Roman"/>
                      <w:sz w:val="18"/>
                    </w:rPr>
                  </w:pPr>
                  <w:r>
                    <w:rPr>
                      <w:rFonts w:ascii="Times New Roman" w:hAnsi="Times New Roman" w:cs="Times New Roman"/>
                      <w:sz w:val="18"/>
                    </w:rPr>
                    <w:t>0</w:t>
                  </w:r>
                </w:p>
              </w:tc>
            </w:tr>
            <w:tr w14:paraId="4155DC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cantSplit/>
                <w:trHeight w:val="369" w:hRule="atLeast"/>
              </w:trPr>
              <w:tc>
                <w:tcPr>
                  <w:tcW w:w="176" w:type="pct"/>
                  <w:vMerge w:val="continue"/>
                  <w:vAlign w:val="center"/>
                </w:tcPr>
                <w:p w14:paraId="31A41213">
                  <w:pPr>
                    <w:pStyle w:val="569"/>
                    <w:adjustRightInd w:val="0"/>
                    <w:snapToGrid w:val="0"/>
                    <w:rPr>
                      <w:rFonts w:ascii="Times New Roman" w:hAnsi="Times New Roman" w:cs="Times New Roman"/>
                      <w:sz w:val="18"/>
                    </w:rPr>
                  </w:pPr>
                </w:p>
              </w:tc>
              <w:tc>
                <w:tcPr>
                  <w:tcW w:w="283" w:type="pct"/>
                  <w:vMerge w:val="continue"/>
                  <w:vAlign w:val="center"/>
                </w:tcPr>
                <w:p w14:paraId="7E562D61">
                  <w:pPr>
                    <w:pStyle w:val="569"/>
                    <w:adjustRightInd w:val="0"/>
                    <w:snapToGrid w:val="0"/>
                    <w:rPr>
                      <w:rFonts w:ascii="Times New Roman" w:hAnsi="Times New Roman" w:cs="Times New Roman"/>
                      <w:sz w:val="18"/>
                    </w:rPr>
                  </w:pPr>
                </w:p>
              </w:tc>
              <w:tc>
                <w:tcPr>
                  <w:tcW w:w="421" w:type="pct"/>
                  <w:vAlign w:val="center"/>
                </w:tcPr>
                <w:p w14:paraId="4B17D135">
                  <w:pPr>
                    <w:pStyle w:val="569"/>
                    <w:adjustRightInd w:val="0"/>
                    <w:snapToGrid w:val="0"/>
                    <w:rPr>
                      <w:rFonts w:ascii="Times New Roman" w:hAnsi="Times New Roman" w:cs="Times New Roman"/>
                      <w:sz w:val="18"/>
                    </w:rPr>
                  </w:pPr>
                  <w:r>
                    <w:rPr>
                      <w:rFonts w:ascii="Times New Roman" w:hAnsi="Times New Roman" w:cs="Times New Roman"/>
                      <w:sz w:val="18"/>
                    </w:rPr>
                    <w:t>最大Ii值</w:t>
                  </w:r>
                </w:p>
              </w:tc>
              <w:tc>
                <w:tcPr>
                  <w:tcW w:w="359" w:type="pct"/>
                  <w:vAlign w:val="center"/>
                </w:tcPr>
                <w:p w14:paraId="6BC1B88A">
                  <w:pPr>
                    <w:pStyle w:val="569"/>
                    <w:adjustRightInd w:val="0"/>
                    <w:snapToGrid w:val="0"/>
                    <w:rPr>
                      <w:rFonts w:ascii="Times New Roman" w:hAnsi="Times New Roman" w:cs="Times New Roman"/>
                      <w:sz w:val="18"/>
                    </w:rPr>
                  </w:pPr>
                  <w:r>
                    <w:rPr>
                      <w:rFonts w:ascii="Times New Roman" w:hAnsi="Times New Roman" w:cs="Times New Roman"/>
                      <w:sz w:val="18"/>
                    </w:rPr>
                    <w:t>0.46</w:t>
                  </w:r>
                </w:p>
              </w:tc>
              <w:tc>
                <w:tcPr>
                  <w:tcW w:w="384" w:type="pct"/>
                  <w:vAlign w:val="center"/>
                </w:tcPr>
                <w:p w14:paraId="01D1819E">
                  <w:pPr>
                    <w:pStyle w:val="569"/>
                    <w:adjustRightInd w:val="0"/>
                    <w:snapToGrid w:val="0"/>
                    <w:rPr>
                      <w:rFonts w:ascii="Times New Roman" w:hAnsi="Times New Roman" w:cs="Times New Roman"/>
                      <w:sz w:val="18"/>
                    </w:rPr>
                  </w:pPr>
                  <w:r>
                    <w:rPr>
                      <w:rFonts w:ascii="Times New Roman" w:hAnsi="Times New Roman" w:cs="Times New Roman"/>
                      <w:sz w:val="18"/>
                    </w:rPr>
                    <w:t>0.02</w:t>
                  </w:r>
                </w:p>
              </w:tc>
              <w:tc>
                <w:tcPr>
                  <w:tcW w:w="385" w:type="pct"/>
                  <w:vAlign w:val="center"/>
                </w:tcPr>
                <w:p w14:paraId="5D664B0F">
                  <w:pPr>
                    <w:pStyle w:val="569"/>
                    <w:adjustRightInd w:val="0"/>
                    <w:snapToGrid w:val="0"/>
                    <w:rPr>
                      <w:rFonts w:ascii="Times New Roman" w:hAnsi="Times New Roman" w:cs="Times New Roman"/>
                      <w:sz w:val="18"/>
                    </w:rPr>
                  </w:pPr>
                  <w:r>
                    <w:rPr>
                      <w:rFonts w:ascii="Times New Roman" w:hAnsi="Times New Roman" w:cs="Times New Roman"/>
                      <w:sz w:val="18"/>
                    </w:rPr>
                    <w:t xml:space="preserve">0.21 </w:t>
                  </w:r>
                </w:p>
              </w:tc>
              <w:tc>
                <w:tcPr>
                  <w:tcW w:w="451" w:type="pct"/>
                  <w:vAlign w:val="center"/>
                </w:tcPr>
                <w:p w14:paraId="385A754A">
                  <w:pPr>
                    <w:pStyle w:val="569"/>
                    <w:adjustRightInd w:val="0"/>
                    <w:snapToGrid w:val="0"/>
                    <w:rPr>
                      <w:rFonts w:ascii="Times New Roman" w:hAnsi="Times New Roman" w:cs="Times New Roman"/>
                      <w:sz w:val="18"/>
                    </w:rPr>
                  </w:pPr>
                  <w:r>
                    <w:rPr>
                      <w:rFonts w:ascii="Times New Roman" w:hAnsi="Times New Roman" w:cs="Times New Roman"/>
                      <w:sz w:val="18"/>
                    </w:rPr>
                    <w:t xml:space="preserve">0.12 </w:t>
                  </w:r>
                </w:p>
              </w:tc>
              <w:tc>
                <w:tcPr>
                  <w:tcW w:w="389" w:type="pct"/>
                  <w:vAlign w:val="center"/>
                </w:tcPr>
                <w:p w14:paraId="01526583">
                  <w:pPr>
                    <w:pStyle w:val="569"/>
                    <w:adjustRightInd w:val="0"/>
                    <w:snapToGrid w:val="0"/>
                    <w:rPr>
                      <w:rFonts w:ascii="Times New Roman" w:hAnsi="Times New Roman" w:cs="Times New Roman"/>
                      <w:sz w:val="18"/>
                    </w:rPr>
                  </w:pPr>
                  <w:r>
                    <w:rPr>
                      <w:rFonts w:ascii="Times New Roman" w:hAnsi="Times New Roman" w:cs="Times New Roman"/>
                      <w:sz w:val="18"/>
                    </w:rPr>
                    <w:t>/</w:t>
                  </w:r>
                </w:p>
              </w:tc>
              <w:tc>
                <w:tcPr>
                  <w:tcW w:w="449" w:type="pct"/>
                  <w:vAlign w:val="center"/>
                </w:tcPr>
                <w:p w14:paraId="510D0CF5">
                  <w:pPr>
                    <w:pStyle w:val="569"/>
                    <w:adjustRightInd w:val="0"/>
                    <w:snapToGrid w:val="0"/>
                    <w:rPr>
                      <w:rFonts w:ascii="Times New Roman" w:hAnsi="Times New Roman" w:cs="Times New Roman"/>
                      <w:sz w:val="18"/>
                    </w:rPr>
                  </w:pPr>
                  <w:r>
                    <w:rPr>
                      <w:rFonts w:ascii="Times New Roman" w:hAnsi="Times New Roman" w:cs="Times New Roman"/>
                      <w:sz w:val="18"/>
                    </w:rPr>
                    <w:t>/</w:t>
                  </w:r>
                </w:p>
              </w:tc>
              <w:tc>
                <w:tcPr>
                  <w:tcW w:w="469" w:type="pct"/>
                  <w:vAlign w:val="center"/>
                </w:tcPr>
                <w:p w14:paraId="7CB6FFF3">
                  <w:pPr>
                    <w:pStyle w:val="569"/>
                    <w:adjustRightInd w:val="0"/>
                    <w:snapToGrid w:val="0"/>
                    <w:rPr>
                      <w:rFonts w:ascii="Times New Roman" w:hAnsi="Times New Roman" w:cs="Times New Roman"/>
                      <w:sz w:val="18"/>
                    </w:rPr>
                  </w:pPr>
                  <w:r>
                    <w:rPr>
                      <w:rFonts w:ascii="Times New Roman" w:hAnsi="Times New Roman" w:cs="Times New Roman"/>
                      <w:sz w:val="18"/>
                    </w:rPr>
                    <w:t xml:space="preserve">0.001 </w:t>
                  </w:r>
                </w:p>
              </w:tc>
              <w:tc>
                <w:tcPr>
                  <w:tcW w:w="529" w:type="pct"/>
                  <w:vAlign w:val="center"/>
                </w:tcPr>
                <w:p w14:paraId="1385F6A1">
                  <w:pPr>
                    <w:pStyle w:val="569"/>
                    <w:adjustRightInd w:val="0"/>
                    <w:snapToGrid w:val="0"/>
                    <w:rPr>
                      <w:rFonts w:ascii="Times New Roman" w:hAnsi="Times New Roman" w:cs="Times New Roman"/>
                      <w:sz w:val="18"/>
                    </w:rPr>
                  </w:pPr>
                  <w:r>
                    <w:rPr>
                      <w:rFonts w:ascii="Times New Roman" w:hAnsi="Times New Roman" w:cs="Times New Roman"/>
                      <w:sz w:val="18"/>
                    </w:rPr>
                    <w:t>/</w:t>
                  </w:r>
                </w:p>
              </w:tc>
              <w:tc>
                <w:tcPr>
                  <w:tcW w:w="353" w:type="pct"/>
                  <w:vAlign w:val="center"/>
                </w:tcPr>
                <w:p w14:paraId="155340F4">
                  <w:pPr>
                    <w:pStyle w:val="569"/>
                    <w:adjustRightInd w:val="0"/>
                    <w:snapToGrid w:val="0"/>
                    <w:rPr>
                      <w:rFonts w:ascii="Times New Roman" w:hAnsi="Times New Roman" w:cs="Times New Roman"/>
                      <w:sz w:val="18"/>
                    </w:rPr>
                  </w:pPr>
                  <w:r>
                    <w:rPr>
                      <w:rFonts w:ascii="Times New Roman" w:hAnsi="Times New Roman" w:cs="Times New Roman"/>
                      <w:sz w:val="18"/>
                    </w:rPr>
                    <w:t>0.18</w:t>
                  </w:r>
                </w:p>
              </w:tc>
              <w:tc>
                <w:tcPr>
                  <w:tcW w:w="353" w:type="pct"/>
                  <w:vAlign w:val="center"/>
                </w:tcPr>
                <w:p w14:paraId="35EF888A">
                  <w:pPr>
                    <w:pStyle w:val="569"/>
                    <w:adjustRightInd w:val="0"/>
                    <w:snapToGrid w:val="0"/>
                    <w:rPr>
                      <w:rFonts w:ascii="Times New Roman" w:hAnsi="Times New Roman" w:cs="Times New Roman"/>
                      <w:kern w:val="0"/>
                      <w:sz w:val="18"/>
                    </w:rPr>
                  </w:pPr>
                  <w:r>
                    <w:rPr>
                      <w:rFonts w:ascii="Times New Roman" w:hAnsi="Times New Roman" w:cs="Times New Roman"/>
                      <w:sz w:val="18"/>
                    </w:rPr>
                    <w:t xml:space="preserve">0.07 </w:t>
                  </w:r>
                </w:p>
              </w:tc>
            </w:tr>
            <w:tr w14:paraId="2F9B35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cantSplit/>
                <w:trHeight w:val="369" w:hRule="atLeast"/>
              </w:trPr>
              <w:tc>
                <w:tcPr>
                  <w:tcW w:w="176" w:type="pct"/>
                  <w:vMerge w:val="continue"/>
                  <w:vAlign w:val="center"/>
                </w:tcPr>
                <w:p w14:paraId="1609D5FB">
                  <w:pPr>
                    <w:pStyle w:val="569"/>
                    <w:adjustRightInd w:val="0"/>
                    <w:snapToGrid w:val="0"/>
                    <w:rPr>
                      <w:rFonts w:ascii="Times New Roman" w:hAnsi="Times New Roman" w:cs="Times New Roman"/>
                      <w:sz w:val="18"/>
                    </w:rPr>
                  </w:pPr>
                </w:p>
              </w:tc>
              <w:tc>
                <w:tcPr>
                  <w:tcW w:w="283" w:type="pct"/>
                  <w:vMerge w:val="restart"/>
                  <w:vAlign w:val="center"/>
                </w:tcPr>
                <w:p w14:paraId="1262BC27">
                  <w:pPr>
                    <w:pStyle w:val="569"/>
                    <w:adjustRightInd w:val="0"/>
                    <w:snapToGrid w:val="0"/>
                    <w:rPr>
                      <w:rFonts w:ascii="Times New Roman" w:hAnsi="Times New Roman" w:cs="Times New Roman"/>
                      <w:sz w:val="18"/>
                    </w:rPr>
                  </w:pPr>
                  <w:r>
                    <w:rPr>
                      <w:rFonts w:ascii="Times New Roman" w:hAnsi="Times New Roman" w:cs="Times New Roman"/>
                      <w:sz w:val="18"/>
                    </w:rPr>
                    <w:t>2020年II断面</w:t>
                  </w:r>
                </w:p>
                <w:p w14:paraId="70D8DFF5">
                  <w:pPr>
                    <w:pStyle w:val="569"/>
                    <w:adjustRightInd w:val="0"/>
                    <w:snapToGrid w:val="0"/>
                    <w:rPr>
                      <w:rFonts w:ascii="Times New Roman" w:hAnsi="Times New Roman" w:cs="Times New Roman"/>
                      <w:sz w:val="18"/>
                    </w:rPr>
                  </w:pPr>
                  <w:r>
                    <w:rPr>
                      <w:rFonts w:ascii="Times New Roman" w:hAnsi="Times New Roman" w:cs="Times New Roman"/>
                      <w:sz w:val="18"/>
                    </w:rPr>
                    <w:t>麻柳嘴断面</w:t>
                  </w:r>
                </w:p>
              </w:tc>
              <w:tc>
                <w:tcPr>
                  <w:tcW w:w="421" w:type="pct"/>
                  <w:vAlign w:val="center"/>
                </w:tcPr>
                <w:p w14:paraId="4B14B842">
                  <w:pPr>
                    <w:pStyle w:val="569"/>
                    <w:adjustRightInd w:val="0"/>
                    <w:snapToGrid w:val="0"/>
                    <w:rPr>
                      <w:rFonts w:ascii="Times New Roman" w:hAnsi="Times New Roman" w:cs="Times New Roman"/>
                      <w:sz w:val="18"/>
                    </w:rPr>
                  </w:pPr>
                  <w:r>
                    <w:rPr>
                      <w:rFonts w:ascii="Times New Roman" w:hAnsi="Times New Roman" w:cs="Times New Roman"/>
                      <w:sz w:val="18"/>
                    </w:rPr>
                    <w:t>浓度平均值</w:t>
                  </w:r>
                </w:p>
              </w:tc>
              <w:tc>
                <w:tcPr>
                  <w:tcW w:w="359" w:type="pct"/>
                  <w:vAlign w:val="center"/>
                </w:tcPr>
                <w:p w14:paraId="74ED985C">
                  <w:pPr>
                    <w:pStyle w:val="569"/>
                    <w:adjustRightInd w:val="0"/>
                    <w:snapToGrid w:val="0"/>
                    <w:rPr>
                      <w:rFonts w:ascii="Times New Roman" w:hAnsi="Times New Roman" w:cs="Times New Roman"/>
                      <w:sz w:val="18"/>
                    </w:rPr>
                  </w:pPr>
                  <w:r>
                    <w:rPr>
                      <w:rFonts w:ascii="Times New Roman" w:hAnsi="Times New Roman" w:cs="Times New Roman"/>
                      <w:sz w:val="18"/>
                    </w:rPr>
                    <w:t xml:space="preserve">7.91 </w:t>
                  </w:r>
                </w:p>
              </w:tc>
              <w:tc>
                <w:tcPr>
                  <w:tcW w:w="384" w:type="pct"/>
                  <w:vAlign w:val="center"/>
                </w:tcPr>
                <w:p w14:paraId="59FB0033">
                  <w:pPr>
                    <w:pStyle w:val="569"/>
                    <w:adjustRightInd w:val="0"/>
                    <w:snapToGrid w:val="0"/>
                    <w:rPr>
                      <w:rFonts w:ascii="Times New Roman" w:hAnsi="Times New Roman" w:cs="Times New Roman"/>
                      <w:sz w:val="18"/>
                    </w:rPr>
                  </w:pPr>
                  <w:r>
                    <w:rPr>
                      <w:rFonts w:ascii="Times New Roman" w:hAnsi="Times New Roman" w:cs="Times New Roman"/>
                      <w:sz w:val="18"/>
                    </w:rPr>
                    <w:t xml:space="preserve">8.29 </w:t>
                  </w:r>
                </w:p>
              </w:tc>
              <w:tc>
                <w:tcPr>
                  <w:tcW w:w="385" w:type="pct"/>
                  <w:vAlign w:val="center"/>
                </w:tcPr>
                <w:p w14:paraId="0D438B42">
                  <w:pPr>
                    <w:pStyle w:val="569"/>
                    <w:adjustRightInd w:val="0"/>
                    <w:snapToGrid w:val="0"/>
                    <w:rPr>
                      <w:rFonts w:ascii="Times New Roman" w:hAnsi="Times New Roman" w:cs="Times New Roman"/>
                      <w:sz w:val="18"/>
                    </w:rPr>
                  </w:pPr>
                  <w:r>
                    <w:rPr>
                      <w:rFonts w:ascii="Times New Roman" w:hAnsi="Times New Roman" w:cs="Times New Roman"/>
                      <w:sz w:val="18"/>
                    </w:rPr>
                    <w:t xml:space="preserve">1.49 </w:t>
                  </w:r>
                </w:p>
              </w:tc>
              <w:tc>
                <w:tcPr>
                  <w:tcW w:w="451" w:type="pct"/>
                  <w:vAlign w:val="center"/>
                </w:tcPr>
                <w:p w14:paraId="73421793">
                  <w:pPr>
                    <w:pStyle w:val="569"/>
                    <w:adjustRightInd w:val="0"/>
                    <w:snapToGrid w:val="0"/>
                    <w:rPr>
                      <w:rFonts w:ascii="Times New Roman" w:hAnsi="Times New Roman" w:cs="Times New Roman"/>
                      <w:sz w:val="18"/>
                    </w:rPr>
                  </w:pPr>
                  <w:r>
                    <w:rPr>
                      <w:rFonts w:ascii="Times New Roman" w:hAnsi="Times New Roman" w:cs="Times New Roman"/>
                      <w:sz w:val="18"/>
                    </w:rPr>
                    <w:t xml:space="preserve">0.18 </w:t>
                  </w:r>
                </w:p>
              </w:tc>
              <w:tc>
                <w:tcPr>
                  <w:tcW w:w="389" w:type="pct"/>
                  <w:vAlign w:val="center"/>
                </w:tcPr>
                <w:p w14:paraId="498F4FDF">
                  <w:pPr>
                    <w:pStyle w:val="569"/>
                    <w:adjustRightInd w:val="0"/>
                    <w:snapToGrid w:val="0"/>
                    <w:rPr>
                      <w:rFonts w:ascii="Times New Roman" w:hAnsi="Times New Roman" w:cs="Times New Roman"/>
                      <w:sz w:val="18"/>
                    </w:rPr>
                  </w:pPr>
                  <w:r>
                    <w:rPr>
                      <w:rFonts w:ascii="Times New Roman" w:hAnsi="Times New Roman" w:cs="Times New Roman"/>
                      <w:sz w:val="18"/>
                    </w:rPr>
                    <w:t>16.1</w:t>
                  </w:r>
                </w:p>
              </w:tc>
              <w:tc>
                <w:tcPr>
                  <w:tcW w:w="449" w:type="pct"/>
                  <w:vAlign w:val="center"/>
                </w:tcPr>
                <w:p w14:paraId="19F80664">
                  <w:pPr>
                    <w:pStyle w:val="569"/>
                    <w:adjustRightInd w:val="0"/>
                    <w:snapToGrid w:val="0"/>
                    <w:rPr>
                      <w:rFonts w:ascii="Times New Roman" w:hAnsi="Times New Roman" w:cs="Times New Roman"/>
                      <w:sz w:val="18"/>
                    </w:rPr>
                  </w:pPr>
                  <w:r>
                    <w:rPr>
                      <w:rFonts w:ascii="Times New Roman" w:hAnsi="Times New Roman" w:cs="Times New Roman"/>
                      <w:sz w:val="18"/>
                    </w:rPr>
                    <w:t>0.005L</w:t>
                  </w:r>
                </w:p>
              </w:tc>
              <w:tc>
                <w:tcPr>
                  <w:tcW w:w="469" w:type="pct"/>
                  <w:vAlign w:val="center"/>
                </w:tcPr>
                <w:p w14:paraId="5B19DEC7">
                  <w:pPr>
                    <w:pStyle w:val="569"/>
                    <w:adjustRightInd w:val="0"/>
                    <w:snapToGrid w:val="0"/>
                    <w:rPr>
                      <w:rFonts w:ascii="Times New Roman" w:hAnsi="Times New Roman" w:cs="Times New Roman"/>
                      <w:sz w:val="18"/>
                    </w:rPr>
                  </w:pPr>
                  <w:r>
                    <w:rPr>
                      <w:rFonts w:ascii="Times New Roman" w:hAnsi="Times New Roman" w:cs="Times New Roman"/>
                      <w:sz w:val="18"/>
                    </w:rPr>
                    <w:t xml:space="preserve">0.11 </w:t>
                  </w:r>
                </w:p>
              </w:tc>
              <w:tc>
                <w:tcPr>
                  <w:tcW w:w="529" w:type="pct"/>
                  <w:vAlign w:val="center"/>
                </w:tcPr>
                <w:p w14:paraId="0A8457D5">
                  <w:pPr>
                    <w:pStyle w:val="569"/>
                    <w:adjustRightInd w:val="0"/>
                    <w:snapToGrid w:val="0"/>
                    <w:rPr>
                      <w:rFonts w:ascii="Times New Roman" w:hAnsi="Times New Roman" w:cs="Times New Roman"/>
                      <w:sz w:val="18"/>
                    </w:rPr>
                  </w:pPr>
                  <w:r>
                    <w:rPr>
                      <w:rFonts w:ascii="Times New Roman" w:hAnsi="Times New Roman" w:cs="Times New Roman"/>
                      <w:sz w:val="18"/>
                    </w:rPr>
                    <w:t>0.05L</w:t>
                  </w:r>
                </w:p>
              </w:tc>
              <w:tc>
                <w:tcPr>
                  <w:tcW w:w="353" w:type="pct"/>
                  <w:vAlign w:val="center"/>
                </w:tcPr>
                <w:p w14:paraId="122A2A33">
                  <w:pPr>
                    <w:pStyle w:val="569"/>
                    <w:adjustRightInd w:val="0"/>
                    <w:snapToGrid w:val="0"/>
                    <w:rPr>
                      <w:rFonts w:ascii="Times New Roman" w:hAnsi="Times New Roman" w:cs="Times New Roman"/>
                      <w:sz w:val="18"/>
                    </w:rPr>
                  </w:pPr>
                  <w:r>
                    <w:rPr>
                      <w:rFonts w:ascii="Times New Roman" w:hAnsi="Times New Roman" w:cs="Times New Roman"/>
                      <w:sz w:val="18"/>
                    </w:rPr>
                    <w:t>0.11</w:t>
                  </w:r>
                </w:p>
              </w:tc>
              <w:tc>
                <w:tcPr>
                  <w:tcW w:w="353" w:type="pct"/>
                  <w:vAlign w:val="center"/>
                </w:tcPr>
                <w:p w14:paraId="76A19342">
                  <w:pPr>
                    <w:pStyle w:val="569"/>
                    <w:adjustRightInd w:val="0"/>
                    <w:snapToGrid w:val="0"/>
                    <w:rPr>
                      <w:rFonts w:ascii="Times New Roman" w:hAnsi="Times New Roman" w:cs="Times New Roman"/>
                      <w:sz w:val="18"/>
                    </w:rPr>
                  </w:pPr>
                  <w:r>
                    <w:rPr>
                      <w:rFonts w:ascii="Times New Roman" w:hAnsi="Times New Roman" w:cs="Times New Roman"/>
                      <w:sz w:val="18"/>
                    </w:rPr>
                    <w:t xml:space="preserve">0.07 </w:t>
                  </w:r>
                </w:p>
              </w:tc>
            </w:tr>
            <w:tr w14:paraId="0CF8F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cantSplit/>
                <w:trHeight w:val="369" w:hRule="atLeast"/>
              </w:trPr>
              <w:tc>
                <w:tcPr>
                  <w:tcW w:w="176" w:type="pct"/>
                  <w:vMerge w:val="continue"/>
                  <w:vAlign w:val="center"/>
                </w:tcPr>
                <w:p w14:paraId="7066FA7F">
                  <w:pPr>
                    <w:pStyle w:val="569"/>
                    <w:adjustRightInd w:val="0"/>
                    <w:snapToGrid w:val="0"/>
                    <w:rPr>
                      <w:rFonts w:ascii="Times New Roman" w:hAnsi="Times New Roman" w:cs="Times New Roman"/>
                      <w:sz w:val="18"/>
                    </w:rPr>
                  </w:pPr>
                </w:p>
              </w:tc>
              <w:tc>
                <w:tcPr>
                  <w:tcW w:w="283" w:type="pct"/>
                  <w:vMerge w:val="continue"/>
                  <w:vAlign w:val="center"/>
                </w:tcPr>
                <w:p w14:paraId="39A4D35F">
                  <w:pPr>
                    <w:pStyle w:val="569"/>
                    <w:adjustRightInd w:val="0"/>
                    <w:snapToGrid w:val="0"/>
                    <w:rPr>
                      <w:rFonts w:ascii="Times New Roman" w:hAnsi="Times New Roman" w:cs="Times New Roman"/>
                      <w:sz w:val="18"/>
                    </w:rPr>
                  </w:pPr>
                </w:p>
              </w:tc>
              <w:tc>
                <w:tcPr>
                  <w:tcW w:w="421" w:type="pct"/>
                  <w:vAlign w:val="center"/>
                </w:tcPr>
                <w:p w14:paraId="034DB975">
                  <w:pPr>
                    <w:pStyle w:val="569"/>
                    <w:adjustRightInd w:val="0"/>
                    <w:snapToGrid w:val="0"/>
                    <w:rPr>
                      <w:rFonts w:ascii="Times New Roman" w:hAnsi="Times New Roman" w:cs="Times New Roman"/>
                      <w:sz w:val="18"/>
                    </w:rPr>
                  </w:pPr>
                  <w:r>
                    <w:rPr>
                      <w:rFonts w:ascii="Times New Roman" w:hAnsi="Times New Roman" w:cs="Times New Roman"/>
                      <w:sz w:val="18"/>
                    </w:rPr>
                    <w:t>超标率%</w:t>
                  </w:r>
                </w:p>
              </w:tc>
              <w:tc>
                <w:tcPr>
                  <w:tcW w:w="359" w:type="pct"/>
                  <w:vAlign w:val="center"/>
                </w:tcPr>
                <w:p w14:paraId="57D07E17">
                  <w:pPr>
                    <w:pStyle w:val="569"/>
                    <w:adjustRightInd w:val="0"/>
                    <w:snapToGrid w:val="0"/>
                    <w:rPr>
                      <w:rFonts w:ascii="Times New Roman" w:hAnsi="Times New Roman" w:cs="Times New Roman"/>
                      <w:sz w:val="18"/>
                    </w:rPr>
                  </w:pPr>
                  <w:r>
                    <w:rPr>
                      <w:rFonts w:ascii="Times New Roman" w:hAnsi="Times New Roman" w:cs="Times New Roman"/>
                      <w:sz w:val="18"/>
                    </w:rPr>
                    <w:t>0</w:t>
                  </w:r>
                </w:p>
              </w:tc>
              <w:tc>
                <w:tcPr>
                  <w:tcW w:w="384" w:type="pct"/>
                  <w:vAlign w:val="center"/>
                </w:tcPr>
                <w:p w14:paraId="74822839">
                  <w:pPr>
                    <w:pStyle w:val="569"/>
                    <w:adjustRightInd w:val="0"/>
                    <w:snapToGrid w:val="0"/>
                    <w:rPr>
                      <w:rFonts w:ascii="Times New Roman" w:hAnsi="Times New Roman" w:cs="Times New Roman"/>
                      <w:sz w:val="18"/>
                    </w:rPr>
                  </w:pPr>
                  <w:r>
                    <w:rPr>
                      <w:rFonts w:ascii="Times New Roman" w:hAnsi="Times New Roman" w:cs="Times New Roman"/>
                      <w:sz w:val="18"/>
                    </w:rPr>
                    <w:t>0</w:t>
                  </w:r>
                </w:p>
              </w:tc>
              <w:tc>
                <w:tcPr>
                  <w:tcW w:w="385" w:type="pct"/>
                  <w:vAlign w:val="center"/>
                </w:tcPr>
                <w:p w14:paraId="404E0AD1">
                  <w:pPr>
                    <w:pStyle w:val="569"/>
                    <w:adjustRightInd w:val="0"/>
                    <w:snapToGrid w:val="0"/>
                    <w:rPr>
                      <w:rFonts w:ascii="Times New Roman" w:hAnsi="Times New Roman" w:cs="Times New Roman"/>
                      <w:sz w:val="18"/>
                    </w:rPr>
                  </w:pPr>
                  <w:r>
                    <w:rPr>
                      <w:rFonts w:ascii="Times New Roman" w:hAnsi="Times New Roman" w:cs="Times New Roman"/>
                      <w:sz w:val="18"/>
                    </w:rPr>
                    <w:t>0</w:t>
                  </w:r>
                </w:p>
              </w:tc>
              <w:tc>
                <w:tcPr>
                  <w:tcW w:w="451" w:type="pct"/>
                  <w:vAlign w:val="center"/>
                </w:tcPr>
                <w:p w14:paraId="0D01D45D">
                  <w:pPr>
                    <w:pStyle w:val="569"/>
                    <w:adjustRightInd w:val="0"/>
                    <w:snapToGrid w:val="0"/>
                    <w:rPr>
                      <w:rFonts w:ascii="Times New Roman" w:hAnsi="Times New Roman" w:cs="Times New Roman"/>
                      <w:sz w:val="18"/>
                    </w:rPr>
                  </w:pPr>
                  <w:r>
                    <w:rPr>
                      <w:rFonts w:ascii="Times New Roman" w:hAnsi="Times New Roman" w:cs="Times New Roman"/>
                      <w:sz w:val="18"/>
                    </w:rPr>
                    <w:t>0</w:t>
                  </w:r>
                </w:p>
              </w:tc>
              <w:tc>
                <w:tcPr>
                  <w:tcW w:w="389" w:type="pct"/>
                  <w:vAlign w:val="center"/>
                </w:tcPr>
                <w:p w14:paraId="1A3C9E7F">
                  <w:pPr>
                    <w:pStyle w:val="569"/>
                    <w:adjustRightInd w:val="0"/>
                    <w:snapToGrid w:val="0"/>
                    <w:rPr>
                      <w:rFonts w:ascii="Times New Roman" w:hAnsi="Times New Roman" w:cs="Times New Roman"/>
                      <w:sz w:val="18"/>
                    </w:rPr>
                  </w:pPr>
                  <w:r>
                    <w:rPr>
                      <w:rFonts w:ascii="Times New Roman" w:hAnsi="Times New Roman" w:cs="Times New Roman"/>
                      <w:sz w:val="18"/>
                    </w:rPr>
                    <w:t>/</w:t>
                  </w:r>
                </w:p>
              </w:tc>
              <w:tc>
                <w:tcPr>
                  <w:tcW w:w="449" w:type="pct"/>
                  <w:vAlign w:val="center"/>
                </w:tcPr>
                <w:p w14:paraId="22993625">
                  <w:pPr>
                    <w:pStyle w:val="569"/>
                    <w:adjustRightInd w:val="0"/>
                    <w:snapToGrid w:val="0"/>
                    <w:rPr>
                      <w:rFonts w:ascii="Times New Roman" w:hAnsi="Times New Roman" w:cs="Times New Roman"/>
                      <w:sz w:val="18"/>
                    </w:rPr>
                  </w:pPr>
                  <w:r>
                    <w:rPr>
                      <w:rFonts w:ascii="Times New Roman" w:hAnsi="Times New Roman" w:cs="Times New Roman"/>
                      <w:sz w:val="18"/>
                    </w:rPr>
                    <w:t>0</w:t>
                  </w:r>
                </w:p>
              </w:tc>
              <w:tc>
                <w:tcPr>
                  <w:tcW w:w="469" w:type="pct"/>
                  <w:vAlign w:val="center"/>
                </w:tcPr>
                <w:p w14:paraId="6ABEF245">
                  <w:pPr>
                    <w:pStyle w:val="569"/>
                    <w:adjustRightInd w:val="0"/>
                    <w:snapToGrid w:val="0"/>
                    <w:rPr>
                      <w:rFonts w:ascii="Times New Roman" w:hAnsi="Times New Roman" w:cs="Times New Roman"/>
                      <w:sz w:val="18"/>
                    </w:rPr>
                  </w:pPr>
                  <w:r>
                    <w:rPr>
                      <w:rFonts w:ascii="Times New Roman" w:hAnsi="Times New Roman" w:cs="Times New Roman"/>
                      <w:sz w:val="18"/>
                    </w:rPr>
                    <w:t>0</w:t>
                  </w:r>
                </w:p>
              </w:tc>
              <w:tc>
                <w:tcPr>
                  <w:tcW w:w="529" w:type="pct"/>
                  <w:vAlign w:val="center"/>
                </w:tcPr>
                <w:p w14:paraId="3A613030">
                  <w:pPr>
                    <w:pStyle w:val="569"/>
                    <w:adjustRightInd w:val="0"/>
                    <w:snapToGrid w:val="0"/>
                    <w:rPr>
                      <w:rFonts w:ascii="Times New Roman" w:hAnsi="Times New Roman" w:cs="Times New Roman"/>
                      <w:sz w:val="18"/>
                    </w:rPr>
                  </w:pPr>
                  <w:r>
                    <w:rPr>
                      <w:rFonts w:ascii="Times New Roman" w:hAnsi="Times New Roman" w:cs="Times New Roman"/>
                      <w:sz w:val="18"/>
                    </w:rPr>
                    <w:t>0</w:t>
                  </w:r>
                </w:p>
              </w:tc>
              <w:tc>
                <w:tcPr>
                  <w:tcW w:w="353" w:type="pct"/>
                  <w:vAlign w:val="center"/>
                </w:tcPr>
                <w:p w14:paraId="3D82633A">
                  <w:pPr>
                    <w:pStyle w:val="569"/>
                    <w:adjustRightInd w:val="0"/>
                    <w:snapToGrid w:val="0"/>
                    <w:rPr>
                      <w:rFonts w:ascii="Times New Roman" w:hAnsi="Times New Roman" w:cs="Times New Roman"/>
                      <w:sz w:val="18"/>
                    </w:rPr>
                  </w:pPr>
                  <w:r>
                    <w:rPr>
                      <w:rFonts w:ascii="Times New Roman" w:hAnsi="Times New Roman" w:cs="Times New Roman"/>
                      <w:sz w:val="18"/>
                    </w:rPr>
                    <w:t>0</w:t>
                  </w:r>
                </w:p>
              </w:tc>
              <w:tc>
                <w:tcPr>
                  <w:tcW w:w="353" w:type="pct"/>
                  <w:vAlign w:val="center"/>
                </w:tcPr>
                <w:p w14:paraId="4E256DFA">
                  <w:pPr>
                    <w:pStyle w:val="569"/>
                    <w:adjustRightInd w:val="0"/>
                    <w:snapToGrid w:val="0"/>
                    <w:rPr>
                      <w:rFonts w:ascii="Times New Roman" w:hAnsi="Times New Roman" w:cs="Times New Roman"/>
                      <w:sz w:val="18"/>
                    </w:rPr>
                  </w:pPr>
                  <w:r>
                    <w:rPr>
                      <w:rFonts w:ascii="Times New Roman" w:hAnsi="Times New Roman" w:cs="Times New Roman"/>
                      <w:sz w:val="18"/>
                    </w:rPr>
                    <w:t>0</w:t>
                  </w:r>
                </w:p>
              </w:tc>
            </w:tr>
            <w:tr w14:paraId="0F8BA3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cantSplit/>
                <w:trHeight w:val="369" w:hRule="atLeast"/>
              </w:trPr>
              <w:tc>
                <w:tcPr>
                  <w:tcW w:w="176" w:type="pct"/>
                  <w:vMerge w:val="continue"/>
                  <w:vAlign w:val="center"/>
                </w:tcPr>
                <w:p w14:paraId="46DD8AE6">
                  <w:pPr>
                    <w:pStyle w:val="569"/>
                    <w:adjustRightInd w:val="0"/>
                    <w:snapToGrid w:val="0"/>
                    <w:rPr>
                      <w:rFonts w:ascii="Times New Roman" w:hAnsi="Times New Roman" w:cs="Times New Roman"/>
                      <w:sz w:val="18"/>
                    </w:rPr>
                  </w:pPr>
                </w:p>
              </w:tc>
              <w:tc>
                <w:tcPr>
                  <w:tcW w:w="283" w:type="pct"/>
                  <w:vMerge w:val="continue"/>
                  <w:vAlign w:val="center"/>
                </w:tcPr>
                <w:p w14:paraId="3C267737">
                  <w:pPr>
                    <w:pStyle w:val="569"/>
                    <w:adjustRightInd w:val="0"/>
                    <w:snapToGrid w:val="0"/>
                    <w:rPr>
                      <w:rFonts w:ascii="Times New Roman" w:hAnsi="Times New Roman" w:cs="Times New Roman"/>
                      <w:sz w:val="18"/>
                    </w:rPr>
                  </w:pPr>
                </w:p>
              </w:tc>
              <w:tc>
                <w:tcPr>
                  <w:tcW w:w="421" w:type="pct"/>
                  <w:vAlign w:val="center"/>
                </w:tcPr>
                <w:p w14:paraId="2AB854C5">
                  <w:pPr>
                    <w:pStyle w:val="569"/>
                    <w:adjustRightInd w:val="0"/>
                    <w:snapToGrid w:val="0"/>
                    <w:rPr>
                      <w:rFonts w:ascii="Times New Roman" w:hAnsi="Times New Roman" w:cs="Times New Roman"/>
                      <w:sz w:val="18"/>
                    </w:rPr>
                  </w:pPr>
                  <w:r>
                    <w:rPr>
                      <w:rFonts w:ascii="Times New Roman" w:hAnsi="Times New Roman" w:cs="Times New Roman"/>
                      <w:sz w:val="18"/>
                    </w:rPr>
                    <w:t>最大Ii值</w:t>
                  </w:r>
                </w:p>
              </w:tc>
              <w:tc>
                <w:tcPr>
                  <w:tcW w:w="359" w:type="pct"/>
                  <w:vAlign w:val="center"/>
                </w:tcPr>
                <w:p w14:paraId="7C98D098">
                  <w:pPr>
                    <w:pStyle w:val="569"/>
                    <w:adjustRightInd w:val="0"/>
                    <w:snapToGrid w:val="0"/>
                    <w:rPr>
                      <w:rFonts w:ascii="Times New Roman" w:hAnsi="Times New Roman" w:cs="Times New Roman"/>
                      <w:sz w:val="18"/>
                    </w:rPr>
                  </w:pPr>
                  <w:r>
                    <w:rPr>
                      <w:rFonts w:ascii="Times New Roman" w:hAnsi="Times New Roman" w:cs="Times New Roman"/>
                      <w:sz w:val="18"/>
                    </w:rPr>
                    <w:t>0.46</w:t>
                  </w:r>
                </w:p>
              </w:tc>
              <w:tc>
                <w:tcPr>
                  <w:tcW w:w="384" w:type="pct"/>
                  <w:vAlign w:val="center"/>
                </w:tcPr>
                <w:p w14:paraId="0D875EEB">
                  <w:pPr>
                    <w:pStyle w:val="569"/>
                    <w:adjustRightInd w:val="0"/>
                    <w:snapToGrid w:val="0"/>
                    <w:rPr>
                      <w:rFonts w:ascii="Times New Roman" w:hAnsi="Times New Roman" w:cs="Times New Roman"/>
                      <w:sz w:val="18"/>
                    </w:rPr>
                  </w:pPr>
                  <w:r>
                    <w:rPr>
                      <w:rFonts w:ascii="Times New Roman" w:hAnsi="Times New Roman" w:cs="Times New Roman"/>
                      <w:sz w:val="18"/>
                    </w:rPr>
                    <w:t>0.24</w:t>
                  </w:r>
                </w:p>
              </w:tc>
              <w:tc>
                <w:tcPr>
                  <w:tcW w:w="385" w:type="pct"/>
                  <w:vAlign w:val="center"/>
                </w:tcPr>
                <w:p w14:paraId="1D510F0D">
                  <w:pPr>
                    <w:pStyle w:val="569"/>
                    <w:adjustRightInd w:val="0"/>
                    <w:snapToGrid w:val="0"/>
                    <w:rPr>
                      <w:rFonts w:ascii="Times New Roman" w:hAnsi="Times New Roman" w:cs="Times New Roman"/>
                      <w:sz w:val="18"/>
                    </w:rPr>
                  </w:pPr>
                  <w:r>
                    <w:rPr>
                      <w:rFonts w:ascii="Times New Roman" w:hAnsi="Times New Roman" w:cs="Times New Roman"/>
                      <w:sz w:val="18"/>
                    </w:rPr>
                    <w:t xml:space="preserve">0.25 </w:t>
                  </w:r>
                </w:p>
              </w:tc>
              <w:tc>
                <w:tcPr>
                  <w:tcW w:w="451" w:type="pct"/>
                  <w:vAlign w:val="center"/>
                </w:tcPr>
                <w:p w14:paraId="49BB299C">
                  <w:pPr>
                    <w:pStyle w:val="569"/>
                    <w:adjustRightInd w:val="0"/>
                    <w:snapToGrid w:val="0"/>
                    <w:rPr>
                      <w:rFonts w:ascii="Times New Roman" w:hAnsi="Times New Roman" w:cs="Times New Roman"/>
                      <w:sz w:val="18"/>
                    </w:rPr>
                  </w:pPr>
                  <w:r>
                    <w:rPr>
                      <w:rFonts w:ascii="Times New Roman" w:hAnsi="Times New Roman" w:cs="Times New Roman"/>
                      <w:sz w:val="18"/>
                    </w:rPr>
                    <w:t xml:space="preserve">0.18 </w:t>
                  </w:r>
                </w:p>
              </w:tc>
              <w:tc>
                <w:tcPr>
                  <w:tcW w:w="389" w:type="pct"/>
                  <w:vAlign w:val="center"/>
                </w:tcPr>
                <w:p w14:paraId="2C380EE1">
                  <w:pPr>
                    <w:pStyle w:val="569"/>
                    <w:adjustRightInd w:val="0"/>
                    <w:snapToGrid w:val="0"/>
                    <w:rPr>
                      <w:rFonts w:ascii="Times New Roman" w:hAnsi="Times New Roman" w:cs="Times New Roman"/>
                      <w:sz w:val="18"/>
                    </w:rPr>
                  </w:pPr>
                  <w:r>
                    <w:rPr>
                      <w:rFonts w:ascii="Times New Roman" w:hAnsi="Times New Roman" w:cs="Times New Roman"/>
                      <w:sz w:val="18"/>
                    </w:rPr>
                    <w:t>/</w:t>
                  </w:r>
                </w:p>
              </w:tc>
              <w:tc>
                <w:tcPr>
                  <w:tcW w:w="449" w:type="pct"/>
                  <w:vAlign w:val="center"/>
                </w:tcPr>
                <w:p w14:paraId="7D9F92F8">
                  <w:pPr>
                    <w:pStyle w:val="569"/>
                    <w:adjustRightInd w:val="0"/>
                    <w:snapToGrid w:val="0"/>
                    <w:rPr>
                      <w:rFonts w:ascii="Times New Roman" w:hAnsi="Times New Roman" w:cs="Times New Roman"/>
                      <w:sz w:val="18"/>
                    </w:rPr>
                  </w:pPr>
                  <w:r>
                    <w:rPr>
                      <w:rFonts w:ascii="Times New Roman" w:hAnsi="Times New Roman" w:cs="Times New Roman"/>
                      <w:sz w:val="18"/>
                    </w:rPr>
                    <w:t>/</w:t>
                  </w:r>
                </w:p>
              </w:tc>
              <w:tc>
                <w:tcPr>
                  <w:tcW w:w="469" w:type="pct"/>
                  <w:vAlign w:val="center"/>
                </w:tcPr>
                <w:p w14:paraId="6DD62E00">
                  <w:pPr>
                    <w:pStyle w:val="569"/>
                    <w:adjustRightInd w:val="0"/>
                    <w:snapToGrid w:val="0"/>
                    <w:rPr>
                      <w:rFonts w:ascii="Times New Roman" w:hAnsi="Times New Roman" w:cs="Times New Roman"/>
                      <w:sz w:val="18"/>
                    </w:rPr>
                  </w:pPr>
                  <w:r>
                    <w:rPr>
                      <w:rFonts w:ascii="Times New Roman" w:hAnsi="Times New Roman" w:cs="Times New Roman"/>
                      <w:sz w:val="18"/>
                    </w:rPr>
                    <w:t>0.003</w:t>
                  </w:r>
                </w:p>
              </w:tc>
              <w:tc>
                <w:tcPr>
                  <w:tcW w:w="529" w:type="pct"/>
                  <w:vAlign w:val="center"/>
                </w:tcPr>
                <w:p w14:paraId="4CAFA438">
                  <w:pPr>
                    <w:pStyle w:val="569"/>
                    <w:adjustRightInd w:val="0"/>
                    <w:snapToGrid w:val="0"/>
                    <w:rPr>
                      <w:rFonts w:ascii="Times New Roman" w:hAnsi="Times New Roman" w:cs="Times New Roman"/>
                      <w:sz w:val="18"/>
                    </w:rPr>
                  </w:pPr>
                  <w:r>
                    <w:rPr>
                      <w:rFonts w:ascii="Times New Roman" w:hAnsi="Times New Roman" w:cs="Times New Roman"/>
                      <w:sz w:val="18"/>
                    </w:rPr>
                    <w:t>/</w:t>
                  </w:r>
                </w:p>
              </w:tc>
              <w:tc>
                <w:tcPr>
                  <w:tcW w:w="353" w:type="pct"/>
                  <w:vAlign w:val="center"/>
                </w:tcPr>
                <w:p w14:paraId="093BD9AE">
                  <w:pPr>
                    <w:pStyle w:val="569"/>
                    <w:adjustRightInd w:val="0"/>
                    <w:snapToGrid w:val="0"/>
                    <w:rPr>
                      <w:rFonts w:ascii="Times New Roman" w:hAnsi="Times New Roman" w:cs="Times New Roman"/>
                      <w:sz w:val="18"/>
                    </w:rPr>
                  </w:pPr>
                  <w:r>
                    <w:rPr>
                      <w:rFonts w:ascii="Times New Roman" w:hAnsi="Times New Roman" w:cs="Times New Roman"/>
                      <w:sz w:val="18"/>
                    </w:rPr>
                    <w:t>0.11</w:t>
                  </w:r>
                </w:p>
              </w:tc>
              <w:tc>
                <w:tcPr>
                  <w:tcW w:w="353" w:type="pct"/>
                  <w:vAlign w:val="center"/>
                </w:tcPr>
                <w:p w14:paraId="581A99D0">
                  <w:pPr>
                    <w:pStyle w:val="569"/>
                    <w:adjustRightInd w:val="0"/>
                    <w:snapToGrid w:val="0"/>
                    <w:rPr>
                      <w:rFonts w:ascii="Times New Roman" w:hAnsi="Times New Roman" w:cs="Times New Roman"/>
                      <w:kern w:val="0"/>
                      <w:sz w:val="18"/>
                    </w:rPr>
                  </w:pPr>
                  <w:r>
                    <w:rPr>
                      <w:rFonts w:ascii="Times New Roman" w:hAnsi="Times New Roman" w:cs="Times New Roman"/>
                      <w:sz w:val="18"/>
                    </w:rPr>
                    <w:t xml:space="preserve">0.07 </w:t>
                  </w:r>
                </w:p>
              </w:tc>
            </w:tr>
            <w:tr w14:paraId="00CA79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cantSplit/>
                <w:trHeight w:val="369" w:hRule="atLeast"/>
              </w:trPr>
              <w:tc>
                <w:tcPr>
                  <w:tcW w:w="880" w:type="pct"/>
                  <w:gridSpan w:val="3"/>
                  <w:vAlign w:val="center"/>
                </w:tcPr>
                <w:p w14:paraId="7B1962CB">
                  <w:pPr>
                    <w:pStyle w:val="569"/>
                    <w:adjustRightInd w:val="0"/>
                    <w:snapToGrid w:val="0"/>
                    <w:rPr>
                      <w:rFonts w:ascii="Times New Roman" w:hAnsi="Times New Roman" w:cs="Times New Roman"/>
                      <w:sz w:val="18"/>
                    </w:rPr>
                  </w:pPr>
                  <w:r>
                    <w:rPr>
                      <w:rFonts w:ascii="Times New Roman" w:hAnsi="Times New Roman" w:cs="Times New Roman"/>
                      <w:sz w:val="18"/>
                    </w:rPr>
                    <w:t>标准值</w:t>
                  </w:r>
                </w:p>
              </w:tc>
              <w:tc>
                <w:tcPr>
                  <w:tcW w:w="359" w:type="pct"/>
                  <w:vAlign w:val="center"/>
                </w:tcPr>
                <w:p w14:paraId="17EFF0F9">
                  <w:pPr>
                    <w:pStyle w:val="569"/>
                    <w:adjustRightInd w:val="0"/>
                    <w:snapToGrid w:val="0"/>
                    <w:rPr>
                      <w:rFonts w:ascii="Times New Roman" w:hAnsi="Times New Roman" w:cs="Times New Roman"/>
                      <w:sz w:val="18"/>
                    </w:rPr>
                  </w:pPr>
                  <w:r>
                    <w:rPr>
                      <w:rFonts w:ascii="Times New Roman" w:hAnsi="Times New Roman" w:cs="Times New Roman"/>
                      <w:sz w:val="18"/>
                    </w:rPr>
                    <w:t>6～9</w:t>
                  </w:r>
                </w:p>
              </w:tc>
              <w:tc>
                <w:tcPr>
                  <w:tcW w:w="384" w:type="pct"/>
                  <w:vAlign w:val="center"/>
                </w:tcPr>
                <w:p w14:paraId="6AFC313C">
                  <w:pPr>
                    <w:pStyle w:val="569"/>
                    <w:adjustRightInd w:val="0"/>
                    <w:snapToGrid w:val="0"/>
                    <w:rPr>
                      <w:rFonts w:ascii="Times New Roman" w:hAnsi="Times New Roman" w:cs="Times New Roman"/>
                      <w:sz w:val="18"/>
                    </w:rPr>
                  </w:pPr>
                  <w:r>
                    <w:rPr>
                      <w:rFonts w:ascii="Times New Roman" w:hAnsi="Times New Roman" w:cs="Times New Roman"/>
                      <w:sz w:val="18"/>
                    </w:rPr>
                    <w:t>≥5</w:t>
                  </w:r>
                </w:p>
              </w:tc>
              <w:tc>
                <w:tcPr>
                  <w:tcW w:w="385" w:type="pct"/>
                  <w:vAlign w:val="center"/>
                </w:tcPr>
                <w:p w14:paraId="67F9AE26">
                  <w:pPr>
                    <w:pStyle w:val="569"/>
                    <w:adjustRightInd w:val="0"/>
                    <w:snapToGrid w:val="0"/>
                    <w:rPr>
                      <w:rFonts w:ascii="Times New Roman" w:hAnsi="Times New Roman" w:cs="Times New Roman"/>
                      <w:sz w:val="18"/>
                    </w:rPr>
                  </w:pPr>
                  <w:r>
                    <w:rPr>
                      <w:rFonts w:ascii="Times New Roman" w:hAnsi="Times New Roman" w:cs="Times New Roman"/>
                      <w:sz w:val="18"/>
                    </w:rPr>
                    <w:t>≤6</w:t>
                  </w:r>
                </w:p>
              </w:tc>
              <w:tc>
                <w:tcPr>
                  <w:tcW w:w="451" w:type="pct"/>
                  <w:vAlign w:val="center"/>
                </w:tcPr>
                <w:p w14:paraId="709AE29C">
                  <w:pPr>
                    <w:pStyle w:val="569"/>
                    <w:adjustRightInd w:val="0"/>
                    <w:snapToGrid w:val="0"/>
                    <w:rPr>
                      <w:rFonts w:ascii="Times New Roman" w:hAnsi="Times New Roman" w:cs="Times New Roman"/>
                      <w:sz w:val="18"/>
                    </w:rPr>
                  </w:pPr>
                  <w:r>
                    <w:rPr>
                      <w:rFonts w:ascii="Times New Roman" w:hAnsi="Times New Roman" w:cs="Times New Roman"/>
                      <w:sz w:val="18"/>
                    </w:rPr>
                    <w:t>≤1</w:t>
                  </w:r>
                </w:p>
              </w:tc>
              <w:tc>
                <w:tcPr>
                  <w:tcW w:w="389" w:type="pct"/>
                  <w:vAlign w:val="center"/>
                </w:tcPr>
                <w:p w14:paraId="00F46FB7">
                  <w:pPr>
                    <w:pStyle w:val="569"/>
                    <w:adjustRightInd w:val="0"/>
                    <w:snapToGrid w:val="0"/>
                    <w:rPr>
                      <w:rFonts w:ascii="Times New Roman" w:hAnsi="Times New Roman" w:cs="Times New Roman"/>
                      <w:sz w:val="18"/>
                    </w:rPr>
                  </w:pPr>
                  <w:r>
                    <w:rPr>
                      <w:rFonts w:ascii="Times New Roman" w:hAnsi="Times New Roman" w:cs="Times New Roman"/>
                      <w:sz w:val="18"/>
                    </w:rPr>
                    <w:t>/</w:t>
                  </w:r>
                </w:p>
              </w:tc>
              <w:tc>
                <w:tcPr>
                  <w:tcW w:w="449" w:type="pct"/>
                  <w:vAlign w:val="center"/>
                </w:tcPr>
                <w:p w14:paraId="3C6E6877">
                  <w:pPr>
                    <w:pStyle w:val="569"/>
                    <w:adjustRightInd w:val="0"/>
                    <w:snapToGrid w:val="0"/>
                    <w:rPr>
                      <w:rFonts w:ascii="Times New Roman" w:hAnsi="Times New Roman" w:cs="Times New Roman"/>
                      <w:sz w:val="18"/>
                    </w:rPr>
                  </w:pPr>
                  <w:r>
                    <w:rPr>
                      <w:rFonts w:ascii="Times New Roman" w:hAnsi="Times New Roman" w:cs="Times New Roman"/>
                      <w:sz w:val="18"/>
                    </w:rPr>
                    <w:t>≤0.2</w:t>
                  </w:r>
                </w:p>
              </w:tc>
              <w:tc>
                <w:tcPr>
                  <w:tcW w:w="469" w:type="pct"/>
                  <w:vAlign w:val="center"/>
                </w:tcPr>
                <w:p w14:paraId="72AA84C8">
                  <w:pPr>
                    <w:pStyle w:val="569"/>
                    <w:adjustRightInd w:val="0"/>
                    <w:snapToGrid w:val="0"/>
                    <w:rPr>
                      <w:rFonts w:ascii="Times New Roman" w:hAnsi="Times New Roman" w:cs="Times New Roman"/>
                      <w:sz w:val="18"/>
                    </w:rPr>
                  </w:pPr>
                  <w:r>
                    <w:rPr>
                      <w:rFonts w:ascii="Times New Roman" w:hAnsi="Times New Roman" w:cs="Times New Roman"/>
                      <w:sz w:val="18"/>
                    </w:rPr>
                    <w:t>≤1</w:t>
                  </w:r>
                </w:p>
              </w:tc>
              <w:tc>
                <w:tcPr>
                  <w:tcW w:w="529" w:type="pct"/>
                  <w:vAlign w:val="center"/>
                </w:tcPr>
                <w:p w14:paraId="12B4D303">
                  <w:pPr>
                    <w:pStyle w:val="569"/>
                    <w:adjustRightInd w:val="0"/>
                    <w:snapToGrid w:val="0"/>
                    <w:rPr>
                      <w:rFonts w:ascii="Times New Roman" w:hAnsi="Times New Roman" w:cs="Times New Roman"/>
                      <w:sz w:val="18"/>
                    </w:rPr>
                  </w:pPr>
                  <w:r>
                    <w:rPr>
                      <w:rFonts w:ascii="Times New Roman" w:hAnsi="Times New Roman" w:cs="Times New Roman"/>
                      <w:sz w:val="18"/>
                    </w:rPr>
                    <w:t>≤1</w:t>
                  </w:r>
                </w:p>
              </w:tc>
              <w:tc>
                <w:tcPr>
                  <w:tcW w:w="353" w:type="pct"/>
                  <w:vAlign w:val="center"/>
                </w:tcPr>
                <w:p w14:paraId="3E0FD25D">
                  <w:pPr>
                    <w:pStyle w:val="569"/>
                    <w:adjustRightInd w:val="0"/>
                    <w:snapToGrid w:val="0"/>
                    <w:rPr>
                      <w:rFonts w:ascii="Times New Roman" w:hAnsi="Times New Roman" w:cs="Times New Roman"/>
                      <w:sz w:val="18"/>
                    </w:rPr>
                  </w:pPr>
                  <w:r>
                    <w:rPr>
                      <w:rFonts w:ascii="Times New Roman" w:hAnsi="Times New Roman" w:cs="Times New Roman"/>
                      <w:sz w:val="18"/>
                    </w:rPr>
                    <w:t>≤1</w:t>
                  </w:r>
                </w:p>
              </w:tc>
              <w:tc>
                <w:tcPr>
                  <w:tcW w:w="353" w:type="pct"/>
                  <w:vAlign w:val="center"/>
                </w:tcPr>
                <w:p w14:paraId="0005FD13">
                  <w:pPr>
                    <w:pStyle w:val="569"/>
                    <w:adjustRightInd w:val="0"/>
                    <w:snapToGrid w:val="0"/>
                    <w:rPr>
                      <w:rFonts w:ascii="Times New Roman" w:hAnsi="Times New Roman" w:cs="Times New Roman"/>
                      <w:sz w:val="18"/>
                    </w:rPr>
                  </w:pPr>
                  <w:r>
                    <w:rPr>
                      <w:rFonts w:ascii="Times New Roman" w:hAnsi="Times New Roman" w:cs="Times New Roman"/>
                      <w:sz w:val="18"/>
                    </w:rPr>
                    <w:t>≤0.2</w:t>
                  </w:r>
                </w:p>
              </w:tc>
            </w:tr>
          </w:tbl>
          <w:p w14:paraId="72AC9468">
            <w:pPr>
              <w:spacing w:line="480" w:lineRule="exact"/>
              <w:jc w:val="center"/>
              <w:rPr>
                <w:rFonts w:ascii="Times New Roman" w:hAnsi="Times New Roman" w:cs="Times New Roman"/>
                <w:b/>
                <w:sz w:val="24"/>
              </w:rPr>
            </w:pPr>
          </w:p>
          <w:p w14:paraId="61C65E59">
            <w:pPr>
              <w:jc w:val="center"/>
              <w:rPr>
                <w:rFonts w:ascii="Times New Roman" w:hAnsi="Times New Roman" w:cs="Times New Roman"/>
                <w:b/>
                <w:szCs w:val="21"/>
              </w:rPr>
            </w:pPr>
            <w:r>
              <w:rPr>
                <w:rFonts w:ascii="Times New Roman" w:hAnsi="Times New Roman" w:cs="Times New Roman"/>
                <w:b/>
                <w:szCs w:val="21"/>
              </w:rPr>
              <w:t>续表3.2-2  地表水现状监测结果统计及评价结果表      单位：mg/L，pH除外</w:t>
            </w:r>
          </w:p>
          <w:tbl>
            <w:tblPr>
              <w:tblStyle w:val="81"/>
              <w:tblW w:w="5000" w:type="pct"/>
              <w:tblInd w:w="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266"/>
              <w:gridCol w:w="476"/>
              <w:gridCol w:w="595"/>
              <w:gridCol w:w="530"/>
              <w:gridCol w:w="634"/>
              <w:gridCol w:w="657"/>
              <w:gridCol w:w="761"/>
              <w:gridCol w:w="867"/>
              <w:gridCol w:w="867"/>
              <w:gridCol w:w="740"/>
              <w:gridCol w:w="657"/>
              <w:gridCol w:w="761"/>
              <w:gridCol w:w="594"/>
            </w:tblGrid>
            <w:tr w14:paraId="6CD427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69" w:hRule="atLeast"/>
              </w:trPr>
              <w:tc>
                <w:tcPr>
                  <w:tcW w:w="795" w:type="pct"/>
                  <w:gridSpan w:val="3"/>
                  <w:vAlign w:val="center"/>
                </w:tcPr>
                <w:p w14:paraId="121E54FA">
                  <w:pPr>
                    <w:pStyle w:val="569"/>
                    <w:adjustRightInd w:val="0"/>
                    <w:snapToGrid w:val="0"/>
                    <w:rPr>
                      <w:rFonts w:ascii="Times New Roman" w:hAnsi="Times New Roman" w:cs="Times New Roman"/>
                      <w:sz w:val="18"/>
                    </w:rPr>
                  </w:pPr>
                  <w:r>
                    <w:rPr>
                      <w:rFonts w:ascii="Times New Roman" w:hAnsi="Times New Roman" w:cs="Times New Roman"/>
                    </w:rPr>
                    <mc:AlternateContent>
                      <mc:Choice Requires="wps">
                        <w:drawing>
                          <wp:anchor distT="0" distB="0" distL="114300" distR="114300" simplePos="0" relativeHeight="251663360" behindDoc="0" locked="0" layoutInCell="1" allowOverlap="1">
                            <wp:simplePos x="0" y="0"/>
                            <wp:positionH relativeFrom="column">
                              <wp:posOffset>-60325</wp:posOffset>
                            </wp:positionH>
                            <wp:positionV relativeFrom="paragraph">
                              <wp:posOffset>4445</wp:posOffset>
                            </wp:positionV>
                            <wp:extent cx="497840" cy="298450"/>
                            <wp:effectExtent l="2540" t="3810" r="13970" b="21590"/>
                            <wp:wrapNone/>
                            <wp:docPr id="107" name="直接连接符 499"/>
                            <wp:cNvGraphicFramePr/>
                            <a:graphic xmlns:a="http://schemas.openxmlformats.org/drawingml/2006/main">
                              <a:graphicData uri="http://schemas.microsoft.com/office/word/2010/wordprocessingShape">
                                <wps:wsp>
                                  <wps:cNvCnPr>
                                    <a:cxnSpLocks noChangeShapeType="1"/>
                                  </wps:cNvCnPr>
                                  <wps:spPr bwMode="auto">
                                    <a:xfrm>
                                      <a:off x="0" y="0"/>
                                      <a:ext cx="497840" cy="298450"/>
                                    </a:xfrm>
                                    <a:prstGeom prst="line">
                                      <a:avLst/>
                                    </a:prstGeom>
                                    <a:noFill/>
                                    <a:ln w="9525">
                                      <a:solidFill>
                                        <a:srgbClr val="000000"/>
                                      </a:solidFill>
                                      <a:round/>
                                    </a:ln>
                                    <a:effectLst/>
                                  </wps:spPr>
                                  <wps:bodyPr/>
                                </wps:wsp>
                              </a:graphicData>
                            </a:graphic>
                          </wp:anchor>
                        </w:drawing>
                      </mc:Choice>
                      <mc:Fallback>
                        <w:pict>
                          <v:line id="直接连接符 499" o:spid="_x0000_s1026" o:spt="20" style="position:absolute;left:0pt;margin-left:-4.75pt;margin-top:0.35pt;height:23.5pt;width:39.2pt;z-index:251663360;mso-width-relative:page;mso-height-relative:page;" filled="f" stroked="t" coordsize="21600,21600" o:gfxdata="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qKzgtUAAAAFAQAADwAAAAAAAAABACAAAAAiAAAAZHJzL2Rvd25yZXYueG1sUEsBAhQAFAAA&#10;AAgAh07iQOh+thfyAQAAwAMAAA4AAAAAAAAAAQAgAAAAJAEAAGRycy9lMm9Eb2MueG1sUEsFBgAA&#10;AAAGAAYAWQEAAIgFAAAAAA==&#10;">
                            <v:fill on="f" focussize="0,0"/>
                            <v:stroke color="#0000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662336" behindDoc="0" locked="0" layoutInCell="1" allowOverlap="1">
                            <wp:simplePos x="0" y="0"/>
                            <wp:positionH relativeFrom="column">
                              <wp:posOffset>-36830</wp:posOffset>
                            </wp:positionH>
                            <wp:positionV relativeFrom="paragraph">
                              <wp:posOffset>4445</wp:posOffset>
                            </wp:positionV>
                            <wp:extent cx="873125" cy="292735"/>
                            <wp:effectExtent l="1270" t="4445" r="1905" b="7620"/>
                            <wp:wrapNone/>
                            <wp:docPr id="106" name="直接连接符 471"/>
                            <wp:cNvGraphicFramePr/>
                            <a:graphic xmlns:a="http://schemas.openxmlformats.org/drawingml/2006/main">
                              <a:graphicData uri="http://schemas.microsoft.com/office/word/2010/wordprocessingShape">
                                <wps:wsp>
                                  <wps:cNvCnPr>
                                    <a:cxnSpLocks noChangeShapeType="1"/>
                                  </wps:cNvCnPr>
                                  <wps:spPr bwMode="auto">
                                    <a:xfrm>
                                      <a:off x="0" y="0"/>
                                      <a:ext cx="873125" cy="292735"/>
                                    </a:xfrm>
                                    <a:prstGeom prst="line">
                                      <a:avLst/>
                                    </a:prstGeom>
                                    <a:noFill/>
                                    <a:ln w="9525">
                                      <a:solidFill>
                                        <a:srgbClr val="000000"/>
                                      </a:solidFill>
                                      <a:round/>
                                    </a:ln>
                                    <a:effectLst/>
                                  </wps:spPr>
                                  <wps:bodyPr/>
                                </wps:wsp>
                              </a:graphicData>
                            </a:graphic>
                          </wp:anchor>
                        </w:drawing>
                      </mc:Choice>
                      <mc:Fallback>
                        <w:pict>
                          <v:line id="直接连接符 471" o:spid="_x0000_s1026" o:spt="20" style="position:absolute;left:0pt;margin-left:-2.9pt;margin-top:0.35pt;height:23.05pt;width:68.75pt;z-index:251662336;mso-width-relative:page;mso-height-relative:page;" filled="f" stroked="t" coordsize="21600,21600" o:gfxdata="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qF3oDVAAAABgEAAA8AAAAAAAAAAQAgAAAAIgAAAGRycy9kb3ducmV2LnhtbFBLAQIUABQAAAAI&#10;AIdO4kBGW9Mi8AEAAMADAAAOAAAAAAAAAAEAIAAAACQBAABkcnMvZTJvRG9jLnhtbFBLBQYAAAAA&#10;BgAGAFkBAACGBQAAAAA=&#10;">
                            <v:fill on="f" focussize="0,0"/>
                            <v:stroke color="#000000" joinstyle="round"/>
                            <v:imagedata o:title=""/>
                            <o:lock v:ext="edit" aspectratio="f"/>
                          </v:line>
                        </w:pict>
                      </mc:Fallback>
                    </mc:AlternateContent>
                  </w:r>
                  <w:r>
                    <w:rPr>
                      <w:rFonts w:ascii="Times New Roman" w:hAnsi="Times New Roman" w:cs="Times New Roman"/>
                      <w:sz w:val="18"/>
                    </w:rPr>
                    <w:t xml:space="preserve">      监测项目</w:t>
                  </w:r>
                </w:p>
                <w:p w14:paraId="30AEA9BA">
                  <w:pPr>
                    <w:pStyle w:val="569"/>
                    <w:adjustRightInd w:val="0"/>
                    <w:snapToGrid w:val="0"/>
                    <w:jc w:val="left"/>
                    <w:rPr>
                      <w:rFonts w:ascii="Times New Roman" w:hAnsi="Times New Roman" w:cs="Times New Roman"/>
                      <w:sz w:val="18"/>
                    </w:rPr>
                  </w:pPr>
                  <w:r>
                    <w:rPr>
                      <w:rFonts w:ascii="Times New Roman" w:hAnsi="Times New Roman" w:cs="Times New Roman"/>
                      <w:sz w:val="18"/>
                    </w:rPr>
                    <w:t>断面  指标</w:t>
                  </w:r>
                </w:p>
              </w:tc>
              <w:tc>
                <w:tcPr>
                  <w:tcW w:w="315" w:type="pct"/>
                  <w:vAlign w:val="center"/>
                </w:tcPr>
                <w:p w14:paraId="37B2132C">
                  <w:pPr>
                    <w:pStyle w:val="569"/>
                    <w:adjustRightInd w:val="0"/>
                    <w:snapToGrid w:val="0"/>
                    <w:rPr>
                      <w:rFonts w:ascii="Times New Roman" w:hAnsi="Times New Roman" w:cs="Times New Roman"/>
                      <w:sz w:val="18"/>
                    </w:rPr>
                  </w:pPr>
                  <w:r>
                    <w:rPr>
                      <w:rFonts w:ascii="Times New Roman" w:hAnsi="Times New Roman" w:cs="Times New Roman"/>
                      <w:sz w:val="18"/>
                    </w:rPr>
                    <w:t>COD</w:t>
                  </w:r>
                </w:p>
              </w:tc>
              <w:tc>
                <w:tcPr>
                  <w:tcW w:w="377" w:type="pct"/>
                  <w:vAlign w:val="center"/>
                </w:tcPr>
                <w:p w14:paraId="45964737">
                  <w:pPr>
                    <w:pStyle w:val="569"/>
                    <w:adjustRightInd w:val="0"/>
                    <w:snapToGrid w:val="0"/>
                    <w:rPr>
                      <w:rFonts w:ascii="Times New Roman" w:hAnsi="Times New Roman" w:cs="Times New Roman"/>
                      <w:sz w:val="18"/>
                    </w:rPr>
                  </w:pPr>
                  <w:r>
                    <w:rPr>
                      <w:rFonts w:ascii="Times New Roman" w:hAnsi="Times New Roman" w:cs="Times New Roman"/>
                      <w:sz w:val="18"/>
                    </w:rPr>
                    <w:t>BOD</w:t>
                  </w:r>
                  <w:r>
                    <w:rPr>
                      <w:rFonts w:ascii="Times New Roman" w:hAnsi="Times New Roman" w:cs="Times New Roman"/>
                      <w:sz w:val="18"/>
                      <w:vertAlign w:val="subscript"/>
                    </w:rPr>
                    <w:t>5</w:t>
                  </w:r>
                </w:p>
              </w:tc>
              <w:tc>
                <w:tcPr>
                  <w:tcW w:w="391" w:type="pct"/>
                  <w:vAlign w:val="center"/>
                </w:tcPr>
                <w:p w14:paraId="3136E6B8">
                  <w:pPr>
                    <w:pStyle w:val="569"/>
                    <w:adjustRightInd w:val="0"/>
                    <w:snapToGrid w:val="0"/>
                    <w:rPr>
                      <w:rFonts w:ascii="Times New Roman" w:hAnsi="Times New Roman" w:cs="Times New Roman"/>
                      <w:sz w:val="18"/>
                    </w:rPr>
                  </w:pPr>
                  <w:r>
                    <w:rPr>
                      <w:rFonts w:ascii="Times New Roman" w:hAnsi="Times New Roman" w:cs="Times New Roman"/>
                      <w:sz w:val="18"/>
                    </w:rPr>
                    <w:t>六价铬</w:t>
                  </w:r>
                </w:p>
              </w:tc>
              <w:tc>
                <w:tcPr>
                  <w:tcW w:w="453" w:type="pct"/>
                  <w:vAlign w:val="center"/>
                </w:tcPr>
                <w:p w14:paraId="223DDD3D">
                  <w:pPr>
                    <w:pStyle w:val="569"/>
                    <w:adjustRightInd w:val="0"/>
                    <w:snapToGrid w:val="0"/>
                    <w:rPr>
                      <w:rFonts w:ascii="Times New Roman" w:hAnsi="Times New Roman" w:cs="Times New Roman"/>
                      <w:sz w:val="18"/>
                    </w:rPr>
                  </w:pPr>
                  <w:r>
                    <w:rPr>
                      <w:rFonts w:ascii="Times New Roman" w:hAnsi="Times New Roman" w:cs="Times New Roman"/>
                      <w:sz w:val="18"/>
                    </w:rPr>
                    <w:t>砷</w:t>
                  </w:r>
                </w:p>
              </w:tc>
              <w:tc>
                <w:tcPr>
                  <w:tcW w:w="516" w:type="pct"/>
                  <w:vAlign w:val="center"/>
                </w:tcPr>
                <w:p w14:paraId="3A5D3012">
                  <w:pPr>
                    <w:pStyle w:val="569"/>
                    <w:adjustRightInd w:val="0"/>
                    <w:snapToGrid w:val="0"/>
                    <w:rPr>
                      <w:rFonts w:ascii="Times New Roman" w:hAnsi="Times New Roman" w:cs="Times New Roman"/>
                      <w:sz w:val="18"/>
                    </w:rPr>
                  </w:pPr>
                  <w:r>
                    <w:rPr>
                      <w:rFonts w:ascii="Times New Roman" w:hAnsi="Times New Roman" w:cs="Times New Roman"/>
                      <w:sz w:val="18"/>
                    </w:rPr>
                    <w:t>汞</w:t>
                  </w:r>
                </w:p>
              </w:tc>
              <w:tc>
                <w:tcPr>
                  <w:tcW w:w="516" w:type="pct"/>
                  <w:vAlign w:val="center"/>
                </w:tcPr>
                <w:p w14:paraId="240A043F">
                  <w:pPr>
                    <w:pStyle w:val="569"/>
                    <w:adjustRightInd w:val="0"/>
                    <w:snapToGrid w:val="0"/>
                    <w:rPr>
                      <w:rFonts w:ascii="Times New Roman" w:hAnsi="Times New Roman" w:cs="Times New Roman"/>
                      <w:sz w:val="18"/>
                    </w:rPr>
                  </w:pPr>
                  <w:r>
                    <w:rPr>
                      <w:rFonts w:ascii="Times New Roman" w:hAnsi="Times New Roman" w:cs="Times New Roman"/>
                      <w:sz w:val="18"/>
                    </w:rPr>
                    <w:t>镉</w:t>
                  </w:r>
                </w:p>
              </w:tc>
              <w:tc>
                <w:tcPr>
                  <w:tcW w:w="440" w:type="pct"/>
                  <w:vAlign w:val="center"/>
                </w:tcPr>
                <w:p w14:paraId="2F51B955">
                  <w:pPr>
                    <w:pStyle w:val="569"/>
                    <w:adjustRightInd w:val="0"/>
                    <w:snapToGrid w:val="0"/>
                    <w:rPr>
                      <w:rFonts w:ascii="Times New Roman" w:hAnsi="Times New Roman" w:cs="Times New Roman"/>
                      <w:sz w:val="18"/>
                    </w:rPr>
                  </w:pPr>
                  <w:r>
                    <w:rPr>
                      <w:rFonts w:ascii="Times New Roman" w:hAnsi="Times New Roman" w:cs="Times New Roman"/>
                      <w:sz w:val="18"/>
                    </w:rPr>
                    <w:t>铅</w:t>
                  </w:r>
                </w:p>
              </w:tc>
              <w:tc>
                <w:tcPr>
                  <w:tcW w:w="391" w:type="pct"/>
                  <w:vAlign w:val="center"/>
                </w:tcPr>
                <w:p w14:paraId="6D3FC08D">
                  <w:pPr>
                    <w:pStyle w:val="569"/>
                    <w:adjustRightInd w:val="0"/>
                    <w:snapToGrid w:val="0"/>
                    <w:rPr>
                      <w:rFonts w:ascii="Times New Roman" w:hAnsi="Times New Roman" w:cs="Times New Roman"/>
                      <w:sz w:val="18"/>
                    </w:rPr>
                  </w:pPr>
                  <w:r>
                    <w:rPr>
                      <w:rFonts w:ascii="Times New Roman" w:hAnsi="Times New Roman" w:cs="Times New Roman"/>
                      <w:sz w:val="18"/>
                    </w:rPr>
                    <w:t>氰化物</w:t>
                  </w:r>
                </w:p>
              </w:tc>
              <w:tc>
                <w:tcPr>
                  <w:tcW w:w="453" w:type="pct"/>
                  <w:vAlign w:val="center"/>
                </w:tcPr>
                <w:p w14:paraId="41CAD6C9">
                  <w:pPr>
                    <w:pStyle w:val="569"/>
                    <w:adjustRightInd w:val="0"/>
                    <w:snapToGrid w:val="0"/>
                    <w:rPr>
                      <w:rFonts w:ascii="Times New Roman" w:hAnsi="Times New Roman" w:cs="Times New Roman"/>
                      <w:sz w:val="18"/>
                    </w:rPr>
                  </w:pPr>
                  <w:r>
                    <w:rPr>
                      <w:rFonts w:ascii="Times New Roman" w:hAnsi="Times New Roman" w:cs="Times New Roman"/>
                      <w:sz w:val="18"/>
                    </w:rPr>
                    <w:t>挥发酚</w:t>
                  </w:r>
                </w:p>
              </w:tc>
              <w:tc>
                <w:tcPr>
                  <w:tcW w:w="353" w:type="pct"/>
                  <w:vAlign w:val="center"/>
                </w:tcPr>
                <w:p w14:paraId="1D9EB6B6">
                  <w:pPr>
                    <w:pStyle w:val="569"/>
                    <w:adjustRightInd w:val="0"/>
                    <w:snapToGrid w:val="0"/>
                    <w:rPr>
                      <w:rFonts w:ascii="Times New Roman" w:hAnsi="Times New Roman" w:cs="Times New Roman"/>
                      <w:sz w:val="18"/>
                    </w:rPr>
                  </w:pPr>
                  <w:r>
                    <w:rPr>
                      <w:rFonts w:ascii="Times New Roman" w:hAnsi="Times New Roman" w:cs="Times New Roman"/>
                      <w:sz w:val="18"/>
                    </w:rPr>
                    <w:t>石油类</w:t>
                  </w:r>
                </w:p>
              </w:tc>
            </w:tr>
            <w:tr w14:paraId="43DEB2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69" w:hRule="atLeast"/>
              </w:trPr>
              <w:tc>
                <w:tcPr>
                  <w:tcW w:w="158" w:type="pct"/>
                  <w:vMerge w:val="restart"/>
                  <w:tcBorders>
                    <w:top w:val="single" w:color="auto" w:sz="4" w:space="0"/>
                  </w:tcBorders>
                  <w:vAlign w:val="center"/>
                </w:tcPr>
                <w:p w14:paraId="2209B7D4">
                  <w:pPr>
                    <w:pStyle w:val="569"/>
                    <w:adjustRightInd w:val="0"/>
                    <w:snapToGrid w:val="0"/>
                    <w:rPr>
                      <w:rFonts w:ascii="Times New Roman" w:hAnsi="Times New Roman" w:cs="Times New Roman"/>
                      <w:sz w:val="18"/>
                    </w:rPr>
                  </w:pPr>
                  <w:r>
                    <w:rPr>
                      <w:rFonts w:ascii="Times New Roman" w:hAnsi="Times New Roman" w:cs="Times New Roman"/>
                      <w:sz w:val="18"/>
                    </w:rPr>
                    <w:t>乌江</w:t>
                  </w:r>
                </w:p>
              </w:tc>
              <w:tc>
                <w:tcPr>
                  <w:tcW w:w="283" w:type="pct"/>
                  <w:vMerge w:val="restart"/>
                  <w:vAlign w:val="center"/>
                </w:tcPr>
                <w:p w14:paraId="69DE0D90">
                  <w:pPr>
                    <w:pStyle w:val="569"/>
                    <w:adjustRightInd w:val="0"/>
                    <w:snapToGrid w:val="0"/>
                    <w:rPr>
                      <w:rFonts w:ascii="Times New Roman" w:hAnsi="Times New Roman" w:cs="Times New Roman"/>
                      <w:sz w:val="18"/>
                    </w:rPr>
                  </w:pPr>
                  <w:r>
                    <w:rPr>
                      <w:rFonts w:ascii="Times New Roman" w:hAnsi="Times New Roman" w:cs="Times New Roman"/>
                      <w:sz w:val="18"/>
                    </w:rPr>
                    <w:t>2020年Ⅰ断面</w:t>
                  </w:r>
                </w:p>
                <w:p w14:paraId="06BB4D72">
                  <w:pPr>
                    <w:pStyle w:val="569"/>
                    <w:adjustRightInd w:val="0"/>
                    <w:snapToGrid w:val="0"/>
                    <w:rPr>
                      <w:rFonts w:ascii="Times New Roman" w:hAnsi="Times New Roman" w:cs="Times New Roman"/>
                      <w:sz w:val="18"/>
                    </w:rPr>
                  </w:pPr>
                  <w:r>
                    <w:rPr>
                      <w:rFonts w:ascii="Times New Roman" w:hAnsi="Times New Roman" w:cs="Times New Roman"/>
                      <w:sz w:val="18"/>
                    </w:rPr>
                    <w:t>白涛断面</w:t>
                  </w:r>
                </w:p>
              </w:tc>
              <w:tc>
                <w:tcPr>
                  <w:tcW w:w="353" w:type="pct"/>
                  <w:vAlign w:val="center"/>
                </w:tcPr>
                <w:p w14:paraId="5A96B2C1">
                  <w:pPr>
                    <w:pStyle w:val="569"/>
                    <w:adjustRightInd w:val="0"/>
                    <w:snapToGrid w:val="0"/>
                    <w:rPr>
                      <w:rFonts w:ascii="Times New Roman" w:hAnsi="Times New Roman" w:cs="Times New Roman"/>
                      <w:sz w:val="18"/>
                    </w:rPr>
                  </w:pPr>
                  <w:r>
                    <w:rPr>
                      <w:rFonts w:ascii="Times New Roman" w:hAnsi="Times New Roman" w:cs="Times New Roman"/>
                      <w:sz w:val="18"/>
                    </w:rPr>
                    <w:t>浓度平均值</w:t>
                  </w:r>
                </w:p>
              </w:tc>
              <w:tc>
                <w:tcPr>
                  <w:tcW w:w="315" w:type="pct"/>
                  <w:vAlign w:val="center"/>
                </w:tcPr>
                <w:p w14:paraId="6254739F">
                  <w:pPr>
                    <w:pStyle w:val="569"/>
                    <w:adjustRightInd w:val="0"/>
                    <w:snapToGrid w:val="0"/>
                    <w:rPr>
                      <w:rFonts w:ascii="Times New Roman" w:hAnsi="Times New Roman" w:cs="Times New Roman"/>
                      <w:sz w:val="18"/>
                    </w:rPr>
                  </w:pPr>
                  <w:r>
                    <w:rPr>
                      <w:rFonts w:ascii="Times New Roman" w:hAnsi="Times New Roman" w:cs="Times New Roman"/>
                      <w:sz w:val="18"/>
                    </w:rPr>
                    <w:t xml:space="preserve">7.67 </w:t>
                  </w:r>
                </w:p>
              </w:tc>
              <w:tc>
                <w:tcPr>
                  <w:tcW w:w="377" w:type="pct"/>
                  <w:vAlign w:val="center"/>
                </w:tcPr>
                <w:p w14:paraId="5CE48EF9">
                  <w:pPr>
                    <w:pStyle w:val="569"/>
                    <w:adjustRightInd w:val="0"/>
                    <w:snapToGrid w:val="0"/>
                    <w:rPr>
                      <w:rFonts w:ascii="Times New Roman" w:hAnsi="Times New Roman" w:cs="Times New Roman"/>
                      <w:sz w:val="18"/>
                    </w:rPr>
                  </w:pPr>
                  <w:r>
                    <w:rPr>
                      <w:rFonts w:ascii="Times New Roman" w:hAnsi="Times New Roman" w:cs="Times New Roman"/>
                      <w:sz w:val="18"/>
                    </w:rPr>
                    <w:t xml:space="preserve">0.86 </w:t>
                  </w:r>
                </w:p>
              </w:tc>
              <w:tc>
                <w:tcPr>
                  <w:tcW w:w="391" w:type="pct"/>
                  <w:vAlign w:val="center"/>
                </w:tcPr>
                <w:p w14:paraId="474DDC18">
                  <w:pPr>
                    <w:pStyle w:val="569"/>
                    <w:adjustRightInd w:val="0"/>
                    <w:snapToGrid w:val="0"/>
                    <w:rPr>
                      <w:rFonts w:ascii="Times New Roman" w:hAnsi="Times New Roman" w:cs="Times New Roman"/>
                      <w:sz w:val="18"/>
                    </w:rPr>
                  </w:pPr>
                  <w:r>
                    <w:rPr>
                      <w:rFonts w:ascii="Times New Roman" w:hAnsi="Times New Roman" w:cs="Times New Roman"/>
                      <w:sz w:val="18"/>
                    </w:rPr>
                    <w:t>0.004L</w:t>
                  </w:r>
                </w:p>
              </w:tc>
              <w:tc>
                <w:tcPr>
                  <w:tcW w:w="453" w:type="pct"/>
                  <w:vAlign w:val="center"/>
                </w:tcPr>
                <w:p w14:paraId="1101654E">
                  <w:pPr>
                    <w:pStyle w:val="569"/>
                    <w:adjustRightInd w:val="0"/>
                    <w:snapToGrid w:val="0"/>
                    <w:rPr>
                      <w:rFonts w:ascii="Times New Roman" w:hAnsi="Times New Roman" w:cs="Times New Roman"/>
                      <w:sz w:val="18"/>
                    </w:rPr>
                  </w:pPr>
                  <w:r>
                    <w:rPr>
                      <w:rFonts w:ascii="Times New Roman" w:hAnsi="Times New Roman" w:cs="Times New Roman"/>
                      <w:sz w:val="18"/>
                    </w:rPr>
                    <w:t>0.0003L</w:t>
                  </w:r>
                </w:p>
              </w:tc>
              <w:tc>
                <w:tcPr>
                  <w:tcW w:w="516" w:type="pct"/>
                  <w:vAlign w:val="center"/>
                </w:tcPr>
                <w:p w14:paraId="7D9819FA">
                  <w:pPr>
                    <w:pStyle w:val="569"/>
                    <w:adjustRightInd w:val="0"/>
                    <w:snapToGrid w:val="0"/>
                    <w:rPr>
                      <w:rFonts w:ascii="Times New Roman" w:hAnsi="Times New Roman" w:cs="Times New Roman"/>
                      <w:sz w:val="18"/>
                    </w:rPr>
                  </w:pPr>
                  <w:r>
                    <w:rPr>
                      <w:rFonts w:ascii="Times New Roman" w:hAnsi="Times New Roman" w:cs="Times New Roman"/>
                      <w:sz w:val="18"/>
                    </w:rPr>
                    <w:t>0.00004L</w:t>
                  </w:r>
                </w:p>
              </w:tc>
              <w:tc>
                <w:tcPr>
                  <w:tcW w:w="516" w:type="pct"/>
                  <w:vAlign w:val="center"/>
                </w:tcPr>
                <w:p w14:paraId="4F29984F">
                  <w:pPr>
                    <w:pStyle w:val="569"/>
                    <w:adjustRightInd w:val="0"/>
                    <w:snapToGrid w:val="0"/>
                    <w:rPr>
                      <w:rFonts w:ascii="Times New Roman" w:hAnsi="Times New Roman" w:cs="Times New Roman"/>
                      <w:sz w:val="18"/>
                    </w:rPr>
                  </w:pPr>
                  <w:r>
                    <w:rPr>
                      <w:rFonts w:ascii="Times New Roman" w:hAnsi="Times New Roman" w:cs="Times New Roman"/>
                      <w:sz w:val="18"/>
                    </w:rPr>
                    <w:t>0.0001L</w:t>
                  </w:r>
                </w:p>
              </w:tc>
              <w:tc>
                <w:tcPr>
                  <w:tcW w:w="440" w:type="pct"/>
                  <w:vAlign w:val="center"/>
                </w:tcPr>
                <w:p w14:paraId="09C4FEB8">
                  <w:pPr>
                    <w:pStyle w:val="569"/>
                    <w:adjustRightInd w:val="0"/>
                    <w:snapToGrid w:val="0"/>
                    <w:rPr>
                      <w:rFonts w:ascii="Times New Roman" w:hAnsi="Times New Roman" w:cs="Times New Roman"/>
                      <w:sz w:val="18"/>
                    </w:rPr>
                  </w:pPr>
                  <w:r>
                    <w:rPr>
                      <w:rFonts w:ascii="Times New Roman" w:hAnsi="Times New Roman" w:cs="Times New Roman"/>
                      <w:sz w:val="18"/>
                    </w:rPr>
                    <w:t>0.002L</w:t>
                  </w:r>
                </w:p>
              </w:tc>
              <w:tc>
                <w:tcPr>
                  <w:tcW w:w="391" w:type="pct"/>
                  <w:vAlign w:val="center"/>
                </w:tcPr>
                <w:p w14:paraId="656CA186">
                  <w:pPr>
                    <w:pStyle w:val="569"/>
                    <w:adjustRightInd w:val="0"/>
                    <w:snapToGrid w:val="0"/>
                    <w:rPr>
                      <w:rFonts w:ascii="Times New Roman" w:hAnsi="Times New Roman" w:cs="Times New Roman"/>
                      <w:sz w:val="18"/>
                    </w:rPr>
                  </w:pPr>
                  <w:r>
                    <w:rPr>
                      <w:rFonts w:ascii="Times New Roman" w:hAnsi="Times New Roman" w:cs="Times New Roman"/>
                      <w:sz w:val="18"/>
                    </w:rPr>
                    <w:t>0.004L</w:t>
                  </w:r>
                </w:p>
              </w:tc>
              <w:tc>
                <w:tcPr>
                  <w:tcW w:w="453" w:type="pct"/>
                  <w:vAlign w:val="center"/>
                </w:tcPr>
                <w:p w14:paraId="137D72DD">
                  <w:pPr>
                    <w:pStyle w:val="569"/>
                    <w:adjustRightInd w:val="0"/>
                    <w:snapToGrid w:val="0"/>
                    <w:rPr>
                      <w:rFonts w:ascii="Times New Roman" w:hAnsi="Times New Roman" w:cs="Times New Roman"/>
                      <w:sz w:val="18"/>
                    </w:rPr>
                  </w:pPr>
                  <w:r>
                    <w:rPr>
                      <w:rFonts w:ascii="Times New Roman" w:hAnsi="Times New Roman" w:cs="Times New Roman"/>
                      <w:sz w:val="18"/>
                    </w:rPr>
                    <w:t>0.0008</w:t>
                  </w:r>
                </w:p>
              </w:tc>
              <w:tc>
                <w:tcPr>
                  <w:tcW w:w="353" w:type="pct"/>
                  <w:vAlign w:val="center"/>
                </w:tcPr>
                <w:p w14:paraId="4EAC5250">
                  <w:pPr>
                    <w:pStyle w:val="569"/>
                    <w:adjustRightInd w:val="0"/>
                    <w:snapToGrid w:val="0"/>
                    <w:rPr>
                      <w:rFonts w:ascii="Times New Roman" w:hAnsi="Times New Roman" w:cs="Times New Roman"/>
                      <w:sz w:val="18"/>
                    </w:rPr>
                  </w:pPr>
                  <w:r>
                    <w:rPr>
                      <w:rFonts w:ascii="Times New Roman" w:hAnsi="Times New Roman" w:cs="Times New Roman"/>
                      <w:sz w:val="18"/>
                    </w:rPr>
                    <w:t>0.01L</w:t>
                  </w:r>
                </w:p>
              </w:tc>
            </w:tr>
            <w:tr w14:paraId="7D1B6D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69" w:hRule="atLeast"/>
              </w:trPr>
              <w:tc>
                <w:tcPr>
                  <w:tcW w:w="158" w:type="pct"/>
                  <w:vMerge w:val="continue"/>
                  <w:vAlign w:val="center"/>
                </w:tcPr>
                <w:p w14:paraId="5175F111">
                  <w:pPr>
                    <w:pStyle w:val="569"/>
                    <w:adjustRightInd w:val="0"/>
                    <w:snapToGrid w:val="0"/>
                    <w:rPr>
                      <w:rFonts w:ascii="Times New Roman" w:hAnsi="Times New Roman" w:cs="Times New Roman"/>
                      <w:sz w:val="18"/>
                    </w:rPr>
                  </w:pPr>
                </w:p>
              </w:tc>
              <w:tc>
                <w:tcPr>
                  <w:tcW w:w="283" w:type="pct"/>
                  <w:vMerge w:val="continue"/>
                  <w:vAlign w:val="center"/>
                </w:tcPr>
                <w:p w14:paraId="34AE0B71">
                  <w:pPr>
                    <w:pStyle w:val="569"/>
                    <w:adjustRightInd w:val="0"/>
                    <w:snapToGrid w:val="0"/>
                    <w:rPr>
                      <w:rFonts w:ascii="Times New Roman" w:hAnsi="Times New Roman" w:cs="Times New Roman"/>
                      <w:sz w:val="18"/>
                    </w:rPr>
                  </w:pPr>
                </w:p>
              </w:tc>
              <w:tc>
                <w:tcPr>
                  <w:tcW w:w="353" w:type="pct"/>
                  <w:vAlign w:val="center"/>
                </w:tcPr>
                <w:p w14:paraId="13F9C7F8">
                  <w:pPr>
                    <w:pStyle w:val="569"/>
                    <w:adjustRightInd w:val="0"/>
                    <w:snapToGrid w:val="0"/>
                    <w:rPr>
                      <w:rFonts w:ascii="Times New Roman" w:hAnsi="Times New Roman" w:cs="Times New Roman"/>
                      <w:sz w:val="18"/>
                    </w:rPr>
                  </w:pPr>
                  <w:r>
                    <w:rPr>
                      <w:rFonts w:ascii="Times New Roman" w:hAnsi="Times New Roman" w:cs="Times New Roman"/>
                      <w:sz w:val="18"/>
                    </w:rPr>
                    <w:t>超标率%</w:t>
                  </w:r>
                </w:p>
              </w:tc>
              <w:tc>
                <w:tcPr>
                  <w:tcW w:w="315" w:type="pct"/>
                  <w:vAlign w:val="center"/>
                </w:tcPr>
                <w:p w14:paraId="7079275E">
                  <w:pPr>
                    <w:pStyle w:val="569"/>
                    <w:adjustRightInd w:val="0"/>
                    <w:snapToGrid w:val="0"/>
                    <w:rPr>
                      <w:rFonts w:ascii="Times New Roman" w:hAnsi="Times New Roman" w:cs="Times New Roman"/>
                      <w:sz w:val="18"/>
                    </w:rPr>
                  </w:pPr>
                  <w:r>
                    <w:rPr>
                      <w:rFonts w:ascii="Times New Roman" w:hAnsi="Times New Roman" w:cs="Times New Roman"/>
                      <w:sz w:val="18"/>
                    </w:rPr>
                    <w:t>0</w:t>
                  </w:r>
                </w:p>
              </w:tc>
              <w:tc>
                <w:tcPr>
                  <w:tcW w:w="377" w:type="pct"/>
                  <w:vAlign w:val="center"/>
                </w:tcPr>
                <w:p w14:paraId="72E83CC7">
                  <w:pPr>
                    <w:pStyle w:val="569"/>
                    <w:adjustRightInd w:val="0"/>
                    <w:snapToGrid w:val="0"/>
                    <w:rPr>
                      <w:rFonts w:ascii="Times New Roman" w:hAnsi="Times New Roman" w:cs="Times New Roman"/>
                      <w:sz w:val="18"/>
                    </w:rPr>
                  </w:pPr>
                  <w:r>
                    <w:rPr>
                      <w:rFonts w:ascii="Times New Roman" w:hAnsi="Times New Roman" w:cs="Times New Roman"/>
                      <w:sz w:val="18"/>
                    </w:rPr>
                    <w:t>0</w:t>
                  </w:r>
                </w:p>
              </w:tc>
              <w:tc>
                <w:tcPr>
                  <w:tcW w:w="391" w:type="pct"/>
                  <w:vAlign w:val="center"/>
                </w:tcPr>
                <w:p w14:paraId="52709368">
                  <w:pPr>
                    <w:pStyle w:val="569"/>
                    <w:adjustRightInd w:val="0"/>
                    <w:snapToGrid w:val="0"/>
                    <w:rPr>
                      <w:rFonts w:ascii="Times New Roman" w:hAnsi="Times New Roman" w:cs="Times New Roman"/>
                      <w:sz w:val="18"/>
                    </w:rPr>
                  </w:pPr>
                  <w:r>
                    <w:rPr>
                      <w:rFonts w:ascii="Times New Roman" w:hAnsi="Times New Roman" w:cs="Times New Roman"/>
                      <w:sz w:val="18"/>
                    </w:rPr>
                    <w:t>0</w:t>
                  </w:r>
                </w:p>
              </w:tc>
              <w:tc>
                <w:tcPr>
                  <w:tcW w:w="453" w:type="pct"/>
                  <w:vAlign w:val="center"/>
                </w:tcPr>
                <w:p w14:paraId="43D3D306">
                  <w:pPr>
                    <w:pStyle w:val="569"/>
                    <w:adjustRightInd w:val="0"/>
                    <w:snapToGrid w:val="0"/>
                    <w:rPr>
                      <w:rFonts w:ascii="Times New Roman" w:hAnsi="Times New Roman" w:cs="Times New Roman"/>
                      <w:sz w:val="18"/>
                    </w:rPr>
                  </w:pPr>
                  <w:r>
                    <w:rPr>
                      <w:rFonts w:ascii="Times New Roman" w:hAnsi="Times New Roman" w:cs="Times New Roman"/>
                      <w:sz w:val="18"/>
                    </w:rPr>
                    <w:t>0</w:t>
                  </w:r>
                </w:p>
              </w:tc>
              <w:tc>
                <w:tcPr>
                  <w:tcW w:w="516" w:type="pct"/>
                  <w:vAlign w:val="center"/>
                </w:tcPr>
                <w:p w14:paraId="305369A4">
                  <w:pPr>
                    <w:pStyle w:val="569"/>
                    <w:adjustRightInd w:val="0"/>
                    <w:snapToGrid w:val="0"/>
                    <w:rPr>
                      <w:rFonts w:ascii="Times New Roman" w:hAnsi="Times New Roman" w:cs="Times New Roman"/>
                      <w:sz w:val="18"/>
                    </w:rPr>
                  </w:pPr>
                  <w:r>
                    <w:rPr>
                      <w:rFonts w:ascii="Times New Roman" w:hAnsi="Times New Roman" w:cs="Times New Roman"/>
                      <w:sz w:val="18"/>
                    </w:rPr>
                    <w:t>0</w:t>
                  </w:r>
                </w:p>
              </w:tc>
              <w:tc>
                <w:tcPr>
                  <w:tcW w:w="516" w:type="pct"/>
                  <w:vAlign w:val="center"/>
                </w:tcPr>
                <w:p w14:paraId="0B0897F7">
                  <w:pPr>
                    <w:pStyle w:val="569"/>
                    <w:adjustRightInd w:val="0"/>
                    <w:snapToGrid w:val="0"/>
                    <w:rPr>
                      <w:rFonts w:ascii="Times New Roman" w:hAnsi="Times New Roman" w:cs="Times New Roman"/>
                      <w:sz w:val="18"/>
                    </w:rPr>
                  </w:pPr>
                  <w:r>
                    <w:rPr>
                      <w:rFonts w:ascii="Times New Roman" w:hAnsi="Times New Roman" w:cs="Times New Roman"/>
                      <w:sz w:val="18"/>
                    </w:rPr>
                    <w:t>0</w:t>
                  </w:r>
                </w:p>
              </w:tc>
              <w:tc>
                <w:tcPr>
                  <w:tcW w:w="440" w:type="pct"/>
                  <w:vAlign w:val="center"/>
                </w:tcPr>
                <w:p w14:paraId="63BA9AF9">
                  <w:pPr>
                    <w:pStyle w:val="569"/>
                    <w:adjustRightInd w:val="0"/>
                    <w:snapToGrid w:val="0"/>
                    <w:rPr>
                      <w:rFonts w:ascii="Times New Roman" w:hAnsi="Times New Roman" w:cs="Times New Roman"/>
                      <w:sz w:val="18"/>
                    </w:rPr>
                  </w:pPr>
                  <w:r>
                    <w:rPr>
                      <w:rFonts w:ascii="Times New Roman" w:hAnsi="Times New Roman" w:cs="Times New Roman"/>
                      <w:sz w:val="18"/>
                    </w:rPr>
                    <w:t>0</w:t>
                  </w:r>
                </w:p>
              </w:tc>
              <w:tc>
                <w:tcPr>
                  <w:tcW w:w="391" w:type="pct"/>
                  <w:vAlign w:val="center"/>
                </w:tcPr>
                <w:p w14:paraId="08D81DCC">
                  <w:pPr>
                    <w:pStyle w:val="569"/>
                    <w:adjustRightInd w:val="0"/>
                    <w:snapToGrid w:val="0"/>
                    <w:rPr>
                      <w:rFonts w:ascii="Times New Roman" w:hAnsi="Times New Roman" w:cs="Times New Roman"/>
                      <w:sz w:val="18"/>
                    </w:rPr>
                  </w:pPr>
                  <w:r>
                    <w:rPr>
                      <w:rFonts w:ascii="Times New Roman" w:hAnsi="Times New Roman" w:cs="Times New Roman"/>
                      <w:sz w:val="18"/>
                    </w:rPr>
                    <w:t>0</w:t>
                  </w:r>
                </w:p>
              </w:tc>
              <w:tc>
                <w:tcPr>
                  <w:tcW w:w="453" w:type="pct"/>
                  <w:vAlign w:val="center"/>
                </w:tcPr>
                <w:p w14:paraId="65FBDEB1">
                  <w:pPr>
                    <w:pStyle w:val="569"/>
                    <w:adjustRightInd w:val="0"/>
                    <w:snapToGrid w:val="0"/>
                    <w:rPr>
                      <w:rFonts w:ascii="Times New Roman" w:hAnsi="Times New Roman" w:cs="Times New Roman"/>
                      <w:sz w:val="18"/>
                    </w:rPr>
                  </w:pPr>
                  <w:r>
                    <w:rPr>
                      <w:rFonts w:ascii="Times New Roman" w:hAnsi="Times New Roman" w:cs="Times New Roman"/>
                      <w:sz w:val="18"/>
                    </w:rPr>
                    <w:t>0</w:t>
                  </w:r>
                </w:p>
              </w:tc>
              <w:tc>
                <w:tcPr>
                  <w:tcW w:w="353" w:type="pct"/>
                  <w:vAlign w:val="center"/>
                </w:tcPr>
                <w:p w14:paraId="0A9B265D">
                  <w:pPr>
                    <w:pStyle w:val="569"/>
                    <w:adjustRightInd w:val="0"/>
                    <w:snapToGrid w:val="0"/>
                    <w:rPr>
                      <w:rFonts w:ascii="Times New Roman" w:hAnsi="Times New Roman" w:cs="Times New Roman"/>
                      <w:sz w:val="18"/>
                    </w:rPr>
                  </w:pPr>
                  <w:r>
                    <w:rPr>
                      <w:rFonts w:ascii="Times New Roman" w:hAnsi="Times New Roman" w:cs="Times New Roman"/>
                      <w:sz w:val="18"/>
                    </w:rPr>
                    <w:t>0</w:t>
                  </w:r>
                </w:p>
              </w:tc>
            </w:tr>
            <w:tr w14:paraId="795868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69" w:hRule="atLeast"/>
              </w:trPr>
              <w:tc>
                <w:tcPr>
                  <w:tcW w:w="158" w:type="pct"/>
                  <w:vMerge w:val="continue"/>
                  <w:vAlign w:val="center"/>
                </w:tcPr>
                <w:p w14:paraId="2036D020">
                  <w:pPr>
                    <w:pStyle w:val="569"/>
                    <w:adjustRightInd w:val="0"/>
                    <w:snapToGrid w:val="0"/>
                    <w:rPr>
                      <w:rFonts w:ascii="Times New Roman" w:hAnsi="Times New Roman" w:cs="Times New Roman"/>
                      <w:sz w:val="18"/>
                    </w:rPr>
                  </w:pPr>
                </w:p>
              </w:tc>
              <w:tc>
                <w:tcPr>
                  <w:tcW w:w="283" w:type="pct"/>
                  <w:vMerge w:val="continue"/>
                  <w:vAlign w:val="center"/>
                </w:tcPr>
                <w:p w14:paraId="71DB3191">
                  <w:pPr>
                    <w:pStyle w:val="569"/>
                    <w:adjustRightInd w:val="0"/>
                    <w:snapToGrid w:val="0"/>
                    <w:rPr>
                      <w:rFonts w:ascii="Times New Roman" w:hAnsi="Times New Roman" w:cs="Times New Roman"/>
                      <w:sz w:val="18"/>
                    </w:rPr>
                  </w:pPr>
                </w:p>
              </w:tc>
              <w:tc>
                <w:tcPr>
                  <w:tcW w:w="353" w:type="pct"/>
                  <w:vAlign w:val="center"/>
                </w:tcPr>
                <w:p w14:paraId="01096EA2">
                  <w:pPr>
                    <w:pStyle w:val="569"/>
                    <w:adjustRightInd w:val="0"/>
                    <w:snapToGrid w:val="0"/>
                    <w:rPr>
                      <w:rFonts w:ascii="Times New Roman" w:hAnsi="Times New Roman" w:cs="Times New Roman"/>
                      <w:sz w:val="18"/>
                    </w:rPr>
                  </w:pPr>
                  <w:r>
                    <w:rPr>
                      <w:rFonts w:ascii="Times New Roman" w:hAnsi="Times New Roman" w:cs="Times New Roman"/>
                      <w:sz w:val="18"/>
                    </w:rPr>
                    <w:t>最大Ii值</w:t>
                  </w:r>
                </w:p>
              </w:tc>
              <w:tc>
                <w:tcPr>
                  <w:tcW w:w="315" w:type="pct"/>
                  <w:vAlign w:val="center"/>
                </w:tcPr>
                <w:p w14:paraId="61E5E024">
                  <w:pPr>
                    <w:pStyle w:val="569"/>
                    <w:adjustRightInd w:val="0"/>
                    <w:snapToGrid w:val="0"/>
                    <w:rPr>
                      <w:rFonts w:ascii="Times New Roman" w:hAnsi="Times New Roman" w:cs="Times New Roman"/>
                      <w:sz w:val="18"/>
                    </w:rPr>
                  </w:pPr>
                  <w:r>
                    <w:rPr>
                      <w:rFonts w:ascii="Times New Roman" w:hAnsi="Times New Roman" w:cs="Times New Roman"/>
                      <w:sz w:val="18"/>
                    </w:rPr>
                    <w:t xml:space="preserve">0.38 </w:t>
                  </w:r>
                </w:p>
              </w:tc>
              <w:tc>
                <w:tcPr>
                  <w:tcW w:w="377" w:type="pct"/>
                  <w:vAlign w:val="center"/>
                </w:tcPr>
                <w:p w14:paraId="4AD4B41F">
                  <w:pPr>
                    <w:pStyle w:val="569"/>
                    <w:adjustRightInd w:val="0"/>
                    <w:snapToGrid w:val="0"/>
                    <w:rPr>
                      <w:rFonts w:ascii="Times New Roman" w:hAnsi="Times New Roman" w:cs="Times New Roman"/>
                      <w:sz w:val="18"/>
                    </w:rPr>
                  </w:pPr>
                  <w:r>
                    <w:rPr>
                      <w:rFonts w:ascii="Times New Roman" w:hAnsi="Times New Roman" w:cs="Times New Roman"/>
                      <w:sz w:val="18"/>
                    </w:rPr>
                    <w:t xml:space="preserve">0.21 </w:t>
                  </w:r>
                </w:p>
              </w:tc>
              <w:tc>
                <w:tcPr>
                  <w:tcW w:w="391" w:type="pct"/>
                  <w:vAlign w:val="center"/>
                </w:tcPr>
                <w:p w14:paraId="5D0EF5E8">
                  <w:pPr>
                    <w:pStyle w:val="569"/>
                    <w:adjustRightInd w:val="0"/>
                    <w:snapToGrid w:val="0"/>
                    <w:rPr>
                      <w:rFonts w:ascii="Times New Roman" w:hAnsi="Times New Roman" w:cs="Times New Roman"/>
                      <w:sz w:val="18"/>
                    </w:rPr>
                  </w:pPr>
                  <w:r>
                    <w:rPr>
                      <w:rFonts w:ascii="Times New Roman" w:hAnsi="Times New Roman" w:cs="Times New Roman"/>
                      <w:sz w:val="18"/>
                    </w:rPr>
                    <w:t>/</w:t>
                  </w:r>
                </w:p>
              </w:tc>
              <w:tc>
                <w:tcPr>
                  <w:tcW w:w="453" w:type="pct"/>
                  <w:vAlign w:val="center"/>
                </w:tcPr>
                <w:p w14:paraId="21FCADA9">
                  <w:pPr>
                    <w:pStyle w:val="569"/>
                    <w:adjustRightInd w:val="0"/>
                    <w:snapToGrid w:val="0"/>
                    <w:rPr>
                      <w:rFonts w:ascii="Times New Roman" w:hAnsi="Times New Roman" w:cs="Times New Roman"/>
                      <w:sz w:val="18"/>
                    </w:rPr>
                  </w:pPr>
                  <w:r>
                    <w:rPr>
                      <w:rFonts w:ascii="Times New Roman" w:hAnsi="Times New Roman" w:cs="Times New Roman"/>
                      <w:sz w:val="18"/>
                    </w:rPr>
                    <w:t>/</w:t>
                  </w:r>
                </w:p>
              </w:tc>
              <w:tc>
                <w:tcPr>
                  <w:tcW w:w="516" w:type="pct"/>
                  <w:vAlign w:val="center"/>
                </w:tcPr>
                <w:p w14:paraId="759EE0D7">
                  <w:pPr>
                    <w:pStyle w:val="569"/>
                    <w:adjustRightInd w:val="0"/>
                    <w:snapToGrid w:val="0"/>
                    <w:rPr>
                      <w:rFonts w:ascii="Times New Roman" w:hAnsi="Times New Roman" w:cs="Times New Roman"/>
                      <w:sz w:val="18"/>
                    </w:rPr>
                  </w:pPr>
                  <w:r>
                    <w:rPr>
                      <w:rFonts w:ascii="Times New Roman" w:hAnsi="Times New Roman" w:cs="Times New Roman"/>
                      <w:sz w:val="18"/>
                    </w:rPr>
                    <w:t>/</w:t>
                  </w:r>
                </w:p>
              </w:tc>
              <w:tc>
                <w:tcPr>
                  <w:tcW w:w="516" w:type="pct"/>
                  <w:vAlign w:val="center"/>
                </w:tcPr>
                <w:p w14:paraId="6B249E00">
                  <w:pPr>
                    <w:pStyle w:val="569"/>
                    <w:adjustRightInd w:val="0"/>
                    <w:snapToGrid w:val="0"/>
                    <w:rPr>
                      <w:rFonts w:ascii="Times New Roman" w:hAnsi="Times New Roman" w:cs="Times New Roman"/>
                      <w:sz w:val="18"/>
                    </w:rPr>
                  </w:pPr>
                  <w:r>
                    <w:rPr>
                      <w:rFonts w:ascii="Times New Roman" w:hAnsi="Times New Roman" w:cs="Times New Roman"/>
                      <w:sz w:val="18"/>
                    </w:rPr>
                    <w:t>/</w:t>
                  </w:r>
                </w:p>
              </w:tc>
              <w:tc>
                <w:tcPr>
                  <w:tcW w:w="440" w:type="pct"/>
                  <w:vAlign w:val="center"/>
                </w:tcPr>
                <w:p w14:paraId="76CE569D">
                  <w:pPr>
                    <w:pStyle w:val="569"/>
                    <w:adjustRightInd w:val="0"/>
                    <w:snapToGrid w:val="0"/>
                    <w:rPr>
                      <w:rFonts w:ascii="Times New Roman" w:hAnsi="Times New Roman" w:cs="Times New Roman"/>
                      <w:sz w:val="18"/>
                    </w:rPr>
                  </w:pPr>
                  <w:r>
                    <w:rPr>
                      <w:rFonts w:ascii="Times New Roman" w:hAnsi="Times New Roman" w:cs="Times New Roman"/>
                      <w:sz w:val="18"/>
                    </w:rPr>
                    <w:t>/</w:t>
                  </w:r>
                </w:p>
              </w:tc>
              <w:tc>
                <w:tcPr>
                  <w:tcW w:w="391" w:type="pct"/>
                  <w:vAlign w:val="center"/>
                </w:tcPr>
                <w:p w14:paraId="64DDC589">
                  <w:pPr>
                    <w:pStyle w:val="569"/>
                    <w:adjustRightInd w:val="0"/>
                    <w:snapToGrid w:val="0"/>
                    <w:rPr>
                      <w:rFonts w:ascii="Times New Roman" w:hAnsi="Times New Roman" w:cs="Times New Roman"/>
                      <w:sz w:val="18"/>
                    </w:rPr>
                  </w:pPr>
                  <w:r>
                    <w:rPr>
                      <w:rFonts w:ascii="Times New Roman" w:hAnsi="Times New Roman" w:cs="Times New Roman"/>
                      <w:sz w:val="18"/>
                    </w:rPr>
                    <w:t>/</w:t>
                  </w:r>
                </w:p>
              </w:tc>
              <w:tc>
                <w:tcPr>
                  <w:tcW w:w="453" w:type="pct"/>
                  <w:vAlign w:val="center"/>
                </w:tcPr>
                <w:p w14:paraId="2AF00664">
                  <w:pPr>
                    <w:pStyle w:val="569"/>
                    <w:adjustRightInd w:val="0"/>
                    <w:snapToGrid w:val="0"/>
                    <w:rPr>
                      <w:rFonts w:ascii="Times New Roman" w:hAnsi="Times New Roman" w:cs="Times New Roman"/>
                      <w:sz w:val="18"/>
                    </w:rPr>
                  </w:pPr>
                  <w:r>
                    <w:rPr>
                      <w:rFonts w:ascii="Times New Roman" w:hAnsi="Times New Roman" w:cs="Times New Roman"/>
                      <w:sz w:val="18"/>
                    </w:rPr>
                    <w:t>　</w:t>
                  </w:r>
                </w:p>
              </w:tc>
              <w:tc>
                <w:tcPr>
                  <w:tcW w:w="353" w:type="pct"/>
                  <w:vAlign w:val="center"/>
                </w:tcPr>
                <w:p w14:paraId="5531FA33">
                  <w:pPr>
                    <w:pStyle w:val="569"/>
                    <w:adjustRightInd w:val="0"/>
                    <w:snapToGrid w:val="0"/>
                    <w:rPr>
                      <w:rFonts w:ascii="Times New Roman" w:hAnsi="Times New Roman" w:cs="Times New Roman"/>
                      <w:sz w:val="18"/>
                    </w:rPr>
                  </w:pPr>
                  <w:r>
                    <w:rPr>
                      <w:rFonts w:ascii="Times New Roman" w:hAnsi="Times New Roman" w:cs="Times New Roman"/>
                      <w:sz w:val="18"/>
                    </w:rPr>
                    <w:t>/</w:t>
                  </w:r>
                </w:p>
              </w:tc>
            </w:tr>
            <w:tr w14:paraId="782F53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69" w:hRule="atLeast"/>
              </w:trPr>
              <w:tc>
                <w:tcPr>
                  <w:tcW w:w="158" w:type="pct"/>
                  <w:vMerge w:val="continue"/>
                  <w:vAlign w:val="center"/>
                </w:tcPr>
                <w:p w14:paraId="4FAD8E2D">
                  <w:pPr>
                    <w:pStyle w:val="569"/>
                    <w:adjustRightInd w:val="0"/>
                    <w:snapToGrid w:val="0"/>
                    <w:rPr>
                      <w:rFonts w:ascii="Times New Roman" w:hAnsi="Times New Roman" w:cs="Times New Roman"/>
                      <w:sz w:val="18"/>
                    </w:rPr>
                  </w:pPr>
                </w:p>
              </w:tc>
              <w:tc>
                <w:tcPr>
                  <w:tcW w:w="283" w:type="pct"/>
                  <w:vMerge w:val="restart"/>
                  <w:vAlign w:val="center"/>
                </w:tcPr>
                <w:p w14:paraId="50343D79">
                  <w:pPr>
                    <w:pStyle w:val="569"/>
                    <w:adjustRightInd w:val="0"/>
                    <w:snapToGrid w:val="0"/>
                    <w:rPr>
                      <w:rFonts w:ascii="Times New Roman" w:hAnsi="Times New Roman" w:cs="Times New Roman"/>
                      <w:sz w:val="18"/>
                    </w:rPr>
                  </w:pPr>
                  <w:r>
                    <w:rPr>
                      <w:rFonts w:ascii="Times New Roman" w:hAnsi="Times New Roman" w:cs="Times New Roman"/>
                      <w:sz w:val="18"/>
                    </w:rPr>
                    <w:t>2020年II断面</w:t>
                  </w:r>
                </w:p>
                <w:p w14:paraId="7F271EB9">
                  <w:pPr>
                    <w:pStyle w:val="569"/>
                    <w:adjustRightInd w:val="0"/>
                    <w:snapToGrid w:val="0"/>
                    <w:rPr>
                      <w:rFonts w:ascii="Times New Roman" w:hAnsi="Times New Roman" w:cs="Times New Roman"/>
                      <w:sz w:val="18"/>
                    </w:rPr>
                  </w:pPr>
                  <w:r>
                    <w:rPr>
                      <w:rFonts w:ascii="Times New Roman" w:hAnsi="Times New Roman" w:cs="Times New Roman"/>
                      <w:sz w:val="18"/>
                    </w:rPr>
                    <w:t>麻柳嘴断面</w:t>
                  </w:r>
                </w:p>
              </w:tc>
              <w:tc>
                <w:tcPr>
                  <w:tcW w:w="353" w:type="pct"/>
                  <w:vAlign w:val="center"/>
                </w:tcPr>
                <w:p w14:paraId="1AD2A242">
                  <w:pPr>
                    <w:pStyle w:val="569"/>
                    <w:adjustRightInd w:val="0"/>
                    <w:snapToGrid w:val="0"/>
                    <w:rPr>
                      <w:rFonts w:ascii="Times New Roman" w:hAnsi="Times New Roman" w:cs="Times New Roman"/>
                      <w:sz w:val="18"/>
                    </w:rPr>
                  </w:pPr>
                  <w:r>
                    <w:rPr>
                      <w:rFonts w:ascii="Times New Roman" w:hAnsi="Times New Roman" w:cs="Times New Roman"/>
                      <w:sz w:val="18"/>
                    </w:rPr>
                    <w:t>浓度平均值</w:t>
                  </w:r>
                </w:p>
              </w:tc>
              <w:tc>
                <w:tcPr>
                  <w:tcW w:w="315" w:type="pct"/>
                  <w:vAlign w:val="center"/>
                </w:tcPr>
                <w:p w14:paraId="1DA78BFB">
                  <w:pPr>
                    <w:pStyle w:val="569"/>
                    <w:adjustRightInd w:val="0"/>
                    <w:snapToGrid w:val="0"/>
                    <w:rPr>
                      <w:rFonts w:ascii="Times New Roman" w:hAnsi="Times New Roman" w:cs="Times New Roman"/>
                      <w:sz w:val="18"/>
                    </w:rPr>
                  </w:pPr>
                  <w:r>
                    <w:rPr>
                      <w:rFonts w:ascii="Times New Roman" w:hAnsi="Times New Roman" w:cs="Times New Roman"/>
                      <w:sz w:val="18"/>
                    </w:rPr>
                    <w:t xml:space="preserve">5.83 </w:t>
                  </w:r>
                </w:p>
              </w:tc>
              <w:tc>
                <w:tcPr>
                  <w:tcW w:w="377" w:type="pct"/>
                  <w:vAlign w:val="center"/>
                </w:tcPr>
                <w:p w14:paraId="3FB1D308">
                  <w:pPr>
                    <w:pStyle w:val="569"/>
                    <w:adjustRightInd w:val="0"/>
                    <w:snapToGrid w:val="0"/>
                    <w:rPr>
                      <w:rFonts w:ascii="Times New Roman" w:hAnsi="Times New Roman" w:cs="Times New Roman"/>
                      <w:sz w:val="18"/>
                    </w:rPr>
                  </w:pPr>
                  <w:r>
                    <w:rPr>
                      <w:rFonts w:ascii="Times New Roman" w:hAnsi="Times New Roman" w:cs="Times New Roman"/>
                      <w:sz w:val="18"/>
                    </w:rPr>
                    <w:t xml:space="preserve">0.80 </w:t>
                  </w:r>
                </w:p>
              </w:tc>
              <w:tc>
                <w:tcPr>
                  <w:tcW w:w="391" w:type="pct"/>
                  <w:vAlign w:val="center"/>
                </w:tcPr>
                <w:p w14:paraId="23F9B240">
                  <w:pPr>
                    <w:pStyle w:val="569"/>
                    <w:adjustRightInd w:val="0"/>
                    <w:snapToGrid w:val="0"/>
                    <w:rPr>
                      <w:rFonts w:ascii="Times New Roman" w:hAnsi="Times New Roman" w:cs="Times New Roman"/>
                      <w:sz w:val="18"/>
                    </w:rPr>
                  </w:pPr>
                  <w:r>
                    <w:rPr>
                      <w:rFonts w:ascii="Times New Roman" w:hAnsi="Times New Roman" w:cs="Times New Roman"/>
                      <w:sz w:val="18"/>
                    </w:rPr>
                    <w:t>0.004L</w:t>
                  </w:r>
                </w:p>
              </w:tc>
              <w:tc>
                <w:tcPr>
                  <w:tcW w:w="453" w:type="pct"/>
                  <w:vAlign w:val="center"/>
                </w:tcPr>
                <w:p w14:paraId="3D37FAA5">
                  <w:pPr>
                    <w:pStyle w:val="569"/>
                    <w:adjustRightInd w:val="0"/>
                    <w:snapToGrid w:val="0"/>
                    <w:rPr>
                      <w:rFonts w:ascii="Times New Roman" w:hAnsi="Times New Roman" w:cs="Times New Roman"/>
                      <w:sz w:val="18"/>
                    </w:rPr>
                  </w:pPr>
                  <w:r>
                    <w:rPr>
                      <w:rFonts w:ascii="Times New Roman" w:hAnsi="Times New Roman" w:cs="Times New Roman"/>
                      <w:sz w:val="18"/>
                    </w:rPr>
                    <w:t>0.0017</w:t>
                  </w:r>
                </w:p>
              </w:tc>
              <w:tc>
                <w:tcPr>
                  <w:tcW w:w="516" w:type="pct"/>
                  <w:vAlign w:val="center"/>
                </w:tcPr>
                <w:p w14:paraId="27976B07">
                  <w:pPr>
                    <w:pStyle w:val="569"/>
                    <w:adjustRightInd w:val="0"/>
                    <w:snapToGrid w:val="0"/>
                    <w:rPr>
                      <w:rFonts w:ascii="Times New Roman" w:hAnsi="Times New Roman" w:cs="Times New Roman"/>
                      <w:sz w:val="18"/>
                    </w:rPr>
                  </w:pPr>
                  <w:r>
                    <w:rPr>
                      <w:rFonts w:ascii="Times New Roman" w:hAnsi="Times New Roman" w:cs="Times New Roman"/>
                      <w:sz w:val="18"/>
                    </w:rPr>
                    <w:t>0.00001</w:t>
                  </w:r>
                </w:p>
              </w:tc>
              <w:tc>
                <w:tcPr>
                  <w:tcW w:w="516" w:type="pct"/>
                  <w:vAlign w:val="center"/>
                </w:tcPr>
                <w:p w14:paraId="76F1B246">
                  <w:pPr>
                    <w:pStyle w:val="569"/>
                    <w:adjustRightInd w:val="0"/>
                    <w:snapToGrid w:val="0"/>
                    <w:rPr>
                      <w:rFonts w:ascii="Times New Roman" w:hAnsi="Times New Roman" w:cs="Times New Roman"/>
                      <w:sz w:val="18"/>
                    </w:rPr>
                  </w:pPr>
                  <w:r>
                    <w:rPr>
                      <w:rFonts w:ascii="Times New Roman" w:hAnsi="Times New Roman" w:cs="Times New Roman"/>
                      <w:sz w:val="18"/>
                    </w:rPr>
                    <w:t>0.00005L</w:t>
                  </w:r>
                </w:p>
              </w:tc>
              <w:tc>
                <w:tcPr>
                  <w:tcW w:w="440" w:type="pct"/>
                  <w:vAlign w:val="center"/>
                </w:tcPr>
                <w:p w14:paraId="31511341">
                  <w:pPr>
                    <w:pStyle w:val="569"/>
                    <w:adjustRightInd w:val="0"/>
                    <w:snapToGrid w:val="0"/>
                    <w:rPr>
                      <w:rFonts w:ascii="Times New Roman" w:hAnsi="Times New Roman" w:cs="Times New Roman"/>
                      <w:sz w:val="18"/>
                    </w:rPr>
                  </w:pPr>
                  <w:r>
                    <w:rPr>
                      <w:rFonts w:ascii="Times New Roman" w:hAnsi="Times New Roman" w:cs="Times New Roman"/>
                      <w:sz w:val="18"/>
                    </w:rPr>
                    <w:t>0.00043</w:t>
                  </w:r>
                </w:p>
              </w:tc>
              <w:tc>
                <w:tcPr>
                  <w:tcW w:w="391" w:type="pct"/>
                  <w:vAlign w:val="center"/>
                </w:tcPr>
                <w:p w14:paraId="0E5C66C7">
                  <w:pPr>
                    <w:pStyle w:val="569"/>
                    <w:adjustRightInd w:val="0"/>
                    <w:snapToGrid w:val="0"/>
                    <w:rPr>
                      <w:rFonts w:ascii="Times New Roman" w:hAnsi="Times New Roman" w:cs="Times New Roman"/>
                      <w:sz w:val="18"/>
                    </w:rPr>
                  </w:pPr>
                  <w:r>
                    <w:rPr>
                      <w:rFonts w:ascii="Times New Roman" w:hAnsi="Times New Roman" w:cs="Times New Roman"/>
                      <w:sz w:val="18"/>
                    </w:rPr>
                    <w:t>0.001L</w:t>
                  </w:r>
                </w:p>
              </w:tc>
              <w:tc>
                <w:tcPr>
                  <w:tcW w:w="453" w:type="pct"/>
                  <w:vAlign w:val="center"/>
                </w:tcPr>
                <w:p w14:paraId="09DFA2AF">
                  <w:pPr>
                    <w:pStyle w:val="569"/>
                    <w:adjustRightInd w:val="0"/>
                    <w:snapToGrid w:val="0"/>
                    <w:rPr>
                      <w:rFonts w:ascii="Times New Roman" w:hAnsi="Times New Roman" w:cs="Times New Roman"/>
                      <w:sz w:val="18"/>
                    </w:rPr>
                  </w:pPr>
                  <w:r>
                    <w:rPr>
                      <w:rFonts w:ascii="Times New Roman" w:hAnsi="Times New Roman" w:cs="Times New Roman"/>
                      <w:sz w:val="18"/>
                    </w:rPr>
                    <w:t>0.0003L</w:t>
                  </w:r>
                </w:p>
              </w:tc>
              <w:tc>
                <w:tcPr>
                  <w:tcW w:w="353" w:type="pct"/>
                  <w:vAlign w:val="center"/>
                </w:tcPr>
                <w:p w14:paraId="6370C480">
                  <w:pPr>
                    <w:pStyle w:val="569"/>
                    <w:adjustRightInd w:val="0"/>
                    <w:snapToGrid w:val="0"/>
                    <w:rPr>
                      <w:rFonts w:ascii="Times New Roman" w:hAnsi="Times New Roman" w:cs="Times New Roman"/>
                      <w:sz w:val="18"/>
                    </w:rPr>
                  </w:pPr>
                  <w:r>
                    <w:rPr>
                      <w:rFonts w:ascii="Times New Roman" w:hAnsi="Times New Roman" w:cs="Times New Roman"/>
                      <w:sz w:val="18"/>
                    </w:rPr>
                    <w:t>0.01L</w:t>
                  </w:r>
                </w:p>
              </w:tc>
            </w:tr>
            <w:tr w14:paraId="5107FB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69" w:hRule="atLeast"/>
              </w:trPr>
              <w:tc>
                <w:tcPr>
                  <w:tcW w:w="158" w:type="pct"/>
                  <w:vMerge w:val="continue"/>
                  <w:vAlign w:val="center"/>
                </w:tcPr>
                <w:p w14:paraId="4AAE5ECC">
                  <w:pPr>
                    <w:pStyle w:val="569"/>
                    <w:adjustRightInd w:val="0"/>
                    <w:snapToGrid w:val="0"/>
                    <w:rPr>
                      <w:rFonts w:ascii="Times New Roman" w:hAnsi="Times New Roman" w:cs="Times New Roman"/>
                      <w:sz w:val="18"/>
                    </w:rPr>
                  </w:pPr>
                </w:p>
              </w:tc>
              <w:tc>
                <w:tcPr>
                  <w:tcW w:w="283" w:type="pct"/>
                  <w:vMerge w:val="continue"/>
                  <w:vAlign w:val="center"/>
                </w:tcPr>
                <w:p w14:paraId="1E77A00A">
                  <w:pPr>
                    <w:pStyle w:val="569"/>
                    <w:adjustRightInd w:val="0"/>
                    <w:snapToGrid w:val="0"/>
                    <w:rPr>
                      <w:rFonts w:ascii="Times New Roman" w:hAnsi="Times New Roman" w:cs="Times New Roman"/>
                      <w:sz w:val="18"/>
                    </w:rPr>
                  </w:pPr>
                </w:p>
              </w:tc>
              <w:tc>
                <w:tcPr>
                  <w:tcW w:w="353" w:type="pct"/>
                  <w:vAlign w:val="center"/>
                </w:tcPr>
                <w:p w14:paraId="6E4350A2">
                  <w:pPr>
                    <w:pStyle w:val="569"/>
                    <w:adjustRightInd w:val="0"/>
                    <w:snapToGrid w:val="0"/>
                    <w:rPr>
                      <w:rFonts w:ascii="Times New Roman" w:hAnsi="Times New Roman" w:cs="Times New Roman"/>
                      <w:sz w:val="18"/>
                    </w:rPr>
                  </w:pPr>
                  <w:r>
                    <w:rPr>
                      <w:rFonts w:ascii="Times New Roman" w:hAnsi="Times New Roman" w:cs="Times New Roman"/>
                      <w:sz w:val="18"/>
                    </w:rPr>
                    <w:t>超标率%</w:t>
                  </w:r>
                </w:p>
              </w:tc>
              <w:tc>
                <w:tcPr>
                  <w:tcW w:w="315" w:type="pct"/>
                  <w:vAlign w:val="center"/>
                </w:tcPr>
                <w:p w14:paraId="27794F1D">
                  <w:pPr>
                    <w:pStyle w:val="569"/>
                    <w:adjustRightInd w:val="0"/>
                    <w:snapToGrid w:val="0"/>
                    <w:rPr>
                      <w:rFonts w:ascii="Times New Roman" w:hAnsi="Times New Roman" w:cs="Times New Roman"/>
                      <w:sz w:val="18"/>
                    </w:rPr>
                  </w:pPr>
                  <w:r>
                    <w:rPr>
                      <w:rFonts w:ascii="Times New Roman" w:hAnsi="Times New Roman" w:cs="Times New Roman"/>
                      <w:sz w:val="18"/>
                    </w:rPr>
                    <w:t>0</w:t>
                  </w:r>
                </w:p>
              </w:tc>
              <w:tc>
                <w:tcPr>
                  <w:tcW w:w="377" w:type="pct"/>
                  <w:vAlign w:val="center"/>
                </w:tcPr>
                <w:p w14:paraId="73DCD38A">
                  <w:pPr>
                    <w:pStyle w:val="569"/>
                    <w:adjustRightInd w:val="0"/>
                    <w:snapToGrid w:val="0"/>
                    <w:rPr>
                      <w:rFonts w:ascii="Times New Roman" w:hAnsi="Times New Roman" w:cs="Times New Roman"/>
                      <w:sz w:val="18"/>
                    </w:rPr>
                  </w:pPr>
                  <w:r>
                    <w:rPr>
                      <w:rFonts w:ascii="Times New Roman" w:hAnsi="Times New Roman" w:cs="Times New Roman"/>
                      <w:sz w:val="18"/>
                    </w:rPr>
                    <w:t>0</w:t>
                  </w:r>
                </w:p>
              </w:tc>
              <w:tc>
                <w:tcPr>
                  <w:tcW w:w="391" w:type="pct"/>
                  <w:vAlign w:val="center"/>
                </w:tcPr>
                <w:p w14:paraId="79AC4453">
                  <w:pPr>
                    <w:pStyle w:val="569"/>
                    <w:adjustRightInd w:val="0"/>
                    <w:snapToGrid w:val="0"/>
                    <w:rPr>
                      <w:rFonts w:ascii="Times New Roman" w:hAnsi="Times New Roman" w:cs="Times New Roman"/>
                      <w:sz w:val="18"/>
                    </w:rPr>
                  </w:pPr>
                  <w:r>
                    <w:rPr>
                      <w:rFonts w:ascii="Times New Roman" w:hAnsi="Times New Roman" w:cs="Times New Roman"/>
                      <w:sz w:val="18"/>
                    </w:rPr>
                    <w:t>0</w:t>
                  </w:r>
                </w:p>
              </w:tc>
              <w:tc>
                <w:tcPr>
                  <w:tcW w:w="453" w:type="pct"/>
                  <w:vAlign w:val="center"/>
                </w:tcPr>
                <w:p w14:paraId="60C61345">
                  <w:pPr>
                    <w:pStyle w:val="569"/>
                    <w:adjustRightInd w:val="0"/>
                    <w:snapToGrid w:val="0"/>
                    <w:rPr>
                      <w:rFonts w:ascii="Times New Roman" w:hAnsi="Times New Roman" w:cs="Times New Roman"/>
                      <w:sz w:val="18"/>
                    </w:rPr>
                  </w:pPr>
                  <w:r>
                    <w:rPr>
                      <w:rFonts w:ascii="Times New Roman" w:hAnsi="Times New Roman" w:cs="Times New Roman"/>
                      <w:sz w:val="18"/>
                    </w:rPr>
                    <w:t>0</w:t>
                  </w:r>
                </w:p>
              </w:tc>
              <w:tc>
                <w:tcPr>
                  <w:tcW w:w="516" w:type="pct"/>
                  <w:vAlign w:val="center"/>
                </w:tcPr>
                <w:p w14:paraId="29DE264B">
                  <w:pPr>
                    <w:pStyle w:val="569"/>
                    <w:adjustRightInd w:val="0"/>
                    <w:snapToGrid w:val="0"/>
                    <w:rPr>
                      <w:rFonts w:ascii="Times New Roman" w:hAnsi="Times New Roman" w:cs="Times New Roman"/>
                      <w:sz w:val="18"/>
                    </w:rPr>
                  </w:pPr>
                  <w:r>
                    <w:rPr>
                      <w:rFonts w:ascii="Times New Roman" w:hAnsi="Times New Roman" w:cs="Times New Roman"/>
                      <w:sz w:val="18"/>
                    </w:rPr>
                    <w:t>0</w:t>
                  </w:r>
                </w:p>
              </w:tc>
              <w:tc>
                <w:tcPr>
                  <w:tcW w:w="516" w:type="pct"/>
                  <w:vAlign w:val="center"/>
                </w:tcPr>
                <w:p w14:paraId="4A6FD81F">
                  <w:pPr>
                    <w:pStyle w:val="569"/>
                    <w:adjustRightInd w:val="0"/>
                    <w:snapToGrid w:val="0"/>
                    <w:rPr>
                      <w:rFonts w:ascii="Times New Roman" w:hAnsi="Times New Roman" w:cs="Times New Roman"/>
                      <w:sz w:val="18"/>
                    </w:rPr>
                  </w:pPr>
                  <w:r>
                    <w:rPr>
                      <w:rFonts w:ascii="Times New Roman" w:hAnsi="Times New Roman" w:cs="Times New Roman"/>
                      <w:sz w:val="18"/>
                    </w:rPr>
                    <w:t>0</w:t>
                  </w:r>
                </w:p>
              </w:tc>
              <w:tc>
                <w:tcPr>
                  <w:tcW w:w="440" w:type="pct"/>
                  <w:vAlign w:val="center"/>
                </w:tcPr>
                <w:p w14:paraId="3FC3050A">
                  <w:pPr>
                    <w:pStyle w:val="569"/>
                    <w:adjustRightInd w:val="0"/>
                    <w:snapToGrid w:val="0"/>
                    <w:rPr>
                      <w:rFonts w:ascii="Times New Roman" w:hAnsi="Times New Roman" w:cs="Times New Roman"/>
                      <w:sz w:val="18"/>
                    </w:rPr>
                  </w:pPr>
                  <w:r>
                    <w:rPr>
                      <w:rFonts w:ascii="Times New Roman" w:hAnsi="Times New Roman" w:cs="Times New Roman"/>
                      <w:sz w:val="18"/>
                    </w:rPr>
                    <w:t>0</w:t>
                  </w:r>
                </w:p>
              </w:tc>
              <w:tc>
                <w:tcPr>
                  <w:tcW w:w="391" w:type="pct"/>
                  <w:vAlign w:val="center"/>
                </w:tcPr>
                <w:p w14:paraId="37A51A10">
                  <w:pPr>
                    <w:pStyle w:val="569"/>
                    <w:adjustRightInd w:val="0"/>
                    <w:snapToGrid w:val="0"/>
                    <w:rPr>
                      <w:rFonts w:ascii="Times New Roman" w:hAnsi="Times New Roman" w:cs="Times New Roman"/>
                      <w:sz w:val="18"/>
                    </w:rPr>
                  </w:pPr>
                  <w:r>
                    <w:rPr>
                      <w:rFonts w:ascii="Times New Roman" w:hAnsi="Times New Roman" w:cs="Times New Roman"/>
                      <w:sz w:val="18"/>
                    </w:rPr>
                    <w:t>0</w:t>
                  </w:r>
                </w:p>
              </w:tc>
              <w:tc>
                <w:tcPr>
                  <w:tcW w:w="453" w:type="pct"/>
                  <w:vAlign w:val="center"/>
                </w:tcPr>
                <w:p w14:paraId="53E5B1F3">
                  <w:pPr>
                    <w:pStyle w:val="569"/>
                    <w:adjustRightInd w:val="0"/>
                    <w:snapToGrid w:val="0"/>
                    <w:rPr>
                      <w:rFonts w:ascii="Times New Roman" w:hAnsi="Times New Roman" w:cs="Times New Roman"/>
                      <w:sz w:val="18"/>
                    </w:rPr>
                  </w:pPr>
                  <w:r>
                    <w:rPr>
                      <w:rFonts w:ascii="Times New Roman" w:hAnsi="Times New Roman" w:cs="Times New Roman"/>
                      <w:sz w:val="18"/>
                    </w:rPr>
                    <w:t>0</w:t>
                  </w:r>
                </w:p>
              </w:tc>
              <w:tc>
                <w:tcPr>
                  <w:tcW w:w="353" w:type="pct"/>
                  <w:vAlign w:val="center"/>
                </w:tcPr>
                <w:p w14:paraId="2DE8A4D3">
                  <w:pPr>
                    <w:pStyle w:val="569"/>
                    <w:adjustRightInd w:val="0"/>
                    <w:snapToGrid w:val="0"/>
                    <w:rPr>
                      <w:rFonts w:ascii="Times New Roman" w:hAnsi="Times New Roman" w:cs="Times New Roman"/>
                      <w:sz w:val="18"/>
                    </w:rPr>
                  </w:pPr>
                  <w:r>
                    <w:rPr>
                      <w:rFonts w:ascii="Times New Roman" w:hAnsi="Times New Roman" w:cs="Times New Roman"/>
                      <w:sz w:val="18"/>
                    </w:rPr>
                    <w:t>0</w:t>
                  </w:r>
                </w:p>
              </w:tc>
            </w:tr>
            <w:tr w14:paraId="3C6CC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69" w:hRule="atLeast"/>
              </w:trPr>
              <w:tc>
                <w:tcPr>
                  <w:tcW w:w="158" w:type="pct"/>
                  <w:vMerge w:val="continue"/>
                  <w:vAlign w:val="center"/>
                </w:tcPr>
                <w:p w14:paraId="3A4A6CAC">
                  <w:pPr>
                    <w:pStyle w:val="569"/>
                    <w:adjustRightInd w:val="0"/>
                    <w:snapToGrid w:val="0"/>
                    <w:rPr>
                      <w:rFonts w:ascii="Times New Roman" w:hAnsi="Times New Roman" w:cs="Times New Roman"/>
                      <w:sz w:val="18"/>
                    </w:rPr>
                  </w:pPr>
                </w:p>
              </w:tc>
              <w:tc>
                <w:tcPr>
                  <w:tcW w:w="283" w:type="pct"/>
                  <w:vMerge w:val="continue"/>
                  <w:vAlign w:val="center"/>
                </w:tcPr>
                <w:p w14:paraId="5437E683">
                  <w:pPr>
                    <w:pStyle w:val="569"/>
                    <w:adjustRightInd w:val="0"/>
                    <w:snapToGrid w:val="0"/>
                    <w:rPr>
                      <w:rFonts w:ascii="Times New Roman" w:hAnsi="Times New Roman" w:cs="Times New Roman"/>
                      <w:sz w:val="18"/>
                    </w:rPr>
                  </w:pPr>
                </w:p>
              </w:tc>
              <w:tc>
                <w:tcPr>
                  <w:tcW w:w="353" w:type="pct"/>
                  <w:vAlign w:val="center"/>
                </w:tcPr>
                <w:p w14:paraId="7F931C3B">
                  <w:pPr>
                    <w:pStyle w:val="569"/>
                    <w:adjustRightInd w:val="0"/>
                    <w:snapToGrid w:val="0"/>
                    <w:rPr>
                      <w:rFonts w:ascii="Times New Roman" w:hAnsi="Times New Roman" w:cs="Times New Roman"/>
                      <w:sz w:val="18"/>
                    </w:rPr>
                  </w:pPr>
                  <w:r>
                    <w:rPr>
                      <w:rFonts w:ascii="Times New Roman" w:hAnsi="Times New Roman" w:cs="Times New Roman"/>
                      <w:sz w:val="18"/>
                    </w:rPr>
                    <w:t>最大Ii值</w:t>
                  </w:r>
                </w:p>
              </w:tc>
              <w:tc>
                <w:tcPr>
                  <w:tcW w:w="315" w:type="pct"/>
                  <w:vAlign w:val="center"/>
                </w:tcPr>
                <w:p w14:paraId="49AF122C">
                  <w:pPr>
                    <w:pStyle w:val="569"/>
                    <w:adjustRightInd w:val="0"/>
                    <w:snapToGrid w:val="0"/>
                    <w:rPr>
                      <w:rFonts w:ascii="Times New Roman" w:hAnsi="Times New Roman" w:cs="Times New Roman"/>
                      <w:sz w:val="18"/>
                    </w:rPr>
                  </w:pPr>
                  <w:r>
                    <w:rPr>
                      <w:rFonts w:ascii="Times New Roman" w:hAnsi="Times New Roman" w:cs="Times New Roman"/>
                      <w:sz w:val="18"/>
                    </w:rPr>
                    <w:t xml:space="preserve">0.29 </w:t>
                  </w:r>
                </w:p>
              </w:tc>
              <w:tc>
                <w:tcPr>
                  <w:tcW w:w="377" w:type="pct"/>
                  <w:vAlign w:val="center"/>
                </w:tcPr>
                <w:p w14:paraId="5C58FCDF">
                  <w:pPr>
                    <w:pStyle w:val="569"/>
                    <w:adjustRightInd w:val="0"/>
                    <w:snapToGrid w:val="0"/>
                    <w:rPr>
                      <w:rFonts w:ascii="Times New Roman" w:hAnsi="Times New Roman" w:cs="Times New Roman"/>
                      <w:sz w:val="18"/>
                    </w:rPr>
                  </w:pPr>
                  <w:r>
                    <w:rPr>
                      <w:rFonts w:ascii="Times New Roman" w:hAnsi="Times New Roman" w:cs="Times New Roman"/>
                      <w:sz w:val="18"/>
                    </w:rPr>
                    <w:t xml:space="preserve">0.20 </w:t>
                  </w:r>
                </w:p>
              </w:tc>
              <w:tc>
                <w:tcPr>
                  <w:tcW w:w="391" w:type="pct"/>
                  <w:vAlign w:val="center"/>
                </w:tcPr>
                <w:p w14:paraId="5CE9DD83">
                  <w:pPr>
                    <w:pStyle w:val="569"/>
                    <w:adjustRightInd w:val="0"/>
                    <w:snapToGrid w:val="0"/>
                    <w:rPr>
                      <w:rFonts w:ascii="Times New Roman" w:hAnsi="Times New Roman" w:cs="Times New Roman"/>
                      <w:sz w:val="18"/>
                    </w:rPr>
                  </w:pPr>
                  <w:r>
                    <w:rPr>
                      <w:rFonts w:ascii="Times New Roman" w:hAnsi="Times New Roman" w:cs="Times New Roman"/>
                      <w:sz w:val="18"/>
                    </w:rPr>
                    <w:t>/</w:t>
                  </w:r>
                </w:p>
              </w:tc>
              <w:tc>
                <w:tcPr>
                  <w:tcW w:w="453" w:type="pct"/>
                  <w:vAlign w:val="center"/>
                </w:tcPr>
                <w:p w14:paraId="12E3D704">
                  <w:pPr>
                    <w:pStyle w:val="569"/>
                    <w:adjustRightInd w:val="0"/>
                    <w:snapToGrid w:val="0"/>
                    <w:rPr>
                      <w:rFonts w:ascii="Times New Roman" w:hAnsi="Times New Roman" w:cs="Times New Roman"/>
                      <w:sz w:val="18"/>
                    </w:rPr>
                  </w:pPr>
                  <w:r>
                    <w:rPr>
                      <w:rFonts w:ascii="Times New Roman" w:hAnsi="Times New Roman" w:cs="Times New Roman"/>
                      <w:sz w:val="18"/>
                    </w:rPr>
                    <w:t>0.034</w:t>
                  </w:r>
                </w:p>
              </w:tc>
              <w:tc>
                <w:tcPr>
                  <w:tcW w:w="516" w:type="pct"/>
                  <w:vAlign w:val="center"/>
                </w:tcPr>
                <w:p w14:paraId="49BC618F">
                  <w:pPr>
                    <w:pStyle w:val="569"/>
                    <w:adjustRightInd w:val="0"/>
                    <w:snapToGrid w:val="0"/>
                    <w:rPr>
                      <w:rFonts w:ascii="Times New Roman" w:hAnsi="Times New Roman" w:cs="Times New Roman"/>
                      <w:sz w:val="18"/>
                    </w:rPr>
                  </w:pPr>
                  <w:r>
                    <w:rPr>
                      <w:rFonts w:ascii="Times New Roman" w:hAnsi="Times New Roman" w:cs="Times New Roman"/>
                      <w:sz w:val="18"/>
                    </w:rPr>
                    <w:t>0.1</w:t>
                  </w:r>
                </w:p>
              </w:tc>
              <w:tc>
                <w:tcPr>
                  <w:tcW w:w="516" w:type="pct"/>
                  <w:vAlign w:val="center"/>
                </w:tcPr>
                <w:p w14:paraId="5AF79220">
                  <w:pPr>
                    <w:pStyle w:val="569"/>
                    <w:adjustRightInd w:val="0"/>
                    <w:snapToGrid w:val="0"/>
                    <w:rPr>
                      <w:rFonts w:ascii="Times New Roman" w:hAnsi="Times New Roman" w:cs="Times New Roman"/>
                      <w:sz w:val="18"/>
                    </w:rPr>
                  </w:pPr>
                  <w:r>
                    <w:rPr>
                      <w:rFonts w:ascii="Times New Roman" w:hAnsi="Times New Roman" w:cs="Times New Roman"/>
                      <w:sz w:val="18"/>
                    </w:rPr>
                    <w:t>/</w:t>
                  </w:r>
                </w:p>
              </w:tc>
              <w:tc>
                <w:tcPr>
                  <w:tcW w:w="440" w:type="pct"/>
                  <w:vAlign w:val="center"/>
                </w:tcPr>
                <w:p w14:paraId="66ADB408">
                  <w:pPr>
                    <w:pStyle w:val="569"/>
                    <w:adjustRightInd w:val="0"/>
                    <w:snapToGrid w:val="0"/>
                    <w:rPr>
                      <w:rFonts w:ascii="Times New Roman" w:hAnsi="Times New Roman" w:cs="Times New Roman"/>
                      <w:sz w:val="18"/>
                    </w:rPr>
                  </w:pPr>
                  <w:r>
                    <w:rPr>
                      <w:rFonts w:ascii="Times New Roman" w:hAnsi="Times New Roman" w:cs="Times New Roman"/>
                      <w:sz w:val="18"/>
                    </w:rPr>
                    <w:t>0.0086</w:t>
                  </w:r>
                </w:p>
              </w:tc>
              <w:tc>
                <w:tcPr>
                  <w:tcW w:w="391" w:type="pct"/>
                  <w:vAlign w:val="center"/>
                </w:tcPr>
                <w:p w14:paraId="30E09204">
                  <w:pPr>
                    <w:pStyle w:val="569"/>
                    <w:adjustRightInd w:val="0"/>
                    <w:snapToGrid w:val="0"/>
                    <w:rPr>
                      <w:rFonts w:ascii="Times New Roman" w:hAnsi="Times New Roman" w:cs="Times New Roman"/>
                      <w:sz w:val="18"/>
                    </w:rPr>
                  </w:pPr>
                  <w:r>
                    <w:rPr>
                      <w:rFonts w:ascii="Times New Roman" w:hAnsi="Times New Roman" w:cs="Times New Roman"/>
                      <w:sz w:val="18"/>
                    </w:rPr>
                    <w:t>/</w:t>
                  </w:r>
                </w:p>
              </w:tc>
              <w:tc>
                <w:tcPr>
                  <w:tcW w:w="453" w:type="pct"/>
                  <w:vAlign w:val="center"/>
                </w:tcPr>
                <w:p w14:paraId="324E67A4">
                  <w:pPr>
                    <w:pStyle w:val="569"/>
                    <w:adjustRightInd w:val="0"/>
                    <w:snapToGrid w:val="0"/>
                    <w:rPr>
                      <w:rFonts w:ascii="Times New Roman" w:hAnsi="Times New Roman" w:cs="Times New Roman"/>
                      <w:sz w:val="18"/>
                    </w:rPr>
                  </w:pPr>
                  <w:r>
                    <w:rPr>
                      <w:rFonts w:ascii="Times New Roman" w:hAnsi="Times New Roman" w:cs="Times New Roman"/>
                      <w:sz w:val="18"/>
                    </w:rPr>
                    <w:t>/</w:t>
                  </w:r>
                </w:p>
              </w:tc>
              <w:tc>
                <w:tcPr>
                  <w:tcW w:w="353" w:type="pct"/>
                  <w:vAlign w:val="center"/>
                </w:tcPr>
                <w:p w14:paraId="04EABD4C">
                  <w:pPr>
                    <w:pStyle w:val="569"/>
                    <w:adjustRightInd w:val="0"/>
                    <w:snapToGrid w:val="0"/>
                    <w:rPr>
                      <w:rFonts w:ascii="Times New Roman" w:hAnsi="Times New Roman" w:cs="Times New Roman"/>
                      <w:sz w:val="18"/>
                    </w:rPr>
                  </w:pPr>
                  <w:r>
                    <w:rPr>
                      <w:rFonts w:ascii="Times New Roman" w:hAnsi="Times New Roman" w:cs="Times New Roman"/>
                      <w:sz w:val="18"/>
                    </w:rPr>
                    <w:t>/</w:t>
                  </w:r>
                </w:p>
              </w:tc>
            </w:tr>
            <w:tr w14:paraId="638039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369" w:hRule="atLeast"/>
              </w:trPr>
              <w:tc>
                <w:tcPr>
                  <w:tcW w:w="795" w:type="pct"/>
                  <w:gridSpan w:val="3"/>
                  <w:vAlign w:val="center"/>
                </w:tcPr>
                <w:p w14:paraId="3342BB77">
                  <w:pPr>
                    <w:pStyle w:val="569"/>
                    <w:adjustRightInd w:val="0"/>
                    <w:snapToGrid w:val="0"/>
                    <w:rPr>
                      <w:rFonts w:ascii="Times New Roman" w:hAnsi="Times New Roman" w:cs="Times New Roman"/>
                      <w:sz w:val="18"/>
                    </w:rPr>
                  </w:pPr>
                  <w:r>
                    <w:rPr>
                      <w:rFonts w:ascii="Times New Roman" w:hAnsi="Times New Roman" w:cs="Times New Roman"/>
                      <w:sz w:val="18"/>
                    </w:rPr>
                    <w:t>标准值</w:t>
                  </w:r>
                </w:p>
              </w:tc>
              <w:tc>
                <w:tcPr>
                  <w:tcW w:w="315" w:type="pct"/>
                  <w:vAlign w:val="center"/>
                </w:tcPr>
                <w:p w14:paraId="221EA44A">
                  <w:pPr>
                    <w:pStyle w:val="569"/>
                    <w:adjustRightInd w:val="0"/>
                    <w:snapToGrid w:val="0"/>
                    <w:rPr>
                      <w:rFonts w:ascii="Times New Roman" w:hAnsi="Times New Roman" w:cs="Times New Roman"/>
                      <w:sz w:val="18"/>
                    </w:rPr>
                  </w:pPr>
                  <w:r>
                    <w:rPr>
                      <w:rFonts w:ascii="Times New Roman" w:hAnsi="Times New Roman" w:cs="Times New Roman"/>
                      <w:sz w:val="18"/>
                    </w:rPr>
                    <w:t>≤20</w:t>
                  </w:r>
                </w:p>
              </w:tc>
              <w:tc>
                <w:tcPr>
                  <w:tcW w:w="377" w:type="pct"/>
                  <w:vAlign w:val="center"/>
                </w:tcPr>
                <w:p w14:paraId="0C917F7B">
                  <w:pPr>
                    <w:pStyle w:val="569"/>
                    <w:adjustRightInd w:val="0"/>
                    <w:snapToGrid w:val="0"/>
                    <w:rPr>
                      <w:rFonts w:ascii="Times New Roman" w:hAnsi="Times New Roman" w:cs="Times New Roman"/>
                      <w:sz w:val="18"/>
                    </w:rPr>
                  </w:pPr>
                  <w:r>
                    <w:rPr>
                      <w:rFonts w:ascii="Times New Roman" w:hAnsi="Times New Roman" w:cs="Times New Roman"/>
                      <w:sz w:val="18"/>
                    </w:rPr>
                    <w:t>≤4</w:t>
                  </w:r>
                </w:p>
              </w:tc>
              <w:tc>
                <w:tcPr>
                  <w:tcW w:w="391" w:type="pct"/>
                  <w:vAlign w:val="center"/>
                </w:tcPr>
                <w:p w14:paraId="44D447EF">
                  <w:pPr>
                    <w:pStyle w:val="569"/>
                    <w:adjustRightInd w:val="0"/>
                    <w:snapToGrid w:val="0"/>
                    <w:rPr>
                      <w:rFonts w:ascii="Times New Roman" w:hAnsi="Times New Roman" w:cs="Times New Roman"/>
                      <w:sz w:val="18"/>
                    </w:rPr>
                  </w:pPr>
                  <w:r>
                    <w:rPr>
                      <w:rFonts w:ascii="Times New Roman" w:hAnsi="Times New Roman" w:cs="Times New Roman"/>
                      <w:sz w:val="18"/>
                    </w:rPr>
                    <w:t>≤0.05</w:t>
                  </w:r>
                </w:p>
              </w:tc>
              <w:tc>
                <w:tcPr>
                  <w:tcW w:w="453" w:type="pct"/>
                  <w:vAlign w:val="center"/>
                </w:tcPr>
                <w:p w14:paraId="1ED862C9">
                  <w:pPr>
                    <w:pStyle w:val="569"/>
                    <w:adjustRightInd w:val="0"/>
                    <w:snapToGrid w:val="0"/>
                    <w:rPr>
                      <w:rFonts w:ascii="Times New Roman" w:hAnsi="Times New Roman" w:cs="Times New Roman"/>
                      <w:sz w:val="18"/>
                    </w:rPr>
                  </w:pPr>
                  <w:r>
                    <w:rPr>
                      <w:rFonts w:ascii="Times New Roman" w:hAnsi="Times New Roman" w:cs="Times New Roman"/>
                      <w:sz w:val="18"/>
                    </w:rPr>
                    <w:t>≤0.05</w:t>
                  </w:r>
                </w:p>
              </w:tc>
              <w:tc>
                <w:tcPr>
                  <w:tcW w:w="516" w:type="pct"/>
                  <w:vAlign w:val="center"/>
                </w:tcPr>
                <w:p w14:paraId="6E526D04">
                  <w:pPr>
                    <w:pStyle w:val="569"/>
                    <w:adjustRightInd w:val="0"/>
                    <w:snapToGrid w:val="0"/>
                    <w:rPr>
                      <w:rFonts w:ascii="Times New Roman" w:hAnsi="Times New Roman" w:cs="Times New Roman"/>
                      <w:sz w:val="18"/>
                    </w:rPr>
                  </w:pPr>
                  <w:r>
                    <w:rPr>
                      <w:rFonts w:ascii="Times New Roman" w:hAnsi="Times New Roman" w:cs="Times New Roman"/>
                      <w:sz w:val="18"/>
                    </w:rPr>
                    <w:t>≤0.0001</w:t>
                  </w:r>
                </w:p>
              </w:tc>
              <w:tc>
                <w:tcPr>
                  <w:tcW w:w="516" w:type="pct"/>
                  <w:vAlign w:val="center"/>
                </w:tcPr>
                <w:p w14:paraId="6B2D34E7">
                  <w:pPr>
                    <w:pStyle w:val="569"/>
                    <w:adjustRightInd w:val="0"/>
                    <w:snapToGrid w:val="0"/>
                    <w:rPr>
                      <w:rFonts w:ascii="Times New Roman" w:hAnsi="Times New Roman" w:cs="Times New Roman"/>
                      <w:sz w:val="18"/>
                    </w:rPr>
                  </w:pPr>
                  <w:r>
                    <w:rPr>
                      <w:rFonts w:ascii="Times New Roman" w:hAnsi="Times New Roman" w:cs="Times New Roman"/>
                      <w:sz w:val="18"/>
                    </w:rPr>
                    <w:t>≤0.005</w:t>
                  </w:r>
                </w:p>
              </w:tc>
              <w:tc>
                <w:tcPr>
                  <w:tcW w:w="440" w:type="pct"/>
                  <w:vAlign w:val="center"/>
                </w:tcPr>
                <w:p w14:paraId="405364E6">
                  <w:pPr>
                    <w:pStyle w:val="569"/>
                    <w:adjustRightInd w:val="0"/>
                    <w:snapToGrid w:val="0"/>
                    <w:rPr>
                      <w:rFonts w:ascii="Times New Roman" w:hAnsi="Times New Roman" w:cs="Times New Roman"/>
                      <w:sz w:val="18"/>
                    </w:rPr>
                  </w:pPr>
                  <w:r>
                    <w:rPr>
                      <w:rFonts w:ascii="Times New Roman" w:hAnsi="Times New Roman" w:cs="Times New Roman"/>
                      <w:sz w:val="18"/>
                    </w:rPr>
                    <w:t>≤0.05</w:t>
                  </w:r>
                </w:p>
              </w:tc>
              <w:tc>
                <w:tcPr>
                  <w:tcW w:w="391" w:type="pct"/>
                  <w:vAlign w:val="center"/>
                </w:tcPr>
                <w:p w14:paraId="5A52A372">
                  <w:pPr>
                    <w:pStyle w:val="569"/>
                    <w:adjustRightInd w:val="0"/>
                    <w:snapToGrid w:val="0"/>
                    <w:rPr>
                      <w:rFonts w:ascii="Times New Roman" w:hAnsi="Times New Roman" w:cs="Times New Roman"/>
                      <w:sz w:val="18"/>
                    </w:rPr>
                  </w:pPr>
                  <w:r>
                    <w:rPr>
                      <w:rFonts w:ascii="Times New Roman" w:hAnsi="Times New Roman" w:cs="Times New Roman"/>
                      <w:sz w:val="18"/>
                    </w:rPr>
                    <w:t>≤0.2</w:t>
                  </w:r>
                </w:p>
              </w:tc>
              <w:tc>
                <w:tcPr>
                  <w:tcW w:w="453" w:type="pct"/>
                  <w:vAlign w:val="center"/>
                </w:tcPr>
                <w:p w14:paraId="2F5528BA">
                  <w:pPr>
                    <w:pStyle w:val="569"/>
                    <w:adjustRightInd w:val="0"/>
                    <w:snapToGrid w:val="0"/>
                    <w:rPr>
                      <w:rFonts w:ascii="Times New Roman" w:hAnsi="Times New Roman" w:cs="Times New Roman"/>
                      <w:sz w:val="18"/>
                    </w:rPr>
                  </w:pPr>
                  <w:r>
                    <w:rPr>
                      <w:rFonts w:ascii="Times New Roman" w:hAnsi="Times New Roman" w:cs="Times New Roman"/>
                      <w:sz w:val="18"/>
                    </w:rPr>
                    <w:t>≤0.005</w:t>
                  </w:r>
                </w:p>
              </w:tc>
              <w:tc>
                <w:tcPr>
                  <w:tcW w:w="353" w:type="pct"/>
                  <w:vAlign w:val="center"/>
                </w:tcPr>
                <w:p w14:paraId="71083904">
                  <w:pPr>
                    <w:pStyle w:val="569"/>
                    <w:adjustRightInd w:val="0"/>
                    <w:snapToGrid w:val="0"/>
                    <w:rPr>
                      <w:rFonts w:ascii="Times New Roman" w:hAnsi="Times New Roman" w:cs="Times New Roman"/>
                      <w:sz w:val="18"/>
                    </w:rPr>
                  </w:pPr>
                  <w:r>
                    <w:rPr>
                      <w:rFonts w:ascii="Times New Roman" w:hAnsi="Times New Roman" w:cs="Times New Roman"/>
                      <w:sz w:val="18"/>
                    </w:rPr>
                    <w:t>≤0.05</w:t>
                  </w:r>
                </w:p>
              </w:tc>
            </w:tr>
          </w:tbl>
          <w:p w14:paraId="492319B6">
            <w:pPr>
              <w:rPr>
                <w:rFonts w:ascii="Times New Roman" w:hAnsi="Times New Roman" w:cs="Times New Roman"/>
                <w:b/>
                <w:sz w:val="18"/>
                <w:szCs w:val="21"/>
              </w:rPr>
            </w:pPr>
          </w:p>
          <w:p w14:paraId="629E33AE">
            <w:pPr>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由表3.2-2可知，地表水监测断面各监测指标满足《地表水环境质量标准》（GB3838-2002）Ⅲ类水域标准。</w:t>
            </w:r>
          </w:p>
          <w:p w14:paraId="6A318EDF">
            <w:pPr>
              <w:adjustRightInd w:val="0"/>
              <w:snapToGrid w:val="0"/>
              <w:spacing w:line="360" w:lineRule="auto"/>
              <w:rPr>
                <w:rFonts w:ascii="Times New Roman" w:hAnsi="Times New Roman" w:cs="Times New Roman"/>
                <w:b/>
                <w:sz w:val="24"/>
              </w:rPr>
            </w:pPr>
            <w:r>
              <w:rPr>
                <w:rFonts w:ascii="Times New Roman" w:hAnsi="Times New Roman" w:cs="Times New Roman"/>
                <w:b/>
                <w:sz w:val="24"/>
              </w:rPr>
              <w:t>3.3声环境质量现状及评价</w:t>
            </w:r>
          </w:p>
          <w:p w14:paraId="0A42FA19">
            <w:pPr>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根据《建设项目环境影响报告表编制指南》（污染影响类），拟建项目位于重庆白涛工业园区内，项目周边50m范围内无声环境保护目标，因此本项目不进行声环境质量现状监测。</w:t>
            </w:r>
          </w:p>
          <w:p w14:paraId="468158F0">
            <w:pPr>
              <w:adjustRightInd w:val="0"/>
              <w:snapToGrid w:val="0"/>
              <w:spacing w:line="360" w:lineRule="auto"/>
              <w:rPr>
                <w:rFonts w:ascii="Times New Roman" w:hAnsi="Times New Roman" w:cs="Times New Roman"/>
                <w:b/>
                <w:sz w:val="24"/>
              </w:rPr>
            </w:pPr>
            <w:r>
              <w:rPr>
                <w:rFonts w:ascii="Times New Roman" w:hAnsi="Times New Roman" w:cs="Times New Roman"/>
                <w:b/>
                <w:sz w:val="24"/>
              </w:rPr>
              <w:t>3.4地下水及土壤环境质量现状及评价</w:t>
            </w:r>
          </w:p>
          <w:p w14:paraId="6B3DD071">
            <w:pPr>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根据《建设项目环境影响报告表编制指南》（污染影响类），原则上不开展环境质量现状调查。拟建项目各类污染物均采取了对应的污染治理措施，可确保污染物达标排放及防止渗漏发生，可从源头上控制项目对区域土壤环境的污染源强，确保项目对区域土壤、地下水环境的影响处于可接受水平，因此不开展地下水和土壤环境质量现状调查。</w:t>
            </w:r>
          </w:p>
        </w:tc>
      </w:tr>
      <w:tr w14:paraId="46A479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vAlign w:val="center"/>
          </w:tcPr>
          <w:p w14:paraId="6B35819E">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环境</w:t>
            </w:r>
          </w:p>
          <w:p w14:paraId="7EBA84AE">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保护</w:t>
            </w:r>
          </w:p>
          <w:p w14:paraId="5480F1D5">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目标</w:t>
            </w:r>
          </w:p>
        </w:tc>
        <w:tc>
          <w:tcPr>
            <w:tcW w:w="8190" w:type="dxa"/>
            <w:vAlign w:val="center"/>
          </w:tcPr>
          <w:p w14:paraId="71CA647F">
            <w:pPr>
              <w:adjustRightInd w:val="0"/>
              <w:snapToGrid w:val="0"/>
              <w:jc w:val="center"/>
              <w:rPr>
                <w:rFonts w:ascii="Times New Roman" w:hAnsi="Times New Roman" w:cs="Times New Roman"/>
                <w:kern w:val="0"/>
                <w:szCs w:val="21"/>
              </w:rPr>
            </w:pPr>
          </w:p>
          <w:p w14:paraId="7C7E6075">
            <w:pPr>
              <w:adjustRightInd w:val="0"/>
              <w:snapToGrid w:val="0"/>
              <w:spacing w:line="360" w:lineRule="auto"/>
              <w:rPr>
                <w:rFonts w:ascii="Times New Roman" w:hAnsi="Times New Roman" w:cs="Times New Roman"/>
                <w:b/>
                <w:sz w:val="24"/>
              </w:rPr>
            </w:pPr>
            <w:r>
              <w:rPr>
                <w:rFonts w:ascii="Times New Roman" w:hAnsi="Times New Roman" w:cs="Times New Roman"/>
                <w:b/>
                <w:sz w:val="24"/>
              </w:rPr>
              <w:t>3.4环境保护目标</w:t>
            </w:r>
          </w:p>
          <w:p w14:paraId="17476051">
            <w:pPr>
              <w:spacing w:line="360" w:lineRule="auto"/>
              <w:ind w:firstLine="560"/>
              <w:rPr>
                <w:rFonts w:ascii="Times New Roman" w:hAnsi="Times New Roman" w:cs="Times New Roman"/>
                <w:sz w:val="24"/>
              </w:rPr>
            </w:pPr>
            <w:r>
              <w:rPr>
                <w:rFonts w:ascii="Times New Roman" w:hAnsi="Times New Roman" w:cs="Times New Roman"/>
                <w:sz w:val="24"/>
              </w:rPr>
              <w:t>1、大气环境</w:t>
            </w:r>
          </w:p>
          <w:p w14:paraId="2846C7FD">
            <w:pPr>
              <w:spacing w:line="360" w:lineRule="auto"/>
              <w:ind w:firstLine="560"/>
              <w:rPr>
                <w:rFonts w:ascii="Times New Roman" w:hAnsi="Times New Roman" w:cs="Times New Roman"/>
                <w:sz w:val="24"/>
              </w:rPr>
            </w:pPr>
            <w:r>
              <w:rPr>
                <w:rFonts w:ascii="Times New Roman" w:hAnsi="Times New Roman" w:cs="Times New Roman"/>
                <w:sz w:val="24"/>
              </w:rPr>
              <w:t>项目厂界500m范围内无大气环境保护目标</w:t>
            </w:r>
          </w:p>
          <w:p w14:paraId="3E72F01B">
            <w:pPr>
              <w:spacing w:line="360" w:lineRule="auto"/>
              <w:ind w:firstLine="560"/>
              <w:rPr>
                <w:rFonts w:ascii="Times New Roman" w:hAnsi="Times New Roman" w:cs="Times New Roman"/>
                <w:sz w:val="24"/>
              </w:rPr>
            </w:pPr>
            <w:r>
              <w:rPr>
                <w:rFonts w:ascii="Times New Roman" w:hAnsi="Times New Roman" w:cs="Times New Roman"/>
                <w:sz w:val="24"/>
              </w:rPr>
              <w:t>2、声环境</w:t>
            </w:r>
          </w:p>
          <w:p w14:paraId="5A720251">
            <w:pPr>
              <w:spacing w:line="360" w:lineRule="auto"/>
              <w:ind w:firstLine="560"/>
              <w:rPr>
                <w:rFonts w:ascii="Times New Roman" w:hAnsi="Times New Roman" w:cs="Times New Roman"/>
                <w:sz w:val="24"/>
              </w:rPr>
            </w:pPr>
            <w:r>
              <w:rPr>
                <w:rFonts w:ascii="Times New Roman" w:hAnsi="Times New Roman" w:cs="Times New Roman"/>
                <w:sz w:val="24"/>
              </w:rPr>
              <w:t>项目厂界50m范围内无声环境保护目标</w:t>
            </w:r>
          </w:p>
          <w:p w14:paraId="62CFB457">
            <w:pPr>
              <w:spacing w:line="360" w:lineRule="auto"/>
              <w:ind w:firstLine="560"/>
              <w:rPr>
                <w:rFonts w:ascii="Times New Roman" w:hAnsi="Times New Roman" w:cs="Times New Roman"/>
                <w:sz w:val="24"/>
              </w:rPr>
            </w:pPr>
            <w:r>
              <w:rPr>
                <w:rFonts w:ascii="Times New Roman" w:hAnsi="Times New Roman" w:cs="Times New Roman"/>
                <w:sz w:val="24"/>
              </w:rPr>
              <w:t>3、地下水</w:t>
            </w:r>
          </w:p>
          <w:p w14:paraId="5546626B">
            <w:pPr>
              <w:spacing w:line="360" w:lineRule="auto"/>
              <w:ind w:firstLine="560"/>
              <w:rPr>
                <w:rFonts w:ascii="Times New Roman" w:hAnsi="Times New Roman" w:cs="Times New Roman"/>
                <w:sz w:val="24"/>
              </w:rPr>
            </w:pPr>
            <w:r>
              <w:rPr>
                <w:rFonts w:ascii="Times New Roman" w:hAnsi="Times New Roman" w:cs="Times New Roman"/>
                <w:sz w:val="24"/>
              </w:rPr>
              <w:t>项目厂界外500m范围内无自然保护区、风景名胜区、森林公园、无地下水集中式饮用水水源和热水、矿泉水、温泉等特殊地下水资源</w:t>
            </w:r>
          </w:p>
          <w:p w14:paraId="083A8388">
            <w:pPr>
              <w:spacing w:line="360" w:lineRule="auto"/>
              <w:ind w:firstLine="560"/>
              <w:rPr>
                <w:rFonts w:ascii="Times New Roman" w:hAnsi="Times New Roman" w:cs="Times New Roman"/>
                <w:sz w:val="24"/>
              </w:rPr>
            </w:pPr>
            <w:r>
              <w:rPr>
                <w:rFonts w:ascii="Times New Roman" w:hAnsi="Times New Roman" w:cs="Times New Roman"/>
                <w:sz w:val="24"/>
              </w:rPr>
              <w:t>3、生态环境</w:t>
            </w:r>
          </w:p>
          <w:p w14:paraId="47D4B805">
            <w:pPr>
              <w:spacing w:line="360" w:lineRule="auto"/>
              <w:ind w:firstLine="560"/>
              <w:rPr>
                <w:rFonts w:ascii="Times New Roman" w:hAnsi="Times New Roman" w:cs="Times New Roman"/>
              </w:rPr>
            </w:pPr>
            <w:r>
              <w:rPr>
                <w:rFonts w:ascii="Times New Roman" w:hAnsi="Times New Roman" w:cs="Times New Roman"/>
                <w:sz w:val="24"/>
              </w:rPr>
              <w:t>项目厂区用地为工业用地，周边均为工业企业及规划的工业用地，无生态环境保护目标。</w:t>
            </w:r>
          </w:p>
        </w:tc>
      </w:tr>
      <w:tr w14:paraId="30CFF0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14" w:hRule="atLeast"/>
          <w:jc w:val="center"/>
        </w:trPr>
        <w:tc>
          <w:tcPr>
            <w:tcW w:w="800" w:type="dxa"/>
            <w:tcMar>
              <w:left w:w="28" w:type="dxa"/>
              <w:right w:w="28" w:type="dxa"/>
            </w:tcMar>
            <w:vAlign w:val="center"/>
          </w:tcPr>
          <w:p w14:paraId="2EE25D9C">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污染</w:t>
            </w:r>
          </w:p>
          <w:p w14:paraId="3D2DE7DD">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物排</w:t>
            </w:r>
          </w:p>
          <w:p w14:paraId="2524D9FC">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放控</w:t>
            </w:r>
          </w:p>
          <w:p w14:paraId="11CB6414">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制标</w:t>
            </w:r>
          </w:p>
          <w:p w14:paraId="42CB0A57">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准</w:t>
            </w:r>
          </w:p>
        </w:tc>
        <w:tc>
          <w:tcPr>
            <w:tcW w:w="8190" w:type="dxa"/>
            <w:vAlign w:val="center"/>
          </w:tcPr>
          <w:p w14:paraId="0258727E">
            <w:pPr>
              <w:adjustRightInd w:val="0"/>
              <w:snapToGrid w:val="0"/>
              <w:spacing w:line="360" w:lineRule="auto"/>
              <w:rPr>
                <w:rFonts w:ascii="Times New Roman" w:hAnsi="Times New Roman" w:cs="Times New Roman"/>
                <w:b/>
                <w:sz w:val="24"/>
              </w:rPr>
            </w:pPr>
            <w:r>
              <w:rPr>
                <w:rFonts w:ascii="Times New Roman" w:hAnsi="Times New Roman" w:cs="Times New Roman"/>
                <w:b/>
                <w:sz w:val="24"/>
              </w:rPr>
              <w:t>3.5污染物排放控制标准</w:t>
            </w:r>
          </w:p>
          <w:p w14:paraId="162CF8CF">
            <w:pPr>
              <w:adjustRightInd w:val="0"/>
              <w:snapToGrid w:val="0"/>
              <w:spacing w:line="360" w:lineRule="auto"/>
              <w:rPr>
                <w:rFonts w:ascii="Times New Roman" w:hAnsi="Times New Roman" w:cs="Times New Roman"/>
                <w:b/>
                <w:sz w:val="24"/>
              </w:rPr>
            </w:pPr>
            <w:r>
              <w:rPr>
                <w:rFonts w:ascii="Times New Roman" w:hAnsi="Times New Roman" w:cs="Times New Roman"/>
                <w:b/>
                <w:sz w:val="24"/>
              </w:rPr>
              <w:t>3.5.1废气排放控制标准</w:t>
            </w:r>
          </w:p>
          <w:p w14:paraId="5651D70C">
            <w:pPr>
              <w:spacing w:line="360" w:lineRule="auto"/>
              <w:ind w:firstLine="480" w:firstLineChars="200"/>
              <w:rPr>
                <w:rFonts w:ascii="Times New Roman" w:hAnsi="Times New Roman" w:cs="Times New Roman"/>
                <w:sz w:val="24"/>
              </w:rPr>
            </w:pPr>
            <w:r>
              <w:rPr>
                <w:rFonts w:ascii="Times New Roman" w:hAnsi="Times New Roman" w:cs="Times New Roman"/>
                <w:sz w:val="24"/>
              </w:rPr>
              <w:t>导热油炉燃烧废气执行《锅炉大气污染物排放标准》（DB50/658-2016）及1号修改单，详见表3.5-1。</w:t>
            </w:r>
          </w:p>
          <w:p w14:paraId="1CB3BA88">
            <w:pPr>
              <w:keepNext/>
              <w:keepLines/>
              <w:numPr>
                <w:ilvl w:val="3"/>
                <w:numId w:val="0"/>
              </w:numPr>
              <w:tabs>
                <w:tab w:val="left" w:pos="0"/>
              </w:tabs>
              <w:jc w:val="center"/>
              <w:outlineLvl w:val="3"/>
              <w:rPr>
                <w:rFonts w:ascii="Times New Roman" w:hAnsi="Times New Roman" w:cs="Times New Roman"/>
                <w:kern w:val="0"/>
              </w:rPr>
            </w:pPr>
            <w:r>
              <w:rPr>
                <w:rFonts w:ascii="Times New Roman" w:hAnsi="Times New Roman" w:cs="Times New Roman"/>
                <w:kern w:val="0"/>
              </w:rPr>
              <w:t>表3.5-1《锅炉大气污染物排放标准》（DB 50/658-2016）及1号修改单</w:t>
            </w:r>
          </w:p>
          <w:tbl>
            <w:tblPr>
              <w:tblStyle w:val="8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1"/>
              <w:gridCol w:w="1991"/>
              <w:gridCol w:w="1990"/>
              <w:gridCol w:w="1991"/>
            </w:tblGrid>
            <w:tr w14:paraId="09C40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91" w:type="dxa"/>
                  <w:vAlign w:val="center"/>
                </w:tcPr>
                <w:p w14:paraId="3607BEB6">
                  <w:pPr>
                    <w:adjustRightInd w:val="0"/>
                    <w:snapToGrid w:val="0"/>
                    <w:jc w:val="center"/>
                    <w:rPr>
                      <w:rFonts w:ascii="Times New Roman" w:hAnsi="Times New Roman" w:cs="Times New Roman"/>
                      <w:snapToGrid w:val="0"/>
                      <w:kern w:val="0"/>
                    </w:rPr>
                  </w:pPr>
                  <w:r>
                    <w:rPr>
                      <w:rFonts w:ascii="Times New Roman" w:hAnsi="Times New Roman" w:cs="Times New Roman"/>
                      <w:snapToGrid w:val="0"/>
                      <w:kern w:val="0"/>
                    </w:rPr>
                    <w:t>污染物项目</w:t>
                  </w:r>
                </w:p>
              </w:tc>
              <w:tc>
                <w:tcPr>
                  <w:tcW w:w="1991" w:type="dxa"/>
                  <w:vAlign w:val="center"/>
                </w:tcPr>
                <w:p w14:paraId="622C14A5">
                  <w:pPr>
                    <w:adjustRightInd w:val="0"/>
                    <w:snapToGrid w:val="0"/>
                    <w:jc w:val="center"/>
                    <w:rPr>
                      <w:rFonts w:ascii="Times New Roman" w:hAnsi="Times New Roman" w:cs="Times New Roman"/>
                      <w:snapToGrid w:val="0"/>
                      <w:kern w:val="0"/>
                    </w:rPr>
                  </w:pPr>
                  <w:r>
                    <w:rPr>
                      <w:rFonts w:ascii="Times New Roman" w:hAnsi="Times New Roman" w:cs="Times New Roman"/>
                      <w:snapToGrid w:val="0"/>
                      <w:kern w:val="0"/>
                    </w:rPr>
                    <w:t>适用区域</w:t>
                  </w:r>
                </w:p>
              </w:tc>
              <w:tc>
                <w:tcPr>
                  <w:tcW w:w="1990" w:type="dxa"/>
                  <w:vAlign w:val="center"/>
                </w:tcPr>
                <w:p w14:paraId="5020F78D">
                  <w:pPr>
                    <w:adjustRightInd w:val="0"/>
                    <w:snapToGrid w:val="0"/>
                    <w:jc w:val="center"/>
                    <w:rPr>
                      <w:rFonts w:ascii="Times New Roman" w:hAnsi="Times New Roman" w:cs="Times New Roman"/>
                      <w:snapToGrid w:val="0"/>
                      <w:kern w:val="0"/>
                    </w:rPr>
                  </w:pPr>
                  <w:r>
                    <w:rPr>
                      <w:rFonts w:ascii="Times New Roman" w:hAnsi="Times New Roman" w:cs="Times New Roman"/>
                      <w:snapToGrid w:val="0"/>
                      <w:kern w:val="0"/>
                    </w:rPr>
                    <w:t>限值污染物排放浓度（燃气锅炉）</w:t>
                  </w:r>
                </w:p>
              </w:tc>
              <w:tc>
                <w:tcPr>
                  <w:tcW w:w="1991" w:type="dxa"/>
                  <w:vAlign w:val="center"/>
                </w:tcPr>
                <w:p w14:paraId="1BC5AE7F">
                  <w:pPr>
                    <w:adjustRightInd w:val="0"/>
                    <w:snapToGrid w:val="0"/>
                    <w:jc w:val="center"/>
                    <w:rPr>
                      <w:rFonts w:ascii="Times New Roman" w:hAnsi="Times New Roman" w:cs="Times New Roman"/>
                      <w:snapToGrid w:val="0"/>
                      <w:kern w:val="0"/>
                    </w:rPr>
                  </w:pPr>
                  <w:r>
                    <w:rPr>
                      <w:rFonts w:ascii="Times New Roman" w:hAnsi="Times New Roman" w:cs="Times New Roman"/>
                      <w:snapToGrid w:val="0"/>
                      <w:kern w:val="0"/>
                    </w:rPr>
                    <w:t>监控位置</w:t>
                  </w:r>
                </w:p>
              </w:tc>
            </w:tr>
            <w:tr w14:paraId="4D2F0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91" w:type="dxa"/>
                  <w:vAlign w:val="center"/>
                </w:tcPr>
                <w:p w14:paraId="3FA2887B">
                  <w:pPr>
                    <w:adjustRightInd w:val="0"/>
                    <w:snapToGrid w:val="0"/>
                    <w:jc w:val="center"/>
                    <w:rPr>
                      <w:rFonts w:ascii="Times New Roman" w:hAnsi="Times New Roman" w:cs="Times New Roman"/>
                      <w:snapToGrid w:val="0"/>
                      <w:kern w:val="0"/>
                    </w:rPr>
                  </w:pPr>
                  <w:r>
                    <w:rPr>
                      <w:rFonts w:ascii="Times New Roman" w:hAnsi="Times New Roman" w:cs="Times New Roman"/>
                      <w:snapToGrid w:val="0"/>
                      <w:kern w:val="0"/>
                    </w:rPr>
                    <w:t>颗粒物</w:t>
                  </w:r>
                </w:p>
              </w:tc>
              <w:tc>
                <w:tcPr>
                  <w:tcW w:w="1991" w:type="dxa"/>
                  <w:vMerge w:val="restart"/>
                  <w:vAlign w:val="center"/>
                </w:tcPr>
                <w:p w14:paraId="595AA56F">
                  <w:pPr>
                    <w:adjustRightInd w:val="0"/>
                    <w:snapToGrid w:val="0"/>
                    <w:jc w:val="center"/>
                    <w:rPr>
                      <w:rFonts w:ascii="Times New Roman" w:hAnsi="Times New Roman" w:cs="Times New Roman"/>
                      <w:snapToGrid w:val="0"/>
                      <w:kern w:val="0"/>
                    </w:rPr>
                  </w:pPr>
                  <w:r>
                    <w:rPr>
                      <w:rFonts w:ascii="Times New Roman" w:hAnsi="Times New Roman" w:cs="Times New Roman"/>
                      <w:snapToGrid w:val="0"/>
                      <w:kern w:val="0"/>
                    </w:rPr>
                    <w:t>其他区域</w:t>
                  </w:r>
                </w:p>
              </w:tc>
              <w:tc>
                <w:tcPr>
                  <w:tcW w:w="1990" w:type="dxa"/>
                  <w:vAlign w:val="center"/>
                </w:tcPr>
                <w:p w14:paraId="0589697F">
                  <w:pPr>
                    <w:adjustRightInd w:val="0"/>
                    <w:snapToGrid w:val="0"/>
                    <w:jc w:val="center"/>
                    <w:rPr>
                      <w:rFonts w:ascii="Times New Roman" w:hAnsi="Times New Roman" w:cs="Times New Roman"/>
                      <w:snapToGrid w:val="0"/>
                      <w:kern w:val="0"/>
                    </w:rPr>
                  </w:pPr>
                  <w:r>
                    <w:rPr>
                      <w:rFonts w:ascii="Times New Roman" w:hAnsi="Times New Roman" w:cs="Times New Roman"/>
                      <w:snapToGrid w:val="0"/>
                      <w:kern w:val="0"/>
                    </w:rPr>
                    <w:t>20</w:t>
                  </w:r>
                </w:p>
              </w:tc>
              <w:tc>
                <w:tcPr>
                  <w:tcW w:w="1991" w:type="dxa"/>
                  <w:vMerge w:val="restart"/>
                  <w:vAlign w:val="center"/>
                </w:tcPr>
                <w:p w14:paraId="03A0DC45">
                  <w:pPr>
                    <w:adjustRightInd w:val="0"/>
                    <w:snapToGrid w:val="0"/>
                    <w:jc w:val="center"/>
                    <w:rPr>
                      <w:rFonts w:ascii="Times New Roman" w:hAnsi="Times New Roman" w:cs="Times New Roman"/>
                      <w:snapToGrid w:val="0"/>
                      <w:kern w:val="0"/>
                    </w:rPr>
                  </w:pPr>
                  <w:r>
                    <w:rPr>
                      <w:rFonts w:ascii="Times New Roman" w:hAnsi="Times New Roman" w:cs="Times New Roman"/>
                      <w:snapToGrid w:val="0"/>
                      <w:kern w:val="0"/>
                    </w:rPr>
                    <w:t>烟囱或烟道</w:t>
                  </w:r>
                </w:p>
              </w:tc>
            </w:tr>
            <w:tr w14:paraId="27E5F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91" w:type="dxa"/>
                  <w:vAlign w:val="center"/>
                </w:tcPr>
                <w:p w14:paraId="1F27D37D">
                  <w:pPr>
                    <w:adjustRightInd w:val="0"/>
                    <w:snapToGrid w:val="0"/>
                    <w:jc w:val="center"/>
                    <w:rPr>
                      <w:rFonts w:ascii="Times New Roman" w:hAnsi="Times New Roman" w:cs="Times New Roman"/>
                      <w:snapToGrid w:val="0"/>
                      <w:kern w:val="0"/>
                    </w:rPr>
                  </w:pPr>
                  <w:r>
                    <w:rPr>
                      <w:rFonts w:ascii="Times New Roman" w:hAnsi="Times New Roman" w:cs="Times New Roman"/>
                      <w:snapToGrid w:val="0"/>
                      <w:kern w:val="0"/>
                    </w:rPr>
                    <w:t>二氧化硫</w:t>
                  </w:r>
                </w:p>
              </w:tc>
              <w:tc>
                <w:tcPr>
                  <w:tcW w:w="1991" w:type="dxa"/>
                  <w:vMerge w:val="continue"/>
                  <w:vAlign w:val="center"/>
                </w:tcPr>
                <w:p w14:paraId="55E91AE8">
                  <w:pPr>
                    <w:adjustRightInd w:val="0"/>
                    <w:snapToGrid w:val="0"/>
                    <w:jc w:val="center"/>
                    <w:rPr>
                      <w:rFonts w:ascii="Times New Roman" w:hAnsi="Times New Roman" w:cs="Times New Roman"/>
                      <w:snapToGrid w:val="0"/>
                      <w:kern w:val="0"/>
                    </w:rPr>
                  </w:pPr>
                </w:p>
              </w:tc>
              <w:tc>
                <w:tcPr>
                  <w:tcW w:w="1990" w:type="dxa"/>
                  <w:vAlign w:val="center"/>
                </w:tcPr>
                <w:p w14:paraId="6ABA0E78">
                  <w:pPr>
                    <w:adjustRightInd w:val="0"/>
                    <w:snapToGrid w:val="0"/>
                    <w:jc w:val="center"/>
                    <w:rPr>
                      <w:rFonts w:ascii="Times New Roman" w:hAnsi="Times New Roman" w:cs="Times New Roman"/>
                      <w:snapToGrid w:val="0"/>
                      <w:kern w:val="0"/>
                    </w:rPr>
                  </w:pPr>
                  <w:r>
                    <w:rPr>
                      <w:rFonts w:ascii="Times New Roman" w:hAnsi="Times New Roman" w:cs="Times New Roman"/>
                      <w:snapToGrid w:val="0"/>
                      <w:kern w:val="0"/>
                    </w:rPr>
                    <w:t>50</w:t>
                  </w:r>
                </w:p>
              </w:tc>
              <w:tc>
                <w:tcPr>
                  <w:tcW w:w="1991" w:type="dxa"/>
                  <w:vMerge w:val="continue"/>
                  <w:vAlign w:val="center"/>
                </w:tcPr>
                <w:p w14:paraId="7ECA09C6">
                  <w:pPr>
                    <w:adjustRightInd w:val="0"/>
                    <w:snapToGrid w:val="0"/>
                    <w:jc w:val="center"/>
                    <w:rPr>
                      <w:rFonts w:ascii="Times New Roman" w:hAnsi="Times New Roman" w:cs="Times New Roman"/>
                      <w:snapToGrid w:val="0"/>
                      <w:kern w:val="0"/>
                    </w:rPr>
                  </w:pPr>
                </w:p>
              </w:tc>
            </w:tr>
            <w:tr w14:paraId="1FF50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91" w:type="dxa"/>
                  <w:vAlign w:val="center"/>
                </w:tcPr>
                <w:p w14:paraId="3D65DFD2">
                  <w:pPr>
                    <w:adjustRightInd w:val="0"/>
                    <w:snapToGrid w:val="0"/>
                    <w:jc w:val="center"/>
                    <w:rPr>
                      <w:rFonts w:ascii="Times New Roman" w:hAnsi="Times New Roman" w:cs="Times New Roman"/>
                      <w:snapToGrid w:val="0"/>
                      <w:kern w:val="0"/>
                    </w:rPr>
                  </w:pPr>
                  <w:r>
                    <w:rPr>
                      <w:rFonts w:ascii="Times New Roman" w:hAnsi="Times New Roman" w:cs="Times New Roman"/>
                      <w:snapToGrid w:val="0"/>
                      <w:kern w:val="0"/>
                    </w:rPr>
                    <w:t>氮氧化物</w:t>
                  </w:r>
                </w:p>
              </w:tc>
              <w:tc>
                <w:tcPr>
                  <w:tcW w:w="1991" w:type="dxa"/>
                  <w:vMerge w:val="continue"/>
                  <w:vAlign w:val="center"/>
                </w:tcPr>
                <w:p w14:paraId="08484EC3">
                  <w:pPr>
                    <w:adjustRightInd w:val="0"/>
                    <w:snapToGrid w:val="0"/>
                    <w:jc w:val="center"/>
                    <w:rPr>
                      <w:rFonts w:ascii="Times New Roman" w:hAnsi="Times New Roman" w:cs="Times New Roman"/>
                      <w:snapToGrid w:val="0"/>
                      <w:kern w:val="0"/>
                    </w:rPr>
                  </w:pPr>
                </w:p>
              </w:tc>
              <w:tc>
                <w:tcPr>
                  <w:tcW w:w="1990" w:type="dxa"/>
                  <w:vAlign w:val="center"/>
                </w:tcPr>
                <w:p w14:paraId="59024FA7">
                  <w:pPr>
                    <w:adjustRightInd w:val="0"/>
                    <w:snapToGrid w:val="0"/>
                    <w:jc w:val="center"/>
                    <w:rPr>
                      <w:rFonts w:ascii="Times New Roman" w:hAnsi="Times New Roman" w:cs="Times New Roman"/>
                      <w:snapToGrid w:val="0"/>
                      <w:kern w:val="0"/>
                    </w:rPr>
                  </w:pPr>
                  <w:r>
                    <w:rPr>
                      <w:rFonts w:ascii="Times New Roman" w:hAnsi="Times New Roman" w:cs="Times New Roman"/>
                      <w:snapToGrid w:val="0"/>
                      <w:kern w:val="0"/>
                    </w:rPr>
                    <w:t>50</w:t>
                  </w:r>
                </w:p>
              </w:tc>
              <w:tc>
                <w:tcPr>
                  <w:tcW w:w="1991" w:type="dxa"/>
                  <w:vMerge w:val="continue"/>
                  <w:vAlign w:val="center"/>
                </w:tcPr>
                <w:p w14:paraId="48B69814">
                  <w:pPr>
                    <w:adjustRightInd w:val="0"/>
                    <w:snapToGrid w:val="0"/>
                    <w:jc w:val="center"/>
                    <w:rPr>
                      <w:rFonts w:ascii="Times New Roman" w:hAnsi="Times New Roman" w:cs="Times New Roman"/>
                      <w:snapToGrid w:val="0"/>
                      <w:kern w:val="0"/>
                    </w:rPr>
                  </w:pPr>
                </w:p>
              </w:tc>
            </w:tr>
            <w:tr w14:paraId="476FE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3982" w:type="dxa"/>
                  <w:gridSpan w:val="2"/>
                  <w:vAlign w:val="center"/>
                </w:tcPr>
                <w:p w14:paraId="16DA9347">
                  <w:pPr>
                    <w:adjustRightInd w:val="0"/>
                    <w:snapToGrid w:val="0"/>
                    <w:jc w:val="center"/>
                    <w:rPr>
                      <w:rFonts w:ascii="Times New Roman" w:hAnsi="Times New Roman" w:cs="Times New Roman"/>
                      <w:snapToGrid w:val="0"/>
                      <w:kern w:val="0"/>
                    </w:rPr>
                  </w:pPr>
                  <w:r>
                    <w:rPr>
                      <w:rFonts w:ascii="Times New Roman" w:hAnsi="Times New Roman" w:cs="Times New Roman"/>
                      <w:snapToGrid w:val="0"/>
                      <w:kern w:val="0"/>
                    </w:rPr>
                    <w:t>汞及其化合物</w:t>
                  </w:r>
                </w:p>
              </w:tc>
              <w:tc>
                <w:tcPr>
                  <w:tcW w:w="1990" w:type="dxa"/>
                  <w:vAlign w:val="center"/>
                </w:tcPr>
                <w:p w14:paraId="5A50C982">
                  <w:pPr>
                    <w:adjustRightInd w:val="0"/>
                    <w:snapToGrid w:val="0"/>
                    <w:jc w:val="center"/>
                    <w:rPr>
                      <w:rFonts w:ascii="Times New Roman" w:hAnsi="Times New Roman" w:cs="Times New Roman"/>
                      <w:snapToGrid w:val="0"/>
                      <w:kern w:val="0"/>
                    </w:rPr>
                  </w:pPr>
                  <w:r>
                    <w:rPr>
                      <w:rFonts w:ascii="Times New Roman" w:hAnsi="Times New Roman" w:cs="Times New Roman"/>
                      <w:snapToGrid w:val="0"/>
                      <w:kern w:val="0"/>
                    </w:rPr>
                    <w:t>-</w:t>
                  </w:r>
                </w:p>
              </w:tc>
              <w:tc>
                <w:tcPr>
                  <w:tcW w:w="1991" w:type="dxa"/>
                  <w:vMerge w:val="continue"/>
                  <w:vAlign w:val="center"/>
                </w:tcPr>
                <w:p w14:paraId="684F5B56">
                  <w:pPr>
                    <w:adjustRightInd w:val="0"/>
                    <w:snapToGrid w:val="0"/>
                    <w:jc w:val="center"/>
                    <w:rPr>
                      <w:rFonts w:ascii="Times New Roman" w:hAnsi="Times New Roman" w:cs="Times New Roman"/>
                      <w:snapToGrid w:val="0"/>
                      <w:kern w:val="0"/>
                    </w:rPr>
                  </w:pPr>
                </w:p>
              </w:tc>
            </w:tr>
            <w:tr w14:paraId="0C4F4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3982" w:type="dxa"/>
                  <w:gridSpan w:val="2"/>
                  <w:vAlign w:val="center"/>
                </w:tcPr>
                <w:p w14:paraId="2BFCD95D">
                  <w:pPr>
                    <w:adjustRightInd w:val="0"/>
                    <w:snapToGrid w:val="0"/>
                    <w:jc w:val="center"/>
                    <w:rPr>
                      <w:rFonts w:ascii="Times New Roman" w:hAnsi="Times New Roman" w:cs="Times New Roman"/>
                      <w:snapToGrid w:val="0"/>
                      <w:kern w:val="0"/>
                    </w:rPr>
                  </w:pPr>
                  <w:r>
                    <w:rPr>
                      <w:rFonts w:ascii="Times New Roman" w:hAnsi="Times New Roman" w:cs="Times New Roman"/>
                      <w:snapToGrid w:val="0"/>
                      <w:kern w:val="0"/>
                    </w:rPr>
                    <w:t>烟气黑度（林格曼黑度，级）</w:t>
                  </w:r>
                </w:p>
              </w:tc>
              <w:tc>
                <w:tcPr>
                  <w:tcW w:w="1990" w:type="dxa"/>
                  <w:vAlign w:val="center"/>
                </w:tcPr>
                <w:p w14:paraId="1E2B9962">
                  <w:pPr>
                    <w:adjustRightInd w:val="0"/>
                    <w:snapToGrid w:val="0"/>
                    <w:jc w:val="center"/>
                    <w:rPr>
                      <w:rFonts w:ascii="Times New Roman" w:hAnsi="Times New Roman" w:cs="Times New Roman"/>
                      <w:snapToGrid w:val="0"/>
                      <w:kern w:val="0"/>
                    </w:rPr>
                  </w:pPr>
                  <w:r>
                    <w:rPr>
                      <w:rFonts w:ascii="Times New Roman" w:hAnsi="Times New Roman" w:cs="Times New Roman"/>
                      <w:snapToGrid w:val="0"/>
                      <w:kern w:val="0"/>
                    </w:rPr>
                    <w:t>≤1</w:t>
                  </w:r>
                </w:p>
              </w:tc>
              <w:tc>
                <w:tcPr>
                  <w:tcW w:w="1991" w:type="dxa"/>
                  <w:vAlign w:val="center"/>
                </w:tcPr>
                <w:p w14:paraId="09A7FADA">
                  <w:pPr>
                    <w:adjustRightInd w:val="0"/>
                    <w:snapToGrid w:val="0"/>
                    <w:jc w:val="center"/>
                    <w:rPr>
                      <w:rFonts w:ascii="Times New Roman" w:hAnsi="Times New Roman" w:cs="Times New Roman"/>
                      <w:snapToGrid w:val="0"/>
                      <w:kern w:val="0"/>
                    </w:rPr>
                  </w:pPr>
                  <w:r>
                    <w:rPr>
                      <w:rFonts w:ascii="Times New Roman" w:hAnsi="Times New Roman" w:cs="Times New Roman"/>
                      <w:snapToGrid w:val="0"/>
                      <w:kern w:val="0"/>
                    </w:rPr>
                    <w:t>烟囱排放口</w:t>
                  </w:r>
                </w:p>
              </w:tc>
            </w:tr>
          </w:tbl>
          <w:p w14:paraId="57F66688">
            <w:pPr>
              <w:rPr>
                <w:rFonts w:ascii="Times New Roman" w:hAnsi="Times New Roman" w:cs="Times New Roman"/>
              </w:rPr>
            </w:pPr>
          </w:p>
          <w:p w14:paraId="22C84B7F">
            <w:pPr>
              <w:spacing w:line="360" w:lineRule="auto"/>
              <w:ind w:firstLine="480" w:firstLineChars="200"/>
              <w:rPr>
                <w:rFonts w:ascii="Times New Roman" w:hAnsi="Times New Roman" w:cs="Times New Roman"/>
                <w:sz w:val="24"/>
              </w:rPr>
            </w:pPr>
            <w:r>
              <w:rPr>
                <w:rFonts w:ascii="Times New Roman" w:hAnsi="Times New Roman" w:cs="Times New Roman"/>
                <w:sz w:val="24"/>
              </w:rPr>
              <w:t>运营期无组织排放的非甲烷总烃执行《大气污染物综合排放标准》（DB50/418-2016）中表1的无组织排放监控点浓度限值4mg/m</w:t>
            </w:r>
            <w:r>
              <w:rPr>
                <w:rFonts w:ascii="Times New Roman" w:hAnsi="Times New Roman" w:cs="Times New Roman"/>
                <w:sz w:val="24"/>
                <w:vertAlign w:val="superscript"/>
              </w:rPr>
              <w:t>3</w:t>
            </w:r>
            <w:r>
              <w:rPr>
                <w:rFonts w:ascii="Times New Roman" w:hAnsi="Times New Roman" w:cs="Times New Roman"/>
                <w:sz w:val="24"/>
              </w:rPr>
              <w:t>。</w:t>
            </w:r>
          </w:p>
          <w:p w14:paraId="790503AD">
            <w:pPr>
              <w:adjustRightInd w:val="0"/>
              <w:snapToGrid w:val="0"/>
              <w:spacing w:line="360" w:lineRule="auto"/>
              <w:rPr>
                <w:rFonts w:ascii="Times New Roman" w:hAnsi="Times New Roman" w:cs="Times New Roman"/>
                <w:b/>
                <w:sz w:val="24"/>
              </w:rPr>
            </w:pPr>
            <w:r>
              <w:rPr>
                <w:rFonts w:ascii="Times New Roman" w:hAnsi="Times New Roman" w:cs="Times New Roman"/>
                <w:b/>
                <w:sz w:val="24"/>
              </w:rPr>
              <w:t>3.5.2废水排放控制标准</w:t>
            </w:r>
          </w:p>
          <w:p w14:paraId="506AFB0F">
            <w:pPr>
              <w:pStyle w:val="2"/>
              <w:spacing w:line="360" w:lineRule="auto"/>
              <w:ind w:firstLine="480" w:firstLineChars="200"/>
              <w:rPr>
                <w:rFonts w:ascii="Times New Roman" w:hAnsi="Times New Roman" w:cs="Times New Roman"/>
                <w:color w:val="auto"/>
                <w:szCs w:val="21"/>
              </w:rPr>
            </w:pPr>
            <w:r>
              <w:rPr>
                <w:rFonts w:ascii="Times New Roman" w:hAnsi="Times New Roman" w:cs="Times New Roman"/>
              </w:rPr>
              <w:t>拟建项目仅产生</w:t>
            </w:r>
            <w:r>
              <w:rPr>
                <w:rFonts w:hint="eastAsia" w:ascii="Times New Roman" w:hAnsi="Times New Roman" w:cs="Times New Roman"/>
              </w:rPr>
              <w:t>生产废水</w:t>
            </w:r>
            <w:r>
              <w:rPr>
                <w:rFonts w:ascii="Times New Roman" w:hAnsi="Times New Roman" w:cs="Times New Roman"/>
              </w:rPr>
              <w:t>、生活污水，</w:t>
            </w:r>
            <w:r>
              <w:rPr>
                <w:rFonts w:hint="eastAsia" w:ascii="Times New Roman" w:hAnsi="Times New Roman" w:cs="Times New Roman"/>
              </w:rPr>
              <w:t>生产废水</w:t>
            </w:r>
            <w:r>
              <w:rPr>
                <w:rFonts w:ascii="Times New Roman" w:hAnsi="Times New Roman" w:cs="Times New Roman"/>
              </w:rPr>
              <w:t>依托厂区现有</w:t>
            </w:r>
            <w:r>
              <w:rPr>
                <w:rFonts w:hint="eastAsia" w:ascii="Times New Roman" w:hAnsi="Times New Roman" w:cs="Times New Roman"/>
              </w:rPr>
              <w:t>生产废水池</w:t>
            </w:r>
            <w:r>
              <w:rPr>
                <w:rFonts w:ascii="Times New Roman" w:hAnsi="Times New Roman" w:cs="Times New Roman"/>
              </w:rPr>
              <w:t>收集后，生活污水依托</w:t>
            </w:r>
            <w:r>
              <w:rPr>
                <w:rFonts w:hint="eastAsia" w:ascii="Times New Roman" w:hAnsi="Times New Roman" w:cs="Times New Roman"/>
              </w:rPr>
              <w:t>现有</w:t>
            </w:r>
            <w:r>
              <w:rPr>
                <w:rFonts w:ascii="Times New Roman" w:hAnsi="Times New Roman" w:cs="Times New Roman"/>
              </w:rPr>
              <w:t>生化池处理后，经提升泵提升汇合后经同一外排口</w:t>
            </w:r>
            <w:r>
              <w:rPr>
                <w:rFonts w:hint="eastAsia" w:ascii="Times New Roman" w:hAnsi="Times New Roman" w:cs="Times New Roman"/>
              </w:rPr>
              <w:t>达</w:t>
            </w:r>
            <w:r>
              <w:rPr>
                <w:rFonts w:ascii="Times New Roman" w:hAnsi="Times New Roman" w:cs="Times New Roman"/>
              </w:rPr>
              <w:t>《污水综合排放标准》（GB8978－1996）三级标准后进入园区污水管网，最后排入</w:t>
            </w:r>
            <w:r>
              <w:rPr>
                <w:rFonts w:hint="eastAsia" w:ascii="Times New Roman" w:hAnsi="Times New Roman" w:cs="Times New Roman"/>
              </w:rPr>
              <w:t>潘家坝污水处理厂</w:t>
            </w:r>
            <w:r>
              <w:rPr>
                <w:rFonts w:ascii="Times New Roman" w:hAnsi="Times New Roman" w:cs="Times New Roman"/>
              </w:rPr>
              <w:t>集中处理达到《化工园区主要水污染物排放标准》（DB50/457-2012）中表1的规定。</w:t>
            </w:r>
            <w:r>
              <w:rPr>
                <w:rFonts w:ascii="Times New Roman" w:hAnsi="Times New Roman" w:cs="Times New Roman"/>
                <w:color w:val="auto"/>
                <w:szCs w:val="21"/>
              </w:rPr>
              <w:t>有关标准值见表</w:t>
            </w:r>
            <w:r>
              <w:rPr>
                <w:rFonts w:ascii="Times New Roman" w:hAnsi="Times New Roman" w:cs="Times New Roman"/>
                <w:bCs/>
                <w:color w:val="auto"/>
                <w:szCs w:val="21"/>
              </w:rPr>
              <w:t>3.5.2-1</w:t>
            </w:r>
            <w:r>
              <w:rPr>
                <w:rFonts w:ascii="Times New Roman" w:hAnsi="Times New Roman" w:cs="Times New Roman"/>
                <w:color w:val="auto"/>
                <w:szCs w:val="21"/>
              </w:rPr>
              <w:t>。</w:t>
            </w:r>
          </w:p>
          <w:p w14:paraId="332E47FD">
            <w:pPr>
              <w:spacing w:line="440" w:lineRule="exact"/>
              <w:jc w:val="center"/>
              <w:rPr>
                <w:rFonts w:ascii="Times New Roman" w:hAnsi="Times New Roman" w:cs="Times New Roman"/>
                <w:b/>
                <w:szCs w:val="21"/>
              </w:rPr>
            </w:pPr>
            <w:r>
              <w:rPr>
                <w:rFonts w:ascii="Times New Roman" w:hAnsi="Times New Roman" w:cs="Times New Roman"/>
                <w:b/>
                <w:szCs w:val="21"/>
              </w:rPr>
              <w:t>表</w:t>
            </w:r>
            <w:r>
              <w:rPr>
                <w:rFonts w:ascii="Times New Roman" w:hAnsi="Times New Roman" w:cs="Times New Roman"/>
                <w:b/>
                <w:kern w:val="0"/>
                <w:sz w:val="24"/>
                <w:szCs w:val="21"/>
              </w:rPr>
              <w:t>3.5.2-1</w:t>
            </w:r>
            <w:r>
              <w:rPr>
                <w:rFonts w:ascii="Times New Roman" w:hAnsi="Times New Roman" w:cs="Times New Roman"/>
                <w:b/>
                <w:szCs w:val="21"/>
              </w:rPr>
              <w:t xml:space="preserve">  废水污染物排放标准限值</w:t>
            </w:r>
            <w:r>
              <w:rPr>
                <w:rFonts w:ascii="Times New Roman" w:hAnsi="Times New Roman" w:cs="Times New Roman"/>
                <w:b/>
                <w:sz w:val="18"/>
                <w:szCs w:val="18"/>
              </w:rPr>
              <w:t xml:space="preserve">   单位：mg/L（pH除外）</w:t>
            </w:r>
          </w:p>
          <w:tbl>
            <w:tblPr>
              <w:tblStyle w:val="81"/>
              <w:tblW w:w="4931"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3"/>
              <w:gridCol w:w="2129"/>
              <w:gridCol w:w="1852"/>
              <w:gridCol w:w="2348"/>
              <w:gridCol w:w="1362"/>
            </w:tblGrid>
            <w:tr w14:paraId="603616B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369" w:type="pct"/>
                  <w:tcBorders>
                    <w:top w:val="single" w:color="auto" w:sz="4" w:space="0"/>
                    <w:left w:val="single" w:color="auto" w:sz="4" w:space="0"/>
                    <w:bottom w:val="single" w:color="auto" w:sz="4" w:space="0"/>
                  </w:tcBorders>
                  <w:vAlign w:val="center"/>
                </w:tcPr>
                <w:p w14:paraId="118C9113">
                  <w:pPr>
                    <w:spacing w:line="300" w:lineRule="exact"/>
                    <w:jc w:val="center"/>
                    <w:rPr>
                      <w:rFonts w:ascii="Times New Roman" w:hAnsi="Times New Roman" w:cs="Times New Roman"/>
                      <w:bCs/>
                      <w:szCs w:val="21"/>
                    </w:rPr>
                  </w:pPr>
                  <w:r>
                    <w:rPr>
                      <w:rFonts w:ascii="Times New Roman" w:hAnsi="Times New Roman" w:cs="Times New Roman"/>
                      <w:bCs/>
                      <w:szCs w:val="21"/>
                    </w:rPr>
                    <w:t>序号</w:t>
                  </w:r>
                </w:p>
              </w:tc>
              <w:tc>
                <w:tcPr>
                  <w:tcW w:w="1282" w:type="pct"/>
                  <w:tcBorders>
                    <w:top w:val="single" w:color="auto" w:sz="4" w:space="0"/>
                    <w:bottom w:val="single" w:color="auto" w:sz="4" w:space="0"/>
                  </w:tcBorders>
                  <w:vAlign w:val="center"/>
                </w:tcPr>
                <w:p w14:paraId="58A64969">
                  <w:pPr>
                    <w:spacing w:line="300" w:lineRule="exact"/>
                    <w:jc w:val="center"/>
                    <w:rPr>
                      <w:rFonts w:ascii="Times New Roman" w:hAnsi="Times New Roman" w:cs="Times New Roman"/>
                      <w:bCs/>
                      <w:szCs w:val="21"/>
                    </w:rPr>
                  </w:pPr>
                  <w:r>
                    <w:rPr>
                      <w:rFonts w:ascii="Times New Roman" w:hAnsi="Times New Roman" w:cs="Times New Roman"/>
                      <w:bCs/>
                      <w:szCs w:val="21"/>
                    </w:rPr>
                    <w:t>项目</w:t>
                  </w:r>
                </w:p>
              </w:tc>
              <w:tc>
                <w:tcPr>
                  <w:tcW w:w="1115" w:type="pct"/>
                  <w:tcBorders>
                    <w:top w:val="single" w:color="auto" w:sz="4" w:space="0"/>
                    <w:bottom w:val="single" w:color="auto" w:sz="4" w:space="0"/>
                  </w:tcBorders>
                  <w:vAlign w:val="center"/>
                </w:tcPr>
                <w:p w14:paraId="7E5B343B">
                  <w:pPr>
                    <w:spacing w:line="300" w:lineRule="exact"/>
                    <w:jc w:val="center"/>
                    <w:rPr>
                      <w:rFonts w:ascii="Times New Roman" w:hAnsi="Times New Roman" w:cs="Times New Roman"/>
                      <w:bCs/>
                      <w:szCs w:val="21"/>
                    </w:rPr>
                  </w:pPr>
                  <w:r>
                    <w:rPr>
                      <w:rFonts w:ascii="Times New Roman" w:hAnsi="Times New Roman" w:cs="Times New Roman"/>
                      <w:bCs/>
                      <w:szCs w:val="21"/>
                    </w:rPr>
                    <w:t>园区污水处理厂接管标准</w:t>
                  </w:r>
                </w:p>
              </w:tc>
              <w:tc>
                <w:tcPr>
                  <w:tcW w:w="1414" w:type="pct"/>
                  <w:tcBorders>
                    <w:top w:val="single" w:color="auto" w:sz="4" w:space="0"/>
                    <w:bottom w:val="single" w:color="auto" w:sz="4" w:space="0"/>
                  </w:tcBorders>
                  <w:vAlign w:val="center"/>
                </w:tcPr>
                <w:p w14:paraId="0BEFBBA4">
                  <w:pPr>
                    <w:spacing w:line="300" w:lineRule="exact"/>
                    <w:jc w:val="center"/>
                    <w:rPr>
                      <w:rFonts w:ascii="Times New Roman" w:hAnsi="Times New Roman" w:cs="Times New Roman"/>
                      <w:bCs/>
                      <w:szCs w:val="21"/>
                    </w:rPr>
                  </w:pPr>
                  <w:r>
                    <w:rPr>
                      <w:rFonts w:ascii="Times New Roman" w:hAnsi="Times New Roman" w:cs="Times New Roman"/>
                      <w:bCs/>
                      <w:szCs w:val="21"/>
                    </w:rPr>
                    <w:t>《化工园区主要水污染物排放标准》</w:t>
                  </w:r>
                </w:p>
              </w:tc>
              <w:tc>
                <w:tcPr>
                  <w:tcW w:w="820" w:type="pct"/>
                  <w:tcBorders>
                    <w:top w:val="single" w:color="auto" w:sz="4" w:space="0"/>
                    <w:bottom w:val="single" w:color="auto" w:sz="4" w:space="0"/>
                    <w:right w:val="single" w:color="auto" w:sz="4" w:space="0"/>
                  </w:tcBorders>
                  <w:vAlign w:val="center"/>
                </w:tcPr>
                <w:p w14:paraId="06FE2DF7">
                  <w:pPr>
                    <w:spacing w:line="300" w:lineRule="exact"/>
                    <w:jc w:val="center"/>
                    <w:rPr>
                      <w:rFonts w:ascii="Times New Roman" w:hAnsi="Times New Roman" w:cs="Times New Roman"/>
                      <w:bCs/>
                      <w:szCs w:val="21"/>
                    </w:rPr>
                  </w:pPr>
                  <w:r>
                    <w:rPr>
                      <w:rFonts w:ascii="Times New Roman" w:hAnsi="Times New Roman" w:cs="Times New Roman"/>
                      <w:bCs/>
                      <w:szCs w:val="21"/>
                    </w:rPr>
                    <w:t>备    注</w:t>
                  </w:r>
                </w:p>
              </w:tc>
            </w:tr>
            <w:tr w14:paraId="79DBFAD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369" w:type="pct"/>
                  <w:tcBorders>
                    <w:top w:val="single" w:color="auto" w:sz="4" w:space="0"/>
                    <w:left w:val="single" w:color="auto" w:sz="4" w:space="0"/>
                    <w:bottom w:val="single" w:color="auto" w:sz="4" w:space="0"/>
                  </w:tcBorders>
                  <w:vAlign w:val="center"/>
                </w:tcPr>
                <w:p w14:paraId="1612A7AD">
                  <w:pPr>
                    <w:spacing w:line="300" w:lineRule="exact"/>
                    <w:jc w:val="center"/>
                    <w:rPr>
                      <w:rFonts w:ascii="Times New Roman" w:hAnsi="Times New Roman" w:cs="Times New Roman"/>
                      <w:szCs w:val="21"/>
                    </w:rPr>
                  </w:pPr>
                  <w:r>
                    <w:rPr>
                      <w:rFonts w:ascii="Times New Roman" w:hAnsi="Times New Roman" w:cs="Times New Roman"/>
                      <w:szCs w:val="21"/>
                    </w:rPr>
                    <w:t>1</w:t>
                  </w:r>
                </w:p>
              </w:tc>
              <w:tc>
                <w:tcPr>
                  <w:tcW w:w="1282" w:type="pct"/>
                  <w:tcBorders>
                    <w:top w:val="single" w:color="auto" w:sz="4" w:space="0"/>
                    <w:bottom w:val="single" w:color="auto" w:sz="4" w:space="0"/>
                  </w:tcBorders>
                  <w:vAlign w:val="center"/>
                </w:tcPr>
                <w:p w14:paraId="64B763F9">
                  <w:pPr>
                    <w:spacing w:line="300" w:lineRule="exact"/>
                    <w:jc w:val="center"/>
                    <w:rPr>
                      <w:rFonts w:ascii="Times New Roman" w:hAnsi="Times New Roman" w:cs="Times New Roman"/>
                      <w:szCs w:val="21"/>
                    </w:rPr>
                  </w:pPr>
                  <w:r>
                    <w:rPr>
                      <w:rFonts w:ascii="Times New Roman" w:hAnsi="Times New Roman" w:cs="Times New Roman"/>
                      <w:szCs w:val="21"/>
                    </w:rPr>
                    <w:t>pH值</w:t>
                  </w:r>
                </w:p>
              </w:tc>
              <w:tc>
                <w:tcPr>
                  <w:tcW w:w="1115" w:type="pct"/>
                  <w:tcBorders>
                    <w:top w:val="single" w:color="auto" w:sz="4" w:space="0"/>
                    <w:bottom w:val="single" w:color="auto" w:sz="4" w:space="0"/>
                  </w:tcBorders>
                  <w:vAlign w:val="center"/>
                </w:tcPr>
                <w:p w14:paraId="6A833646">
                  <w:pPr>
                    <w:spacing w:line="300" w:lineRule="exact"/>
                    <w:jc w:val="center"/>
                    <w:rPr>
                      <w:rFonts w:ascii="Times New Roman" w:hAnsi="Times New Roman" w:cs="Times New Roman"/>
                      <w:szCs w:val="21"/>
                    </w:rPr>
                  </w:pPr>
                  <w:r>
                    <w:rPr>
                      <w:rFonts w:ascii="Times New Roman" w:hAnsi="Times New Roman" w:cs="Times New Roman"/>
                      <w:szCs w:val="21"/>
                    </w:rPr>
                    <w:t>6～9</w:t>
                  </w:r>
                </w:p>
              </w:tc>
              <w:tc>
                <w:tcPr>
                  <w:tcW w:w="1414" w:type="pct"/>
                  <w:tcBorders>
                    <w:top w:val="single" w:color="auto" w:sz="4" w:space="0"/>
                    <w:bottom w:val="single" w:color="auto" w:sz="4" w:space="0"/>
                  </w:tcBorders>
                  <w:vAlign w:val="center"/>
                </w:tcPr>
                <w:p w14:paraId="46C60E12">
                  <w:pPr>
                    <w:spacing w:line="300" w:lineRule="exact"/>
                    <w:jc w:val="center"/>
                    <w:rPr>
                      <w:rFonts w:ascii="Times New Roman" w:hAnsi="Times New Roman" w:cs="Times New Roman"/>
                      <w:szCs w:val="21"/>
                    </w:rPr>
                  </w:pPr>
                  <w:r>
                    <w:rPr>
                      <w:rFonts w:ascii="Times New Roman" w:hAnsi="Times New Roman" w:cs="Times New Roman"/>
                      <w:szCs w:val="21"/>
                    </w:rPr>
                    <w:t>/</w:t>
                  </w:r>
                </w:p>
              </w:tc>
              <w:tc>
                <w:tcPr>
                  <w:tcW w:w="820" w:type="pct"/>
                  <w:vMerge w:val="restart"/>
                  <w:tcBorders>
                    <w:top w:val="single" w:color="auto" w:sz="4" w:space="0"/>
                    <w:right w:val="single" w:color="auto" w:sz="4" w:space="0"/>
                  </w:tcBorders>
                  <w:vAlign w:val="center"/>
                </w:tcPr>
                <w:p w14:paraId="37169EEF">
                  <w:pPr>
                    <w:spacing w:line="300" w:lineRule="exact"/>
                    <w:jc w:val="center"/>
                    <w:rPr>
                      <w:rFonts w:ascii="Times New Roman" w:hAnsi="Times New Roman" w:cs="Times New Roman"/>
                      <w:szCs w:val="21"/>
                    </w:rPr>
                  </w:pPr>
                  <w:r>
                    <w:rPr>
                      <w:rFonts w:ascii="Times New Roman" w:hAnsi="Times New Roman" w:cs="Times New Roman"/>
                      <w:szCs w:val="21"/>
                    </w:rPr>
                    <w:t>本评价按</w:t>
                  </w:r>
                  <w:r>
                    <w:rPr>
                      <w:rFonts w:ascii="Times New Roman" w:hAnsi="Times New Roman" w:cs="Times New Roman"/>
                      <w:bCs/>
                      <w:szCs w:val="21"/>
                    </w:rPr>
                    <w:t>园区污水处理厂出水水质</w:t>
                  </w:r>
                  <w:r>
                    <w:rPr>
                      <w:rFonts w:ascii="Times New Roman" w:hAnsi="Times New Roman" w:cs="Times New Roman"/>
                      <w:szCs w:val="21"/>
                    </w:rPr>
                    <w:t>核算污染物排放量</w:t>
                  </w:r>
                </w:p>
              </w:tc>
            </w:tr>
            <w:tr w14:paraId="1E37334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369" w:type="pct"/>
                  <w:tcBorders>
                    <w:top w:val="single" w:color="auto" w:sz="4" w:space="0"/>
                    <w:left w:val="single" w:color="auto" w:sz="4" w:space="0"/>
                    <w:bottom w:val="single" w:color="auto" w:sz="4" w:space="0"/>
                  </w:tcBorders>
                  <w:vAlign w:val="center"/>
                </w:tcPr>
                <w:p w14:paraId="0733A111">
                  <w:pPr>
                    <w:spacing w:line="300" w:lineRule="exact"/>
                    <w:jc w:val="center"/>
                    <w:rPr>
                      <w:rFonts w:ascii="Times New Roman" w:hAnsi="Times New Roman" w:cs="Times New Roman"/>
                      <w:szCs w:val="21"/>
                    </w:rPr>
                  </w:pPr>
                  <w:r>
                    <w:rPr>
                      <w:rFonts w:ascii="Times New Roman" w:hAnsi="Times New Roman" w:cs="Times New Roman"/>
                      <w:szCs w:val="21"/>
                    </w:rPr>
                    <w:t>2</w:t>
                  </w:r>
                </w:p>
              </w:tc>
              <w:tc>
                <w:tcPr>
                  <w:tcW w:w="1282" w:type="pct"/>
                  <w:tcBorders>
                    <w:top w:val="single" w:color="auto" w:sz="4" w:space="0"/>
                    <w:bottom w:val="single" w:color="auto" w:sz="4" w:space="0"/>
                  </w:tcBorders>
                  <w:vAlign w:val="center"/>
                </w:tcPr>
                <w:p w14:paraId="62B6C63E">
                  <w:pPr>
                    <w:spacing w:line="300" w:lineRule="exact"/>
                    <w:jc w:val="center"/>
                    <w:rPr>
                      <w:rFonts w:ascii="Times New Roman" w:hAnsi="Times New Roman" w:cs="Times New Roman"/>
                      <w:szCs w:val="21"/>
                    </w:rPr>
                  </w:pPr>
                  <w:r>
                    <w:rPr>
                      <w:rFonts w:ascii="Times New Roman" w:hAnsi="Times New Roman" w:cs="Times New Roman"/>
                      <w:szCs w:val="21"/>
                    </w:rPr>
                    <w:t>色 度</w:t>
                  </w:r>
                </w:p>
              </w:tc>
              <w:tc>
                <w:tcPr>
                  <w:tcW w:w="1115" w:type="pct"/>
                  <w:tcBorders>
                    <w:top w:val="single" w:color="auto" w:sz="4" w:space="0"/>
                    <w:bottom w:val="single" w:color="auto" w:sz="4" w:space="0"/>
                  </w:tcBorders>
                  <w:vAlign w:val="center"/>
                </w:tcPr>
                <w:p w14:paraId="18E013CA">
                  <w:pPr>
                    <w:spacing w:line="300" w:lineRule="exact"/>
                    <w:jc w:val="center"/>
                    <w:rPr>
                      <w:rFonts w:ascii="Times New Roman" w:hAnsi="Times New Roman" w:cs="Times New Roman"/>
                      <w:szCs w:val="21"/>
                    </w:rPr>
                  </w:pPr>
                  <w:r>
                    <w:rPr>
                      <w:rFonts w:ascii="Times New Roman" w:hAnsi="Times New Roman" w:cs="Times New Roman"/>
                      <w:szCs w:val="21"/>
                    </w:rPr>
                    <w:t>/</w:t>
                  </w:r>
                </w:p>
              </w:tc>
              <w:tc>
                <w:tcPr>
                  <w:tcW w:w="1414" w:type="pct"/>
                  <w:tcBorders>
                    <w:top w:val="single" w:color="auto" w:sz="4" w:space="0"/>
                    <w:bottom w:val="single" w:color="auto" w:sz="4" w:space="0"/>
                  </w:tcBorders>
                  <w:vAlign w:val="center"/>
                </w:tcPr>
                <w:p w14:paraId="6763E8FF">
                  <w:pPr>
                    <w:spacing w:line="300" w:lineRule="exact"/>
                    <w:jc w:val="center"/>
                    <w:rPr>
                      <w:rFonts w:ascii="Times New Roman" w:hAnsi="Times New Roman" w:cs="Times New Roman"/>
                      <w:szCs w:val="21"/>
                    </w:rPr>
                  </w:pPr>
                  <w:r>
                    <w:rPr>
                      <w:rFonts w:ascii="Times New Roman" w:hAnsi="Times New Roman" w:cs="Times New Roman"/>
                      <w:szCs w:val="21"/>
                    </w:rPr>
                    <w:t>/</w:t>
                  </w:r>
                </w:p>
              </w:tc>
              <w:tc>
                <w:tcPr>
                  <w:tcW w:w="820" w:type="pct"/>
                  <w:vMerge w:val="continue"/>
                  <w:tcBorders>
                    <w:right w:val="single" w:color="auto" w:sz="4" w:space="0"/>
                  </w:tcBorders>
                  <w:vAlign w:val="center"/>
                </w:tcPr>
                <w:p w14:paraId="7EEE7CD0">
                  <w:pPr>
                    <w:spacing w:line="300" w:lineRule="exact"/>
                    <w:jc w:val="center"/>
                    <w:rPr>
                      <w:rFonts w:ascii="Times New Roman" w:hAnsi="Times New Roman" w:cs="Times New Roman"/>
                      <w:szCs w:val="21"/>
                    </w:rPr>
                  </w:pPr>
                </w:p>
              </w:tc>
            </w:tr>
            <w:tr w14:paraId="14E3F4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369" w:type="pct"/>
                  <w:tcBorders>
                    <w:top w:val="single" w:color="auto" w:sz="4" w:space="0"/>
                    <w:left w:val="single" w:color="auto" w:sz="4" w:space="0"/>
                    <w:bottom w:val="single" w:color="auto" w:sz="4" w:space="0"/>
                  </w:tcBorders>
                  <w:vAlign w:val="center"/>
                </w:tcPr>
                <w:p w14:paraId="46B6B3B6">
                  <w:pPr>
                    <w:pStyle w:val="636"/>
                    <w:spacing w:line="300" w:lineRule="exact"/>
                    <w:rPr>
                      <w:rFonts w:ascii="Times New Roman" w:hAnsi="Times New Roman" w:cs="Times New Roman"/>
                      <w:szCs w:val="21"/>
                    </w:rPr>
                  </w:pPr>
                  <w:r>
                    <w:rPr>
                      <w:rFonts w:ascii="Times New Roman" w:hAnsi="Times New Roman" w:cs="Times New Roman"/>
                      <w:szCs w:val="21"/>
                    </w:rPr>
                    <w:t>3</w:t>
                  </w:r>
                </w:p>
              </w:tc>
              <w:tc>
                <w:tcPr>
                  <w:tcW w:w="1282" w:type="pct"/>
                  <w:tcBorders>
                    <w:top w:val="single" w:color="auto" w:sz="4" w:space="0"/>
                    <w:bottom w:val="single" w:color="auto" w:sz="4" w:space="0"/>
                  </w:tcBorders>
                  <w:vAlign w:val="center"/>
                </w:tcPr>
                <w:p w14:paraId="6A191831">
                  <w:pPr>
                    <w:pStyle w:val="636"/>
                    <w:spacing w:line="300" w:lineRule="exact"/>
                    <w:rPr>
                      <w:rFonts w:ascii="Times New Roman" w:hAnsi="Times New Roman" w:cs="Times New Roman"/>
                      <w:szCs w:val="21"/>
                    </w:rPr>
                  </w:pPr>
                  <w:r>
                    <w:rPr>
                      <w:rFonts w:ascii="Times New Roman" w:hAnsi="Times New Roman" w:cs="Times New Roman"/>
                      <w:szCs w:val="21"/>
                    </w:rPr>
                    <w:t>COD</w:t>
                  </w:r>
                </w:p>
              </w:tc>
              <w:tc>
                <w:tcPr>
                  <w:tcW w:w="1115" w:type="pct"/>
                  <w:tcBorders>
                    <w:top w:val="single" w:color="auto" w:sz="4" w:space="0"/>
                    <w:bottom w:val="single" w:color="auto" w:sz="4" w:space="0"/>
                  </w:tcBorders>
                  <w:vAlign w:val="center"/>
                </w:tcPr>
                <w:p w14:paraId="5FC21027">
                  <w:pPr>
                    <w:spacing w:line="300" w:lineRule="exact"/>
                    <w:jc w:val="center"/>
                    <w:rPr>
                      <w:rFonts w:ascii="Times New Roman" w:hAnsi="Times New Roman" w:cs="Times New Roman"/>
                      <w:szCs w:val="21"/>
                    </w:rPr>
                  </w:pPr>
                  <w:r>
                    <w:rPr>
                      <w:rFonts w:ascii="Times New Roman" w:hAnsi="Times New Roman" w:cs="Times New Roman"/>
                      <w:szCs w:val="21"/>
                    </w:rPr>
                    <w:t>500</w:t>
                  </w:r>
                </w:p>
              </w:tc>
              <w:tc>
                <w:tcPr>
                  <w:tcW w:w="1414" w:type="pct"/>
                  <w:tcBorders>
                    <w:top w:val="single" w:color="auto" w:sz="4" w:space="0"/>
                    <w:bottom w:val="single" w:color="auto" w:sz="4" w:space="0"/>
                  </w:tcBorders>
                  <w:vAlign w:val="center"/>
                </w:tcPr>
                <w:p w14:paraId="32F287C7">
                  <w:pPr>
                    <w:spacing w:line="300" w:lineRule="exact"/>
                    <w:jc w:val="center"/>
                    <w:rPr>
                      <w:rFonts w:ascii="Times New Roman" w:hAnsi="Times New Roman" w:cs="Times New Roman"/>
                      <w:szCs w:val="21"/>
                    </w:rPr>
                  </w:pPr>
                  <w:r>
                    <w:rPr>
                      <w:rFonts w:ascii="Times New Roman" w:hAnsi="Times New Roman" w:cs="Times New Roman"/>
                      <w:szCs w:val="21"/>
                    </w:rPr>
                    <w:t>80</w:t>
                  </w:r>
                </w:p>
              </w:tc>
              <w:tc>
                <w:tcPr>
                  <w:tcW w:w="820" w:type="pct"/>
                  <w:vMerge w:val="continue"/>
                  <w:tcBorders>
                    <w:right w:val="single" w:color="auto" w:sz="4" w:space="0"/>
                  </w:tcBorders>
                  <w:vAlign w:val="center"/>
                </w:tcPr>
                <w:p w14:paraId="1D4FAE71">
                  <w:pPr>
                    <w:spacing w:line="300" w:lineRule="exact"/>
                    <w:jc w:val="center"/>
                    <w:rPr>
                      <w:rFonts w:ascii="Times New Roman" w:hAnsi="Times New Roman" w:cs="Times New Roman"/>
                      <w:szCs w:val="21"/>
                    </w:rPr>
                  </w:pPr>
                </w:p>
              </w:tc>
            </w:tr>
            <w:tr w14:paraId="5AE3561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369" w:type="pct"/>
                  <w:tcBorders>
                    <w:top w:val="single" w:color="auto" w:sz="4" w:space="0"/>
                    <w:left w:val="single" w:color="auto" w:sz="4" w:space="0"/>
                    <w:bottom w:val="single" w:color="auto" w:sz="4" w:space="0"/>
                  </w:tcBorders>
                  <w:vAlign w:val="center"/>
                </w:tcPr>
                <w:p w14:paraId="08157542">
                  <w:pPr>
                    <w:pStyle w:val="636"/>
                    <w:spacing w:line="300" w:lineRule="exact"/>
                    <w:rPr>
                      <w:rFonts w:ascii="Times New Roman" w:hAnsi="Times New Roman" w:cs="Times New Roman"/>
                      <w:szCs w:val="21"/>
                    </w:rPr>
                  </w:pPr>
                  <w:r>
                    <w:rPr>
                      <w:rFonts w:ascii="Times New Roman" w:hAnsi="Times New Roman" w:cs="Times New Roman"/>
                      <w:szCs w:val="21"/>
                    </w:rPr>
                    <w:t>4</w:t>
                  </w:r>
                </w:p>
              </w:tc>
              <w:tc>
                <w:tcPr>
                  <w:tcW w:w="1282" w:type="pct"/>
                  <w:tcBorders>
                    <w:top w:val="single" w:color="auto" w:sz="4" w:space="0"/>
                    <w:bottom w:val="single" w:color="auto" w:sz="4" w:space="0"/>
                  </w:tcBorders>
                  <w:vAlign w:val="center"/>
                </w:tcPr>
                <w:p w14:paraId="3A4007BE">
                  <w:pPr>
                    <w:pStyle w:val="636"/>
                    <w:spacing w:line="300" w:lineRule="exact"/>
                    <w:rPr>
                      <w:rFonts w:ascii="Times New Roman" w:hAnsi="Times New Roman" w:cs="Times New Roman"/>
                      <w:szCs w:val="21"/>
                    </w:rPr>
                  </w:pPr>
                  <w:r>
                    <w:rPr>
                      <w:rFonts w:ascii="Times New Roman" w:hAnsi="Times New Roman" w:cs="Times New Roman"/>
                      <w:szCs w:val="21"/>
                    </w:rPr>
                    <w:t>BOD</w:t>
                  </w:r>
                  <w:r>
                    <w:rPr>
                      <w:rFonts w:ascii="Times New Roman" w:hAnsi="Times New Roman" w:cs="Times New Roman"/>
                      <w:szCs w:val="21"/>
                      <w:vertAlign w:val="subscript"/>
                    </w:rPr>
                    <w:t>5</w:t>
                  </w:r>
                </w:p>
              </w:tc>
              <w:tc>
                <w:tcPr>
                  <w:tcW w:w="1115" w:type="pct"/>
                  <w:tcBorders>
                    <w:top w:val="single" w:color="auto" w:sz="4" w:space="0"/>
                    <w:bottom w:val="single" w:color="auto" w:sz="4" w:space="0"/>
                  </w:tcBorders>
                  <w:vAlign w:val="center"/>
                </w:tcPr>
                <w:p w14:paraId="4575E8A7">
                  <w:pPr>
                    <w:spacing w:line="300" w:lineRule="exact"/>
                    <w:jc w:val="center"/>
                    <w:rPr>
                      <w:rFonts w:ascii="Times New Roman" w:hAnsi="Times New Roman" w:cs="Times New Roman"/>
                      <w:szCs w:val="21"/>
                    </w:rPr>
                  </w:pPr>
                  <w:r>
                    <w:rPr>
                      <w:rFonts w:ascii="Times New Roman" w:hAnsi="Times New Roman" w:cs="Times New Roman"/>
                      <w:szCs w:val="21"/>
                    </w:rPr>
                    <w:t>300</w:t>
                  </w:r>
                </w:p>
              </w:tc>
              <w:tc>
                <w:tcPr>
                  <w:tcW w:w="1414" w:type="pct"/>
                  <w:tcBorders>
                    <w:top w:val="single" w:color="auto" w:sz="4" w:space="0"/>
                    <w:bottom w:val="single" w:color="auto" w:sz="4" w:space="0"/>
                  </w:tcBorders>
                  <w:vAlign w:val="center"/>
                </w:tcPr>
                <w:p w14:paraId="576B2655">
                  <w:pPr>
                    <w:spacing w:line="300" w:lineRule="exact"/>
                    <w:jc w:val="center"/>
                    <w:rPr>
                      <w:rFonts w:ascii="Times New Roman" w:hAnsi="Times New Roman" w:cs="Times New Roman"/>
                      <w:szCs w:val="21"/>
                    </w:rPr>
                  </w:pPr>
                  <w:r>
                    <w:rPr>
                      <w:rFonts w:ascii="Times New Roman" w:hAnsi="Times New Roman" w:cs="Times New Roman"/>
                      <w:szCs w:val="21"/>
                    </w:rPr>
                    <w:t>20</w:t>
                  </w:r>
                </w:p>
              </w:tc>
              <w:tc>
                <w:tcPr>
                  <w:tcW w:w="820" w:type="pct"/>
                  <w:vMerge w:val="continue"/>
                  <w:tcBorders>
                    <w:right w:val="single" w:color="auto" w:sz="4" w:space="0"/>
                  </w:tcBorders>
                  <w:vAlign w:val="center"/>
                </w:tcPr>
                <w:p w14:paraId="44AA78A6">
                  <w:pPr>
                    <w:spacing w:line="300" w:lineRule="exact"/>
                    <w:jc w:val="center"/>
                    <w:rPr>
                      <w:rFonts w:ascii="Times New Roman" w:hAnsi="Times New Roman" w:cs="Times New Roman"/>
                      <w:szCs w:val="21"/>
                    </w:rPr>
                  </w:pPr>
                </w:p>
              </w:tc>
            </w:tr>
            <w:tr w14:paraId="6348E61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369" w:type="pct"/>
                  <w:tcBorders>
                    <w:top w:val="single" w:color="auto" w:sz="4" w:space="0"/>
                    <w:left w:val="single" w:color="auto" w:sz="4" w:space="0"/>
                    <w:bottom w:val="single" w:color="auto" w:sz="4" w:space="0"/>
                  </w:tcBorders>
                  <w:vAlign w:val="center"/>
                </w:tcPr>
                <w:p w14:paraId="5E6B8042">
                  <w:pPr>
                    <w:spacing w:line="300" w:lineRule="exact"/>
                    <w:jc w:val="center"/>
                    <w:rPr>
                      <w:rFonts w:ascii="Times New Roman" w:hAnsi="Times New Roman" w:cs="Times New Roman"/>
                      <w:szCs w:val="21"/>
                    </w:rPr>
                  </w:pPr>
                  <w:r>
                    <w:rPr>
                      <w:rFonts w:ascii="Times New Roman" w:hAnsi="Times New Roman" w:cs="Times New Roman"/>
                      <w:szCs w:val="21"/>
                    </w:rPr>
                    <w:t>5</w:t>
                  </w:r>
                </w:p>
              </w:tc>
              <w:tc>
                <w:tcPr>
                  <w:tcW w:w="1282" w:type="pct"/>
                  <w:tcBorders>
                    <w:top w:val="single" w:color="auto" w:sz="4" w:space="0"/>
                    <w:bottom w:val="single" w:color="auto" w:sz="4" w:space="0"/>
                  </w:tcBorders>
                  <w:vAlign w:val="center"/>
                </w:tcPr>
                <w:p w14:paraId="5D244921">
                  <w:pPr>
                    <w:spacing w:line="300" w:lineRule="exact"/>
                    <w:jc w:val="center"/>
                    <w:rPr>
                      <w:rFonts w:ascii="Times New Roman" w:hAnsi="Times New Roman" w:cs="Times New Roman"/>
                      <w:szCs w:val="21"/>
                    </w:rPr>
                  </w:pPr>
                  <w:r>
                    <w:rPr>
                      <w:rFonts w:ascii="Times New Roman" w:hAnsi="Times New Roman" w:cs="Times New Roman"/>
                      <w:szCs w:val="21"/>
                    </w:rPr>
                    <w:t>SS</w:t>
                  </w:r>
                </w:p>
              </w:tc>
              <w:tc>
                <w:tcPr>
                  <w:tcW w:w="1115" w:type="pct"/>
                  <w:tcBorders>
                    <w:top w:val="single" w:color="auto" w:sz="4" w:space="0"/>
                    <w:bottom w:val="single" w:color="auto" w:sz="4" w:space="0"/>
                  </w:tcBorders>
                  <w:vAlign w:val="center"/>
                </w:tcPr>
                <w:p w14:paraId="54165912">
                  <w:pPr>
                    <w:spacing w:line="300" w:lineRule="exact"/>
                    <w:jc w:val="center"/>
                    <w:rPr>
                      <w:rFonts w:ascii="Times New Roman" w:hAnsi="Times New Roman" w:cs="Times New Roman"/>
                      <w:szCs w:val="21"/>
                    </w:rPr>
                  </w:pPr>
                  <w:r>
                    <w:rPr>
                      <w:rFonts w:ascii="Times New Roman" w:hAnsi="Times New Roman" w:cs="Times New Roman"/>
                      <w:szCs w:val="21"/>
                    </w:rPr>
                    <w:t>400</w:t>
                  </w:r>
                </w:p>
              </w:tc>
              <w:tc>
                <w:tcPr>
                  <w:tcW w:w="1414" w:type="pct"/>
                  <w:tcBorders>
                    <w:top w:val="single" w:color="auto" w:sz="4" w:space="0"/>
                    <w:bottom w:val="single" w:color="auto" w:sz="4" w:space="0"/>
                  </w:tcBorders>
                  <w:vAlign w:val="center"/>
                </w:tcPr>
                <w:p w14:paraId="7863D875">
                  <w:pPr>
                    <w:spacing w:line="300" w:lineRule="exact"/>
                    <w:jc w:val="center"/>
                    <w:rPr>
                      <w:rFonts w:ascii="Times New Roman" w:hAnsi="Times New Roman" w:cs="Times New Roman"/>
                      <w:szCs w:val="21"/>
                    </w:rPr>
                  </w:pPr>
                  <w:r>
                    <w:rPr>
                      <w:rFonts w:ascii="Times New Roman" w:hAnsi="Times New Roman" w:cs="Times New Roman"/>
                      <w:szCs w:val="21"/>
                    </w:rPr>
                    <w:t>70</w:t>
                  </w:r>
                  <w:r>
                    <w:rPr>
                      <w:rFonts w:ascii="Times New Roman" w:hAnsi="Times New Roman" w:cs="Times New Roman"/>
                      <w:szCs w:val="21"/>
                      <w:vertAlign w:val="superscript"/>
                    </w:rPr>
                    <w:t>#</w:t>
                  </w:r>
                </w:p>
              </w:tc>
              <w:tc>
                <w:tcPr>
                  <w:tcW w:w="820" w:type="pct"/>
                  <w:vMerge w:val="continue"/>
                  <w:tcBorders>
                    <w:right w:val="single" w:color="auto" w:sz="4" w:space="0"/>
                  </w:tcBorders>
                  <w:vAlign w:val="center"/>
                </w:tcPr>
                <w:p w14:paraId="2974074D">
                  <w:pPr>
                    <w:spacing w:line="300" w:lineRule="exact"/>
                    <w:jc w:val="center"/>
                    <w:rPr>
                      <w:rFonts w:ascii="Times New Roman" w:hAnsi="Times New Roman" w:cs="Times New Roman"/>
                      <w:szCs w:val="21"/>
                    </w:rPr>
                  </w:pPr>
                </w:p>
              </w:tc>
            </w:tr>
            <w:tr w14:paraId="2FF098D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369" w:type="pct"/>
                  <w:tcBorders>
                    <w:top w:val="single" w:color="auto" w:sz="4" w:space="0"/>
                    <w:left w:val="single" w:color="auto" w:sz="4" w:space="0"/>
                    <w:bottom w:val="single" w:color="auto" w:sz="4" w:space="0"/>
                  </w:tcBorders>
                  <w:vAlign w:val="center"/>
                </w:tcPr>
                <w:p w14:paraId="7EB1023C">
                  <w:pPr>
                    <w:spacing w:line="300" w:lineRule="exact"/>
                    <w:jc w:val="center"/>
                    <w:rPr>
                      <w:rFonts w:ascii="Times New Roman" w:hAnsi="Times New Roman" w:cs="Times New Roman"/>
                      <w:szCs w:val="21"/>
                    </w:rPr>
                  </w:pPr>
                  <w:r>
                    <w:rPr>
                      <w:rFonts w:ascii="Times New Roman" w:hAnsi="Times New Roman" w:cs="Times New Roman"/>
                      <w:szCs w:val="21"/>
                    </w:rPr>
                    <w:t>6</w:t>
                  </w:r>
                </w:p>
              </w:tc>
              <w:tc>
                <w:tcPr>
                  <w:tcW w:w="1282" w:type="pct"/>
                  <w:tcBorders>
                    <w:top w:val="single" w:color="auto" w:sz="4" w:space="0"/>
                    <w:bottom w:val="single" w:color="auto" w:sz="4" w:space="0"/>
                  </w:tcBorders>
                  <w:vAlign w:val="center"/>
                </w:tcPr>
                <w:p w14:paraId="67AFA2DE">
                  <w:pPr>
                    <w:pStyle w:val="636"/>
                    <w:spacing w:line="300" w:lineRule="exact"/>
                    <w:rPr>
                      <w:rFonts w:ascii="Times New Roman" w:hAnsi="Times New Roman" w:cs="Times New Roman"/>
                      <w:szCs w:val="21"/>
                    </w:rPr>
                  </w:pPr>
                  <w:r>
                    <w:rPr>
                      <w:rFonts w:ascii="Times New Roman" w:hAnsi="Times New Roman" w:cs="Times New Roman"/>
                      <w:szCs w:val="21"/>
                    </w:rPr>
                    <w:t>NH</w:t>
                  </w:r>
                  <w:r>
                    <w:rPr>
                      <w:rFonts w:ascii="Times New Roman" w:hAnsi="Times New Roman" w:cs="Times New Roman"/>
                      <w:szCs w:val="21"/>
                      <w:vertAlign w:val="subscript"/>
                    </w:rPr>
                    <w:t>3</w:t>
                  </w:r>
                  <w:r>
                    <w:rPr>
                      <w:rFonts w:ascii="Times New Roman" w:hAnsi="Times New Roman" w:cs="Times New Roman"/>
                      <w:szCs w:val="21"/>
                    </w:rPr>
                    <w:t>-N</w:t>
                  </w:r>
                </w:p>
              </w:tc>
              <w:tc>
                <w:tcPr>
                  <w:tcW w:w="1115" w:type="pct"/>
                  <w:tcBorders>
                    <w:top w:val="single" w:color="auto" w:sz="4" w:space="0"/>
                    <w:bottom w:val="single" w:color="auto" w:sz="4" w:space="0"/>
                  </w:tcBorders>
                  <w:vAlign w:val="center"/>
                </w:tcPr>
                <w:p w14:paraId="58080E37">
                  <w:pPr>
                    <w:spacing w:line="300" w:lineRule="exact"/>
                    <w:jc w:val="center"/>
                    <w:rPr>
                      <w:rFonts w:ascii="Times New Roman" w:hAnsi="Times New Roman" w:cs="Times New Roman"/>
                      <w:szCs w:val="21"/>
                    </w:rPr>
                  </w:pPr>
                  <w:r>
                    <w:rPr>
                      <w:rFonts w:ascii="Times New Roman" w:hAnsi="Times New Roman" w:cs="Times New Roman"/>
                      <w:szCs w:val="21"/>
                    </w:rPr>
                    <w:t>45*</w:t>
                  </w:r>
                </w:p>
              </w:tc>
              <w:tc>
                <w:tcPr>
                  <w:tcW w:w="1414" w:type="pct"/>
                  <w:tcBorders>
                    <w:top w:val="single" w:color="auto" w:sz="4" w:space="0"/>
                    <w:bottom w:val="single" w:color="auto" w:sz="4" w:space="0"/>
                  </w:tcBorders>
                  <w:vAlign w:val="center"/>
                </w:tcPr>
                <w:p w14:paraId="48163F94">
                  <w:pPr>
                    <w:spacing w:line="300" w:lineRule="exact"/>
                    <w:jc w:val="center"/>
                    <w:rPr>
                      <w:rFonts w:ascii="Times New Roman" w:hAnsi="Times New Roman" w:cs="Times New Roman"/>
                      <w:szCs w:val="21"/>
                    </w:rPr>
                  </w:pPr>
                  <w:r>
                    <w:rPr>
                      <w:rFonts w:ascii="Times New Roman" w:hAnsi="Times New Roman" w:cs="Times New Roman"/>
                      <w:szCs w:val="21"/>
                    </w:rPr>
                    <w:t>10</w:t>
                  </w:r>
                </w:p>
              </w:tc>
              <w:tc>
                <w:tcPr>
                  <w:tcW w:w="820" w:type="pct"/>
                  <w:vMerge w:val="continue"/>
                  <w:tcBorders>
                    <w:right w:val="single" w:color="auto" w:sz="4" w:space="0"/>
                  </w:tcBorders>
                  <w:vAlign w:val="center"/>
                </w:tcPr>
                <w:p w14:paraId="1891E450">
                  <w:pPr>
                    <w:spacing w:line="300" w:lineRule="exact"/>
                    <w:jc w:val="center"/>
                    <w:rPr>
                      <w:rFonts w:ascii="Times New Roman" w:hAnsi="Times New Roman" w:cs="Times New Roman"/>
                      <w:szCs w:val="21"/>
                    </w:rPr>
                  </w:pPr>
                </w:p>
              </w:tc>
            </w:tr>
            <w:tr w14:paraId="64A9839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369" w:type="pct"/>
                  <w:tcBorders>
                    <w:top w:val="single" w:color="auto" w:sz="4" w:space="0"/>
                    <w:left w:val="single" w:color="auto" w:sz="4" w:space="0"/>
                    <w:bottom w:val="single" w:color="auto" w:sz="4" w:space="0"/>
                  </w:tcBorders>
                  <w:vAlign w:val="center"/>
                </w:tcPr>
                <w:p w14:paraId="3C2470C2">
                  <w:pPr>
                    <w:pStyle w:val="636"/>
                    <w:spacing w:line="300" w:lineRule="exact"/>
                    <w:rPr>
                      <w:rFonts w:ascii="Times New Roman" w:hAnsi="Times New Roman" w:cs="Times New Roman"/>
                      <w:szCs w:val="21"/>
                    </w:rPr>
                  </w:pPr>
                  <w:r>
                    <w:rPr>
                      <w:rFonts w:ascii="Times New Roman" w:hAnsi="Times New Roman" w:cs="Times New Roman"/>
                      <w:szCs w:val="21"/>
                    </w:rPr>
                    <w:t>7</w:t>
                  </w:r>
                </w:p>
              </w:tc>
              <w:tc>
                <w:tcPr>
                  <w:tcW w:w="1282" w:type="pct"/>
                  <w:tcBorders>
                    <w:top w:val="single" w:color="auto" w:sz="4" w:space="0"/>
                    <w:bottom w:val="single" w:color="auto" w:sz="4" w:space="0"/>
                  </w:tcBorders>
                  <w:vAlign w:val="center"/>
                </w:tcPr>
                <w:p w14:paraId="5D069798">
                  <w:pPr>
                    <w:pStyle w:val="636"/>
                    <w:spacing w:line="300" w:lineRule="exact"/>
                    <w:rPr>
                      <w:rFonts w:ascii="Times New Roman" w:hAnsi="Times New Roman" w:cs="Times New Roman"/>
                      <w:szCs w:val="21"/>
                    </w:rPr>
                  </w:pPr>
                  <w:r>
                    <w:rPr>
                      <w:rFonts w:ascii="Times New Roman" w:hAnsi="Times New Roman" w:cs="Times New Roman"/>
                      <w:szCs w:val="21"/>
                    </w:rPr>
                    <w:t>总氮（以N计）</w:t>
                  </w:r>
                </w:p>
              </w:tc>
              <w:tc>
                <w:tcPr>
                  <w:tcW w:w="1115" w:type="pct"/>
                  <w:tcBorders>
                    <w:top w:val="single" w:color="auto" w:sz="4" w:space="0"/>
                    <w:bottom w:val="single" w:color="auto" w:sz="4" w:space="0"/>
                  </w:tcBorders>
                  <w:vAlign w:val="center"/>
                </w:tcPr>
                <w:p w14:paraId="60F2893E">
                  <w:pPr>
                    <w:spacing w:line="300" w:lineRule="exact"/>
                    <w:jc w:val="center"/>
                    <w:rPr>
                      <w:rFonts w:ascii="Times New Roman" w:hAnsi="Times New Roman" w:cs="Times New Roman"/>
                      <w:szCs w:val="21"/>
                    </w:rPr>
                  </w:pPr>
                  <w:r>
                    <w:rPr>
                      <w:rFonts w:ascii="Times New Roman" w:hAnsi="Times New Roman" w:cs="Times New Roman"/>
                      <w:szCs w:val="21"/>
                    </w:rPr>
                    <w:t>70</w:t>
                  </w:r>
                  <w:r>
                    <w:rPr>
                      <w:rFonts w:ascii="Times New Roman" w:hAnsi="Times New Roman" w:cs="Times New Roman"/>
                      <w:szCs w:val="21"/>
                      <w:vertAlign w:val="superscript"/>
                    </w:rPr>
                    <w:t>*</w:t>
                  </w:r>
                </w:p>
              </w:tc>
              <w:tc>
                <w:tcPr>
                  <w:tcW w:w="1414" w:type="pct"/>
                  <w:tcBorders>
                    <w:top w:val="single" w:color="auto" w:sz="4" w:space="0"/>
                    <w:bottom w:val="single" w:color="auto" w:sz="4" w:space="0"/>
                  </w:tcBorders>
                  <w:vAlign w:val="center"/>
                </w:tcPr>
                <w:p w14:paraId="5388065C">
                  <w:pPr>
                    <w:spacing w:line="300" w:lineRule="exact"/>
                    <w:jc w:val="center"/>
                    <w:rPr>
                      <w:rFonts w:ascii="Times New Roman" w:hAnsi="Times New Roman" w:cs="Times New Roman"/>
                      <w:szCs w:val="21"/>
                    </w:rPr>
                  </w:pPr>
                  <w:r>
                    <w:rPr>
                      <w:rFonts w:ascii="Times New Roman" w:hAnsi="Times New Roman" w:cs="Times New Roman"/>
                      <w:szCs w:val="21"/>
                    </w:rPr>
                    <w:t>20</w:t>
                  </w:r>
                </w:p>
              </w:tc>
              <w:tc>
                <w:tcPr>
                  <w:tcW w:w="820" w:type="pct"/>
                  <w:vMerge w:val="continue"/>
                  <w:tcBorders>
                    <w:right w:val="single" w:color="auto" w:sz="4" w:space="0"/>
                  </w:tcBorders>
                  <w:vAlign w:val="center"/>
                </w:tcPr>
                <w:p w14:paraId="2468D469">
                  <w:pPr>
                    <w:spacing w:line="300" w:lineRule="exact"/>
                    <w:jc w:val="center"/>
                    <w:rPr>
                      <w:rFonts w:ascii="Times New Roman" w:hAnsi="Times New Roman" w:cs="Times New Roman"/>
                      <w:szCs w:val="21"/>
                    </w:rPr>
                  </w:pPr>
                </w:p>
              </w:tc>
            </w:tr>
            <w:tr w14:paraId="5C2F63A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369" w:type="pct"/>
                  <w:tcBorders>
                    <w:top w:val="single" w:color="auto" w:sz="4" w:space="0"/>
                    <w:left w:val="single" w:color="auto" w:sz="4" w:space="0"/>
                    <w:bottom w:val="single" w:color="auto" w:sz="4" w:space="0"/>
                  </w:tcBorders>
                  <w:vAlign w:val="center"/>
                </w:tcPr>
                <w:p w14:paraId="5629B0E3">
                  <w:pPr>
                    <w:pStyle w:val="636"/>
                    <w:spacing w:line="300" w:lineRule="exact"/>
                    <w:rPr>
                      <w:rFonts w:ascii="Times New Roman" w:hAnsi="Times New Roman" w:cs="Times New Roman"/>
                      <w:szCs w:val="21"/>
                    </w:rPr>
                  </w:pPr>
                  <w:r>
                    <w:rPr>
                      <w:rFonts w:ascii="Times New Roman" w:hAnsi="Times New Roman" w:cs="Times New Roman"/>
                      <w:szCs w:val="21"/>
                    </w:rPr>
                    <w:t>8</w:t>
                  </w:r>
                </w:p>
              </w:tc>
              <w:tc>
                <w:tcPr>
                  <w:tcW w:w="1282" w:type="pct"/>
                  <w:tcBorders>
                    <w:top w:val="single" w:color="auto" w:sz="4" w:space="0"/>
                    <w:bottom w:val="single" w:color="auto" w:sz="4" w:space="0"/>
                  </w:tcBorders>
                  <w:vAlign w:val="center"/>
                </w:tcPr>
                <w:p w14:paraId="1873D26D">
                  <w:pPr>
                    <w:pStyle w:val="636"/>
                    <w:spacing w:line="300" w:lineRule="exact"/>
                    <w:rPr>
                      <w:rFonts w:ascii="Times New Roman" w:hAnsi="Times New Roman" w:cs="Times New Roman"/>
                      <w:szCs w:val="21"/>
                    </w:rPr>
                  </w:pPr>
                  <w:r>
                    <w:rPr>
                      <w:rFonts w:ascii="Times New Roman" w:hAnsi="Times New Roman" w:cs="Times New Roman"/>
                      <w:szCs w:val="21"/>
                    </w:rPr>
                    <w:t>总磷（以P计）</w:t>
                  </w:r>
                </w:p>
              </w:tc>
              <w:tc>
                <w:tcPr>
                  <w:tcW w:w="1115" w:type="pct"/>
                  <w:tcBorders>
                    <w:top w:val="single" w:color="auto" w:sz="4" w:space="0"/>
                    <w:bottom w:val="single" w:color="auto" w:sz="4" w:space="0"/>
                  </w:tcBorders>
                  <w:vAlign w:val="center"/>
                </w:tcPr>
                <w:p w14:paraId="2E5C70E5">
                  <w:pPr>
                    <w:spacing w:line="300" w:lineRule="exact"/>
                    <w:jc w:val="center"/>
                    <w:rPr>
                      <w:rFonts w:ascii="Times New Roman" w:hAnsi="Times New Roman" w:cs="Times New Roman"/>
                      <w:szCs w:val="21"/>
                    </w:rPr>
                  </w:pPr>
                  <w:r>
                    <w:rPr>
                      <w:rFonts w:ascii="Times New Roman" w:hAnsi="Times New Roman" w:cs="Times New Roman"/>
                      <w:szCs w:val="21"/>
                    </w:rPr>
                    <w:t>8</w:t>
                  </w:r>
                  <w:r>
                    <w:rPr>
                      <w:rFonts w:ascii="Times New Roman" w:hAnsi="Times New Roman" w:cs="Times New Roman"/>
                      <w:szCs w:val="21"/>
                      <w:vertAlign w:val="superscript"/>
                    </w:rPr>
                    <w:t>*</w:t>
                  </w:r>
                </w:p>
              </w:tc>
              <w:tc>
                <w:tcPr>
                  <w:tcW w:w="1414" w:type="pct"/>
                  <w:tcBorders>
                    <w:top w:val="single" w:color="auto" w:sz="4" w:space="0"/>
                    <w:bottom w:val="single" w:color="auto" w:sz="4" w:space="0"/>
                  </w:tcBorders>
                  <w:vAlign w:val="center"/>
                </w:tcPr>
                <w:p w14:paraId="2B63DE1B">
                  <w:pPr>
                    <w:spacing w:line="300" w:lineRule="exact"/>
                    <w:jc w:val="center"/>
                    <w:rPr>
                      <w:rFonts w:ascii="Times New Roman" w:hAnsi="Times New Roman" w:cs="Times New Roman"/>
                      <w:szCs w:val="21"/>
                    </w:rPr>
                  </w:pPr>
                  <w:r>
                    <w:rPr>
                      <w:rFonts w:ascii="Times New Roman" w:hAnsi="Times New Roman" w:cs="Times New Roman"/>
                      <w:szCs w:val="21"/>
                    </w:rPr>
                    <w:t>0.5</w:t>
                  </w:r>
                </w:p>
              </w:tc>
              <w:tc>
                <w:tcPr>
                  <w:tcW w:w="820" w:type="pct"/>
                  <w:vMerge w:val="continue"/>
                  <w:tcBorders>
                    <w:right w:val="single" w:color="auto" w:sz="4" w:space="0"/>
                  </w:tcBorders>
                  <w:vAlign w:val="center"/>
                </w:tcPr>
                <w:p w14:paraId="314C6E47">
                  <w:pPr>
                    <w:spacing w:line="300" w:lineRule="exact"/>
                    <w:jc w:val="center"/>
                    <w:rPr>
                      <w:rFonts w:ascii="Times New Roman" w:hAnsi="Times New Roman" w:cs="Times New Roman"/>
                      <w:szCs w:val="21"/>
                    </w:rPr>
                  </w:pPr>
                </w:p>
              </w:tc>
            </w:tr>
            <w:tr w14:paraId="6B957C3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369" w:type="pct"/>
                  <w:tcBorders>
                    <w:top w:val="single" w:color="auto" w:sz="4" w:space="0"/>
                    <w:left w:val="single" w:color="auto" w:sz="4" w:space="0"/>
                    <w:bottom w:val="single" w:color="auto" w:sz="4" w:space="0"/>
                  </w:tcBorders>
                  <w:vAlign w:val="center"/>
                </w:tcPr>
                <w:p w14:paraId="210F9B12">
                  <w:pPr>
                    <w:pStyle w:val="636"/>
                    <w:spacing w:line="300" w:lineRule="exact"/>
                    <w:rPr>
                      <w:rFonts w:ascii="Times New Roman" w:hAnsi="Times New Roman" w:cs="Times New Roman"/>
                      <w:szCs w:val="21"/>
                    </w:rPr>
                  </w:pPr>
                  <w:r>
                    <w:rPr>
                      <w:rFonts w:ascii="Times New Roman" w:hAnsi="Times New Roman" w:cs="Times New Roman"/>
                      <w:szCs w:val="21"/>
                    </w:rPr>
                    <w:t>9</w:t>
                  </w:r>
                </w:p>
              </w:tc>
              <w:tc>
                <w:tcPr>
                  <w:tcW w:w="1282" w:type="pct"/>
                  <w:tcBorders>
                    <w:top w:val="single" w:color="auto" w:sz="4" w:space="0"/>
                    <w:bottom w:val="single" w:color="auto" w:sz="4" w:space="0"/>
                  </w:tcBorders>
                  <w:vAlign w:val="center"/>
                </w:tcPr>
                <w:p w14:paraId="6EBCD65B">
                  <w:pPr>
                    <w:pStyle w:val="636"/>
                    <w:spacing w:line="300" w:lineRule="exact"/>
                    <w:rPr>
                      <w:rFonts w:ascii="Times New Roman" w:hAnsi="Times New Roman" w:cs="Times New Roman"/>
                      <w:szCs w:val="21"/>
                    </w:rPr>
                  </w:pPr>
                  <w:r>
                    <w:rPr>
                      <w:rFonts w:ascii="Times New Roman" w:hAnsi="Times New Roman" w:cs="Times New Roman"/>
                      <w:szCs w:val="21"/>
                    </w:rPr>
                    <w:t>单位产品基准排水量（m</w:t>
                  </w:r>
                  <w:r>
                    <w:rPr>
                      <w:rFonts w:ascii="Times New Roman" w:hAnsi="Times New Roman" w:cs="Times New Roman"/>
                      <w:szCs w:val="21"/>
                      <w:vertAlign w:val="superscript"/>
                    </w:rPr>
                    <w:t>3</w:t>
                  </w:r>
                  <w:r>
                    <w:rPr>
                      <w:rFonts w:ascii="Times New Roman" w:hAnsi="Times New Roman" w:cs="Times New Roman"/>
                      <w:szCs w:val="21"/>
                    </w:rPr>
                    <w:t>/t产品）</w:t>
                  </w:r>
                </w:p>
              </w:tc>
              <w:tc>
                <w:tcPr>
                  <w:tcW w:w="1115" w:type="pct"/>
                  <w:tcBorders>
                    <w:top w:val="single" w:color="auto" w:sz="4" w:space="0"/>
                    <w:bottom w:val="single" w:color="auto" w:sz="4" w:space="0"/>
                  </w:tcBorders>
                  <w:vAlign w:val="center"/>
                </w:tcPr>
                <w:p w14:paraId="5D785293">
                  <w:pPr>
                    <w:spacing w:line="300" w:lineRule="exact"/>
                    <w:jc w:val="center"/>
                    <w:rPr>
                      <w:rFonts w:ascii="Times New Roman" w:hAnsi="Times New Roman" w:cs="Times New Roman"/>
                      <w:szCs w:val="21"/>
                    </w:rPr>
                  </w:pPr>
                  <w:r>
                    <w:rPr>
                      <w:rFonts w:ascii="Times New Roman" w:hAnsi="Times New Roman" w:cs="Times New Roman"/>
                      <w:szCs w:val="21"/>
                    </w:rPr>
                    <w:t>/</w:t>
                  </w:r>
                </w:p>
              </w:tc>
              <w:tc>
                <w:tcPr>
                  <w:tcW w:w="1414" w:type="pct"/>
                  <w:tcBorders>
                    <w:top w:val="single" w:color="auto" w:sz="4" w:space="0"/>
                    <w:bottom w:val="single" w:color="auto" w:sz="4" w:space="0"/>
                  </w:tcBorders>
                  <w:vAlign w:val="center"/>
                </w:tcPr>
                <w:p w14:paraId="6C04B26F">
                  <w:pPr>
                    <w:spacing w:line="300" w:lineRule="exact"/>
                    <w:jc w:val="center"/>
                    <w:rPr>
                      <w:rFonts w:ascii="Times New Roman" w:hAnsi="Times New Roman" w:cs="Times New Roman"/>
                      <w:szCs w:val="21"/>
                    </w:rPr>
                  </w:pPr>
                  <w:r>
                    <w:rPr>
                      <w:rFonts w:ascii="Times New Roman" w:hAnsi="Times New Roman" w:cs="Times New Roman"/>
                      <w:szCs w:val="21"/>
                    </w:rPr>
                    <w:t>/</w:t>
                  </w:r>
                </w:p>
              </w:tc>
              <w:tc>
                <w:tcPr>
                  <w:tcW w:w="820" w:type="pct"/>
                  <w:vMerge w:val="continue"/>
                  <w:tcBorders>
                    <w:right w:val="single" w:color="auto" w:sz="4" w:space="0"/>
                  </w:tcBorders>
                  <w:vAlign w:val="center"/>
                </w:tcPr>
                <w:p w14:paraId="0B3E2EC9">
                  <w:pPr>
                    <w:spacing w:line="300" w:lineRule="exact"/>
                    <w:jc w:val="center"/>
                    <w:rPr>
                      <w:rFonts w:ascii="Times New Roman" w:hAnsi="Times New Roman" w:cs="Times New Roman"/>
                      <w:szCs w:val="21"/>
                    </w:rPr>
                  </w:pPr>
                </w:p>
              </w:tc>
            </w:tr>
          </w:tbl>
          <w:p w14:paraId="60CAD704">
            <w:pPr>
              <w:ind w:firstLine="360" w:firstLineChars="200"/>
              <w:rPr>
                <w:rFonts w:ascii="Times New Roman" w:hAnsi="Times New Roman" w:cs="Times New Roman"/>
                <w:sz w:val="18"/>
                <w:szCs w:val="21"/>
              </w:rPr>
            </w:pPr>
            <w:r>
              <w:rPr>
                <w:rFonts w:ascii="Times New Roman" w:hAnsi="Times New Roman" w:cs="Times New Roman"/>
                <w:sz w:val="18"/>
                <w:szCs w:val="21"/>
              </w:rPr>
              <w:t>注：</w:t>
            </w:r>
            <w:r>
              <w:rPr>
                <w:rFonts w:ascii="Times New Roman" w:hAnsi="Times New Roman" w:cs="Times New Roman"/>
                <w:sz w:val="18"/>
                <w:szCs w:val="21"/>
                <w:vertAlign w:val="superscript"/>
              </w:rPr>
              <w:t>#</w:t>
            </w:r>
            <w:r>
              <w:rPr>
                <w:rFonts w:ascii="Times New Roman" w:hAnsi="Times New Roman" w:cs="Times New Roman"/>
                <w:sz w:val="18"/>
                <w:szCs w:val="21"/>
              </w:rPr>
              <w:t>根据</w:t>
            </w:r>
            <w:r>
              <w:rPr>
                <w:rFonts w:ascii="Times New Roman" w:hAnsi="Times New Roman" w:cs="Times New Roman"/>
                <w:bCs/>
                <w:sz w:val="18"/>
                <w:szCs w:val="21"/>
              </w:rPr>
              <w:t>《化工园区主要水污染物排放标准》</w:t>
            </w:r>
            <w:r>
              <w:rPr>
                <w:rFonts w:ascii="Times New Roman" w:hAnsi="Times New Roman" w:cs="Times New Roman"/>
                <w:sz w:val="18"/>
                <w:szCs w:val="21"/>
              </w:rPr>
              <w:t>（DB50/457-2012）中要求：“本标准中未规定的指标执行现行行业标准的直接排放标准或GB8978-1996的一级标准”，因此，SS执行70mg/L。</w:t>
            </w:r>
          </w:p>
          <w:p w14:paraId="60A7A5AB">
            <w:pPr>
              <w:pStyle w:val="2"/>
              <w:spacing w:line="360" w:lineRule="auto"/>
              <w:ind w:firstLine="360" w:firstLineChars="200"/>
              <w:rPr>
                <w:rFonts w:ascii="Times New Roman" w:hAnsi="Times New Roman" w:cs="Times New Roman"/>
                <w:color w:val="auto"/>
              </w:rPr>
            </w:pPr>
            <w:r>
              <w:rPr>
                <w:rFonts w:ascii="Times New Roman" w:hAnsi="Times New Roman" w:cs="Times New Roman"/>
                <w:color w:val="auto"/>
                <w:sz w:val="18"/>
              </w:rPr>
              <w:t>*执行《污水排入城镇下水道水质标准》（GB/T31962-2015）B标准。</w:t>
            </w:r>
          </w:p>
          <w:p w14:paraId="1A8B7C92">
            <w:pPr>
              <w:adjustRightInd w:val="0"/>
              <w:snapToGrid w:val="0"/>
              <w:spacing w:line="360" w:lineRule="auto"/>
              <w:rPr>
                <w:rFonts w:ascii="Times New Roman" w:hAnsi="Times New Roman" w:cs="Times New Roman"/>
                <w:b/>
                <w:sz w:val="24"/>
              </w:rPr>
            </w:pPr>
            <w:r>
              <w:rPr>
                <w:rFonts w:ascii="Times New Roman" w:hAnsi="Times New Roman" w:cs="Times New Roman"/>
                <w:b/>
                <w:sz w:val="24"/>
              </w:rPr>
              <w:t>3.5.3噪声排放控制标准</w:t>
            </w:r>
          </w:p>
          <w:p w14:paraId="7436B2A5">
            <w:pPr>
              <w:spacing w:line="460" w:lineRule="exact"/>
              <w:ind w:firstLine="480" w:firstLineChars="200"/>
              <w:outlineLvl w:val="0"/>
              <w:rPr>
                <w:rFonts w:ascii="Times New Roman" w:hAnsi="Times New Roman" w:cs="Times New Roman"/>
                <w:kern w:val="0"/>
                <w:sz w:val="24"/>
              </w:rPr>
            </w:pPr>
            <w:r>
              <w:rPr>
                <w:rFonts w:ascii="Times New Roman" w:hAnsi="Times New Roman" w:cs="Times New Roman"/>
                <w:kern w:val="0"/>
                <w:sz w:val="24"/>
              </w:rPr>
              <w:t>营运期北厂界噪声执行《工业企业厂界环境噪声排放标准》（GB12348-2008）中3类标准，见下表。</w:t>
            </w:r>
          </w:p>
          <w:p w14:paraId="71705A53">
            <w:pPr>
              <w:spacing w:line="480" w:lineRule="exact"/>
              <w:jc w:val="center"/>
              <w:rPr>
                <w:rFonts w:ascii="Times New Roman" w:hAnsi="Times New Roman" w:cs="Times New Roman"/>
                <w:b/>
                <w:sz w:val="24"/>
              </w:rPr>
            </w:pPr>
            <w:r>
              <w:rPr>
                <w:rFonts w:ascii="Times New Roman" w:hAnsi="Times New Roman" w:cs="Times New Roman"/>
                <w:b/>
                <w:sz w:val="24"/>
              </w:rPr>
              <w:t>表3.5-1 《工业企业厂界环境噪声排放标准》（GB12348-2008 ）</w:t>
            </w:r>
          </w:p>
          <w:tbl>
            <w:tblPr>
              <w:tblStyle w:val="8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5"/>
              <w:gridCol w:w="1074"/>
              <w:gridCol w:w="1724"/>
              <w:gridCol w:w="1464"/>
              <w:gridCol w:w="2113"/>
            </w:tblGrid>
            <w:tr w14:paraId="22B87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2150" w:type="dxa"/>
                  <w:tcBorders>
                    <w:top w:val="single" w:color="auto" w:sz="4" w:space="0"/>
                    <w:left w:val="single" w:color="auto" w:sz="4" w:space="0"/>
                    <w:bottom w:val="single" w:color="auto" w:sz="4" w:space="0"/>
                    <w:right w:val="single" w:color="auto" w:sz="4" w:space="0"/>
                  </w:tcBorders>
                  <w:vAlign w:val="center"/>
                </w:tcPr>
                <w:p w14:paraId="7E46220D">
                  <w:pPr>
                    <w:adjustRightInd w:val="0"/>
                    <w:jc w:val="center"/>
                    <w:textAlignment w:val="baseline"/>
                    <w:rPr>
                      <w:rFonts w:ascii="Times New Roman" w:hAnsi="Times New Roman" w:cs="Times New Roman"/>
                      <w:bCs/>
                      <w:szCs w:val="21"/>
                    </w:rPr>
                  </w:pPr>
                  <w:r>
                    <w:rPr>
                      <w:rFonts w:ascii="Times New Roman" w:hAnsi="Times New Roman" w:cs="Times New Roman"/>
                      <w:bCs/>
                      <w:szCs w:val="21"/>
                    </w:rPr>
                    <w:t>指标</w:t>
                  </w:r>
                </w:p>
              </w:tc>
              <w:tc>
                <w:tcPr>
                  <w:tcW w:w="1134" w:type="dxa"/>
                  <w:tcBorders>
                    <w:top w:val="single" w:color="auto" w:sz="4" w:space="0"/>
                    <w:left w:val="single" w:color="auto" w:sz="4" w:space="0"/>
                    <w:bottom w:val="single" w:color="auto" w:sz="4" w:space="0"/>
                    <w:right w:val="single" w:color="auto" w:sz="4" w:space="0"/>
                  </w:tcBorders>
                  <w:vAlign w:val="center"/>
                </w:tcPr>
                <w:p w14:paraId="63954F52">
                  <w:pPr>
                    <w:adjustRightInd w:val="0"/>
                    <w:jc w:val="center"/>
                    <w:textAlignment w:val="baseline"/>
                    <w:rPr>
                      <w:rFonts w:ascii="Times New Roman" w:hAnsi="Times New Roman" w:cs="Times New Roman"/>
                      <w:bCs/>
                      <w:szCs w:val="21"/>
                    </w:rPr>
                  </w:pPr>
                  <w:r>
                    <w:rPr>
                      <w:rFonts w:ascii="Times New Roman" w:hAnsi="Times New Roman" w:cs="Times New Roman"/>
                      <w:bCs/>
                      <w:szCs w:val="21"/>
                    </w:rPr>
                    <w:t>类别</w:t>
                  </w:r>
                </w:p>
              </w:tc>
              <w:tc>
                <w:tcPr>
                  <w:tcW w:w="1843" w:type="dxa"/>
                  <w:tcBorders>
                    <w:top w:val="single" w:color="auto" w:sz="4" w:space="0"/>
                    <w:left w:val="single" w:color="auto" w:sz="4" w:space="0"/>
                    <w:bottom w:val="single" w:color="auto" w:sz="4" w:space="0"/>
                    <w:right w:val="single" w:color="auto" w:sz="4" w:space="0"/>
                  </w:tcBorders>
                  <w:vAlign w:val="center"/>
                </w:tcPr>
                <w:p w14:paraId="7210EDB4">
                  <w:pPr>
                    <w:adjustRightInd w:val="0"/>
                    <w:jc w:val="center"/>
                    <w:textAlignment w:val="baseline"/>
                    <w:rPr>
                      <w:rFonts w:ascii="Times New Roman" w:hAnsi="Times New Roman" w:cs="Times New Roman"/>
                      <w:bCs/>
                      <w:szCs w:val="21"/>
                    </w:rPr>
                  </w:pPr>
                  <w:r>
                    <w:rPr>
                      <w:rFonts w:ascii="Times New Roman" w:hAnsi="Times New Roman" w:cs="Times New Roman"/>
                      <w:bCs/>
                      <w:szCs w:val="21"/>
                    </w:rPr>
                    <w:t>昼间</w:t>
                  </w:r>
                </w:p>
              </w:tc>
              <w:tc>
                <w:tcPr>
                  <w:tcW w:w="1559" w:type="dxa"/>
                  <w:tcBorders>
                    <w:top w:val="single" w:color="auto" w:sz="4" w:space="0"/>
                    <w:left w:val="single" w:color="auto" w:sz="4" w:space="0"/>
                    <w:bottom w:val="single" w:color="auto" w:sz="4" w:space="0"/>
                    <w:right w:val="single" w:color="auto" w:sz="4" w:space="0"/>
                  </w:tcBorders>
                  <w:vAlign w:val="center"/>
                </w:tcPr>
                <w:p w14:paraId="0E7C0855">
                  <w:pPr>
                    <w:adjustRightInd w:val="0"/>
                    <w:jc w:val="center"/>
                    <w:textAlignment w:val="baseline"/>
                    <w:rPr>
                      <w:rFonts w:ascii="Times New Roman" w:hAnsi="Times New Roman" w:cs="Times New Roman"/>
                      <w:bCs/>
                      <w:szCs w:val="21"/>
                    </w:rPr>
                  </w:pPr>
                  <w:r>
                    <w:rPr>
                      <w:rFonts w:ascii="Times New Roman" w:hAnsi="Times New Roman" w:cs="Times New Roman"/>
                      <w:bCs/>
                      <w:szCs w:val="21"/>
                    </w:rPr>
                    <w:t>夜间</w:t>
                  </w:r>
                </w:p>
              </w:tc>
              <w:tc>
                <w:tcPr>
                  <w:tcW w:w="2268" w:type="dxa"/>
                  <w:tcBorders>
                    <w:top w:val="single" w:color="auto" w:sz="4" w:space="0"/>
                    <w:left w:val="single" w:color="auto" w:sz="4" w:space="0"/>
                    <w:bottom w:val="single" w:color="auto" w:sz="4" w:space="0"/>
                    <w:right w:val="single" w:color="auto" w:sz="4" w:space="0"/>
                  </w:tcBorders>
                </w:tcPr>
                <w:p w14:paraId="475854C2">
                  <w:pPr>
                    <w:adjustRightInd w:val="0"/>
                    <w:jc w:val="center"/>
                    <w:textAlignment w:val="baseline"/>
                    <w:rPr>
                      <w:rFonts w:ascii="Times New Roman" w:hAnsi="Times New Roman" w:cs="Times New Roman"/>
                      <w:bCs/>
                      <w:szCs w:val="21"/>
                    </w:rPr>
                  </w:pPr>
                  <w:r>
                    <w:rPr>
                      <w:rFonts w:ascii="Times New Roman" w:hAnsi="Times New Roman" w:cs="Times New Roman"/>
                      <w:bCs/>
                      <w:szCs w:val="21"/>
                    </w:rPr>
                    <w:t>备注</w:t>
                  </w:r>
                </w:p>
              </w:tc>
            </w:tr>
            <w:tr w14:paraId="2508D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2150" w:type="dxa"/>
                  <w:tcBorders>
                    <w:top w:val="single" w:color="auto" w:sz="4" w:space="0"/>
                    <w:left w:val="single" w:color="auto" w:sz="4" w:space="0"/>
                    <w:bottom w:val="single" w:color="auto" w:sz="4" w:space="0"/>
                    <w:right w:val="single" w:color="auto" w:sz="4" w:space="0"/>
                  </w:tcBorders>
                  <w:vAlign w:val="center"/>
                </w:tcPr>
                <w:p w14:paraId="191E4093">
                  <w:pPr>
                    <w:adjustRightInd w:val="0"/>
                    <w:ind w:firstLine="210" w:firstLineChars="100"/>
                    <w:jc w:val="center"/>
                    <w:textAlignment w:val="baseline"/>
                    <w:rPr>
                      <w:rFonts w:ascii="Times New Roman" w:hAnsi="Times New Roman" w:cs="Times New Roman"/>
                      <w:bCs/>
                      <w:szCs w:val="21"/>
                    </w:rPr>
                  </w:pPr>
                  <w:r>
                    <w:rPr>
                      <w:rFonts w:ascii="Times New Roman" w:hAnsi="Times New Roman" w:cs="Times New Roman"/>
                      <w:bCs/>
                      <w:szCs w:val="21"/>
                    </w:rPr>
                    <w:t>标准值 dB（A）</w:t>
                  </w:r>
                </w:p>
              </w:tc>
              <w:tc>
                <w:tcPr>
                  <w:tcW w:w="1134" w:type="dxa"/>
                  <w:tcBorders>
                    <w:top w:val="single" w:color="auto" w:sz="4" w:space="0"/>
                    <w:left w:val="single" w:color="auto" w:sz="4" w:space="0"/>
                    <w:bottom w:val="single" w:color="auto" w:sz="4" w:space="0"/>
                    <w:right w:val="single" w:color="auto" w:sz="4" w:space="0"/>
                  </w:tcBorders>
                  <w:vAlign w:val="center"/>
                </w:tcPr>
                <w:p w14:paraId="38A003A5">
                  <w:pPr>
                    <w:adjustRightInd w:val="0"/>
                    <w:jc w:val="center"/>
                    <w:textAlignment w:val="baseline"/>
                    <w:rPr>
                      <w:rFonts w:ascii="Times New Roman" w:hAnsi="Times New Roman" w:cs="Times New Roman"/>
                      <w:bCs/>
                      <w:szCs w:val="21"/>
                    </w:rPr>
                  </w:pPr>
                  <w:r>
                    <w:rPr>
                      <w:rFonts w:ascii="Times New Roman" w:hAnsi="Times New Roman" w:cs="Times New Roman"/>
                      <w:bCs/>
                      <w:szCs w:val="21"/>
                    </w:rPr>
                    <w:t>3 类</w:t>
                  </w:r>
                </w:p>
              </w:tc>
              <w:tc>
                <w:tcPr>
                  <w:tcW w:w="1843" w:type="dxa"/>
                  <w:tcBorders>
                    <w:top w:val="single" w:color="auto" w:sz="4" w:space="0"/>
                    <w:left w:val="single" w:color="auto" w:sz="4" w:space="0"/>
                    <w:bottom w:val="single" w:color="auto" w:sz="4" w:space="0"/>
                    <w:right w:val="single" w:color="auto" w:sz="4" w:space="0"/>
                  </w:tcBorders>
                  <w:vAlign w:val="center"/>
                </w:tcPr>
                <w:p w14:paraId="6DB8AC47">
                  <w:pPr>
                    <w:adjustRightInd w:val="0"/>
                    <w:jc w:val="center"/>
                    <w:textAlignment w:val="baseline"/>
                    <w:rPr>
                      <w:rFonts w:ascii="Times New Roman" w:hAnsi="Times New Roman" w:cs="Times New Roman"/>
                      <w:bCs/>
                      <w:szCs w:val="21"/>
                    </w:rPr>
                  </w:pPr>
                  <w:r>
                    <w:rPr>
                      <w:rFonts w:ascii="Times New Roman" w:hAnsi="Times New Roman" w:cs="Times New Roman"/>
                      <w:bCs/>
                      <w:szCs w:val="21"/>
                    </w:rPr>
                    <w:t>65</w:t>
                  </w:r>
                </w:p>
              </w:tc>
              <w:tc>
                <w:tcPr>
                  <w:tcW w:w="1559" w:type="dxa"/>
                  <w:tcBorders>
                    <w:top w:val="single" w:color="auto" w:sz="4" w:space="0"/>
                    <w:left w:val="single" w:color="auto" w:sz="4" w:space="0"/>
                    <w:bottom w:val="single" w:color="auto" w:sz="4" w:space="0"/>
                    <w:right w:val="single" w:color="auto" w:sz="4" w:space="0"/>
                  </w:tcBorders>
                  <w:vAlign w:val="center"/>
                </w:tcPr>
                <w:p w14:paraId="60B609BD">
                  <w:pPr>
                    <w:adjustRightInd w:val="0"/>
                    <w:jc w:val="center"/>
                    <w:textAlignment w:val="baseline"/>
                    <w:rPr>
                      <w:rFonts w:ascii="Times New Roman" w:hAnsi="Times New Roman" w:cs="Times New Roman"/>
                      <w:bCs/>
                      <w:szCs w:val="21"/>
                    </w:rPr>
                  </w:pPr>
                  <w:r>
                    <w:rPr>
                      <w:rFonts w:ascii="Times New Roman" w:hAnsi="Times New Roman" w:cs="Times New Roman"/>
                      <w:bCs/>
                      <w:szCs w:val="21"/>
                    </w:rPr>
                    <w:t>55</w:t>
                  </w:r>
                </w:p>
              </w:tc>
              <w:tc>
                <w:tcPr>
                  <w:tcW w:w="2268" w:type="dxa"/>
                  <w:tcBorders>
                    <w:top w:val="single" w:color="auto" w:sz="4" w:space="0"/>
                    <w:left w:val="single" w:color="auto" w:sz="4" w:space="0"/>
                    <w:bottom w:val="single" w:color="auto" w:sz="4" w:space="0"/>
                    <w:right w:val="single" w:color="auto" w:sz="4" w:space="0"/>
                  </w:tcBorders>
                </w:tcPr>
                <w:p w14:paraId="42A091DE">
                  <w:pPr>
                    <w:adjustRightInd w:val="0"/>
                    <w:jc w:val="center"/>
                    <w:textAlignment w:val="baseline"/>
                    <w:rPr>
                      <w:rFonts w:ascii="Times New Roman" w:hAnsi="Times New Roman" w:cs="Times New Roman"/>
                      <w:bCs/>
                      <w:szCs w:val="21"/>
                    </w:rPr>
                  </w:pPr>
                  <w:r>
                    <w:rPr>
                      <w:rFonts w:ascii="Times New Roman" w:hAnsi="Times New Roman" w:cs="Times New Roman"/>
                      <w:bCs/>
                      <w:szCs w:val="21"/>
                    </w:rPr>
                    <w:t>厂界</w:t>
                  </w:r>
                </w:p>
              </w:tc>
            </w:tr>
          </w:tbl>
          <w:p w14:paraId="5EEBDB24">
            <w:pPr>
              <w:adjustRightInd w:val="0"/>
              <w:snapToGrid w:val="0"/>
              <w:spacing w:line="360" w:lineRule="auto"/>
              <w:rPr>
                <w:rFonts w:ascii="Times New Roman" w:hAnsi="Times New Roman" w:cs="Times New Roman"/>
                <w:b/>
                <w:sz w:val="24"/>
              </w:rPr>
            </w:pPr>
          </w:p>
          <w:p w14:paraId="1942CAB3">
            <w:pPr>
              <w:adjustRightInd w:val="0"/>
              <w:snapToGrid w:val="0"/>
              <w:spacing w:line="360" w:lineRule="auto"/>
              <w:rPr>
                <w:rFonts w:ascii="Times New Roman" w:hAnsi="Times New Roman" w:cs="Times New Roman"/>
                <w:b/>
                <w:sz w:val="24"/>
              </w:rPr>
            </w:pPr>
            <w:r>
              <w:rPr>
                <w:rFonts w:ascii="Times New Roman" w:hAnsi="Times New Roman" w:cs="Times New Roman"/>
                <w:b/>
                <w:sz w:val="24"/>
              </w:rPr>
              <w:t>3.5.4固体废物</w:t>
            </w:r>
          </w:p>
          <w:p w14:paraId="3266E79B">
            <w:pPr>
              <w:spacing w:line="360" w:lineRule="auto"/>
              <w:ind w:firstLine="480" w:firstLineChars="200"/>
              <w:rPr>
                <w:rFonts w:ascii="Times New Roman" w:hAnsi="Times New Roman" w:cs="Times New Roman"/>
                <w:kern w:val="0"/>
                <w:szCs w:val="21"/>
              </w:rPr>
            </w:pPr>
            <w:r>
              <w:rPr>
                <w:rFonts w:ascii="Times New Roman" w:hAnsi="Times New Roman" w:cs="Times New Roman"/>
                <w:sz w:val="24"/>
              </w:rPr>
              <w:t>根据《一般工业固体废物贮存和填埋污染控制标准》GB 18599-2020，采用库房、包装工具（罐、桶、包装袋等）贮存一般工业固体废物过程的污染控制，不适用本标准，其贮存过程应满足相应防渗漏、防雨淋、防扬尘等环境保护要求；危险废物执行《国家危险废物名录》（2021版）、《危险废物贮存污染控制标准》（GB18597-2001）及2013修改单要求。</w:t>
            </w:r>
          </w:p>
        </w:tc>
      </w:tr>
      <w:tr w14:paraId="28073E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92" w:hRule="atLeast"/>
          <w:jc w:val="center"/>
        </w:trPr>
        <w:tc>
          <w:tcPr>
            <w:tcW w:w="800" w:type="dxa"/>
            <w:vAlign w:val="center"/>
          </w:tcPr>
          <w:p w14:paraId="343A6079">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总量</w:t>
            </w:r>
          </w:p>
          <w:p w14:paraId="3E93CBB0">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控制</w:t>
            </w:r>
          </w:p>
          <w:p w14:paraId="46F9EE96">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指标</w:t>
            </w:r>
          </w:p>
        </w:tc>
        <w:tc>
          <w:tcPr>
            <w:tcW w:w="8190" w:type="dxa"/>
            <w:vAlign w:val="center"/>
          </w:tcPr>
          <w:p w14:paraId="7D42CD8D">
            <w:pPr>
              <w:spacing w:line="360" w:lineRule="auto"/>
              <w:ind w:firstLine="480" w:firstLineChars="200"/>
              <w:rPr>
                <w:rFonts w:ascii="Times New Roman" w:hAnsi="Times New Roman" w:cs="Times New Roman"/>
                <w:sz w:val="24"/>
              </w:rPr>
            </w:pPr>
            <w:r>
              <w:rPr>
                <w:rFonts w:ascii="Times New Roman" w:hAnsi="Times New Roman" w:cs="Times New Roman"/>
                <w:sz w:val="24"/>
              </w:rPr>
              <w:t>（1）废水</w:t>
            </w:r>
          </w:p>
          <w:p w14:paraId="06D48AFE">
            <w:pPr>
              <w:spacing w:line="360" w:lineRule="auto"/>
              <w:ind w:firstLine="480" w:firstLineChars="200"/>
              <w:rPr>
                <w:rFonts w:ascii="Times New Roman" w:hAnsi="Times New Roman" w:cs="Times New Roman"/>
                <w:sz w:val="24"/>
              </w:rPr>
            </w:pPr>
            <w:r>
              <w:rPr>
                <w:rFonts w:ascii="Times New Roman" w:hAnsi="Times New Roman" w:cs="Times New Roman"/>
                <w:sz w:val="24"/>
              </w:rPr>
              <w:t>排入环境：COD 0.17t/a，氨氮0.021t/a。</w:t>
            </w:r>
          </w:p>
          <w:p w14:paraId="22E4F3FD">
            <w:pPr>
              <w:spacing w:line="360" w:lineRule="auto"/>
              <w:ind w:firstLine="480" w:firstLineChars="200"/>
              <w:rPr>
                <w:rFonts w:ascii="Times New Roman" w:hAnsi="Times New Roman" w:cs="Times New Roman"/>
                <w:sz w:val="24"/>
              </w:rPr>
            </w:pPr>
            <w:r>
              <w:rPr>
                <w:rFonts w:ascii="Times New Roman" w:hAnsi="Times New Roman" w:cs="Times New Roman"/>
                <w:sz w:val="24"/>
              </w:rPr>
              <w:t>（2）</w:t>
            </w:r>
            <w:r>
              <w:rPr>
                <w:rFonts w:hint="eastAsia" w:ascii="Times New Roman" w:hAnsi="Times New Roman" w:cs="Times New Roman"/>
                <w:sz w:val="24"/>
              </w:rPr>
              <w:t>废气</w:t>
            </w:r>
          </w:p>
          <w:p w14:paraId="4470EFDA">
            <w:pPr>
              <w:spacing w:line="360" w:lineRule="auto"/>
              <w:ind w:firstLine="480" w:firstLineChars="200"/>
              <w:rPr>
                <w:rFonts w:ascii="Times New Roman" w:hAnsi="Times New Roman" w:cs="Times New Roman"/>
                <w:sz w:val="24"/>
              </w:rPr>
            </w:pPr>
            <w:r>
              <w:rPr>
                <w:rFonts w:ascii="Times New Roman" w:hAnsi="Times New Roman" w:cs="Times New Roman"/>
                <w:sz w:val="24"/>
              </w:rPr>
              <w:t>排入环境：</w:t>
            </w:r>
            <w:r>
              <w:rPr>
                <w:rFonts w:hint="eastAsia" w:ascii="Times New Roman" w:hAnsi="Times New Roman" w:cs="Times New Roman"/>
                <w:sz w:val="24"/>
              </w:rPr>
              <w:t>颗粒物</w:t>
            </w:r>
            <w:r>
              <w:rPr>
                <w:rFonts w:ascii="Times New Roman" w:hAnsi="Times New Roman" w:cs="Times New Roman"/>
                <w:sz w:val="24"/>
              </w:rPr>
              <w:t>1.35t/a，</w:t>
            </w:r>
            <w:r>
              <w:rPr>
                <w:rFonts w:hint="eastAsia" w:ascii="Times New Roman" w:hAnsi="Times New Roman" w:cs="Times New Roman"/>
                <w:sz w:val="24"/>
              </w:rPr>
              <w:t>氮氧化物</w:t>
            </w:r>
            <w:r>
              <w:rPr>
                <w:rFonts w:ascii="Times New Roman" w:hAnsi="Times New Roman" w:cs="Times New Roman"/>
                <w:sz w:val="24"/>
              </w:rPr>
              <w:t>2.2t/a</w:t>
            </w:r>
            <w:r>
              <w:rPr>
                <w:rFonts w:hint="eastAsia" w:ascii="Times New Roman" w:hAnsi="Times New Roman" w:cs="Times New Roman"/>
                <w:sz w:val="24"/>
              </w:rPr>
              <w:t>，二氧化硫0</w:t>
            </w:r>
            <w:r>
              <w:rPr>
                <w:rFonts w:ascii="Times New Roman" w:hAnsi="Times New Roman" w:cs="Times New Roman"/>
                <w:sz w:val="24"/>
              </w:rPr>
              <w:t>.93</w:t>
            </w:r>
            <w:r>
              <w:rPr>
                <w:rFonts w:hint="eastAsia" w:ascii="Times New Roman" w:hAnsi="Times New Roman" w:cs="Times New Roman"/>
                <w:sz w:val="24"/>
              </w:rPr>
              <w:t>t</w:t>
            </w:r>
            <w:r>
              <w:rPr>
                <w:rFonts w:ascii="Times New Roman" w:hAnsi="Times New Roman" w:cs="Times New Roman"/>
                <w:sz w:val="24"/>
              </w:rPr>
              <w:t>/a。</w:t>
            </w:r>
          </w:p>
          <w:p w14:paraId="3BAE47DA">
            <w:pPr>
              <w:pStyle w:val="2"/>
            </w:pPr>
          </w:p>
        </w:tc>
      </w:tr>
    </w:tbl>
    <w:p w14:paraId="3903F88F">
      <w:pPr>
        <w:pStyle w:val="76"/>
        <w:jc w:val="center"/>
        <w:outlineLvl w:val="0"/>
        <w:rPr>
          <w:rFonts w:ascii="Times New Roman" w:hAnsi="Times New Roman" w:eastAsia="黑体" w:cs="Times New Roman"/>
          <w:snapToGrid w:val="0"/>
          <w:sz w:val="36"/>
          <w:szCs w:val="36"/>
        </w:rPr>
        <w:sectPr>
          <w:pgSz w:w="11907" w:h="16840"/>
          <w:pgMar w:top="1701" w:right="1531" w:bottom="2127" w:left="1531" w:header="851" w:footer="851" w:gutter="0"/>
          <w:cols w:space="720" w:num="1"/>
          <w:docGrid w:linePitch="312" w:charSpace="0"/>
        </w:sectPr>
      </w:pPr>
    </w:p>
    <w:p w14:paraId="68634FFA">
      <w:pPr>
        <w:pStyle w:val="76"/>
        <w:jc w:val="center"/>
        <w:outlineLvl w:val="0"/>
        <w:rPr>
          <w:rFonts w:ascii="Times New Roman" w:hAnsi="Times New Roman" w:eastAsia="黑体" w:cs="Times New Roman"/>
          <w:snapToGrid w:val="0"/>
          <w:sz w:val="30"/>
          <w:szCs w:val="30"/>
        </w:rPr>
      </w:pPr>
      <w:r>
        <w:rPr>
          <w:rFonts w:ascii="Times New Roman" w:hAnsi="Times New Roman" w:eastAsia="黑体" w:cs="Times New Roman"/>
          <w:snapToGrid w:val="0"/>
          <w:sz w:val="30"/>
          <w:szCs w:val="30"/>
        </w:rPr>
        <w:t>四、</w:t>
      </w:r>
      <w:bookmarkStart w:id="22" w:name="_Hlk83376034"/>
      <w:r>
        <w:rPr>
          <w:rFonts w:ascii="Times New Roman" w:hAnsi="Times New Roman" w:eastAsia="黑体" w:cs="Times New Roman"/>
          <w:snapToGrid w:val="0"/>
          <w:sz w:val="30"/>
          <w:szCs w:val="30"/>
        </w:rPr>
        <w:t>主要环境影响和保护措施</w:t>
      </w:r>
      <w:bookmarkEnd w:id="22"/>
    </w:p>
    <w:tbl>
      <w:tblPr>
        <w:tblStyle w:val="8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555"/>
      </w:tblGrid>
      <w:tr w14:paraId="501C11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45" w:hRule="atLeast"/>
          <w:jc w:val="center"/>
        </w:trPr>
        <w:tc>
          <w:tcPr>
            <w:tcW w:w="412" w:type="dxa"/>
            <w:tcMar>
              <w:left w:w="28" w:type="dxa"/>
              <w:right w:w="28" w:type="dxa"/>
            </w:tcMar>
            <w:vAlign w:val="center"/>
          </w:tcPr>
          <w:p w14:paraId="45001558">
            <w:pPr>
              <w:pStyle w:val="76"/>
              <w:adjustRightInd w:val="0"/>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施工</w:t>
            </w:r>
          </w:p>
          <w:p w14:paraId="2F3F9D8C">
            <w:pPr>
              <w:pStyle w:val="76"/>
              <w:adjustRightInd w:val="0"/>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期环</w:t>
            </w:r>
          </w:p>
          <w:p w14:paraId="368BCFC3">
            <w:pPr>
              <w:pStyle w:val="76"/>
              <w:adjustRightInd w:val="0"/>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境保</w:t>
            </w:r>
          </w:p>
          <w:p w14:paraId="2CAE45C1">
            <w:pPr>
              <w:pStyle w:val="76"/>
              <w:adjustRightInd w:val="0"/>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护措</w:t>
            </w:r>
          </w:p>
          <w:p w14:paraId="34B6D5C1">
            <w:pPr>
              <w:pStyle w:val="76"/>
              <w:adjustRightInd w:val="0"/>
              <w:snapToGrid w:val="0"/>
              <w:spacing w:before="0" w:beforeAutospacing="0" w:after="0" w:afterAutospacing="0"/>
              <w:jc w:val="center"/>
              <w:rPr>
                <w:rFonts w:ascii="Times New Roman" w:hAnsi="Times New Roman" w:cs="Times New Roman"/>
                <w:bCs/>
                <w:kern w:val="2"/>
                <w:sz w:val="21"/>
                <w:szCs w:val="21"/>
              </w:rPr>
            </w:pPr>
            <w:r>
              <w:rPr>
                <w:rFonts w:ascii="Times New Roman" w:hAnsi="Times New Roman" w:cs="Times New Roman"/>
                <w:kern w:val="2"/>
                <w:sz w:val="21"/>
                <w:szCs w:val="21"/>
              </w:rPr>
              <w:t>施</w:t>
            </w:r>
          </w:p>
        </w:tc>
        <w:tc>
          <w:tcPr>
            <w:tcW w:w="8569" w:type="dxa"/>
            <w:vAlign w:val="center"/>
          </w:tcPr>
          <w:p w14:paraId="65332261">
            <w:pPr>
              <w:spacing w:line="360" w:lineRule="auto"/>
              <w:ind w:firstLine="480" w:firstLineChars="200"/>
              <w:rPr>
                <w:rFonts w:ascii="Times New Roman" w:hAnsi="Times New Roman" w:cs="Times New Roman"/>
                <w:sz w:val="24"/>
              </w:rPr>
            </w:pPr>
            <w:bookmarkStart w:id="23" w:name="_Toc160867138"/>
            <w:bookmarkStart w:id="24" w:name="_Toc173557710"/>
            <w:bookmarkStart w:id="25" w:name="_Toc178049490"/>
            <w:r>
              <w:rPr>
                <w:rFonts w:ascii="Times New Roman" w:hAnsi="Times New Roman" w:cs="Times New Roman"/>
                <w:sz w:val="24"/>
              </w:rPr>
              <w:t>拟建项目选址位于重庆涪陵白涛工业园区</w:t>
            </w:r>
            <w:bookmarkStart w:id="26" w:name="OLE_LINK2"/>
            <w:bookmarkStart w:id="27" w:name="OLE_LINK1"/>
            <w:r>
              <w:rPr>
                <w:rFonts w:ascii="Times New Roman" w:hAnsi="Times New Roman" w:cs="Times New Roman"/>
                <w:sz w:val="24"/>
              </w:rPr>
              <w:t>内</w:t>
            </w:r>
            <w:bookmarkEnd w:id="26"/>
            <w:bookmarkEnd w:id="27"/>
            <w:r>
              <w:rPr>
                <w:rFonts w:ascii="Times New Roman" w:hAnsi="Times New Roman" w:cs="Times New Roman"/>
                <w:sz w:val="24"/>
              </w:rPr>
              <w:t>，施工人员生活依托</w:t>
            </w:r>
            <w:r>
              <w:rPr>
                <w:rFonts w:hint="eastAsia" w:ascii="Times New Roman" w:hAnsi="Times New Roman" w:cs="Times New Roman"/>
                <w:sz w:val="24"/>
              </w:rPr>
              <w:t>厂区</w:t>
            </w:r>
            <w:r>
              <w:rPr>
                <w:rFonts w:ascii="Times New Roman" w:hAnsi="Times New Roman" w:cs="Times New Roman"/>
                <w:sz w:val="24"/>
              </w:rPr>
              <w:t>已建完善设施，项目场地内不设施工营地。拟建项目场地已平整，施工内容主要为小规模的开挖和回填土石方、地基压实平整、浇混凝土垫层、现浇混凝土、预制构件安装、厂房和厂区道路建设、厂内给排水管网系统和绿化建设、设备安装调试等，不设取、弃土场，涉及的施工工序相对简单，没有大规模的土石方工程。</w:t>
            </w:r>
          </w:p>
          <w:bookmarkEnd w:id="23"/>
          <w:bookmarkEnd w:id="24"/>
          <w:bookmarkEnd w:id="25"/>
          <w:p w14:paraId="75BAD833">
            <w:pPr>
              <w:spacing w:line="360" w:lineRule="auto"/>
              <w:ind w:firstLine="480" w:firstLineChars="200"/>
              <w:rPr>
                <w:rFonts w:ascii="Times New Roman" w:hAnsi="Times New Roman" w:cs="Times New Roman"/>
                <w:sz w:val="24"/>
              </w:rPr>
            </w:pPr>
            <w:r>
              <w:rPr>
                <w:rFonts w:ascii="Times New Roman" w:hAnsi="Times New Roman" w:cs="Times New Roman"/>
                <w:sz w:val="24"/>
              </w:rPr>
              <w:t>为尽可能降低施工建设对环境的影响，首先要对施工单位提出严格的施工建设环保要求，其次要求建设单位对施工现场及施工队伍进行严格的监督管理，必要时可采用现场监测手段加以控制和管理。</w:t>
            </w:r>
          </w:p>
          <w:p w14:paraId="1C050B20">
            <w:pPr>
              <w:spacing w:line="360" w:lineRule="auto"/>
              <w:ind w:firstLine="480" w:firstLineChars="200"/>
              <w:rPr>
                <w:rFonts w:ascii="Times New Roman" w:hAnsi="Times New Roman" w:cs="Times New Roman"/>
                <w:sz w:val="24"/>
              </w:rPr>
            </w:pPr>
            <w:r>
              <w:rPr>
                <w:rFonts w:ascii="Times New Roman" w:hAnsi="Times New Roman" w:cs="Times New Roman"/>
                <w:sz w:val="24"/>
              </w:rPr>
              <w:t>本评价将针对项目施工期的环境影响特点，提出的施工期环境保护措施如下。</w:t>
            </w:r>
          </w:p>
          <w:p w14:paraId="08888200">
            <w:pPr>
              <w:spacing w:line="360" w:lineRule="auto"/>
              <w:outlineLvl w:val="1"/>
              <w:rPr>
                <w:rFonts w:ascii="Times New Roman" w:hAnsi="Times New Roman" w:cs="Times New Roman"/>
                <w:b/>
                <w:sz w:val="24"/>
              </w:rPr>
            </w:pPr>
            <w:bookmarkStart w:id="28" w:name="_Toc531887113"/>
            <w:bookmarkStart w:id="29" w:name="_Toc396234214"/>
            <w:bookmarkStart w:id="30" w:name="_Toc198438478"/>
            <w:bookmarkStart w:id="31" w:name="_Toc252122821"/>
            <w:bookmarkStart w:id="32" w:name="_Toc484508935"/>
            <w:bookmarkStart w:id="33" w:name="_Toc462350296"/>
            <w:bookmarkStart w:id="34" w:name="_Toc311586251"/>
            <w:bookmarkStart w:id="35" w:name="_Toc498959914"/>
            <w:bookmarkStart w:id="36" w:name="_Toc439249522"/>
            <w:bookmarkStart w:id="37" w:name="_Toc344679110"/>
            <w:bookmarkStart w:id="38" w:name="_Toc267314518"/>
            <w:bookmarkStart w:id="39" w:name="_Toc225957885"/>
            <w:bookmarkStart w:id="40" w:name="_Toc196543368"/>
            <w:bookmarkStart w:id="41" w:name="_Toc68899578"/>
            <w:r>
              <w:rPr>
                <w:rFonts w:ascii="Times New Roman" w:hAnsi="Times New Roman" w:cs="Times New Roman"/>
                <w:b/>
                <w:sz w:val="24"/>
              </w:rPr>
              <w:t>4.1.1</w:t>
            </w:r>
            <w:bookmarkEnd w:id="28"/>
            <w:bookmarkEnd w:id="29"/>
            <w:bookmarkEnd w:id="30"/>
            <w:bookmarkEnd w:id="31"/>
            <w:bookmarkEnd w:id="32"/>
            <w:bookmarkEnd w:id="33"/>
            <w:bookmarkEnd w:id="34"/>
            <w:bookmarkEnd w:id="35"/>
            <w:bookmarkEnd w:id="36"/>
            <w:bookmarkEnd w:id="37"/>
            <w:bookmarkEnd w:id="38"/>
            <w:bookmarkEnd w:id="39"/>
            <w:bookmarkEnd w:id="40"/>
            <w:bookmarkEnd w:id="41"/>
            <w:r>
              <w:rPr>
                <w:rFonts w:ascii="Times New Roman" w:hAnsi="Times New Roman" w:cs="Times New Roman"/>
                <w:b/>
                <w:sz w:val="24"/>
              </w:rPr>
              <w:t>大气污染防治措施</w:t>
            </w:r>
          </w:p>
          <w:p w14:paraId="77EFF664">
            <w:pPr>
              <w:spacing w:line="360" w:lineRule="auto"/>
              <w:ind w:firstLine="480" w:firstLineChars="200"/>
              <w:rPr>
                <w:rFonts w:ascii="Times New Roman" w:hAnsi="Times New Roman" w:cs="Times New Roman"/>
                <w:sz w:val="24"/>
              </w:rPr>
            </w:pPr>
            <w:r>
              <w:rPr>
                <w:rFonts w:ascii="Times New Roman" w:hAnsi="Times New Roman" w:cs="Times New Roman"/>
                <w:sz w:val="24"/>
              </w:rPr>
              <w:t>施工期的大气污染源（TSP、燃油废气）主要有各类燃油动力机械在进行场地挖填、清理平整、运输等施工活动时排放的CO和NOx，地基开挖、出渣装卸、建筑材料运输等施工活动将产生二次扬尘。由于施工的燃油机械为间断作业，且使用数量不多，故施工废气主要对施工作业场地的空气质量产生间断的较小不利影响。</w:t>
            </w:r>
          </w:p>
          <w:p w14:paraId="4BCC439A">
            <w:pPr>
              <w:adjustRightInd w:val="0"/>
              <w:snapToGrid w:val="0"/>
              <w:spacing w:line="360" w:lineRule="auto"/>
              <w:ind w:firstLine="330" w:firstLineChars="150"/>
              <w:rPr>
                <w:rFonts w:ascii="Times New Roman" w:hAnsi="Times New Roman" w:cs="Times New Roman"/>
                <w:bCs/>
                <w:spacing w:val="-10"/>
                <w:sz w:val="24"/>
                <w:szCs w:val="21"/>
              </w:rPr>
            </w:pPr>
            <w:r>
              <w:rPr>
                <w:rFonts w:ascii="Times New Roman" w:hAnsi="Times New Roman" w:cs="Times New Roman"/>
                <w:bCs/>
                <w:spacing w:val="-10"/>
                <w:sz w:val="24"/>
                <w:szCs w:val="21"/>
              </w:rPr>
              <w:t>（1）实行封闭施工。建筑工地必须实行围档封闭施工，围档高度不低于1.8米。建筑工地脚手架外侧必须用密目式安全网全封闭，封闭高度要高出作业面1.5米以上并定期清洗保洁。</w:t>
            </w:r>
          </w:p>
          <w:p w14:paraId="764A4CB9">
            <w:pPr>
              <w:adjustRightInd w:val="0"/>
              <w:snapToGrid w:val="0"/>
              <w:spacing w:line="360" w:lineRule="auto"/>
              <w:ind w:firstLine="330" w:firstLineChars="150"/>
              <w:rPr>
                <w:rFonts w:ascii="Times New Roman" w:hAnsi="Times New Roman" w:cs="Times New Roman"/>
                <w:bCs/>
                <w:spacing w:val="-10"/>
                <w:sz w:val="24"/>
                <w:szCs w:val="21"/>
              </w:rPr>
            </w:pPr>
            <w:r>
              <w:rPr>
                <w:rFonts w:ascii="Times New Roman" w:hAnsi="Times New Roman" w:cs="Times New Roman"/>
                <w:bCs/>
                <w:spacing w:val="-10"/>
                <w:sz w:val="24"/>
                <w:szCs w:val="21"/>
              </w:rPr>
              <w:t>（2）实行硬地面施工。建筑工地进出口道路、场内道路和建筑材料堆放地必须硬化。并加强场地地面、施工道路的保湿、保洁工作，减轻二次扬尘污染。</w:t>
            </w:r>
          </w:p>
          <w:p w14:paraId="1B6E56FC">
            <w:pPr>
              <w:adjustRightInd w:val="0"/>
              <w:snapToGrid w:val="0"/>
              <w:spacing w:line="360" w:lineRule="auto"/>
              <w:ind w:firstLine="330" w:firstLineChars="150"/>
              <w:rPr>
                <w:rFonts w:ascii="Times New Roman" w:hAnsi="Times New Roman" w:cs="Times New Roman"/>
                <w:bCs/>
                <w:spacing w:val="-10"/>
                <w:sz w:val="24"/>
                <w:szCs w:val="21"/>
              </w:rPr>
            </w:pPr>
            <w:r>
              <w:rPr>
                <w:rFonts w:ascii="Times New Roman" w:hAnsi="Times New Roman" w:cs="Times New Roman"/>
                <w:bCs/>
                <w:spacing w:val="-10"/>
                <w:sz w:val="24"/>
                <w:szCs w:val="21"/>
              </w:rPr>
              <w:t>（3）设置车辆清洗设施及配套的沉沙井，车辆冲洗干净后方可驶出工地。</w:t>
            </w:r>
          </w:p>
          <w:p w14:paraId="730BCC19">
            <w:pPr>
              <w:adjustRightInd w:val="0"/>
              <w:snapToGrid w:val="0"/>
              <w:spacing w:line="360" w:lineRule="auto"/>
              <w:ind w:firstLine="330" w:firstLineChars="150"/>
              <w:rPr>
                <w:rFonts w:ascii="Times New Roman" w:hAnsi="Times New Roman" w:cs="Times New Roman"/>
                <w:bCs/>
                <w:spacing w:val="-10"/>
                <w:sz w:val="24"/>
                <w:szCs w:val="21"/>
              </w:rPr>
            </w:pPr>
            <w:r>
              <w:rPr>
                <w:rFonts w:ascii="Times New Roman" w:hAnsi="Times New Roman" w:cs="Times New Roman"/>
                <w:bCs/>
                <w:spacing w:val="-10"/>
                <w:sz w:val="24"/>
                <w:szCs w:val="21"/>
              </w:rPr>
              <w:t>（4）露天堆放水泥、灰浆、灰膏等易扬撒的物料或短时间内不能清运的建筑垃圾，应当设置不低于堆放物高度的密闭围栏并予以覆盖。</w:t>
            </w:r>
          </w:p>
          <w:p w14:paraId="26A1D105">
            <w:pPr>
              <w:adjustRightInd w:val="0"/>
              <w:snapToGrid w:val="0"/>
              <w:spacing w:line="360" w:lineRule="auto"/>
              <w:ind w:firstLine="330" w:firstLineChars="150"/>
              <w:rPr>
                <w:rFonts w:ascii="Times New Roman" w:hAnsi="Times New Roman" w:cs="Times New Roman"/>
                <w:bCs/>
                <w:spacing w:val="-10"/>
                <w:sz w:val="24"/>
                <w:szCs w:val="21"/>
              </w:rPr>
            </w:pPr>
            <w:r>
              <w:rPr>
                <w:rFonts w:ascii="Times New Roman" w:hAnsi="Times New Roman" w:cs="Times New Roman"/>
                <w:bCs/>
                <w:spacing w:val="-10"/>
                <w:sz w:val="24"/>
                <w:szCs w:val="21"/>
              </w:rPr>
              <w:t>（5）采用商品混凝土，现场不设混凝土搅拌站，可减轻粉尘、噪声污染。</w:t>
            </w:r>
          </w:p>
          <w:p w14:paraId="28DC8310">
            <w:pPr>
              <w:adjustRightInd w:val="0"/>
              <w:snapToGrid w:val="0"/>
              <w:spacing w:line="360" w:lineRule="auto"/>
              <w:ind w:firstLine="330" w:firstLineChars="150"/>
              <w:rPr>
                <w:rFonts w:ascii="Times New Roman" w:hAnsi="Times New Roman" w:cs="Times New Roman"/>
                <w:bCs/>
                <w:spacing w:val="-10"/>
                <w:sz w:val="24"/>
                <w:szCs w:val="21"/>
              </w:rPr>
            </w:pPr>
            <w:r>
              <w:rPr>
                <w:rFonts w:ascii="Times New Roman" w:hAnsi="Times New Roman" w:cs="Times New Roman"/>
                <w:bCs/>
                <w:spacing w:val="-10"/>
                <w:sz w:val="24"/>
                <w:szCs w:val="21"/>
              </w:rPr>
              <w:t>（6）加强施工现场运输车辆管理。驶入建筑工地的运输车辆必须车身整洁，装载车厢完好，装载货物堆码整齐，不得污染道路；驶出建筑工地的运输车辆必须冲洗干净，严禁带泥上路，严禁超载，渣土、建筑垃圾及易抛撒材料实行封闭车辆运输，并应持证。防止建筑材料、垃圾和尘土飞扬、洒落和流溢。</w:t>
            </w:r>
          </w:p>
          <w:p w14:paraId="2E9CB2EA">
            <w:pPr>
              <w:adjustRightInd w:val="0"/>
              <w:snapToGrid w:val="0"/>
              <w:spacing w:line="360" w:lineRule="auto"/>
              <w:ind w:firstLine="330" w:firstLineChars="150"/>
              <w:rPr>
                <w:rFonts w:ascii="Times New Roman" w:hAnsi="Times New Roman" w:cs="Times New Roman"/>
                <w:bCs/>
                <w:spacing w:val="-10"/>
                <w:sz w:val="24"/>
                <w:szCs w:val="21"/>
              </w:rPr>
            </w:pPr>
            <w:r>
              <w:rPr>
                <w:rFonts w:ascii="Times New Roman" w:hAnsi="Times New Roman" w:cs="Times New Roman"/>
                <w:bCs/>
                <w:spacing w:val="-10"/>
                <w:sz w:val="24"/>
                <w:szCs w:val="21"/>
              </w:rPr>
              <w:t>（7）建筑弃土、不同种类建筑弃料等建筑垃圾实行分类收集、分类运输、分类处置，禁止场区内焚烧各类垃圾。工程完工后，及时清除建筑垃圾。建筑垃圾密闭运输。视天气情况，采取洒水等措施抑尘。</w:t>
            </w:r>
          </w:p>
          <w:p w14:paraId="4C887407">
            <w:pPr>
              <w:adjustRightInd w:val="0"/>
              <w:snapToGrid w:val="0"/>
              <w:spacing w:line="360" w:lineRule="auto"/>
              <w:ind w:firstLine="330" w:firstLineChars="150"/>
              <w:rPr>
                <w:rFonts w:ascii="Times New Roman" w:hAnsi="Times New Roman" w:cs="Times New Roman"/>
                <w:bCs/>
                <w:spacing w:val="-10"/>
                <w:sz w:val="24"/>
                <w:szCs w:val="21"/>
              </w:rPr>
            </w:pPr>
            <w:r>
              <w:rPr>
                <w:rFonts w:ascii="Times New Roman" w:hAnsi="Times New Roman" w:cs="Times New Roman"/>
                <w:bCs/>
                <w:spacing w:val="-10"/>
                <w:sz w:val="24"/>
                <w:szCs w:val="21"/>
              </w:rPr>
              <w:t>（8）控制运输扬尘。推进建筑垃圾运输车辆密闭装置升级改造，新建带泥脏车入城洗车场，加强易撒漏物质运输环节和带泥脏车入城的联合执法检查，禁止车辆冒装抛撒和带泥入城。</w:t>
            </w:r>
          </w:p>
          <w:p w14:paraId="29D81326">
            <w:pPr>
              <w:spacing w:line="360" w:lineRule="auto"/>
              <w:outlineLvl w:val="1"/>
              <w:rPr>
                <w:rFonts w:ascii="Times New Roman" w:hAnsi="Times New Roman" w:cs="Times New Roman"/>
                <w:b/>
                <w:sz w:val="24"/>
              </w:rPr>
            </w:pPr>
            <w:bookmarkStart w:id="42" w:name="_Toc462350297"/>
            <w:bookmarkStart w:id="43" w:name="_Toc267314519"/>
            <w:bookmarkStart w:id="44" w:name="_Toc225957886"/>
            <w:bookmarkStart w:id="45" w:name="_Toc198438479"/>
            <w:bookmarkStart w:id="46" w:name="_Toc531887114"/>
            <w:bookmarkStart w:id="47" w:name="_Toc252122822"/>
            <w:bookmarkStart w:id="48" w:name="_Toc498959915"/>
            <w:bookmarkStart w:id="49" w:name="_Toc68899579"/>
            <w:bookmarkStart w:id="50" w:name="_Toc196543369"/>
            <w:bookmarkStart w:id="51" w:name="_Toc439249523"/>
            <w:bookmarkStart w:id="52" w:name="_Toc311586252"/>
            <w:bookmarkStart w:id="53" w:name="_Toc396234215"/>
            <w:bookmarkStart w:id="54" w:name="_Toc484508936"/>
            <w:bookmarkStart w:id="55" w:name="_Toc344679111"/>
            <w:r>
              <w:rPr>
                <w:rFonts w:ascii="Times New Roman" w:hAnsi="Times New Roman" w:cs="Times New Roman"/>
                <w:b/>
                <w:sz w:val="24"/>
              </w:rPr>
              <w:t>4.1.2地表水</w:t>
            </w:r>
            <w:bookmarkEnd w:id="42"/>
            <w:bookmarkEnd w:id="43"/>
            <w:bookmarkEnd w:id="44"/>
            <w:bookmarkEnd w:id="45"/>
            <w:bookmarkEnd w:id="46"/>
            <w:bookmarkEnd w:id="47"/>
            <w:bookmarkEnd w:id="48"/>
            <w:bookmarkEnd w:id="49"/>
            <w:bookmarkEnd w:id="50"/>
            <w:bookmarkEnd w:id="51"/>
            <w:bookmarkEnd w:id="52"/>
            <w:bookmarkEnd w:id="53"/>
            <w:bookmarkEnd w:id="54"/>
            <w:bookmarkEnd w:id="55"/>
            <w:r>
              <w:rPr>
                <w:rFonts w:ascii="Times New Roman" w:hAnsi="Times New Roman" w:cs="Times New Roman"/>
                <w:b/>
                <w:sz w:val="24"/>
              </w:rPr>
              <w:t>污染防治措施</w:t>
            </w:r>
          </w:p>
          <w:p w14:paraId="61637424">
            <w:pPr>
              <w:spacing w:line="360" w:lineRule="auto"/>
              <w:ind w:firstLine="480" w:firstLineChars="200"/>
              <w:rPr>
                <w:rFonts w:ascii="Times New Roman" w:hAnsi="Times New Roman" w:cs="Times New Roman"/>
                <w:sz w:val="24"/>
              </w:rPr>
            </w:pPr>
            <w:r>
              <w:rPr>
                <w:rFonts w:ascii="Times New Roman" w:hAnsi="Times New Roman" w:cs="Times New Roman"/>
                <w:sz w:val="24"/>
              </w:rPr>
              <w:t>拟建项目施工期污废水主要为施工人员生活污水、施工废水等。</w:t>
            </w:r>
          </w:p>
          <w:p w14:paraId="3F6B7307">
            <w:pPr>
              <w:spacing w:line="360" w:lineRule="auto"/>
              <w:ind w:firstLine="480" w:firstLineChars="200"/>
              <w:rPr>
                <w:rFonts w:ascii="Times New Roman" w:hAnsi="Times New Roman" w:cs="Times New Roman"/>
                <w:sz w:val="24"/>
              </w:rPr>
            </w:pPr>
            <w:r>
              <w:rPr>
                <w:rFonts w:ascii="Times New Roman" w:hAnsi="Times New Roman" w:cs="Times New Roman"/>
                <w:sz w:val="24"/>
              </w:rPr>
              <w:t>（1）厂区设隔油、沉砂池，施工废水经隔油沉淀后回用（如用于场地的洒水等）；</w:t>
            </w:r>
          </w:p>
          <w:p w14:paraId="1828A73E">
            <w:pPr>
              <w:spacing w:line="360" w:lineRule="auto"/>
              <w:ind w:firstLine="480" w:firstLineChars="200"/>
              <w:rPr>
                <w:rFonts w:ascii="Times New Roman" w:hAnsi="Times New Roman" w:cs="Times New Roman"/>
                <w:sz w:val="24"/>
              </w:rPr>
            </w:pPr>
            <w:r>
              <w:rPr>
                <w:rFonts w:ascii="Times New Roman" w:hAnsi="Times New Roman" w:cs="Times New Roman"/>
                <w:sz w:val="24"/>
              </w:rPr>
              <w:t>（2）施工人员生活污水依托厂区现有设施收集处理；</w:t>
            </w:r>
          </w:p>
          <w:p w14:paraId="6AA4A4E0">
            <w:pPr>
              <w:spacing w:line="360" w:lineRule="auto"/>
              <w:ind w:firstLine="480" w:firstLineChars="200"/>
              <w:rPr>
                <w:rFonts w:ascii="Times New Roman" w:hAnsi="Times New Roman" w:cs="Times New Roman"/>
                <w:sz w:val="24"/>
              </w:rPr>
            </w:pPr>
            <w:r>
              <w:rPr>
                <w:rFonts w:ascii="Times New Roman" w:hAnsi="Times New Roman" w:cs="Times New Roman"/>
                <w:sz w:val="24"/>
              </w:rPr>
              <w:t>（3）施工场地用水严格管理，贯彻“一水多用、节约用水”的原则，尽量降低废水的排放量；</w:t>
            </w:r>
          </w:p>
          <w:p w14:paraId="49561DC9">
            <w:pPr>
              <w:spacing w:line="360" w:lineRule="auto"/>
              <w:ind w:firstLine="480" w:firstLineChars="200"/>
              <w:rPr>
                <w:rFonts w:ascii="Times New Roman" w:hAnsi="Times New Roman" w:cs="Times New Roman"/>
                <w:sz w:val="24"/>
              </w:rPr>
            </w:pPr>
            <w:r>
              <w:rPr>
                <w:rFonts w:ascii="Times New Roman" w:hAnsi="Times New Roman" w:cs="Times New Roman"/>
                <w:sz w:val="24"/>
              </w:rPr>
              <w:t>（4）加强施工中油类的管理，减少机械油类的跑、冒、滴、漏；</w:t>
            </w:r>
          </w:p>
          <w:p w14:paraId="07C17DE4">
            <w:pPr>
              <w:spacing w:line="360" w:lineRule="auto"/>
              <w:ind w:firstLine="480" w:firstLineChars="200"/>
              <w:rPr>
                <w:rFonts w:ascii="Times New Roman" w:hAnsi="Times New Roman" w:cs="Times New Roman"/>
                <w:sz w:val="24"/>
              </w:rPr>
            </w:pPr>
            <w:r>
              <w:rPr>
                <w:rFonts w:ascii="Times New Roman" w:hAnsi="Times New Roman" w:cs="Times New Roman"/>
                <w:sz w:val="24"/>
              </w:rPr>
              <w:t>采取以上措施后，可以有效地做好施工污水的防治，不会导致水环境的污染。</w:t>
            </w:r>
          </w:p>
          <w:p w14:paraId="25074D73">
            <w:pPr>
              <w:spacing w:line="360" w:lineRule="auto"/>
              <w:outlineLvl w:val="1"/>
              <w:rPr>
                <w:rFonts w:ascii="Times New Roman" w:hAnsi="Times New Roman" w:cs="Times New Roman"/>
                <w:b/>
                <w:sz w:val="24"/>
              </w:rPr>
            </w:pPr>
            <w:bookmarkStart w:id="56" w:name="_Toc531887115"/>
            <w:bookmarkStart w:id="57" w:name="_Toc462350298"/>
            <w:bookmarkStart w:id="58" w:name="_Toc484508937"/>
            <w:bookmarkStart w:id="59" w:name="_Toc498959916"/>
            <w:bookmarkStart w:id="60" w:name="_Toc68899580"/>
            <w:r>
              <w:rPr>
                <w:rFonts w:ascii="Times New Roman" w:hAnsi="Times New Roman" w:cs="Times New Roman"/>
                <w:b/>
                <w:sz w:val="24"/>
              </w:rPr>
              <w:t>4.1.3地下水影响分析</w:t>
            </w:r>
            <w:bookmarkEnd w:id="56"/>
            <w:bookmarkEnd w:id="57"/>
            <w:bookmarkEnd w:id="58"/>
            <w:bookmarkEnd w:id="59"/>
            <w:bookmarkEnd w:id="60"/>
          </w:p>
          <w:p w14:paraId="24330268">
            <w:pPr>
              <w:spacing w:line="360" w:lineRule="auto"/>
              <w:ind w:firstLine="480" w:firstLineChars="200"/>
              <w:rPr>
                <w:rFonts w:ascii="Times New Roman" w:hAnsi="Times New Roman" w:cs="Times New Roman"/>
                <w:sz w:val="24"/>
              </w:rPr>
            </w:pPr>
            <w:r>
              <w:rPr>
                <w:rFonts w:ascii="Times New Roman" w:hAnsi="Times New Roman" w:cs="Times New Roman"/>
                <w:sz w:val="24"/>
              </w:rPr>
              <w:t>施工过程中的废水通常来源于以下几个途径：工程施工中产生的生产废水，主要来源于施工机械的冲洗废水，并带有少量油污；施工机械设备如钻机等产生的废水；基坑开挖过程中渗出的高浊度含泥沙废水等。</w:t>
            </w:r>
          </w:p>
          <w:p w14:paraId="53F00A26">
            <w:pPr>
              <w:spacing w:line="360" w:lineRule="auto"/>
              <w:ind w:firstLine="480" w:firstLineChars="200"/>
              <w:rPr>
                <w:rFonts w:ascii="Times New Roman" w:hAnsi="Times New Roman" w:cs="Times New Roman"/>
                <w:sz w:val="24"/>
              </w:rPr>
            </w:pPr>
            <w:r>
              <w:rPr>
                <w:rFonts w:ascii="Times New Roman" w:hAnsi="Times New Roman" w:cs="Times New Roman"/>
                <w:sz w:val="24"/>
              </w:rPr>
              <w:t>经调查分析，施工废水主要污染物为泥沙、悬浮固体（SS）、化学需氧量（COD）、氨氮、石油类等。施工废水的pH值一般在8～9之间，偏碱性，这是由于注浆主体材料水解产水的硅酸三钙、硅酸二钙、氢氧化钙等均成碱性，这些物质溶解在水中造成pH升高。石油类也略有超标，主要来源是施工机械的滴油、漏油。施工废水中SS主要来自开挖过程中产生的粉尘、土灰、岩粉、裂隙中夹杂的泥沙等。</w:t>
            </w:r>
          </w:p>
          <w:p w14:paraId="3AC240C0">
            <w:pPr>
              <w:spacing w:line="360" w:lineRule="auto"/>
              <w:ind w:firstLine="480" w:firstLineChars="200"/>
              <w:rPr>
                <w:rFonts w:ascii="Times New Roman" w:hAnsi="Times New Roman" w:cs="Times New Roman"/>
                <w:sz w:val="24"/>
              </w:rPr>
            </w:pPr>
            <w:r>
              <w:rPr>
                <w:rFonts w:ascii="Times New Roman" w:hAnsi="Times New Roman" w:cs="Times New Roman"/>
                <w:sz w:val="24"/>
              </w:rPr>
              <w:t>施工期只要加强管理，做到报告提出的污染防治措施后，拟建项目建设期的施工废水对地下水的影响很小。</w:t>
            </w:r>
          </w:p>
          <w:p w14:paraId="493AE3A3">
            <w:pPr>
              <w:spacing w:line="360" w:lineRule="auto"/>
              <w:outlineLvl w:val="1"/>
              <w:rPr>
                <w:rFonts w:ascii="Times New Roman" w:hAnsi="Times New Roman" w:cs="Times New Roman"/>
                <w:b/>
                <w:sz w:val="24"/>
              </w:rPr>
            </w:pPr>
            <w:bookmarkStart w:id="61" w:name="_Toc252122823"/>
            <w:bookmarkStart w:id="62" w:name="_Toc267314520"/>
            <w:bookmarkStart w:id="63" w:name="_Toc462350299"/>
            <w:bookmarkStart w:id="64" w:name="_Toc311586253"/>
            <w:bookmarkStart w:id="65" w:name="_Toc225957887"/>
            <w:bookmarkStart w:id="66" w:name="_Toc68899581"/>
            <w:bookmarkStart w:id="67" w:name="_Toc498959917"/>
            <w:bookmarkStart w:id="68" w:name="_Toc396234216"/>
            <w:bookmarkStart w:id="69" w:name="_Toc484508938"/>
            <w:bookmarkStart w:id="70" w:name="_Toc531887116"/>
            <w:bookmarkStart w:id="71" w:name="_Toc198438480"/>
            <w:bookmarkStart w:id="72" w:name="_Toc196543370"/>
            <w:bookmarkStart w:id="73" w:name="_Toc344679112"/>
            <w:bookmarkStart w:id="74" w:name="_Toc439249524"/>
            <w:r>
              <w:rPr>
                <w:rFonts w:ascii="Times New Roman" w:hAnsi="Times New Roman" w:cs="Times New Roman"/>
                <w:b/>
                <w:sz w:val="24"/>
              </w:rPr>
              <w:t>4.1.4声环境影响</w:t>
            </w:r>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733BAE8A">
            <w:pPr>
              <w:spacing w:line="360" w:lineRule="auto"/>
              <w:ind w:firstLine="480" w:firstLineChars="200"/>
              <w:rPr>
                <w:rFonts w:ascii="Times New Roman" w:hAnsi="Times New Roman" w:cs="Times New Roman"/>
                <w:sz w:val="24"/>
              </w:rPr>
            </w:pPr>
            <w:r>
              <w:rPr>
                <w:rFonts w:ascii="Times New Roman" w:hAnsi="Times New Roman" w:cs="Times New Roman"/>
                <w:sz w:val="24"/>
              </w:rPr>
              <w:t>施工场地噪声：主要指施工机械设备噪声、物料装卸和碰撞噪声等。此外，装修、安装阶段噪声源有电钻、电锤、手工钻、无齿锯、多功能木工刨、混凝土搅拌机等，按《环境噪声与振动控制工程技术导则》（HJ2034-2013），距离声源10m处的声级在78～95dB（A）之间。拟建项目建筑面积不大，装修工作量相对较少，施工机械噪声影响主要在土建阶段。</w:t>
            </w:r>
          </w:p>
          <w:p w14:paraId="53A3EB87">
            <w:pPr>
              <w:spacing w:line="360" w:lineRule="auto"/>
              <w:ind w:firstLine="480" w:firstLineChars="200"/>
              <w:rPr>
                <w:rFonts w:ascii="Times New Roman" w:hAnsi="Times New Roman" w:cs="Times New Roman"/>
                <w:sz w:val="24"/>
              </w:rPr>
            </w:pPr>
            <w:r>
              <w:rPr>
                <w:rFonts w:ascii="Times New Roman" w:hAnsi="Times New Roman" w:cs="Times New Roman"/>
                <w:sz w:val="24"/>
              </w:rPr>
              <w:t>运输噪声：主要由各施工阶段物料运输车辆引起的，如弃渣运出、建筑材料及生产设备的运进。运输车辆一般采用重型载重汽车，距车辆行驶路线10m处噪声约78～86dB（A）。</w:t>
            </w:r>
          </w:p>
          <w:p w14:paraId="528F7C93">
            <w:pPr>
              <w:adjustRightInd w:val="0"/>
              <w:snapToGrid w:val="0"/>
              <w:spacing w:line="360" w:lineRule="auto"/>
              <w:ind w:firstLine="390"/>
              <w:rPr>
                <w:rFonts w:ascii="Times New Roman" w:hAnsi="Times New Roman" w:cs="Times New Roman"/>
                <w:bCs/>
                <w:spacing w:val="-10"/>
                <w:sz w:val="24"/>
                <w:szCs w:val="21"/>
              </w:rPr>
            </w:pPr>
            <w:r>
              <w:rPr>
                <w:rFonts w:ascii="Times New Roman" w:hAnsi="Times New Roman" w:cs="Times New Roman"/>
                <w:bCs/>
                <w:spacing w:val="-10"/>
                <w:sz w:val="24"/>
                <w:szCs w:val="21"/>
              </w:rPr>
              <w:t>根据《重庆市环境噪声污染防治办法》相关规定，采取主要措施如下：</w:t>
            </w:r>
          </w:p>
          <w:p w14:paraId="65AAE7C5">
            <w:pPr>
              <w:adjustRightInd w:val="0"/>
              <w:snapToGrid w:val="0"/>
              <w:spacing w:line="360" w:lineRule="auto"/>
              <w:ind w:firstLine="390"/>
              <w:rPr>
                <w:rFonts w:ascii="Times New Roman" w:hAnsi="Times New Roman" w:cs="Times New Roman"/>
                <w:bCs/>
                <w:spacing w:val="-10"/>
                <w:sz w:val="24"/>
                <w:szCs w:val="21"/>
              </w:rPr>
            </w:pPr>
            <w:r>
              <w:rPr>
                <w:rFonts w:ascii="Times New Roman" w:hAnsi="Times New Roman" w:cs="Times New Roman"/>
                <w:bCs/>
                <w:spacing w:val="-10"/>
                <w:sz w:val="24"/>
                <w:szCs w:val="21"/>
              </w:rPr>
              <w:t>（1）施工中尽量选用低噪声的施工机械或工艺，加强施工机械的维护保养，合理安排作业时间。</w:t>
            </w:r>
          </w:p>
          <w:p w14:paraId="688A5EA2">
            <w:pPr>
              <w:adjustRightInd w:val="0"/>
              <w:snapToGrid w:val="0"/>
              <w:spacing w:line="360" w:lineRule="auto"/>
              <w:ind w:firstLine="390"/>
              <w:rPr>
                <w:rFonts w:ascii="Times New Roman" w:hAnsi="Times New Roman" w:cs="Times New Roman"/>
                <w:bCs/>
                <w:spacing w:val="-10"/>
                <w:sz w:val="24"/>
                <w:szCs w:val="21"/>
              </w:rPr>
            </w:pPr>
            <w:r>
              <w:rPr>
                <w:rFonts w:ascii="Times New Roman" w:hAnsi="Times New Roman" w:cs="Times New Roman"/>
                <w:bCs/>
                <w:spacing w:val="-10"/>
                <w:sz w:val="24"/>
                <w:szCs w:val="21"/>
              </w:rPr>
              <w:t>（2）施工单位施工期间合理布局高噪声设备。</w:t>
            </w:r>
          </w:p>
          <w:p w14:paraId="1F5D668A">
            <w:pPr>
              <w:adjustRightInd w:val="0"/>
              <w:snapToGrid w:val="0"/>
              <w:spacing w:line="360" w:lineRule="auto"/>
              <w:ind w:firstLine="390"/>
              <w:rPr>
                <w:rFonts w:ascii="Times New Roman" w:hAnsi="Times New Roman" w:cs="Times New Roman"/>
                <w:bCs/>
                <w:spacing w:val="-10"/>
                <w:sz w:val="24"/>
                <w:szCs w:val="21"/>
              </w:rPr>
            </w:pPr>
            <w:r>
              <w:rPr>
                <w:rFonts w:ascii="Times New Roman" w:hAnsi="Times New Roman" w:cs="Times New Roman"/>
                <w:bCs/>
                <w:spacing w:val="-10"/>
                <w:sz w:val="24"/>
                <w:szCs w:val="21"/>
              </w:rPr>
              <w:t>（3）合理安排施工作业时间，禁止夜间施工。确因工艺要求必须连续24小时作业时，必须在连续施工4日前向当地环保局办理夜间施工手续，待其批准后，由施工单位认真实施降噪措施，并将审批的夜间施工手续悬挂在工地显眼处。</w:t>
            </w:r>
          </w:p>
          <w:p w14:paraId="5D336F02">
            <w:pPr>
              <w:adjustRightInd w:val="0"/>
              <w:snapToGrid w:val="0"/>
              <w:spacing w:line="360" w:lineRule="auto"/>
              <w:ind w:firstLine="390"/>
              <w:rPr>
                <w:rFonts w:ascii="Times New Roman" w:hAnsi="Times New Roman" w:cs="Times New Roman"/>
                <w:bCs/>
                <w:spacing w:val="-10"/>
                <w:sz w:val="24"/>
                <w:szCs w:val="21"/>
              </w:rPr>
            </w:pPr>
            <w:r>
              <w:rPr>
                <w:rFonts w:ascii="Times New Roman" w:hAnsi="Times New Roman" w:cs="Times New Roman"/>
                <w:bCs/>
                <w:spacing w:val="-10"/>
                <w:sz w:val="24"/>
                <w:szCs w:val="21"/>
              </w:rPr>
              <w:t>（4）车辆的运输应合理规划运输线路，尽量避开学校、医院、集镇等环境敏感点路段。或者居民敏感点较少的线路运输，运输车辆在运输经过居民点分布道路时禁止鸣笛，控制车速。同时，运输时段应避开居民出行高峰及休息时段。</w:t>
            </w:r>
          </w:p>
          <w:p w14:paraId="19368662">
            <w:pPr>
              <w:spacing w:line="360" w:lineRule="auto"/>
              <w:outlineLvl w:val="1"/>
              <w:rPr>
                <w:rFonts w:ascii="Times New Roman" w:hAnsi="Times New Roman" w:cs="Times New Roman"/>
                <w:b/>
                <w:sz w:val="24"/>
              </w:rPr>
            </w:pPr>
            <w:bookmarkStart w:id="75" w:name="_Toc531887117"/>
            <w:bookmarkStart w:id="76" w:name="_Toc439249525"/>
            <w:bookmarkStart w:id="77" w:name="_Toc198438481"/>
            <w:bookmarkStart w:id="78" w:name="_Toc68899582"/>
            <w:bookmarkStart w:id="79" w:name="_Toc267314521"/>
            <w:bookmarkStart w:id="80" w:name="_Toc462350300"/>
            <w:bookmarkStart w:id="81" w:name="_Toc498959918"/>
            <w:bookmarkStart w:id="82" w:name="_Toc225957888"/>
            <w:bookmarkStart w:id="83" w:name="_Toc484508939"/>
            <w:bookmarkStart w:id="84" w:name="_Toc344679113"/>
            <w:bookmarkStart w:id="85" w:name="_Toc196543371"/>
            <w:bookmarkStart w:id="86" w:name="_Toc252122824"/>
            <w:bookmarkStart w:id="87" w:name="_Toc396234217"/>
            <w:bookmarkStart w:id="88" w:name="_Toc311586254"/>
            <w:r>
              <w:rPr>
                <w:rFonts w:ascii="Times New Roman" w:hAnsi="Times New Roman" w:cs="Times New Roman"/>
                <w:b/>
                <w:sz w:val="24"/>
              </w:rPr>
              <w:t>4.1.5固体废弃物</w:t>
            </w:r>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5BCE0B3B">
            <w:pPr>
              <w:spacing w:line="360" w:lineRule="auto"/>
              <w:ind w:firstLine="480" w:firstLineChars="200"/>
              <w:rPr>
                <w:rFonts w:ascii="Times New Roman" w:hAnsi="Times New Roman" w:cs="Times New Roman"/>
                <w:sz w:val="24"/>
              </w:rPr>
            </w:pPr>
            <w:r>
              <w:rPr>
                <w:rFonts w:ascii="Times New Roman" w:hAnsi="Times New Roman" w:cs="Times New Roman"/>
                <w:sz w:val="24"/>
              </w:rPr>
              <w:t>拟建项目在现有厂址内建设，没有大量的土石方工程，施工中仅有少量的地基开挖产生的临时堆方，可用于厂区内的回填，少量临时堆方可用编织袋覆盖，防止雨季发生水土流失。</w:t>
            </w:r>
          </w:p>
          <w:p w14:paraId="0A91C807">
            <w:pPr>
              <w:spacing w:line="360" w:lineRule="auto"/>
              <w:ind w:firstLine="480" w:firstLineChars="200"/>
              <w:rPr>
                <w:rFonts w:ascii="Times New Roman" w:hAnsi="Times New Roman" w:cs="Times New Roman"/>
                <w:sz w:val="24"/>
              </w:rPr>
            </w:pPr>
            <w:r>
              <w:rPr>
                <w:rFonts w:ascii="Times New Roman" w:hAnsi="Times New Roman" w:cs="Times New Roman"/>
                <w:sz w:val="24"/>
              </w:rPr>
              <w:t>施工现场建筑垃圾按《建筑垃圾处理技术标准》（CJJ/T134）分为工程渣土、工程泥浆、工程垃圾、拆除垃圾；主要包括废弃建材（如废弃钢筋、铜管、铁丝等金属废弃物；砂石、石灰、混凝土、木材、废砖等无机非金属废弃物）以及设备安装过程中产生的废包装材料等，属于一般固体废物，交园区填埋场处置。施工期建筑垃圾实行定点堆放，并及时清运处理，外运时禁止超高超载，避免发生遗撒或泄漏。</w:t>
            </w:r>
          </w:p>
          <w:p w14:paraId="15B3761C">
            <w:pPr>
              <w:spacing w:line="360" w:lineRule="auto"/>
              <w:ind w:firstLine="480" w:firstLineChars="200"/>
              <w:rPr>
                <w:rFonts w:ascii="Times New Roman" w:hAnsi="Times New Roman" w:cs="Times New Roman"/>
                <w:sz w:val="24"/>
              </w:rPr>
            </w:pPr>
            <w:r>
              <w:rPr>
                <w:rFonts w:ascii="Times New Roman" w:hAnsi="Times New Roman" w:cs="Times New Roman"/>
                <w:sz w:val="24"/>
              </w:rPr>
              <w:t>施工现场还会产生具有腐蚀性、毒性、易燃性等危险特性的废弃物，主要包括废矿物油、废油漆桶、废粘合剂、废密封剂等，应按《国家危险废物名录》规定收集存放，交有危险废物处理资质单位处理。</w:t>
            </w:r>
          </w:p>
          <w:p w14:paraId="20C6C12D">
            <w:pPr>
              <w:spacing w:line="360" w:lineRule="auto"/>
              <w:ind w:firstLine="480" w:firstLineChars="200"/>
              <w:rPr>
                <w:rFonts w:ascii="Times New Roman" w:hAnsi="Times New Roman" w:cs="Times New Roman"/>
                <w:sz w:val="24"/>
              </w:rPr>
            </w:pPr>
            <w:r>
              <w:rPr>
                <w:rFonts w:ascii="Times New Roman" w:hAnsi="Times New Roman" w:cs="Times New Roman"/>
                <w:sz w:val="24"/>
              </w:rPr>
              <w:t>此外施工车辆出施工场地时清洁车轮，防止运输车辆将浮土带入道路。</w:t>
            </w:r>
          </w:p>
          <w:p w14:paraId="03EDAD40">
            <w:pPr>
              <w:pStyle w:val="198"/>
              <w:rPr>
                <w:rFonts w:ascii="Times New Roman" w:hAnsi="Times New Roman" w:cs="Times New Roman"/>
                <w:bCs/>
                <w:spacing w:val="-10"/>
                <w:szCs w:val="21"/>
              </w:rPr>
            </w:pPr>
            <w:r>
              <w:rPr>
                <w:rFonts w:ascii="Times New Roman" w:hAnsi="Times New Roman" w:cs="Times New Roman"/>
              </w:rPr>
              <w:t>施工单位只要加强处置和管理，固体废物对环境的影响可降至最低，不会对当地景观和环境造成明显的不良影响。</w:t>
            </w:r>
          </w:p>
        </w:tc>
      </w:tr>
      <w:tr w14:paraId="0BC689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412" w:type="dxa"/>
            <w:vAlign w:val="center"/>
          </w:tcPr>
          <w:p w14:paraId="5FE46726">
            <w:pPr>
              <w:adjustRightInd w:val="0"/>
              <w:snapToGrid w:val="0"/>
              <w:jc w:val="center"/>
              <w:rPr>
                <w:rFonts w:ascii="Times New Roman" w:hAnsi="Times New Roman" w:cs="Times New Roman"/>
                <w:bCs/>
                <w:szCs w:val="21"/>
              </w:rPr>
            </w:pPr>
            <w:r>
              <w:rPr>
                <w:rFonts w:ascii="Times New Roman" w:hAnsi="Times New Roman" w:cs="Times New Roman"/>
                <w:bCs/>
                <w:szCs w:val="21"/>
              </w:rPr>
              <w:t>运营</w:t>
            </w:r>
          </w:p>
          <w:p w14:paraId="5856100B">
            <w:pPr>
              <w:adjustRightInd w:val="0"/>
              <w:snapToGrid w:val="0"/>
              <w:jc w:val="center"/>
              <w:rPr>
                <w:rFonts w:ascii="Times New Roman" w:hAnsi="Times New Roman" w:cs="Times New Roman"/>
                <w:bCs/>
                <w:szCs w:val="21"/>
              </w:rPr>
            </w:pPr>
            <w:r>
              <w:rPr>
                <w:rFonts w:ascii="Times New Roman" w:hAnsi="Times New Roman" w:cs="Times New Roman"/>
                <w:bCs/>
                <w:szCs w:val="21"/>
              </w:rPr>
              <w:t>期环</w:t>
            </w:r>
          </w:p>
          <w:p w14:paraId="78B25DC5">
            <w:pPr>
              <w:adjustRightInd w:val="0"/>
              <w:snapToGrid w:val="0"/>
              <w:jc w:val="center"/>
              <w:rPr>
                <w:rFonts w:ascii="Times New Roman" w:hAnsi="Times New Roman" w:cs="Times New Roman"/>
                <w:bCs/>
                <w:szCs w:val="21"/>
              </w:rPr>
            </w:pPr>
            <w:r>
              <w:rPr>
                <w:rFonts w:ascii="Times New Roman" w:hAnsi="Times New Roman" w:cs="Times New Roman"/>
                <w:bCs/>
                <w:szCs w:val="21"/>
              </w:rPr>
              <w:t>境影</w:t>
            </w:r>
          </w:p>
          <w:p w14:paraId="6DC43E5B">
            <w:pPr>
              <w:adjustRightInd w:val="0"/>
              <w:snapToGrid w:val="0"/>
              <w:jc w:val="center"/>
              <w:rPr>
                <w:rFonts w:ascii="Times New Roman" w:hAnsi="Times New Roman" w:cs="Times New Roman"/>
                <w:bCs/>
                <w:szCs w:val="21"/>
              </w:rPr>
            </w:pPr>
            <w:r>
              <w:rPr>
                <w:rFonts w:ascii="Times New Roman" w:hAnsi="Times New Roman" w:cs="Times New Roman"/>
                <w:bCs/>
                <w:szCs w:val="21"/>
              </w:rPr>
              <w:t>响和</w:t>
            </w:r>
          </w:p>
          <w:p w14:paraId="1C992990">
            <w:pPr>
              <w:adjustRightInd w:val="0"/>
              <w:snapToGrid w:val="0"/>
              <w:jc w:val="center"/>
              <w:rPr>
                <w:rFonts w:ascii="Times New Roman" w:hAnsi="Times New Roman" w:cs="Times New Roman"/>
                <w:bCs/>
                <w:szCs w:val="21"/>
              </w:rPr>
            </w:pPr>
            <w:r>
              <w:rPr>
                <w:rFonts w:ascii="Times New Roman" w:hAnsi="Times New Roman" w:cs="Times New Roman"/>
                <w:bCs/>
                <w:szCs w:val="21"/>
              </w:rPr>
              <w:t>保护</w:t>
            </w:r>
          </w:p>
          <w:p w14:paraId="3ADC4092">
            <w:pPr>
              <w:adjustRightInd w:val="0"/>
              <w:snapToGrid w:val="0"/>
              <w:jc w:val="center"/>
              <w:rPr>
                <w:rFonts w:ascii="Times New Roman" w:hAnsi="Times New Roman" w:cs="Times New Roman"/>
                <w:bCs/>
                <w:szCs w:val="21"/>
              </w:rPr>
            </w:pPr>
            <w:r>
              <w:rPr>
                <w:rFonts w:ascii="Times New Roman" w:hAnsi="Times New Roman" w:cs="Times New Roman"/>
                <w:bCs/>
                <w:szCs w:val="21"/>
              </w:rPr>
              <w:t>措施</w:t>
            </w:r>
          </w:p>
        </w:tc>
        <w:tc>
          <w:tcPr>
            <w:tcW w:w="8569" w:type="dxa"/>
            <w:vAlign w:val="center"/>
          </w:tcPr>
          <w:p w14:paraId="2EA5F0EA">
            <w:pPr>
              <w:spacing w:line="360" w:lineRule="auto"/>
              <w:rPr>
                <w:rFonts w:ascii="Times New Roman" w:hAnsi="Times New Roman" w:cs="Times New Roman"/>
                <w:b/>
                <w:sz w:val="24"/>
              </w:rPr>
            </w:pPr>
            <w:r>
              <w:rPr>
                <w:rFonts w:ascii="Times New Roman" w:hAnsi="Times New Roman" w:cs="Times New Roman"/>
                <w:b/>
                <w:sz w:val="24"/>
              </w:rPr>
              <w:t>4.2.1废气环境影响和保护措施</w:t>
            </w:r>
          </w:p>
          <w:p w14:paraId="2F180C9D">
            <w:pPr>
              <w:adjustRightInd w:val="0"/>
              <w:snapToGrid w:val="0"/>
              <w:spacing w:line="360" w:lineRule="auto"/>
              <w:rPr>
                <w:rFonts w:ascii="Times New Roman" w:hAnsi="Times New Roman" w:cs="Times New Roman"/>
                <w:bCs/>
                <w:sz w:val="24"/>
              </w:rPr>
            </w:pPr>
            <w:r>
              <w:rPr>
                <w:rFonts w:ascii="Times New Roman" w:hAnsi="Times New Roman" w:cs="Times New Roman"/>
                <w:bCs/>
                <w:sz w:val="24"/>
              </w:rPr>
              <w:t>4.2.1.1产排污环节分析及治理措施</w:t>
            </w:r>
          </w:p>
          <w:p w14:paraId="48A8A113">
            <w:pPr>
              <w:adjustRightInd w:val="0"/>
              <w:snapToGrid w:val="0"/>
              <w:spacing w:line="360" w:lineRule="auto"/>
              <w:ind w:firstLine="480" w:firstLineChars="200"/>
              <w:rPr>
                <w:rFonts w:ascii="Times New Roman" w:hAnsi="Times New Roman" w:cs="Times New Roman"/>
                <w:sz w:val="24"/>
                <w:szCs w:val="26"/>
              </w:rPr>
            </w:pPr>
            <w:r>
              <w:rPr>
                <w:rFonts w:hint="eastAsia" w:ascii="Times New Roman" w:hAnsi="Times New Roman" w:cs="Times New Roman"/>
                <w:sz w:val="24"/>
                <w:szCs w:val="26"/>
              </w:rPr>
              <w:t>液化厂在生产过程中均采用密闭流程，阀门、管件选用密封性良好的产品，选择少泄露甚至无泄漏产品，在正常情况下无天然气排放。在站场内设有气体检测器，一旦发生意外，及时报警。</w:t>
            </w:r>
          </w:p>
          <w:p w14:paraId="08383F08">
            <w:pPr>
              <w:adjustRightInd w:val="0"/>
              <w:snapToGrid w:val="0"/>
              <w:spacing w:line="360" w:lineRule="auto"/>
              <w:ind w:firstLine="480" w:firstLineChars="200"/>
              <w:rPr>
                <w:rFonts w:ascii="Times New Roman" w:hAnsi="Times New Roman" w:cs="Times New Roman"/>
                <w:sz w:val="24"/>
                <w:szCs w:val="26"/>
              </w:rPr>
            </w:pPr>
            <w:r>
              <w:rPr>
                <w:rFonts w:hint="eastAsia" w:ascii="Times New Roman" w:hAnsi="Times New Roman" w:cs="Times New Roman"/>
                <w:sz w:val="24"/>
                <w:szCs w:val="26"/>
              </w:rPr>
              <w:t>根据工程分析，本项目所产生的废气主要为胺闪蒸罐废气G1、胺汽提塔排气G2、分子筛再生气G3、LNG储罐闪蒸汽G4和各冷剂储罐闪蒸汽G5，另外还包括了导热油炉废气G6、高架火炬烟气G7。其中胺闪蒸罐废气G1和各冷剂储罐闪蒸汽G5引至火炬燃烧，分子筛再生气G3和LNG储罐闪蒸汽G4与原料气一起进入净化单元进行净化。因此，外排的废气为胺汽提塔废气G2、导热油炉废气G6和火炬烟气G7。</w:t>
            </w:r>
          </w:p>
          <w:p w14:paraId="70D6C34F">
            <w:pPr>
              <w:adjustRightInd w:val="0"/>
              <w:snapToGrid w:val="0"/>
              <w:spacing w:line="360" w:lineRule="auto"/>
              <w:ind w:firstLine="480" w:firstLineChars="200"/>
              <w:rPr>
                <w:rFonts w:ascii="Times New Roman" w:hAnsi="Times New Roman" w:cs="Times New Roman"/>
                <w:sz w:val="24"/>
                <w:szCs w:val="26"/>
              </w:rPr>
            </w:pPr>
            <w:r>
              <w:rPr>
                <w:rFonts w:hint="eastAsia" w:ascii="宋体" w:hAnsi="宋体" w:cs="Times New Roman"/>
                <w:sz w:val="24"/>
              </w:rPr>
              <w:t>① 胺汽提</w:t>
            </w:r>
            <w:r>
              <w:rPr>
                <w:rFonts w:ascii="Times New Roman" w:hAnsi="宋体" w:cs="Times New Roman"/>
                <w:sz w:val="24"/>
              </w:rPr>
              <w:t>塔排气</w:t>
            </w:r>
            <w:r>
              <w:rPr>
                <w:rFonts w:ascii="Times New Roman" w:hAnsi="Times New Roman" w:cs="Times New Roman"/>
                <w:sz w:val="24"/>
              </w:rPr>
              <w:t>G2</w:t>
            </w:r>
          </w:p>
          <w:p w14:paraId="7A0FB0BF">
            <w:pPr>
              <w:adjustRightInd w:val="0"/>
              <w:snapToGrid w:val="0"/>
              <w:spacing w:line="360" w:lineRule="auto"/>
              <w:ind w:firstLine="480" w:firstLineChars="200"/>
              <w:rPr>
                <w:rFonts w:ascii="Times New Roman" w:hAnsi="Times New Roman" w:cs="Times New Roman"/>
                <w:sz w:val="24"/>
                <w:szCs w:val="26"/>
              </w:rPr>
            </w:pPr>
            <w:r>
              <w:rPr>
                <w:rFonts w:hint="eastAsia" w:ascii="Times New Roman" w:hAnsi="Times New Roman" w:cs="Times New Roman"/>
                <w:sz w:val="24"/>
                <w:szCs w:val="26"/>
              </w:rPr>
              <w:t>该废气主要含CO</w:t>
            </w:r>
            <w:r>
              <w:rPr>
                <w:rFonts w:hint="eastAsia" w:ascii="Times New Roman" w:hAnsi="Times New Roman" w:cs="Times New Roman"/>
                <w:sz w:val="24"/>
                <w:szCs w:val="26"/>
                <w:vertAlign w:val="subscript"/>
              </w:rPr>
              <w:t>2</w:t>
            </w:r>
            <w:r>
              <w:rPr>
                <w:rFonts w:hint="eastAsia" w:ascii="Times New Roman" w:hAnsi="Times New Roman" w:cs="Times New Roman"/>
                <w:sz w:val="24"/>
                <w:szCs w:val="26"/>
              </w:rPr>
              <w:t>由15m高的烟囱直接排放；</w:t>
            </w:r>
          </w:p>
          <w:p w14:paraId="46FC83C0">
            <w:pPr>
              <w:adjustRightInd w:val="0"/>
              <w:snapToGrid w:val="0"/>
              <w:spacing w:line="360" w:lineRule="auto"/>
              <w:ind w:firstLine="480" w:firstLineChars="200"/>
              <w:rPr>
                <w:rFonts w:ascii="Times New Roman" w:hAnsi="Times New Roman" w:cs="Times New Roman"/>
                <w:sz w:val="24"/>
              </w:rPr>
            </w:pPr>
            <w:r>
              <w:rPr>
                <w:rFonts w:hint="eastAsia" w:ascii="宋体" w:hAnsi="宋体" w:cs="Times New Roman"/>
                <w:sz w:val="24"/>
              </w:rPr>
              <w:t>②</w:t>
            </w:r>
            <w:r>
              <w:rPr>
                <w:rFonts w:hint="eastAsia" w:ascii="Times New Roman" w:hAnsi="Times New Roman" w:cs="Times New Roman"/>
                <w:sz w:val="24"/>
              </w:rPr>
              <w:t xml:space="preserve"> </w:t>
            </w:r>
            <w:r>
              <w:rPr>
                <w:rFonts w:ascii="Times New Roman" w:hAnsi="宋体" w:cs="Times New Roman"/>
                <w:sz w:val="24"/>
              </w:rPr>
              <w:t>导热油炉废气</w:t>
            </w:r>
            <w:r>
              <w:rPr>
                <w:rFonts w:hint="eastAsia" w:ascii="Times New Roman" w:hAnsi="宋体" w:cs="Times New Roman"/>
                <w:sz w:val="24"/>
              </w:rPr>
              <w:t>G6</w:t>
            </w:r>
          </w:p>
          <w:p w14:paraId="60573A09">
            <w:pPr>
              <w:adjustRightInd w:val="0"/>
              <w:snapToGrid w:val="0"/>
              <w:spacing w:line="360" w:lineRule="auto"/>
              <w:ind w:firstLine="480" w:firstLineChars="200"/>
              <w:rPr>
                <w:rFonts w:ascii="Times New Roman" w:hAnsi="Times New Roman" w:cs="Times New Roman"/>
                <w:kern w:val="0"/>
                <w:sz w:val="24"/>
              </w:rPr>
            </w:pPr>
            <w:r>
              <w:rPr>
                <w:rFonts w:ascii="Times New Roman" w:hAnsi="宋体" w:cs="Times New Roman"/>
                <w:sz w:val="24"/>
              </w:rPr>
              <w:t>本项目用热工艺装置用热负荷主要为再生用热，用热点为</w:t>
            </w:r>
            <w:r>
              <w:rPr>
                <w:rFonts w:ascii="Times New Roman" w:hAnsi="Times New Roman" w:cs="Times New Roman"/>
                <w:sz w:val="24"/>
              </w:rPr>
              <w:t>MDEA</w:t>
            </w:r>
            <w:r>
              <w:rPr>
                <w:rFonts w:ascii="Times New Roman" w:hAnsi="宋体" w:cs="Times New Roman"/>
                <w:sz w:val="24"/>
              </w:rPr>
              <w:t>再生和分子筛再生，采用燃气导热油炉供热。为分子筛再生和</w:t>
            </w:r>
            <w:r>
              <w:rPr>
                <w:rFonts w:ascii="Times New Roman" w:hAnsi="Times New Roman" w:cs="Times New Roman"/>
                <w:sz w:val="24"/>
              </w:rPr>
              <w:t>MDEA</w:t>
            </w:r>
            <w:r>
              <w:rPr>
                <w:rFonts w:ascii="Times New Roman" w:hAnsi="宋体" w:cs="Times New Roman"/>
                <w:sz w:val="24"/>
              </w:rPr>
              <w:t>再生提供的热量。加热炉出口温度为</w:t>
            </w:r>
            <w:r>
              <w:rPr>
                <w:rFonts w:ascii="Times New Roman" w:hAnsi="Times New Roman" w:cs="Times New Roman"/>
                <w:sz w:val="24"/>
              </w:rPr>
              <w:t>220</w:t>
            </w:r>
            <w:r>
              <w:rPr>
                <w:rFonts w:ascii="Times New Roman" w:hAnsi="宋体" w:cs="Times New Roman"/>
                <w:sz w:val="24"/>
              </w:rPr>
              <w:t>℃，进口温度为</w:t>
            </w:r>
            <w:r>
              <w:rPr>
                <w:rFonts w:ascii="Times New Roman" w:hAnsi="Times New Roman" w:cs="Times New Roman"/>
                <w:sz w:val="24"/>
              </w:rPr>
              <w:t>150</w:t>
            </w:r>
            <w:r>
              <w:rPr>
                <w:rFonts w:ascii="Times New Roman" w:hAnsi="宋体" w:cs="Times New Roman"/>
                <w:sz w:val="24"/>
              </w:rPr>
              <w:t>℃。燃料气消耗</w:t>
            </w:r>
            <w:r>
              <w:rPr>
                <w:rFonts w:hint="eastAsia" w:ascii="Times New Roman" w:hAnsi="Times New Roman" w:cs="Times New Roman"/>
                <w:sz w:val="24"/>
              </w:rPr>
              <w:t>564</w:t>
            </w:r>
            <w:r>
              <w:rPr>
                <w:rFonts w:ascii="Times New Roman" w:hAnsi="Times New Roman" w:cs="Times New Roman"/>
                <w:sz w:val="24"/>
              </w:rPr>
              <w:t xml:space="preserve"> Nm</w:t>
            </w:r>
            <w:r>
              <w:rPr>
                <w:rFonts w:ascii="Times New Roman" w:hAnsi="Times New Roman" w:cs="Times New Roman"/>
                <w:sz w:val="24"/>
                <w:vertAlign w:val="superscript"/>
              </w:rPr>
              <w:t>3</w:t>
            </w:r>
            <w:r>
              <w:rPr>
                <w:rFonts w:ascii="Times New Roman" w:hAnsi="Times New Roman" w:cs="Times New Roman"/>
                <w:sz w:val="24"/>
              </w:rPr>
              <w:t>/</w:t>
            </w:r>
            <w:r>
              <w:rPr>
                <w:rFonts w:hint="eastAsia" w:ascii="Times New Roman" w:hAnsi="Times New Roman" w:cs="Times New Roman"/>
                <w:sz w:val="24"/>
              </w:rPr>
              <w:t>h</w:t>
            </w:r>
            <w:r>
              <w:rPr>
                <w:rFonts w:ascii="Times New Roman" w:hAnsi="宋体" w:cs="Times New Roman"/>
                <w:sz w:val="24"/>
              </w:rPr>
              <w:t>，年消耗量为</w:t>
            </w:r>
            <w:r>
              <w:rPr>
                <w:rFonts w:hint="eastAsia" w:ascii="Times New Roman" w:hAnsi="Times New Roman" w:cs="Times New Roman"/>
                <w:sz w:val="24"/>
              </w:rPr>
              <w:t>451.2</w:t>
            </w:r>
            <w:r>
              <w:rPr>
                <w:rFonts w:ascii="Times New Roman" w:hAnsi="宋体" w:cs="Times New Roman"/>
                <w:sz w:val="24"/>
              </w:rPr>
              <w:t>万</w:t>
            </w:r>
            <w:r>
              <w:rPr>
                <w:rFonts w:ascii="Times New Roman" w:hAnsi="Times New Roman" w:cs="Times New Roman"/>
                <w:sz w:val="24"/>
              </w:rPr>
              <w:t>Nm</w:t>
            </w:r>
            <w:r>
              <w:rPr>
                <w:rFonts w:ascii="Times New Roman" w:hAnsi="Times New Roman" w:cs="Times New Roman"/>
                <w:sz w:val="24"/>
                <w:vertAlign w:val="superscript"/>
              </w:rPr>
              <w:t>3</w:t>
            </w:r>
            <w:r>
              <w:rPr>
                <w:rFonts w:ascii="Times New Roman" w:hAnsi="Times New Roman" w:cs="Times New Roman"/>
                <w:sz w:val="24"/>
              </w:rPr>
              <w:t>/a</w:t>
            </w:r>
            <w:r>
              <w:rPr>
                <w:rFonts w:ascii="Times New Roman" w:hAnsi="宋体" w:cs="Times New Roman"/>
                <w:sz w:val="24"/>
              </w:rPr>
              <w:t>，</w:t>
            </w:r>
            <w:r>
              <w:rPr>
                <w:rFonts w:ascii="Times New Roman" w:hAnsi="Times New Roman" w:cs="Times New Roman"/>
                <w:kern w:val="0"/>
                <w:sz w:val="24"/>
                <w:szCs w:val="20"/>
              </w:rPr>
              <w:t>导热油炉燃烧</w:t>
            </w:r>
            <w:r>
              <w:rPr>
                <w:rFonts w:ascii="Times New Roman" w:hAnsi="Times New Roman" w:cs="Times New Roman"/>
                <w:kern w:val="0"/>
                <w:sz w:val="24"/>
              </w:rPr>
              <w:t>废气污染物为烟尘、SO</w:t>
            </w:r>
            <w:r>
              <w:rPr>
                <w:rFonts w:ascii="Times New Roman" w:hAnsi="Times New Roman" w:cs="Times New Roman"/>
                <w:kern w:val="0"/>
                <w:sz w:val="24"/>
                <w:vertAlign w:val="subscript"/>
              </w:rPr>
              <w:t>2</w:t>
            </w:r>
            <w:r>
              <w:rPr>
                <w:rFonts w:ascii="Times New Roman" w:hAnsi="Times New Roman" w:cs="Times New Roman"/>
                <w:kern w:val="0"/>
                <w:sz w:val="24"/>
              </w:rPr>
              <w:t>、NOx。</w:t>
            </w:r>
          </w:p>
          <w:p w14:paraId="0D5A4A95">
            <w:pPr>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 xml:space="preserve">根据《环境统计手册》及《排污许可证申请与核发技术规范 锅炉》（HJ953-2018），燃气锅炉烟气量计算公式如下: </w:t>
            </w:r>
          </w:p>
          <w:p w14:paraId="5BEBEB67">
            <w:pPr>
              <w:adjustRightInd w:val="0"/>
              <w:snapToGrid w:val="0"/>
              <w:spacing w:line="360" w:lineRule="auto"/>
              <w:ind w:firstLine="480" w:firstLineChars="200"/>
              <w:jc w:val="center"/>
              <w:rPr>
                <w:rFonts w:ascii="Times New Roman" w:hAnsi="Times New Roman" w:cs="Times New Roman"/>
                <w:sz w:val="24"/>
              </w:rPr>
            </w:pPr>
            <w:r>
              <w:rPr>
                <w:rFonts w:ascii="Times New Roman" w:hAnsi="Times New Roman" w:cs="Times New Roman"/>
                <w:sz w:val="24"/>
              </w:rPr>
              <w:t>Vo=0.26 Q</w:t>
            </w:r>
            <w:r>
              <w:rPr>
                <w:rFonts w:ascii="Times New Roman" w:hAnsi="Times New Roman" w:cs="Times New Roman"/>
                <w:sz w:val="24"/>
                <w:vertAlign w:val="subscript"/>
              </w:rPr>
              <w:t>L</w:t>
            </w:r>
            <w:r>
              <w:rPr>
                <w:rFonts w:ascii="Times New Roman" w:hAnsi="Times New Roman" w:cs="Times New Roman"/>
                <w:sz w:val="24"/>
                <w:vertAlign w:val="superscript"/>
              </w:rPr>
              <w:t>Y</w:t>
            </w:r>
            <w:r>
              <w:rPr>
                <w:rFonts w:ascii="Times New Roman" w:hAnsi="Times New Roman" w:cs="Times New Roman"/>
                <w:sz w:val="24"/>
              </w:rPr>
              <w:t>/1000-0.25</w:t>
            </w:r>
          </w:p>
          <w:p w14:paraId="04B2ADE1">
            <w:pPr>
              <w:adjustRightInd w:val="0"/>
              <w:snapToGrid w:val="0"/>
              <w:spacing w:line="360" w:lineRule="auto"/>
              <w:ind w:firstLine="480" w:firstLineChars="200"/>
              <w:jc w:val="center"/>
              <w:rPr>
                <w:rFonts w:ascii="Times New Roman" w:hAnsi="Times New Roman" w:cs="Times New Roman"/>
                <w:sz w:val="24"/>
              </w:rPr>
            </w:pPr>
            <w:r>
              <w:rPr>
                <w:rFonts w:ascii="Times New Roman" w:hAnsi="Times New Roman" w:cs="Times New Roman"/>
                <w:sz w:val="24"/>
              </w:rPr>
              <w:t>Vy=1. 14Q</w:t>
            </w:r>
            <w:r>
              <w:rPr>
                <w:rFonts w:ascii="Times New Roman" w:hAnsi="Times New Roman" w:cs="Times New Roman"/>
                <w:sz w:val="24"/>
                <w:vertAlign w:val="subscript"/>
              </w:rPr>
              <w:t>L</w:t>
            </w:r>
            <w:r>
              <w:rPr>
                <w:rFonts w:ascii="Times New Roman" w:hAnsi="Times New Roman" w:cs="Times New Roman"/>
                <w:sz w:val="24"/>
                <w:vertAlign w:val="superscript"/>
              </w:rPr>
              <w:t>Y</w:t>
            </w:r>
            <w:r>
              <w:rPr>
                <w:rFonts w:ascii="Times New Roman" w:hAnsi="Times New Roman" w:cs="Times New Roman"/>
                <w:sz w:val="24"/>
              </w:rPr>
              <w:t>/4187-0.25+ 1.0161 (a-1) Vo</w:t>
            </w:r>
          </w:p>
          <w:p w14:paraId="55C553F3">
            <w:pPr>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式中：Vy－实际烟气量，m</w:t>
            </w:r>
            <w:r>
              <w:rPr>
                <w:rFonts w:ascii="Times New Roman" w:hAnsi="Times New Roman" w:cs="Times New Roman"/>
                <w:sz w:val="24"/>
                <w:vertAlign w:val="superscript"/>
              </w:rPr>
              <w:t>3</w:t>
            </w:r>
            <w:r>
              <w:rPr>
                <w:rFonts w:ascii="Times New Roman" w:hAnsi="Times New Roman" w:cs="Times New Roman"/>
                <w:sz w:val="24"/>
              </w:rPr>
              <w:t>/m</w:t>
            </w:r>
            <w:r>
              <w:rPr>
                <w:rFonts w:ascii="Times New Roman" w:hAnsi="Times New Roman" w:cs="Times New Roman"/>
                <w:sz w:val="24"/>
                <w:vertAlign w:val="superscript"/>
              </w:rPr>
              <w:t>3</w:t>
            </w:r>
            <w:r>
              <w:rPr>
                <w:rFonts w:ascii="Times New Roman" w:hAnsi="Times New Roman" w:cs="Times New Roman"/>
                <w:sz w:val="24"/>
              </w:rPr>
              <w:t>-原料；</w:t>
            </w:r>
          </w:p>
          <w:p w14:paraId="0E32687F">
            <w:pPr>
              <w:adjustRightInd w:val="0"/>
              <w:snapToGrid w:val="0"/>
              <w:spacing w:line="360" w:lineRule="auto"/>
              <w:ind w:firstLine="1200" w:firstLineChars="500"/>
              <w:jc w:val="left"/>
              <w:rPr>
                <w:rFonts w:ascii="Times New Roman" w:hAnsi="Times New Roman" w:cs="Times New Roman"/>
                <w:sz w:val="24"/>
              </w:rPr>
            </w:pPr>
            <w:r>
              <w:rPr>
                <w:rFonts w:ascii="Times New Roman" w:hAnsi="Times New Roman" w:cs="Times New Roman"/>
                <w:sz w:val="24"/>
              </w:rPr>
              <w:t>Q</w:t>
            </w:r>
            <w:r>
              <w:rPr>
                <w:rFonts w:ascii="Times New Roman" w:hAnsi="Times New Roman" w:cs="Times New Roman"/>
                <w:sz w:val="24"/>
                <w:vertAlign w:val="subscript"/>
              </w:rPr>
              <w:t>L</w:t>
            </w:r>
            <w:r>
              <w:rPr>
                <w:rFonts w:ascii="Times New Roman" w:hAnsi="Times New Roman" w:cs="Times New Roman"/>
                <w:sz w:val="24"/>
                <w:vertAlign w:val="superscript"/>
              </w:rPr>
              <w:t>Y</w:t>
            </w:r>
            <w:r>
              <w:rPr>
                <w:rFonts w:ascii="Times New Roman" w:hAnsi="Times New Roman" w:cs="Times New Roman"/>
                <w:sz w:val="24"/>
              </w:rPr>
              <w:t>－燃料的低位发热值，KJ/m</w:t>
            </w:r>
            <w:r>
              <w:rPr>
                <w:rFonts w:ascii="Times New Roman" w:hAnsi="Times New Roman" w:cs="Times New Roman"/>
                <w:sz w:val="24"/>
                <w:vertAlign w:val="superscript"/>
              </w:rPr>
              <w:t>3</w:t>
            </w:r>
            <w:r>
              <w:rPr>
                <w:rFonts w:ascii="Times New Roman" w:hAnsi="Times New Roman" w:cs="Times New Roman"/>
                <w:sz w:val="24"/>
              </w:rPr>
              <w:t>，天然气为38630 KJ/m</w:t>
            </w:r>
            <w:r>
              <w:rPr>
                <w:rFonts w:ascii="Times New Roman" w:hAnsi="Times New Roman" w:cs="Times New Roman"/>
                <w:sz w:val="24"/>
                <w:vertAlign w:val="superscript"/>
              </w:rPr>
              <w:t>3</w:t>
            </w:r>
            <w:r>
              <w:rPr>
                <w:rFonts w:ascii="Times New Roman" w:hAnsi="Times New Roman" w:cs="Times New Roman"/>
                <w:sz w:val="24"/>
              </w:rPr>
              <w:t>；</w:t>
            </w:r>
          </w:p>
          <w:p w14:paraId="3EDF9419">
            <w:pPr>
              <w:adjustRightInd w:val="0"/>
              <w:snapToGrid w:val="0"/>
              <w:spacing w:line="360" w:lineRule="auto"/>
              <w:ind w:firstLine="1200" w:firstLineChars="500"/>
              <w:jc w:val="left"/>
              <w:rPr>
                <w:rFonts w:ascii="Times New Roman" w:hAnsi="Times New Roman" w:cs="Times New Roman"/>
                <w:sz w:val="24"/>
              </w:rPr>
            </w:pPr>
            <w:r>
              <w:rPr>
                <w:rFonts w:ascii="Times New Roman" w:hAnsi="Times New Roman" w:cs="Times New Roman"/>
                <w:sz w:val="24"/>
              </w:rPr>
              <w:t>a－过剩空气系数，a取1.5；</w:t>
            </w:r>
          </w:p>
          <w:p w14:paraId="22415342">
            <w:pPr>
              <w:adjustRightInd w:val="0"/>
              <w:snapToGrid w:val="0"/>
              <w:spacing w:line="360" w:lineRule="auto"/>
              <w:ind w:firstLine="1200" w:firstLineChars="500"/>
              <w:jc w:val="left"/>
              <w:rPr>
                <w:rFonts w:ascii="Times New Roman" w:hAnsi="Times New Roman" w:cs="Times New Roman"/>
                <w:sz w:val="24"/>
              </w:rPr>
            </w:pPr>
            <w:r>
              <w:rPr>
                <w:rFonts w:ascii="Times New Roman" w:hAnsi="Times New Roman" w:cs="Times New Roman"/>
                <w:sz w:val="24"/>
              </w:rPr>
              <w:t>Vo－理论空气需要量，m</w:t>
            </w:r>
            <w:r>
              <w:rPr>
                <w:rFonts w:ascii="Times New Roman" w:hAnsi="Times New Roman" w:cs="Times New Roman"/>
                <w:sz w:val="24"/>
                <w:vertAlign w:val="superscript"/>
              </w:rPr>
              <w:t>3</w:t>
            </w:r>
            <w:r>
              <w:rPr>
                <w:rFonts w:ascii="Times New Roman" w:hAnsi="Times New Roman" w:cs="Times New Roman"/>
                <w:sz w:val="24"/>
              </w:rPr>
              <w:t>/m</w:t>
            </w:r>
            <w:r>
              <w:rPr>
                <w:rFonts w:ascii="Times New Roman" w:hAnsi="Times New Roman" w:cs="Times New Roman"/>
                <w:sz w:val="24"/>
                <w:vertAlign w:val="superscript"/>
              </w:rPr>
              <w:t>3</w:t>
            </w:r>
            <w:r>
              <w:rPr>
                <w:rFonts w:ascii="Times New Roman" w:hAnsi="Times New Roman" w:cs="Times New Roman"/>
                <w:sz w:val="24"/>
              </w:rPr>
              <w:t>-原料，经计算得9.8 m</w:t>
            </w:r>
            <w:r>
              <w:rPr>
                <w:rFonts w:ascii="Times New Roman" w:hAnsi="Times New Roman" w:cs="Times New Roman"/>
                <w:sz w:val="24"/>
                <w:vertAlign w:val="superscript"/>
              </w:rPr>
              <w:t>3</w:t>
            </w:r>
            <w:r>
              <w:rPr>
                <w:rFonts w:ascii="Times New Roman" w:hAnsi="Times New Roman" w:cs="Times New Roman"/>
                <w:sz w:val="24"/>
              </w:rPr>
              <w:t>/m</w:t>
            </w:r>
            <w:r>
              <w:rPr>
                <w:rFonts w:ascii="Times New Roman" w:hAnsi="Times New Roman" w:cs="Times New Roman"/>
                <w:sz w:val="24"/>
                <w:vertAlign w:val="superscript"/>
              </w:rPr>
              <w:t>3</w:t>
            </w:r>
            <w:r>
              <w:rPr>
                <w:rFonts w:ascii="Times New Roman" w:hAnsi="Times New Roman" w:cs="Times New Roman"/>
                <w:sz w:val="24"/>
              </w:rPr>
              <w:t>-原料。</w:t>
            </w:r>
          </w:p>
          <w:p w14:paraId="3F23CC17">
            <w:pPr>
              <w:adjustRightInd w:val="0"/>
              <w:snapToGrid w:val="0"/>
              <w:spacing w:line="360" w:lineRule="auto"/>
              <w:ind w:firstLine="480" w:firstLineChars="200"/>
              <w:jc w:val="left"/>
              <w:rPr>
                <w:rFonts w:ascii="Times New Roman" w:hAnsi="Times New Roman" w:cs="Times New Roman"/>
                <w:color w:val="FF0000"/>
                <w:sz w:val="24"/>
              </w:rPr>
            </w:pPr>
            <w:r>
              <w:rPr>
                <w:rFonts w:ascii="Times New Roman" w:hAnsi="Times New Roman" w:cs="Times New Roman"/>
                <w:color w:val="FF0000"/>
                <w:sz w:val="24"/>
              </w:rPr>
              <w:t>经计算，项目锅炉天然气烟气量排放系数为15.25万Nm</w:t>
            </w:r>
            <w:r>
              <w:rPr>
                <w:rFonts w:ascii="Times New Roman" w:hAnsi="Times New Roman" w:cs="Times New Roman"/>
                <w:color w:val="FF0000"/>
                <w:sz w:val="24"/>
                <w:vertAlign w:val="superscript"/>
              </w:rPr>
              <w:t>3</w:t>
            </w:r>
            <w:r>
              <w:rPr>
                <w:rFonts w:ascii="Times New Roman" w:hAnsi="Times New Roman" w:cs="Times New Roman"/>
                <w:color w:val="FF0000"/>
                <w:sz w:val="24"/>
              </w:rPr>
              <w:t>/万Nm</w:t>
            </w:r>
            <w:r>
              <w:rPr>
                <w:rFonts w:ascii="Times New Roman" w:hAnsi="Times New Roman" w:cs="Times New Roman"/>
                <w:color w:val="FF0000"/>
                <w:sz w:val="24"/>
                <w:vertAlign w:val="superscript"/>
              </w:rPr>
              <w:t>3</w:t>
            </w:r>
            <w:r>
              <w:rPr>
                <w:rFonts w:ascii="Times New Roman" w:hAnsi="Times New Roman" w:cs="Times New Roman"/>
                <w:color w:val="FF0000"/>
                <w:sz w:val="24"/>
              </w:rPr>
              <w:t>-原料，则项目烟气产生量为6880.8万Nm</w:t>
            </w:r>
            <w:r>
              <w:rPr>
                <w:rFonts w:ascii="Times New Roman" w:hAnsi="Times New Roman" w:cs="Times New Roman"/>
                <w:color w:val="FF0000"/>
                <w:sz w:val="24"/>
                <w:vertAlign w:val="superscript"/>
              </w:rPr>
              <w:t>3</w:t>
            </w:r>
            <w:r>
              <w:rPr>
                <w:rFonts w:ascii="Times New Roman" w:hAnsi="Times New Roman" w:cs="Times New Roman"/>
                <w:color w:val="FF0000"/>
                <w:sz w:val="24"/>
              </w:rPr>
              <w:t>/a。采取低氮燃烧后项目烟尘排放量1.29t/a、SO</w:t>
            </w:r>
            <w:r>
              <w:rPr>
                <w:rFonts w:ascii="Times New Roman" w:hAnsi="Times New Roman" w:cs="Times New Roman"/>
                <w:color w:val="FF0000"/>
                <w:sz w:val="24"/>
                <w:vertAlign w:val="subscript"/>
              </w:rPr>
              <w:t>2</w:t>
            </w:r>
            <w:r>
              <w:rPr>
                <w:rFonts w:ascii="Times New Roman" w:hAnsi="Times New Roman" w:cs="Times New Roman"/>
                <w:color w:val="FF0000"/>
                <w:sz w:val="24"/>
              </w:rPr>
              <w:t>粒物排放量0.09 t/a、NOx排放量2.02 t/a。</w:t>
            </w:r>
          </w:p>
          <w:p w14:paraId="5B596246">
            <w:pPr>
              <w:widowControl/>
              <w:snapToGrid w:val="0"/>
              <w:ind w:firstLine="420" w:firstLineChars="200"/>
              <w:jc w:val="center"/>
              <w:rPr>
                <w:rFonts w:ascii="Times New Roman" w:hAnsi="Times New Roman" w:cs="Times New Roman"/>
                <w:color w:val="FF0000"/>
                <w:kern w:val="0"/>
                <w:szCs w:val="21"/>
              </w:rPr>
            </w:pPr>
            <w:r>
              <w:rPr>
                <w:rFonts w:ascii="Times New Roman" w:hAnsi="Times New Roman" w:cs="Times New Roman"/>
                <w:color w:val="FF0000"/>
                <w:kern w:val="0"/>
              </w:rPr>
              <w:t>表4.2-1 天然气燃烧废气产排放一览表</w:t>
            </w:r>
          </w:p>
          <w:tbl>
            <w:tblPr>
              <w:tblStyle w:val="81"/>
              <w:tblW w:w="49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1206"/>
              <w:gridCol w:w="1402"/>
              <w:gridCol w:w="1071"/>
              <w:gridCol w:w="1306"/>
              <w:gridCol w:w="1077"/>
              <w:gridCol w:w="1293"/>
            </w:tblGrid>
            <w:tr w14:paraId="022CF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96" w:type="pct"/>
                  <w:vAlign w:val="center"/>
                </w:tcPr>
                <w:p w14:paraId="0F1C020E">
                  <w:pPr>
                    <w:widowControl/>
                    <w:snapToGrid w:val="0"/>
                    <w:jc w:val="center"/>
                    <w:rPr>
                      <w:rFonts w:ascii="Times New Roman" w:hAnsi="Times New Roman" w:cs="Times New Roman"/>
                      <w:color w:val="FF0000"/>
                      <w:kern w:val="0"/>
                      <w:szCs w:val="21"/>
                    </w:rPr>
                  </w:pPr>
                  <w:r>
                    <w:rPr>
                      <w:rFonts w:ascii="Times New Roman" w:hAnsi="Times New Roman" w:cs="Times New Roman"/>
                      <w:color w:val="FF0000"/>
                      <w:kern w:val="0"/>
                      <w:szCs w:val="21"/>
                    </w:rPr>
                    <w:t>燃料名称</w:t>
                  </w:r>
                </w:p>
              </w:tc>
              <w:tc>
                <w:tcPr>
                  <w:tcW w:w="738" w:type="pct"/>
                  <w:vAlign w:val="center"/>
                </w:tcPr>
                <w:p w14:paraId="408798C5">
                  <w:pPr>
                    <w:widowControl/>
                    <w:snapToGrid w:val="0"/>
                    <w:jc w:val="center"/>
                    <w:rPr>
                      <w:rFonts w:ascii="Times New Roman" w:hAnsi="Times New Roman" w:cs="Times New Roman"/>
                      <w:color w:val="FF0000"/>
                      <w:kern w:val="0"/>
                      <w:szCs w:val="21"/>
                    </w:rPr>
                  </w:pPr>
                  <w:r>
                    <w:rPr>
                      <w:rFonts w:ascii="Times New Roman" w:hAnsi="Times New Roman" w:cs="Times New Roman"/>
                      <w:color w:val="FF0000"/>
                      <w:kern w:val="0"/>
                      <w:szCs w:val="21"/>
                    </w:rPr>
                    <w:t>污染物</w:t>
                  </w:r>
                </w:p>
              </w:tc>
              <w:tc>
                <w:tcPr>
                  <w:tcW w:w="858" w:type="pct"/>
                  <w:vAlign w:val="center"/>
                </w:tcPr>
                <w:p w14:paraId="2CFC948F">
                  <w:pPr>
                    <w:widowControl/>
                    <w:snapToGrid w:val="0"/>
                    <w:jc w:val="center"/>
                    <w:rPr>
                      <w:rFonts w:ascii="Times New Roman" w:hAnsi="Times New Roman" w:cs="Times New Roman"/>
                      <w:color w:val="FF0000"/>
                      <w:kern w:val="0"/>
                      <w:szCs w:val="21"/>
                    </w:rPr>
                  </w:pPr>
                  <w:r>
                    <w:rPr>
                      <w:rFonts w:ascii="Times New Roman" w:hAnsi="Times New Roman" w:cs="Times New Roman"/>
                      <w:color w:val="FF0000"/>
                      <w:kern w:val="0"/>
                      <w:szCs w:val="21"/>
                    </w:rPr>
                    <w:t>产污系数（kg/万m</w:t>
                  </w:r>
                  <w:r>
                    <w:rPr>
                      <w:rFonts w:ascii="Times New Roman" w:hAnsi="Times New Roman" w:cs="Times New Roman"/>
                      <w:color w:val="FF0000"/>
                      <w:kern w:val="0"/>
                      <w:szCs w:val="21"/>
                      <w:vertAlign w:val="superscript"/>
                    </w:rPr>
                    <w:t>3</w:t>
                  </w:r>
                  <w:r>
                    <w:rPr>
                      <w:rFonts w:ascii="Times New Roman" w:hAnsi="Times New Roman" w:cs="Times New Roman"/>
                      <w:color w:val="FF0000"/>
                      <w:kern w:val="0"/>
                      <w:szCs w:val="21"/>
                    </w:rPr>
                    <w:t>-燃料）</w:t>
                  </w:r>
                </w:p>
              </w:tc>
              <w:tc>
                <w:tcPr>
                  <w:tcW w:w="655" w:type="pct"/>
                  <w:vAlign w:val="center"/>
                </w:tcPr>
                <w:p w14:paraId="70DC075D">
                  <w:pPr>
                    <w:widowControl/>
                    <w:snapToGrid w:val="0"/>
                    <w:jc w:val="center"/>
                    <w:rPr>
                      <w:rFonts w:ascii="Times New Roman" w:hAnsi="Times New Roman" w:cs="Times New Roman"/>
                      <w:color w:val="FF0000"/>
                      <w:kern w:val="0"/>
                      <w:szCs w:val="21"/>
                    </w:rPr>
                  </w:pPr>
                  <w:r>
                    <w:rPr>
                      <w:rFonts w:ascii="Times New Roman" w:hAnsi="Times New Roman" w:cs="Times New Roman"/>
                      <w:color w:val="FF0000"/>
                      <w:kern w:val="0"/>
                      <w:szCs w:val="21"/>
                    </w:rPr>
                    <w:t>末端治理技术</w:t>
                  </w:r>
                </w:p>
              </w:tc>
              <w:tc>
                <w:tcPr>
                  <w:tcW w:w="799" w:type="pct"/>
                  <w:vAlign w:val="center"/>
                </w:tcPr>
                <w:p w14:paraId="44137DAF">
                  <w:pPr>
                    <w:widowControl/>
                    <w:snapToGrid w:val="0"/>
                    <w:jc w:val="center"/>
                    <w:rPr>
                      <w:rFonts w:ascii="Times New Roman" w:hAnsi="Times New Roman" w:cs="Times New Roman"/>
                      <w:color w:val="FF0000"/>
                      <w:kern w:val="0"/>
                      <w:szCs w:val="21"/>
                    </w:rPr>
                  </w:pPr>
                  <w:r>
                    <w:rPr>
                      <w:rFonts w:ascii="Times New Roman" w:hAnsi="Times New Roman" w:cs="Times New Roman"/>
                      <w:color w:val="FF0000"/>
                      <w:kern w:val="0"/>
                      <w:szCs w:val="21"/>
                    </w:rPr>
                    <w:t>排污系数（kg/万m</w:t>
                  </w:r>
                  <w:r>
                    <w:rPr>
                      <w:rFonts w:ascii="Times New Roman" w:hAnsi="Times New Roman" w:cs="Times New Roman"/>
                      <w:color w:val="FF0000"/>
                      <w:kern w:val="0"/>
                      <w:szCs w:val="21"/>
                      <w:vertAlign w:val="superscript"/>
                    </w:rPr>
                    <w:t>3</w:t>
                  </w:r>
                  <w:r>
                    <w:rPr>
                      <w:rFonts w:ascii="Times New Roman" w:hAnsi="Times New Roman" w:cs="Times New Roman"/>
                      <w:color w:val="FF0000"/>
                      <w:kern w:val="0"/>
                      <w:szCs w:val="21"/>
                    </w:rPr>
                    <w:t>-燃料）</w:t>
                  </w:r>
                </w:p>
              </w:tc>
              <w:tc>
                <w:tcPr>
                  <w:tcW w:w="659" w:type="pct"/>
                  <w:vAlign w:val="center"/>
                </w:tcPr>
                <w:p w14:paraId="3AC98900">
                  <w:pPr>
                    <w:widowControl/>
                    <w:snapToGrid w:val="0"/>
                    <w:jc w:val="center"/>
                    <w:rPr>
                      <w:rFonts w:ascii="Times New Roman" w:hAnsi="Times New Roman" w:cs="Times New Roman"/>
                      <w:color w:val="FF0000"/>
                      <w:kern w:val="0"/>
                      <w:szCs w:val="21"/>
                    </w:rPr>
                  </w:pPr>
                  <w:r>
                    <w:rPr>
                      <w:rFonts w:ascii="Times New Roman" w:hAnsi="Times New Roman" w:cs="Times New Roman"/>
                      <w:color w:val="FF0000"/>
                      <w:kern w:val="0"/>
                      <w:szCs w:val="21"/>
                    </w:rPr>
                    <w:t>排放量（t/a）</w:t>
                  </w:r>
                </w:p>
              </w:tc>
              <w:tc>
                <w:tcPr>
                  <w:tcW w:w="791" w:type="pct"/>
                  <w:vAlign w:val="center"/>
                </w:tcPr>
                <w:p w14:paraId="6099AA74">
                  <w:pPr>
                    <w:widowControl/>
                    <w:snapToGrid w:val="0"/>
                    <w:jc w:val="center"/>
                    <w:rPr>
                      <w:rFonts w:ascii="Times New Roman" w:hAnsi="Times New Roman" w:cs="Times New Roman"/>
                      <w:color w:val="FF0000"/>
                      <w:kern w:val="0"/>
                      <w:szCs w:val="21"/>
                    </w:rPr>
                  </w:pPr>
                  <w:r>
                    <w:rPr>
                      <w:rFonts w:ascii="Times New Roman" w:hAnsi="Times New Roman" w:cs="Times New Roman"/>
                      <w:color w:val="FF0000"/>
                      <w:kern w:val="0"/>
                      <w:szCs w:val="21"/>
                    </w:rPr>
                    <w:t>排放浓度（mg/m</w:t>
                  </w:r>
                  <w:r>
                    <w:rPr>
                      <w:rFonts w:ascii="Times New Roman" w:hAnsi="Times New Roman" w:cs="Times New Roman"/>
                      <w:color w:val="FF0000"/>
                      <w:kern w:val="0"/>
                      <w:szCs w:val="21"/>
                      <w:vertAlign w:val="superscript"/>
                    </w:rPr>
                    <w:t>3</w:t>
                  </w:r>
                  <w:r>
                    <w:rPr>
                      <w:rFonts w:ascii="Times New Roman" w:hAnsi="Times New Roman" w:cs="Times New Roman"/>
                      <w:color w:val="FF0000"/>
                      <w:kern w:val="0"/>
                      <w:szCs w:val="21"/>
                    </w:rPr>
                    <w:t>）</w:t>
                  </w:r>
                </w:p>
              </w:tc>
            </w:tr>
            <w:tr w14:paraId="6F16B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6" w:type="pct"/>
                  <w:vMerge w:val="restart"/>
                  <w:vAlign w:val="center"/>
                </w:tcPr>
                <w:p w14:paraId="12C21BBD">
                  <w:pPr>
                    <w:widowControl/>
                    <w:snapToGrid w:val="0"/>
                    <w:jc w:val="center"/>
                    <w:rPr>
                      <w:rFonts w:ascii="Times New Roman" w:hAnsi="Times New Roman" w:cs="Times New Roman"/>
                      <w:color w:val="FF0000"/>
                      <w:kern w:val="0"/>
                      <w:szCs w:val="21"/>
                    </w:rPr>
                  </w:pPr>
                  <w:r>
                    <w:rPr>
                      <w:rFonts w:ascii="Times New Roman" w:hAnsi="Times New Roman" w:cs="Times New Roman"/>
                      <w:color w:val="FF0000"/>
                      <w:kern w:val="0"/>
                      <w:szCs w:val="21"/>
                    </w:rPr>
                    <w:t>天然气</w:t>
                  </w:r>
                </w:p>
              </w:tc>
              <w:tc>
                <w:tcPr>
                  <w:tcW w:w="738" w:type="pct"/>
                  <w:vAlign w:val="center"/>
                </w:tcPr>
                <w:p w14:paraId="3BAEDD3B">
                  <w:pPr>
                    <w:widowControl/>
                    <w:snapToGrid w:val="0"/>
                    <w:jc w:val="center"/>
                    <w:rPr>
                      <w:rFonts w:ascii="Times New Roman" w:hAnsi="Times New Roman" w:cs="Times New Roman"/>
                      <w:color w:val="FF0000"/>
                      <w:kern w:val="0"/>
                      <w:szCs w:val="21"/>
                    </w:rPr>
                  </w:pPr>
                  <w:r>
                    <w:rPr>
                      <w:rFonts w:ascii="Times New Roman" w:hAnsi="Times New Roman" w:cs="Times New Roman"/>
                      <w:color w:val="FF0000"/>
                      <w:kern w:val="0"/>
                      <w:szCs w:val="21"/>
                    </w:rPr>
                    <w:t>烟尘</w:t>
                  </w:r>
                </w:p>
              </w:tc>
              <w:tc>
                <w:tcPr>
                  <w:tcW w:w="858" w:type="pct"/>
                  <w:vAlign w:val="center"/>
                </w:tcPr>
                <w:p w14:paraId="3E69FA6C">
                  <w:pPr>
                    <w:widowControl/>
                    <w:snapToGrid w:val="0"/>
                    <w:jc w:val="center"/>
                    <w:rPr>
                      <w:rFonts w:ascii="Times New Roman" w:hAnsi="Times New Roman" w:cs="Times New Roman"/>
                      <w:color w:val="FF0000"/>
                      <w:kern w:val="0"/>
                      <w:szCs w:val="21"/>
                    </w:rPr>
                  </w:pPr>
                  <w:r>
                    <w:rPr>
                      <w:rFonts w:ascii="Times New Roman" w:hAnsi="Times New Roman" w:cs="Times New Roman"/>
                      <w:color w:val="FF0000"/>
                      <w:kern w:val="0"/>
                      <w:szCs w:val="21"/>
                    </w:rPr>
                    <w:t>2.86</w:t>
                  </w:r>
                </w:p>
              </w:tc>
              <w:tc>
                <w:tcPr>
                  <w:tcW w:w="655" w:type="pct"/>
                  <w:vMerge w:val="restart"/>
                  <w:vAlign w:val="center"/>
                </w:tcPr>
                <w:p w14:paraId="02B8E0D9">
                  <w:pPr>
                    <w:widowControl/>
                    <w:snapToGrid w:val="0"/>
                    <w:jc w:val="center"/>
                    <w:rPr>
                      <w:rFonts w:ascii="Times New Roman" w:hAnsi="Times New Roman" w:cs="Times New Roman"/>
                      <w:color w:val="FF0000"/>
                      <w:kern w:val="0"/>
                      <w:szCs w:val="21"/>
                    </w:rPr>
                  </w:pPr>
                  <w:r>
                    <w:rPr>
                      <w:rFonts w:ascii="Times New Roman" w:hAnsi="Times New Roman" w:cs="Times New Roman"/>
                      <w:color w:val="FF0000"/>
                      <w:kern w:val="0"/>
                      <w:szCs w:val="21"/>
                    </w:rPr>
                    <w:t>低氮燃烧器（去除率76%）</w:t>
                  </w:r>
                </w:p>
              </w:tc>
              <w:tc>
                <w:tcPr>
                  <w:tcW w:w="799" w:type="pct"/>
                  <w:vAlign w:val="center"/>
                </w:tcPr>
                <w:p w14:paraId="09968F9F">
                  <w:pPr>
                    <w:widowControl/>
                    <w:snapToGrid w:val="0"/>
                    <w:jc w:val="center"/>
                    <w:rPr>
                      <w:rFonts w:ascii="Times New Roman" w:hAnsi="Times New Roman" w:cs="Times New Roman"/>
                      <w:color w:val="FF0000"/>
                      <w:kern w:val="0"/>
                      <w:szCs w:val="21"/>
                    </w:rPr>
                  </w:pPr>
                  <w:r>
                    <w:rPr>
                      <w:rFonts w:ascii="Times New Roman" w:hAnsi="Times New Roman" w:cs="Times New Roman"/>
                      <w:color w:val="FF0000"/>
                      <w:kern w:val="0"/>
                      <w:szCs w:val="21"/>
                    </w:rPr>
                    <w:t>2.86</w:t>
                  </w:r>
                </w:p>
              </w:tc>
              <w:tc>
                <w:tcPr>
                  <w:tcW w:w="659" w:type="pct"/>
                  <w:vAlign w:val="center"/>
                </w:tcPr>
                <w:p w14:paraId="70106F5F">
                  <w:pPr>
                    <w:widowControl/>
                    <w:snapToGrid w:val="0"/>
                    <w:jc w:val="center"/>
                    <w:rPr>
                      <w:rFonts w:ascii="Times New Roman" w:hAnsi="Times New Roman" w:cs="Times New Roman"/>
                      <w:color w:val="FF0000"/>
                      <w:kern w:val="0"/>
                      <w:szCs w:val="21"/>
                    </w:rPr>
                  </w:pPr>
                  <w:r>
                    <w:rPr>
                      <w:rFonts w:ascii="Times New Roman" w:hAnsi="Times New Roman" w:cs="Times New Roman"/>
                      <w:color w:val="FF0000"/>
                      <w:kern w:val="0"/>
                      <w:szCs w:val="21"/>
                    </w:rPr>
                    <w:t>1.29</w:t>
                  </w:r>
                </w:p>
              </w:tc>
              <w:tc>
                <w:tcPr>
                  <w:tcW w:w="1373" w:type="dxa"/>
                  <w:vAlign w:val="center"/>
                </w:tcPr>
                <w:p w14:paraId="418D9194">
                  <w:pPr>
                    <w:widowControl/>
                    <w:snapToGrid w:val="0"/>
                    <w:jc w:val="center"/>
                    <w:rPr>
                      <w:rFonts w:ascii="Times New Roman" w:hAnsi="Times New Roman" w:cs="Times New Roman"/>
                      <w:color w:val="FF0000"/>
                      <w:kern w:val="0"/>
                      <w:szCs w:val="21"/>
                    </w:rPr>
                  </w:pPr>
                  <w:r>
                    <w:rPr>
                      <w:rFonts w:ascii="Times New Roman" w:hAnsi="Times New Roman" w:cs="Times New Roman"/>
                      <w:color w:val="FF0000"/>
                      <w:kern w:val="0"/>
                      <w:szCs w:val="21"/>
                    </w:rPr>
                    <w:t>18.8</w:t>
                  </w:r>
                </w:p>
              </w:tc>
            </w:tr>
            <w:tr w14:paraId="45160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6" w:type="pct"/>
                  <w:vMerge w:val="continue"/>
                  <w:vAlign w:val="center"/>
                </w:tcPr>
                <w:p w14:paraId="54B9B460">
                  <w:pPr>
                    <w:widowControl/>
                    <w:snapToGrid w:val="0"/>
                    <w:ind w:firstLine="420" w:firstLineChars="200"/>
                    <w:jc w:val="center"/>
                    <w:rPr>
                      <w:rFonts w:ascii="Times New Roman" w:hAnsi="Times New Roman" w:cs="Times New Roman"/>
                      <w:color w:val="FF0000"/>
                      <w:kern w:val="0"/>
                      <w:szCs w:val="21"/>
                    </w:rPr>
                  </w:pPr>
                </w:p>
              </w:tc>
              <w:tc>
                <w:tcPr>
                  <w:tcW w:w="738" w:type="pct"/>
                  <w:vAlign w:val="center"/>
                </w:tcPr>
                <w:p w14:paraId="7349B94A">
                  <w:pPr>
                    <w:widowControl/>
                    <w:snapToGrid w:val="0"/>
                    <w:jc w:val="center"/>
                    <w:rPr>
                      <w:rFonts w:ascii="Times New Roman" w:hAnsi="Times New Roman" w:cs="Times New Roman"/>
                      <w:color w:val="FF0000"/>
                      <w:kern w:val="0"/>
                      <w:szCs w:val="21"/>
                    </w:rPr>
                  </w:pPr>
                  <w:r>
                    <w:rPr>
                      <w:rFonts w:ascii="Times New Roman" w:hAnsi="Times New Roman" w:cs="Times New Roman"/>
                      <w:color w:val="FF0000"/>
                      <w:kern w:val="0"/>
                      <w:szCs w:val="21"/>
                    </w:rPr>
                    <w:t>SO</w:t>
                  </w:r>
                  <w:r>
                    <w:rPr>
                      <w:rFonts w:ascii="Times New Roman" w:hAnsi="Times New Roman" w:cs="Times New Roman"/>
                      <w:color w:val="FF0000"/>
                      <w:kern w:val="0"/>
                      <w:szCs w:val="21"/>
                      <w:vertAlign w:val="subscript"/>
                    </w:rPr>
                    <w:t>2</w:t>
                  </w:r>
                </w:p>
              </w:tc>
              <w:tc>
                <w:tcPr>
                  <w:tcW w:w="858" w:type="pct"/>
                  <w:vAlign w:val="center"/>
                </w:tcPr>
                <w:p w14:paraId="6E5633BB">
                  <w:pPr>
                    <w:widowControl/>
                    <w:snapToGrid w:val="0"/>
                    <w:jc w:val="center"/>
                    <w:rPr>
                      <w:rFonts w:ascii="Times New Roman" w:hAnsi="Times New Roman" w:cs="Times New Roman"/>
                      <w:color w:val="FF0000"/>
                      <w:kern w:val="0"/>
                      <w:szCs w:val="21"/>
                    </w:rPr>
                  </w:pPr>
                  <w:r>
                    <w:rPr>
                      <w:rFonts w:ascii="Times New Roman" w:hAnsi="Times New Roman" w:cs="Times New Roman"/>
                      <w:color w:val="FF0000"/>
                      <w:kern w:val="0"/>
                      <w:szCs w:val="21"/>
                    </w:rPr>
                    <w:t>0.02S</w:t>
                  </w:r>
                </w:p>
              </w:tc>
              <w:tc>
                <w:tcPr>
                  <w:tcW w:w="655" w:type="pct"/>
                  <w:vMerge w:val="continue"/>
                  <w:vAlign w:val="center"/>
                </w:tcPr>
                <w:p w14:paraId="7C0B83D7">
                  <w:pPr>
                    <w:widowControl/>
                    <w:snapToGrid w:val="0"/>
                    <w:ind w:firstLine="420" w:firstLineChars="200"/>
                    <w:jc w:val="center"/>
                    <w:rPr>
                      <w:rFonts w:ascii="Times New Roman" w:hAnsi="Times New Roman" w:cs="Times New Roman"/>
                      <w:color w:val="FF0000"/>
                      <w:kern w:val="0"/>
                      <w:szCs w:val="21"/>
                    </w:rPr>
                  </w:pPr>
                </w:p>
              </w:tc>
              <w:tc>
                <w:tcPr>
                  <w:tcW w:w="799" w:type="pct"/>
                  <w:vAlign w:val="center"/>
                </w:tcPr>
                <w:p w14:paraId="60CDD97F">
                  <w:pPr>
                    <w:widowControl/>
                    <w:snapToGrid w:val="0"/>
                    <w:jc w:val="center"/>
                    <w:rPr>
                      <w:rFonts w:ascii="Times New Roman" w:hAnsi="Times New Roman" w:cs="Times New Roman"/>
                      <w:color w:val="FF0000"/>
                      <w:kern w:val="0"/>
                      <w:szCs w:val="21"/>
                    </w:rPr>
                  </w:pPr>
                  <w:r>
                    <w:rPr>
                      <w:rFonts w:ascii="Times New Roman" w:hAnsi="Times New Roman" w:cs="Times New Roman"/>
                      <w:color w:val="FF0000"/>
                      <w:kern w:val="0"/>
                      <w:szCs w:val="21"/>
                    </w:rPr>
                    <w:t>0.02S</w:t>
                  </w:r>
                </w:p>
              </w:tc>
              <w:tc>
                <w:tcPr>
                  <w:tcW w:w="1026" w:type="dxa"/>
                  <w:vAlign w:val="center"/>
                </w:tcPr>
                <w:p w14:paraId="541DC9DB">
                  <w:pPr>
                    <w:widowControl/>
                    <w:snapToGrid w:val="0"/>
                    <w:jc w:val="center"/>
                    <w:rPr>
                      <w:rFonts w:ascii="Times New Roman" w:hAnsi="Times New Roman" w:cs="Times New Roman"/>
                      <w:color w:val="FF0000"/>
                      <w:kern w:val="0"/>
                      <w:szCs w:val="21"/>
                    </w:rPr>
                  </w:pPr>
                  <w:r>
                    <w:rPr>
                      <w:rFonts w:ascii="Times New Roman" w:hAnsi="Times New Roman" w:cs="Times New Roman"/>
                      <w:color w:val="FF0000"/>
                      <w:kern w:val="0"/>
                      <w:szCs w:val="21"/>
                    </w:rPr>
                    <w:t>0.09</w:t>
                  </w:r>
                </w:p>
              </w:tc>
              <w:tc>
                <w:tcPr>
                  <w:tcW w:w="1373" w:type="dxa"/>
                  <w:vAlign w:val="center"/>
                </w:tcPr>
                <w:p w14:paraId="15D5C5E8">
                  <w:pPr>
                    <w:widowControl/>
                    <w:snapToGrid w:val="0"/>
                    <w:jc w:val="center"/>
                    <w:rPr>
                      <w:rFonts w:ascii="Times New Roman" w:hAnsi="Times New Roman" w:cs="Times New Roman"/>
                      <w:color w:val="FF0000"/>
                      <w:kern w:val="0"/>
                      <w:szCs w:val="21"/>
                    </w:rPr>
                  </w:pPr>
                  <w:r>
                    <w:rPr>
                      <w:rFonts w:ascii="Times New Roman" w:hAnsi="Times New Roman" w:cs="Times New Roman"/>
                      <w:color w:val="FF0000"/>
                      <w:kern w:val="0"/>
                      <w:szCs w:val="21"/>
                    </w:rPr>
                    <w:t>1.31</w:t>
                  </w:r>
                </w:p>
              </w:tc>
            </w:tr>
            <w:tr w14:paraId="392AE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6" w:type="pct"/>
                  <w:vMerge w:val="continue"/>
                  <w:vAlign w:val="center"/>
                </w:tcPr>
                <w:p w14:paraId="78E21194">
                  <w:pPr>
                    <w:widowControl/>
                    <w:snapToGrid w:val="0"/>
                    <w:ind w:firstLine="420" w:firstLineChars="200"/>
                    <w:jc w:val="center"/>
                    <w:rPr>
                      <w:rFonts w:ascii="Times New Roman" w:hAnsi="Times New Roman" w:cs="Times New Roman"/>
                      <w:color w:val="FF0000"/>
                      <w:kern w:val="0"/>
                      <w:szCs w:val="21"/>
                    </w:rPr>
                  </w:pPr>
                </w:p>
              </w:tc>
              <w:tc>
                <w:tcPr>
                  <w:tcW w:w="738" w:type="pct"/>
                  <w:vAlign w:val="center"/>
                </w:tcPr>
                <w:p w14:paraId="13C947CA">
                  <w:pPr>
                    <w:widowControl/>
                    <w:snapToGrid w:val="0"/>
                    <w:jc w:val="center"/>
                    <w:rPr>
                      <w:rFonts w:ascii="Times New Roman" w:hAnsi="Times New Roman" w:cs="Times New Roman"/>
                      <w:color w:val="FF0000"/>
                      <w:kern w:val="0"/>
                      <w:szCs w:val="21"/>
                    </w:rPr>
                  </w:pPr>
                  <w:r>
                    <w:rPr>
                      <w:rFonts w:ascii="Times New Roman" w:hAnsi="Times New Roman" w:cs="Times New Roman"/>
                      <w:color w:val="FF0000"/>
                      <w:kern w:val="0"/>
                      <w:szCs w:val="21"/>
                    </w:rPr>
                    <w:t>NOx</w:t>
                  </w:r>
                </w:p>
              </w:tc>
              <w:tc>
                <w:tcPr>
                  <w:tcW w:w="858" w:type="pct"/>
                  <w:vAlign w:val="center"/>
                </w:tcPr>
                <w:p w14:paraId="2BD3CEF3">
                  <w:pPr>
                    <w:widowControl/>
                    <w:snapToGrid w:val="0"/>
                    <w:jc w:val="center"/>
                    <w:rPr>
                      <w:rFonts w:ascii="Times New Roman" w:hAnsi="Times New Roman" w:cs="Times New Roman"/>
                      <w:color w:val="FF0000"/>
                      <w:kern w:val="0"/>
                      <w:szCs w:val="21"/>
                    </w:rPr>
                  </w:pPr>
                  <w:r>
                    <w:rPr>
                      <w:rFonts w:ascii="Times New Roman" w:hAnsi="Times New Roman" w:cs="Times New Roman"/>
                      <w:color w:val="FF0000"/>
                      <w:kern w:val="0"/>
                      <w:szCs w:val="21"/>
                    </w:rPr>
                    <w:t>18.71</w:t>
                  </w:r>
                </w:p>
              </w:tc>
              <w:tc>
                <w:tcPr>
                  <w:tcW w:w="655" w:type="pct"/>
                  <w:vMerge w:val="continue"/>
                  <w:vAlign w:val="center"/>
                </w:tcPr>
                <w:p w14:paraId="77B70D73">
                  <w:pPr>
                    <w:widowControl/>
                    <w:snapToGrid w:val="0"/>
                    <w:ind w:firstLine="420" w:firstLineChars="200"/>
                    <w:jc w:val="center"/>
                    <w:rPr>
                      <w:rFonts w:ascii="Times New Roman" w:hAnsi="Times New Roman" w:cs="Times New Roman"/>
                      <w:color w:val="FF0000"/>
                      <w:kern w:val="0"/>
                      <w:szCs w:val="21"/>
                    </w:rPr>
                  </w:pPr>
                </w:p>
              </w:tc>
              <w:tc>
                <w:tcPr>
                  <w:tcW w:w="799" w:type="pct"/>
                  <w:vAlign w:val="center"/>
                </w:tcPr>
                <w:p w14:paraId="448BF86D">
                  <w:pPr>
                    <w:widowControl/>
                    <w:snapToGrid w:val="0"/>
                    <w:jc w:val="center"/>
                    <w:rPr>
                      <w:rFonts w:ascii="Times New Roman" w:hAnsi="Times New Roman" w:cs="Times New Roman"/>
                      <w:color w:val="FF0000"/>
                      <w:kern w:val="0"/>
                      <w:szCs w:val="21"/>
                    </w:rPr>
                  </w:pPr>
                  <w:r>
                    <w:rPr>
                      <w:rFonts w:ascii="Times New Roman" w:hAnsi="Times New Roman" w:cs="Times New Roman"/>
                      <w:color w:val="FF0000"/>
                      <w:kern w:val="0"/>
                      <w:szCs w:val="21"/>
                    </w:rPr>
                    <w:t>18.71*0.24</w:t>
                  </w:r>
                </w:p>
              </w:tc>
              <w:tc>
                <w:tcPr>
                  <w:tcW w:w="1026" w:type="dxa"/>
                  <w:vAlign w:val="center"/>
                </w:tcPr>
                <w:p w14:paraId="48C64CFB">
                  <w:pPr>
                    <w:widowControl/>
                    <w:snapToGrid w:val="0"/>
                    <w:jc w:val="center"/>
                    <w:rPr>
                      <w:rFonts w:ascii="Times New Roman" w:hAnsi="Times New Roman" w:cs="Times New Roman"/>
                      <w:color w:val="FF0000"/>
                      <w:kern w:val="0"/>
                      <w:szCs w:val="21"/>
                    </w:rPr>
                  </w:pPr>
                  <w:r>
                    <w:rPr>
                      <w:rFonts w:ascii="Times New Roman" w:hAnsi="Times New Roman" w:cs="Times New Roman"/>
                      <w:color w:val="FF0000"/>
                      <w:kern w:val="0"/>
                      <w:szCs w:val="21"/>
                    </w:rPr>
                    <w:t>2.02</w:t>
                  </w:r>
                </w:p>
              </w:tc>
              <w:tc>
                <w:tcPr>
                  <w:tcW w:w="1233" w:type="dxa"/>
                  <w:vAlign w:val="center"/>
                </w:tcPr>
                <w:p w14:paraId="7A841BC9">
                  <w:pPr>
                    <w:widowControl/>
                    <w:snapToGrid w:val="0"/>
                    <w:jc w:val="center"/>
                    <w:rPr>
                      <w:rFonts w:ascii="Times New Roman" w:hAnsi="Times New Roman" w:cs="Times New Roman"/>
                      <w:color w:val="FF0000"/>
                      <w:kern w:val="0"/>
                      <w:szCs w:val="21"/>
                    </w:rPr>
                  </w:pPr>
                  <w:r>
                    <w:rPr>
                      <w:rFonts w:ascii="Times New Roman" w:hAnsi="Times New Roman" w:cs="Times New Roman"/>
                      <w:color w:val="FF0000"/>
                      <w:kern w:val="0"/>
                      <w:szCs w:val="21"/>
                    </w:rPr>
                    <w:t>29.4</w:t>
                  </w:r>
                </w:p>
              </w:tc>
            </w:tr>
          </w:tbl>
          <w:p w14:paraId="3F3B4FDE">
            <w:pPr>
              <w:widowControl/>
              <w:snapToGrid w:val="0"/>
              <w:spacing w:line="360" w:lineRule="auto"/>
              <w:ind w:firstLine="420" w:firstLineChars="200"/>
              <w:rPr>
                <w:rFonts w:ascii="Times New Roman" w:hAnsi="Times New Roman" w:cs="Times New Roman"/>
                <w:color w:val="FF0000"/>
                <w:kern w:val="0"/>
                <w:szCs w:val="21"/>
              </w:rPr>
            </w:pPr>
            <w:r>
              <w:rPr>
                <w:rFonts w:ascii="Times New Roman" w:hAnsi="Times New Roman" w:cs="Times New Roman"/>
                <w:color w:val="FF0000"/>
                <w:kern w:val="0"/>
                <w:szCs w:val="21"/>
              </w:rPr>
              <w:t>注：本次含硫量S取10。</w:t>
            </w:r>
          </w:p>
          <w:p w14:paraId="6173D24F">
            <w:pPr>
              <w:adjustRightInd w:val="0"/>
              <w:snapToGrid w:val="0"/>
              <w:spacing w:line="360" w:lineRule="auto"/>
              <w:ind w:firstLine="480" w:firstLineChars="200"/>
              <w:rPr>
                <w:rFonts w:ascii="Times New Roman" w:hAnsi="Times New Roman" w:cs="Times New Roman"/>
                <w:sz w:val="24"/>
                <w:szCs w:val="26"/>
              </w:rPr>
            </w:pPr>
            <w:r>
              <w:rPr>
                <w:rFonts w:hint="eastAsia" w:ascii="宋体" w:hAnsi="宋体" w:cs="Times New Roman"/>
                <w:sz w:val="24"/>
                <w:szCs w:val="26"/>
              </w:rPr>
              <w:t xml:space="preserve">③ </w:t>
            </w:r>
            <w:r>
              <w:rPr>
                <w:rFonts w:hint="eastAsia" w:ascii="Times New Roman" w:hAnsi="Times New Roman" w:cs="Times New Roman"/>
                <w:sz w:val="24"/>
                <w:szCs w:val="26"/>
              </w:rPr>
              <w:t>高架火炬烟气G7</w:t>
            </w:r>
          </w:p>
          <w:p w14:paraId="335818A9">
            <w:pPr>
              <w:adjustRightInd w:val="0"/>
              <w:snapToGrid w:val="0"/>
              <w:spacing w:line="360" w:lineRule="auto"/>
              <w:ind w:firstLine="480" w:firstLineChars="200"/>
              <w:rPr>
                <w:rFonts w:ascii="Times New Roman" w:hAnsi="Times New Roman" w:cs="Times New Roman"/>
                <w:sz w:val="24"/>
                <w:szCs w:val="26"/>
              </w:rPr>
            </w:pPr>
            <w:r>
              <w:rPr>
                <w:rFonts w:hint="eastAsia" w:ascii="Times New Roman" w:hAnsi="Times New Roman" w:cs="Times New Roman"/>
                <w:sz w:val="24"/>
                <w:szCs w:val="26"/>
              </w:rPr>
              <w:t>本项目在生产过程中会产生一定量的闪蒸气，如工艺装置中设备、管道上的安全阀、泄压阀、排放阀等在不正常操作（或事故）时排放的可燃物料，开停车时必须排放的可燃物料和试车中暂时无法平衡时所必须排出的可燃物料以及LNG储罐内闪蒸汽收集为泄压必须排放的可燃物料。这些闪蒸气通过管道部分通过压缩机回用作为分子筛的再生气体，部分进入废液罐内。在废液罐内蒸发的气体则送至本项目的高架火炬进行焚烧。</w:t>
            </w:r>
          </w:p>
          <w:p w14:paraId="55B6DDD1">
            <w:pPr>
              <w:adjustRightInd w:val="0"/>
              <w:snapToGrid w:val="0"/>
              <w:spacing w:line="360" w:lineRule="auto"/>
              <w:ind w:firstLine="480" w:firstLineChars="200"/>
              <w:rPr>
                <w:rFonts w:ascii="Times New Roman" w:hAnsi="Times New Roman" w:cs="Times New Roman"/>
                <w:sz w:val="24"/>
                <w:szCs w:val="26"/>
              </w:rPr>
            </w:pPr>
            <w:r>
              <w:rPr>
                <w:rFonts w:hint="eastAsia" w:ascii="Times New Roman" w:hAnsi="Times New Roman" w:cs="Times New Roman"/>
                <w:sz w:val="24"/>
                <w:szCs w:val="26"/>
              </w:rPr>
              <w:t>本项目所采用的放空火炬包括放空气液罐、凝液提升泵、火炬及相应的点火、密封实施。放空介质通过放空火炬分液罐，可除去300~600μm直径的液滴，从而保证火炬的正常燃烧。火炬由火炬头、长明灯、火炬筒体、塔架及点火系统组成，选择空气助燃型低噪音、无烟燃烧性火炬头，采用离心式风机向火炬头燃烧中心区域供氧，增强火焰强度，提高燃烧完全程度，火炬头上油墨有稳焰聚火器，起到回流稳焰作用；火炬头设有长明灯，确保火炬能够及时点燃；火炬高H=80m。</w:t>
            </w:r>
          </w:p>
          <w:p w14:paraId="63686D45">
            <w:pPr>
              <w:adjustRightInd w:val="0"/>
              <w:snapToGrid w:val="0"/>
              <w:spacing w:line="360" w:lineRule="auto"/>
              <w:ind w:firstLine="480" w:firstLineChars="200"/>
              <w:rPr>
                <w:rFonts w:ascii="Times New Roman" w:hAnsi="Times New Roman" w:cs="Times New Roman"/>
                <w:sz w:val="24"/>
                <w:szCs w:val="26"/>
              </w:rPr>
            </w:pPr>
            <w:r>
              <w:rPr>
                <w:rFonts w:hint="eastAsia" w:ascii="Times New Roman" w:hAnsi="Times New Roman" w:cs="Times New Roman"/>
                <w:sz w:val="24"/>
                <w:szCs w:val="26"/>
              </w:rPr>
              <w:t>火炬排放的烟气，为正常排入的工艺废气以及非正常工况下排入的气体经火炬燃烧后排放的烟气，燃料气主要成分为酸性气体和烃类，燃烧后的烟气量约9000Nm</w:t>
            </w:r>
            <w:r>
              <w:rPr>
                <w:rFonts w:hint="eastAsia" w:ascii="Times New Roman" w:hAnsi="Times New Roman" w:cs="Times New Roman"/>
                <w:sz w:val="24"/>
                <w:szCs w:val="26"/>
                <w:vertAlign w:val="superscript"/>
              </w:rPr>
              <w:t>3</w:t>
            </w:r>
            <w:r>
              <w:rPr>
                <w:rFonts w:hint="eastAsia" w:ascii="Times New Roman" w:hAnsi="Times New Roman" w:cs="Times New Roman"/>
                <w:sz w:val="24"/>
                <w:szCs w:val="26"/>
              </w:rPr>
              <w:t>/d，经过燃烧后主要生成二氧化碳排入大气，颗粒物产生量约为0.06</w:t>
            </w:r>
            <w:r>
              <w:rPr>
                <w:rFonts w:ascii="Times New Roman" w:hAnsi="Times New Roman" w:cs="Times New Roman"/>
                <w:sz w:val="24"/>
                <w:szCs w:val="26"/>
              </w:rPr>
              <w:t>t/a</w:t>
            </w:r>
            <w:r>
              <w:rPr>
                <w:rFonts w:hint="eastAsia" w:ascii="Times New Roman" w:hAnsi="Times New Roman" w:cs="Times New Roman"/>
                <w:sz w:val="24"/>
                <w:szCs w:val="26"/>
              </w:rPr>
              <w:t>，浓度20</w:t>
            </w:r>
            <w:r>
              <w:rPr>
                <w:rFonts w:ascii="Times New Roman" w:hAnsi="Times New Roman" w:cs="Times New Roman"/>
                <w:sz w:val="24"/>
                <w:szCs w:val="26"/>
              </w:rPr>
              <w:t>mg/m</w:t>
            </w:r>
            <w:r>
              <w:rPr>
                <w:rFonts w:ascii="Times New Roman" w:hAnsi="Times New Roman" w:cs="Times New Roman"/>
                <w:sz w:val="24"/>
                <w:szCs w:val="26"/>
                <w:vertAlign w:val="superscript"/>
              </w:rPr>
              <w:t>3</w:t>
            </w:r>
            <w:r>
              <w:rPr>
                <w:rFonts w:hint="eastAsia" w:ascii="Times New Roman" w:hAnsi="Times New Roman" w:cs="Times New Roman"/>
                <w:sz w:val="24"/>
                <w:szCs w:val="26"/>
              </w:rPr>
              <w:t>；N</w:t>
            </w:r>
            <w:r>
              <w:rPr>
                <w:rFonts w:ascii="Times New Roman" w:hAnsi="Times New Roman" w:cs="Times New Roman"/>
                <w:sz w:val="24"/>
                <w:szCs w:val="26"/>
              </w:rPr>
              <w:t>O</w:t>
            </w:r>
            <w:r>
              <w:rPr>
                <w:rFonts w:ascii="Times New Roman" w:hAnsi="Times New Roman" w:cs="Times New Roman"/>
                <w:sz w:val="24"/>
                <w:szCs w:val="26"/>
                <w:vertAlign w:val="subscript"/>
              </w:rPr>
              <w:t>2</w:t>
            </w:r>
            <w:r>
              <w:rPr>
                <w:rFonts w:hint="eastAsia" w:ascii="Times New Roman" w:hAnsi="Times New Roman" w:cs="Times New Roman"/>
                <w:sz w:val="24"/>
                <w:szCs w:val="26"/>
              </w:rPr>
              <w:t>产生量0.18</w:t>
            </w:r>
            <w:r>
              <w:rPr>
                <w:rFonts w:ascii="Times New Roman" w:hAnsi="Times New Roman" w:cs="Times New Roman"/>
                <w:sz w:val="24"/>
                <w:szCs w:val="26"/>
              </w:rPr>
              <w:t>t/a</w:t>
            </w:r>
            <w:r>
              <w:rPr>
                <w:rFonts w:hint="eastAsia" w:ascii="Times New Roman" w:hAnsi="Times New Roman" w:cs="Times New Roman"/>
                <w:sz w:val="24"/>
                <w:szCs w:val="26"/>
              </w:rPr>
              <w:t>，浓度59.2</w:t>
            </w:r>
            <w:r>
              <w:rPr>
                <w:rFonts w:ascii="Times New Roman" w:hAnsi="Times New Roman" w:cs="Times New Roman"/>
                <w:sz w:val="24"/>
                <w:szCs w:val="26"/>
              </w:rPr>
              <w:t>mg/m</w:t>
            </w:r>
            <w:r>
              <w:rPr>
                <w:rFonts w:ascii="Times New Roman" w:hAnsi="Times New Roman" w:cs="Times New Roman"/>
                <w:sz w:val="24"/>
                <w:szCs w:val="26"/>
                <w:vertAlign w:val="superscript"/>
              </w:rPr>
              <w:t>3</w:t>
            </w:r>
            <w:r>
              <w:rPr>
                <w:rFonts w:hint="eastAsia" w:ascii="Times New Roman" w:hAnsi="Times New Roman" w:cs="Times New Roman"/>
                <w:sz w:val="24"/>
                <w:szCs w:val="26"/>
              </w:rPr>
              <w:t>；SO</w:t>
            </w:r>
            <w:r>
              <w:rPr>
                <w:rFonts w:hint="eastAsia" w:ascii="Times New Roman" w:hAnsi="Times New Roman" w:cs="Times New Roman"/>
                <w:sz w:val="24"/>
                <w:szCs w:val="26"/>
                <w:vertAlign w:val="subscript"/>
              </w:rPr>
              <w:t>2</w:t>
            </w:r>
            <w:r>
              <w:rPr>
                <w:rFonts w:hint="eastAsia" w:ascii="Times New Roman" w:hAnsi="Times New Roman" w:cs="Times New Roman"/>
                <w:sz w:val="24"/>
                <w:szCs w:val="26"/>
              </w:rPr>
              <w:t>产生量0.03t/a，浓度8.79mg/m</w:t>
            </w:r>
            <w:r>
              <w:rPr>
                <w:rFonts w:hint="eastAsia" w:ascii="Times New Roman" w:hAnsi="Times New Roman" w:cs="Times New Roman"/>
                <w:sz w:val="24"/>
                <w:szCs w:val="26"/>
                <w:vertAlign w:val="superscript"/>
              </w:rPr>
              <w:t>3</w:t>
            </w:r>
            <w:r>
              <w:rPr>
                <w:rFonts w:hint="eastAsia" w:ascii="Times New Roman" w:hAnsi="Times New Roman" w:cs="Times New Roman"/>
                <w:sz w:val="24"/>
                <w:szCs w:val="26"/>
              </w:rPr>
              <w:t>。</w:t>
            </w:r>
          </w:p>
          <w:p w14:paraId="3834E1CF">
            <w:pPr>
              <w:adjustRightInd w:val="0"/>
              <w:snapToGrid w:val="0"/>
              <w:spacing w:line="360" w:lineRule="auto"/>
              <w:ind w:firstLine="480" w:firstLineChars="200"/>
              <w:rPr>
                <w:rFonts w:ascii="Times New Roman" w:hAnsi="Times New Roman" w:cs="Times New Roman"/>
                <w:sz w:val="24"/>
                <w:szCs w:val="26"/>
              </w:rPr>
            </w:pPr>
            <w:r>
              <w:rPr>
                <w:rFonts w:hint="eastAsia" w:ascii="宋体" w:hAnsi="宋体" w:cs="Times New Roman"/>
                <w:sz w:val="24"/>
                <w:szCs w:val="26"/>
              </w:rPr>
              <w:t>②</w:t>
            </w:r>
            <w:r>
              <w:rPr>
                <w:rFonts w:hint="eastAsia" w:ascii="Times New Roman" w:hAnsi="Times New Roman" w:cs="Times New Roman"/>
                <w:sz w:val="24"/>
                <w:szCs w:val="26"/>
              </w:rPr>
              <w:t xml:space="preserve"> 无组织排放废气</w:t>
            </w:r>
          </w:p>
          <w:p w14:paraId="5FC791B2">
            <w:pPr>
              <w:adjustRightInd w:val="0"/>
              <w:snapToGrid w:val="0"/>
              <w:spacing w:line="360" w:lineRule="auto"/>
              <w:ind w:firstLine="480" w:firstLineChars="200"/>
              <w:rPr>
                <w:rFonts w:ascii="Times New Roman" w:hAnsi="Times New Roman" w:cs="Times New Roman"/>
                <w:sz w:val="24"/>
                <w:szCs w:val="26"/>
              </w:rPr>
            </w:pPr>
            <w:r>
              <w:rPr>
                <w:rFonts w:hint="eastAsia" w:ascii="Times New Roman" w:hAnsi="Times New Roman" w:cs="Times New Roman"/>
                <w:sz w:val="24"/>
                <w:szCs w:val="26"/>
              </w:rPr>
              <w:t>项目产品液化天然气、重烃和液化工序使用的混合冷剂，采用压力储罐，参照《空气污染物排放和控制手册》中对于压力储罐的相关描述，压力储罐不需要考虑储存物质的无组织排放、可视为密闭系统。因此项目无组织排放的废气主要为工艺装置区管线阀门跑、冒等泄漏的天然气；液化天然气装车逸散气；混合冷剂储罐区、重烃罐区泄漏的少量非甲烷总烃等。</w:t>
            </w:r>
          </w:p>
          <w:p w14:paraId="062D4F28">
            <w:pPr>
              <w:adjustRightInd w:val="0"/>
              <w:snapToGrid w:val="0"/>
              <w:spacing w:line="360" w:lineRule="auto"/>
              <w:ind w:firstLine="480" w:firstLineChars="200"/>
              <w:rPr>
                <w:rFonts w:ascii="Times New Roman" w:hAnsi="Times New Roman" w:cs="Times New Roman"/>
                <w:sz w:val="24"/>
                <w:szCs w:val="26"/>
              </w:rPr>
            </w:pPr>
            <w:r>
              <w:rPr>
                <w:rFonts w:hint="eastAsia" w:ascii="Times New Roman" w:hAnsi="Times New Roman" w:cs="Times New Roman"/>
                <w:sz w:val="24"/>
                <w:szCs w:val="26"/>
              </w:rPr>
              <w:t>经类比中科院成都分院2014年2月编制《高效清洁燃料气综合利用建设项目（LNG）》，该项目日处理天然气量与本项目相同，为100Nm</w:t>
            </w:r>
            <w:r>
              <w:rPr>
                <w:rFonts w:hint="eastAsia" w:ascii="Times New Roman" w:hAnsi="Times New Roman" w:cs="Times New Roman"/>
                <w:sz w:val="24"/>
                <w:szCs w:val="26"/>
                <w:vertAlign w:val="superscript"/>
              </w:rPr>
              <w:t>3</w:t>
            </w:r>
            <w:r>
              <w:rPr>
                <w:rFonts w:hint="eastAsia" w:ascii="Times New Roman" w:hAnsi="Times New Roman" w:cs="Times New Roman"/>
                <w:sz w:val="24"/>
                <w:szCs w:val="26"/>
              </w:rPr>
              <w:t>/d。其生产装置区无组织排放的非甲烷总烃量为0.22kg/h（1.76t/a），装车区无组织排放的非甲烷总烃量为0.01kg/h（0.08t/a）。</w:t>
            </w:r>
          </w:p>
          <w:p w14:paraId="13425DD1">
            <w:pPr>
              <w:keepNext/>
              <w:overflowPunct w:val="0"/>
              <w:snapToGrid w:val="0"/>
              <w:spacing w:line="360" w:lineRule="auto"/>
              <w:outlineLvl w:val="0"/>
              <w:rPr>
                <w:rFonts w:ascii="Times New Roman" w:hAnsi="Times New Roman" w:cs="Times New Roman"/>
                <w:b/>
                <w:bCs/>
                <w:kern w:val="44"/>
                <w:sz w:val="24"/>
                <w:szCs w:val="30"/>
              </w:rPr>
            </w:pPr>
            <w:r>
              <w:rPr>
                <w:rFonts w:ascii="Times New Roman" w:hAnsi="Times New Roman" w:cs="Times New Roman"/>
                <w:b/>
                <w:bCs/>
                <w:kern w:val="44"/>
                <w:sz w:val="24"/>
                <w:szCs w:val="30"/>
              </w:rPr>
              <w:t>4.2.1.2排放口情况</w:t>
            </w:r>
          </w:p>
          <w:p w14:paraId="7415DBD0">
            <w:pPr>
              <w:adjustRightInd w:val="0"/>
              <w:snapToGrid w:val="0"/>
              <w:spacing w:line="360" w:lineRule="auto"/>
              <w:ind w:firstLine="510"/>
              <w:rPr>
                <w:rFonts w:ascii="Times New Roman" w:hAnsi="Times New Roman" w:cs="Times New Roman"/>
                <w:sz w:val="24"/>
              </w:rPr>
            </w:pPr>
            <w:r>
              <w:rPr>
                <w:rFonts w:ascii="Times New Roman" w:hAnsi="Times New Roman" w:cs="Times New Roman"/>
                <w:sz w:val="24"/>
              </w:rPr>
              <w:t>拟建项目废气排放口及相关参数见下表。</w:t>
            </w:r>
          </w:p>
          <w:p w14:paraId="059E9FF2">
            <w:pPr>
              <w:jc w:val="center"/>
              <w:rPr>
                <w:rFonts w:ascii="Times New Roman" w:hAnsi="Times New Roman" w:cs="Times New Roman"/>
                <w:kern w:val="0"/>
              </w:rPr>
            </w:pPr>
            <w:r>
              <w:rPr>
                <w:rFonts w:ascii="Times New Roman" w:hAnsi="Times New Roman" w:cs="Times New Roman"/>
                <w:kern w:val="0"/>
              </w:rPr>
              <w:t xml:space="preserve">表4.2-2  </w:t>
            </w:r>
            <w:r>
              <w:rPr>
                <w:rFonts w:ascii="Times New Roman" w:hAnsi="Times New Roman" w:cs="Times New Roman"/>
                <w:kern w:val="0"/>
                <w:szCs w:val="21"/>
                <w:shd w:val="clear" w:color="auto" w:fill="FFFFFF"/>
              </w:rPr>
              <w:t>拟建项目废气排放口及相关参数一览表</w:t>
            </w:r>
          </w:p>
          <w:p w14:paraId="316AB140">
            <w:pPr>
              <w:autoSpaceDE w:val="0"/>
              <w:autoSpaceDN w:val="0"/>
              <w:adjustRightInd w:val="0"/>
              <w:spacing w:before="2" w:line="20" w:lineRule="exact"/>
              <w:jc w:val="left"/>
              <w:rPr>
                <w:rFonts w:ascii="Times New Roman" w:hAnsi="Times New Roman" w:cs="Times New Roman"/>
                <w:kern w:val="0"/>
                <w:sz w:val="2"/>
                <w:szCs w:val="2"/>
              </w:rPr>
            </w:pPr>
          </w:p>
          <w:tbl>
            <w:tblPr>
              <w:tblStyle w:val="81"/>
              <w:tblW w:w="5000" w:type="pct"/>
              <w:tblInd w:w="0" w:type="dxa"/>
              <w:tblLayout w:type="autofit"/>
              <w:tblCellMar>
                <w:top w:w="0" w:type="dxa"/>
                <w:left w:w="0" w:type="dxa"/>
                <w:bottom w:w="0" w:type="dxa"/>
                <w:right w:w="0" w:type="dxa"/>
              </w:tblCellMar>
            </w:tblPr>
            <w:tblGrid>
              <w:gridCol w:w="907"/>
              <w:gridCol w:w="926"/>
              <w:gridCol w:w="1191"/>
              <w:gridCol w:w="1177"/>
              <w:gridCol w:w="1117"/>
              <w:gridCol w:w="982"/>
              <w:gridCol w:w="972"/>
              <w:gridCol w:w="1067"/>
            </w:tblGrid>
            <w:tr w14:paraId="5F392A2E">
              <w:trPr>
                <w:trHeight w:val="20" w:hRule="atLeast"/>
              </w:trPr>
              <w:tc>
                <w:tcPr>
                  <w:tcW w:w="544" w:type="pct"/>
                  <w:vMerge w:val="restart"/>
                  <w:tcBorders>
                    <w:top w:val="single" w:color="000000" w:sz="4" w:space="0"/>
                    <w:left w:val="single" w:color="000000" w:sz="4" w:space="0"/>
                    <w:bottom w:val="single" w:color="000000" w:sz="4" w:space="0"/>
                    <w:right w:val="single" w:color="000000" w:sz="4" w:space="0"/>
                  </w:tcBorders>
                  <w:vAlign w:val="center"/>
                </w:tcPr>
                <w:p w14:paraId="651EAFC7">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排放口编号</w:t>
                  </w:r>
                </w:p>
              </w:tc>
              <w:tc>
                <w:tcPr>
                  <w:tcW w:w="555" w:type="pct"/>
                  <w:vMerge w:val="restart"/>
                  <w:tcBorders>
                    <w:top w:val="single" w:color="000000" w:sz="4" w:space="0"/>
                    <w:left w:val="single" w:color="000000" w:sz="4" w:space="0"/>
                    <w:bottom w:val="single" w:color="000000" w:sz="4" w:space="0"/>
                    <w:right w:val="single" w:color="000000" w:sz="4" w:space="0"/>
                  </w:tcBorders>
                  <w:vAlign w:val="center"/>
                </w:tcPr>
                <w:p w14:paraId="654A42BA">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排放口名称</w:t>
                  </w:r>
                </w:p>
              </w:tc>
              <w:tc>
                <w:tcPr>
                  <w:tcW w:w="1420" w:type="pct"/>
                  <w:gridSpan w:val="2"/>
                  <w:tcBorders>
                    <w:top w:val="single" w:color="000000" w:sz="4" w:space="0"/>
                    <w:left w:val="single" w:color="000000" w:sz="4" w:space="0"/>
                    <w:bottom w:val="single" w:color="000000" w:sz="4" w:space="0"/>
                    <w:right w:val="single" w:color="000000" w:sz="4" w:space="0"/>
                  </w:tcBorders>
                  <w:vAlign w:val="center"/>
                </w:tcPr>
                <w:p w14:paraId="6CEEC6D0">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排放口地理坐标</w:t>
                  </w:r>
                </w:p>
              </w:tc>
              <w:tc>
                <w:tcPr>
                  <w:tcW w:w="670" w:type="pct"/>
                  <w:vMerge w:val="restart"/>
                  <w:tcBorders>
                    <w:top w:val="single" w:color="000000" w:sz="4" w:space="0"/>
                    <w:left w:val="single" w:color="000000" w:sz="4" w:space="0"/>
                    <w:bottom w:val="single" w:color="000000" w:sz="4" w:space="0"/>
                    <w:right w:val="single" w:color="000000" w:sz="4" w:space="0"/>
                  </w:tcBorders>
                  <w:vAlign w:val="center"/>
                </w:tcPr>
                <w:p w14:paraId="1F4E1353">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排放口类型</w:t>
                  </w:r>
                </w:p>
              </w:tc>
              <w:tc>
                <w:tcPr>
                  <w:tcW w:w="589" w:type="pct"/>
                  <w:vMerge w:val="restart"/>
                  <w:tcBorders>
                    <w:top w:val="single" w:color="000000" w:sz="4" w:space="0"/>
                    <w:left w:val="single" w:color="000000" w:sz="4" w:space="0"/>
                    <w:bottom w:val="single" w:color="000000" w:sz="4" w:space="0"/>
                    <w:right w:val="single" w:color="000000" w:sz="4" w:space="0"/>
                  </w:tcBorders>
                  <w:vAlign w:val="center"/>
                </w:tcPr>
                <w:p w14:paraId="11481113">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排气筒高度（m）</w:t>
                  </w:r>
                </w:p>
              </w:tc>
              <w:tc>
                <w:tcPr>
                  <w:tcW w:w="583" w:type="pct"/>
                  <w:vMerge w:val="restart"/>
                  <w:tcBorders>
                    <w:top w:val="single" w:color="000000" w:sz="4" w:space="0"/>
                    <w:left w:val="single" w:color="000000" w:sz="4" w:space="0"/>
                    <w:bottom w:val="single" w:color="000000" w:sz="4" w:space="0"/>
                    <w:right w:val="single" w:color="000000" w:sz="4" w:space="0"/>
                  </w:tcBorders>
                  <w:vAlign w:val="center"/>
                </w:tcPr>
                <w:p w14:paraId="14C3C90B">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排气筒内径（m）</w:t>
                  </w:r>
                </w:p>
              </w:tc>
              <w:tc>
                <w:tcPr>
                  <w:tcW w:w="639" w:type="pct"/>
                  <w:vMerge w:val="restart"/>
                  <w:tcBorders>
                    <w:top w:val="single" w:color="000000" w:sz="4" w:space="0"/>
                    <w:left w:val="single" w:color="000000" w:sz="4" w:space="0"/>
                    <w:bottom w:val="single" w:color="000000" w:sz="4" w:space="0"/>
                    <w:right w:val="single" w:color="000000" w:sz="4" w:space="0"/>
                  </w:tcBorders>
                  <w:vAlign w:val="center"/>
                </w:tcPr>
                <w:p w14:paraId="360454E2">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温度（℃）</w:t>
                  </w:r>
                </w:p>
              </w:tc>
            </w:tr>
            <w:tr w14:paraId="274664AE">
              <w:tblPrEx>
                <w:tblCellMar>
                  <w:top w:w="0" w:type="dxa"/>
                  <w:left w:w="0" w:type="dxa"/>
                  <w:bottom w:w="0" w:type="dxa"/>
                  <w:right w:w="0" w:type="dxa"/>
                </w:tblCellMar>
              </w:tblPrEx>
              <w:trPr>
                <w:trHeight w:val="20" w:hRule="atLeast"/>
              </w:trPr>
              <w:tc>
                <w:tcPr>
                  <w:tcW w:w="544" w:type="pct"/>
                  <w:vMerge w:val="continue"/>
                  <w:tcBorders>
                    <w:top w:val="single" w:color="000000" w:sz="4" w:space="0"/>
                    <w:left w:val="single" w:color="000000" w:sz="4" w:space="0"/>
                    <w:bottom w:val="single" w:color="000000" w:sz="4" w:space="0"/>
                    <w:right w:val="single" w:color="000000" w:sz="4" w:space="0"/>
                  </w:tcBorders>
                  <w:vAlign w:val="center"/>
                </w:tcPr>
                <w:p w14:paraId="2F141CE0">
                  <w:pPr>
                    <w:jc w:val="center"/>
                    <w:rPr>
                      <w:rFonts w:ascii="Times New Roman" w:hAnsi="Times New Roman" w:cs="Times New Roman"/>
                      <w:sz w:val="18"/>
                      <w:szCs w:val="18"/>
                      <w:shd w:val="clear" w:color="auto" w:fill="FFFFFF"/>
                    </w:rPr>
                  </w:pPr>
                </w:p>
              </w:tc>
              <w:tc>
                <w:tcPr>
                  <w:tcW w:w="555" w:type="pct"/>
                  <w:vMerge w:val="continue"/>
                  <w:tcBorders>
                    <w:top w:val="single" w:color="000000" w:sz="4" w:space="0"/>
                    <w:left w:val="single" w:color="000000" w:sz="4" w:space="0"/>
                    <w:bottom w:val="single" w:color="000000" w:sz="4" w:space="0"/>
                    <w:right w:val="single" w:color="000000" w:sz="4" w:space="0"/>
                  </w:tcBorders>
                  <w:vAlign w:val="center"/>
                </w:tcPr>
                <w:p w14:paraId="31A48203">
                  <w:pPr>
                    <w:jc w:val="center"/>
                    <w:rPr>
                      <w:rFonts w:ascii="Times New Roman" w:hAnsi="Times New Roman" w:cs="Times New Roman"/>
                      <w:sz w:val="18"/>
                      <w:szCs w:val="18"/>
                      <w:shd w:val="clear" w:color="auto" w:fill="FFFFFF"/>
                    </w:rPr>
                  </w:pPr>
                </w:p>
              </w:tc>
              <w:tc>
                <w:tcPr>
                  <w:tcW w:w="714" w:type="pct"/>
                  <w:tcBorders>
                    <w:top w:val="single" w:color="000000" w:sz="4" w:space="0"/>
                    <w:left w:val="single" w:color="000000" w:sz="4" w:space="0"/>
                    <w:bottom w:val="single" w:color="000000" w:sz="4" w:space="0"/>
                    <w:right w:val="single" w:color="000000" w:sz="4" w:space="0"/>
                  </w:tcBorders>
                  <w:vAlign w:val="center"/>
                </w:tcPr>
                <w:p w14:paraId="0F1C6F41">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经度</w:t>
                  </w:r>
                </w:p>
              </w:tc>
              <w:tc>
                <w:tcPr>
                  <w:tcW w:w="706" w:type="pct"/>
                  <w:tcBorders>
                    <w:top w:val="single" w:color="000000" w:sz="4" w:space="0"/>
                    <w:left w:val="single" w:color="000000" w:sz="4" w:space="0"/>
                    <w:bottom w:val="single" w:color="000000" w:sz="4" w:space="0"/>
                    <w:right w:val="single" w:color="000000" w:sz="4" w:space="0"/>
                  </w:tcBorders>
                  <w:vAlign w:val="center"/>
                </w:tcPr>
                <w:p w14:paraId="50E4D300">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纬度</w:t>
                  </w:r>
                </w:p>
              </w:tc>
              <w:tc>
                <w:tcPr>
                  <w:tcW w:w="670" w:type="pct"/>
                  <w:vMerge w:val="continue"/>
                  <w:tcBorders>
                    <w:top w:val="single" w:color="000000" w:sz="4" w:space="0"/>
                    <w:left w:val="single" w:color="000000" w:sz="4" w:space="0"/>
                    <w:bottom w:val="single" w:color="000000" w:sz="4" w:space="0"/>
                    <w:right w:val="single" w:color="000000" w:sz="4" w:space="0"/>
                  </w:tcBorders>
                  <w:vAlign w:val="center"/>
                </w:tcPr>
                <w:p w14:paraId="757F7E4A">
                  <w:pPr>
                    <w:jc w:val="center"/>
                    <w:rPr>
                      <w:rFonts w:ascii="Times New Roman" w:hAnsi="Times New Roman" w:cs="Times New Roman"/>
                      <w:sz w:val="18"/>
                      <w:szCs w:val="18"/>
                      <w:shd w:val="clear" w:color="auto" w:fill="FFFFFF"/>
                    </w:rPr>
                  </w:pPr>
                </w:p>
              </w:tc>
              <w:tc>
                <w:tcPr>
                  <w:tcW w:w="589" w:type="pct"/>
                  <w:vMerge w:val="continue"/>
                  <w:tcBorders>
                    <w:top w:val="single" w:color="000000" w:sz="4" w:space="0"/>
                    <w:left w:val="single" w:color="000000" w:sz="4" w:space="0"/>
                    <w:bottom w:val="single" w:color="000000" w:sz="4" w:space="0"/>
                    <w:right w:val="single" w:color="000000" w:sz="4" w:space="0"/>
                  </w:tcBorders>
                  <w:vAlign w:val="center"/>
                </w:tcPr>
                <w:p w14:paraId="371CCE2D">
                  <w:pPr>
                    <w:jc w:val="center"/>
                    <w:rPr>
                      <w:rFonts w:ascii="Times New Roman" w:hAnsi="Times New Roman" w:cs="Times New Roman"/>
                      <w:sz w:val="18"/>
                      <w:szCs w:val="18"/>
                      <w:shd w:val="clear" w:color="auto" w:fill="FFFFFF"/>
                    </w:rPr>
                  </w:pPr>
                </w:p>
              </w:tc>
              <w:tc>
                <w:tcPr>
                  <w:tcW w:w="583" w:type="pct"/>
                  <w:vMerge w:val="continue"/>
                  <w:tcBorders>
                    <w:top w:val="single" w:color="000000" w:sz="4" w:space="0"/>
                    <w:left w:val="single" w:color="000000" w:sz="4" w:space="0"/>
                    <w:bottom w:val="single" w:color="000000" w:sz="4" w:space="0"/>
                    <w:right w:val="single" w:color="000000" w:sz="4" w:space="0"/>
                  </w:tcBorders>
                  <w:vAlign w:val="center"/>
                </w:tcPr>
                <w:p w14:paraId="671E6066">
                  <w:pPr>
                    <w:jc w:val="center"/>
                    <w:rPr>
                      <w:rFonts w:ascii="Times New Roman" w:hAnsi="Times New Roman" w:cs="Times New Roman"/>
                      <w:sz w:val="18"/>
                      <w:szCs w:val="18"/>
                      <w:shd w:val="clear" w:color="auto" w:fill="FFFFFF"/>
                    </w:rPr>
                  </w:pPr>
                </w:p>
              </w:tc>
              <w:tc>
                <w:tcPr>
                  <w:tcW w:w="639" w:type="pct"/>
                  <w:vMerge w:val="continue"/>
                  <w:tcBorders>
                    <w:top w:val="single" w:color="000000" w:sz="4" w:space="0"/>
                    <w:left w:val="single" w:color="000000" w:sz="4" w:space="0"/>
                    <w:bottom w:val="single" w:color="000000" w:sz="4" w:space="0"/>
                    <w:right w:val="single" w:color="000000" w:sz="4" w:space="0"/>
                  </w:tcBorders>
                  <w:vAlign w:val="center"/>
                </w:tcPr>
                <w:p w14:paraId="136510E9">
                  <w:pPr>
                    <w:jc w:val="center"/>
                    <w:rPr>
                      <w:rFonts w:ascii="Times New Roman" w:hAnsi="Times New Roman" w:cs="Times New Roman"/>
                      <w:sz w:val="18"/>
                      <w:szCs w:val="18"/>
                      <w:shd w:val="clear" w:color="auto" w:fill="FFFFFF"/>
                    </w:rPr>
                  </w:pPr>
                </w:p>
              </w:tc>
            </w:tr>
            <w:tr w14:paraId="404ADDE9">
              <w:tblPrEx>
                <w:tblCellMar>
                  <w:top w:w="0" w:type="dxa"/>
                  <w:left w:w="0" w:type="dxa"/>
                  <w:bottom w:w="0" w:type="dxa"/>
                  <w:right w:w="0" w:type="dxa"/>
                </w:tblCellMar>
              </w:tblPrEx>
              <w:trPr>
                <w:trHeight w:val="20" w:hRule="atLeast"/>
              </w:trPr>
              <w:tc>
                <w:tcPr>
                  <w:tcW w:w="544" w:type="pct"/>
                  <w:tcBorders>
                    <w:top w:val="single" w:color="000000" w:sz="4" w:space="0"/>
                    <w:left w:val="single" w:color="000000" w:sz="4" w:space="0"/>
                    <w:bottom w:val="single" w:color="000000" w:sz="4" w:space="0"/>
                    <w:right w:val="single" w:color="000000" w:sz="4" w:space="0"/>
                  </w:tcBorders>
                  <w:vAlign w:val="center"/>
                </w:tcPr>
                <w:p w14:paraId="52913D3A">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DA001</w:t>
                  </w:r>
                </w:p>
              </w:tc>
              <w:tc>
                <w:tcPr>
                  <w:tcW w:w="555" w:type="pct"/>
                  <w:tcBorders>
                    <w:top w:val="single" w:color="000000" w:sz="4" w:space="0"/>
                    <w:left w:val="single" w:color="000000" w:sz="4" w:space="0"/>
                    <w:bottom w:val="single" w:color="000000" w:sz="4" w:space="0"/>
                    <w:right w:val="single" w:color="000000" w:sz="4" w:space="0"/>
                  </w:tcBorders>
                  <w:vAlign w:val="center"/>
                </w:tcPr>
                <w:p w14:paraId="28E6C7FE">
                  <w:pPr>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shd w:val="clear" w:color="auto" w:fill="FFFFFF"/>
                    </w:rPr>
                    <w:t>胺汽提</w:t>
                  </w:r>
                  <w:r>
                    <w:rPr>
                      <w:rFonts w:ascii="Times New Roman" w:hAnsi="Times New Roman" w:cs="Times New Roman"/>
                      <w:sz w:val="18"/>
                      <w:szCs w:val="18"/>
                      <w:shd w:val="clear" w:color="auto" w:fill="FFFFFF"/>
                    </w:rPr>
                    <w:t>塔排气</w:t>
                  </w:r>
                </w:p>
              </w:tc>
              <w:tc>
                <w:tcPr>
                  <w:tcW w:w="714" w:type="pct"/>
                  <w:tcBorders>
                    <w:top w:val="single" w:color="000000" w:sz="4" w:space="0"/>
                    <w:left w:val="single" w:color="000000" w:sz="4" w:space="0"/>
                    <w:bottom w:val="single" w:color="000000" w:sz="4" w:space="0"/>
                    <w:right w:val="single" w:color="000000" w:sz="4" w:space="0"/>
                  </w:tcBorders>
                  <w:vAlign w:val="center"/>
                </w:tcPr>
                <w:p w14:paraId="389320A8">
                  <w:pPr>
                    <w:jc w:val="center"/>
                    <w:rPr>
                      <w:rFonts w:ascii="Times New Roman" w:hAnsi="Times New Roman" w:cs="Times New Roman"/>
                      <w:sz w:val="18"/>
                      <w:szCs w:val="18"/>
                      <w:highlight w:val="yellow"/>
                      <w:shd w:val="clear" w:color="auto" w:fill="FFFFFF"/>
                    </w:rPr>
                  </w:pPr>
                  <w:r>
                    <w:rPr>
                      <w:rFonts w:hint="eastAsia" w:ascii="Times New Roman" w:hAnsi="Times New Roman" w:cs="Times New Roman"/>
                      <w:sz w:val="18"/>
                      <w:szCs w:val="18"/>
                      <w:shd w:val="clear" w:color="auto" w:fill="FFFFFF"/>
                    </w:rPr>
                    <w:t>107.54</w:t>
                  </w:r>
                  <w:r>
                    <w:rPr>
                      <w:rFonts w:ascii="Times New Roman" w:hAnsi="Times New Roman" w:cs="Times New Roman"/>
                      <w:sz w:val="18"/>
                      <w:szCs w:val="18"/>
                      <w:shd w:val="clear" w:color="auto" w:fill="FFFFFF"/>
                    </w:rPr>
                    <w:t>45</w:t>
                  </w:r>
                  <w:r>
                    <w:rPr>
                      <w:rFonts w:hint="eastAsia" w:ascii="Times New Roman" w:hAnsi="Times New Roman" w:cs="Times New Roman"/>
                      <w:sz w:val="18"/>
                      <w:szCs w:val="18"/>
                      <w:shd w:val="clear" w:color="auto" w:fill="FFFFFF"/>
                    </w:rPr>
                    <w:t>1</w:t>
                  </w:r>
                </w:p>
              </w:tc>
              <w:tc>
                <w:tcPr>
                  <w:tcW w:w="706" w:type="pct"/>
                  <w:tcBorders>
                    <w:top w:val="single" w:color="000000" w:sz="4" w:space="0"/>
                    <w:left w:val="single" w:color="000000" w:sz="4" w:space="0"/>
                    <w:bottom w:val="single" w:color="000000" w:sz="4" w:space="0"/>
                    <w:right w:val="single" w:color="000000" w:sz="4" w:space="0"/>
                  </w:tcBorders>
                  <w:vAlign w:val="center"/>
                </w:tcPr>
                <w:p w14:paraId="7F58AE82">
                  <w:pPr>
                    <w:jc w:val="center"/>
                    <w:rPr>
                      <w:rFonts w:ascii="Times New Roman" w:hAnsi="Times New Roman" w:cs="Times New Roman"/>
                      <w:sz w:val="18"/>
                      <w:szCs w:val="18"/>
                      <w:highlight w:val="yellow"/>
                      <w:shd w:val="clear" w:color="auto" w:fill="FFFFFF"/>
                    </w:rPr>
                  </w:pPr>
                  <w:r>
                    <w:rPr>
                      <w:rFonts w:hint="eastAsia" w:ascii="Times New Roman" w:hAnsi="Times New Roman" w:cs="Times New Roman"/>
                      <w:sz w:val="18"/>
                      <w:szCs w:val="18"/>
                      <w:shd w:val="clear" w:color="auto" w:fill="FFFFFF"/>
                    </w:rPr>
                    <w:t>29.6</w:t>
                  </w:r>
                  <w:r>
                    <w:rPr>
                      <w:rFonts w:ascii="Times New Roman" w:hAnsi="Times New Roman" w:cs="Times New Roman"/>
                      <w:sz w:val="18"/>
                      <w:szCs w:val="18"/>
                      <w:shd w:val="clear" w:color="auto" w:fill="FFFFFF"/>
                    </w:rPr>
                    <w:t>21413</w:t>
                  </w:r>
                </w:p>
              </w:tc>
              <w:tc>
                <w:tcPr>
                  <w:tcW w:w="670" w:type="pct"/>
                  <w:tcBorders>
                    <w:top w:val="single" w:color="000000" w:sz="4" w:space="0"/>
                    <w:left w:val="single" w:color="000000" w:sz="4" w:space="0"/>
                    <w:bottom w:val="single" w:color="000000" w:sz="4" w:space="0"/>
                    <w:right w:val="single" w:color="000000" w:sz="4" w:space="0"/>
                  </w:tcBorders>
                  <w:vAlign w:val="center"/>
                </w:tcPr>
                <w:p w14:paraId="082BBD7F">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其他排放口</w:t>
                  </w:r>
                </w:p>
              </w:tc>
              <w:tc>
                <w:tcPr>
                  <w:tcW w:w="589" w:type="pct"/>
                  <w:tcBorders>
                    <w:top w:val="single" w:color="000000" w:sz="4" w:space="0"/>
                    <w:left w:val="single" w:color="000000" w:sz="4" w:space="0"/>
                    <w:bottom w:val="single" w:color="000000" w:sz="4" w:space="0"/>
                    <w:right w:val="single" w:color="000000" w:sz="4" w:space="0"/>
                  </w:tcBorders>
                  <w:vAlign w:val="center"/>
                </w:tcPr>
                <w:p w14:paraId="111165D1">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15</w:t>
                  </w:r>
                </w:p>
              </w:tc>
              <w:tc>
                <w:tcPr>
                  <w:tcW w:w="583" w:type="pct"/>
                  <w:tcBorders>
                    <w:top w:val="single" w:color="000000" w:sz="4" w:space="0"/>
                    <w:left w:val="single" w:color="000000" w:sz="4" w:space="0"/>
                    <w:bottom w:val="single" w:color="000000" w:sz="4" w:space="0"/>
                    <w:right w:val="single" w:color="000000" w:sz="4" w:space="0"/>
                  </w:tcBorders>
                  <w:vAlign w:val="center"/>
                </w:tcPr>
                <w:p w14:paraId="637BAAA3">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0.08</w:t>
                  </w:r>
                </w:p>
              </w:tc>
              <w:tc>
                <w:tcPr>
                  <w:tcW w:w="639" w:type="pct"/>
                  <w:tcBorders>
                    <w:top w:val="single" w:color="000000" w:sz="4" w:space="0"/>
                    <w:left w:val="single" w:color="000000" w:sz="4" w:space="0"/>
                    <w:bottom w:val="single" w:color="000000" w:sz="4" w:space="0"/>
                    <w:right w:val="single" w:color="000000" w:sz="4" w:space="0"/>
                  </w:tcBorders>
                  <w:vAlign w:val="center"/>
                </w:tcPr>
                <w:p w14:paraId="1A4E1366">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39</w:t>
                  </w:r>
                </w:p>
              </w:tc>
            </w:tr>
            <w:tr w14:paraId="3D3B466D">
              <w:trPr>
                <w:trHeight w:val="20" w:hRule="atLeast"/>
              </w:trPr>
              <w:tc>
                <w:tcPr>
                  <w:tcW w:w="544" w:type="pct"/>
                  <w:tcBorders>
                    <w:top w:val="single" w:color="000000" w:sz="4" w:space="0"/>
                    <w:left w:val="single" w:color="000000" w:sz="4" w:space="0"/>
                    <w:bottom w:val="single" w:color="000000" w:sz="4" w:space="0"/>
                    <w:right w:val="single" w:color="000000" w:sz="4" w:space="0"/>
                  </w:tcBorders>
                  <w:vAlign w:val="center"/>
                </w:tcPr>
                <w:p w14:paraId="133013C8">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DA002</w:t>
                  </w:r>
                </w:p>
              </w:tc>
              <w:tc>
                <w:tcPr>
                  <w:tcW w:w="555" w:type="pct"/>
                  <w:tcBorders>
                    <w:top w:val="single" w:color="000000" w:sz="4" w:space="0"/>
                    <w:left w:val="single" w:color="000000" w:sz="4" w:space="0"/>
                    <w:bottom w:val="single" w:color="000000" w:sz="4" w:space="0"/>
                    <w:right w:val="single" w:color="000000" w:sz="4" w:space="0"/>
                  </w:tcBorders>
                  <w:vAlign w:val="center"/>
                </w:tcPr>
                <w:p w14:paraId="367394DB">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火炬</w:t>
                  </w:r>
                </w:p>
              </w:tc>
              <w:tc>
                <w:tcPr>
                  <w:tcW w:w="714" w:type="pct"/>
                  <w:tcBorders>
                    <w:top w:val="single" w:color="000000" w:sz="4" w:space="0"/>
                    <w:left w:val="single" w:color="000000" w:sz="4" w:space="0"/>
                    <w:bottom w:val="single" w:color="000000" w:sz="4" w:space="0"/>
                    <w:right w:val="single" w:color="000000" w:sz="4" w:space="0"/>
                  </w:tcBorders>
                  <w:vAlign w:val="center"/>
                </w:tcPr>
                <w:p w14:paraId="0B226E0D">
                  <w:pPr>
                    <w:jc w:val="center"/>
                    <w:rPr>
                      <w:rFonts w:ascii="Times New Roman" w:hAnsi="Times New Roman" w:cs="Times New Roman"/>
                      <w:sz w:val="18"/>
                      <w:szCs w:val="18"/>
                      <w:highlight w:val="yellow"/>
                      <w:shd w:val="clear" w:color="auto" w:fill="FFFFFF"/>
                    </w:rPr>
                  </w:pPr>
                  <w:r>
                    <w:rPr>
                      <w:rFonts w:hint="eastAsia" w:ascii="Times New Roman" w:hAnsi="Times New Roman" w:cs="Times New Roman"/>
                      <w:sz w:val="18"/>
                      <w:szCs w:val="18"/>
                      <w:shd w:val="clear" w:color="auto" w:fill="FFFFFF"/>
                    </w:rPr>
                    <w:t>107.540191</w:t>
                  </w:r>
                </w:p>
              </w:tc>
              <w:tc>
                <w:tcPr>
                  <w:tcW w:w="706" w:type="pct"/>
                  <w:tcBorders>
                    <w:top w:val="single" w:color="000000" w:sz="4" w:space="0"/>
                    <w:left w:val="single" w:color="000000" w:sz="4" w:space="0"/>
                    <w:bottom w:val="single" w:color="000000" w:sz="4" w:space="0"/>
                    <w:right w:val="single" w:color="000000" w:sz="4" w:space="0"/>
                  </w:tcBorders>
                  <w:vAlign w:val="center"/>
                </w:tcPr>
                <w:p w14:paraId="42E4B00E">
                  <w:pPr>
                    <w:jc w:val="center"/>
                    <w:rPr>
                      <w:rFonts w:ascii="Times New Roman" w:hAnsi="Times New Roman" w:cs="Times New Roman"/>
                      <w:sz w:val="18"/>
                      <w:szCs w:val="18"/>
                      <w:highlight w:val="yellow"/>
                      <w:shd w:val="clear" w:color="auto" w:fill="FFFFFF"/>
                    </w:rPr>
                  </w:pPr>
                  <w:r>
                    <w:rPr>
                      <w:rFonts w:hint="eastAsia" w:ascii="Times New Roman" w:hAnsi="Times New Roman" w:cs="Times New Roman"/>
                      <w:sz w:val="18"/>
                      <w:szCs w:val="18"/>
                      <w:shd w:val="clear" w:color="auto" w:fill="FFFFFF"/>
                    </w:rPr>
                    <w:t>29.600380</w:t>
                  </w:r>
                </w:p>
              </w:tc>
              <w:tc>
                <w:tcPr>
                  <w:tcW w:w="670" w:type="pct"/>
                  <w:tcBorders>
                    <w:top w:val="single" w:color="000000" w:sz="4" w:space="0"/>
                    <w:left w:val="single" w:color="000000" w:sz="4" w:space="0"/>
                    <w:bottom w:val="single" w:color="000000" w:sz="4" w:space="0"/>
                    <w:right w:val="single" w:color="000000" w:sz="4" w:space="0"/>
                  </w:tcBorders>
                  <w:vAlign w:val="center"/>
                </w:tcPr>
                <w:p w14:paraId="5A42DFED">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其他排放口</w:t>
                  </w:r>
                </w:p>
              </w:tc>
              <w:tc>
                <w:tcPr>
                  <w:tcW w:w="589" w:type="pct"/>
                  <w:tcBorders>
                    <w:top w:val="single" w:color="000000" w:sz="4" w:space="0"/>
                    <w:left w:val="single" w:color="000000" w:sz="4" w:space="0"/>
                    <w:bottom w:val="single" w:color="000000" w:sz="4" w:space="0"/>
                    <w:right w:val="single" w:color="000000" w:sz="4" w:space="0"/>
                  </w:tcBorders>
                  <w:vAlign w:val="center"/>
                </w:tcPr>
                <w:p w14:paraId="529574F1">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80</w:t>
                  </w:r>
                </w:p>
              </w:tc>
              <w:tc>
                <w:tcPr>
                  <w:tcW w:w="583" w:type="pct"/>
                  <w:tcBorders>
                    <w:top w:val="single" w:color="000000" w:sz="4" w:space="0"/>
                    <w:left w:val="single" w:color="000000" w:sz="4" w:space="0"/>
                    <w:bottom w:val="single" w:color="000000" w:sz="4" w:space="0"/>
                    <w:right w:val="single" w:color="000000" w:sz="4" w:space="0"/>
                  </w:tcBorders>
                  <w:vAlign w:val="center"/>
                </w:tcPr>
                <w:p w14:paraId="4AB42654">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1</w:t>
                  </w:r>
                </w:p>
              </w:tc>
              <w:tc>
                <w:tcPr>
                  <w:tcW w:w="639" w:type="pct"/>
                  <w:tcBorders>
                    <w:top w:val="single" w:color="000000" w:sz="4" w:space="0"/>
                    <w:left w:val="single" w:color="000000" w:sz="4" w:space="0"/>
                    <w:bottom w:val="single" w:color="000000" w:sz="4" w:space="0"/>
                    <w:right w:val="single" w:color="000000" w:sz="4" w:space="0"/>
                  </w:tcBorders>
                  <w:vAlign w:val="center"/>
                </w:tcPr>
                <w:p w14:paraId="7C2F4A1D">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1200</w:t>
                  </w:r>
                </w:p>
              </w:tc>
            </w:tr>
            <w:tr w14:paraId="5D630B20">
              <w:tblPrEx>
                <w:tblCellMar>
                  <w:top w:w="0" w:type="dxa"/>
                  <w:left w:w="0" w:type="dxa"/>
                  <w:bottom w:w="0" w:type="dxa"/>
                  <w:right w:w="0" w:type="dxa"/>
                </w:tblCellMar>
              </w:tblPrEx>
              <w:trPr>
                <w:trHeight w:val="20" w:hRule="atLeast"/>
              </w:trPr>
              <w:tc>
                <w:tcPr>
                  <w:tcW w:w="544" w:type="pct"/>
                  <w:tcBorders>
                    <w:top w:val="single" w:color="000000" w:sz="4" w:space="0"/>
                    <w:left w:val="single" w:color="000000" w:sz="4" w:space="0"/>
                    <w:bottom w:val="single" w:color="000000" w:sz="6" w:space="0"/>
                    <w:right w:val="single" w:color="000000" w:sz="4" w:space="0"/>
                  </w:tcBorders>
                  <w:vAlign w:val="center"/>
                </w:tcPr>
                <w:p w14:paraId="2609A23C">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DA003</w:t>
                  </w:r>
                </w:p>
              </w:tc>
              <w:tc>
                <w:tcPr>
                  <w:tcW w:w="555" w:type="pct"/>
                  <w:tcBorders>
                    <w:top w:val="single" w:color="000000" w:sz="4" w:space="0"/>
                    <w:left w:val="single" w:color="000000" w:sz="4" w:space="0"/>
                    <w:bottom w:val="single" w:color="000000" w:sz="6" w:space="0"/>
                    <w:right w:val="single" w:color="000000" w:sz="4" w:space="0"/>
                  </w:tcBorders>
                  <w:vAlign w:val="center"/>
                </w:tcPr>
                <w:p w14:paraId="5AA19B15">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导热油炉燃烧废气</w:t>
                  </w:r>
                </w:p>
              </w:tc>
              <w:tc>
                <w:tcPr>
                  <w:tcW w:w="714" w:type="pct"/>
                  <w:tcBorders>
                    <w:top w:val="single" w:color="000000" w:sz="4" w:space="0"/>
                    <w:left w:val="single" w:color="000000" w:sz="4" w:space="0"/>
                    <w:bottom w:val="single" w:color="000000" w:sz="6" w:space="0"/>
                    <w:right w:val="single" w:color="000000" w:sz="4" w:space="0"/>
                  </w:tcBorders>
                  <w:vAlign w:val="center"/>
                </w:tcPr>
                <w:p w14:paraId="04C752D1">
                  <w:pPr>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shd w:val="clear" w:color="auto" w:fill="FFFFFF"/>
                    </w:rPr>
                    <w:t>107.538660</w:t>
                  </w:r>
                </w:p>
              </w:tc>
              <w:tc>
                <w:tcPr>
                  <w:tcW w:w="706" w:type="pct"/>
                  <w:tcBorders>
                    <w:top w:val="single" w:color="000000" w:sz="4" w:space="0"/>
                    <w:left w:val="single" w:color="000000" w:sz="4" w:space="0"/>
                    <w:bottom w:val="single" w:color="000000" w:sz="6" w:space="0"/>
                    <w:right w:val="single" w:color="000000" w:sz="4" w:space="0"/>
                  </w:tcBorders>
                  <w:vAlign w:val="center"/>
                </w:tcPr>
                <w:p w14:paraId="6DC0DBC3">
                  <w:pPr>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shd w:val="clear" w:color="auto" w:fill="FFFFFF"/>
                    </w:rPr>
                    <w:t>29.598437</w:t>
                  </w:r>
                </w:p>
              </w:tc>
              <w:tc>
                <w:tcPr>
                  <w:tcW w:w="670" w:type="pct"/>
                  <w:tcBorders>
                    <w:top w:val="single" w:color="000000" w:sz="4" w:space="0"/>
                    <w:left w:val="single" w:color="000000" w:sz="4" w:space="0"/>
                    <w:bottom w:val="single" w:color="000000" w:sz="6" w:space="0"/>
                    <w:right w:val="single" w:color="000000" w:sz="4" w:space="0"/>
                  </w:tcBorders>
                  <w:vAlign w:val="center"/>
                </w:tcPr>
                <w:p w14:paraId="1ABBBEC1">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重点排放口</w:t>
                  </w:r>
                </w:p>
              </w:tc>
              <w:tc>
                <w:tcPr>
                  <w:tcW w:w="589" w:type="pct"/>
                  <w:tcBorders>
                    <w:top w:val="single" w:color="000000" w:sz="4" w:space="0"/>
                    <w:left w:val="single" w:color="000000" w:sz="4" w:space="0"/>
                    <w:bottom w:val="single" w:color="000000" w:sz="6" w:space="0"/>
                    <w:right w:val="single" w:color="000000" w:sz="4" w:space="0"/>
                  </w:tcBorders>
                  <w:vAlign w:val="center"/>
                </w:tcPr>
                <w:p w14:paraId="2F91AFC8">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25</w:t>
                  </w:r>
                </w:p>
              </w:tc>
              <w:tc>
                <w:tcPr>
                  <w:tcW w:w="583" w:type="pct"/>
                  <w:tcBorders>
                    <w:top w:val="single" w:color="000000" w:sz="4" w:space="0"/>
                    <w:left w:val="single" w:color="000000" w:sz="4" w:space="0"/>
                    <w:bottom w:val="single" w:color="000000" w:sz="6" w:space="0"/>
                    <w:right w:val="single" w:color="000000" w:sz="4" w:space="0"/>
                  </w:tcBorders>
                  <w:vAlign w:val="center"/>
                </w:tcPr>
                <w:p w14:paraId="031151F1">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0.4</w:t>
                  </w:r>
                </w:p>
              </w:tc>
              <w:tc>
                <w:tcPr>
                  <w:tcW w:w="639" w:type="pct"/>
                  <w:tcBorders>
                    <w:top w:val="single" w:color="000000" w:sz="4" w:space="0"/>
                    <w:left w:val="single" w:color="000000" w:sz="4" w:space="0"/>
                    <w:bottom w:val="single" w:color="000000" w:sz="6" w:space="0"/>
                    <w:right w:val="single" w:color="000000" w:sz="4" w:space="0"/>
                  </w:tcBorders>
                  <w:vAlign w:val="center"/>
                </w:tcPr>
                <w:p w14:paraId="4A814C90">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573</w:t>
                  </w:r>
                </w:p>
              </w:tc>
            </w:tr>
          </w:tbl>
          <w:p w14:paraId="3BAEC12A">
            <w:pPr>
              <w:spacing w:line="360" w:lineRule="auto"/>
              <w:ind w:firstLine="480" w:firstLineChars="200"/>
              <w:rPr>
                <w:rFonts w:ascii="Times New Roman" w:hAnsi="Times New Roman" w:cs="Times New Roman"/>
                <w:sz w:val="24"/>
              </w:rPr>
            </w:pPr>
          </w:p>
          <w:p w14:paraId="3A35295F">
            <w:pPr>
              <w:keepNext/>
              <w:overflowPunct w:val="0"/>
              <w:snapToGrid w:val="0"/>
              <w:spacing w:line="360" w:lineRule="auto"/>
              <w:outlineLvl w:val="0"/>
              <w:rPr>
                <w:rFonts w:ascii="Times New Roman" w:hAnsi="Times New Roman" w:cs="Times New Roman"/>
                <w:b/>
                <w:bCs/>
                <w:kern w:val="44"/>
                <w:sz w:val="24"/>
                <w:szCs w:val="30"/>
              </w:rPr>
            </w:pPr>
            <w:r>
              <w:rPr>
                <w:rFonts w:ascii="Times New Roman" w:hAnsi="Times New Roman" w:cs="Times New Roman"/>
                <w:b/>
                <w:bCs/>
                <w:kern w:val="44"/>
                <w:sz w:val="24"/>
                <w:szCs w:val="30"/>
              </w:rPr>
              <w:t>4.2.1.3监测要求</w:t>
            </w:r>
          </w:p>
          <w:p w14:paraId="2480F56F">
            <w:pPr>
              <w:spacing w:line="360" w:lineRule="auto"/>
              <w:ind w:firstLine="480" w:firstLineChars="200"/>
              <w:rPr>
                <w:rFonts w:ascii="Times New Roman" w:hAnsi="Times New Roman" w:cs="Times New Roman"/>
                <w:kern w:val="0"/>
              </w:rPr>
            </w:pPr>
            <w:r>
              <w:rPr>
                <w:rFonts w:ascii="Times New Roman" w:hAnsi="Times New Roman" w:cs="Times New Roman"/>
                <w:sz w:val="24"/>
              </w:rPr>
              <w:t>参考《排污许可证申请与核发技术规范 总则》（HJ942-2018）、《</w:t>
            </w:r>
            <w:r>
              <w:fldChar w:fldCharType="begin"/>
            </w:r>
            <w:r>
              <w:instrText xml:space="preserve"> HYPERLINK "https://www.mee.gov.cn/ywgz/fgbz/bz/bzwb/pwxk/201808/W020180808314066594969.pdf" </w:instrText>
            </w:r>
            <w:r>
              <w:fldChar w:fldCharType="separate"/>
            </w:r>
            <w:r>
              <w:rPr>
                <w:rFonts w:ascii="Times New Roman" w:hAnsi="Times New Roman" w:cs="Times New Roman"/>
                <w:sz w:val="24"/>
              </w:rPr>
              <w:t>排污许可证申请与核发技术规范 锅炉》（HJ953—2018</w:t>
            </w:r>
            <w:r>
              <w:rPr>
                <w:rFonts w:ascii="Times New Roman" w:hAnsi="Times New Roman" w:cs="Times New Roman"/>
                <w:sz w:val="24"/>
              </w:rPr>
              <w:fldChar w:fldCharType="end"/>
            </w:r>
            <w:r>
              <w:rPr>
                <w:rFonts w:ascii="Times New Roman" w:hAnsi="Times New Roman" w:cs="Times New Roman"/>
                <w:sz w:val="24"/>
              </w:rPr>
              <w:t>）、《排污单位自行监测技术指南 总则》（HJ 819-2017）等，拟建项目废气监测要求见下表。</w:t>
            </w:r>
          </w:p>
          <w:p w14:paraId="02546797">
            <w:pPr>
              <w:jc w:val="center"/>
              <w:rPr>
                <w:rFonts w:ascii="Times New Roman" w:hAnsi="Times New Roman" w:cs="Times New Roman"/>
                <w:kern w:val="0"/>
              </w:rPr>
            </w:pPr>
          </w:p>
          <w:p w14:paraId="7B16AB2C">
            <w:pPr>
              <w:jc w:val="center"/>
              <w:rPr>
                <w:rFonts w:ascii="Times New Roman" w:hAnsi="Times New Roman" w:cs="Times New Roman"/>
                <w:kern w:val="0"/>
              </w:rPr>
            </w:pPr>
            <w:r>
              <w:rPr>
                <w:rFonts w:ascii="Times New Roman" w:hAnsi="Times New Roman" w:cs="Times New Roman"/>
                <w:kern w:val="0"/>
              </w:rPr>
              <w:t>表4.2-3 废气污染源监测点位、监测因子及监测频率一览表</w:t>
            </w:r>
          </w:p>
          <w:p w14:paraId="2FB1B458">
            <w:pPr>
              <w:autoSpaceDE w:val="0"/>
              <w:autoSpaceDN w:val="0"/>
              <w:adjustRightInd w:val="0"/>
              <w:spacing w:before="2" w:line="20" w:lineRule="exact"/>
              <w:jc w:val="left"/>
              <w:rPr>
                <w:rFonts w:ascii="Times New Roman" w:hAnsi="Times New Roman" w:cs="Times New Roman"/>
                <w:kern w:val="0"/>
                <w:sz w:val="2"/>
                <w:szCs w:val="2"/>
              </w:rPr>
            </w:pPr>
          </w:p>
          <w:tbl>
            <w:tblPr>
              <w:tblStyle w:val="8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726"/>
              <w:gridCol w:w="755"/>
              <w:gridCol w:w="1478"/>
              <w:gridCol w:w="3370"/>
            </w:tblGrid>
            <w:tr w14:paraId="6DBE24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jc w:val="center"/>
              </w:trPr>
              <w:tc>
                <w:tcPr>
                  <w:tcW w:w="0" w:type="auto"/>
                  <w:vAlign w:val="center"/>
                </w:tcPr>
                <w:p w14:paraId="4F605A07">
                  <w:pPr>
                    <w:widowControl/>
                    <w:jc w:val="center"/>
                    <w:rPr>
                      <w:rFonts w:ascii="Times New Roman" w:hAnsi="Times New Roman" w:cs="Times New Roman"/>
                      <w:shd w:val="clear" w:color="auto" w:fill="FFFFFF"/>
                    </w:rPr>
                  </w:pPr>
                  <w:r>
                    <w:rPr>
                      <w:rFonts w:ascii="Times New Roman" w:hAnsi="Times New Roman" w:cs="Times New Roman"/>
                      <w:shd w:val="clear" w:color="auto" w:fill="FFFFFF"/>
                    </w:rPr>
                    <w:t>监测点位</w:t>
                  </w:r>
                </w:p>
              </w:tc>
              <w:tc>
                <w:tcPr>
                  <w:tcW w:w="759" w:type="dxa"/>
                  <w:vAlign w:val="center"/>
                </w:tcPr>
                <w:p w14:paraId="3E6A9203">
                  <w:pPr>
                    <w:widowControl/>
                    <w:jc w:val="center"/>
                    <w:rPr>
                      <w:rFonts w:ascii="Times New Roman" w:hAnsi="Times New Roman" w:cs="Times New Roman"/>
                      <w:shd w:val="clear" w:color="auto" w:fill="FFFFFF"/>
                    </w:rPr>
                  </w:pPr>
                  <w:r>
                    <w:rPr>
                      <w:rFonts w:ascii="Times New Roman" w:hAnsi="Times New Roman" w:cs="Times New Roman"/>
                      <w:shd w:val="clear" w:color="auto" w:fill="FFFFFF"/>
                    </w:rPr>
                    <w:t>监测因子</w:t>
                  </w:r>
                </w:p>
              </w:tc>
              <w:tc>
                <w:tcPr>
                  <w:tcW w:w="1485" w:type="dxa"/>
                  <w:vAlign w:val="center"/>
                </w:tcPr>
                <w:p w14:paraId="19706445">
                  <w:pPr>
                    <w:widowControl/>
                    <w:jc w:val="center"/>
                    <w:rPr>
                      <w:rFonts w:ascii="Times New Roman" w:hAnsi="Times New Roman" w:cs="Times New Roman"/>
                      <w:shd w:val="clear" w:color="auto" w:fill="FFFFFF"/>
                    </w:rPr>
                  </w:pPr>
                  <w:r>
                    <w:rPr>
                      <w:rFonts w:ascii="Times New Roman" w:hAnsi="Times New Roman" w:cs="Times New Roman"/>
                      <w:shd w:val="clear" w:color="auto" w:fill="FFFFFF"/>
                    </w:rPr>
                    <w:t>监测频率</w:t>
                  </w:r>
                </w:p>
              </w:tc>
              <w:tc>
                <w:tcPr>
                  <w:tcW w:w="3385" w:type="dxa"/>
                  <w:vAlign w:val="center"/>
                </w:tcPr>
                <w:p w14:paraId="07C3631E">
                  <w:pPr>
                    <w:widowControl/>
                    <w:jc w:val="center"/>
                    <w:rPr>
                      <w:rFonts w:ascii="Times New Roman" w:hAnsi="Times New Roman" w:cs="Times New Roman"/>
                      <w:shd w:val="clear" w:color="auto" w:fill="FFFFFF"/>
                    </w:rPr>
                  </w:pPr>
                  <w:r>
                    <w:rPr>
                      <w:rFonts w:ascii="Times New Roman" w:hAnsi="Times New Roman" w:cs="Times New Roman"/>
                      <w:shd w:val="clear" w:color="auto" w:fill="FFFFFF"/>
                    </w:rPr>
                    <w:t>执行标准</w:t>
                  </w:r>
                </w:p>
              </w:tc>
            </w:tr>
            <w:tr w14:paraId="67799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700" w:type="dxa"/>
                  <w:vMerge w:val="restart"/>
                  <w:vAlign w:val="center"/>
                </w:tcPr>
                <w:p w14:paraId="3282A258">
                  <w:pPr>
                    <w:widowControl/>
                    <w:jc w:val="center"/>
                    <w:rPr>
                      <w:rFonts w:ascii="Times New Roman" w:hAnsi="Times New Roman" w:cs="Times New Roman"/>
                      <w:shd w:val="clear" w:color="auto" w:fill="FFFFFF"/>
                    </w:rPr>
                  </w:pPr>
                  <w:r>
                    <w:rPr>
                      <w:rFonts w:ascii="Times New Roman" w:hAnsi="Times New Roman" w:cs="Times New Roman"/>
                      <w:shd w:val="clear" w:color="auto" w:fill="FFFFFF"/>
                    </w:rPr>
                    <w:t>DA003</w:t>
                  </w:r>
                </w:p>
              </w:tc>
              <w:tc>
                <w:tcPr>
                  <w:tcW w:w="759" w:type="dxa"/>
                  <w:vAlign w:val="center"/>
                </w:tcPr>
                <w:p w14:paraId="589AC8D5">
                  <w:pPr>
                    <w:widowControl/>
                    <w:jc w:val="center"/>
                    <w:rPr>
                      <w:rFonts w:ascii="Times New Roman" w:hAnsi="Times New Roman" w:cs="Times New Roman"/>
                      <w:shd w:val="clear" w:color="auto" w:fill="FFFFFF"/>
                    </w:rPr>
                  </w:pPr>
                  <w:r>
                    <w:rPr>
                      <w:rFonts w:ascii="Times New Roman" w:hAnsi="Times New Roman" w:cs="Times New Roman"/>
                      <w:shd w:val="clear" w:color="auto" w:fill="FFFFFF"/>
                    </w:rPr>
                    <w:t>颗粒物</w:t>
                  </w:r>
                </w:p>
              </w:tc>
              <w:tc>
                <w:tcPr>
                  <w:tcW w:w="1485" w:type="dxa"/>
                  <w:vMerge w:val="restart"/>
                  <w:vAlign w:val="center"/>
                </w:tcPr>
                <w:p w14:paraId="45177C6E">
                  <w:pPr>
                    <w:widowControl/>
                    <w:jc w:val="center"/>
                    <w:rPr>
                      <w:rFonts w:ascii="Times New Roman" w:hAnsi="Times New Roman" w:cs="Times New Roman"/>
                      <w:shd w:val="clear" w:color="auto" w:fill="FFFFFF"/>
                    </w:rPr>
                  </w:pPr>
                  <w:r>
                    <w:rPr>
                      <w:rFonts w:ascii="Times New Roman" w:hAnsi="Times New Roman" w:cs="Times New Roman"/>
                      <w:shd w:val="clear" w:color="auto" w:fill="FFFFFF"/>
                    </w:rPr>
                    <w:t>验收时监测一次，以后1次/年</w:t>
                  </w:r>
                </w:p>
              </w:tc>
              <w:tc>
                <w:tcPr>
                  <w:tcW w:w="3385" w:type="dxa"/>
                  <w:vMerge w:val="restart"/>
                  <w:vAlign w:val="center"/>
                </w:tcPr>
                <w:p w14:paraId="310D54C4">
                  <w:pPr>
                    <w:widowControl/>
                    <w:jc w:val="center"/>
                    <w:rPr>
                      <w:rFonts w:ascii="Times New Roman" w:hAnsi="Times New Roman" w:cs="Times New Roman"/>
                      <w:shd w:val="clear" w:color="auto" w:fill="FFFFFF"/>
                    </w:rPr>
                  </w:pPr>
                  <w:r>
                    <w:rPr>
                      <w:rFonts w:ascii="Times New Roman" w:hAnsi="Times New Roman" w:cs="Times New Roman"/>
                      <w:snapToGrid w:val="0"/>
                      <w:kern w:val="0"/>
                    </w:rPr>
                    <w:t>《锅炉大气污染物排放标准》（DB 50658-2016）及第1号修改单</w:t>
                  </w:r>
                </w:p>
              </w:tc>
            </w:tr>
            <w:tr w14:paraId="58FE8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700" w:type="dxa"/>
                  <w:vMerge w:val="continue"/>
                  <w:vAlign w:val="center"/>
                </w:tcPr>
                <w:p w14:paraId="3FA1B6DB">
                  <w:pPr>
                    <w:widowControl/>
                    <w:jc w:val="center"/>
                    <w:rPr>
                      <w:rFonts w:ascii="Times New Roman" w:hAnsi="Times New Roman" w:cs="Times New Roman"/>
                      <w:shd w:val="clear" w:color="auto" w:fill="FFFFFF"/>
                    </w:rPr>
                  </w:pPr>
                </w:p>
              </w:tc>
              <w:tc>
                <w:tcPr>
                  <w:tcW w:w="759" w:type="dxa"/>
                  <w:vAlign w:val="center"/>
                </w:tcPr>
                <w:p w14:paraId="39F0C953">
                  <w:pPr>
                    <w:widowControl/>
                    <w:jc w:val="center"/>
                    <w:rPr>
                      <w:rFonts w:ascii="Times New Roman" w:hAnsi="Times New Roman" w:cs="Times New Roman"/>
                      <w:shd w:val="clear" w:color="auto" w:fill="FFFFFF"/>
                    </w:rPr>
                  </w:pPr>
                  <w:r>
                    <w:rPr>
                      <w:rFonts w:ascii="Times New Roman" w:hAnsi="Times New Roman" w:cs="Times New Roman"/>
                      <w:shd w:val="clear" w:color="auto" w:fill="FFFFFF"/>
                    </w:rPr>
                    <w:t>二氧化硫</w:t>
                  </w:r>
                </w:p>
              </w:tc>
              <w:tc>
                <w:tcPr>
                  <w:tcW w:w="1485" w:type="dxa"/>
                  <w:vMerge w:val="continue"/>
                  <w:vAlign w:val="center"/>
                </w:tcPr>
                <w:p w14:paraId="65683FDB">
                  <w:pPr>
                    <w:widowControl/>
                    <w:jc w:val="center"/>
                    <w:rPr>
                      <w:rFonts w:ascii="Times New Roman" w:hAnsi="Times New Roman" w:cs="Times New Roman"/>
                      <w:shd w:val="clear" w:color="auto" w:fill="FFFFFF"/>
                    </w:rPr>
                  </w:pPr>
                </w:p>
              </w:tc>
              <w:tc>
                <w:tcPr>
                  <w:tcW w:w="3385" w:type="dxa"/>
                  <w:vMerge w:val="continue"/>
                  <w:vAlign w:val="center"/>
                </w:tcPr>
                <w:p w14:paraId="6B669211">
                  <w:pPr>
                    <w:widowControl/>
                    <w:jc w:val="center"/>
                    <w:rPr>
                      <w:rFonts w:ascii="Times New Roman" w:hAnsi="Times New Roman" w:cs="Times New Roman"/>
                      <w:shd w:val="clear" w:color="auto" w:fill="FFFFFF"/>
                    </w:rPr>
                  </w:pPr>
                </w:p>
              </w:tc>
            </w:tr>
            <w:tr w14:paraId="55216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700" w:type="dxa"/>
                  <w:vMerge w:val="continue"/>
                  <w:vAlign w:val="center"/>
                </w:tcPr>
                <w:p w14:paraId="380FEDAE">
                  <w:pPr>
                    <w:widowControl/>
                    <w:jc w:val="center"/>
                    <w:rPr>
                      <w:rFonts w:ascii="Times New Roman" w:hAnsi="Times New Roman" w:cs="Times New Roman"/>
                      <w:shd w:val="clear" w:color="auto" w:fill="FFFFFF"/>
                    </w:rPr>
                  </w:pPr>
                </w:p>
              </w:tc>
              <w:tc>
                <w:tcPr>
                  <w:tcW w:w="759" w:type="dxa"/>
                  <w:vAlign w:val="center"/>
                </w:tcPr>
                <w:p w14:paraId="561DED66">
                  <w:pPr>
                    <w:widowControl/>
                    <w:jc w:val="center"/>
                    <w:rPr>
                      <w:rFonts w:ascii="Times New Roman" w:hAnsi="Times New Roman" w:cs="Times New Roman"/>
                      <w:shd w:val="clear" w:color="auto" w:fill="FFFFFF"/>
                    </w:rPr>
                  </w:pPr>
                  <w:r>
                    <w:rPr>
                      <w:rFonts w:ascii="Times New Roman" w:hAnsi="Times New Roman" w:cs="Times New Roman"/>
                      <w:shd w:val="clear" w:color="auto" w:fill="FFFFFF"/>
                    </w:rPr>
                    <w:t>氮氧化物</w:t>
                  </w:r>
                </w:p>
              </w:tc>
              <w:tc>
                <w:tcPr>
                  <w:tcW w:w="1485" w:type="dxa"/>
                  <w:vMerge w:val="continue"/>
                  <w:vAlign w:val="center"/>
                </w:tcPr>
                <w:p w14:paraId="55293CF1">
                  <w:pPr>
                    <w:widowControl/>
                    <w:jc w:val="center"/>
                    <w:rPr>
                      <w:rFonts w:ascii="Times New Roman" w:hAnsi="Times New Roman" w:cs="Times New Roman"/>
                      <w:shd w:val="clear" w:color="auto" w:fill="FFFFFF"/>
                    </w:rPr>
                  </w:pPr>
                </w:p>
              </w:tc>
              <w:tc>
                <w:tcPr>
                  <w:tcW w:w="3385" w:type="dxa"/>
                  <w:vMerge w:val="continue"/>
                  <w:vAlign w:val="center"/>
                </w:tcPr>
                <w:p w14:paraId="2A13D00E">
                  <w:pPr>
                    <w:widowControl/>
                    <w:jc w:val="center"/>
                    <w:rPr>
                      <w:rFonts w:ascii="Times New Roman" w:hAnsi="Times New Roman" w:cs="Times New Roman"/>
                      <w:shd w:val="clear" w:color="auto" w:fill="FFFFFF"/>
                    </w:rPr>
                  </w:pPr>
                </w:p>
              </w:tc>
            </w:tr>
            <w:tr w14:paraId="386FB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jc w:val="center"/>
              </w:trPr>
              <w:tc>
                <w:tcPr>
                  <w:tcW w:w="0" w:type="auto"/>
                  <w:vAlign w:val="center"/>
                </w:tcPr>
                <w:p w14:paraId="7EB1B1E8">
                  <w:pPr>
                    <w:widowControl/>
                    <w:jc w:val="center"/>
                    <w:rPr>
                      <w:rFonts w:ascii="Times New Roman" w:hAnsi="Times New Roman" w:cs="Times New Roman"/>
                      <w:shd w:val="clear" w:color="auto" w:fill="FFFFFF"/>
                    </w:rPr>
                  </w:pPr>
                  <w:r>
                    <w:rPr>
                      <w:rFonts w:ascii="Times New Roman" w:hAnsi="Times New Roman" w:cs="Times New Roman"/>
                      <w:shd w:val="clear" w:color="auto" w:fill="FFFFFF"/>
                    </w:rPr>
                    <w:t>厂界（上下风向各设置一个）</w:t>
                  </w:r>
                </w:p>
              </w:tc>
              <w:tc>
                <w:tcPr>
                  <w:tcW w:w="759" w:type="dxa"/>
                  <w:vAlign w:val="center"/>
                </w:tcPr>
                <w:p w14:paraId="02031ED3">
                  <w:pPr>
                    <w:widowControl/>
                    <w:jc w:val="center"/>
                    <w:rPr>
                      <w:rFonts w:ascii="Times New Roman" w:hAnsi="Times New Roman" w:cs="Times New Roman"/>
                      <w:shd w:val="clear" w:color="auto" w:fill="FFFFFF"/>
                    </w:rPr>
                  </w:pPr>
                  <w:r>
                    <w:rPr>
                      <w:rFonts w:ascii="Times New Roman" w:hAnsi="Times New Roman" w:cs="Times New Roman"/>
                      <w:shd w:val="clear" w:color="auto" w:fill="FFFFFF"/>
                    </w:rPr>
                    <w:t>非甲烷总烃</w:t>
                  </w:r>
                </w:p>
              </w:tc>
              <w:tc>
                <w:tcPr>
                  <w:tcW w:w="1485" w:type="dxa"/>
                  <w:vAlign w:val="center"/>
                </w:tcPr>
                <w:p w14:paraId="4CC23CC6">
                  <w:pPr>
                    <w:widowControl/>
                    <w:jc w:val="center"/>
                    <w:rPr>
                      <w:rFonts w:ascii="Times New Roman" w:hAnsi="Times New Roman" w:cs="Times New Roman"/>
                      <w:shd w:val="clear" w:color="auto" w:fill="FFFFFF"/>
                    </w:rPr>
                  </w:pPr>
                  <w:r>
                    <w:rPr>
                      <w:rFonts w:ascii="Times New Roman" w:hAnsi="Times New Roman" w:cs="Times New Roman"/>
                      <w:shd w:val="clear" w:color="auto" w:fill="FFFFFF"/>
                    </w:rPr>
                    <w:t>验收时监测一次，以后1次/年</w:t>
                  </w:r>
                </w:p>
              </w:tc>
              <w:tc>
                <w:tcPr>
                  <w:tcW w:w="3385" w:type="dxa"/>
                  <w:vAlign w:val="center"/>
                </w:tcPr>
                <w:p w14:paraId="52A253A5">
                  <w:pPr>
                    <w:widowControl/>
                    <w:jc w:val="center"/>
                    <w:rPr>
                      <w:rFonts w:ascii="Times New Roman" w:hAnsi="Times New Roman" w:cs="Times New Roman"/>
                      <w:kern w:val="0"/>
                    </w:rPr>
                  </w:pPr>
                  <w:r>
                    <w:rPr>
                      <w:rFonts w:ascii="Times New Roman" w:hAnsi="Times New Roman" w:cs="Times New Roman"/>
                    </w:rPr>
                    <w:t>《大气污染物综合排放标准》（DB50/418-2016）中表1的无组织排放监控点浓度限值</w:t>
                  </w:r>
                </w:p>
              </w:tc>
            </w:tr>
          </w:tbl>
          <w:p w14:paraId="30F3011D">
            <w:pPr>
              <w:pStyle w:val="198"/>
              <w:ind w:firstLine="562"/>
              <w:jc w:val="left"/>
              <w:rPr>
                <w:rFonts w:ascii="Times New Roman" w:hAnsi="Times New Roman" w:cs="Times New Roman"/>
                <w:b/>
                <w:sz w:val="28"/>
                <w:szCs w:val="28"/>
              </w:rPr>
            </w:pPr>
            <w:r>
              <w:rPr>
                <w:rFonts w:ascii="Times New Roman" w:hAnsi="Times New Roman" w:cs="Times New Roman"/>
                <w:b/>
                <w:bCs/>
                <w:sz w:val="28"/>
                <w:szCs w:val="24"/>
              </w:rPr>
              <w:t>4.2.1.2</w:t>
            </w:r>
            <w:r>
              <w:rPr>
                <w:rFonts w:ascii="Times New Roman" w:hAnsi="Times New Roman" w:cs="Times New Roman"/>
                <w:b/>
                <w:sz w:val="28"/>
                <w:szCs w:val="28"/>
              </w:rPr>
              <w:t>废气治理措施可行性分析</w:t>
            </w:r>
          </w:p>
          <w:p w14:paraId="757E8DF3">
            <w:pPr>
              <w:spacing w:line="360" w:lineRule="auto"/>
              <w:ind w:firstLine="480"/>
              <w:rPr>
                <w:sz w:val="24"/>
              </w:rPr>
            </w:pPr>
            <w:r>
              <w:rPr>
                <w:rFonts w:hint="eastAsia"/>
                <w:sz w:val="24"/>
              </w:rPr>
              <w:t>本项目所产生的废气主要为胺闪蒸罐废气G1、胺汽提塔排气G2、分子筛再生气G3、LNG储罐闪蒸汽G4和各冷剂储罐闪蒸汽G5，另外还包括了导热油炉废气G6、高架火炬烟气G7。其中胺闪蒸罐废气G1引至火炬燃烧，分子筛再生气G3和LNG储罐闪蒸汽G4与原料气一起进入净化单元进行净化。</w:t>
            </w:r>
          </w:p>
          <w:p w14:paraId="13188A02">
            <w:pPr>
              <w:spacing w:line="360" w:lineRule="auto"/>
              <w:ind w:firstLine="480"/>
              <w:rPr>
                <w:sz w:val="24"/>
              </w:rPr>
            </w:pPr>
            <w:r>
              <w:rPr>
                <w:rFonts w:hint="eastAsia"/>
                <w:sz w:val="24"/>
              </w:rPr>
              <w:t>胺汽提塔废气G2中主要含有CO</w:t>
            </w:r>
            <w:r>
              <w:rPr>
                <w:rFonts w:hint="eastAsia"/>
                <w:sz w:val="24"/>
                <w:vertAlign w:val="subscript"/>
              </w:rPr>
              <w:t>2</w:t>
            </w:r>
            <w:r>
              <w:rPr>
                <w:rFonts w:hint="eastAsia"/>
                <w:sz w:val="24"/>
              </w:rPr>
              <w:t>，通过1</w:t>
            </w:r>
            <w:r>
              <w:rPr>
                <w:sz w:val="24"/>
              </w:rPr>
              <w:t>5</w:t>
            </w:r>
            <w:r>
              <w:rPr>
                <w:rFonts w:hint="eastAsia"/>
                <w:sz w:val="24"/>
              </w:rPr>
              <w:t>m排气筒排放，对大气环境影响小。</w:t>
            </w:r>
          </w:p>
          <w:p w14:paraId="2F732367">
            <w:pPr>
              <w:spacing w:line="360" w:lineRule="auto"/>
              <w:ind w:firstLine="480" w:firstLineChars="200"/>
              <w:rPr>
                <w:rFonts w:ascii="Times New Roman" w:hAnsi="Times New Roman" w:cs="Times New Roman"/>
                <w:sz w:val="26"/>
              </w:rPr>
            </w:pPr>
            <w:r>
              <w:rPr>
                <w:rFonts w:ascii="Times New Roman" w:hAnsi="Times New Roman" w:cs="Times New Roman"/>
                <w:sz w:val="24"/>
              </w:rPr>
              <w:t>火炬系统在正常情况下只有长明灯燃烧，污染物排放量较小；导热油炉采用天然气作为燃料，废气满足</w:t>
            </w:r>
            <w:r>
              <w:rPr>
                <w:rFonts w:ascii="Times New Roman" w:hAnsi="Times New Roman" w:cs="Times New Roman"/>
                <w:snapToGrid w:val="0"/>
                <w:kern w:val="0"/>
                <w:sz w:val="24"/>
              </w:rPr>
              <w:t>《锅炉大气污染物排放标准》（DB 50658-2016）及第1号修改单要求；拟建项目采取密闭工艺，LNG罐区、LNG装车区设有BOG回收系统，无组织排放量较小。拟建项目所在区域属环境空气质量达标区，</w:t>
            </w:r>
            <w:r>
              <w:rPr>
                <w:rFonts w:ascii="Times New Roman" w:hAnsi="Times New Roman" w:cs="Times New Roman"/>
                <w:sz w:val="24"/>
              </w:rPr>
              <w:t>环境空气质量现状较好，拟建项目采取的废气治理措施可行，对大气环境影响较小。</w:t>
            </w:r>
          </w:p>
          <w:p w14:paraId="6F21F47E">
            <w:pPr>
              <w:spacing w:line="360" w:lineRule="auto"/>
              <w:ind w:firstLine="480" w:firstLineChars="200"/>
              <w:rPr>
                <w:rFonts w:ascii="Times New Roman" w:hAnsi="Times New Roman" w:cs="Times New Roman"/>
                <w:sz w:val="24"/>
              </w:rPr>
            </w:pPr>
            <w:r>
              <w:rPr>
                <w:rFonts w:ascii="Times New Roman" w:hAnsi="Times New Roman" w:cs="Times New Roman"/>
                <w:sz w:val="24"/>
              </w:rPr>
              <w:t>项目废气污染物产生、治理、排放情况见表4.2.1-3。</w:t>
            </w:r>
          </w:p>
          <w:p w14:paraId="04AD69F5">
            <w:pPr>
              <w:widowControl/>
              <w:spacing w:line="360" w:lineRule="auto"/>
              <w:ind w:firstLine="480" w:firstLineChars="200"/>
              <w:jc w:val="left"/>
              <w:rPr>
                <w:rFonts w:ascii="Times New Roman" w:hAnsi="Times New Roman" w:cs="Times New Roman"/>
                <w:sz w:val="24"/>
              </w:rPr>
            </w:pPr>
          </w:p>
        </w:tc>
      </w:tr>
    </w:tbl>
    <w:p w14:paraId="5AA67CED">
      <w:pPr>
        <w:adjustRightInd w:val="0"/>
        <w:snapToGrid w:val="0"/>
        <w:spacing w:line="360" w:lineRule="auto"/>
        <w:rPr>
          <w:rFonts w:ascii="Times New Roman" w:hAnsi="Times New Roman" w:cs="Times New Roman"/>
          <w:b/>
          <w:kern w:val="0"/>
          <w:sz w:val="28"/>
          <w:szCs w:val="28"/>
        </w:rPr>
        <w:sectPr>
          <w:pgSz w:w="11907" w:h="16840"/>
          <w:pgMar w:top="1701" w:right="1531" w:bottom="2127" w:left="1531" w:header="851" w:footer="851" w:gutter="0"/>
          <w:cols w:space="720" w:num="1"/>
          <w:docGrid w:linePitch="312" w:charSpace="0"/>
        </w:sectPr>
      </w:pPr>
    </w:p>
    <w:p w14:paraId="4013678A">
      <w:pPr>
        <w:tabs>
          <w:tab w:val="left" w:pos="4500"/>
        </w:tabs>
        <w:adjustRightInd w:val="0"/>
        <w:spacing w:line="280" w:lineRule="exact"/>
        <w:jc w:val="center"/>
        <w:rPr>
          <w:rFonts w:ascii="Times New Roman" w:hAnsi="Times New Roman" w:cs="Times New Roman"/>
          <w:b/>
          <w:kern w:val="0"/>
          <w:szCs w:val="21"/>
        </w:rPr>
      </w:pPr>
      <w:r>
        <w:rPr>
          <w:rFonts w:ascii="Times New Roman" w:hAnsi="Times New Roman" w:cs="Times New Roman"/>
          <w:b/>
          <w:kern w:val="0"/>
          <w:szCs w:val="21"/>
        </w:rPr>
        <w:t>表4.2.1-3   项目废气污染物产生、治理、排放情况一览表</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06"/>
        <w:gridCol w:w="1612"/>
        <w:gridCol w:w="1752"/>
        <w:gridCol w:w="1048"/>
        <w:gridCol w:w="905"/>
        <w:gridCol w:w="1850"/>
        <w:gridCol w:w="1592"/>
        <w:gridCol w:w="1654"/>
        <w:gridCol w:w="1862"/>
        <w:gridCol w:w="905"/>
        <w:gridCol w:w="1854"/>
        <w:gridCol w:w="1592"/>
        <w:gridCol w:w="1654"/>
        <w:gridCol w:w="1179"/>
      </w:tblGrid>
      <w:tr w14:paraId="223D6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246" w:type="pct"/>
            <w:vMerge w:val="restart"/>
            <w:vAlign w:val="center"/>
          </w:tcPr>
          <w:p w14:paraId="4377F1FF">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工序</w:t>
            </w:r>
          </w:p>
        </w:tc>
        <w:tc>
          <w:tcPr>
            <w:tcW w:w="394" w:type="pct"/>
            <w:vMerge w:val="restart"/>
            <w:vAlign w:val="center"/>
          </w:tcPr>
          <w:p w14:paraId="6B8BADCF">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装置</w:t>
            </w:r>
          </w:p>
        </w:tc>
        <w:tc>
          <w:tcPr>
            <w:tcW w:w="428" w:type="pct"/>
            <w:vMerge w:val="restart"/>
            <w:vAlign w:val="center"/>
          </w:tcPr>
          <w:p w14:paraId="6897C6CC">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污染源</w:t>
            </w:r>
          </w:p>
        </w:tc>
        <w:tc>
          <w:tcPr>
            <w:tcW w:w="256" w:type="pct"/>
            <w:vMerge w:val="restart"/>
            <w:vAlign w:val="center"/>
          </w:tcPr>
          <w:p w14:paraId="21B26FD4">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污染物</w:t>
            </w:r>
          </w:p>
        </w:tc>
        <w:tc>
          <w:tcPr>
            <w:tcW w:w="1466" w:type="pct"/>
            <w:gridSpan w:val="4"/>
            <w:vAlign w:val="center"/>
          </w:tcPr>
          <w:p w14:paraId="5578EB2F">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污染物产生</w:t>
            </w:r>
          </w:p>
        </w:tc>
        <w:tc>
          <w:tcPr>
            <w:tcW w:w="455" w:type="pct"/>
            <w:vMerge w:val="restart"/>
            <w:vAlign w:val="center"/>
          </w:tcPr>
          <w:p w14:paraId="1AE35BBE">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治理措施</w:t>
            </w:r>
          </w:p>
        </w:tc>
        <w:tc>
          <w:tcPr>
            <w:tcW w:w="1467" w:type="pct"/>
            <w:gridSpan w:val="4"/>
            <w:vAlign w:val="center"/>
          </w:tcPr>
          <w:p w14:paraId="1F43508E">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污染物排放</w:t>
            </w:r>
          </w:p>
        </w:tc>
        <w:tc>
          <w:tcPr>
            <w:tcW w:w="288" w:type="pct"/>
            <w:vMerge w:val="restart"/>
            <w:vAlign w:val="center"/>
          </w:tcPr>
          <w:p w14:paraId="74762AD4">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排放</w:t>
            </w:r>
          </w:p>
          <w:p w14:paraId="7455FFA6">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时间/h</w:t>
            </w:r>
          </w:p>
        </w:tc>
      </w:tr>
      <w:tr w14:paraId="736CF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246" w:type="pct"/>
            <w:vMerge w:val="continue"/>
            <w:vAlign w:val="center"/>
          </w:tcPr>
          <w:p w14:paraId="29BA88B4">
            <w:pPr>
              <w:jc w:val="center"/>
              <w:rPr>
                <w:rFonts w:ascii="Times New Roman" w:hAnsi="Times New Roman" w:cs="Times New Roman"/>
                <w:sz w:val="18"/>
                <w:szCs w:val="18"/>
                <w:shd w:val="clear" w:color="auto" w:fill="FFFFFF"/>
              </w:rPr>
            </w:pPr>
          </w:p>
        </w:tc>
        <w:tc>
          <w:tcPr>
            <w:tcW w:w="394" w:type="pct"/>
            <w:vMerge w:val="continue"/>
            <w:vAlign w:val="center"/>
          </w:tcPr>
          <w:p w14:paraId="741B2EDD">
            <w:pPr>
              <w:jc w:val="center"/>
              <w:rPr>
                <w:rFonts w:ascii="Times New Roman" w:hAnsi="Times New Roman" w:cs="Times New Roman"/>
                <w:sz w:val="18"/>
                <w:szCs w:val="18"/>
                <w:shd w:val="clear" w:color="auto" w:fill="FFFFFF"/>
              </w:rPr>
            </w:pPr>
          </w:p>
        </w:tc>
        <w:tc>
          <w:tcPr>
            <w:tcW w:w="428" w:type="pct"/>
            <w:vMerge w:val="continue"/>
            <w:vAlign w:val="center"/>
          </w:tcPr>
          <w:p w14:paraId="51E1CD72">
            <w:pPr>
              <w:jc w:val="center"/>
              <w:rPr>
                <w:rFonts w:ascii="Times New Roman" w:hAnsi="Times New Roman" w:cs="Times New Roman"/>
                <w:sz w:val="18"/>
                <w:szCs w:val="18"/>
                <w:shd w:val="clear" w:color="auto" w:fill="FFFFFF"/>
              </w:rPr>
            </w:pPr>
          </w:p>
        </w:tc>
        <w:tc>
          <w:tcPr>
            <w:tcW w:w="256" w:type="pct"/>
            <w:vMerge w:val="continue"/>
            <w:vAlign w:val="center"/>
          </w:tcPr>
          <w:p w14:paraId="5E935D50">
            <w:pPr>
              <w:jc w:val="center"/>
              <w:rPr>
                <w:rFonts w:ascii="Times New Roman" w:hAnsi="Times New Roman" w:cs="Times New Roman"/>
                <w:sz w:val="18"/>
                <w:szCs w:val="18"/>
                <w:shd w:val="clear" w:color="auto" w:fill="FFFFFF"/>
              </w:rPr>
            </w:pPr>
          </w:p>
        </w:tc>
        <w:tc>
          <w:tcPr>
            <w:tcW w:w="221" w:type="pct"/>
            <w:vAlign w:val="center"/>
          </w:tcPr>
          <w:p w14:paraId="566FAA2A">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核算</w:t>
            </w:r>
          </w:p>
          <w:p w14:paraId="14E000E0">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方法</w:t>
            </w:r>
          </w:p>
        </w:tc>
        <w:tc>
          <w:tcPr>
            <w:tcW w:w="452" w:type="pct"/>
            <w:vAlign w:val="center"/>
          </w:tcPr>
          <w:p w14:paraId="708E4F43">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废气产生量Nm</w:t>
            </w:r>
            <w:r>
              <w:rPr>
                <w:rFonts w:ascii="Times New Roman" w:hAnsi="Times New Roman" w:cs="Times New Roman"/>
                <w:sz w:val="18"/>
                <w:szCs w:val="18"/>
                <w:shd w:val="clear" w:color="auto" w:fill="FFFFFF"/>
                <w:vertAlign w:val="superscript"/>
              </w:rPr>
              <w:t>3</w:t>
            </w:r>
            <w:r>
              <w:rPr>
                <w:rFonts w:ascii="Times New Roman" w:hAnsi="Times New Roman" w:cs="Times New Roman"/>
                <w:sz w:val="18"/>
                <w:szCs w:val="18"/>
                <w:shd w:val="clear" w:color="auto" w:fill="FFFFFF"/>
              </w:rPr>
              <w:t>/a</w:t>
            </w:r>
          </w:p>
        </w:tc>
        <w:tc>
          <w:tcPr>
            <w:tcW w:w="389" w:type="pct"/>
            <w:vAlign w:val="center"/>
          </w:tcPr>
          <w:p w14:paraId="1E83BEE5">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产生浓度mg/m</w:t>
            </w:r>
            <w:r>
              <w:rPr>
                <w:rFonts w:ascii="Times New Roman" w:hAnsi="Times New Roman" w:cs="Times New Roman"/>
                <w:sz w:val="18"/>
                <w:szCs w:val="18"/>
                <w:shd w:val="clear" w:color="auto" w:fill="FFFFFF"/>
                <w:vertAlign w:val="superscript"/>
              </w:rPr>
              <w:t>3</w:t>
            </w:r>
          </w:p>
        </w:tc>
        <w:tc>
          <w:tcPr>
            <w:tcW w:w="404" w:type="pct"/>
            <w:vAlign w:val="center"/>
          </w:tcPr>
          <w:p w14:paraId="3F3F0CEA">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产生量t/a</w:t>
            </w:r>
          </w:p>
        </w:tc>
        <w:tc>
          <w:tcPr>
            <w:tcW w:w="455" w:type="pct"/>
            <w:vMerge w:val="continue"/>
            <w:vAlign w:val="center"/>
          </w:tcPr>
          <w:p w14:paraId="70DF4FE9">
            <w:pPr>
              <w:jc w:val="center"/>
              <w:rPr>
                <w:rFonts w:ascii="Times New Roman" w:hAnsi="Times New Roman" w:cs="Times New Roman"/>
                <w:sz w:val="18"/>
                <w:szCs w:val="18"/>
                <w:shd w:val="clear" w:color="auto" w:fill="FFFFFF"/>
              </w:rPr>
            </w:pPr>
          </w:p>
        </w:tc>
        <w:tc>
          <w:tcPr>
            <w:tcW w:w="221" w:type="pct"/>
            <w:vAlign w:val="center"/>
          </w:tcPr>
          <w:p w14:paraId="420994DB">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核算</w:t>
            </w:r>
          </w:p>
          <w:p w14:paraId="04A06F1A">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方法</w:t>
            </w:r>
          </w:p>
        </w:tc>
        <w:tc>
          <w:tcPr>
            <w:tcW w:w="453" w:type="pct"/>
            <w:vAlign w:val="center"/>
          </w:tcPr>
          <w:p w14:paraId="19D2EE3F">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废气排放量Nm</w:t>
            </w:r>
            <w:r>
              <w:rPr>
                <w:rFonts w:ascii="Times New Roman" w:hAnsi="Times New Roman" w:cs="Times New Roman"/>
                <w:sz w:val="18"/>
                <w:szCs w:val="18"/>
                <w:shd w:val="clear" w:color="auto" w:fill="FFFFFF"/>
                <w:vertAlign w:val="superscript"/>
              </w:rPr>
              <w:t>3</w:t>
            </w:r>
            <w:r>
              <w:rPr>
                <w:rFonts w:ascii="Times New Roman" w:hAnsi="Times New Roman" w:cs="Times New Roman"/>
                <w:sz w:val="18"/>
                <w:szCs w:val="18"/>
                <w:shd w:val="clear" w:color="auto" w:fill="FFFFFF"/>
              </w:rPr>
              <w:t>/a</w:t>
            </w:r>
          </w:p>
        </w:tc>
        <w:tc>
          <w:tcPr>
            <w:tcW w:w="389" w:type="pct"/>
            <w:vAlign w:val="center"/>
          </w:tcPr>
          <w:p w14:paraId="4C0AAA66">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排放浓度mg/m</w:t>
            </w:r>
            <w:r>
              <w:rPr>
                <w:rFonts w:ascii="Times New Roman" w:hAnsi="Times New Roman" w:cs="Times New Roman"/>
                <w:sz w:val="18"/>
                <w:szCs w:val="18"/>
                <w:shd w:val="clear" w:color="auto" w:fill="FFFFFF"/>
                <w:vertAlign w:val="superscript"/>
              </w:rPr>
              <w:t>3</w:t>
            </w:r>
          </w:p>
        </w:tc>
        <w:tc>
          <w:tcPr>
            <w:tcW w:w="404" w:type="pct"/>
            <w:vAlign w:val="center"/>
          </w:tcPr>
          <w:p w14:paraId="5037D7C8">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排放量t/a</w:t>
            </w:r>
          </w:p>
        </w:tc>
        <w:tc>
          <w:tcPr>
            <w:tcW w:w="288" w:type="pct"/>
            <w:vMerge w:val="continue"/>
            <w:vAlign w:val="center"/>
          </w:tcPr>
          <w:p w14:paraId="095DED80">
            <w:pPr>
              <w:jc w:val="center"/>
              <w:rPr>
                <w:rFonts w:ascii="Times New Roman" w:hAnsi="Times New Roman" w:cs="Times New Roman"/>
                <w:sz w:val="18"/>
                <w:szCs w:val="18"/>
                <w:shd w:val="clear" w:color="auto" w:fill="FFFFFF"/>
              </w:rPr>
            </w:pPr>
          </w:p>
        </w:tc>
      </w:tr>
      <w:tr w14:paraId="4CB72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46" w:type="pct"/>
            <w:vMerge w:val="restart"/>
            <w:vAlign w:val="center"/>
          </w:tcPr>
          <w:p w14:paraId="35ABC897">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火炬系统</w:t>
            </w:r>
          </w:p>
        </w:tc>
        <w:tc>
          <w:tcPr>
            <w:tcW w:w="394" w:type="pct"/>
            <w:vMerge w:val="restart"/>
            <w:vAlign w:val="center"/>
          </w:tcPr>
          <w:p w14:paraId="1A3B1728">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火炬</w:t>
            </w:r>
          </w:p>
        </w:tc>
        <w:tc>
          <w:tcPr>
            <w:tcW w:w="428" w:type="pct"/>
            <w:vMerge w:val="restart"/>
            <w:vAlign w:val="center"/>
          </w:tcPr>
          <w:p w14:paraId="67F42C40">
            <w:pPr>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shd w:val="clear" w:color="auto" w:fill="FFFFFF"/>
              </w:rPr>
              <w:t>高架火炬烟气G7</w:t>
            </w:r>
          </w:p>
        </w:tc>
        <w:tc>
          <w:tcPr>
            <w:tcW w:w="256" w:type="pct"/>
            <w:vAlign w:val="center"/>
          </w:tcPr>
          <w:p w14:paraId="1D528179">
            <w:pPr>
              <w:jc w:val="center"/>
              <w:rPr>
                <w:rFonts w:ascii="Times New Roman" w:hAnsi="Times New Roman" w:cs="Times New Roman"/>
                <w:sz w:val="18"/>
                <w:szCs w:val="18"/>
                <w:shd w:val="clear" w:color="auto" w:fill="FFFFFF"/>
              </w:rPr>
            </w:pPr>
            <w:r>
              <w:rPr>
                <w:rFonts w:ascii="Times New Roman" w:hAnsi="Times New Roman" w:cs="Times New Roman"/>
                <w:kern w:val="0"/>
                <w:szCs w:val="21"/>
              </w:rPr>
              <w:t>颗粒物</w:t>
            </w:r>
          </w:p>
        </w:tc>
        <w:tc>
          <w:tcPr>
            <w:tcW w:w="221" w:type="pct"/>
            <w:vMerge w:val="restart"/>
            <w:vAlign w:val="center"/>
          </w:tcPr>
          <w:p w14:paraId="013DB9DB">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产污系数法</w:t>
            </w:r>
          </w:p>
        </w:tc>
        <w:tc>
          <w:tcPr>
            <w:tcW w:w="452" w:type="pct"/>
            <w:vAlign w:val="center"/>
          </w:tcPr>
          <w:p w14:paraId="380FB132">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w:t>
            </w:r>
          </w:p>
        </w:tc>
        <w:tc>
          <w:tcPr>
            <w:tcW w:w="389" w:type="pct"/>
            <w:vAlign w:val="center"/>
          </w:tcPr>
          <w:p w14:paraId="4D0D8C34">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20</w:t>
            </w:r>
          </w:p>
        </w:tc>
        <w:tc>
          <w:tcPr>
            <w:tcW w:w="404" w:type="pct"/>
            <w:vAlign w:val="center"/>
          </w:tcPr>
          <w:p w14:paraId="1BC87F4F">
            <w:pPr>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shd w:val="clear" w:color="auto" w:fill="FFFFFF"/>
              </w:rPr>
              <w:t>0.06</w:t>
            </w:r>
          </w:p>
        </w:tc>
        <w:tc>
          <w:tcPr>
            <w:tcW w:w="455" w:type="pct"/>
            <w:vMerge w:val="restart"/>
            <w:vAlign w:val="center"/>
          </w:tcPr>
          <w:p w14:paraId="75C8BA0F">
            <w:pPr>
              <w:jc w:val="center"/>
              <w:rPr>
                <w:rFonts w:ascii="Times New Roman" w:hAnsi="Times New Roman" w:cs="Times New Roman"/>
              </w:rPr>
            </w:pPr>
            <w:r>
              <w:rPr>
                <w:rFonts w:ascii="Times New Roman" w:hAnsi="Times New Roman" w:cs="Times New Roman"/>
                <w:sz w:val="18"/>
                <w:szCs w:val="18"/>
                <w:shd w:val="clear" w:color="auto" w:fill="FFFFFF"/>
              </w:rPr>
              <w:t>/</w:t>
            </w:r>
          </w:p>
        </w:tc>
        <w:tc>
          <w:tcPr>
            <w:tcW w:w="221" w:type="pct"/>
            <w:vMerge w:val="restart"/>
            <w:vAlign w:val="center"/>
          </w:tcPr>
          <w:p w14:paraId="3096D2C7">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产污系数法</w:t>
            </w:r>
          </w:p>
        </w:tc>
        <w:tc>
          <w:tcPr>
            <w:tcW w:w="453" w:type="pct"/>
            <w:vAlign w:val="center"/>
          </w:tcPr>
          <w:p w14:paraId="2520E38D">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w:t>
            </w:r>
          </w:p>
        </w:tc>
        <w:tc>
          <w:tcPr>
            <w:tcW w:w="389" w:type="pct"/>
            <w:vAlign w:val="center"/>
          </w:tcPr>
          <w:p w14:paraId="79C66818">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20</w:t>
            </w:r>
          </w:p>
        </w:tc>
        <w:tc>
          <w:tcPr>
            <w:tcW w:w="404" w:type="pct"/>
            <w:vAlign w:val="center"/>
          </w:tcPr>
          <w:p w14:paraId="4B9452AF">
            <w:pPr>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shd w:val="clear" w:color="auto" w:fill="FFFFFF"/>
              </w:rPr>
              <w:t>0.06</w:t>
            </w:r>
          </w:p>
        </w:tc>
        <w:tc>
          <w:tcPr>
            <w:tcW w:w="288" w:type="pct"/>
          </w:tcPr>
          <w:p w14:paraId="1434E80E">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8000</w:t>
            </w:r>
          </w:p>
        </w:tc>
      </w:tr>
      <w:tr w14:paraId="73A04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246" w:type="pct"/>
            <w:vMerge w:val="continue"/>
            <w:vAlign w:val="center"/>
          </w:tcPr>
          <w:p w14:paraId="29F26394">
            <w:pPr>
              <w:jc w:val="center"/>
              <w:rPr>
                <w:rFonts w:ascii="Times New Roman" w:hAnsi="Times New Roman" w:cs="Times New Roman"/>
                <w:sz w:val="18"/>
                <w:szCs w:val="18"/>
                <w:shd w:val="clear" w:color="auto" w:fill="FFFFFF"/>
              </w:rPr>
            </w:pPr>
          </w:p>
        </w:tc>
        <w:tc>
          <w:tcPr>
            <w:tcW w:w="394" w:type="pct"/>
            <w:vMerge w:val="continue"/>
            <w:vAlign w:val="center"/>
          </w:tcPr>
          <w:p w14:paraId="52E2DB76">
            <w:pPr>
              <w:jc w:val="center"/>
              <w:rPr>
                <w:rFonts w:ascii="Times New Roman" w:hAnsi="Times New Roman" w:cs="Times New Roman"/>
                <w:sz w:val="18"/>
                <w:szCs w:val="18"/>
                <w:shd w:val="clear" w:color="auto" w:fill="FFFFFF"/>
              </w:rPr>
            </w:pPr>
          </w:p>
        </w:tc>
        <w:tc>
          <w:tcPr>
            <w:tcW w:w="428" w:type="pct"/>
            <w:vMerge w:val="continue"/>
            <w:vAlign w:val="center"/>
          </w:tcPr>
          <w:p w14:paraId="640A2EA2">
            <w:pPr>
              <w:jc w:val="center"/>
              <w:rPr>
                <w:rFonts w:ascii="Times New Roman" w:hAnsi="Times New Roman" w:cs="Times New Roman"/>
                <w:sz w:val="18"/>
                <w:szCs w:val="18"/>
                <w:shd w:val="clear" w:color="auto" w:fill="FFFFFF"/>
              </w:rPr>
            </w:pPr>
          </w:p>
        </w:tc>
        <w:tc>
          <w:tcPr>
            <w:tcW w:w="256" w:type="pct"/>
            <w:vAlign w:val="center"/>
          </w:tcPr>
          <w:p w14:paraId="75ABE4D9">
            <w:pPr>
              <w:jc w:val="center"/>
              <w:rPr>
                <w:rFonts w:ascii="Times New Roman" w:hAnsi="Times New Roman" w:cs="Times New Roman"/>
                <w:sz w:val="18"/>
                <w:szCs w:val="18"/>
                <w:shd w:val="clear" w:color="auto" w:fill="FFFFFF"/>
              </w:rPr>
            </w:pPr>
            <w:r>
              <w:rPr>
                <w:rFonts w:ascii="Times New Roman" w:hAnsi="Times New Roman" w:cs="Times New Roman"/>
                <w:kern w:val="0"/>
                <w:szCs w:val="21"/>
              </w:rPr>
              <w:t>NO</w:t>
            </w:r>
            <w:r>
              <w:rPr>
                <w:rFonts w:ascii="Times New Roman" w:hAnsi="Times New Roman" w:cs="Times New Roman"/>
                <w:kern w:val="0"/>
                <w:szCs w:val="21"/>
                <w:vertAlign w:val="subscript"/>
              </w:rPr>
              <w:t>2</w:t>
            </w:r>
          </w:p>
        </w:tc>
        <w:tc>
          <w:tcPr>
            <w:tcW w:w="221" w:type="pct"/>
            <w:vMerge w:val="continue"/>
            <w:vAlign w:val="center"/>
          </w:tcPr>
          <w:p w14:paraId="5E775D87">
            <w:pPr>
              <w:jc w:val="center"/>
              <w:rPr>
                <w:rFonts w:ascii="Times New Roman" w:hAnsi="Times New Roman" w:cs="Times New Roman"/>
                <w:sz w:val="18"/>
                <w:szCs w:val="18"/>
                <w:shd w:val="clear" w:color="auto" w:fill="FFFFFF"/>
              </w:rPr>
            </w:pPr>
          </w:p>
        </w:tc>
        <w:tc>
          <w:tcPr>
            <w:tcW w:w="452" w:type="pct"/>
            <w:vAlign w:val="center"/>
          </w:tcPr>
          <w:p w14:paraId="244BF842">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w:t>
            </w:r>
          </w:p>
        </w:tc>
        <w:tc>
          <w:tcPr>
            <w:tcW w:w="389" w:type="pct"/>
            <w:vAlign w:val="center"/>
          </w:tcPr>
          <w:p w14:paraId="117FCB41">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59.2</w:t>
            </w:r>
          </w:p>
        </w:tc>
        <w:tc>
          <w:tcPr>
            <w:tcW w:w="404" w:type="pct"/>
            <w:vAlign w:val="center"/>
          </w:tcPr>
          <w:p w14:paraId="6EA536D4">
            <w:pPr>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shd w:val="clear" w:color="auto" w:fill="FFFFFF"/>
              </w:rPr>
              <w:t>0.18</w:t>
            </w:r>
          </w:p>
        </w:tc>
        <w:tc>
          <w:tcPr>
            <w:tcW w:w="455" w:type="pct"/>
            <w:vMerge w:val="continue"/>
            <w:vAlign w:val="center"/>
          </w:tcPr>
          <w:p w14:paraId="53356863">
            <w:pPr>
              <w:adjustRightInd w:val="0"/>
              <w:snapToGrid w:val="0"/>
              <w:ind w:firstLine="360" w:firstLineChars="200"/>
              <w:jc w:val="center"/>
              <w:rPr>
                <w:rFonts w:ascii="Times New Roman" w:hAnsi="Times New Roman" w:cs="Times New Roman"/>
                <w:sz w:val="18"/>
                <w:szCs w:val="18"/>
                <w:shd w:val="clear" w:color="auto" w:fill="FFFFFF"/>
              </w:rPr>
            </w:pPr>
          </w:p>
        </w:tc>
        <w:tc>
          <w:tcPr>
            <w:tcW w:w="221" w:type="pct"/>
            <w:vMerge w:val="continue"/>
            <w:vAlign w:val="center"/>
          </w:tcPr>
          <w:p w14:paraId="42F28418">
            <w:pPr>
              <w:jc w:val="center"/>
              <w:rPr>
                <w:rFonts w:ascii="Times New Roman" w:hAnsi="Times New Roman" w:cs="Times New Roman"/>
                <w:sz w:val="18"/>
                <w:szCs w:val="18"/>
                <w:shd w:val="clear" w:color="auto" w:fill="FFFFFF"/>
              </w:rPr>
            </w:pPr>
          </w:p>
        </w:tc>
        <w:tc>
          <w:tcPr>
            <w:tcW w:w="453" w:type="pct"/>
            <w:vAlign w:val="center"/>
          </w:tcPr>
          <w:p w14:paraId="6CC2564C">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w:t>
            </w:r>
          </w:p>
        </w:tc>
        <w:tc>
          <w:tcPr>
            <w:tcW w:w="389" w:type="pct"/>
            <w:vAlign w:val="center"/>
          </w:tcPr>
          <w:p w14:paraId="767589AF">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59.2</w:t>
            </w:r>
          </w:p>
        </w:tc>
        <w:tc>
          <w:tcPr>
            <w:tcW w:w="404" w:type="pct"/>
            <w:vAlign w:val="center"/>
          </w:tcPr>
          <w:p w14:paraId="162FE3F5">
            <w:pPr>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shd w:val="clear" w:color="auto" w:fill="FFFFFF"/>
              </w:rPr>
              <w:t>0.18</w:t>
            </w:r>
          </w:p>
        </w:tc>
        <w:tc>
          <w:tcPr>
            <w:tcW w:w="288" w:type="pct"/>
          </w:tcPr>
          <w:p w14:paraId="4648D857">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8000</w:t>
            </w:r>
          </w:p>
        </w:tc>
      </w:tr>
      <w:tr w14:paraId="614C7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46" w:type="pct"/>
            <w:vMerge w:val="continue"/>
            <w:vAlign w:val="center"/>
          </w:tcPr>
          <w:p w14:paraId="67BBEEC9">
            <w:pPr>
              <w:jc w:val="center"/>
              <w:rPr>
                <w:rFonts w:ascii="Times New Roman" w:hAnsi="Times New Roman" w:cs="Times New Roman"/>
                <w:sz w:val="18"/>
                <w:szCs w:val="18"/>
                <w:shd w:val="clear" w:color="auto" w:fill="FFFFFF"/>
              </w:rPr>
            </w:pPr>
          </w:p>
        </w:tc>
        <w:tc>
          <w:tcPr>
            <w:tcW w:w="394" w:type="pct"/>
            <w:vMerge w:val="continue"/>
            <w:vAlign w:val="center"/>
          </w:tcPr>
          <w:p w14:paraId="2FC48257">
            <w:pPr>
              <w:jc w:val="center"/>
              <w:rPr>
                <w:rFonts w:ascii="Times New Roman" w:hAnsi="Times New Roman" w:cs="Times New Roman"/>
                <w:sz w:val="18"/>
                <w:szCs w:val="18"/>
                <w:shd w:val="clear" w:color="auto" w:fill="FFFFFF"/>
              </w:rPr>
            </w:pPr>
          </w:p>
        </w:tc>
        <w:tc>
          <w:tcPr>
            <w:tcW w:w="428" w:type="pct"/>
            <w:vMerge w:val="continue"/>
            <w:vAlign w:val="center"/>
          </w:tcPr>
          <w:p w14:paraId="20C91DF9">
            <w:pPr>
              <w:jc w:val="center"/>
              <w:rPr>
                <w:rFonts w:ascii="Times New Roman" w:hAnsi="Times New Roman" w:cs="Times New Roman"/>
                <w:sz w:val="18"/>
                <w:szCs w:val="18"/>
                <w:shd w:val="clear" w:color="auto" w:fill="FFFFFF"/>
              </w:rPr>
            </w:pPr>
          </w:p>
        </w:tc>
        <w:tc>
          <w:tcPr>
            <w:tcW w:w="256" w:type="pct"/>
            <w:vAlign w:val="center"/>
          </w:tcPr>
          <w:p w14:paraId="5E8F8F2E">
            <w:pPr>
              <w:jc w:val="center"/>
              <w:rPr>
                <w:rFonts w:ascii="Times New Roman" w:hAnsi="Times New Roman" w:cs="Times New Roman"/>
                <w:sz w:val="18"/>
                <w:szCs w:val="18"/>
                <w:shd w:val="clear" w:color="auto" w:fill="FFFFFF"/>
              </w:rPr>
            </w:pPr>
            <w:r>
              <w:rPr>
                <w:rFonts w:ascii="Times New Roman" w:hAnsi="Times New Roman" w:cs="Times New Roman"/>
                <w:kern w:val="0"/>
                <w:szCs w:val="21"/>
              </w:rPr>
              <w:t>SO</w:t>
            </w:r>
            <w:r>
              <w:rPr>
                <w:rFonts w:ascii="Times New Roman" w:hAnsi="Times New Roman" w:cs="Times New Roman"/>
                <w:kern w:val="0"/>
                <w:szCs w:val="21"/>
                <w:vertAlign w:val="subscript"/>
              </w:rPr>
              <w:t>2</w:t>
            </w:r>
          </w:p>
        </w:tc>
        <w:tc>
          <w:tcPr>
            <w:tcW w:w="221" w:type="pct"/>
            <w:vMerge w:val="continue"/>
            <w:vAlign w:val="center"/>
          </w:tcPr>
          <w:p w14:paraId="4474BA9E">
            <w:pPr>
              <w:jc w:val="center"/>
              <w:rPr>
                <w:rFonts w:ascii="Times New Roman" w:hAnsi="Times New Roman" w:cs="Times New Roman"/>
                <w:sz w:val="18"/>
                <w:szCs w:val="18"/>
                <w:shd w:val="clear" w:color="auto" w:fill="FFFFFF"/>
              </w:rPr>
            </w:pPr>
          </w:p>
        </w:tc>
        <w:tc>
          <w:tcPr>
            <w:tcW w:w="452" w:type="pct"/>
            <w:vAlign w:val="center"/>
          </w:tcPr>
          <w:p w14:paraId="4D28103F">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w:t>
            </w:r>
          </w:p>
        </w:tc>
        <w:tc>
          <w:tcPr>
            <w:tcW w:w="389" w:type="pct"/>
            <w:vAlign w:val="center"/>
          </w:tcPr>
          <w:p w14:paraId="15041A5B">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8.79</w:t>
            </w:r>
          </w:p>
        </w:tc>
        <w:tc>
          <w:tcPr>
            <w:tcW w:w="404" w:type="pct"/>
            <w:vAlign w:val="center"/>
          </w:tcPr>
          <w:p w14:paraId="5973C3E3">
            <w:pPr>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shd w:val="clear" w:color="auto" w:fill="FFFFFF"/>
              </w:rPr>
              <w:t>0.03</w:t>
            </w:r>
          </w:p>
        </w:tc>
        <w:tc>
          <w:tcPr>
            <w:tcW w:w="455" w:type="pct"/>
            <w:vMerge w:val="continue"/>
            <w:vAlign w:val="center"/>
          </w:tcPr>
          <w:p w14:paraId="492EC976">
            <w:pPr>
              <w:ind w:firstLine="420"/>
              <w:jc w:val="center"/>
              <w:rPr>
                <w:rFonts w:ascii="Times New Roman" w:hAnsi="Times New Roman" w:cs="Times New Roman"/>
                <w:sz w:val="18"/>
                <w:szCs w:val="18"/>
                <w:shd w:val="clear" w:color="auto" w:fill="FFFFFF"/>
              </w:rPr>
            </w:pPr>
          </w:p>
        </w:tc>
        <w:tc>
          <w:tcPr>
            <w:tcW w:w="221" w:type="pct"/>
            <w:vMerge w:val="continue"/>
            <w:vAlign w:val="center"/>
          </w:tcPr>
          <w:p w14:paraId="22F38039">
            <w:pPr>
              <w:jc w:val="center"/>
              <w:rPr>
                <w:rFonts w:ascii="Times New Roman" w:hAnsi="Times New Roman" w:cs="Times New Roman"/>
                <w:sz w:val="18"/>
                <w:szCs w:val="18"/>
                <w:shd w:val="clear" w:color="auto" w:fill="FFFFFF"/>
              </w:rPr>
            </w:pPr>
          </w:p>
        </w:tc>
        <w:tc>
          <w:tcPr>
            <w:tcW w:w="453" w:type="pct"/>
            <w:vAlign w:val="center"/>
          </w:tcPr>
          <w:p w14:paraId="728AC1B4">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w:t>
            </w:r>
          </w:p>
        </w:tc>
        <w:tc>
          <w:tcPr>
            <w:tcW w:w="389" w:type="pct"/>
            <w:vAlign w:val="center"/>
          </w:tcPr>
          <w:p w14:paraId="5035FCAB">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8.79</w:t>
            </w:r>
          </w:p>
        </w:tc>
        <w:tc>
          <w:tcPr>
            <w:tcW w:w="404" w:type="pct"/>
            <w:vAlign w:val="center"/>
          </w:tcPr>
          <w:p w14:paraId="422B03B6">
            <w:pPr>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shd w:val="clear" w:color="auto" w:fill="FFFFFF"/>
              </w:rPr>
              <w:t>0.03</w:t>
            </w:r>
          </w:p>
        </w:tc>
        <w:tc>
          <w:tcPr>
            <w:tcW w:w="288" w:type="pct"/>
            <w:vAlign w:val="center"/>
          </w:tcPr>
          <w:p w14:paraId="073A43EC">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8000</w:t>
            </w:r>
          </w:p>
        </w:tc>
      </w:tr>
      <w:tr w14:paraId="2CA3D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6" w:hRule="atLeast"/>
        </w:trPr>
        <w:tc>
          <w:tcPr>
            <w:tcW w:w="246" w:type="pct"/>
            <w:vMerge w:val="restart"/>
            <w:vAlign w:val="center"/>
          </w:tcPr>
          <w:p w14:paraId="4C7D2352">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加热系统</w:t>
            </w:r>
          </w:p>
        </w:tc>
        <w:tc>
          <w:tcPr>
            <w:tcW w:w="394" w:type="pct"/>
            <w:vMerge w:val="restart"/>
            <w:vAlign w:val="center"/>
          </w:tcPr>
          <w:p w14:paraId="77C0E976">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导热油炉</w:t>
            </w:r>
          </w:p>
        </w:tc>
        <w:tc>
          <w:tcPr>
            <w:tcW w:w="428" w:type="pct"/>
            <w:vMerge w:val="restart"/>
            <w:vAlign w:val="center"/>
          </w:tcPr>
          <w:p w14:paraId="3EC94A8E">
            <w:pPr>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shd w:val="clear" w:color="auto" w:fill="FFFFFF"/>
              </w:rPr>
              <w:t>导热油炉废气G6</w:t>
            </w:r>
          </w:p>
        </w:tc>
        <w:tc>
          <w:tcPr>
            <w:tcW w:w="256" w:type="pct"/>
            <w:vAlign w:val="center"/>
          </w:tcPr>
          <w:p w14:paraId="4B3DF8A3">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烟尘</w:t>
            </w:r>
          </w:p>
        </w:tc>
        <w:tc>
          <w:tcPr>
            <w:tcW w:w="221" w:type="pct"/>
            <w:vMerge w:val="restart"/>
            <w:vAlign w:val="center"/>
          </w:tcPr>
          <w:p w14:paraId="237850E5">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产污系数法</w:t>
            </w:r>
          </w:p>
        </w:tc>
        <w:tc>
          <w:tcPr>
            <w:tcW w:w="452" w:type="pct"/>
            <w:vMerge w:val="restart"/>
            <w:vAlign w:val="center"/>
          </w:tcPr>
          <w:p w14:paraId="59C42633">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6880.8万</w:t>
            </w:r>
          </w:p>
        </w:tc>
        <w:tc>
          <w:tcPr>
            <w:tcW w:w="389" w:type="pct"/>
            <w:vAlign w:val="center"/>
          </w:tcPr>
          <w:p w14:paraId="54FA5788">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18.8</w:t>
            </w:r>
          </w:p>
        </w:tc>
        <w:tc>
          <w:tcPr>
            <w:tcW w:w="404" w:type="pct"/>
            <w:vAlign w:val="center"/>
          </w:tcPr>
          <w:p w14:paraId="22FCD08E">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1.29</w:t>
            </w:r>
          </w:p>
        </w:tc>
        <w:tc>
          <w:tcPr>
            <w:tcW w:w="455" w:type="pct"/>
          </w:tcPr>
          <w:p w14:paraId="57D98A63">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w:t>
            </w:r>
          </w:p>
        </w:tc>
        <w:tc>
          <w:tcPr>
            <w:tcW w:w="221" w:type="pct"/>
            <w:vMerge w:val="restart"/>
            <w:vAlign w:val="center"/>
          </w:tcPr>
          <w:p w14:paraId="4F9ED7A6">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产污系数法</w:t>
            </w:r>
          </w:p>
        </w:tc>
        <w:tc>
          <w:tcPr>
            <w:tcW w:w="453" w:type="pct"/>
            <w:vMerge w:val="restart"/>
            <w:vAlign w:val="center"/>
          </w:tcPr>
          <w:p w14:paraId="1BC3D36C">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3200.67万</w:t>
            </w:r>
          </w:p>
        </w:tc>
        <w:tc>
          <w:tcPr>
            <w:tcW w:w="389" w:type="pct"/>
            <w:vAlign w:val="center"/>
          </w:tcPr>
          <w:p w14:paraId="4292A117">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18.8</w:t>
            </w:r>
          </w:p>
        </w:tc>
        <w:tc>
          <w:tcPr>
            <w:tcW w:w="404" w:type="pct"/>
            <w:vAlign w:val="center"/>
          </w:tcPr>
          <w:p w14:paraId="0E3AB471">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0.600</w:t>
            </w:r>
          </w:p>
        </w:tc>
        <w:tc>
          <w:tcPr>
            <w:tcW w:w="288" w:type="pct"/>
            <w:vAlign w:val="center"/>
          </w:tcPr>
          <w:p w14:paraId="7D2918A8">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8000</w:t>
            </w:r>
          </w:p>
        </w:tc>
      </w:tr>
      <w:tr w14:paraId="2A6DF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6" w:hRule="atLeast"/>
        </w:trPr>
        <w:tc>
          <w:tcPr>
            <w:tcW w:w="246" w:type="pct"/>
            <w:vMerge w:val="continue"/>
            <w:vAlign w:val="center"/>
          </w:tcPr>
          <w:p w14:paraId="2525716A">
            <w:pPr>
              <w:jc w:val="center"/>
              <w:rPr>
                <w:rFonts w:ascii="Times New Roman" w:hAnsi="Times New Roman" w:cs="Times New Roman"/>
                <w:sz w:val="18"/>
                <w:szCs w:val="18"/>
                <w:shd w:val="clear" w:color="auto" w:fill="FFFFFF"/>
              </w:rPr>
            </w:pPr>
          </w:p>
        </w:tc>
        <w:tc>
          <w:tcPr>
            <w:tcW w:w="394" w:type="pct"/>
            <w:vMerge w:val="continue"/>
            <w:vAlign w:val="center"/>
          </w:tcPr>
          <w:p w14:paraId="287CA54F">
            <w:pPr>
              <w:jc w:val="center"/>
              <w:rPr>
                <w:rFonts w:ascii="Times New Roman" w:hAnsi="Times New Roman" w:cs="Times New Roman"/>
                <w:sz w:val="18"/>
                <w:szCs w:val="18"/>
                <w:shd w:val="clear" w:color="auto" w:fill="FFFFFF"/>
              </w:rPr>
            </w:pPr>
          </w:p>
        </w:tc>
        <w:tc>
          <w:tcPr>
            <w:tcW w:w="428" w:type="pct"/>
            <w:vMerge w:val="continue"/>
            <w:vAlign w:val="center"/>
          </w:tcPr>
          <w:p w14:paraId="50DE8B35">
            <w:pPr>
              <w:jc w:val="center"/>
              <w:rPr>
                <w:rFonts w:ascii="Times New Roman" w:hAnsi="Times New Roman" w:cs="Times New Roman"/>
                <w:sz w:val="18"/>
                <w:szCs w:val="18"/>
                <w:shd w:val="clear" w:color="auto" w:fill="FFFFFF"/>
              </w:rPr>
            </w:pPr>
          </w:p>
        </w:tc>
        <w:tc>
          <w:tcPr>
            <w:tcW w:w="256" w:type="pct"/>
            <w:vAlign w:val="center"/>
          </w:tcPr>
          <w:p w14:paraId="048F6359">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SO</w:t>
            </w:r>
            <w:r>
              <w:rPr>
                <w:rFonts w:ascii="Times New Roman" w:hAnsi="Times New Roman" w:cs="Times New Roman"/>
                <w:sz w:val="18"/>
                <w:szCs w:val="18"/>
                <w:shd w:val="clear" w:color="auto" w:fill="FFFFFF"/>
                <w:vertAlign w:val="subscript"/>
              </w:rPr>
              <w:t>2</w:t>
            </w:r>
          </w:p>
        </w:tc>
        <w:tc>
          <w:tcPr>
            <w:tcW w:w="221" w:type="pct"/>
            <w:vMerge w:val="continue"/>
            <w:vAlign w:val="center"/>
          </w:tcPr>
          <w:p w14:paraId="0BE300D0">
            <w:pPr>
              <w:jc w:val="center"/>
              <w:rPr>
                <w:rFonts w:ascii="Times New Roman" w:hAnsi="Times New Roman" w:cs="Times New Roman"/>
                <w:sz w:val="18"/>
                <w:szCs w:val="18"/>
                <w:shd w:val="clear" w:color="auto" w:fill="FFFFFF"/>
              </w:rPr>
            </w:pPr>
          </w:p>
        </w:tc>
        <w:tc>
          <w:tcPr>
            <w:tcW w:w="452" w:type="pct"/>
            <w:vMerge w:val="continue"/>
            <w:vAlign w:val="center"/>
          </w:tcPr>
          <w:p w14:paraId="1EA2D6E0">
            <w:pPr>
              <w:jc w:val="center"/>
              <w:rPr>
                <w:rFonts w:ascii="Times New Roman" w:hAnsi="Times New Roman" w:cs="Times New Roman"/>
                <w:sz w:val="18"/>
                <w:szCs w:val="18"/>
                <w:shd w:val="clear" w:color="auto" w:fill="FFFFFF"/>
              </w:rPr>
            </w:pPr>
          </w:p>
        </w:tc>
        <w:tc>
          <w:tcPr>
            <w:tcW w:w="389" w:type="pct"/>
            <w:vAlign w:val="center"/>
          </w:tcPr>
          <w:p w14:paraId="681A0266">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13.1</w:t>
            </w:r>
          </w:p>
        </w:tc>
        <w:tc>
          <w:tcPr>
            <w:tcW w:w="404" w:type="pct"/>
            <w:vAlign w:val="center"/>
          </w:tcPr>
          <w:p w14:paraId="48DAF7A5">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0.9</w:t>
            </w:r>
          </w:p>
        </w:tc>
        <w:tc>
          <w:tcPr>
            <w:tcW w:w="455" w:type="pct"/>
          </w:tcPr>
          <w:p w14:paraId="135B40B2">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w:t>
            </w:r>
          </w:p>
        </w:tc>
        <w:tc>
          <w:tcPr>
            <w:tcW w:w="221" w:type="pct"/>
            <w:vMerge w:val="continue"/>
            <w:vAlign w:val="center"/>
          </w:tcPr>
          <w:p w14:paraId="2ECDB8A5">
            <w:pPr>
              <w:jc w:val="center"/>
              <w:rPr>
                <w:rFonts w:ascii="Times New Roman" w:hAnsi="Times New Roman" w:cs="Times New Roman"/>
                <w:sz w:val="18"/>
                <w:szCs w:val="18"/>
                <w:shd w:val="clear" w:color="auto" w:fill="FFFFFF"/>
              </w:rPr>
            </w:pPr>
          </w:p>
        </w:tc>
        <w:tc>
          <w:tcPr>
            <w:tcW w:w="453" w:type="pct"/>
            <w:vMerge w:val="continue"/>
            <w:vAlign w:val="center"/>
          </w:tcPr>
          <w:p w14:paraId="25314C76">
            <w:pPr>
              <w:jc w:val="center"/>
              <w:rPr>
                <w:rFonts w:ascii="Times New Roman" w:hAnsi="Times New Roman" w:cs="Times New Roman"/>
                <w:sz w:val="18"/>
                <w:szCs w:val="18"/>
                <w:shd w:val="clear" w:color="auto" w:fill="FFFFFF"/>
              </w:rPr>
            </w:pPr>
          </w:p>
        </w:tc>
        <w:tc>
          <w:tcPr>
            <w:tcW w:w="389" w:type="pct"/>
            <w:vAlign w:val="center"/>
          </w:tcPr>
          <w:p w14:paraId="6F4F1F62">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13.1</w:t>
            </w:r>
          </w:p>
        </w:tc>
        <w:tc>
          <w:tcPr>
            <w:tcW w:w="404" w:type="pct"/>
            <w:vAlign w:val="center"/>
          </w:tcPr>
          <w:p w14:paraId="4973EE9C">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0.420</w:t>
            </w:r>
          </w:p>
        </w:tc>
        <w:tc>
          <w:tcPr>
            <w:tcW w:w="288" w:type="pct"/>
          </w:tcPr>
          <w:p w14:paraId="7F95A1D2">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8000</w:t>
            </w:r>
          </w:p>
        </w:tc>
      </w:tr>
      <w:tr w14:paraId="42BE4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46" w:type="pct"/>
            <w:vMerge w:val="continue"/>
            <w:vAlign w:val="center"/>
          </w:tcPr>
          <w:p w14:paraId="5880C84F">
            <w:pPr>
              <w:jc w:val="center"/>
              <w:rPr>
                <w:rFonts w:ascii="Times New Roman" w:hAnsi="Times New Roman" w:cs="Times New Roman"/>
                <w:sz w:val="18"/>
                <w:szCs w:val="18"/>
                <w:shd w:val="clear" w:color="auto" w:fill="FFFFFF"/>
              </w:rPr>
            </w:pPr>
          </w:p>
        </w:tc>
        <w:tc>
          <w:tcPr>
            <w:tcW w:w="394" w:type="pct"/>
            <w:vMerge w:val="continue"/>
            <w:vAlign w:val="center"/>
          </w:tcPr>
          <w:p w14:paraId="5F915E28">
            <w:pPr>
              <w:jc w:val="center"/>
              <w:rPr>
                <w:rFonts w:ascii="Times New Roman" w:hAnsi="Times New Roman" w:cs="Times New Roman"/>
                <w:sz w:val="18"/>
                <w:szCs w:val="18"/>
                <w:shd w:val="clear" w:color="auto" w:fill="FFFFFF"/>
              </w:rPr>
            </w:pPr>
          </w:p>
        </w:tc>
        <w:tc>
          <w:tcPr>
            <w:tcW w:w="428" w:type="pct"/>
            <w:vMerge w:val="continue"/>
            <w:vAlign w:val="center"/>
          </w:tcPr>
          <w:p w14:paraId="66D60E1A">
            <w:pPr>
              <w:jc w:val="center"/>
              <w:rPr>
                <w:rFonts w:ascii="Times New Roman" w:hAnsi="Times New Roman" w:cs="Times New Roman"/>
                <w:sz w:val="18"/>
                <w:szCs w:val="18"/>
                <w:shd w:val="clear" w:color="auto" w:fill="FFFFFF"/>
              </w:rPr>
            </w:pPr>
          </w:p>
        </w:tc>
        <w:tc>
          <w:tcPr>
            <w:tcW w:w="256" w:type="pct"/>
            <w:vAlign w:val="center"/>
          </w:tcPr>
          <w:p w14:paraId="3CE7F907">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NOx</w:t>
            </w:r>
          </w:p>
        </w:tc>
        <w:tc>
          <w:tcPr>
            <w:tcW w:w="221" w:type="pct"/>
            <w:vMerge w:val="continue"/>
            <w:vAlign w:val="center"/>
          </w:tcPr>
          <w:p w14:paraId="2A494581">
            <w:pPr>
              <w:jc w:val="center"/>
              <w:rPr>
                <w:rFonts w:ascii="Times New Roman" w:hAnsi="Times New Roman" w:cs="Times New Roman"/>
                <w:sz w:val="18"/>
                <w:szCs w:val="18"/>
                <w:shd w:val="clear" w:color="auto" w:fill="FFFFFF"/>
              </w:rPr>
            </w:pPr>
          </w:p>
        </w:tc>
        <w:tc>
          <w:tcPr>
            <w:tcW w:w="452" w:type="pct"/>
            <w:vMerge w:val="continue"/>
            <w:vAlign w:val="center"/>
          </w:tcPr>
          <w:p w14:paraId="57FC3609">
            <w:pPr>
              <w:jc w:val="center"/>
              <w:rPr>
                <w:rFonts w:ascii="Times New Roman" w:hAnsi="Times New Roman" w:cs="Times New Roman"/>
                <w:sz w:val="18"/>
                <w:szCs w:val="18"/>
                <w:shd w:val="clear" w:color="auto" w:fill="FFFFFF"/>
              </w:rPr>
            </w:pPr>
          </w:p>
        </w:tc>
        <w:tc>
          <w:tcPr>
            <w:tcW w:w="389" w:type="pct"/>
            <w:vAlign w:val="center"/>
          </w:tcPr>
          <w:p w14:paraId="01B1DEC0">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122.7</w:t>
            </w:r>
          </w:p>
        </w:tc>
        <w:tc>
          <w:tcPr>
            <w:tcW w:w="404" w:type="pct"/>
            <w:vAlign w:val="center"/>
          </w:tcPr>
          <w:p w14:paraId="1FBB194F">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2.02</w:t>
            </w:r>
          </w:p>
        </w:tc>
        <w:tc>
          <w:tcPr>
            <w:tcW w:w="455" w:type="pct"/>
          </w:tcPr>
          <w:p w14:paraId="67C6AFF6">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w:t>
            </w:r>
          </w:p>
        </w:tc>
        <w:tc>
          <w:tcPr>
            <w:tcW w:w="221" w:type="pct"/>
            <w:vMerge w:val="continue"/>
            <w:vAlign w:val="center"/>
          </w:tcPr>
          <w:p w14:paraId="4C594D0E">
            <w:pPr>
              <w:jc w:val="center"/>
              <w:rPr>
                <w:rFonts w:ascii="Times New Roman" w:hAnsi="Times New Roman" w:cs="Times New Roman"/>
                <w:sz w:val="18"/>
                <w:szCs w:val="18"/>
                <w:shd w:val="clear" w:color="auto" w:fill="FFFFFF"/>
              </w:rPr>
            </w:pPr>
          </w:p>
        </w:tc>
        <w:tc>
          <w:tcPr>
            <w:tcW w:w="453" w:type="pct"/>
            <w:vMerge w:val="continue"/>
            <w:vAlign w:val="center"/>
          </w:tcPr>
          <w:p w14:paraId="18EDE004">
            <w:pPr>
              <w:jc w:val="center"/>
              <w:rPr>
                <w:rFonts w:ascii="Times New Roman" w:hAnsi="Times New Roman" w:cs="Times New Roman"/>
                <w:sz w:val="18"/>
                <w:szCs w:val="18"/>
                <w:shd w:val="clear" w:color="auto" w:fill="FFFFFF"/>
              </w:rPr>
            </w:pPr>
          </w:p>
        </w:tc>
        <w:tc>
          <w:tcPr>
            <w:tcW w:w="389" w:type="pct"/>
            <w:vAlign w:val="center"/>
          </w:tcPr>
          <w:p w14:paraId="78B7A954">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29.4</w:t>
            </w:r>
          </w:p>
        </w:tc>
        <w:tc>
          <w:tcPr>
            <w:tcW w:w="404" w:type="pct"/>
            <w:vAlign w:val="center"/>
          </w:tcPr>
          <w:p w14:paraId="38E7FE57">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0.942</w:t>
            </w:r>
          </w:p>
        </w:tc>
        <w:tc>
          <w:tcPr>
            <w:tcW w:w="288" w:type="pct"/>
          </w:tcPr>
          <w:p w14:paraId="37152F24">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8000</w:t>
            </w:r>
          </w:p>
        </w:tc>
      </w:tr>
      <w:tr w14:paraId="5D7F4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46" w:type="pct"/>
            <w:vAlign w:val="center"/>
          </w:tcPr>
          <w:p w14:paraId="1800B113">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全厂</w:t>
            </w:r>
          </w:p>
        </w:tc>
        <w:tc>
          <w:tcPr>
            <w:tcW w:w="394" w:type="pct"/>
            <w:vAlign w:val="center"/>
          </w:tcPr>
          <w:p w14:paraId="6D95EA3C">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装置区、装车区</w:t>
            </w:r>
          </w:p>
        </w:tc>
        <w:tc>
          <w:tcPr>
            <w:tcW w:w="428" w:type="pct"/>
            <w:vAlign w:val="center"/>
          </w:tcPr>
          <w:p w14:paraId="2B47F2D0">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无组织</w:t>
            </w:r>
          </w:p>
        </w:tc>
        <w:tc>
          <w:tcPr>
            <w:tcW w:w="256" w:type="pct"/>
            <w:vAlign w:val="center"/>
          </w:tcPr>
          <w:p w14:paraId="023AE883">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非甲烷总烃</w:t>
            </w:r>
          </w:p>
        </w:tc>
        <w:tc>
          <w:tcPr>
            <w:tcW w:w="221" w:type="pct"/>
            <w:vAlign w:val="center"/>
          </w:tcPr>
          <w:p w14:paraId="28F69FFD">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类比法</w:t>
            </w:r>
          </w:p>
        </w:tc>
        <w:tc>
          <w:tcPr>
            <w:tcW w:w="452" w:type="pct"/>
            <w:vAlign w:val="center"/>
          </w:tcPr>
          <w:p w14:paraId="186481CF">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w:t>
            </w:r>
          </w:p>
        </w:tc>
        <w:tc>
          <w:tcPr>
            <w:tcW w:w="389" w:type="pct"/>
            <w:vAlign w:val="center"/>
          </w:tcPr>
          <w:p w14:paraId="62D4A4F5">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w:t>
            </w:r>
          </w:p>
        </w:tc>
        <w:tc>
          <w:tcPr>
            <w:tcW w:w="404" w:type="pct"/>
            <w:vAlign w:val="center"/>
          </w:tcPr>
          <w:p w14:paraId="12C94524">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1.84</w:t>
            </w:r>
          </w:p>
        </w:tc>
        <w:tc>
          <w:tcPr>
            <w:tcW w:w="455" w:type="pct"/>
            <w:vAlign w:val="center"/>
          </w:tcPr>
          <w:p w14:paraId="4E6E2C67">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w:t>
            </w:r>
          </w:p>
        </w:tc>
        <w:tc>
          <w:tcPr>
            <w:tcW w:w="221" w:type="pct"/>
            <w:vAlign w:val="center"/>
          </w:tcPr>
          <w:p w14:paraId="73AA3957">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w:t>
            </w:r>
          </w:p>
        </w:tc>
        <w:tc>
          <w:tcPr>
            <w:tcW w:w="453" w:type="pct"/>
            <w:vAlign w:val="center"/>
          </w:tcPr>
          <w:p w14:paraId="6466BB36">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w:t>
            </w:r>
          </w:p>
        </w:tc>
        <w:tc>
          <w:tcPr>
            <w:tcW w:w="389" w:type="pct"/>
            <w:vAlign w:val="center"/>
          </w:tcPr>
          <w:p w14:paraId="5428E327">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w:t>
            </w:r>
          </w:p>
        </w:tc>
        <w:tc>
          <w:tcPr>
            <w:tcW w:w="404" w:type="pct"/>
            <w:vAlign w:val="center"/>
          </w:tcPr>
          <w:p w14:paraId="3F9F3585">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1.84</w:t>
            </w:r>
          </w:p>
        </w:tc>
        <w:tc>
          <w:tcPr>
            <w:tcW w:w="288" w:type="pct"/>
          </w:tcPr>
          <w:p w14:paraId="59D50DCD">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8000</w:t>
            </w:r>
          </w:p>
        </w:tc>
      </w:tr>
    </w:tbl>
    <w:p w14:paraId="77C0EA80">
      <w:pPr>
        <w:tabs>
          <w:tab w:val="left" w:pos="4500"/>
        </w:tabs>
        <w:adjustRightInd w:val="0"/>
        <w:spacing w:line="280" w:lineRule="exact"/>
        <w:jc w:val="center"/>
        <w:rPr>
          <w:rFonts w:ascii="Times New Roman" w:hAnsi="Times New Roman" w:cs="Times New Roman"/>
          <w:b/>
          <w:kern w:val="0"/>
          <w:szCs w:val="21"/>
        </w:rPr>
      </w:pPr>
    </w:p>
    <w:p w14:paraId="3EF115F4">
      <w:pPr>
        <w:tabs>
          <w:tab w:val="left" w:pos="4500"/>
        </w:tabs>
        <w:adjustRightInd w:val="0"/>
        <w:spacing w:line="280" w:lineRule="exact"/>
        <w:jc w:val="center"/>
        <w:rPr>
          <w:rFonts w:ascii="Times New Roman" w:hAnsi="Times New Roman" w:cs="Times New Roman"/>
          <w:b/>
          <w:kern w:val="0"/>
          <w:szCs w:val="21"/>
        </w:rPr>
      </w:pPr>
      <w:r>
        <w:rPr>
          <w:rFonts w:ascii="Times New Roman" w:hAnsi="Times New Roman" w:cs="Times New Roman"/>
          <w:b/>
          <w:kern w:val="0"/>
          <w:szCs w:val="21"/>
        </w:rPr>
        <w:t>表4.2.2-2   项目废水污染物产生、治理、排放情况一览表</w:t>
      </w:r>
    </w:p>
    <w:tbl>
      <w:tblPr>
        <w:tblStyle w:val="8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2"/>
        <w:gridCol w:w="1631"/>
        <w:gridCol w:w="781"/>
        <w:gridCol w:w="695"/>
        <w:gridCol w:w="759"/>
        <w:gridCol w:w="1504"/>
        <w:gridCol w:w="1144"/>
        <w:gridCol w:w="1075"/>
        <w:gridCol w:w="695"/>
        <w:gridCol w:w="759"/>
        <w:gridCol w:w="980"/>
        <w:gridCol w:w="1088"/>
        <w:gridCol w:w="705"/>
        <w:gridCol w:w="705"/>
        <w:gridCol w:w="2479"/>
        <w:gridCol w:w="1785"/>
        <w:gridCol w:w="797"/>
        <w:gridCol w:w="1421"/>
      </w:tblGrid>
      <w:tr w14:paraId="2C84F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41E40962">
            <w:pPr>
              <w:widowControl/>
              <w:jc w:val="center"/>
              <w:rPr>
                <w:rFonts w:ascii="Times New Roman" w:hAnsi="Times New Roman" w:cs="Times New Roman"/>
                <w:b/>
                <w:bCs/>
                <w:kern w:val="0"/>
                <w:szCs w:val="21"/>
              </w:rPr>
            </w:pPr>
            <w:r>
              <w:rPr>
                <w:rFonts w:ascii="Times New Roman" w:hAnsi="Times New Roman" w:cs="Times New Roman"/>
                <w:b/>
                <w:bCs/>
                <w:kern w:val="0"/>
                <w:szCs w:val="21"/>
              </w:rPr>
              <w:t>污染源</w:t>
            </w:r>
          </w:p>
        </w:tc>
        <w:tc>
          <w:tcPr>
            <w:tcW w:w="0" w:type="auto"/>
            <w:vAlign w:val="center"/>
          </w:tcPr>
          <w:p w14:paraId="6448C2FA">
            <w:pPr>
              <w:widowControl/>
              <w:jc w:val="center"/>
              <w:rPr>
                <w:rFonts w:ascii="Times New Roman" w:hAnsi="Times New Roman" w:cs="Times New Roman"/>
                <w:b/>
                <w:bCs/>
                <w:kern w:val="0"/>
                <w:szCs w:val="21"/>
              </w:rPr>
            </w:pPr>
            <w:r>
              <w:rPr>
                <w:rFonts w:ascii="Times New Roman" w:hAnsi="Times New Roman" w:cs="Times New Roman"/>
                <w:b/>
                <w:bCs/>
                <w:kern w:val="0"/>
                <w:szCs w:val="21"/>
              </w:rPr>
              <w:t>废水量</w:t>
            </w:r>
          </w:p>
        </w:tc>
        <w:tc>
          <w:tcPr>
            <w:tcW w:w="0" w:type="auto"/>
            <w:vMerge w:val="restart"/>
            <w:vAlign w:val="center"/>
          </w:tcPr>
          <w:p w14:paraId="566CCA82">
            <w:pPr>
              <w:widowControl/>
              <w:jc w:val="center"/>
              <w:rPr>
                <w:rFonts w:ascii="Times New Roman" w:hAnsi="Times New Roman" w:cs="Times New Roman"/>
                <w:b/>
                <w:bCs/>
                <w:kern w:val="0"/>
                <w:szCs w:val="21"/>
              </w:rPr>
            </w:pPr>
            <w:r>
              <w:rPr>
                <w:rFonts w:ascii="Times New Roman" w:hAnsi="Times New Roman" w:cs="Times New Roman"/>
                <w:b/>
                <w:bCs/>
                <w:kern w:val="0"/>
                <w:szCs w:val="21"/>
              </w:rPr>
              <w:t>污染物</w:t>
            </w:r>
          </w:p>
        </w:tc>
        <w:tc>
          <w:tcPr>
            <w:tcW w:w="0" w:type="auto"/>
            <w:gridSpan w:val="2"/>
            <w:vAlign w:val="center"/>
          </w:tcPr>
          <w:p w14:paraId="26A1C754">
            <w:pPr>
              <w:widowControl/>
              <w:jc w:val="center"/>
              <w:rPr>
                <w:rFonts w:ascii="Times New Roman" w:hAnsi="Times New Roman" w:cs="Times New Roman"/>
                <w:b/>
                <w:bCs/>
                <w:kern w:val="0"/>
                <w:szCs w:val="21"/>
              </w:rPr>
            </w:pPr>
            <w:r>
              <w:rPr>
                <w:rFonts w:ascii="Times New Roman" w:hAnsi="Times New Roman" w:cs="Times New Roman"/>
                <w:b/>
                <w:bCs/>
                <w:kern w:val="0"/>
                <w:szCs w:val="21"/>
              </w:rPr>
              <w:t>治理前</w:t>
            </w:r>
          </w:p>
        </w:tc>
        <w:tc>
          <w:tcPr>
            <w:tcW w:w="0" w:type="auto"/>
            <w:gridSpan w:val="2"/>
            <w:vAlign w:val="center"/>
          </w:tcPr>
          <w:p w14:paraId="27689CC9">
            <w:pPr>
              <w:widowControl/>
              <w:jc w:val="center"/>
              <w:rPr>
                <w:rFonts w:ascii="Times New Roman" w:hAnsi="Times New Roman" w:cs="Times New Roman"/>
                <w:b/>
                <w:bCs/>
                <w:kern w:val="0"/>
                <w:szCs w:val="21"/>
              </w:rPr>
            </w:pPr>
            <w:r>
              <w:rPr>
                <w:rFonts w:ascii="Times New Roman" w:hAnsi="Times New Roman" w:cs="Times New Roman"/>
                <w:b/>
                <w:bCs/>
                <w:kern w:val="0"/>
                <w:szCs w:val="21"/>
              </w:rPr>
              <w:t>治理设施</w:t>
            </w:r>
          </w:p>
        </w:tc>
        <w:tc>
          <w:tcPr>
            <w:tcW w:w="0" w:type="auto"/>
            <w:vAlign w:val="center"/>
          </w:tcPr>
          <w:p w14:paraId="7353987E">
            <w:pPr>
              <w:widowControl/>
              <w:jc w:val="center"/>
              <w:rPr>
                <w:rFonts w:ascii="Times New Roman" w:hAnsi="Times New Roman" w:cs="Times New Roman"/>
                <w:b/>
                <w:bCs/>
                <w:kern w:val="0"/>
                <w:szCs w:val="21"/>
              </w:rPr>
            </w:pPr>
          </w:p>
        </w:tc>
        <w:tc>
          <w:tcPr>
            <w:tcW w:w="0" w:type="auto"/>
            <w:gridSpan w:val="2"/>
            <w:vAlign w:val="center"/>
          </w:tcPr>
          <w:p w14:paraId="690E12EE">
            <w:pPr>
              <w:widowControl/>
              <w:jc w:val="center"/>
              <w:rPr>
                <w:rFonts w:ascii="Times New Roman" w:hAnsi="Times New Roman" w:cs="Times New Roman"/>
                <w:b/>
                <w:bCs/>
                <w:kern w:val="0"/>
                <w:szCs w:val="21"/>
              </w:rPr>
            </w:pPr>
            <w:r>
              <w:rPr>
                <w:rFonts w:ascii="Times New Roman" w:hAnsi="Times New Roman" w:cs="Times New Roman"/>
                <w:b/>
                <w:bCs/>
                <w:kern w:val="0"/>
                <w:szCs w:val="21"/>
              </w:rPr>
              <w:t>治理后</w:t>
            </w:r>
          </w:p>
        </w:tc>
        <w:tc>
          <w:tcPr>
            <w:tcW w:w="0" w:type="auto"/>
            <w:vMerge w:val="restart"/>
            <w:vAlign w:val="center"/>
          </w:tcPr>
          <w:p w14:paraId="5BF929B9">
            <w:pPr>
              <w:widowControl/>
              <w:jc w:val="center"/>
              <w:rPr>
                <w:rFonts w:ascii="Times New Roman" w:hAnsi="Times New Roman" w:cs="Times New Roman"/>
                <w:b/>
                <w:bCs/>
                <w:kern w:val="0"/>
                <w:szCs w:val="21"/>
              </w:rPr>
            </w:pPr>
            <w:r>
              <w:rPr>
                <w:rFonts w:ascii="Times New Roman" w:hAnsi="Times New Roman" w:cs="Times New Roman"/>
                <w:b/>
                <w:bCs/>
                <w:kern w:val="0"/>
                <w:szCs w:val="21"/>
              </w:rPr>
              <w:t>排放去向</w:t>
            </w:r>
          </w:p>
        </w:tc>
        <w:tc>
          <w:tcPr>
            <w:tcW w:w="0" w:type="auto"/>
            <w:vMerge w:val="restart"/>
            <w:vAlign w:val="center"/>
          </w:tcPr>
          <w:p w14:paraId="00C28251">
            <w:pPr>
              <w:widowControl/>
              <w:jc w:val="center"/>
              <w:rPr>
                <w:rFonts w:ascii="Times New Roman" w:hAnsi="Times New Roman" w:cs="Times New Roman"/>
                <w:b/>
                <w:bCs/>
                <w:kern w:val="0"/>
                <w:szCs w:val="21"/>
              </w:rPr>
            </w:pPr>
            <w:r>
              <w:rPr>
                <w:rFonts w:ascii="Times New Roman" w:hAnsi="Times New Roman" w:cs="Times New Roman"/>
                <w:b/>
                <w:bCs/>
                <w:kern w:val="0"/>
                <w:szCs w:val="21"/>
              </w:rPr>
              <w:t>排放标准mg/L</w:t>
            </w:r>
          </w:p>
        </w:tc>
        <w:tc>
          <w:tcPr>
            <w:tcW w:w="0" w:type="auto"/>
            <w:vMerge w:val="restart"/>
            <w:vAlign w:val="center"/>
          </w:tcPr>
          <w:p w14:paraId="410E0450">
            <w:pPr>
              <w:widowControl/>
              <w:jc w:val="center"/>
              <w:rPr>
                <w:rFonts w:ascii="Times New Roman" w:hAnsi="Times New Roman" w:cs="Times New Roman"/>
                <w:b/>
                <w:bCs/>
                <w:kern w:val="0"/>
                <w:szCs w:val="21"/>
              </w:rPr>
            </w:pPr>
            <w:r>
              <w:rPr>
                <w:rFonts w:ascii="Times New Roman" w:hAnsi="Times New Roman" w:cs="Times New Roman"/>
                <w:b/>
                <w:bCs/>
                <w:kern w:val="0"/>
                <w:szCs w:val="21"/>
              </w:rPr>
              <w:t>达标情况</w:t>
            </w:r>
          </w:p>
        </w:tc>
        <w:tc>
          <w:tcPr>
            <w:tcW w:w="0" w:type="auto"/>
            <w:vMerge w:val="restart"/>
            <w:vAlign w:val="center"/>
          </w:tcPr>
          <w:p w14:paraId="51C85551">
            <w:pPr>
              <w:widowControl/>
              <w:jc w:val="center"/>
              <w:rPr>
                <w:rFonts w:ascii="Times New Roman" w:hAnsi="Times New Roman" w:cs="Times New Roman"/>
                <w:b/>
                <w:bCs/>
                <w:kern w:val="0"/>
                <w:szCs w:val="21"/>
              </w:rPr>
            </w:pPr>
            <w:r>
              <w:rPr>
                <w:rFonts w:ascii="Times New Roman" w:hAnsi="Times New Roman" w:cs="Times New Roman"/>
                <w:b/>
                <w:bCs/>
                <w:kern w:val="0"/>
                <w:szCs w:val="21"/>
              </w:rPr>
              <w:t>排放方式</w:t>
            </w:r>
          </w:p>
        </w:tc>
        <w:tc>
          <w:tcPr>
            <w:tcW w:w="0" w:type="auto"/>
            <w:vMerge w:val="restart"/>
            <w:vAlign w:val="center"/>
          </w:tcPr>
          <w:p w14:paraId="0D7DEB15">
            <w:pPr>
              <w:widowControl/>
              <w:jc w:val="center"/>
              <w:rPr>
                <w:rFonts w:ascii="Times New Roman" w:hAnsi="Times New Roman" w:cs="Times New Roman"/>
                <w:b/>
                <w:bCs/>
                <w:kern w:val="0"/>
                <w:szCs w:val="21"/>
              </w:rPr>
            </w:pPr>
            <w:r>
              <w:rPr>
                <w:rFonts w:ascii="Times New Roman" w:hAnsi="Times New Roman" w:cs="Times New Roman"/>
                <w:b/>
                <w:bCs/>
                <w:kern w:val="0"/>
                <w:szCs w:val="21"/>
              </w:rPr>
              <w:t>排放规律</w:t>
            </w:r>
          </w:p>
        </w:tc>
        <w:tc>
          <w:tcPr>
            <w:tcW w:w="0" w:type="auto"/>
            <w:gridSpan w:val="3"/>
            <w:vAlign w:val="center"/>
          </w:tcPr>
          <w:p w14:paraId="32B03243">
            <w:pPr>
              <w:widowControl/>
              <w:jc w:val="center"/>
              <w:rPr>
                <w:rFonts w:ascii="Times New Roman" w:hAnsi="Times New Roman" w:cs="Times New Roman"/>
                <w:b/>
                <w:bCs/>
                <w:kern w:val="0"/>
                <w:szCs w:val="21"/>
              </w:rPr>
            </w:pPr>
            <w:r>
              <w:rPr>
                <w:rFonts w:ascii="Times New Roman" w:hAnsi="Times New Roman" w:cs="Times New Roman"/>
                <w:b/>
                <w:bCs/>
                <w:kern w:val="0"/>
                <w:szCs w:val="21"/>
              </w:rPr>
              <w:t>排放口基本情况</w:t>
            </w:r>
          </w:p>
        </w:tc>
      </w:tr>
      <w:tr w14:paraId="06892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054D459B">
            <w:pPr>
              <w:widowControl/>
              <w:jc w:val="center"/>
              <w:rPr>
                <w:rFonts w:ascii="Times New Roman" w:hAnsi="Times New Roman" w:cs="Times New Roman"/>
                <w:b/>
                <w:bCs/>
                <w:kern w:val="0"/>
                <w:szCs w:val="21"/>
              </w:rPr>
            </w:pPr>
          </w:p>
        </w:tc>
        <w:tc>
          <w:tcPr>
            <w:tcW w:w="0" w:type="auto"/>
            <w:vMerge w:val="restart"/>
            <w:vAlign w:val="center"/>
          </w:tcPr>
          <w:p w14:paraId="0073FC51">
            <w:pPr>
              <w:widowControl/>
              <w:jc w:val="center"/>
              <w:rPr>
                <w:rFonts w:ascii="Times New Roman" w:hAnsi="Times New Roman" w:cs="Times New Roman"/>
                <w:b/>
                <w:bCs/>
                <w:kern w:val="0"/>
                <w:szCs w:val="21"/>
              </w:rPr>
            </w:pPr>
            <w:r>
              <w:rPr>
                <w:rFonts w:ascii="Times New Roman" w:hAnsi="Times New Roman" w:cs="Times New Roman"/>
                <w:b/>
                <w:bCs/>
                <w:kern w:val="0"/>
                <w:szCs w:val="21"/>
              </w:rPr>
              <w:t>m</w:t>
            </w:r>
            <w:r>
              <w:rPr>
                <w:rFonts w:ascii="Times New Roman" w:hAnsi="Times New Roman" w:cs="Times New Roman"/>
                <w:b/>
                <w:bCs/>
                <w:kern w:val="0"/>
                <w:szCs w:val="21"/>
                <w:vertAlign w:val="superscript"/>
              </w:rPr>
              <w:t>3</w:t>
            </w:r>
            <w:r>
              <w:rPr>
                <w:rFonts w:ascii="Times New Roman" w:hAnsi="Times New Roman" w:cs="Times New Roman"/>
                <w:b/>
                <w:bCs/>
                <w:kern w:val="0"/>
                <w:szCs w:val="21"/>
              </w:rPr>
              <w:t>/d（m</w:t>
            </w:r>
            <w:r>
              <w:rPr>
                <w:rFonts w:ascii="Times New Roman" w:hAnsi="Times New Roman" w:cs="Times New Roman"/>
                <w:b/>
                <w:bCs/>
                <w:kern w:val="0"/>
                <w:szCs w:val="21"/>
                <w:vertAlign w:val="superscript"/>
              </w:rPr>
              <w:t>3</w:t>
            </w:r>
            <w:r>
              <w:rPr>
                <w:rFonts w:ascii="Times New Roman" w:hAnsi="Times New Roman" w:cs="Times New Roman"/>
                <w:b/>
                <w:bCs/>
                <w:kern w:val="0"/>
                <w:szCs w:val="21"/>
              </w:rPr>
              <w:t>/a）</w:t>
            </w:r>
          </w:p>
        </w:tc>
        <w:tc>
          <w:tcPr>
            <w:tcW w:w="0" w:type="auto"/>
            <w:vMerge w:val="continue"/>
            <w:vAlign w:val="center"/>
          </w:tcPr>
          <w:p w14:paraId="7CA35AF5">
            <w:pPr>
              <w:widowControl/>
              <w:jc w:val="center"/>
              <w:rPr>
                <w:rFonts w:ascii="Times New Roman" w:hAnsi="Times New Roman" w:cs="Times New Roman"/>
                <w:b/>
                <w:bCs/>
                <w:kern w:val="0"/>
                <w:szCs w:val="21"/>
              </w:rPr>
            </w:pPr>
          </w:p>
        </w:tc>
        <w:tc>
          <w:tcPr>
            <w:tcW w:w="0" w:type="auto"/>
            <w:vAlign w:val="center"/>
          </w:tcPr>
          <w:p w14:paraId="21E5574D">
            <w:pPr>
              <w:widowControl/>
              <w:jc w:val="center"/>
              <w:rPr>
                <w:rFonts w:ascii="Times New Roman" w:hAnsi="Times New Roman" w:cs="Times New Roman"/>
                <w:b/>
                <w:bCs/>
                <w:kern w:val="0"/>
                <w:szCs w:val="21"/>
              </w:rPr>
            </w:pPr>
            <w:r>
              <w:rPr>
                <w:rFonts w:ascii="Times New Roman" w:hAnsi="Times New Roman" w:cs="Times New Roman"/>
                <w:b/>
                <w:bCs/>
                <w:kern w:val="0"/>
                <w:szCs w:val="21"/>
              </w:rPr>
              <w:t>浓度</w:t>
            </w:r>
          </w:p>
        </w:tc>
        <w:tc>
          <w:tcPr>
            <w:tcW w:w="0" w:type="auto"/>
            <w:vAlign w:val="center"/>
          </w:tcPr>
          <w:p w14:paraId="7652F25F">
            <w:pPr>
              <w:widowControl/>
              <w:jc w:val="center"/>
              <w:rPr>
                <w:rFonts w:ascii="Times New Roman" w:hAnsi="Times New Roman" w:cs="Times New Roman"/>
                <w:b/>
                <w:bCs/>
                <w:kern w:val="0"/>
                <w:szCs w:val="21"/>
              </w:rPr>
            </w:pPr>
            <w:r>
              <w:rPr>
                <w:rFonts w:ascii="Times New Roman" w:hAnsi="Times New Roman" w:cs="Times New Roman"/>
                <w:b/>
                <w:bCs/>
                <w:kern w:val="0"/>
                <w:szCs w:val="21"/>
              </w:rPr>
              <w:t>产生量</w:t>
            </w:r>
          </w:p>
        </w:tc>
        <w:tc>
          <w:tcPr>
            <w:tcW w:w="0" w:type="auto"/>
            <w:vMerge w:val="restart"/>
            <w:vAlign w:val="center"/>
          </w:tcPr>
          <w:p w14:paraId="672918B3">
            <w:pPr>
              <w:widowControl/>
              <w:jc w:val="center"/>
              <w:rPr>
                <w:rFonts w:ascii="Times New Roman" w:hAnsi="Times New Roman" w:cs="Times New Roman"/>
                <w:b/>
                <w:bCs/>
                <w:kern w:val="0"/>
                <w:szCs w:val="21"/>
              </w:rPr>
            </w:pPr>
            <w:r>
              <w:rPr>
                <w:rFonts w:ascii="Times New Roman" w:hAnsi="Times New Roman" w:cs="Times New Roman"/>
                <w:b/>
                <w:bCs/>
                <w:kern w:val="0"/>
                <w:szCs w:val="21"/>
              </w:rPr>
              <w:t>污染防治设施名称及工艺</w:t>
            </w:r>
          </w:p>
        </w:tc>
        <w:tc>
          <w:tcPr>
            <w:tcW w:w="0" w:type="auto"/>
            <w:vMerge w:val="restart"/>
            <w:vAlign w:val="center"/>
          </w:tcPr>
          <w:p w14:paraId="2EA58456">
            <w:pPr>
              <w:widowControl/>
              <w:jc w:val="center"/>
              <w:rPr>
                <w:rFonts w:ascii="Times New Roman" w:hAnsi="Times New Roman" w:cs="Times New Roman"/>
                <w:b/>
                <w:bCs/>
                <w:kern w:val="0"/>
                <w:szCs w:val="21"/>
              </w:rPr>
            </w:pPr>
            <w:r>
              <w:rPr>
                <w:rFonts w:ascii="Times New Roman" w:hAnsi="Times New Roman" w:cs="Times New Roman"/>
                <w:b/>
                <w:bCs/>
                <w:kern w:val="0"/>
                <w:szCs w:val="21"/>
              </w:rPr>
              <w:t>处理能力(m</w:t>
            </w:r>
            <w:r>
              <w:rPr>
                <w:rFonts w:ascii="Times New Roman" w:hAnsi="Times New Roman" w:cs="Times New Roman"/>
                <w:b/>
                <w:bCs/>
                <w:kern w:val="0"/>
                <w:szCs w:val="21"/>
                <w:vertAlign w:val="superscript"/>
              </w:rPr>
              <w:t>3</w:t>
            </w:r>
            <w:r>
              <w:rPr>
                <w:rFonts w:ascii="Times New Roman" w:hAnsi="Times New Roman" w:cs="Times New Roman"/>
                <w:b/>
                <w:bCs/>
                <w:kern w:val="0"/>
                <w:szCs w:val="21"/>
              </w:rPr>
              <w:t>/d)</w:t>
            </w:r>
          </w:p>
        </w:tc>
        <w:tc>
          <w:tcPr>
            <w:tcW w:w="0" w:type="auto"/>
            <w:vMerge w:val="restart"/>
            <w:vAlign w:val="center"/>
          </w:tcPr>
          <w:p w14:paraId="1ED2B401">
            <w:pPr>
              <w:widowControl/>
              <w:jc w:val="center"/>
              <w:rPr>
                <w:rFonts w:ascii="Times New Roman" w:hAnsi="Times New Roman" w:cs="Times New Roman"/>
                <w:b/>
                <w:bCs/>
                <w:kern w:val="0"/>
                <w:szCs w:val="21"/>
              </w:rPr>
            </w:pPr>
            <w:r>
              <w:rPr>
                <w:rFonts w:ascii="Times New Roman" w:hAnsi="Times New Roman" w:cs="Times New Roman"/>
                <w:b/>
                <w:bCs/>
                <w:kern w:val="0"/>
                <w:szCs w:val="21"/>
              </w:rPr>
              <w:t>是否有为可行技术</w:t>
            </w:r>
          </w:p>
        </w:tc>
        <w:tc>
          <w:tcPr>
            <w:tcW w:w="0" w:type="auto"/>
            <w:vAlign w:val="center"/>
          </w:tcPr>
          <w:p w14:paraId="14505F43">
            <w:pPr>
              <w:widowControl/>
              <w:jc w:val="center"/>
              <w:rPr>
                <w:rFonts w:ascii="Times New Roman" w:hAnsi="Times New Roman" w:cs="Times New Roman"/>
                <w:b/>
                <w:bCs/>
                <w:kern w:val="0"/>
                <w:szCs w:val="21"/>
              </w:rPr>
            </w:pPr>
            <w:r>
              <w:rPr>
                <w:rFonts w:ascii="Times New Roman" w:hAnsi="Times New Roman" w:cs="Times New Roman"/>
                <w:b/>
                <w:bCs/>
                <w:kern w:val="0"/>
                <w:szCs w:val="21"/>
              </w:rPr>
              <w:t>浓度</w:t>
            </w:r>
          </w:p>
        </w:tc>
        <w:tc>
          <w:tcPr>
            <w:tcW w:w="0" w:type="auto"/>
            <w:vAlign w:val="center"/>
          </w:tcPr>
          <w:p w14:paraId="6A633919">
            <w:pPr>
              <w:widowControl/>
              <w:jc w:val="center"/>
              <w:rPr>
                <w:rFonts w:ascii="Times New Roman" w:hAnsi="Times New Roman" w:cs="Times New Roman"/>
                <w:b/>
                <w:bCs/>
                <w:kern w:val="0"/>
                <w:szCs w:val="21"/>
              </w:rPr>
            </w:pPr>
            <w:r>
              <w:rPr>
                <w:rFonts w:ascii="Times New Roman" w:hAnsi="Times New Roman" w:cs="Times New Roman"/>
                <w:b/>
                <w:bCs/>
                <w:kern w:val="0"/>
                <w:szCs w:val="21"/>
              </w:rPr>
              <w:t>排放量</w:t>
            </w:r>
          </w:p>
        </w:tc>
        <w:tc>
          <w:tcPr>
            <w:tcW w:w="0" w:type="auto"/>
            <w:vMerge w:val="continue"/>
            <w:vAlign w:val="center"/>
          </w:tcPr>
          <w:p w14:paraId="7B9250EA">
            <w:pPr>
              <w:widowControl/>
              <w:jc w:val="center"/>
              <w:rPr>
                <w:rFonts w:ascii="Times New Roman" w:hAnsi="Times New Roman" w:cs="Times New Roman"/>
                <w:b/>
                <w:bCs/>
                <w:kern w:val="0"/>
                <w:szCs w:val="21"/>
              </w:rPr>
            </w:pPr>
          </w:p>
        </w:tc>
        <w:tc>
          <w:tcPr>
            <w:tcW w:w="0" w:type="auto"/>
            <w:vMerge w:val="continue"/>
            <w:vAlign w:val="center"/>
          </w:tcPr>
          <w:p w14:paraId="3737233C">
            <w:pPr>
              <w:widowControl/>
              <w:jc w:val="center"/>
              <w:rPr>
                <w:rFonts w:ascii="Times New Roman" w:hAnsi="Times New Roman" w:cs="Times New Roman"/>
                <w:b/>
                <w:bCs/>
                <w:kern w:val="0"/>
                <w:szCs w:val="21"/>
              </w:rPr>
            </w:pPr>
          </w:p>
        </w:tc>
        <w:tc>
          <w:tcPr>
            <w:tcW w:w="0" w:type="auto"/>
            <w:vMerge w:val="continue"/>
            <w:vAlign w:val="center"/>
          </w:tcPr>
          <w:p w14:paraId="594F82F2">
            <w:pPr>
              <w:widowControl/>
              <w:jc w:val="center"/>
              <w:rPr>
                <w:rFonts w:ascii="Times New Roman" w:hAnsi="Times New Roman" w:cs="Times New Roman"/>
                <w:b/>
                <w:bCs/>
                <w:kern w:val="0"/>
                <w:szCs w:val="21"/>
              </w:rPr>
            </w:pPr>
          </w:p>
        </w:tc>
        <w:tc>
          <w:tcPr>
            <w:tcW w:w="0" w:type="auto"/>
            <w:vMerge w:val="continue"/>
            <w:vAlign w:val="center"/>
          </w:tcPr>
          <w:p w14:paraId="5A5F690F">
            <w:pPr>
              <w:widowControl/>
              <w:jc w:val="center"/>
              <w:rPr>
                <w:rFonts w:ascii="Times New Roman" w:hAnsi="Times New Roman" w:cs="Times New Roman"/>
                <w:b/>
                <w:bCs/>
                <w:kern w:val="0"/>
                <w:szCs w:val="21"/>
              </w:rPr>
            </w:pPr>
          </w:p>
        </w:tc>
        <w:tc>
          <w:tcPr>
            <w:tcW w:w="0" w:type="auto"/>
            <w:vMerge w:val="continue"/>
            <w:vAlign w:val="center"/>
          </w:tcPr>
          <w:p w14:paraId="194E5AEA">
            <w:pPr>
              <w:widowControl/>
              <w:jc w:val="center"/>
              <w:rPr>
                <w:rFonts w:ascii="Times New Roman" w:hAnsi="Times New Roman" w:cs="Times New Roman"/>
                <w:b/>
                <w:bCs/>
                <w:kern w:val="0"/>
                <w:szCs w:val="21"/>
              </w:rPr>
            </w:pPr>
          </w:p>
        </w:tc>
        <w:tc>
          <w:tcPr>
            <w:tcW w:w="0" w:type="auto"/>
            <w:vMerge w:val="restart"/>
            <w:vAlign w:val="center"/>
          </w:tcPr>
          <w:p w14:paraId="6E027D26">
            <w:pPr>
              <w:widowControl/>
              <w:jc w:val="center"/>
              <w:rPr>
                <w:rFonts w:ascii="Times New Roman" w:hAnsi="Times New Roman" w:cs="Times New Roman"/>
                <w:b/>
                <w:bCs/>
                <w:kern w:val="0"/>
                <w:szCs w:val="21"/>
              </w:rPr>
            </w:pPr>
            <w:r>
              <w:rPr>
                <w:rFonts w:ascii="Times New Roman" w:hAnsi="Times New Roman" w:cs="Times New Roman"/>
                <w:b/>
                <w:bCs/>
                <w:kern w:val="0"/>
                <w:szCs w:val="21"/>
              </w:rPr>
              <w:t>编号及名称</w:t>
            </w:r>
          </w:p>
        </w:tc>
        <w:tc>
          <w:tcPr>
            <w:tcW w:w="0" w:type="auto"/>
            <w:vMerge w:val="restart"/>
            <w:vAlign w:val="center"/>
          </w:tcPr>
          <w:p w14:paraId="70881935">
            <w:pPr>
              <w:widowControl/>
              <w:jc w:val="center"/>
              <w:rPr>
                <w:rFonts w:ascii="Times New Roman" w:hAnsi="Times New Roman" w:cs="Times New Roman"/>
                <w:b/>
                <w:bCs/>
                <w:kern w:val="0"/>
                <w:szCs w:val="21"/>
              </w:rPr>
            </w:pPr>
            <w:r>
              <w:rPr>
                <w:rFonts w:ascii="Times New Roman" w:hAnsi="Times New Roman" w:cs="Times New Roman"/>
                <w:b/>
                <w:bCs/>
                <w:kern w:val="0"/>
                <w:szCs w:val="21"/>
              </w:rPr>
              <w:t>排放口类型</w:t>
            </w:r>
          </w:p>
        </w:tc>
        <w:tc>
          <w:tcPr>
            <w:tcW w:w="0" w:type="auto"/>
            <w:vMerge w:val="restart"/>
            <w:vAlign w:val="center"/>
          </w:tcPr>
          <w:p w14:paraId="303BF094">
            <w:pPr>
              <w:widowControl/>
              <w:jc w:val="center"/>
              <w:rPr>
                <w:rFonts w:ascii="Times New Roman" w:hAnsi="Times New Roman" w:cs="Times New Roman"/>
                <w:b/>
                <w:bCs/>
                <w:kern w:val="0"/>
                <w:szCs w:val="21"/>
              </w:rPr>
            </w:pPr>
            <w:r>
              <w:rPr>
                <w:rFonts w:ascii="Times New Roman" w:hAnsi="Times New Roman" w:cs="Times New Roman"/>
                <w:b/>
                <w:bCs/>
                <w:kern w:val="0"/>
                <w:szCs w:val="21"/>
              </w:rPr>
              <w:t>地理坐标</w:t>
            </w:r>
          </w:p>
        </w:tc>
      </w:tr>
      <w:tr w14:paraId="1AA2C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57B71788">
            <w:pPr>
              <w:widowControl/>
              <w:jc w:val="center"/>
              <w:rPr>
                <w:rFonts w:ascii="Times New Roman" w:hAnsi="Times New Roman" w:cs="Times New Roman"/>
                <w:b/>
                <w:bCs/>
                <w:kern w:val="0"/>
                <w:szCs w:val="21"/>
              </w:rPr>
            </w:pPr>
          </w:p>
        </w:tc>
        <w:tc>
          <w:tcPr>
            <w:tcW w:w="0" w:type="auto"/>
            <w:vMerge w:val="continue"/>
            <w:vAlign w:val="center"/>
          </w:tcPr>
          <w:p w14:paraId="260EB292">
            <w:pPr>
              <w:widowControl/>
              <w:jc w:val="center"/>
              <w:rPr>
                <w:rFonts w:ascii="Times New Roman" w:hAnsi="Times New Roman" w:cs="Times New Roman"/>
                <w:b/>
                <w:bCs/>
                <w:kern w:val="0"/>
                <w:szCs w:val="21"/>
              </w:rPr>
            </w:pPr>
          </w:p>
        </w:tc>
        <w:tc>
          <w:tcPr>
            <w:tcW w:w="0" w:type="auto"/>
            <w:vMerge w:val="continue"/>
            <w:vAlign w:val="center"/>
          </w:tcPr>
          <w:p w14:paraId="1CE54FAD">
            <w:pPr>
              <w:widowControl/>
              <w:jc w:val="center"/>
              <w:rPr>
                <w:rFonts w:ascii="Times New Roman" w:hAnsi="Times New Roman" w:cs="Times New Roman"/>
                <w:b/>
                <w:bCs/>
                <w:kern w:val="0"/>
                <w:szCs w:val="21"/>
              </w:rPr>
            </w:pPr>
          </w:p>
        </w:tc>
        <w:tc>
          <w:tcPr>
            <w:tcW w:w="0" w:type="auto"/>
            <w:vAlign w:val="center"/>
          </w:tcPr>
          <w:p w14:paraId="242E6203">
            <w:pPr>
              <w:widowControl/>
              <w:jc w:val="center"/>
              <w:rPr>
                <w:rFonts w:ascii="Times New Roman" w:hAnsi="Times New Roman" w:cs="Times New Roman"/>
                <w:b/>
                <w:bCs/>
                <w:kern w:val="0"/>
                <w:szCs w:val="21"/>
              </w:rPr>
            </w:pPr>
            <w:r>
              <w:rPr>
                <w:rFonts w:ascii="Times New Roman" w:hAnsi="Times New Roman" w:cs="Times New Roman"/>
                <w:b/>
                <w:bCs/>
                <w:kern w:val="0"/>
                <w:szCs w:val="21"/>
              </w:rPr>
              <w:t>mg/L</w:t>
            </w:r>
          </w:p>
        </w:tc>
        <w:tc>
          <w:tcPr>
            <w:tcW w:w="0" w:type="auto"/>
            <w:vAlign w:val="center"/>
          </w:tcPr>
          <w:p w14:paraId="2272CF7A">
            <w:pPr>
              <w:widowControl/>
              <w:jc w:val="center"/>
              <w:rPr>
                <w:rFonts w:ascii="Times New Roman" w:hAnsi="Times New Roman" w:cs="Times New Roman"/>
                <w:b/>
                <w:bCs/>
                <w:kern w:val="0"/>
                <w:szCs w:val="21"/>
              </w:rPr>
            </w:pPr>
            <w:r>
              <w:rPr>
                <w:rFonts w:ascii="Times New Roman" w:hAnsi="Times New Roman" w:cs="Times New Roman"/>
                <w:b/>
                <w:bCs/>
                <w:kern w:val="0"/>
                <w:szCs w:val="21"/>
              </w:rPr>
              <w:t>t/a</w:t>
            </w:r>
          </w:p>
        </w:tc>
        <w:tc>
          <w:tcPr>
            <w:tcW w:w="0" w:type="auto"/>
            <w:vMerge w:val="continue"/>
            <w:vAlign w:val="center"/>
          </w:tcPr>
          <w:p w14:paraId="298E529D">
            <w:pPr>
              <w:widowControl/>
              <w:jc w:val="center"/>
              <w:rPr>
                <w:rFonts w:ascii="Times New Roman" w:hAnsi="Times New Roman" w:cs="Times New Roman"/>
                <w:b/>
                <w:bCs/>
                <w:kern w:val="0"/>
                <w:szCs w:val="21"/>
              </w:rPr>
            </w:pPr>
          </w:p>
        </w:tc>
        <w:tc>
          <w:tcPr>
            <w:tcW w:w="0" w:type="auto"/>
            <w:vMerge w:val="continue"/>
            <w:vAlign w:val="center"/>
          </w:tcPr>
          <w:p w14:paraId="54041BF6">
            <w:pPr>
              <w:widowControl/>
              <w:jc w:val="center"/>
              <w:rPr>
                <w:rFonts w:ascii="Times New Roman" w:hAnsi="Times New Roman" w:cs="Times New Roman"/>
                <w:b/>
                <w:bCs/>
                <w:kern w:val="0"/>
                <w:szCs w:val="21"/>
              </w:rPr>
            </w:pPr>
          </w:p>
        </w:tc>
        <w:tc>
          <w:tcPr>
            <w:tcW w:w="0" w:type="auto"/>
            <w:vMerge w:val="continue"/>
            <w:vAlign w:val="center"/>
          </w:tcPr>
          <w:p w14:paraId="3CB19EC9">
            <w:pPr>
              <w:widowControl/>
              <w:jc w:val="center"/>
              <w:rPr>
                <w:rFonts w:ascii="Times New Roman" w:hAnsi="Times New Roman" w:cs="Times New Roman"/>
                <w:b/>
                <w:bCs/>
                <w:kern w:val="0"/>
                <w:szCs w:val="21"/>
              </w:rPr>
            </w:pPr>
          </w:p>
        </w:tc>
        <w:tc>
          <w:tcPr>
            <w:tcW w:w="0" w:type="auto"/>
            <w:vAlign w:val="center"/>
          </w:tcPr>
          <w:p w14:paraId="05254683">
            <w:pPr>
              <w:widowControl/>
              <w:jc w:val="center"/>
              <w:rPr>
                <w:rFonts w:ascii="Times New Roman" w:hAnsi="Times New Roman" w:cs="Times New Roman"/>
                <w:b/>
                <w:bCs/>
                <w:kern w:val="0"/>
                <w:szCs w:val="21"/>
              </w:rPr>
            </w:pPr>
            <w:r>
              <w:rPr>
                <w:rFonts w:ascii="Times New Roman" w:hAnsi="Times New Roman" w:cs="Times New Roman"/>
                <w:b/>
                <w:bCs/>
                <w:kern w:val="0"/>
                <w:szCs w:val="21"/>
              </w:rPr>
              <w:t>mg/L</w:t>
            </w:r>
          </w:p>
        </w:tc>
        <w:tc>
          <w:tcPr>
            <w:tcW w:w="0" w:type="auto"/>
            <w:vAlign w:val="center"/>
          </w:tcPr>
          <w:p w14:paraId="020EB9A1">
            <w:pPr>
              <w:widowControl/>
              <w:jc w:val="center"/>
              <w:rPr>
                <w:rFonts w:ascii="Times New Roman" w:hAnsi="Times New Roman" w:cs="Times New Roman"/>
                <w:b/>
                <w:bCs/>
                <w:kern w:val="0"/>
                <w:szCs w:val="21"/>
              </w:rPr>
            </w:pPr>
            <w:r>
              <w:rPr>
                <w:rFonts w:ascii="Times New Roman" w:hAnsi="Times New Roman" w:cs="Times New Roman"/>
                <w:b/>
                <w:bCs/>
                <w:kern w:val="0"/>
                <w:szCs w:val="21"/>
              </w:rPr>
              <w:t>t/a</w:t>
            </w:r>
          </w:p>
        </w:tc>
        <w:tc>
          <w:tcPr>
            <w:tcW w:w="0" w:type="auto"/>
            <w:vMerge w:val="continue"/>
            <w:vAlign w:val="center"/>
          </w:tcPr>
          <w:p w14:paraId="09F40525">
            <w:pPr>
              <w:widowControl/>
              <w:jc w:val="center"/>
              <w:rPr>
                <w:rFonts w:ascii="Times New Roman" w:hAnsi="Times New Roman" w:cs="Times New Roman"/>
                <w:b/>
                <w:bCs/>
                <w:kern w:val="0"/>
                <w:szCs w:val="21"/>
              </w:rPr>
            </w:pPr>
          </w:p>
        </w:tc>
        <w:tc>
          <w:tcPr>
            <w:tcW w:w="0" w:type="auto"/>
            <w:vMerge w:val="continue"/>
            <w:vAlign w:val="center"/>
          </w:tcPr>
          <w:p w14:paraId="717623FF">
            <w:pPr>
              <w:widowControl/>
              <w:jc w:val="center"/>
              <w:rPr>
                <w:rFonts w:ascii="Times New Roman" w:hAnsi="Times New Roman" w:cs="Times New Roman"/>
                <w:b/>
                <w:bCs/>
                <w:kern w:val="0"/>
                <w:szCs w:val="21"/>
              </w:rPr>
            </w:pPr>
          </w:p>
        </w:tc>
        <w:tc>
          <w:tcPr>
            <w:tcW w:w="0" w:type="auto"/>
            <w:vMerge w:val="continue"/>
            <w:vAlign w:val="center"/>
          </w:tcPr>
          <w:p w14:paraId="5C4FF060">
            <w:pPr>
              <w:widowControl/>
              <w:jc w:val="center"/>
              <w:rPr>
                <w:rFonts w:ascii="Times New Roman" w:hAnsi="Times New Roman" w:cs="Times New Roman"/>
                <w:b/>
                <w:bCs/>
                <w:kern w:val="0"/>
                <w:szCs w:val="21"/>
              </w:rPr>
            </w:pPr>
          </w:p>
        </w:tc>
        <w:tc>
          <w:tcPr>
            <w:tcW w:w="0" w:type="auto"/>
            <w:vMerge w:val="continue"/>
            <w:vAlign w:val="center"/>
          </w:tcPr>
          <w:p w14:paraId="01C58273">
            <w:pPr>
              <w:widowControl/>
              <w:jc w:val="center"/>
              <w:rPr>
                <w:rFonts w:ascii="Times New Roman" w:hAnsi="Times New Roman" w:cs="Times New Roman"/>
                <w:b/>
                <w:bCs/>
                <w:kern w:val="0"/>
                <w:szCs w:val="21"/>
              </w:rPr>
            </w:pPr>
          </w:p>
        </w:tc>
        <w:tc>
          <w:tcPr>
            <w:tcW w:w="0" w:type="auto"/>
            <w:vMerge w:val="continue"/>
            <w:vAlign w:val="center"/>
          </w:tcPr>
          <w:p w14:paraId="112A14A7">
            <w:pPr>
              <w:widowControl/>
              <w:jc w:val="center"/>
              <w:rPr>
                <w:rFonts w:ascii="Times New Roman" w:hAnsi="Times New Roman" w:cs="Times New Roman"/>
                <w:b/>
                <w:bCs/>
                <w:kern w:val="0"/>
                <w:szCs w:val="21"/>
              </w:rPr>
            </w:pPr>
          </w:p>
        </w:tc>
        <w:tc>
          <w:tcPr>
            <w:tcW w:w="0" w:type="auto"/>
            <w:vMerge w:val="continue"/>
            <w:vAlign w:val="center"/>
          </w:tcPr>
          <w:p w14:paraId="1666F7DB">
            <w:pPr>
              <w:widowControl/>
              <w:jc w:val="center"/>
              <w:rPr>
                <w:rFonts w:ascii="Times New Roman" w:hAnsi="Times New Roman" w:cs="Times New Roman"/>
                <w:b/>
                <w:bCs/>
                <w:kern w:val="0"/>
                <w:szCs w:val="21"/>
              </w:rPr>
            </w:pPr>
          </w:p>
        </w:tc>
        <w:tc>
          <w:tcPr>
            <w:tcW w:w="0" w:type="auto"/>
            <w:vMerge w:val="continue"/>
            <w:vAlign w:val="center"/>
          </w:tcPr>
          <w:p w14:paraId="073F44FC">
            <w:pPr>
              <w:widowControl/>
              <w:jc w:val="center"/>
              <w:rPr>
                <w:rFonts w:ascii="Times New Roman" w:hAnsi="Times New Roman" w:cs="Times New Roman"/>
                <w:b/>
                <w:bCs/>
                <w:kern w:val="0"/>
                <w:szCs w:val="21"/>
              </w:rPr>
            </w:pPr>
          </w:p>
        </w:tc>
        <w:tc>
          <w:tcPr>
            <w:tcW w:w="0" w:type="auto"/>
            <w:vMerge w:val="continue"/>
            <w:vAlign w:val="center"/>
          </w:tcPr>
          <w:p w14:paraId="21462268">
            <w:pPr>
              <w:widowControl/>
              <w:jc w:val="center"/>
              <w:rPr>
                <w:rFonts w:ascii="Times New Roman" w:hAnsi="Times New Roman" w:cs="Times New Roman"/>
                <w:b/>
                <w:bCs/>
                <w:kern w:val="0"/>
                <w:szCs w:val="21"/>
              </w:rPr>
            </w:pPr>
          </w:p>
        </w:tc>
      </w:tr>
      <w:tr w14:paraId="06D58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71883128">
            <w:pPr>
              <w:widowControl/>
              <w:jc w:val="center"/>
              <w:rPr>
                <w:rFonts w:ascii="Times New Roman" w:hAnsi="Times New Roman" w:cs="Times New Roman"/>
                <w:kern w:val="0"/>
                <w:szCs w:val="21"/>
              </w:rPr>
            </w:pPr>
            <w:r>
              <w:rPr>
                <w:rFonts w:ascii="Times New Roman" w:hAnsi="Times New Roman" w:cs="Times New Roman"/>
                <w:kern w:val="0"/>
                <w:szCs w:val="21"/>
              </w:rPr>
              <w:t>W</w:t>
            </w:r>
            <w:r>
              <w:rPr>
                <w:rFonts w:ascii="Times New Roman" w:hAnsi="Times New Roman" w:cs="Times New Roman"/>
                <w:kern w:val="0"/>
                <w:szCs w:val="21"/>
                <w:vertAlign w:val="subscript"/>
              </w:rPr>
              <w:t>生活污水</w:t>
            </w:r>
          </w:p>
        </w:tc>
        <w:tc>
          <w:tcPr>
            <w:tcW w:w="0" w:type="auto"/>
            <w:vMerge w:val="restart"/>
            <w:vAlign w:val="center"/>
          </w:tcPr>
          <w:p w14:paraId="10D2BB67">
            <w:pPr>
              <w:widowControl/>
              <w:jc w:val="center"/>
              <w:rPr>
                <w:rFonts w:ascii="Times New Roman" w:hAnsi="Times New Roman" w:cs="Times New Roman"/>
                <w:kern w:val="0"/>
                <w:szCs w:val="21"/>
              </w:rPr>
            </w:pPr>
            <w:r>
              <w:rPr>
                <w:rFonts w:ascii="Times New Roman" w:hAnsi="Times New Roman" w:cs="Times New Roman"/>
                <w:kern w:val="0"/>
                <w:szCs w:val="21"/>
              </w:rPr>
              <w:t>3.285（1093.905）</w:t>
            </w:r>
          </w:p>
        </w:tc>
        <w:tc>
          <w:tcPr>
            <w:tcW w:w="0" w:type="auto"/>
            <w:vAlign w:val="center"/>
          </w:tcPr>
          <w:p w14:paraId="7F6C193C">
            <w:pPr>
              <w:widowControl/>
              <w:jc w:val="center"/>
              <w:rPr>
                <w:rFonts w:ascii="Times New Roman" w:hAnsi="Times New Roman" w:cs="Times New Roman"/>
                <w:kern w:val="0"/>
                <w:szCs w:val="21"/>
              </w:rPr>
            </w:pPr>
            <w:r>
              <w:rPr>
                <w:rFonts w:ascii="Times New Roman" w:hAnsi="Times New Roman" w:cs="Times New Roman"/>
                <w:kern w:val="0"/>
                <w:szCs w:val="21"/>
              </w:rPr>
              <w:t>pH</w:t>
            </w:r>
          </w:p>
        </w:tc>
        <w:tc>
          <w:tcPr>
            <w:tcW w:w="0" w:type="auto"/>
            <w:vAlign w:val="center"/>
          </w:tcPr>
          <w:p w14:paraId="71110330">
            <w:pPr>
              <w:widowControl/>
              <w:jc w:val="center"/>
              <w:rPr>
                <w:rFonts w:ascii="Times New Roman" w:hAnsi="Times New Roman" w:cs="Times New Roman"/>
                <w:kern w:val="0"/>
                <w:szCs w:val="21"/>
              </w:rPr>
            </w:pPr>
            <w:r>
              <w:rPr>
                <w:rFonts w:ascii="Times New Roman" w:hAnsi="Times New Roman" w:cs="Times New Roman"/>
                <w:kern w:val="0"/>
                <w:szCs w:val="21"/>
              </w:rPr>
              <w:t>6~9</w:t>
            </w:r>
          </w:p>
        </w:tc>
        <w:tc>
          <w:tcPr>
            <w:tcW w:w="0" w:type="auto"/>
            <w:vAlign w:val="center"/>
          </w:tcPr>
          <w:p w14:paraId="34B433F6">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Merge w:val="restart"/>
            <w:vAlign w:val="center"/>
          </w:tcPr>
          <w:p w14:paraId="003A3106">
            <w:pPr>
              <w:widowControl/>
              <w:jc w:val="center"/>
              <w:rPr>
                <w:rFonts w:ascii="Times New Roman" w:hAnsi="Times New Roman" w:cs="Times New Roman"/>
                <w:kern w:val="0"/>
                <w:szCs w:val="21"/>
              </w:rPr>
            </w:pPr>
            <w:r>
              <w:rPr>
                <w:rFonts w:hint="eastAsia" w:ascii="Times New Roman" w:hAnsi="Times New Roman" w:cs="Times New Roman"/>
                <w:kern w:val="0"/>
                <w:szCs w:val="21"/>
              </w:rPr>
              <w:t>生化池</w:t>
            </w:r>
          </w:p>
        </w:tc>
        <w:tc>
          <w:tcPr>
            <w:tcW w:w="0" w:type="auto"/>
            <w:vMerge w:val="restart"/>
            <w:vAlign w:val="center"/>
          </w:tcPr>
          <w:p w14:paraId="53775FB0">
            <w:pPr>
              <w:widowControl/>
              <w:jc w:val="center"/>
              <w:rPr>
                <w:rFonts w:ascii="Times New Roman" w:hAnsi="Times New Roman" w:cs="Times New Roman"/>
                <w:kern w:val="0"/>
                <w:szCs w:val="21"/>
              </w:rPr>
            </w:pPr>
            <w:r>
              <w:rPr>
                <w:rFonts w:hint="eastAsia" w:ascii="Times New Roman" w:hAnsi="Times New Roman" w:cs="Times New Roman"/>
                <w:kern w:val="0"/>
                <w:szCs w:val="21"/>
              </w:rPr>
              <w:t>18</w:t>
            </w:r>
          </w:p>
        </w:tc>
        <w:tc>
          <w:tcPr>
            <w:tcW w:w="0" w:type="auto"/>
            <w:vMerge w:val="restart"/>
            <w:vAlign w:val="center"/>
          </w:tcPr>
          <w:p w14:paraId="259EB8BC">
            <w:pPr>
              <w:widowControl/>
              <w:jc w:val="center"/>
              <w:rPr>
                <w:rFonts w:ascii="Times New Roman" w:hAnsi="Times New Roman" w:cs="Times New Roman"/>
                <w:kern w:val="0"/>
                <w:szCs w:val="21"/>
              </w:rPr>
            </w:pPr>
            <w:r>
              <w:rPr>
                <w:rFonts w:ascii="Times New Roman" w:hAnsi="Times New Roman" w:cs="Times New Roman"/>
                <w:kern w:val="0"/>
                <w:szCs w:val="21"/>
              </w:rPr>
              <w:t>是</w:t>
            </w:r>
          </w:p>
        </w:tc>
        <w:tc>
          <w:tcPr>
            <w:tcW w:w="0" w:type="auto"/>
            <w:vAlign w:val="center"/>
          </w:tcPr>
          <w:p w14:paraId="5521C555">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0B9C4132">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Merge w:val="restart"/>
            <w:vAlign w:val="center"/>
          </w:tcPr>
          <w:p w14:paraId="047DE38C">
            <w:pPr>
              <w:widowControl/>
              <w:jc w:val="center"/>
              <w:rPr>
                <w:rFonts w:ascii="Times New Roman" w:hAnsi="Times New Roman" w:cs="Times New Roman"/>
                <w:kern w:val="0"/>
                <w:szCs w:val="21"/>
              </w:rPr>
            </w:pPr>
            <w:r>
              <w:rPr>
                <w:rFonts w:ascii="Times New Roman" w:hAnsi="Times New Roman" w:cs="Times New Roman"/>
                <w:kern w:val="0"/>
                <w:szCs w:val="21"/>
              </w:rPr>
              <w:t>园区污水处理厂</w:t>
            </w:r>
          </w:p>
          <w:p w14:paraId="6C8F372A">
            <w:pPr>
              <w:jc w:val="center"/>
              <w:rPr>
                <w:rFonts w:ascii="Times New Roman" w:hAnsi="Times New Roman" w:cs="Times New Roman"/>
                <w:kern w:val="0"/>
                <w:szCs w:val="21"/>
              </w:rPr>
            </w:pPr>
          </w:p>
        </w:tc>
        <w:tc>
          <w:tcPr>
            <w:tcW w:w="0" w:type="auto"/>
            <w:vAlign w:val="center"/>
          </w:tcPr>
          <w:p w14:paraId="4D444722">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4F69CD60">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28F8B68A">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687F9DBA">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02D2E15C">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6F1C3267">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27C68B2A">
            <w:pPr>
              <w:widowControl/>
              <w:jc w:val="center"/>
              <w:rPr>
                <w:rFonts w:ascii="Times New Roman" w:hAnsi="Times New Roman" w:cs="Times New Roman"/>
                <w:kern w:val="0"/>
                <w:szCs w:val="21"/>
              </w:rPr>
            </w:pPr>
            <w:r>
              <w:rPr>
                <w:rFonts w:ascii="Times New Roman" w:hAnsi="Times New Roman" w:cs="Times New Roman"/>
                <w:kern w:val="0"/>
                <w:szCs w:val="21"/>
              </w:rPr>
              <w:t>/</w:t>
            </w:r>
          </w:p>
        </w:tc>
      </w:tr>
      <w:tr w14:paraId="7ECD0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492E10FC">
            <w:pPr>
              <w:widowControl/>
              <w:jc w:val="center"/>
              <w:rPr>
                <w:rFonts w:ascii="Times New Roman" w:hAnsi="Times New Roman" w:cs="Times New Roman"/>
                <w:kern w:val="0"/>
                <w:szCs w:val="21"/>
              </w:rPr>
            </w:pPr>
          </w:p>
        </w:tc>
        <w:tc>
          <w:tcPr>
            <w:tcW w:w="0" w:type="auto"/>
            <w:vMerge w:val="continue"/>
            <w:vAlign w:val="center"/>
          </w:tcPr>
          <w:p w14:paraId="074E62E6">
            <w:pPr>
              <w:widowControl/>
              <w:jc w:val="center"/>
              <w:rPr>
                <w:rFonts w:ascii="Times New Roman" w:hAnsi="Times New Roman" w:cs="Times New Roman"/>
                <w:kern w:val="0"/>
                <w:szCs w:val="21"/>
              </w:rPr>
            </w:pPr>
          </w:p>
        </w:tc>
        <w:tc>
          <w:tcPr>
            <w:tcW w:w="0" w:type="auto"/>
            <w:vAlign w:val="center"/>
          </w:tcPr>
          <w:p w14:paraId="6534D2BE">
            <w:pPr>
              <w:widowControl/>
              <w:jc w:val="center"/>
              <w:rPr>
                <w:rFonts w:ascii="Times New Roman" w:hAnsi="Times New Roman" w:cs="Times New Roman"/>
                <w:kern w:val="0"/>
                <w:szCs w:val="21"/>
              </w:rPr>
            </w:pPr>
            <w:r>
              <w:rPr>
                <w:rFonts w:ascii="Times New Roman" w:hAnsi="Times New Roman" w:cs="Times New Roman"/>
                <w:color w:val="000000"/>
                <w:szCs w:val="21"/>
                <w:lang w:bidi="ar"/>
              </w:rPr>
              <w:t>COD</w:t>
            </w:r>
          </w:p>
        </w:tc>
        <w:tc>
          <w:tcPr>
            <w:tcW w:w="0" w:type="auto"/>
            <w:vAlign w:val="center"/>
          </w:tcPr>
          <w:p w14:paraId="36859DEA">
            <w:pPr>
              <w:widowControl/>
              <w:jc w:val="center"/>
              <w:rPr>
                <w:rFonts w:ascii="Times New Roman" w:hAnsi="Times New Roman" w:cs="Times New Roman"/>
                <w:kern w:val="0"/>
                <w:szCs w:val="21"/>
              </w:rPr>
            </w:pPr>
            <w:r>
              <w:rPr>
                <w:rFonts w:ascii="Times New Roman" w:hAnsi="Times New Roman" w:cs="Times New Roman"/>
                <w:color w:val="000000"/>
                <w:kern w:val="0"/>
                <w:szCs w:val="21"/>
                <w:lang w:bidi="ar"/>
              </w:rPr>
              <w:t>500</w:t>
            </w:r>
          </w:p>
        </w:tc>
        <w:tc>
          <w:tcPr>
            <w:tcW w:w="0" w:type="auto"/>
            <w:vAlign w:val="center"/>
          </w:tcPr>
          <w:p w14:paraId="3F07DA26">
            <w:pPr>
              <w:widowControl/>
              <w:jc w:val="center"/>
              <w:rPr>
                <w:rFonts w:ascii="Times New Roman" w:hAnsi="Times New Roman" w:cs="Times New Roman"/>
                <w:color w:val="000000"/>
                <w:kern w:val="0"/>
                <w:szCs w:val="21"/>
                <w:lang w:bidi="ar"/>
              </w:rPr>
            </w:pPr>
            <w:r>
              <w:rPr>
                <w:rFonts w:hint="eastAsia" w:ascii="Times New Roman" w:hAnsi="Times New Roman" w:cs="Times New Roman"/>
                <w:color w:val="000000"/>
                <w:kern w:val="0"/>
                <w:szCs w:val="21"/>
                <w:lang w:bidi="ar"/>
              </w:rPr>
              <w:t>0.5</w:t>
            </w:r>
            <w:r>
              <w:rPr>
                <w:rFonts w:ascii="Times New Roman" w:hAnsi="Times New Roman" w:cs="Times New Roman"/>
                <w:color w:val="000000"/>
                <w:kern w:val="0"/>
                <w:szCs w:val="21"/>
                <w:lang w:bidi="ar"/>
              </w:rPr>
              <w:t>5</w:t>
            </w:r>
          </w:p>
        </w:tc>
        <w:tc>
          <w:tcPr>
            <w:tcW w:w="0" w:type="auto"/>
            <w:vMerge w:val="continue"/>
            <w:vAlign w:val="center"/>
          </w:tcPr>
          <w:p w14:paraId="2B48A9DD">
            <w:pPr>
              <w:widowControl/>
              <w:jc w:val="center"/>
              <w:rPr>
                <w:rFonts w:ascii="Times New Roman" w:hAnsi="Times New Roman" w:cs="Times New Roman"/>
                <w:kern w:val="0"/>
                <w:szCs w:val="21"/>
              </w:rPr>
            </w:pPr>
          </w:p>
        </w:tc>
        <w:tc>
          <w:tcPr>
            <w:tcW w:w="0" w:type="auto"/>
            <w:vMerge w:val="continue"/>
            <w:vAlign w:val="center"/>
          </w:tcPr>
          <w:p w14:paraId="1DA956C2">
            <w:pPr>
              <w:widowControl/>
              <w:jc w:val="center"/>
              <w:rPr>
                <w:rFonts w:ascii="Times New Roman" w:hAnsi="Times New Roman" w:cs="Times New Roman"/>
                <w:kern w:val="0"/>
                <w:szCs w:val="21"/>
              </w:rPr>
            </w:pPr>
          </w:p>
        </w:tc>
        <w:tc>
          <w:tcPr>
            <w:tcW w:w="0" w:type="auto"/>
            <w:vMerge w:val="continue"/>
            <w:vAlign w:val="center"/>
          </w:tcPr>
          <w:p w14:paraId="0472114B">
            <w:pPr>
              <w:widowControl/>
              <w:jc w:val="center"/>
              <w:rPr>
                <w:rFonts w:ascii="Times New Roman" w:hAnsi="Times New Roman" w:cs="Times New Roman"/>
                <w:kern w:val="0"/>
                <w:szCs w:val="21"/>
              </w:rPr>
            </w:pPr>
          </w:p>
        </w:tc>
        <w:tc>
          <w:tcPr>
            <w:tcW w:w="0" w:type="auto"/>
            <w:vAlign w:val="center"/>
          </w:tcPr>
          <w:p w14:paraId="270E224B">
            <w:pPr>
              <w:widowControl/>
              <w:jc w:val="center"/>
              <w:rPr>
                <w:rFonts w:ascii="Times New Roman" w:hAnsi="Times New Roman" w:cs="Times New Roman"/>
                <w:kern w:val="0"/>
                <w:szCs w:val="21"/>
              </w:rPr>
            </w:pPr>
            <w:r>
              <w:rPr>
                <w:rFonts w:ascii="Times New Roman" w:hAnsi="Times New Roman" w:eastAsia="等线" w:cs="Times New Roman"/>
                <w:color w:val="000000"/>
                <w:szCs w:val="21"/>
              </w:rPr>
              <w:t>350</w:t>
            </w:r>
          </w:p>
        </w:tc>
        <w:tc>
          <w:tcPr>
            <w:tcW w:w="0" w:type="auto"/>
            <w:vAlign w:val="center"/>
          </w:tcPr>
          <w:p w14:paraId="64466BFD">
            <w:pPr>
              <w:widowControl/>
              <w:jc w:val="center"/>
              <w:rPr>
                <w:rFonts w:ascii="Times New Roman" w:hAnsi="Times New Roman" w:eastAsia="等线" w:cs="Times New Roman"/>
                <w:color w:val="000000"/>
                <w:szCs w:val="21"/>
              </w:rPr>
            </w:pPr>
            <w:r>
              <w:rPr>
                <w:rFonts w:hint="eastAsia" w:ascii="Times New Roman" w:hAnsi="Times New Roman" w:eastAsia="等线" w:cs="Times New Roman"/>
                <w:color w:val="000000"/>
                <w:szCs w:val="21"/>
              </w:rPr>
              <w:t>0.38</w:t>
            </w:r>
          </w:p>
        </w:tc>
        <w:tc>
          <w:tcPr>
            <w:tcW w:w="0" w:type="auto"/>
            <w:vMerge w:val="continue"/>
            <w:vAlign w:val="center"/>
          </w:tcPr>
          <w:p w14:paraId="7CA9B374">
            <w:pPr>
              <w:jc w:val="center"/>
              <w:rPr>
                <w:rFonts w:ascii="Times New Roman" w:hAnsi="Times New Roman" w:cs="Times New Roman"/>
                <w:kern w:val="0"/>
                <w:szCs w:val="21"/>
              </w:rPr>
            </w:pPr>
          </w:p>
        </w:tc>
        <w:tc>
          <w:tcPr>
            <w:tcW w:w="0" w:type="auto"/>
          </w:tcPr>
          <w:p w14:paraId="15567496">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30C35351">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50602670">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13AF72A1">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4CCD3918">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781426CE">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3821ABEA">
            <w:pPr>
              <w:widowControl/>
              <w:jc w:val="center"/>
              <w:rPr>
                <w:rFonts w:ascii="Times New Roman" w:hAnsi="Times New Roman" w:cs="Times New Roman"/>
                <w:kern w:val="0"/>
                <w:szCs w:val="21"/>
              </w:rPr>
            </w:pPr>
            <w:r>
              <w:rPr>
                <w:rFonts w:ascii="Times New Roman" w:hAnsi="Times New Roman" w:cs="Times New Roman"/>
                <w:kern w:val="0"/>
                <w:szCs w:val="21"/>
              </w:rPr>
              <w:t>/</w:t>
            </w:r>
          </w:p>
        </w:tc>
      </w:tr>
      <w:tr w14:paraId="2B948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1B5B975E">
            <w:pPr>
              <w:widowControl/>
              <w:jc w:val="center"/>
              <w:rPr>
                <w:rFonts w:ascii="Times New Roman" w:hAnsi="Times New Roman" w:cs="Times New Roman"/>
                <w:kern w:val="0"/>
                <w:szCs w:val="21"/>
              </w:rPr>
            </w:pPr>
          </w:p>
        </w:tc>
        <w:tc>
          <w:tcPr>
            <w:tcW w:w="0" w:type="auto"/>
            <w:vMerge w:val="continue"/>
            <w:vAlign w:val="center"/>
          </w:tcPr>
          <w:p w14:paraId="23CAB9E8">
            <w:pPr>
              <w:widowControl/>
              <w:jc w:val="center"/>
              <w:rPr>
                <w:rFonts w:ascii="Times New Roman" w:hAnsi="Times New Roman" w:cs="Times New Roman"/>
                <w:kern w:val="0"/>
                <w:szCs w:val="21"/>
              </w:rPr>
            </w:pPr>
          </w:p>
        </w:tc>
        <w:tc>
          <w:tcPr>
            <w:tcW w:w="0" w:type="auto"/>
            <w:vAlign w:val="center"/>
          </w:tcPr>
          <w:p w14:paraId="334ABB12">
            <w:pPr>
              <w:widowControl/>
              <w:jc w:val="center"/>
              <w:rPr>
                <w:rFonts w:ascii="Times New Roman" w:hAnsi="Times New Roman" w:cs="Times New Roman"/>
                <w:kern w:val="0"/>
                <w:szCs w:val="21"/>
              </w:rPr>
            </w:pPr>
            <w:r>
              <w:rPr>
                <w:rFonts w:ascii="Times New Roman" w:hAnsi="Times New Roman" w:cs="Times New Roman"/>
                <w:color w:val="000000"/>
                <w:szCs w:val="21"/>
                <w:lang w:bidi="ar"/>
              </w:rPr>
              <w:t>BOD</w:t>
            </w:r>
            <w:r>
              <w:rPr>
                <w:rFonts w:ascii="Times New Roman" w:hAnsi="Times New Roman" w:cs="Times New Roman"/>
                <w:color w:val="000000"/>
                <w:szCs w:val="21"/>
                <w:vertAlign w:val="subscript"/>
                <w:lang w:bidi="ar"/>
              </w:rPr>
              <w:t>5</w:t>
            </w:r>
          </w:p>
        </w:tc>
        <w:tc>
          <w:tcPr>
            <w:tcW w:w="0" w:type="auto"/>
            <w:vAlign w:val="center"/>
          </w:tcPr>
          <w:p w14:paraId="54F76772">
            <w:pPr>
              <w:widowControl/>
              <w:jc w:val="center"/>
              <w:rPr>
                <w:rFonts w:ascii="Times New Roman" w:hAnsi="Times New Roman" w:cs="Times New Roman"/>
                <w:kern w:val="0"/>
                <w:szCs w:val="21"/>
              </w:rPr>
            </w:pPr>
            <w:r>
              <w:rPr>
                <w:rFonts w:ascii="Times New Roman" w:hAnsi="Times New Roman" w:cs="Times New Roman"/>
                <w:color w:val="000000"/>
                <w:kern w:val="0"/>
                <w:szCs w:val="21"/>
                <w:lang w:bidi="ar"/>
              </w:rPr>
              <w:t>300</w:t>
            </w:r>
          </w:p>
        </w:tc>
        <w:tc>
          <w:tcPr>
            <w:tcW w:w="0" w:type="auto"/>
            <w:vAlign w:val="center"/>
          </w:tcPr>
          <w:p w14:paraId="32486C50">
            <w:pPr>
              <w:widowControl/>
              <w:jc w:val="center"/>
              <w:rPr>
                <w:rFonts w:ascii="Times New Roman" w:hAnsi="Times New Roman" w:cs="Times New Roman"/>
                <w:color w:val="000000"/>
                <w:kern w:val="0"/>
                <w:szCs w:val="21"/>
                <w:lang w:bidi="ar"/>
              </w:rPr>
            </w:pPr>
            <w:r>
              <w:rPr>
                <w:rFonts w:hint="eastAsia" w:ascii="Times New Roman" w:hAnsi="Times New Roman" w:cs="Times New Roman"/>
                <w:color w:val="000000"/>
                <w:kern w:val="0"/>
                <w:szCs w:val="21"/>
                <w:lang w:bidi="ar"/>
              </w:rPr>
              <w:t>0.3</w:t>
            </w:r>
            <w:r>
              <w:rPr>
                <w:rFonts w:ascii="Times New Roman" w:hAnsi="Times New Roman" w:cs="Times New Roman"/>
                <w:color w:val="000000"/>
                <w:kern w:val="0"/>
                <w:szCs w:val="21"/>
                <w:lang w:bidi="ar"/>
              </w:rPr>
              <w:t>3</w:t>
            </w:r>
          </w:p>
        </w:tc>
        <w:tc>
          <w:tcPr>
            <w:tcW w:w="0" w:type="auto"/>
            <w:vMerge w:val="continue"/>
            <w:vAlign w:val="center"/>
          </w:tcPr>
          <w:p w14:paraId="1F70021F">
            <w:pPr>
              <w:widowControl/>
              <w:jc w:val="center"/>
              <w:rPr>
                <w:rFonts w:ascii="Times New Roman" w:hAnsi="Times New Roman" w:cs="Times New Roman"/>
                <w:kern w:val="0"/>
                <w:szCs w:val="21"/>
              </w:rPr>
            </w:pPr>
          </w:p>
        </w:tc>
        <w:tc>
          <w:tcPr>
            <w:tcW w:w="0" w:type="auto"/>
            <w:vMerge w:val="continue"/>
            <w:vAlign w:val="center"/>
          </w:tcPr>
          <w:p w14:paraId="270E1690">
            <w:pPr>
              <w:widowControl/>
              <w:jc w:val="center"/>
              <w:rPr>
                <w:rFonts w:ascii="Times New Roman" w:hAnsi="Times New Roman" w:cs="Times New Roman"/>
                <w:kern w:val="0"/>
                <w:szCs w:val="21"/>
              </w:rPr>
            </w:pPr>
          </w:p>
        </w:tc>
        <w:tc>
          <w:tcPr>
            <w:tcW w:w="0" w:type="auto"/>
            <w:vMerge w:val="continue"/>
            <w:vAlign w:val="center"/>
          </w:tcPr>
          <w:p w14:paraId="628447BC">
            <w:pPr>
              <w:widowControl/>
              <w:jc w:val="center"/>
              <w:rPr>
                <w:rFonts w:ascii="Times New Roman" w:hAnsi="Times New Roman" w:cs="Times New Roman"/>
                <w:kern w:val="0"/>
                <w:szCs w:val="21"/>
              </w:rPr>
            </w:pPr>
          </w:p>
        </w:tc>
        <w:tc>
          <w:tcPr>
            <w:tcW w:w="0" w:type="auto"/>
            <w:vAlign w:val="center"/>
          </w:tcPr>
          <w:p w14:paraId="07C0E4B2">
            <w:pPr>
              <w:widowControl/>
              <w:jc w:val="center"/>
              <w:rPr>
                <w:rFonts w:ascii="Times New Roman" w:hAnsi="Times New Roman" w:cs="Times New Roman"/>
                <w:kern w:val="0"/>
                <w:szCs w:val="21"/>
              </w:rPr>
            </w:pPr>
            <w:r>
              <w:rPr>
                <w:rFonts w:ascii="Times New Roman" w:hAnsi="Times New Roman" w:eastAsia="等线" w:cs="Times New Roman"/>
                <w:color w:val="000000"/>
                <w:szCs w:val="21"/>
              </w:rPr>
              <w:t>200</w:t>
            </w:r>
          </w:p>
        </w:tc>
        <w:tc>
          <w:tcPr>
            <w:tcW w:w="0" w:type="auto"/>
            <w:vAlign w:val="center"/>
          </w:tcPr>
          <w:p w14:paraId="0E123BA3">
            <w:pPr>
              <w:widowControl/>
              <w:jc w:val="center"/>
              <w:rPr>
                <w:rFonts w:ascii="Times New Roman" w:hAnsi="Times New Roman" w:eastAsia="等线" w:cs="Times New Roman"/>
                <w:color w:val="000000"/>
                <w:szCs w:val="21"/>
              </w:rPr>
            </w:pPr>
            <w:r>
              <w:rPr>
                <w:rFonts w:hint="eastAsia" w:ascii="Times New Roman" w:hAnsi="Times New Roman" w:eastAsia="等线" w:cs="Times New Roman"/>
                <w:color w:val="000000"/>
                <w:szCs w:val="21"/>
              </w:rPr>
              <w:t>0.21</w:t>
            </w:r>
          </w:p>
        </w:tc>
        <w:tc>
          <w:tcPr>
            <w:tcW w:w="0" w:type="auto"/>
            <w:vMerge w:val="continue"/>
            <w:vAlign w:val="center"/>
          </w:tcPr>
          <w:p w14:paraId="6C868DD1">
            <w:pPr>
              <w:jc w:val="center"/>
              <w:rPr>
                <w:rFonts w:ascii="Times New Roman" w:hAnsi="Times New Roman" w:cs="Times New Roman"/>
                <w:kern w:val="0"/>
                <w:szCs w:val="21"/>
              </w:rPr>
            </w:pPr>
          </w:p>
        </w:tc>
        <w:tc>
          <w:tcPr>
            <w:tcW w:w="0" w:type="auto"/>
          </w:tcPr>
          <w:p w14:paraId="00FB6E36">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48BFB4A8">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7D825CDB">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0D314256">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35CA8BA0">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365B3D50">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654BE4C7">
            <w:pPr>
              <w:widowControl/>
              <w:jc w:val="center"/>
              <w:rPr>
                <w:rFonts w:ascii="Times New Roman" w:hAnsi="Times New Roman" w:cs="Times New Roman"/>
                <w:kern w:val="0"/>
                <w:szCs w:val="21"/>
              </w:rPr>
            </w:pPr>
            <w:r>
              <w:rPr>
                <w:rFonts w:ascii="Times New Roman" w:hAnsi="Times New Roman" w:cs="Times New Roman"/>
                <w:kern w:val="0"/>
                <w:szCs w:val="21"/>
              </w:rPr>
              <w:t>/</w:t>
            </w:r>
          </w:p>
        </w:tc>
      </w:tr>
      <w:tr w14:paraId="4350C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7B3547D2">
            <w:pPr>
              <w:widowControl/>
              <w:jc w:val="center"/>
              <w:rPr>
                <w:rFonts w:ascii="Times New Roman" w:hAnsi="Times New Roman" w:cs="Times New Roman"/>
                <w:kern w:val="0"/>
                <w:szCs w:val="21"/>
              </w:rPr>
            </w:pPr>
          </w:p>
        </w:tc>
        <w:tc>
          <w:tcPr>
            <w:tcW w:w="0" w:type="auto"/>
            <w:vMerge w:val="continue"/>
            <w:vAlign w:val="center"/>
          </w:tcPr>
          <w:p w14:paraId="461149B6">
            <w:pPr>
              <w:widowControl/>
              <w:jc w:val="center"/>
              <w:rPr>
                <w:rFonts w:ascii="Times New Roman" w:hAnsi="Times New Roman" w:cs="Times New Roman"/>
                <w:kern w:val="0"/>
                <w:szCs w:val="21"/>
              </w:rPr>
            </w:pPr>
          </w:p>
        </w:tc>
        <w:tc>
          <w:tcPr>
            <w:tcW w:w="0" w:type="auto"/>
            <w:vAlign w:val="center"/>
          </w:tcPr>
          <w:p w14:paraId="20459FDD">
            <w:pPr>
              <w:widowControl/>
              <w:jc w:val="center"/>
              <w:rPr>
                <w:rFonts w:ascii="Times New Roman" w:hAnsi="Times New Roman" w:cs="Times New Roman"/>
                <w:kern w:val="0"/>
                <w:szCs w:val="21"/>
              </w:rPr>
            </w:pPr>
            <w:r>
              <w:rPr>
                <w:rFonts w:ascii="Times New Roman" w:hAnsi="Times New Roman" w:cs="Times New Roman"/>
                <w:color w:val="000000"/>
                <w:szCs w:val="21"/>
                <w:lang w:bidi="ar"/>
              </w:rPr>
              <w:t>SS</w:t>
            </w:r>
          </w:p>
        </w:tc>
        <w:tc>
          <w:tcPr>
            <w:tcW w:w="0" w:type="auto"/>
            <w:vAlign w:val="center"/>
          </w:tcPr>
          <w:p w14:paraId="2A12A579">
            <w:pPr>
              <w:widowControl/>
              <w:jc w:val="center"/>
              <w:rPr>
                <w:rFonts w:ascii="Times New Roman" w:hAnsi="Times New Roman" w:cs="Times New Roman"/>
                <w:kern w:val="0"/>
                <w:szCs w:val="21"/>
              </w:rPr>
            </w:pPr>
            <w:r>
              <w:rPr>
                <w:rFonts w:ascii="Times New Roman" w:hAnsi="Times New Roman" w:cs="Times New Roman"/>
                <w:color w:val="000000"/>
                <w:kern w:val="0"/>
                <w:szCs w:val="21"/>
                <w:lang w:bidi="ar"/>
              </w:rPr>
              <w:t>300</w:t>
            </w:r>
          </w:p>
        </w:tc>
        <w:tc>
          <w:tcPr>
            <w:tcW w:w="0" w:type="auto"/>
            <w:vAlign w:val="center"/>
          </w:tcPr>
          <w:p w14:paraId="2862D1AC">
            <w:pPr>
              <w:widowControl/>
              <w:jc w:val="center"/>
              <w:rPr>
                <w:rFonts w:ascii="Times New Roman" w:hAnsi="Times New Roman" w:cs="Times New Roman"/>
                <w:color w:val="000000"/>
                <w:kern w:val="0"/>
                <w:szCs w:val="21"/>
                <w:lang w:bidi="ar"/>
              </w:rPr>
            </w:pPr>
            <w:r>
              <w:rPr>
                <w:rFonts w:hint="eastAsia" w:ascii="Times New Roman" w:hAnsi="Times New Roman" w:cs="Times New Roman"/>
                <w:color w:val="000000"/>
                <w:kern w:val="0"/>
                <w:szCs w:val="21"/>
                <w:lang w:bidi="ar"/>
              </w:rPr>
              <w:t>0.3</w:t>
            </w:r>
            <w:r>
              <w:rPr>
                <w:rFonts w:ascii="Times New Roman" w:hAnsi="Times New Roman" w:cs="Times New Roman"/>
                <w:color w:val="000000"/>
                <w:kern w:val="0"/>
                <w:szCs w:val="21"/>
                <w:lang w:bidi="ar"/>
              </w:rPr>
              <w:t>3</w:t>
            </w:r>
          </w:p>
        </w:tc>
        <w:tc>
          <w:tcPr>
            <w:tcW w:w="0" w:type="auto"/>
            <w:vMerge w:val="continue"/>
            <w:vAlign w:val="center"/>
          </w:tcPr>
          <w:p w14:paraId="72128E98">
            <w:pPr>
              <w:widowControl/>
              <w:jc w:val="center"/>
              <w:rPr>
                <w:rFonts w:ascii="Times New Roman" w:hAnsi="Times New Roman" w:cs="Times New Roman"/>
                <w:kern w:val="0"/>
                <w:szCs w:val="21"/>
              </w:rPr>
            </w:pPr>
          </w:p>
        </w:tc>
        <w:tc>
          <w:tcPr>
            <w:tcW w:w="0" w:type="auto"/>
            <w:vMerge w:val="continue"/>
            <w:vAlign w:val="center"/>
          </w:tcPr>
          <w:p w14:paraId="4CF558A0">
            <w:pPr>
              <w:widowControl/>
              <w:jc w:val="center"/>
              <w:rPr>
                <w:rFonts w:ascii="Times New Roman" w:hAnsi="Times New Roman" w:cs="Times New Roman"/>
                <w:kern w:val="0"/>
                <w:szCs w:val="21"/>
              </w:rPr>
            </w:pPr>
          </w:p>
        </w:tc>
        <w:tc>
          <w:tcPr>
            <w:tcW w:w="0" w:type="auto"/>
            <w:vMerge w:val="continue"/>
            <w:vAlign w:val="center"/>
          </w:tcPr>
          <w:p w14:paraId="7B55D241">
            <w:pPr>
              <w:widowControl/>
              <w:jc w:val="center"/>
              <w:rPr>
                <w:rFonts w:ascii="Times New Roman" w:hAnsi="Times New Roman" w:cs="Times New Roman"/>
                <w:kern w:val="0"/>
                <w:szCs w:val="21"/>
              </w:rPr>
            </w:pPr>
          </w:p>
        </w:tc>
        <w:tc>
          <w:tcPr>
            <w:tcW w:w="0" w:type="auto"/>
            <w:vAlign w:val="center"/>
          </w:tcPr>
          <w:p w14:paraId="2670098A">
            <w:pPr>
              <w:widowControl/>
              <w:jc w:val="center"/>
              <w:rPr>
                <w:rFonts w:ascii="Times New Roman" w:hAnsi="Times New Roman" w:cs="Times New Roman"/>
                <w:kern w:val="0"/>
                <w:szCs w:val="21"/>
              </w:rPr>
            </w:pPr>
            <w:r>
              <w:rPr>
                <w:rFonts w:ascii="Times New Roman" w:hAnsi="Times New Roman" w:eastAsia="等线" w:cs="Times New Roman"/>
                <w:color w:val="000000"/>
                <w:szCs w:val="21"/>
              </w:rPr>
              <w:t>37</w:t>
            </w:r>
          </w:p>
        </w:tc>
        <w:tc>
          <w:tcPr>
            <w:tcW w:w="0" w:type="auto"/>
            <w:vAlign w:val="center"/>
          </w:tcPr>
          <w:p w14:paraId="332ACBC6">
            <w:pPr>
              <w:widowControl/>
              <w:jc w:val="center"/>
              <w:rPr>
                <w:rFonts w:ascii="Times New Roman" w:hAnsi="Times New Roman" w:eastAsia="等线" w:cs="Times New Roman"/>
                <w:color w:val="000000"/>
                <w:szCs w:val="21"/>
              </w:rPr>
            </w:pPr>
            <w:r>
              <w:rPr>
                <w:rFonts w:hint="eastAsia" w:ascii="Times New Roman" w:hAnsi="Times New Roman" w:eastAsia="等线" w:cs="Times New Roman"/>
                <w:color w:val="000000"/>
                <w:szCs w:val="21"/>
              </w:rPr>
              <w:t>0.04</w:t>
            </w:r>
          </w:p>
        </w:tc>
        <w:tc>
          <w:tcPr>
            <w:tcW w:w="0" w:type="auto"/>
            <w:vMerge w:val="continue"/>
            <w:vAlign w:val="center"/>
          </w:tcPr>
          <w:p w14:paraId="0BD84034">
            <w:pPr>
              <w:jc w:val="center"/>
              <w:rPr>
                <w:rFonts w:ascii="Times New Roman" w:hAnsi="Times New Roman" w:cs="Times New Roman"/>
                <w:kern w:val="0"/>
                <w:szCs w:val="21"/>
              </w:rPr>
            </w:pPr>
          </w:p>
        </w:tc>
        <w:tc>
          <w:tcPr>
            <w:tcW w:w="0" w:type="auto"/>
          </w:tcPr>
          <w:p w14:paraId="0223B322">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2E9BC138">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28505F15">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2E5C7C07">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2D0ED264">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2CAA027F">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112E9682">
            <w:pPr>
              <w:widowControl/>
              <w:jc w:val="center"/>
              <w:rPr>
                <w:rFonts w:ascii="Times New Roman" w:hAnsi="Times New Roman" w:cs="Times New Roman"/>
                <w:kern w:val="0"/>
                <w:szCs w:val="21"/>
              </w:rPr>
            </w:pPr>
            <w:r>
              <w:rPr>
                <w:rFonts w:ascii="Times New Roman" w:hAnsi="Times New Roman" w:cs="Times New Roman"/>
                <w:kern w:val="0"/>
                <w:szCs w:val="21"/>
              </w:rPr>
              <w:t>/</w:t>
            </w:r>
          </w:p>
        </w:tc>
      </w:tr>
      <w:tr w14:paraId="42DB6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0C066426">
            <w:pPr>
              <w:widowControl/>
              <w:jc w:val="center"/>
              <w:rPr>
                <w:rFonts w:ascii="Times New Roman" w:hAnsi="Times New Roman" w:cs="Times New Roman"/>
                <w:kern w:val="0"/>
                <w:szCs w:val="21"/>
              </w:rPr>
            </w:pPr>
          </w:p>
        </w:tc>
        <w:tc>
          <w:tcPr>
            <w:tcW w:w="0" w:type="auto"/>
            <w:vMerge w:val="continue"/>
            <w:vAlign w:val="center"/>
          </w:tcPr>
          <w:p w14:paraId="6C3CB8AE">
            <w:pPr>
              <w:widowControl/>
              <w:jc w:val="center"/>
              <w:rPr>
                <w:rFonts w:ascii="Times New Roman" w:hAnsi="Times New Roman" w:cs="Times New Roman"/>
                <w:kern w:val="0"/>
                <w:szCs w:val="21"/>
              </w:rPr>
            </w:pPr>
          </w:p>
        </w:tc>
        <w:tc>
          <w:tcPr>
            <w:tcW w:w="0" w:type="auto"/>
            <w:vAlign w:val="center"/>
          </w:tcPr>
          <w:p w14:paraId="7085D1DC">
            <w:pPr>
              <w:widowControl/>
              <w:jc w:val="center"/>
              <w:rPr>
                <w:rFonts w:ascii="Times New Roman" w:hAnsi="Times New Roman" w:cs="Times New Roman"/>
                <w:kern w:val="0"/>
                <w:szCs w:val="21"/>
              </w:rPr>
            </w:pPr>
            <w:r>
              <w:rPr>
                <w:rFonts w:ascii="Times New Roman" w:hAnsi="Times New Roman" w:cs="Times New Roman"/>
                <w:color w:val="000000"/>
                <w:szCs w:val="21"/>
                <w:lang w:bidi="ar"/>
              </w:rPr>
              <w:t>NH</w:t>
            </w:r>
            <w:r>
              <w:rPr>
                <w:rFonts w:ascii="Times New Roman" w:hAnsi="Times New Roman" w:cs="Times New Roman"/>
                <w:color w:val="000000"/>
                <w:szCs w:val="21"/>
                <w:vertAlign w:val="subscript"/>
                <w:lang w:bidi="ar"/>
              </w:rPr>
              <w:t>3</w:t>
            </w:r>
            <w:r>
              <w:rPr>
                <w:rFonts w:ascii="Times New Roman" w:hAnsi="Times New Roman" w:cs="Times New Roman"/>
                <w:color w:val="000000"/>
                <w:szCs w:val="21"/>
                <w:lang w:bidi="ar"/>
              </w:rPr>
              <w:t>-N</w:t>
            </w:r>
          </w:p>
        </w:tc>
        <w:tc>
          <w:tcPr>
            <w:tcW w:w="0" w:type="auto"/>
            <w:vAlign w:val="center"/>
          </w:tcPr>
          <w:p w14:paraId="58D0DF6E">
            <w:pPr>
              <w:widowControl/>
              <w:jc w:val="center"/>
              <w:rPr>
                <w:rFonts w:ascii="Times New Roman" w:hAnsi="Times New Roman" w:cs="Times New Roman"/>
                <w:kern w:val="0"/>
                <w:szCs w:val="21"/>
              </w:rPr>
            </w:pPr>
            <w:r>
              <w:rPr>
                <w:rFonts w:ascii="Times New Roman" w:hAnsi="Times New Roman" w:cs="Times New Roman"/>
                <w:color w:val="000000"/>
                <w:kern w:val="0"/>
                <w:szCs w:val="21"/>
                <w:lang w:bidi="ar"/>
              </w:rPr>
              <w:t>40</w:t>
            </w:r>
          </w:p>
        </w:tc>
        <w:tc>
          <w:tcPr>
            <w:tcW w:w="0" w:type="auto"/>
            <w:vAlign w:val="center"/>
          </w:tcPr>
          <w:p w14:paraId="60185833">
            <w:pPr>
              <w:widowControl/>
              <w:jc w:val="center"/>
              <w:rPr>
                <w:rFonts w:ascii="Times New Roman" w:hAnsi="Times New Roman" w:cs="Times New Roman"/>
                <w:color w:val="000000"/>
                <w:kern w:val="0"/>
                <w:szCs w:val="21"/>
                <w:lang w:bidi="ar"/>
              </w:rPr>
            </w:pPr>
            <w:r>
              <w:rPr>
                <w:rFonts w:hint="eastAsia" w:ascii="Times New Roman" w:hAnsi="Times New Roman" w:cs="Times New Roman"/>
                <w:color w:val="000000"/>
                <w:kern w:val="0"/>
                <w:szCs w:val="21"/>
                <w:lang w:bidi="ar"/>
              </w:rPr>
              <w:t>0.04</w:t>
            </w:r>
            <w:r>
              <w:rPr>
                <w:rFonts w:ascii="Times New Roman" w:hAnsi="Times New Roman" w:cs="Times New Roman"/>
                <w:color w:val="000000"/>
                <w:kern w:val="0"/>
                <w:szCs w:val="21"/>
                <w:lang w:bidi="ar"/>
              </w:rPr>
              <w:t>4</w:t>
            </w:r>
          </w:p>
        </w:tc>
        <w:tc>
          <w:tcPr>
            <w:tcW w:w="0" w:type="auto"/>
            <w:vMerge w:val="continue"/>
            <w:vAlign w:val="center"/>
          </w:tcPr>
          <w:p w14:paraId="20FC832E">
            <w:pPr>
              <w:widowControl/>
              <w:jc w:val="center"/>
              <w:rPr>
                <w:rFonts w:ascii="Times New Roman" w:hAnsi="Times New Roman" w:cs="Times New Roman"/>
                <w:kern w:val="0"/>
                <w:szCs w:val="21"/>
              </w:rPr>
            </w:pPr>
          </w:p>
        </w:tc>
        <w:tc>
          <w:tcPr>
            <w:tcW w:w="0" w:type="auto"/>
            <w:vMerge w:val="continue"/>
            <w:vAlign w:val="center"/>
          </w:tcPr>
          <w:p w14:paraId="12414FB5">
            <w:pPr>
              <w:widowControl/>
              <w:jc w:val="center"/>
              <w:rPr>
                <w:rFonts w:ascii="Times New Roman" w:hAnsi="Times New Roman" w:cs="Times New Roman"/>
                <w:kern w:val="0"/>
                <w:szCs w:val="21"/>
              </w:rPr>
            </w:pPr>
          </w:p>
        </w:tc>
        <w:tc>
          <w:tcPr>
            <w:tcW w:w="0" w:type="auto"/>
            <w:vMerge w:val="continue"/>
            <w:vAlign w:val="center"/>
          </w:tcPr>
          <w:p w14:paraId="6E9B9DFB">
            <w:pPr>
              <w:widowControl/>
              <w:jc w:val="center"/>
              <w:rPr>
                <w:rFonts w:ascii="Times New Roman" w:hAnsi="Times New Roman" w:cs="Times New Roman"/>
                <w:kern w:val="0"/>
                <w:szCs w:val="21"/>
              </w:rPr>
            </w:pPr>
          </w:p>
        </w:tc>
        <w:tc>
          <w:tcPr>
            <w:tcW w:w="0" w:type="auto"/>
            <w:vAlign w:val="center"/>
          </w:tcPr>
          <w:p w14:paraId="63088E1B">
            <w:pPr>
              <w:widowControl/>
              <w:jc w:val="center"/>
              <w:rPr>
                <w:rFonts w:ascii="Times New Roman" w:hAnsi="Times New Roman" w:cs="Times New Roman"/>
                <w:kern w:val="0"/>
                <w:szCs w:val="21"/>
              </w:rPr>
            </w:pPr>
            <w:r>
              <w:rPr>
                <w:rFonts w:ascii="Times New Roman" w:hAnsi="Times New Roman" w:eastAsia="等线" w:cs="Times New Roman"/>
                <w:color w:val="000000"/>
                <w:szCs w:val="21"/>
              </w:rPr>
              <w:t>200</w:t>
            </w:r>
          </w:p>
        </w:tc>
        <w:tc>
          <w:tcPr>
            <w:tcW w:w="0" w:type="auto"/>
            <w:vAlign w:val="center"/>
          </w:tcPr>
          <w:p w14:paraId="5A409F9D">
            <w:pPr>
              <w:widowControl/>
              <w:jc w:val="center"/>
              <w:rPr>
                <w:rFonts w:ascii="Times New Roman" w:hAnsi="Times New Roman" w:eastAsia="等线" w:cs="Times New Roman"/>
                <w:color w:val="000000"/>
                <w:szCs w:val="21"/>
              </w:rPr>
            </w:pPr>
            <w:r>
              <w:rPr>
                <w:rFonts w:hint="eastAsia" w:ascii="Times New Roman" w:hAnsi="Times New Roman" w:eastAsia="等线" w:cs="Times New Roman"/>
                <w:color w:val="000000"/>
                <w:szCs w:val="21"/>
              </w:rPr>
              <w:t>0.2</w:t>
            </w:r>
            <w:r>
              <w:rPr>
                <w:rFonts w:ascii="Times New Roman" w:hAnsi="Times New Roman" w:eastAsia="等线" w:cs="Times New Roman"/>
                <w:color w:val="000000"/>
                <w:szCs w:val="21"/>
              </w:rPr>
              <w:t>2</w:t>
            </w:r>
          </w:p>
        </w:tc>
        <w:tc>
          <w:tcPr>
            <w:tcW w:w="0" w:type="auto"/>
            <w:vMerge w:val="continue"/>
            <w:vAlign w:val="center"/>
          </w:tcPr>
          <w:p w14:paraId="7C3822E6">
            <w:pPr>
              <w:jc w:val="center"/>
              <w:rPr>
                <w:rFonts w:ascii="Times New Roman" w:hAnsi="Times New Roman" w:cs="Times New Roman"/>
                <w:kern w:val="0"/>
                <w:szCs w:val="21"/>
              </w:rPr>
            </w:pPr>
          </w:p>
        </w:tc>
        <w:tc>
          <w:tcPr>
            <w:tcW w:w="0" w:type="auto"/>
          </w:tcPr>
          <w:p w14:paraId="109FBBBB">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5AF1B73E">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060FBC37">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24B432AB">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300895CD">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54679E7B">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2637B9B0">
            <w:pPr>
              <w:widowControl/>
              <w:jc w:val="center"/>
              <w:rPr>
                <w:rFonts w:ascii="Times New Roman" w:hAnsi="Times New Roman" w:cs="Times New Roman"/>
                <w:kern w:val="0"/>
                <w:szCs w:val="21"/>
              </w:rPr>
            </w:pPr>
            <w:r>
              <w:rPr>
                <w:rFonts w:ascii="Times New Roman" w:hAnsi="Times New Roman" w:cs="Times New Roman"/>
                <w:kern w:val="0"/>
                <w:szCs w:val="21"/>
              </w:rPr>
              <w:t>/</w:t>
            </w:r>
          </w:p>
        </w:tc>
      </w:tr>
      <w:tr w14:paraId="1AD6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0" w:type="auto"/>
            <w:vMerge w:val="restart"/>
            <w:vAlign w:val="center"/>
          </w:tcPr>
          <w:p w14:paraId="765B23CA">
            <w:pPr>
              <w:widowControl/>
              <w:jc w:val="center"/>
              <w:rPr>
                <w:rFonts w:ascii="Times New Roman" w:hAnsi="Times New Roman" w:cs="Times New Roman"/>
                <w:kern w:val="0"/>
                <w:szCs w:val="21"/>
              </w:rPr>
            </w:pPr>
            <w:r>
              <w:rPr>
                <w:rFonts w:ascii="Times New Roman" w:hAnsi="Times New Roman" w:cs="Times New Roman"/>
                <w:kern w:val="0"/>
                <w:szCs w:val="21"/>
              </w:rPr>
              <w:t>W</w:t>
            </w:r>
            <w:r>
              <w:rPr>
                <w:rFonts w:ascii="Times New Roman" w:hAnsi="Times New Roman" w:cs="Times New Roman"/>
                <w:kern w:val="0"/>
                <w:szCs w:val="21"/>
                <w:vertAlign w:val="subscript"/>
              </w:rPr>
              <w:t>冲洗废水</w:t>
            </w:r>
          </w:p>
        </w:tc>
        <w:tc>
          <w:tcPr>
            <w:tcW w:w="0" w:type="auto"/>
            <w:vMerge w:val="restart"/>
            <w:vAlign w:val="center"/>
          </w:tcPr>
          <w:p w14:paraId="2179026F">
            <w:pPr>
              <w:jc w:val="center"/>
              <w:rPr>
                <w:rFonts w:ascii="Times New Roman" w:hAnsi="Times New Roman" w:cs="Times New Roman"/>
                <w:kern w:val="0"/>
                <w:szCs w:val="21"/>
              </w:rPr>
            </w:pPr>
            <w:r>
              <w:rPr>
                <w:rFonts w:ascii="Times New Roman" w:hAnsi="Times New Roman" w:cs="Times New Roman"/>
                <w:kern w:val="0"/>
                <w:szCs w:val="21"/>
              </w:rPr>
              <w:t>0.67</w:t>
            </w:r>
          </w:p>
          <w:p w14:paraId="3A5F0E27">
            <w:pPr>
              <w:jc w:val="center"/>
              <w:rPr>
                <w:rFonts w:ascii="Times New Roman" w:hAnsi="Times New Roman" w:cs="Times New Roman"/>
                <w:kern w:val="0"/>
                <w:szCs w:val="21"/>
              </w:rPr>
            </w:pPr>
            <w:r>
              <w:rPr>
                <w:rFonts w:ascii="Times New Roman" w:hAnsi="Times New Roman" w:cs="Times New Roman"/>
                <w:kern w:val="0"/>
                <w:szCs w:val="21"/>
              </w:rPr>
              <w:t>（222）</w:t>
            </w:r>
          </w:p>
        </w:tc>
        <w:tc>
          <w:tcPr>
            <w:tcW w:w="0" w:type="auto"/>
            <w:vAlign w:val="center"/>
          </w:tcPr>
          <w:p w14:paraId="6BAEBFFD">
            <w:pPr>
              <w:widowControl/>
              <w:jc w:val="center"/>
              <w:rPr>
                <w:rFonts w:ascii="Times New Roman" w:hAnsi="Times New Roman" w:cs="Times New Roman"/>
                <w:kern w:val="0"/>
                <w:szCs w:val="21"/>
              </w:rPr>
            </w:pPr>
            <w:r>
              <w:rPr>
                <w:rFonts w:ascii="Times New Roman" w:hAnsi="Times New Roman" w:cs="Times New Roman"/>
                <w:kern w:val="0"/>
                <w:szCs w:val="21"/>
              </w:rPr>
              <w:t>pH</w:t>
            </w:r>
          </w:p>
        </w:tc>
        <w:tc>
          <w:tcPr>
            <w:tcW w:w="0" w:type="auto"/>
            <w:vAlign w:val="center"/>
          </w:tcPr>
          <w:p w14:paraId="2A08343D">
            <w:pPr>
              <w:widowControl/>
              <w:jc w:val="center"/>
              <w:rPr>
                <w:rFonts w:ascii="Times New Roman" w:hAnsi="Times New Roman" w:cs="Times New Roman"/>
                <w:kern w:val="0"/>
                <w:szCs w:val="21"/>
              </w:rPr>
            </w:pPr>
            <w:r>
              <w:rPr>
                <w:rFonts w:ascii="Times New Roman" w:hAnsi="Times New Roman" w:cs="Times New Roman"/>
                <w:kern w:val="0"/>
                <w:szCs w:val="21"/>
              </w:rPr>
              <w:t>6~9</w:t>
            </w:r>
          </w:p>
        </w:tc>
        <w:tc>
          <w:tcPr>
            <w:tcW w:w="0" w:type="auto"/>
            <w:vAlign w:val="center"/>
          </w:tcPr>
          <w:p w14:paraId="17C8CE39">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Merge w:val="restart"/>
            <w:vAlign w:val="center"/>
          </w:tcPr>
          <w:p w14:paraId="0D9C0DD1">
            <w:pPr>
              <w:jc w:val="center"/>
              <w:rPr>
                <w:rFonts w:ascii="Times New Roman" w:hAnsi="Times New Roman" w:cs="Times New Roman"/>
                <w:kern w:val="0"/>
                <w:szCs w:val="21"/>
              </w:rPr>
            </w:pPr>
            <w:r>
              <w:rPr>
                <w:rFonts w:hint="eastAsia" w:ascii="Times New Roman" w:hAnsi="Times New Roman" w:cs="Times New Roman"/>
                <w:kern w:val="0"/>
                <w:szCs w:val="21"/>
              </w:rPr>
              <w:t>生产废水池</w:t>
            </w:r>
          </w:p>
          <w:p w14:paraId="36CACBBD">
            <w:pPr>
              <w:jc w:val="center"/>
              <w:rPr>
                <w:rFonts w:ascii="Times New Roman" w:hAnsi="Times New Roman" w:cs="Times New Roman"/>
                <w:kern w:val="0"/>
                <w:szCs w:val="21"/>
              </w:rPr>
            </w:pPr>
          </w:p>
        </w:tc>
        <w:tc>
          <w:tcPr>
            <w:tcW w:w="1144" w:type="dxa"/>
            <w:vMerge w:val="restart"/>
            <w:vAlign w:val="center"/>
          </w:tcPr>
          <w:p w14:paraId="1CF6F013">
            <w:pPr>
              <w:widowControl/>
              <w:jc w:val="center"/>
              <w:rPr>
                <w:rFonts w:ascii="Times New Roman" w:hAnsi="Times New Roman" w:cs="Times New Roman"/>
                <w:kern w:val="0"/>
                <w:szCs w:val="21"/>
              </w:rPr>
            </w:pPr>
            <w:r>
              <w:rPr>
                <w:rFonts w:hint="eastAsia" w:ascii="Times New Roman" w:hAnsi="Times New Roman" w:cs="Times New Roman"/>
                <w:kern w:val="0"/>
                <w:szCs w:val="21"/>
              </w:rPr>
              <w:t>18</w:t>
            </w:r>
          </w:p>
        </w:tc>
        <w:tc>
          <w:tcPr>
            <w:tcW w:w="0" w:type="auto"/>
            <w:vMerge w:val="restart"/>
            <w:vAlign w:val="center"/>
          </w:tcPr>
          <w:p w14:paraId="4864B748">
            <w:pPr>
              <w:jc w:val="center"/>
              <w:rPr>
                <w:rFonts w:ascii="Times New Roman" w:hAnsi="Times New Roman" w:cs="Times New Roman"/>
                <w:kern w:val="0"/>
                <w:szCs w:val="21"/>
              </w:rPr>
            </w:pPr>
          </w:p>
        </w:tc>
        <w:tc>
          <w:tcPr>
            <w:tcW w:w="0" w:type="auto"/>
            <w:vAlign w:val="center"/>
          </w:tcPr>
          <w:p w14:paraId="5AD82FB4">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32AAF178">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Merge w:val="continue"/>
            <w:vAlign w:val="center"/>
          </w:tcPr>
          <w:p w14:paraId="62FE63B4">
            <w:pPr>
              <w:jc w:val="center"/>
              <w:rPr>
                <w:rFonts w:ascii="Times New Roman" w:hAnsi="Times New Roman" w:cs="Times New Roman"/>
                <w:kern w:val="0"/>
                <w:szCs w:val="21"/>
              </w:rPr>
            </w:pPr>
          </w:p>
        </w:tc>
        <w:tc>
          <w:tcPr>
            <w:tcW w:w="0" w:type="auto"/>
            <w:vAlign w:val="center"/>
          </w:tcPr>
          <w:p w14:paraId="5443EBCC">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4CB9D12B">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0F9A3338">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29ABA198">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38630B2D">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4AB097B6">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73B8FD34">
            <w:pPr>
              <w:widowControl/>
              <w:jc w:val="center"/>
              <w:rPr>
                <w:rFonts w:ascii="Times New Roman" w:hAnsi="Times New Roman" w:cs="Times New Roman"/>
                <w:kern w:val="0"/>
                <w:szCs w:val="21"/>
              </w:rPr>
            </w:pPr>
            <w:r>
              <w:rPr>
                <w:rFonts w:ascii="Times New Roman" w:hAnsi="Times New Roman" w:cs="Times New Roman"/>
                <w:kern w:val="0"/>
                <w:szCs w:val="21"/>
              </w:rPr>
              <w:t>/</w:t>
            </w:r>
          </w:p>
        </w:tc>
      </w:tr>
      <w:tr w14:paraId="4CCAD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3563E0F5">
            <w:pPr>
              <w:widowControl/>
              <w:jc w:val="center"/>
              <w:rPr>
                <w:rFonts w:ascii="Times New Roman" w:hAnsi="Times New Roman" w:cs="Times New Roman"/>
                <w:kern w:val="0"/>
                <w:szCs w:val="21"/>
              </w:rPr>
            </w:pPr>
          </w:p>
        </w:tc>
        <w:tc>
          <w:tcPr>
            <w:tcW w:w="0" w:type="auto"/>
            <w:vMerge w:val="continue"/>
            <w:vAlign w:val="center"/>
          </w:tcPr>
          <w:p w14:paraId="53B9F078">
            <w:pPr>
              <w:jc w:val="center"/>
              <w:rPr>
                <w:rFonts w:ascii="Times New Roman" w:hAnsi="Times New Roman" w:cs="Times New Roman"/>
                <w:kern w:val="0"/>
                <w:szCs w:val="21"/>
              </w:rPr>
            </w:pPr>
          </w:p>
        </w:tc>
        <w:tc>
          <w:tcPr>
            <w:tcW w:w="0" w:type="auto"/>
            <w:vAlign w:val="center"/>
          </w:tcPr>
          <w:p w14:paraId="1F4B00CA">
            <w:pPr>
              <w:widowControl/>
              <w:jc w:val="center"/>
              <w:rPr>
                <w:rFonts w:ascii="Times New Roman" w:hAnsi="Times New Roman" w:cs="Times New Roman"/>
                <w:kern w:val="0"/>
                <w:szCs w:val="21"/>
              </w:rPr>
            </w:pPr>
            <w:r>
              <w:rPr>
                <w:rFonts w:ascii="Times New Roman" w:hAnsi="Times New Roman" w:cs="Times New Roman"/>
                <w:kern w:val="0"/>
                <w:szCs w:val="21"/>
              </w:rPr>
              <w:t>COD</w:t>
            </w:r>
          </w:p>
        </w:tc>
        <w:tc>
          <w:tcPr>
            <w:tcW w:w="0" w:type="auto"/>
            <w:vAlign w:val="center"/>
          </w:tcPr>
          <w:p w14:paraId="1B6A0D04">
            <w:pPr>
              <w:widowControl/>
              <w:jc w:val="center"/>
              <w:rPr>
                <w:rFonts w:ascii="Times New Roman" w:hAnsi="Times New Roman" w:cs="Times New Roman"/>
                <w:kern w:val="0"/>
                <w:szCs w:val="21"/>
              </w:rPr>
            </w:pPr>
            <w:r>
              <w:rPr>
                <w:rFonts w:ascii="Times New Roman" w:hAnsi="Times New Roman" w:cs="Times New Roman"/>
                <w:kern w:val="0"/>
                <w:szCs w:val="21"/>
              </w:rPr>
              <w:t>300</w:t>
            </w:r>
          </w:p>
        </w:tc>
        <w:tc>
          <w:tcPr>
            <w:tcW w:w="0" w:type="auto"/>
            <w:vAlign w:val="center"/>
          </w:tcPr>
          <w:p w14:paraId="4E821ECE">
            <w:pPr>
              <w:widowControl/>
              <w:jc w:val="center"/>
              <w:rPr>
                <w:rFonts w:ascii="Times New Roman" w:hAnsi="Times New Roman" w:cs="Times New Roman"/>
                <w:kern w:val="0"/>
                <w:szCs w:val="21"/>
              </w:rPr>
            </w:pPr>
            <w:r>
              <w:rPr>
                <w:rFonts w:hint="eastAsia" w:ascii="Times New Roman" w:hAnsi="Times New Roman" w:cs="Times New Roman"/>
                <w:kern w:val="0"/>
                <w:szCs w:val="21"/>
              </w:rPr>
              <w:t>0.06</w:t>
            </w:r>
            <w:r>
              <w:rPr>
                <w:rFonts w:ascii="Times New Roman" w:hAnsi="Times New Roman" w:cs="Times New Roman"/>
                <w:kern w:val="0"/>
                <w:szCs w:val="21"/>
              </w:rPr>
              <w:t>7</w:t>
            </w:r>
          </w:p>
        </w:tc>
        <w:tc>
          <w:tcPr>
            <w:tcW w:w="0" w:type="auto"/>
            <w:vMerge w:val="continue"/>
            <w:vAlign w:val="center"/>
          </w:tcPr>
          <w:p w14:paraId="70E4A232">
            <w:pPr>
              <w:jc w:val="center"/>
              <w:rPr>
                <w:rFonts w:ascii="Times New Roman" w:hAnsi="Times New Roman" w:cs="Times New Roman"/>
                <w:kern w:val="0"/>
                <w:szCs w:val="21"/>
              </w:rPr>
            </w:pPr>
          </w:p>
        </w:tc>
        <w:tc>
          <w:tcPr>
            <w:tcW w:w="1144" w:type="dxa"/>
            <w:vMerge w:val="continue"/>
            <w:vAlign w:val="center"/>
          </w:tcPr>
          <w:p w14:paraId="0E2F3E72">
            <w:pPr>
              <w:jc w:val="center"/>
              <w:rPr>
                <w:rFonts w:ascii="Times New Roman" w:hAnsi="Times New Roman" w:cs="Times New Roman"/>
                <w:kern w:val="0"/>
                <w:szCs w:val="21"/>
              </w:rPr>
            </w:pPr>
          </w:p>
        </w:tc>
        <w:tc>
          <w:tcPr>
            <w:tcW w:w="0" w:type="auto"/>
            <w:vMerge w:val="continue"/>
            <w:vAlign w:val="center"/>
          </w:tcPr>
          <w:p w14:paraId="457B4CA4">
            <w:pPr>
              <w:widowControl/>
              <w:jc w:val="center"/>
              <w:rPr>
                <w:rFonts w:ascii="Times New Roman" w:hAnsi="Times New Roman" w:cs="Times New Roman"/>
                <w:kern w:val="0"/>
                <w:szCs w:val="21"/>
              </w:rPr>
            </w:pPr>
          </w:p>
        </w:tc>
        <w:tc>
          <w:tcPr>
            <w:tcW w:w="0" w:type="auto"/>
            <w:vAlign w:val="center"/>
          </w:tcPr>
          <w:p w14:paraId="26381662">
            <w:pPr>
              <w:widowControl/>
              <w:jc w:val="center"/>
              <w:rPr>
                <w:rFonts w:ascii="Times New Roman" w:hAnsi="Times New Roman" w:cs="Times New Roman"/>
                <w:kern w:val="0"/>
                <w:szCs w:val="21"/>
              </w:rPr>
            </w:pPr>
            <w:r>
              <w:rPr>
                <w:rFonts w:ascii="Times New Roman" w:hAnsi="Times New Roman" w:cs="Times New Roman"/>
                <w:kern w:val="0"/>
                <w:szCs w:val="21"/>
              </w:rPr>
              <w:t>300</w:t>
            </w:r>
          </w:p>
        </w:tc>
        <w:tc>
          <w:tcPr>
            <w:tcW w:w="0" w:type="auto"/>
            <w:vAlign w:val="center"/>
          </w:tcPr>
          <w:p w14:paraId="50BF692B">
            <w:pPr>
              <w:widowControl/>
              <w:jc w:val="center"/>
              <w:rPr>
                <w:rFonts w:ascii="Times New Roman" w:hAnsi="Times New Roman" w:cs="Times New Roman"/>
                <w:kern w:val="0"/>
                <w:szCs w:val="21"/>
              </w:rPr>
            </w:pPr>
            <w:r>
              <w:rPr>
                <w:rFonts w:hint="eastAsia" w:ascii="Times New Roman" w:hAnsi="Times New Roman" w:cs="Times New Roman"/>
                <w:kern w:val="0"/>
                <w:szCs w:val="21"/>
              </w:rPr>
              <w:t>0.06</w:t>
            </w:r>
            <w:r>
              <w:rPr>
                <w:rFonts w:ascii="Times New Roman" w:hAnsi="Times New Roman" w:cs="Times New Roman"/>
                <w:kern w:val="0"/>
                <w:szCs w:val="21"/>
              </w:rPr>
              <w:t>7</w:t>
            </w:r>
          </w:p>
        </w:tc>
        <w:tc>
          <w:tcPr>
            <w:tcW w:w="0" w:type="auto"/>
            <w:vMerge w:val="continue"/>
            <w:vAlign w:val="center"/>
          </w:tcPr>
          <w:p w14:paraId="5A327FF8">
            <w:pPr>
              <w:jc w:val="center"/>
              <w:rPr>
                <w:rFonts w:ascii="Times New Roman" w:hAnsi="Times New Roman" w:cs="Times New Roman"/>
                <w:kern w:val="0"/>
                <w:szCs w:val="21"/>
              </w:rPr>
            </w:pPr>
          </w:p>
        </w:tc>
        <w:tc>
          <w:tcPr>
            <w:tcW w:w="0" w:type="auto"/>
            <w:vAlign w:val="center"/>
          </w:tcPr>
          <w:p w14:paraId="5E6435C4">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456F96E4">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64FC77E0">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448FBE6A">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5988D3E1">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713543BD">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2374A42C">
            <w:pPr>
              <w:widowControl/>
              <w:jc w:val="center"/>
              <w:rPr>
                <w:rFonts w:ascii="Times New Roman" w:hAnsi="Times New Roman" w:cs="Times New Roman"/>
                <w:kern w:val="0"/>
                <w:szCs w:val="21"/>
              </w:rPr>
            </w:pPr>
            <w:r>
              <w:rPr>
                <w:rFonts w:ascii="Times New Roman" w:hAnsi="Times New Roman" w:cs="Times New Roman"/>
                <w:kern w:val="0"/>
                <w:szCs w:val="21"/>
              </w:rPr>
              <w:t>/</w:t>
            </w:r>
          </w:p>
        </w:tc>
      </w:tr>
      <w:tr w14:paraId="62AE9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1DD48493">
            <w:pPr>
              <w:widowControl/>
              <w:jc w:val="center"/>
              <w:rPr>
                <w:rFonts w:ascii="Times New Roman" w:hAnsi="Times New Roman" w:cs="Times New Roman"/>
                <w:kern w:val="0"/>
                <w:szCs w:val="21"/>
              </w:rPr>
            </w:pPr>
          </w:p>
        </w:tc>
        <w:tc>
          <w:tcPr>
            <w:tcW w:w="0" w:type="auto"/>
            <w:vMerge w:val="continue"/>
            <w:vAlign w:val="center"/>
          </w:tcPr>
          <w:p w14:paraId="7CEECF65">
            <w:pPr>
              <w:jc w:val="center"/>
              <w:rPr>
                <w:rFonts w:ascii="Times New Roman" w:hAnsi="Times New Roman" w:cs="Times New Roman"/>
                <w:kern w:val="0"/>
                <w:szCs w:val="21"/>
              </w:rPr>
            </w:pPr>
          </w:p>
        </w:tc>
        <w:tc>
          <w:tcPr>
            <w:tcW w:w="0" w:type="auto"/>
            <w:vAlign w:val="center"/>
          </w:tcPr>
          <w:p w14:paraId="70974748">
            <w:pPr>
              <w:widowControl/>
              <w:jc w:val="center"/>
              <w:rPr>
                <w:rFonts w:ascii="Times New Roman" w:hAnsi="Times New Roman" w:cs="Times New Roman"/>
                <w:kern w:val="0"/>
                <w:szCs w:val="21"/>
              </w:rPr>
            </w:pPr>
            <w:r>
              <w:rPr>
                <w:rFonts w:ascii="Times New Roman" w:hAnsi="Times New Roman" w:cs="Times New Roman"/>
                <w:kern w:val="0"/>
                <w:szCs w:val="21"/>
              </w:rPr>
              <w:t>SS</w:t>
            </w:r>
          </w:p>
        </w:tc>
        <w:tc>
          <w:tcPr>
            <w:tcW w:w="0" w:type="auto"/>
            <w:vAlign w:val="center"/>
          </w:tcPr>
          <w:p w14:paraId="76967D14">
            <w:pPr>
              <w:widowControl/>
              <w:jc w:val="center"/>
              <w:rPr>
                <w:rFonts w:ascii="Times New Roman" w:hAnsi="Times New Roman" w:cs="Times New Roman"/>
                <w:kern w:val="0"/>
                <w:szCs w:val="21"/>
              </w:rPr>
            </w:pPr>
            <w:r>
              <w:rPr>
                <w:rFonts w:ascii="Times New Roman" w:hAnsi="Times New Roman" w:cs="Times New Roman"/>
                <w:kern w:val="0"/>
                <w:szCs w:val="21"/>
              </w:rPr>
              <w:t>200</w:t>
            </w:r>
          </w:p>
        </w:tc>
        <w:tc>
          <w:tcPr>
            <w:tcW w:w="0" w:type="auto"/>
            <w:vAlign w:val="center"/>
          </w:tcPr>
          <w:p w14:paraId="06496613">
            <w:pPr>
              <w:widowControl/>
              <w:jc w:val="center"/>
              <w:rPr>
                <w:rFonts w:ascii="Times New Roman" w:hAnsi="Times New Roman" w:cs="Times New Roman"/>
                <w:kern w:val="0"/>
                <w:szCs w:val="21"/>
              </w:rPr>
            </w:pPr>
            <w:r>
              <w:rPr>
                <w:rFonts w:hint="eastAsia" w:ascii="Times New Roman" w:hAnsi="Times New Roman" w:cs="Times New Roman"/>
                <w:kern w:val="0"/>
                <w:szCs w:val="21"/>
              </w:rPr>
              <w:t>0.044</w:t>
            </w:r>
          </w:p>
        </w:tc>
        <w:tc>
          <w:tcPr>
            <w:tcW w:w="0" w:type="auto"/>
            <w:vMerge w:val="continue"/>
            <w:vAlign w:val="center"/>
          </w:tcPr>
          <w:p w14:paraId="48DD997B">
            <w:pPr>
              <w:jc w:val="center"/>
              <w:rPr>
                <w:rFonts w:ascii="Times New Roman" w:hAnsi="Times New Roman" w:cs="Times New Roman"/>
                <w:kern w:val="0"/>
                <w:szCs w:val="21"/>
              </w:rPr>
            </w:pPr>
          </w:p>
        </w:tc>
        <w:tc>
          <w:tcPr>
            <w:tcW w:w="1144" w:type="dxa"/>
            <w:vMerge w:val="continue"/>
            <w:vAlign w:val="center"/>
          </w:tcPr>
          <w:p w14:paraId="7855CE75">
            <w:pPr>
              <w:jc w:val="center"/>
              <w:rPr>
                <w:rFonts w:ascii="Times New Roman" w:hAnsi="Times New Roman" w:cs="Times New Roman"/>
                <w:kern w:val="0"/>
                <w:szCs w:val="21"/>
              </w:rPr>
            </w:pPr>
          </w:p>
        </w:tc>
        <w:tc>
          <w:tcPr>
            <w:tcW w:w="0" w:type="auto"/>
            <w:vMerge w:val="continue"/>
            <w:vAlign w:val="center"/>
          </w:tcPr>
          <w:p w14:paraId="0EDE6959">
            <w:pPr>
              <w:widowControl/>
              <w:jc w:val="center"/>
              <w:rPr>
                <w:rFonts w:ascii="Times New Roman" w:hAnsi="Times New Roman" w:cs="Times New Roman"/>
                <w:kern w:val="0"/>
                <w:szCs w:val="21"/>
              </w:rPr>
            </w:pPr>
          </w:p>
        </w:tc>
        <w:tc>
          <w:tcPr>
            <w:tcW w:w="0" w:type="auto"/>
            <w:vAlign w:val="center"/>
          </w:tcPr>
          <w:p w14:paraId="057C4524">
            <w:pPr>
              <w:widowControl/>
              <w:jc w:val="center"/>
              <w:rPr>
                <w:rFonts w:ascii="Times New Roman" w:hAnsi="Times New Roman" w:cs="Times New Roman"/>
                <w:kern w:val="0"/>
                <w:szCs w:val="21"/>
              </w:rPr>
            </w:pPr>
            <w:r>
              <w:rPr>
                <w:rFonts w:ascii="Times New Roman" w:hAnsi="Times New Roman" w:cs="Times New Roman"/>
                <w:kern w:val="0"/>
                <w:szCs w:val="21"/>
              </w:rPr>
              <w:t>200</w:t>
            </w:r>
          </w:p>
        </w:tc>
        <w:tc>
          <w:tcPr>
            <w:tcW w:w="0" w:type="auto"/>
            <w:vAlign w:val="center"/>
          </w:tcPr>
          <w:p w14:paraId="0B752656">
            <w:pPr>
              <w:widowControl/>
              <w:jc w:val="center"/>
              <w:rPr>
                <w:rFonts w:ascii="Times New Roman" w:hAnsi="Times New Roman" w:cs="Times New Roman"/>
                <w:kern w:val="0"/>
                <w:szCs w:val="21"/>
              </w:rPr>
            </w:pPr>
            <w:r>
              <w:rPr>
                <w:rFonts w:hint="eastAsia" w:ascii="Times New Roman" w:hAnsi="Times New Roman" w:cs="Times New Roman"/>
                <w:kern w:val="0"/>
                <w:szCs w:val="21"/>
              </w:rPr>
              <w:t>0.044</w:t>
            </w:r>
          </w:p>
        </w:tc>
        <w:tc>
          <w:tcPr>
            <w:tcW w:w="0" w:type="auto"/>
            <w:vMerge w:val="continue"/>
            <w:vAlign w:val="center"/>
          </w:tcPr>
          <w:p w14:paraId="284C63D2">
            <w:pPr>
              <w:jc w:val="center"/>
              <w:rPr>
                <w:rFonts w:ascii="Times New Roman" w:hAnsi="Times New Roman" w:cs="Times New Roman"/>
                <w:kern w:val="0"/>
                <w:szCs w:val="21"/>
              </w:rPr>
            </w:pPr>
          </w:p>
        </w:tc>
        <w:tc>
          <w:tcPr>
            <w:tcW w:w="0" w:type="auto"/>
            <w:vAlign w:val="center"/>
          </w:tcPr>
          <w:p w14:paraId="159E3A12">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722682A7">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4A6F30C3">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26AE787E">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0E513079">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5BBD5C5C">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0A8D1D6D">
            <w:pPr>
              <w:widowControl/>
              <w:jc w:val="center"/>
              <w:rPr>
                <w:rFonts w:ascii="Times New Roman" w:hAnsi="Times New Roman" w:cs="Times New Roman"/>
                <w:kern w:val="0"/>
                <w:szCs w:val="21"/>
              </w:rPr>
            </w:pPr>
            <w:r>
              <w:rPr>
                <w:rFonts w:ascii="Times New Roman" w:hAnsi="Times New Roman" w:cs="Times New Roman"/>
                <w:kern w:val="0"/>
                <w:szCs w:val="21"/>
              </w:rPr>
              <w:t>/</w:t>
            </w:r>
          </w:p>
        </w:tc>
      </w:tr>
      <w:tr w14:paraId="6B6A6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0" w:type="auto"/>
            <w:vMerge w:val="restart"/>
            <w:vAlign w:val="center"/>
          </w:tcPr>
          <w:p w14:paraId="5ED32CD0">
            <w:pPr>
              <w:widowControl/>
              <w:jc w:val="center"/>
              <w:rPr>
                <w:rFonts w:ascii="Times New Roman" w:hAnsi="Times New Roman" w:cs="Times New Roman"/>
                <w:kern w:val="0"/>
                <w:szCs w:val="21"/>
              </w:rPr>
            </w:pPr>
            <w:r>
              <w:rPr>
                <w:rFonts w:hint="eastAsia" w:ascii="Times New Roman" w:hAnsi="Times New Roman" w:cs="Times New Roman"/>
                <w:kern w:val="0"/>
                <w:szCs w:val="21"/>
              </w:rPr>
              <w:t>W1原料气过滤器产生的废水</w:t>
            </w:r>
          </w:p>
        </w:tc>
        <w:tc>
          <w:tcPr>
            <w:tcW w:w="0" w:type="auto"/>
            <w:vMerge w:val="restart"/>
            <w:vAlign w:val="center"/>
          </w:tcPr>
          <w:p w14:paraId="666B163B">
            <w:pPr>
              <w:jc w:val="center"/>
              <w:rPr>
                <w:rFonts w:ascii="Times New Roman" w:hAnsi="Times New Roman" w:cs="Times New Roman"/>
                <w:kern w:val="0"/>
                <w:szCs w:val="21"/>
              </w:rPr>
            </w:pPr>
            <w:r>
              <w:rPr>
                <w:rFonts w:hint="eastAsia" w:ascii="Times New Roman" w:hAnsi="Times New Roman" w:cs="Times New Roman"/>
                <w:kern w:val="0"/>
                <w:szCs w:val="21"/>
              </w:rPr>
              <w:t>0.7</w:t>
            </w:r>
          </w:p>
          <w:p w14:paraId="3540BA23">
            <w:pPr>
              <w:jc w:val="center"/>
              <w:rPr>
                <w:rFonts w:ascii="Times New Roman" w:hAnsi="Times New Roman" w:cs="Times New Roman"/>
                <w:kern w:val="0"/>
                <w:szCs w:val="21"/>
              </w:rPr>
            </w:pPr>
            <w:r>
              <w:rPr>
                <w:rFonts w:ascii="Times New Roman" w:hAnsi="Times New Roman" w:cs="Times New Roman"/>
                <w:kern w:val="0"/>
                <w:szCs w:val="21"/>
              </w:rPr>
              <w:t>（233.1）</w:t>
            </w:r>
          </w:p>
        </w:tc>
        <w:tc>
          <w:tcPr>
            <w:tcW w:w="0" w:type="auto"/>
            <w:vAlign w:val="center"/>
          </w:tcPr>
          <w:p w14:paraId="0F31AF5A">
            <w:pPr>
              <w:widowControl/>
              <w:jc w:val="center"/>
              <w:rPr>
                <w:rFonts w:ascii="Times New Roman" w:hAnsi="Times New Roman" w:cs="Times New Roman"/>
                <w:kern w:val="0"/>
                <w:szCs w:val="21"/>
              </w:rPr>
            </w:pPr>
            <w:r>
              <w:rPr>
                <w:rFonts w:ascii="Times New Roman" w:hAnsi="Times New Roman" w:cs="Times New Roman"/>
                <w:kern w:val="0"/>
                <w:szCs w:val="21"/>
              </w:rPr>
              <w:t>COD</w:t>
            </w:r>
          </w:p>
        </w:tc>
        <w:tc>
          <w:tcPr>
            <w:tcW w:w="0" w:type="auto"/>
            <w:vAlign w:val="center"/>
          </w:tcPr>
          <w:p w14:paraId="0020D2FC">
            <w:pPr>
              <w:widowControl/>
              <w:jc w:val="center"/>
              <w:rPr>
                <w:rFonts w:ascii="Times New Roman" w:hAnsi="Times New Roman" w:cs="Times New Roman"/>
                <w:kern w:val="0"/>
                <w:szCs w:val="21"/>
              </w:rPr>
            </w:pPr>
            <w:r>
              <w:rPr>
                <w:rFonts w:ascii="Times New Roman" w:hAnsi="Times New Roman" w:cs="Times New Roman"/>
                <w:kern w:val="0"/>
                <w:szCs w:val="21"/>
              </w:rPr>
              <w:t>500</w:t>
            </w:r>
          </w:p>
        </w:tc>
        <w:tc>
          <w:tcPr>
            <w:tcW w:w="0" w:type="auto"/>
            <w:vAlign w:val="center"/>
          </w:tcPr>
          <w:p w14:paraId="064AC55F">
            <w:pPr>
              <w:widowControl/>
              <w:jc w:val="center"/>
              <w:rPr>
                <w:rFonts w:ascii="Times New Roman" w:hAnsi="Times New Roman" w:cs="Times New Roman"/>
                <w:kern w:val="0"/>
                <w:szCs w:val="21"/>
              </w:rPr>
            </w:pPr>
            <w:r>
              <w:rPr>
                <w:rFonts w:hint="eastAsia" w:ascii="Times New Roman" w:hAnsi="Times New Roman" w:cs="Times New Roman"/>
                <w:kern w:val="0"/>
                <w:szCs w:val="21"/>
              </w:rPr>
              <w:t>0.1</w:t>
            </w:r>
            <w:r>
              <w:rPr>
                <w:rFonts w:ascii="Times New Roman" w:hAnsi="Times New Roman" w:cs="Times New Roman"/>
                <w:kern w:val="0"/>
                <w:szCs w:val="21"/>
              </w:rPr>
              <w:t>2</w:t>
            </w:r>
          </w:p>
        </w:tc>
        <w:tc>
          <w:tcPr>
            <w:tcW w:w="0" w:type="auto"/>
            <w:vMerge w:val="continue"/>
            <w:vAlign w:val="center"/>
          </w:tcPr>
          <w:p w14:paraId="7D828D59">
            <w:pPr>
              <w:jc w:val="center"/>
              <w:rPr>
                <w:rFonts w:ascii="Times New Roman" w:hAnsi="Times New Roman" w:cs="Times New Roman"/>
                <w:kern w:val="0"/>
                <w:szCs w:val="21"/>
              </w:rPr>
            </w:pPr>
          </w:p>
        </w:tc>
        <w:tc>
          <w:tcPr>
            <w:tcW w:w="1144" w:type="dxa"/>
            <w:vMerge w:val="continue"/>
            <w:vAlign w:val="center"/>
          </w:tcPr>
          <w:p w14:paraId="1475949E">
            <w:pPr>
              <w:jc w:val="center"/>
              <w:rPr>
                <w:rFonts w:ascii="Times New Roman" w:hAnsi="Times New Roman" w:cs="Times New Roman"/>
                <w:kern w:val="0"/>
                <w:szCs w:val="21"/>
              </w:rPr>
            </w:pPr>
          </w:p>
        </w:tc>
        <w:tc>
          <w:tcPr>
            <w:tcW w:w="0" w:type="auto"/>
            <w:vMerge w:val="restart"/>
            <w:vAlign w:val="center"/>
          </w:tcPr>
          <w:p w14:paraId="7DD339B3">
            <w:pPr>
              <w:jc w:val="center"/>
              <w:rPr>
                <w:rFonts w:ascii="Times New Roman" w:hAnsi="Times New Roman" w:cs="Times New Roman"/>
                <w:kern w:val="0"/>
                <w:szCs w:val="21"/>
              </w:rPr>
            </w:pPr>
            <w:r>
              <w:rPr>
                <w:rFonts w:ascii="Times New Roman" w:hAnsi="Times New Roman" w:cs="Times New Roman"/>
                <w:kern w:val="0"/>
                <w:szCs w:val="21"/>
              </w:rPr>
              <w:t>是</w:t>
            </w:r>
          </w:p>
        </w:tc>
        <w:tc>
          <w:tcPr>
            <w:tcW w:w="0" w:type="auto"/>
            <w:vAlign w:val="center"/>
          </w:tcPr>
          <w:p w14:paraId="2B599319">
            <w:pPr>
              <w:widowControl/>
              <w:jc w:val="center"/>
              <w:rPr>
                <w:rFonts w:ascii="Times New Roman" w:hAnsi="Times New Roman" w:cs="Times New Roman"/>
                <w:kern w:val="0"/>
                <w:szCs w:val="21"/>
              </w:rPr>
            </w:pPr>
            <w:r>
              <w:rPr>
                <w:rFonts w:ascii="Times New Roman" w:hAnsi="Times New Roman" w:cs="Times New Roman"/>
                <w:kern w:val="0"/>
                <w:szCs w:val="21"/>
              </w:rPr>
              <w:t>500</w:t>
            </w:r>
          </w:p>
        </w:tc>
        <w:tc>
          <w:tcPr>
            <w:tcW w:w="0" w:type="auto"/>
            <w:vAlign w:val="center"/>
          </w:tcPr>
          <w:p w14:paraId="266CDE5B">
            <w:pPr>
              <w:widowControl/>
              <w:jc w:val="center"/>
              <w:rPr>
                <w:rFonts w:ascii="Times New Roman" w:hAnsi="Times New Roman" w:cs="Times New Roman"/>
                <w:kern w:val="0"/>
                <w:szCs w:val="21"/>
              </w:rPr>
            </w:pPr>
            <w:r>
              <w:rPr>
                <w:rFonts w:hint="eastAsia" w:ascii="Times New Roman" w:hAnsi="Times New Roman" w:cs="Times New Roman"/>
                <w:kern w:val="0"/>
                <w:szCs w:val="21"/>
              </w:rPr>
              <w:t>0.1</w:t>
            </w:r>
            <w:r>
              <w:rPr>
                <w:rFonts w:ascii="Times New Roman" w:hAnsi="Times New Roman" w:cs="Times New Roman"/>
                <w:kern w:val="0"/>
                <w:szCs w:val="21"/>
              </w:rPr>
              <w:t>2</w:t>
            </w:r>
          </w:p>
        </w:tc>
        <w:tc>
          <w:tcPr>
            <w:tcW w:w="0" w:type="auto"/>
            <w:vMerge w:val="continue"/>
            <w:vAlign w:val="center"/>
          </w:tcPr>
          <w:p w14:paraId="399B0C58">
            <w:pPr>
              <w:jc w:val="center"/>
              <w:rPr>
                <w:rFonts w:ascii="Times New Roman" w:hAnsi="Times New Roman" w:cs="Times New Roman"/>
                <w:kern w:val="0"/>
                <w:szCs w:val="21"/>
              </w:rPr>
            </w:pPr>
          </w:p>
        </w:tc>
        <w:tc>
          <w:tcPr>
            <w:tcW w:w="0" w:type="auto"/>
            <w:vAlign w:val="center"/>
          </w:tcPr>
          <w:p w14:paraId="0C356A28">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7836405E">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54504D0F">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27A91C7B">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1DB660F8">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78B2CC1A">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7E4D029E">
            <w:pPr>
              <w:widowControl/>
              <w:jc w:val="center"/>
              <w:rPr>
                <w:rFonts w:ascii="Times New Roman" w:hAnsi="Times New Roman" w:cs="Times New Roman"/>
                <w:kern w:val="0"/>
                <w:szCs w:val="21"/>
              </w:rPr>
            </w:pPr>
            <w:r>
              <w:rPr>
                <w:rFonts w:ascii="Times New Roman" w:hAnsi="Times New Roman" w:cs="Times New Roman"/>
                <w:kern w:val="0"/>
                <w:szCs w:val="21"/>
              </w:rPr>
              <w:t>/</w:t>
            </w:r>
          </w:p>
        </w:tc>
      </w:tr>
      <w:tr w14:paraId="3750E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0" w:type="auto"/>
            <w:vMerge w:val="continue"/>
            <w:vAlign w:val="center"/>
          </w:tcPr>
          <w:p w14:paraId="6CEFC6DC">
            <w:pPr>
              <w:widowControl/>
              <w:jc w:val="center"/>
              <w:rPr>
                <w:rFonts w:ascii="Times New Roman" w:hAnsi="Times New Roman" w:cs="Times New Roman"/>
                <w:kern w:val="0"/>
                <w:szCs w:val="21"/>
              </w:rPr>
            </w:pPr>
          </w:p>
        </w:tc>
        <w:tc>
          <w:tcPr>
            <w:tcW w:w="0" w:type="auto"/>
            <w:vMerge w:val="continue"/>
            <w:vAlign w:val="center"/>
          </w:tcPr>
          <w:p w14:paraId="45ACE66D">
            <w:pPr>
              <w:jc w:val="center"/>
              <w:rPr>
                <w:rFonts w:ascii="Times New Roman" w:hAnsi="Times New Roman" w:cs="Times New Roman"/>
                <w:kern w:val="0"/>
                <w:szCs w:val="21"/>
              </w:rPr>
            </w:pPr>
          </w:p>
        </w:tc>
        <w:tc>
          <w:tcPr>
            <w:tcW w:w="0" w:type="auto"/>
            <w:vAlign w:val="center"/>
          </w:tcPr>
          <w:p w14:paraId="1510AADB">
            <w:pPr>
              <w:widowControl/>
              <w:jc w:val="center"/>
              <w:rPr>
                <w:rFonts w:ascii="Times New Roman" w:hAnsi="Times New Roman" w:cs="Times New Roman"/>
                <w:kern w:val="0"/>
                <w:szCs w:val="21"/>
              </w:rPr>
            </w:pPr>
            <w:r>
              <w:rPr>
                <w:rFonts w:ascii="Times New Roman" w:hAnsi="Times New Roman" w:cs="Times New Roman"/>
                <w:kern w:val="0"/>
                <w:szCs w:val="21"/>
              </w:rPr>
              <w:t>SS</w:t>
            </w:r>
          </w:p>
        </w:tc>
        <w:tc>
          <w:tcPr>
            <w:tcW w:w="0" w:type="auto"/>
            <w:vAlign w:val="center"/>
          </w:tcPr>
          <w:p w14:paraId="3B77636F">
            <w:pPr>
              <w:widowControl/>
              <w:jc w:val="center"/>
              <w:rPr>
                <w:rFonts w:ascii="Times New Roman" w:hAnsi="Times New Roman" w:cs="Times New Roman"/>
                <w:kern w:val="0"/>
                <w:szCs w:val="21"/>
              </w:rPr>
            </w:pPr>
            <w:r>
              <w:rPr>
                <w:rFonts w:hint="eastAsia" w:ascii="Times New Roman" w:hAnsi="Times New Roman" w:cs="Times New Roman"/>
                <w:kern w:val="0"/>
                <w:szCs w:val="21"/>
              </w:rPr>
              <w:t>3</w:t>
            </w:r>
            <w:r>
              <w:rPr>
                <w:rFonts w:ascii="Times New Roman" w:hAnsi="Times New Roman" w:cs="Times New Roman"/>
                <w:kern w:val="0"/>
                <w:szCs w:val="21"/>
              </w:rPr>
              <w:t>00</w:t>
            </w:r>
          </w:p>
        </w:tc>
        <w:tc>
          <w:tcPr>
            <w:tcW w:w="0" w:type="auto"/>
            <w:vAlign w:val="center"/>
          </w:tcPr>
          <w:p w14:paraId="6E2E64ED">
            <w:pPr>
              <w:widowControl/>
              <w:jc w:val="center"/>
              <w:rPr>
                <w:rFonts w:ascii="Times New Roman" w:hAnsi="Times New Roman" w:cs="Times New Roman"/>
                <w:kern w:val="0"/>
                <w:szCs w:val="21"/>
              </w:rPr>
            </w:pPr>
            <w:r>
              <w:rPr>
                <w:rFonts w:hint="eastAsia" w:ascii="Times New Roman" w:hAnsi="Times New Roman" w:cs="Times New Roman"/>
                <w:kern w:val="0"/>
                <w:szCs w:val="21"/>
              </w:rPr>
              <w:t>0.0</w:t>
            </w:r>
            <w:r>
              <w:rPr>
                <w:rFonts w:ascii="Times New Roman" w:hAnsi="Times New Roman" w:cs="Times New Roman"/>
                <w:kern w:val="0"/>
                <w:szCs w:val="21"/>
              </w:rPr>
              <w:t>70</w:t>
            </w:r>
          </w:p>
        </w:tc>
        <w:tc>
          <w:tcPr>
            <w:tcW w:w="0" w:type="auto"/>
            <w:vMerge w:val="continue"/>
            <w:vAlign w:val="center"/>
          </w:tcPr>
          <w:p w14:paraId="04E2BC81">
            <w:pPr>
              <w:jc w:val="center"/>
              <w:rPr>
                <w:rFonts w:ascii="Times New Roman" w:hAnsi="Times New Roman" w:cs="Times New Roman"/>
                <w:kern w:val="0"/>
                <w:szCs w:val="21"/>
              </w:rPr>
            </w:pPr>
          </w:p>
        </w:tc>
        <w:tc>
          <w:tcPr>
            <w:tcW w:w="1144" w:type="dxa"/>
            <w:vMerge w:val="continue"/>
            <w:vAlign w:val="center"/>
          </w:tcPr>
          <w:p w14:paraId="096663A1">
            <w:pPr>
              <w:jc w:val="center"/>
              <w:rPr>
                <w:rFonts w:ascii="Times New Roman" w:hAnsi="Times New Roman" w:cs="Times New Roman"/>
                <w:kern w:val="0"/>
                <w:szCs w:val="21"/>
              </w:rPr>
            </w:pPr>
          </w:p>
        </w:tc>
        <w:tc>
          <w:tcPr>
            <w:tcW w:w="0" w:type="auto"/>
            <w:vMerge w:val="continue"/>
            <w:vAlign w:val="center"/>
          </w:tcPr>
          <w:p w14:paraId="3808C4E5">
            <w:pPr>
              <w:jc w:val="center"/>
              <w:rPr>
                <w:rFonts w:ascii="Times New Roman" w:hAnsi="Times New Roman" w:cs="Times New Roman"/>
                <w:kern w:val="0"/>
                <w:szCs w:val="21"/>
              </w:rPr>
            </w:pPr>
          </w:p>
        </w:tc>
        <w:tc>
          <w:tcPr>
            <w:tcW w:w="0" w:type="auto"/>
            <w:vAlign w:val="center"/>
          </w:tcPr>
          <w:p w14:paraId="437661E1">
            <w:pPr>
              <w:widowControl/>
              <w:jc w:val="center"/>
              <w:rPr>
                <w:rFonts w:ascii="Times New Roman" w:hAnsi="Times New Roman" w:cs="Times New Roman"/>
                <w:kern w:val="0"/>
                <w:szCs w:val="21"/>
              </w:rPr>
            </w:pPr>
            <w:r>
              <w:rPr>
                <w:rFonts w:hint="eastAsia" w:ascii="Times New Roman" w:hAnsi="Times New Roman" w:cs="Times New Roman"/>
                <w:kern w:val="0"/>
                <w:szCs w:val="21"/>
              </w:rPr>
              <w:t>3</w:t>
            </w:r>
            <w:r>
              <w:rPr>
                <w:rFonts w:ascii="Times New Roman" w:hAnsi="Times New Roman" w:cs="Times New Roman"/>
                <w:kern w:val="0"/>
                <w:szCs w:val="21"/>
              </w:rPr>
              <w:t>00</w:t>
            </w:r>
          </w:p>
        </w:tc>
        <w:tc>
          <w:tcPr>
            <w:tcW w:w="0" w:type="auto"/>
            <w:vAlign w:val="center"/>
          </w:tcPr>
          <w:p w14:paraId="2F95C2AA">
            <w:pPr>
              <w:widowControl/>
              <w:jc w:val="center"/>
              <w:rPr>
                <w:rFonts w:ascii="Times New Roman" w:hAnsi="Times New Roman" w:cs="Times New Roman"/>
                <w:kern w:val="0"/>
                <w:szCs w:val="21"/>
              </w:rPr>
            </w:pPr>
            <w:r>
              <w:rPr>
                <w:rFonts w:hint="eastAsia" w:ascii="Times New Roman" w:hAnsi="Times New Roman" w:cs="Times New Roman"/>
                <w:kern w:val="0"/>
                <w:szCs w:val="21"/>
              </w:rPr>
              <w:t>0.0</w:t>
            </w:r>
            <w:r>
              <w:rPr>
                <w:rFonts w:ascii="Times New Roman" w:hAnsi="Times New Roman" w:cs="Times New Roman"/>
                <w:kern w:val="0"/>
                <w:szCs w:val="21"/>
              </w:rPr>
              <w:t>70</w:t>
            </w:r>
          </w:p>
        </w:tc>
        <w:tc>
          <w:tcPr>
            <w:tcW w:w="0" w:type="auto"/>
            <w:vMerge w:val="continue"/>
            <w:vAlign w:val="center"/>
          </w:tcPr>
          <w:p w14:paraId="1F59CA01">
            <w:pPr>
              <w:jc w:val="center"/>
              <w:rPr>
                <w:rFonts w:ascii="Times New Roman" w:hAnsi="Times New Roman" w:cs="Times New Roman"/>
                <w:kern w:val="0"/>
                <w:szCs w:val="21"/>
              </w:rPr>
            </w:pPr>
          </w:p>
        </w:tc>
        <w:tc>
          <w:tcPr>
            <w:tcW w:w="0" w:type="auto"/>
            <w:vAlign w:val="center"/>
          </w:tcPr>
          <w:p w14:paraId="52A73E76">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7514143F">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1E59BDDC">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73D555E5">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5A4D1C24">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5B3D64EC">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5D559563">
            <w:pPr>
              <w:widowControl/>
              <w:jc w:val="center"/>
              <w:rPr>
                <w:rFonts w:ascii="Times New Roman" w:hAnsi="Times New Roman" w:cs="Times New Roman"/>
                <w:kern w:val="0"/>
                <w:szCs w:val="21"/>
              </w:rPr>
            </w:pPr>
            <w:r>
              <w:rPr>
                <w:rFonts w:ascii="Times New Roman" w:hAnsi="Times New Roman" w:cs="Times New Roman"/>
                <w:kern w:val="0"/>
                <w:szCs w:val="21"/>
              </w:rPr>
              <w:t>/</w:t>
            </w:r>
          </w:p>
        </w:tc>
      </w:tr>
      <w:tr w14:paraId="2DCA1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0" w:type="auto"/>
            <w:vAlign w:val="center"/>
          </w:tcPr>
          <w:p w14:paraId="35BFD9F8">
            <w:pPr>
              <w:widowControl/>
              <w:jc w:val="center"/>
              <w:rPr>
                <w:rFonts w:ascii="Times New Roman" w:hAnsi="Times New Roman" w:cs="Times New Roman"/>
                <w:kern w:val="0"/>
                <w:szCs w:val="21"/>
              </w:rPr>
            </w:pPr>
            <w:r>
              <w:rPr>
                <w:rFonts w:hint="eastAsia" w:ascii="Times New Roman" w:hAnsi="Times New Roman" w:cs="Times New Roman"/>
                <w:kern w:val="0"/>
                <w:szCs w:val="21"/>
              </w:rPr>
              <w:t>W2胺闪蒸罐产生的废水</w:t>
            </w:r>
          </w:p>
        </w:tc>
        <w:tc>
          <w:tcPr>
            <w:tcW w:w="0" w:type="auto"/>
            <w:vAlign w:val="center"/>
          </w:tcPr>
          <w:p w14:paraId="1C19D809">
            <w:pPr>
              <w:jc w:val="center"/>
              <w:rPr>
                <w:rFonts w:ascii="Times New Roman" w:hAnsi="Times New Roman" w:cs="Times New Roman"/>
                <w:kern w:val="0"/>
                <w:szCs w:val="21"/>
              </w:rPr>
            </w:pPr>
            <w:r>
              <w:rPr>
                <w:rFonts w:ascii="Times New Roman" w:hAnsi="Times New Roman" w:cs="Times New Roman"/>
                <w:kern w:val="0"/>
                <w:szCs w:val="21"/>
              </w:rPr>
              <w:t>1.7</w:t>
            </w:r>
          </w:p>
          <w:p w14:paraId="26819C0D">
            <w:pPr>
              <w:jc w:val="center"/>
              <w:rPr>
                <w:rFonts w:ascii="Times New Roman" w:hAnsi="Times New Roman" w:cs="Times New Roman"/>
                <w:szCs w:val="21"/>
              </w:rPr>
            </w:pPr>
            <w:r>
              <w:rPr>
                <w:rFonts w:hint="eastAsia" w:ascii="Times New Roman" w:hAnsi="Times New Roman" w:cs="Times New Roman"/>
                <w:kern w:val="0"/>
                <w:szCs w:val="21"/>
              </w:rPr>
              <w:t>（</w:t>
            </w:r>
            <w:r>
              <w:rPr>
                <w:rFonts w:ascii="Times New Roman" w:hAnsi="Times New Roman" w:cs="Times New Roman"/>
                <w:kern w:val="0"/>
                <w:szCs w:val="21"/>
              </w:rPr>
              <w:t>566.1</w:t>
            </w:r>
            <w:r>
              <w:rPr>
                <w:rFonts w:hint="eastAsia" w:ascii="Times New Roman" w:hAnsi="Times New Roman" w:cs="Times New Roman"/>
                <w:kern w:val="0"/>
                <w:szCs w:val="21"/>
              </w:rPr>
              <w:t>）</w:t>
            </w:r>
          </w:p>
        </w:tc>
        <w:tc>
          <w:tcPr>
            <w:tcW w:w="0" w:type="auto"/>
            <w:vAlign w:val="center"/>
          </w:tcPr>
          <w:p w14:paraId="554C5CD6">
            <w:pPr>
              <w:widowControl/>
              <w:jc w:val="center"/>
              <w:rPr>
                <w:rFonts w:ascii="Times New Roman" w:hAnsi="Times New Roman" w:cs="Times New Roman"/>
                <w:kern w:val="0"/>
                <w:szCs w:val="21"/>
              </w:rPr>
            </w:pPr>
            <w:r>
              <w:rPr>
                <w:rFonts w:ascii="Times New Roman" w:hAnsi="Times New Roman" w:cs="Times New Roman"/>
                <w:kern w:val="0"/>
                <w:szCs w:val="21"/>
              </w:rPr>
              <w:t>COD</w:t>
            </w:r>
          </w:p>
        </w:tc>
        <w:tc>
          <w:tcPr>
            <w:tcW w:w="0" w:type="auto"/>
            <w:vAlign w:val="center"/>
          </w:tcPr>
          <w:p w14:paraId="6D926DD5">
            <w:pPr>
              <w:widowControl/>
              <w:jc w:val="center"/>
              <w:rPr>
                <w:rFonts w:ascii="Times New Roman" w:hAnsi="Times New Roman" w:cs="Times New Roman"/>
                <w:kern w:val="0"/>
                <w:szCs w:val="21"/>
              </w:rPr>
            </w:pPr>
            <w:r>
              <w:rPr>
                <w:rFonts w:hint="eastAsia" w:ascii="Times New Roman" w:hAnsi="Times New Roman" w:cs="Times New Roman"/>
                <w:kern w:val="0"/>
                <w:szCs w:val="21"/>
              </w:rPr>
              <w:t>8</w:t>
            </w:r>
            <w:r>
              <w:rPr>
                <w:rFonts w:ascii="Times New Roman" w:hAnsi="Times New Roman" w:cs="Times New Roman"/>
                <w:kern w:val="0"/>
                <w:szCs w:val="21"/>
              </w:rPr>
              <w:t>00</w:t>
            </w:r>
          </w:p>
        </w:tc>
        <w:tc>
          <w:tcPr>
            <w:tcW w:w="0" w:type="auto"/>
            <w:vAlign w:val="center"/>
          </w:tcPr>
          <w:p w14:paraId="258C7A65">
            <w:pPr>
              <w:widowControl/>
              <w:jc w:val="center"/>
              <w:rPr>
                <w:rFonts w:ascii="Times New Roman" w:hAnsi="Times New Roman" w:cs="Times New Roman"/>
                <w:kern w:val="0"/>
                <w:szCs w:val="21"/>
              </w:rPr>
            </w:pPr>
            <w:r>
              <w:rPr>
                <w:rFonts w:hint="eastAsia" w:ascii="Times New Roman" w:hAnsi="Times New Roman" w:cs="Times New Roman"/>
                <w:kern w:val="0"/>
                <w:szCs w:val="21"/>
              </w:rPr>
              <w:t>0.45</w:t>
            </w:r>
          </w:p>
        </w:tc>
        <w:tc>
          <w:tcPr>
            <w:tcW w:w="0" w:type="auto"/>
            <w:vMerge w:val="continue"/>
            <w:vAlign w:val="center"/>
          </w:tcPr>
          <w:p w14:paraId="19402B77">
            <w:pPr>
              <w:jc w:val="center"/>
              <w:rPr>
                <w:rFonts w:ascii="Times New Roman" w:hAnsi="Times New Roman" w:cs="Times New Roman"/>
                <w:kern w:val="0"/>
                <w:szCs w:val="21"/>
              </w:rPr>
            </w:pPr>
          </w:p>
        </w:tc>
        <w:tc>
          <w:tcPr>
            <w:tcW w:w="1144" w:type="dxa"/>
            <w:vMerge w:val="continue"/>
            <w:vAlign w:val="center"/>
          </w:tcPr>
          <w:p w14:paraId="4DD0459A">
            <w:pPr>
              <w:jc w:val="center"/>
              <w:rPr>
                <w:rFonts w:ascii="Times New Roman" w:hAnsi="Times New Roman" w:cs="Times New Roman"/>
                <w:kern w:val="0"/>
                <w:szCs w:val="21"/>
              </w:rPr>
            </w:pPr>
          </w:p>
        </w:tc>
        <w:tc>
          <w:tcPr>
            <w:tcW w:w="0" w:type="auto"/>
            <w:vAlign w:val="center"/>
          </w:tcPr>
          <w:p w14:paraId="4A0B08D3">
            <w:pPr>
              <w:jc w:val="center"/>
              <w:rPr>
                <w:rFonts w:ascii="Times New Roman" w:hAnsi="Times New Roman" w:cs="Times New Roman"/>
                <w:kern w:val="0"/>
                <w:szCs w:val="21"/>
              </w:rPr>
            </w:pPr>
            <w:r>
              <w:rPr>
                <w:rFonts w:ascii="Times New Roman" w:hAnsi="Times New Roman" w:cs="Times New Roman"/>
                <w:kern w:val="0"/>
                <w:szCs w:val="21"/>
              </w:rPr>
              <w:t>是</w:t>
            </w:r>
          </w:p>
        </w:tc>
        <w:tc>
          <w:tcPr>
            <w:tcW w:w="0" w:type="auto"/>
            <w:vAlign w:val="center"/>
          </w:tcPr>
          <w:p w14:paraId="245E655D">
            <w:pPr>
              <w:widowControl/>
              <w:jc w:val="center"/>
              <w:rPr>
                <w:rFonts w:ascii="Times New Roman" w:hAnsi="Times New Roman" w:cs="Times New Roman"/>
                <w:kern w:val="0"/>
                <w:szCs w:val="21"/>
              </w:rPr>
            </w:pPr>
            <w:r>
              <w:rPr>
                <w:rFonts w:ascii="Times New Roman" w:hAnsi="Times New Roman" w:cs="Times New Roman"/>
                <w:kern w:val="0"/>
                <w:szCs w:val="21"/>
              </w:rPr>
              <w:t>500</w:t>
            </w:r>
          </w:p>
        </w:tc>
        <w:tc>
          <w:tcPr>
            <w:tcW w:w="0" w:type="auto"/>
            <w:vAlign w:val="center"/>
          </w:tcPr>
          <w:p w14:paraId="54636B0A">
            <w:pPr>
              <w:widowControl/>
              <w:jc w:val="center"/>
              <w:rPr>
                <w:rFonts w:ascii="Times New Roman" w:hAnsi="Times New Roman" w:cs="Times New Roman"/>
                <w:kern w:val="0"/>
                <w:szCs w:val="21"/>
              </w:rPr>
            </w:pPr>
            <w:r>
              <w:rPr>
                <w:rFonts w:hint="eastAsia" w:ascii="Times New Roman" w:hAnsi="Times New Roman" w:cs="Times New Roman"/>
                <w:kern w:val="0"/>
                <w:szCs w:val="21"/>
              </w:rPr>
              <w:t>0.28</w:t>
            </w:r>
          </w:p>
        </w:tc>
        <w:tc>
          <w:tcPr>
            <w:tcW w:w="0" w:type="auto"/>
            <w:vAlign w:val="center"/>
          </w:tcPr>
          <w:p w14:paraId="050E38B3">
            <w:pPr>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0DA1EB3F">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17CA768D">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4D32CE92">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312B9E97">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716FE1BE">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6C341C86">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26372D1A">
            <w:pPr>
              <w:widowControl/>
              <w:jc w:val="center"/>
              <w:rPr>
                <w:rFonts w:ascii="Times New Roman" w:hAnsi="Times New Roman" w:cs="Times New Roman"/>
                <w:kern w:val="0"/>
                <w:szCs w:val="21"/>
              </w:rPr>
            </w:pPr>
            <w:r>
              <w:rPr>
                <w:rFonts w:ascii="Times New Roman" w:hAnsi="Times New Roman" w:cs="Times New Roman"/>
                <w:kern w:val="0"/>
                <w:szCs w:val="21"/>
              </w:rPr>
              <w:t>/</w:t>
            </w:r>
          </w:p>
        </w:tc>
      </w:tr>
      <w:tr w14:paraId="5C8A8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3C21050E">
            <w:pPr>
              <w:widowControl/>
              <w:jc w:val="center"/>
              <w:rPr>
                <w:rFonts w:ascii="Times New Roman" w:hAnsi="Times New Roman" w:cs="Times New Roman"/>
                <w:kern w:val="0"/>
                <w:szCs w:val="21"/>
              </w:rPr>
            </w:pPr>
            <w:r>
              <w:rPr>
                <w:rFonts w:ascii="Times New Roman" w:hAnsi="Times New Roman" w:cs="Times New Roman"/>
                <w:kern w:val="0"/>
                <w:szCs w:val="21"/>
              </w:rPr>
              <w:t>W</w:t>
            </w:r>
            <w:r>
              <w:rPr>
                <w:rFonts w:ascii="Times New Roman" w:hAnsi="Times New Roman" w:cs="Times New Roman"/>
                <w:kern w:val="0"/>
                <w:szCs w:val="21"/>
                <w:vertAlign w:val="subscript"/>
              </w:rPr>
              <w:t>生活污水</w:t>
            </w:r>
            <w:r>
              <w:rPr>
                <w:rFonts w:ascii="Times New Roman" w:hAnsi="Times New Roman" w:cs="Times New Roman"/>
                <w:kern w:val="0"/>
                <w:szCs w:val="21"/>
              </w:rPr>
              <w:t>W</w:t>
            </w:r>
            <w:r>
              <w:rPr>
                <w:rFonts w:ascii="Times New Roman" w:hAnsi="Times New Roman" w:cs="Times New Roman"/>
                <w:kern w:val="0"/>
                <w:szCs w:val="21"/>
                <w:vertAlign w:val="subscript"/>
              </w:rPr>
              <w:t>冲洗废水</w:t>
            </w:r>
            <w:r>
              <w:rPr>
                <w:rFonts w:ascii="Times New Roman" w:hAnsi="Times New Roman" w:cs="Times New Roman"/>
                <w:kern w:val="0"/>
                <w:szCs w:val="21"/>
              </w:rPr>
              <w:t>W</w:t>
            </w:r>
            <w:r>
              <w:rPr>
                <w:rFonts w:hint="eastAsia" w:ascii="Times New Roman" w:hAnsi="Times New Roman" w:cs="Times New Roman"/>
                <w:kern w:val="0"/>
                <w:szCs w:val="21"/>
                <w:vertAlign w:val="subscript"/>
              </w:rPr>
              <w:t>1</w:t>
            </w:r>
            <w:r>
              <w:rPr>
                <w:rFonts w:ascii="Times New Roman" w:hAnsi="Times New Roman" w:cs="Times New Roman"/>
                <w:kern w:val="0"/>
                <w:szCs w:val="21"/>
              </w:rPr>
              <w:t xml:space="preserve"> </w:t>
            </w:r>
          </w:p>
        </w:tc>
        <w:tc>
          <w:tcPr>
            <w:tcW w:w="0" w:type="auto"/>
            <w:vMerge w:val="restart"/>
            <w:vAlign w:val="center"/>
          </w:tcPr>
          <w:p w14:paraId="59CBC460">
            <w:pPr>
              <w:widowControl/>
              <w:jc w:val="center"/>
              <w:rPr>
                <w:rFonts w:ascii="Times New Roman" w:hAnsi="Times New Roman" w:cs="Times New Roman"/>
                <w:kern w:val="0"/>
                <w:szCs w:val="21"/>
              </w:rPr>
            </w:pPr>
            <w:r>
              <w:rPr>
                <w:rFonts w:hint="eastAsia" w:ascii="Times New Roman" w:hAnsi="Times New Roman" w:cs="Times New Roman"/>
                <w:kern w:val="0"/>
                <w:szCs w:val="21"/>
              </w:rPr>
              <w:t>6.355</w:t>
            </w:r>
            <w:r>
              <w:rPr>
                <w:rFonts w:ascii="Times New Roman" w:hAnsi="Times New Roman" w:cs="Times New Roman"/>
                <w:kern w:val="0"/>
                <w:szCs w:val="21"/>
              </w:rPr>
              <w:t>（</w:t>
            </w:r>
            <w:r>
              <w:rPr>
                <w:rFonts w:hint="eastAsia" w:ascii="Times New Roman" w:hAnsi="Times New Roman" w:cs="Times New Roman"/>
                <w:kern w:val="0"/>
                <w:szCs w:val="21"/>
              </w:rPr>
              <w:t>2116.215</w:t>
            </w:r>
            <w:r>
              <w:rPr>
                <w:rFonts w:ascii="Times New Roman" w:hAnsi="Times New Roman" w:cs="Times New Roman"/>
                <w:kern w:val="0"/>
                <w:szCs w:val="21"/>
              </w:rPr>
              <w:t>）</w:t>
            </w:r>
          </w:p>
        </w:tc>
        <w:tc>
          <w:tcPr>
            <w:tcW w:w="0" w:type="auto"/>
            <w:vAlign w:val="center"/>
          </w:tcPr>
          <w:p w14:paraId="79396BFE">
            <w:pPr>
              <w:widowControl/>
              <w:jc w:val="center"/>
              <w:rPr>
                <w:rFonts w:ascii="Times New Roman" w:hAnsi="Times New Roman" w:cs="Times New Roman"/>
                <w:kern w:val="0"/>
                <w:szCs w:val="21"/>
              </w:rPr>
            </w:pPr>
            <w:r>
              <w:rPr>
                <w:rFonts w:ascii="Times New Roman" w:hAnsi="Times New Roman" w:cs="Times New Roman"/>
                <w:kern w:val="0"/>
                <w:szCs w:val="21"/>
              </w:rPr>
              <w:t>pH</w:t>
            </w:r>
          </w:p>
        </w:tc>
        <w:tc>
          <w:tcPr>
            <w:tcW w:w="0" w:type="auto"/>
            <w:vAlign w:val="center"/>
          </w:tcPr>
          <w:p w14:paraId="2AF0D64D">
            <w:pPr>
              <w:widowControl/>
              <w:jc w:val="center"/>
              <w:rPr>
                <w:rFonts w:ascii="Times New Roman" w:hAnsi="Times New Roman" w:cs="Times New Roman"/>
                <w:kern w:val="0"/>
                <w:szCs w:val="21"/>
              </w:rPr>
            </w:pPr>
            <w:r>
              <w:rPr>
                <w:rFonts w:ascii="Times New Roman" w:hAnsi="Times New Roman" w:cs="Times New Roman"/>
                <w:kern w:val="0"/>
                <w:szCs w:val="21"/>
              </w:rPr>
              <w:t>6~9</w:t>
            </w:r>
          </w:p>
        </w:tc>
        <w:tc>
          <w:tcPr>
            <w:tcW w:w="0" w:type="auto"/>
            <w:vAlign w:val="center"/>
          </w:tcPr>
          <w:p w14:paraId="745A1885">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Merge w:val="restart"/>
            <w:vAlign w:val="center"/>
          </w:tcPr>
          <w:p w14:paraId="3F6B8A45">
            <w:pPr>
              <w:widowControl/>
              <w:jc w:val="center"/>
              <w:rPr>
                <w:rFonts w:ascii="Times New Roman" w:hAnsi="Times New Roman" w:cs="Times New Roman"/>
                <w:kern w:val="0"/>
                <w:szCs w:val="21"/>
              </w:rPr>
            </w:pPr>
            <w:r>
              <w:rPr>
                <w:rFonts w:hint="eastAsia" w:ascii="Times New Roman" w:hAnsi="Times New Roman" w:cs="Times New Roman"/>
                <w:szCs w:val="21"/>
              </w:rPr>
              <w:t>/</w:t>
            </w:r>
          </w:p>
        </w:tc>
        <w:tc>
          <w:tcPr>
            <w:tcW w:w="0" w:type="auto"/>
            <w:vMerge w:val="restart"/>
            <w:vAlign w:val="center"/>
          </w:tcPr>
          <w:p w14:paraId="1BA45EE6">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Merge w:val="restart"/>
            <w:vAlign w:val="center"/>
          </w:tcPr>
          <w:p w14:paraId="0BD94B44">
            <w:pPr>
              <w:widowControl/>
              <w:jc w:val="center"/>
              <w:rPr>
                <w:rFonts w:ascii="Times New Roman" w:hAnsi="Times New Roman" w:cs="Times New Roman"/>
                <w:kern w:val="0"/>
                <w:szCs w:val="21"/>
              </w:rPr>
            </w:pPr>
            <w:r>
              <w:rPr>
                <w:rFonts w:ascii="Times New Roman" w:hAnsi="Times New Roman" w:cs="Times New Roman"/>
                <w:kern w:val="0"/>
                <w:szCs w:val="21"/>
              </w:rPr>
              <w:t>是</w:t>
            </w:r>
          </w:p>
        </w:tc>
        <w:tc>
          <w:tcPr>
            <w:tcW w:w="0" w:type="auto"/>
            <w:vAlign w:val="center"/>
          </w:tcPr>
          <w:p w14:paraId="2A291B8A">
            <w:pPr>
              <w:widowControl/>
              <w:jc w:val="center"/>
              <w:rPr>
                <w:rFonts w:ascii="Times New Roman" w:hAnsi="Times New Roman" w:cs="Times New Roman"/>
                <w:kern w:val="0"/>
                <w:szCs w:val="21"/>
              </w:rPr>
            </w:pPr>
            <w:r>
              <w:rPr>
                <w:rFonts w:ascii="Times New Roman" w:hAnsi="Times New Roman" w:cs="Times New Roman"/>
                <w:kern w:val="0"/>
                <w:szCs w:val="21"/>
              </w:rPr>
              <w:t>6~9</w:t>
            </w:r>
          </w:p>
        </w:tc>
        <w:tc>
          <w:tcPr>
            <w:tcW w:w="0" w:type="auto"/>
            <w:vAlign w:val="center"/>
          </w:tcPr>
          <w:p w14:paraId="06123A94">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Merge w:val="restart"/>
            <w:vAlign w:val="center"/>
          </w:tcPr>
          <w:p w14:paraId="045DF126">
            <w:pPr>
              <w:widowControl/>
              <w:jc w:val="center"/>
              <w:rPr>
                <w:rFonts w:ascii="Times New Roman" w:hAnsi="Times New Roman" w:cs="Times New Roman"/>
                <w:kern w:val="0"/>
                <w:szCs w:val="21"/>
              </w:rPr>
            </w:pPr>
            <w:r>
              <w:rPr>
                <w:rFonts w:ascii="Times New Roman" w:hAnsi="Times New Roman" w:cs="Times New Roman"/>
                <w:kern w:val="0"/>
                <w:szCs w:val="21"/>
              </w:rPr>
              <w:t>园区污水处理厂</w:t>
            </w:r>
          </w:p>
        </w:tc>
        <w:tc>
          <w:tcPr>
            <w:tcW w:w="0" w:type="auto"/>
            <w:vAlign w:val="center"/>
          </w:tcPr>
          <w:p w14:paraId="22F8E6D2">
            <w:pPr>
              <w:widowControl/>
              <w:jc w:val="center"/>
              <w:rPr>
                <w:rFonts w:ascii="Times New Roman" w:hAnsi="Times New Roman" w:cs="Times New Roman"/>
                <w:kern w:val="0"/>
                <w:szCs w:val="21"/>
              </w:rPr>
            </w:pPr>
            <w:r>
              <w:rPr>
                <w:rFonts w:ascii="Times New Roman" w:hAnsi="Times New Roman" w:cs="Times New Roman"/>
                <w:kern w:val="0"/>
                <w:szCs w:val="21"/>
              </w:rPr>
              <w:t>6~9</w:t>
            </w:r>
          </w:p>
        </w:tc>
        <w:tc>
          <w:tcPr>
            <w:tcW w:w="0" w:type="auto"/>
            <w:vAlign w:val="center"/>
          </w:tcPr>
          <w:p w14:paraId="41BBB99D">
            <w:pPr>
              <w:widowControl/>
              <w:jc w:val="center"/>
              <w:rPr>
                <w:rFonts w:ascii="Times New Roman" w:hAnsi="Times New Roman" w:cs="Times New Roman"/>
                <w:kern w:val="0"/>
                <w:szCs w:val="21"/>
              </w:rPr>
            </w:pPr>
            <w:r>
              <w:rPr>
                <w:rFonts w:ascii="Times New Roman" w:hAnsi="Times New Roman" w:cs="Times New Roman"/>
                <w:kern w:val="0"/>
                <w:szCs w:val="21"/>
              </w:rPr>
              <w:t>达标</w:t>
            </w:r>
          </w:p>
        </w:tc>
        <w:tc>
          <w:tcPr>
            <w:tcW w:w="0" w:type="auto"/>
            <w:vMerge w:val="restart"/>
            <w:vAlign w:val="center"/>
          </w:tcPr>
          <w:p w14:paraId="59CCA622">
            <w:pPr>
              <w:widowControl/>
              <w:jc w:val="center"/>
              <w:rPr>
                <w:rFonts w:ascii="Times New Roman" w:hAnsi="Times New Roman" w:cs="Times New Roman"/>
                <w:kern w:val="0"/>
                <w:szCs w:val="21"/>
              </w:rPr>
            </w:pPr>
            <w:r>
              <w:rPr>
                <w:rFonts w:ascii="Times New Roman" w:hAnsi="Times New Roman" w:cs="Times New Roman"/>
                <w:kern w:val="0"/>
                <w:szCs w:val="21"/>
              </w:rPr>
              <w:t>间接排放</w:t>
            </w:r>
          </w:p>
        </w:tc>
        <w:tc>
          <w:tcPr>
            <w:tcW w:w="0" w:type="auto"/>
            <w:vMerge w:val="restart"/>
            <w:vAlign w:val="center"/>
          </w:tcPr>
          <w:p w14:paraId="1B0E47FC">
            <w:pPr>
              <w:widowControl/>
              <w:jc w:val="center"/>
              <w:rPr>
                <w:rFonts w:ascii="Times New Roman" w:hAnsi="Times New Roman" w:cs="Times New Roman"/>
                <w:kern w:val="0"/>
                <w:szCs w:val="21"/>
              </w:rPr>
            </w:pPr>
            <w:r>
              <w:rPr>
                <w:rFonts w:ascii="Times New Roman" w:hAnsi="Times New Roman" w:cs="Times New Roman"/>
                <w:kern w:val="0"/>
                <w:szCs w:val="21"/>
              </w:rPr>
              <w:t>间断排放，排放期间流量不稳定，但有周期性规律</w:t>
            </w:r>
          </w:p>
        </w:tc>
        <w:tc>
          <w:tcPr>
            <w:tcW w:w="0" w:type="auto"/>
            <w:vMerge w:val="restart"/>
            <w:vAlign w:val="center"/>
          </w:tcPr>
          <w:p w14:paraId="0DEC5C07">
            <w:pPr>
              <w:widowControl/>
              <w:jc w:val="center"/>
              <w:rPr>
                <w:rFonts w:ascii="Times New Roman" w:hAnsi="Times New Roman" w:cs="Times New Roman"/>
                <w:kern w:val="0"/>
                <w:szCs w:val="21"/>
              </w:rPr>
            </w:pPr>
            <w:r>
              <w:rPr>
                <w:rFonts w:hint="eastAsia" w:ascii="Times New Roman" w:hAnsi="Times New Roman" w:cs="Times New Roman"/>
                <w:kern w:val="0"/>
                <w:szCs w:val="21"/>
              </w:rPr>
              <w:t>涪陵L</w:t>
            </w:r>
            <w:r>
              <w:rPr>
                <w:rFonts w:ascii="Times New Roman" w:hAnsi="Times New Roman" w:cs="Times New Roman"/>
                <w:kern w:val="0"/>
                <w:szCs w:val="21"/>
              </w:rPr>
              <w:t>NG</w:t>
            </w:r>
            <w:r>
              <w:rPr>
                <w:rFonts w:hint="eastAsia" w:ascii="Times New Roman" w:hAnsi="Times New Roman" w:cs="Times New Roman"/>
                <w:kern w:val="0"/>
                <w:szCs w:val="21"/>
              </w:rPr>
              <w:t>工厂</w:t>
            </w:r>
            <w:r>
              <w:rPr>
                <w:rFonts w:ascii="Times New Roman" w:hAnsi="Times New Roman" w:cs="Times New Roman"/>
                <w:kern w:val="0"/>
                <w:szCs w:val="21"/>
              </w:rPr>
              <w:t>总排口DW001</w:t>
            </w:r>
          </w:p>
        </w:tc>
        <w:tc>
          <w:tcPr>
            <w:tcW w:w="0" w:type="auto"/>
            <w:vMerge w:val="restart"/>
            <w:vAlign w:val="center"/>
          </w:tcPr>
          <w:p w14:paraId="3F9324FA">
            <w:pPr>
              <w:widowControl/>
              <w:jc w:val="center"/>
              <w:rPr>
                <w:rFonts w:ascii="Times New Roman" w:hAnsi="Times New Roman" w:cs="Times New Roman"/>
                <w:kern w:val="0"/>
                <w:szCs w:val="21"/>
              </w:rPr>
            </w:pPr>
            <w:r>
              <w:rPr>
                <w:rFonts w:ascii="Times New Roman" w:hAnsi="Times New Roman" w:cs="Times New Roman"/>
                <w:color w:val="000000"/>
              </w:rPr>
              <w:t>废水排放口</w:t>
            </w:r>
          </w:p>
        </w:tc>
        <w:tc>
          <w:tcPr>
            <w:tcW w:w="0" w:type="auto"/>
            <w:vMerge w:val="restart"/>
            <w:vAlign w:val="center"/>
          </w:tcPr>
          <w:p w14:paraId="0AFE59A6">
            <w:pPr>
              <w:widowControl/>
              <w:jc w:val="center"/>
              <w:rPr>
                <w:rFonts w:ascii="Times New Roman" w:hAnsi="Times New Roman" w:cs="Times New Roman"/>
                <w:kern w:val="0"/>
                <w:szCs w:val="21"/>
              </w:rPr>
            </w:pPr>
            <w:r>
              <w:rPr>
                <w:rFonts w:ascii="Times New Roman" w:hAnsi="Times New Roman" w:cs="Times New Roman"/>
                <w:kern w:val="0"/>
                <w:szCs w:val="21"/>
              </w:rPr>
              <w:t>经度</w:t>
            </w:r>
            <w:r>
              <w:rPr>
                <w:rFonts w:ascii="Times New Roman" w:hAnsi="Times New Roman" w:cs="Times New Roman"/>
                <w:color w:val="000000"/>
              </w:rPr>
              <w:t>107.541715</w:t>
            </w:r>
            <w:r>
              <w:rPr>
                <w:rFonts w:ascii="Times New Roman" w:hAnsi="Times New Roman" w:cs="Times New Roman"/>
                <w:kern w:val="0"/>
                <w:szCs w:val="21"/>
              </w:rPr>
              <w:t xml:space="preserve"> </w:t>
            </w:r>
          </w:p>
          <w:p w14:paraId="5AC1EC13">
            <w:pPr>
              <w:widowControl/>
              <w:jc w:val="center"/>
              <w:rPr>
                <w:rFonts w:ascii="Times New Roman" w:hAnsi="Times New Roman" w:cs="Times New Roman"/>
                <w:kern w:val="0"/>
                <w:szCs w:val="21"/>
              </w:rPr>
            </w:pPr>
            <w:r>
              <w:rPr>
                <w:rFonts w:ascii="Times New Roman" w:hAnsi="Times New Roman" w:cs="Times New Roman"/>
                <w:kern w:val="0"/>
                <w:szCs w:val="21"/>
              </w:rPr>
              <w:t>纬度</w:t>
            </w:r>
            <w:r>
              <w:rPr>
                <w:rFonts w:ascii="Times New Roman" w:hAnsi="Times New Roman" w:cs="Times New Roman"/>
                <w:color w:val="000000"/>
              </w:rPr>
              <w:t>29.593243</w:t>
            </w:r>
          </w:p>
        </w:tc>
      </w:tr>
      <w:tr w14:paraId="42F86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4A422D18">
            <w:pPr>
              <w:widowControl/>
              <w:jc w:val="center"/>
              <w:rPr>
                <w:rFonts w:ascii="Times New Roman" w:hAnsi="Times New Roman" w:cs="Times New Roman"/>
                <w:kern w:val="0"/>
                <w:szCs w:val="21"/>
              </w:rPr>
            </w:pPr>
          </w:p>
        </w:tc>
        <w:tc>
          <w:tcPr>
            <w:tcW w:w="0" w:type="auto"/>
            <w:vMerge w:val="continue"/>
            <w:vAlign w:val="center"/>
          </w:tcPr>
          <w:p w14:paraId="67C8D06D">
            <w:pPr>
              <w:widowControl/>
              <w:jc w:val="center"/>
              <w:rPr>
                <w:rFonts w:ascii="Times New Roman" w:hAnsi="Times New Roman" w:cs="Times New Roman"/>
                <w:kern w:val="0"/>
                <w:szCs w:val="21"/>
              </w:rPr>
            </w:pPr>
          </w:p>
        </w:tc>
        <w:tc>
          <w:tcPr>
            <w:tcW w:w="0" w:type="auto"/>
            <w:vAlign w:val="center"/>
          </w:tcPr>
          <w:p w14:paraId="1DF0D638">
            <w:pPr>
              <w:widowControl/>
              <w:jc w:val="center"/>
              <w:rPr>
                <w:rFonts w:ascii="Times New Roman" w:hAnsi="Times New Roman" w:cs="Times New Roman"/>
                <w:kern w:val="0"/>
                <w:szCs w:val="21"/>
              </w:rPr>
            </w:pPr>
            <w:r>
              <w:rPr>
                <w:rFonts w:ascii="Times New Roman" w:hAnsi="Times New Roman" w:cs="Times New Roman"/>
                <w:kern w:val="0"/>
                <w:szCs w:val="21"/>
              </w:rPr>
              <w:t>COD</w:t>
            </w:r>
          </w:p>
        </w:tc>
        <w:tc>
          <w:tcPr>
            <w:tcW w:w="0" w:type="auto"/>
            <w:vAlign w:val="center"/>
          </w:tcPr>
          <w:p w14:paraId="3B56D60B">
            <w:pPr>
              <w:widowControl/>
              <w:jc w:val="center"/>
              <w:rPr>
                <w:rFonts w:ascii="Times New Roman" w:hAnsi="Times New Roman" w:cs="Times New Roman"/>
                <w:kern w:val="0"/>
                <w:szCs w:val="21"/>
              </w:rPr>
            </w:pPr>
            <w:r>
              <w:rPr>
                <w:rFonts w:ascii="Times New Roman" w:hAnsi="Times New Roman" w:cs="Times New Roman"/>
                <w:kern w:val="0"/>
                <w:szCs w:val="21"/>
              </w:rPr>
              <w:t>500</w:t>
            </w:r>
          </w:p>
        </w:tc>
        <w:tc>
          <w:tcPr>
            <w:tcW w:w="759" w:type="dxa"/>
            <w:vAlign w:val="center"/>
          </w:tcPr>
          <w:p w14:paraId="0D5E4A94">
            <w:pPr>
              <w:widowControl/>
              <w:jc w:val="center"/>
              <w:rPr>
                <w:rFonts w:ascii="Times New Roman" w:hAnsi="Times New Roman" w:cs="Times New Roman"/>
                <w:kern w:val="0"/>
                <w:szCs w:val="21"/>
              </w:rPr>
            </w:pPr>
            <w:r>
              <w:rPr>
                <w:rFonts w:hint="eastAsia" w:ascii="Times New Roman" w:hAnsi="Times New Roman" w:cs="Times New Roman"/>
                <w:kern w:val="0"/>
                <w:szCs w:val="21"/>
              </w:rPr>
              <w:t>1.06</w:t>
            </w:r>
          </w:p>
        </w:tc>
        <w:tc>
          <w:tcPr>
            <w:tcW w:w="0" w:type="auto"/>
            <w:vMerge w:val="continue"/>
            <w:vAlign w:val="center"/>
          </w:tcPr>
          <w:p w14:paraId="755FB66D">
            <w:pPr>
              <w:widowControl/>
              <w:jc w:val="center"/>
              <w:rPr>
                <w:rFonts w:ascii="Times New Roman" w:hAnsi="Times New Roman" w:cs="Times New Roman"/>
                <w:kern w:val="0"/>
                <w:szCs w:val="21"/>
              </w:rPr>
            </w:pPr>
          </w:p>
        </w:tc>
        <w:tc>
          <w:tcPr>
            <w:tcW w:w="0" w:type="auto"/>
            <w:vMerge w:val="continue"/>
            <w:vAlign w:val="center"/>
          </w:tcPr>
          <w:p w14:paraId="73E6694F">
            <w:pPr>
              <w:widowControl/>
              <w:jc w:val="center"/>
              <w:rPr>
                <w:rFonts w:ascii="Times New Roman" w:hAnsi="Times New Roman" w:cs="Times New Roman"/>
                <w:kern w:val="0"/>
                <w:szCs w:val="21"/>
              </w:rPr>
            </w:pPr>
          </w:p>
        </w:tc>
        <w:tc>
          <w:tcPr>
            <w:tcW w:w="0" w:type="auto"/>
            <w:vMerge w:val="continue"/>
            <w:vAlign w:val="center"/>
          </w:tcPr>
          <w:p w14:paraId="6962E353">
            <w:pPr>
              <w:widowControl/>
              <w:jc w:val="center"/>
              <w:rPr>
                <w:rFonts w:ascii="Times New Roman" w:hAnsi="Times New Roman" w:cs="Times New Roman"/>
                <w:kern w:val="0"/>
                <w:szCs w:val="21"/>
              </w:rPr>
            </w:pPr>
          </w:p>
        </w:tc>
        <w:tc>
          <w:tcPr>
            <w:tcW w:w="0" w:type="auto"/>
            <w:vAlign w:val="center"/>
          </w:tcPr>
          <w:p w14:paraId="11B7C916">
            <w:pPr>
              <w:widowControl/>
              <w:jc w:val="center"/>
              <w:rPr>
                <w:rFonts w:ascii="Times New Roman" w:hAnsi="Times New Roman" w:cs="Times New Roman"/>
                <w:kern w:val="0"/>
                <w:szCs w:val="21"/>
              </w:rPr>
            </w:pPr>
            <w:r>
              <w:rPr>
                <w:rFonts w:ascii="Times New Roman" w:hAnsi="Times New Roman" w:cs="Times New Roman"/>
                <w:kern w:val="0"/>
                <w:szCs w:val="21"/>
              </w:rPr>
              <w:t>500</w:t>
            </w:r>
          </w:p>
        </w:tc>
        <w:tc>
          <w:tcPr>
            <w:tcW w:w="759" w:type="dxa"/>
            <w:vAlign w:val="center"/>
          </w:tcPr>
          <w:p w14:paraId="52AA13FA">
            <w:pPr>
              <w:widowControl/>
              <w:jc w:val="center"/>
              <w:rPr>
                <w:rFonts w:ascii="Times New Roman" w:hAnsi="Times New Roman" w:cs="Times New Roman"/>
                <w:kern w:val="0"/>
                <w:szCs w:val="21"/>
              </w:rPr>
            </w:pPr>
            <w:r>
              <w:rPr>
                <w:rFonts w:hint="eastAsia" w:ascii="Times New Roman" w:hAnsi="Times New Roman" w:cs="Times New Roman"/>
                <w:kern w:val="0"/>
                <w:szCs w:val="21"/>
              </w:rPr>
              <w:t>1.06</w:t>
            </w:r>
          </w:p>
        </w:tc>
        <w:tc>
          <w:tcPr>
            <w:tcW w:w="0" w:type="auto"/>
            <w:vMerge w:val="continue"/>
            <w:vAlign w:val="center"/>
          </w:tcPr>
          <w:p w14:paraId="61CD467E">
            <w:pPr>
              <w:widowControl/>
              <w:jc w:val="center"/>
              <w:rPr>
                <w:rFonts w:ascii="Times New Roman" w:hAnsi="Times New Roman" w:cs="Times New Roman"/>
                <w:kern w:val="0"/>
                <w:szCs w:val="21"/>
              </w:rPr>
            </w:pPr>
          </w:p>
        </w:tc>
        <w:tc>
          <w:tcPr>
            <w:tcW w:w="0" w:type="auto"/>
            <w:vAlign w:val="center"/>
          </w:tcPr>
          <w:p w14:paraId="1B164676">
            <w:pPr>
              <w:widowControl/>
              <w:jc w:val="center"/>
              <w:rPr>
                <w:rFonts w:ascii="Times New Roman" w:hAnsi="Times New Roman" w:cs="Times New Roman"/>
                <w:kern w:val="0"/>
                <w:szCs w:val="21"/>
              </w:rPr>
            </w:pPr>
            <w:r>
              <w:rPr>
                <w:rFonts w:ascii="Times New Roman" w:hAnsi="Times New Roman" w:cs="Times New Roman"/>
                <w:kern w:val="0"/>
                <w:szCs w:val="21"/>
              </w:rPr>
              <w:t>500</w:t>
            </w:r>
          </w:p>
        </w:tc>
        <w:tc>
          <w:tcPr>
            <w:tcW w:w="0" w:type="auto"/>
            <w:vAlign w:val="center"/>
          </w:tcPr>
          <w:p w14:paraId="4099EBEB">
            <w:pPr>
              <w:widowControl/>
              <w:jc w:val="center"/>
              <w:rPr>
                <w:rFonts w:ascii="Times New Roman" w:hAnsi="Times New Roman" w:cs="Times New Roman"/>
                <w:kern w:val="0"/>
                <w:szCs w:val="21"/>
              </w:rPr>
            </w:pPr>
            <w:r>
              <w:rPr>
                <w:rFonts w:ascii="Times New Roman" w:hAnsi="Times New Roman" w:cs="Times New Roman"/>
                <w:kern w:val="0"/>
                <w:szCs w:val="21"/>
              </w:rPr>
              <w:t>达标</w:t>
            </w:r>
          </w:p>
        </w:tc>
        <w:tc>
          <w:tcPr>
            <w:tcW w:w="0" w:type="auto"/>
            <w:vMerge w:val="continue"/>
            <w:vAlign w:val="center"/>
          </w:tcPr>
          <w:p w14:paraId="6BFC620C">
            <w:pPr>
              <w:widowControl/>
              <w:jc w:val="center"/>
              <w:rPr>
                <w:rFonts w:ascii="Times New Roman" w:hAnsi="Times New Roman" w:cs="Times New Roman"/>
                <w:kern w:val="0"/>
                <w:szCs w:val="21"/>
              </w:rPr>
            </w:pPr>
          </w:p>
        </w:tc>
        <w:tc>
          <w:tcPr>
            <w:tcW w:w="0" w:type="auto"/>
            <w:vMerge w:val="continue"/>
            <w:vAlign w:val="center"/>
          </w:tcPr>
          <w:p w14:paraId="4C4A51BB">
            <w:pPr>
              <w:widowControl/>
              <w:jc w:val="center"/>
              <w:rPr>
                <w:rFonts w:ascii="Times New Roman" w:hAnsi="Times New Roman" w:cs="Times New Roman"/>
                <w:kern w:val="0"/>
                <w:szCs w:val="21"/>
              </w:rPr>
            </w:pPr>
          </w:p>
        </w:tc>
        <w:tc>
          <w:tcPr>
            <w:tcW w:w="0" w:type="auto"/>
            <w:vMerge w:val="continue"/>
            <w:vAlign w:val="center"/>
          </w:tcPr>
          <w:p w14:paraId="5A2E5803">
            <w:pPr>
              <w:widowControl/>
              <w:jc w:val="center"/>
              <w:rPr>
                <w:rFonts w:ascii="Times New Roman" w:hAnsi="Times New Roman" w:cs="Times New Roman"/>
                <w:kern w:val="0"/>
                <w:szCs w:val="21"/>
              </w:rPr>
            </w:pPr>
          </w:p>
        </w:tc>
        <w:tc>
          <w:tcPr>
            <w:tcW w:w="0" w:type="auto"/>
            <w:vMerge w:val="continue"/>
            <w:vAlign w:val="center"/>
          </w:tcPr>
          <w:p w14:paraId="3EF34634">
            <w:pPr>
              <w:widowControl/>
              <w:jc w:val="center"/>
              <w:rPr>
                <w:rFonts w:ascii="Times New Roman" w:hAnsi="Times New Roman" w:cs="Times New Roman"/>
                <w:kern w:val="0"/>
                <w:szCs w:val="21"/>
              </w:rPr>
            </w:pPr>
          </w:p>
        </w:tc>
        <w:tc>
          <w:tcPr>
            <w:tcW w:w="0" w:type="auto"/>
            <w:vMerge w:val="continue"/>
            <w:vAlign w:val="center"/>
          </w:tcPr>
          <w:p w14:paraId="15D90DF0">
            <w:pPr>
              <w:widowControl/>
              <w:jc w:val="center"/>
              <w:rPr>
                <w:rFonts w:ascii="Times New Roman" w:hAnsi="Times New Roman" w:cs="Times New Roman"/>
                <w:kern w:val="0"/>
                <w:szCs w:val="21"/>
              </w:rPr>
            </w:pPr>
          </w:p>
        </w:tc>
      </w:tr>
      <w:tr w14:paraId="15110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0" w:type="auto"/>
            <w:vMerge w:val="continue"/>
            <w:vAlign w:val="center"/>
          </w:tcPr>
          <w:p w14:paraId="4F02D7B2">
            <w:pPr>
              <w:widowControl/>
              <w:jc w:val="center"/>
              <w:rPr>
                <w:rFonts w:ascii="Times New Roman" w:hAnsi="Times New Roman" w:cs="Times New Roman"/>
                <w:kern w:val="0"/>
                <w:szCs w:val="21"/>
              </w:rPr>
            </w:pPr>
          </w:p>
        </w:tc>
        <w:tc>
          <w:tcPr>
            <w:tcW w:w="0" w:type="auto"/>
            <w:vMerge w:val="continue"/>
            <w:vAlign w:val="center"/>
          </w:tcPr>
          <w:p w14:paraId="3B19A447">
            <w:pPr>
              <w:widowControl/>
              <w:jc w:val="center"/>
              <w:rPr>
                <w:rFonts w:ascii="Times New Roman" w:hAnsi="Times New Roman" w:cs="Times New Roman"/>
                <w:kern w:val="0"/>
                <w:szCs w:val="21"/>
              </w:rPr>
            </w:pPr>
          </w:p>
        </w:tc>
        <w:tc>
          <w:tcPr>
            <w:tcW w:w="0" w:type="auto"/>
            <w:vAlign w:val="center"/>
          </w:tcPr>
          <w:p w14:paraId="61BFFEC0">
            <w:pPr>
              <w:widowControl/>
              <w:jc w:val="center"/>
              <w:rPr>
                <w:rFonts w:ascii="Times New Roman" w:hAnsi="Times New Roman" w:cs="Times New Roman"/>
                <w:kern w:val="0"/>
                <w:szCs w:val="21"/>
              </w:rPr>
            </w:pPr>
            <w:r>
              <w:rPr>
                <w:rFonts w:ascii="Times New Roman" w:hAnsi="Times New Roman" w:cs="Times New Roman"/>
                <w:kern w:val="0"/>
                <w:szCs w:val="21"/>
              </w:rPr>
              <w:t>BOD</w:t>
            </w:r>
            <w:r>
              <w:rPr>
                <w:rFonts w:ascii="Times New Roman" w:hAnsi="Times New Roman" w:cs="Times New Roman"/>
                <w:kern w:val="0"/>
                <w:sz w:val="20"/>
                <w:szCs w:val="20"/>
                <w:vertAlign w:val="subscript"/>
              </w:rPr>
              <w:t>5</w:t>
            </w:r>
          </w:p>
        </w:tc>
        <w:tc>
          <w:tcPr>
            <w:tcW w:w="0" w:type="auto"/>
            <w:vAlign w:val="center"/>
          </w:tcPr>
          <w:p w14:paraId="1D9CE61E">
            <w:pPr>
              <w:widowControl/>
              <w:jc w:val="center"/>
              <w:rPr>
                <w:rFonts w:ascii="Times New Roman" w:hAnsi="Times New Roman" w:cs="Times New Roman"/>
                <w:kern w:val="0"/>
                <w:szCs w:val="21"/>
              </w:rPr>
            </w:pPr>
            <w:r>
              <w:rPr>
                <w:rFonts w:ascii="Times New Roman" w:hAnsi="Times New Roman" w:cs="Times New Roman"/>
                <w:kern w:val="0"/>
                <w:szCs w:val="21"/>
              </w:rPr>
              <w:t>300</w:t>
            </w:r>
          </w:p>
        </w:tc>
        <w:tc>
          <w:tcPr>
            <w:tcW w:w="759" w:type="dxa"/>
            <w:vAlign w:val="center"/>
          </w:tcPr>
          <w:p w14:paraId="2734C2A0">
            <w:pPr>
              <w:widowControl/>
              <w:jc w:val="center"/>
              <w:rPr>
                <w:rFonts w:ascii="Times New Roman" w:hAnsi="Times New Roman" w:cs="Times New Roman"/>
                <w:kern w:val="0"/>
                <w:szCs w:val="21"/>
              </w:rPr>
            </w:pPr>
            <w:r>
              <w:rPr>
                <w:rFonts w:hint="eastAsia" w:ascii="Times New Roman" w:hAnsi="Times New Roman" w:cs="Times New Roman"/>
                <w:kern w:val="0"/>
                <w:szCs w:val="21"/>
              </w:rPr>
              <w:t>0.63</w:t>
            </w:r>
          </w:p>
        </w:tc>
        <w:tc>
          <w:tcPr>
            <w:tcW w:w="0" w:type="auto"/>
            <w:vMerge w:val="continue"/>
            <w:vAlign w:val="center"/>
          </w:tcPr>
          <w:p w14:paraId="2E1B30AB">
            <w:pPr>
              <w:widowControl/>
              <w:jc w:val="center"/>
              <w:rPr>
                <w:rFonts w:ascii="Times New Roman" w:hAnsi="Times New Roman" w:cs="Times New Roman"/>
                <w:kern w:val="0"/>
                <w:szCs w:val="21"/>
              </w:rPr>
            </w:pPr>
          </w:p>
        </w:tc>
        <w:tc>
          <w:tcPr>
            <w:tcW w:w="0" w:type="auto"/>
            <w:vMerge w:val="continue"/>
            <w:vAlign w:val="center"/>
          </w:tcPr>
          <w:p w14:paraId="6426E0F8">
            <w:pPr>
              <w:widowControl/>
              <w:jc w:val="center"/>
              <w:rPr>
                <w:rFonts w:ascii="Times New Roman" w:hAnsi="Times New Roman" w:cs="Times New Roman"/>
                <w:kern w:val="0"/>
                <w:szCs w:val="21"/>
              </w:rPr>
            </w:pPr>
          </w:p>
        </w:tc>
        <w:tc>
          <w:tcPr>
            <w:tcW w:w="0" w:type="auto"/>
            <w:vMerge w:val="continue"/>
            <w:vAlign w:val="center"/>
          </w:tcPr>
          <w:p w14:paraId="4291638F">
            <w:pPr>
              <w:widowControl/>
              <w:jc w:val="center"/>
              <w:rPr>
                <w:rFonts w:ascii="Times New Roman" w:hAnsi="Times New Roman" w:cs="Times New Roman"/>
                <w:kern w:val="0"/>
                <w:szCs w:val="21"/>
              </w:rPr>
            </w:pPr>
          </w:p>
        </w:tc>
        <w:tc>
          <w:tcPr>
            <w:tcW w:w="0" w:type="auto"/>
            <w:vAlign w:val="center"/>
          </w:tcPr>
          <w:p w14:paraId="5EA53A24">
            <w:pPr>
              <w:widowControl/>
              <w:jc w:val="center"/>
              <w:rPr>
                <w:rFonts w:ascii="Times New Roman" w:hAnsi="Times New Roman" w:cs="Times New Roman"/>
                <w:kern w:val="0"/>
                <w:szCs w:val="21"/>
              </w:rPr>
            </w:pPr>
            <w:r>
              <w:rPr>
                <w:rFonts w:ascii="Times New Roman" w:hAnsi="Times New Roman" w:cs="Times New Roman"/>
                <w:kern w:val="0"/>
                <w:szCs w:val="21"/>
              </w:rPr>
              <w:t>300</w:t>
            </w:r>
          </w:p>
        </w:tc>
        <w:tc>
          <w:tcPr>
            <w:tcW w:w="759" w:type="dxa"/>
            <w:vAlign w:val="center"/>
          </w:tcPr>
          <w:p w14:paraId="03B46514">
            <w:pPr>
              <w:widowControl/>
              <w:jc w:val="center"/>
              <w:rPr>
                <w:rFonts w:ascii="Times New Roman" w:hAnsi="Times New Roman" w:cs="Times New Roman"/>
                <w:kern w:val="0"/>
                <w:szCs w:val="21"/>
              </w:rPr>
            </w:pPr>
            <w:r>
              <w:rPr>
                <w:rFonts w:hint="eastAsia" w:ascii="Times New Roman" w:hAnsi="Times New Roman" w:cs="Times New Roman"/>
                <w:kern w:val="0"/>
                <w:szCs w:val="21"/>
              </w:rPr>
              <w:t>0.63</w:t>
            </w:r>
          </w:p>
        </w:tc>
        <w:tc>
          <w:tcPr>
            <w:tcW w:w="0" w:type="auto"/>
            <w:vMerge w:val="continue"/>
            <w:vAlign w:val="center"/>
          </w:tcPr>
          <w:p w14:paraId="3A965641">
            <w:pPr>
              <w:widowControl/>
              <w:jc w:val="center"/>
              <w:rPr>
                <w:rFonts w:ascii="Times New Roman" w:hAnsi="Times New Roman" w:cs="Times New Roman"/>
                <w:kern w:val="0"/>
                <w:szCs w:val="21"/>
              </w:rPr>
            </w:pPr>
          </w:p>
        </w:tc>
        <w:tc>
          <w:tcPr>
            <w:tcW w:w="0" w:type="auto"/>
            <w:vAlign w:val="center"/>
          </w:tcPr>
          <w:p w14:paraId="3477D8FA">
            <w:pPr>
              <w:widowControl/>
              <w:jc w:val="center"/>
              <w:rPr>
                <w:rFonts w:ascii="Times New Roman" w:hAnsi="Times New Roman" w:cs="Times New Roman"/>
                <w:kern w:val="0"/>
                <w:szCs w:val="21"/>
              </w:rPr>
            </w:pPr>
            <w:r>
              <w:rPr>
                <w:rFonts w:ascii="Times New Roman" w:hAnsi="Times New Roman" w:cs="Times New Roman"/>
                <w:kern w:val="0"/>
                <w:szCs w:val="21"/>
              </w:rPr>
              <w:t>300</w:t>
            </w:r>
          </w:p>
        </w:tc>
        <w:tc>
          <w:tcPr>
            <w:tcW w:w="0" w:type="auto"/>
            <w:vAlign w:val="center"/>
          </w:tcPr>
          <w:p w14:paraId="74CBAEBB">
            <w:pPr>
              <w:widowControl/>
              <w:jc w:val="center"/>
              <w:rPr>
                <w:rFonts w:ascii="Times New Roman" w:hAnsi="Times New Roman" w:cs="Times New Roman"/>
                <w:kern w:val="0"/>
                <w:szCs w:val="21"/>
              </w:rPr>
            </w:pPr>
            <w:r>
              <w:rPr>
                <w:rFonts w:ascii="Times New Roman" w:hAnsi="Times New Roman" w:cs="Times New Roman"/>
                <w:kern w:val="0"/>
                <w:szCs w:val="21"/>
              </w:rPr>
              <w:t>达标</w:t>
            </w:r>
          </w:p>
        </w:tc>
        <w:tc>
          <w:tcPr>
            <w:tcW w:w="0" w:type="auto"/>
            <w:vMerge w:val="continue"/>
            <w:vAlign w:val="center"/>
          </w:tcPr>
          <w:p w14:paraId="44FB39D0">
            <w:pPr>
              <w:widowControl/>
              <w:jc w:val="center"/>
              <w:rPr>
                <w:rFonts w:ascii="Times New Roman" w:hAnsi="Times New Roman" w:cs="Times New Roman"/>
                <w:kern w:val="0"/>
                <w:szCs w:val="21"/>
              </w:rPr>
            </w:pPr>
          </w:p>
        </w:tc>
        <w:tc>
          <w:tcPr>
            <w:tcW w:w="0" w:type="auto"/>
            <w:vMerge w:val="continue"/>
            <w:vAlign w:val="center"/>
          </w:tcPr>
          <w:p w14:paraId="74E5C065">
            <w:pPr>
              <w:widowControl/>
              <w:jc w:val="center"/>
              <w:rPr>
                <w:rFonts w:ascii="Times New Roman" w:hAnsi="Times New Roman" w:cs="Times New Roman"/>
                <w:kern w:val="0"/>
                <w:szCs w:val="21"/>
              </w:rPr>
            </w:pPr>
          </w:p>
        </w:tc>
        <w:tc>
          <w:tcPr>
            <w:tcW w:w="0" w:type="auto"/>
            <w:vMerge w:val="continue"/>
            <w:vAlign w:val="center"/>
          </w:tcPr>
          <w:p w14:paraId="2D12C8BF">
            <w:pPr>
              <w:widowControl/>
              <w:jc w:val="center"/>
              <w:rPr>
                <w:rFonts w:ascii="Times New Roman" w:hAnsi="Times New Roman" w:cs="Times New Roman"/>
                <w:kern w:val="0"/>
                <w:szCs w:val="21"/>
              </w:rPr>
            </w:pPr>
          </w:p>
        </w:tc>
        <w:tc>
          <w:tcPr>
            <w:tcW w:w="0" w:type="auto"/>
            <w:vMerge w:val="continue"/>
            <w:vAlign w:val="center"/>
          </w:tcPr>
          <w:p w14:paraId="44AC0A26">
            <w:pPr>
              <w:widowControl/>
              <w:jc w:val="center"/>
              <w:rPr>
                <w:rFonts w:ascii="Times New Roman" w:hAnsi="Times New Roman" w:cs="Times New Roman"/>
                <w:kern w:val="0"/>
                <w:szCs w:val="21"/>
              </w:rPr>
            </w:pPr>
          </w:p>
        </w:tc>
        <w:tc>
          <w:tcPr>
            <w:tcW w:w="0" w:type="auto"/>
            <w:vMerge w:val="continue"/>
            <w:vAlign w:val="center"/>
          </w:tcPr>
          <w:p w14:paraId="170E2794">
            <w:pPr>
              <w:widowControl/>
              <w:jc w:val="center"/>
              <w:rPr>
                <w:rFonts w:ascii="Times New Roman" w:hAnsi="Times New Roman" w:cs="Times New Roman"/>
                <w:kern w:val="0"/>
                <w:szCs w:val="21"/>
              </w:rPr>
            </w:pPr>
          </w:p>
        </w:tc>
      </w:tr>
      <w:tr w14:paraId="523B9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4A7CB348">
            <w:pPr>
              <w:widowControl/>
              <w:jc w:val="center"/>
              <w:rPr>
                <w:rFonts w:ascii="Times New Roman" w:hAnsi="Times New Roman" w:cs="Times New Roman"/>
                <w:kern w:val="0"/>
                <w:szCs w:val="21"/>
              </w:rPr>
            </w:pPr>
          </w:p>
        </w:tc>
        <w:tc>
          <w:tcPr>
            <w:tcW w:w="0" w:type="auto"/>
            <w:vMerge w:val="continue"/>
            <w:vAlign w:val="center"/>
          </w:tcPr>
          <w:p w14:paraId="2CF6A766">
            <w:pPr>
              <w:widowControl/>
              <w:jc w:val="center"/>
              <w:rPr>
                <w:rFonts w:ascii="Times New Roman" w:hAnsi="Times New Roman" w:cs="Times New Roman"/>
                <w:kern w:val="0"/>
                <w:szCs w:val="21"/>
              </w:rPr>
            </w:pPr>
          </w:p>
        </w:tc>
        <w:tc>
          <w:tcPr>
            <w:tcW w:w="0" w:type="auto"/>
            <w:vAlign w:val="center"/>
          </w:tcPr>
          <w:p w14:paraId="0D80D085">
            <w:pPr>
              <w:widowControl/>
              <w:jc w:val="center"/>
              <w:rPr>
                <w:rFonts w:ascii="Times New Roman" w:hAnsi="Times New Roman" w:cs="Times New Roman"/>
                <w:kern w:val="0"/>
                <w:szCs w:val="21"/>
              </w:rPr>
            </w:pPr>
            <w:r>
              <w:rPr>
                <w:rFonts w:ascii="Times New Roman" w:hAnsi="Times New Roman" w:cs="Times New Roman"/>
                <w:kern w:val="0"/>
                <w:szCs w:val="21"/>
              </w:rPr>
              <w:t>SS</w:t>
            </w:r>
          </w:p>
        </w:tc>
        <w:tc>
          <w:tcPr>
            <w:tcW w:w="0" w:type="auto"/>
            <w:vAlign w:val="center"/>
          </w:tcPr>
          <w:p w14:paraId="21CC3757">
            <w:pPr>
              <w:widowControl/>
              <w:jc w:val="center"/>
              <w:rPr>
                <w:rFonts w:ascii="Times New Roman" w:hAnsi="Times New Roman" w:cs="Times New Roman"/>
                <w:kern w:val="0"/>
                <w:szCs w:val="21"/>
              </w:rPr>
            </w:pPr>
            <w:r>
              <w:rPr>
                <w:rFonts w:ascii="Times New Roman" w:hAnsi="Times New Roman" w:cs="Times New Roman"/>
                <w:kern w:val="0"/>
                <w:szCs w:val="21"/>
              </w:rPr>
              <w:t>400</w:t>
            </w:r>
          </w:p>
        </w:tc>
        <w:tc>
          <w:tcPr>
            <w:tcW w:w="759" w:type="dxa"/>
            <w:vAlign w:val="center"/>
          </w:tcPr>
          <w:p w14:paraId="3273C0D9">
            <w:pPr>
              <w:widowControl/>
              <w:jc w:val="center"/>
              <w:rPr>
                <w:rFonts w:ascii="Times New Roman" w:hAnsi="Times New Roman" w:cs="Times New Roman"/>
                <w:kern w:val="0"/>
                <w:szCs w:val="21"/>
              </w:rPr>
            </w:pPr>
            <w:r>
              <w:rPr>
                <w:rFonts w:hint="eastAsia" w:ascii="Times New Roman" w:hAnsi="Times New Roman" w:cs="Times New Roman"/>
                <w:kern w:val="0"/>
                <w:szCs w:val="21"/>
              </w:rPr>
              <w:t>0.85</w:t>
            </w:r>
          </w:p>
        </w:tc>
        <w:tc>
          <w:tcPr>
            <w:tcW w:w="0" w:type="auto"/>
            <w:vMerge w:val="continue"/>
            <w:vAlign w:val="center"/>
          </w:tcPr>
          <w:p w14:paraId="1DBA202C">
            <w:pPr>
              <w:widowControl/>
              <w:jc w:val="center"/>
              <w:rPr>
                <w:rFonts w:ascii="Times New Roman" w:hAnsi="Times New Roman" w:cs="Times New Roman"/>
                <w:kern w:val="0"/>
                <w:szCs w:val="21"/>
              </w:rPr>
            </w:pPr>
          </w:p>
        </w:tc>
        <w:tc>
          <w:tcPr>
            <w:tcW w:w="0" w:type="auto"/>
            <w:vMerge w:val="continue"/>
            <w:vAlign w:val="center"/>
          </w:tcPr>
          <w:p w14:paraId="0870FB93">
            <w:pPr>
              <w:widowControl/>
              <w:jc w:val="center"/>
              <w:rPr>
                <w:rFonts w:ascii="Times New Roman" w:hAnsi="Times New Roman" w:cs="Times New Roman"/>
                <w:kern w:val="0"/>
                <w:szCs w:val="21"/>
              </w:rPr>
            </w:pPr>
          </w:p>
        </w:tc>
        <w:tc>
          <w:tcPr>
            <w:tcW w:w="0" w:type="auto"/>
            <w:vMerge w:val="continue"/>
            <w:vAlign w:val="center"/>
          </w:tcPr>
          <w:p w14:paraId="716FE3BB">
            <w:pPr>
              <w:widowControl/>
              <w:jc w:val="center"/>
              <w:rPr>
                <w:rFonts w:ascii="Times New Roman" w:hAnsi="Times New Roman" w:cs="Times New Roman"/>
                <w:kern w:val="0"/>
                <w:szCs w:val="21"/>
              </w:rPr>
            </w:pPr>
          </w:p>
        </w:tc>
        <w:tc>
          <w:tcPr>
            <w:tcW w:w="0" w:type="auto"/>
            <w:vAlign w:val="center"/>
          </w:tcPr>
          <w:p w14:paraId="6C807903">
            <w:pPr>
              <w:widowControl/>
              <w:jc w:val="center"/>
              <w:rPr>
                <w:rFonts w:ascii="Times New Roman" w:hAnsi="Times New Roman" w:cs="Times New Roman"/>
                <w:kern w:val="0"/>
                <w:szCs w:val="21"/>
              </w:rPr>
            </w:pPr>
            <w:r>
              <w:rPr>
                <w:rFonts w:ascii="Times New Roman" w:hAnsi="Times New Roman" w:cs="Times New Roman"/>
                <w:kern w:val="0"/>
                <w:szCs w:val="21"/>
              </w:rPr>
              <w:t>400</w:t>
            </w:r>
          </w:p>
        </w:tc>
        <w:tc>
          <w:tcPr>
            <w:tcW w:w="759" w:type="dxa"/>
            <w:vAlign w:val="center"/>
          </w:tcPr>
          <w:p w14:paraId="17AF6081">
            <w:pPr>
              <w:widowControl/>
              <w:jc w:val="center"/>
              <w:rPr>
                <w:rFonts w:ascii="Times New Roman" w:hAnsi="Times New Roman" w:cs="Times New Roman"/>
                <w:kern w:val="0"/>
                <w:szCs w:val="21"/>
              </w:rPr>
            </w:pPr>
            <w:r>
              <w:rPr>
                <w:rFonts w:hint="eastAsia" w:ascii="Times New Roman" w:hAnsi="Times New Roman" w:cs="Times New Roman"/>
                <w:kern w:val="0"/>
                <w:szCs w:val="21"/>
              </w:rPr>
              <w:t>0.85</w:t>
            </w:r>
          </w:p>
        </w:tc>
        <w:tc>
          <w:tcPr>
            <w:tcW w:w="0" w:type="auto"/>
            <w:vMerge w:val="continue"/>
            <w:vAlign w:val="center"/>
          </w:tcPr>
          <w:p w14:paraId="3E15E471">
            <w:pPr>
              <w:widowControl/>
              <w:jc w:val="center"/>
              <w:rPr>
                <w:rFonts w:ascii="Times New Roman" w:hAnsi="Times New Roman" w:cs="Times New Roman"/>
                <w:kern w:val="0"/>
                <w:szCs w:val="21"/>
              </w:rPr>
            </w:pPr>
          </w:p>
        </w:tc>
        <w:tc>
          <w:tcPr>
            <w:tcW w:w="0" w:type="auto"/>
            <w:vAlign w:val="center"/>
          </w:tcPr>
          <w:p w14:paraId="68E9AA00">
            <w:pPr>
              <w:widowControl/>
              <w:jc w:val="center"/>
              <w:rPr>
                <w:rFonts w:ascii="Times New Roman" w:hAnsi="Times New Roman" w:cs="Times New Roman"/>
                <w:kern w:val="0"/>
                <w:szCs w:val="21"/>
              </w:rPr>
            </w:pPr>
            <w:r>
              <w:rPr>
                <w:rFonts w:ascii="Times New Roman" w:hAnsi="Times New Roman" w:cs="Times New Roman"/>
                <w:kern w:val="0"/>
                <w:szCs w:val="21"/>
              </w:rPr>
              <w:t>400</w:t>
            </w:r>
          </w:p>
        </w:tc>
        <w:tc>
          <w:tcPr>
            <w:tcW w:w="0" w:type="auto"/>
            <w:vAlign w:val="center"/>
          </w:tcPr>
          <w:p w14:paraId="672BB1DE">
            <w:pPr>
              <w:widowControl/>
              <w:jc w:val="center"/>
              <w:rPr>
                <w:rFonts w:ascii="Times New Roman" w:hAnsi="Times New Roman" w:cs="Times New Roman"/>
                <w:kern w:val="0"/>
                <w:szCs w:val="21"/>
              </w:rPr>
            </w:pPr>
            <w:r>
              <w:rPr>
                <w:rFonts w:ascii="Times New Roman" w:hAnsi="Times New Roman" w:cs="Times New Roman"/>
                <w:kern w:val="0"/>
                <w:szCs w:val="21"/>
              </w:rPr>
              <w:t>达标</w:t>
            </w:r>
          </w:p>
        </w:tc>
        <w:tc>
          <w:tcPr>
            <w:tcW w:w="0" w:type="auto"/>
            <w:vMerge w:val="continue"/>
            <w:vAlign w:val="center"/>
          </w:tcPr>
          <w:p w14:paraId="125372C2">
            <w:pPr>
              <w:widowControl/>
              <w:jc w:val="center"/>
              <w:rPr>
                <w:rFonts w:ascii="Times New Roman" w:hAnsi="Times New Roman" w:cs="Times New Roman"/>
                <w:kern w:val="0"/>
                <w:szCs w:val="21"/>
              </w:rPr>
            </w:pPr>
          </w:p>
        </w:tc>
        <w:tc>
          <w:tcPr>
            <w:tcW w:w="0" w:type="auto"/>
            <w:vMerge w:val="continue"/>
            <w:vAlign w:val="center"/>
          </w:tcPr>
          <w:p w14:paraId="26663F8A">
            <w:pPr>
              <w:widowControl/>
              <w:jc w:val="center"/>
              <w:rPr>
                <w:rFonts w:ascii="Times New Roman" w:hAnsi="Times New Roman" w:cs="Times New Roman"/>
                <w:kern w:val="0"/>
                <w:szCs w:val="21"/>
              </w:rPr>
            </w:pPr>
          </w:p>
        </w:tc>
        <w:tc>
          <w:tcPr>
            <w:tcW w:w="0" w:type="auto"/>
            <w:vMerge w:val="continue"/>
            <w:vAlign w:val="center"/>
          </w:tcPr>
          <w:p w14:paraId="3BA05A6A">
            <w:pPr>
              <w:widowControl/>
              <w:jc w:val="center"/>
              <w:rPr>
                <w:rFonts w:ascii="Times New Roman" w:hAnsi="Times New Roman" w:cs="Times New Roman"/>
                <w:kern w:val="0"/>
                <w:szCs w:val="21"/>
              </w:rPr>
            </w:pPr>
          </w:p>
        </w:tc>
        <w:tc>
          <w:tcPr>
            <w:tcW w:w="0" w:type="auto"/>
            <w:vMerge w:val="continue"/>
            <w:vAlign w:val="center"/>
          </w:tcPr>
          <w:p w14:paraId="11B960B7">
            <w:pPr>
              <w:widowControl/>
              <w:jc w:val="center"/>
              <w:rPr>
                <w:rFonts w:ascii="Times New Roman" w:hAnsi="Times New Roman" w:cs="Times New Roman"/>
                <w:kern w:val="0"/>
                <w:szCs w:val="21"/>
              </w:rPr>
            </w:pPr>
          </w:p>
        </w:tc>
        <w:tc>
          <w:tcPr>
            <w:tcW w:w="0" w:type="auto"/>
            <w:vMerge w:val="continue"/>
            <w:vAlign w:val="center"/>
          </w:tcPr>
          <w:p w14:paraId="0FBFF58B">
            <w:pPr>
              <w:widowControl/>
              <w:jc w:val="center"/>
              <w:rPr>
                <w:rFonts w:ascii="Times New Roman" w:hAnsi="Times New Roman" w:cs="Times New Roman"/>
                <w:kern w:val="0"/>
                <w:szCs w:val="21"/>
              </w:rPr>
            </w:pPr>
          </w:p>
        </w:tc>
      </w:tr>
      <w:tr w14:paraId="2A19F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541BE66F">
            <w:pPr>
              <w:widowControl/>
              <w:jc w:val="center"/>
              <w:rPr>
                <w:rFonts w:ascii="Times New Roman" w:hAnsi="Times New Roman" w:cs="Times New Roman"/>
                <w:kern w:val="0"/>
                <w:szCs w:val="21"/>
              </w:rPr>
            </w:pPr>
          </w:p>
        </w:tc>
        <w:tc>
          <w:tcPr>
            <w:tcW w:w="0" w:type="auto"/>
            <w:vMerge w:val="continue"/>
            <w:vAlign w:val="center"/>
          </w:tcPr>
          <w:p w14:paraId="4D641733">
            <w:pPr>
              <w:widowControl/>
              <w:jc w:val="center"/>
              <w:rPr>
                <w:rFonts w:ascii="Times New Roman" w:hAnsi="Times New Roman" w:cs="Times New Roman"/>
                <w:kern w:val="0"/>
                <w:szCs w:val="21"/>
              </w:rPr>
            </w:pPr>
          </w:p>
        </w:tc>
        <w:tc>
          <w:tcPr>
            <w:tcW w:w="0" w:type="auto"/>
            <w:vAlign w:val="center"/>
          </w:tcPr>
          <w:p w14:paraId="13DAE86E">
            <w:pPr>
              <w:widowControl/>
              <w:jc w:val="center"/>
              <w:rPr>
                <w:rFonts w:ascii="Times New Roman" w:hAnsi="Times New Roman" w:cs="Times New Roman"/>
                <w:kern w:val="0"/>
                <w:szCs w:val="21"/>
              </w:rPr>
            </w:pPr>
            <w:r>
              <w:rPr>
                <w:rFonts w:ascii="Times New Roman" w:hAnsi="Times New Roman" w:cs="Times New Roman"/>
                <w:kern w:val="0"/>
                <w:szCs w:val="21"/>
              </w:rPr>
              <w:t>NH</w:t>
            </w:r>
            <w:r>
              <w:rPr>
                <w:rFonts w:ascii="Times New Roman" w:hAnsi="Times New Roman" w:cs="Times New Roman"/>
                <w:kern w:val="0"/>
                <w:szCs w:val="21"/>
                <w:vertAlign w:val="subscript"/>
              </w:rPr>
              <w:t>3</w:t>
            </w:r>
            <w:r>
              <w:rPr>
                <w:rFonts w:ascii="Times New Roman" w:hAnsi="Times New Roman" w:cs="Times New Roman"/>
                <w:kern w:val="0"/>
                <w:szCs w:val="21"/>
              </w:rPr>
              <w:t>-N</w:t>
            </w:r>
          </w:p>
        </w:tc>
        <w:tc>
          <w:tcPr>
            <w:tcW w:w="0" w:type="auto"/>
            <w:vAlign w:val="center"/>
          </w:tcPr>
          <w:p w14:paraId="501382D3">
            <w:pPr>
              <w:widowControl/>
              <w:jc w:val="center"/>
              <w:rPr>
                <w:rFonts w:ascii="Times New Roman" w:hAnsi="Times New Roman" w:cs="Times New Roman"/>
                <w:kern w:val="0"/>
                <w:szCs w:val="21"/>
              </w:rPr>
            </w:pPr>
            <w:r>
              <w:rPr>
                <w:rFonts w:ascii="Times New Roman" w:hAnsi="Times New Roman" w:cs="Times New Roman"/>
                <w:kern w:val="0"/>
                <w:szCs w:val="21"/>
              </w:rPr>
              <w:t>45</w:t>
            </w:r>
          </w:p>
        </w:tc>
        <w:tc>
          <w:tcPr>
            <w:tcW w:w="759" w:type="dxa"/>
            <w:vAlign w:val="center"/>
          </w:tcPr>
          <w:p w14:paraId="178EC1B4">
            <w:pPr>
              <w:widowControl/>
              <w:jc w:val="center"/>
              <w:rPr>
                <w:rFonts w:ascii="Times New Roman" w:hAnsi="Times New Roman" w:cs="Times New Roman"/>
                <w:kern w:val="0"/>
                <w:szCs w:val="21"/>
              </w:rPr>
            </w:pPr>
            <w:r>
              <w:rPr>
                <w:rFonts w:hint="eastAsia" w:ascii="Times New Roman" w:hAnsi="Times New Roman" w:cs="Times New Roman"/>
                <w:kern w:val="0"/>
                <w:szCs w:val="21"/>
              </w:rPr>
              <w:t>0.095</w:t>
            </w:r>
          </w:p>
        </w:tc>
        <w:tc>
          <w:tcPr>
            <w:tcW w:w="0" w:type="auto"/>
            <w:vMerge w:val="continue"/>
            <w:vAlign w:val="center"/>
          </w:tcPr>
          <w:p w14:paraId="5AA9E331">
            <w:pPr>
              <w:widowControl/>
              <w:jc w:val="center"/>
              <w:rPr>
                <w:rFonts w:ascii="Times New Roman" w:hAnsi="Times New Roman" w:cs="Times New Roman"/>
                <w:kern w:val="0"/>
                <w:szCs w:val="21"/>
              </w:rPr>
            </w:pPr>
          </w:p>
        </w:tc>
        <w:tc>
          <w:tcPr>
            <w:tcW w:w="0" w:type="auto"/>
            <w:vMerge w:val="continue"/>
            <w:vAlign w:val="center"/>
          </w:tcPr>
          <w:p w14:paraId="427DAF9C">
            <w:pPr>
              <w:widowControl/>
              <w:jc w:val="center"/>
              <w:rPr>
                <w:rFonts w:ascii="Times New Roman" w:hAnsi="Times New Roman" w:cs="Times New Roman"/>
                <w:kern w:val="0"/>
                <w:szCs w:val="21"/>
              </w:rPr>
            </w:pPr>
          </w:p>
        </w:tc>
        <w:tc>
          <w:tcPr>
            <w:tcW w:w="0" w:type="auto"/>
            <w:vMerge w:val="continue"/>
            <w:vAlign w:val="center"/>
          </w:tcPr>
          <w:p w14:paraId="6AC6C138">
            <w:pPr>
              <w:widowControl/>
              <w:jc w:val="center"/>
              <w:rPr>
                <w:rFonts w:ascii="Times New Roman" w:hAnsi="Times New Roman" w:cs="Times New Roman"/>
                <w:kern w:val="0"/>
                <w:szCs w:val="21"/>
              </w:rPr>
            </w:pPr>
          </w:p>
        </w:tc>
        <w:tc>
          <w:tcPr>
            <w:tcW w:w="0" w:type="auto"/>
            <w:vAlign w:val="center"/>
          </w:tcPr>
          <w:p w14:paraId="65EF8178">
            <w:pPr>
              <w:widowControl/>
              <w:jc w:val="center"/>
              <w:rPr>
                <w:rFonts w:ascii="Times New Roman" w:hAnsi="Times New Roman" w:cs="Times New Roman"/>
                <w:kern w:val="0"/>
                <w:szCs w:val="21"/>
              </w:rPr>
            </w:pPr>
            <w:r>
              <w:rPr>
                <w:rFonts w:ascii="Times New Roman" w:hAnsi="Times New Roman" w:cs="Times New Roman"/>
                <w:kern w:val="0"/>
                <w:szCs w:val="21"/>
              </w:rPr>
              <w:t>45</w:t>
            </w:r>
          </w:p>
        </w:tc>
        <w:tc>
          <w:tcPr>
            <w:tcW w:w="759" w:type="dxa"/>
            <w:vAlign w:val="center"/>
          </w:tcPr>
          <w:p w14:paraId="3046C9D0">
            <w:pPr>
              <w:widowControl/>
              <w:jc w:val="center"/>
              <w:rPr>
                <w:rFonts w:ascii="Times New Roman" w:hAnsi="Times New Roman" w:cs="Times New Roman"/>
                <w:kern w:val="0"/>
                <w:szCs w:val="21"/>
              </w:rPr>
            </w:pPr>
            <w:r>
              <w:rPr>
                <w:rFonts w:hint="eastAsia" w:ascii="Times New Roman" w:hAnsi="Times New Roman" w:cs="Times New Roman"/>
                <w:kern w:val="0"/>
                <w:szCs w:val="21"/>
              </w:rPr>
              <w:t>0.095</w:t>
            </w:r>
          </w:p>
        </w:tc>
        <w:tc>
          <w:tcPr>
            <w:tcW w:w="0" w:type="auto"/>
            <w:vMerge w:val="continue"/>
            <w:vAlign w:val="center"/>
          </w:tcPr>
          <w:p w14:paraId="26B8F5A6">
            <w:pPr>
              <w:widowControl/>
              <w:jc w:val="center"/>
              <w:rPr>
                <w:rFonts w:ascii="Times New Roman" w:hAnsi="Times New Roman" w:cs="Times New Roman"/>
                <w:kern w:val="0"/>
                <w:szCs w:val="21"/>
              </w:rPr>
            </w:pPr>
          </w:p>
        </w:tc>
        <w:tc>
          <w:tcPr>
            <w:tcW w:w="0" w:type="auto"/>
            <w:vAlign w:val="center"/>
          </w:tcPr>
          <w:p w14:paraId="20B4A6EA">
            <w:pPr>
              <w:widowControl/>
              <w:jc w:val="center"/>
              <w:rPr>
                <w:rFonts w:ascii="Times New Roman" w:hAnsi="Times New Roman" w:cs="Times New Roman"/>
                <w:kern w:val="0"/>
                <w:szCs w:val="21"/>
              </w:rPr>
            </w:pPr>
            <w:r>
              <w:rPr>
                <w:rFonts w:ascii="Times New Roman" w:hAnsi="Times New Roman" w:cs="Times New Roman"/>
                <w:kern w:val="0"/>
                <w:szCs w:val="21"/>
              </w:rPr>
              <w:t>45</w:t>
            </w:r>
          </w:p>
        </w:tc>
        <w:tc>
          <w:tcPr>
            <w:tcW w:w="0" w:type="auto"/>
            <w:vAlign w:val="center"/>
          </w:tcPr>
          <w:p w14:paraId="4D742F08">
            <w:pPr>
              <w:widowControl/>
              <w:jc w:val="center"/>
              <w:rPr>
                <w:rFonts w:ascii="Times New Roman" w:hAnsi="Times New Roman" w:cs="Times New Roman"/>
                <w:kern w:val="0"/>
                <w:szCs w:val="21"/>
              </w:rPr>
            </w:pPr>
            <w:r>
              <w:rPr>
                <w:rFonts w:ascii="Times New Roman" w:hAnsi="Times New Roman" w:cs="Times New Roman"/>
                <w:kern w:val="0"/>
                <w:szCs w:val="21"/>
              </w:rPr>
              <w:t>达标</w:t>
            </w:r>
          </w:p>
        </w:tc>
        <w:tc>
          <w:tcPr>
            <w:tcW w:w="0" w:type="auto"/>
            <w:vMerge w:val="continue"/>
            <w:vAlign w:val="center"/>
          </w:tcPr>
          <w:p w14:paraId="7D3D1F71">
            <w:pPr>
              <w:widowControl/>
              <w:jc w:val="center"/>
              <w:rPr>
                <w:rFonts w:ascii="Times New Roman" w:hAnsi="Times New Roman" w:cs="Times New Roman"/>
                <w:kern w:val="0"/>
                <w:szCs w:val="21"/>
              </w:rPr>
            </w:pPr>
          </w:p>
        </w:tc>
        <w:tc>
          <w:tcPr>
            <w:tcW w:w="0" w:type="auto"/>
            <w:vMerge w:val="continue"/>
            <w:vAlign w:val="center"/>
          </w:tcPr>
          <w:p w14:paraId="2CEC3494">
            <w:pPr>
              <w:widowControl/>
              <w:jc w:val="center"/>
              <w:rPr>
                <w:rFonts w:ascii="Times New Roman" w:hAnsi="Times New Roman" w:cs="Times New Roman"/>
                <w:kern w:val="0"/>
                <w:szCs w:val="21"/>
              </w:rPr>
            </w:pPr>
          </w:p>
        </w:tc>
        <w:tc>
          <w:tcPr>
            <w:tcW w:w="0" w:type="auto"/>
            <w:vMerge w:val="continue"/>
            <w:vAlign w:val="center"/>
          </w:tcPr>
          <w:p w14:paraId="7CA9D56C">
            <w:pPr>
              <w:widowControl/>
              <w:jc w:val="center"/>
              <w:rPr>
                <w:rFonts w:ascii="Times New Roman" w:hAnsi="Times New Roman" w:cs="Times New Roman"/>
                <w:kern w:val="0"/>
                <w:szCs w:val="21"/>
              </w:rPr>
            </w:pPr>
          </w:p>
        </w:tc>
        <w:tc>
          <w:tcPr>
            <w:tcW w:w="0" w:type="auto"/>
            <w:vMerge w:val="continue"/>
            <w:vAlign w:val="center"/>
          </w:tcPr>
          <w:p w14:paraId="1A6D9143">
            <w:pPr>
              <w:widowControl/>
              <w:jc w:val="center"/>
              <w:rPr>
                <w:rFonts w:ascii="Times New Roman" w:hAnsi="Times New Roman" w:cs="Times New Roman"/>
                <w:kern w:val="0"/>
                <w:szCs w:val="21"/>
              </w:rPr>
            </w:pPr>
          </w:p>
        </w:tc>
        <w:tc>
          <w:tcPr>
            <w:tcW w:w="0" w:type="auto"/>
            <w:vMerge w:val="continue"/>
            <w:vAlign w:val="center"/>
          </w:tcPr>
          <w:p w14:paraId="786A8915">
            <w:pPr>
              <w:widowControl/>
              <w:jc w:val="center"/>
              <w:rPr>
                <w:rFonts w:ascii="Times New Roman" w:hAnsi="Times New Roman" w:cs="Times New Roman"/>
                <w:kern w:val="0"/>
                <w:szCs w:val="21"/>
              </w:rPr>
            </w:pPr>
          </w:p>
        </w:tc>
      </w:tr>
      <w:tr w14:paraId="4D797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404CD3F3">
            <w:pPr>
              <w:widowControl/>
              <w:jc w:val="center"/>
              <w:rPr>
                <w:rFonts w:ascii="Times New Roman" w:hAnsi="Times New Roman" w:cs="Times New Roman"/>
                <w:kern w:val="0"/>
                <w:szCs w:val="21"/>
              </w:rPr>
            </w:pPr>
            <w:r>
              <w:rPr>
                <w:rFonts w:ascii="Times New Roman" w:hAnsi="Times New Roman" w:cs="Times New Roman"/>
                <w:kern w:val="0"/>
                <w:szCs w:val="21"/>
              </w:rPr>
              <w:t>W</w:t>
            </w:r>
            <w:r>
              <w:rPr>
                <w:rFonts w:ascii="Times New Roman" w:hAnsi="Times New Roman" w:cs="Times New Roman"/>
                <w:kern w:val="0"/>
                <w:szCs w:val="21"/>
                <w:vertAlign w:val="subscript"/>
              </w:rPr>
              <w:t>合计</w:t>
            </w:r>
            <w:r>
              <w:rPr>
                <w:rFonts w:ascii="Times New Roman" w:hAnsi="Times New Roman" w:cs="Times New Roman"/>
                <w:kern w:val="0"/>
                <w:szCs w:val="21"/>
              </w:rPr>
              <w:t>（排入外环境）</w:t>
            </w:r>
          </w:p>
        </w:tc>
        <w:tc>
          <w:tcPr>
            <w:tcW w:w="0" w:type="auto"/>
            <w:vMerge w:val="restart"/>
            <w:vAlign w:val="center"/>
          </w:tcPr>
          <w:p w14:paraId="5E6BEB57">
            <w:pPr>
              <w:widowControl/>
              <w:jc w:val="center"/>
              <w:rPr>
                <w:rFonts w:ascii="Times New Roman" w:hAnsi="Times New Roman" w:cs="Times New Roman"/>
                <w:kern w:val="0"/>
                <w:szCs w:val="21"/>
              </w:rPr>
            </w:pPr>
            <w:r>
              <w:rPr>
                <w:rFonts w:hint="eastAsia" w:ascii="Times New Roman" w:hAnsi="Times New Roman" w:cs="Times New Roman"/>
                <w:kern w:val="0"/>
                <w:szCs w:val="21"/>
              </w:rPr>
              <w:t>6.355</w:t>
            </w:r>
            <w:r>
              <w:rPr>
                <w:rFonts w:ascii="Times New Roman" w:hAnsi="Times New Roman" w:cs="Times New Roman"/>
                <w:kern w:val="0"/>
                <w:szCs w:val="21"/>
              </w:rPr>
              <w:t>（</w:t>
            </w:r>
            <w:r>
              <w:rPr>
                <w:rFonts w:hint="eastAsia" w:ascii="Times New Roman" w:hAnsi="Times New Roman" w:cs="Times New Roman"/>
                <w:kern w:val="0"/>
                <w:szCs w:val="21"/>
              </w:rPr>
              <w:t>2116.215</w:t>
            </w:r>
            <w:r>
              <w:rPr>
                <w:rFonts w:ascii="Times New Roman" w:hAnsi="Times New Roman" w:cs="Times New Roman"/>
                <w:kern w:val="0"/>
                <w:szCs w:val="21"/>
              </w:rPr>
              <w:t>）</w:t>
            </w:r>
          </w:p>
        </w:tc>
        <w:tc>
          <w:tcPr>
            <w:tcW w:w="0" w:type="auto"/>
            <w:vAlign w:val="center"/>
          </w:tcPr>
          <w:p w14:paraId="6D304F2E">
            <w:pPr>
              <w:widowControl/>
              <w:jc w:val="center"/>
              <w:rPr>
                <w:rFonts w:ascii="Times New Roman" w:hAnsi="Times New Roman" w:cs="Times New Roman"/>
                <w:kern w:val="0"/>
                <w:szCs w:val="21"/>
              </w:rPr>
            </w:pPr>
            <w:r>
              <w:rPr>
                <w:rFonts w:ascii="Times New Roman" w:hAnsi="Times New Roman" w:cs="Times New Roman"/>
                <w:kern w:val="0"/>
                <w:szCs w:val="21"/>
              </w:rPr>
              <w:t>pH</w:t>
            </w:r>
          </w:p>
        </w:tc>
        <w:tc>
          <w:tcPr>
            <w:tcW w:w="0" w:type="auto"/>
            <w:vAlign w:val="center"/>
          </w:tcPr>
          <w:p w14:paraId="715A8B19">
            <w:pPr>
              <w:widowControl/>
              <w:jc w:val="center"/>
              <w:rPr>
                <w:rFonts w:ascii="Times New Roman" w:hAnsi="Times New Roman" w:cs="Times New Roman"/>
                <w:kern w:val="0"/>
                <w:szCs w:val="21"/>
              </w:rPr>
            </w:pPr>
            <w:r>
              <w:rPr>
                <w:rFonts w:ascii="Times New Roman" w:hAnsi="Times New Roman" w:cs="Times New Roman"/>
                <w:kern w:val="0"/>
                <w:szCs w:val="21"/>
              </w:rPr>
              <w:t>6~9</w:t>
            </w:r>
          </w:p>
        </w:tc>
        <w:tc>
          <w:tcPr>
            <w:tcW w:w="0" w:type="auto"/>
            <w:vAlign w:val="center"/>
          </w:tcPr>
          <w:p w14:paraId="399733CC">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Merge w:val="restart"/>
            <w:vAlign w:val="center"/>
          </w:tcPr>
          <w:p w14:paraId="78AADA5E">
            <w:pPr>
              <w:widowControl/>
              <w:jc w:val="center"/>
              <w:rPr>
                <w:rFonts w:ascii="Times New Roman" w:hAnsi="Times New Roman" w:cs="Times New Roman"/>
                <w:kern w:val="0"/>
                <w:szCs w:val="21"/>
              </w:rPr>
            </w:pPr>
            <w:r>
              <w:rPr>
                <w:rFonts w:ascii="Times New Roman" w:hAnsi="Times New Roman" w:cs="Times New Roman"/>
                <w:kern w:val="0"/>
                <w:szCs w:val="21"/>
              </w:rPr>
              <w:t>水解酸化+A/O工艺</w:t>
            </w:r>
          </w:p>
        </w:tc>
        <w:tc>
          <w:tcPr>
            <w:tcW w:w="0" w:type="auto"/>
            <w:vMerge w:val="restart"/>
            <w:vAlign w:val="center"/>
          </w:tcPr>
          <w:p w14:paraId="4D88505E">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Merge w:val="restart"/>
            <w:vAlign w:val="center"/>
          </w:tcPr>
          <w:p w14:paraId="018008AF">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Align w:val="center"/>
          </w:tcPr>
          <w:p w14:paraId="27D9CF95">
            <w:pPr>
              <w:widowControl/>
              <w:jc w:val="center"/>
              <w:rPr>
                <w:rFonts w:ascii="Times New Roman" w:hAnsi="Times New Roman" w:cs="Times New Roman"/>
                <w:kern w:val="0"/>
                <w:szCs w:val="21"/>
              </w:rPr>
            </w:pPr>
            <w:r>
              <w:rPr>
                <w:rFonts w:ascii="Times New Roman" w:hAnsi="Times New Roman" w:cs="Times New Roman"/>
                <w:kern w:val="0"/>
                <w:szCs w:val="21"/>
              </w:rPr>
              <w:t>6~9</w:t>
            </w:r>
          </w:p>
        </w:tc>
        <w:tc>
          <w:tcPr>
            <w:tcW w:w="0" w:type="auto"/>
            <w:vAlign w:val="center"/>
          </w:tcPr>
          <w:p w14:paraId="69FD4ED6">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Merge w:val="restart"/>
            <w:vAlign w:val="center"/>
          </w:tcPr>
          <w:p w14:paraId="35C64691">
            <w:pPr>
              <w:widowControl/>
              <w:jc w:val="center"/>
              <w:rPr>
                <w:rFonts w:ascii="Times New Roman" w:hAnsi="Times New Roman" w:cs="Times New Roman"/>
                <w:kern w:val="0"/>
                <w:szCs w:val="21"/>
              </w:rPr>
            </w:pPr>
            <w:r>
              <w:rPr>
                <w:rFonts w:ascii="Times New Roman" w:hAnsi="Times New Roman" w:cs="Times New Roman"/>
                <w:kern w:val="0"/>
                <w:szCs w:val="21"/>
              </w:rPr>
              <w:t>乌江</w:t>
            </w:r>
          </w:p>
        </w:tc>
        <w:tc>
          <w:tcPr>
            <w:tcW w:w="0" w:type="auto"/>
            <w:vAlign w:val="center"/>
          </w:tcPr>
          <w:p w14:paraId="128DEA2B">
            <w:pPr>
              <w:widowControl/>
              <w:jc w:val="center"/>
              <w:rPr>
                <w:rFonts w:ascii="Times New Roman" w:hAnsi="Times New Roman" w:cs="Times New Roman"/>
                <w:kern w:val="0"/>
                <w:szCs w:val="21"/>
              </w:rPr>
            </w:pPr>
            <w:r>
              <w:rPr>
                <w:rFonts w:ascii="Times New Roman" w:hAnsi="Times New Roman" w:cs="Times New Roman"/>
                <w:kern w:val="0"/>
                <w:szCs w:val="21"/>
              </w:rPr>
              <w:t>6~9</w:t>
            </w:r>
          </w:p>
        </w:tc>
        <w:tc>
          <w:tcPr>
            <w:tcW w:w="0" w:type="auto"/>
            <w:vAlign w:val="center"/>
          </w:tcPr>
          <w:p w14:paraId="695D1DA7">
            <w:pPr>
              <w:widowControl/>
              <w:jc w:val="center"/>
              <w:rPr>
                <w:rFonts w:ascii="Times New Roman" w:hAnsi="Times New Roman" w:cs="Times New Roman"/>
                <w:kern w:val="0"/>
                <w:szCs w:val="21"/>
              </w:rPr>
            </w:pPr>
            <w:r>
              <w:rPr>
                <w:rFonts w:ascii="Times New Roman" w:hAnsi="Times New Roman" w:cs="Times New Roman"/>
                <w:kern w:val="0"/>
                <w:szCs w:val="21"/>
              </w:rPr>
              <w:t>达标</w:t>
            </w:r>
          </w:p>
        </w:tc>
        <w:tc>
          <w:tcPr>
            <w:tcW w:w="0" w:type="auto"/>
            <w:vMerge w:val="restart"/>
            <w:vAlign w:val="center"/>
          </w:tcPr>
          <w:p w14:paraId="34478C0D">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Merge w:val="restart"/>
            <w:vAlign w:val="center"/>
          </w:tcPr>
          <w:p w14:paraId="37D49648">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Merge w:val="restart"/>
            <w:vAlign w:val="center"/>
          </w:tcPr>
          <w:p w14:paraId="71960D8A">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Merge w:val="restart"/>
            <w:vAlign w:val="center"/>
          </w:tcPr>
          <w:p w14:paraId="2492489E">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0" w:type="auto"/>
            <w:vMerge w:val="restart"/>
            <w:vAlign w:val="center"/>
          </w:tcPr>
          <w:p w14:paraId="1AF89504">
            <w:pPr>
              <w:widowControl/>
              <w:jc w:val="center"/>
              <w:rPr>
                <w:rFonts w:ascii="Times New Roman" w:hAnsi="Times New Roman" w:cs="Times New Roman"/>
                <w:kern w:val="0"/>
                <w:szCs w:val="21"/>
              </w:rPr>
            </w:pPr>
            <w:r>
              <w:rPr>
                <w:rFonts w:ascii="Times New Roman" w:hAnsi="Times New Roman" w:cs="Times New Roman"/>
                <w:kern w:val="0"/>
                <w:szCs w:val="21"/>
              </w:rPr>
              <w:t>/</w:t>
            </w:r>
          </w:p>
        </w:tc>
      </w:tr>
      <w:tr w14:paraId="5AC9D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47B46709">
            <w:pPr>
              <w:widowControl/>
              <w:jc w:val="center"/>
              <w:rPr>
                <w:rFonts w:ascii="Times New Roman" w:hAnsi="Times New Roman" w:cs="Times New Roman"/>
                <w:kern w:val="0"/>
                <w:szCs w:val="21"/>
              </w:rPr>
            </w:pPr>
          </w:p>
        </w:tc>
        <w:tc>
          <w:tcPr>
            <w:tcW w:w="0" w:type="auto"/>
            <w:vMerge w:val="continue"/>
            <w:vAlign w:val="center"/>
          </w:tcPr>
          <w:p w14:paraId="6EE1A8D2">
            <w:pPr>
              <w:widowControl/>
              <w:jc w:val="center"/>
              <w:rPr>
                <w:rFonts w:ascii="Times New Roman" w:hAnsi="Times New Roman" w:cs="Times New Roman"/>
                <w:kern w:val="0"/>
                <w:szCs w:val="21"/>
              </w:rPr>
            </w:pPr>
          </w:p>
        </w:tc>
        <w:tc>
          <w:tcPr>
            <w:tcW w:w="0" w:type="auto"/>
            <w:vAlign w:val="center"/>
          </w:tcPr>
          <w:p w14:paraId="62167759">
            <w:pPr>
              <w:widowControl/>
              <w:jc w:val="center"/>
              <w:rPr>
                <w:rFonts w:ascii="Times New Roman" w:hAnsi="Times New Roman" w:cs="Times New Roman"/>
                <w:kern w:val="0"/>
                <w:szCs w:val="21"/>
              </w:rPr>
            </w:pPr>
            <w:r>
              <w:rPr>
                <w:rFonts w:ascii="Times New Roman" w:hAnsi="Times New Roman" w:cs="Times New Roman"/>
                <w:kern w:val="0"/>
                <w:szCs w:val="21"/>
              </w:rPr>
              <w:t>COD</w:t>
            </w:r>
          </w:p>
        </w:tc>
        <w:tc>
          <w:tcPr>
            <w:tcW w:w="0" w:type="auto"/>
            <w:vAlign w:val="center"/>
          </w:tcPr>
          <w:p w14:paraId="12ED834D">
            <w:pPr>
              <w:widowControl/>
              <w:jc w:val="center"/>
              <w:rPr>
                <w:rFonts w:ascii="Times New Roman" w:hAnsi="Times New Roman" w:cs="Times New Roman"/>
                <w:kern w:val="0"/>
                <w:szCs w:val="21"/>
              </w:rPr>
            </w:pPr>
            <w:r>
              <w:rPr>
                <w:rFonts w:ascii="Times New Roman" w:hAnsi="Times New Roman" w:cs="Times New Roman"/>
                <w:kern w:val="0"/>
                <w:szCs w:val="21"/>
              </w:rPr>
              <w:t>500</w:t>
            </w:r>
          </w:p>
        </w:tc>
        <w:tc>
          <w:tcPr>
            <w:tcW w:w="759" w:type="dxa"/>
            <w:vAlign w:val="center"/>
          </w:tcPr>
          <w:p w14:paraId="3CD2DF04">
            <w:pPr>
              <w:widowControl/>
              <w:jc w:val="center"/>
              <w:rPr>
                <w:rFonts w:ascii="Times New Roman" w:hAnsi="Times New Roman" w:cs="Times New Roman"/>
                <w:kern w:val="0"/>
                <w:szCs w:val="21"/>
              </w:rPr>
            </w:pPr>
            <w:r>
              <w:rPr>
                <w:rFonts w:hint="eastAsia" w:ascii="Times New Roman" w:hAnsi="Times New Roman" w:cs="Times New Roman"/>
                <w:kern w:val="0"/>
                <w:szCs w:val="21"/>
              </w:rPr>
              <w:t>1.06</w:t>
            </w:r>
          </w:p>
        </w:tc>
        <w:tc>
          <w:tcPr>
            <w:tcW w:w="0" w:type="auto"/>
            <w:vMerge w:val="continue"/>
            <w:vAlign w:val="center"/>
          </w:tcPr>
          <w:p w14:paraId="00C25F38">
            <w:pPr>
              <w:widowControl/>
              <w:jc w:val="center"/>
              <w:rPr>
                <w:rFonts w:ascii="Times New Roman" w:hAnsi="Times New Roman" w:cs="Times New Roman"/>
                <w:kern w:val="0"/>
                <w:szCs w:val="21"/>
              </w:rPr>
            </w:pPr>
          </w:p>
        </w:tc>
        <w:tc>
          <w:tcPr>
            <w:tcW w:w="0" w:type="auto"/>
            <w:vMerge w:val="continue"/>
            <w:vAlign w:val="center"/>
          </w:tcPr>
          <w:p w14:paraId="3BCB94C0">
            <w:pPr>
              <w:widowControl/>
              <w:jc w:val="center"/>
              <w:rPr>
                <w:rFonts w:ascii="Times New Roman" w:hAnsi="Times New Roman" w:cs="Times New Roman"/>
                <w:kern w:val="0"/>
                <w:szCs w:val="21"/>
              </w:rPr>
            </w:pPr>
          </w:p>
        </w:tc>
        <w:tc>
          <w:tcPr>
            <w:tcW w:w="0" w:type="auto"/>
            <w:vMerge w:val="continue"/>
            <w:vAlign w:val="center"/>
          </w:tcPr>
          <w:p w14:paraId="0C166671">
            <w:pPr>
              <w:widowControl/>
              <w:jc w:val="center"/>
              <w:rPr>
                <w:rFonts w:ascii="Times New Roman" w:hAnsi="Times New Roman" w:cs="Times New Roman"/>
                <w:kern w:val="0"/>
                <w:szCs w:val="21"/>
              </w:rPr>
            </w:pPr>
          </w:p>
        </w:tc>
        <w:tc>
          <w:tcPr>
            <w:tcW w:w="0" w:type="auto"/>
            <w:vAlign w:val="center"/>
          </w:tcPr>
          <w:p w14:paraId="5264B013">
            <w:pPr>
              <w:widowControl/>
              <w:jc w:val="center"/>
              <w:rPr>
                <w:rFonts w:ascii="Times New Roman" w:hAnsi="Times New Roman" w:cs="Times New Roman"/>
                <w:kern w:val="0"/>
                <w:szCs w:val="21"/>
              </w:rPr>
            </w:pPr>
            <w:r>
              <w:rPr>
                <w:rFonts w:ascii="Times New Roman" w:hAnsi="Times New Roman" w:cs="Times New Roman"/>
                <w:kern w:val="0"/>
                <w:szCs w:val="21"/>
              </w:rPr>
              <w:t>80</w:t>
            </w:r>
          </w:p>
        </w:tc>
        <w:tc>
          <w:tcPr>
            <w:tcW w:w="759" w:type="dxa"/>
            <w:vAlign w:val="center"/>
          </w:tcPr>
          <w:p w14:paraId="7BC3BD7D">
            <w:pPr>
              <w:widowControl/>
              <w:jc w:val="center"/>
              <w:rPr>
                <w:rFonts w:ascii="Times New Roman" w:hAnsi="Times New Roman" w:cs="Times New Roman"/>
                <w:kern w:val="0"/>
                <w:szCs w:val="21"/>
              </w:rPr>
            </w:pPr>
            <w:r>
              <w:rPr>
                <w:rFonts w:hint="eastAsia" w:ascii="Times New Roman" w:hAnsi="Times New Roman" w:cs="Times New Roman"/>
                <w:kern w:val="0"/>
                <w:szCs w:val="21"/>
              </w:rPr>
              <w:t>0.17</w:t>
            </w:r>
          </w:p>
        </w:tc>
        <w:tc>
          <w:tcPr>
            <w:tcW w:w="0" w:type="auto"/>
            <w:vMerge w:val="continue"/>
            <w:vAlign w:val="center"/>
          </w:tcPr>
          <w:p w14:paraId="1F495687">
            <w:pPr>
              <w:widowControl/>
              <w:jc w:val="center"/>
              <w:rPr>
                <w:rFonts w:ascii="Times New Roman" w:hAnsi="Times New Roman" w:cs="Times New Roman"/>
                <w:kern w:val="0"/>
                <w:szCs w:val="21"/>
              </w:rPr>
            </w:pPr>
          </w:p>
        </w:tc>
        <w:tc>
          <w:tcPr>
            <w:tcW w:w="0" w:type="auto"/>
            <w:vAlign w:val="center"/>
          </w:tcPr>
          <w:p w14:paraId="5B894518">
            <w:pPr>
              <w:widowControl/>
              <w:jc w:val="center"/>
              <w:rPr>
                <w:rFonts w:ascii="Times New Roman" w:hAnsi="Times New Roman" w:cs="Times New Roman"/>
                <w:kern w:val="0"/>
                <w:szCs w:val="21"/>
              </w:rPr>
            </w:pPr>
            <w:r>
              <w:rPr>
                <w:rFonts w:ascii="Times New Roman" w:hAnsi="Times New Roman" w:cs="Times New Roman"/>
                <w:kern w:val="0"/>
                <w:szCs w:val="21"/>
              </w:rPr>
              <w:t>80</w:t>
            </w:r>
          </w:p>
        </w:tc>
        <w:tc>
          <w:tcPr>
            <w:tcW w:w="0" w:type="auto"/>
            <w:vAlign w:val="center"/>
          </w:tcPr>
          <w:p w14:paraId="3C2C9192">
            <w:pPr>
              <w:widowControl/>
              <w:jc w:val="center"/>
              <w:rPr>
                <w:rFonts w:ascii="Times New Roman" w:hAnsi="Times New Roman" w:cs="Times New Roman"/>
                <w:kern w:val="0"/>
                <w:szCs w:val="21"/>
              </w:rPr>
            </w:pPr>
            <w:r>
              <w:rPr>
                <w:rFonts w:ascii="Times New Roman" w:hAnsi="Times New Roman" w:cs="Times New Roman"/>
                <w:kern w:val="0"/>
                <w:szCs w:val="21"/>
              </w:rPr>
              <w:t>达标</w:t>
            </w:r>
          </w:p>
        </w:tc>
        <w:tc>
          <w:tcPr>
            <w:tcW w:w="0" w:type="auto"/>
            <w:vMerge w:val="continue"/>
            <w:vAlign w:val="center"/>
          </w:tcPr>
          <w:p w14:paraId="14D95E71">
            <w:pPr>
              <w:widowControl/>
              <w:jc w:val="center"/>
              <w:rPr>
                <w:rFonts w:ascii="Times New Roman" w:hAnsi="Times New Roman" w:cs="Times New Roman"/>
                <w:kern w:val="0"/>
                <w:szCs w:val="21"/>
              </w:rPr>
            </w:pPr>
          </w:p>
        </w:tc>
        <w:tc>
          <w:tcPr>
            <w:tcW w:w="0" w:type="auto"/>
            <w:vMerge w:val="continue"/>
            <w:vAlign w:val="center"/>
          </w:tcPr>
          <w:p w14:paraId="7208C4B4">
            <w:pPr>
              <w:widowControl/>
              <w:jc w:val="center"/>
              <w:rPr>
                <w:rFonts w:ascii="Times New Roman" w:hAnsi="Times New Roman" w:cs="Times New Roman"/>
                <w:kern w:val="0"/>
                <w:szCs w:val="21"/>
              </w:rPr>
            </w:pPr>
          </w:p>
        </w:tc>
        <w:tc>
          <w:tcPr>
            <w:tcW w:w="0" w:type="auto"/>
            <w:vMerge w:val="continue"/>
            <w:vAlign w:val="center"/>
          </w:tcPr>
          <w:p w14:paraId="556F1B4F">
            <w:pPr>
              <w:widowControl/>
              <w:jc w:val="center"/>
              <w:rPr>
                <w:rFonts w:ascii="Times New Roman" w:hAnsi="Times New Roman" w:cs="Times New Roman"/>
                <w:kern w:val="0"/>
                <w:szCs w:val="21"/>
              </w:rPr>
            </w:pPr>
          </w:p>
        </w:tc>
        <w:tc>
          <w:tcPr>
            <w:tcW w:w="0" w:type="auto"/>
            <w:vMerge w:val="continue"/>
            <w:vAlign w:val="center"/>
          </w:tcPr>
          <w:p w14:paraId="22779186">
            <w:pPr>
              <w:widowControl/>
              <w:jc w:val="center"/>
              <w:rPr>
                <w:rFonts w:ascii="Times New Roman" w:hAnsi="Times New Roman" w:cs="Times New Roman"/>
                <w:kern w:val="0"/>
                <w:szCs w:val="21"/>
              </w:rPr>
            </w:pPr>
          </w:p>
        </w:tc>
        <w:tc>
          <w:tcPr>
            <w:tcW w:w="0" w:type="auto"/>
            <w:vMerge w:val="continue"/>
            <w:vAlign w:val="center"/>
          </w:tcPr>
          <w:p w14:paraId="601683C4">
            <w:pPr>
              <w:widowControl/>
              <w:jc w:val="center"/>
              <w:rPr>
                <w:rFonts w:ascii="Times New Roman" w:hAnsi="Times New Roman" w:cs="Times New Roman"/>
                <w:kern w:val="0"/>
                <w:szCs w:val="21"/>
              </w:rPr>
            </w:pPr>
          </w:p>
        </w:tc>
      </w:tr>
      <w:tr w14:paraId="2B9D3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0C6FB9F6">
            <w:pPr>
              <w:widowControl/>
              <w:jc w:val="center"/>
              <w:rPr>
                <w:rFonts w:ascii="Times New Roman" w:hAnsi="Times New Roman" w:cs="Times New Roman"/>
                <w:kern w:val="0"/>
                <w:szCs w:val="21"/>
              </w:rPr>
            </w:pPr>
          </w:p>
        </w:tc>
        <w:tc>
          <w:tcPr>
            <w:tcW w:w="0" w:type="auto"/>
            <w:vMerge w:val="continue"/>
            <w:vAlign w:val="center"/>
          </w:tcPr>
          <w:p w14:paraId="353DDCEC">
            <w:pPr>
              <w:widowControl/>
              <w:jc w:val="center"/>
              <w:rPr>
                <w:rFonts w:ascii="Times New Roman" w:hAnsi="Times New Roman" w:cs="Times New Roman"/>
                <w:kern w:val="0"/>
                <w:szCs w:val="21"/>
              </w:rPr>
            </w:pPr>
          </w:p>
        </w:tc>
        <w:tc>
          <w:tcPr>
            <w:tcW w:w="0" w:type="auto"/>
            <w:vAlign w:val="center"/>
          </w:tcPr>
          <w:p w14:paraId="2151194F">
            <w:pPr>
              <w:widowControl/>
              <w:jc w:val="center"/>
              <w:rPr>
                <w:rFonts w:ascii="Times New Roman" w:hAnsi="Times New Roman" w:cs="Times New Roman"/>
                <w:kern w:val="0"/>
                <w:szCs w:val="21"/>
              </w:rPr>
            </w:pPr>
            <w:r>
              <w:rPr>
                <w:rFonts w:ascii="Times New Roman" w:hAnsi="Times New Roman" w:cs="Times New Roman"/>
                <w:kern w:val="0"/>
                <w:szCs w:val="21"/>
              </w:rPr>
              <w:t>BOD</w:t>
            </w:r>
            <w:r>
              <w:rPr>
                <w:rFonts w:ascii="Times New Roman" w:hAnsi="Times New Roman" w:cs="Times New Roman"/>
                <w:kern w:val="0"/>
                <w:sz w:val="20"/>
                <w:szCs w:val="20"/>
                <w:vertAlign w:val="subscript"/>
              </w:rPr>
              <w:t>5</w:t>
            </w:r>
          </w:p>
        </w:tc>
        <w:tc>
          <w:tcPr>
            <w:tcW w:w="0" w:type="auto"/>
            <w:vAlign w:val="center"/>
          </w:tcPr>
          <w:p w14:paraId="3F44C1CB">
            <w:pPr>
              <w:widowControl/>
              <w:jc w:val="center"/>
              <w:rPr>
                <w:rFonts w:ascii="Times New Roman" w:hAnsi="Times New Roman" w:cs="Times New Roman"/>
                <w:kern w:val="0"/>
                <w:szCs w:val="21"/>
              </w:rPr>
            </w:pPr>
            <w:r>
              <w:rPr>
                <w:rFonts w:ascii="Times New Roman" w:hAnsi="Times New Roman" w:cs="Times New Roman"/>
                <w:kern w:val="0"/>
                <w:szCs w:val="21"/>
              </w:rPr>
              <w:t>300</w:t>
            </w:r>
          </w:p>
        </w:tc>
        <w:tc>
          <w:tcPr>
            <w:tcW w:w="759" w:type="dxa"/>
            <w:vAlign w:val="center"/>
          </w:tcPr>
          <w:p w14:paraId="4BCB5745">
            <w:pPr>
              <w:widowControl/>
              <w:jc w:val="center"/>
              <w:rPr>
                <w:rFonts w:ascii="Times New Roman" w:hAnsi="Times New Roman" w:cs="Times New Roman"/>
                <w:kern w:val="0"/>
                <w:szCs w:val="21"/>
              </w:rPr>
            </w:pPr>
            <w:r>
              <w:rPr>
                <w:rFonts w:hint="eastAsia" w:ascii="Times New Roman" w:hAnsi="Times New Roman" w:cs="Times New Roman"/>
                <w:kern w:val="0"/>
                <w:szCs w:val="21"/>
              </w:rPr>
              <w:t>0.63</w:t>
            </w:r>
          </w:p>
        </w:tc>
        <w:tc>
          <w:tcPr>
            <w:tcW w:w="0" w:type="auto"/>
            <w:vMerge w:val="continue"/>
            <w:vAlign w:val="center"/>
          </w:tcPr>
          <w:p w14:paraId="52DFD9B1">
            <w:pPr>
              <w:widowControl/>
              <w:jc w:val="center"/>
              <w:rPr>
                <w:rFonts w:ascii="Times New Roman" w:hAnsi="Times New Roman" w:cs="Times New Roman"/>
                <w:kern w:val="0"/>
                <w:szCs w:val="21"/>
              </w:rPr>
            </w:pPr>
          </w:p>
        </w:tc>
        <w:tc>
          <w:tcPr>
            <w:tcW w:w="0" w:type="auto"/>
            <w:vMerge w:val="continue"/>
            <w:vAlign w:val="center"/>
          </w:tcPr>
          <w:p w14:paraId="70AF3D28">
            <w:pPr>
              <w:widowControl/>
              <w:jc w:val="center"/>
              <w:rPr>
                <w:rFonts w:ascii="Times New Roman" w:hAnsi="Times New Roman" w:cs="Times New Roman"/>
                <w:kern w:val="0"/>
                <w:szCs w:val="21"/>
              </w:rPr>
            </w:pPr>
          </w:p>
        </w:tc>
        <w:tc>
          <w:tcPr>
            <w:tcW w:w="0" w:type="auto"/>
            <w:vMerge w:val="continue"/>
            <w:vAlign w:val="center"/>
          </w:tcPr>
          <w:p w14:paraId="0DCA09EA">
            <w:pPr>
              <w:widowControl/>
              <w:jc w:val="center"/>
              <w:rPr>
                <w:rFonts w:ascii="Times New Roman" w:hAnsi="Times New Roman" w:cs="Times New Roman"/>
                <w:kern w:val="0"/>
                <w:szCs w:val="21"/>
              </w:rPr>
            </w:pPr>
          </w:p>
        </w:tc>
        <w:tc>
          <w:tcPr>
            <w:tcW w:w="0" w:type="auto"/>
            <w:vAlign w:val="center"/>
          </w:tcPr>
          <w:p w14:paraId="1AEB1C85">
            <w:pPr>
              <w:widowControl/>
              <w:jc w:val="center"/>
              <w:rPr>
                <w:rFonts w:ascii="Times New Roman" w:hAnsi="Times New Roman" w:cs="Times New Roman"/>
                <w:kern w:val="0"/>
                <w:szCs w:val="21"/>
              </w:rPr>
            </w:pPr>
            <w:r>
              <w:rPr>
                <w:rFonts w:ascii="Times New Roman" w:hAnsi="Times New Roman" w:cs="Times New Roman"/>
                <w:kern w:val="0"/>
                <w:szCs w:val="21"/>
              </w:rPr>
              <w:t>20</w:t>
            </w:r>
          </w:p>
        </w:tc>
        <w:tc>
          <w:tcPr>
            <w:tcW w:w="759" w:type="dxa"/>
            <w:vAlign w:val="center"/>
          </w:tcPr>
          <w:p w14:paraId="48B1CADF">
            <w:pPr>
              <w:widowControl/>
              <w:jc w:val="center"/>
              <w:rPr>
                <w:rFonts w:ascii="Times New Roman" w:hAnsi="Times New Roman" w:cs="Times New Roman"/>
                <w:kern w:val="0"/>
                <w:szCs w:val="21"/>
              </w:rPr>
            </w:pPr>
            <w:r>
              <w:rPr>
                <w:rFonts w:hint="eastAsia" w:ascii="Times New Roman" w:hAnsi="Times New Roman" w:cs="Times New Roman"/>
                <w:kern w:val="0"/>
                <w:szCs w:val="21"/>
              </w:rPr>
              <w:t>0.042</w:t>
            </w:r>
          </w:p>
        </w:tc>
        <w:tc>
          <w:tcPr>
            <w:tcW w:w="0" w:type="auto"/>
            <w:vMerge w:val="continue"/>
            <w:vAlign w:val="center"/>
          </w:tcPr>
          <w:p w14:paraId="67C09B76">
            <w:pPr>
              <w:widowControl/>
              <w:jc w:val="center"/>
              <w:rPr>
                <w:rFonts w:ascii="Times New Roman" w:hAnsi="Times New Roman" w:cs="Times New Roman"/>
                <w:kern w:val="0"/>
                <w:szCs w:val="21"/>
              </w:rPr>
            </w:pPr>
          </w:p>
        </w:tc>
        <w:tc>
          <w:tcPr>
            <w:tcW w:w="0" w:type="auto"/>
            <w:vAlign w:val="center"/>
          </w:tcPr>
          <w:p w14:paraId="6318DE86">
            <w:pPr>
              <w:widowControl/>
              <w:jc w:val="center"/>
              <w:rPr>
                <w:rFonts w:ascii="Times New Roman" w:hAnsi="Times New Roman" w:cs="Times New Roman"/>
                <w:kern w:val="0"/>
                <w:szCs w:val="21"/>
              </w:rPr>
            </w:pPr>
            <w:r>
              <w:rPr>
                <w:rFonts w:ascii="Times New Roman" w:hAnsi="Times New Roman" w:cs="Times New Roman"/>
                <w:kern w:val="0"/>
                <w:szCs w:val="21"/>
              </w:rPr>
              <w:t>20</w:t>
            </w:r>
          </w:p>
        </w:tc>
        <w:tc>
          <w:tcPr>
            <w:tcW w:w="0" w:type="auto"/>
            <w:vAlign w:val="center"/>
          </w:tcPr>
          <w:p w14:paraId="4C1DA0A8">
            <w:pPr>
              <w:widowControl/>
              <w:jc w:val="center"/>
              <w:rPr>
                <w:rFonts w:ascii="Times New Roman" w:hAnsi="Times New Roman" w:cs="Times New Roman"/>
                <w:kern w:val="0"/>
                <w:szCs w:val="21"/>
              </w:rPr>
            </w:pPr>
            <w:r>
              <w:rPr>
                <w:rFonts w:ascii="Times New Roman" w:hAnsi="Times New Roman" w:cs="Times New Roman"/>
                <w:kern w:val="0"/>
                <w:szCs w:val="21"/>
              </w:rPr>
              <w:t>达标</w:t>
            </w:r>
          </w:p>
        </w:tc>
        <w:tc>
          <w:tcPr>
            <w:tcW w:w="0" w:type="auto"/>
            <w:vMerge w:val="continue"/>
            <w:vAlign w:val="center"/>
          </w:tcPr>
          <w:p w14:paraId="27A92F0A">
            <w:pPr>
              <w:widowControl/>
              <w:jc w:val="center"/>
              <w:rPr>
                <w:rFonts w:ascii="Times New Roman" w:hAnsi="Times New Roman" w:cs="Times New Roman"/>
                <w:kern w:val="0"/>
                <w:szCs w:val="21"/>
              </w:rPr>
            </w:pPr>
          </w:p>
        </w:tc>
        <w:tc>
          <w:tcPr>
            <w:tcW w:w="0" w:type="auto"/>
            <w:vMerge w:val="continue"/>
            <w:vAlign w:val="center"/>
          </w:tcPr>
          <w:p w14:paraId="207E5C97">
            <w:pPr>
              <w:widowControl/>
              <w:jc w:val="center"/>
              <w:rPr>
                <w:rFonts w:ascii="Times New Roman" w:hAnsi="Times New Roman" w:cs="Times New Roman"/>
                <w:kern w:val="0"/>
                <w:szCs w:val="21"/>
              </w:rPr>
            </w:pPr>
          </w:p>
        </w:tc>
        <w:tc>
          <w:tcPr>
            <w:tcW w:w="0" w:type="auto"/>
            <w:vMerge w:val="continue"/>
            <w:vAlign w:val="center"/>
          </w:tcPr>
          <w:p w14:paraId="2AB2CB0C">
            <w:pPr>
              <w:widowControl/>
              <w:jc w:val="center"/>
              <w:rPr>
                <w:rFonts w:ascii="Times New Roman" w:hAnsi="Times New Roman" w:cs="Times New Roman"/>
                <w:kern w:val="0"/>
                <w:szCs w:val="21"/>
              </w:rPr>
            </w:pPr>
          </w:p>
        </w:tc>
        <w:tc>
          <w:tcPr>
            <w:tcW w:w="0" w:type="auto"/>
            <w:vMerge w:val="continue"/>
            <w:vAlign w:val="center"/>
          </w:tcPr>
          <w:p w14:paraId="28245C0F">
            <w:pPr>
              <w:widowControl/>
              <w:jc w:val="center"/>
              <w:rPr>
                <w:rFonts w:ascii="Times New Roman" w:hAnsi="Times New Roman" w:cs="Times New Roman"/>
                <w:kern w:val="0"/>
                <w:szCs w:val="21"/>
              </w:rPr>
            </w:pPr>
          </w:p>
        </w:tc>
        <w:tc>
          <w:tcPr>
            <w:tcW w:w="0" w:type="auto"/>
            <w:vMerge w:val="continue"/>
            <w:vAlign w:val="center"/>
          </w:tcPr>
          <w:p w14:paraId="15EC76FB">
            <w:pPr>
              <w:widowControl/>
              <w:jc w:val="center"/>
              <w:rPr>
                <w:rFonts w:ascii="Times New Roman" w:hAnsi="Times New Roman" w:cs="Times New Roman"/>
                <w:kern w:val="0"/>
                <w:szCs w:val="21"/>
              </w:rPr>
            </w:pPr>
          </w:p>
        </w:tc>
      </w:tr>
      <w:tr w14:paraId="31262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489DD4DC">
            <w:pPr>
              <w:widowControl/>
              <w:jc w:val="center"/>
              <w:rPr>
                <w:rFonts w:ascii="Times New Roman" w:hAnsi="Times New Roman" w:cs="Times New Roman"/>
                <w:kern w:val="0"/>
                <w:szCs w:val="21"/>
              </w:rPr>
            </w:pPr>
          </w:p>
        </w:tc>
        <w:tc>
          <w:tcPr>
            <w:tcW w:w="0" w:type="auto"/>
            <w:vMerge w:val="continue"/>
            <w:vAlign w:val="center"/>
          </w:tcPr>
          <w:p w14:paraId="69FBCF51">
            <w:pPr>
              <w:widowControl/>
              <w:jc w:val="center"/>
              <w:rPr>
                <w:rFonts w:ascii="Times New Roman" w:hAnsi="Times New Roman" w:cs="Times New Roman"/>
                <w:kern w:val="0"/>
                <w:szCs w:val="21"/>
              </w:rPr>
            </w:pPr>
          </w:p>
        </w:tc>
        <w:tc>
          <w:tcPr>
            <w:tcW w:w="0" w:type="auto"/>
            <w:vAlign w:val="center"/>
          </w:tcPr>
          <w:p w14:paraId="7C4D36A1">
            <w:pPr>
              <w:widowControl/>
              <w:jc w:val="center"/>
              <w:rPr>
                <w:rFonts w:ascii="Times New Roman" w:hAnsi="Times New Roman" w:cs="Times New Roman"/>
                <w:kern w:val="0"/>
                <w:szCs w:val="21"/>
              </w:rPr>
            </w:pPr>
            <w:r>
              <w:rPr>
                <w:rFonts w:ascii="Times New Roman" w:hAnsi="Times New Roman" w:cs="Times New Roman"/>
                <w:kern w:val="0"/>
                <w:szCs w:val="21"/>
              </w:rPr>
              <w:t>SS</w:t>
            </w:r>
          </w:p>
        </w:tc>
        <w:tc>
          <w:tcPr>
            <w:tcW w:w="0" w:type="auto"/>
            <w:vAlign w:val="center"/>
          </w:tcPr>
          <w:p w14:paraId="3935C762">
            <w:pPr>
              <w:widowControl/>
              <w:jc w:val="center"/>
              <w:rPr>
                <w:rFonts w:ascii="Times New Roman" w:hAnsi="Times New Roman" w:cs="Times New Roman"/>
                <w:kern w:val="0"/>
                <w:szCs w:val="21"/>
              </w:rPr>
            </w:pPr>
            <w:r>
              <w:rPr>
                <w:rFonts w:ascii="Times New Roman" w:hAnsi="Times New Roman" w:cs="Times New Roman"/>
                <w:kern w:val="0"/>
                <w:szCs w:val="21"/>
              </w:rPr>
              <w:t>400</w:t>
            </w:r>
          </w:p>
        </w:tc>
        <w:tc>
          <w:tcPr>
            <w:tcW w:w="759" w:type="dxa"/>
            <w:vAlign w:val="center"/>
          </w:tcPr>
          <w:p w14:paraId="5F2ECF0B">
            <w:pPr>
              <w:widowControl/>
              <w:jc w:val="center"/>
              <w:rPr>
                <w:rFonts w:ascii="Times New Roman" w:hAnsi="Times New Roman" w:cs="Times New Roman"/>
                <w:kern w:val="0"/>
                <w:szCs w:val="21"/>
              </w:rPr>
            </w:pPr>
            <w:r>
              <w:rPr>
                <w:rFonts w:hint="eastAsia" w:ascii="Times New Roman" w:hAnsi="Times New Roman" w:cs="Times New Roman"/>
                <w:kern w:val="0"/>
                <w:szCs w:val="21"/>
              </w:rPr>
              <w:t>0.85</w:t>
            </w:r>
          </w:p>
        </w:tc>
        <w:tc>
          <w:tcPr>
            <w:tcW w:w="0" w:type="auto"/>
            <w:vMerge w:val="continue"/>
            <w:vAlign w:val="center"/>
          </w:tcPr>
          <w:p w14:paraId="21C9CE09">
            <w:pPr>
              <w:widowControl/>
              <w:jc w:val="center"/>
              <w:rPr>
                <w:rFonts w:ascii="Times New Roman" w:hAnsi="Times New Roman" w:cs="Times New Roman"/>
                <w:kern w:val="0"/>
                <w:szCs w:val="21"/>
              </w:rPr>
            </w:pPr>
          </w:p>
        </w:tc>
        <w:tc>
          <w:tcPr>
            <w:tcW w:w="0" w:type="auto"/>
            <w:vMerge w:val="continue"/>
            <w:vAlign w:val="center"/>
          </w:tcPr>
          <w:p w14:paraId="55F1FE78">
            <w:pPr>
              <w:widowControl/>
              <w:jc w:val="center"/>
              <w:rPr>
                <w:rFonts w:ascii="Times New Roman" w:hAnsi="Times New Roman" w:cs="Times New Roman"/>
                <w:kern w:val="0"/>
                <w:szCs w:val="21"/>
              </w:rPr>
            </w:pPr>
          </w:p>
        </w:tc>
        <w:tc>
          <w:tcPr>
            <w:tcW w:w="0" w:type="auto"/>
            <w:vMerge w:val="continue"/>
            <w:vAlign w:val="center"/>
          </w:tcPr>
          <w:p w14:paraId="3FBC1B35">
            <w:pPr>
              <w:widowControl/>
              <w:jc w:val="center"/>
              <w:rPr>
                <w:rFonts w:ascii="Times New Roman" w:hAnsi="Times New Roman" w:cs="Times New Roman"/>
                <w:kern w:val="0"/>
                <w:szCs w:val="21"/>
              </w:rPr>
            </w:pPr>
          </w:p>
        </w:tc>
        <w:tc>
          <w:tcPr>
            <w:tcW w:w="0" w:type="auto"/>
            <w:vAlign w:val="center"/>
          </w:tcPr>
          <w:p w14:paraId="2E6CA363">
            <w:pPr>
              <w:widowControl/>
              <w:jc w:val="center"/>
              <w:rPr>
                <w:rFonts w:ascii="Times New Roman" w:hAnsi="Times New Roman" w:cs="Times New Roman"/>
                <w:kern w:val="0"/>
                <w:szCs w:val="21"/>
              </w:rPr>
            </w:pPr>
            <w:r>
              <w:rPr>
                <w:rFonts w:ascii="Times New Roman" w:hAnsi="Times New Roman" w:cs="Times New Roman"/>
                <w:kern w:val="0"/>
                <w:szCs w:val="21"/>
              </w:rPr>
              <w:t>70</w:t>
            </w:r>
          </w:p>
        </w:tc>
        <w:tc>
          <w:tcPr>
            <w:tcW w:w="759" w:type="dxa"/>
            <w:vAlign w:val="center"/>
          </w:tcPr>
          <w:p w14:paraId="18C4CC5B">
            <w:pPr>
              <w:widowControl/>
              <w:jc w:val="center"/>
              <w:rPr>
                <w:rFonts w:ascii="Times New Roman" w:hAnsi="Times New Roman" w:cs="Times New Roman"/>
                <w:kern w:val="0"/>
                <w:szCs w:val="21"/>
              </w:rPr>
            </w:pPr>
            <w:r>
              <w:rPr>
                <w:rFonts w:hint="eastAsia" w:ascii="Times New Roman" w:hAnsi="Times New Roman" w:cs="Times New Roman"/>
                <w:kern w:val="0"/>
                <w:szCs w:val="21"/>
              </w:rPr>
              <w:t>0.15</w:t>
            </w:r>
          </w:p>
        </w:tc>
        <w:tc>
          <w:tcPr>
            <w:tcW w:w="0" w:type="auto"/>
            <w:vMerge w:val="continue"/>
            <w:vAlign w:val="center"/>
          </w:tcPr>
          <w:p w14:paraId="50E08C29">
            <w:pPr>
              <w:widowControl/>
              <w:jc w:val="center"/>
              <w:rPr>
                <w:rFonts w:ascii="Times New Roman" w:hAnsi="Times New Roman" w:cs="Times New Roman"/>
                <w:kern w:val="0"/>
                <w:szCs w:val="21"/>
              </w:rPr>
            </w:pPr>
          </w:p>
        </w:tc>
        <w:tc>
          <w:tcPr>
            <w:tcW w:w="0" w:type="auto"/>
            <w:vAlign w:val="center"/>
          </w:tcPr>
          <w:p w14:paraId="516DD736">
            <w:pPr>
              <w:widowControl/>
              <w:jc w:val="center"/>
              <w:rPr>
                <w:rFonts w:ascii="Times New Roman" w:hAnsi="Times New Roman" w:cs="Times New Roman"/>
                <w:kern w:val="0"/>
                <w:szCs w:val="21"/>
              </w:rPr>
            </w:pPr>
            <w:r>
              <w:rPr>
                <w:rFonts w:ascii="Times New Roman" w:hAnsi="Times New Roman" w:cs="Times New Roman"/>
                <w:kern w:val="0"/>
                <w:szCs w:val="21"/>
              </w:rPr>
              <w:t>70</w:t>
            </w:r>
          </w:p>
        </w:tc>
        <w:tc>
          <w:tcPr>
            <w:tcW w:w="0" w:type="auto"/>
            <w:vAlign w:val="center"/>
          </w:tcPr>
          <w:p w14:paraId="7DE6160B">
            <w:pPr>
              <w:widowControl/>
              <w:jc w:val="center"/>
              <w:rPr>
                <w:rFonts w:ascii="Times New Roman" w:hAnsi="Times New Roman" w:cs="Times New Roman"/>
                <w:kern w:val="0"/>
                <w:szCs w:val="21"/>
              </w:rPr>
            </w:pPr>
            <w:r>
              <w:rPr>
                <w:rFonts w:ascii="Times New Roman" w:hAnsi="Times New Roman" w:cs="Times New Roman"/>
                <w:kern w:val="0"/>
                <w:szCs w:val="21"/>
              </w:rPr>
              <w:t>达标</w:t>
            </w:r>
          </w:p>
        </w:tc>
        <w:tc>
          <w:tcPr>
            <w:tcW w:w="0" w:type="auto"/>
            <w:vMerge w:val="continue"/>
            <w:vAlign w:val="center"/>
          </w:tcPr>
          <w:p w14:paraId="7EE8A59E">
            <w:pPr>
              <w:widowControl/>
              <w:jc w:val="center"/>
              <w:rPr>
                <w:rFonts w:ascii="Times New Roman" w:hAnsi="Times New Roman" w:cs="Times New Roman"/>
                <w:kern w:val="0"/>
                <w:szCs w:val="21"/>
              </w:rPr>
            </w:pPr>
          </w:p>
        </w:tc>
        <w:tc>
          <w:tcPr>
            <w:tcW w:w="0" w:type="auto"/>
            <w:vMerge w:val="continue"/>
            <w:vAlign w:val="center"/>
          </w:tcPr>
          <w:p w14:paraId="3E26A7E4">
            <w:pPr>
              <w:widowControl/>
              <w:jc w:val="center"/>
              <w:rPr>
                <w:rFonts w:ascii="Times New Roman" w:hAnsi="Times New Roman" w:cs="Times New Roman"/>
                <w:kern w:val="0"/>
                <w:szCs w:val="21"/>
              </w:rPr>
            </w:pPr>
          </w:p>
        </w:tc>
        <w:tc>
          <w:tcPr>
            <w:tcW w:w="0" w:type="auto"/>
            <w:vMerge w:val="continue"/>
            <w:vAlign w:val="center"/>
          </w:tcPr>
          <w:p w14:paraId="6C03BBA7">
            <w:pPr>
              <w:widowControl/>
              <w:jc w:val="center"/>
              <w:rPr>
                <w:rFonts w:ascii="Times New Roman" w:hAnsi="Times New Roman" w:cs="Times New Roman"/>
                <w:kern w:val="0"/>
                <w:szCs w:val="21"/>
              </w:rPr>
            </w:pPr>
          </w:p>
        </w:tc>
        <w:tc>
          <w:tcPr>
            <w:tcW w:w="0" w:type="auto"/>
            <w:vMerge w:val="continue"/>
            <w:vAlign w:val="center"/>
          </w:tcPr>
          <w:p w14:paraId="6642F019">
            <w:pPr>
              <w:widowControl/>
              <w:jc w:val="center"/>
              <w:rPr>
                <w:rFonts w:ascii="Times New Roman" w:hAnsi="Times New Roman" w:cs="Times New Roman"/>
                <w:kern w:val="0"/>
                <w:szCs w:val="21"/>
              </w:rPr>
            </w:pPr>
          </w:p>
        </w:tc>
        <w:tc>
          <w:tcPr>
            <w:tcW w:w="0" w:type="auto"/>
            <w:vMerge w:val="continue"/>
            <w:vAlign w:val="center"/>
          </w:tcPr>
          <w:p w14:paraId="3101E7CB">
            <w:pPr>
              <w:widowControl/>
              <w:jc w:val="center"/>
              <w:rPr>
                <w:rFonts w:ascii="Times New Roman" w:hAnsi="Times New Roman" w:cs="Times New Roman"/>
                <w:kern w:val="0"/>
                <w:szCs w:val="21"/>
              </w:rPr>
            </w:pPr>
          </w:p>
        </w:tc>
      </w:tr>
      <w:tr w14:paraId="629A9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1EF7F520">
            <w:pPr>
              <w:widowControl/>
              <w:jc w:val="center"/>
              <w:rPr>
                <w:rFonts w:ascii="Times New Roman" w:hAnsi="Times New Roman" w:cs="Times New Roman"/>
                <w:kern w:val="0"/>
                <w:szCs w:val="21"/>
              </w:rPr>
            </w:pPr>
          </w:p>
        </w:tc>
        <w:tc>
          <w:tcPr>
            <w:tcW w:w="0" w:type="auto"/>
            <w:vMerge w:val="continue"/>
            <w:vAlign w:val="center"/>
          </w:tcPr>
          <w:p w14:paraId="29839BC0">
            <w:pPr>
              <w:widowControl/>
              <w:jc w:val="center"/>
              <w:rPr>
                <w:rFonts w:ascii="Times New Roman" w:hAnsi="Times New Roman" w:cs="Times New Roman"/>
                <w:kern w:val="0"/>
                <w:szCs w:val="21"/>
              </w:rPr>
            </w:pPr>
          </w:p>
        </w:tc>
        <w:tc>
          <w:tcPr>
            <w:tcW w:w="0" w:type="auto"/>
            <w:vAlign w:val="center"/>
          </w:tcPr>
          <w:p w14:paraId="38FAE766">
            <w:pPr>
              <w:widowControl/>
              <w:jc w:val="center"/>
              <w:rPr>
                <w:rFonts w:ascii="Times New Roman" w:hAnsi="Times New Roman" w:cs="Times New Roman"/>
                <w:kern w:val="0"/>
                <w:szCs w:val="21"/>
              </w:rPr>
            </w:pPr>
            <w:r>
              <w:rPr>
                <w:rFonts w:ascii="Times New Roman" w:hAnsi="Times New Roman" w:cs="Times New Roman"/>
                <w:kern w:val="0"/>
                <w:szCs w:val="21"/>
              </w:rPr>
              <w:t>NH</w:t>
            </w:r>
            <w:r>
              <w:rPr>
                <w:rFonts w:ascii="Times New Roman" w:hAnsi="Times New Roman" w:cs="Times New Roman"/>
                <w:kern w:val="0"/>
                <w:szCs w:val="21"/>
                <w:vertAlign w:val="subscript"/>
              </w:rPr>
              <w:t>3</w:t>
            </w:r>
            <w:r>
              <w:rPr>
                <w:rFonts w:ascii="Times New Roman" w:hAnsi="Times New Roman" w:cs="Times New Roman"/>
                <w:kern w:val="0"/>
                <w:szCs w:val="21"/>
              </w:rPr>
              <w:t>-N</w:t>
            </w:r>
          </w:p>
        </w:tc>
        <w:tc>
          <w:tcPr>
            <w:tcW w:w="0" w:type="auto"/>
            <w:vAlign w:val="center"/>
          </w:tcPr>
          <w:p w14:paraId="0C8BF4F2">
            <w:pPr>
              <w:widowControl/>
              <w:jc w:val="center"/>
              <w:rPr>
                <w:rFonts w:ascii="Times New Roman" w:hAnsi="Times New Roman" w:cs="Times New Roman"/>
                <w:kern w:val="0"/>
                <w:szCs w:val="21"/>
              </w:rPr>
            </w:pPr>
            <w:r>
              <w:rPr>
                <w:rFonts w:ascii="Times New Roman" w:hAnsi="Times New Roman" w:cs="Times New Roman"/>
                <w:kern w:val="0"/>
                <w:szCs w:val="21"/>
              </w:rPr>
              <w:t>45</w:t>
            </w:r>
          </w:p>
        </w:tc>
        <w:tc>
          <w:tcPr>
            <w:tcW w:w="759" w:type="dxa"/>
            <w:vAlign w:val="center"/>
          </w:tcPr>
          <w:p w14:paraId="7040A6ED">
            <w:pPr>
              <w:widowControl/>
              <w:jc w:val="center"/>
              <w:rPr>
                <w:rFonts w:ascii="Times New Roman" w:hAnsi="Times New Roman" w:cs="Times New Roman"/>
                <w:kern w:val="0"/>
                <w:szCs w:val="21"/>
              </w:rPr>
            </w:pPr>
            <w:r>
              <w:rPr>
                <w:rFonts w:hint="eastAsia" w:ascii="Times New Roman" w:hAnsi="Times New Roman" w:cs="Times New Roman"/>
                <w:kern w:val="0"/>
                <w:szCs w:val="21"/>
              </w:rPr>
              <w:t>0.095</w:t>
            </w:r>
          </w:p>
        </w:tc>
        <w:tc>
          <w:tcPr>
            <w:tcW w:w="0" w:type="auto"/>
            <w:vMerge w:val="continue"/>
            <w:vAlign w:val="center"/>
          </w:tcPr>
          <w:p w14:paraId="7B50C915">
            <w:pPr>
              <w:widowControl/>
              <w:jc w:val="center"/>
              <w:rPr>
                <w:rFonts w:ascii="Times New Roman" w:hAnsi="Times New Roman" w:cs="Times New Roman"/>
                <w:kern w:val="0"/>
                <w:szCs w:val="21"/>
              </w:rPr>
            </w:pPr>
          </w:p>
        </w:tc>
        <w:tc>
          <w:tcPr>
            <w:tcW w:w="0" w:type="auto"/>
            <w:vMerge w:val="continue"/>
            <w:vAlign w:val="center"/>
          </w:tcPr>
          <w:p w14:paraId="653F158D">
            <w:pPr>
              <w:widowControl/>
              <w:jc w:val="center"/>
              <w:rPr>
                <w:rFonts w:ascii="Times New Roman" w:hAnsi="Times New Roman" w:cs="Times New Roman"/>
                <w:kern w:val="0"/>
                <w:szCs w:val="21"/>
              </w:rPr>
            </w:pPr>
          </w:p>
        </w:tc>
        <w:tc>
          <w:tcPr>
            <w:tcW w:w="0" w:type="auto"/>
            <w:vMerge w:val="continue"/>
            <w:vAlign w:val="center"/>
          </w:tcPr>
          <w:p w14:paraId="402AA3DB">
            <w:pPr>
              <w:widowControl/>
              <w:jc w:val="center"/>
              <w:rPr>
                <w:rFonts w:ascii="Times New Roman" w:hAnsi="Times New Roman" w:cs="Times New Roman"/>
                <w:kern w:val="0"/>
                <w:szCs w:val="21"/>
              </w:rPr>
            </w:pPr>
          </w:p>
        </w:tc>
        <w:tc>
          <w:tcPr>
            <w:tcW w:w="0" w:type="auto"/>
            <w:vAlign w:val="center"/>
          </w:tcPr>
          <w:p w14:paraId="3EDCD609">
            <w:pPr>
              <w:widowControl/>
              <w:jc w:val="center"/>
              <w:rPr>
                <w:rFonts w:ascii="Times New Roman" w:hAnsi="Times New Roman" w:cs="Times New Roman"/>
                <w:kern w:val="0"/>
                <w:szCs w:val="21"/>
              </w:rPr>
            </w:pPr>
            <w:r>
              <w:rPr>
                <w:rFonts w:ascii="Times New Roman" w:hAnsi="Times New Roman" w:cs="Times New Roman"/>
                <w:kern w:val="0"/>
                <w:szCs w:val="21"/>
              </w:rPr>
              <w:t>10</w:t>
            </w:r>
          </w:p>
        </w:tc>
        <w:tc>
          <w:tcPr>
            <w:tcW w:w="759" w:type="dxa"/>
            <w:vAlign w:val="center"/>
          </w:tcPr>
          <w:p w14:paraId="390BEA11">
            <w:pPr>
              <w:widowControl/>
              <w:jc w:val="center"/>
              <w:rPr>
                <w:rFonts w:ascii="Times New Roman" w:hAnsi="Times New Roman" w:cs="Times New Roman"/>
                <w:kern w:val="0"/>
                <w:szCs w:val="21"/>
              </w:rPr>
            </w:pPr>
            <w:r>
              <w:rPr>
                <w:rFonts w:hint="eastAsia" w:ascii="Times New Roman" w:hAnsi="Times New Roman" w:cs="Times New Roman"/>
                <w:kern w:val="0"/>
                <w:szCs w:val="21"/>
              </w:rPr>
              <w:t>0.021</w:t>
            </w:r>
          </w:p>
        </w:tc>
        <w:tc>
          <w:tcPr>
            <w:tcW w:w="0" w:type="auto"/>
            <w:vMerge w:val="continue"/>
            <w:vAlign w:val="center"/>
          </w:tcPr>
          <w:p w14:paraId="191F5D01">
            <w:pPr>
              <w:widowControl/>
              <w:jc w:val="center"/>
              <w:rPr>
                <w:rFonts w:ascii="Times New Roman" w:hAnsi="Times New Roman" w:cs="Times New Roman"/>
                <w:kern w:val="0"/>
                <w:szCs w:val="21"/>
              </w:rPr>
            </w:pPr>
          </w:p>
        </w:tc>
        <w:tc>
          <w:tcPr>
            <w:tcW w:w="0" w:type="auto"/>
            <w:vAlign w:val="center"/>
          </w:tcPr>
          <w:p w14:paraId="633FA622">
            <w:pPr>
              <w:widowControl/>
              <w:jc w:val="center"/>
              <w:rPr>
                <w:rFonts w:ascii="Times New Roman" w:hAnsi="Times New Roman" w:cs="Times New Roman"/>
                <w:kern w:val="0"/>
                <w:szCs w:val="21"/>
              </w:rPr>
            </w:pPr>
            <w:r>
              <w:rPr>
                <w:rFonts w:ascii="Times New Roman" w:hAnsi="Times New Roman" w:cs="Times New Roman"/>
                <w:kern w:val="0"/>
                <w:szCs w:val="21"/>
              </w:rPr>
              <w:t>10</w:t>
            </w:r>
          </w:p>
        </w:tc>
        <w:tc>
          <w:tcPr>
            <w:tcW w:w="0" w:type="auto"/>
            <w:vAlign w:val="center"/>
          </w:tcPr>
          <w:p w14:paraId="1BD55E17">
            <w:pPr>
              <w:widowControl/>
              <w:jc w:val="center"/>
              <w:rPr>
                <w:rFonts w:ascii="Times New Roman" w:hAnsi="Times New Roman" w:cs="Times New Roman"/>
                <w:kern w:val="0"/>
                <w:szCs w:val="21"/>
              </w:rPr>
            </w:pPr>
            <w:r>
              <w:rPr>
                <w:rFonts w:ascii="Times New Roman" w:hAnsi="Times New Roman" w:cs="Times New Roman"/>
                <w:kern w:val="0"/>
                <w:szCs w:val="21"/>
              </w:rPr>
              <w:t>达标</w:t>
            </w:r>
          </w:p>
        </w:tc>
        <w:tc>
          <w:tcPr>
            <w:tcW w:w="0" w:type="auto"/>
            <w:vMerge w:val="continue"/>
            <w:vAlign w:val="center"/>
          </w:tcPr>
          <w:p w14:paraId="638755DF">
            <w:pPr>
              <w:widowControl/>
              <w:jc w:val="center"/>
              <w:rPr>
                <w:rFonts w:ascii="Times New Roman" w:hAnsi="Times New Roman" w:cs="Times New Roman"/>
                <w:kern w:val="0"/>
                <w:szCs w:val="21"/>
              </w:rPr>
            </w:pPr>
          </w:p>
        </w:tc>
        <w:tc>
          <w:tcPr>
            <w:tcW w:w="0" w:type="auto"/>
            <w:vMerge w:val="continue"/>
            <w:vAlign w:val="center"/>
          </w:tcPr>
          <w:p w14:paraId="59F62AB8">
            <w:pPr>
              <w:widowControl/>
              <w:jc w:val="center"/>
              <w:rPr>
                <w:rFonts w:ascii="Times New Roman" w:hAnsi="Times New Roman" w:cs="Times New Roman"/>
                <w:kern w:val="0"/>
                <w:szCs w:val="21"/>
              </w:rPr>
            </w:pPr>
          </w:p>
        </w:tc>
        <w:tc>
          <w:tcPr>
            <w:tcW w:w="0" w:type="auto"/>
            <w:vMerge w:val="continue"/>
            <w:vAlign w:val="center"/>
          </w:tcPr>
          <w:p w14:paraId="53D1C576">
            <w:pPr>
              <w:widowControl/>
              <w:jc w:val="center"/>
              <w:rPr>
                <w:rFonts w:ascii="Times New Roman" w:hAnsi="Times New Roman" w:cs="Times New Roman"/>
                <w:kern w:val="0"/>
                <w:szCs w:val="21"/>
              </w:rPr>
            </w:pPr>
          </w:p>
        </w:tc>
        <w:tc>
          <w:tcPr>
            <w:tcW w:w="0" w:type="auto"/>
            <w:vMerge w:val="continue"/>
            <w:vAlign w:val="center"/>
          </w:tcPr>
          <w:p w14:paraId="319119EF">
            <w:pPr>
              <w:widowControl/>
              <w:jc w:val="center"/>
              <w:rPr>
                <w:rFonts w:ascii="Times New Roman" w:hAnsi="Times New Roman" w:cs="Times New Roman"/>
                <w:kern w:val="0"/>
                <w:szCs w:val="21"/>
              </w:rPr>
            </w:pPr>
          </w:p>
        </w:tc>
        <w:tc>
          <w:tcPr>
            <w:tcW w:w="0" w:type="auto"/>
            <w:vMerge w:val="continue"/>
            <w:vAlign w:val="center"/>
          </w:tcPr>
          <w:p w14:paraId="269CA60A">
            <w:pPr>
              <w:widowControl/>
              <w:jc w:val="center"/>
              <w:rPr>
                <w:rFonts w:ascii="Times New Roman" w:hAnsi="Times New Roman" w:cs="Times New Roman"/>
                <w:kern w:val="0"/>
                <w:szCs w:val="21"/>
              </w:rPr>
            </w:pPr>
          </w:p>
        </w:tc>
      </w:tr>
    </w:tbl>
    <w:p w14:paraId="602C14BE">
      <w:pPr>
        <w:tabs>
          <w:tab w:val="left" w:pos="4500"/>
        </w:tabs>
        <w:adjustRightInd w:val="0"/>
        <w:spacing w:line="280" w:lineRule="exact"/>
        <w:jc w:val="center"/>
        <w:rPr>
          <w:rFonts w:ascii="Times New Roman" w:hAnsi="Times New Roman" w:cs="Times New Roman"/>
          <w:b/>
          <w:kern w:val="0"/>
          <w:szCs w:val="21"/>
        </w:rPr>
      </w:pPr>
    </w:p>
    <w:p w14:paraId="1624A494">
      <w:pPr>
        <w:pStyle w:val="76"/>
        <w:jc w:val="center"/>
        <w:outlineLvl w:val="0"/>
        <w:rPr>
          <w:rFonts w:ascii="Times New Roman" w:hAnsi="Times New Roman" w:eastAsia="黑体" w:cs="Times New Roman"/>
          <w:snapToGrid w:val="0"/>
          <w:sz w:val="30"/>
          <w:szCs w:val="30"/>
        </w:rPr>
        <w:sectPr>
          <w:pgSz w:w="23811" w:h="16838" w:orient="landscape"/>
          <w:pgMar w:top="1531" w:right="1701" w:bottom="1531" w:left="1701" w:header="851" w:footer="851" w:gutter="0"/>
          <w:cols w:space="720" w:num="1"/>
          <w:docGrid w:linePitch="312" w:charSpace="0"/>
        </w:sectPr>
      </w:pPr>
    </w:p>
    <w:tbl>
      <w:tblPr>
        <w:tblStyle w:val="8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09"/>
        <w:gridCol w:w="8651"/>
      </w:tblGrid>
      <w:tr w14:paraId="45FFE4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412" w:type="dxa"/>
            <w:vAlign w:val="center"/>
          </w:tcPr>
          <w:p w14:paraId="16CA764B">
            <w:pPr>
              <w:adjustRightInd w:val="0"/>
              <w:snapToGrid w:val="0"/>
              <w:jc w:val="center"/>
              <w:rPr>
                <w:rFonts w:ascii="Times New Roman" w:hAnsi="Times New Roman" w:cs="Times New Roman"/>
                <w:bCs/>
                <w:szCs w:val="21"/>
              </w:rPr>
            </w:pPr>
            <w:r>
              <w:rPr>
                <w:rFonts w:ascii="Times New Roman" w:hAnsi="Times New Roman" w:cs="Times New Roman"/>
                <w:bCs/>
                <w:szCs w:val="21"/>
              </w:rPr>
              <w:t>运营</w:t>
            </w:r>
          </w:p>
          <w:p w14:paraId="7028DB62">
            <w:pPr>
              <w:adjustRightInd w:val="0"/>
              <w:snapToGrid w:val="0"/>
              <w:jc w:val="center"/>
              <w:rPr>
                <w:rFonts w:ascii="Times New Roman" w:hAnsi="Times New Roman" w:cs="Times New Roman"/>
                <w:bCs/>
                <w:szCs w:val="21"/>
              </w:rPr>
            </w:pPr>
            <w:r>
              <w:rPr>
                <w:rFonts w:ascii="Times New Roman" w:hAnsi="Times New Roman" w:cs="Times New Roman"/>
                <w:bCs/>
                <w:szCs w:val="21"/>
              </w:rPr>
              <w:t>期环</w:t>
            </w:r>
          </w:p>
          <w:p w14:paraId="6A752B05">
            <w:pPr>
              <w:adjustRightInd w:val="0"/>
              <w:snapToGrid w:val="0"/>
              <w:jc w:val="center"/>
              <w:rPr>
                <w:rFonts w:ascii="Times New Roman" w:hAnsi="Times New Roman" w:cs="Times New Roman"/>
                <w:bCs/>
                <w:szCs w:val="21"/>
              </w:rPr>
            </w:pPr>
            <w:r>
              <w:rPr>
                <w:rFonts w:ascii="Times New Roman" w:hAnsi="Times New Roman" w:cs="Times New Roman"/>
                <w:bCs/>
                <w:szCs w:val="21"/>
              </w:rPr>
              <w:t>境影</w:t>
            </w:r>
          </w:p>
          <w:p w14:paraId="2C0058BA">
            <w:pPr>
              <w:adjustRightInd w:val="0"/>
              <w:snapToGrid w:val="0"/>
              <w:jc w:val="center"/>
              <w:rPr>
                <w:rFonts w:ascii="Times New Roman" w:hAnsi="Times New Roman" w:cs="Times New Roman"/>
                <w:bCs/>
                <w:szCs w:val="21"/>
              </w:rPr>
            </w:pPr>
            <w:r>
              <w:rPr>
                <w:rFonts w:ascii="Times New Roman" w:hAnsi="Times New Roman" w:cs="Times New Roman"/>
                <w:bCs/>
                <w:szCs w:val="21"/>
              </w:rPr>
              <w:t>响和</w:t>
            </w:r>
          </w:p>
          <w:p w14:paraId="24589F5B">
            <w:pPr>
              <w:adjustRightInd w:val="0"/>
              <w:snapToGrid w:val="0"/>
              <w:jc w:val="center"/>
              <w:rPr>
                <w:rFonts w:ascii="Times New Roman" w:hAnsi="Times New Roman" w:cs="Times New Roman"/>
                <w:bCs/>
                <w:szCs w:val="21"/>
              </w:rPr>
            </w:pPr>
            <w:r>
              <w:rPr>
                <w:rFonts w:ascii="Times New Roman" w:hAnsi="Times New Roman" w:cs="Times New Roman"/>
                <w:bCs/>
                <w:szCs w:val="21"/>
              </w:rPr>
              <w:t>保护</w:t>
            </w:r>
          </w:p>
          <w:p w14:paraId="76E619FB">
            <w:pPr>
              <w:adjustRightInd w:val="0"/>
              <w:snapToGrid w:val="0"/>
              <w:jc w:val="center"/>
              <w:rPr>
                <w:rFonts w:ascii="Times New Roman" w:hAnsi="Times New Roman" w:cs="Times New Roman"/>
                <w:bCs/>
                <w:szCs w:val="21"/>
              </w:rPr>
            </w:pPr>
            <w:r>
              <w:rPr>
                <w:rFonts w:ascii="Times New Roman" w:hAnsi="Times New Roman" w:cs="Times New Roman"/>
                <w:bCs/>
                <w:szCs w:val="21"/>
              </w:rPr>
              <w:t>措施</w:t>
            </w:r>
          </w:p>
        </w:tc>
        <w:tc>
          <w:tcPr>
            <w:tcW w:w="8569" w:type="dxa"/>
            <w:vAlign w:val="center"/>
          </w:tcPr>
          <w:p w14:paraId="747FADAA">
            <w:pPr>
              <w:spacing w:line="360" w:lineRule="auto"/>
              <w:rPr>
                <w:rFonts w:ascii="Times New Roman" w:hAnsi="Times New Roman" w:cs="Times New Roman"/>
                <w:b/>
                <w:sz w:val="24"/>
              </w:rPr>
            </w:pPr>
            <w:r>
              <w:rPr>
                <w:rFonts w:ascii="Times New Roman" w:hAnsi="Times New Roman" w:cs="Times New Roman"/>
                <w:b/>
                <w:sz w:val="24"/>
              </w:rPr>
              <w:t>4.2.2废水</w:t>
            </w:r>
          </w:p>
          <w:p w14:paraId="613639C8">
            <w:pPr>
              <w:spacing w:line="360" w:lineRule="auto"/>
              <w:rPr>
                <w:rFonts w:ascii="Times New Roman" w:hAnsi="Times New Roman" w:cs="Times New Roman"/>
                <w:b/>
                <w:sz w:val="24"/>
              </w:rPr>
            </w:pPr>
            <w:r>
              <w:rPr>
                <w:rFonts w:hint="eastAsia" w:ascii="Times New Roman" w:hAnsi="Times New Roman" w:cs="Times New Roman"/>
                <w:b/>
                <w:sz w:val="24"/>
              </w:rPr>
              <w:t>4.2.2.1源强核算</w:t>
            </w:r>
          </w:p>
          <w:p w14:paraId="7853A490">
            <w:pPr>
              <w:spacing w:line="360" w:lineRule="auto"/>
              <w:ind w:firstLine="480"/>
              <w:rPr>
                <w:sz w:val="24"/>
              </w:rPr>
            </w:pPr>
            <w:r>
              <w:rPr>
                <w:rFonts w:hAnsi="宋体"/>
                <w:sz w:val="24"/>
              </w:rPr>
              <w:t>①</w:t>
            </w:r>
            <w:r>
              <w:rPr>
                <w:sz w:val="24"/>
              </w:rPr>
              <w:t xml:space="preserve"> 生产废水</w:t>
            </w:r>
          </w:p>
          <w:p w14:paraId="3BDD32A1">
            <w:pPr>
              <w:spacing w:line="360" w:lineRule="auto"/>
              <w:ind w:firstLine="480"/>
              <w:rPr>
                <w:sz w:val="24"/>
              </w:rPr>
            </w:pPr>
            <w:r>
              <w:rPr>
                <w:rFonts w:hint="eastAsia"/>
                <w:sz w:val="24"/>
              </w:rPr>
              <w:t>项目在营运期间的生产废水包括：W1原料气过滤器产生的废水、W2</w:t>
            </w:r>
            <w:r>
              <w:rPr>
                <w:rFonts w:hint="eastAsia" w:hAnsi="宋体"/>
                <w:sz w:val="24"/>
              </w:rPr>
              <w:t>胺闪蒸罐产生的废液、W3胺汽提塔废液、W4脱水阶段分子筛过滤器、W5干燥器再生阶段的废液、W6贫胺过滤器产生的废液以及火炬前分液罐废液W7。其中W3、W4、W5、W6和W7均进入胺闪蒸罐。因此外排的生产废水仅为W1和W2。</w:t>
            </w:r>
          </w:p>
          <w:p w14:paraId="2FEC3051">
            <w:pPr>
              <w:spacing w:line="360" w:lineRule="auto"/>
              <w:ind w:firstLine="480"/>
              <w:rPr>
                <w:rFonts w:hAnsi="宋体"/>
                <w:sz w:val="24"/>
              </w:rPr>
            </w:pPr>
            <w:r>
              <w:rPr>
                <w:rFonts w:hint="eastAsia"/>
                <w:sz w:val="24"/>
              </w:rPr>
              <w:t>W1原料气过滤器产生的废水：主要是</w:t>
            </w:r>
            <w:r>
              <w:rPr>
                <w:sz w:val="24"/>
              </w:rPr>
              <w:t>生产过程中原料气进装置时从输气管带入微量游离水</w:t>
            </w:r>
            <w:r>
              <w:rPr>
                <w:rFonts w:hAnsi="宋体"/>
                <w:sz w:val="24"/>
              </w:rPr>
              <w:t>，共</w:t>
            </w:r>
            <w:r>
              <w:rPr>
                <w:rFonts w:hint="eastAsia"/>
                <w:sz w:val="24"/>
              </w:rPr>
              <w:t>0.7</w:t>
            </w:r>
            <w:r>
              <w:rPr>
                <w:sz w:val="24"/>
              </w:rPr>
              <w:t>m</w:t>
            </w:r>
            <w:r>
              <w:rPr>
                <w:sz w:val="24"/>
                <w:vertAlign w:val="superscript"/>
              </w:rPr>
              <w:t>3</w:t>
            </w:r>
            <w:r>
              <w:rPr>
                <w:sz w:val="24"/>
              </w:rPr>
              <w:t>/d</w:t>
            </w:r>
            <w:r>
              <w:rPr>
                <w:rFonts w:hint="eastAsia"/>
                <w:sz w:val="24"/>
              </w:rPr>
              <w:t>（0.029m</w:t>
            </w:r>
            <w:r>
              <w:rPr>
                <w:rFonts w:hint="eastAsia"/>
                <w:sz w:val="24"/>
                <w:vertAlign w:val="superscript"/>
              </w:rPr>
              <w:t>3</w:t>
            </w:r>
            <w:r>
              <w:rPr>
                <w:rFonts w:hint="eastAsia"/>
                <w:sz w:val="24"/>
              </w:rPr>
              <w:t>/h）</w:t>
            </w:r>
            <w:r>
              <w:rPr>
                <w:rFonts w:hAnsi="宋体"/>
                <w:sz w:val="24"/>
              </w:rPr>
              <w:t>，</w:t>
            </w:r>
            <w:r>
              <w:rPr>
                <w:sz w:val="24"/>
              </w:rPr>
              <w:t>该部分生产工艺废水水量少，水中污染物质较为简单，主要为微量的机械杂质、烃类和活性炭粉尘，其类比相似企业</w:t>
            </w:r>
            <w:r>
              <w:rPr>
                <w:rFonts w:hint="eastAsia"/>
                <w:sz w:val="24"/>
              </w:rPr>
              <w:t>（四川广能能源有限公司高效清洁燃料气综合利用建设项目（LNG））</w:t>
            </w:r>
            <w:r>
              <w:rPr>
                <w:sz w:val="24"/>
              </w:rPr>
              <w:t>该单元产生的废水水质，其</w:t>
            </w:r>
            <w:r>
              <w:rPr>
                <w:sz w:val="24"/>
                <w:lang w:val="zh-CN"/>
              </w:rPr>
              <w:t>COD浓度为</w:t>
            </w:r>
            <w:r>
              <w:rPr>
                <w:rFonts w:hint="eastAsia"/>
                <w:sz w:val="24"/>
              </w:rPr>
              <w:t>5</w:t>
            </w:r>
            <w:r>
              <w:rPr>
                <w:sz w:val="24"/>
              </w:rPr>
              <w:t>00mg/L</w:t>
            </w:r>
            <w:r>
              <w:rPr>
                <w:rFonts w:hAnsi="宋体"/>
                <w:sz w:val="24"/>
              </w:rPr>
              <w:t>，</w:t>
            </w:r>
            <w:r>
              <w:rPr>
                <w:sz w:val="24"/>
              </w:rPr>
              <w:t>SS300mg/L</w:t>
            </w:r>
            <w:r>
              <w:rPr>
                <w:rFonts w:hAnsi="宋体"/>
                <w:sz w:val="24"/>
              </w:rPr>
              <w:t>；</w:t>
            </w:r>
          </w:p>
          <w:p w14:paraId="13066780">
            <w:pPr>
              <w:spacing w:line="360" w:lineRule="auto"/>
              <w:ind w:firstLine="480"/>
              <w:rPr>
                <w:sz w:val="24"/>
              </w:rPr>
            </w:pPr>
            <w:r>
              <w:rPr>
                <w:rFonts w:hint="eastAsia" w:hAnsi="宋体"/>
                <w:sz w:val="24"/>
              </w:rPr>
              <w:t>W2胺闪蒸罐产生的废水：主要是胺闪蒸罐内产生的废液，约1.7m</w:t>
            </w:r>
            <w:r>
              <w:rPr>
                <w:rFonts w:hint="eastAsia" w:hAnsi="宋体"/>
                <w:sz w:val="24"/>
                <w:vertAlign w:val="superscript"/>
              </w:rPr>
              <w:t>3</w:t>
            </w:r>
            <w:r>
              <w:rPr>
                <w:rFonts w:hint="eastAsia" w:hAnsi="宋体"/>
                <w:sz w:val="24"/>
              </w:rPr>
              <w:t>/d（71kg/h），主要为高浓度的有机废液，</w:t>
            </w:r>
            <w:r>
              <w:rPr>
                <w:sz w:val="24"/>
              </w:rPr>
              <w:t>其</w:t>
            </w:r>
            <w:r>
              <w:rPr>
                <w:sz w:val="24"/>
                <w:lang w:val="zh-CN"/>
              </w:rPr>
              <w:t>COD浓度</w:t>
            </w:r>
            <w:r>
              <w:rPr>
                <w:rFonts w:hint="eastAsia"/>
                <w:sz w:val="24"/>
                <w:lang w:val="zh-CN"/>
              </w:rPr>
              <w:t>约为</w:t>
            </w:r>
            <w:r>
              <w:rPr>
                <w:rFonts w:hint="eastAsia"/>
                <w:sz w:val="24"/>
              </w:rPr>
              <w:t>8</w:t>
            </w:r>
            <w:r>
              <w:rPr>
                <w:sz w:val="24"/>
              </w:rPr>
              <w:t>00mg/L</w:t>
            </w:r>
            <w:r>
              <w:rPr>
                <w:rFonts w:hint="eastAsia"/>
                <w:sz w:val="24"/>
              </w:rPr>
              <w:t>。</w:t>
            </w:r>
          </w:p>
          <w:p w14:paraId="77BD4554">
            <w:pPr>
              <w:spacing w:line="360" w:lineRule="auto"/>
              <w:ind w:firstLine="480"/>
              <w:rPr>
                <w:sz w:val="24"/>
              </w:rPr>
            </w:pPr>
            <w:r>
              <w:rPr>
                <w:rFonts w:hAnsi="宋体"/>
                <w:sz w:val="24"/>
              </w:rPr>
              <w:t>②</w:t>
            </w:r>
            <w:r>
              <w:rPr>
                <w:rFonts w:hint="eastAsia" w:hAnsi="宋体"/>
                <w:sz w:val="24"/>
              </w:rPr>
              <w:t xml:space="preserve"> </w:t>
            </w:r>
            <w:r>
              <w:rPr>
                <w:rFonts w:hint="eastAsia"/>
                <w:sz w:val="24"/>
              </w:rPr>
              <w:t>生活污水</w:t>
            </w:r>
          </w:p>
          <w:p w14:paraId="3319B1AF">
            <w:pPr>
              <w:autoSpaceDE w:val="0"/>
              <w:autoSpaceDN w:val="0"/>
              <w:adjustRightInd w:val="0"/>
              <w:snapToGrid w:val="0"/>
              <w:spacing w:line="360" w:lineRule="auto"/>
              <w:ind w:firstLine="480" w:firstLineChars="200"/>
              <w:rPr>
                <w:sz w:val="24"/>
              </w:rPr>
            </w:pPr>
            <w:r>
              <w:rPr>
                <w:rFonts w:ascii="Times New Roman" w:hAnsi="Times New Roman" w:cs="Times New Roman"/>
                <w:color w:val="000000"/>
                <w:sz w:val="24"/>
              </w:rPr>
              <w:t>项目</w:t>
            </w:r>
            <w:r>
              <w:rPr>
                <w:rFonts w:hint="eastAsia" w:ascii="Times New Roman" w:hAnsi="Times New Roman" w:cs="Times New Roman"/>
                <w:color w:val="000000"/>
                <w:sz w:val="24"/>
              </w:rPr>
              <w:t>新增</w:t>
            </w:r>
            <w:r>
              <w:rPr>
                <w:rFonts w:ascii="Times New Roman" w:hAnsi="Times New Roman" w:cs="Times New Roman"/>
                <w:color w:val="000000"/>
                <w:sz w:val="24"/>
              </w:rPr>
              <w:t>劳动定员73人，不在厂区食宿，全年工作333天，生活用水按50L/人·天计，生活污水按用水量的90%计算，则生活污水产生量为</w:t>
            </w:r>
            <w:r>
              <w:rPr>
                <w:sz w:val="24"/>
              </w:rPr>
              <w:t>3.285</w:t>
            </w:r>
            <w:r>
              <w:rPr>
                <w:rFonts w:ascii="Times New Roman" w:hAnsi="Times New Roman" w:cs="Times New Roman"/>
                <w:color w:val="000000"/>
                <w:sz w:val="24"/>
              </w:rPr>
              <w:t>m</w:t>
            </w:r>
            <w:r>
              <w:rPr>
                <w:rFonts w:ascii="Times New Roman" w:hAnsi="Times New Roman" w:cs="Times New Roman"/>
                <w:color w:val="000000"/>
                <w:sz w:val="24"/>
                <w:vertAlign w:val="superscript"/>
              </w:rPr>
              <w:t>3</w:t>
            </w:r>
            <w:r>
              <w:rPr>
                <w:rFonts w:ascii="Times New Roman" w:hAnsi="Times New Roman" w:cs="Times New Roman"/>
                <w:color w:val="000000"/>
                <w:sz w:val="24"/>
              </w:rPr>
              <w:t>/d（1093.905m</w:t>
            </w:r>
            <w:r>
              <w:rPr>
                <w:rFonts w:ascii="Times New Roman" w:hAnsi="Times New Roman" w:cs="Times New Roman"/>
                <w:color w:val="000000"/>
                <w:sz w:val="24"/>
                <w:vertAlign w:val="superscript"/>
              </w:rPr>
              <w:t>3</w:t>
            </w:r>
            <w:r>
              <w:rPr>
                <w:rFonts w:ascii="Times New Roman" w:hAnsi="Times New Roman" w:cs="Times New Roman"/>
                <w:color w:val="000000"/>
                <w:sz w:val="24"/>
              </w:rPr>
              <w:t>/a）</w:t>
            </w:r>
            <w:r>
              <w:rPr>
                <w:rFonts w:hint="eastAsia"/>
                <w:sz w:val="24"/>
              </w:rPr>
              <w:t>，</w:t>
            </w:r>
            <w:r>
              <w:rPr>
                <w:rFonts w:ascii="Times New Roman" w:hAnsi="Times New Roman" w:cs="Times New Roman"/>
                <w:color w:val="000000"/>
                <w:sz w:val="24"/>
              </w:rPr>
              <w:t>主要污染物为COD</w:t>
            </w:r>
            <w:r>
              <w:rPr>
                <w:rFonts w:hint="eastAsia" w:ascii="Times New Roman" w:hAnsi="Times New Roman" w:cs="Times New Roman"/>
                <w:color w:val="000000"/>
                <w:sz w:val="24"/>
              </w:rPr>
              <w:t>500</w:t>
            </w:r>
            <w:r>
              <w:rPr>
                <w:rFonts w:ascii="Times New Roman" w:hAnsi="Times New Roman" w:cs="Times New Roman"/>
                <w:color w:val="000000"/>
                <w:szCs w:val="21"/>
                <w:lang w:bidi="ar"/>
              </w:rPr>
              <w:t>mg/L</w:t>
            </w:r>
            <w:r>
              <w:rPr>
                <w:rFonts w:ascii="Times New Roman" w:hAnsi="Times New Roman" w:cs="Times New Roman"/>
                <w:color w:val="000000"/>
                <w:sz w:val="24"/>
              </w:rPr>
              <w:t>、SS</w:t>
            </w:r>
            <w:r>
              <w:rPr>
                <w:rFonts w:hint="eastAsia" w:ascii="Times New Roman" w:hAnsi="Times New Roman" w:cs="Times New Roman"/>
                <w:color w:val="000000"/>
                <w:sz w:val="24"/>
              </w:rPr>
              <w:t>300</w:t>
            </w:r>
            <w:r>
              <w:rPr>
                <w:rFonts w:ascii="Times New Roman" w:hAnsi="Times New Roman" w:cs="Times New Roman"/>
                <w:color w:val="000000"/>
                <w:szCs w:val="21"/>
                <w:lang w:bidi="ar"/>
              </w:rPr>
              <w:t>mg/L</w:t>
            </w:r>
            <w:r>
              <w:rPr>
                <w:rFonts w:ascii="Times New Roman" w:hAnsi="Times New Roman" w:cs="Times New Roman"/>
                <w:color w:val="000000"/>
                <w:sz w:val="24"/>
              </w:rPr>
              <w:t>、BOD</w:t>
            </w:r>
            <w:r>
              <w:rPr>
                <w:rFonts w:ascii="Times New Roman" w:hAnsi="Times New Roman" w:cs="Times New Roman"/>
                <w:color w:val="000000"/>
                <w:sz w:val="24"/>
                <w:vertAlign w:val="subscript"/>
              </w:rPr>
              <w:t>5</w:t>
            </w:r>
            <w:r>
              <w:rPr>
                <w:rFonts w:hint="eastAsia" w:ascii="Times New Roman" w:hAnsi="Times New Roman" w:cs="Times New Roman"/>
                <w:color w:val="000000"/>
                <w:sz w:val="24"/>
              </w:rPr>
              <w:t>300</w:t>
            </w:r>
            <w:r>
              <w:rPr>
                <w:rFonts w:ascii="Times New Roman" w:hAnsi="Times New Roman" w:cs="Times New Roman"/>
                <w:color w:val="000000"/>
                <w:szCs w:val="21"/>
                <w:lang w:bidi="ar"/>
              </w:rPr>
              <w:t>mg/L</w:t>
            </w:r>
            <w:r>
              <w:rPr>
                <w:rFonts w:ascii="Times New Roman" w:hAnsi="Times New Roman" w:cs="Times New Roman"/>
                <w:color w:val="000000"/>
                <w:sz w:val="24"/>
              </w:rPr>
              <w:t>、NH</w:t>
            </w:r>
            <w:r>
              <w:rPr>
                <w:rFonts w:ascii="Times New Roman" w:hAnsi="Times New Roman" w:cs="Times New Roman"/>
                <w:color w:val="000000"/>
                <w:sz w:val="24"/>
                <w:vertAlign w:val="subscript"/>
              </w:rPr>
              <w:t>3</w:t>
            </w:r>
            <w:r>
              <w:rPr>
                <w:rFonts w:ascii="Times New Roman" w:hAnsi="Times New Roman" w:cs="Times New Roman"/>
                <w:color w:val="000000"/>
                <w:sz w:val="24"/>
              </w:rPr>
              <w:t>-N</w:t>
            </w:r>
            <w:r>
              <w:rPr>
                <w:rFonts w:hint="eastAsia" w:ascii="Times New Roman" w:hAnsi="Times New Roman" w:cs="Times New Roman"/>
                <w:color w:val="000000"/>
                <w:sz w:val="24"/>
              </w:rPr>
              <w:t>40</w:t>
            </w:r>
            <w:r>
              <w:rPr>
                <w:rFonts w:ascii="Times New Roman" w:hAnsi="Times New Roman" w:cs="Times New Roman"/>
                <w:color w:val="000000"/>
                <w:szCs w:val="21"/>
                <w:lang w:bidi="ar"/>
              </w:rPr>
              <w:t>mg/L</w:t>
            </w:r>
            <w:r>
              <w:rPr>
                <w:rFonts w:ascii="Times New Roman" w:hAnsi="Times New Roman" w:cs="Times New Roman"/>
                <w:color w:val="000000"/>
                <w:sz w:val="24"/>
              </w:rPr>
              <w:t>。</w:t>
            </w:r>
          </w:p>
          <w:p w14:paraId="7BC25E50">
            <w:pPr>
              <w:spacing w:line="360" w:lineRule="auto"/>
              <w:ind w:firstLine="480"/>
              <w:rPr>
                <w:sz w:val="24"/>
              </w:rPr>
            </w:pPr>
            <w:r>
              <w:rPr>
                <w:rFonts w:hint="eastAsia" w:ascii="宋体" w:hAnsi="宋体"/>
                <w:sz w:val="24"/>
              </w:rPr>
              <w:t>③ 地坪</w:t>
            </w:r>
            <w:r>
              <w:rPr>
                <w:rFonts w:hint="eastAsia"/>
                <w:sz w:val="24"/>
              </w:rPr>
              <w:t>冲洗废水</w:t>
            </w:r>
          </w:p>
          <w:p w14:paraId="6AA917CC">
            <w:pPr>
              <w:spacing w:line="360" w:lineRule="auto"/>
              <w:ind w:firstLine="480"/>
              <w:rPr>
                <w:rFonts w:ascii="宋体" w:hAnsi="宋体"/>
                <w:sz w:val="24"/>
              </w:rPr>
            </w:pPr>
            <w:r>
              <w:rPr>
                <w:rFonts w:hint="eastAsia"/>
                <w:sz w:val="24"/>
              </w:rPr>
              <w:t>地坪冲洗水排放量为10m</w:t>
            </w:r>
            <w:r>
              <w:rPr>
                <w:rFonts w:hint="eastAsia"/>
                <w:sz w:val="24"/>
                <w:vertAlign w:val="superscript"/>
              </w:rPr>
              <w:t>3</w:t>
            </w:r>
            <w:r>
              <w:rPr>
                <w:rFonts w:hint="eastAsia"/>
                <w:sz w:val="24"/>
              </w:rPr>
              <w:t>/次，间歇排放，半个月一次，主要污染物COD为300mg/L，SS为200mg/L。</w:t>
            </w:r>
          </w:p>
          <w:p w14:paraId="7402ED4F">
            <w:pPr>
              <w:spacing w:line="360" w:lineRule="auto"/>
              <w:ind w:firstLine="480"/>
              <w:rPr>
                <w:sz w:val="24"/>
              </w:rPr>
            </w:pPr>
            <w:r>
              <w:rPr>
                <w:rFonts w:hint="eastAsia" w:ascii="宋体" w:hAnsi="宋体"/>
                <w:sz w:val="24"/>
              </w:rPr>
              <w:t xml:space="preserve">④ </w:t>
            </w:r>
            <w:r>
              <w:rPr>
                <w:rFonts w:hint="eastAsia"/>
                <w:sz w:val="24"/>
              </w:rPr>
              <w:t>循环冷却水</w:t>
            </w:r>
          </w:p>
          <w:p w14:paraId="2F56E7BC">
            <w:pPr>
              <w:spacing w:line="360" w:lineRule="auto"/>
              <w:ind w:firstLine="480"/>
              <w:rPr>
                <w:sz w:val="24"/>
              </w:rPr>
            </w:pPr>
            <w:r>
              <w:rPr>
                <w:rFonts w:hint="eastAsia"/>
                <w:sz w:val="24"/>
              </w:rPr>
              <w:t>本项目生产过程主要用水量为循环、冷却水补充水，该系统排水量为9</w:t>
            </w:r>
            <w:r>
              <w:rPr>
                <w:sz w:val="24"/>
              </w:rPr>
              <w:t>m</w:t>
            </w:r>
            <w:r>
              <w:rPr>
                <w:sz w:val="24"/>
                <w:vertAlign w:val="superscript"/>
              </w:rPr>
              <w:t>3</w:t>
            </w:r>
            <w:r>
              <w:rPr>
                <w:sz w:val="24"/>
              </w:rPr>
              <w:t>/</w:t>
            </w:r>
            <w:r>
              <w:rPr>
                <w:rFonts w:hint="eastAsia"/>
                <w:sz w:val="24"/>
              </w:rPr>
              <w:t>h，该水质为高硬度水，不含有其他污染物质，可直接排入雨水管网。</w:t>
            </w:r>
          </w:p>
          <w:p w14:paraId="3404F0D6">
            <w:pPr>
              <w:spacing w:line="360" w:lineRule="auto"/>
              <w:ind w:firstLine="480"/>
              <w:rPr>
                <w:sz w:val="24"/>
              </w:rPr>
            </w:pPr>
            <w:r>
              <w:rPr>
                <w:rFonts w:hint="eastAsia" w:ascii="宋体" w:hAnsi="宋体"/>
                <w:sz w:val="24"/>
              </w:rPr>
              <w:t xml:space="preserve">⑤ </w:t>
            </w:r>
            <w:r>
              <w:rPr>
                <w:rFonts w:hint="eastAsia"/>
                <w:sz w:val="24"/>
              </w:rPr>
              <w:t>初期雨水</w:t>
            </w:r>
          </w:p>
          <w:p w14:paraId="3C981DE8">
            <w:pPr>
              <w:spacing w:line="360" w:lineRule="auto"/>
              <w:ind w:firstLine="480"/>
              <w:rPr>
                <w:sz w:val="24"/>
              </w:rPr>
            </w:pPr>
            <w:r>
              <w:rPr>
                <w:rFonts w:hint="eastAsia"/>
                <w:sz w:val="24"/>
              </w:rPr>
              <w:t>液化天然气在空气中很快气化，天然气比重比空气轻，会很快在空气中散发，因此生产装置区和装卸区降雨时不会受到较大污染，不考虑收集初期雨水。</w:t>
            </w:r>
          </w:p>
          <w:p w14:paraId="32C010CB">
            <w:pPr>
              <w:spacing w:line="360" w:lineRule="auto"/>
              <w:ind w:firstLine="480"/>
              <w:rPr>
                <w:sz w:val="24"/>
              </w:rPr>
            </w:pPr>
            <w:r>
              <w:rPr>
                <w:rFonts w:hint="eastAsia"/>
                <w:sz w:val="24"/>
              </w:rPr>
              <w:t>项目仅在项目事故状态下考虑初期雨水，该水量在环境风险章节进行分析。</w:t>
            </w:r>
          </w:p>
          <w:p w14:paraId="0D51087A">
            <w:pPr>
              <w:spacing w:line="360" w:lineRule="auto"/>
              <w:ind w:firstLine="480" w:firstLineChars="200"/>
              <w:rPr>
                <w:rFonts w:ascii="Times New Roman" w:hAnsi="Times New Roman" w:cs="Times New Roman"/>
                <w:b/>
                <w:sz w:val="24"/>
              </w:rPr>
            </w:pPr>
            <w:r>
              <w:rPr>
                <w:rFonts w:ascii="Times New Roman" w:hAnsi="Times New Roman" w:cs="Times New Roman"/>
                <w:bCs/>
                <w:sz w:val="24"/>
                <w:szCs w:val="26"/>
              </w:rPr>
              <w:t>本项目废水产生及排放情况见表4.2.2-1。</w:t>
            </w:r>
          </w:p>
          <w:p w14:paraId="78BEE3CB">
            <w:pPr>
              <w:spacing w:line="360" w:lineRule="auto"/>
              <w:rPr>
                <w:rFonts w:ascii="Times New Roman" w:hAnsi="Times New Roman" w:cs="Times New Roman"/>
                <w:b/>
                <w:sz w:val="24"/>
              </w:rPr>
            </w:pPr>
            <w:r>
              <w:rPr>
                <w:rFonts w:ascii="Times New Roman" w:hAnsi="Times New Roman" w:cs="Times New Roman"/>
                <w:b/>
                <w:sz w:val="24"/>
              </w:rPr>
              <w:t>4.2.2.1拟采取措施可行性分析</w:t>
            </w:r>
          </w:p>
          <w:p w14:paraId="4E35DAC8">
            <w:pPr>
              <w:spacing w:line="360" w:lineRule="auto"/>
              <w:ind w:firstLine="480"/>
              <w:rPr>
                <w:sz w:val="24"/>
              </w:rPr>
            </w:pPr>
            <w:r>
              <w:rPr>
                <w:rFonts w:hint="eastAsia"/>
                <w:sz w:val="24"/>
              </w:rPr>
              <w:t>生产废水依托现有生产废水池收集、生活污水依托现有生化池处理后，经提升泵提升汇合后经同一外排口输送至潘家坝污水处理厂集中处理。本项目废水中生产废水量和生活污水均较少，其次为设备地坪冲洗废水。生产装置生产废水的废水COD浓度300~500mg/L左右，属简单类废水，项目生产废水经生产废水收集池预处理、生活污水经化粪池预处理后，能满足《污水综合排放标准》（GB8978-1996）三级标准，能够满足污水厂相关进水水质要求。</w:t>
            </w:r>
          </w:p>
          <w:p w14:paraId="03170433">
            <w:pPr>
              <w:spacing w:line="360" w:lineRule="auto"/>
              <w:ind w:firstLine="420" w:firstLineChars="200"/>
              <w:rPr>
                <w:rFonts w:ascii="Times New Roman" w:hAnsi="Times New Roman" w:cs="Times New Roman"/>
                <w:spacing w:val="-4"/>
                <w:kern w:val="24"/>
                <w:sz w:val="24"/>
              </w:rPr>
            </w:pPr>
            <w:r>
              <w:rPr>
                <w:rFonts w:ascii="Times New Roman" w:hAnsi="Times New Roman" w:cs="Times New Roman"/>
              </w:rPr>
              <mc:AlternateContent>
                <mc:Choice Requires="wpc">
                  <w:drawing>
                    <wp:inline distT="0" distB="0" distL="114300" distR="114300">
                      <wp:extent cx="5562600" cy="2729230"/>
                      <wp:effectExtent l="0" t="0" r="0" b="0"/>
                      <wp:docPr id="518" name="画布 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09" name="矩形 55"/>
                              <wps:cNvSpPr/>
                              <wps:spPr>
                                <a:xfrm>
                                  <a:off x="13970" y="320192"/>
                                  <a:ext cx="927735" cy="2679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E2CD19">
                                    <w:pPr>
                                      <w:jc w:val="center"/>
                                    </w:pPr>
                                    <w:r>
                                      <w:t>生活污水</w:t>
                                    </w:r>
                                  </w:p>
                                </w:txbxContent>
                              </wps:txbx>
                              <wps:bodyPr upright="1"/>
                            </wps:wsp>
                            <wps:wsp>
                              <wps:cNvPr id="510" name="矩形 59"/>
                              <wps:cNvSpPr/>
                              <wps:spPr>
                                <a:xfrm>
                                  <a:off x="1391920" y="320192"/>
                                  <a:ext cx="1447165" cy="2679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52CF79">
                                    <w:pPr>
                                      <w:jc w:val="center"/>
                                    </w:pPr>
                                    <w:r>
                                      <w:rPr>
                                        <w:rFonts w:hint="eastAsia"/>
                                      </w:rPr>
                                      <w:t>生化池</w:t>
                                    </w:r>
                                  </w:p>
                                </w:txbxContent>
                              </wps:txbx>
                              <wps:bodyPr upright="1"/>
                            </wps:wsp>
                            <wps:wsp>
                              <wps:cNvPr id="108" name="矩形 63"/>
                              <wps:cNvSpPr/>
                              <wps:spPr>
                                <a:xfrm>
                                  <a:off x="3542845" y="755954"/>
                                  <a:ext cx="1499235" cy="2679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F0497C">
                                    <w:pPr>
                                      <w:jc w:val="center"/>
                                      <w:rPr>
                                        <w:rFonts w:ascii="Times New Roman" w:hAnsi="Times New Roman" w:cs="Times New Roman"/>
                                      </w:rPr>
                                    </w:pPr>
                                    <w:r>
                                      <w:rPr>
                                        <w:rFonts w:hint="eastAsia" w:ascii="Times New Roman" w:hAnsi="Times New Roman" w:cs="Times New Roman"/>
                                      </w:rPr>
                                      <w:t>园区污水处理厂</w:t>
                                    </w:r>
                                  </w:p>
                                </w:txbxContent>
                              </wps:txbx>
                              <wps:bodyPr upright="1"/>
                            </wps:wsp>
                            <wps:wsp>
                              <wps:cNvPr id="123" name="矩形 65"/>
                              <wps:cNvSpPr/>
                              <wps:spPr>
                                <a:xfrm>
                                  <a:off x="1621154" y="1141247"/>
                                  <a:ext cx="1265347" cy="2679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16FF23">
                                    <w:pPr>
                                      <w:jc w:val="center"/>
                                      <w:rPr>
                                        <w:rFonts w:ascii="Times New Roman" w:hAnsi="Times New Roman" w:cs="Times New Roman"/>
                                      </w:rPr>
                                    </w:pPr>
                                    <w:r>
                                      <w:rPr>
                                        <w:rFonts w:hint="eastAsia" w:ascii="Times New Roman" w:hAnsi="Times New Roman" w:cs="Times New Roman"/>
                                      </w:rPr>
                                      <w:t>生产废水收集池</w:t>
                                    </w:r>
                                  </w:p>
                                </w:txbxContent>
                              </wps:txbx>
                              <wps:bodyPr upright="1"/>
                            </wps:wsp>
                            <wps:wsp>
                              <wps:cNvPr id="124" name="矩形 67"/>
                              <wps:cNvSpPr/>
                              <wps:spPr>
                                <a:xfrm>
                                  <a:off x="99515" y="958643"/>
                                  <a:ext cx="927735" cy="2679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380614">
                                    <w:pPr>
                                      <w:jc w:val="center"/>
                                    </w:pPr>
                                    <w:r>
                                      <w:rPr>
                                        <w:rFonts w:hint="eastAsia"/>
                                      </w:rPr>
                                      <w:t>地面冲洗水</w:t>
                                    </w:r>
                                  </w:p>
                                </w:txbxContent>
                              </wps:txbx>
                              <wps:bodyPr upright="1"/>
                            </wps:wsp>
                            <wps:wsp>
                              <wps:cNvPr id="125" name="自选图形 76"/>
                              <wps:cNvCnPr/>
                              <wps:spPr>
                                <a:xfrm>
                                  <a:off x="4298969" y="1036623"/>
                                  <a:ext cx="635" cy="542925"/>
                                </a:xfrm>
                                <a:prstGeom prst="straightConnector1">
                                  <a:avLst/>
                                </a:prstGeom>
                                <a:ln w="9525" cap="flat" cmpd="sng">
                                  <a:solidFill>
                                    <a:srgbClr val="000000"/>
                                  </a:solidFill>
                                  <a:prstDash val="solid"/>
                                  <a:headEnd type="none" w="med" len="med"/>
                                  <a:tailEnd type="triangle" w="med" len="med"/>
                                </a:ln>
                              </wps:spPr>
                              <wps:bodyPr/>
                            </wps:wsp>
                            <wps:wsp>
                              <wps:cNvPr id="126" name="矩形 81"/>
                              <wps:cNvSpPr/>
                              <wps:spPr>
                                <a:xfrm>
                                  <a:off x="2851785" y="100482"/>
                                  <a:ext cx="603885" cy="267970"/>
                                </a:xfrm>
                                <a:prstGeom prst="rect">
                                  <a:avLst/>
                                </a:prstGeom>
                                <a:solidFill>
                                  <a:srgbClr val="FFFFFF">
                                    <a:alpha val="0"/>
                                  </a:srgbClr>
                                </a:solidFill>
                                <a:ln>
                                  <a:noFill/>
                                </a:ln>
                              </wps:spPr>
                              <wps:txbx>
                                <w:txbxContent>
                                  <w:p w14:paraId="10A21474">
                                    <w:r>
                                      <w:rPr>
                                        <w:rFonts w:hint="eastAsia"/>
                                      </w:rPr>
                                      <w:t>泵输送</w:t>
                                    </w:r>
                                  </w:p>
                                </w:txbxContent>
                              </wps:txbx>
                              <wps:bodyPr upright="1"/>
                            </wps:wsp>
                            <wps:wsp>
                              <wps:cNvPr id="127" name="自选图形 98"/>
                              <wps:cNvCnPr/>
                              <wps:spPr>
                                <a:xfrm>
                                  <a:off x="965835" y="454177"/>
                                  <a:ext cx="403860" cy="0"/>
                                </a:xfrm>
                                <a:prstGeom prst="straightConnector1">
                                  <a:avLst/>
                                </a:prstGeom>
                                <a:ln w="9525" cap="flat" cmpd="sng">
                                  <a:solidFill>
                                    <a:srgbClr val="000000"/>
                                  </a:solidFill>
                                  <a:prstDash val="solid"/>
                                  <a:headEnd type="none" w="med" len="med"/>
                                  <a:tailEnd type="triangle" w="med" len="med"/>
                                </a:ln>
                              </wps:spPr>
                              <wps:bodyPr/>
                            </wps:wsp>
                            <wps:wsp>
                              <wps:cNvPr id="110" name="自选图形 99"/>
                              <wps:cNvCnPr/>
                              <wps:spPr>
                                <a:xfrm>
                                  <a:off x="2839085" y="454177"/>
                                  <a:ext cx="293076" cy="0"/>
                                </a:xfrm>
                                <a:prstGeom prst="straightConnector1">
                                  <a:avLst/>
                                </a:prstGeom>
                                <a:ln w="9525" cap="flat" cmpd="sng">
                                  <a:solidFill>
                                    <a:srgbClr val="000000"/>
                                  </a:solidFill>
                                  <a:prstDash val="solid"/>
                                  <a:headEnd type="none" w="med" len="med"/>
                                  <a:tailEnd type="none" w="med" len="med"/>
                                </a:ln>
                              </wps:spPr>
                              <wps:bodyPr/>
                            </wps:wsp>
                            <wps:wsp>
                              <wps:cNvPr id="111" name="自选图形 101"/>
                              <wps:cNvCnPr>
                                <a:stCxn id="123" idx="1"/>
                                <a:endCxn id="124" idx="3"/>
                              </wps:cNvCnPr>
                              <wps:spPr>
                                <a:xfrm flipH="1" flipV="1">
                                  <a:off x="1027250" y="1092628"/>
                                  <a:ext cx="593904" cy="182604"/>
                                </a:xfrm>
                                <a:prstGeom prst="straightConnector1">
                                  <a:avLst/>
                                </a:prstGeom>
                                <a:ln w="9525" cap="flat" cmpd="sng">
                                  <a:solidFill>
                                    <a:srgbClr val="000000"/>
                                  </a:solidFill>
                                  <a:prstDash val="solid"/>
                                  <a:headEnd type="triangle" w="med" len="med"/>
                                  <a:tailEnd type="none" w="med" len="med"/>
                                </a:ln>
                              </wps:spPr>
                              <wps:bodyPr/>
                            </wps:wsp>
                            <wps:wsp>
                              <wps:cNvPr id="112" name="矩形 105"/>
                              <wps:cNvSpPr/>
                              <wps:spPr>
                                <a:xfrm>
                                  <a:off x="3388852" y="1554005"/>
                                  <a:ext cx="1838325" cy="267970"/>
                                </a:xfrm>
                                <a:prstGeom prst="rect">
                                  <a:avLst/>
                                </a:prstGeom>
                                <a:solidFill>
                                  <a:srgbClr val="FFFFFF">
                                    <a:alpha val="0"/>
                                  </a:srgbClr>
                                </a:solidFill>
                                <a:ln>
                                  <a:noFill/>
                                </a:ln>
                              </wps:spPr>
                              <wps:txbx>
                                <w:txbxContent>
                                  <w:p w14:paraId="1326F231">
                                    <w:pPr>
                                      <w:jc w:val="center"/>
                                    </w:pPr>
                                    <w:r>
                                      <w:rPr>
                                        <w:rFonts w:hint="eastAsia"/>
                                      </w:rPr>
                                      <w:t>乌江</w:t>
                                    </w:r>
                                  </w:p>
                                </w:txbxContent>
                              </wps:txbx>
                              <wps:bodyPr upright="1"/>
                            </wps:wsp>
                            <wps:wsp>
                              <wps:cNvPr id="116" name="自选图形 99"/>
                              <wps:cNvCnPr/>
                              <wps:spPr>
                                <a:xfrm flipV="1">
                                  <a:off x="2893326" y="1275232"/>
                                  <a:ext cx="238835" cy="635"/>
                                </a:xfrm>
                                <a:prstGeom prst="straightConnector1">
                                  <a:avLst/>
                                </a:prstGeom>
                                <a:ln w="9525" cap="flat" cmpd="sng">
                                  <a:solidFill>
                                    <a:srgbClr val="000000"/>
                                  </a:solidFill>
                                  <a:prstDash val="solid"/>
                                  <a:headEnd type="none" w="med" len="med"/>
                                  <a:tailEnd type="none" w="med" len="med"/>
                                </a:ln>
                              </wps:spPr>
                              <wps:bodyPr/>
                            </wps:wsp>
                            <wps:wsp>
                              <wps:cNvPr id="117" name="直接连接符 516"/>
                              <wps:cNvCnPr/>
                              <wps:spPr>
                                <a:xfrm>
                                  <a:off x="3130706" y="455276"/>
                                  <a:ext cx="0" cy="825689"/>
                                </a:xfrm>
                                <a:prstGeom prst="line">
                                  <a:avLst/>
                                </a:prstGeom>
                              </wps:spPr>
                              <wps:style>
                                <a:lnRef idx="1">
                                  <a:schemeClr val="dk1"/>
                                </a:lnRef>
                                <a:fillRef idx="0">
                                  <a:schemeClr val="dk1"/>
                                </a:fillRef>
                                <a:effectRef idx="0">
                                  <a:schemeClr val="dk1"/>
                                </a:effectRef>
                                <a:fontRef idx="minor">
                                  <a:schemeClr val="tx1"/>
                                </a:fontRef>
                              </wps:style>
                              <wps:bodyPr/>
                            </wps:wsp>
                            <wps:wsp>
                              <wps:cNvPr id="118" name="自选图形 98"/>
                              <wps:cNvCnPr/>
                              <wps:spPr>
                                <a:xfrm>
                                  <a:off x="3132161" y="866189"/>
                                  <a:ext cx="403860" cy="0"/>
                                </a:xfrm>
                                <a:prstGeom prst="straightConnector1">
                                  <a:avLst/>
                                </a:prstGeom>
                                <a:ln w="9525" cap="flat" cmpd="sng">
                                  <a:solidFill>
                                    <a:srgbClr val="000000"/>
                                  </a:solidFill>
                                  <a:prstDash val="solid"/>
                                  <a:headEnd type="none" w="med" len="med"/>
                                  <a:tailEnd type="triangle" w="med" len="med"/>
                                </a:ln>
                              </wps:spPr>
                              <wps:bodyPr/>
                            </wps:wsp>
                            <wps:wsp>
                              <wps:cNvPr id="516" name="矩形 516"/>
                              <wps:cNvSpPr/>
                              <wps:spPr>
                                <a:xfrm>
                                  <a:off x="54240" y="1556585"/>
                                  <a:ext cx="1795031" cy="2679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5980D0">
                                    <w:pPr>
                                      <w:jc w:val="center"/>
                                      <w:rPr>
                                        <w:szCs w:val="21"/>
                                      </w:rPr>
                                    </w:pPr>
                                    <w:r>
                                      <w:rPr>
                                        <w:rFonts w:hint="eastAsia"/>
                                        <w:szCs w:val="21"/>
                                      </w:rPr>
                                      <w:t>生产废水</w:t>
                                    </w:r>
                                  </w:p>
                                </w:txbxContent>
                              </wps:txbx>
                              <wps:bodyPr upright="1"/>
                            </wps:wsp>
                            <wps:wsp>
                              <wps:cNvPr id="517" name="自选图形 101"/>
                              <wps:cNvCnPr>
                                <a:stCxn id="123" idx="1"/>
                                <a:endCxn id="516" idx="0"/>
                              </wps:cNvCnPr>
                              <wps:spPr>
                                <a:xfrm flipH="1">
                                  <a:off x="951756" y="1275232"/>
                                  <a:ext cx="669398" cy="281353"/>
                                </a:xfrm>
                                <a:prstGeom prst="straightConnector1">
                                  <a:avLst/>
                                </a:prstGeom>
                                <a:ln w="9525" cap="flat" cmpd="sng">
                                  <a:solidFill>
                                    <a:srgbClr val="000000"/>
                                  </a:solidFill>
                                  <a:prstDash val="solid"/>
                                  <a:headEnd type="triangle" w="med" len="med"/>
                                  <a:tailEnd type="none" w="med" len="med"/>
                                </a:ln>
                              </wps:spPr>
                              <wps:bodyPr/>
                            </wps:wsp>
                          </wpc:wpc>
                        </a:graphicData>
                      </a:graphic>
                    </wp:inline>
                  </w:drawing>
                </mc:Choice>
                <mc:Fallback>
                  <w:pict>
                    <v:group id="画布 45" o:spid="_x0000_s1026" o:spt="203" style="height:214.9pt;width:438pt;" coordsize="5562600,2729230" editas="canvas" o:gfxdata="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">
                      <o:lock v:ext="edit" aspectratio="f"/>
                      <v:shape id="画布 45" o:spid="_x0000_s1026" style="position:absolute;left:0;top:0;height:2729230;width:5562600;" filled="f" stroked="f" coordsize="21600,21600" o:gfxdata="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">
                        <v:fill on="f" focussize="0,0"/>
                        <v:stroke on="f"/>
                        <v:imagedata o:title=""/>
                        <o:lock v:ext="edit" aspectratio="t"/>
                      </v:shape>
                      <v:rect id="矩形 55" o:spid="_x0000_s1026" o:spt="1" style="position:absolute;left:13970;top:320192;height:267970;width:927735;" fillcolor="#FFFFFF" filled="t" stroked="t" coordsize="21600,21600" o:gfxdata="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9583W1AAAAAUBAAAPAAAAAAAAAAEAIAAAACIAAABk&#10;cnMvZG93bnJldi54bWxQSwECFAAUAAAACACHTuJAmy3QFAoCAAA0BAAADgAAAAAAAAABACAAAAAj&#10;AQAAZHJzL2Uyb0RvYy54bWxQSwUGAAAAAAYABgBZAQAAnwUAAAAA&#10;">
                        <v:fill on="t" focussize="0,0"/>
                        <v:stroke color="#000000" joinstyle="miter"/>
                        <v:imagedata o:title=""/>
                        <o:lock v:ext="edit" aspectratio="f"/>
                        <v:textbox>
                          <w:txbxContent>
                            <w:p w14:paraId="52E2CD19">
                              <w:pPr>
                                <w:jc w:val="center"/>
                              </w:pPr>
                              <w:r>
                                <w:t>生活污水</w:t>
                              </w:r>
                            </w:p>
                          </w:txbxContent>
                        </v:textbox>
                      </v:rect>
                      <v:rect id="矩形 59" o:spid="_x0000_s1026" o:spt="1" style="position:absolute;left:1391920;top:320192;height:267970;width:1447165;" fillcolor="#FFFFFF" filled="t" stroked="t" coordsize="21600,21600" o:gfxdata="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9583W1AAAAAUBAAAPAAAAAAAAAAEAIAAA&#10;ACIAAABkcnMvZG93bnJldi54bWxQSwECFAAUAAAACACHTuJA2OlGEBACAAA3BAAADgAAAAAAAAAB&#10;ACAAAAAjAQAAZHJzL2Uyb0RvYy54bWxQSwUGAAAAAAYABgBZAQAApQUAAAAA&#10;">
                        <v:fill on="t" focussize="0,0"/>
                        <v:stroke color="#000000" joinstyle="miter"/>
                        <v:imagedata o:title=""/>
                        <o:lock v:ext="edit" aspectratio="f"/>
                        <v:textbox>
                          <w:txbxContent>
                            <w:p w14:paraId="6052CF79">
                              <w:pPr>
                                <w:jc w:val="center"/>
                              </w:pPr>
                              <w:r>
                                <w:rPr>
                                  <w:rFonts w:hint="eastAsia"/>
                                </w:rPr>
                                <w:t>生化池</w:t>
                              </w:r>
                            </w:p>
                          </w:txbxContent>
                        </v:textbox>
                      </v:rect>
                      <v:rect id="矩形 63" o:spid="_x0000_s1026" o:spt="1" style="position:absolute;left:3542845;top:755954;height:267970;width:1499235;" fillcolor="#FFFFFF" filled="t" stroked="t" coordsize="21600,21600" o:gfxdata="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3nzdbUAAAABQEAAA8AAAAAAAAAAQAg&#10;AAAAIgAAAGRycy9kb3ducmV2LnhtbFBLAQIUABQAAAAIAIdO4kBMJzTVEgIAADcEAAAOAAAAAAAA&#10;AAEAIAAAACMBAABkcnMvZTJvRG9jLnhtbFBLBQYAAAAABgAGAFkBAACnBQAAAAA=&#10;">
                        <v:fill on="t" focussize="0,0"/>
                        <v:stroke color="#000000" joinstyle="miter"/>
                        <v:imagedata o:title=""/>
                        <o:lock v:ext="edit" aspectratio="f"/>
                        <v:textbox>
                          <w:txbxContent>
                            <w:p w14:paraId="44F0497C">
                              <w:pPr>
                                <w:jc w:val="center"/>
                                <w:rPr>
                                  <w:rFonts w:ascii="Times New Roman" w:hAnsi="Times New Roman" w:cs="Times New Roman"/>
                                </w:rPr>
                              </w:pPr>
                              <w:r>
                                <w:rPr>
                                  <w:rFonts w:hint="eastAsia" w:ascii="Times New Roman" w:hAnsi="Times New Roman" w:cs="Times New Roman"/>
                                </w:rPr>
                                <w:t>园区污水处理厂</w:t>
                              </w:r>
                            </w:p>
                          </w:txbxContent>
                        </v:textbox>
                      </v:rect>
                      <v:rect id="矩形 65" o:spid="_x0000_s1026" o:spt="1" style="position:absolute;left:1621154;top:1141247;height:267970;width:1265347;" fillcolor="#FFFFFF" filled="t" stroked="t" coordsize="21600,21600" o:gfxdata="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9583W1AAAAAUBAAAPAAAAAAAAAAEAIAAA&#10;ACIAAABkcnMvZG93bnJldi54bWxQSwECFAAUAAAACACHTuJAXVTcVhACAAA4BAAADgAAAAAAAAAB&#10;ACAAAAAjAQAAZHJzL2Uyb0RvYy54bWxQSwUGAAAAAAYABgBZAQAApQUAAAAA&#10;">
                        <v:fill on="t" focussize="0,0"/>
                        <v:stroke color="#000000" joinstyle="miter"/>
                        <v:imagedata o:title=""/>
                        <o:lock v:ext="edit" aspectratio="f"/>
                        <v:textbox>
                          <w:txbxContent>
                            <w:p w14:paraId="2016FF23">
                              <w:pPr>
                                <w:jc w:val="center"/>
                                <w:rPr>
                                  <w:rFonts w:ascii="Times New Roman" w:hAnsi="Times New Roman" w:cs="Times New Roman"/>
                                </w:rPr>
                              </w:pPr>
                              <w:r>
                                <w:rPr>
                                  <w:rFonts w:hint="eastAsia" w:ascii="Times New Roman" w:hAnsi="Times New Roman" w:cs="Times New Roman"/>
                                </w:rPr>
                                <w:t>生产废水收集池</w:t>
                              </w:r>
                            </w:p>
                          </w:txbxContent>
                        </v:textbox>
                      </v:rect>
                      <v:rect id="矩形 67" o:spid="_x0000_s1026" o:spt="1" style="position:absolute;left:99515;top:958643;height:267970;width:927735;" fillcolor="#FFFFFF" filled="t" stroked="t" coordsize="21600,21600" o:gfxdata="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3nzdbUAAAABQEAAA8AAAAAAAAAAQAgAAAAIgAA&#10;AGRycy9kb3ducmV2LnhtbFBLAQIUABQAAAAIAIdO4kCTzRvpDAIAADQEAAAOAAAAAAAAAAEAIAAA&#10;ACMBAABkcnMvZTJvRG9jLnhtbFBLBQYAAAAABgAGAFkBAAChBQAAAAA=&#10;">
                        <v:fill on="t" focussize="0,0"/>
                        <v:stroke color="#000000" joinstyle="miter"/>
                        <v:imagedata o:title=""/>
                        <o:lock v:ext="edit" aspectratio="f"/>
                        <v:textbox>
                          <w:txbxContent>
                            <w:p w14:paraId="08380614">
                              <w:pPr>
                                <w:jc w:val="center"/>
                              </w:pPr>
                              <w:r>
                                <w:rPr>
                                  <w:rFonts w:hint="eastAsia"/>
                                </w:rPr>
                                <w:t>地面冲洗水</w:t>
                              </w:r>
                            </w:p>
                          </w:txbxContent>
                        </v:textbox>
                      </v:rect>
                      <v:shape id="自选图形 76" o:spid="_x0000_s1026" o:spt="32" type="#_x0000_t32" style="position:absolute;left:4298969;top:1036623;height:542925;width:635;" filled="f" stroked="t" coordsize="21600,21600" o:gfxdata="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bMGbWAAAABQEAAA8AAAAAAAAAAQAgAAAAIgAA&#10;AGRycy9kb3ducmV2LnhtbFBLAQIUABQAAAAIAIdO4kAV9cH8CgIAAPcDAAAOAAAAAAAAAAEAIAAA&#10;ACUBAABkcnMvZTJvRG9jLnhtbFBLBQYAAAAABgAGAFkBAAChBQAAAAA=&#10;">
                        <v:fill on="f" focussize="0,0"/>
                        <v:stroke color="#000000" joinstyle="round" endarrow="block"/>
                        <v:imagedata o:title=""/>
                        <o:lock v:ext="edit" aspectratio="f"/>
                      </v:shape>
                      <v:rect id="矩形 81" o:spid="_x0000_s1026" o:spt="1" style="position:absolute;left:2851785;top:100482;height:267970;width:603885;" fillcolor="#FFFFFF" filled="t" stroked="f" coordsize="21600,21600" o:gfxdata="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DrKuPjVAAAABQEAAA8AAAAAAAAAAQAgAAAAIgAAAGRy&#10;cy9kb3ducmV2LnhtbFBLAQIUABQAAAAIAIdO4kD/4OKazwEAAJQDAAAOAAAAAAAAAAEAIAAAACQB&#10;AABkcnMvZTJvRG9jLnhtbFBLBQYAAAAABgAGAFkBAABlBQAAAAA=&#10;">
                        <v:fill on="t" opacity="0f" focussize="0,0"/>
                        <v:stroke on="f"/>
                        <v:imagedata o:title=""/>
                        <o:lock v:ext="edit" aspectratio="f"/>
                        <v:textbox>
                          <w:txbxContent>
                            <w:p w14:paraId="10A21474">
                              <w:r>
                                <w:rPr>
                                  <w:rFonts w:hint="eastAsia"/>
                                </w:rPr>
                                <w:t>泵输送</w:t>
                              </w:r>
                            </w:p>
                          </w:txbxContent>
                        </v:textbox>
                      </v:rect>
                      <v:shape id="自选图形 98" o:spid="_x0000_s1026" o:spt="32" type="#_x0000_t32" style="position:absolute;left:965835;top:454177;height:0;width:403860;" filled="f" stroked="t" coordsize="21600,21600" o:gfxdata="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PmzBm1gAAAAUBAAAPAAAAAAAAAAEAIAAAACIA&#10;AABkcnMvZG93bnJldi54bWxQSwECFAAUAAAACACHTuJAubrlugsCAADzAwAADgAAAAAAAAABACAA&#10;AAAlAQAAZHJzL2Uyb0RvYy54bWxQSwUGAAAAAAYABgBZAQAAogUAAAAA&#10;">
                        <v:fill on="f" focussize="0,0"/>
                        <v:stroke color="#000000" joinstyle="round" endarrow="block"/>
                        <v:imagedata o:title=""/>
                        <o:lock v:ext="edit" aspectratio="f"/>
                      </v:shape>
                      <v:shape id="自选图形 99" o:spid="_x0000_s1026" o:spt="32" type="#_x0000_t32" style="position:absolute;left:2839085;top:454177;height:0;width:293076;" filled="f" stroked="t" coordsize="21600,21600" o:gfxdata="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tfWqrVAAAABQEAAA8AAAAAAAAAAQAgAAAAIgAAAGRycy9k&#10;b3ducmV2LnhtbFBLAQIUABQAAAAIAIdO4kCyKWwzBQIAAPADAAAOAAAAAAAAAAEAIAAAACQBAABk&#10;cnMvZTJvRG9jLnhtbFBLBQYAAAAABgAGAFkBAACbBQAAAAA=&#10;">
                        <v:fill on="f" focussize="0,0"/>
                        <v:stroke color="#000000" joinstyle="round"/>
                        <v:imagedata o:title=""/>
                        <o:lock v:ext="edit" aspectratio="f"/>
                      </v:shape>
                      <v:shape id="自选图形 101" o:spid="_x0000_s1026" o:spt="32" type="#_x0000_t32" style="position:absolute;left:1027250;top:1092628;flip:x y;height:182604;width:593904;" filled="f" stroked="t" coordsize="21600,21600" o:gfxdata="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2iJX31wAAAAUBAAAPAAAAAAAAAAEAIAAAACIAAABkcnMvZG93bnJldi54bWxQ&#10;SwECFAAUAAAACACHTuJA9gTuoDECAABTBAAADgAAAAAAAAABACAAAAAmAQAAZHJzL2Uyb0RvYy54&#10;bWxQSwUGAAAAAAYABgBZAQAAyQUAAAAA&#10;">
                        <v:fill on="f" focussize="0,0"/>
                        <v:stroke color="#000000" joinstyle="round" startarrow="block"/>
                        <v:imagedata o:title=""/>
                        <o:lock v:ext="edit" aspectratio="f"/>
                      </v:shape>
                      <v:rect id="矩形 105" o:spid="_x0000_s1026" o:spt="1" style="position:absolute;left:3388852;top:1554005;height:267970;width:1838325;" fillcolor="#FFFFFF" filled="t" stroked="f" coordsize="21600,21600" o:gfxdata="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rKuPjVAAAABQEAAA8AAAAAAAAAAQAgAAAAIgAA&#10;AGRycy9kb3ducmV2LnhtbFBLAQIUABQAAAAIAIdO4kBQ3bMX0gEAAJcDAAAOAAAAAAAAAAEAIAAA&#10;ACQBAABkcnMvZTJvRG9jLnhtbFBLBQYAAAAABgAGAFkBAABoBQAAAAA=&#10;">
                        <v:fill on="t" opacity="0f" focussize="0,0"/>
                        <v:stroke on="f"/>
                        <v:imagedata o:title=""/>
                        <o:lock v:ext="edit" aspectratio="f"/>
                        <v:textbox>
                          <w:txbxContent>
                            <w:p w14:paraId="1326F231">
                              <w:pPr>
                                <w:jc w:val="center"/>
                              </w:pPr>
                              <w:r>
                                <w:rPr>
                                  <w:rFonts w:hint="eastAsia"/>
                                </w:rPr>
                                <w:t>乌江</w:t>
                              </w:r>
                            </w:p>
                          </w:txbxContent>
                        </v:textbox>
                      </v:rect>
                      <v:shape id="自选图形 99" o:spid="_x0000_s1026" o:spt="32" type="#_x0000_t32" style="position:absolute;left:2893326;top:1275232;flip:y;height:635;width:238835;" filled="f" stroked="t" coordsize="21600,21600" o:gfxdata="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&#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aPzp3UAAAABQEAAA8AAAAAAAAAAQAgAAAAIgAAAGRy&#10;cy9kb3ducmV2LnhtbFBLAQIUABQAAAAIAIdO4kBNPlxSCQIAAP0DAAAOAAAAAAAAAAEAIAAAACMB&#10;AABkcnMvZTJvRG9jLnhtbFBLBQYAAAAABgAGAFkBAACeBQAAAAA=&#10;">
                        <v:fill on="f" focussize="0,0"/>
                        <v:stroke color="#000000" joinstyle="round"/>
                        <v:imagedata o:title=""/>
                        <o:lock v:ext="edit" aspectratio="f"/>
                      </v:shape>
                      <v:line id="直接连接符 516" o:spid="_x0000_s1026" o:spt="20" style="position:absolute;left:3130706;top:455276;height:825689;width:0;" filled="f" stroked="t" coordsize="21600,21600" o:gfxdata="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Gg+l81AAAAAUBAAAPAAAAAAAAAAEAIAAAACIAAABkcnMvZG93bnJl&#10;di54bWxQSwECFAAUAAAACACHTuJAuSpIugECAADhAwAADgAAAAAAAAABACAAAAAjAQAAZHJzL2Uy&#10;b0RvYy54bWxQSwUGAAAAAAYABgBZAQAAlgUAAAAA&#10;">
                        <v:fill on="f" focussize="0,0"/>
                        <v:stroke color="#000000 [3200]" joinstyle="round"/>
                        <v:imagedata o:title=""/>
                        <o:lock v:ext="edit" aspectratio="f"/>
                      </v:line>
                      <v:shape id="自选图形 98" o:spid="_x0000_s1026" o:spt="32" type="#_x0000_t32" style="position:absolute;left:3132161;top:866189;height:0;width:403860;" filled="f" stroked="t" coordsize="21600,21600" o:gfxdata="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5swZtYAAAAFAQAADwAAAAAAAAABACAAAAAi&#10;AAAAZHJzL2Rvd25yZXYueG1sUEsBAhQAFAAAAAgAh07iQIXw2EsMAgAA9AMAAA4AAAAAAAAAAQAg&#10;AAAAJQEAAGRycy9lMm9Eb2MueG1sUEsFBgAAAAAGAAYAWQEAAKMFAAAAAA==&#10;">
                        <v:fill on="f" focussize="0,0"/>
                        <v:stroke color="#000000" joinstyle="round" endarrow="block"/>
                        <v:imagedata o:title=""/>
                        <o:lock v:ext="edit" aspectratio="f"/>
                      </v:shape>
                      <v:rect id="_x0000_s1026" o:spid="_x0000_s1026" o:spt="1" style="position:absolute;left:54240;top:1556585;height:267970;width:1795031;" fillcolor="#FFFFFF" filled="t" stroked="t" coordsize="21600,21600" o:gfxdata="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efN1tQAAAAFAQAADwAAAAAAAAABACAA&#10;AAAiAAAAZHJzL2Rvd25yZXYueG1sUEsBAhQAFAAAAAgAh07iQB90xFIRAgAANwQAAA4AAAAAAAAA&#10;AQAgAAAAIwEAAGRycy9lMm9Eb2MueG1sUEsFBgAAAAAGAAYAWQEAAKYFAAAAAA==&#10;">
                        <v:fill on="t" focussize="0,0"/>
                        <v:stroke color="#000000" joinstyle="miter"/>
                        <v:imagedata o:title=""/>
                        <o:lock v:ext="edit" aspectratio="f"/>
                        <v:textbox>
                          <w:txbxContent>
                            <w:p w14:paraId="425980D0">
                              <w:pPr>
                                <w:jc w:val="center"/>
                                <w:rPr>
                                  <w:szCs w:val="21"/>
                                </w:rPr>
                              </w:pPr>
                              <w:r>
                                <w:rPr>
                                  <w:rFonts w:hint="eastAsia"/>
                                  <w:szCs w:val="21"/>
                                </w:rPr>
                                <w:t>生产废水</w:t>
                              </w:r>
                            </w:p>
                          </w:txbxContent>
                        </v:textbox>
                      </v:rect>
                      <v:shape id="自选图形 101" o:spid="_x0000_s1026" o:spt="32" type="#_x0000_t32" style="position:absolute;left:951756;top:1275232;flip:x;height:281353;width:669398;" filled="f" stroked="t" coordsize="21600,21600" o:gfxdata="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B4hzP1QAAAAUBAAAPAAAAAAAAAAEAIAAAACIAAABkcnMvZG93bnJldi54bWxQSwEC&#10;FAAUAAAACACHTuJAtWofTzACAABIBAAADgAAAAAAAAABACAAAAAkAQAAZHJzL2Uyb0RvYy54bWxQ&#10;SwUGAAAAAAYABgBZAQAAxgUAAAAA&#10;">
                        <v:fill on="f" focussize="0,0"/>
                        <v:stroke color="#000000" joinstyle="round" startarrow="block"/>
                        <v:imagedata o:title=""/>
                        <o:lock v:ext="edit" aspectratio="f"/>
                      </v:shape>
                      <w10:wrap type="none"/>
                      <w10:anchorlock/>
                    </v:group>
                  </w:pict>
                </mc:Fallback>
              </mc:AlternateContent>
            </w:r>
          </w:p>
          <w:p w14:paraId="2508CE54">
            <w:pPr>
              <w:spacing w:line="360" w:lineRule="auto"/>
              <w:ind w:firstLine="422" w:firstLineChars="200"/>
              <w:jc w:val="center"/>
              <w:rPr>
                <w:rFonts w:ascii="Times New Roman" w:hAnsi="Times New Roman" w:cs="Times New Roman"/>
                <w:b/>
                <w:kern w:val="0"/>
                <w:szCs w:val="18"/>
              </w:rPr>
            </w:pPr>
            <w:r>
              <w:rPr>
                <w:rFonts w:ascii="Times New Roman" w:hAnsi="Times New Roman" w:cs="Times New Roman"/>
                <w:b/>
                <w:kern w:val="0"/>
                <w:szCs w:val="18"/>
              </w:rPr>
              <w:t>图4.2.2-1  污水收集、处理工艺流程图</w:t>
            </w:r>
          </w:p>
          <w:p w14:paraId="5DE03007">
            <w:pPr>
              <w:spacing w:line="360" w:lineRule="auto"/>
              <w:ind w:firstLine="480" w:firstLineChars="200"/>
              <w:rPr>
                <w:rFonts w:ascii="Times New Roman" w:hAnsi="Times New Roman" w:cs="Times New Roman"/>
                <w:sz w:val="24"/>
              </w:rPr>
            </w:pPr>
            <w:r>
              <w:rPr>
                <w:rFonts w:ascii="Times New Roman" w:hAnsi="Times New Roman" w:cs="Times New Roman"/>
                <w:sz w:val="24"/>
              </w:rPr>
              <w:t>（2）依托可行性</w:t>
            </w:r>
          </w:p>
          <w:p w14:paraId="7C9F6045">
            <w:pPr>
              <w:adjustRightInd w:val="0"/>
              <w:snapToGrid w:val="0"/>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LNG工厂设有1个</w:t>
            </w:r>
            <w:r>
              <w:rPr>
                <w:rFonts w:hint="eastAsia" w:ascii="Times New Roman" w:hAnsi="Times New Roman" w:cs="Times New Roman"/>
                <w:color w:val="000000"/>
                <w:sz w:val="24"/>
              </w:rPr>
              <w:t>生产废水池</w:t>
            </w:r>
            <w:r>
              <w:rPr>
                <w:rFonts w:ascii="Times New Roman" w:hAnsi="Times New Roman" w:cs="Times New Roman"/>
                <w:color w:val="000000"/>
                <w:sz w:val="24"/>
              </w:rPr>
              <w:t>（</w:t>
            </w:r>
            <w:r>
              <w:rPr>
                <w:rFonts w:hint="eastAsia" w:ascii="Times New Roman" w:hAnsi="Times New Roman" w:cs="Times New Roman"/>
                <w:color w:val="000000"/>
                <w:sz w:val="24"/>
              </w:rPr>
              <w:t>18</w:t>
            </w:r>
            <w:r>
              <w:rPr>
                <w:rFonts w:ascii="Times New Roman" w:hAnsi="Times New Roman" w:cs="Times New Roman"/>
                <w:color w:val="000000"/>
                <w:sz w:val="24"/>
              </w:rPr>
              <w:t>m</w:t>
            </w:r>
            <w:r>
              <w:rPr>
                <w:rFonts w:ascii="Times New Roman" w:hAnsi="Times New Roman" w:cs="Times New Roman"/>
                <w:color w:val="000000"/>
                <w:sz w:val="24"/>
                <w:vertAlign w:val="superscript"/>
              </w:rPr>
              <w:t>3</w:t>
            </w:r>
            <w:r>
              <w:rPr>
                <w:rFonts w:ascii="Times New Roman" w:hAnsi="Times New Roman" w:cs="Times New Roman"/>
                <w:color w:val="000000"/>
                <w:sz w:val="24"/>
              </w:rPr>
              <w:t>），现实际处理规模约</w:t>
            </w:r>
            <w:r>
              <w:rPr>
                <w:rFonts w:hint="eastAsia" w:ascii="Times New Roman" w:hAnsi="Times New Roman" w:cs="Times New Roman"/>
                <w:color w:val="000000"/>
                <w:sz w:val="24"/>
              </w:rPr>
              <w:t>3.08</w:t>
            </w:r>
            <w:r>
              <w:rPr>
                <w:rFonts w:ascii="Times New Roman" w:hAnsi="Times New Roman" w:cs="Times New Roman"/>
                <w:color w:val="000000"/>
                <w:sz w:val="24"/>
              </w:rPr>
              <w:t>m</w:t>
            </w:r>
            <w:r>
              <w:rPr>
                <w:rFonts w:ascii="Times New Roman" w:hAnsi="Times New Roman" w:cs="Times New Roman"/>
                <w:color w:val="000000"/>
                <w:sz w:val="24"/>
                <w:vertAlign w:val="superscript"/>
              </w:rPr>
              <w:t>3</w:t>
            </w:r>
            <w:r>
              <w:rPr>
                <w:rFonts w:ascii="Times New Roman" w:hAnsi="Times New Roman" w:cs="Times New Roman"/>
                <w:color w:val="000000"/>
                <w:sz w:val="24"/>
              </w:rPr>
              <w:t>，富余</w:t>
            </w:r>
            <w:r>
              <w:rPr>
                <w:rFonts w:hint="eastAsia" w:ascii="Times New Roman" w:hAnsi="Times New Roman" w:cs="Times New Roman"/>
                <w:color w:val="000000"/>
                <w:sz w:val="24"/>
              </w:rPr>
              <w:t>14.92</w:t>
            </w:r>
            <w:r>
              <w:rPr>
                <w:rFonts w:ascii="Times New Roman" w:hAnsi="Times New Roman" w:cs="Times New Roman"/>
                <w:color w:val="000000"/>
                <w:sz w:val="24"/>
              </w:rPr>
              <w:t>m</w:t>
            </w:r>
            <w:r>
              <w:rPr>
                <w:rFonts w:ascii="Times New Roman" w:hAnsi="Times New Roman" w:cs="Times New Roman"/>
                <w:color w:val="000000"/>
                <w:sz w:val="24"/>
                <w:vertAlign w:val="superscript"/>
              </w:rPr>
              <w:t>3</w:t>
            </w:r>
            <w:r>
              <w:rPr>
                <w:rFonts w:ascii="Times New Roman" w:hAnsi="Times New Roman" w:cs="Times New Roman"/>
                <w:color w:val="000000"/>
                <w:sz w:val="24"/>
              </w:rPr>
              <w:t>，</w:t>
            </w:r>
            <w:r>
              <w:rPr>
                <w:rFonts w:hint="eastAsia" w:ascii="Times New Roman" w:hAnsi="Times New Roman" w:cs="Times New Roman"/>
                <w:color w:val="000000"/>
                <w:sz w:val="24"/>
              </w:rPr>
              <w:t>拟建</w:t>
            </w:r>
            <w:r>
              <w:rPr>
                <w:rFonts w:ascii="Times New Roman" w:hAnsi="Times New Roman" w:cs="Times New Roman"/>
                <w:color w:val="000000"/>
                <w:sz w:val="24"/>
              </w:rPr>
              <w:t>项目生产废水量为</w:t>
            </w:r>
            <w:r>
              <w:rPr>
                <w:rFonts w:hint="eastAsia" w:ascii="Times New Roman" w:hAnsi="Times New Roman" w:cs="Times New Roman"/>
                <w:color w:val="000000"/>
                <w:sz w:val="24"/>
              </w:rPr>
              <w:t>（3.07</w:t>
            </w:r>
            <w:r>
              <w:rPr>
                <w:rFonts w:ascii="Times New Roman" w:hAnsi="Times New Roman" w:cs="Times New Roman"/>
                <w:color w:val="000000"/>
                <w:sz w:val="24"/>
              </w:rPr>
              <w:t>m</w:t>
            </w:r>
            <w:r>
              <w:rPr>
                <w:rFonts w:ascii="Times New Roman" w:hAnsi="Times New Roman" w:cs="Times New Roman"/>
                <w:color w:val="000000"/>
                <w:sz w:val="24"/>
                <w:vertAlign w:val="superscript"/>
              </w:rPr>
              <w:t>3</w:t>
            </w:r>
            <w:r>
              <w:rPr>
                <w:rFonts w:ascii="Times New Roman" w:hAnsi="Times New Roman" w:cs="Times New Roman"/>
                <w:color w:val="000000"/>
                <w:sz w:val="24"/>
              </w:rPr>
              <w:t>/</w:t>
            </w:r>
            <w:r>
              <w:rPr>
                <w:rFonts w:hint="eastAsia" w:ascii="Times New Roman" w:hAnsi="Times New Roman" w:cs="Times New Roman"/>
                <w:color w:val="000000"/>
                <w:sz w:val="24"/>
              </w:rPr>
              <w:t>d）</w:t>
            </w:r>
            <w:r>
              <w:rPr>
                <w:rFonts w:ascii="Times New Roman" w:hAnsi="Times New Roman" w:cs="Times New Roman"/>
                <w:color w:val="000000"/>
                <w:sz w:val="24"/>
              </w:rPr>
              <w:t>，其富余规模可满足</w:t>
            </w:r>
            <w:r>
              <w:rPr>
                <w:rFonts w:hint="eastAsia" w:ascii="Times New Roman" w:hAnsi="Times New Roman" w:cs="Times New Roman"/>
                <w:color w:val="000000"/>
                <w:sz w:val="24"/>
              </w:rPr>
              <w:t>拟建</w:t>
            </w:r>
            <w:r>
              <w:rPr>
                <w:rFonts w:ascii="Times New Roman" w:hAnsi="Times New Roman" w:cs="Times New Roman"/>
                <w:color w:val="000000"/>
                <w:sz w:val="24"/>
              </w:rPr>
              <w:t>项目生产废水处理需求。</w:t>
            </w:r>
          </w:p>
          <w:p w14:paraId="093D2E35">
            <w:pPr>
              <w:adjustRightInd w:val="0"/>
              <w:snapToGrid w:val="0"/>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LNG工厂设有2个</w:t>
            </w:r>
            <w:r>
              <w:rPr>
                <w:rFonts w:hint="eastAsia" w:ascii="Times New Roman" w:hAnsi="Times New Roman" w:cs="Times New Roman"/>
                <w:color w:val="000000"/>
                <w:sz w:val="24"/>
              </w:rPr>
              <w:t>生化池</w:t>
            </w:r>
            <w:r>
              <w:rPr>
                <w:rFonts w:ascii="Times New Roman" w:hAnsi="Times New Roman" w:cs="Times New Roman"/>
                <w:color w:val="000000"/>
                <w:sz w:val="24"/>
              </w:rPr>
              <w:t>，其中综合楼</w:t>
            </w:r>
            <w:r>
              <w:rPr>
                <w:rFonts w:hint="eastAsia" w:ascii="Times New Roman" w:hAnsi="Times New Roman" w:cs="Times New Roman"/>
                <w:color w:val="000000"/>
                <w:sz w:val="24"/>
              </w:rPr>
              <w:t>生化池</w:t>
            </w:r>
            <w:r>
              <w:rPr>
                <w:rFonts w:ascii="Times New Roman" w:hAnsi="Times New Roman" w:cs="Times New Roman"/>
                <w:color w:val="000000"/>
                <w:sz w:val="24"/>
              </w:rPr>
              <w:t>处理规模约12m</w:t>
            </w:r>
            <w:r>
              <w:rPr>
                <w:rFonts w:ascii="Times New Roman" w:hAnsi="Times New Roman" w:cs="Times New Roman"/>
                <w:color w:val="000000"/>
                <w:sz w:val="24"/>
                <w:vertAlign w:val="superscript"/>
              </w:rPr>
              <w:t>3</w:t>
            </w:r>
            <w:r>
              <w:rPr>
                <w:rFonts w:ascii="Times New Roman" w:hAnsi="Times New Roman" w:cs="Times New Roman"/>
                <w:color w:val="000000"/>
                <w:sz w:val="24"/>
              </w:rPr>
              <w:t>/d，装卸区</w:t>
            </w:r>
            <w:r>
              <w:rPr>
                <w:rFonts w:hint="eastAsia" w:ascii="Times New Roman" w:hAnsi="Times New Roman" w:cs="Times New Roman"/>
                <w:color w:val="000000"/>
                <w:sz w:val="24"/>
              </w:rPr>
              <w:t>生化池</w:t>
            </w:r>
            <w:r>
              <w:rPr>
                <w:rFonts w:ascii="Times New Roman" w:hAnsi="Times New Roman" w:cs="Times New Roman"/>
                <w:color w:val="000000"/>
                <w:sz w:val="24"/>
              </w:rPr>
              <w:t>处理规模</w:t>
            </w:r>
            <w:r>
              <w:rPr>
                <w:rFonts w:hint="eastAsia" w:ascii="Times New Roman" w:hAnsi="Times New Roman" w:cs="Times New Roman"/>
                <w:color w:val="000000"/>
                <w:sz w:val="24"/>
              </w:rPr>
              <w:t>6</w:t>
            </w:r>
            <w:r>
              <w:rPr>
                <w:rFonts w:ascii="Times New Roman" w:hAnsi="Times New Roman" w:cs="Times New Roman"/>
                <w:color w:val="000000"/>
                <w:sz w:val="24"/>
              </w:rPr>
              <w:t>m</w:t>
            </w:r>
            <w:r>
              <w:rPr>
                <w:rFonts w:ascii="Times New Roman" w:hAnsi="Times New Roman" w:cs="Times New Roman"/>
                <w:color w:val="000000"/>
                <w:sz w:val="24"/>
                <w:vertAlign w:val="superscript"/>
              </w:rPr>
              <w:t>3</w:t>
            </w:r>
            <w:r>
              <w:rPr>
                <w:rFonts w:ascii="Times New Roman" w:hAnsi="Times New Roman" w:cs="Times New Roman"/>
                <w:color w:val="000000"/>
                <w:sz w:val="24"/>
              </w:rPr>
              <w:t>/d，本项目依托综合楼</w:t>
            </w:r>
            <w:r>
              <w:rPr>
                <w:rFonts w:hint="eastAsia" w:ascii="Times New Roman" w:hAnsi="Times New Roman" w:cs="Times New Roman"/>
                <w:color w:val="000000"/>
                <w:sz w:val="24"/>
              </w:rPr>
              <w:t>生化池</w:t>
            </w:r>
            <w:r>
              <w:rPr>
                <w:rFonts w:ascii="Times New Roman" w:hAnsi="Times New Roman" w:cs="Times New Roman"/>
                <w:color w:val="000000"/>
                <w:sz w:val="24"/>
              </w:rPr>
              <w:t>现实际处理规模约8m</w:t>
            </w:r>
            <w:r>
              <w:rPr>
                <w:rFonts w:ascii="Times New Roman" w:hAnsi="Times New Roman" w:cs="Times New Roman"/>
                <w:color w:val="000000"/>
                <w:sz w:val="24"/>
                <w:vertAlign w:val="superscript"/>
              </w:rPr>
              <w:t>3</w:t>
            </w:r>
            <w:r>
              <w:rPr>
                <w:rFonts w:ascii="Times New Roman" w:hAnsi="Times New Roman" w:cs="Times New Roman"/>
                <w:color w:val="000000"/>
                <w:sz w:val="24"/>
              </w:rPr>
              <w:t>/d，富余4m</w:t>
            </w:r>
            <w:r>
              <w:rPr>
                <w:rFonts w:ascii="Times New Roman" w:hAnsi="Times New Roman" w:cs="Times New Roman"/>
                <w:color w:val="000000"/>
                <w:sz w:val="24"/>
                <w:vertAlign w:val="superscript"/>
              </w:rPr>
              <w:t>3</w:t>
            </w:r>
            <w:r>
              <w:rPr>
                <w:rFonts w:ascii="Times New Roman" w:hAnsi="Times New Roman" w:cs="Times New Roman"/>
                <w:color w:val="000000"/>
                <w:sz w:val="24"/>
              </w:rPr>
              <w:t>/d，本项目</w:t>
            </w:r>
            <w:r>
              <w:rPr>
                <w:rFonts w:ascii="Times New Roman" w:hAnsi="Times New Roman" w:cs="Times New Roman"/>
                <w:color w:val="000000"/>
                <w:sz w:val="24"/>
                <w:lang w:bidi="ar"/>
              </w:rPr>
              <w:t>生活污水产生量</w:t>
            </w:r>
            <w:r>
              <w:rPr>
                <w:rFonts w:ascii="Times New Roman" w:hAnsi="Times New Roman" w:cs="Times New Roman"/>
                <w:color w:val="000000"/>
                <w:sz w:val="24"/>
              </w:rPr>
              <w:t>3.285m</w:t>
            </w:r>
            <w:r>
              <w:rPr>
                <w:rFonts w:ascii="Times New Roman" w:hAnsi="Times New Roman" w:cs="Times New Roman"/>
                <w:color w:val="000000"/>
                <w:sz w:val="24"/>
                <w:vertAlign w:val="superscript"/>
              </w:rPr>
              <w:t>3</w:t>
            </w:r>
            <w:r>
              <w:rPr>
                <w:rFonts w:ascii="Times New Roman" w:hAnsi="Times New Roman" w:cs="Times New Roman"/>
                <w:color w:val="000000"/>
                <w:sz w:val="24"/>
              </w:rPr>
              <w:t>/d，其富余规模可满足本项目生活污水处理需求。</w:t>
            </w:r>
          </w:p>
          <w:p w14:paraId="0B22538A">
            <w:pPr>
              <w:adjustRightInd w:val="0"/>
              <w:snapToGrid w:val="0"/>
              <w:spacing w:line="360" w:lineRule="auto"/>
              <w:ind w:firstLine="480" w:firstLineChars="200"/>
              <w:rPr>
                <w:rFonts w:ascii="Times New Roman" w:hAnsi="Times New Roman" w:cs="Times New Roman"/>
                <w:sz w:val="24"/>
                <w:highlight w:val="yellow"/>
              </w:rPr>
            </w:pPr>
            <w:r>
              <w:rPr>
                <w:rFonts w:ascii="Times New Roman" w:hAnsi="Times New Roman" w:cs="Times New Roman"/>
                <w:color w:val="000000"/>
                <w:sz w:val="24"/>
                <w:lang w:bidi="ar"/>
              </w:rPr>
              <w:t>故从水质、水量上分析，项目生产废水、生活污水依托现有污水处理装置是可行的。</w:t>
            </w:r>
          </w:p>
          <w:p w14:paraId="3EEB9605">
            <w:pPr>
              <w:spacing w:line="360" w:lineRule="auto"/>
              <w:rPr>
                <w:rFonts w:ascii="Times New Roman" w:hAnsi="Times New Roman" w:cs="Times New Roman"/>
                <w:b/>
                <w:sz w:val="24"/>
              </w:rPr>
            </w:pPr>
            <w:r>
              <w:rPr>
                <w:rFonts w:ascii="Times New Roman" w:hAnsi="Times New Roman" w:cs="Times New Roman"/>
                <w:b/>
                <w:sz w:val="24"/>
              </w:rPr>
              <w:t>4.2.2.2依托园区污水处理厂可行性分析</w:t>
            </w:r>
          </w:p>
          <w:p w14:paraId="6EE72331">
            <w:pPr>
              <w:adjustRightInd w:val="0"/>
              <w:snapToGrid w:val="0"/>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lang w:bidi="ar"/>
              </w:rPr>
              <w:t>项目废水悬浮物、化学需氧量、五日生化需氧量达《污水综合排放标准》（GB8978-1996）三级标准</w:t>
            </w:r>
            <w:r>
              <w:rPr>
                <w:rFonts w:hint="eastAsia" w:ascii="Times New Roman" w:hAnsi="Times New Roman" w:cs="Times New Roman"/>
                <w:color w:val="000000"/>
                <w:sz w:val="24"/>
                <w:lang w:bidi="ar"/>
              </w:rPr>
              <w:t>，氨氮达</w:t>
            </w:r>
            <w:r>
              <w:rPr>
                <w:rFonts w:ascii="Times New Roman" w:hAnsi="Times New Roman" w:cs="Times New Roman"/>
                <w:color w:val="000000"/>
              </w:rPr>
              <w:t>《污水排入城镇下水道水质标准》（GB/T 31962-2015）B级标准</w:t>
            </w:r>
            <w:r>
              <w:rPr>
                <w:rFonts w:ascii="Times New Roman" w:hAnsi="Times New Roman" w:cs="Times New Roman"/>
                <w:color w:val="000000"/>
                <w:sz w:val="24"/>
                <w:lang w:bidi="ar"/>
              </w:rPr>
              <w:t>后进入园区污水管网，最后排入</w:t>
            </w:r>
            <w:r>
              <w:rPr>
                <w:rFonts w:hint="eastAsia" w:ascii="Times New Roman" w:hAnsi="Times New Roman" w:cs="Times New Roman"/>
                <w:color w:val="000000"/>
                <w:sz w:val="24"/>
                <w:lang w:bidi="ar"/>
              </w:rPr>
              <w:t>潘家坝污水处理厂</w:t>
            </w:r>
            <w:r>
              <w:rPr>
                <w:rFonts w:ascii="Times New Roman" w:hAnsi="Times New Roman" w:cs="Times New Roman"/>
                <w:color w:val="000000"/>
                <w:sz w:val="24"/>
                <w:lang w:bidi="ar"/>
              </w:rPr>
              <w:t>集中处理达到</w:t>
            </w:r>
            <w:r>
              <w:rPr>
                <w:rFonts w:ascii="Times New Roman" w:hAnsi="Times New Roman" w:cs="Times New Roman"/>
                <w:color w:val="000000"/>
                <w:sz w:val="24"/>
              </w:rPr>
              <w:t>《化工园区主要水污染物排放标准》（DB50/457-2012）中表1标准后排放。</w:t>
            </w:r>
          </w:p>
          <w:p w14:paraId="343E05CA">
            <w:pPr>
              <w:spacing w:line="360" w:lineRule="auto"/>
              <w:ind w:firstLine="480" w:firstLineChars="200"/>
              <w:rPr>
                <w:rFonts w:ascii="Times New Roman" w:hAnsi="Times New Roman" w:cs="Times New Roman"/>
                <w:sz w:val="24"/>
              </w:rPr>
            </w:pPr>
            <w:r>
              <w:rPr>
                <w:rFonts w:ascii="Times New Roman" w:hAnsi="Times New Roman" w:cs="Times New Roman"/>
                <w:sz w:val="24"/>
              </w:rPr>
              <w:t>（1）园区污水处理厂处理规模的可行性</w:t>
            </w:r>
          </w:p>
          <w:p w14:paraId="4A70DAF1">
            <w:pPr>
              <w:spacing w:line="360" w:lineRule="auto"/>
              <w:ind w:firstLine="480" w:firstLineChars="200"/>
              <w:rPr>
                <w:rFonts w:ascii="Times New Roman" w:hAnsi="Times New Roman" w:cs="Times New Roman"/>
                <w:sz w:val="24"/>
              </w:rPr>
            </w:pPr>
            <w:r>
              <w:rPr>
                <w:rFonts w:ascii="Times New Roman" w:hAnsi="Times New Roman" w:cs="Times New Roman"/>
                <w:bCs/>
                <w:sz w:val="24"/>
              </w:rPr>
              <w:t>白涛潘家坝污水处理厂及其管网系统主要服务白涛化工园的天然气化工区及石油下游产品化工区，该区域入驻企业产生的污水经企业预处理达标后排入本污水收集管网系统，最终进入白涛潘家坝污水处理厂统一处理达标，污水处理工艺采用水解酸化+A/O工艺。目前运行良好，出水水质达到相应标准。</w:t>
            </w:r>
            <w:r>
              <w:rPr>
                <w:rFonts w:ascii="Times New Roman" w:hAnsi="Times New Roman" w:cs="Times New Roman"/>
                <w:sz w:val="24"/>
              </w:rPr>
              <w:t>废水处理工艺流程见图4.2.2-2。</w:t>
            </w:r>
          </w:p>
          <w:p w14:paraId="668C311B">
            <w:pPr>
              <w:jc w:val="center"/>
              <w:rPr>
                <w:rFonts w:ascii="Times New Roman" w:hAnsi="Times New Roman" w:cs="Times New Roman"/>
              </w:rPr>
            </w:pPr>
            <w:r>
              <w:rPr>
                <w:rFonts w:ascii="Times New Roman" w:hAnsi="Times New Roman" w:cs="Times New Roman"/>
                <w:sz w:val="24"/>
              </w:rPr>
              <w:drawing>
                <wp:inline distT="0" distB="0" distL="114300" distR="114300">
                  <wp:extent cx="4436110" cy="6236335"/>
                  <wp:effectExtent l="0" t="0" r="0" b="0"/>
                  <wp:docPr id="50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图片 21"/>
                          <pic:cNvPicPr>
                            <a:picLocks noChangeAspect="1"/>
                          </pic:cNvPicPr>
                        </pic:nvPicPr>
                        <pic:blipFill>
                          <a:blip r:embed="rId29"/>
                          <a:stretch>
                            <a:fillRect/>
                          </a:stretch>
                        </pic:blipFill>
                        <pic:spPr>
                          <a:xfrm>
                            <a:off x="0" y="0"/>
                            <a:ext cx="4436110" cy="6236335"/>
                          </a:xfrm>
                          <a:prstGeom prst="rect">
                            <a:avLst/>
                          </a:prstGeom>
                          <a:noFill/>
                          <a:ln>
                            <a:noFill/>
                          </a:ln>
                        </pic:spPr>
                      </pic:pic>
                    </a:graphicData>
                  </a:graphic>
                </wp:inline>
              </w:drawing>
            </w:r>
          </w:p>
          <w:p w14:paraId="2B44C5AE">
            <w:pPr>
              <w:pStyle w:val="312"/>
              <w:spacing w:line="240" w:lineRule="auto"/>
              <w:ind w:firstLine="0" w:firstLineChars="0"/>
              <w:jc w:val="center"/>
              <w:rPr>
                <w:rFonts w:ascii="Times New Roman" w:hAnsi="Times New Roman" w:cs="Times New Roman"/>
                <w:b/>
                <w:sz w:val="21"/>
                <w:szCs w:val="21"/>
              </w:rPr>
            </w:pPr>
            <w:r>
              <w:rPr>
                <w:rFonts w:ascii="Times New Roman" w:hAnsi="Times New Roman" w:cs="Times New Roman"/>
                <w:b/>
                <w:sz w:val="21"/>
                <w:szCs w:val="21"/>
              </w:rPr>
              <w:t>图4.2.2-2  园区污水处理厂污水处理工艺流程图</w:t>
            </w:r>
          </w:p>
          <w:p w14:paraId="08607B22">
            <w:pPr>
              <w:spacing w:line="440" w:lineRule="exact"/>
              <w:ind w:firstLine="480" w:firstLineChars="200"/>
              <w:rPr>
                <w:rFonts w:ascii="Times New Roman" w:hAnsi="Times New Roman" w:cs="Times New Roman"/>
                <w:sz w:val="24"/>
              </w:rPr>
            </w:pPr>
            <w:r>
              <w:rPr>
                <w:rFonts w:ascii="Times New Roman" w:hAnsi="Times New Roman" w:cs="Times New Roman"/>
                <w:sz w:val="24"/>
              </w:rPr>
              <w:t>现阶段白涛工业园区最大日排水量9000~12000m</w:t>
            </w:r>
            <w:r>
              <w:rPr>
                <w:rFonts w:ascii="Times New Roman" w:hAnsi="Times New Roman" w:cs="Times New Roman"/>
                <w:sz w:val="24"/>
                <w:vertAlign w:val="superscript"/>
              </w:rPr>
              <w:t>3</w:t>
            </w:r>
            <w:r>
              <w:rPr>
                <w:rFonts w:ascii="Times New Roman" w:hAnsi="Times New Roman" w:cs="Times New Roman"/>
                <w:sz w:val="24"/>
              </w:rPr>
              <w:t>/d，目前富裕量为8000~11000 m</w:t>
            </w:r>
            <w:r>
              <w:rPr>
                <w:rFonts w:ascii="Times New Roman" w:hAnsi="Times New Roman" w:cs="Times New Roman"/>
                <w:sz w:val="24"/>
                <w:vertAlign w:val="superscript"/>
              </w:rPr>
              <w:t>3</w:t>
            </w:r>
            <w:r>
              <w:rPr>
                <w:rFonts w:ascii="Times New Roman" w:hAnsi="Times New Roman" w:cs="Times New Roman"/>
                <w:sz w:val="24"/>
              </w:rPr>
              <w:t>/d，项目最大排水量约为</w:t>
            </w:r>
            <w:r>
              <w:rPr>
                <w:rFonts w:hint="eastAsia" w:ascii="Times New Roman" w:hAnsi="Times New Roman" w:cs="Times New Roman"/>
                <w:sz w:val="24"/>
              </w:rPr>
              <w:t>6.355</w:t>
            </w:r>
            <w:r>
              <w:rPr>
                <w:rFonts w:ascii="Times New Roman" w:hAnsi="Times New Roman" w:cs="Times New Roman"/>
                <w:sz w:val="24"/>
              </w:rPr>
              <w:t>m</w:t>
            </w:r>
            <w:r>
              <w:rPr>
                <w:rFonts w:ascii="Times New Roman" w:hAnsi="Times New Roman" w:cs="Times New Roman"/>
                <w:sz w:val="24"/>
                <w:vertAlign w:val="superscript"/>
              </w:rPr>
              <w:t>3</w:t>
            </w:r>
            <w:r>
              <w:rPr>
                <w:rFonts w:ascii="Times New Roman" w:hAnsi="Times New Roman" w:cs="Times New Roman"/>
                <w:sz w:val="24"/>
              </w:rPr>
              <w:t>/d，占处理规模较小。生产废水的水质、水量波动较小，不会对污水处理设施造成冲击负荷。</w:t>
            </w:r>
          </w:p>
          <w:p w14:paraId="78606F6F">
            <w:pPr>
              <w:spacing w:line="440" w:lineRule="exact"/>
              <w:ind w:firstLine="480" w:firstLineChars="200"/>
              <w:rPr>
                <w:rFonts w:ascii="Times New Roman" w:hAnsi="Times New Roman" w:cs="Times New Roman"/>
                <w:sz w:val="24"/>
              </w:rPr>
            </w:pPr>
            <w:r>
              <w:rPr>
                <w:rFonts w:hint="eastAsia" w:ascii="Times New Roman" w:hAnsi="Times New Roman" w:cs="Times New Roman"/>
                <w:sz w:val="24"/>
              </w:rPr>
              <w:t>LNG工厂位于</w:t>
            </w:r>
            <w:r>
              <w:rPr>
                <w:rFonts w:ascii="Times New Roman" w:hAnsi="Times New Roman" w:cs="Times New Roman"/>
                <w:sz w:val="24"/>
              </w:rPr>
              <w:t>该污水处理厂的服务范围内，因此，废水进入该污水处理厂进行进一步处理是可行的。</w:t>
            </w:r>
          </w:p>
          <w:p w14:paraId="269FFC59">
            <w:pPr>
              <w:spacing w:line="360" w:lineRule="auto"/>
              <w:ind w:firstLine="480" w:firstLineChars="200"/>
              <w:rPr>
                <w:rFonts w:ascii="Times New Roman" w:hAnsi="Times New Roman" w:cs="Times New Roman"/>
                <w:sz w:val="24"/>
              </w:rPr>
            </w:pPr>
            <w:r>
              <w:rPr>
                <w:rFonts w:ascii="Times New Roman" w:hAnsi="Times New Roman" w:cs="Times New Roman"/>
                <w:sz w:val="24"/>
              </w:rPr>
              <w:t>综上所述，拟建项目采取的污水治理工艺从规模、技术、处理效果等方面是可行的、且成熟可靠的，完全可实现废水综合利用及达标排放。</w:t>
            </w:r>
          </w:p>
          <w:p w14:paraId="62A0A218">
            <w:pPr>
              <w:spacing w:line="360" w:lineRule="auto"/>
            </w:pPr>
            <w:r>
              <w:rPr>
                <w:rFonts w:ascii="Times New Roman" w:hAnsi="Times New Roman" w:cs="Times New Roman"/>
                <w:b/>
                <w:sz w:val="24"/>
              </w:rPr>
              <w:t>4.2.2.4监测要求</w:t>
            </w:r>
          </w:p>
          <w:p w14:paraId="477762A9">
            <w:pPr>
              <w:spacing w:line="360" w:lineRule="auto"/>
              <w:ind w:firstLine="480" w:firstLineChars="200"/>
              <w:rPr>
                <w:rFonts w:ascii="Times New Roman" w:hAnsi="Times New Roman" w:cs="Times New Roman"/>
                <w:sz w:val="24"/>
              </w:rPr>
            </w:pPr>
            <w:r>
              <w:rPr>
                <w:rFonts w:ascii="Times New Roman" w:hAnsi="Times New Roman" w:cs="Times New Roman"/>
                <w:sz w:val="24"/>
              </w:rPr>
              <w:t>参考《排污许可证申请与核发技术规范 总则》（HJ942-2018）、《排污单位自行监测技术指南 总则》（HJ 819-2017）等，拟建项目废水监测要求见下表。</w:t>
            </w:r>
          </w:p>
          <w:p w14:paraId="4A10D578">
            <w:pPr>
              <w:jc w:val="center"/>
              <w:rPr>
                <w:rFonts w:ascii="Times New Roman" w:hAnsi="Times New Roman" w:cs="Times New Roman"/>
                <w:kern w:val="0"/>
              </w:rPr>
            </w:pPr>
            <w:r>
              <w:rPr>
                <w:rFonts w:ascii="Times New Roman" w:hAnsi="Times New Roman" w:cs="Times New Roman"/>
                <w:kern w:val="0"/>
              </w:rPr>
              <w:t>表4.2-6  废水污染源监测点位、监测因子及监测频率一览表</w:t>
            </w:r>
          </w:p>
          <w:tbl>
            <w:tblPr>
              <w:tblStyle w:val="8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84"/>
              <w:gridCol w:w="2365"/>
              <w:gridCol w:w="2042"/>
              <w:gridCol w:w="3234"/>
            </w:tblGrid>
            <w:tr w14:paraId="27543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0" w:type="auto"/>
                  <w:vAlign w:val="center"/>
                </w:tcPr>
                <w:p w14:paraId="02DA41E7">
                  <w:pPr>
                    <w:widowControl/>
                    <w:jc w:val="center"/>
                    <w:rPr>
                      <w:rFonts w:ascii="Times New Roman" w:hAnsi="Times New Roman" w:cs="Times New Roman"/>
                      <w:shd w:val="clear" w:color="auto" w:fill="FFFFFF"/>
                    </w:rPr>
                  </w:pPr>
                  <w:r>
                    <w:rPr>
                      <w:rFonts w:ascii="Times New Roman" w:hAnsi="Times New Roman" w:cs="Times New Roman"/>
                      <w:shd w:val="clear" w:color="auto" w:fill="FFFFFF"/>
                    </w:rPr>
                    <w:t>监测点位</w:t>
                  </w:r>
                </w:p>
              </w:tc>
              <w:tc>
                <w:tcPr>
                  <w:tcW w:w="0" w:type="auto"/>
                  <w:vAlign w:val="center"/>
                </w:tcPr>
                <w:p w14:paraId="0A1EDE36">
                  <w:pPr>
                    <w:widowControl/>
                    <w:jc w:val="center"/>
                    <w:rPr>
                      <w:rFonts w:ascii="Times New Roman" w:hAnsi="Times New Roman" w:cs="Times New Roman"/>
                      <w:shd w:val="clear" w:color="auto" w:fill="FFFFFF"/>
                    </w:rPr>
                  </w:pPr>
                  <w:r>
                    <w:rPr>
                      <w:rFonts w:ascii="Times New Roman" w:hAnsi="Times New Roman" w:cs="Times New Roman"/>
                      <w:shd w:val="clear" w:color="auto" w:fill="FFFFFF"/>
                    </w:rPr>
                    <w:t>监测因子</w:t>
                  </w:r>
                </w:p>
              </w:tc>
              <w:tc>
                <w:tcPr>
                  <w:tcW w:w="0" w:type="auto"/>
                  <w:vAlign w:val="center"/>
                </w:tcPr>
                <w:p w14:paraId="5D3F864C">
                  <w:pPr>
                    <w:widowControl/>
                    <w:jc w:val="center"/>
                    <w:rPr>
                      <w:rFonts w:ascii="Times New Roman" w:hAnsi="Times New Roman" w:cs="Times New Roman"/>
                      <w:shd w:val="clear" w:color="auto" w:fill="FFFFFF"/>
                    </w:rPr>
                  </w:pPr>
                  <w:r>
                    <w:rPr>
                      <w:rFonts w:ascii="Times New Roman" w:hAnsi="Times New Roman" w:cs="Times New Roman"/>
                      <w:shd w:val="clear" w:color="auto" w:fill="FFFFFF"/>
                    </w:rPr>
                    <w:t>监测频率</w:t>
                  </w:r>
                </w:p>
              </w:tc>
              <w:tc>
                <w:tcPr>
                  <w:tcW w:w="0" w:type="auto"/>
                  <w:vAlign w:val="center"/>
                </w:tcPr>
                <w:p w14:paraId="691009C8">
                  <w:pPr>
                    <w:widowControl/>
                    <w:jc w:val="center"/>
                    <w:rPr>
                      <w:rFonts w:ascii="Times New Roman" w:hAnsi="Times New Roman" w:cs="Times New Roman"/>
                      <w:shd w:val="clear" w:color="auto" w:fill="FFFFFF"/>
                    </w:rPr>
                  </w:pPr>
                  <w:r>
                    <w:rPr>
                      <w:rFonts w:ascii="Times New Roman" w:hAnsi="Times New Roman" w:cs="Times New Roman"/>
                      <w:shd w:val="clear" w:color="auto" w:fill="FFFFFF"/>
                    </w:rPr>
                    <w:t>执行标准</w:t>
                  </w:r>
                </w:p>
              </w:tc>
            </w:tr>
            <w:tr w14:paraId="41B883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0" w:type="auto"/>
                  <w:vAlign w:val="center"/>
                </w:tcPr>
                <w:p w14:paraId="6590F5B2">
                  <w:pPr>
                    <w:widowControl/>
                    <w:jc w:val="center"/>
                    <w:rPr>
                      <w:rFonts w:ascii="Times New Roman" w:hAnsi="Times New Roman" w:cs="Times New Roman"/>
                      <w:shd w:val="clear" w:color="auto" w:fill="FFFFFF"/>
                    </w:rPr>
                  </w:pPr>
                  <w:r>
                    <w:rPr>
                      <w:rFonts w:ascii="Times New Roman" w:hAnsi="Times New Roman" w:cs="Times New Roman"/>
                      <w:shd w:val="clear" w:color="auto" w:fill="FFFFFF"/>
                    </w:rPr>
                    <w:t>DW001</w:t>
                  </w:r>
                </w:p>
              </w:tc>
              <w:tc>
                <w:tcPr>
                  <w:tcW w:w="0" w:type="auto"/>
                  <w:vAlign w:val="center"/>
                </w:tcPr>
                <w:p w14:paraId="052E9D3C">
                  <w:pPr>
                    <w:widowControl/>
                    <w:rPr>
                      <w:rFonts w:ascii="Times New Roman" w:hAnsi="Times New Roman" w:cs="Times New Roman"/>
                      <w:shd w:val="clear" w:color="auto" w:fill="FFFFFF"/>
                    </w:rPr>
                  </w:pPr>
                  <w:r>
                    <w:rPr>
                      <w:rFonts w:ascii="Times New Roman" w:hAnsi="Times New Roman" w:cs="Times New Roman"/>
                      <w:shd w:val="clear" w:color="auto" w:fill="FFFFFF"/>
                    </w:rPr>
                    <w:t>pH、COD、BOD</w:t>
                  </w:r>
                  <w:r>
                    <w:rPr>
                      <w:rFonts w:ascii="Times New Roman" w:hAnsi="Times New Roman" w:cs="Times New Roman"/>
                      <w:shd w:val="clear" w:color="auto" w:fill="FFFFFF"/>
                      <w:vertAlign w:val="subscript"/>
                    </w:rPr>
                    <w:t>5</w:t>
                  </w:r>
                  <w:r>
                    <w:rPr>
                      <w:rFonts w:ascii="Times New Roman" w:hAnsi="Times New Roman" w:cs="Times New Roman"/>
                      <w:shd w:val="clear" w:color="auto" w:fill="FFFFFF"/>
                    </w:rPr>
                    <w:t>、氨氮、SS、流量</w:t>
                  </w:r>
                </w:p>
              </w:tc>
              <w:tc>
                <w:tcPr>
                  <w:tcW w:w="0" w:type="auto"/>
                  <w:vAlign w:val="center"/>
                </w:tcPr>
                <w:p w14:paraId="6852CC07">
                  <w:pPr>
                    <w:widowControl/>
                    <w:jc w:val="center"/>
                    <w:rPr>
                      <w:rFonts w:ascii="Times New Roman" w:hAnsi="Times New Roman" w:cs="Times New Roman"/>
                      <w:shd w:val="clear" w:color="auto" w:fill="FFFFFF"/>
                    </w:rPr>
                  </w:pPr>
                  <w:r>
                    <w:rPr>
                      <w:rFonts w:ascii="Times New Roman" w:hAnsi="Times New Roman" w:cs="Times New Roman"/>
                      <w:shd w:val="clear" w:color="auto" w:fill="FFFFFF"/>
                    </w:rPr>
                    <w:t>验收时监测一次，运营期1次/季</w:t>
                  </w:r>
                </w:p>
              </w:tc>
              <w:tc>
                <w:tcPr>
                  <w:tcW w:w="0" w:type="auto"/>
                  <w:vAlign w:val="center"/>
                </w:tcPr>
                <w:p w14:paraId="4B6A2273">
                  <w:pPr>
                    <w:widowControl/>
                    <w:jc w:val="center"/>
                    <w:rPr>
                      <w:rFonts w:ascii="Times New Roman" w:hAnsi="Times New Roman" w:cs="Times New Roman"/>
                      <w:shd w:val="clear" w:color="auto" w:fill="FFFFFF"/>
                    </w:rPr>
                  </w:pPr>
                  <w:r>
                    <w:rPr>
                      <w:rFonts w:ascii="Times New Roman" w:hAnsi="Times New Roman" w:cs="Times New Roman"/>
                    </w:rPr>
                    <w:t>《污水综合排放标准》（GB8978-1996）三级标准</w:t>
                  </w:r>
                </w:p>
              </w:tc>
            </w:tr>
          </w:tbl>
          <w:p w14:paraId="5EA9CF05">
            <w:pPr>
              <w:pStyle w:val="34"/>
            </w:pPr>
          </w:p>
          <w:p w14:paraId="3377EE4D">
            <w:pPr>
              <w:spacing w:line="360" w:lineRule="auto"/>
              <w:rPr>
                <w:rFonts w:ascii="Times New Roman" w:hAnsi="Times New Roman" w:cs="Times New Roman"/>
                <w:b/>
                <w:sz w:val="24"/>
              </w:rPr>
            </w:pPr>
            <w:r>
              <w:rPr>
                <w:rFonts w:ascii="Times New Roman" w:hAnsi="Times New Roman" w:cs="Times New Roman"/>
                <w:b/>
                <w:sz w:val="24"/>
              </w:rPr>
              <w:t>4.2.3噪声</w:t>
            </w:r>
          </w:p>
          <w:p w14:paraId="1AFDC0A3">
            <w:pPr>
              <w:spacing w:line="360" w:lineRule="auto"/>
              <w:ind w:firstLine="480" w:firstLineChars="200"/>
              <w:rPr>
                <w:rFonts w:ascii="Times New Roman" w:hAnsi="Times New Roman" w:cs="Times New Roman"/>
                <w:sz w:val="24"/>
              </w:rPr>
            </w:pPr>
            <w:r>
              <w:rPr>
                <w:rFonts w:ascii="Times New Roman" w:hAnsi="Times New Roman" w:cs="Times New Roman"/>
                <w:sz w:val="24"/>
              </w:rPr>
              <w:t>（1）主要噪声源</w:t>
            </w:r>
          </w:p>
          <w:p w14:paraId="13D3FDB1">
            <w:pPr>
              <w:spacing w:line="360" w:lineRule="auto"/>
              <w:ind w:firstLine="480" w:firstLineChars="200"/>
              <w:rPr>
                <w:rFonts w:ascii="Times New Roman" w:hAnsi="Times New Roman" w:cs="Times New Roman"/>
                <w:sz w:val="24"/>
              </w:rPr>
            </w:pPr>
            <w:r>
              <w:rPr>
                <w:rFonts w:ascii="Times New Roman" w:hAnsi="Times New Roman" w:cs="Times New Roman"/>
                <w:sz w:val="24"/>
              </w:rPr>
              <w:t>拟建项目噪声设备主要为燃烧设备、分离设备等，对建设项目高噪声设备采取吸声、消声、隔声、减振等综合措施。声源尽可能置于室内，项目声源调查详见表4.2-10。</w:t>
            </w:r>
          </w:p>
          <w:p w14:paraId="46B825EC">
            <w:pPr>
              <w:spacing w:line="360" w:lineRule="auto"/>
              <w:ind w:firstLine="480" w:firstLineChars="200"/>
              <w:rPr>
                <w:rFonts w:ascii="Times New Roman" w:hAnsi="Times New Roman" w:cs="Times New Roman"/>
                <w:sz w:val="24"/>
              </w:rPr>
            </w:pPr>
            <w:r>
              <w:rPr>
                <w:rFonts w:ascii="Times New Roman" w:hAnsi="Times New Roman" w:cs="Times New Roman"/>
                <w:sz w:val="24"/>
              </w:rPr>
              <w:t>（</w:t>
            </w:r>
            <w:r>
              <w:rPr>
                <w:rFonts w:hint="eastAsia" w:ascii="Times New Roman" w:hAnsi="Times New Roman" w:cs="Times New Roman"/>
                <w:sz w:val="24"/>
              </w:rPr>
              <w:t>2</w:t>
            </w:r>
            <w:r>
              <w:rPr>
                <w:rFonts w:ascii="Times New Roman" w:hAnsi="Times New Roman" w:cs="Times New Roman"/>
                <w:sz w:val="24"/>
              </w:rPr>
              <w:t>）预测内容</w:t>
            </w:r>
          </w:p>
          <w:p w14:paraId="2193B889">
            <w:pPr>
              <w:spacing w:line="360" w:lineRule="auto"/>
              <w:ind w:firstLine="522"/>
              <w:rPr>
                <w:rFonts w:ascii="Times New Roman" w:hAnsi="Times New Roman" w:cs="Times New Roman"/>
                <w:sz w:val="24"/>
              </w:rPr>
            </w:pPr>
            <w:r>
              <w:rPr>
                <w:rFonts w:ascii="Times New Roman" w:hAnsi="Times New Roman" w:cs="Times New Roman"/>
                <w:sz w:val="24"/>
              </w:rPr>
              <w:t>根据导则要求计算噪声源在场界处的噪声贡献值，从而预测场界噪声值的达标情况。</w:t>
            </w:r>
          </w:p>
          <w:p w14:paraId="3B1B2587">
            <w:pPr>
              <w:spacing w:line="360" w:lineRule="auto"/>
              <w:ind w:firstLine="522"/>
              <w:rPr>
                <w:rFonts w:ascii="Times New Roman" w:hAnsi="Times New Roman" w:cs="Times New Roman"/>
                <w:sz w:val="24"/>
              </w:rPr>
            </w:pPr>
            <w:r>
              <w:rPr>
                <w:rFonts w:ascii="Times New Roman" w:hAnsi="Times New Roman" w:cs="Times New Roman"/>
                <w:sz w:val="24"/>
              </w:rPr>
              <w:t>（</w:t>
            </w:r>
            <w:r>
              <w:rPr>
                <w:rFonts w:hint="eastAsia" w:ascii="Times New Roman" w:hAnsi="Times New Roman" w:cs="Times New Roman"/>
                <w:sz w:val="24"/>
              </w:rPr>
              <w:t>3</w:t>
            </w:r>
            <w:r>
              <w:rPr>
                <w:rFonts w:ascii="Times New Roman" w:hAnsi="Times New Roman" w:cs="Times New Roman"/>
                <w:sz w:val="24"/>
              </w:rPr>
              <w:t>）预测方法</w:t>
            </w:r>
          </w:p>
          <w:p w14:paraId="1B7B8A01">
            <w:pPr>
              <w:spacing w:line="360" w:lineRule="auto"/>
              <w:ind w:firstLine="522"/>
              <w:rPr>
                <w:rFonts w:ascii="Times New Roman" w:hAnsi="Times New Roman" w:cs="Times New Roman"/>
                <w:sz w:val="24"/>
              </w:rPr>
            </w:pPr>
            <w:r>
              <w:rPr>
                <w:rFonts w:ascii="Times New Roman" w:hAnsi="Times New Roman" w:cs="Times New Roman"/>
                <w:sz w:val="24"/>
              </w:rPr>
              <w:t>预测噪声源在厂界外1m处的噪声贡献值作为厂界环境噪声。</w:t>
            </w:r>
          </w:p>
          <w:p w14:paraId="6D6A19A8">
            <w:pPr>
              <w:spacing w:line="360" w:lineRule="auto"/>
              <w:ind w:firstLine="522"/>
              <w:rPr>
                <w:rFonts w:ascii="Times New Roman" w:hAnsi="Times New Roman" w:cs="Times New Roman"/>
                <w:sz w:val="24"/>
              </w:rPr>
            </w:pPr>
            <w:r>
              <w:rPr>
                <w:rFonts w:ascii="Times New Roman" w:hAnsi="Times New Roman" w:cs="Times New Roman"/>
                <w:sz w:val="24"/>
              </w:rPr>
              <w:t>本评价采用《环境影响评价技术导则  声环境》（HJ2.4-2021）推荐的模式进行预测，公式如下：</w:t>
            </w:r>
          </w:p>
          <w:p w14:paraId="1A67454F">
            <w:pPr>
              <w:spacing w:line="440" w:lineRule="exact"/>
              <w:ind w:firstLine="480" w:firstLineChars="200"/>
              <w:contextualSpacing/>
              <w:rPr>
                <w:rFonts w:ascii="Times New Roman" w:hAnsi="Times New Roman" w:cs="Times New Roman"/>
                <w:sz w:val="24"/>
              </w:rPr>
            </w:pPr>
            <w:r>
              <w:rPr>
                <w:rFonts w:hint="eastAsia" w:ascii="宋体" w:hAnsi="宋体" w:cs="宋体"/>
                <w:sz w:val="24"/>
              </w:rPr>
              <w:t>①</w:t>
            </w:r>
            <w:r>
              <w:rPr>
                <w:rFonts w:ascii="Times New Roman" w:hAnsi="Times New Roman" w:cs="Times New Roman"/>
                <w:sz w:val="24"/>
              </w:rPr>
              <w:t>户外声源</w:t>
            </w:r>
          </w:p>
          <w:p w14:paraId="06DAA42C">
            <w:pPr>
              <w:spacing w:line="440" w:lineRule="exact"/>
              <w:contextualSpacing/>
              <w:jc w:val="center"/>
              <w:rPr>
                <w:rFonts w:ascii="Times New Roman" w:hAnsi="Times New Roman" w:cs="Times New Roman"/>
                <w:sz w:val="24"/>
              </w:rPr>
            </w:pPr>
            <w:r>
              <w:rPr>
                <w:rFonts w:ascii="Times New Roman" w:hAnsi="Times New Roman" w:cs="Times New Roman"/>
                <w:sz w:val="24"/>
              </w:rPr>
              <w:t>L</w:t>
            </w:r>
            <w:r>
              <w:rPr>
                <w:rFonts w:ascii="Times New Roman" w:hAnsi="Times New Roman" w:cs="Times New Roman"/>
                <w:sz w:val="24"/>
                <w:vertAlign w:val="subscript"/>
              </w:rPr>
              <w:t>p</w:t>
            </w:r>
            <w:r>
              <w:rPr>
                <w:rFonts w:ascii="Times New Roman" w:hAnsi="Times New Roman" w:cs="Times New Roman"/>
                <w:sz w:val="24"/>
              </w:rPr>
              <w:t>（r）= L</w:t>
            </w:r>
            <w:r>
              <w:rPr>
                <w:rFonts w:ascii="Times New Roman" w:hAnsi="Times New Roman" w:cs="Times New Roman"/>
                <w:sz w:val="24"/>
                <w:vertAlign w:val="subscript"/>
              </w:rPr>
              <w:t>p</w:t>
            </w:r>
            <w:r>
              <w:rPr>
                <w:rFonts w:ascii="Times New Roman" w:hAnsi="Times New Roman" w:cs="Times New Roman"/>
                <w:sz w:val="24"/>
              </w:rPr>
              <w:t>（r</w:t>
            </w:r>
            <w:r>
              <w:rPr>
                <w:rFonts w:ascii="Times New Roman" w:hAnsi="Times New Roman" w:cs="Times New Roman"/>
                <w:sz w:val="24"/>
                <w:vertAlign w:val="subscript"/>
              </w:rPr>
              <w:t>0</w:t>
            </w:r>
            <w:r>
              <w:rPr>
                <w:rFonts w:ascii="Times New Roman" w:hAnsi="Times New Roman" w:cs="Times New Roman"/>
                <w:sz w:val="24"/>
              </w:rPr>
              <w:t>）-（A</w:t>
            </w:r>
            <w:r>
              <w:rPr>
                <w:rFonts w:ascii="Times New Roman" w:hAnsi="Times New Roman" w:cs="Times New Roman"/>
                <w:sz w:val="24"/>
                <w:vertAlign w:val="subscript"/>
              </w:rPr>
              <w:t>div</w:t>
            </w:r>
            <w:r>
              <w:rPr>
                <w:rFonts w:ascii="Times New Roman" w:hAnsi="Times New Roman" w:cs="Times New Roman"/>
                <w:sz w:val="24"/>
              </w:rPr>
              <w:t>+A</w:t>
            </w:r>
            <w:r>
              <w:rPr>
                <w:rFonts w:ascii="Times New Roman" w:hAnsi="Times New Roman" w:cs="Times New Roman"/>
                <w:sz w:val="24"/>
                <w:vertAlign w:val="subscript"/>
              </w:rPr>
              <w:t>atm</w:t>
            </w:r>
            <w:r>
              <w:rPr>
                <w:rFonts w:ascii="Times New Roman" w:hAnsi="Times New Roman" w:cs="Times New Roman"/>
                <w:sz w:val="24"/>
              </w:rPr>
              <w:t>+A</w:t>
            </w:r>
            <w:r>
              <w:rPr>
                <w:rFonts w:ascii="Times New Roman" w:hAnsi="Times New Roman" w:cs="Times New Roman"/>
                <w:sz w:val="24"/>
                <w:vertAlign w:val="subscript"/>
              </w:rPr>
              <w:t>bar</w:t>
            </w:r>
            <w:r>
              <w:rPr>
                <w:rFonts w:ascii="Times New Roman" w:hAnsi="Times New Roman" w:cs="Times New Roman"/>
                <w:sz w:val="24"/>
              </w:rPr>
              <w:t>+A</w:t>
            </w:r>
            <w:r>
              <w:rPr>
                <w:rFonts w:ascii="Times New Roman" w:hAnsi="Times New Roman" w:cs="Times New Roman"/>
                <w:sz w:val="24"/>
                <w:vertAlign w:val="subscript"/>
              </w:rPr>
              <w:t>gr</w:t>
            </w:r>
            <w:r>
              <w:rPr>
                <w:rFonts w:ascii="Times New Roman" w:hAnsi="Times New Roman" w:cs="Times New Roman"/>
                <w:sz w:val="24"/>
              </w:rPr>
              <w:t>+A</w:t>
            </w:r>
            <w:r>
              <w:rPr>
                <w:rFonts w:ascii="Times New Roman" w:hAnsi="Times New Roman" w:cs="Times New Roman"/>
                <w:sz w:val="24"/>
                <w:vertAlign w:val="subscript"/>
              </w:rPr>
              <w:t>misc</w:t>
            </w:r>
            <w:r>
              <w:rPr>
                <w:rFonts w:ascii="Times New Roman" w:hAnsi="Times New Roman" w:cs="Times New Roman"/>
                <w:sz w:val="24"/>
              </w:rPr>
              <w:t>）</w:t>
            </w:r>
          </w:p>
          <w:p w14:paraId="0CD8CF81">
            <w:pPr>
              <w:spacing w:line="440" w:lineRule="exact"/>
              <w:ind w:firstLine="480" w:firstLineChars="200"/>
              <w:contextualSpacing/>
              <w:rPr>
                <w:rFonts w:ascii="Times New Roman" w:hAnsi="Times New Roman" w:cs="Times New Roman"/>
                <w:sz w:val="24"/>
              </w:rPr>
            </w:pPr>
            <w:r>
              <w:rPr>
                <w:rFonts w:ascii="Times New Roman" w:hAnsi="Times New Roman" w:cs="Times New Roman"/>
                <w:sz w:val="24"/>
              </w:rPr>
              <w:t>式中：L</w:t>
            </w:r>
            <w:r>
              <w:rPr>
                <w:rFonts w:ascii="Times New Roman" w:hAnsi="Times New Roman" w:cs="Times New Roman"/>
                <w:sz w:val="24"/>
                <w:vertAlign w:val="subscript"/>
              </w:rPr>
              <w:t>p</w:t>
            </w:r>
            <w:r>
              <w:rPr>
                <w:rFonts w:ascii="Times New Roman" w:hAnsi="Times New Roman" w:cs="Times New Roman"/>
                <w:sz w:val="24"/>
              </w:rPr>
              <w:t>（r）——预测点处声压级，dB；</w:t>
            </w:r>
          </w:p>
          <w:p w14:paraId="749D3F15">
            <w:pPr>
              <w:spacing w:line="440" w:lineRule="exact"/>
              <w:ind w:firstLine="1200" w:firstLineChars="500"/>
              <w:contextualSpacing/>
              <w:rPr>
                <w:rFonts w:ascii="Times New Roman" w:hAnsi="Times New Roman" w:cs="Times New Roman"/>
                <w:sz w:val="24"/>
              </w:rPr>
            </w:pPr>
            <w:r>
              <w:rPr>
                <w:rFonts w:ascii="Times New Roman" w:hAnsi="Times New Roman" w:cs="Times New Roman"/>
                <w:sz w:val="24"/>
              </w:rPr>
              <w:t>L</w:t>
            </w:r>
            <w:r>
              <w:rPr>
                <w:rFonts w:ascii="Times New Roman" w:hAnsi="Times New Roman" w:cs="Times New Roman"/>
                <w:sz w:val="24"/>
                <w:vertAlign w:val="subscript"/>
              </w:rPr>
              <w:t>p</w:t>
            </w:r>
            <w:r>
              <w:rPr>
                <w:rFonts w:ascii="Times New Roman" w:hAnsi="Times New Roman" w:cs="Times New Roman"/>
                <w:sz w:val="24"/>
              </w:rPr>
              <w:t>（r</w:t>
            </w:r>
            <w:r>
              <w:rPr>
                <w:rFonts w:ascii="Times New Roman" w:hAnsi="Times New Roman" w:cs="Times New Roman"/>
                <w:sz w:val="24"/>
                <w:vertAlign w:val="subscript"/>
              </w:rPr>
              <w:t>0</w:t>
            </w:r>
            <w:r>
              <w:rPr>
                <w:rFonts w:ascii="Times New Roman" w:hAnsi="Times New Roman" w:cs="Times New Roman"/>
                <w:sz w:val="24"/>
              </w:rPr>
              <w:t>）——参考位置r</w:t>
            </w:r>
            <w:r>
              <w:rPr>
                <w:rFonts w:ascii="Times New Roman" w:hAnsi="Times New Roman" w:cs="Times New Roman"/>
                <w:sz w:val="24"/>
                <w:vertAlign w:val="subscript"/>
              </w:rPr>
              <w:t>0</w:t>
            </w:r>
            <w:r>
              <w:rPr>
                <w:rFonts w:ascii="Times New Roman" w:hAnsi="Times New Roman" w:cs="Times New Roman"/>
                <w:sz w:val="24"/>
              </w:rPr>
              <w:t>处的声压级；</w:t>
            </w:r>
          </w:p>
          <w:p w14:paraId="4F8A03CF">
            <w:pPr>
              <w:spacing w:line="440" w:lineRule="exact"/>
              <w:ind w:firstLine="1200" w:firstLineChars="500"/>
              <w:contextualSpacing/>
              <w:rPr>
                <w:rFonts w:ascii="Times New Roman" w:hAnsi="Times New Roman" w:cs="Times New Roman"/>
                <w:sz w:val="24"/>
              </w:rPr>
            </w:pPr>
            <w:r>
              <w:rPr>
                <w:rFonts w:ascii="Times New Roman" w:hAnsi="Times New Roman" w:cs="Times New Roman"/>
                <w:sz w:val="24"/>
              </w:rPr>
              <w:t>A</w:t>
            </w:r>
            <w:r>
              <w:rPr>
                <w:rFonts w:ascii="Times New Roman" w:hAnsi="Times New Roman" w:cs="Times New Roman"/>
                <w:sz w:val="24"/>
                <w:vertAlign w:val="subscript"/>
              </w:rPr>
              <w:t>div</w:t>
            </w:r>
            <w:r>
              <w:rPr>
                <w:rFonts w:ascii="Times New Roman" w:hAnsi="Times New Roman" w:cs="Times New Roman"/>
                <w:sz w:val="24"/>
              </w:rPr>
              <w:t>——几何发散引起的A声级衰减量dB ，A</w:t>
            </w:r>
            <w:r>
              <w:rPr>
                <w:rFonts w:ascii="Times New Roman" w:hAnsi="Times New Roman" w:cs="Times New Roman"/>
                <w:sz w:val="24"/>
                <w:vertAlign w:val="subscript"/>
              </w:rPr>
              <w:t>div</w:t>
            </w:r>
            <w:r>
              <w:rPr>
                <w:rFonts w:ascii="Times New Roman" w:hAnsi="Times New Roman" w:cs="Times New Roman"/>
                <w:sz w:val="24"/>
              </w:rPr>
              <w:t>=20lg（r/ r</w:t>
            </w:r>
            <w:r>
              <w:rPr>
                <w:rFonts w:ascii="Times New Roman" w:hAnsi="Times New Roman" w:cs="Times New Roman"/>
                <w:sz w:val="24"/>
                <w:vertAlign w:val="subscript"/>
              </w:rPr>
              <w:t>o</w:t>
            </w:r>
            <w:r>
              <w:rPr>
                <w:rFonts w:ascii="Times New Roman" w:hAnsi="Times New Roman" w:cs="Times New Roman"/>
                <w:sz w:val="24"/>
              </w:rPr>
              <w:t>）；</w:t>
            </w:r>
          </w:p>
          <w:p w14:paraId="7CC10DB6">
            <w:pPr>
              <w:spacing w:line="440" w:lineRule="exact"/>
              <w:ind w:firstLine="1200" w:firstLineChars="500"/>
              <w:contextualSpacing/>
              <w:rPr>
                <w:rFonts w:ascii="Times New Roman" w:hAnsi="Times New Roman" w:cs="Times New Roman"/>
                <w:b/>
                <w:sz w:val="24"/>
              </w:rPr>
            </w:pPr>
            <w:r>
              <w:rPr>
                <w:rFonts w:ascii="Times New Roman" w:hAnsi="Times New Roman" w:cs="Times New Roman"/>
                <w:sz w:val="24"/>
              </w:rPr>
              <w:t>A</w:t>
            </w:r>
            <w:r>
              <w:rPr>
                <w:rFonts w:ascii="Times New Roman" w:hAnsi="Times New Roman" w:cs="Times New Roman"/>
                <w:sz w:val="24"/>
                <w:vertAlign w:val="subscript"/>
              </w:rPr>
              <w:t>atm</w:t>
            </w:r>
            <w:r>
              <w:rPr>
                <w:rFonts w:ascii="Times New Roman" w:hAnsi="Times New Roman" w:cs="Times New Roman"/>
                <w:sz w:val="24"/>
              </w:rPr>
              <w:t>——空气吸收引起的A声级衰减量dB，A</w:t>
            </w:r>
            <w:r>
              <w:rPr>
                <w:rFonts w:ascii="Times New Roman" w:hAnsi="Times New Roman" w:cs="Times New Roman"/>
                <w:sz w:val="24"/>
                <w:vertAlign w:val="subscript"/>
              </w:rPr>
              <w:t>atm</w:t>
            </w:r>
            <w:r>
              <w:rPr>
                <w:rFonts w:ascii="Times New Roman" w:hAnsi="Times New Roman" w:cs="Times New Roman"/>
                <w:sz w:val="24"/>
              </w:rPr>
              <w:t>=α（r-r</w:t>
            </w:r>
            <w:r>
              <w:rPr>
                <w:rFonts w:ascii="Times New Roman" w:hAnsi="Times New Roman" w:cs="Times New Roman"/>
                <w:sz w:val="24"/>
                <w:vertAlign w:val="subscript"/>
              </w:rPr>
              <w:t>o</w:t>
            </w:r>
            <w:r>
              <w:rPr>
                <w:rFonts w:ascii="Times New Roman" w:hAnsi="Times New Roman" w:cs="Times New Roman"/>
                <w:sz w:val="24"/>
              </w:rPr>
              <w:t>）/1000；</w:t>
            </w:r>
          </w:p>
          <w:p w14:paraId="15380671">
            <w:pPr>
              <w:spacing w:line="440" w:lineRule="exact"/>
              <w:ind w:firstLine="1200" w:firstLineChars="500"/>
              <w:contextualSpacing/>
              <w:rPr>
                <w:rFonts w:ascii="Times New Roman" w:hAnsi="Times New Roman" w:cs="Times New Roman"/>
                <w:sz w:val="24"/>
              </w:rPr>
            </w:pPr>
            <w:r>
              <w:rPr>
                <w:rFonts w:ascii="Times New Roman" w:hAnsi="Times New Roman" w:cs="Times New Roman"/>
                <w:sz w:val="24"/>
              </w:rPr>
              <w:t>A</w:t>
            </w:r>
            <w:r>
              <w:rPr>
                <w:rFonts w:ascii="Times New Roman" w:hAnsi="Times New Roman" w:cs="Times New Roman"/>
                <w:sz w:val="24"/>
                <w:vertAlign w:val="subscript"/>
              </w:rPr>
              <w:t>bar</w:t>
            </w:r>
            <w:r>
              <w:rPr>
                <w:rFonts w:ascii="Times New Roman" w:hAnsi="Times New Roman" w:cs="Times New Roman"/>
                <w:sz w:val="24"/>
              </w:rPr>
              <w:t>——地面效应引起的A声级衰减量，取0；</w:t>
            </w:r>
          </w:p>
          <w:p w14:paraId="215BD254">
            <w:pPr>
              <w:spacing w:line="440" w:lineRule="exact"/>
              <w:ind w:firstLine="1200" w:firstLineChars="500"/>
              <w:contextualSpacing/>
              <w:rPr>
                <w:rFonts w:ascii="Times New Roman" w:hAnsi="Times New Roman" w:cs="Times New Roman"/>
                <w:sz w:val="24"/>
              </w:rPr>
            </w:pPr>
            <w:r>
              <w:rPr>
                <w:rFonts w:ascii="Times New Roman" w:hAnsi="Times New Roman" w:cs="Times New Roman"/>
                <w:sz w:val="24"/>
              </w:rPr>
              <w:t xml:space="preserve">A </w:t>
            </w:r>
            <w:r>
              <w:rPr>
                <w:rFonts w:ascii="Times New Roman" w:hAnsi="Times New Roman" w:cs="Times New Roman"/>
                <w:sz w:val="24"/>
                <w:vertAlign w:val="subscript"/>
              </w:rPr>
              <w:t xml:space="preserve">gr </w:t>
            </w:r>
            <w:r>
              <w:rPr>
                <w:rFonts w:ascii="Times New Roman" w:hAnsi="Times New Roman" w:cs="Times New Roman"/>
                <w:sz w:val="24"/>
              </w:rPr>
              <w:t>——遮挡物引起的A声级衰减量dB，取0；</w:t>
            </w:r>
          </w:p>
          <w:p w14:paraId="5AA0999C">
            <w:pPr>
              <w:spacing w:line="440" w:lineRule="exact"/>
              <w:ind w:firstLine="1200" w:firstLineChars="500"/>
              <w:contextualSpacing/>
              <w:rPr>
                <w:rFonts w:ascii="Times New Roman" w:hAnsi="Times New Roman" w:cs="Times New Roman"/>
                <w:sz w:val="24"/>
              </w:rPr>
            </w:pPr>
            <w:r>
              <w:rPr>
                <w:rFonts w:ascii="Times New Roman" w:hAnsi="Times New Roman" w:cs="Times New Roman"/>
                <w:sz w:val="24"/>
              </w:rPr>
              <w:t>A</w:t>
            </w:r>
            <w:r>
              <w:rPr>
                <w:rFonts w:ascii="Times New Roman" w:hAnsi="Times New Roman" w:cs="Times New Roman"/>
                <w:sz w:val="24"/>
                <w:vertAlign w:val="subscript"/>
              </w:rPr>
              <w:t>misc</w:t>
            </w:r>
            <w:r>
              <w:rPr>
                <w:rFonts w:ascii="Times New Roman" w:hAnsi="Times New Roman" w:cs="Times New Roman"/>
                <w:sz w:val="24"/>
              </w:rPr>
              <w:t>——其他多方面效应引起的衰减量，取0。</w:t>
            </w:r>
          </w:p>
          <w:p w14:paraId="5E31DF3F">
            <w:pPr>
              <w:spacing w:line="440" w:lineRule="exact"/>
              <w:ind w:firstLine="480" w:firstLineChars="200"/>
              <w:contextualSpacing/>
              <w:rPr>
                <w:rFonts w:ascii="Times New Roman" w:hAnsi="Times New Roman" w:cs="Times New Roman"/>
                <w:sz w:val="24"/>
              </w:rPr>
            </w:pPr>
            <w:r>
              <w:rPr>
                <w:rFonts w:hint="eastAsia" w:ascii="宋体" w:hAnsi="宋体" w:cs="宋体"/>
                <w:sz w:val="24"/>
              </w:rPr>
              <w:t>②</w:t>
            </w:r>
            <w:r>
              <w:rPr>
                <w:rFonts w:ascii="Times New Roman" w:hAnsi="Times New Roman" w:cs="Times New Roman"/>
                <w:sz w:val="24"/>
              </w:rPr>
              <w:t>室内声源</w:t>
            </w:r>
          </w:p>
          <w:p w14:paraId="3A4E4B1B">
            <w:pPr>
              <w:spacing w:line="440" w:lineRule="exact"/>
              <w:ind w:firstLine="480" w:firstLineChars="200"/>
              <w:contextualSpacing/>
              <w:rPr>
                <w:rFonts w:ascii="Times New Roman" w:hAnsi="Times New Roman" w:cs="Times New Roman"/>
                <w:sz w:val="24"/>
              </w:rPr>
            </w:pPr>
            <w:r>
              <w:rPr>
                <w:rFonts w:ascii="Times New Roman" w:hAnsi="Times New Roman" w:cs="Times New Roman"/>
                <w:sz w:val="24"/>
              </w:rPr>
              <w:t>等效室外声源</w:t>
            </w:r>
          </w:p>
          <w:p w14:paraId="68A40EC4">
            <w:pPr>
              <w:spacing w:line="440" w:lineRule="exact"/>
              <w:contextualSpacing/>
              <w:jc w:val="center"/>
              <w:rPr>
                <w:rFonts w:ascii="Times New Roman" w:hAnsi="Times New Roman" w:cs="Times New Roman"/>
                <w:sz w:val="24"/>
              </w:rPr>
            </w:pPr>
            <w:r>
              <w:rPr>
                <w:rFonts w:ascii="Times New Roman" w:hAnsi="Times New Roman" w:cs="Times New Roman"/>
                <w:sz w:val="24"/>
              </w:rPr>
              <w:t>L</w:t>
            </w:r>
            <w:r>
              <w:rPr>
                <w:rFonts w:ascii="Times New Roman" w:hAnsi="Times New Roman" w:cs="Times New Roman"/>
                <w:sz w:val="24"/>
                <w:vertAlign w:val="subscript"/>
              </w:rPr>
              <w:t>p2</w:t>
            </w:r>
            <w:r>
              <w:rPr>
                <w:rFonts w:ascii="Times New Roman" w:hAnsi="Times New Roman" w:cs="Times New Roman"/>
                <w:sz w:val="24"/>
              </w:rPr>
              <w:t>=L</w:t>
            </w:r>
            <w:r>
              <w:rPr>
                <w:rFonts w:ascii="Times New Roman" w:hAnsi="Times New Roman" w:cs="Times New Roman"/>
                <w:sz w:val="24"/>
                <w:vertAlign w:val="subscript"/>
              </w:rPr>
              <w:t>p1</w:t>
            </w:r>
            <w:r>
              <w:rPr>
                <w:rFonts w:ascii="Times New Roman" w:hAnsi="Times New Roman" w:cs="Times New Roman"/>
                <w:sz w:val="24"/>
              </w:rPr>
              <w:t>-（TL+6）</w:t>
            </w:r>
          </w:p>
          <w:p w14:paraId="78D76BBD">
            <w:pPr>
              <w:spacing w:line="440" w:lineRule="exact"/>
              <w:ind w:firstLine="480" w:firstLineChars="200"/>
              <w:contextualSpacing/>
              <w:rPr>
                <w:rFonts w:ascii="Times New Roman" w:hAnsi="Times New Roman" w:cs="Times New Roman"/>
                <w:sz w:val="24"/>
              </w:rPr>
            </w:pPr>
            <w:r>
              <w:rPr>
                <w:rFonts w:ascii="Times New Roman" w:hAnsi="Times New Roman" w:cs="Times New Roman"/>
                <w:sz w:val="24"/>
              </w:rPr>
              <w:t>式中：L</w:t>
            </w:r>
            <w:r>
              <w:rPr>
                <w:rFonts w:ascii="Times New Roman" w:hAnsi="Times New Roman" w:cs="Times New Roman"/>
                <w:sz w:val="24"/>
                <w:vertAlign w:val="subscript"/>
              </w:rPr>
              <w:t>p1</w:t>
            </w:r>
            <w:r>
              <w:rPr>
                <w:rFonts w:ascii="Times New Roman" w:hAnsi="Times New Roman" w:cs="Times New Roman"/>
                <w:sz w:val="24"/>
              </w:rPr>
              <w:t>——靠近开口处（或窗户）室内某倍频带的声压级或A声级，dB；</w:t>
            </w:r>
          </w:p>
          <w:p w14:paraId="7B4D1922">
            <w:pPr>
              <w:spacing w:line="440" w:lineRule="exact"/>
              <w:ind w:firstLine="1200" w:firstLineChars="500"/>
              <w:contextualSpacing/>
              <w:rPr>
                <w:rFonts w:ascii="Times New Roman" w:hAnsi="Times New Roman" w:cs="Times New Roman"/>
                <w:sz w:val="24"/>
              </w:rPr>
            </w:pPr>
            <w:r>
              <w:rPr>
                <w:rFonts w:ascii="Times New Roman" w:hAnsi="Times New Roman" w:cs="Times New Roman"/>
                <w:sz w:val="24"/>
              </w:rPr>
              <w:t>L</w:t>
            </w:r>
            <w:r>
              <w:rPr>
                <w:rFonts w:ascii="Times New Roman" w:hAnsi="Times New Roman" w:cs="Times New Roman"/>
                <w:sz w:val="24"/>
                <w:vertAlign w:val="subscript"/>
              </w:rPr>
              <w:t>p2</w:t>
            </w:r>
            <w:r>
              <w:rPr>
                <w:rFonts w:ascii="Times New Roman" w:hAnsi="Times New Roman" w:cs="Times New Roman"/>
                <w:sz w:val="24"/>
              </w:rPr>
              <w:t>——靠近开口处（或窗户）室内某倍频带的声压级或A声级，dB；</w:t>
            </w:r>
          </w:p>
          <w:p w14:paraId="57CA27B5">
            <w:pPr>
              <w:spacing w:line="440" w:lineRule="exact"/>
              <w:ind w:firstLine="1200" w:firstLineChars="500"/>
              <w:contextualSpacing/>
              <w:rPr>
                <w:rFonts w:ascii="Times New Roman" w:hAnsi="Times New Roman" w:cs="Times New Roman"/>
                <w:sz w:val="24"/>
              </w:rPr>
            </w:pPr>
            <w:r>
              <w:rPr>
                <w:rFonts w:ascii="Times New Roman" w:hAnsi="Times New Roman" w:cs="Times New Roman"/>
                <w:sz w:val="24"/>
              </w:rPr>
              <w:t>TL——隔墙（或窗户）倍频带或A声级的隔声量，dB。</w:t>
            </w:r>
          </w:p>
          <w:p w14:paraId="01623C6D">
            <w:pPr>
              <w:spacing w:line="440" w:lineRule="exact"/>
              <w:ind w:firstLine="480" w:firstLineChars="200"/>
              <w:contextualSpacing/>
              <w:rPr>
                <w:rFonts w:ascii="Times New Roman" w:hAnsi="Times New Roman" w:cs="Times New Roman"/>
                <w:sz w:val="24"/>
              </w:rPr>
            </w:pPr>
            <w:r>
              <w:rPr>
                <w:rFonts w:ascii="Times New Roman" w:hAnsi="Times New Roman" w:cs="Times New Roman"/>
                <w:sz w:val="24"/>
              </w:rPr>
              <w:t>贡献值计算：</w:t>
            </w:r>
          </w:p>
          <w:p w14:paraId="30B4C3C4">
            <w:pPr>
              <w:spacing w:line="440" w:lineRule="exact"/>
              <w:ind w:firstLine="1200" w:firstLineChars="500"/>
              <w:contextualSpacing/>
              <w:rPr>
                <w:rFonts w:ascii="Times New Roman" w:hAnsi="Times New Roman" w:cs="Times New Roman"/>
                <w:sz w:val="24"/>
              </w:rPr>
            </w:pPr>
            <w:r>
              <w:rPr>
                <w:rFonts w:ascii="Times New Roman" w:hAnsi="Times New Roman" w:cs="Times New Roman"/>
                <w:sz w:val="24"/>
              </w:rPr>
              <w:drawing>
                <wp:anchor distT="0" distB="0" distL="114300" distR="114300" simplePos="0" relativeHeight="251665408" behindDoc="0" locked="0" layoutInCell="1" allowOverlap="1">
                  <wp:simplePos x="0" y="0"/>
                  <wp:positionH relativeFrom="column">
                    <wp:posOffset>1534795</wp:posOffset>
                  </wp:positionH>
                  <wp:positionV relativeFrom="paragraph">
                    <wp:posOffset>37465</wp:posOffset>
                  </wp:positionV>
                  <wp:extent cx="2466975" cy="457200"/>
                  <wp:effectExtent l="0" t="0" r="9525" b="0"/>
                  <wp:wrapNone/>
                  <wp:docPr id="526" name="图片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图片 5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466975" cy="457200"/>
                          </a:xfrm>
                          <a:prstGeom prst="rect">
                            <a:avLst/>
                          </a:prstGeom>
                          <a:noFill/>
                          <a:ln>
                            <a:noFill/>
                          </a:ln>
                        </pic:spPr>
                      </pic:pic>
                    </a:graphicData>
                  </a:graphic>
                </wp:anchor>
              </w:drawing>
            </w:r>
          </w:p>
          <w:p w14:paraId="21C70974">
            <w:pPr>
              <w:spacing w:line="440" w:lineRule="exact"/>
              <w:ind w:firstLine="1200" w:firstLineChars="500"/>
              <w:contextualSpacing/>
              <w:rPr>
                <w:rFonts w:ascii="Times New Roman" w:hAnsi="Times New Roman" w:cs="Times New Roman"/>
                <w:sz w:val="24"/>
              </w:rPr>
            </w:pPr>
          </w:p>
          <w:p w14:paraId="6BC25E8C">
            <w:pPr>
              <w:spacing w:line="440" w:lineRule="exact"/>
              <w:ind w:firstLine="480" w:firstLineChars="200"/>
              <w:contextualSpacing/>
              <w:rPr>
                <w:rFonts w:ascii="Times New Roman" w:hAnsi="Times New Roman" w:cs="Times New Roman"/>
                <w:sz w:val="24"/>
              </w:rPr>
            </w:pPr>
            <w:r>
              <w:rPr>
                <w:rFonts w:ascii="Times New Roman" w:hAnsi="Times New Roman" w:cs="Times New Roman"/>
                <w:sz w:val="24"/>
              </w:rPr>
              <w:t>式中：L</w:t>
            </w:r>
            <w:r>
              <w:rPr>
                <w:rFonts w:ascii="Times New Roman" w:hAnsi="Times New Roman" w:cs="Times New Roman"/>
                <w:sz w:val="24"/>
                <w:vertAlign w:val="subscript"/>
              </w:rPr>
              <w:t>eqg</w:t>
            </w:r>
            <w:r>
              <w:rPr>
                <w:rFonts w:ascii="Times New Roman" w:hAnsi="Times New Roman" w:cs="Times New Roman"/>
                <w:sz w:val="24"/>
              </w:rPr>
              <w:t>——建设项目声源在预测点产生的噪声贡献值，dB；</w:t>
            </w:r>
          </w:p>
          <w:p w14:paraId="1AB21A49">
            <w:pPr>
              <w:spacing w:line="440" w:lineRule="exact"/>
              <w:ind w:firstLine="1200" w:firstLineChars="500"/>
              <w:contextualSpacing/>
              <w:rPr>
                <w:rFonts w:ascii="Times New Roman" w:hAnsi="Times New Roman" w:cs="Times New Roman"/>
                <w:sz w:val="24"/>
              </w:rPr>
            </w:pPr>
            <w:r>
              <w:rPr>
                <w:rFonts w:ascii="Times New Roman" w:hAnsi="Times New Roman" w:cs="Times New Roman"/>
                <w:sz w:val="24"/>
              </w:rPr>
              <w:t>T——用于计算等效声级的时间，s；</w:t>
            </w:r>
          </w:p>
          <w:p w14:paraId="3DA7104D">
            <w:pPr>
              <w:spacing w:line="440" w:lineRule="exact"/>
              <w:ind w:firstLine="1200" w:firstLineChars="500"/>
              <w:contextualSpacing/>
              <w:rPr>
                <w:rFonts w:ascii="Times New Roman" w:hAnsi="Times New Roman" w:cs="Times New Roman"/>
                <w:sz w:val="24"/>
              </w:rPr>
            </w:pPr>
            <w:r>
              <w:rPr>
                <w:rFonts w:ascii="Times New Roman" w:hAnsi="Times New Roman" w:cs="Times New Roman"/>
                <w:sz w:val="24"/>
              </w:rPr>
              <w:t>N——室外声源个数；</w:t>
            </w:r>
          </w:p>
          <w:p w14:paraId="4D293323">
            <w:pPr>
              <w:spacing w:line="440" w:lineRule="exact"/>
              <w:ind w:firstLine="1200" w:firstLineChars="500"/>
              <w:contextualSpacing/>
              <w:rPr>
                <w:rFonts w:ascii="Times New Roman" w:hAnsi="Times New Roman" w:cs="Times New Roman"/>
                <w:sz w:val="24"/>
              </w:rPr>
            </w:pPr>
            <w:r>
              <w:rPr>
                <w:rFonts w:ascii="Times New Roman" w:hAnsi="Times New Roman" w:cs="Times New Roman"/>
                <w:sz w:val="24"/>
              </w:rPr>
              <w:t>t</w:t>
            </w:r>
            <w:r>
              <w:rPr>
                <w:rFonts w:ascii="Times New Roman" w:hAnsi="Times New Roman" w:cs="Times New Roman"/>
                <w:sz w:val="24"/>
                <w:vertAlign w:val="subscript"/>
              </w:rPr>
              <w:t>i</w:t>
            </w:r>
            <w:r>
              <w:rPr>
                <w:rFonts w:ascii="Times New Roman" w:hAnsi="Times New Roman" w:cs="Times New Roman"/>
                <w:sz w:val="24"/>
              </w:rPr>
              <w:t>——在T时间内i声源工作时间，s；</w:t>
            </w:r>
          </w:p>
          <w:p w14:paraId="409BA566">
            <w:pPr>
              <w:spacing w:line="440" w:lineRule="exact"/>
              <w:ind w:firstLine="1200" w:firstLineChars="500"/>
              <w:contextualSpacing/>
              <w:rPr>
                <w:rFonts w:ascii="Times New Roman" w:hAnsi="Times New Roman" w:cs="Times New Roman"/>
                <w:sz w:val="24"/>
              </w:rPr>
            </w:pPr>
            <w:r>
              <w:rPr>
                <w:rFonts w:ascii="Times New Roman" w:hAnsi="Times New Roman" w:cs="Times New Roman"/>
                <w:sz w:val="24"/>
              </w:rPr>
              <w:t>M——等效室外声源个数；</w:t>
            </w:r>
          </w:p>
          <w:p w14:paraId="2E25122C">
            <w:pPr>
              <w:spacing w:line="440" w:lineRule="exact"/>
              <w:ind w:firstLine="1200" w:firstLineChars="500"/>
              <w:contextualSpacing/>
              <w:rPr>
                <w:rFonts w:ascii="Times New Roman" w:hAnsi="Times New Roman" w:cs="Times New Roman"/>
                <w:sz w:val="24"/>
              </w:rPr>
            </w:pPr>
            <w:r>
              <w:rPr>
                <w:rFonts w:ascii="Times New Roman" w:hAnsi="Times New Roman" w:cs="Times New Roman"/>
                <w:sz w:val="24"/>
              </w:rPr>
              <w:t>t</w:t>
            </w:r>
            <w:r>
              <w:rPr>
                <w:rFonts w:ascii="Times New Roman" w:hAnsi="Times New Roman" w:cs="Times New Roman"/>
                <w:sz w:val="24"/>
                <w:vertAlign w:val="subscript"/>
              </w:rPr>
              <w:t>j</w:t>
            </w:r>
            <w:r>
              <w:rPr>
                <w:rFonts w:ascii="Times New Roman" w:hAnsi="Times New Roman" w:cs="Times New Roman"/>
                <w:sz w:val="24"/>
              </w:rPr>
              <w:t>——在T时间内j声源工作时间，s。</w:t>
            </w:r>
          </w:p>
          <w:p w14:paraId="5F36ECD6">
            <w:pPr>
              <w:spacing w:line="440" w:lineRule="exact"/>
              <w:ind w:firstLine="480" w:firstLineChars="200"/>
              <w:contextualSpacing/>
              <w:rPr>
                <w:rFonts w:ascii="Times New Roman" w:hAnsi="Times New Roman" w:cs="Times New Roman"/>
                <w:sz w:val="24"/>
              </w:rPr>
            </w:pPr>
            <w:r>
              <w:rPr>
                <w:rFonts w:hint="eastAsia" w:ascii="宋体" w:hAnsi="宋体" w:cs="宋体"/>
                <w:sz w:val="24"/>
              </w:rPr>
              <w:t>③</w:t>
            </w:r>
            <w:r>
              <w:rPr>
                <w:rFonts w:ascii="Times New Roman" w:hAnsi="Times New Roman" w:cs="Times New Roman"/>
                <w:sz w:val="24"/>
              </w:rPr>
              <w:t>噪声预测值计算：</w:t>
            </w:r>
          </w:p>
          <w:p w14:paraId="5928B930">
            <w:pPr>
              <w:spacing w:line="440" w:lineRule="exact"/>
              <w:ind w:firstLine="1200" w:firstLineChars="500"/>
              <w:contextualSpacing/>
              <w:rPr>
                <w:rFonts w:ascii="Times New Roman" w:hAnsi="Times New Roman" w:cs="Times New Roman"/>
                <w:sz w:val="24"/>
              </w:rPr>
            </w:pPr>
            <w:r>
              <w:rPr>
                <w:rFonts w:ascii="Times New Roman" w:hAnsi="Times New Roman" w:cs="Times New Roman"/>
                <w:sz w:val="24"/>
              </w:rPr>
              <w:pict>
                <v:shape id="_x0000_i1033" o:spt="75" type="#_x0000_t75" style="height:22.15pt;width:176.45pt;" filled="f" o:preferrelative="t" stroked="f" coordsize="21600,21600"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20&quot;/&gt;&lt;w:characterSpacingControl w:val=&quot;CompressPunctuation&quot;/&gt;&lt;w:documentProtection w:enforcement=&quot;off&quot;/&gt;&lt;w:punctuationKerning/&gt;&lt;w:bordersDontSurroundHeader/&gt;&lt;w:bordersDontSurroundFooter/&gt;&lt;w:defaultTabStop w:val=&quot;420&quot;/&gt;&lt;w:drawingGridVerticalSpacing w:val=&quot;156&quot;/&gt;&lt;w:displayHorizontalDrawingGridEvery w:val=&quot;0&quot;/&gt;&lt;w:displayVerticalDrawingGridEvery w:val=&quot;2&quot;/&gt;&lt;w:compat&gt;&lt;w:adjustLineHeightInTable/&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w:rPr&gt;&lt;w:rFonts w:ascii=&quot;Cambria Math&quot; w:h-ansi=&quot;Cambria Math&quot; w:hint=&quot;default&quot;/&gt;&lt;w:color w:val=&quot;000000&quot;/&gt;&lt;w:sz w:val=&quot;24&quot;/&gt;&lt;/w:rPr&gt;&lt;/m:ctrlPr&gt;&lt;/m:sSubPr&gt;&lt;m:e&gt;&lt;m:r&gt;&lt;m:rPr&gt;&lt;m:scr m:val=&quot;roman&quot;/&gt;&lt;/m:rPr&gt;&lt;w:rPr&gt;&lt;w:rFonts w:ascii=&quot;Cambria Math&quot; w:h-ansi=&quot;Cambria Math&quot; w:hint=&quot;default&quot;/&gt;&lt;w:color w:val=&quot;000000&quot;/&gt;&lt;w:sz w:val=&quot;24&quot;/&gt;&lt;/w:rPr&gt;&lt;m:t&gt;L&lt;/m:t&gt;&lt;/m:r&gt;&lt;m:ctrlPr&gt;&lt;w:rPr&gt;&lt;w:rFonts w:ascii=&quot;Cambria Math&quot; w:h-ansi=&quot;Cambria Math&quot; w:hint=&quot;default&quot;/&gt;&lt;w:color w:val=&quot;000000&quot;/&gt;&lt;w:sz w:val=&quot;24&quot;/&gt;&lt;/w:rPr&gt;&lt;/m:ctrlPr&gt;&lt;/m:e&gt;&lt;m:sub&gt;&lt;m:r&gt;&lt;m:rPr&gt;&lt;m:scr m:val=&quot;roman&quot;/&gt;&lt;/m:rPr&gt;&lt;w:rPr&gt;&lt;w:rFonts w:ascii=&quot;Cambria Math&quot; w:h-ansi=&quot;Cambria Math&quot; w:hint=&quot;default&quot;/&gt;&lt;w:color w:val=&quot;000000&quot;/&gt;&lt;w:sz w:val=&quot;24&quot;/&gt;&lt;/w:rPr&gt;&lt;m:t&gt;eq&lt;/m:t&gt;&lt;/m:r&gt;&lt;m:ctrlPr&gt;&lt;w:rPr&gt;&lt;w:rFonts w:ascii=&quot;Cambria Math&quot; w:h-ansi=&quot;Cambria Math&quot; w:hint=&quot;default&quot;/&gt;&lt;w:color w:val=&quot;000000&quot;/&gt;&lt;w:sz w:val=&quot;24&quot;/&gt;&lt;/w:rPr&gt;&lt;/m:ctrlPr&gt;&lt;/m:sub&gt;&lt;/m:sSub&gt;&lt;m:r&gt;&lt;m:rPr&gt;&lt;m:scr m:val=&quot;roman&quot;/&gt;&lt;/m:rPr&gt;&lt;w:rPr&gt;&lt;w:rFonts w:ascii=&quot;Cambria Math&quot; w:h-ansi=&quot;Cambria Math&quot; w:hint=&quot;default&quot;/&gt;&lt;w:color w:val=&quot;000000&quot;/&gt;&lt;w:sz w:val=&quot;24&quot;/&gt;&lt;/w:rPr&gt;&lt;m:t&gt;=10&lt;/m:t&gt;&lt;/m:r&gt;&lt;m:r&gt;&lt;m:rPr&gt;&lt;m:sty m:val=&quot;p&quot;/&gt;&lt;m:scr m:val=&quot;roman&quot;/&gt;&lt;/m:rPr&gt;&lt;w:rPr&gt;&lt;w:rFonts w:ascii=&quot;Cambria Math&quot; w:h-ansi=&quot;Cambria Math&quot; w:hint=&quot;default&quot;/&gt;&lt;w:color w:val=&quot;000000&quot;/&gt;&lt;w:sz w:val=&quot;24&quot;/&gt;&lt;/w:rPr&gt;&lt;m:t&gt;lg鈦?/m:t&gt;&lt;/m:r&gt;&lt;m:r&gt;&lt;m:rPr&gt;&lt;m:sty m:val=&quot;p&quot;/&gt;&lt;m:scr m:val=&quot;roman&quot;/&gt;&lt;/m:rPr&gt;&lt;w:rPr&gt;&lt;w:rFonts w:ascii=&quot;Cambria Math&quot; w:h-ansi=&quot;Cambria Math&quot; w:hint=&quot;fareast&quot;/&gt;&lt;w:color w:val=&quot;a      000000&quot;/&gt;&lt;w:sz w:val=&quot;24&quot;/&gt;&lt;/w:rPr&gt;&lt;m:t&gt;锛?/m:t&gt;&lt;/m:r&gt;&lt;m:sSup&gt;&lt;m:sSupPr&gt;&lt;m:ctrlPr&gt;&lt;w:rPr&gt;&lt;w:rFonts w:ascii=&quot;Cambria Math&quot; w:h-ansi=&quot;Cambria Math&quot; w:hint=&quot;default&quot;/&gt;&lt;w:color w:val=&quot;000000&quot;/&gt;&lt;w:sz w:val=&quot;24&quot;/&gt;&lt;/w:rPr&gt;&lt;/m:ctrlPr&gt;&lt;/m:sSupPr&gt;&lt;m:e&gt;&lt;m:r&gt;&lt;m: r P r &gt; a &lt;m:scr m:val=&quot;roman&quot;/&gt;&lt;/m:rPr&gt;&lt;w:rPr&gt;&lt;w:rFonts w:ascii=&quot;Cambria Math&quot; w:h-ansi=&quot;Cambria Math&quot; w:hint=&quot;default&quot;/&gt;&lt;w:color w:val=&quot;000000&quot;/&gt;&lt;w:sz w:val=&quot;24&quot;/&gt;&lt;/w:rPr&gt;&lt;m:t&gt;10&lt;/m:t&gt;&lt;/m:r&gt;&lt;m:ctrlPr&gt;&lt;w:rPr&gt;&lt;w:rFonts w:ascii=&quot;Cambria Math&quot; w:h-ansi=&quot;Cambria Math&quot; w:hint=&quot;default&quot;/&gt;&lt;w:color w:val=&quot;000000&quot;/&gt;&lt;w:sz w:val=&quot;24&quot;/&gt;&lt;/w:rPr&gt;&lt;/m:ctrlPr&gt;&lt;/m:e&gt;&lt;m:sup&gt;&lt;m:r&gt;&lt;m:rPr&gt;&lt;m:scr m:val=&quot;roman&quot;/&gt;&lt;/m:rPr&gt;&lt;w:rPr&gt;&lt;w:rFonts w:ascii=&quot;Cambria Math&quot; w:h-ansi=&quot;Cambria Math&quot; w:hint=&quot;default&quot;/&gt;&lt;w:color w:val=&quot;000000&quot;/&gt;&lt;w:sz w:val=&quot;24&quot;/&gt;&lt;/w:rPr&gt;&lt;m:t&gt;0.1&lt;/m:t&gt;&lt;/m:r&gt;&lt;m:sSub&gt;&lt;m:sSubPr&gt;&lt;m:ctrlPr&gt;&lt;w:rPr&gt;&lt;w:rFonts w:ascii=&quot;Cambria Math&quot; w:h-ansi=&quot;Cambria Math&quot; w:hint=&quot;default&quot;/&gt;&lt;w:i/&gt;&lt;w:color w:val=&quot;000000&quot;/&gt;&lt;w:sz w:val=&quot;24&quot;/&gt;&lt;/w:rPr&gt;&lt;/m:ctrlPr&gt;&lt;/m:sSubPr&gt;&lt;m:e&gt;&lt;m:r&gt;&lt;m:rPr&gt;&lt;m:scr m:val=&quot;roman&quot;/&gt;&lt;/m:rPr&gt;&lt;w:rPr&gt;&lt;w:rFonts w:ascii=&quot;Cambria Math&quot; w:h-ansi=&quot;Cambria Math&quot; w:hint=&quot;default&quot;/&gt;&lt;w:color w:val=&quot;000000&quot;/&gt;&lt;w:sz w:val=&quot;24&quot;/&gt;&lt;/w:rPr&gt;&lt;m:t&gt;L&lt;/m:t&gt;&lt;/m:r&gt;&lt;m:ctrlPr&gt;&lt;w:rPr&gt;&lt;w:rFonts w:ascii=&quot;Cambria Math&quot; w:h-ansi=&quot;Cambria Math&quot; w:hint=&quot;default&quot;/&gt;&lt;w:i/&gt;&lt;w:color w:val=&quot;000000&quot;/&gt;&lt;w:sz w:val=&quot;24&quot;/&gt;&lt;/w:rPr&gt;&lt;/m:ctrlPr&gt;&lt;/m:e&gt;&lt;m:sub&gt;&lt;m:r&gt;&lt;m:rPr&gt;&lt;m:scr m:val=&quot;roman&quot;/&gt;&lt;/m:rPr&gt;&lt;w:rPr&gt;&lt;w:rFonts w:ascii=&quot;Cambria Math&quot; w:h-ansi=&quot;Cambria Math&quot; w:hint=&quot;default&quot;/&gt;&lt;w:color w:val=&quot;000000&quot;/&gt;&lt;w:sz w:val=&quot;24&quot;/&gt;&lt;/w:rPr&gt;&lt;m:t&gt;eqg&lt;/m:t&gt;&lt;/m:r&gt;&lt;m:ctrlPr&gt;&lt;w:rPr&gt;&lt;w:rFonts w:ascii=&quot;Cambria Math&quot; w:h-ansi=&quot;Cambria Math&quot; w:hint=&quot;default&quot;/&gt;&lt;w:i/&gt;&lt;w:color w:val=&quot;000000&quot;/&gt;&lt;w:sz w:val=&quot;24&quot;/&gt;&lt;/w:rPr&gt;&lt;/m:ctrlPr&gt;&lt;/m:sub&gt;&lt;/m:sSub&gt;&lt;m:ctrlPr&gt;&lt;w:rPr&gt;&lt;w:rFonts w:ascii=&quot;Cambria Math&quot; w:h-ansi=&quot;Cambria Math&quot; w:hint=&quot;default&quot;/&gt;&lt;w:color w:val=&quot;000000&quot;/&gt;&lt;w:sz w:val=&quot;24&quot;/&gt;&lt;/w:rPr&gt;&lt;/m:ctrlPr&gt;&lt;/m:sup&gt;&lt;/m:sSup&gt;&lt;m:r&gt;&lt;m:rPr&gt;&lt;m:sty m:val=&quot;p&quot;/&gt;&lt;m:scr m:val=&quot;roman&quot;/&gt;&lt;/m:rPr&gt;&lt;w:rPr&gt;&lt;w:rFonts w:ascii=&quot;Cambria Math&quot; w:h-ansi=&quot;Cambria Math&quot; w:hint=&quot;default&quot;/&gt;&lt;w:color w:val=&quot;000000&quot;/&gt;&lt;w:sz w:val=&quot;24&quot;/&gt;&lt;/w:rPr&gt;&lt;m:t&gt;+&lt;/m:t&gt;&lt;/m:r&gt;&lt;m:sSup&gt;&lt;m:sSupPr&gt;&lt;m:ctrlPr&gt;&lt;w:rPr&gt;&lt;w:rFonts w:ascii=&quot;Cambria Math&quot; w:h-ansi=&quot;Cambria Math&quot; w:hint=&quot;default&quot;/&gt;&lt;w:color w:val=&quot;000000&quot;/&gt;&lt;w:sz w:val=&quot;24&quot;/&gt;&lt;/w:rPr&gt;&lt;/m:ctrlPr&gt;&lt;/m:sSupPr&gt;&lt;m:e&gt;&lt;m:r&gt;&lt;m:rPr&gt;&lt;m:scr m:val=&quot;roman&quot;/&gt;&lt;/m:rPr&gt;&lt;w:rPr&gt;&lt;w:rFonts w:ascii=&quot;Cambria Math&quot; w:h-ansi=&quot;Cambria Math&quot; w:hint=&quot;default&quot;/&gt;&lt;w:color w:val=&quot;000000&quot;/&gt;&lt;w:sz w:val=&quot;24&quot;/&gt;&lt;/w:rPr&gt;&lt;m:t&gt;10&lt;/m:t&gt;&lt;/m:r&gt;&lt;m:ctrlPr&gt;&lt;w:rPr&gt;&lt;w:rFonts w:ascii=&quot;Cambria Math&quot; w:h-ansi=&quot;Cambria Math&quot; w:hint=&quot;default&quot;/&gt;&lt;w:color w:val=&quot;000000&quot;/&gt;&lt;w:sz w:val=&quot;24&quot;/&gt;&lt;/w:rPr&gt;&lt;/m:ctrlPr&gt;&lt;/m:e&gt;&lt;m:sup&gt;&lt;m:r&gt;&lt;m:rPr&gt;&lt;m:scr m:val=&quot;roman&quot;/&gt;&lt;/m:rPr&gt;&lt;w:rPr&gt;&lt;w:rFonts w:ascii=&quot;Cambria Math&quot; w:h-ansi=&quot;Cambria Math&quot; w:hint=&quot;default&quot;/&gt;&lt;w:color w:val=&quot;000000&quot;/&gt;&lt;w:sz w:val=&quot;24&quot;/&gt;&lt;/w:rPr&gt;&lt;m:t&gt;0.1&lt;/m:t&gt;&lt;/m:r&gt;&lt;m:sSub&gt;&lt;m:sSubPr&gt;&lt;m:ctrlPr&gt;&lt;w:rPr&gt;&lt;w:rFonts w:ascii=&quot;Cambria Math&quot; w:h-ansi=&quot;Cambria Math&quot; w:hint=&quot;default&quot;/&gt;&lt;w:i/&gt;&lt;w:color w:val=&quot;000000&quot;/&gt;&lt;w:sz w:val=&quot;24&quot;/&gt;&lt;/w:rPr&gt;&lt;/m:ctrlPr&gt;&lt;/m:sSubPr&gt;&lt;m:e&gt;&lt;m:r&gt;&lt;m:rPr&gt;&lt;m:scr m:val=&quot;roman&quot;/&gt;&lt;/m:rPr&gt;&lt;w:rPr&gt;&lt;w:rFonts w:ascii=&quot;Cambria Math&quot; w:h-ansi=&quot;Cambria Math&quot; w:hint=&quot;default&quot;/&gt;&lt;w:color w:val=&quot;000000&quot;/&gt;&lt;w:sz w:val=&quot;24&quot;/&gt;&lt;/w:rPr&gt;&lt;m:t&gt;L&lt;/m:t&gt;&lt;/m:r&gt;&lt;m:ctrlPr&gt;&lt;w:rPr&gt;&lt;w:rFonts w:ascii=&quot;Cambria Math&quot; w:h-ansi=&quot;Cambria Math&quot; w:hint=&quot;default&quot;/&gt;&lt;w:i/&gt;&lt;w:color w:val=&quot;000000&quot;/&gt;&lt;w:sz w:val=&quot;24&quot;/&gt;&lt;/w:rPr&gt;&lt;/m:ctrlPr&gt;&lt;/m:e&gt;&lt;m:sub&gt;&lt;m:r&gt;&lt;m:rPr&gt;&lt;m:scr m:val=&quot;roman&quot;/&gt;&lt;/m:rPr&gt;&lt;w:rPr&gt;&lt;w:rFonts w:ascii=&quot;Cambria Math&quot; w:h-ansi=&quot;Cambria Math&quot; w:hint=&quot;default&quot;/&gt;&lt;w:color w:val=&quot;000000&quot;/&gt;&lt;w:sz w:val=&quot;24&quot;/&gt;&lt;/w:rPr&gt;&lt;m:t&gt;eqb&lt;/m:t&gt;&lt;/m:r&gt;&lt;m:ctrlPr&gt;&lt;w:rPr&gt;&lt;w:rFonts w:ascii=&quot;Cambria Math&quot; w:h-ansi=&quot;Cambria Math&quot; w:hint=&quot;default&quot;/&gt;&lt;w:i/&gt;&lt;w:color w:val=&quot;000000&quot;/&gt;&lt;w:sz w:val=&quot;24&quot;/&gt;&lt;/w:rPr&gt;&lt;/m:ctrlPr&gt;&lt;/m:sub&gt;&lt;/m:sSub&gt;&lt;m:ctrlPr&gt;&lt;w:rPr&gt;&lt;w:rFonts w:ascii=&quot;Cambria Math&quot; w:h-ansi=&quot;Cambria Math&quot; w:hint=&quot;default&quot;/&gt;&lt;w:color w:val=&quot;000000&quot;/&gt;&lt;w:sz w:val=&quot;24&quot;/&gt;&lt;/w:rPr&gt;&lt;/m:ctrlPr&gt;&lt;/m:sup&gt;&lt;/m:sSup&gt;&lt;m:r&gt;&lt;m:rPr&gt;&lt;m:sty m:val=&quot;p&quot;/&gt;&lt;m:scr m:val=&quot;roman&quot;/&gt;&lt;/m:rPr&gt;&lt;w:rPr&gt;&lt;w:rFonts w:ascii=&quot;Cambria Math&quot; w:h-ansi=&quot;Cambria Math&quot; w:hint=&quot;fareast&quot;/&gt;&lt;w:color w:val=&quot;000000&quot;/&gt;&lt;w:sz w:val=&quot;24&quot;/&gt;&lt;/w:rPr&gt;&lt;m:t&gt;锛?/m:t&gt;&lt;/m:r&gt;&lt;/m:oMath&gt;&lt;/m:oMathPara&gt;&lt;/w:p&gt;&lt;/wx:sect&gt;&lt;/w:body&gt;&lt;/w:wordDocumentval=&quot;p&quot;">
                  <v:path/>
                  <v:fill on="f" focussize="0,0"/>
                  <v:stroke on="f" joinstyle="miter"/>
                  <v:imagedata r:id="rId31" o:title=""/>
                  <o:lock v:ext="edit" aspectratio="f"/>
                  <w10:wrap type="none"/>
                  <w10:anchorlock/>
                </v:shape>
              </w:pict>
            </w:r>
          </w:p>
          <w:p w14:paraId="0A55526A">
            <w:pPr>
              <w:spacing w:line="440" w:lineRule="exact"/>
              <w:ind w:firstLine="480" w:firstLineChars="200"/>
              <w:contextualSpacing/>
              <w:rPr>
                <w:rFonts w:ascii="Times New Roman" w:hAnsi="Times New Roman" w:cs="Times New Roman"/>
                <w:sz w:val="24"/>
              </w:rPr>
            </w:pPr>
            <w:r>
              <w:rPr>
                <w:rFonts w:ascii="Times New Roman" w:hAnsi="Times New Roman" w:cs="Times New Roman"/>
                <w:sz w:val="24"/>
              </w:rPr>
              <w:t>式中：L</w:t>
            </w:r>
            <w:r>
              <w:rPr>
                <w:rFonts w:ascii="Times New Roman" w:hAnsi="Times New Roman" w:cs="Times New Roman"/>
                <w:sz w:val="24"/>
                <w:vertAlign w:val="subscript"/>
              </w:rPr>
              <w:t>eq</w:t>
            </w:r>
            <w:r>
              <w:rPr>
                <w:rFonts w:ascii="Times New Roman" w:hAnsi="Times New Roman" w:cs="Times New Roman"/>
                <w:sz w:val="24"/>
              </w:rPr>
              <w:t>——预测点的噪声预测值，dB；</w:t>
            </w:r>
          </w:p>
          <w:p w14:paraId="0647562C">
            <w:pPr>
              <w:spacing w:line="440" w:lineRule="exact"/>
              <w:ind w:firstLine="1200" w:firstLineChars="500"/>
              <w:contextualSpacing/>
              <w:rPr>
                <w:rFonts w:ascii="Times New Roman" w:hAnsi="Times New Roman" w:cs="Times New Roman"/>
                <w:sz w:val="24"/>
              </w:rPr>
            </w:pPr>
            <w:r>
              <w:rPr>
                <w:rFonts w:ascii="Times New Roman" w:hAnsi="Times New Roman" w:cs="Times New Roman"/>
                <w:sz w:val="24"/>
              </w:rPr>
              <w:t>L</w:t>
            </w:r>
            <w:r>
              <w:rPr>
                <w:rFonts w:ascii="Times New Roman" w:hAnsi="Times New Roman" w:cs="Times New Roman"/>
                <w:sz w:val="24"/>
                <w:vertAlign w:val="subscript"/>
              </w:rPr>
              <w:t>eqg</w:t>
            </w:r>
            <w:r>
              <w:rPr>
                <w:rFonts w:ascii="Times New Roman" w:hAnsi="Times New Roman" w:cs="Times New Roman"/>
                <w:sz w:val="24"/>
              </w:rPr>
              <w:t>——建设项目声源在预测点产生的噪声贡献值，dB；</w:t>
            </w:r>
          </w:p>
          <w:p w14:paraId="79C18928">
            <w:pPr>
              <w:spacing w:line="440" w:lineRule="exact"/>
              <w:ind w:firstLine="1200" w:firstLineChars="500"/>
              <w:contextualSpacing/>
              <w:rPr>
                <w:rFonts w:ascii="Times New Roman" w:hAnsi="Times New Roman" w:cs="Times New Roman"/>
                <w:sz w:val="24"/>
              </w:rPr>
            </w:pPr>
            <w:r>
              <w:rPr>
                <w:rFonts w:ascii="Times New Roman" w:hAnsi="Times New Roman" w:cs="Times New Roman"/>
                <w:sz w:val="24"/>
              </w:rPr>
              <w:t>L</w:t>
            </w:r>
            <w:r>
              <w:rPr>
                <w:rFonts w:ascii="Times New Roman" w:hAnsi="Times New Roman" w:cs="Times New Roman"/>
                <w:sz w:val="24"/>
                <w:vertAlign w:val="subscript"/>
              </w:rPr>
              <w:t>eqb</w:t>
            </w:r>
            <w:r>
              <w:rPr>
                <w:rFonts w:ascii="Times New Roman" w:hAnsi="Times New Roman" w:cs="Times New Roman"/>
                <w:sz w:val="24"/>
              </w:rPr>
              <w:t>——预测点的背景噪声值，dB。</w:t>
            </w:r>
          </w:p>
          <w:p w14:paraId="10B7C60F">
            <w:pPr>
              <w:spacing w:line="480" w:lineRule="exact"/>
              <w:ind w:firstLine="464"/>
              <w:rPr>
                <w:rFonts w:ascii="Times New Roman" w:hAnsi="Times New Roman" w:cs="Times New Roman"/>
                <w:bCs/>
                <w:sz w:val="24"/>
              </w:rPr>
            </w:pPr>
            <w:r>
              <w:rPr>
                <w:rFonts w:ascii="Times New Roman" w:hAnsi="Times New Roman" w:cs="Times New Roman"/>
                <w:bCs/>
                <w:sz w:val="24"/>
              </w:rPr>
              <w:t>（</w:t>
            </w:r>
            <w:r>
              <w:rPr>
                <w:rFonts w:hint="eastAsia" w:ascii="Times New Roman" w:hAnsi="Times New Roman" w:cs="Times New Roman"/>
                <w:bCs/>
                <w:sz w:val="24"/>
              </w:rPr>
              <w:t>4</w:t>
            </w:r>
            <w:r>
              <w:rPr>
                <w:rFonts w:ascii="Times New Roman" w:hAnsi="Times New Roman" w:cs="Times New Roman"/>
                <w:bCs/>
                <w:sz w:val="24"/>
              </w:rPr>
              <w:t>）厂界噪声贡献值预测</w:t>
            </w:r>
          </w:p>
          <w:p w14:paraId="7535F11B">
            <w:pPr>
              <w:spacing w:line="480" w:lineRule="exact"/>
              <w:ind w:firstLine="480" w:firstLineChars="200"/>
              <w:rPr>
                <w:rFonts w:ascii="Times New Roman" w:hAnsi="Times New Roman" w:cs="Times New Roman"/>
                <w:sz w:val="24"/>
              </w:rPr>
            </w:pPr>
            <w:r>
              <w:rPr>
                <w:rFonts w:ascii="Times New Roman" w:hAnsi="Times New Roman" w:cs="Times New Roman"/>
                <w:sz w:val="24"/>
              </w:rPr>
              <w:t>拟建项目昼间厂界噪声预测结果见表4.2-12，夜间不生产，本次不做预测。</w:t>
            </w:r>
          </w:p>
          <w:p w14:paraId="316F99D6">
            <w:pPr>
              <w:spacing w:line="480" w:lineRule="exact"/>
              <w:ind w:firstLine="200"/>
              <w:jc w:val="center"/>
              <w:rPr>
                <w:rFonts w:ascii="Times New Roman" w:hAnsi="Times New Roman" w:cs="Times New Roman"/>
                <w:b/>
                <w:szCs w:val="21"/>
              </w:rPr>
            </w:pPr>
            <w:r>
              <w:rPr>
                <w:rFonts w:ascii="Times New Roman" w:hAnsi="Times New Roman" w:cs="Times New Roman"/>
                <w:b/>
                <w:szCs w:val="21"/>
              </w:rPr>
              <w:t>表4.2-12  厂界声环境影响预测结果   单位：dB(A)</w:t>
            </w:r>
          </w:p>
          <w:tbl>
            <w:tblPr>
              <w:tblStyle w:val="81"/>
              <w:tblW w:w="4998" w:type="pct"/>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autofit"/>
              <w:tblCellMar>
                <w:top w:w="0" w:type="dxa"/>
                <w:left w:w="108" w:type="dxa"/>
                <w:bottom w:w="0" w:type="dxa"/>
                <w:right w:w="108" w:type="dxa"/>
              </w:tblCellMar>
            </w:tblPr>
            <w:tblGrid>
              <w:gridCol w:w="1215"/>
              <w:gridCol w:w="1026"/>
              <w:gridCol w:w="1749"/>
              <w:gridCol w:w="1621"/>
              <w:gridCol w:w="2811"/>
            </w:tblGrid>
            <w:tr w14:paraId="02BE3F5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PrEx>
              <w:trPr>
                <w:trHeight w:val="618" w:hRule="exact"/>
                <w:jc w:val="center"/>
              </w:trPr>
              <w:tc>
                <w:tcPr>
                  <w:tcW w:w="721" w:type="pct"/>
                  <w:vMerge w:val="restart"/>
                  <w:tcBorders>
                    <w:right w:val="single" w:color="auto" w:sz="4" w:space="0"/>
                  </w:tcBorders>
                  <w:vAlign w:val="center"/>
                </w:tcPr>
                <w:p w14:paraId="216D787E">
                  <w:pPr>
                    <w:widowControl/>
                    <w:jc w:val="center"/>
                    <w:rPr>
                      <w:rFonts w:ascii="Times New Roman" w:hAnsi="Times New Roman" w:cs="Times New Roman"/>
                    </w:rPr>
                  </w:pPr>
                  <w:r>
                    <w:rPr>
                      <w:rFonts w:ascii="Times New Roman" w:hAnsi="Times New Roman" w:cs="Times New Roman"/>
                    </w:rPr>
                    <w:t>预测点位</w:t>
                  </w:r>
                </w:p>
              </w:tc>
              <w:tc>
                <w:tcPr>
                  <w:tcW w:w="609" w:type="pct"/>
                  <w:vMerge w:val="restart"/>
                  <w:tcBorders>
                    <w:left w:val="single" w:color="auto" w:sz="4" w:space="0"/>
                    <w:right w:val="single" w:color="auto" w:sz="4" w:space="0"/>
                  </w:tcBorders>
                  <w:vAlign w:val="center"/>
                </w:tcPr>
                <w:p w14:paraId="7FB433C4">
                  <w:pPr>
                    <w:widowControl/>
                    <w:jc w:val="center"/>
                    <w:rPr>
                      <w:rFonts w:ascii="Times New Roman" w:hAnsi="Times New Roman" w:cs="Times New Roman"/>
                    </w:rPr>
                  </w:pPr>
                  <w:r>
                    <w:rPr>
                      <w:rFonts w:ascii="Times New Roman" w:hAnsi="Times New Roman" w:cs="Times New Roman"/>
                    </w:rPr>
                    <w:t>贡献值</w:t>
                  </w:r>
                </w:p>
              </w:tc>
              <w:tc>
                <w:tcPr>
                  <w:tcW w:w="2000" w:type="pct"/>
                  <w:gridSpan w:val="2"/>
                  <w:tcBorders>
                    <w:left w:val="single" w:color="auto" w:sz="4" w:space="0"/>
                  </w:tcBorders>
                  <w:vAlign w:val="center"/>
                </w:tcPr>
                <w:p w14:paraId="3F32D6AC">
                  <w:pPr>
                    <w:widowControl/>
                    <w:jc w:val="center"/>
                    <w:rPr>
                      <w:rFonts w:ascii="Times New Roman" w:hAnsi="Times New Roman" w:cs="Times New Roman"/>
                    </w:rPr>
                  </w:pPr>
                  <w:r>
                    <w:rPr>
                      <w:rFonts w:ascii="Times New Roman" w:hAnsi="Times New Roman" w:cs="Times New Roman"/>
                    </w:rPr>
                    <w:t>《工业企业厂界环境噪声排放标准》（GB12348-2008）3类</w:t>
                  </w:r>
                </w:p>
              </w:tc>
              <w:tc>
                <w:tcPr>
                  <w:tcW w:w="1668" w:type="pct"/>
                  <w:vMerge w:val="restart"/>
                  <w:vAlign w:val="center"/>
                </w:tcPr>
                <w:p w14:paraId="1C6250B0">
                  <w:pPr>
                    <w:widowControl/>
                    <w:jc w:val="center"/>
                    <w:rPr>
                      <w:rFonts w:ascii="Times New Roman" w:hAnsi="Times New Roman" w:cs="Times New Roman"/>
                    </w:rPr>
                  </w:pPr>
                  <w:r>
                    <w:rPr>
                      <w:rFonts w:ascii="Times New Roman" w:hAnsi="Times New Roman" w:cs="Times New Roman"/>
                    </w:rPr>
                    <w:t>达标情况</w:t>
                  </w:r>
                </w:p>
              </w:tc>
            </w:tr>
            <w:tr w14:paraId="14FCC57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89" w:hRule="exact"/>
                <w:jc w:val="center"/>
              </w:trPr>
              <w:tc>
                <w:tcPr>
                  <w:tcW w:w="721" w:type="pct"/>
                  <w:vMerge w:val="continue"/>
                  <w:tcBorders>
                    <w:right w:val="single" w:color="auto" w:sz="4" w:space="0"/>
                  </w:tcBorders>
                  <w:vAlign w:val="center"/>
                </w:tcPr>
                <w:p w14:paraId="57919AF1">
                  <w:pPr>
                    <w:widowControl/>
                    <w:jc w:val="center"/>
                    <w:rPr>
                      <w:rFonts w:ascii="Times New Roman" w:hAnsi="Times New Roman" w:cs="Times New Roman"/>
                    </w:rPr>
                  </w:pPr>
                </w:p>
              </w:tc>
              <w:tc>
                <w:tcPr>
                  <w:tcW w:w="609" w:type="pct"/>
                  <w:vMerge w:val="continue"/>
                  <w:tcBorders>
                    <w:left w:val="single" w:color="auto" w:sz="4" w:space="0"/>
                    <w:right w:val="single" w:color="auto" w:sz="4" w:space="0"/>
                  </w:tcBorders>
                  <w:vAlign w:val="center"/>
                </w:tcPr>
                <w:p w14:paraId="07F1E653">
                  <w:pPr>
                    <w:widowControl/>
                    <w:jc w:val="center"/>
                    <w:rPr>
                      <w:rFonts w:ascii="Times New Roman" w:hAnsi="Times New Roman" w:cs="Times New Roman"/>
                    </w:rPr>
                  </w:pPr>
                </w:p>
              </w:tc>
              <w:tc>
                <w:tcPr>
                  <w:tcW w:w="1038" w:type="pct"/>
                  <w:tcBorders>
                    <w:left w:val="single" w:color="auto" w:sz="4" w:space="0"/>
                    <w:right w:val="single" w:color="auto" w:sz="4" w:space="0"/>
                  </w:tcBorders>
                  <w:vAlign w:val="center"/>
                </w:tcPr>
                <w:p w14:paraId="661DAF4E">
                  <w:pPr>
                    <w:widowControl/>
                    <w:jc w:val="center"/>
                    <w:rPr>
                      <w:rFonts w:ascii="Times New Roman" w:hAnsi="Times New Roman" w:cs="Times New Roman"/>
                    </w:rPr>
                  </w:pPr>
                  <w:r>
                    <w:rPr>
                      <w:rFonts w:ascii="Times New Roman" w:hAnsi="Times New Roman" w:cs="Times New Roman"/>
                    </w:rPr>
                    <w:t>昼间</w:t>
                  </w:r>
                </w:p>
              </w:tc>
              <w:tc>
                <w:tcPr>
                  <w:tcW w:w="962" w:type="pct"/>
                  <w:tcBorders>
                    <w:left w:val="single" w:color="auto" w:sz="4" w:space="0"/>
                  </w:tcBorders>
                  <w:vAlign w:val="center"/>
                </w:tcPr>
                <w:p w14:paraId="1BDB232C">
                  <w:pPr>
                    <w:widowControl/>
                    <w:jc w:val="center"/>
                    <w:rPr>
                      <w:rFonts w:ascii="Times New Roman" w:hAnsi="Times New Roman" w:cs="Times New Roman"/>
                    </w:rPr>
                  </w:pPr>
                  <w:r>
                    <w:rPr>
                      <w:rFonts w:ascii="Times New Roman" w:hAnsi="Times New Roman" w:cs="Times New Roman"/>
                    </w:rPr>
                    <w:t>夜间</w:t>
                  </w:r>
                </w:p>
              </w:tc>
              <w:tc>
                <w:tcPr>
                  <w:tcW w:w="1668" w:type="pct"/>
                  <w:vMerge w:val="continue"/>
                  <w:vAlign w:val="center"/>
                </w:tcPr>
                <w:p w14:paraId="40E10EAC">
                  <w:pPr>
                    <w:widowControl/>
                    <w:jc w:val="center"/>
                    <w:rPr>
                      <w:rFonts w:ascii="Times New Roman" w:hAnsi="Times New Roman" w:cs="Times New Roman"/>
                    </w:rPr>
                  </w:pPr>
                </w:p>
              </w:tc>
            </w:tr>
            <w:tr w14:paraId="0825C56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75" w:hRule="atLeast"/>
                <w:jc w:val="center"/>
              </w:trPr>
              <w:tc>
                <w:tcPr>
                  <w:tcW w:w="721" w:type="pct"/>
                  <w:tcBorders>
                    <w:right w:val="single" w:color="auto" w:sz="4" w:space="0"/>
                  </w:tcBorders>
                  <w:vAlign w:val="center"/>
                </w:tcPr>
                <w:p w14:paraId="403005B3">
                  <w:pPr>
                    <w:widowControl/>
                    <w:jc w:val="center"/>
                    <w:rPr>
                      <w:rFonts w:ascii="Times New Roman" w:hAnsi="Times New Roman" w:cs="Times New Roman"/>
                    </w:rPr>
                  </w:pPr>
                  <w:r>
                    <w:rPr>
                      <w:rFonts w:ascii="Times New Roman" w:hAnsi="Times New Roman" w:cs="Times New Roman"/>
                    </w:rPr>
                    <w:t>东</w:t>
                  </w:r>
                  <w:r>
                    <w:rPr>
                      <w:rFonts w:hint="eastAsia" w:ascii="Times New Roman" w:hAnsi="Times New Roman" w:cs="Times New Roman"/>
                    </w:rPr>
                    <w:t>北</w:t>
                  </w:r>
                  <w:r>
                    <w:rPr>
                      <w:rFonts w:ascii="Times New Roman" w:hAnsi="Times New Roman" w:cs="Times New Roman"/>
                    </w:rPr>
                    <w:t>厂界</w:t>
                  </w:r>
                </w:p>
              </w:tc>
              <w:tc>
                <w:tcPr>
                  <w:tcW w:w="609" w:type="pct"/>
                  <w:tcBorders>
                    <w:left w:val="single" w:color="auto" w:sz="4" w:space="0"/>
                    <w:right w:val="single" w:color="auto" w:sz="4" w:space="0"/>
                  </w:tcBorders>
                  <w:vAlign w:val="center"/>
                </w:tcPr>
                <w:p w14:paraId="0D5788F6">
                  <w:pPr>
                    <w:widowControl/>
                    <w:jc w:val="center"/>
                    <w:rPr>
                      <w:rFonts w:ascii="Times New Roman" w:hAnsi="Times New Roman" w:cs="Times New Roman"/>
                    </w:rPr>
                  </w:pPr>
                  <w:r>
                    <w:rPr>
                      <w:rFonts w:hint="eastAsia" w:ascii="Times New Roman" w:hAnsi="Times New Roman" w:cs="Times New Roman"/>
                    </w:rPr>
                    <w:t>23</w:t>
                  </w:r>
                </w:p>
              </w:tc>
              <w:tc>
                <w:tcPr>
                  <w:tcW w:w="1038" w:type="pct"/>
                  <w:tcBorders>
                    <w:left w:val="single" w:color="auto" w:sz="4" w:space="0"/>
                  </w:tcBorders>
                  <w:vAlign w:val="center"/>
                </w:tcPr>
                <w:p w14:paraId="722DEC2D">
                  <w:pPr>
                    <w:jc w:val="center"/>
                    <w:rPr>
                      <w:rFonts w:ascii="Times New Roman" w:hAnsi="Times New Roman" w:cs="Times New Roman"/>
                    </w:rPr>
                  </w:pPr>
                  <w:r>
                    <w:rPr>
                      <w:rFonts w:ascii="Times New Roman" w:hAnsi="Times New Roman" w:cs="Times New Roman"/>
                    </w:rPr>
                    <w:t>65</w:t>
                  </w:r>
                </w:p>
              </w:tc>
              <w:tc>
                <w:tcPr>
                  <w:tcW w:w="962" w:type="pct"/>
                  <w:vAlign w:val="center"/>
                </w:tcPr>
                <w:p w14:paraId="66CA7DFF">
                  <w:pPr>
                    <w:jc w:val="center"/>
                    <w:rPr>
                      <w:rFonts w:ascii="Times New Roman" w:hAnsi="Times New Roman" w:cs="Times New Roman"/>
                    </w:rPr>
                  </w:pPr>
                  <w:r>
                    <w:rPr>
                      <w:rFonts w:ascii="Times New Roman" w:hAnsi="Times New Roman" w:cs="Times New Roman"/>
                    </w:rPr>
                    <w:t>55</w:t>
                  </w:r>
                </w:p>
              </w:tc>
              <w:tc>
                <w:tcPr>
                  <w:tcW w:w="1668" w:type="pct"/>
                  <w:vAlign w:val="center"/>
                </w:tcPr>
                <w:p w14:paraId="01507F06">
                  <w:pPr>
                    <w:jc w:val="center"/>
                    <w:rPr>
                      <w:rFonts w:ascii="Times New Roman" w:hAnsi="Times New Roman" w:cs="Times New Roman"/>
                    </w:rPr>
                  </w:pPr>
                  <w:r>
                    <w:rPr>
                      <w:rFonts w:ascii="Times New Roman" w:hAnsi="Times New Roman" w:cs="Times New Roman"/>
                    </w:rPr>
                    <w:t>达标</w:t>
                  </w:r>
                </w:p>
              </w:tc>
            </w:tr>
            <w:tr w14:paraId="3DFE79E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jc w:val="center"/>
              </w:trPr>
              <w:tc>
                <w:tcPr>
                  <w:tcW w:w="721" w:type="pct"/>
                  <w:tcBorders>
                    <w:right w:val="single" w:color="auto" w:sz="4" w:space="0"/>
                  </w:tcBorders>
                  <w:vAlign w:val="center"/>
                </w:tcPr>
                <w:p w14:paraId="2C139B93">
                  <w:pPr>
                    <w:widowControl/>
                    <w:jc w:val="center"/>
                    <w:rPr>
                      <w:rFonts w:ascii="Times New Roman" w:hAnsi="Times New Roman" w:cs="Times New Roman"/>
                    </w:rPr>
                  </w:pPr>
                  <w:r>
                    <w:rPr>
                      <w:rFonts w:ascii="Times New Roman" w:hAnsi="Times New Roman" w:cs="Times New Roman"/>
                    </w:rPr>
                    <w:t>西</w:t>
                  </w:r>
                  <w:r>
                    <w:rPr>
                      <w:rFonts w:hint="eastAsia" w:ascii="Times New Roman" w:hAnsi="Times New Roman" w:cs="Times New Roman"/>
                    </w:rPr>
                    <w:t>南</w:t>
                  </w:r>
                  <w:r>
                    <w:rPr>
                      <w:rFonts w:ascii="Times New Roman" w:hAnsi="Times New Roman" w:cs="Times New Roman"/>
                    </w:rPr>
                    <w:t>厂界</w:t>
                  </w:r>
                </w:p>
              </w:tc>
              <w:tc>
                <w:tcPr>
                  <w:tcW w:w="609" w:type="pct"/>
                  <w:tcBorders>
                    <w:left w:val="single" w:color="auto" w:sz="4" w:space="0"/>
                    <w:right w:val="single" w:color="auto" w:sz="4" w:space="0"/>
                  </w:tcBorders>
                  <w:vAlign w:val="center"/>
                </w:tcPr>
                <w:p w14:paraId="0744257E">
                  <w:pPr>
                    <w:widowControl/>
                    <w:jc w:val="center"/>
                    <w:rPr>
                      <w:rFonts w:ascii="Times New Roman" w:hAnsi="Times New Roman" w:cs="Times New Roman"/>
                    </w:rPr>
                  </w:pPr>
                  <w:r>
                    <w:rPr>
                      <w:rFonts w:hint="eastAsia" w:ascii="Times New Roman" w:hAnsi="Times New Roman" w:cs="Times New Roman"/>
                    </w:rPr>
                    <w:t>23</w:t>
                  </w:r>
                </w:p>
              </w:tc>
              <w:tc>
                <w:tcPr>
                  <w:tcW w:w="1038" w:type="pct"/>
                  <w:tcBorders>
                    <w:left w:val="single" w:color="auto" w:sz="4" w:space="0"/>
                  </w:tcBorders>
                  <w:vAlign w:val="center"/>
                </w:tcPr>
                <w:p w14:paraId="5C5F0EC1">
                  <w:pPr>
                    <w:jc w:val="center"/>
                    <w:rPr>
                      <w:rFonts w:ascii="Times New Roman" w:hAnsi="Times New Roman" w:cs="Times New Roman"/>
                    </w:rPr>
                  </w:pPr>
                  <w:r>
                    <w:rPr>
                      <w:rFonts w:ascii="Times New Roman" w:hAnsi="Times New Roman" w:cs="Times New Roman"/>
                    </w:rPr>
                    <w:t>65</w:t>
                  </w:r>
                </w:p>
              </w:tc>
              <w:tc>
                <w:tcPr>
                  <w:tcW w:w="962" w:type="pct"/>
                  <w:vAlign w:val="center"/>
                </w:tcPr>
                <w:p w14:paraId="45C5D83E">
                  <w:pPr>
                    <w:jc w:val="center"/>
                    <w:rPr>
                      <w:rFonts w:ascii="Times New Roman" w:hAnsi="Times New Roman" w:cs="Times New Roman"/>
                    </w:rPr>
                  </w:pPr>
                  <w:r>
                    <w:rPr>
                      <w:rFonts w:ascii="Times New Roman" w:hAnsi="Times New Roman" w:cs="Times New Roman"/>
                    </w:rPr>
                    <w:t>55</w:t>
                  </w:r>
                </w:p>
              </w:tc>
              <w:tc>
                <w:tcPr>
                  <w:tcW w:w="1668" w:type="pct"/>
                  <w:vAlign w:val="center"/>
                </w:tcPr>
                <w:p w14:paraId="5205A7AD">
                  <w:pPr>
                    <w:jc w:val="center"/>
                    <w:rPr>
                      <w:rFonts w:ascii="Times New Roman" w:hAnsi="Times New Roman" w:cs="Times New Roman"/>
                    </w:rPr>
                  </w:pPr>
                  <w:r>
                    <w:rPr>
                      <w:rFonts w:ascii="Times New Roman" w:hAnsi="Times New Roman" w:cs="Times New Roman"/>
                    </w:rPr>
                    <w:t>达标</w:t>
                  </w:r>
                </w:p>
              </w:tc>
            </w:tr>
            <w:tr w14:paraId="2B1EEF9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jc w:val="center"/>
              </w:trPr>
              <w:tc>
                <w:tcPr>
                  <w:tcW w:w="721" w:type="pct"/>
                  <w:tcBorders>
                    <w:right w:val="single" w:color="auto" w:sz="4" w:space="0"/>
                  </w:tcBorders>
                  <w:vAlign w:val="center"/>
                </w:tcPr>
                <w:p w14:paraId="66987062">
                  <w:pPr>
                    <w:widowControl/>
                    <w:jc w:val="center"/>
                    <w:rPr>
                      <w:rFonts w:ascii="Times New Roman" w:hAnsi="Times New Roman" w:cs="Times New Roman"/>
                    </w:rPr>
                  </w:pPr>
                  <w:r>
                    <w:rPr>
                      <w:rFonts w:hint="eastAsia" w:ascii="Times New Roman" w:hAnsi="Times New Roman" w:cs="Times New Roman"/>
                    </w:rPr>
                    <w:t>东</w:t>
                  </w:r>
                  <w:r>
                    <w:rPr>
                      <w:rFonts w:ascii="Times New Roman" w:hAnsi="Times New Roman" w:cs="Times New Roman"/>
                    </w:rPr>
                    <w:t>南厂界</w:t>
                  </w:r>
                </w:p>
              </w:tc>
              <w:tc>
                <w:tcPr>
                  <w:tcW w:w="609" w:type="pct"/>
                  <w:tcBorders>
                    <w:left w:val="single" w:color="auto" w:sz="4" w:space="0"/>
                    <w:right w:val="single" w:color="auto" w:sz="4" w:space="0"/>
                  </w:tcBorders>
                  <w:vAlign w:val="center"/>
                </w:tcPr>
                <w:p w14:paraId="011C400A">
                  <w:pPr>
                    <w:widowControl/>
                    <w:jc w:val="center"/>
                    <w:rPr>
                      <w:rFonts w:ascii="Times New Roman" w:hAnsi="Times New Roman" w:cs="Times New Roman"/>
                    </w:rPr>
                  </w:pPr>
                  <w:r>
                    <w:rPr>
                      <w:rFonts w:hint="eastAsia" w:ascii="Times New Roman" w:hAnsi="Times New Roman" w:cs="Times New Roman"/>
                    </w:rPr>
                    <w:t>20</w:t>
                  </w:r>
                </w:p>
              </w:tc>
              <w:tc>
                <w:tcPr>
                  <w:tcW w:w="1038" w:type="pct"/>
                  <w:tcBorders>
                    <w:left w:val="single" w:color="auto" w:sz="4" w:space="0"/>
                  </w:tcBorders>
                  <w:vAlign w:val="center"/>
                </w:tcPr>
                <w:p w14:paraId="33D16A58">
                  <w:pPr>
                    <w:widowControl/>
                    <w:jc w:val="center"/>
                    <w:rPr>
                      <w:rFonts w:ascii="Times New Roman" w:hAnsi="Times New Roman" w:cs="Times New Roman"/>
                    </w:rPr>
                  </w:pPr>
                  <w:r>
                    <w:rPr>
                      <w:rFonts w:ascii="Times New Roman" w:hAnsi="Times New Roman" w:cs="Times New Roman"/>
                    </w:rPr>
                    <w:t>65</w:t>
                  </w:r>
                </w:p>
              </w:tc>
              <w:tc>
                <w:tcPr>
                  <w:tcW w:w="962" w:type="pct"/>
                  <w:vAlign w:val="center"/>
                </w:tcPr>
                <w:p w14:paraId="03E979FB">
                  <w:pPr>
                    <w:widowControl/>
                    <w:jc w:val="center"/>
                    <w:rPr>
                      <w:rFonts w:ascii="Times New Roman" w:hAnsi="Times New Roman" w:cs="Times New Roman"/>
                    </w:rPr>
                  </w:pPr>
                  <w:r>
                    <w:rPr>
                      <w:rFonts w:ascii="Times New Roman" w:hAnsi="Times New Roman" w:cs="Times New Roman"/>
                    </w:rPr>
                    <w:t>55</w:t>
                  </w:r>
                </w:p>
              </w:tc>
              <w:tc>
                <w:tcPr>
                  <w:tcW w:w="1668" w:type="pct"/>
                  <w:vAlign w:val="center"/>
                </w:tcPr>
                <w:p w14:paraId="2EF94027">
                  <w:pPr>
                    <w:widowControl/>
                    <w:jc w:val="center"/>
                    <w:rPr>
                      <w:rFonts w:ascii="Times New Roman" w:hAnsi="Times New Roman" w:cs="Times New Roman"/>
                    </w:rPr>
                  </w:pPr>
                  <w:r>
                    <w:rPr>
                      <w:rFonts w:ascii="Times New Roman" w:hAnsi="Times New Roman" w:cs="Times New Roman"/>
                    </w:rPr>
                    <w:t>达标</w:t>
                  </w:r>
                </w:p>
              </w:tc>
            </w:tr>
            <w:tr w14:paraId="7B080D8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jc w:val="center"/>
              </w:trPr>
              <w:tc>
                <w:tcPr>
                  <w:tcW w:w="721" w:type="pct"/>
                  <w:tcBorders>
                    <w:right w:val="single" w:color="auto" w:sz="4" w:space="0"/>
                  </w:tcBorders>
                  <w:vAlign w:val="center"/>
                </w:tcPr>
                <w:p w14:paraId="5CD99C9A">
                  <w:pPr>
                    <w:widowControl/>
                    <w:jc w:val="center"/>
                    <w:rPr>
                      <w:rFonts w:ascii="Times New Roman" w:hAnsi="Times New Roman" w:cs="Times New Roman"/>
                    </w:rPr>
                  </w:pPr>
                  <w:r>
                    <w:rPr>
                      <w:rFonts w:hint="eastAsia" w:ascii="Times New Roman" w:hAnsi="Times New Roman" w:cs="Times New Roman"/>
                    </w:rPr>
                    <w:t>西</w:t>
                  </w:r>
                  <w:r>
                    <w:rPr>
                      <w:rFonts w:ascii="Times New Roman" w:hAnsi="Times New Roman" w:cs="Times New Roman"/>
                    </w:rPr>
                    <w:t>北厂界</w:t>
                  </w:r>
                </w:p>
              </w:tc>
              <w:tc>
                <w:tcPr>
                  <w:tcW w:w="609" w:type="pct"/>
                  <w:tcBorders>
                    <w:left w:val="single" w:color="auto" w:sz="4" w:space="0"/>
                    <w:right w:val="single" w:color="auto" w:sz="4" w:space="0"/>
                  </w:tcBorders>
                  <w:vAlign w:val="center"/>
                </w:tcPr>
                <w:p w14:paraId="23599900">
                  <w:pPr>
                    <w:widowControl/>
                    <w:jc w:val="center"/>
                    <w:rPr>
                      <w:rFonts w:ascii="Times New Roman" w:hAnsi="Times New Roman" w:cs="Times New Roman"/>
                    </w:rPr>
                  </w:pPr>
                  <w:r>
                    <w:rPr>
                      <w:rFonts w:hint="eastAsia" w:ascii="Times New Roman" w:hAnsi="Times New Roman" w:cs="Times New Roman"/>
                    </w:rPr>
                    <w:t>47</w:t>
                  </w:r>
                </w:p>
              </w:tc>
              <w:tc>
                <w:tcPr>
                  <w:tcW w:w="1038" w:type="pct"/>
                  <w:tcBorders>
                    <w:left w:val="single" w:color="auto" w:sz="4" w:space="0"/>
                  </w:tcBorders>
                  <w:vAlign w:val="center"/>
                </w:tcPr>
                <w:p w14:paraId="3F4F5716">
                  <w:pPr>
                    <w:widowControl/>
                    <w:jc w:val="center"/>
                    <w:rPr>
                      <w:rFonts w:ascii="Times New Roman" w:hAnsi="Times New Roman" w:cs="Times New Roman"/>
                    </w:rPr>
                  </w:pPr>
                  <w:r>
                    <w:rPr>
                      <w:rFonts w:ascii="Times New Roman" w:hAnsi="Times New Roman" w:cs="Times New Roman"/>
                    </w:rPr>
                    <w:t>65</w:t>
                  </w:r>
                </w:p>
              </w:tc>
              <w:tc>
                <w:tcPr>
                  <w:tcW w:w="962" w:type="pct"/>
                  <w:vAlign w:val="center"/>
                </w:tcPr>
                <w:p w14:paraId="61CCC8C6">
                  <w:pPr>
                    <w:widowControl/>
                    <w:jc w:val="center"/>
                    <w:rPr>
                      <w:rFonts w:ascii="Times New Roman" w:hAnsi="Times New Roman" w:cs="Times New Roman"/>
                    </w:rPr>
                  </w:pPr>
                  <w:r>
                    <w:rPr>
                      <w:rFonts w:ascii="Times New Roman" w:hAnsi="Times New Roman" w:cs="Times New Roman"/>
                    </w:rPr>
                    <w:t>55</w:t>
                  </w:r>
                </w:p>
              </w:tc>
              <w:tc>
                <w:tcPr>
                  <w:tcW w:w="1668" w:type="pct"/>
                  <w:vAlign w:val="center"/>
                </w:tcPr>
                <w:p w14:paraId="083F2F59">
                  <w:pPr>
                    <w:widowControl/>
                    <w:jc w:val="center"/>
                    <w:rPr>
                      <w:rFonts w:ascii="Times New Roman" w:hAnsi="Times New Roman" w:cs="Times New Roman"/>
                    </w:rPr>
                  </w:pPr>
                  <w:r>
                    <w:rPr>
                      <w:rFonts w:ascii="Times New Roman" w:hAnsi="Times New Roman" w:cs="Times New Roman"/>
                    </w:rPr>
                    <w:t>达标</w:t>
                  </w:r>
                </w:p>
              </w:tc>
            </w:tr>
          </w:tbl>
          <w:p w14:paraId="7EFB9D40">
            <w:pPr>
              <w:spacing w:line="360" w:lineRule="auto"/>
              <w:ind w:firstLine="480" w:firstLineChars="200"/>
              <w:rPr>
                <w:rFonts w:ascii="Times New Roman" w:hAnsi="Times New Roman" w:cs="Times New Roman"/>
                <w:sz w:val="24"/>
              </w:rPr>
            </w:pPr>
          </w:p>
          <w:tbl>
            <w:tblPr>
              <w:tblStyle w:val="81"/>
              <w:tblW w:w="510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7"/>
              <w:gridCol w:w="990"/>
              <w:gridCol w:w="590"/>
              <w:gridCol w:w="766"/>
              <w:gridCol w:w="798"/>
              <w:gridCol w:w="793"/>
              <w:gridCol w:w="541"/>
              <w:gridCol w:w="540"/>
              <w:gridCol w:w="540"/>
              <w:gridCol w:w="540"/>
              <w:gridCol w:w="983"/>
              <w:gridCol w:w="979"/>
            </w:tblGrid>
            <w:tr w14:paraId="04FA52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323" w:type="pct"/>
                  <w:vMerge w:val="restart"/>
                  <w:tcBorders>
                    <w:top w:val="single" w:color="auto" w:sz="4" w:space="0"/>
                    <w:left w:val="single" w:color="auto" w:sz="0" w:space="0"/>
                    <w:tl2br w:val="nil"/>
                    <w:tr2bl w:val="nil"/>
                  </w:tcBorders>
                  <w:tcMar>
                    <w:top w:w="28" w:type="dxa"/>
                    <w:left w:w="28" w:type="dxa"/>
                    <w:bottom w:w="28" w:type="dxa"/>
                    <w:right w:w="28" w:type="dxa"/>
                  </w:tcMar>
                  <w:vAlign w:val="center"/>
                </w:tcPr>
                <w:p w14:paraId="15CC9CDC">
                  <w:pPr>
                    <w:tabs>
                      <w:tab w:val="left" w:pos="420"/>
                    </w:tabs>
                    <w:spacing w:line="300" w:lineRule="exact"/>
                    <w:jc w:val="center"/>
                    <w:rPr>
                      <w:rFonts w:ascii="Times New Roman" w:hAnsi="Times New Roman" w:cs="Times New Roman"/>
                      <w:color w:val="000000"/>
                      <w:szCs w:val="21"/>
                    </w:rPr>
                  </w:pPr>
                  <w:r>
                    <w:rPr>
                      <w:rFonts w:ascii="Times New Roman" w:hAnsi="Times New Roman" w:cs="Times New Roman"/>
                      <w:color w:val="000000"/>
                      <w:szCs w:val="21"/>
                    </w:rPr>
                    <w:t>序号</w:t>
                  </w:r>
                </w:p>
              </w:tc>
              <w:tc>
                <w:tcPr>
                  <w:tcW w:w="574" w:type="pct"/>
                  <w:vMerge w:val="restart"/>
                  <w:tcBorders>
                    <w:top w:val="single" w:color="auto" w:sz="4" w:space="0"/>
                    <w:tl2br w:val="nil"/>
                    <w:tr2bl w:val="nil"/>
                  </w:tcBorders>
                  <w:tcMar>
                    <w:top w:w="28" w:type="dxa"/>
                    <w:left w:w="28" w:type="dxa"/>
                    <w:bottom w:w="28" w:type="dxa"/>
                    <w:right w:w="28" w:type="dxa"/>
                  </w:tcMar>
                  <w:vAlign w:val="center"/>
                </w:tcPr>
                <w:p w14:paraId="65AA5A18">
                  <w:pPr>
                    <w:tabs>
                      <w:tab w:val="left" w:pos="420"/>
                    </w:tabs>
                    <w:spacing w:line="300" w:lineRule="exact"/>
                    <w:jc w:val="center"/>
                    <w:rPr>
                      <w:rFonts w:ascii="Times New Roman" w:hAnsi="Times New Roman" w:cs="Times New Roman"/>
                      <w:color w:val="000000"/>
                      <w:szCs w:val="21"/>
                    </w:rPr>
                  </w:pPr>
                  <w:r>
                    <w:rPr>
                      <w:rFonts w:ascii="Times New Roman" w:hAnsi="Times New Roman" w:cs="Times New Roman"/>
                      <w:color w:val="000000"/>
                      <w:szCs w:val="21"/>
                    </w:rPr>
                    <w:t>预测点</w:t>
                  </w:r>
                </w:p>
              </w:tc>
              <w:tc>
                <w:tcPr>
                  <w:tcW w:w="342" w:type="pct"/>
                  <w:vMerge w:val="restart"/>
                  <w:tcBorders>
                    <w:top w:val="single" w:color="auto" w:sz="4" w:space="0"/>
                    <w:tl2br w:val="nil"/>
                    <w:tr2bl w:val="nil"/>
                  </w:tcBorders>
                  <w:tcMar>
                    <w:top w:w="28" w:type="dxa"/>
                    <w:left w:w="28" w:type="dxa"/>
                    <w:bottom w:w="28" w:type="dxa"/>
                    <w:right w:w="28" w:type="dxa"/>
                  </w:tcMar>
                  <w:vAlign w:val="center"/>
                </w:tcPr>
                <w:p w14:paraId="534F3112">
                  <w:pPr>
                    <w:tabs>
                      <w:tab w:val="left" w:pos="420"/>
                    </w:tabs>
                    <w:spacing w:line="300" w:lineRule="exact"/>
                    <w:jc w:val="center"/>
                    <w:rPr>
                      <w:rFonts w:ascii="Times New Roman" w:hAnsi="Times New Roman" w:cs="Times New Roman"/>
                      <w:color w:val="000000"/>
                      <w:szCs w:val="21"/>
                    </w:rPr>
                  </w:pPr>
                  <w:r>
                    <w:rPr>
                      <w:rFonts w:ascii="Times New Roman" w:hAnsi="Times New Roman" w:cs="Times New Roman"/>
                      <w:color w:val="000000"/>
                      <w:szCs w:val="21"/>
                    </w:rPr>
                    <w:t>背景值</w:t>
                  </w:r>
                </w:p>
              </w:tc>
              <w:tc>
                <w:tcPr>
                  <w:tcW w:w="907" w:type="pct"/>
                  <w:gridSpan w:val="2"/>
                  <w:tcBorders>
                    <w:top w:val="single" w:color="auto" w:sz="4" w:space="0"/>
                    <w:tl2br w:val="nil"/>
                    <w:tr2bl w:val="nil"/>
                  </w:tcBorders>
                  <w:tcMar>
                    <w:top w:w="28" w:type="dxa"/>
                    <w:left w:w="28" w:type="dxa"/>
                    <w:bottom w:w="28" w:type="dxa"/>
                    <w:right w:w="28" w:type="dxa"/>
                  </w:tcMar>
                  <w:vAlign w:val="center"/>
                </w:tcPr>
                <w:p w14:paraId="201A5E07">
                  <w:pPr>
                    <w:tabs>
                      <w:tab w:val="left" w:pos="420"/>
                    </w:tabs>
                    <w:spacing w:line="300" w:lineRule="exact"/>
                    <w:jc w:val="center"/>
                    <w:rPr>
                      <w:rFonts w:ascii="Times New Roman" w:hAnsi="Times New Roman" w:cs="Times New Roman"/>
                      <w:color w:val="000000"/>
                      <w:szCs w:val="21"/>
                    </w:rPr>
                  </w:pPr>
                  <w:r>
                    <w:rPr>
                      <w:rFonts w:ascii="Times New Roman" w:hAnsi="Times New Roman" w:cs="Times New Roman"/>
                      <w:color w:val="000000"/>
                      <w:szCs w:val="21"/>
                    </w:rPr>
                    <w:t>拟建项目</w:t>
                  </w:r>
                </w:p>
                <w:p w14:paraId="2E95E7E5">
                  <w:pPr>
                    <w:tabs>
                      <w:tab w:val="left" w:pos="420"/>
                    </w:tabs>
                    <w:spacing w:line="300" w:lineRule="exact"/>
                    <w:jc w:val="center"/>
                    <w:rPr>
                      <w:rFonts w:ascii="Times New Roman" w:hAnsi="Times New Roman" w:cs="Times New Roman"/>
                      <w:color w:val="000000"/>
                      <w:szCs w:val="21"/>
                    </w:rPr>
                  </w:pPr>
                  <w:r>
                    <w:rPr>
                      <w:rFonts w:ascii="Times New Roman" w:hAnsi="Times New Roman" w:cs="Times New Roman"/>
                      <w:color w:val="000000"/>
                      <w:szCs w:val="21"/>
                    </w:rPr>
                    <w:t>预测值</w:t>
                  </w:r>
                </w:p>
              </w:tc>
              <w:tc>
                <w:tcPr>
                  <w:tcW w:w="774" w:type="pct"/>
                  <w:gridSpan w:val="2"/>
                  <w:tcBorders>
                    <w:top w:val="single" w:color="auto" w:sz="4" w:space="0"/>
                    <w:tl2br w:val="nil"/>
                    <w:tr2bl w:val="nil"/>
                  </w:tcBorders>
                  <w:tcMar>
                    <w:top w:w="28" w:type="dxa"/>
                    <w:left w:w="28" w:type="dxa"/>
                    <w:bottom w:w="28" w:type="dxa"/>
                    <w:right w:w="28" w:type="dxa"/>
                  </w:tcMar>
                  <w:vAlign w:val="center"/>
                </w:tcPr>
                <w:p w14:paraId="47EDFC41">
                  <w:pPr>
                    <w:tabs>
                      <w:tab w:val="left" w:pos="420"/>
                    </w:tabs>
                    <w:spacing w:line="300" w:lineRule="exact"/>
                    <w:jc w:val="center"/>
                    <w:rPr>
                      <w:rFonts w:ascii="Times New Roman" w:hAnsi="Times New Roman" w:cs="Times New Roman"/>
                      <w:color w:val="000000"/>
                      <w:szCs w:val="21"/>
                    </w:rPr>
                  </w:pPr>
                  <w:r>
                    <w:rPr>
                      <w:rFonts w:ascii="Times New Roman" w:hAnsi="Times New Roman" w:cs="Times New Roman"/>
                      <w:color w:val="000000"/>
                      <w:szCs w:val="21"/>
                    </w:rPr>
                    <w:t>现有工程</w:t>
                  </w:r>
                </w:p>
                <w:p w14:paraId="0FF32F12">
                  <w:pPr>
                    <w:tabs>
                      <w:tab w:val="left" w:pos="420"/>
                    </w:tabs>
                    <w:spacing w:line="300" w:lineRule="exact"/>
                    <w:jc w:val="center"/>
                    <w:rPr>
                      <w:rFonts w:ascii="Times New Roman" w:hAnsi="Times New Roman" w:cs="Times New Roman"/>
                      <w:color w:val="000000"/>
                      <w:szCs w:val="21"/>
                    </w:rPr>
                  </w:pPr>
                  <w:r>
                    <w:rPr>
                      <w:rFonts w:ascii="Times New Roman" w:hAnsi="Times New Roman" w:cs="Times New Roman"/>
                      <w:color w:val="000000"/>
                      <w:szCs w:val="21"/>
                    </w:rPr>
                    <w:t>预测值</w:t>
                  </w:r>
                </w:p>
              </w:tc>
              <w:tc>
                <w:tcPr>
                  <w:tcW w:w="626" w:type="pct"/>
                  <w:gridSpan w:val="2"/>
                  <w:tcBorders>
                    <w:top w:val="single" w:color="auto" w:sz="4" w:space="0"/>
                    <w:tl2br w:val="nil"/>
                    <w:tr2bl w:val="nil"/>
                  </w:tcBorders>
                  <w:tcMar>
                    <w:top w:w="28" w:type="dxa"/>
                    <w:left w:w="28" w:type="dxa"/>
                    <w:bottom w:w="28" w:type="dxa"/>
                    <w:right w:w="28" w:type="dxa"/>
                  </w:tcMar>
                  <w:vAlign w:val="center"/>
                </w:tcPr>
                <w:p w14:paraId="7F6176C3">
                  <w:pPr>
                    <w:tabs>
                      <w:tab w:val="left" w:pos="420"/>
                    </w:tabs>
                    <w:spacing w:line="300" w:lineRule="exact"/>
                    <w:jc w:val="center"/>
                    <w:rPr>
                      <w:rFonts w:ascii="Times New Roman" w:hAnsi="Times New Roman" w:cs="Times New Roman"/>
                      <w:color w:val="000000"/>
                      <w:szCs w:val="21"/>
                    </w:rPr>
                  </w:pPr>
                  <w:r>
                    <w:rPr>
                      <w:rFonts w:ascii="Times New Roman" w:hAnsi="Times New Roman" w:cs="Times New Roman"/>
                      <w:color w:val="000000"/>
                      <w:szCs w:val="21"/>
                    </w:rPr>
                    <w:t>全厂预测值</w:t>
                  </w:r>
                </w:p>
              </w:tc>
              <w:tc>
                <w:tcPr>
                  <w:tcW w:w="883" w:type="pct"/>
                  <w:gridSpan w:val="2"/>
                  <w:tcBorders>
                    <w:top w:val="single" w:color="auto" w:sz="4" w:space="0"/>
                    <w:tl2br w:val="nil"/>
                    <w:tr2bl w:val="nil"/>
                  </w:tcBorders>
                  <w:tcMar>
                    <w:top w:w="28" w:type="dxa"/>
                    <w:left w:w="28" w:type="dxa"/>
                    <w:bottom w:w="28" w:type="dxa"/>
                    <w:right w:w="28" w:type="dxa"/>
                  </w:tcMar>
                  <w:vAlign w:val="center"/>
                </w:tcPr>
                <w:p w14:paraId="59162401">
                  <w:pPr>
                    <w:tabs>
                      <w:tab w:val="left" w:pos="420"/>
                    </w:tabs>
                    <w:spacing w:line="300" w:lineRule="exact"/>
                    <w:jc w:val="center"/>
                    <w:rPr>
                      <w:rFonts w:ascii="Times New Roman" w:hAnsi="Times New Roman" w:cs="Times New Roman"/>
                      <w:color w:val="000000"/>
                      <w:szCs w:val="21"/>
                    </w:rPr>
                  </w:pPr>
                  <w:r>
                    <w:rPr>
                      <w:rFonts w:ascii="Times New Roman" w:hAnsi="Times New Roman" w:cs="Times New Roman"/>
                      <w:color w:val="000000"/>
                      <w:szCs w:val="21"/>
                    </w:rPr>
                    <w:t>标准值</w:t>
                  </w:r>
                </w:p>
              </w:tc>
              <w:tc>
                <w:tcPr>
                  <w:tcW w:w="568" w:type="pct"/>
                  <w:vMerge w:val="restart"/>
                  <w:tcBorders>
                    <w:top w:val="single" w:color="auto" w:sz="4" w:space="0"/>
                    <w:right w:val="single" w:color="auto" w:sz="4" w:space="0"/>
                    <w:tl2br w:val="nil"/>
                    <w:tr2bl w:val="nil"/>
                  </w:tcBorders>
                  <w:tcMar>
                    <w:top w:w="28" w:type="dxa"/>
                    <w:left w:w="28" w:type="dxa"/>
                    <w:bottom w:w="28" w:type="dxa"/>
                    <w:right w:w="28" w:type="dxa"/>
                  </w:tcMar>
                  <w:vAlign w:val="center"/>
                </w:tcPr>
                <w:p w14:paraId="41701C4B">
                  <w:pPr>
                    <w:tabs>
                      <w:tab w:val="left" w:pos="420"/>
                    </w:tabs>
                    <w:spacing w:line="300" w:lineRule="exact"/>
                    <w:jc w:val="center"/>
                    <w:rPr>
                      <w:rFonts w:ascii="Times New Roman" w:hAnsi="Times New Roman" w:cs="Times New Roman"/>
                      <w:color w:val="000000"/>
                      <w:szCs w:val="21"/>
                    </w:rPr>
                  </w:pPr>
                  <w:r>
                    <w:rPr>
                      <w:rFonts w:ascii="Times New Roman" w:hAnsi="Times New Roman" w:cs="Times New Roman"/>
                      <w:color w:val="000000"/>
                      <w:szCs w:val="21"/>
                    </w:rPr>
                    <w:t>达标情况</w:t>
                  </w:r>
                </w:p>
              </w:tc>
            </w:tr>
            <w:tr w14:paraId="793811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323" w:type="pct"/>
                  <w:vMerge w:val="continue"/>
                  <w:tcBorders>
                    <w:left w:val="single" w:color="auto" w:sz="4" w:space="0"/>
                    <w:tl2br w:val="nil"/>
                    <w:tr2bl w:val="nil"/>
                  </w:tcBorders>
                  <w:tcMar>
                    <w:top w:w="28" w:type="dxa"/>
                    <w:left w:w="28" w:type="dxa"/>
                    <w:bottom w:w="28" w:type="dxa"/>
                    <w:right w:w="28" w:type="dxa"/>
                  </w:tcMar>
                  <w:vAlign w:val="center"/>
                </w:tcPr>
                <w:p w14:paraId="123F79E6">
                  <w:pPr>
                    <w:tabs>
                      <w:tab w:val="left" w:pos="420"/>
                    </w:tabs>
                    <w:spacing w:line="300" w:lineRule="exact"/>
                    <w:jc w:val="center"/>
                    <w:rPr>
                      <w:rFonts w:ascii="Times New Roman" w:hAnsi="Times New Roman" w:cs="Times New Roman"/>
                      <w:color w:val="000000"/>
                      <w:szCs w:val="21"/>
                    </w:rPr>
                  </w:pPr>
                </w:p>
              </w:tc>
              <w:tc>
                <w:tcPr>
                  <w:tcW w:w="574" w:type="pct"/>
                  <w:vMerge w:val="continue"/>
                  <w:tcBorders>
                    <w:tl2br w:val="nil"/>
                    <w:tr2bl w:val="nil"/>
                  </w:tcBorders>
                  <w:tcMar>
                    <w:top w:w="28" w:type="dxa"/>
                    <w:left w:w="28" w:type="dxa"/>
                    <w:bottom w:w="28" w:type="dxa"/>
                    <w:right w:w="28" w:type="dxa"/>
                  </w:tcMar>
                  <w:vAlign w:val="center"/>
                </w:tcPr>
                <w:p w14:paraId="28341684">
                  <w:pPr>
                    <w:tabs>
                      <w:tab w:val="left" w:pos="420"/>
                    </w:tabs>
                    <w:spacing w:line="300" w:lineRule="exact"/>
                    <w:jc w:val="center"/>
                    <w:rPr>
                      <w:rFonts w:ascii="Times New Roman" w:hAnsi="Times New Roman" w:cs="Times New Roman"/>
                      <w:color w:val="000000"/>
                      <w:szCs w:val="21"/>
                    </w:rPr>
                  </w:pPr>
                </w:p>
              </w:tc>
              <w:tc>
                <w:tcPr>
                  <w:tcW w:w="342" w:type="pct"/>
                  <w:vMerge w:val="continue"/>
                  <w:tcBorders>
                    <w:tl2br w:val="nil"/>
                    <w:tr2bl w:val="nil"/>
                  </w:tcBorders>
                  <w:tcMar>
                    <w:top w:w="28" w:type="dxa"/>
                    <w:left w:w="28" w:type="dxa"/>
                    <w:bottom w:w="28" w:type="dxa"/>
                    <w:right w:w="28" w:type="dxa"/>
                  </w:tcMar>
                  <w:vAlign w:val="center"/>
                </w:tcPr>
                <w:p w14:paraId="71509500">
                  <w:pPr>
                    <w:tabs>
                      <w:tab w:val="left" w:pos="420"/>
                    </w:tabs>
                    <w:spacing w:line="300" w:lineRule="exact"/>
                    <w:jc w:val="center"/>
                    <w:rPr>
                      <w:rFonts w:ascii="Times New Roman" w:hAnsi="Times New Roman" w:cs="Times New Roman"/>
                      <w:color w:val="000000"/>
                      <w:szCs w:val="21"/>
                    </w:rPr>
                  </w:pPr>
                </w:p>
              </w:tc>
              <w:tc>
                <w:tcPr>
                  <w:tcW w:w="444" w:type="pct"/>
                  <w:tcBorders>
                    <w:tl2br w:val="nil"/>
                    <w:tr2bl w:val="nil"/>
                  </w:tcBorders>
                  <w:tcMar>
                    <w:top w:w="28" w:type="dxa"/>
                    <w:left w:w="28" w:type="dxa"/>
                    <w:bottom w:w="28" w:type="dxa"/>
                    <w:right w:w="28" w:type="dxa"/>
                  </w:tcMar>
                  <w:vAlign w:val="center"/>
                </w:tcPr>
                <w:p w14:paraId="3B71130B">
                  <w:pPr>
                    <w:tabs>
                      <w:tab w:val="left" w:pos="420"/>
                    </w:tabs>
                    <w:spacing w:line="300" w:lineRule="exact"/>
                    <w:jc w:val="center"/>
                    <w:rPr>
                      <w:rFonts w:ascii="Times New Roman" w:hAnsi="Times New Roman" w:cs="Times New Roman"/>
                      <w:color w:val="000000"/>
                      <w:szCs w:val="21"/>
                    </w:rPr>
                  </w:pPr>
                  <w:r>
                    <w:rPr>
                      <w:rFonts w:ascii="Times New Roman" w:hAnsi="Times New Roman" w:cs="Times New Roman"/>
                      <w:color w:val="000000"/>
                      <w:szCs w:val="21"/>
                    </w:rPr>
                    <w:t>昼间</w:t>
                  </w:r>
                </w:p>
              </w:tc>
              <w:tc>
                <w:tcPr>
                  <w:tcW w:w="462" w:type="pct"/>
                  <w:tcBorders>
                    <w:tl2br w:val="nil"/>
                    <w:tr2bl w:val="nil"/>
                  </w:tcBorders>
                  <w:tcMar>
                    <w:top w:w="28" w:type="dxa"/>
                    <w:left w:w="28" w:type="dxa"/>
                    <w:bottom w:w="28" w:type="dxa"/>
                    <w:right w:w="28" w:type="dxa"/>
                  </w:tcMar>
                  <w:vAlign w:val="center"/>
                </w:tcPr>
                <w:p w14:paraId="7BF45227">
                  <w:pPr>
                    <w:tabs>
                      <w:tab w:val="left" w:pos="420"/>
                    </w:tabs>
                    <w:spacing w:line="300" w:lineRule="exact"/>
                    <w:jc w:val="center"/>
                    <w:rPr>
                      <w:rFonts w:ascii="Times New Roman" w:hAnsi="Times New Roman" w:cs="Times New Roman"/>
                      <w:color w:val="000000"/>
                      <w:szCs w:val="21"/>
                    </w:rPr>
                  </w:pPr>
                  <w:r>
                    <w:rPr>
                      <w:rFonts w:ascii="Times New Roman" w:hAnsi="Times New Roman" w:cs="Times New Roman"/>
                      <w:color w:val="000000"/>
                      <w:szCs w:val="21"/>
                    </w:rPr>
                    <w:t>夜间</w:t>
                  </w:r>
                </w:p>
              </w:tc>
              <w:tc>
                <w:tcPr>
                  <w:tcW w:w="460" w:type="pct"/>
                  <w:tcBorders>
                    <w:tl2br w:val="nil"/>
                    <w:tr2bl w:val="nil"/>
                  </w:tcBorders>
                  <w:tcMar>
                    <w:top w:w="28" w:type="dxa"/>
                    <w:left w:w="28" w:type="dxa"/>
                    <w:bottom w:w="28" w:type="dxa"/>
                    <w:right w:w="28" w:type="dxa"/>
                  </w:tcMar>
                  <w:vAlign w:val="center"/>
                </w:tcPr>
                <w:p w14:paraId="6700951B">
                  <w:pPr>
                    <w:tabs>
                      <w:tab w:val="left" w:pos="420"/>
                    </w:tabs>
                    <w:spacing w:line="300" w:lineRule="exact"/>
                    <w:jc w:val="center"/>
                    <w:rPr>
                      <w:rFonts w:ascii="Times New Roman" w:hAnsi="Times New Roman" w:cs="Times New Roman"/>
                      <w:color w:val="000000"/>
                      <w:szCs w:val="21"/>
                    </w:rPr>
                  </w:pPr>
                  <w:r>
                    <w:rPr>
                      <w:rFonts w:ascii="Times New Roman" w:hAnsi="Times New Roman" w:cs="Times New Roman"/>
                      <w:color w:val="000000"/>
                      <w:szCs w:val="21"/>
                    </w:rPr>
                    <w:t>昼间</w:t>
                  </w:r>
                </w:p>
              </w:tc>
              <w:tc>
                <w:tcPr>
                  <w:tcW w:w="314" w:type="pct"/>
                  <w:tcBorders>
                    <w:tl2br w:val="nil"/>
                    <w:tr2bl w:val="nil"/>
                  </w:tcBorders>
                  <w:tcMar>
                    <w:top w:w="28" w:type="dxa"/>
                    <w:left w:w="28" w:type="dxa"/>
                    <w:bottom w:w="28" w:type="dxa"/>
                    <w:right w:w="28" w:type="dxa"/>
                  </w:tcMar>
                  <w:vAlign w:val="center"/>
                </w:tcPr>
                <w:p w14:paraId="1C651F3A">
                  <w:pPr>
                    <w:tabs>
                      <w:tab w:val="left" w:pos="420"/>
                    </w:tabs>
                    <w:spacing w:line="300" w:lineRule="exact"/>
                    <w:jc w:val="center"/>
                    <w:rPr>
                      <w:rFonts w:ascii="Times New Roman" w:hAnsi="Times New Roman" w:cs="Times New Roman"/>
                      <w:color w:val="000000"/>
                      <w:szCs w:val="21"/>
                    </w:rPr>
                  </w:pPr>
                  <w:r>
                    <w:rPr>
                      <w:rFonts w:ascii="Times New Roman" w:hAnsi="Times New Roman" w:cs="Times New Roman"/>
                      <w:color w:val="000000"/>
                      <w:szCs w:val="21"/>
                    </w:rPr>
                    <w:t>夜间</w:t>
                  </w:r>
                </w:p>
              </w:tc>
              <w:tc>
                <w:tcPr>
                  <w:tcW w:w="313" w:type="pct"/>
                  <w:tcBorders>
                    <w:tl2br w:val="nil"/>
                    <w:tr2bl w:val="nil"/>
                  </w:tcBorders>
                  <w:tcMar>
                    <w:top w:w="28" w:type="dxa"/>
                    <w:left w:w="28" w:type="dxa"/>
                    <w:bottom w:w="28" w:type="dxa"/>
                    <w:right w:w="28" w:type="dxa"/>
                  </w:tcMar>
                  <w:vAlign w:val="center"/>
                </w:tcPr>
                <w:p w14:paraId="6E6BB58E">
                  <w:pPr>
                    <w:tabs>
                      <w:tab w:val="left" w:pos="420"/>
                    </w:tabs>
                    <w:spacing w:line="300" w:lineRule="exact"/>
                    <w:jc w:val="center"/>
                    <w:rPr>
                      <w:rFonts w:ascii="Times New Roman" w:hAnsi="Times New Roman" w:cs="Times New Roman"/>
                      <w:color w:val="000000"/>
                      <w:szCs w:val="21"/>
                    </w:rPr>
                  </w:pPr>
                  <w:r>
                    <w:rPr>
                      <w:rFonts w:ascii="Times New Roman" w:hAnsi="Times New Roman" w:cs="Times New Roman"/>
                      <w:color w:val="000000"/>
                      <w:szCs w:val="21"/>
                    </w:rPr>
                    <w:t>昼间</w:t>
                  </w:r>
                </w:p>
              </w:tc>
              <w:tc>
                <w:tcPr>
                  <w:tcW w:w="313" w:type="pct"/>
                  <w:tcBorders>
                    <w:tl2br w:val="nil"/>
                    <w:tr2bl w:val="nil"/>
                  </w:tcBorders>
                  <w:tcMar>
                    <w:top w:w="28" w:type="dxa"/>
                    <w:left w:w="28" w:type="dxa"/>
                    <w:bottom w:w="28" w:type="dxa"/>
                    <w:right w:w="28" w:type="dxa"/>
                  </w:tcMar>
                  <w:vAlign w:val="center"/>
                </w:tcPr>
                <w:p w14:paraId="3520FF59">
                  <w:pPr>
                    <w:tabs>
                      <w:tab w:val="left" w:pos="420"/>
                    </w:tabs>
                    <w:spacing w:line="300" w:lineRule="exact"/>
                    <w:jc w:val="center"/>
                    <w:rPr>
                      <w:rFonts w:ascii="Times New Roman" w:hAnsi="Times New Roman" w:cs="Times New Roman"/>
                      <w:color w:val="000000"/>
                      <w:szCs w:val="21"/>
                    </w:rPr>
                  </w:pPr>
                  <w:r>
                    <w:rPr>
                      <w:rFonts w:ascii="Times New Roman" w:hAnsi="Times New Roman" w:cs="Times New Roman"/>
                      <w:color w:val="000000"/>
                      <w:szCs w:val="21"/>
                    </w:rPr>
                    <w:t>夜间</w:t>
                  </w:r>
                </w:p>
              </w:tc>
              <w:tc>
                <w:tcPr>
                  <w:tcW w:w="313" w:type="pct"/>
                  <w:tcBorders>
                    <w:tl2br w:val="nil"/>
                    <w:tr2bl w:val="nil"/>
                  </w:tcBorders>
                  <w:tcMar>
                    <w:top w:w="28" w:type="dxa"/>
                    <w:left w:w="28" w:type="dxa"/>
                    <w:bottom w:w="28" w:type="dxa"/>
                    <w:right w:w="28" w:type="dxa"/>
                  </w:tcMar>
                  <w:vAlign w:val="center"/>
                </w:tcPr>
                <w:p w14:paraId="4DF0CF6D">
                  <w:pPr>
                    <w:tabs>
                      <w:tab w:val="left" w:pos="420"/>
                    </w:tabs>
                    <w:spacing w:line="300" w:lineRule="exact"/>
                    <w:jc w:val="center"/>
                    <w:rPr>
                      <w:rFonts w:ascii="Times New Roman" w:hAnsi="Times New Roman" w:cs="Times New Roman"/>
                      <w:color w:val="000000"/>
                      <w:szCs w:val="21"/>
                    </w:rPr>
                  </w:pPr>
                  <w:r>
                    <w:rPr>
                      <w:rFonts w:ascii="Times New Roman" w:hAnsi="Times New Roman" w:cs="Times New Roman"/>
                      <w:color w:val="000000"/>
                      <w:szCs w:val="21"/>
                    </w:rPr>
                    <w:t>昼间</w:t>
                  </w:r>
                </w:p>
              </w:tc>
              <w:tc>
                <w:tcPr>
                  <w:tcW w:w="569" w:type="pct"/>
                  <w:tcBorders>
                    <w:tl2br w:val="nil"/>
                    <w:tr2bl w:val="nil"/>
                  </w:tcBorders>
                  <w:tcMar>
                    <w:top w:w="28" w:type="dxa"/>
                    <w:left w:w="28" w:type="dxa"/>
                    <w:bottom w:w="28" w:type="dxa"/>
                    <w:right w:w="28" w:type="dxa"/>
                  </w:tcMar>
                  <w:vAlign w:val="center"/>
                </w:tcPr>
                <w:p w14:paraId="2A525720">
                  <w:pPr>
                    <w:tabs>
                      <w:tab w:val="left" w:pos="420"/>
                    </w:tabs>
                    <w:spacing w:line="300" w:lineRule="exact"/>
                    <w:jc w:val="center"/>
                    <w:rPr>
                      <w:rFonts w:ascii="Times New Roman" w:hAnsi="Times New Roman" w:cs="Times New Roman"/>
                      <w:color w:val="000000"/>
                      <w:szCs w:val="21"/>
                    </w:rPr>
                  </w:pPr>
                  <w:r>
                    <w:rPr>
                      <w:rFonts w:ascii="Times New Roman" w:hAnsi="Times New Roman" w:cs="Times New Roman"/>
                      <w:color w:val="000000"/>
                      <w:szCs w:val="21"/>
                    </w:rPr>
                    <w:t>夜间</w:t>
                  </w:r>
                </w:p>
              </w:tc>
              <w:tc>
                <w:tcPr>
                  <w:tcW w:w="568" w:type="pct"/>
                  <w:vMerge w:val="continue"/>
                  <w:tcBorders>
                    <w:right w:val="single" w:color="auto" w:sz="4" w:space="0"/>
                    <w:tl2br w:val="nil"/>
                    <w:tr2bl w:val="nil"/>
                  </w:tcBorders>
                  <w:tcMar>
                    <w:top w:w="28" w:type="dxa"/>
                    <w:left w:w="28" w:type="dxa"/>
                    <w:bottom w:w="28" w:type="dxa"/>
                    <w:right w:w="28" w:type="dxa"/>
                  </w:tcMar>
                  <w:vAlign w:val="center"/>
                </w:tcPr>
                <w:p w14:paraId="33E527E3">
                  <w:pPr>
                    <w:tabs>
                      <w:tab w:val="left" w:pos="420"/>
                    </w:tabs>
                    <w:spacing w:line="300" w:lineRule="exact"/>
                    <w:jc w:val="center"/>
                    <w:rPr>
                      <w:rFonts w:ascii="Times New Roman" w:hAnsi="Times New Roman" w:cs="Times New Roman"/>
                      <w:color w:val="000000"/>
                      <w:szCs w:val="21"/>
                    </w:rPr>
                  </w:pPr>
                </w:p>
              </w:tc>
            </w:tr>
            <w:tr w14:paraId="2C38EB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323" w:type="pct"/>
                  <w:tcBorders>
                    <w:left w:val="single" w:color="auto" w:sz="4" w:space="0"/>
                    <w:tl2br w:val="nil"/>
                    <w:tr2bl w:val="nil"/>
                  </w:tcBorders>
                  <w:tcMar>
                    <w:top w:w="28" w:type="dxa"/>
                    <w:left w:w="28" w:type="dxa"/>
                    <w:bottom w:w="28" w:type="dxa"/>
                    <w:right w:w="28" w:type="dxa"/>
                  </w:tcMar>
                  <w:vAlign w:val="center"/>
                </w:tcPr>
                <w:p w14:paraId="76FD592B">
                  <w:pPr>
                    <w:tabs>
                      <w:tab w:val="left" w:pos="420"/>
                    </w:tabs>
                    <w:spacing w:line="300" w:lineRule="exact"/>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574" w:type="pct"/>
                  <w:tcBorders>
                    <w:tl2br w:val="nil"/>
                    <w:tr2bl w:val="nil"/>
                  </w:tcBorders>
                  <w:tcMar>
                    <w:top w:w="28" w:type="dxa"/>
                    <w:left w:w="28" w:type="dxa"/>
                    <w:bottom w:w="28" w:type="dxa"/>
                    <w:right w:w="28" w:type="dxa"/>
                  </w:tcMar>
                  <w:vAlign w:val="center"/>
                </w:tcPr>
                <w:p w14:paraId="7052B37D">
                  <w:pPr>
                    <w:autoSpaceDN w:val="0"/>
                    <w:jc w:val="center"/>
                    <w:textAlignment w:val="center"/>
                    <w:rPr>
                      <w:rFonts w:ascii="Times New Roman" w:hAnsi="Times New Roman" w:cs="Times New Roman"/>
                      <w:color w:val="000000"/>
                      <w:szCs w:val="21"/>
                    </w:rPr>
                  </w:pPr>
                  <w:r>
                    <w:rPr>
                      <w:rFonts w:ascii="Times New Roman" w:hAnsi="Times New Roman" w:cs="Times New Roman"/>
                      <w:color w:val="000000"/>
                      <w:szCs w:val="21"/>
                    </w:rPr>
                    <w:t>西北厂界</w:t>
                  </w:r>
                </w:p>
              </w:tc>
              <w:tc>
                <w:tcPr>
                  <w:tcW w:w="342" w:type="pct"/>
                  <w:tcBorders>
                    <w:tl2br w:val="nil"/>
                    <w:tr2bl w:val="nil"/>
                  </w:tcBorders>
                  <w:tcMar>
                    <w:top w:w="28" w:type="dxa"/>
                    <w:left w:w="28" w:type="dxa"/>
                    <w:bottom w:w="28" w:type="dxa"/>
                    <w:right w:w="28" w:type="dxa"/>
                  </w:tcMar>
                  <w:vAlign w:val="center"/>
                </w:tcPr>
                <w:p w14:paraId="2FBCBFC4">
                  <w:pPr>
                    <w:autoSpaceDN w:val="0"/>
                    <w:jc w:val="center"/>
                    <w:textAlignment w:val="center"/>
                    <w:rPr>
                      <w:rFonts w:ascii="Times New Roman" w:hAnsi="Times New Roman" w:cs="Times New Roman"/>
                      <w:color w:val="000000"/>
                      <w:szCs w:val="21"/>
                    </w:rPr>
                  </w:pPr>
                  <w:r>
                    <w:rPr>
                      <w:rFonts w:ascii="Times New Roman" w:hAnsi="Times New Roman" w:cs="Times New Roman"/>
                      <w:color w:val="000000"/>
                      <w:szCs w:val="21"/>
                    </w:rPr>
                    <w:t>/</w:t>
                  </w:r>
                </w:p>
              </w:tc>
              <w:tc>
                <w:tcPr>
                  <w:tcW w:w="444" w:type="pct"/>
                  <w:tcBorders>
                    <w:tl2br w:val="nil"/>
                    <w:tr2bl w:val="nil"/>
                  </w:tcBorders>
                  <w:tcMar>
                    <w:top w:w="28" w:type="dxa"/>
                    <w:left w:w="28" w:type="dxa"/>
                    <w:bottom w:w="28" w:type="dxa"/>
                    <w:right w:w="28" w:type="dxa"/>
                  </w:tcMar>
                  <w:vAlign w:val="center"/>
                </w:tcPr>
                <w:p w14:paraId="771597B1">
                  <w:pPr>
                    <w:autoSpaceDN w:val="0"/>
                    <w:jc w:val="center"/>
                    <w:textAlignment w:val="center"/>
                    <w:rPr>
                      <w:rFonts w:ascii="Times New Roman" w:hAnsi="Times New Roman" w:cs="Times New Roman"/>
                      <w:color w:val="000000"/>
                      <w:szCs w:val="21"/>
                    </w:rPr>
                  </w:pPr>
                  <w:r>
                    <w:rPr>
                      <w:rFonts w:hint="eastAsia" w:ascii="Times New Roman" w:hAnsi="Times New Roman" w:cs="Times New Roman"/>
                    </w:rPr>
                    <w:t>47</w:t>
                  </w:r>
                </w:p>
              </w:tc>
              <w:tc>
                <w:tcPr>
                  <w:tcW w:w="462" w:type="pct"/>
                  <w:tcBorders>
                    <w:tl2br w:val="nil"/>
                    <w:tr2bl w:val="nil"/>
                  </w:tcBorders>
                  <w:tcMar>
                    <w:top w:w="28" w:type="dxa"/>
                    <w:left w:w="28" w:type="dxa"/>
                    <w:bottom w:w="28" w:type="dxa"/>
                    <w:right w:w="28" w:type="dxa"/>
                  </w:tcMar>
                  <w:vAlign w:val="center"/>
                </w:tcPr>
                <w:p w14:paraId="12696B2C">
                  <w:pPr>
                    <w:autoSpaceDN w:val="0"/>
                    <w:jc w:val="center"/>
                    <w:textAlignment w:val="center"/>
                    <w:rPr>
                      <w:rFonts w:ascii="Times New Roman" w:hAnsi="Times New Roman" w:cs="Times New Roman"/>
                      <w:color w:val="000000"/>
                      <w:szCs w:val="21"/>
                    </w:rPr>
                  </w:pPr>
                  <w:r>
                    <w:rPr>
                      <w:rFonts w:hint="eastAsia" w:ascii="Times New Roman" w:hAnsi="Times New Roman" w:cs="Times New Roman"/>
                      <w:color w:val="000000"/>
                      <w:szCs w:val="21"/>
                    </w:rPr>
                    <w:t>47</w:t>
                  </w:r>
                </w:p>
              </w:tc>
              <w:tc>
                <w:tcPr>
                  <w:tcW w:w="460" w:type="pct"/>
                  <w:tcBorders>
                    <w:tl2br w:val="nil"/>
                    <w:tr2bl w:val="nil"/>
                  </w:tcBorders>
                  <w:tcMar>
                    <w:top w:w="28" w:type="dxa"/>
                    <w:left w:w="28" w:type="dxa"/>
                    <w:bottom w:w="28" w:type="dxa"/>
                    <w:right w:w="28" w:type="dxa"/>
                  </w:tcMar>
                  <w:vAlign w:val="center"/>
                </w:tcPr>
                <w:p w14:paraId="714132D9">
                  <w:pPr>
                    <w:autoSpaceDN w:val="0"/>
                    <w:jc w:val="center"/>
                    <w:textAlignment w:val="center"/>
                    <w:rPr>
                      <w:rFonts w:ascii="Times New Roman" w:hAnsi="Times New Roman" w:cs="Times New Roman"/>
                      <w:color w:val="000000"/>
                      <w:szCs w:val="21"/>
                    </w:rPr>
                  </w:pPr>
                  <w:r>
                    <w:rPr>
                      <w:rFonts w:ascii="Times New Roman" w:hAnsi="Times New Roman" w:cs="Times New Roman"/>
                      <w:color w:val="000000"/>
                      <w:szCs w:val="21"/>
                    </w:rPr>
                    <w:t>54</w:t>
                  </w:r>
                </w:p>
              </w:tc>
              <w:tc>
                <w:tcPr>
                  <w:tcW w:w="314" w:type="pct"/>
                  <w:tcBorders>
                    <w:tl2br w:val="nil"/>
                    <w:tr2bl w:val="nil"/>
                  </w:tcBorders>
                  <w:tcMar>
                    <w:top w:w="28" w:type="dxa"/>
                    <w:left w:w="28" w:type="dxa"/>
                    <w:bottom w:w="28" w:type="dxa"/>
                    <w:right w:w="28" w:type="dxa"/>
                  </w:tcMar>
                  <w:vAlign w:val="center"/>
                </w:tcPr>
                <w:p w14:paraId="6D48B40D">
                  <w:pPr>
                    <w:autoSpaceDN w:val="0"/>
                    <w:jc w:val="center"/>
                    <w:textAlignment w:val="center"/>
                    <w:rPr>
                      <w:rFonts w:ascii="Times New Roman" w:hAnsi="Times New Roman" w:cs="Times New Roman"/>
                      <w:color w:val="000000"/>
                      <w:szCs w:val="21"/>
                    </w:rPr>
                  </w:pPr>
                  <w:r>
                    <w:rPr>
                      <w:rFonts w:ascii="Times New Roman" w:hAnsi="Times New Roman" w:cs="Times New Roman"/>
                      <w:color w:val="000000"/>
                      <w:szCs w:val="21"/>
                    </w:rPr>
                    <w:t>54</w:t>
                  </w:r>
                </w:p>
              </w:tc>
              <w:tc>
                <w:tcPr>
                  <w:tcW w:w="313" w:type="pct"/>
                  <w:tcBorders>
                    <w:tl2br w:val="nil"/>
                    <w:tr2bl w:val="nil"/>
                  </w:tcBorders>
                  <w:tcMar>
                    <w:top w:w="28" w:type="dxa"/>
                    <w:left w:w="28" w:type="dxa"/>
                    <w:bottom w:w="28" w:type="dxa"/>
                    <w:right w:w="28" w:type="dxa"/>
                  </w:tcMar>
                  <w:vAlign w:val="center"/>
                </w:tcPr>
                <w:p w14:paraId="1930556E">
                  <w:pPr>
                    <w:autoSpaceDN w:val="0"/>
                    <w:jc w:val="center"/>
                    <w:textAlignment w:val="center"/>
                    <w:rPr>
                      <w:rFonts w:ascii="Times New Roman" w:hAnsi="Times New Roman" w:cs="Times New Roman"/>
                      <w:color w:val="000000"/>
                      <w:szCs w:val="21"/>
                    </w:rPr>
                  </w:pPr>
                  <w:r>
                    <w:rPr>
                      <w:rFonts w:hint="eastAsia" w:ascii="Times New Roman" w:hAnsi="Times New Roman" w:cs="Times New Roman"/>
                      <w:color w:val="000000"/>
                      <w:szCs w:val="21"/>
                    </w:rPr>
                    <w:t>54.8</w:t>
                  </w:r>
                </w:p>
              </w:tc>
              <w:tc>
                <w:tcPr>
                  <w:tcW w:w="540" w:type="dxa"/>
                  <w:tcBorders>
                    <w:tl2br w:val="nil"/>
                    <w:tr2bl w:val="nil"/>
                  </w:tcBorders>
                  <w:tcMar>
                    <w:top w:w="28" w:type="dxa"/>
                    <w:left w:w="28" w:type="dxa"/>
                    <w:bottom w:w="28" w:type="dxa"/>
                    <w:right w:w="28" w:type="dxa"/>
                  </w:tcMar>
                  <w:vAlign w:val="center"/>
                </w:tcPr>
                <w:p w14:paraId="6E4A166E">
                  <w:pPr>
                    <w:autoSpaceDN w:val="0"/>
                    <w:jc w:val="center"/>
                    <w:textAlignment w:val="center"/>
                    <w:rPr>
                      <w:rFonts w:ascii="Times New Roman" w:hAnsi="Times New Roman" w:cs="Times New Roman"/>
                      <w:color w:val="000000"/>
                      <w:szCs w:val="21"/>
                    </w:rPr>
                  </w:pPr>
                  <w:r>
                    <w:rPr>
                      <w:rFonts w:hint="eastAsia" w:ascii="Times New Roman" w:hAnsi="Times New Roman" w:cs="Times New Roman"/>
                      <w:color w:val="000000"/>
                      <w:szCs w:val="21"/>
                    </w:rPr>
                    <w:t>54.8</w:t>
                  </w:r>
                </w:p>
              </w:tc>
              <w:tc>
                <w:tcPr>
                  <w:tcW w:w="313" w:type="pct"/>
                  <w:tcBorders>
                    <w:tl2br w:val="nil"/>
                    <w:tr2bl w:val="nil"/>
                  </w:tcBorders>
                  <w:tcMar>
                    <w:top w:w="28" w:type="dxa"/>
                    <w:left w:w="28" w:type="dxa"/>
                    <w:bottom w:w="28" w:type="dxa"/>
                    <w:right w:w="28" w:type="dxa"/>
                  </w:tcMar>
                  <w:vAlign w:val="center"/>
                </w:tcPr>
                <w:p w14:paraId="2B4B6004">
                  <w:pPr>
                    <w:autoSpaceDN w:val="0"/>
                    <w:jc w:val="center"/>
                    <w:textAlignment w:val="center"/>
                    <w:rPr>
                      <w:rFonts w:ascii="Times New Roman" w:hAnsi="Times New Roman" w:cs="Times New Roman"/>
                      <w:color w:val="000000"/>
                      <w:szCs w:val="21"/>
                    </w:rPr>
                  </w:pPr>
                  <w:r>
                    <w:rPr>
                      <w:rFonts w:ascii="Times New Roman" w:hAnsi="Times New Roman" w:cs="Times New Roman"/>
                      <w:color w:val="000000"/>
                      <w:szCs w:val="21"/>
                    </w:rPr>
                    <w:t>65</w:t>
                  </w:r>
                </w:p>
              </w:tc>
              <w:tc>
                <w:tcPr>
                  <w:tcW w:w="569" w:type="pct"/>
                  <w:tcBorders>
                    <w:tl2br w:val="nil"/>
                    <w:tr2bl w:val="nil"/>
                  </w:tcBorders>
                  <w:tcMar>
                    <w:top w:w="28" w:type="dxa"/>
                    <w:left w:w="28" w:type="dxa"/>
                    <w:bottom w:w="28" w:type="dxa"/>
                    <w:right w:w="28" w:type="dxa"/>
                  </w:tcMar>
                  <w:vAlign w:val="center"/>
                </w:tcPr>
                <w:p w14:paraId="05AF3C38">
                  <w:pPr>
                    <w:autoSpaceDN w:val="0"/>
                    <w:jc w:val="center"/>
                    <w:textAlignment w:val="center"/>
                    <w:rPr>
                      <w:rFonts w:ascii="Times New Roman" w:hAnsi="Times New Roman" w:cs="Times New Roman"/>
                      <w:color w:val="000000"/>
                      <w:szCs w:val="21"/>
                    </w:rPr>
                  </w:pPr>
                  <w:r>
                    <w:rPr>
                      <w:rFonts w:ascii="Times New Roman" w:hAnsi="Times New Roman" w:cs="Times New Roman"/>
                      <w:color w:val="000000"/>
                      <w:szCs w:val="21"/>
                    </w:rPr>
                    <w:t>55</w:t>
                  </w:r>
                </w:p>
              </w:tc>
              <w:tc>
                <w:tcPr>
                  <w:tcW w:w="568" w:type="pct"/>
                  <w:tcBorders>
                    <w:right w:val="single" w:color="auto" w:sz="4" w:space="0"/>
                    <w:tl2br w:val="nil"/>
                    <w:tr2bl w:val="nil"/>
                  </w:tcBorders>
                  <w:tcMar>
                    <w:top w:w="28" w:type="dxa"/>
                    <w:left w:w="28" w:type="dxa"/>
                    <w:bottom w:w="28" w:type="dxa"/>
                    <w:right w:w="28" w:type="dxa"/>
                  </w:tcMar>
                  <w:vAlign w:val="center"/>
                </w:tcPr>
                <w:p w14:paraId="2EA5DDC0">
                  <w:pPr>
                    <w:tabs>
                      <w:tab w:val="left" w:pos="420"/>
                    </w:tabs>
                    <w:spacing w:line="300" w:lineRule="exact"/>
                    <w:jc w:val="center"/>
                    <w:rPr>
                      <w:rFonts w:ascii="Times New Roman" w:hAnsi="Times New Roman" w:cs="Times New Roman"/>
                      <w:color w:val="000000"/>
                      <w:szCs w:val="21"/>
                    </w:rPr>
                  </w:pPr>
                  <w:r>
                    <w:rPr>
                      <w:rFonts w:ascii="Times New Roman" w:hAnsi="Times New Roman" w:cs="Times New Roman"/>
                      <w:color w:val="000000"/>
                      <w:szCs w:val="21"/>
                    </w:rPr>
                    <w:t>达标</w:t>
                  </w:r>
                </w:p>
              </w:tc>
            </w:tr>
            <w:tr w14:paraId="728AD8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323" w:type="pct"/>
                  <w:tcBorders>
                    <w:left w:val="single" w:color="auto" w:sz="4" w:space="0"/>
                    <w:tl2br w:val="nil"/>
                    <w:tr2bl w:val="nil"/>
                  </w:tcBorders>
                  <w:tcMar>
                    <w:top w:w="28" w:type="dxa"/>
                    <w:left w:w="28" w:type="dxa"/>
                    <w:bottom w:w="28" w:type="dxa"/>
                    <w:right w:w="28" w:type="dxa"/>
                  </w:tcMar>
                  <w:vAlign w:val="center"/>
                </w:tcPr>
                <w:p w14:paraId="1EACF59E">
                  <w:pPr>
                    <w:tabs>
                      <w:tab w:val="left" w:pos="420"/>
                    </w:tabs>
                    <w:spacing w:line="300" w:lineRule="exact"/>
                    <w:jc w:val="center"/>
                    <w:rPr>
                      <w:rFonts w:ascii="Times New Roman" w:hAnsi="Times New Roman" w:cs="Times New Roman"/>
                      <w:color w:val="000000"/>
                      <w:szCs w:val="21"/>
                    </w:rPr>
                  </w:pPr>
                  <w:r>
                    <w:rPr>
                      <w:rFonts w:ascii="Times New Roman" w:hAnsi="Times New Roman" w:cs="Times New Roman"/>
                      <w:color w:val="000000"/>
                      <w:szCs w:val="21"/>
                    </w:rPr>
                    <w:t>2</w:t>
                  </w:r>
                </w:p>
              </w:tc>
              <w:tc>
                <w:tcPr>
                  <w:tcW w:w="574" w:type="pct"/>
                  <w:tcBorders>
                    <w:tl2br w:val="nil"/>
                    <w:tr2bl w:val="nil"/>
                  </w:tcBorders>
                  <w:tcMar>
                    <w:top w:w="28" w:type="dxa"/>
                    <w:left w:w="28" w:type="dxa"/>
                    <w:bottom w:w="28" w:type="dxa"/>
                    <w:right w:w="28" w:type="dxa"/>
                  </w:tcMar>
                  <w:vAlign w:val="center"/>
                </w:tcPr>
                <w:p w14:paraId="6C575E46">
                  <w:pPr>
                    <w:autoSpaceDN w:val="0"/>
                    <w:jc w:val="center"/>
                    <w:textAlignment w:val="center"/>
                    <w:rPr>
                      <w:rFonts w:ascii="Times New Roman" w:hAnsi="Times New Roman" w:cs="Times New Roman"/>
                      <w:color w:val="000000"/>
                      <w:szCs w:val="21"/>
                    </w:rPr>
                  </w:pPr>
                  <w:r>
                    <w:rPr>
                      <w:rFonts w:ascii="Times New Roman" w:hAnsi="Times New Roman" w:cs="Times New Roman"/>
                      <w:color w:val="000000"/>
                      <w:szCs w:val="21"/>
                    </w:rPr>
                    <w:t>西南厂界</w:t>
                  </w:r>
                </w:p>
              </w:tc>
              <w:tc>
                <w:tcPr>
                  <w:tcW w:w="342" w:type="pct"/>
                  <w:tcBorders>
                    <w:tl2br w:val="nil"/>
                    <w:tr2bl w:val="nil"/>
                  </w:tcBorders>
                  <w:tcMar>
                    <w:top w:w="28" w:type="dxa"/>
                    <w:left w:w="28" w:type="dxa"/>
                    <w:bottom w:w="28" w:type="dxa"/>
                    <w:right w:w="28" w:type="dxa"/>
                  </w:tcMar>
                  <w:vAlign w:val="center"/>
                </w:tcPr>
                <w:p w14:paraId="6EC8A641">
                  <w:pPr>
                    <w:autoSpaceDN w:val="0"/>
                    <w:jc w:val="center"/>
                    <w:textAlignment w:val="center"/>
                    <w:rPr>
                      <w:rFonts w:ascii="Times New Roman" w:hAnsi="Times New Roman" w:cs="Times New Roman"/>
                      <w:color w:val="000000"/>
                      <w:szCs w:val="21"/>
                    </w:rPr>
                  </w:pPr>
                  <w:r>
                    <w:rPr>
                      <w:rFonts w:ascii="Times New Roman" w:hAnsi="Times New Roman" w:cs="Times New Roman"/>
                      <w:color w:val="000000"/>
                      <w:szCs w:val="21"/>
                    </w:rPr>
                    <w:t>/</w:t>
                  </w:r>
                </w:p>
              </w:tc>
              <w:tc>
                <w:tcPr>
                  <w:tcW w:w="444" w:type="pct"/>
                  <w:tcBorders>
                    <w:tl2br w:val="nil"/>
                    <w:tr2bl w:val="nil"/>
                  </w:tcBorders>
                  <w:tcMar>
                    <w:top w:w="28" w:type="dxa"/>
                    <w:left w:w="28" w:type="dxa"/>
                    <w:bottom w:w="28" w:type="dxa"/>
                    <w:right w:w="28" w:type="dxa"/>
                  </w:tcMar>
                  <w:vAlign w:val="center"/>
                </w:tcPr>
                <w:p w14:paraId="229EEB26">
                  <w:pPr>
                    <w:autoSpaceDN w:val="0"/>
                    <w:jc w:val="center"/>
                    <w:textAlignment w:val="center"/>
                    <w:rPr>
                      <w:rFonts w:ascii="Times New Roman" w:hAnsi="Times New Roman" w:cs="Times New Roman"/>
                      <w:color w:val="000000"/>
                      <w:szCs w:val="21"/>
                    </w:rPr>
                  </w:pPr>
                  <w:r>
                    <w:rPr>
                      <w:rFonts w:hint="eastAsia" w:ascii="Times New Roman" w:hAnsi="Times New Roman" w:cs="Times New Roman"/>
                    </w:rPr>
                    <w:t>23</w:t>
                  </w:r>
                </w:p>
              </w:tc>
              <w:tc>
                <w:tcPr>
                  <w:tcW w:w="462" w:type="pct"/>
                  <w:tcBorders>
                    <w:tl2br w:val="nil"/>
                    <w:tr2bl w:val="nil"/>
                  </w:tcBorders>
                  <w:tcMar>
                    <w:top w:w="28" w:type="dxa"/>
                    <w:left w:w="28" w:type="dxa"/>
                    <w:bottom w:w="28" w:type="dxa"/>
                    <w:right w:w="28" w:type="dxa"/>
                  </w:tcMar>
                  <w:vAlign w:val="center"/>
                </w:tcPr>
                <w:p w14:paraId="45AFDB0F">
                  <w:pPr>
                    <w:autoSpaceDN w:val="0"/>
                    <w:jc w:val="center"/>
                    <w:textAlignment w:val="center"/>
                    <w:rPr>
                      <w:rFonts w:ascii="Times New Roman" w:hAnsi="Times New Roman" w:cs="Times New Roman"/>
                      <w:color w:val="000000"/>
                      <w:szCs w:val="21"/>
                    </w:rPr>
                  </w:pPr>
                  <w:r>
                    <w:rPr>
                      <w:rFonts w:hint="eastAsia" w:ascii="Times New Roman" w:hAnsi="Times New Roman" w:cs="Times New Roman"/>
                    </w:rPr>
                    <w:t>23</w:t>
                  </w:r>
                </w:p>
              </w:tc>
              <w:tc>
                <w:tcPr>
                  <w:tcW w:w="460" w:type="pct"/>
                  <w:tcBorders>
                    <w:tl2br w:val="nil"/>
                    <w:tr2bl w:val="nil"/>
                  </w:tcBorders>
                  <w:tcMar>
                    <w:top w:w="28" w:type="dxa"/>
                    <w:left w:w="28" w:type="dxa"/>
                    <w:bottom w:w="28" w:type="dxa"/>
                    <w:right w:w="28" w:type="dxa"/>
                  </w:tcMar>
                  <w:vAlign w:val="center"/>
                </w:tcPr>
                <w:p w14:paraId="0673A884">
                  <w:pPr>
                    <w:autoSpaceDN w:val="0"/>
                    <w:jc w:val="center"/>
                    <w:textAlignment w:val="center"/>
                    <w:rPr>
                      <w:rFonts w:ascii="Times New Roman" w:hAnsi="Times New Roman" w:cs="Times New Roman"/>
                      <w:color w:val="000000"/>
                      <w:szCs w:val="21"/>
                    </w:rPr>
                  </w:pPr>
                  <w:r>
                    <w:rPr>
                      <w:rFonts w:ascii="Times New Roman" w:hAnsi="Times New Roman" w:cs="Times New Roman"/>
                      <w:color w:val="000000"/>
                      <w:szCs w:val="21"/>
                    </w:rPr>
                    <w:t>46</w:t>
                  </w:r>
                </w:p>
              </w:tc>
              <w:tc>
                <w:tcPr>
                  <w:tcW w:w="314" w:type="pct"/>
                  <w:tcBorders>
                    <w:tl2br w:val="nil"/>
                    <w:tr2bl w:val="nil"/>
                  </w:tcBorders>
                  <w:tcMar>
                    <w:top w:w="28" w:type="dxa"/>
                    <w:left w:w="28" w:type="dxa"/>
                    <w:bottom w:w="28" w:type="dxa"/>
                    <w:right w:w="28" w:type="dxa"/>
                  </w:tcMar>
                  <w:vAlign w:val="center"/>
                </w:tcPr>
                <w:p w14:paraId="1E14902B">
                  <w:pPr>
                    <w:autoSpaceDN w:val="0"/>
                    <w:jc w:val="center"/>
                    <w:textAlignment w:val="center"/>
                    <w:rPr>
                      <w:rFonts w:ascii="Times New Roman" w:hAnsi="Times New Roman" w:cs="Times New Roman"/>
                      <w:color w:val="000000"/>
                      <w:szCs w:val="21"/>
                    </w:rPr>
                  </w:pPr>
                  <w:r>
                    <w:rPr>
                      <w:rFonts w:ascii="Times New Roman" w:hAnsi="Times New Roman" w:cs="Times New Roman"/>
                      <w:color w:val="000000"/>
                      <w:szCs w:val="21"/>
                    </w:rPr>
                    <w:t>46</w:t>
                  </w:r>
                </w:p>
              </w:tc>
              <w:tc>
                <w:tcPr>
                  <w:tcW w:w="313" w:type="pct"/>
                  <w:tcBorders>
                    <w:tl2br w:val="nil"/>
                    <w:tr2bl w:val="nil"/>
                  </w:tcBorders>
                  <w:tcMar>
                    <w:top w:w="28" w:type="dxa"/>
                    <w:left w:w="28" w:type="dxa"/>
                    <w:bottom w:w="28" w:type="dxa"/>
                    <w:right w:w="28" w:type="dxa"/>
                  </w:tcMar>
                  <w:vAlign w:val="center"/>
                </w:tcPr>
                <w:p w14:paraId="15EB8EA6">
                  <w:pPr>
                    <w:autoSpaceDN w:val="0"/>
                    <w:jc w:val="center"/>
                    <w:textAlignment w:val="center"/>
                    <w:rPr>
                      <w:rFonts w:ascii="Times New Roman" w:hAnsi="Times New Roman" w:cs="Times New Roman"/>
                      <w:color w:val="000000"/>
                      <w:szCs w:val="21"/>
                    </w:rPr>
                  </w:pPr>
                  <w:r>
                    <w:rPr>
                      <w:rFonts w:hint="eastAsia" w:ascii="Times New Roman" w:hAnsi="Times New Roman" w:cs="Times New Roman"/>
                      <w:color w:val="000000"/>
                      <w:szCs w:val="21"/>
                    </w:rPr>
                    <w:t>46</w:t>
                  </w:r>
                </w:p>
              </w:tc>
              <w:tc>
                <w:tcPr>
                  <w:tcW w:w="540" w:type="dxa"/>
                  <w:tcBorders>
                    <w:tl2br w:val="nil"/>
                    <w:tr2bl w:val="nil"/>
                  </w:tcBorders>
                  <w:tcMar>
                    <w:top w:w="28" w:type="dxa"/>
                    <w:left w:w="28" w:type="dxa"/>
                    <w:bottom w:w="28" w:type="dxa"/>
                    <w:right w:w="28" w:type="dxa"/>
                  </w:tcMar>
                  <w:vAlign w:val="center"/>
                </w:tcPr>
                <w:p w14:paraId="08CC45A8">
                  <w:pPr>
                    <w:autoSpaceDN w:val="0"/>
                    <w:jc w:val="center"/>
                    <w:textAlignment w:val="center"/>
                    <w:rPr>
                      <w:rFonts w:ascii="Times New Roman" w:hAnsi="Times New Roman" w:cs="Times New Roman"/>
                      <w:color w:val="000000"/>
                      <w:szCs w:val="21"/>
                    </w:rPr>
                  </w:pPr>
                  <w:r>
                    <w:rPr>
                      <w:rFonts w:hint="eastAsia" w:ascii="Times New Roman" w:hAnsi="Times New Roman" w:cs="Times New Roman"/>
                      <w:color w:val="000000"/>
                      <w:szCs w:val="21"/>
                    </w:rPr>
                    <w:t>46</w:t>
                  </w:r>
                </w:p>
              </w:tc>
              <w:tc>
                <w:tcPr>
                  <w:tcW w:w="313" w:type="pct"/>
                  <w:tcBorders>
                    <w:tl2br w:val="nil"/>
                    <w:tr2bl w:val="nil"/>
                  </w:tcBorders>
                  <w:tcMar>
                    <w:top w:w="28" w:type="dxa"/>
                    <w:left w:w="28" w:type="dxa"/>
                    <w:bottom w:w="28" w:type="dxa"/>
                    <w:right w:w="28" w:type="dxa"/>
                  </w:tcMar>
                  <w:vAlign w:val="center"/>
                </w:tcPr>
                <w:p w14:paraId="1F98FF39">
                  <w:pPr>
                    <w:autoSpaceDN w:val="0"/>
                    <w:jc w:val="center"/>
                    <w:textAlignment w:val="center"/>
                    <w:rPr>
                      <w:rFonts w:ascii="Times New Roman" w:hAnsi="Times New Roman" w:cs="Times New Roman"/>
                      <w:color w:val="000000"/>
                      <w:szCs w:val="21"/>
                    </w:rPr>
                  </w:pPr>
                  <w:r>
                    <w:rPr>
                      <w:rFonts w:ascii="Times New Roman" w:hAnsi="Times New Roman" w:cs="Times New Roman"/>
                      <w:color w:val="000000"/>
                      <w:szCs w:val="21"/>
                    </w:rPr>
                    <w:t>65</w:t>
                  </w:r>
                </w:p>
              </w:tc>
              <w:tc>
                <w:tcPr>
                  <w:tcW w:w="569" w:type="pct"/>
                  <w:tcBorders>
                    <w:tl2br w:val="nil"/>
                    <w:tr2bl w:val="nil"/>
                  </w:tcBorders>
                  <w:tcMar>
                    <w:top w:w="28" w:type="dxa"/>
                    <w:left w:w="28" w:type="dxa"/>
                    <w:bottom w:w="28" w:type="dxa"/>
                    <w:right w:w="28" w:type="dxa"/>
                  </w:tcMar>
                  <w:vAlign w:val="center"/>
                </w:tcPr>
                <w:p w14:paraId="4B83E23B">
                  <w:pPr>
                    <w:autoSpaceDN w:val="0"/>
                    <w:jc w:val="center"/>
                    <w:textAlignment w:val="center"/>
                    <w:rPr>
                      <w:rFonts w:ascii="Times New Roman" w:hAnsi="Times New Roman" w:cs="Times New Roman"/>
                      <w:color w:val="000000"/>
                      <w:szCs w:val="21"/>
                    </w:rPr>
                  </w:pPr>
                  <w:r>
                    <w:rPr>
                      <w:rFonts w:ascii="Times New Roman" w:hAnsi="Times New Roman" w:cs="Times New Roman"/>
                      <w:color w:val="000000"/>
                      <w:szCs w:val="21"/>
                    </w:rPr>
                    <w:t>55</w:t>
                  </w:r>
                </w:p>
              </w:tc>
              <w:tc>
                <w:tcPr>
                  <w:tcW w:w="568" w:type="pct"/>
                  <w:tcBorders>
                    <w:right w:val="single" w:color="auto" w:sz="4" w:space="0"/>
                    <w:tl2br w:val="nil"/>
                    <w:tr2bl w:val="nil"/>
                  </w:tcBorders>
                  <w:tcMar>
                    <w:top w:w="28" w:type="dxa"/>
                    <w:left w:w="28" w:type="dxa"/>
                    <w:bottom w:w="28" w:type="dxa"/>
                    <w:right w:w="28" w:type="dxa"/>
                  </w:tcMar>
                </w:tcPr>
                <w:p w14:paraId="1D8AD7F0">
                  <w:pPr>
                    <w:tabs>
                      <w:tab w:val="left" w:pos="420"/>
                    </w:tabs>
                    <w:spacing w:line="300" w:lineRule="exact"/>
                    <w:jc w:val="center"/>
                    <w:rPr>
                      <w:rFonts w:ascii="Times New Roman" w:hAnsi="Times New Roman" w:cs="Times New Roman"/>
                      <w:color w:val="000000"/>
                      <w:szCs w:val="21"/>
                    </w:rPr>
                  </w:pPr>
                  <w:r>
                    <w:rPr>
                      <w:rFonts w:ascii="Times New Roman" w:hAnsi="Times New Roman" w:cs="Times New Roman"/>
                      <w:color w:val="000000"/>
                      <w:szCs w:val="21"/>
                    </w:rPr>
                    <w:t>达标</w:t>
                  </w:r>
                </w:p>
              </w:tc>
            </w:tr>
            <w:tr w14:paraId="405DCC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323" w:type="pct"/>
                  <w:tcBorders>
                    <w:left w:val="single" w:color="auto" w:sz="4" w:space="0"/>
                    <w:tl2br w:val="nil"/>
                    <w:tr2bl w:val="nil"/>
                  </w:tcBorders>
                  <w:tcMar>
                    <w:top w:w="28" w:type="dxa"/>
                    <w:left w:w="28" w:type="dxa"/>
                    <w:bottom w:w="28" w:type="dxa"/>
                    <w:right w:w="28" w:type="dxa"/>
                  </w:tcMar>
                  <w:vAlign w:val="center"/>
                </w:tcPr>
                <w:p w14:paraId="5396BC5B">
                  <w:pPr>
                    <w:tabs>
                      <w:tab w:val="left" w:pos="420"/>
                    </w:tabs>
                    <w:spacing w:line="300" w:lineRule="exact"/>
                    <w:jc w:val="center"/>
                    <w:rPr>
                      <w:rFonts w:ascii="Times New Roman" w:hAnsi="Times New Roman" w:cs="Times New Roman"/>
                      <w:color w:val="000000"/>
                      <w:szCs w:val="21"/>
                    </w:rPr>
                  </w:pPr>
                  <w:r>
                    <w:rPr>
                      <w:rFonts w:ascii="Times New Roman" w:hAnsi="Times New Roman" w:cs="Times New Roman"/>
                      <w:color w:val="000000"/>
                      <w:szCs w:val="21"/>
                    </w:rPr>
                    <w:t>3</w:t>
                  </w:r>
                </w:p>
              </w:tc>
              <w:tc>
                <w:tcPr>
                  <w:tcW w:w="574" w:type="pct"/>
                  <w:tcBorders>
                    <w:tl2br w:val="nil"/>
                    <w:tr2bl w:val="nil"/>
                  </w:tcBorders>
                  <w:tcMar>
                    <w:top w:w="28" w:type="dxa"/>
                    <w:left w:w="28" w:type="dxa"/>
                    <w:bottom w:w="28" w:type="dxa"/>
                    <w:right w:w="28" w:type="dxa"/>
                  </w:tcMar>
                  <w:vAlign w:val="center"/>
                </w:tcPr>
                <w:p w14:paraId="58C4D662">
                  <w:pPr>
                    <w:autoSpaceDN w:val="0"/>
                    <w:jc w:val="center"/>
                    <w:textAlignment w:val="center"/>
                    <w:rPr>
                      <w:rFonts w:ascii="Times New Roman" w:hAnsi="Times New Roman" w:cs="Times New Roman"/>
                      <w:color w:val="000000"/>
                      <w:szCs w:val="21"/>
                    </w:rPr>
                  </w:pPr>
                  <w:r>
                    <w:rPr>
                      <w:rFonts w:ascii="Times New Roman" w:hAnsi="Times New Roman" w:cs="Times New Roman"/>
                      <w:color w:val="000000"/>
                      <w:szCs w:val="21"/>
                    </w:rPr>
                    <w:t>东南厂界</w:t>
                  </w:r>
                </w:p>
              </w:tc>
              <w:tc>
                <w:tcPr>
                  <w:tcW w:w="342" w:type="pct"/>
                  <w:tcBorders>
                    <w:tl2br w:val="nil"/>
                    <w:tr2bl w:val="nil"/>
                  </w:tcBorders>
                  <w:tcMar>
                    <w:top w:w="28" w:type="dxa"/>
                    <w:left w:w="28" w:type="dxa"/>
                    <w:bottom w:w="28" w:type="dxa"/>
                    <w:right w:w="28" w:type="dxa"/>
                  </w:tcMar>
                  <w:vAlign w:val="center"/>
                </w:tcPr>
                <w:p w14:paraId="126159F3">
                  <w:pPr>
                    <w:autoSpaceDN w:val="0"/>
                    <w:jc w:val="center"/>
                    <w:textAlignment w:val="center"/>
                    <w:rPr>
                      <w:rFonts w:ascii="Times New Roman" w:hAnsi="Times New Roman" w:cs="Times New Roman"/>
                      <w:color w:val="000000"/>
                      <w:szCs w:val="21"/>
                    </w:rPr>
                  </w:pPr>
                  <w:r>
                    <w:rPr>
                      <w:rFonts w:ascii="Times New Roman" w:hAnsi="Times New Roman" w:cs="Times New Roman"/>
                      <w:color w:val="000000"/>
                      <w:szCs w:val="21"/>
                    </w:rPr>
                    <w:t>/</w:t>
                  </w:r>
                </w:p>
              </w:tc>
              <w:tc>
                <w:tcPr>
                  <w:tcW w:w="444" w:type="pct"/>
                  <w:tcBorders>
                    <w:tl2br w:val="nil"/>
                    <w:tr2bl w:val="nil"/>
                  </w:tcBorders>
                  <w:tcMar>
                    <w:top w:w="28" w:type="dxa"/>
                    <w:left w:w="28" w:type="dxa"/>
                    <w:bottom w:w="28" w:type="dxa"/>
                    <w:right w:w="28" w:type="dxa"/>
                  </w:tcMar>
                  <w:vAlign w:val="center"/>
                </w:tcPr>
                <w:p w14:paraId="3BC48BC8">
                  <w:pPr>
                    <w:autoSpaceDN w:val="0"/>
                    <w:jc w:val="center"/>
                    <w:textAlignment w:val="center"/>
                    <w:rPr>
                      <w:rFonts w:ascii="Times New Roman" w:hAnsi="Times New Roman" w:cs="Times New Roman"/>
                      <w:color w:val="000000"/>
                      <w:szCs w:val="21"/>
                    </w:rPr>
                  </w:pPr>
                  <w:r>
                    <w:rPr>
                      <w:rFonts w:hint="eastAsia" w:ascii="Times New Roman" w:hAnsi="Times New Roman" w:cs="Times New Roman"/>
                    </w:rPr>
                    <w:t>20</w:t>
                  </w:r>
                </w:p>
              </w:tc>
              <w:tc>
                <w:tcPr>
                  <w:tcW w:w="462" w:type="pct"/>
                  <w:tcBorders>
                    <w:tl2br w:val="nil"/>
                    <w:tr2bl w:val="nil"/>
                  </w:tcBorders>
                  <w:tcMar>
                    <w:top w:w="28" w:type="dxa"/>
                    <w:left w:w="28" w:type="dxa"/>
                    <w:bottom w:w="28" w:type="dxa"/>
                    <w:right w:w="28" w:type="dxa"/>
                  </w:tcMar>
                  <w:vAlign w:val="center"/>
                </w:tcPr>
                <w:p w14:paraId="7E333C96">
                  <w:pPr>
                    <w:autoSpaceDN w:val="0"/>
                    <w:jc w:val="center"/>
                    <w:textAlignment w:val="center"/>
                    <w:rPr>
                      <w:rFonts w:ascii="Times New Roman" w:hAnsi="Times New Roman" w:cs="Times New Roman"/>
                      <w:color w:val="000000"/>
                      <w:szCs w:val="21"/>
                    </w:rPr>
                  </w:pPr>
                  <w:r>
                    <w:rPr>
                      <w:rFonts w:hint="eastAsia" w:ascii="Times New Roman" w:hAnsi="Times New Roman" w:cs="Times New Roman"/>
                    </w:rPr>
                    <w:t>20</w:t>
                  </w:r>
                </w:p>
              </w:tc>
              <w:tc>
                <w:tcPr>
                  <w:tcW w:w="460" w:type="pct"/>
                  <w:tcBorders>
                    <w:tl2br w:val="nil"/>
                    <w:tr2bl w:val="nil"/>
                  </w:tcBorders>
                  <w:tcMar>
                    <w:top w:w="28" w:type="dxa"/>
                    <w:left w:w="28" w:type="dxa"/>
                    <w:bottom w:w="28" w:type="dxa"/>
                    <w:right w:w="28" w:type="dxa"/>
                  </w:tcMar>
                  <w:vAlign w:val="center"/>
                </w:tcPr>
                <w:p w14:paraId="0EA84AE5">
                  <w:pPr>
                    <w:autoSpaceDN w:val="0"/>
                    <w:jc w:val="center"/>
                    <w:textAlignment w:val="center"/>
                    <w:rPr>
                      <w:rFonts w:ascii="Times New Roman" w:hAnsi="Times New Roman" w:cs="Times New Roman"/>
                      <w:color w:val="000000"/>
                      <w:szCs w:val="21"/>
                    </w:rPr>
                  </w:pPr>
                  <w:r>
                    <w:rPr>
                      <w:rFonts w:ascii="Times New Roman" w:hAnsi="Times New Roman" w:cs="Times New Roman"/>
                      <w:color w:val="000000"/>
                      <w:szCs w:val="21"/>
                    </w:rPr>
                    <w:t>41</w:t>
                  </w:r>
                </w:p>
              </w:tc>
              <w:tc>
                <w:tcPr>
                  <w:tcW w:w="314" w:type="pct"/>
                  <w:tcBorders>
                    <w:tl2br w:val="nil"/>
                    <w:tr2bl w:val="nil"/>
                  </w:tcBorders>
                  <w:tcMar>
                    <w:top w:w="28" w:type="dxa"/>
                    <w:left w:w="28" w:type="dxa"/>
                    <w:bottom w:w="28" w:type="dxa"/>
                    <w:right w:w="28" w:type="dxa"/>
                  </w:tcMar>
                  <w:vAlign w:val="center"/>
                </w:tcPr>
                <w:p w14:paraId="694DE52B">
                  <w:pPr>
                    <w:autoSpaceDN w:val="0"/>
                    <w:jc w:val="center"/>
                    <w:textAlignment w:val="center"/>
                    <w:rPr>
                      <w:rFonts w:ascii="Times New Roman" w:hAnsi="Times New Roman" w:cs="Times New Roman"/>
                      <w:color w:val="000000"/>
                      <w:szCs w:val="21"/>
                    </w:rPr>
                  </w:pPr>
                  <w:r>
                    <w:rPr>
                      <w:rFonts w:ascii="Times New Roman" w:hAnsi="Times New Roman" w:cs="Times New Roman"/>
                      <w:color w:val="000000"/>
                      <w:szCs w:val="21"/>
                    </w:rPr>
                    <w:t>41</w:t>
                  </w:r>
                </w:p>
              </w:tc>
              <w:tc>
                <w:tcPr>
                  <w:tcW w:w="313" w:type="pct"/>
                  <w:tcBorders>
                    <w:tl2br w:val="nil"/>
                    <w:tr2bl w:val="nil"/>
                  </w:tcBorders>
                  <w:tcMar>
                    <w:top w:w="28" w:type="dxa"/>
                    <w:left w:w="28" w:type="dxa"/>
                    <w:bottom w:w="28" w:type="dxa"/>
                    <w:right w:w="28" w:type="dxa"/>
                  </w:tcMar>
                  <w:vAlign w:val="center"/>
                </w:tcPr>
                <w:p w14:paraId="6C5D8261">
                  <w:pPr>
                    <w:autoSpaceDN w:val="0"/>
                    <w:jc w:val="center"/>
                    <w:textAlignment w:val="center"/>
                    <w:rPr>
                      <w:rFonts w:ascii="Times New Roman" w:hAnsi="Times New Roman" w:cs="Times New Roman"/>
                      <w:color w:val="000000"/>
                      <w:szCs w:val="21"/>
                    </w:rPr>
                  </w:pPr>
                  <w:r>
                    <w:rPr>
                      <w:rFonts w:hint="eastAsia" w:ascii="Times New Roman" w:hAnsi="Times New Roman" w:cs="Times New Roman"/>
                      <w:color w:val="000000"/>
                      <w:szCs w:val="21"/>
                    </w:rPr>
                    <w:t>41</w:t>
                  </w:r>
                </w:p>
              </w:tc>
              <w:tc>
                <w:tcPr>
                  <w:tcW w:w="540" w:type="dxa"/>
                  <w:tcBorders>
                    <w:tl2br w:val="nil"/>
                    <w:tr2bl w:val="nil"/>
                  </w:tcBorders>
                  <w:tcMar>
                    <w:top w:w="28" w:type="dxa"/>
                    <w:left w:w="28" w:type="dxa"/>
                    <w:bottom w:w="28" w:type="dxa"/>
                    <w:right w:w="28" w:type="dxa"/>
                  </w:tcMar>
                  <w:vAlign w:val="center"/>
                </w:tcPr>
                <w:p w14:paraId="5A5FA252">
                  <w:pPr>
                    <w:autoSpaceDN w:val="0"/>
                    <w:jc w:val="center"/>
                    <w:textAlignment w:val="center"/>
                    <w:rPr>
                      <w:rFonts w:ascii="Times New Roman" w:hAnsi="Times New Roman" w:cs="Times New Roman"/>
                      <w:color w:val="000000"/>
                      <w:szCs w:val="21"/>
                    </w:rPr>
                  </w:pPr>
                  <w:r>
                    <w:rPr>
                      <w:rFonts w:hint="eastAsia" w:ascii="Times New Roman" w:hAnsi="Times New Roman" w:cs="Times New Roman"/>
                      <w:color w:val="000000"/>
                      <w:szCs w:val="21"/>
                    </w:rPr>
                    <w:t>41</w:t>
                  </w:r>
                </w:p>
              </w:tc>
              <w:tc>
                <w:tcPr>
                  <w:tcW w:w="313" w:type="pct"/>
                  <w:tcBorders>
                    <w:tl2br w:val="nil"/>
                    <w:tr2bl w:val="nil"/>
                  </w:tcBorders>
                  <w:tcMar>
                    <w:top w:w="28" w:type="dxa"/>
                    <w:left w:w="28" w:type="dxa"/>
                    <w:bottom w:w="28" w:type="dxa"/>
                    <w:right w:w="28" w:type="dxa"/>
                  </w:tcMar>
                  <w:vAlign w:val="center"/>
                </w:tcPr>
                <w:p w14:paraId="21E310F6">
                  <w:pPr>
                    <w:autoSpaceDN w:val="0"/>
                    <w:jc w:val="center"/>
                    <w:textAlignment w:val="center"/>
                    <w:rPr>
                      <w:rFonts w:ascii="Times New Roman" w:hAnsi="Times New Roman" w:cs="Times New Roman"/>
                      <w:color w:val="000000"/>
                      <w:szCs w:val="21"/>
                    </w:rPr>
                  </w:pPr>
                  <w:r>
                    <w:rPr>
                      <w:rFonts w:ascii="Times New Roman" w:hAnsi="Times New Roman" w:cs="Times New Roman"/>
                      <w:color w:val="000000"/>
                      <w:szCs w:val="21"/>
                    </w:rPr>
                    <w:t>65</w:t>
                  </w:r>
                </w:p>
              </w:tc>
              <w:tc>
                <w:tcPr>
                  <w:tcW w:w="569" w:type="pct"/>
                  <w:tcBorders>
                    <w:tl2br w:val="nil"/>
                    <w:tr2bl w:val="nil"/>
                  </w:tcBorders>
                  <w:tcMar>
                    <w:top w:w="28" w:type="dxa"/>
                    <w:left w:w="28" w:type="dxa"/>
                    <w:bottom w:w="28" w:type="dxa"/>
                    <w:right w:w="28" w:type="dxa"/>
                  </w:tcMar>
                  <w:vAlign w:val="center"/>
                </w:tcPr>
                <w:p w14:paraId="1F0E79CC">
                  <w:pPr>
                    <w:autoSpaceDN w:val="0"/>
                    <w:jc w:val="center"/>
                    <w:textAlignment w:val="center"/>
                    <w:rPr>
                      <w:rFonts w:ascii="Times New Roman" w:hAnsi="Times New Roman" w:cs="Times New Roman"/>
                      <w:color w:val="000000"/>
                      <w:szCs w:val="21"/>
                    </w:rPr>
                  </w:pPr>
                  <w:r>
                    <w:rPr>
                      <w:rFonts w:ascii="Times New Roman" w:hAnsi="Times New Roman" w:cs="Times New Roman"/>
                      <w:color w:val="000000"/>
                      <w:szCs w:val="21"/>
                    </w:rPr>
                    <w:t>55</w:t>
                  </w:r>
                </w:p>
              </w:tc>
              <w:tc>
                <w:tcPr>
                  <w:tcW w:w="568" w:type="pct"/>
                  <w:tcBorders>
                    <w:right w:val="single" w:color="auto" w:sz="4" w:space="0"/>
                    <w:tl2br w:val="nil"/>
                    <w:tr2bl w:val="nil"/>
                  </w:tcBorders>
                  <w:tcMar>
                    <w:top w:w="28" w:type="dxa"/>
                    <w:left w:w="28" w:type="dxa"/>
                    <w:bottom w:w="28" w:type="dxa"/>
                    <w:right w:w="28" w:type="dxa"/>
                  </w:tcMar>
                </w:tcPr>
                <w:p w14:paraId="09634514">
                  <w:pPr>
                    <w:tabs>
                      <w:tab w:val="left" w:pos="420"/>
                    </w:tabs>
                    <w:spacing w:line="300" w:lineRule="exact"/>
                    <w:jc w:val="center"/>
                    <w:rPr>
                      <w:rFonts w:ascii="Times New Roman" w:hAnsi="Times New Roman" w:cs="Times New Roman"/>
                      <w:color w:val="000000"/>
                      <w:szCs w:val="21"/>
                    </w:rPr>
                  </w:pPr>
                  <w:r>
                    <w:rPr>
                      <w:rFonts w:ascii="Times New Roman" w:hAnsi="Times New Roman" w:cs="Times New Roman"/>
                      <w:color w:val="000000"/>
                      <w:szCs w:val="21"/>
                    </w:rPr>
                    <w:t>达标</w:t>
                  </w:r>
                </w:p>
              </w:tc>
            </w:tr>
            <w:tr w14:paraId="0A01B4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323" w:type="pct"/>
                  <w:tcBorders>
                    <w:left w:val="single" w:color="auto" w:sz="4" w:space="0"/>
                    <w:bottom w:val="single" w:color="auto" w:sz="4" w:space="0"/>
                    <w:tl2br w:val="nil"/>
                    <w:tr2bl w:val="nil"/>
                  </w:tcBorders>
                  <w:tcMar>
                    <w:top w:w="28" w:type="dxa"/>
                    <w:left w:w="28" w:type="dxa"/>
                    <w:bottom w:w="28" w:type="dxa"/>
                    <w:right w:w="28" w:type="dxa"/>
                  </w:tcMar>
                  <w:vAlign w:val="center"/>
                </w:tcPr>
                <w:p w14:paraId="696A3357">
                  <w:pPr>
                    <w:tabs>
                      <w:tab w:val="left" w:pos="420"/>
                    </w:tabs>
                    <w:spacing w:line="300" w:lineRule="exact"/>
                    <w:jc w:val="center"/>
                    <w:rPr>
                      <w:rFonts w:ascii="Times New Roman" w:hAnsi="Times New Roman" w:cs="Times New Roman"/>
                      <w:color w:val="000000"/>
                      <w:szCs w:val="21"/>
                    </w:rPr>
                  </w:pPr>
                  <w:r>
                    <w:rPr>
                      <w:rFonts w:ascii="Times New Roman" w:hAnsi="Times New Roman" w:cs="Times New Roman"/>
                      <w:color w:val="000000"/>
                      <w:szCs w:val="21"/>
                    </w:rPr>
                    <w:t>4</w:t>
                  </w:r>
                </w:p>
              </w:tc>
              <w:tc>
                <w:tcPr>
                  <w:tcW w:w="574" w:type="pct"/>
                  <w:tcBorders>
                    <w:bottom w:val="single" w:color="auto" w:sz="4" w:space="0"/>
                    <w:tl2br w:val="nil"/>
                    <w:tr2bl w:val="nil"/>
                  </w:tcBorders>
                  <w:tcMar>
                    <w:top w:w="28" w:type="dxa"/>
                    <w:left w:w="28" w:type="dxa"/>
                    <w:bottom w:w="28" w:type="dxa"/>
                    <w:right w:w="28" w:type="dxa"/>
                  </w:tcMar>
                  <w:vAlign w:val="center"/>
                </w:tcPr>
                <w:p w14:paraId="2A406CEB">
                  <w:pPr>
                    <w:autoSpaceDN w:val="0"/>
                    <w:jc w:val="center"/>
                    <w:textAlignment w:val="center"/>
                    <w:rPr>
                      <w:rFonts w:ascii="Times New Roman" w:hAnsi="Times New Roman" w:cs="Times New Roman"/>
                      <w:color w:val="000000"/>
                      <w:szCs w:val="21"/>
                    </w:rPr>
                  </w:pPr>
                  <w:r>
                    <w:rPr>
                      <w:rFonts w:ascii="Times New Roman" w:hAnsi="Times New Roman" w:cs="Times New Roman"/>
                      <w:color w:val="000000"/>
                      <w:szCs w:val="21"/>
                    </w:rPr>
                    <w:t>东北厂界</w:t>
                  </w:r>
                </w:p>
              </w:tc>
              <w:tc>
                <w:tcPr>
                  <w:tcW w:w="342" w:type="pct"/>
                  <w:tcBorders>
                    <w:bottom w:val="single" w:color="auto" w:sz="4" w:space="0"/>
                    <w:tl2br w:val="nil"/>
                    <w:tr2bl w:val="nil"/>
                  </w:tcBorders>
                  <w:tcMar>
                    <w:top w:w="28" w:type="dxa"/>
                    <w:left w:w="28" w:type="dxa"/>
                    <w:bottom w:w="28" w:type="dxa"/>
                    <w:right w:w="28" w:type="dxa"/>
                  </w:tcMar>
                  <w:vAlign w:val="center"/>
                </w:tcPr>
                <w:p w14:paraId="049F44D2">
                  <w:pPr>
                    <w:autoSpaceDN w:val="0"/>
                    <w:jc w:val="center"/>
                    <w:textAlignment w:val="center"/>
                    <w:rPr>
                      <w:rFonts w:ascii="Times New Roman" w:hAnsi="Times New Roman" w:cs="Times New Roman"/>
                      <w:color w:val="000000"/>
                      <w:szCs w:val="21"/>
                    </w:rPr>
                  </w:pPr>
                  <w:r>
                    <w:rPr>
                      <w:rFonts w:ascii="Times New Roman" w:hAnsi="Times New Roman" w:cs="Times New Roman"/>
                      <w:color w:val="000000"/>
                      <w:szCs w:val="21"/>
                    </w:rPr>
                    <w:t>/</w:t>
                  </w:r>
                </w:p>
              </w:tc>
              <w:tc>
                <w:tcPr>
                  <w:tcW w:w="444" w:type="pct"/>
                  <w:tcBorders>
                    <w:bottom w:val="single" w:color="auto" w:sz="4" w:space="0"/>
                    <w:tl2br w:val="nil"/>
                    <w:tr2bl w:val="nil"/>
                  </w:tcBorders>
                  <w:tcMar>
                    <w:top w:w="28" w:type="dxa"/>
                    <w:left w:w="28" w:type="dxa"/>
                    <w:bottom w:w="28" w:type="dxa"/>
                    <w:right w:w="28" w:type="dxa"/>
                  </w:tcMar>
                  <w:vAlign w:val="center"/>
                </w:tcPr>
                <w:p w14:paraId="6D1FF0C5">
                  <w:pPr>
                    <w:autoSpaceDN w:val="0"/>
                    <w:jc w:val="center"/>
                    <w:textAlignment w:val="center"/>
                    <w:rPr>
                      <w:rFonts w:ascii="Times New Roman" w:hAnsi="Times New Roman" w:cs="Times New Roman"/>
                      <w:color w:val="000000"/>
                      <w:szCs w:val="21"/>
                    </w:rPr>
                  </w:pPr>
                  <w:r>
                    <w:rPr>
                      <w:rFonts w:hint="eastAsia" w:ascii="Times New Roman" w:hAnsi="Times New Roman" w:cs="Times New Roman"/>
                    </w:rPr>
                    <w:t>23</w:t>
                  </w:r>
                </w:p>
              </w:tc>
              <w:tc>
                <w:tcPr>
                  <w:tcW w:w="462" w:type="pct"/>
                  <w:tcBorders>
                    <w:bottom w:val="single" w:color="auto" w:sz="4" w:space="0"/>
                    <w:tl2br w:val="nil"/>
                    <w:tr2bl w:val="nil"/>
                  </w:tcBorders>
                  <w:tcMar>
                    <w:top w:w="28" w:type="dxa"/>
                    <w:left w:w="28" w:type="dxa"/>
                    <w:bottom w:w="28" w:type="dxa"/>
                    <w:right w:w="28" w:type="dxa"/>
                  </w:tcMar>
                  <w:vAlign w:val="center"/>
                </w:tcPr>
                <w:p w14:paraId="7D64B684">
                  <w:pPr>
                    <w:autoSpaceDN w:val="0"/>
                    <w:jc w:val="center"/>
                    <w:textAlignment w:val="center"/>
                    <w:rPr>
                      <w:rFonts w:ascii="Times New Roman" w:hAnsi="Times New Roman" w:cs="Times New Roman"/>
                      <w:color w:val="000000"/>
                      <w:szCs w:val="21"/>
                    </w:rPr>
                  </w:pPr>
                  <w:r>
                    <w:rPr>
                      <w:rFonts w:hint="eastAsia" w:ascii="Times New Roman" w:hAnsi="Times New Roman" w:cs="Times New Roman"/>
                    </w:rPr>
                    <w:t>23</w:t>
                  </w:r>
                </w:p>
              </w:tc>
              <w:tc>
                <w:tcPr>
                  <w:tcW w:w="460" w:type="pct"/>
                  <w:tcBorders>
                    <w:bottom w:val="single" w:color="auto" w:sz="4" w:space="0"/>
                    <w:tl2br w:val="nil"/>
                    <w:tr2bl w:val="nil"/>
                  </w:tcBorders>
                  <w:tcMar>
                    <w:top w:w="28" w:type="dxa"/>
                    <w:left w:w="28" w:type="dxa"/>
                    <w:bottom w:w="28" w:type="dxa"/>
                    <w:right w:w="28" w:type="dxa"/>
                  </w:tcMar>
                  <w:vAlign w:val="center"/>
                </w:tcPr>
                <w:p w14:paraId="1BBAD706">
                  <w:pPr>
                    <w:autoSpaceDN w:val="0"/>
                    <w:jc w:val="center"/>
                    <w:textAlignment w:val="center"/>
                    <w:rPr>
                      <w:rFonts w:ascii="Times New Roman" w:hAnsi="Times New Roman" w:cs="Times New Roman"/>
                      <w:color w:val="000000"/>
                      <w:szCs w:val="21"/>
                    </w:rPr>
                  </w:pPr>
                  <w:r>
                    <w:rPr>
                      <w:rFonts w:ascii="Times New Roman" w:hAnsi="Times New Roman" w:cs="Times New Roman"/>
                      <w:color w:val="000000"/>
                      <w:szCs w:val="21"/>
                    </w:rPr>
                    <w:t>44</w:t>
                  </w:r>
                </w:p>
              </w:tc>
              <w:tc>
                <w:tcPr>
                  <w:tcW w:w="314" w:type="pct"/>
                  <w:tcBorders>
                    <w:bottom w:val="single" w:color="auto" w:sz="4" w:space="0"/>
                    <w:tl2br w:val="nil"/>
                    <w:tr2bl w:val="nil"/>
                  </w:tcBorders>
                  <w:tcMar>
                    <w:top w:w="28" w:type="dxa"/>
                    <w:left w:w="28" w:type="dxa"/>
                    <w:bottom w:w="28" w:type="dxa"/>
                    <w:right w:w="28" w:type="dxa"/>
                  </w:tcMar>
                  <w:vAlign w:val="center"/>
                </w:tcPr>
                <w:p w14:paraId="69D7B866">
                  <w:pPr>
                    <w:autoSpaceDN w:val="0"/>
                    <w:jc w:val="center"/>
                    <w:textAlignment w:val="center"/>
                    <w:rPr>
                      <w:rFonts w:ascii="Times New Roman" w:hAnsi="Times New Roman" w:cs="Times New Roman"/>
                      <w:color w:val="000000"/>
                      <w:szCs w:val="21"/>
                    </w:rPr>
                  </w:pPr>
                  <w:r>
                    <w:rPr>
                      <w:rFonts w:ascii="Times New Roman" w:hAnsi="Times New Roman" w:cs="Times New Roman"/>
                      <w:color w:val="000000"/>
                      <w:szCs w:val="21"/>
                    </w:rPr>
                    <w:t>44</w:t>
                  </w:r>
                </w:p>
              </w:tc>
              <w:tc>
                <w:tcPr>
                  <w:tcW w:w="313" w:type="pct"/>
                  <w:tcBorders>
                    <w:bottom w:val="single" w:color="auto" w:sz="4" w:space="0"/>
                    <w:tl2br w:val="nil"/>
                    <w:tr2bl w:val="nil"/>
                  </w:tcBorders>
                  <w:tcMar>
                    <w:top w:w="28" w:type="dxa"/>
                    <w:left w:w="28" w:type="dxa"/>
                    <w:bottom w:w="28" w:type="dxa"/>
                    <w:right w:w="28" w:type="dxa"/>
                  </w:tcMar>
                  <w:vAlign w:val="center"/>
                </w:tcPr>
                <w:p w14:paraId="13CA1C3D">
                  <w:pPr>
                    <w:autoSpaceDN w:val="0"/>
                    <w:jc w:val="center"/>
                    <w:textAlignment w:val="center"/>
                    <w:rPr>
                      <w:rFonts w:ascii="Times New Roman" w:hAnsi="Times New Roman" w:cs="Times New Roman"/>
                      <w:color w:val="000000"/>
                      <w:szCs w:val="21"/>
                    </w:rPr>
                  </w:pPr>
                  <w:r>
                    <w:rPr>
                      <w:rFonts w:hint="eastAsia" w:ascii="Times New Roman" w:hAnsi="Times New Roman" w:cs="Times New Roman"/>
                      <w:color w:val="000000"/>
                      <w:szCs w:val="21"/>
                    </w:rPr>
                    <w:t>44</w:t>
                  </w:r>
                </w:p>
              </w:tc>
              <w:tc>
                <w:tcPr>
                  <w:tcW w:w="540" w:type="dxa"/>
                  <w:tcBorders>
                    <w:bottom w:val="single" w:color="auto" w:sz="4" w:space="0"/>
                    <w:tl2br w:val="nil"/>
                    <w:tr2bl w:val="nil"/>
                  </w:tcBorders>
                  <w:tcMar>
                    <w:top w:w="28" w:type="dxa"/>
                    <w:left w:w="28" w:type="dxa"/>
                    <w:bottom w:w="28" w:type="dxa"/>
                    <w:right w:w="28" w:type="dxa"/>
                  </w:tcMar>
                  <w:vAlign w:val="center"/>
                </w:tcPr>
                <w:p w14:paraId="4BAA1B50">
                  <w:pPr>
                    <w:autoSpaceDN w:val="0"/>
                    <w:jc w:val="center"/>
                    <w:textAlignment w:val="center"/>
                    <w:rPr>
                      <w:rFonts w:ascii="Times New Roman" w:hAnsi="Times New Roman" w:cs="Times New Roman"/>
                      <w:color w:val="000000"/>
                      <w:szCs w:val="21"/>
                    </w:rPr>
                  </w:pPr>
                  <w:r>
                    <w:rPr>
                      <w:rFonts w:hint="eastAsia" w:ascii="Times New Roman" w:hAnsi="Times New Roman" w:cs="Times New Roman"/>
                      <w:color w:val="000000"/>
                      <w:szCs w:val="21"/>
                    </w:rPr>
                    <w:t>44</w:t>
                  </w:r>
                </w:p>
              </w:tc>
              <w:tc>
                <w:tcPr>
                  <w:tcW w:w="313" w:type="pct"/>
                  <w:tcBorders>
                    <w:bottom w:val="single" w:color="auto" w:sz="4" w:space="0"/>
                    <w:tl2br w:val="nil"/>
                    <w:tr2bl w:val="nil"/>
                  </w:tcBorders>
                  <w:tcMar>
                    <w:top w:w="28" w:type="dxa"/>
                    <w:left w:w="28" w:type="dxa"/>
                    <w:bottom w:w="28" w:type="dxa"/>
                    <w:right w:w="28" w:type="dxa"/>
                  </w:tcMar>
                  <w:vAlign w:val="center"/>
                </w:tcPr>
                <w:p w14:paraId="57E6AD05">
                  <w:pPr>
                    <w:autoSpaceDN w:val="0"/>
                    <w:jc w:val="center"/>
                    <w:textAlignment w:val="center"/>
                    <w:rPr>
                      <w:rFonts w:ascii="Times New Roman" w:hAnsi="Times New Roman" w:cs="Times New Roman"/>
                      <w:color w:val="000000"/>
                      <w:szCs w:val="21"/>
                    </w:rPr>
                  </w:pPr>
                  <w:r>
                    <w:rPr>
                      <w:rFonts w:ascii="Times New Roman" w:hAnsi="Times New Roman" w:cs="Times New Roman"/>
                      <w:color w:val="000000"/>
                      <w:szCs w:val="21"/>
                    </w:rPr>
                    <w:t>65</w:t>
                  </w:r>
                </w:p>
              </w:tc>
              <w:tc>
                <w:tcPr>
                  <w:tcW w:w="569" w:type="pct"/>
                  <w:tcBorders>
                    <w:bottom w:val="single" w:color="auto" w:sz="4" w:space="0"/>
                    <w:tl2br w:val="nil"/>
                    <w:tr2bl w:val="nil"/>
                  </w:tcBorders>
                  <w:tcMar>
                    <w:top w:w="28" w:type="dxa"/>
                    <w:left w:w="28" w:type="dxa"/>
                    <w:bottom w:w="28" w:type="dxa"/>
                    <w:right w:w="28" w:type="dxa"/>
                  </w:tcMar>
                  <w:vAlign w:val="center"/>
                </w:tcPr>
                <w:p w14:paraId="4788744E">
                  <w:pPr>
                    <w:autoSpaceDN w:val="0"/>
                    <w:jc w:val="center"/>
                    <w:textAlignment w:val="center"/>
                    <w:rPr>
                      <w:rFonts w:ascii="Times New Roman" w:hAnsi="Times New Roman" w:cs="Times New Roman"/>
                      <w:color w:val="000000"/>
                      <w:szCs w:val="21"/>
                    </w:rPr>
                  </w:pPr>
                  <w:r>
                    <w:rPr>
                      <w:rFonts w:ascii="Times New Roman" w:hAnsi="Times New Roman" w:cs="Times New Roman"/>
                      <w:color w:val="000000"/>
                      <w:szCs w:val="21"/>
                    </w:rPr>
                    <w:t>55</w:t>
                  </w:r>
                </w:p>
              </w:tc>
              <w:tc>
                <w:tcPr>
                  <w:tcW w:w="568" w:type="pct"/>
                  <w:tcBorders>
                    <w:bottom w:val="single" w:color="auto" w:sz="4" w:space="0"/>
                    <w:right w:val="single" w:color="auto" w:sz="4" w:space="0"/>
                    <w:tl2br w:val="nil"/>
                    <w:tr2bl w:val="nil"/>
                  </w:tcBorders>
                  <w:tcMar>
                    <w:top w:w="28" w:type="dxa"/>
                    <w:left w:w="28" w:type="dxa"/>
                    <w:bottom w:w="28" w:type="dxa"/>
                    <w:right w:w="28" w:type="dxa"/>
                  </w:tcMar>
                </w:tcPr>
                <w:p w14:paraId="58E2A5DB">
                  <w:pPr>
                    <w:tabs>
                      <w:tab w:val="left" w:pos="420"/>
                    </w:tabs>
                    <w:spacing w:line="300" w:lineRule="exact"/>
                    <w:jc w:val="center"/>
                    <w:rPr>
                      <w:rFonts w:ascii="Times New Roman" w:hAnsi="Times New Roman" w:cs="Times New Roman"/>
                      <w:color w:val="000000"/>
                      <w:szCs w:val="21"/>
                    </w:rPr>
                  </w:pPr>
                  <w:r>
                    <w:rPr>
                      <w:rFonts w:ascii="Times New Roman" w:hAnsi="Times New Roman" w:cs="Times New Roman"/>
                      <w:color w:val="000000"/>
                      <w:szCs w:val="21"/>
                    </w:rPr>
                    <w:t>达标</w:t>
                  </w:r>
                </w:p>
              </w:tc>
            </w:tr>
          </w:tbl>
          <w:p w14:paraId="7E719D57">
            <w:pPr>
              <w:spacing w:line="360" w:lineRule="auto"/>
              <w:ind w:firstLine="480" w:firstLineChars="200"/>
              <w:rPr>
                <w:rFonts w:ascii="Times New Roman" w:hAnsi="Times New Roman" w:cs="Times New Roman"/>
                <w:sz w:val="24"/>
              </w:rPr>
            </w:pPr>
          </w:p>
          <w:p w14:paraId="67AE03F8">
            <w:pPr>
              <w:spacing w:line="360" w:lineRule="auto"/>
              <w:ind w:firstLine="480" w:firstLineChars="200"/>
              <w:rPr>
                <w:rFonts w:ascii="Times New Roman" w:hAnsi="Times New Roman" w:cs="Times New Roman"/>
                <w:sz w:val="24"/>
              </w:rPr>
            </w:pPr>
            <w:r>
              <w:rPr>
                <w:rFonts w:ascii="Times New Roman" w:hAnsi="Times New Roman" w:cs="Times New Roman"/>
                <w:sz w:val="24"/>
              </w:rPr>
              <w:t>由表4.2-12可知，采取隔声、消声等噪声防治措施后，项目各厂界昼</w:t>
            </w:r>
            <w:r>
              <w:rPr>
                <w:rFonts w:hint="eastAsia" w:ascii="Times New Roman" w:hAnsi="Times New Roman" w:cs="Times New Roman"/>
                <w:sz w:val="24"/>
              </w:rPr>
              <w:t>、夜</w:t>
            </w:r>
            <w:r>
              <w:rPr>
                <w:rFonts w:ascii="Times New Roman" w:hAnsi="Times New Roman" w:cs="Times New Roman"/>
                <w:sz w:val="24"/>
              </w:rPr>
              <w:t>间噪声均满足《工业企业厂界环境噪声排放标准》（GB12348-2008）标准要求。</w:t>
            </w:r>
          </w:p>
          <w:p w14:paraId="19DB3A8E">
            <w:pPr>
              <w:spacing w:line="360" w:lineRule="auto"/>
              <w:ind w:firstLine="480" w:firstLineChars="200"/>
              <w:rPr>
                <w:rFonts w:ascii="Times New Roman" w:hAnsi="Times New Roman" w:cs="Times New Roman"/>
                <w:sz w:val="24"/>
              </w:rPr>
            </w:pPr>
            <w:r>
              <w:rPr>
                <w:rFonts w:ascii="Times New Roman" w:hAnsi="Times New Roman" w:cs="Times New Roman"/>
                <w:sz w:val="24"/>
              </w:rPr>
              <w:t>（4）监测要求</w:t>
            </w:r>
          </w:p>
          <w:p w14:paraId="0A621DED">
            <w:pPr>
              <w:spacing w:line="360" w:lineRule="auto"/>
              <w:ind w:firstLine="480" w:firstLineChars="200"/>
              <w:rPr>
                <w:rFonts w:ascii="Times New Roman" w:hAnsi="Times New Roman" w:cs="Times New Roman"/>
                <w:sz w:val="24"/>
              </w:rPr>
            </w:pPr>
            <w:r>
              <w:rPr>
                <w:rFonts w:ascii="Times New Roman" w:hAnsi="Times New Roman" w:cs="Times New Roman"/>
                <w:sz w:val="24"/>
              </w:rPr>
              <w:t>参考《排污许可证申请与核发技术规范 总则》（HJ942-2018）、《排污单位自行监测技术指南 总则》（HJ 819-2017）等，拟建项目噪声监测要求见下表。</w:t>
            </w:r>
          </w:p>
          <w:p w14:paraId="7122B362">
            <w:pPr>
              <w:jc w:val="center"/>
              <w:rPr>
                <w:rFonts w:ascii="Times New Roman" w:hAnsi="Times New Roman" w:cs="Times New Roman"/>
                <w:kern w:val="0"/>
              </w:rPr>
            </w:pPr>
            <w:r>
              <w:rPr>
                <w:rFonts w:ascii="Times New Roman" w:hAnsi="Times New Roman" w:cs="Times New Roman"/>
                <w:kern w:val="0"/>
              </w:rPr>
              <w:t>表4.2-14  噪声监测点位、监测因子及监测频率一览表</w:t>
            </w:r>
          </w:p>
          <w:tbl>
            <w:tblPr>
              <w:tblStyle w:val="8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96"/>
              <w:gridCol w:w="1328"/>
              <w:gridCol w:w="2201"/>
              <w:gridCol w:w="4100"/>
            </w:tblGrid>
            <w:tr w14:paraId="1728D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0" w:type="auto"/>
                  <w:vAlign w:val="center"/>
                </w:tcPr>
                <w:p w14:paraId="5B48AFD6">
                  <w:pPr>
                    <w:widowControl/>
                    <w:jc w:val="center"/>
                    <w:rPr>
                      <w:rFonts w:ascii="Times New Roman" w:hAnsi="Times New Roman" w:cs="Times New Roman"/>
                      <w:shd w:val="clear" w:color="auto" w:fill="FFFFFF"/>
                    </w:rPr>
                  </w:pPr>
                  <w:r>
                    <w:rPr>
                      <w:rFonts w:ascii="Times New Roman" w:hAnsi="Times New Roman" w:cs="Times New Roman"/>
                      <w:shd w:val="clear" w:color="auto" w:fill="FFFFFF"/>
                    </w:rPr>
                    <w:t>监测点位</w:t>
                  </w:r>
                </w:p>
              </w:tc>
              <w:tc>
                <w:tcPr>
                  <w:tcW w:w="0" w:type="auto"/>
                  <w:vAlign w:val="center"/>
                </w:tcPr>
                <w:p w14:paraId="0E8E7AB0">
                  <w:pPr>
                    <w:widowControl/>
                    <w:jc w:val="center"/>
                    <w:rPr>
                      <w:rFonts w:ascii="Times New Roman" w:hAnsi="Times New Roman" w:cs="Times New Roman"/>
                      <w:shd w:val="clear" w:color="auto" w:fill="FFFFFF"/>
                    </w:rPr>
                  </w:pPr>
                  <w:r>
                    <w:rPr>
                      <w:rFonts w:ascii="Times New Roman" w:hAnsi="Times New Roman" w:cs="Times New Roman"/>
                      <w:shd w:val="clear" w:color="auto" w:fill="FFFFFF"/>
                    </w:rPr>
                    <w:t>监测因子</w:t>
                  </w:r>
                </w:p>
              </w:tc>
              <w:tc>
                <w:tcPr>
                  <w:tcW w:w="0" w:type="auto"/>
                  <w:vAlign w:val="center"/>
                </w:tcPr>
                <w:p w14:paraId="0B057287">
                  <w:pPr>
                    <w:widowControl/>
                    <w:jc w:val="center"/>
                    <w:rPr>
                      <w:rFonts w:ascii="Times New Roman" w:hAnsi="Times New Roman" w:cs="Times New Roman"/>
                      <w:shd w:val="clear" w:color="auto" w:fill="FFFFFF"/>
                    </w:rPr>
                  </w:pPr>
                  <w:r>
                    <w:rPr>
                      <w:rFonts w:ascii="Times New Roman" w:hAnsi="Times New Roman" w:cs="Times New Roman"/>
                      <w:shd w:val="clear" w:color="auto" w:fill="FFFFFF"/>
                    </w:rPr>
                    <w:t>监测频率</w:t>
                  </w:r>
                </w:p>
              </w:tc>
              <w:tc>
                <w:tcPr>
                  <w:tcW w:w="0" w:type="auto"/>
                  <w:vAlign w:val="center"/>
                </w:tcPr>
                <w:p w14:paraId="6B076E8C">
                  <w:pPr>
                    <w:widowControl/>
                    <w:jc w:val="center"/>
                    <w:rPr>
                      <w:rFonts w:ascii="Times New Roman" w:hAnsi="Times New Roman" w:cs="Times New Roman"/>
                      <w:shd w:val="clear" w:color="auto" w:fill="FFFFFF"/>
                    </w:rPr>
                  </w:pPr>
                  <w:r>
                    <w:rPr>
                      <w:rFonts w:ascii="Times New Roman" w:hAnsi="Times New Roman" w:cs="Times New Roman"/>
                      <w:shd w:val="clear" w:color="auto" w:fill="FFFFFF"/>
                    </w:rPr>
                    <w:t>执行标准</w:t>
                  </w:r>
                </w:p>
              </w:tc>
            </w:tr>
            <w:tr w14:paraId="6A646A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0" w:type="auto"/>
                  <w:vAlign w:val="center"/>
                </w:tcPr>
                <w:p w14:paraId="140BDA28">
                  <w:pPr>
                    <w:widowControl/>
                    <w:jc w:val="center"/>
                    <w:rPr>
                      <w:rFonts w:ascii="Times New Roman" w:hAnsi="Times New Roman" w:cs="Times New Roman"/>
                      <w:shd w:val="clear" w:color="auto" w:fill="FFFFFF"/>
                    </w:rPr>
                  </w:pPr>
                  <w:r>
                    <w:rPr>
                      <w:rFonts w:ascii="Times New Roman" w:hAnsi="Times New Roman" w:cs="Times New Roman"/>
                      <w:shd w:val="clear" w:color="auto" w:fill="FFFFFF"/>
                    </w:rPr>
                    <w:t>厂界外1米</w:t>
                  </w:r>
                </w:p>
              </w:tc>
              <w:tc>
                <w:tcPr>
                  <w:tcW w:w="0" w:type="auto"/>
                  <w:vAlign w:val="center"/>
                </w:tcPr>
                <w:p w14:paraId="25BCF9D0">
                  <w:pPr>
                    <w:widowControl/>
                    <w:rPr>
                      <w:rFonts w:ascii="Times New Roman" w:hAnsi="Times New Roman" w:cs="Times New Roman"/>
                      <w:shd w:val="clear" w:color="auto" w:fill="FFFFFF"/>
                    </w:rPr>
                  </w:pPr>
                  <w:r>
                    <w:rPr>
                      <w:rFonts w:ascii="Times New Roman" w:hAnsi="Times New Roman" w:cs="Times New Roman"/>
                      <w:shd w:val="clear" w:color="auto" w:fill="FFFFFF"/>
                    </w:rPr>
                    <w:t>昼、夜等效A声级</w:t>
                  </w:r>
                </w:p>
              </w:tc>
              <w:tc>
                <w:tcPr>
                  <w:tcW w:w="0" w:type="auto"/>
                  <w:vAlign w:val="center"/>
                </w:tcPr>
                <w:p w14:paraId="5DC86CC3">
                  <w:pPr>
                    <w:widowControl/>
                    <w:jc w:val="center"/>
                    <w:rPr>
                      <w:rFonts w:ascii="Times New Roman" w:hAnsi="Times New Roman" w:cs="Times New Roman"/>
                      <w:shd w:val="clear" w:color="auto" w:fill="FFFFFF"/>
                    </w:rPr>
                  </w:pPr>
                  <w:r>
                    <w:rPr>
                      <w:rFonts w:ascii="Times New Roman" w:hAnsi="Times New Roman" w:cs="Times New Roman"/>
                      <w:shd w:val="clear" w:color="auto" w:fill="FFFFFF"/>
                    </w:rPr>
                    <w:t>验收时监测一次，运营期1次/季</w:t>
                  </w:r>
                </w:p>
              </w:tc>
              <w:tc>
                <w:tcPr>
                  <w:tcW w:w="0" w:type="auto"/>
                  <w:vAlign w:val="center"/>
                </w:tcPr>
                <w:p w14:paraId="6D016AA0">
                  <w:pPr>
                    <w:widowControl/>
                    <w:jc w:val="center"/>
                    <w:rPr>
                      <w:rFonts w:ascii="Times New Roman" w:hAnsi="Times New Roman" w:cs="Times New Roman"/>
                      <w:shd w:val="clear" w:color="auto" w:fill="FFFFFF"/>
                    </w:rPr>
                  </w:pPr>
                  <w:r>
                    <w:rPr>
                      <w:rFonts w:ascii="Times New Roman" w:hAnsi="Times New Roman" w:cs="Times New Roman"/>
                    </w:rPr>
                    <w:t>《工业企业厂界环境噪声排放标准》（GB12348-2008）3类</w:t>
                  </w:r>
                </w:p>
              </w:tc>
            </w:tr>
          </w:tbl>
          <w:p w14:paraId="295C12C9">
            <w:pPr>
              <w:widowControl/>
              <w:snapToGrid w:val="0"/>
              <w:spacing w:line="360" w:lineRule="auto"/>
              <w:ind w:firstLine="480" w:firstLineChars="200"/>
              <w:rPr>
                <w:rFonts w:ascii="Times New Roman" w:hAnsi="Times New Roman" w:cs="Times New Roman"/>
                <w:kern w:val="0"/>
                <w:sz w:val="24"/>
                <w:szCs w:val="20"/>
              </w:rPr>
            </w:pPr>
          </w:p>
          <w:p w14:paraId="4C497080">
            <w:pPr>
              <w:spacing w:line="360" w:lineRule="auto"/>
              <w:rPr>
                <w:rFonts w:ascii="Times New Roman" w:hAnsi="Times New Roman" w:cs="Times New Roman"/>
                <w:b/>
                <w:sz w:val="24"/>
              </w:rPr>
            </w:pPr>
            <w:r>
              <w:rPr>
                <w:rFonts w:ascii="Times New Roman" w:hAnsi="Times New Roman" w:cs="Times New Roman"/>
                <w:b/>
                <w:sz w:val="24"/>
              </w:rPr>
              <w:t>4.2.</w:t>
            </w:r>
            <w:r>
              <w:rPr>
                <w:rFonts w:hint="eastAsia" w:ascii="Times New Roman" w:hAnsi="Times New Roman" w:cs="Times New Roman"/>
                <w:b/>
                <w:sz w:val="24"/>
              </w:rPr>
              <w:t>4固体废物</w:t>
            </w:r>
          </w:p>
          <w:p w14:paraId="386DC348">
            <w:pPr>
              <w:pStyle w:val="34"/>
              <w:ind w:firstLine="480"/>
              <w:rPr>
                <w:rFonts w:ascii="Times New Roman" w:hAnsi="Times New Roman" w:cs="Times New Roman"/>
                <w:sz w:val="24"/>
              </w:rPr>
            </w:pPr>
            <w:r>
              <w:rPr>
                <w:rFonts w:ascii="Times New Roman" w:hAnsi="Times New Roman" w:cs="Times New Roman"/>
                <w:sz w:val="24"/>
              </w:rPr>
              <w:t>（1）一般固体废物</w:t>
            </w:r>
          </w:p>
          <w:p w14:paraId="65E96065">
            <w:pPr>
              <w:widowControl/>
              <w:snapToGrid w:val="0"/>
              <w:spacing w:line="360" w:lineRule="auto"/>
              <w:ind w:firstLine="480" w:firstLineChars="200"/>
              <w:rPr>
                <w:rFonts w:ascii="Times New Roman" w:hAnsi="Times New Roman" w:cs="Times New Roman"/>
                <w:kern w:val="0"/>
                <w:sz w:val="24"/>
                <w:szCs w:val="20"/>
              </w:rPr>
            </w:pPr>
            <w:r>
              <w:rPr>
                <w:rFonts w:hint="eastAsia" w:ascii="Times New Roman" w:hAnsi="Times New Roman" w:cs="Times New Roman"/>
                <w:kern w:val="0"/>
                <w:sz w:val="24"/>
                <w:szCs w:val="20"/>
              </w:rPr>
              <w:t>干燥器废分子筛（S2）</w:t>
            </w:r>
            <w:r>
              <w:rPr>
                <w:rFonts w:ascii="Times New Roman" w:hAnsi="Times New Roman" w:cs="Times New Roman"/>
                <w:kern w:val="0"/>
                <w:sz w:val="24"/>
                <w:szCs w:val="20"/>
              </w:rPr>
              <w:t>：脱水</w:t>
            </w:r>
            <w:r>
              <w:rPr>
                <w:rFonts w:hint="eastAsia" w:ascii="Times New Roman" w:hAnsi="Times New Roman" w:cs="Times New Roman"/>
                <w:kern w:val="0"/>
                <w:sz w:val="24"/>
                <w:szCs w:val="20"/>
              </w:rPr>
              <w:t>干燥</w:t>
            </w:r>
            <w:r>
              <w:rPr>
                <w:rFonts w:ascii="Times New Roman" w:hAnsi="Times New Roman" w:cs="Times New Roman"/>
                <w:kern w:val="0"/>
                <w:sz w:val="24"/>
                <w:szCs w:val="20"/>
              </w:rPr>
              <w:t>分子筛约4年更换一次，每次更换量18t，为一般固废，由厂家进行回收或外委处置。</w:t>
            </w:r>
          </w:p>
          <w:p w14:paraId="4523E838">
            <w:pPr>
              <w:widowControl/>
              <w:snapToGrid w:val="0"/>
              <w:spacing w:line="360" w:lineRule="auto"/>
              <w:ind w:firstLine="480" w:firstLineChars="200"/>
              <w:rPr>
                <w:rFonts w:ascii="Times New Roman" w:hAnsi="Times New Roman" w:cs="Times New Roman"/>
                <w:kern w:val="0"/>
                <w:sz w:val="24"/>
                <w:szCs w:val="20"/>
              </w:rPr>
            </w:pPr>
            <w:r>
              <w:rPr>
                <w:rFonts w:hint="eastAsia" w:ascii="Times New Roman" w:hAnsi="Times New Roman" w:cs="Times New Roman"/>
                <w:kern w:val="0"/>
                <w:sz w:val="24"/>
                <w:szCs w:val="20"/>
              </w:rPr>
              <w:t>制冷剂干燥产生的废分子筛</w:t>
            </w:r>
            <w:r>
              <w:rPr>
                <w:rFonts w:ascii="Times New Roman" w:hAnsi="Times New Roman" w:cs="Times New Roman"/>
                <w:kern w:val="0"/>
                <w:sz w:val="24"/>
                <w:szCs w:val="20"/>
              </w:rPr>
              <w:t>（S4）：</w:t>
            </w:r>
            <w:r>
              <w:rPr>
                <w:rFonts w:hint="eastAsia" w:ascii="Times New Roman" w:hAnsi="Times New Roman" w:cs="Times New Roman"/>
                <w:kern w:val="0"/>
                <w:sz w:val="24"/>
                <w:szCs w:val="20"/>
              </w:rPr>
              <w:t>制冷剂干燥分子筛</w:t>
            </w:r>
            <w:r>
              <w:rPr>
                <w:rFonts w:ascii="Times New Roman" w:hAnsi="Times New Roman" w:cs="Times New Roman"/>
                <w:kern w:val="0"/>
                <w:sz w:val="24"/>
                <w:szCs w:val="20"/>
              </w:rPr>
              <w:t>约</w:t>
            </w:r>
            <w:r>
              <w:rPr>
                <w:rFonts w:hint="eastAsia" w:ascii="Times New Roman" w:hAnsi="Times New Roman" w:cs="Times New Roman"/>
                <w:kern w:val="0"/>
                <w:sz w:val="24"/>
                <w:szCs w:val="20"/>
              </w:rPr>
              <w:t>4</w:t>
            </w:r>
            <w:r>
              <w:rPr>
                <w:rFonts w:ascii="Times New Roman" w:hAnsi="Times New Roman" w:cs="Times New Roman"/>
                <w:kern w:val="0"/>
                <w:sz w:val="24"/>
                <w:szCs w:val="20"/>
              </w:rPr>
              <w:t>年更换一次，每次更换量</w:t>
            </w:r>
            <w:r>
              <w:rPr>
                <w:rFonts w:hint="eastAsia" w:ascii="Times New Roman" w:hAnsi="Times New Roman" w:cs="Times New Roman"/>
                <w:kern w:val="0"/>
                <w:sz w:val="24"/>
                <w:szCs w:val="20"/>
              </w:rPr>
              <w:t>3</w:t>
            </w:r>
            <w:r>
              <w:rPr>
                <w:rFonts w:ascii="Times New Roman" w:hAnsi="Times New Roman" w:cs="Times New Roman"/>
                <w:kern w:val="0"/>
                <w:sz w:val="24"/>
                <w:szCs w:val="20"/>
              </w:rPr>
              <w:t>t，为一般固废，由厂家进行回收或外委处置。</w:t>
            </w:r>
          </w:p>
          <w:p w14:paraId="0D908AE8">
            <w:pPr>
              <w:widowControl/>
              <w:snapToGrid w:val="0"/>
              <w:spacing w:line="360" w:lineRule="auto"/>
              <w:ind w:firstLine="480" w:firstLineChars="200"/>
              <w:rPr>
                <w:rFonts w:ascii="Times New Roman" w:hAnsi="Times New Roman" w:cs="Times New Roman"/>
                <w:kern w:val="0"/>
                <w:sz w:val="24"/>
                <w:szCs w:val="20"/>
              </w:rPr>
            </w:pPr>
            <w:r>
              <w:rPr>
                <w:rFonts w:ascii="Times New Roman" w:hAnsi="Times New Roman" w:cs="Times New Roman"/>
                <w:kern w:val="0"/>
                <w:sz w:val="24"/>
                <w:szCs w:val="20"/>
              </w:rPr>
              <w:t>（2）危险废物</w:t>
            </w:r>
          </w:p>
          <w:p w14:paraId="7D2DA298">
            <w:pPr>
              <w:widowControl/>
              <w:snapToGrid w:val="0"/>
              <w:spacing w:line="360" w:lineRule="auto"/>
              <w:ind w:firstLine="480" w:firstLineChars="200"/>
              <w:rPr>
                <w:rFonts w:ascii="Times New Roman" w:hAnsi="Times New Roman" w:cs="Times New Roman"/>
                <w:kern w:val="0"/>
                <w:sz w:val="24"/>
                <w:szCs w:val="20"/>
              </w:rPr>
            </w:pPr>
            <w:r>
              <w:rPr>
                <w:rFonts w:hint="eastAsia" w:ascii="Times New Roman" w:hAnsi="Times New Roman" w:cs="Times New Roman"/>
                <w:kern w:val="0"/>
                <w:sz w:val="24"/>
                <w:szCs w:val="20"/>
              </w:rPr>
              <w:t>贫胺过滤器失效的废吸附剂</w:t>
            </w:r>
            <w:r>
              <w:rPr>
                <w:rFonts w:ascii="Times New Roman" w:hAnsi="Times New Roman" w:cs="Times New Roman"/>
                <w:kern w:val="0"/>
                <w:sz w:val="24"/>
                <w:szCs w:val="20"/>
              </w:rPr>
              <w:t>（S1）：约4年更换一次，每次更换量2.1t，为危险废物，交有相应资质的危废处置单位处置。</w:t>
            </w:r>
          </w:p>
          <w:p w14:paraId="5AC3A9E3">
            <w:pPr>
              <w:widowControl/>
              <w:snapToGrid w:val="0"/>
              <w:spacing w:line="360" w:lineRule="auto"/>
              <w:ind w:firstLine="480" w:firstLineChars="200"/>
              <w:rPr>
                <w:rFonts w:ascii="Times New Roman" w:hAnsi="Times New Roman" w:cs="Times New Roman"/>
                <w:kern w:val="0"/>
                <w:sz w:val="24"/>
                <w:szCs w:val="20"/>
              </w:rPr>
            </w:pPr>
            <w:r>
              <w:rPr>
                <w:rFonts w:ascii="Times New Roman" w:hAnsi="Times New Roman" w:cs="Times New Roman"/>
                <w:kern w:val="0"/>
                <w:sz w:val="24"/>
                <w:szCs w:val="20"/>
              </w:rPr>
              <w:t>脱汞塔更换的废脱汞剂（S3）：约4年更换一次，每次更换量3.5t，为危险废物，交有相应资质的危废处置单位处置。</w:t>
            </w:r>
          </w:p>
          <w:p w14:paraId="1F594F4B">
            <w:pPr>
              <w:widowControl/>
              <w:snapToGrid w:val="0"/>
              <w:spacing w:line="360" w:lineRule="auto"/>
              <w:ind w:firstLine="480" w:firstLineChars="200"/>
              <w:rPr>
                <w:rFonts w:ascii="Times New Roman" w:hAnsi="Times New Roman" w:cs="Times New Roman"/>
                <w:kern w:val="0"/>
                <w:sz w:val="24"/>
                <w:szCs w:val="20"/>
              </w:rPr>
            </w:pPr>
            <w:r>
              <w:rPr>
                <w:rFonts w:ascii="Times New Roman" w:hAnsi="Times New Roman" w:cs="Times New Roman"/>
                <w:kern w:val="0"/>
                <w:sz w:val="24"/>
                <w:szCs w:val="20"/>
              </w:rPr>
              <w:t>导热油系统更换的废导热油（S</w:t>
            </w:r>
            <w:r>
              <w:rPr>
                <w:rFonts w:hint="eastAsia" w:ascii="Times New Roman" w:hAnsi="Times New Roman" w:cs="Times New Roman"/>
                <w:kern w:val="0"/>
                <w:sz w:val="24"/>
                <w:szCs w:val="20"/>
              </w:rPr>
              <w:t>5</w:t>
            </w:r>
            <w:r>
              <w:rPr>
                <w:rFonts w:ascii="Times New Roman" w:hAnsi="Times New Roman" w:cs="Times New Roman"/>
                <w:kern w:val="0"/>
                <w:sz w:val="24"/>
                <w:szCs w:val="20"/>
              </w:rPr>
              <w:t>）：约5年更换一次，每次更换量</w:t>
            </w:r>
            <w:r>
              <w:rPr>
                <w:rFonts w:hint="eastAsia" w:ascii="Times New Roman" w:hAnsi="Times New Roman" w:cs="Times New Roman"/>
                <w:kern w:val="0"/>
                <w:sz w:val="24"/>
                <w:szCs w:val="20"/>
              </w:rPr>
              <w:t>21</w:t>
            </w:r>
            <w:r>
              <w:rPr>
                <w:rFonts w:ascii="Times New Roman" w:hAnsi="Times New Roman" w:cs="Times New Roman"/>
                <w:kern w:val="0"/>
                <w:sz w:val="24"/>
                <w:szCs w:val="20"/>
              </w:rPr>
              <w:t>t，为危险废物，交有相应资质的危废处置单位处置。</w:t>
            </w:r>
          </w:p>
          <w:p w14:paraId="4043C451">
            <w:pPr>
              <w:widowControl/>
              <w:snapToGrid w:val="0"/>
              <w:spacing w:line="360" w:lineRule="auto"/>
              <w:ind w:firstLine="480" w:firstLineChars="200"/>
              <w:rPr>
                <w:rFonts w:ascii="Times New Roman" w:hAnsi="Times New Roman" w:cs="Times New Roman"/>
                <w:kern w:val="0"/>
                <w:sz w:val="24"/>
                <w:szCs w:val="20"/>
              </w:rPr>
            </w:pPr>
            <w:r>
              <w:rPr>
                <w:rFonts w:ascii="Times New Roman" w:hAnsi="Times New Roman" w:cs="Times New Roman"/>
                <w:kern w:val="0"/>
                <w:sz w:val="24"/>
                <w:szCs w:val="20"/>
              </w:rPr>
              <w:t>废冷冻机油（S</w:t>
            </w:r>
            <w:r>
              <w:rPr>
                <w:rFonts w:hint="eastAsia" w:ascii="Times New Roman" w:hAnsi="Times New Roman" w:cs="Times New Roman"/>
                <w:kern w:val="0"/>
                <w:sz w:val="24"/>
                <w:szCs w:val="20"/>
              </w:rPr>
              <w:t>6</w:t>
            </w:r>
            <w:r>
              <w:rPr>
                <w:rFonts w:ascii="Times New Roman" w:hAnsi="Times New Roman" w:cs="Times New Roman"/>
                <w:kern w:val="0"/>
                <w:sz w:val="24"/>
                <w:szCs w:val="20"/>
              </w:rPr>
              <w:t>）：来自冷剂压缩机检修，产生量约0.2t/a，交有相应资质的危废处置单位处置。</w:t>
            </w:r>
          </w:p>
          <w:p w14:paraId="02CF29A0">
            <w:pPr>
              <w:widowControl/>
              <w:snapToGrid w:val="0"/>
              <w:spacing w:line="360" w:lineRule="auto"/>
              <w:ind w:firstLine="480" w:firstLineChars="200"/>
              <w:rPr>
                <w:rFonts w:ascii="Times New Roman" w:hAnsi="Times New Roman" w:cs="Times New Roman"/>
                <w:kern w:val="0"/>
                <w:sz w:val="24"/>
                <w:szCs w:val="20"/>
              </w:rPr>
            </w:pPr>
            <w:r>
              <w:rPr>
                <w:rFonts w:ascii="Times New Roman" w:hAnsi="Times New Roman" w:cs="Times New Roman"/>
                <w:kern w:val="0"/>
                <w:sz w:val="24"/>
                <w:szCs w:val="20"/>
              </w:rPr>
              <w:t>废润滑油（S</w:t>
            </w:r>
            <w:r>
              <w:rPr>
                <w:rFonts w:hint="eastAsia" w:ascii="Times New Roman" w:hAnsi="Times New Roman" w:cs="Times New Roman"/>
                <w:kern w:val="0"/>
                <w:sz w:val="24"/>
                <w:szCs w:val="20"/>
              </w:rPr>
              <w:t>7</w:t>
            </w:r>
            <w:r>
              <w:rPr>
                <w:rFonts w:ascii="Times New Roman" w:hAnsi="Times New Roman" w:cs="Times New Roman"/>
                <w:kern w:val="0"/>
                <w:sz w:val="24"/>
                <w:szCs w:val="20"/>
              </w:rPr>
              <w:t>）：主要来自原料气压缩机、BOG压缩机、空气压缩机等设备产生的废润滑油，产生量约0.5t/a，交有相应资质的危废处置单位处置。</w:t>
            </w:r>
          </w:p>
          <w:p w14:paraId="607C9C91">
            <w:pPr>
              <w:widowControl/>
              <w:snapToGrid w:val="0"/>
              <w:spacing w:line="360" w:lineRule="auto"/>
              <w:ind w:firstLine="480" w:firstLineChars="200"/>
              <w:rPr>
                <w:rFonts w:ascii="Times New Roman" w:hAnsi="Times New Roman" w:cs="Times New Roman"/>
                <w:kern w:val="0"/>
                <w:sz w:val="24"/>
                <w:szCs w:val="20"/>
              </w:rPr>
            </w:pPr>
            <w:r>
              <w:rPr>
                <w:rFonts w:ascii="Times New Roman" w:hAnsi="Times New Roman" w:cs="Times New Roman"/>
                <w:kern w:val="0"/>
                <w:sz w:val="24"/>
                <w:szCs w:val="20"/>
              </w:rPr>
              <w:t>（3）生活垃圾</w:t>
            </w:r>
          </w:p>
          <w:p w14:paraId="278F3E6C">
            <w:pPr>
              <w:spacing w:line="360" w:lineRule="auto"/>
              <w:ind w:firstLine="480" w:firstLineChars="200"/>
              <w:rPr>
                <w:rFonts w:ascii="Times New Roman" w:hAnsi="Times New Roman" w:cs="Times New Roman"/>
                <w:bCs/>
                <w:sz w:val="24"/>
                <w:szCs w:val="26"/>
              </w:rPr>
            </w:pPr>
            <w:r>
              <w:rPr>
                <w:rFonts w:ascii="Times New Roman" w:hAnsi="Times New Roman" w:cs="Times New Roman"/>
                <w:bCs/>
                <w:sz w:val="24"/>
                <w:szCs w:val="26"/>
              </w:rPr>
              <w:t>拟建项目劳动定员54人，</w:t>
            </w:r>
            <w:r>
              <w:rPr>
                <w:rFonts w:ascii="Times New Roman" w:hAnsi="Times New Roman" w:cs="Times New Roman"/>
                <w:sz w:val="24"/>
              </w:rPr>
              <w:t>职工生活垃圾按0.5kg/人·d计算，</w:t>
            </w:r>
            <w:r>
              <w:rPr>
                <w:rFonts w:ascii="Times New Roman" w:hAnsi="Times New Roman" w:cs="Times New Roman"/>
                <w:kern w:val="0"/>
                <w:sz w:val="24"/>
              </w:rPr>
              <w:t>则运营期生活垃圾产生量为12.15 t/a（为36.5kg/d）。生活垃圾在厂区集中收集，交环卫部门处</w:t>
            </w:r>
            <w:r>
              <w:rPr>
                <w:rFonts w:ascii="Times New Roman" w:hAnsi="Times New Roman" w:cs="Times New Roman"/>
                <w:bCs/>
                <w:sz w:val="24"/>
                <w:szCs w:val="26"/>
              </w:rPr>
              <w:t>置。</w:t>
            </w:r>
          </w:p>
          <w:p w14:paraId="3D5A7440">
            <w:pPr>
              <w:spacing w:line="360" w:lineRule="auto"/>
              <w:ind w:firstLine="480" w:firstLineChars="200"/>
              <w:rPr>
                <w:rFonts w:ascii="Times New Roman" w:hAnsi="Times New Roman" w:cs="Times New Roman"/>
                <w:bCs/>
                <w:sz w:val="24"/>
                <w:szCs w:val="26"/>
              </w:rPr>
            </w:pPr>
            <w:r>
              <w:rPr>
                <w:rFonts w:ascii="Times New Roman" w:hAnsi="Times New Roman" w:cs="Times New Roman"/>
                <w:bCs/>
                <w:sz w:val="24"/>
                <w:szCs w:val="26"/>
              </w:rPr>
              <w:t>拟建项目固体废物防治措施与污染物产排情况见下表。</w:t>
            </w:r>
          </w:p>
          <w:p w14:paraId="522A8BDF">
            <w:pPr>
              <w:jc w:val="center"/>
              <w:rPr>
                <w:rFonts w:ascii="Times New Roman" w:hAnsi="Times New Roman" w:cs="Times New Roman"/>
                <w:kern w:val="0"/>
              </w:rPr>
            </w:pPr>
            <w:r>
              <w:rPr>
                <w:rFonts w:ascii="Times New Roman" w:hAnsi="Times New Roman" w:cs="Times New Roman"/>
                <w:kern w:val="0"/>
              </w:rPr>
              <w:t xml:space="preserve">表4.2-15  </w:t>
            </w:r>
            <w:r>
              <w:rPr>
                <w:rFonts w:ascii="Times New Roman" w:hAnsi="Times New Roman" w:cs="Times New Roman"/>
                <w:kern w:val="0"/>
                <w:szCs w:val="21"/>
                <w:shd w:val="clear" w:color="auto" w:fill="FFFFFF"/>
              </w:rPr>
              <w:t>固体废物防治措施与污染物产排情况一览表</w:t>
            </w:r>
          </w:p>
          <w:tbl>
            <w:tblPr>
              <w:tblStyle w:val="8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79"/>
              <w:gridCol w:w="994"/>
              <w:gridCol w:w="558"/>
              <w:gridCol w:w="844"/>
              <w:gridCol w:w="1256"/>
              <w:gridCol w:w="775"/>
              <w:gridCol w:w="731"/>
              <w:gridCol w:w="776"/>
              <w:gridCol w:w="731"/>
              <w:gridCol w:w="1381"/>
            </w:tblGrid>
            <w:tr w14:paraId="7B76C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Merge w:val="restart"/>
                  <w:vAlign w:val="center"/>
                </w:tcPr>
                <w:p w14:paraId="4544D4EF">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序号</w:t>
                  </w:r>
                </w:p>
              </w:tc>
              <w:tc>
                <w:tcPr>
                  <w:tcW w:w="994" w:type="dxa"/>
                  <w:vMerge w:val="restart"/>
                  <w:vAlign w:val="center"/>
                </w:tcPr>
                <w:p w14:paraId="7CA9B661">
                  <w:pPr>
                    <w:widowControl/>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shd w:val="clear" w:color="auto" w:fill="FFFFFF"/>
                    </w:rPr>
                    <w:t>污染源</w:t>
                  </w:r>
                </w:p>
              </w:tc>
              <w:tc>
                <w:tcPr>
                  <w:tcW w:w="558" w:type="dxa"/>
                  <w:vMerge w:val="restart"/>
                  <w:vAlign w:val="center"/>
                </w:tcPr>
                <w:p w14:paraId="15C6941D">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名称</w:t>
                  </w:r>
                </w:p>
              </w:tc>
              <w:tc>
                <w:tcPr>
                  <w:tcW w:w="844" w:type="dxa"/>
                  <w:vMerge w:val="restart"/>
                  <w:vAlign w:val="center"/>
                </w:tcPr>
                <w:p w14:paraId="7E2CCD29">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固废属性</w:t>
                  </w:r>
                </w:p>
              </w:tc>
              <w:tc>
                <w:tcPr>
                  <w:tcW w:w="1256" w:type="dxa"/>
                  <w:vMerge w:val="restart"/>
                  <w:vAlign w:val="center"/>
                </w:tcPr>
                <w:p w14:paraId="17C799AE">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代码</w:t>
                  </w:r>
                </w:p>
              </w:tc>
              <w:tc>
                <w:tcPr>
                  <w:tcW w:w="1506" w:type="dxa"/>
                  <w:gridSpan w:val="2"/>
                  <w:vAlign w:val="center"/>
                </w:tcPr>
                <w:p w14:paraId="5F5F5E62">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产生情况</w:t>
                  </w:r>
                </w:p>
              </w:tc>
              <w:tc>
                <w:tcPr>
                  <w:tcW w:w="0" w:type="auto"/>
                  <w:gridSpan w:val="2"/>
                  <w:vAlign w:val="center"/>
                </w:tcPr>
                <w:p w14:paraId="68B4BBF4">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处置措施</w:t>
                  </w:r>
                </w:p>
              </w:tc>
              <w:tc>
                <w:tcPr>
                  <w:tcW w:w="0" w:type="auto"/>
                  <w:vMerge w:val="restart"/>
                  <w:vAlign w:val="center"/>
                </w:tcPr>
                <w:p w14:paraId="789B5E1F">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最终去向</w:t>
                  </w:r>
                </w:p>
              </w:tc>
            </w:tr>
            <w:tr w14:paraId="5AE67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Merge w:val="continue"/>
                  <w:vAlign w:val="center"/>
                </w:tcPr>
                <w:p w14:paraId="17B042AC">
                  <w:pPr>
                    <w:widowControl/>
                    <w:jc w:val="center"/>
                    <w:rPr>
                      <w:rFonts w:ascii="Times New Roman" w:hAnsi="Times New Roman" w:cs="Times New Roman"/>
                      <w:sz w:val="18"/>
                      <w:szCs w:val="18"/>
                      <w:shd w:val="clear" w:color="auto" w:fill="FFFFFF"/>
                    </w:rPr>
                  </w:pPr>
                </w:p>
              </w:tc>
              <w:tc>
                <w:tcPr>
                  <w:tcW w:w="994" w:type="dxa"/>
                  <w:vMerge w:val="continue"/>
                  <w:vAlign w:val="center"/>
                </w:tcPr>
                <w:p w14:paraId="5FFA7FA6">
                  <w:pPr>
                    <w:widowControl/>
                    <w:jc w:val="center"/>
                    <w:rPr>
                      <w:rFonts w:ascii="Times New Roman" w:hAnsi="Times New Roman" w:cs="Times New Roman"/>
                      <w:sz w:val="18"/>
                      <w:szCs w:val="18"/>
                      <w:shd w:val="clear" w:color="auto" w:fill="FFFFFF"/>
                    </w:rPr>
                  </w:pPr>
                </w:p>
              </w:tc>
              <w:tc>
                <w:tcPr>
                  <w:tcW w:w="558" w:type="dxa"/>
                  <w:vMerge w:val="continue"/>
                  <w:vAlign w:val="center"/>
                </w:tcPr>
                <w:p w14:paraId="27FFE1DE">
                  <w:pPr>
                    <w:widowControl/>
                    <w:jc w:val="center"/>
                    <w:rPr>
                      <w:rFonts w:ascii="Times New Roman" w:hAnsi="Times New Roman" w:cs="Times New Roman"/>
                      <w:sz w:val="18"/>
                      <w:szCs w:val="18"/>
                      <w:shd w:val="clear" w:color="auto" w:fill="FFFFFF"/>
                    </w:rPr>
                  </w:pPr>
                </w:p>
              </w:tc>
              <w:tc>
                <w:tcPr>
                  <w:tcW w:w="844" w:type="dxa"/>
                  <w:vMerge w:val="continue"/>
                  <w:vAlign w:val="center"/>
                </w:tcPr>
                <w:p w14:paraId="1E88BDF8">
                  <w:pPr>
                    <w:widowControl/>
                    <w:jc w:val="center"/>
                    <w:rPr>
                      <w:rFonts w:ascii="Times New Roman" w:hAnsi="Times New Roman" w:cs="Times New Roman"/>
                      <w:sz w:val="18"/>
                      <w:szCs w:val="18"/>
                      <w:shd w:val="clear" w:color="auto" w:fill="FFFFFF"/>
                    </w:rPr>
                  </w:pPr>
                </w:p>
              </w:tc>
              <w:tc>
                <w:tcPr>
                  <w:tcW w:w="1256" w:type="dxa"/>
                  <w:vMerge w:val="continue"/>
                  <w:vAlign w:val="center"/>
                </w:tcPr>
                <w:p w14:paraId="7EEC8F08">
                  <w:pPr>
                    <w:widowControl/>
                    <w:jc w:val="center"/>
                    <w:rPr>
                      <w:rFonts w:ascii="Times New Roman" w:hAnsi="Times New Roman" w:cs="Times New Roman"/>
                      <w:sz w:val="18"/>
                      <w:szCs w:val="18"/>
                      <w:shd w:val="clear" w:color="auto" w:fill="FFFFFF"/>
                    </w:rPr>
                  </w:pPr>
                </w:p>
              </w:tc>
              <w:tc>
                <w:tcPr>
                  <w:tcW w:w="775" w:type="dxa"/>
                  <w:vAlign w:val="center"/>
                </w:tcPr>
                <w:p w14:paraId="54383219">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核算方法</w:t>
                  </w:r>
                </w:p>
              </w:tc>
              <w:tc>
                <w:tcPr>
                  <w:tcW w:w="0" w:type="auto"/>
                  <w:vAlign w:val="center"/>
                </w:tcPr>
                <w:p w14:paraId="0AE6BD3B">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产生量</w:t>
                  </w:r>
                </w:p>
              </w:tc>
              <w:tc>
                <w:tcPr>
                  <w:tcW w:w="0" w:type="auto"/>
                  <w:vAlign w:val="center"/>
                </w:tcPr>
                <w:p w14:paraId="50F6333C">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工艺</w:t>
                  </w:r>
                </w:p>
              </w:tc>
              <w:tc>
                <w:tcPr>
                  <w:tcW w:w="0" w:type="auto"/>
                  <w:vAlign w:val="center"/>
                </w:tcPr>
                <w:p w14:paraId="1018647C">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处置量</w:t>
                  </w:r>
                </w:p>
              </w:tc>
              <w:tc>
                <w:tcPr>
                  <w:tcW w:w="0" w:type="auto"/>
                  <w:vMerge w:val="continue"/>
                  <w:vAlign w:val="center"/>
                </w:tcPr>
                <w:p w14:paraId="12D39ACD">
                  <w:pPr>
                    <w:widowControl/>
                    <w:jc w:val="center"/>
                    <w:rPr>
                      <w:rFonts w:ascii="Times New Roman" w:hAnsi="Times New Roman" w:cs="Times New Roman"/>
                      <w:sz w:val="18"/>
                      <w:szCs w:val="18"/>
                      <w:shd w:val="clear" w:color="auto" w:fill="FFFFFF"/>
                    </w:rPr>
                  </w:pPr>
                </w:p>
              </w:tc>
            </w:tr>
            <w:tr w14:paraId="3135C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Align w:val="center"/>
                </w:tcPr>
                <w:p w14:paraId="562FDC99">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1</w:t>
                  </w:r>
                </w:p>
              </w:tc>
              <w:tc>
                <w:tcPr>
                  <w:tcW w:w="994" w:type="dxa"/>
                  <w:noWrap/>
                  <w:vAlign w:val="center"/>
                </w:tcPr>
                <w:p w14:paraId="052EC58F">
                  <w:pPr>
                    <w:widowControl/>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shd w:val="clear" w:color="auto" w:fill="FFFFFF"/>
                    </w:rPr>
                    <w:t>干燥器废分子筛（S2）</w:t>
                  </w:r>
                </w:p>
              </w:tc>
              <w:tc>
                <w:tcPr>
                  <w:tcW w:w="558" w:type="dxa"/>
                  <w:vAlign w:val="center"/>
                </w:tcPr>
                <w:p w14:paraId="6E5DA89B">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废分子筛</w:t>
                  </w:r>
                </w:p>
              </w:tc>
              <w:tc>
                <w:tcPr>
                  <w:tcW w:w="844" w:type="dxa"/>
                  <w:noWrap/>
                  <w:vAlign w:val="center"/>
                </w:tcPr>
                <w:p w14:paraId="1A1A4237">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一般固体废物</w:t>
                  </w:r>
                </w:p>
              </w:tc>
              <w:tc>
                <w:tcPr>
                  <w:tcW w:w="1256" w:type="dxa"/>
                  <w:noWrap/>
                  <w:vAlign w:val="center"/>
                </w:tcPr>
                <w:p w14:paraId="7C6AEDDA">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061-001-21</w:t>
                  </w:r>
                </w:p>
              </w:tc>
              <w:tc>
                <w:tcPr>
                  <w:tcW w:w="775" w:type="dxa"/>
                  <w:vAlign w:val="center"/>
                </w:tcPr>
                <w:p w14:paraId="2D33B50A">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类比法</w:t>
                  </w:r>
                </w:p>
              </w:tc>
              <w:tc>
                <w:tcPr>
                  <w:tcW w:w="0" w:type="auto"/>
                  <w:vAlign w:val="center"/>
                </w:tcPr>
                <w:p w14:paraId="33B50964">
                  <w:pPr>
                    <w:widowControl/>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shd w:val="clear" w:color="auto" w:fill="FFFFFF"/>
                    </w:rPr>
                    <w:t>18</w:t>
                  </w:r>
                  <w:r>
                    <w:rPr>
                      <w:rFonts w:ascii="Times New Roman" w:hAnsi="Times New Roman" w:cs="Times New Roman"/>
                      <w:sz w:val="18"/>
                      <w:szCs w:val="18"/>
                      <w:shd w:val="clear" w:color="auto" w:fill="FFFFFF"/>
                    </w:rPr>
                    <w:t>t/</w:t>
                  </w:r>
                  <w:r>
                    <w:rPr>
                      <w:rFonts w:hint="eastAsia" w:ascii="Times New Roman" w:hAnsi="Times New Roman" w:cs="Times New Roman"/>
                      <w:sz w:val="18"/>
                      <w:szCs w:val="18"/>
                      <w:shd w:val="clear" w:color="auto" w:fill="FFFFFF"/>
                    </w:rPr>
                    <w:t>4</w:t>
                  </w:r>
                  <w:r>
                    <w:rPr>
                      <w:rFonts w:ascii="Times New Roman" w:hAnsi="Times New Roman" w:cs="Times New Roman"/>
                      <w:sz w:val="18"/>
                      <w:szCs w:val="18"/>
                      <w:shd w:val="clear" w:color="auto" w:fill="FFFFFF"/>
                    </w:rPr>
                    <w:t>a</w:t>
                  </w:r>
                </w:p>
              </w:tc>
              <w:tc>
                <w:tcPr>
                  <w:tcW w:w="0" w:type="auto"/>
                  <w:noWrap/>
                  <w:vAlign w:val="center"/>
                </w:tcPr>
                <w:p w14:paraId="4336031E">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定期更换</w:t>
                  </w:r>
                </w:p>
              </w:tc>
              <w:tc>
                <w:tcPr>
                  <w:tcW w:w="0" w:type="auto"/>
                  <w:vAlign w:val="center"/>
                </w:tcPr>
                <w:p w14:paraId="0A225BCF">
                  <w:pPr>
                    <w:widowControl/>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shd w:val="clear" w:color="auto" w:fill="FFFFFF"/>
                    </w:rPr>
                    <w:t>18</w:t>
                  </w:r>
                  <w:r>
                    <w:rPr>
                      <w:rFonts w:ascii="Times New Roman" w:hAnsi="Times New Roman" w:cs="Times New Roman"/>
                      <w:sz w:val="18"/>
                      <w:szCs w:val="18"/>
                      <w:shd w:val="clear" w:color="auto" w:fill="FFFFFF"/>
                    </w:rPr>
                    <w:t>t</w:t>
                  </w:r>
                </w:p>
              </w:tc>
              <w:tc>
                <w:tcPr>
                  <w:tcW w:w="0" w:type="auto"/>
                  <w:vAlign w:val="center"/>
                </w:tcPr>
                <w:p w14:paraId="6328D9BB">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厂家回收或外委处置</w:t>
                  </w:r>
                </w:p>
              </w:tc>
            </w:tr>
            <w:tr w14:paraId="2FB85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Align w:val="center"/>
                </w:tcPr>
                <w:p w14:paraId="77A0BC5A">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2</w:t>
                  </w:r>
                </w:p>
              </w:tc>
              <w:tc>
                <w:tcPr>
                  <w:tcW w:w="994" w:type="dxa"/>
                  <w:noWrap/>
                  <w:vAlign w:val="center"/>
                </w:tcPr>
                <w:p w14:paraId="6C66CAD8">
                  <w:pPr>
                    <w:widowControl/>
                    <w:jc w:val="center"/>
                    <w:rPr>
                      <w:rFonts w:ascii="Times New Roman" w:hAnsi="Times New Roman" w:cs="Times New Roman"/>
                      <w:sz w:val="18"/>
                      <w:szCs w:val="18"/>
                    </w:rPr>
                  </w:pPr>
                  <w:r>
                    <w:rPr>
                      <w:rFonts w:hint="eastAsia" w:ascii="Times New Roman" w:hAnsi="Times New Roman" w:cs="Times New Roman"/>
                      <w:sz w:val="18"/>
                      <w:szCs w:val="18"/>
                    </w:rPr>
                    <w:t>制冷剂干燥产生的废分子筛（S4）</w:t>
                  </w:r>
                </w:p>
              </w:tc>
              <w:tc>
                <w:tcPr>
                  <w:tcW w:w="558" w:type="dxa"/>
                  <w:vAlign w:val="center"/>
                </w:tcPr>
                <w:p w14:paraId="3E80ADF0">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rPr>
                    <w:t>废分子筛</w:t>
                  </w:r>
                </w:p>
              </w:tc>
              <w:tc>
                <w:tcPr>
                  <w:tcW w:w="844" w:type="dxa"/>
                  <w:noWrap/>
                  <w:vAlign w:val="center"/>
                </w:tcPr>
                <w:p w14:paraId="699DB88F">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一般固体废物</w:t>
                  </w:r>
                </w:p>
              </w:tc>
              <w:tc>
                <w:tcPr>
                  <w:tcW w:w="1256" w:type="dxa"/>
                  <w:noWrap/>
                  <w:vAlign w:val="center"/>
                </w:tcPr>
                <w:p w14:paraId="62BE4720">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112-999-99</w:t>
                  </w:r>
                </w:p>
              </w:tc>
              <w:tc>
                <w:tcPr>
                  <w:tcW w:w="775" w:type="dxa"/>
                  <w:vAlign w:val="center"/>
                </w:tcPr>
                <w:p w14:paraId="38BB7629">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类比法</w:t>
                  </w:r>
                </w:p>
              </w:tc>
              <w:tc>
                <w:tcPr>
                  <w:tcW w:w="0" w:type="auto"/>
                  <w:vAlign w:val="center"/>
                </w:tcPr>
                <w:p w14:paraId="0AB0CD14">
                  <w:pPr>
                    <w:widowControl/>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rPr>
                    <w:t>3</w:t>
                  </w:r>
                  <w:r>
                    <w:rPr>
                      <w:rFonts w:ascii="Times New Roman" w:hAnsi="Times New Roman" w:cs="Times New Roman"/>
                      <w:sz w:val="18"/>
                      <w:szCs w:val="18"/>
                    </w:rPr>
                    <w:t>t</w:t>
                  </w:r>
                  <w:r>
                    <w:rPr>
                      <w:rFonts w:ascii="Times New Roman" w:hAnsi="Times New Roman" w:cs="Times New Roman"/>
                      <w:sz w:val="18"/>
                      <w:szCs w:val="18"/>
                      <w:shd w:val="clear" w:color="auto" w:fill="FFFFFF"/>
                    </w:rPr>
                    <w:t>/4a</w:t>
                  </w:r>
                </w:p>
              </w:tc>
              <w:tc>
                <w:tcPr>
                  <w:tcW w:w="0" w:type="auto"/>
                  <w:noWrap/>
                  <w:vAlign w:val="center"/>
                </w:tcPr>
                <w:p w14:paraId="3BB82500">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定期更换</w:t>
                  </w:r>
                </w:p>
              </w:tc>
              <w:tc>
                <w:tcPr>
                  <w:tcW w:w="0" w:type="auto"/>
                  <w:vAlign w:val="center"/>
                </w:tcPr>
                <w:p w14:paraId="22703556">
                  <w:pPr>
                    <w:widowControl/>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rPr>
                    <w:t>3</w:t>
                  </w:r>
                  <w:r>
                    <w:rPr>
                      <w:rFonts w:ascii="Times New Roman" w:hAnsi="Times New Roman" w:cs="Times New Roman"/>
                      <w:sz w:val="18"/>
                      <w:szCs w:val="18"/>
                    </w:rPr>
                    <w:t>t</w:t>
                  </w:r>
                </w:p>
              </w:tc>
              <w:tc>
                <w:tcPr>
                  <w:tcW w:w="0" w:type="auto"/>
                  <w:vAlign w:val="center"/>
                </w:tcPr>
                <w:p w14:paraId="45BAF0E5">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厂家回收或外委处置</w:t>
                  </w:r>
                </w:p>
              </w:tc>
            </w:tr>
            <w:tr w14:paraId="64483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Align w:val="center"/>
                </w:tcPr>
                <w:p w14:paraId="4D7DBF9B">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3</w:t>
                  </w:r>
                </w:p>
              </w:tc>
              <w:tc>
                <w:tcPr>
                  <w:tcW w:w="994" w:type="dxa"/>
                  <w:noWrap/>
                  <w:vAlign w:val="center"/>
                </w:tcPr>
                <w:p w14:paraId="6C2C7652">
                  <w:pPr>
                    <w:widowControl/>
                    <w:jc w:val="center"/>
                    <w:rPr>
                      <w:rFonts w:ascii="Times New Roman" w:hAnsi="Times New Roman" w:cs="Times New Roman"/>
                      <w:sz w:val="18"/>
                      <w:szCs w:val="18"/>
                    </w:rPr>
                  </w:pPr>
                  <w:r>
                    <w:rPr>
                      <w:rFonts w:hint="eastAsia" w:ascii="Times New Roman" w:hAnsi="Times New Roman" w:cs="Times New Roman"/>
                      <w:sz w:val="18"/>
                      <w:szCs w:val="18"/>
                    </w:rPr>
                    <w:t>贫胺过滤器失效的废吸附剂（S1）</w:t>
                  </w:r>
                </w:p>
              </w:tc>
              <w:tc>
                <w:tcPr>
                  <w:tcW w:w="558" w:type="dxa"/>
                  <w:vAlign w:val="center"/>
                </w:tcPr>
                <w:p w14:paraId="00C41FE7">
                  <w:pPr>
                    <w:widowControl/>
                    <w:jc w:val="center"/>
                    <w:rPr>
                      <w:rFonts w:ascii="Times New Roman" w:hAnsi="Times New Roman" w:cs="Times New Roman"/>
                      <w:sz w:val="18"/>
                      <w:szCs w:val="18"/>
                    </w:rPr>
                  </w:pPr>
                  <w:r>
                    <w:rPr>
                      <w:rFonts w:ascii="Times New Roman" w:hAnsi="Times New Roman" w:cs="Times New Roman"/>
                      <w:sz w:val="18"/>
                      <w:szCs w:val="18"/>
                    </w:rPr>
                    <w:t>废活性炭</w:t>
                  </w:r>
                </w:p>
              </w:tc>
              <w:tc>
                <w:tcPr>
                  <w:tcW w:w="844" w:type="dxa"/>
                  <w:noWrap/>
                  <w:vAlign w:val="center"/>
                </w:tcPr>
                <w:p w14:paraId="7F089AFC">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危险废物</w:t>
                  </w:r>
                </w:p>
              </w:tc>
              <w:tc>
                <w:tcPr>
                  <w:tcW w:w="1256" w:type="dxa"/>
                  <w:noWrap/>
                  <w:vAlign w:val="center"/>
                </w:tcPr>
                <w:p w14:paraId="082EACFD">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900-039-49</w:t>
                  </w:r>
                </w:p>
              </w:tc>
              <w:tc>
                <w:tcPr>
                  <w:tcW w:w="775" w:type="dxa"/>
                  <w:vAlign w:val="center"/>
                </w:tcPr>
                <w:p w14:paraId="01AF1319">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类比法</w:t>
                  </w:r>
                </w:p>
              </w:tc>
              <w:tc>
                <w:tcPr>
                  <w:tcW w:w="0" w:type="auto"/>
                  <w:vAlign w:val="center"/>
                </w:tcPr>
                <w:p w14:paraId="347C4780">
                  <w:pPr>
                    <w:widowControl/>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rPr>
                    <w:t>2.1</w:t>
                  </w:r>
                  <w:r>
                    <w:rPr>
                      <w:rFonts w:ascii="Times New Roman" w:hAnsi="Times New Roman" w:cs="Times New Roman"/>
                      <w:sz w:val="18"/>
                      <w:szCs w:val="18"/>
                    </w:rPr>
                    <w:t>t</w:t>
                  </w:r>
                  <w:r>
                    <w:rPr>
                      <w:rFonts w:ascii="Times New Roman" w:hAnsi="Times New Roman" w:cs="Times New Roman"/>
                      <w:sz w:val="18"/>
                      <w:szCs w:val="18"/>
                      <w:shd w:val="clear" w:color="auto" w:fill="FFFFFF"/>
                    </w:rPr>
                    <w:t>/4a</w:t>
                  </w:r>
                </w:p>
              </w:tc>
              <w:tc>
                <w:tcPr>
                  <w:tcW w:w="0" w:type="auto"/>
                  <w:noWrap/>
                  <w:vAlign w:val="center"/>
                </w:tcPr>
                <w:p w14:paraId="1ECFD3CB">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定期更换</w:t>
                  </w:r>
                </w:p>
              </w:tc>
              <w:tc>
                <w:tcPr>
                  <w:tcW w:w="0" w:type="auto"/>
                  <w:vAlign w:val="center"/>
                </w:tcPr>
                <w:p w14:paraId="25FCD882">
                  <w:pPr>
                    <w:widowControl/>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rPr>
                    <w:t>2.1</w:t>
                  </w:r>
                  <w:r>
                    <w:rPr>
                      <w:rFonts w:ascii="Times New Roman" w:hAnsi="Times New Roman" w:cs="Times New Roman"/>
                      <w:sz w:val="18"/>
                      <w:szCs w:val="18"/>
                    </w:rPr>
                    <w:t>t</w:t>
                  </w:r>
                  <w:r>
                    <w:rPr>
                      <w:rFonts w:ascii="Times New Roman" w:hAnsi="Times New Roman" w:cs="Times New Roman"/>
                      <w:sz w:val="18"/>
                      <w:szCs w:val="18"/>
                      <w:shd w:val="clear" w:color="auto" w:fill="FFFFFF"/>
                    </w:rPr>
                    <w:t>/4a</w:t>
                  </w:r>
                </w:p>
              </w:tc>
              <w:tc>
                <w:tcPr>
                  <w:tcW w:w="0" w:type="auto"/>
                  <w:vAlign w:val="center"/>
                </w:tcPr>
                <w:p w14:paraId="700AAAD2">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厂家回收或外委处置</w:t>
                  </w:r>
                </w:p>
              </w:tc>
            </w:tr>
            <w:tr w14:paraId="4B25A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63" w:hRule="atLeast"/>
              </w:trPr>
              <w:tc>
                <w:tcPr>
                  <w:tcW w:w="0" w:type="auto"/>
                  <w:vAlign w:val="center"/>
                </w:tcPr>
                <w:p w14:paraId="40B11443">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4</w:t>
                  </w:r>
                </w:p>
              </w:tc>
              <w:tc>
                <w:tcPr>
                  <w:tcW w:w="994" w:type="dxa"/>
                  <w:noWrap/>
                  <w:vAlign w:val="center"/>
                </w:tcPr>
                <w:p w14:paraId="64633823">
                  <w:pPr>
                    <w:widowControl/>
                    <w:jc w:val="center"/>
                    <w:rPr>
                      <w:rFonts w:ascii="Times New Roman" w:hAnsi="Times New Roman" w:cs="Times New Roman"/>
                      <w:sz w:val="18"/>
                      <w:szCs w:val="18"/>
                    </w:rPr>
                  </w:pPr>
                  <w:r>
                    <w:rPr>
                      <w:rFonts w:hint="eastAsia" w:ascii="Times New Roman" w:hAnsi="Times New Roman" w:cs="Times New Roman"/>
                      <w:sz w:val="18"/>
                      <w:szCs w:val="18"/>
                    </w:rPr>
                    <w:t>脱汞塔更换的废脱汞剂（S3）</w:t>
                  </w:r>
                </w:p>
              </w:tc>
              <w:tc>
                <w:tcPr>
                  <w:tcW w:w="558" w:type="dxa"/>
                  <w:vAlign w:val="center"/>
                </w:tcPr>
                <w:p w14:paraId="4D6D82D6">
                  <w:pPr>
                    <w:widowControl/>
                    <w:jc w:val="center"/>
                    <w:rPr>
                      <w:rFonts w:ascii="Times New Roman" w:hAnsi="Times New Roman" w:cs="Times New Roman"/>
                      <w:sz w:val="18"/>
                      <w:szCs w:val="18"/>
                    </w:rPr>
                  </w:pPr>
                  <w:r>
                    <w:rPr>
                      <w:rFonts w:ascii="Times New Roman" w:hAnsi="Times New Roman" w:cs="Times New Roman"/>
                      <w:sz w:val="18"/>
                      <w:szCs w:val="18"/>
                    </w:rPr>
                    <w:t>废脱汞剂</w:t>
                  </w:r>
                </w:p>
              </w:tc>
              <w:tc>
                <w:tcPr>
                  <w:tcW w:w="844" w:type="dxa"/>
                  <w:noWrap/>
                  <w:vAlign w:val="center"/>
                </w:tcPr>
                <w:p w14:paraId="7D4129B3">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危险废物</w:t>
                  </w:r>
                </w:p>
              </w:tc>
              <w:tc>
                <w:tcPr>
                  <w:tcW w:w="1256" w:type="dxa"/>
                  <w:noWrap/>
                  <w:vAlign w:val="center"/>
                </w:tcPr>
                <w:p w14:paraId="47E9AFB0">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072-002-29</w:t>
                  </w:r>
                </w:p>
              </w:tc>
              <w:tc>
                <w:tcPr>
                  <w:tcW w:w="775" w:type="dxa"/>
                  <w:vAlign w:val="center"/>
                </w:tcPr>
                <w:p w14:paraId="6B05CFEC">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类比法</w:t>
                  </w:r>
                </w:p>
              </w:tc>
              <w:tc>
                <w:tcPr>
                  <w:tcW w:w="0" w:type="auto"/>
                  <w:vAlign w:val="center"/>
                </w:tcPr>
                <w:p w14:paraId="59067A88">
                  <w:pPr>
                    <w:widowControl/>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rPr>
                    <w:t>3.5</w:t>
                  </w:r>
                  <w:r>
                    <w:rPr>
                      <w:rFonts w:ascii="Times New Roman" w:hAnsi="Times New Roman" w:cs="Times New Roman"/>
                      <w:sz w:val="18"/>
                      <w:szCs w:val="18"/>
                    </w:rPr>
                    <w:t>t</w:t>
                  </w:r>
                  <w:r>
                    <w:rPr>
                      <w:rFonts w:ascii="Times New Roman" w:hAnsi="Times New Roman" w:cs="Times New Roman"/>
                      <w:sz w:val="18"/>
                      <w:szCs w:val="18"/>
                      <w:shd w:val="clear" w:color="auto" w:fill="FFFFFF"/>
                    </w:rPr>
                    <w:t>/4a</w:t>
                  </w:r>
                </w:p>
              </w:tc>
              <w:tc>
                <w:tcPr>
                  <w:tcW w:w="0" w:type="auto"/>
                  <w:noWrap/>
                  <w:vAlign w:val="center"/>
                </w:tcPr>
                <w:p w14:paraId="68979F87">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定期更换</w:t>
                  </w:r>
                </w:p>
              </w:tc>
              <w:tc>
                <w:tcPr>
                  <w:tcW w:w="0" w:type="auto"/>
                  <w:vAlign w:val="center"/>
                </w:tcPr>
                <w:p w14:paraId="1BCFDC01">
                  <w:pPr>
                    <w:widowControl/>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rPr>
                    <w:t>3.5</w:t>
                  </w:r>
                  <w:r>
                    <w:rPr>
                      <w:rFonts w:ascii="Times New Roman" w:hAnsi="Times New Roman" w:cs="Times New Roman"/>
                      <w:sz w:val="18"/>
                      <w:szCs w:val="18"/>
                    </w:rPr>
                    <w:t>t</w:t>
                  </w:r>
                </w:p>
              </w:tc>
              <w:tc>
                <w:tcPr>
                  <w:tcW w:w="0" w:type="auto"/>
                  <w:vAlign w:val="center"/>
                </w:tcPr>
                <w:p w14:paraId="1037E3AA">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厂家回收或外委处置</w:t>
                  </w:r>
                </w:p>
              </w:tc>
            </w:tr>
            <w:tr w14:paraId="05510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Align w:val="center"/>
                </w:tcPr>
                <w:p w14:paraId="7E903E2A">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5</w:t>
                  </w:r>
                </w:p>
              </w:tc>
              <w:tc>
                <w:tcPr>
                  <w:tcW w:w="994" w:type="dxa"/>
                  <w:noWrap/>
                  <w:vAlign w:val="center"/>
                </w:tcPr>
                <w:p w14:paraId="7EADC17F">
                  <w:pPr>
                    <w:widowControl/>
                    <w:jc w:val="center"/>
                    <w:rPr>
                      <w:rFonts w:ascii="Times New Roman" w:hAnsi="Times New Roman" w:cs="Times New Roman"/>
                      <w:sz w:val="18"/>
                      <w:szCs w:val="18"/>
                    </w:rPr>
                  </w:pPr>
                  <w:r>
                    <w:rPr>
                      <w:rFonts w:hint="eastAsia" w:ascii="Times New Roman" w:hAnsi="Times New Roman" w:cs="Times New Roman"/>
                      <w:sz w:val="18"/>
                      <w:szCs w:val="18"/>
                    </w:rPr>
                    <w:t>导热油系统更换的废导热油（S5）</w:t>
                  </w:r>
                </w:p>
              </w:tc>
              <w:tc>
                <w:tcPr>
                  <w:tcW w:w="558" w:type="dxa"/>
                  <w:vAlign w:val="center"/>
                </w:tcPr>
                <w:p w14:paraId="6AE5293C">
                  <w:pPr>
                    <w:widowControl/>
                    <w:jc w:val="center"/>
                    <w:rPr>
                      <w:rFonts w:ascii="Times New Roman" w:hAnsi="Times New Roman" w:cs="Times New Roman"/>
                      <w:sz w:val="18"/>
                      <w:szCs w:val="18"/>
                    </w:rPr>
                  </w:pPr>
                  <w:r>
                    <w:rPr>
                      <w:rFonts w:ascii="Times New Roman" w:hAnsi="Times New Roman" w:cs="Times New Roman"/>
                      <w:sz w:val="18"/>
                      <w:szCs w:val="18"/>
                    </w:rPr>
                    <w:t>废导热油</w:t>
                  </w:r>
                </w:p>
              </w:tc>
              <w:tc>
                <w:tcPr>
                  <w:tcW w:w="844" w:type="dxa"/>
                  <w:noWrap/>
                  <w:vAlign w:val="center"/>
                </w:tcPr>
                <w:p w14:paraId="746BC5A0">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危险废物</w:t>
                  </w:r>
                </w:p>
              </w:tc>
              <w:tc>
                <w:tcPr>
                  <w:tcW w:w="1256" w:type="dxa"/>
                  <w:noWrap/>
                  <w:vAlign w:val="center"/>
                </w:tcPr>
                <w:p w14:paraId="65897B71">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900-249-08</w:t>
                  </w:r>
                </w:p>
              </w:tc>
              <w:tc>
                <w:tcPr>
                  <w:tcW w:w="775" w:type="dxa"/>
                  <w:vAlign w:val="center"/>
                </w:tcPr>
                <w:p w14:paraId="665182AD">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类比法</w:t>
                  </w:r>
                </w:p>
              </w:tc>
              <w:tc>
                <w:tcPr>
                  <w:tcW w:w="0" w:type="auto"/>
                  <w:vAlign w:val="center"/>
                </w:tcPr>
                <w:p w14:paraId="600F24E0">
                  <w:pPr>
                    <w:widowControl/>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rPr>
                    <w:t>21</w:t>
                  </w:r>
                  <w:r>
                    <w:rPr>
                      <w:rFonts w:ascii="Times New Roman" w:hAnsi="Times New Roman" w:cs="Times New Roman"/>
                      <w:sz w:val="18"/>
                      <w:szCs w:val="18"/>
                    </w:rPr>
                    <w:t>t</w:t>
                  </w:r>
                  <w:r>
                    <w:rPr>
                      <w:rFonts w:ascii="Times New Roman" w:hAnsi="Times New Roman" w:cs="Times New Roman"/>
                      <w:sz w:val="18"/>
                      <w:szCs w:val="18"/>
                      <w:shd w:val="clear" w:color="auto" w:fill="FFFFFF"/>
                    </w:rPr>
                    <w:t>/4a</w:t>
                  </w:r>
                </w:p>
              </w:tc>
              <w:tc>
                <w:tcPr>
                  <w:tcW w:w="0" w:type="auto"/>
                  <w:noWrap/>
                  <w:vAlign w:val="center"/>
                </w:tcPr>
                <w:p w14:paraId="40069325">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定期更换</w:t>
                  </w:r>
                </w:p>
              </w:tc>
              <w:tc>
                <w:tcPr>
                  <w:tcW w:w="0" w:type="auto"/>
                  <w:vAlign w:val="center"/>
                </w:tcPr>
                <w:p w14:paraId="5747D040">
                  <w:pPr>
                    <w:widowControl/>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rPr>
                    <w:t>21</w:t>
                  </w:r>
                  <w:r>
                    <w:rPr>
                      <w:rFonts w:ascii="Times New Roman" w:hAnsi="Times New Roman" w:cs="Times New Roman"/>
                      <w:sz w:val="18"/>
                      <w:szCs w:val="18"/>
                    </w:rPr>
                    <w:t>t</w:t>
                  </w:r>
                </w:p>
              </w:tc>
              <w:tc>
                <w:tcPr>
                  <w:tcW w:w="0" w:type="auto"/>
                  <w:vAlign w:val="center"/>
                </w:tcPr>
                <w:p w14:paraId="790D10F8">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厂家回收或外委处置</w:t>
                  </w:r>
                </w:p>
              </w:tc>
            </w:tr>
            <w:tr w14:paraId="2A4EF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Align w:val="center"/>
                </w:tcPr>
                <w:p w14:paraId="105113E8">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6</w:t>
                  </w:r>
                </w:p>
              </w:tc>
              <w:tc>
                <w:tcPr>
                  <w:tcW w:w="994" w:type="dxa"/>
                  <w:noWrap/>
                  <w:vAlign w:val="center"/>
                </w:tcPr>
                <w:p w14:paraId="117563C8">
                  <w:pPr>
                    <w:widowControl/>
                    <w:jc w:val="center"/>
                    <w:rPr>
                      <w:rFonts w:ascii="Times New Roman" w:hAnsi="Times New Roman" w:cs="Times New Roman"/>
                      <w:sz w:val="18"/>
                      <w:szCs w:val="18"/>
                    </w:rPr>
                  </w:pPr>
                  <w:r>
                    <w:rPr>
                      <w:rFonts w:hint="eastAsia" w:ascii="Times New Roman" w:hAnsi="Times New Roman" w:cs="Times New Roman"/>
                      <w:sz w:val="18"/>
                      <w:szCs w:val="18"/>
                    </w:rPr>
                    <w:t>废冷冻机油（S6）</w:t>
                  </w:r>
                </w:p>
              </w:tc>
              <w:tc>
                <w:tcPr>
                  <w:tcW w:w="558" w:type="dxa"/>
                  <w:vAlign w:val="center"/>
                </w:tcPr>
                <w:p w14:paraId="5F81A17B">
                  <w:pPr>
                    <w:widowControl/>
                    <w:jc w:val="center"/>
                    <w:rPr>
                      <w:rFonts w:ascii="Times New Roman" w:hAnsi="Times New Roman" w:cs="Times New Roman"/>
                      <w:sz w:val="18"/>
                      <w:szCs w:val="18"/>
                    </w:rPr>
                  </w:pPr>
                  <w:r>
                    <w:rPr>
                      <w:rFonts w:ascii="Times New Roman" w:hAnsi="Times New Roman" w:cs="Times New Roman"/>
                      <w:sz w:val="18"/>
                      <w:szCs w:val="18"/>
                    </w:rPr>
                    <w:t>废冷冻机油</w:t>
                  </w:r>
                </w:p>
              </w:tc>
              <w:tc>
                <w:tcPr>
                  <w:tcW w:w="844" w:type="dxa"/>
                  <w:noWrap/>
                  <w:vAlign w:val="center"/>
                </w:tcPr>
                <w:p w14:paraId="0B1CE3DF">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危险废物</w:t>
                  </w:r>
                </w:p>
              </w:tc>
              <w:tc>
                <w:tcPr>
                  <w:tcW w:w="1256" w:type="dxa"/>
                  <w:noWrap/>
                  <w:vAlign w:val="center"/>
                </w:tcPr>
                <w:p w14:paraId="6E5EA2F9">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900-219-08</w:t>
                  </w:r>
                </w:p>
              </w:tc>
              <w:tc>
                <w:tcPr>
                  <w:tcW w:w="775" w:type="dxa"/>
                  <w:vAlign w:val="center"/>
                </w:tcPr>
                <w:p w14:paraId="3F9F16CE">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类比法</w:t>
                  </w:r>
                </w:p>
              </w:tc>
              <w:tc>
                <w:tcPr>
                  <w:tcW w:w="0" w:type="auto"/>
                  <w:vAlign w:val="center"/>
                </w:tcPr>
                <w:p w14:paraId="553AA97D">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rPr>
                    <w:t>0.2t/a</w:t>
                  </w:r>
                </w:p>
              </w:tc>
              <w:tc>
                <w:tcPr>
                  <w:tcW w:w="0" w:type="auto"/>
                  <w:noWrap/>
                  <w:vAlign w:val="center"/>
                </w:tcPr>
                <w:p w14:paraId="4684F348">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定期更换</w:t>
                  </w:r>
                </w:p>
              </w:tc>
              <w:tc>
                <w:tcPr>
                  <w:tcW w:w="0" w:type="auto"/>
                  <w:vAlign w:val="center"/>
                </w:tcPr>
                <w:p w14:paraId="7575E6F2">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rPr>
                    <w:t>1t/a</w:t>
                  </w:r>
                </w:p>
              </w:tc>
              <w:tc>
                <w:tcPr>
                  <w:tcW w:w="0" w:type="auto"/>
                  <w:vAlign w:val="center"/>
                </w:tcPr>
                <w:p w14:paraId="4729D14B">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厂家回收或外委处置</w:t>
                  </w:r>
                </w:p>
              </w:tc>
            </w:tr>
            <w:tr w14:paraId="77C55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Align w:val="center"/>
                </w:tcPr>
                <w:p w14:paraId="33261FA2">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7</w:t>
                  </w:r>
                </w:p>
              </w:tc>
              <w:tc>
                <w:tcPr>
                  <w:tcW w:w="994" w:type="dxa"/>
                  <w:noWrap/>
                  <w:vAlign w:val="center"/>
                </w:tcPr>
                <w:p w14:paraId="589853F4">
                  <w:pPr>
                    <w:widowControl/>
                    <w:jc w:val="center"/>
                    <w:rPr>
                      <w:rFonts w:ascii="Times New Roman" w:hAnsi="Times New Roman" w:cs="Times New Roman"/>
                      <w:sz w:val="18"/>
                      <w:szCs w:val="18"/>
                    </w:rPr>
                  </w:pPr>
                  <w:r>
                    <w:rPr>
                      <w:rFonts w:hint="eastAsia" w:ascii="Times New Roman" w:hAnsi="Times New Roman" w:cs="Times New Roman"/>
                      <w:sz w:val="18"/>
                      <w:szCs w:val="18"/>
                    </w:rPr>
                    <w:t>废润滑油（S7）</w:t>
                  </w:r>
                </w:p>
              </w:tc>
              <w:tc>
                <w:tcPr>
                  <w:tcW w:w="558" w:type="dxa"/>
                  <w:vAlign w:val="center"/>
                </w:tcPr>
                <w:p w14:paraId="66D9AA21">
                  <w:pPr>
                    <w:widowControl/>
                    <w:jc w:val="center"/>
                    <w:rPr>
                      <w:rFonts w:ascii="Times New Roman" w:hAnsi="Times New Roman" w:cs="Times New Roman"/>
                      <w:sz w:val="18"/>
                      <w:szCs w:val="18"/>
                    </w:rPr>
                  </w:pPr>
                  <w:r>
                    <w:rPr>
                      <w:rFonts w:ascii="Times New Roman" w:hAnsi="Times New Roman" w:cs="Times New Roman"/>
                      <w:sz w:val="18"/>
                      <w:szCs w:val="18"/>
                    </w:rPr>
                    <w:t>废润滑油</w:t>
                  </w:r>
                </w:p>
              </w:tc>
              <w:tc>
                <w:tcPr>
                  <w:tcW w:w="844" w:type="dxa"/>
                  <w:noWrap/>
                  <w:vAlign w:val="center"/>
                </w:tcPr>
                <w:p w14:paraId="4760A2CF">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危险废物</w:t>
                  </w:r>
                </w:p>
              </w:tc>
              <w:tc>
                <w:tcPr>
                  <w:tcW w:w="1256" w:type="dxa"/>
                  <w:noWrap/>
                  <w:vAlign w:val="center"/>
                </w:tcPr>
                <w:p w14:paraId="6152AB79">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900-214-08</w:t>
                  </w:r>
                </w:p>
              </w:tc>
              <w:tc>
                <w:tcPr>
                  <w:tcW w:w="775" w:type="dxa"/>
                  <w:vAlign w:val="center"/>
                </w:tcPr>
                <w:p w14:paraId="3B893DB7">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类比法</w:t>
                  </w:r>
                </w:p>
              </w:tc>
              <w:tc>
                <w:tcPr>
                  <w:tcW w:w="0" w:type="auto"/>
                  <w:vAlign w:val="center"/>
                </w:tcPr>
                <w:p w14:paraId="1B115985">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0.5t/a</w:t>
                  </w:r>
                </w:p>
              </w:tc>
              <w:tc>
                <w:tcPr>
                  <w:tcW w:w="0" w:type="auto"/>
                  <w:noWrap/>
                  <w:vAlign w:val="center"/>
                </w:tcPr>
                <w:p w14:paraId="03A3F419">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集中收集</w:t>
                  </w:r>
                </w:p>
              </w:tc>
              <w:tc>
                <w:tcPr>
                  <w:tcW w:w="0" w:type="auto"/>
                  <w:vAlign w:val="center"/>
                </w:tcPr>
                <w:p w14:paraId="43D82013">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1t/a</w:t>
                  </w:r>
                </w:p>
              </w:tc>
              <w:tc>
                <w:tcPr>
                  <w:tcW w:w="0" w:type="auto"/>
                  <w:vAlign w:val="center"/>
                </w:tcPr>
                <w:p w14:paraId="55534D32">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厂家回收或外委处置</w:t>
                  </w:r>
                </w:p>
              </w:tc>
            </w:tr>
            <w:tr w14:paraId="2BC69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Align w:val="center"/>
                </w:tcPr>
                <w:p w14:paraId="69BE2E24">
                  <w:pPr>
                    <w:widowControl/>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shd w:val="clear" w:color="auto" w:fill="FFFFFF"/>
                    </w:rPr>
                    <w:t>8</w:t>
                  </w:r>
                </w:p>
              </w:tc>
              <w:tc>
                <w:tcPr>
                  <w:tcW w:w="994" w:type="dxa"/>
                  <w:noWrap/>
                  <w:vAlign w:val="center"/>
                </w:tcPr>
                <w:p w14:paraId="3FFD1A62">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办公、生活</w:t>
                  </w:r>
                </w:p>
              </w:tc>
              <w:tc>
                <w:tcPr>
                  <w:tcW w:w="558" w:type="dxa"/>
                  <w:vAlign w:val="center"/>
                </w:tcPr>
                <w:p w14:paraId="6BE9EC61">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生活垃圾</w:t>
                  </w:r>
                </w:p>
              </w:tc>
              <w:tc>
                <w:tcPr>
                  <w:tcW w:w="844" w:type="dxa"/>
                  <w:noWrap/>
                  <w:vAlign w:val="center"/>
                </w:tcPr>
                <w:p w14:paraId="081E29B9">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生活垃圾</w:t>
                  </w:r>
                </w:p>
              </w:tc>
              <w:tc>
                <w:tcPr>
                  <w:tcW w:w="1256" w:type="dxa"/>
                  <w:noWrap/>
                  <w:vAlign w:val="center"/>
                </w:tcPr>
                <w:p w14:paraId="083341A7">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w:t>
                  </w:r>
                </w:p>
              </w:tc>
              <w:tc>
                <w:tcPr>
                  <w:tcW w:w="775" w:type="dxa"/>
                  <w:vAlign w:val="center"/>
                </w:tcPr>
                <w:p w14:paraId="316A53EC">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类比法</w:t>
                  </w:r>
                </w:p>
              </w:tc>
              <w:tc>
                <w:tcPr>
                  <w:tcW w:w="0" w:type="auto"/>
                  <w:vAlign w:val="center"/>
                </w:tcPr>
                <w:p w14:paraId="57225DAC">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12.151t/a</w:t>
                  </w:r>
                </w:p>
              </w:tc>
              <w:tc>
                <w:tcPr>
                  <w:tcW w:w="0" w:type="auto"/>
                  <w:noWrap/>
                  <w:vAlign w:val="center"/>
                </w:tcPr>
                <w:p w14:paraId="5C7080A0">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集中收集</w:t>
                  </w:r>
                </w:p>
              </w:tc>
              <w:tc>
                <w:tcPr>
                  <w:tcW w:w="0" w:type="auto"/>
                  <w:vAlign w:val="center"/>
                </w:tcPr>
                <w:p w14:paraId="63035E9A">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12.151t/a</w:t>
                  </w:r>
                </w:p>
              </w:tc>
              <w:tc>
                <w:tcPr>
                  <w:tcW w:w="0" w:type="auto"/>
                  <w:vAlign w:val="center"/>
                </w:tcPr>
                <w:p w14:paraId="13512A0B">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交环卫部门处置</w:t>
                  </w:r>
                </w:p>
              </w:tc>
            </w:tr>
          </w:tbl>
          <w:p w14:paraId="7BC05437">
            <w:pPr>
              <w:keepNext/>
              <w:overflowPunct w:val="0"/>
              <w:snapToGrid w:val="0"/>
              <w:spacing w:line="360" w:lineRule="auto"/>
              <w:outlineLvl w:val="0"/>
              <w:rPr>
                <w:rFonts w:ascii="Times New Roman" w:hAnsi="Times New Roman" w:cs="Times New Roman"/>
                <w:b/>
                <w:bCs/>
                <w:kern w:val="44"/>
                <w:sz w:val="24"/>
                <w:szCs w:val="30"/>
              </w:rPr>
            </w:pPr>
            <w:r>
              <w:rPr>
                <w:rFonts w:ascii="Times New Roman" w:hAnsi="Times New Roman" w:cs="Times New Roman"/>
                <w:b/>
                <w:bCs/>
                <w:kern w:val="44"/>
                <w:sz w:val="24"/>
                <w:szCs w:val="30"/>
              </w:rPr>
              <w:t>4.2.4.2管理措施</w:t>
            </w:r>
          </w:p>
          <w:p w14:paraId="1C6BB2C0">
            <w:pPr>
              <w:spacing w:line="360" w:lineRule="auto"/>
              <w:ind w:firstLine="480" w:firstLineChars="200"/>
              <w:rPr>
                <w:rFonts w:ascii="Times New Roman" w:hAnsi="Times New Roman" w:cs="Times New Roman"/>
                <w:sz w:val="24"/>
              </w:rPr>
            </w:pPr>
            <w:r>
              <w:rPr>
                <w:rFonts w:ascii="Times New Roman" w:hAnsi="Times New Roman" w:cs="Times New Roman"/>
                <w:sz w:val="24"/>
              </w:rPr>
              <w:t>拟建项目应严格按照《中华人民共和国固体废物污染环境防治法》对各类固体废物进行管理：加强对各类固体废物临时储存设施、设备和场所的管理和维护，保证其正常运行和使用，采取防扬散、防流失、防渗漏或者其他防止污染环境的措施，不得擅自倾倒、堆放、丢弃、遗撒固体废物。……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14:paraId="6AB53176">
            <w:pPr>
              <w:adjustRightInd w:val="0"/>
              <w:snapToGrid w:val="0"/>
              <w:spacing w:line="460" w:lineRule="exact"/>
              <w:ind w:firstLine="480" w:firstLineChars="200"/>
              <w:rPr>
                <w:sz w:val="24"/>
              </w:rPr>
            </w:pPr>
            <w:r>
              <w:rPr>
                <w:sz w:val="24"/>
              </w:rPr>
              <w:t xml:space="preserve">①一般工业固废 </w:t>
            </w:r>
          </w:p>
          <w:p w14:paraId="4437612C">
            <w:pPr>
              <w:adjustRightInd w:val="0"/>
              <w:snapToGrid w:val="0"/>
              <w:spacing w:line="460" w:lineRule="exact"/>
              <w:ind w:firstLine="440" w:firstLineChars="200"/>
              <w:rPr>
                <w:b/>
                <w:bCs/>
                <w:sz w:val="24"/>
              </w:rPr>
            </w:pPr>
            <w:r>
              <w:rPr>
                <w:rFonts w:hint="eastAsia"/>
                <w:sz w:val="22"/>
                <w:szCs w:val="22"/>
              </w:rPr>
              <w:t>本</w:t>
            </w:r>
            <w:r>
              <w:rPr>
                <w:sz w:val="24"/>
              </w:rPr>
              <w:t>项目</w:t>
            </w:r>
            <w:r>
              <w:rPr>
                <w:rFonts w:hint="eastAsia"/>
                <w:sz w:val="24"/>
              </w:rPr>
              <w:t>依托厂区已建一般固废暂存间</w:t>
            </w:r>
            <w:r>
              <w:rPr>
                <w:sz w:val="24"/>
              </w:rPr>
              <w:t>，</w:t>
            </w:r>
            <w:r>
              <w:rPr>
                <w:rFonts w:hint="eastAsia"/>
                <w:sz w:val="24"/>
              </w:rPr>
              <w:t>二期</w:t>
            </w:r>
            <w:r>
              <w:rPr>
                <w:sz w:val="24"/>
              </w:rPr>
              <w:t>项目运营期产生的一般固废经收集暂存于该固废间。评价要求一般固废暂存场设置应满足《一般工业固体废物贮存、处置场污染控制标准》（GB18599-2001）及修改单相关要求，分类储存、硬化防渗，定期全部合理处理。</w:t>
            </w:r>
          </w:p>
          <w:p w14:paraId="1B979EA4">
            <w:pPr>
              <w:adjustRightInd w:val="0"/>
              <w:snapToGrid w:val="0"/>
              <w:spacing w:line="460" w:lineRule="exact"/>
              <w:ind w:firstLine="480" w:firstLineChars="200"/>
              <w:rPr>
                <w:sz w:val="24"/>
              </w:rPr>
            </w:pPr>
            <w:r>
              <w:rPr>
                <w:sz w:val="24"/>
              </w:rPr>
              <w:t xml:space="preserve">②危险废物 </w:t>
            </w:r>
          </w:p>
          <w:p w14:paraId="22ADC243">
            <w:pPr>
              <w:adjustRightInd w:val="0"/>
              <w:snapToGrid w:val="0"/>
              <w:spacing w:line="460" w:lineRule="exact"/>
              <w:ind w:firstLine="440" w:firstLineChars="200"/>
              <w:rPr>
                <w:sz w:val="24"/>
              </w:rPr>
            </w:pPr>
            <w:r>
              <w:rPr>
                <w:rFonts w:hint="eastAsia"/>
                <w:sz w:val="22"/>
                <w:szCs w:val="22"/>
              </w:rPr>
              <w:t>本</w:t>
            </w:r>
            <w:r>
              <w:rPr>
                <w:sz w:val="24"/>
              </w:rPr>
              <w:t>项目</w:t>
            </w:r>
            <w:r>
              <w:rPr>
                <w:rFonts w:hint="eastAsia"/>
                <w:sz w:val="24"/>
              </w:rPr>
              <w:t>新增</w:t>
            </w:r>
            <w:r>
              <w:rPr>
                <w:sz w:val="24"/>
              </w:rPr>
              <w:t>危险废物暂存间1处收集暂存危险废物。暂存间应按照《危险废物污染防治技术政策》（环发[2001]199号）、《危险废物贮存污染控制标准》（GB18597-2001）（2013修改）等规范和标准的要求设置，需进行防腐、防渗和防雨淋“三防”处理，设置消防柜、照明、通风等设施，必须按《环境保护图形标志－－固体废物贮存（处置）场》（GB15562.2）的规定设置警示标志。</w:t>
            </w:r>
            <w:r>
              <w:rPr>
                <w:rFonts w:hint="eastAsia"/>
                <w:sz w:val="22"/>
                <w:szCs w:val="22"/>
              </w:rPr>
              <w:t>本</w:t>
            </w:r>
            <w:r>
              <w:rPr>
                <w:sz w:val="24"/>
              </w:rPr>
              <w:t>项目危险废物贮存场所基本情况见下表所示。</w:t>
            </w:r>
          </w:p>
          <w:p w14:paraId="7F023F28">
            <w:pPr>
              <w:jc w:val="center"/>
              <w:rPr>
                <w:rFonts w:ascii="Times New Roman" w:hAnsi="Times New Roman" w:cs="Times New Roman"/>
                <w:kern w:val="0"/>
              </w:rPr>
            </w:pPr>
            <w:r>
              <w:rPr>
                <w:rFonts w:hint="eastAsia" w:ascii="Times New Roman" w:hAnsi="Times New Roman" w:cs="Times New Roman"/>
                <w:kern w:val="0"/>
              </w:rPr>
              <w:t>表4.2-1</w:t>
            </w:r>
            <w:r>
              <w:rPr>
                <w:rFonts w:ascii="Times New Roman" w:hAnsi="Times New Roman" w:cs="Times New Roman"/>
                <w:kern w:val="0"/>
              </w:rPr>
              <w:t>7</w:t>
            </w:r>
            <w:r>
              <w:rPr>
                <w:rFonts w:hint="eastAsia" w:ascii="Times New Roman" w:hAnsi="Times New Roman" w:cs="Times New Roman"/>
                <w:kern w:val="0"/>
              </w:rPr>
              <w:t>危险废物贮存场所（设施）基本情况</w:t>
            </w:r>
          </w:p>
          <w:tbl>
            <w:tblPr>
              <w:tblStyle w:val="8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9"/>
              <w:gridCol w:w="853"/>
              <w:gridCol w:w="1500"/>
              <w:gridCol w:w="882"/>
              <w:gridCol w:w="1177"/>
              <w:gridCol w:w="589"/>
              <w:gridCol w:w="1273"/>
              <w:gridCol w:w="833"/>
              <w:gridCol w:w="789"/>
            </w:tblGrid>
            <w:tr w14:paraId="1C47A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2" w:hRule="atLeast"/>
                <w:jc w:val="center"/>
              </w:trPr>
              <w:tc>
                <w:tcPr>
                  <w:tcW w:w="529" w:type="dxa"/>
                  <w:vAlign w:val="center"/>
                </w:tcPr>
                <w:p w14:paraId="143DD1ED">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序号</w:t>
                  </w:r>
                </w:p>
              </w:tc>
              <w:tc>
                <w:tcPr>
                  <w:tcW w:w="853" w:type="dxa"/>
                  <w:vAlign w:val="center"/>
                </w:tcPr>
                <w:p w14:paraId="22AB3642">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贮存场所名称</w:t>
                  </w:r>
                </w:p>
              </w:tc>
              <w:tc>
                <w:tcPr>
                  <w:tcW w:w="1500" w:type="dxa"/>
                  <w:vAlign w:val="center"/>
                </w:tcPr>
                <w:p w14:paraId="1D4D4E8E">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危险废物名称</w:t>
                  </w:r>
                </w:p>
              </w:tc>
              <w:tc>
                <w:tcPr>
                  <w:tcW w:w="882" w:type="dxa"/>
                  <w:vAlign w:val="center"/>
                </w:tcPr>
                <w:p w14:paraId="39CB697D">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危险废物类别</w:t>
                  </w:r>
                </w:p>
              </w:tc>
              <w:tc>
                <w:tcPr>
                  <w:tcW w:w="1177" w:type="dxa"/>
                  <w:vAlign w:val="center"/>
                </w:tcPr>
                <w:p w14:paraId="4B9ABA53">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危险废物代码</w:t>
                  </w:r>
                </w:p>
              </w:tc>
              <w:tc>
                <w:tcPr>
                  <w:tcW w:w="589" w:type="dxa"/>
                  <w:vAlign w:val="center"/>
                </w:tcPr>
                <w:p w14:paraId="09EADACC">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位置</w:t>
                  </w:r>
                </w:p>
              </w:tc>
              <w:tc>
                <w:tcPr>
                  <w:tcW w:w="1273" w:type="dxa"/>
                  <w:vAlign w:val="center"/>
                </w:tcPr>
                <w:p w14:paraId="11D87305">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贮存方式</w:t>
                  </w:r>
                </w:p>
              </w:tc>
              <w:tc>
                <w:tcPr>
                  <w:tcW w:w="833" w:type="dxa"/>
                  <w:vAlign w:val="center"/>
                </w:tcPr>
                <w:p w14:paraId="37C12F0E">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贮存能力</w:t>
                  </w:r>
                </w:p>
              </w:tc>
              <w:tc>
                <w:tcPr>
                  <w:tcW w:w="789" w:type="dxa"/>
                  <w:vAlign w:val="center"/>
                </w:tcPr>
                <w:p w14:paraId="0936F452">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贮存周期</w:t>
                  </w:r>
                </w:p>
              </w:tc>
            </w:tr>
            <w:tr w14:paraId="46E61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529" w:type="dxa"/>
                  <w:vAlign w:val="center"/>
                </w:tcPr>
                <w:p w14:paraId="0397F8A7">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1</w:t>
                  </w:r>
                </w:p>
              </w:tc>
              <w:tc>
                <w:tcPr>
                  <w:tcW w:w="853" w:type="dxa"/>
                  <w:vMerge w:val="restart"/>
                  <w:vAlign w:val="center"/>
                </w:tcPr>
                <w:p w14:paraId="782AE193">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危废暂存间</w:t>
                  </w:r>
                </w:p>
              </w:tc>
              <w:tc>
                <w:tcPr>
                  <w:tcW w:w="1500" w:type="dxa"/>
                  <w:vAlign w:val="center"/>
                </w:tcPr>
                <w:p w14:paraId="201CCC79">
                  <w:pPr>
                    <w:widowControl/>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shd w:val="clear" w:color="auto" w:fill="FFFFFF"/>
                    </w:rPr>
                    <w:t>贫胺过滤器失效的废吸附剂（S1）</w:t>
                  </w:r>
                </w:p>
              </w:tc>
              <w:tc>
                <w:tcPr>
                  <w:tcW w:w="882" w:type="dxa"/>
                  <w:vAlign w:val="center"/>
                </w:tcPr>
                <w:p w14:paraId="0BDD1268">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HW09</w:t>
                  </w:r>
                </w:p>
              </w:tc>
              <w:tc>
                <w:tcPr>
                  <w:tcW w:w="1177" w:type="dxa"/>
                  <w:vAlign w:val="center"/>
                </w:tcPr>
                <w:p w14:paraId="3B17C818">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900-039-49</w:t>
                  </w:r>
                </w:p>
              </w:tc>
              <w:tc>
                <w:tcPr>
                  <w:tcW w:w="589" w:type="dxa"/>
                  <w:vMerge w:val="restart"/>
                  <w:vAlign w:val="center"/>
                </w:tcPr>
                <w:p w14:paraId="1A640FEC">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危废暂存间</w:t>
                  </w:r>
                </w:p>
              </w:tc>
              <w:tc>
                <w:tcPr>
                  <w:tcW w:w="1273" w:type="dxa"/>
                  <w:vAlign w:val="center"/>
                </w:tcPr>
                <w:p w14:paraId="0BC383FD">
                  <w:pPr>
                    <w:widowControl/>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shd w:val="clear" w:color="auto" w:fill="FFFFFF"/>
                    </w:rPr>
                    <w:t>密封放置</w:t>
                  </w:r>
                </w:p>
              </w:tc>
              <w:tc>
                <w:tcPr>
                  <w:tcW w:w="833" w:type="dxa"/>
                  <w:vAlign w:val="center"/>
                </w:tcPr>
                <w:p w14:paraId="66AB3DAD">
                  <w:pPr>
                    <w:widowControl/>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shd w:val="clear" w:color="auto" w:fill="FFFFFF"/>
                    </w:rPr>
                    <w:t>0.5</w:t>
                  </w:r>
                  <w:r>
                    <w:rPr>
                      <w:rFonts w:ascii="Times New Roman" w:hAnsi="Times New Roman" w:cs="Times New Roman"/>
                      <w:sz w:val="18"/>
                      <w:szCs w:val="18"/>
                      <w:shd w:val="clear" w:color="auto" w:fill="FFFFFF"/>
                    </w:rPr>
                    <w:t>t</w:t>
                  </w:r>
                </w:p>
              </w:tc>
              <w:tc>
                <w:tcPr>
                  <w:tcW w:w="789" w:type="dxa"/>
                  <w:vAlign w:val="center"/>
                </w:tcPr>
                <w:p w14:paraId="5269FB99">
                  <w:pPr>
                    <w:widowControl/>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shd w:val="clear" w:color="auto" w:fill="FFFFFF"/>
                    </w:rPr>
                    <w:t>1年</w:t>
                  </w:r>
                </w:p>
              </w:tc>
            </w:tr>
            <w:tr w14:paraId="36793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529" w:type="dxa"/>
                  <w:vAlign w:val="center"/>
                </w:tcPr>
                <w:p w14:paraId="030272AE">
                  <w:pPr>
                    <w:widowControl/>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shd w:val="clear" w:color="auto" w:fill="FFFFFF"/>
                    </w:rPr>
                    <w:t>2</w:t>
                  </w:r>
                </w:p>
              </w:tc>
              <w:tc>
                <w:tcPr>
                  <w:tcW w:w="853" w:type="dxa"/>
                  <w:vMerge w:val="continue"/>
                  <w:vAlign w:val="center"/>
                </w:tcPr>
                <w:p w14:paraId="0FF63A48">
                  <w:pPr>
                    <w:widowControl/>
                    <w:jc w:val="center"/>
                    <w:rPr>
                      <w:rFonts w:ascii="Times New Roman" w:hAnsi="Times New Roman" w:cs="Times New Roman"/>
                      <w:sz w:val="18"/>
                      <w:szCs w:val="18"/>
                      <w:shd w:val="clear" w:color="auto" w:fill="FFFFFF"/>
                    </w:rPr>
                  </w:pPr>
                </w:p>
              </w:tc>
              <w:tc>
                <w:tcPr>
                  <w:tcW w:w="1500" w:type="dxa"/>
                  <w:vAlign w:val="center"/>
                </w:tcPr>
                <w:p w14:paraId="7426910E">
                  <w:pPr>
                    <w:widowControl/>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shd w:val="clear" w:color="auto" w:fill="FFFFFF"/>
                    </w:rPr>
                    <w:t>脱汞塔更换的废脱汞剂（S3）</w:t>
                  </w:r>
                </w:p>
              </w:tc>
              <w:tc>
                <w:tcPr>
                  <w:tcW w:w="882" w:type="dxa"/>
                  <w:vAlign w:val="center"/>
                </w:tcPr>
                <w:p w14:paraId="0697C013">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HW09</w:t>
                  </w:r>
                </w:p>
              </w:tc>
              <w:tc>
                <w:tcPr>
                  <w:tcW w:w="1177" w:type="dxa"/>
                  <w:vAlign w:val="center"/>
                </w:tcPr>
                <w:p w14:paraId="06B0414B">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072-002-29</w:t>
                  </w:r>
                </w:p>
              </w:tc>
              <w:tc>
                <w:tcPr>
                  <w:tcW w:w="589" w:type="dxa"/>
                  <w:vMerge w:val="continue"/>
                  <w:vAlign w:val="center"/>
                </w:tcPr>
                <w:p w14:paraId="32C58A0D">
                  <w:pPr>
                    <w:widowControl/>
                    <w:jc w:val="center"/>
                    <w:rPr>
                      <w:rFonts w:ascii="Times New Roman" w:hAnsi="Times New Roman" w:cs="Times New Roman"/>
                      <w:sz w:val="18"/>
                      <w:szCs w:val="18"/>
                      <w:shd w:val="clear" w:color="auto" w:fill="FFFFFF"/>
                    </w:rPr>
                  </w:pPr>
                </w:p>
              </w:tc>
              <w:tc>
                <w:tcPr>
                  <w:tcW w:w="1273" w:type="dxa"/>
                  <w:vAlign w:val="center"/>
                </w:tcPr>
                <w:p w14:paraId="5F4DEA37">
                  <w:pPr>
                    <w:widowControl/>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shd w:val="clear" w:color="auto" w:fill="FFFFFF"/>
                    </w:rPr>
                    <w:t>密封放置</w:t>
                  </w:r>
                </w:p>
              </w:tc>
              <w:tc>
                <w:tcPr>
                  <w:tcW w:w="833" w:type="dxa"/>
                  <w:vAlign w:val="center"/>
                </w:tcPr>
                <w:p w14:paraId="4B1F237C">
                  <w:pPr>
                    <w:widowControl/>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shd w:val="clear" w:color="auto" w:fill="FFFFFF"/>
                    </w:rPr>
                    <w:t>0.5t</w:t>
                  </w:r>
                </w:p>
              </w:tc>
              <w:tc>
                <w:tcPr>
                  <w:tcW w:w="789" w:type="dxa"/>
                  <w:vAlign w:val="center"/>
                </w:tcPr>
                <w:p w14:paraId="04A12E48">
                  <w:pPr>
                    <w:widowControl/>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shd w:val="clear" w:color="auto" w:fill="FFFFFF"/>
                    </w:rPr>
                    <w:t>1年</w:t>
                  </w:r>
                </w:p>
              </w:tc>
            </w:tr>
            <w:tr w14:paraId="78FC8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529" w:type="dxa"/>
                  <w:vAlign w:val="center"/>
                </w:tcPr>
                <w:p w14:paraId="637F36DB">
                  <w:pPr>
                    <w:widowControl/>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shd w:val="clear" w:color="auto" w:fill="FFFFFF"/>
                    </w:rPr>
                    <w:t>3</w:t>
                  </w:r>
                </w:p>
              </w:tc>
              <w:tc>
                <w:tcPr>
                  <w:tcW w:w="853" w:type="dxa"/>
                  <w:vMerge w:val="continue"/>
                  <w:vAlign w:val="center"/>
                </w:tcPr>
                <w:p w14:paraId="226867BF">
                  <w:pPr>
                    <w:widowControl/>
                    <w:jc w:val="center"/>
                    <w:rPr>
                      <w:rFonts w:ascii="Times New Roman" w:hAnsi="Times New Roman" w:cs="Times New Roman"/>
                      <w:sz w:val="18"/>
                      <w:szCs w:val="18"/>
                      <w:shd w:val="clear" w:color="auto" w:fill="FFFFFF"/>
                    </w:rPr>
                  </w:pPr>
                </w:p>
              </w:tc>
              <w:tc>
                <w:tcPr>
                  <w:tcW w:w="1500" w:type="dxa"/>
                  <w:vAlign w:val="center"/>
                </w:tcPr>
                <w:p w14:paraId="1A60CB5A">
                  <w:pPr>
                    <w:widowControl/>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shd w:val="clear" w:color="auto" w:fill="FFFFFF"/>
                    </w:rPr>
                    <w:t>导热油系统更换的废导热油（S5）</w:t>
                  </w:r>
                </w:p>
              </w:tc>
              <w:tc>
                <w:tcPr>
                  <w:tcW w:w="882" w:type="dxa"/>
                  <w:vAlign w:val="center"/>
                </w:tcPr>
                <w:p w14:paraId="0E6601AF">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HW49</w:t>
                  </w:r>
                </w:p>
              </w:tc>
              <w:tc>
                <w:tcPr>
                  <w:tcW w:w="1177" w:type="dxa"/>
                  <w:vAlign w:val="center"/>
                </w:tcPr>
                <w:p w14:paraId="7A5B3CB6">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900-249-08</w:t>
                  </w:r>
                </w:p>
              </w:tc>
              <w:tc>
                <w:tcPr>
                  <w:tcW w:w="589" w:type="dxa"/>
                  <w:vMerge w:val="continue"/>
                  <w:vAlign w:val="center"/>
                </w:tcPr>
                <w:p w14:paraId="1934FD6B">
                  <w:pPr>
                    <w:widowControl/>
                    <w:jc w:val="center"/>
                    <w:rPr>
                      <w:rFonts w:ascii="Times New Roman" w:hAnsi="Times New Roman" w:cs="Times New Roman"/>
                      <w:sz w:val="18"/>
                      <w:szCs w:val="18"/>
                      <w:shd w:val="clear" w:color="auto" w:fill="FFFFFF"/>
                    </w:rPr>
                  </w:pPr>
                </w:p>
              </w:tc>
              <w:tc>
                <w:tcPr>
                  <w:tcW w:w="1273" w:type="dxa"/>
                  <w:vAlign w:val="center"/>
                </w:tcPr>
                <w:p w14:paraId="20EAA98C">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密封桶装</w:t>
                  </w:r>
                </w:p>
              </w:tc>
              <w:tc>
                <w:tcPr>
                  <w:tcW w:w="833" w:type="dxa"/>
                  <w:vAlign w:val="center"/>
                </w:tcPr>
                <w:p w14:paraId="657711C2">
                  <w:pPr>
                    <w:widowControl/>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shd w:val="clear" w:color="auto" w:fill="FFFFFF"/>
                    </w:rPr>
                    <w:t>0.5</w:t>
                  </w:r>
                  <w:r>
                    <w:rPr>
                      <w:rFonts w:ascii="Times New Roman" w:hAnsi="Times New Roman" w:cs="Times New Roman"/>
                      <w:sz w:val="18"/>
                      <w:szCs w:val="18"/>
                      <w:shd w:val="clear" w:color="auto" w:fill="FFFFFF"/>
                    </w:rPr>
                    <w:t>t</w:t>
                  </w:r>
                </w:p>
              </w:tc>
              <w:tc>
                <w:tcPr>
                  <w:tcW w:w="789" w:type="dxa"/>
                  <w:vAlign w:val="center"/>
                </w:tcPr>
                <w:p w14:paraId="23F13EA2">
                  <w:pPr>
                    <w:widowControl/>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shd w:val="clear" w:color="auto" w:fill="FFFFFF"/>
                    </w:rPr>
                    <w:t>1年</w:t>
                  </w:r>
                </w:p>
              </w:tc>
            </w:tr>
            <w:tr w14:paraId="1A7C8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529" w:type="dxa"/>
                  <w:vAlign w:val="center"/>
                </w:tcPr>
                <w:p w14:paraId="0B3B3806">
                  <w:pPr>
                    <w:widowControl/>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shd w:val="clear" w:color="auto" w:fill="FFFFFF"/>
                    </w:rPr>
                    <w:t>4</w:t>
                  </w:r>
                </w:p>
              </w:tc>
              <w:tc>
                <w:tcPr>
                  <w:tcW w:w="853" w:type="dxa"/>
                  <w:vMerge w:val="continue"/>
                  <w:vAlign w:val="center"/>
                </w:tcPr>
                <w:p w14:paraId="79E1073B">
                  <w:pPr>
                    <w:widowControl/>
                    <w:jc w:val="center"/>
                    <w:rPr>
                      <w:rFonts w:ascii="Times New Roman" w:hAnsi="Times New Roman" w:cs="Times New Roman"/>
                      <w:sz w:val="18"/>
                      <w:szCs w:val="18"/>
                      <w:shd w:val="clear" w:color="auto" w:fill="FFFFFF"/>
                    </w:rPr>
                  </w:pPr>
                </w:p>
              </w:tc>
              <w:tc>
                <w:tcPr>
                  <w:tcW w:w="1500" w:type="dxa"/>
                  <w:vAlign w:val="center"/>
                </w:tcPr>
                <w:p w14:paraId="48DF6675">
                  <w:pPr>
                    <w:widowControl/>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shd w:val="clear" w:color="auto" w:fill="FFFFFF"/>
                    </w:rPr>
                    <w:t>废冷冻机油（S6）</w:t>
                  </w:r>
                </w:p>
              </w:tc>
              <w:tc>
                <w:tcPr>
                  <w:tcW w:w="882" w:type="dxa"/>
                  <w:vAlign w:val="center"/>
                </w:tcPr>
                <w:p w14:paraId="3D6A7271">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HW49</w:t>
                  </w:r>
                </w:p>
              </w:tc>
              <w:tc>
                <w:tcPr>
                  <w:tcW w:w="1177" w:type="dxa"/>
                  <w:vAlign w:val="center"/>
                </w:tcPr>
                <w:p w14:paraId="37B52E05">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900-219-08</w:t>
                  </w:r>
                </w:p>
              </w:tc>
              <w:tc>
                <w:tcPr>
                  <w:tcW w:w="589" w:type="dxa"/>
                  <w:vMerge w:val="continue"/>
                  <w:vAlign w:val="center"/>
                </w:tcPr>
                <w:p w14:paraId="3CB34EE8">
                  <w:pPr>
                    <w:widowControl/>
                    <w:jc w:val="center"/>
                    <w:rPr>
                      <w:rFonts w:ascii="Times New Roman" w:hAnsi="Times New Roman" w:cs="Times New Roman"/>
                      <w:sz w:val="18"/>
                      <w:szCs w:val="18"/>
                      <w:shd w:val="clear" w:color="auto" w:fill="FFFFFF"/>
                    </w:rPr>
                  </w:pPr>
                </w:p>
              </w:tc>
              <w:tc>
                <w:tcPr>
                  <w:tcW w:w="1273" w:type="dxa"/>
                  <w:vAlign w:val="center"/>
                </w:tcPr>
                <w:p w14:paraId="45E6F2FF">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密封桶装</w:t>
                  </w:r>
                </w:p>
              </w:tc>
              <w:tc>
                <w:tcPr>
                  <w:tcW w:w="833" w:type="dxa"/>
                  <w:vAlign w:val="center"/>
                </w:tcPr>
                <w:p w14:paraId="4804FCE0">
                  <w:pPr>
                    <w:widowControl/>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shd w:val="clear" w:color="auto" w:fill="FFFFFF"/>
                    </w:rPr>
                    <w:t>0.5</w:t>
                  </w:r>
                  <w:r>
                    <w:rPr>
                      <w:rFonts w:ascii="Times New Roman" w:hAnsi="Times New Roman" w:cs="Times New Roman"/>
                      <w:sz w:val="18"/>
                      <w:szCs w:val="18"/>
                      <w:shd w:val="clear" w:color="auto" w:fill="FFFFFF"/>
                    </w:rPr>
                    <w:t>t</w:t>
                  </w:r>
                </w:p>
              </w:tc>
              <w:tc>
                <w:tcPr>
                  <w:tcW w:w="789" w:type="dxa"/>
                  <w:vAlign w:val="center"/>
                </w:tcPr>
                <w:p w14:paraId="0265E7DC">
                  <w:pPr>
                    <w:widowControl/>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shd w:val="clear" w:color="auto" w:fill="FFFFFF"/>
                    </w:rPr>
                    <w:t>1年</w:t>
                  </w:r>
                </w:p>
              </w:tc>
            </w:tr>
            <w:tr w14:paraId="32556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529" w:type="dxa"/>
                  <w:vAlign w:val="center"/>
                </w:tcPr>
                <w:p w14:paraId="360D767A">
                  <w:pPr>
                    <w:widowControl/>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shd w:val="clear" w:color="auto" w:fill="FFFFFF"/>
                    </w:rPr>
                    <w:t>5</w:t>
                  </w:r>
                </w:p>
              </w:tc>
              <w:tc>
                <w:tcPr>
                  <w:tcW w:w="853" w:type="dxa"/>
                  <w:vMerge w:val="continue"/>
                  <w:vAlign w:val="center"/>
                </w:tcPr>
                <w:p w14:paraId="3D86E51C">
                  <w:pPr>
                    <w:widowControl/>
                    <w:jc w:val="center"/>
                    <w:rPr>
                      <w:rFonts w:ascii="Times New Roman" w:hAnsi="Times New Roman" w:cs="Times New Roman"/>
                      <w:sz w:val="18"/>
                      <w:szCs w:val="18"/>
                      <w:shd w:val="clear" w:color="auto" w:fill="FFFFFF"/>
                    </w:rPr>
                  </w:pPr>
                </w:p>
              </w:tc>
              <w:tc>
                <w:tcPr>
                  <w:tcW w:w="1500" w:type="dxa"/>
                  <w:vAlign w:val="center"/>
                </w:tcPr>
                <w:p w14:paraId="7B104540">
                  <w:pPr>
                    <w:widowControl/>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shd w:val="clear" w:color="auto" w:fill="FFFFFF"/>
                    </w:rPr>
                    <w:t>废润滑油（S7）</w:t>
                  </w:r>
                </w:p>
              </w:tc>
              <w:tc>
                <w:tcPr>
                  <w:tcW w:w="882" w:type="dxa"/>
                  <w:vAlign w:val="center"/>
                </w:tcPr>
                <w:p w14:paraId="3A3D9F89">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HW49</w:t>
                  </w:r>
                </w:p>
              </w:tc>
              <w:tc>
                <w:tcPr>
                  <w:tcW w:w="1177" w:type="dxa"/>
                  <w:vAlign w:val="center"/>
                </w:tcPr>
                <w:p w14:paraId="691E2B33">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900-214-08</w:t>
                  </w:r>
                </w:p>
              </w:tc>
              <w:tc>
                <w:tcPr>
                  <w:tcW w:w="589" w:type="dxa"/>
                  <w:vMerge w:val="continue"/>
                  <w:vAlign w:val="center"/>
                </w:tcPr>
                <w:p w14:paraId="456C3AF7">
                  <w:pPr>
                    <w:widowControl/>
                    <w:jc w:val="center"/>
                    <w:rPr>
                      <w:rFonts w:ascii="Times New Roman" w:hAnsi="Times New Roman" w:cs="Times New Roman"/>
                      <w:sz w:val="18"/>
                      <w:szCs w:val="18"/>
                      <w:shd w:val="clear" w:color="auto" w:fill="FFFFFF"/>
                    </w:rPr>
                  </w:pPr>
                </w:p>
              </w:tc>
              <w:tc>
                <w:tcPr>
                  <w:tcW w:w="1273" w:type="dxa"/>
                  <w:vAlign w:val="center"/>
                </w:tcPr>
                <w:p w14:paraId="641EDDBC">
                  <w:pPr>
                    <w:widowControl/>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密封桶装</w:t>
                  </w:r>
                </w:p>
              </w:tc>
              <w:tc>
                <w:tcPr>
                  <w:tcW w:w="833" w:type="dxa"/>
                  <w:vAlign w:val="center"/>
                </w:tcPr>
                <w:p w14:paraId="0F2D647E">
                  <w:pPr>
                    <w:widowControl/>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shd w:val="clear" w:color="auto" w:fill="FFFFFF"/>
                    </w:rPr>
                    <w:t>0.5</w:t>
                  </w:r>
                  <w:r>
                    <w:rPr>
                      <w:rFonts w:ascii="Times New Roman" w:hAnsi="Times New Roman" w:cs="Times New Roman"/>
                      <w:sz w:val="18"/>
                      <w:szCs w:val="18"/>
                      <w:shd w:val="clear" w:color="auto" w:fill="FFFFFF"/>
                    </w:rPr>
                    <w:t>t</w:t>
                  </w:r>
                </w:p>
              </w:tc>
              <w:tc>
                <w:tcPr>
                  <w:tcW w:w="789" w:type="dxa"/>
                  <w:vAlign w:val="center"/>
                </w:tcPr>
                <w:p w14:paraId="5B74FE87">
                  <w:pPr>
                    <w:widowControl/>
                    <w:jc w:val="center"/>
                    <w:rPr>
                      <w:rFonts w:ascii="Times New Roman" w:hAnsi="Times New Roman" w:cs="Times New Roman"/>
                      <w:sz w:val="18"/>
                      <w:szCs w:val="18"/>
                      <w:shd w:val="clear" w:color="auto" w:fill="FFFFFF"/>
                    </w:rPr>
                  </w:pPr>
                  <w:r>
                    <w:rPr>
                      <w:rFonts w:hint="eastAsia" w:ascii="Times New Roman" w:hAnsi="Times New Roman" w:cs="Times New Roman"/>
                      <w:sz w:val="18"/>
                      <w:szCs w:val="18"/>
                      <w:shd w:val="clear" w:color="auto" w:fill="FFFFFF"/>
                    </w:rPr>
                    <w:t>1年</w:t>
                  </w:r>
                </w:p>
              </w:tc>
            </w:tr>
          </w:tbl>
          <w:p w14:paraId="11B16913">
            <w:pPr>
              <w:tabs>
                <w:tab w:val="left" w:pos="5442"/>
              </w:tabs>
              <w:spacing w:line="460" w:lineRule="exact"/>
              <w:rPr>
                <w:rFonts w:ascii="Times New Roman" w:hAnsi="Times New Roman" w:cs="Times New Roman"/>
              </w:rPr>
            </w:pPr>
            <w:r>
              <w:rPr>
                <w:rFonts w:ascii="Times New Roman" w:hAnsi="Times New Roman" w:cs="Times New Roman"/>
              </w:rPr>
              <w:t>危废暂存要求：</w:t>
            </w:r>
            <w:r>
              <w:rPr>
                <w:rFonts w:ascii="Times New Roman" w:hAnsi="Times New Roman" w:cs="Times New Roman"/>
              </w:rPr>
              <w:tab/>
            </w:r>
          </w:p>
          <w:p w14:paraId="5E18C36F">
            <w:pPr>
              <w:spacing w:line="460" w:lineRule="exact"/>
              <w:rPr>
                <w:rFonts w:ascii="Times New Roman" w:hAnsi="Times New Roman" w:cs="Times New Roman"/>
                <w:bCs/>
              </w:rPr>
            </w:pPr>
            <w:r>
              <w:rPr>
                <w:rFonts w:ascii="Times New Roman" w:hAnsi="Times New Roman" w:cs="Times New Roman"/>
                <w:bCs/>
              </w:rPr>
              <w:t>评价要求建设单位在营运期应按照国家相关的规定和要求加强对危险废物管理，严格按照按《危险废物贮存污染控制标准》（GB18597-2001）进行妥善收集、暂存。</w:t>
            </w:r>
          </w:p>
          <w:p w14:paraId="770E68BD">
            <w:pPr>
              <w:spacing w:line="460" w:lineRule="exact"/>
              <w:rPr>
                <w:rFonts w:ascii="Times New Roman" w:hAnsi="Times New Roman" w:cs="Times New Roman"/>
              </w:rPr>
            </w:pPr>
            <w:r>
              <w:rPr>
                <w:rFonts w:ascii="Times New Roman" w:hAnsi="Times New Roman" w:cs="Times New Roman"/>
              </w:rPr>
              <w:t>1）对已产生的危险废物，若暂时不能回收利用或进行处理处置的，其产生单位须建设专门的危险废物贮存设施进行贮存，</w:t>
            </w:r>
            <w:r>
              <w:rPr>
                <w:rFonts w:ascii="Times New Roman" w:hAnsi="Times New Roman" w:cs="Times New Roman"/>
                <w:bCs/>
              </w:rPr>
              <w:t>贮存间内根据危险废物的种类分区贮存，</w:t>
            </w:r>
            <w:r>
              <w:rPr>
                <w:rFonts w:ascii="Times New Roman" w:hAnsi="Times New Roman" w:cs="Times New Roman"/>
              </w:rPr>
              <w:t>并设立危险废物标志；</w:t>
            </w:r>
          </w:p>
          <w:p w14:paraId="7ED51EAE">
            <w:pPr>
              <w:spacing w:line="460" w:lineRule="exact"/>
              <w:rPr>
                <w:rFonts w:ascii="Times New Roman" w:hAnsi="Times New Roman" w:cs="Times New Roman"/>
              </w:rPr>
            </w:pPr>
            <w:r>
              <w:rPr>
                <w:rFonts w:ascii="Times New Roman" w:hAnsi="Times New Roman" w:cs="Times New Roman"/>
              </w:rPr>
              <w:t>2）应建有堵截泄漏的裙脚，地面与裙脚要用坚固防渗的材料建造。应有隔离设施、报警装置和防风、防晒、防雨设施；</w:t>
            </w:r>
          </w:p>
          <w:p w14:paraId="5106FB83">
            <w:pPr>
              <w:spacing w:line="460" w:lineRule="exact"/>
              <w:rPr>
                <w:rFonts w:ascii="Times New Roman" w:hAnsi="Times New Roman" w:cs="Times New Roman"/>
              </w:rPr>
            </w:pPr>
            <w:r>
              <w:rPr>
                <w:rFonts w:ascii="Times New Roman" w:hAnsi="Times New Roman" w:cs="Times New Roman"/>
              </w:rPr>
              <w:t>3）基础防渗层为粘土层的，其厚度应在1米以上，渗透系数应小于1.0×10</w:t>
            </w:r>
            <w:r>
              <w:rPr>
                <w:rFonts w:ascii="Times New Roman" w:hAnsi="Times New Roman" w:cs="Times New Roman"/>
                <w:vertAlign w:val="superscript"/>
              </w:rPr>
              <w:t>-7</w:t>
            </w:r>
            <w:r>
              <w:rPr>
                <w:rFonts w:ascii="Times New Roman" w:hAnsi="Times New Roman" w:cs="Times New Roman"/>
              </w:rPr>
              <w:t>厘米/秒；基础防渗层也可用厚度在2毫米以上的高密度聚乙烯或其他人工防渗材料组成，渗透系数应小于1.0×10</w:t>
            </w:r>
            <w:r>
              <w:rPr>
                <w:rFonts w:ascii="Times New Roman" w:hAnsi="Times New Roman" w:cs="Times New Roman"/>
                <w:vertAlign w:val="superscript"/>
              </w:rPr>
              <w:t>-10</w:t>
            </w:r>
            <w:r>
              <w:rPr>
                <w:rFonts w:ascii="Times New Roman" w:hAnsi="Times New Roman" w:cs="Times New Roman"/>
              </w:rPr>
              <w:t>厘米/秒，</w:t>
            </w:r>
            <w:r>
              <w:rPr>
                <w:rFonts w:ascii="Times New Roman" w:hAnsi="Times New Roman" w:cs="Times New Roman"/>
                <w:bCs/>
              </w:rPr>
              <w:t>危废的贮存场所设置明显标志；</w:t>
            </w:r>
          </w:p>
          <w:p w14:paraId="13EBA5A3">
            <w:pPr>
              <w:spacing w:line="460" w:lineRule="exact"/>
              <w:rPr>
                <w:rFonts w:ascii="Times New Roman" w:hAnsi="Times New Roman" w:cs="Times New Roman"/>
              </w:rPr>
            </w:pPr>
            <w:r>
              <w:rPr>
                <w:rFonts w:ascii="Times New Roman" w:hAnsi="Times New Roman" w:cs="Times New Roman"/>
              </w:rPr>
              <w:t>4）须有泄漏液体收集装置及气体导出口和气体净化装置；</w:t>
            </w:r>
          </w:p>
          <w:p w14:paraId="523E17E9">
            <w:pPr>
              <w:spacing w:line="460" w:lineRule="exact"/>
              <w:rPr>
                <w:rFonts w:ascii="Times New Roman" w:hAnsi="Times New Roman" w:cs="Times New Roman"/>
              </w:rPr>
            </w:pPr>
            <w:r>
              <w:rPr>
                <w:rFonts w:ascii="Times New Roman" w:hAnsi="Times New Roman" w:cs="Times New Roman"/>
              </w:rPr>
              <w:t>5）用于存放液体、半固体危险废物的地方，还须有耐腐蚀的硬化地面，地面无裂隙；</w:t>
            </w:r>
          </w:p>
          <w:p w14:paraId="33281A3D">
            <w:pPr>
              <w:spacing w:line="460" w:lineRule="exact"/>
              <w:rPr>
                <w:rFonts w:ascii="Times New Roman" w:hAnsi="Times New Roman" w:cs="Times New Roman"/>
              </w:rPr>
            </w:pPr>
            <w:r>
              <w:rPr>
                <w:rFonts w:ascii="Times New Roman" w:hAnsi="Times New Roman" w:cs="Times New Roman"/>
              </w:rPr>
              <w:t>6）不相容的危险废物堆放区必须有隔离间隔断；</w:t>
            </w:r>
          </w:p>
          <w:p w14:paraId="248372C6">
            <w:pPr>
              <w:spacing w:line="460" w:lineRule="exact"/>
              <w:rPr>
                <w:rFonts w:ascii="Times New Roman" w:hAnsi="Times New Roman" w:cs="Times New Roman"/>
              </w:rPr>
            </w:pPr>
            <w:r>
              <w:rPr>
                <w:rFonts w:ascii="Times New Roman" w:hAnsi="Times New Roman" w:cs="Times New Roman"/>
              </w:rPr>
              <w:t>7）衬层上需建有渗滤液收集清除系统、径流疏导系统、雨水收集池。</w:t>
            </w:r>
          </w:p>
          <w:p w14:paraId="61D6DCE3">
            <w:pPr>
              <w:spacing w:line="460" w:lineRule="exact"/>
              <w:rPr>
                <w:rFonts w:ascii="Times New Roman" w:hAnsi="Times New Roman" w:cs="Times New Roman"/>
              </w:rPr>
            </w:pPr>
            <w:r>
              <w:rPr>
                <w:rFonts w:ascii="Times New Roman" w:hAnsi="Times New Roman" w:cs="Times New Roman"/>
              </w:rPr>
              <w:t>8）贮存易燃易爆的危险废物的场所应配备消防设备，贮存剧毒危险废物的场所必须有专人24小时看管。</w:t>
            </w:r>
            <w:r>
              <w:rPr>
                <w:rFonts w:ascii="Times New Roman" w:hAnsi="Times New Roman" w:cs="Times New Roman"/>
                <w:bCs/>
              </w:rPr>
              <w:t>危废的转移执行国家环保总局第 5 号令《危险废物转移联单管理办法》，定期送具有危废处置资质单位进行处理。</w:t>
            </w:r>
            <w:r>
              <w:rPr>
                <w:rFonts w:ascii="Times New Roman" w:hAnsi="Times New Roman" w:cs="Times New Roman"/>
              </w:rPr>
              <w:t xml:space="preserve"> </w:t>
            </w:r>
          </w:p>
          <w:p w14:paraId="0AE4CAD5">
            <w:pPr>
              <w:spacing w:line="360" w:lineRule="auto"/>
              <w:ind w:firstLine="480" w:firstLineChars="200"/>
              <w:rPr>
                <w:rFonts w:ascii="Times New Roman" w:hAnsi="Times New Roman" w:cs="Times New Roman"/>
                <w:sz w:val="24"/>
              </w:rPr>
            </w:pPr>
          </w:p>
          <w:p w14:paraId="0646031B">
            <w:pPr>
              <w:keepNext/>
              <w:overflowPunct w:val="0"/>
              <w:snapToGrid w:val="0"/>
              <w:spacing w:line="360" w:lineRule="auto"/>
              <w:outlineLvl w:val="0"/>
              <w:rPr>
                <w:rFonts w:ascii="Times New Roman" w:hAnsi="Times New Roman" w:cs="Times New Roman"/>
                <w:b/>
                <w:bCs/>
                <w:kern w:val="44"/>
                <w:sz w:val="24"/>
                <w:szCs w:val="30"/>
              </w:rPr>
            </w:pPr>
            <w:r>
              <w:rPr>
                <w:rFonts w:ascii="Times New Roman" w:hAnsi="Times New Roman" w:cs="Times New Roman"/>
                <w:b/>
                <w:bCs/>
                <w:kern w:val="44"/>
                <w:sz w:val="24"/>
                <w:szCs w:val="30"/>
              </w:rPr>
              <w:t>4.2.4.3固体废物环境影响</w:t>
            </w:r>
          </w:p>
          <w:p w14:paraId="46F1DF5A">
            <w:pPr>
              <w:spacing w:line="360" w:lineRule="auto"/>
              <w:ind w:firstLine="480" w:firstLineChars="200"/>
              <w:rPr>
                <w:rFonts w:ascii="Times New Roman" w:hAnsi="Times New Roman" w:cs="Times New Roman"/>
                <w:sz w:val="24"/>
              </w:rPr>
            </w:pPr>
            <w:r>
              <w:rPr>
                <w:rFonts w:ascii="Times New Roman" w:hAnsi="Times New Roman" w:cs="Times New Roman"/>
                <w:sz w:val="24"/>
              </w:rPr>
              <w:t>拟建项目各类固体废物均能得到妥善处置，对环境影响较小。</w:t>
            </w:r>
          </w:p>
          <w:p w14:paraId="4812508B">
            <w:pPr>
              <w:keepNext/>
              <w:overflowPunct w:val="0"/>
              <w:snapToGrid w:val="0"/>
              <w:spacing w:line="360" w:lineRule="auto"/>
              <w:outlineLvl w:val="0"/>
              <w:rPr>
                <w:rFonts w:ascii="Times New Roman" w:hAnsi="Times New Roman" w:cs="Times New Roman"/>
                <w:b/>
                <w:bCs/>
                <w:kern w:val="44"/>
                <w:sz w:val="24"/>
                <w:szCs w:val="30"/>
              </w:rPr>
            </w:pPr>
            <w:r>
              <w:rPr>
                <w:rFonts w:ascii="Times New Roman" w:hAnsi="Times New Roman" w:cs="Times New Roman"/>
                <w:b/>
                <w:bCs/>
                <w:kern w:val="44"/>
                <w:sz w:val="24"/>
                <w:szCs w:val="30"/>
              </w:rPr>
              <w:t>4.2.5地下水、土壤</w:t>
            </w:r>
          </w:p>
          <w:p w14:paraId="01A8BDF7">
            <w:pPr>
              <w:spacing w:line="360" w:lineRule="auto"/>
              <w:ind w:firstLine="480" w:firstLineChars="200"/>
              <w:rPr>
                <w:rFonts w:ascii="Times New Roman" w:hAnsi="Times New Roman" w:cs="Times New Roman"/>
                <w:sz w:val="24"/>
              </w:rPr>
            </w:pPr>
            <w:r>
              <w:rPr>
                <w:rFonts w:ascii="Times New Roman" w:hAnsi="Times New Roman" w:cs="Times New Roman"/>
                <w:sz w:val="24"/>
              </w:rPr>
              <w:t>拟建项目废水池、化粪池均为钢筋混凝土结构，在LNG储罐区和装车区各设1座集液池，导热油等储罐四周设置围堰，同时厂区</w:t>
            </w:r>
            <w:r>
              <w:rPr>
                <w:rFonts w:hint="eastAsia" w:ascii="Times New Roman" w:hAnsi="Times New Roman" w:cs="Times New Roman"/>
                <w:sz w:val="24"/>
              </w:rPr>
              <w:t>已</w:t>
            </w:r>
            <w:r>
              <w:rPr>
                <w:rFonts w:ascii="Times New Roman" w:hAnsi="Times New Roman" w:cs="Times New Roman"/>
                <w:sz w:val="24"/>
              </w:rPr>
              <w:t>设置1000</w:t>
            </w:r>
            <w:r>
              <w:rPr>
                <w:rFonts w:ascii="Times New Roman" w:hAnsi="Times New Roman" w:cs="Times New Roman"/>
                <w:sz w:val="24"/>
                <w:vertAlign w:val="superscript"/>
              </w:rPr>
              <w:t>3</w:t>
            </w:r>
            <w:r>
              <w:rPr>
                <w:rFonts w:ascii="Times New Roman" w:hAnsi="Times New Roman" w:cs="Times New Roman"/>
                <w:sz w:val="24"/>
              </w:rPr>
              <w:t>事故池，在做好相关防渗和防护工作后，正常情况下不对地下水、土壤环境产生影响。</w:t>
            </w:r>
          </w:p>
          <w:p w14:paraId="418C5B90">
            <w:pPr>
              <w:keepNext/>
              <w:overflowPunct w:val="0"/>
              <w:snapToGrid w:val="0"/>
              <w:spacing w:line="360" w:lineRule="auto"/>
              <w:outlineLvl w:val="0"/>
              <w:rPr>
                <w:rFonts w:ascii="Times New Roman" w:hAnsi="Times New Roman" w:cs="Times New Roman"/>
                <w:b/>
                <w:bCs/>
                <w:kern w:val="44"/>
                <w:sz w:val="24"/>
                <w:szCs w:val="30"/>
              </w:rPr>
            </w:pPr>
            <w:r>
              <w:rPr>
                <w:rFonts w:ascii="Times New Roman" w:hAnsi="Times New Roman" w:cs="Times New Roman"/>
                <w:b/>
                <w:bCs/>
                <w:kern w:val="44"/>
                <w:sz w:val="24"/>
                <w:szCs w:val="30"/>
              </w:rPr>
              <w:t>4.2.6环境风险</w:t>
            </w:r>
          </w:p>
          <w:p w14:paraId="40A16AF2">
            <w:pPr>
              <w:spacing w:line="360" w:lineRule="auto"/>
              <w:ind w:firstLine="480"/>
              <w:rPr>
                <w:rFonts w:ascii="Times New Roman" w:hAnsi="Times New Roman" w:cs="Times New Roman"/>
                <w:sz w:val="24"/>
              </w:rPr>
            </w:pPr>
            <w:r>
              <w:rPr>
                <w:rFonts w:ascii="Times New Roman" w:hAnsi="Times New Roman" w:cs="Times New Roman"/>
                <w:sz w:val="24"/>
              </w:rPr>
              <w:t>拟建项目站址选择符合相关规范要求，总图布置合理；采用的生产工艺成熟可靠，公用工程及消防满足安全生产的需求。拟建项目涉及的危险物质主要为页岩气、LNG、乙烯、丙烷、异戊烷、导热油等，页岩气、LNG主要成分为甲烷，不含硫化氢。拟建项目</w:t>
            </w:r>
            <w:r>
              <w:rPr>
                <w:rFonts w:ascii="Times New Roman" w:hAnsi="Times New Roman" w:cs="Times New Roman"/>
                <w:bCs/>
                <w:sz w:val="24"/>
              </w:rPr>
              <w:t>可能诱发事故的因素主要为运营过程中储罐、设备、管线破裂，导致物质泄漏，以及引发的火灾爆炸等</w:t>
            </w:r>
            <w:r>
              <w:rPr>
                <w:rFonts w:ascii="Times New Roman" w:hAnsi="Times New Roman" w:cs="Times New Roman"/>
                <w:sz w:val="24"/>
              </w:rPr>
              <w:t>，由泄漏引起的火灾、爆炸对环境产生的影响较大，建设单位应制定突发环境风险事故应急预案，充分提高事故防范能力，在严格按照行业规范作业，强化健康、安全、环境管理的情况下，该项目的环境风险值会大大的降低，该项目环境风险可降至可接受水平。环境风险评价详见环境风险专项评价报告。</w:t>
            </w:r>
          </w:p>
          <w:p w14:paraId="0B909DBC">
            <w:pPr>
              <w:spacing w:line="360" w:lineRule="auto"/>
              <w:ind w:firstLine="480" w:firstLineChars="200"/>
              <w:rPr>
                <w:rFonts w:ascii="Times New Roman" w:hAnsi="Times New Roman" w:cs="Times New Roman"/>
                <w:sz w:val="24"/>
              </w:rPr>
            </w:pPr>
          </w:p>
        </w:tc>
      </w:tr>
    </w:tbl>
    <w:p w14:paraId="04E54D5D">
      <w:pPr>
        <w:pStyle w:val="76"/>
        <w:jc w:val="center"/>
        <w:outlineLvl w:val="0"/>
        <w:rPr>
          <w:rFonts w:ascii="Times New Roman" w:hAnsi="Times New Roman" w:eastAsia="黑体" w:cs="Times New Roman"/>
          <w:snapToGrid w:val="0"/>
          <w:sz w:val="30"/>
          <w:szCs w:val="30"/>
        </w:rPr>
        <w:sectPr>
          <w:pgSz w:w="11906" w:h="16838"/>
          <w:pgMar w:top="1701" w:right="1531" w:bottom="1701" w:left="1531" w:header="851" w:footer="851" w:gutter="0"/>
          <w:cols w:space="720" w:num="1"/>
          <w:docGrid w:linePitch="312" w:charSpace="0"/>
        </w:sectPr>
      </w:pPr>
    </w:p>
    <w:p w14:paraId="6BD5ACE5">
      <w:pPr>
        <w:adjustRightInd w:val="0"/>
        <w:snapToGrid w:val="0"/>
        <w:spacing w:line="440" w:lineRule="exact"/>
        <w:ind w:firstLine="422" w:firstLineChars="200"/>
        <w:jc w:val="center"/>
        <w:rPr>
          <w:rFonts w:ascii="Times New Roman" w:hAnsi="Times New Roman" w:cs="Times New Roman"/>
          <w:b/>
          <w:szCs w:val="21"/>
        </w:rPr>
      </w:pPr>
      <w:r>
        <w:rPr>
          <w:rFonts w:ascii="Times New Roman" w:hAnsi="Times New Roman" w:cs="Times New Roman"/>
          <w:b/>
          <w:szCs w:val="21"/>
        </w:rPr>
        <w:t>表4.2-11   工业企业噪声源强调查清单（室内声源）</w:t>
      </w:r>
    </w:p>
    <w:tbl>
      <w:tblPr>
        <w:tblStyle w:val="8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1046"/>
        <w:gridCol w:w="1046"/>
        <w:gridCol w:w="625"/>
        <w:gridCol w:w="1311"/>
        <w:gridCol w:w="1404"/>
        <w:gridCol w:w="847"/>
        <w:gridCol w:w="756"/>
        <w:gridCol w:w="604"/>
        <w:gridCol w:w="759"/>
        <w:gridCol w:w="871"/>
        <w:gridCol w:w="959"/>
        <w:gridCol w:w="1084"/>
        <w:gridCol w:w="795"/>
        <w:gridCol w:w="890"/>
      </w:tblGrid>
      <w:tr w14:paraId="1E341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Merge w:val="restart"/>
            <w:vAlign w:val="center"/>
          </w:tcPr>
          <w:p w14:paraId="7F56AB4C">
            <w:pPr>
              <w:adjustRightInd w:val="0"/>
              <w:snapToGrid w:val="0"/>
              <w:jc w:val="center"/>
              <w:rPr>
                <w:rFonts w:ascii="Times New Roman" w:hAnsi="Times New Roman" w:cs="Times New Roman"/>
                <w:sz w:val="18"/>
                <w:szCs w:val="18"/>
              </w:rPr>
            </w:pPr>
            <w:r>
              <w:rPr>
                <w:rFonts w:ascii="Times New Roman" w:hAnsi="Times New Roman" w:cs="Times New Roman"/>
                <w:snapToGrid w:val="0"/>
                <w:sz w:val="18"/>
                <w:szCs w:val="18"/>
              </w:rPr>
              <w:t>序号</w:t>
            </w:r>
          </w:p>
        </w:tc>
        <w:tc>
          <w:tcPr>
            <w:tcW w:w="383" w:type="pct"/>
            <w:vMerge w:val="restart"/>
            <w:vAlign w:val="center"/>
          </w:tcPr>
          <w:p w14:paraId="3AF68835">
            <w:pPr>
              <w:adjustRightInd w:val="0"/>
              <w:snapToGrid w:val="0"/>
              <w:jc w:val="center"/>
              <w:rPr>
                <w:rFonts w:ascii="Times New Roman" w:hAnsi="Times New Roman" w:cs="Times New Roman"/>
                <w:snapToGrid w:val="0"/>
                <w:sz w:val="18"/>
                <w:szCs w:val="18"/>
              </w:rPr>
            </w:pPr>
            <w:r>
              <w:rPr>
                <w:rFonts w:hint="eastAsia" w:ascii="Times New Roman" w:hAnsi="Times New Roman" w:cs="Times New Roman"/>
                <w:snapToGrid w:val="0"/>
                <w:sz w:val="18"/>
                <w:szCs w:val="18"/>
              </w:rPr>
              <w:t>建筑物名称</w:t>
            </w:r>
          </w:p>
        </w:tc>
        <w:tc>
          <w:tcPr>
            <w:tcW w:w="383" w:type="pct"/>
            <w:vMerge w:val="restart"/>
            <w:vAlign w:val="center"/>
          </w:tcPr>
          <w:p w14:paraId="1ED42E00">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声源设备</w:t>
            </w:r>
          </w:p>
        </w:tc>
        <w:tc>
          <w:tcPr>
            <w:tcW w:w="229" w:type="pct"/>
            <w:vMerge w:val="restart"/>
            <w:vAlign w:val="center"/>
          </w:tcPr>
          <w:p w14:paraId="4CF57A2F">
            <w:pPr>
              <w:adjustRightInd w:val="0"/>
              <w:snapToGrid w:val="0"/>
              <w:jc w:val="center"/>
              <w:rPr>
                <w:rFonts w:ascii="Times New Roman" w:hAnsi="Times New Roman" w:cs="Times New Roman"/>
                <w:sz w:val="18"/>
                <w:szCs w:val="18"/>
              </w:rPr>
            </w:pPr>
            <w:r>
              <w:rPr>
                <w:rFonts w:ascii="Times New Roman" w:hAnsi="Times New Roman" w:cs="Times New Roman"/>
                <w:snapToGrid w:val="0"/>
                <w:sz w:val="18"/>
                <w:szCs w:val="18"/>
              </w:rPr>
              <w:t>型号</w:t>
            </w:r>
          </w:p>
        </w:tc>
        <w:tc>
          <w:tcPr>
            <w:tcW w:w="480" w:type="pct"/>
            <w:vAlign w:val="center"/>
          </w:tcPr>
          <w:p w14:paraId="005D4228">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声源源强</w:t>
            </w:r>
          </w:p>
        </w:tc>
        <w:tc>
          <w:tcPr>
            <w:tcW w:w="514" w:type="pct"/>
            <w:vMerge w:val="restart"/>
            <w:vAlign w:val="center"/>
          </w:tcPr>
          <w:p w14:paraId="14BFAD49">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声源控制措施</w:t>
            </w:r>
          </w:p>
        </w:tc>
        <w:tc>
          <w:tcPr>
            <w:tcW w:w="808" w:type="pct"/>
            <w:gridSpan w:val="3"/>
            <w:vAlign w:val="center"/>
          </w:tcPr>
          <w:p w14:paraId="18677834">
            <w:pPr>
              <w:adjustRightInd w:val="0"/>
              <w:snapToGrid w:val="0"/>
              <w:jc w:val="center"/>
              <w:rPr>
                <w:rFonts w:ascii="Times New Roman" w:hAnsi="Times New Roman" w:cs="Times New Roman"/>
                <w:sz w:val="18"/>
                <w:szCs w:val="18"/>
              </w:rPr>
            </w:pPr>
            <w:r>
              <w:rPr>
                <w:rFonts w:ascii="Times New Roman" w:hAnsi="Times New Roman" w:cs="Times New Roman"/>
                <w:snapToGrid w:val="0"/>
                <w:sz w:val="18"/>
                <w:szCs w:val="18"/>
              </w:rPr>
              <w:t>空间相对位置</w:t>
            </w:r>
          </w:p>
        </w:tc>
        <w:tc>
          <w:tcPr>
            <w:tcW w:w="278" w:type="pct"/>
            <w:vMerge w:val="restart"/>
            <w:vAlign w:val="center"/>
          </w:tcPr>
          <w:p w14:paraId="547B2AF4">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距室内边界距离/m（西）</w:t>
            </w:r>
          </w:p>
        </w:tc>
        <w:tc>
          <w:tcPr>
            <w:tcW w:w="319" w:type="pct"/>
            <w:vMerge w:val="restart"/>
            <w:vAlign w:val="center"/>
          </w:tcPr>
          <w:p w14:paraId="142BAA4A">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室内边界声级/dB（A）</w:t>
            </w:r>
          </w:p>
        </w:tc>
        <w:tc>
          <w:tcPr>
            <w:tcW w:w="351" w:type="pct"/>
            <w:vMerge w:val="restart"/>
            <w:vAlign w:val="center"/>
          </w:tcPr>
          <w:p w14:paraId="6A30A828">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运行时段（h）</w:t>
            </w:r>
          </w:p>
        </w:tc>
        <w:tc>
          <w:tcPr>
            <w:tcW w:w="397" w:type="pct"/>
            <w:vMerge w:val="restart"/>
            <w:vAlign w:val="center"/>
          </w:tcPr>
          <w:p w14:paraId="67AFE71D">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建筑插入损失/ dB（A）</w:t>
            </w:r>
          </w:p>
        </w:tc>
        <w:tc>
          <w:tcPr>
            <w:tcW w:w="617" w:type="pct"/>
            <w:gridSpan w:val="2"/>
            <w:vAlign w:val="center"/>
          </w:tcPr>
          <w:p w14:paraId="6242228B">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建筑物外噪声</w:t>
            </w:r>
          </w:p>
        </w:tc>
      </w:tr>
      <w:tr w14:paraId="3D623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Merge w:val="continue"/>
            <w:vAlign w:val="center"/>
          </w:tcPr>
          <w:p w14:paraId="4F0807B4">
            <w:pPr>
              <w:adjustRightInd w:val="0"/>
              <w:snapToGrid w:val="0"/>
              <w:jc w:val="center"/>
              <w:rPr>
                <w:rFonts w:ascii="Times New Roman" w:hAnsi="Times New Roman" w:cs="Times New Roman"/>
                <w:snapToGrid w:val="0"/>
                <w:sz w:val="18"/>
                <w:szCs w:val="18"/>
              </w:rPr>
            </w:pPr>
          </w:p>
        </w:tc>
        <w:tc>
          <w:tcPr>
            <w:tcW w:w="383" w:type="pct"/>
            <w:vMerge w:val="continue"/>
            <w:vAlign w:val="center"/>
          </w:tcPr>
          <w:p w14:paraId="021C6C78">
            <w:pPr>
              <w:adjustRightInd w:val="0"/>
              <w:snapToGrid w:val="0"/>
              <w:jc w:val="center"/>
              <w:rPr>
                <w:rFonts w:ascii="Times New Roman" w:hAnsi="Times New Roman" w:cs="Times New Roman"/>
                <w:snapToGrid w:val="0"/>
                <w:sz w:val="18"/>
                <w:szCs w:val="18"/>
              </w:rPr>
            </w:pPr>
          </w:p>
        </w:tc>
        <w:tc>
          <w:tcPr>
            <w:tcW w:w="383" w:type="pct"/>
            <w:vMerge w:val="continue"/>
            <w:vAlign w:val="center"/>
          </w:tcPr>
          <w:p w14:paraId="1779F689">
            <w:pPr>
              <w:adjustRightInd w:val="0"/>
              <w:snapToGrid w:val="0"/>
              <w:jc w:val="center"/>
              <w:rPr>
                <w:rFonts w:ascii="Times New Roman" w:hAnsi="Times New Roman" w:cs="Times New Roman"/>
                <w:snapToGrid w:val="0"/>
                <w:sz w:val="18"/>
                <w:szCs w:val="18"/>
              </w:rPr>
            </w:pPr>
          </w:p>
        </w:tc>
        <w:tc>
          <w:tcPr>
            <w:tcW w:w="229" w:type="pct"/>
            <w:vMerge w:val="continue"/>
            <w:vAlign w:val="center"/>
          </w:tcPr>
          <w:p w14:paraId="3CF3AF6D">
            <w:pPr>
              <w:adjustRightInd w:val="0"/>
              <w:snapToGrid w:val="0"/>
              <w:jc w:val="center"/>
              <w:rPr>
                <w:rFonts w:ascii="Times New Roman" w:hAnsi="Times New Roman" w:cs="Times New Roman"/>
                <w:snapToGrid w:val="0"/>
                <w:sz w:val="18"/>
                <w:szCs w:val="18"/>
              </w:rPr>
            </w:pPr>
          </w:p>
        </w:tc>
        <w:tc>
          <w:tcPr>
            <w:tcW w:w="480" w:type="pct"/>
            <w:vAlign w:val="center"/>
          </w:tcPr>
          <w:p w14:paraId="6B9DC847">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（声压级/距声源距离）/（dB（A）/m）</w:t>
            </w:r>
          </w:p>
        </w:tc>
        <w:tc>
          <w:tcPr>
            <w:tcW w:w="514" w:type="pct"/>
            <w:vMerge w:val="continue"/>
            <w:vAlign w:val="center"/>
          </w:tcPr>
          <w:p w14:paraId="1F194A46">
            <w:pPr>
              <w:adjustRightInd w:val="0"/>
              <w:snapToGrid w:val="0"/>
              <w:jc w:val="center"/>
              <w:rPr>
                <w:rFonts w:ascii="Times New Roman" w:hAnsi="Times New Roman" w:cs="Times New Roman"/>
                <w:snapToGrid w:val="0"/>
                <w:sz w:val="18"/>
                <w:szCs w:val="18"/>
              </w:rPr>
            </w:pPr>
          </w:p>
        </w:tc>
        <w:tc>
          <w:tcPr>
            <w:tcW w:w="310" w:type="pct"/>
            <w:vAlign w:val="center"/>
          </w:tcPr>
          <w:p w14:paraId="28432A49">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X</w:t>
            </w:r>
          </w:p>
        </w:tc>
        <w:tc>
          <w:tcPr>
            <w:tcW w:w="277" w:type="pct"/>
            <w:vAlign w:val="center"/>
          </w:tcPr>
          <w:p w14:paraId="33B9F79B">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Y</w:t>
            </w:r>
          </w:p>
        </w:tc>
        <w:tc>
          <w:tcPr>
            <w:tcW w:w="221" w:type="pct"/>
            <w:vAlign w:val="center"/>
          </w:tcPr>
          <w:p w14:paraId="005CBAEC">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Z</w:t>
            </w:r>
          </w:p>
        </w:tc>
        <w:tc>
          <w:tcPr>
            <w:tcW w:w="278" w:type="pct"/>
            <w:vMerge w:val="continue"/>
            <w:vAlign w:val="center"/>
          </w:tcPr>
          <w:p w14:paraId="007B9966">
            <w:pPr>
              <w:pStyle w:val="1810"/>
              <w:jc w:val="center"/>
              <w:rPr>
                <w:rFonts w:ascii="Times New Roman" w:hAnsi="Times New Roman" w:cs="Times New Roman"/>
                <w:sz w:val="18"/>
                <w:szCs w:val="18"/>
              </w:rPr>
            </w:pPr>
          </w:p>
        </w:tc>
        <w:tc>
          <w:tcPr>
            <w:tcW w:w="319" w:type="pct"/>
            <w:vMerge w:val="continue"/>
            <w:vAlign w:val="center"/>
          </w:tcPr>
          <w:p w14:paraId="20B8913C">
            <w:pPr>
              <w:adjustRightInd w:val="0"/>
              <w:snapToGrid w:val="0"/>
              <w:jc w:val="center"/>
              <w:rPr>
                <w:rFonts w:ascii="Times New Roman" w:hAnsi="Times New Roman" w:cs="Times New Roman"/>
                <w:snapToGrid w:val="0"/>
                <w:sz w:val="18"/>
                <w:szCs w:val="18"/>
              </w:rPr>
            </w:pPr>
          </w:p>
        </w:tc>
        <w:tc>
          <w:tcPr>
            <w:tcW w:w="351" w:type="pct"/>
            <w:vMerge w:val="continue"/>
            <w:vAlign w:val="center"/>
          </w:tcPr>
          <w:p w14:paraId="63A86EF8">
            <w:pPr>
              <w:adjustRightInd w:val="0"/>
              <w:snapToGrid w:val="0"/>
              <w:jc w:val="center"/>
              <w:rPr>
                <w:rFonts w:ascii="Times New Roman" w:hAnsi="Times New Roman" w:cs="Times New Roman"/>
                <w:snapToGrid w:val="0"/>
                <w:sz w:val="18"/>
                <w:szCs w:val="18"/>
              </w:rPr>
            </w:pPr>
          </w:p>
        </w:tc>
        <w:tc>
          <w:tcPr>
            <w:tcW w:w="397" w:type="pct"/>
            <w:vMerge w:val="continue"/>
            <w:vAlign w:val="center"/>
          </w:tcPr>
          <w:p w14:paraId="4FB5F9C8">
            <w:pPr>
              <w:adjustRightInd w:val="0"/>
              <w:snapToGrid w:val="0"/>
              <w:jc w:val="center"/>
              <w:rPr>
                <w:rFonts w:ascii="Times New Roman" w:hAnsi="Times New Roman" w:cs="Times New Roman"/>
                <w:snapToGrid w:val="0"/>
                <w:sz w:val="18"/>
                <w:szCs w:val="18"/>
              </w:rPr>
            </w:pPr>
          </w:p>
        </w:tc>
        <w:tc>
          <w:tcPr>
            <w:tcW w:w="291" w:type="pct"/>
            <w:vAlign w:val="center"/>
          </w:tcPr>
          <w:p w14:paraId="133C57C2">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声压级/dB（A）</w:t>
            </w:r>
          </w:p>
        </w:tc>
        <w:tc>
          <w:tcPr>
            <w:tcW w:w="326" w:type="pct"/>
            <w:vAlign w:val="center"/>
          </w:tcPr>
          <w:p w14:paraId="0CFF68C0">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建筑物外距离</w:t>
            </w:r>
          </w:p>
        </w:tc>
      </w:tr>
      <w:tr w14:paraId="0E647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Align w:val="center"/>
          </w:tcPr>
          <w:p w14:paraId="7B92D514">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1</w:t>
            </w:r>
          </w:p>
        </w:tc>
        <w:tc>
          <w:tcPr>
            <w:tcW w:w="383" w:type="pct"/>
            <w:vMerge w:val="restart"/>
            <w:vAlign w:val="center"/>
          </w:tcPr>
          <w:p w14:paraId="4B055574">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二期循环水站</w:t>
            </w:r>
          </w:p>
        </w:tc>
        <w:tc>
          <w:tcPr>
            <w:tcW w:w="383" w:type="pct"/>
            <w:vAlign w:val="center"/>
          </w:tcPr>
          <w:p w14:paraId="26AC204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循环水泵</w:t>
            </w:r>
          </w:p>
        </w:tc>
        <w:tc>
          <w:tcPr>
            <w:tcW w:w="229" w:type="pct"/>
            <w:vAlign w:val="center"/>
          </w:tcPr>
          <w:p w14:paraId="345F152B">
            <w:pPr>
              <w:autoSpaceDE w:val="0"/>
              <w:autoSpaceDN w:val="0"/>
              <w:adjustRightInd w:val="0"/>
              <w:jc w:val="center"/>
              <w:rPr>
                <w:rFonts w:ascii="Times New Roman" w:hAnsi="Times New Roman" w:cs="Times New Roman"/>
                <w:snapToGrid w:val="0"/>
                <w:sz w:val="18"/>
                <w:szCs w:val="18"/>
              </w:rPr>
            </w:pPr>
            <w:r>
              <w:rPr>
                <w:rFonts w:ascii="Times New Roman" w:hAnsi="Times New Roman" w:cs="Times New Roman"/>
                <w:snapToGrid w:val="0"/>
                <w:sz w:val="18"/>
                <w:szCs w:val="18"/>
              </w:rPr>
              <w:t>/</w:t>
            </w:r>
          </w:p>
        </w:tc>
        <w:tc>
          <w:tcPr>
            <w:tcW w:w="480" w:type="pct"/>
            <w:vAlign w:val="center"/>
          </w:tcPr>
          <w:p w14:paraId="3EBBD023">
            <w:pPr>
              <w:pStyle w:val="1810"/>
              <w:jc w:val="center"/>
              <w:rPr>
                <w:rFonts w:ascii="Times New Roman" w:hAnsi="Times New Roman" w:cs="Times New Roman"/>
                <w:sz w:val="18"/>
                <w:szCs w:val="18"/>
              </w:rPr>
            </w:pPr>
            <w:r>
              <w:rPr>
                <w:rFonts w:hint="eastAsia" w:ascii="Times New Roman" w:hAnsi="Times New Roman" w:cs="Times New Roman"/>
                <w:sz w:val="18"/>
                <w:szCs w:val="18"/>
              </w:rPr>
              <w:t>85</w:t>
            </w:r>
            <w:r>
              <w:rPr>
                <w:rFonts w:ascii="Times New Roman" w:hAnsi="Times New Roman" w:cs="Times New Roman"/>
                <w:sz w:val="18"/>
                <w:szCs w:val="18"/>
              </w:rPr>
              <w:t>/1</w:t>
            </w:r>
          </w:p>
        </w:tc>
        <w:tc>
          <w:tcPr>
            <w:tcW w:w="514" w:type="pct"/>
            <w:vAlign w:val="center"/>
          </w:tcPr>
          <w:p w14:paraId="462CAD6D">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选低噪声设备；减振、建筑隔声</w:t>
            </w:r>
          </w:p>
        </w:tc>
        <w:tc>
          <w:tcPr>
            <w:tcW w:w="310" w:type="pct"/>
            <w:vAlign w:val="center"/>
          </w:tcPr>
          <w:p w14:paraId="3B05F8DA">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-80.04</w:t>
            </w:r>
          </w:p>
        </w:tc>
        <w:tc>
          <w:tcPr>
            <w:tcW w:w="277" w:type="pct"/>
            <w:vAlign w:val="center"/>
          </w:tcPr>
          <w:p w14:paraId="6F289D42">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319.62</w:t>
            </w:r>
          </w:p>
        </w:tc>
        <w:tc>
          <w:tcPr>
            <w:tcW w:w="221" w:type="pct"/>
            <w:vAlign w:val="center"/>
          </w:tcPr>
          <w:p w14:paraId="0425D38F">
            <w:pPr>
              <w:adjustRightInd w:val="0"/>
              <w:snapToGrid w:val="0"/>
              <w:jc w:val="center"/>
              <w:rPr>
                <w:rFonts w:ascii="Times New Roman" w:hAnsi="Times New Roman" w:cs="Times New Roman"/>
                <w:sz w:val="18"/>
                <w:szCs w:val="18"/>
              </w:rPr>
            </w:pPr>
            <w:r>
              <w:rPr>
                <w:rFonts w:hint="eastAsia" w:ascii="Times New Roman" w:hAnsi="Times New Roman" w:cs="Times New Roman"/>
                <w:sz w:val="18"/>
                <w:szCs w:val="18"/>
              </w:rPr>
              <w:t>1</w:t>
            </w:r>
          </w:p>
        </w:tc>
        <w:tc>
          <w:tcPr>
            <w:tcW w:w="278" w:type="pct"/>
            <w:vAlign w:val="center"/>
          </w:tcPr>
          <w:p w14:paraId="3A31BBB0">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6.12</w:t>
            </w:r>
          </w:p>
        </w:tc>
        <w:tc>
          <w:tcPr>
            <w:tcW w:w="319" w:type="pct"/>
            <w:vAlign w:val="center"/>
          </w:tcPr>
          <w:p w14:paraId="20FA2542">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79.02</w:t>
            </w:r>
          </w:p>
        </w:tc>
        <w:tc>
          <w:tcPr>
            <w:tcW w:w="351" w:type="pct"/>
            <w:vAlign w:val="center"/>
          </w:tcPr>
          <w:p w14:paraId="3774120B">
            <w:pPr>
              <w:adjustRightInd w:val="0"/>
              <w:snapToGrid w:val="0"/>
              <w:spacing w:line="360" w:lineRule="exact"/>
              <w:jc w:val="center"/>
              <w:rPr>
                <w:rFonts w:ascii="Times New Roman" w:hAnsi="Times New Roman" w:cs="Times New Roman"/>
                <w:sz w:val="18"/>
                <w:szCs w:val="18"/>
              </w:rPr>
            </w:pPr>
            <w:r>
              <w:rPr>
                <w:rFonts w:ascii="Times New Roman" w:hAnsi="Times New Roman" w:cs="Times New Roman"/>
                <w:sz w:val="18"/>
                <w:szCs w:val="18"/>
              </w:rPr>
              <w:t>24</w:t>
            </w:r>
          </w:p>
        </w:tc>
        <w:tc>
          <w:tcPr>
            <w:tcW w:w="397" w:type="pct"/>
            <w:vAlign w:val="center"/>
          </w:tcPr>
          <w:p w14:paraId="7AE50B41">
            <w:pPr>
              <w:adjustRightInd w:val="0"/>
              <w:snapToGrid w:val="0"/>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15</w:t>
            </w:r>
          </w:p>
        </w:tc>
        <w:tc>
          <w:tcPr>
            <w:tcW w:w="291" w:type="pct"/>
            <w:vAlign w:val="center"/>
          </w:tcPr>
          <w:p w14:paraId="3FEDC5F5">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58.02</w:t>
            </w:r>
          </w:p>
        </w:tc>
        <w:tc>
          <w:tcPr>
            <w:tcW w:w="326" w:type="pct"/>
            <w:vAlign w:val="center"/>
          </w:tcPr>
          <w:p w14:paraId="1FD01FE6">
            <w:pPr>
              <w:adjustRightInd w:val="0"/>
              <w:snapToGrid w:val="0"/>
              <w:spacing w:line="360" w:lineRule="exact"/>
              <w:jc w:val="center"/>
              <w:rPr>
                <w:rFonts w:ascii="Times New Roman" w:hAnsi="Times New Roman" w:cs="Times New Roman"/>
                <w:sz w:val="18"/>
                <w:szCs w:val="18"/>
              </w:rPr>
            </w:pPr>
            <w:r>
              <w:rPr>
                <w:rFonts w:ascii="Times New Roman" w:hAnsi="Times New Roman" w:cs="Times New Roman"/>
                <w:sz w:val="18"/>
                <w:szCs w:val="18"/>
              </w:rPr>
              <w:t>1</w:t>
            </w:r>
          </w:p>
        </w:tc>
      </w:tr>
      <w:tr w14:paraId="39703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Align w:val="center"/>
          </w:tcPr>
          <w:p w14:paraId="3E3CD650">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2</w:t>
            </w:r>
          </w:p>
        </w:tc>
        <w:tc>
          <w:tcPr>
            <w:tcW w:w="383" w:type="pct"/>
            <w:vMerge w:val="continue"/>
            <w:vAlign w:val="center"/>
          </w:tcPr>
          <w:p w14:paraId="3EF67F8C">
            <w:pPr>
              <w:adjustRightInd w:val="0"/>
              <w:snapToGrid w:val="0"/>
              <w:spacing w:line="360" w:lineRule="exact"/>
              <w:jc w:val="center"/>
              <w:rPr>
                <w:rFonts w:ascii="Times New Roman" w:hAnsi="Times New Roman" w:cs="Times New Roman"/>
                <w:snapToGrid w:val="0"/>
                <w:szCs w:val="21"/>
              </w:rPr>
            </w:pPr>
          </w:p>
        </w:tc>
        <w:tc>
          <w:tcPr>
            <w:tcW w:w="383" w:type="pct"/>
            <w:vAlign w:val="center"/>
          </w:tcPr>
          <w:p w14:paraId="1187F87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冷却塔</w:t>
            </w:r>
          </w:p>
        </w:tc>
        <w:tc>
          <w:tcPr>
            <w:tcW w:w="229" w:type="pct"/>
            <w:vAlign w:val="center"/>
          </w:tcPr>
          <w:p w14:paraId="28531E68">
            <w:pPr>
              <w:autoSpaceDE w:val="0"/>
              <w:autoSpaceDN w:val="0"/>
              <w:adjustRightInd w:val="0"/>
              <w:jc w:val="center"/>
              <w:rPr>
                <w:rFonts w:ascii="Times New Roman" w:hAnsi="Times New Roman" w:cs="Times New Roman"/>
                <w:snapToGrid w:val="0"/>
                <w:sz w:val="18"/>
                <w:szCs w:val="18"/>
              </w:rPr>
            </w:pPr>
            <w:r>
              <w:rPr>
                <w:rFonts w:ascii="Times New Roman" w:hAnsi="Times New Roman" w:cs="Times New Roman"/>
                <w:snapToGrid w:val="0"/>
                <w:sz w:val="18"/>
                <w:szCs w:val="18"/>
              </w:rPr>
              <w:t>/</w:t>
            </w:r>
          </w:p>
        </w:tc>
        <w:tc>
          <w:tcPr>
            <w:tcW w:w="480" w:type="pct"/>
            <w:vAlign w:val="center"/>
          </w:tcPr>
          <w:p w14:paraId="17C25254">
            <w:pPr>
              <w:pStyle w:val="1810"/>
              <w:jc w:val="center"/>
              <w:rPr>
                <w:rFonts w:ascii="Times New Roman" w:hAnsi="Times New Roman" w:cs="Times New Roman"/>
                <w:sz w:val="18"/>
                <w:szCs w:val="18"/>
              </w:rPr>
            </w:pPr>
            <w:r>
              <w:rPr>
                <w:rFonts w:ascii="Times New Roman" w:hAnsi="Times New Roman" w:cs="Times New Roman"/>
                <w:sz w:val="18"/>
                <w:szCs w:val="18"/>
              </w:rPr>
              <w:t>85/1</w:t>
            </w:r>
          </w:p>
        </w:tc>
        <w:tc>
          <w:tcPr>
            <w:tcW w:w="514" w:type="pct"/>
            <w:vAlign w:val="center"/>
          </w:tcPr>
          <w:p w14:paraId="14DD0C20">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选低噪声设备</w:t>
            </w:r>
            <w:r>
              <w:rPr>
                <w:rFonts w:hint="eastAsia" w:ascii="Times New Roman" w:hAnsi="Times New Roman" w:cs="Times New Roman"/>
                <w:snapToGrid w:val="0"/>
                <w:sz w:val="18"/>
                <w:szCs w:val="18"/>
              </w:rPr>
              <w:t>；</w:t>
            </w:r>
            <w:r>
              <w:rPr>
                <w:rFonts w:ascii="Times New Roman" w:hAnsi="Times New Roman" w:cs="Times New Roman"/>
                <w:snapToGrid w:val="0"/>
                <w:sz w:val="18"/>
                <w:szCs w:val="18"/>
              </w:rPr>
              <w:t>建筑隔声</w:t>
            </w:r>
          </w:p>
        </w:tc>
        <w:tc>
          <w:tcPr>
            <w:tcW w:w="310" w:type="pct"/>
            <w:vAlign w:val="center"/>
          </w:tcPr>
          <w:p w14:paraId="7F26F685">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-73.99</w:t>
            </w:r>
          </w:p>
        </w:tc>
        <w:tc>
          <w:tcPr>
            <w:tcW w:w="277" w:type="pct"/>
            <w:vAlign w:val="center"/>
          </w:tcPr>
          <w:p w14:paraId="14CC56C9">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317.6</w:t>
            </w:r>
          </w:p>
        </w:tc>
        <w:tc>
          <w:tcPr>
            <w:tcW w:w="221" w:type="pct"/>
            <w:vAlign w:val="center"/>
          </w:tcPr>
          <w:p w14:paraId="7E2A2A44">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1</w:t>
            </w:r>
          </w:p>
        </w:tc>
        <w:tc>
          <w:tcPr>
            <w:tcW w:w="278" w:type="pct"/>
            <w:vAlign w:val="center"/>
          </w:tcPr>
          <w:p w14:paraId="32A47D52">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4.08</w:t>
            </w:r>
          </w:p>
        </w:tc>
        <w:tc>
          <w:tcPr>
            <w:tcW w:w="319" w:type="pct"/>
            <w:vAlign w:val="center"/>
          </w:tcPr>
          <w:p w14:paraId="6B688E20">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79.06</w:t>
            </w:r>
          </w:p>
        </w:tc>
        <w:tc>
          <w:tcPr>
            <w:tcW w:w="351" w:type="pct"/>
            <w:vAlign w:val="center"/>
          </w:tcPr>
          <w:p w14:paraId="25214B93">
            <w:pPr>
              <w:adjustRightInd w:val="0"/>
              <w:snapToGrid w:val="0"/>
              <w:spacing w:line="360" w:lineRule="exact"/>
              <w:jc w:val="center"/>
              <w:rPr>
                <w:rFonts w:ascii="Times New Roman" w:hAnsi="Times New Roman" w:cs="Times New Roman"/>
                <w:sz w:val="18"/>
                <w:szCs w:val="18"/>
              </w:rPr>
            </w:pPr>
            <w:r>
              <w:rPr>
                <w:rFonts w:ascii="Times New Roman" w:hAnsi="Times New Roman" w:cs="Times New Roman"/>
                <w:sz w:val="18"/>
                <w:szCs w:val="18"/>
              </w:rPr>
              <w:t>24</w:t>
            </w:r>
          </w:p>
        </w:tc>
        <w:tc>
          <w:tcPr>
            <w:tcW w:w="397" w:type="pct"/>
            <w:vAlign w:val="center"/>
          </w:tcPr>
          <w:p w14:paraId="095D1A40">
            <w:pPr>
              <w:adjustRightInd w:val="0"/>
              <w:snapToGrid w:val="0"/>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15</w:t>
            </w:r>
          </w:p>
        </w:tc>
        <w:tc>
          <w:tcPr>
            <w:tcW w:w="291" w:type="pct"/>
            <w:vAlign w:val="center"/>
          </w:tcPr>
          <w:p w14:paraId="53C4C68A">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58.06</w:t>
            </w:r>
          </w:p>
        </w:tc>
        <w:tc>
          <w:tcPr>
            <w:tcW w:w="326" w:type="pct"/>
            <w:vAlign w:val="center"/>
          </w:tcPr>
          <w:p w14:paraId="3F018C4D">
            <w:pPr>
              <w:adjustRightInd w:val="0"/>
              <w:snapToGrid w:val="0"/>
              <w:spacing w:line="360" w:lineRule="exact"/>
              <w:jc w:val="center"/>
              <w:rPr>
                <w:rFonts w:ascii="Times New Roman" w:hAnsi="Times New Roman" w:cs="Times New Roman"/>
                <w:sz w:val="18"/>
                <w:szCs w:val="18"/>
              </w:rPr>
            </w:pPr>
            <w:r>
              <w:rPr>
                <w:rFonts w:ascii="Times New Roman" w:hAnsi="Times New Roman" w:cs="Times New Roman"/>
                <w:sz w:val="18"/>
                <w:szCs w:val="18"/>
              </w:rPr>
              <w:t>1</w:t>
            </w:r>
          </w:p>
        </w:tc>
      </w:tr>
      <w:tr w14:paraId="321CE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Align w:val="center"/>
          </w:tcPr>
          <w:p w14:paraId="21D145CC">
            <w:pPr>
              <w:pStyle w:val="1810"/>
              <w:jc w:val="center"/>
              <w:rPr>
                <w:rFonts w:ascii="Times New Roman" w:hAnsi="Times New Roman" w:cs="Times New Roman"/>
                <w:sz w:val="18"/>
                <w:szCs w:val="18"/>
              </w:rPr>
            </w:pPr>
            <w:r>
              <w:rPr>
                <w:rFonts w:ascii="Times New Roman" w:hAnsi="Times New Roman" w:cs="Times New Roman"/>
                <w:sz w:val="18"/>
                <w:szCs w:val="18"/>
              </w:rPr>
              <w:t>3</w:t>
            </w:r>
          </w:p>
        </w:tc>
        <w:tc>
          <w:tcPr>
            <w:tcW w:w="383" w:type="pct"/>
            <w:vMerge w:val="continue"/>
            <w:vAlign w:val="center"/>
          </w:tcPr>
          <w:p w14:paraId="746F6DE3">
            <w:pPr>
              <w:adjustRightInd w:val="0"/>
              <w:snapToGrid w:val="0"/>
              <w:spacing w:line="360" w:lineRule="exact"/>
              <w:jc w:val="center"/>
              <w:rPr>
                <w:rFonts w:ascii="Times New Roman" w:hAnsi="Times New Roman" w:cs="Times New Roman"/>
                <w:snapToGrid w:val="0"/>
                <w:szCs w:val="21"/>
              </w:rPr>
            </w:pPr>
          </w:p>
        </w:tc>
        <w:tc>
          <w:tcPr>
            <w:tcW w:w="383" w:type="pct"/>
            <w:vAlign w:val="center"/>
          </w:tcPr>
          <w:p w14:paraId="71D781F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压缩机</w:t>
            </w:r>
          </w:p>
        </w:tc>
        <w:tc>
          <w:tcPr>
            <w:tcW w:w="229" w:type="pct"/>
            <w:vAlign w:val="center"/>
          </w:tcPr>
          <w:p w14:paraId="73A0EAB7">
            <w:pPr>
              <w:autoSpaceDE w:val="0"/>
              <w:autoSpaceDN w:val="0"/>
              <w:adjustRightInd w:val="0"/>
              <w:jc w:val="center"/>
              <w:rPr>
                <w:rFonts w:ascii="Times New Roman" w:hAnsi="Times New Roman" w:cs="Times New Roman"/>
                <w:snapToGrid w:val="0"/>
                <w:sz w:val="18"/>
                <w:szCs w:val="18"/>
              </w:rPr>
            </w:pPr>
            <w:r>
              <w:rPr>
                <w:rFonts w:ascii="Times New Roman" w:hAnsi="Times New Roman" w:cs="Times New Roman"/>
                <w:snapToGrid w:val="0"/>
                <w:sz w:val="18"/>
                <w:szCs w:val="18"/>
              </w:rPr>
              <w:t>/</w:t>
            </w:r>
          </w:p>
        </w:tc>
        <w:tc>
          <w:tcPr>
            <w:tcW w:w="480" w:type="pct"/>
            <w:vAlign w:val="center"/>
          </w:tcPr>
          <w:p w14:paraId="7F596B88">
            <w:pPr>
              <w:pStyle w:val="1810"/>
              <w:jc w:val="center"/>
              <w:rPr>
                <w:rFonts w:ascii="Times New Roman" w:hAnsi="Times New Roman" w:cs="Times New Roman"/>
                <w:sz w:val="18"/>
                <w:szCs w:val="18"/>
              </w:rPr>
            </w:pPr>
            <w:r>
              <w:rPr>
                <w:rFonts w:ascii="Times New Roman" w:hAnsi="Times New Roman" w:cs="Times New Roman"/>
                <w:sz w:val="18"/>
                <w:szCs w:val="18"/>
              </w:rPr>
              <w:t>95/1</w:t>
            </w:r>
          </w:p>
        </w:tc>
        <w:tc>
          <w:tcPr>
            <w:tcW w:w="514" w:type="pct"/>
            <w:vAlign w:val="center"/>
          </w:tcPr>
          <w:p w14:paraId="247F46C1">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选低噪声设备</w:t>
            </w:r>
            <w:r>
              <w:rPr>
                <w:rFonts w:hint="eastAsia" w:ascii="Times New Roman" w:hAnsi="Times New Roman" w:cs="Times New Roman"/>
                <w:snapToGrid w:val="0"/>
                <w:sz w:val="18"/>
                <w:szCs w:val="18"/>
              </w:rPr>
              <w:t>；</w:t>
            </w:r>
            <w:r>
              <w:rPr>
                <w:rFonts w:ascii="Times New Roman" w:hAnsi="Times New Roman" w:cs="Times New Roman"/>
                <w:snapToGrid w:val="0"/>
                <w:sz w:val="18"/>
                <w:szCs w:val="18"/>
              </w:rPr>
              <w:t>建筑隔声</w:t>
            </w:r>
          </w:p>
        </w:tc>
        <w:tc>
          <w:tcPr>
            <w:tcW w:w="310" w:type="pct"/>
            <w:vAlign w:val="center"/>
          </w:tcPr>
          <w:p w14:paraId="41CA27D0">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-79.37</w:t>
            </w:r>
          </w:p>
        </w:tc>
        <w:tc>
          <w:tcPr>
            <w:tcW w:w="277" w:type="pct"/>
            <w:vAlign w:val="center"/>
          </w:tcPr>
          <w:p w14:paraId="03663E44">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313.56</w:t>
            </w:r>
          </w:p>
        </w:tc>
        <w:tc>
          <w:tcPr>
            <w:tcW w:w="221" w:type="pct"/>
            <w:vAlign w:val="center"/>
          </w:tcPr>
          <w:p w14:paraId="046F792B">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1</w:t>
            </w:r>
          </w:p>
        </w:tc>
        <w:tc>
          <w:tcPr>
            <w:tcW w:w="278" w:type="pct"/>
            <w:vAlign w:val="center"/>
          </w:tcPr>
          <w:p w14:paraId="43881E85">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10.80</w:t>
            </w:r>
          </w:p>
        </w:tc>
        <w:tc>
          <w:tcPr>
            <w:tcW w:w="319" w:type="pct"/>
            <w:vAlign w:val="center"/>
          </w:tcPr>
          <w:p w14:paraId="58079B1F">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88.99</w:t>
            </w:r>
          </w:p>
        </w:tc>
        <w:tc>
          <w:tcPr>
            <w:tcW w:w="351" w:type="pct"/>
            <w:vAlign w:val="center"/>
          </w:tcPr>
          <w:p w14:paraId="36D6E70E">
            <w:pPr>
              <w:adjustRightInd w:val="0"/>
              <w:snapToGrid w:val="0"/>
              <w:spacing w:line="360" w:lineRule="exact"/>
              <w:jc w:val="center"/>
              <w:rPr>
                <w:rFonts w:ascii="Times New Roman" w:hAnsi="Times New Roman" w:cs="Times New Roman"/>
                <w:sz w:val="18"/>
                <w:szCs w:val="18"/>
              </w:rPr>
            </w:pPr>
            <w:r>
              <w:rPr>
                <w:rFonts w:ascii="Times New Roman" w:hAnsi="Times New Roman" w:cs="Times New Roman"/>
                <w:sz w:val="18"/>
                <w:szCs w:val="18"/>
              </w:rPr>
              <w:t>24</w:t>
            </w:r>
          </w:p>
        </w:tc>
        <w:tc>
          <w:tcPr>
            <w:tcW w:w="397" w:type="pct"/>
            <w:vAlign w:val="center"/>
          </w:tcPr>
          <w:p w14:paraId="6D6AC20D">
            <w:pPr>
              <w:adjustRightInd w:val="0"/>
              <w:snapToGrid w:val="0"/>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15</w:t>
            </w:r>
          </w:p>
        </w:tc>
        <w:tc>
          <w:tcPr>
            <w:tcW w:w="291" w:type="pct"/>
            <w:vAlign w:val="center"/>
          </w:tcPr>
          <w:p w14:paraId="33A34EE1">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67.99</w:t>
            </w:r>
          </w:p>
        </w:tc>
        <w:tc>
          <w:tcPr>
            <w:tcW w:w="326" w:type="pct"/>
            <w:vAlign w:val="center"/>
          </w:tcPr>
          <w:p w14:paraId="1B15E5C8">
            <w:pPr>
              <w:adjustRightInd w:val="0"/>
              <w:snapToGrid w:val="0"/>
              <w:spacing w:line="360" w:lineRule="exact"/>
              <w:jc w:val="center"/>
              <w:rPr>
                <w:rFonts w:ascii="Times New Roman" w:hAnsi="Times New Roman" w:cs="Times New Roman"/>
                <w:sz w:val="18"/>
                <w:szCs w:val="18"/>
              </w:rPr>
            </w:pPr>
            <w:r>
              <w:rPr>
                <w:rFonts w:ascii="Times New Roman" w:hAnsi="Times New Roman" w:cs="Times New Roman"/>
                <w:sz w:val="18"/>
                <w:szCs w:val="18"/>
              </w:rPr>
              <w:t>1</w:t>
            </w:r>
          </w:p>
        </w:tc>
      </w:tr>
      <w:tr w14:paraId="35774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Align w:val="center"/>
          </w:tcPr>
          <w:p w14:paraId="1AD1B6B4">
            <w:pPr>
              <w:pStyle w:val="1810"/>
              <w:jc w:val="center"/>
              <w:rPr>
                <w:rFonts w:ascii="Times New Roman" w:hAnsi="Times New Roman" w:cs="Times New Roman"/>
                <w:sz w:val="18"/>
                <w:szCs w:val="18"/>
              </w:rPr>
            </w:pPr>
            <w:r>
              <w:rPr>
                <w:rFonts w:ascii="Times New Roman" w:hAnsi="Times New Roman" w:cs="Times New Roman"/>
                <w:sz w:val="18"/>
                <w:szCs w:val="18"/>
              </w:rPr>
              <w:t>4</w:t>
            </w:r>
          </w:p>
        </w:tc>
        <w:tc>
          <w:tcPr>
            <w:tcW w:w="383" w:type="pct"/>
            <w:vAlign w:val="center"/>
          </w:tcPr>
          <w:p w14:paraId="7A5ADC9F">
            <w:pPr>
              <w:adjustRightInd w:val="0"/>
              <w:snapToGrid w:val="0"/>
              <w:spacing w:line="360" w:lineRule="exact"/>
              <w:jc w:val="center"/>
              <w:rPr>
                <w:rFonts w:ascii="Times New Roman" w:hAnsi="Times New Roman" w:cs="Times New Roman"/>
                <w:snapToGrid w:val="0"/>
                <w:szCs w:val="21"/>
              </w:rPr>
            </w:pPr>
            <w:r>
              <w:rPr>
                <w:rFonts w:hint="eastAsia" w:ascii="Times New Roman" w:hAnsi="Times New Roman" w:cs="Times New Roman"/>
                <w:snapToGrid w:val="0"/>
                <w:szCs w:val="21"/>
              </w:rPr>
              <w:t>空压站</w:t>
            </w:r>
          </w:p>
        </w:tc>
        <w:tc>
          <w:tcPr>
            <w:tcW w:w="383" w:type="pct"/>
            <w:vAlign w:val="center"/>
          </w:tcPr>
          <w:p w14:paraId="0ACEB9AC">
            <w:pPr>
              <w:adjustRightInd w:val="0"/>
              <w:snapToGrid w:val="0"/>
              <w:spacing w:line="360" w:lineRule="exact"/>
              <w:jc w:val="center"/>
              <w:rPr>
                <w:rFonts w:ascii="Times New Roman" w:hAnsi="Times New Roman" w:cs="Times New Roman"/>
                <w:sz w:val="18"/>
                <w:szCs w:val="18"/>
              </w:rPr>
            </w:pPr>
            <w:r>
              <w:rPr>
                <w:rFonts w:hint="eastAsia" w:ascii="Times New Roman" w:hAnsi="Times New Roman" w:cs="Times New Roman"/>
                <w:snapToGrid w:val="0"/>
                <w:szCs w:val="21"/>
              </w:rPr>
              <w:t>空压机</w:t>
            </w:r>
          </w:p>
        </w:tc>
        <w:tc>
          <w:tcPr>
            <w:tcW w:w="229" w:type="pct"/>
            <w:vAlign w:val="center"/>
          </w:tcPr>
          <w:p w14:paraId="37B5C357">
            <w:pPr>
              <w:autoSpaceDE w:val="0"/>
              <w:autoSpaceDN w:val="0"/>
              <w:adjustRightInd w:val="0"/>
              <w:jc w:val="center"/>
              <w:rPr>
                <w:rFonts w:ascii="Times New Roman" w:hAnsi="Times New Roman" w:cs="Times New Roman"/>
                <w:snapToGrid w:val="0"/>
                <w:sz w:val="18"/>
                <w:szCs w:val="18"/>
              </w:rPr>
            </w:pPr>
            <w:r>
              <w:rPr>
                <w:rFonts w:ascii="Times New Roman" w:hAnsi="Times New Roman" w:cs="Times New Roman"/>
                <w:snapToGrid w:val="0"/>
                <w:sz w:val="18"/>
                <w:szCs w:val="18"/>
              </w:rPr>
              <w:t>/</w:t>
            </w:r>
          </w:p>
        </w:tc>
        <w:tc>
          <w:tcPr>
            <w:tcW w:w="480" w:type="pct"/>
            <w:vAlign w:val="center"/>
          </w:tcPr>
          <w:p w14:paraId="5313C1DD">
            <w:pPr>
              <w:pStyle w:val="1810"/>
              <w:jc w:val="center"/>
              <w:rPr>
                <w:rFonts w:ascii="Times New Roman" w:hAnsi="Times New Roman" w:cs="Times New Roman"/>
                <w:sz w:val="18"/>
                <w:szCs w:val="18"/>
              </w:rPr>
            </w:pPr>
            <w:r>
              <w:rPr>
                <w:rFonts w:ascii="Times New Roman" w:hAnsi="Times New Roman" w:cs="Times New Roman"/>
                <w:sz w:val="18"/>
                <w:szCs w:val="18"/>
              </w:rPr>
              <w:t>9</w:t>
            </w:r>
            <w:r>
              <w:rPr>
                <w:rFonts w:hint="eastAsia" w:ascii="Times New Roman" w:hAnsi="Times New Roman" w:cs="Times New Roman"/>
                <w:sz w:val="18"/>
                <w:szCs w:val="18"/>
              </w:rPr>
              <w:t>0</w:t>
            </w:r>
            <w:r>
              <w:rPr>
                <w:rFonts w:ascii="Times New Roman" w:hAnsi="Times New Roman" w:cs="Times New Roman"/>
                <w:sz w:val="18"/>
                <w:szCs w:val="18"/>
              </w:rPr>
              <w:t>/1</w:t>
            </w:r>
          </w:p>
        </w:tc>
        <w:tc>
          <w:tcPr>
            <w:tcW w:w="514" w:type="pct"/>
            <w:vAlign w:val="center"/>
          </w:tcPr>
          <w:p w14:paraId="38010C49">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选低噪声设备；减振、建筑隔声</w:t>
            </w:r>
          </w:p>
        </w:tc>
        <w:tc>
          <w:tcPr>
            <w:tcW w:w="310" w:type="pct"/>
            <w:vAlign w:val="center"/>
          </w:tcPr>
          <w:p w14:paraId="1B410D8F">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-141.73</w:t>
            </w:r>
          </w:p>
        </w:tc>
        <w:tc>
          <w:tcPr>
            <w:tcW w:w="277" w:type="pct"/>
            <w:vAlign w:val="center"/>
          </w:tcPr>
          <w:p w14:paraId="29B1F3E7">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342.1</w:t>
            </w:r>
          </w:p>
        </w:tc>
        <w:tc>
          <w:tcPr>
            <w:tcW w:w="221" w:type="pct"/>
            <w:vAlign w:val="center"/>
          </w:tcPr>
          <w:p w14:paraId="2AE6AD4D">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1</w:t>
            </w:r>
          </w:p>
        </w:tc>
        <w:tc>
          <w:tcPr>
            <w:tcW w:w="278" w:type="pct"/>
            <w:vAlign w:val="center"/>
          </w:tcPr>
          <w:p w14:paraId="6E932847">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8.73</w:t>
            </w:r>
          </w:p>
        </w:tc>
        <w:tc>
          <w:tcPr>
            <w:tcW w:w="319" w:type="pct"/>
            <w:vAlign w:val="center"/>
          </w:tcPr>
          <w:p w14:paraId="1E7D2CAC">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79.42</w:t>
            </w:r>
          </w:p>
        </w:tc>
        <w:tc>
          <w:tcPr>
            <w:tcW w:w="351" w:type="pct"/>
            <w:vAlign w:val="center"/>
          </w:tcPr>
          <w:p w14:paraId="43278625">
            <w:pPr>
              <w:adjustRightInd w:val="0"/>
              <w:snapToGrid w:val="0"/>
              <w:spacing w:line="360" w:lineRule="exact"/>
              <w:jc w:val="center"/>
              <w:rPr>
                <w:rFonts w:ascii="Times New Roman" w:hAnsi="Times New Roman" w:cs="Times New Roman"/>
                <w:sz w:val="18"/>
                <w:szCs w:val="18"/>
              </w:rPr>
            </w:pPr>
            <w:r>
              <w:rPr>
                <w:rFonts w:ascii="Times New Roman" w:hAnsi="Times New Roman" w:cs="Times New Roman"/>
                <w:sz w:val="18"/>
                <w:szCs w:val="18"/>
              </w:rPr>
              <w:t>24</w:t>
            </w:r>
          </w:p>
        </w:tc>
        <w:tc>
          <w:tcPr>
            <w:tcW w:w="397" w:type="pct"/>
            <w:vAlign w:val="center"/>
          </w:tcPr>
          <w:p w14:paraId="5E52141A">
            <w:pPr>
              <w:adjustRightInd w:val="0"/>
              <w:snapToGrid w:val="0"/>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15</w:t>
            </w:r>
          </w:p>
        </w:tc>
        <w:tc>
          <w:tcPr>
            <w:tcW w:w="291" w:type="pct"/>
            <w:vAlign w:val="center"/>
          </w:tcPr>
          <w:p w14:paraId="0DDA2169">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58.42</w:t>
            </w:r>
          </w:p>
        </w:tc>
        <w:tc>
          <w:tcPr>
            <w:tcW w:w="326" w:type="pct"/>
            <w:vAlign w:val="center"/>
          </w:tcPr>
          <w:p w14:paraId="04406535">
            <w:pPr>
              <w:adjustRightInd w:val="0"/>
              <w:snapToGrid w:val="0"/>
              <w:spacing w:line="360" w:lineRule="exact"/>
              <w:jc w:val="center"/>
              <w:rPr>
                <w:rFonts w:ascii="Times New Roman" w:hAnsi="Times New Roman" w:cs="Times New Roman"/>
                <w:sz w:val="18"/>
                <w:szCs w:val="18"/>
              </w:rPr>
            </w:pPr>
            <w:r>
              <w:rPr>
                <w:rFonts w:ascii="Times New Roman" w:hAnsi="Times New Roman" w:cs="Times New Roman"/>
                <w:sz w:val="18"/>
                <w:szCs w:val="18"/>
              </w:rPr>
              <w:t>1</w:t>
            </w:r>
          </w:p>
        </w:tc>
      </w:tr>
      <w:tr w14:paraId="3CCF1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Align w:val="center"/>
          </w:tcPr>
          <w:p w14:paraId="3D01458A">
            <w:pPr>
              <w:pStyle w:val="1810"/>
              <w:jc w:val="center"/>
              <w:rPr>
                <w:rFonts w:ascii="Times New Roman" w:hAnsi="Times New Roman" w:cs="Times New Roman"/>
                <w:sz w:val="18"/>
                <w:szCs w:val="18"/>
              </w:rPr>
            </w:pPr>
            <w:r>
              <w:rPr>
                <w:rFonts w:ascii="Times New Roman" w:hAnsi="Times New Roman" w:cs="Times New Roman"/>
                <w:sz w:val="18"/>
                <w:szCs w:val="18"/>
              </w:rPr>
              <w:t>5</w:t>
            </w:r>
          </w:p>
        </w:tc>
        <w:tc>
          <w:tcPr>
            <w:tcW w:w="383" w:type="pct"/>
            <w:vMerge w:val="restart"/>
            <w:vAlign w:val="center"/>
          </w:tcPr>
          <w:p w14:paraId="74D58EA1">
            <w:pPr>
              <w:adjustRightInd w:val="0"/>
              <w:snapToGrid w:val="0"/>
              <w:spacing w:line="360" w:lineRule="exact"/>
              <w:jc w:val="center"/>
              <w:rPr>
                <w:rFonts w:ascii="Times New Roman" w:hAnsi="Times New Roman" w:cs="Times New Roman"/>
                <w:snapToGrid w:val="0"/>
                <w:szCs w:val="21"/>
              </w:rPr>
            </w:pPr>
            <w:r>
              <w:rPr>
                <w:rFonts w:hint="eastAsia" w:ascii="Times New Roman" w:hAnsi="Times New Roman" w:cs="Times New Roman"/>
                <w:snapToGrid w:val="0"/>
                <w:szCs w:val="21"/>
              </w:rPr>
              <w:t>净化装置</w:t>
            </w:r>
          </w:p>
        </w:tc>
        <w:tc>
          <w:tcPr>
            <w:tcW w:w="383" w:type="pct"/>
            <w:vAlign w:val="center"/>
          </w:tcPr>
          <w:p w14:paraId="3FCDABF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增压机</w:t>
            </w:r>
          </w:p>
        </w:tc>
        <w:tc>
          <w:tcPr>
            <w:tcW w:w="229" w:type="pct"/>
            <w:vAlign w:val="center"/>
          </w:tcPr>
          <w:p w14:paraId="504B6877">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w:t>
            </w:r>
          </w:p>
        </w:tc>
        <w:tc>
          <w:tcPr>
            <w:tcW w:w="480" w:type="pct"/>
            <w:vAlign w:val="center"/>
          </w:tcPr>
          <w:p w14:paraId="77F3847B">
            <w:pPr>
              <w:pStyle w:val="1810"/>
              <w:jc w:val="center"/>
              <w:rPr>
                <w:rFonts w:ascii="Times New Roman" w:hAnsi="Times New Roman" w:cs="Times New Roman"/>
                <w:sz w:val="18"/>
                <w:szCs w:val="18"/>
              </w:rPr>
            </w:pPr>
            <w:r>
              <w:rPr>
                <w:rFonts w:ascii="Times New Roman" w:hAnsi="Times New Roman" w:cs="Times New Roman"/>
                <w:sz w:val="18"/>
                <w:szCs w:val="18"/>
              </w:rPr>
              <w:t>95/1</w:t>
            </w:r>
          </w:p>
        </w:tc>
        <w:tc>
          <w:tcPr>
            <w:tcW w:w="514" w:type="pct"/>
            <w:vAlign w:val="center"/>
          </w:tcPr>
          <w:p w14:paraId="542E4810">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选低噪声设备</w:t>
            </w:r>
            <w:r>
              <w:rPr>
                <w:rFonts w:hint="eastAsia" w:ascii="Times New Roman" w:hAnsi="Times New Roman" w:cs="Times New Roman"/>
                <w:snapToGrid w:val="0"/>
                <w:sz w:val="18"/>
                <w:szCs w:val="18"/>
              </w:rPr>
              <w:t>；</w:t>
            </w:r>
            <w:r>
              <w:rPr>
                <w:rFonts w:ascii="Times New Roman" w:hAnsi="Times New Roman" w:cs="Times New Roman"/>
                <w:snapToGrid w:val="0"/>
                <w:sz w:val="18"/>
                <w:szCs w:val="18"/>
              </w:rPr>
              <w:t>建筑隔声</w:t>
            </w:r>
          </w:p>
        </w:tc>
        <w:tc>
          <w:tcPr>
            <w:tcW w:w="310" w:type="pct"/>
            <w:vAlign w:val="center"/>
          </w:tcPr>
          <w:p w14:paraId="0E8F5E83">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83.9</w:t>
            </w:r>
          </w:p>
        </w:tc>
        <w:tc>
          <w:tcPr>
            <w:tcW w:w="277" w:type="pct"/>
            <w:vAlign w:val="center"/>
          </w:tcPr>
          <w:p w14:paraId="2D29931E">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450.71</w:t>
            </w:r>
          </w:p>
        </w:tc>
        <w:tc>
          <w:tcPr>
            <w:tcW w:w="221" w:type="pct"/>
            <w:vAlign w:val="center"/>
          </w:tcPr>
          <w:p w14:paraId="2EFDC356">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1</w:t>
            </w:r>
          </w:p>
        </w:tc>
        <w:tc>
          <w:tcPr>
            <w:tcW w:w="278" w:type="pct"/>
            <w:vAlign w:val="center"/>
          </w:tcPr>
          <w:p w14:paraId="583B8120">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24.91</w:t>
            </w:r>
          </w:p>
        </w:tc>
        <w:tc>
          <w:tcPr>
            <w:tcW w:w="319" w:type="pct"/>
            <w:vAlign w:val="center"/>
          </w:tcPr>
          <w:p w14:paraId="7DD57C04">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79.81</w:t>
            </w:r>
          </w:p>
        </w:tc>
        <w:tc>
          <w:tcPr>
            <w:tcW w:w="351" w:type="pct"/>
            <w:vAlign w:val="center"/>
          </w:tcPr>
          <w:p w14:paraId="0203AC07">
            <w:pPr>
              <w:adjustRightInd w:val="0"/>
              <w:snapToGrid w:val="0"/>
              <w:spacing w:line="360" w:lineRule="exact"/>
              <w:jc w:val="center"/>
              <w:rPr>
                <w:rFonts w:ascii="Times New Roman" w:hAnsi="Times New Roman" w:cs="Times New Roman"/>
                <w:sz w:val="18"/>
                <w:szCs w:val="18"/>
              </w:rPr>
            </w:pPr>
            <w:r>
              <w:rPr>
                <w:rFonts w:ascii="Times New Roman" w:hAnsi="Times New Roman" w:cs="Times New Roman"/>
                <w:sz w:val="18"/>
                <w:szCs w:val="18"/>
              </w:rPr>
              <w:t>24</w:t>
            </w:r>
          </w:p>
        </w:tc>
        <w:tc>
          <w:tcPr>
            <w:tcW w:w="397" w:type="pct"/>
            <w:vAlign w:val="center"/>
          </w:tcPr>
          <w:p w14:paraId="61EB44B5">
            <w:pPr>
              <w:adjustRightInd w:val="0"/>
              <w:snapToGrid w:val="0"/>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15</w:t>
            </w:r>
          </w:p>
        </w:tc>
        <w:tc>
          <w:tcPr>
            <w:tcW w:w="291" w:type="pct"/>
            <w:vAlign w:val="center"/>
          </w:tcPr>
          <w:p w14:paraId="19B7CE7E">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58.81</w:t>
            </w:r>
          </w:p>
        </w:tc>
        <w:tc>
          <w:tcPr>
            <w:tcW w:w="326" w:type="pct"/>
            <w:vAlign w:val="center"/>
          </w:tcPr>
          <w:p w14:paraId="3B79701F">
            <w:pPr>
              <w:adjustRightInd w:val="0"/>
              <w:snapToGrid w:val="0"/>
              <w:spacing w:line="360" w:lineRule="exact"/>
              <w:jc w:val="center"/>
              <w:rPr>
                <w:rFonts w:ascii="Times New Roman" w:hAnsi="Times New Roman" w:cs="Times New Roman"/>
                <w:sz w:val="18"/>
                <w:szCs w:val="18"/>
              </w:rPr>
            </w:pPr>
            <w:r>
              <w:rPr>
                <w:rFonts w:ascii="Times New Roman" w:hAnsi="Times New Roman" w:cs="Times New Roman"/>
                <w:sz w:val="18"/>
                <w:szCs w:val="18"/>
              </w:rPr>
              <w:t>1</w:t>
            </w:r>
          </w:p>
        </w:tc>
      </w:tr>
      <w:tr w14:paraId="507F9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Align w:val="center"/>
          </w:tcPr>
          <w:p w14:paraId="70F8E504">
            <w:pPr>
              <w:pStyle w:val="1810"/>
              <w:jc w:val="center"/>
              <w:rPr>
                <w:rFonts w:ascii="Times New Roman" w:hAnsi="Times New Roman" w:cs="Times New Roman"/>
                <w:sz w:val="18"/>
                <w:szCs w:val="18"/>
              </w:rPr>
            </w:pPr>
            <w:r>
              <w:rPr>
                <w:rFonts w:hint="eastAsia" w:ascii="Times New Roman" w:hAnsi="Times New Roman" w:cs="Times New Roman"/>
                <w:sz w:val="18"/>
                <w:szCs w:val="18"/>
              </w:rPr>
              <w:t>6</w:t>
            </w:r>
          </w:p>
        </w:tc>
        <w:tc>
          <w:tcPr>
            <w:tcW w:w="383" w:type="pct"/>
            <w:vMerge w:val="continue"/>
            <w:vAlign w:val="center"/>
          </w:tcPr>
          <w:p w14:paraId="1776B108">
            <w:pPr>
              <w:adjustRightInd w:val="0"/>
              <w:snapToGrid w:val="0"/>
              <w:spacing w:line="360" w:lineRule="exact"/>
              <w:jc w:val="center"/>
              <w:rPr>
                <w:rFonts w:ascii="Times New Roman" w:hAnsi="Times New Roman" w:cs="Times New Roman"/>
                <w:snapToGrid w:val="0"/>
                <w:szCs w:val="21"/>
              </w:rPr>
            </w:pPr>
          </w:p>
        </w:tc>
        <w:tc>
          <w:tcPr>
            <w:tcW w:w="383" w:type="pct"/>
            <w:vAlign w:val="center"/>
          </w:tcPr>
          <w:p w14:paraId="3F724D0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冷却压缩机</w:t>
            </w:r>
          </w:p>
        </w:tc>
        <w:tc>
          <w:tcPr>
            <w:tcW w:w="229" w:type="pct"/>
            <w:vAlign w:val="center"/>
          </w:tcPr>
          <w:p w14:paraId="1F011C0C">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w:t>
            </w:r>
          </w:p>
        </w:tc>
        <w:tc>
          <w:tcPr>
            <w:tcW w:w="480" w:type="pct"/>
            <w:vAlign w:val="center"/>
          </w:tcPr>
          <w:p w14:paraId="089DB56E">
            <w:pPr>
              <w:jc w:val="center"/>
              <w:rPr>
                <w:rFonts w:ascii="Times New Roman" w:hAnsi="Times New Roman" w:cs="Times New Roman"/>
                <w:sz w:val="18"/>
                <w:szCs w:val="18"/>
              </w:rPr>
            </w:pPr>
            <w:r>
              <w:rPr>
                <w:rFonts w:ascii="Times New Roman" w:hAnsi="Times New Roman" w:cs="Times New Roman"/>
                <w:sz w:val="18"/>
                <w:szCs w:val="18"/>
              </w:rPr>
              <w:t>95/1</w:t>
            </w:r>
          </w:p>
        </w:tc>
        <w:tc>
          <w:tcPr>
            <w:tcW w:w="514" w:type="pct"/>
            <w:vAlign w:val="center"/>
          </w:tcPr>
          <w:p w14:paraId="2545F1DD">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选低噪声设备</w:t>
            </w:r>
            <w:r>
              <w:rPr>
                <w:rFonts w:hint="eastAsia" w:ascii="Times New Roman" w:hAnsi="Times New Roman" w:cs="Times New Roman"/>
                <w:snapToGrid w:val="0"/>
                <w:sz w:val="18"/>
                <w:szCs w:val="18"/>
              </w:rPr>
              <w:t>；</w:t>
            </w:r>
            <w:r>
              <w:rPr>
                <w:rFonts w:ascii="Times New Roman" w:hAnsi="Times New Roman" w:cs="Times New Roman"/>
                <w:snapToGrid w:val="0"/>
                <w:sz w:val="18"/>
                <w:szCs w:val="18"/>
              </w:rPr>
              <w:t>建筑隔声</w:t>
            </w:r>
          </w:p>
        </w:tc>
        <w:tc>
          <w:tcPr>
            <w:tcW w:w="310" w:type="pct"/>
            <w:vAlign w:val="center"/>
          </w:tcPr>
          <w:p w14:paraId="075C67E8">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118.12</w:t>
            </w:r>
          </w:p>
        </w:tc>
        <w:tc>
          <w:tcPr>
            <w:tcW w:w="277" w:type="pct"/>
            <w:vAlign w:val="center"/>
          </w:tcPr>
          <w:p w14:paraId="7F0AE0BB">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437.57</w:t>
            </w:r>
          </w:p>
        </w:tc>
        <w:tc>
          <w:tcPr>
            <w:tcW w:w="221" w:type="pct"/>
            <w:vAlign w:val="center"/>
          </w:tcPr>
          <w:p w14:paraId="5F5C61A3">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1</w:t>
            </w:r>
          </w:p>
        </w:tc>
        <w:tc>
          <w:tcPr>
            <w:tcW w:w="278" w:type="pct"/>
            <w:vAlign w:val="center"/>
          </w:tcPr>
          <w:p w14:paraId="761AA638">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16.02</w:t>
            </w:r>
          </w:p>
        </w:tc>
        <w:tc>
          <w:tcPr>
            <w:tcW w:w="319" w:type="pct"/>
            <w:vAlign w:val="center"/>
          </w:tcPr>
          <w:p w14:paraId="7767A3C8">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79.83</w:t>
            </w:r>
          </w:p>
        </w:tc>
        <w:tc>
          <w:tcPr>
            <w:tcW w:w="351" w:type="pct"/>
            <w:vAlign w:val="center"/>
          </w:tcPr>
          <w:p w14:paraId="5E033028">
            <w:pPr>
              <w:adjustRightInd w:val="0"/>
              <w:snapToGrid w:val="0"/>
              <w:spacing w:line="360" w:lineRule="exact"/>
              <w:jc w:val="center"/>
              <w:rPr>
                <w:rFonts w:ascii="Times New Roman" w:hAnsi="Times New Roman" w:cs="Times New Roman"/>
                <w:sz w:val="18"/>
                <w:szCs w:val="18"/>
              </w:rPr>
            </w:pPr>
            <w:r>
              <w:rPr>
                <w:rFonts w:ascii="Times New Roman" w:hAnsi="Times New Roman" w:cs="Times New Roman"/>
                <w:sz w:val="18"/>
                <w:szCs w:val="18"/>
              </w:rPr>
              <w:t>24</w:t>
            </w:r>
          </w:p>
        </w:tc>
        <w:tc>
          <w:tcPr>
            <w:tcW w:w="397" w:type="pct"/>
            <w:vAlign w:val="center"/>
          </w:tcPr>
          <w:p w14:paraId="3B5B5C27">
            <w:pPr>
              <w:adjustRightInd w:val="0"/>
              <w:snapToGrid w:val="0"/>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15</w:t>
            </w:r>
          </w:p>
        </w:tc>
        <w:tc>
          <w:tcPr>
            <w:tcW w:w="291" w:type="pct"/>
            <w:vAlign w:val="center"/>
          </w:tcPr>
          <w:p w14:paraId="3AEB140B">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58.83</w:t>
            </w:r>
          </w:p>
        </w:tc>
        <w:tc>
          <w:tcPr>
            <w:tcW w:w="326" w:type="pct"/>
            <w:vAlign w:val="center"/>
          </w:tcPr>
          <w:p w14:paraId="676CB599">
            <w:pPr>
              <w:adjustRightInd w:val="0"/>
              <w:snapToGrid w:val="0"/>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1</w:t>
            </w:r>
          </w:p>
        </w:tc>
      </w:tr>
      <w:tr w14:paraId="1E17B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Align w:val="center"/>
          </w:tcPr>
          <w:p w14:paraId="4936B6AC">
            <w:pPr>
              <w:pStyle w:val="1810"/>
              <w:jc w:val="center"/>
              <w:rPr>
                <w:rFonts w:ascii="Times New Roman" w:hAnsi="Times New Roman" w:cs="Times New Roman"/>
                <w:sz w:val="18"/>
                <w:szCs w:val="18"/>
              </w:rPr>
            </w:pPr>
            <w:r>
              <w:rPr>
                <w:rFonts w:hint="eastAsia" w:ascii="Times New Roman" w:hAnsi="Times New Roman" w:cs="Times New Roman"/>
                <w:sz w:val="18"/>
                <w:szCs w:val="18"/>
              </w:rPr>
              <w:t>7</w:t>
            </w:r>
          </w:p>
        </w:tc>
        <w:tc>
          <w:tcPr>
            <w:tcW w:w="383" w:type="pct"/>
            <w:vMerge w:val="continue"/>
            <w:vAlign w:val="center"/>
          </w:tcPr>
          <w:p w14:paraId="530AB841">
            <w:pPr>
              <w:adjustRightInd w:val="0"/>
              <w:snapToGrid w:val="0"/>
              <w:spacing w:line="360" w:lineRule="exact"/>
              <w:jc w:val="center"/>
              <w:rPr>
                <w:rFonts w:ascii="Times New Roman" w:hAnsi="Times New Roman" w:cs="Times New Roman"/>
                <w:snapToGrid w:val="0"/>
                <w:szCs w:val="21"/>
              </w:rPr>
            </w:pPr>
          </w:p>
        </w:tc>
        <w:tc>
          <w:tcPr>
            <w:tcW w:w="383" w:type="pct"/>
            <w:vAlign w:val="center"/>
          </w:tcPr>
          <w:p w14:paraId="5D4B724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压缩机</w:t>
            </w:r>
          </w:p>
        </w:tc>
        <w:tc>
          <w:tcPr>
            <w:tcW w:w="229" w:type="pct"/>
            <w:vAlign w:val="center"/>
          </w:tcPr>
          <w:p w14:paraId="326CC1E6">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w:t>
            </w:r>
          </w:p>
        </w:tc>
        <w:tc>
          <w:tcPr>
            <w:tcW w:w="480" w:type="pct"/>
            <w:vAlign w:val="center"/>
          </w:tcPr>
          <w:p w14:paraId="11576ACD">
            <w:pPr>
              <w:jc w:val="center"/>
              <w:rPr>
                <w:rFonts w:ascii="Times New Roman" w:hAnsi="Times New Roman" w:cs="Times New Roman"/>
                <w:sz w:val="18"/>
                <w:szCs w:val="18"/>
              </w:rPr>
            </w:pPr>
            <w:r>
              <w:rPr>
                <w:rFonts w:ascii="Times New Roman" w:hAnsi="Times New Roman" w:cs="Times New Roman"/>
                <w:sz w:val="18"/>
                <w:szCs w:val="18"/>
              </w:rPr>
              <w:t>95/1</w:t>
            </w:r>
          </w:p>
        </w:tc>
        <w:tc>
          <w:tcPr>
            <w:tcW w:w="514" w:type="pct"/>
            <w:vAlign w:val="center"/>
          </w:tcPr>
          <w:p w14:paraId="61A8F092">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选低噪声设备</w:t>
            </w:r>
            <w:r>
              <w:rPr>
                <w:rFonts w:hint="eastAsia" w:ascii="Times New Roman" w:hAnsi="Times New Roman" w:cs="Times New Roman"/>
                <w:snapToGrid w:val="0"/>
                <w:sz w:val="18"/>
                <w:szCs w:val="18"/>
              </w:rPr>
              <w:t>；</w:t>
            </w:r>
            <w:r>
              <w:rPr>
                <w:rFonts w:ascii="Times New Roman" w:hAnsi="Times New Roman" w:cs="Times New Roman"/>
                <w:snapToGrid w:val="0"/>
                <w:sz w:val="18"/>
                <w:szCs w:val="18"/>
              </w:rPr>
              <w:t>建筑隔声</w:t>
            </w:r>
          </w:p>
        </w:tc>
        <w:tc>
          <w:tcPr>
            <w:tcW w:w="310" w:type="pct"/>
            <w:vAlign w:val="center"/>
          </w:tcPr>
          <w:p w14:paraId="2921F06D">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114.32</w:t>
            </w:r>
          </w:p>
        </w:tc>
        <w:tc>
          <w:tcPr>
            <w:tcW w:w="277" w:type="pct"/>
            <w:vAlign w:val="center"/>
          </w:tcPr>
          <w:p w14:paraId="161141D8">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453.13</w:t>
            </w:r>
          </w:p>
        </w:tc>
        <w:tc>
          <w:tcPr>
            <w:tcW w:w="221" w:type="pct"/>
            <w:vAlign w:val="center"/>
          </w:tcPr>
          <w:p w14:paraId="2F17B072">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1</w:t>
            </w:r>
          </w:p>
        </w:tc>
        <w:tc>
          <w:tcPr>
            <w:tcW w:w="278" w:type="pct"/>
            <w:vAlign w:val="center"/>
          </w:tcPr>
          <w:p w14:paraId="3AD8C900">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9.27</w:t>
            </w:r>
          </w:p>
        </w:tc>
        <w:tc>
          <w:tcPr>
            <w:tcW w:w="319" w:type="pct"/>
            <w:vAlign w:val="center"/>
          </w:tcPr>
          <w:p w14:paraId="29A3D8B2">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79.92</w:t>
            </w:r>
          </w:p>
        </w:tc>
        <w:tc>
          <w:tcPr>
            <w:tcW w:w="351" w:type="pct"/>
            <w:vAlign w:val="center"/>
          </w:tcPr>
          <w:p w14:paraId="0DBCFA63">
            <w:pPr>
              <w:adjustRightInd w:val="0"/>
              <w:snapToGrid w:val="0"/>
              <w:spacing w:line="360" w:lineRule="exact"/>
              <w:jc w:val="center"/>
              <w:rPr>
                <w:rFonts w:ascii="Times New Roman" w:hAnsi="Times New Roman" w:cs="Times New Roman"/>
                <w:sz w:val="18"/>
                <w:szCs w:val="18"/>
              </w:rPr>
            </w:pPr>
            <w:r>
              <w:rPr>
                <w:rFonts w:ascii="Times New Roman" w:hAnsi="Times New Roman" w:cs="Times New Roman"/>
                <w:sz w:val="18"/>
                <w:szCs w:val="18"/>
              </w:rPr>
              <w:t>24</w:t>
            </w:r>
          </w:p>
        </w:tc>
        <w:tc>
          <w:tcPr>
            <w:tcW w:w="397" w:type="pct"/>
            <w:vAlign w:val="center"/>
          </w:tcPr>
          <w:p w14:paraId="25DE53A6">
            <w:pPr>
              <w:adjustRightInd w:val="0"/>
              <w:snapToGrid w:val="0"/>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15</w:t>
            </w:r>
          </w:p>
        </w:tc>
        <w:tc>
          <w:tcPr>
            <w:tcW w:w="291" w:type="pct"/>
            <w:vAlign w:val="center"/>
          </w:tcPr>
          <w:p w14:paraId="5D3BDD2C">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58.92</w:t>
            </w:r>
          </w:p>
        </w:tc>
        <w:tc>
          <w:tcPr>
            <w:tcW w:w="326" w:type="pct"/>
            <w:vAlign w:val="center"/>
          </w:tcPr>
          <w:p w14:paraId="5CA0C0F7">
            <w:pPr>
              <w:adjustRightInd w:val="0"/>
              <w:snapToGrid w:val="0"/>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1</w:t>
            </w:r>
          </w:p>
        </w:tc>
      </w:tr>
      <w:tr w14:paraId="70FC9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Align w:val="center"/>
          </w:tcPr>
          <w:p w14:paraId="0EEFEE94">
            <w:pPr>
              <w:pStyle w:val="1810"/>
              <w:jc w:val="center"/>
              <w:rPr>
                <w:rFonts w:ascii="Times New Roman" w:hAnsi="Times New Roman" w:cs="Times New Roman"/>
                <w:sz w:val="18"/>
                <w:szCs w:val="18"/>
              </w:rPr>
            </w:pPr>
            <w:r>
              <w:rPr>
                <w:rFonts w:hint="eastAsia" w:ascii="Times New Roman" w:hAnsi="Times New Roman" w:cs="Times New Roman"/>
                <w:sz w:val="18"/>
                <w:szCs w:val="18"/>
              </w:rPr>
              <w:t>8</w:t>
            </w:r>
          </w:p>
        </w:tc>
        <w:tc>
          <w:tcPr>
            <w:tcW w:w="383" w:type="pct"/>
            <w:vMerge w:val="continue"/>
            <w:vAlign w:val="center"/>
          </w:tcPr>
          <w:p w14:paraId="25A06A5A">
            <w:pPr>
              <w:adjustRightInd w:val="0"/>
              <w:snapToGrid w:val="0"/>
              <w:spacing w:line="360" w:lineRule="exact"/>
              <w:jc w:val="center"/>
              <w:rPr>
                <w:rFonts w:ascii="Times New Roman" w:hAnsi="Times New Roman" w:cs="Times New Roman"/>
                <w:snapToGrid w:val="0"/>
                <w:szCs w:val="21"/>
              </w:rPr>
            </w:pPr>
          </w:p>
        </w:tc>
        <w:tc>
          <w:tcPr>
            <w:tcW w:w="383" w:type="pct"/>
            <w:vAlign w:val="center"/>
          </w:tcPr>
          <w:p w14:paraId="161CB638">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泵</w:t>
            </w:r>
          </w:p>
        </w:tc>
        <w:tc>
          <w:tcPr>
            <w:tcW w:w="229" w:type="pct"/>
            <w:vAlign w:val="center"/>
          </w:tcPr>
          <w:p w14:paraId="66874CAC">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w:t>
            </w:r>
          </w:p>
        </w:tc>
        <w:tc>
          <w:tcPr>
            <w:tcW w:w="480" w:type="pct"/>
            <w:vAlign w:val="center"/>
          </w:tcPr>
          <w:p w14:paraId="6F954384">
            <w:pPr>
              <w:pStyle w:val="1810"/>
              <w:jc w:val="center"/>
              <w:rPr>
                <w:rFonts w:ascii="Times New Roman" w:hAnsi="Times New Roman" w:cs="Times New Roman"/>
                <w:sz w:val="18"/>
                <w:szCs w:val="18"/>
              </w:rPr>
            </w:pPr>
            <w:r>
              <w:rPr>
                <w:rFonts w:ascii="Times New Roman" w:hAnsi="Times New Roman" w:cs="Times New Roman"/>
                <w:sz w:val="18"/>
                <w:szCs w:val="18"/>
              </w:rPr>
              <w:t>85/1</w:t>
            </w:r>
          </w:p>
        </w:tc>
        <w:tc>
          <w:tcPr>
            <w:tcW w:w="514" w:type="pct"/>
            <w:vAlign w:val="center"/>
          </w:tcPr>
          <w:p w14:paraId="4C4C0169">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选低噪声设备</w:t>
            </w:r>
            <w:r>
              <w:rPr>
                <w:rFonts w:hint="eastAsia" w:ascii="Times New Roman" w:hAnsi="Times New Roman" w:cs="Times New Roman"/>
                <w:snapToGrid w:val="0"/>
                <w:sz w:val="18"/>
                <w:szCs w:val="18"/>
              </w:rPr>
              <w:t>；</w:t>
            </w:r>
            <w:r>
              <w:rPr>
                <w:rFonts w:ascii="Times New Roman" w:hAnsi="Times New Roman" w:cs="Times New Roman"/>
                <w:snapToGrid w:val="0"/>
                <w:sz w:val="18"/>
                <w:szCs w:val="18"/>
              </w:rPr>
              <w:t>建筑隔声</w:t>
            </w:r>
          </w:p>
        </w:tc>
        <w:tc>
          <w:tcPr>
            <w:tcW w:w="310" w:type="pct"/>
            <w:vAlign w:val="center"/>
          </w:tcPr>
          <w:p w14:paraId="1ADEE6B3">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97.04</w:t>
            </w:r>
          </w:p>
        </w:tc>
        <w:tc>
          <w:tcPr>
            <w:tcW w:w="277" w:type="pct"/>
            <w:vAlign w:val="center"/>
          </w:tcPr>
          <w:p w14:paraId="7445146D">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429.27</w:t>
            </w:r>
          </w:p>
        </w:tc>
        <w:tc>
          <w:tcPr>
            <w:tcW w:w="221" w:type="pct"/>
            <w:vAlign w:val="center"/>
          </w:tcPr>
          <w:p w14:paraId="192D8AAB">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1</w:t>
            </w:r>
          </w:p>
        </w:tc>
        <w:tc>
          <w:tcPr>
            <w:tcW w:w="278" w:type="pct"/>
            <w:vAlign w:val="center"/>
          </w:tcPr>
          <w:p w14:paraId="032D7959">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18.88</w:t>
            </w:r>
          </w:p>
        </w:tc>
        <w:tc>
          <w:tcPr>
            <w:tcW w:w="319" w:type="pct"/>
            <w:vAlign w:val="center"/>
          </w:tcPr>
          <w:p w14:paraId="0294F9CB">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69.82</w:t>
            </w:r>
          </w:p>
        </w:tc>
        <w:tc>
          <w:tcPr>
            <w:tcW w:w="351" w:type="pct"/>
            <w:vAlign w:val="center"/>
          </w:tcPr>
          <w:p w14:paraId="283F858A">
            <w:pPr>
              <w:adjustRightInd w:val="0"/>
              <w:snapToGrid w:val="0"/>
              <w:spacing w:line="360" w:lineRule="exact"/>
              <w:jc w:val="center"/>
              <w:rPr>
                <w:rFonts w:ascii="Times New Roman" w:hAnsi="Times New Roman" w:cs="Times New Roman"/>
                <w:sz w:val="18"/>
                <w:szCs w:val="18"/>
              </w:rPr>
            </w:pPr>
            <w:r>
              <w:rPr>
                <w:rFonts w:ascii="Times New Roman" w:hAnsi="Times New Roman" w:cs="Times New Roman"/>
                <w:sz w:val="18"/>
                <w:szCs w:val="18"/>
              </w:rPr>
              <w:t>24</w:t>
            </w:r>
          </w:p>
        </w:tc>
        <w:tc>
          <w:tcPr>
            <w:tcW w:w="397" w:type="pct"/>
            <w:vAlign w:val="center"/>
          </w:tcPr>
          <w:p w14:paraId="27F2D0BA">
            <w:pPr>
              <w:adjustRightInd w:val="0"/>
              <w:snapToGrid w:val="0"/>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15</w:t>
            </w:r>
          </w:p>
        </w:tc>
        <w:tc>
          <w:tcPr>
            <w:tcW w:w="291" w:type="pct"/>
            <w:vAlign w:val="center"/>
          </w:tcPr>
          <w:p w14:paraId="293E3A5A">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rPr>
              <w:t>48.82</w:t>
            </w:r>
          </w:p>
        </w:tc>
        <w:tc>
          <w:tcPr>
            <w:tcW w:w="326" w:type="pct"/>
            <w:vAlign w:val="center"/>
          </w:tcPr>
          <w:p w14:paraId="53514CCF">
            <w:pPr>
              <w:adjustRightInd w:val="0"/>
              <w:snapToGrid w:val="0"/>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1</w:t>
            </w:r>
          </w:p>
        </w:tc>
      </w:tr>
    </w:tbl>
    <w:p w14:paraId="245EB9E6">
      <w:pPr>
        <w:rPr>
          <w:rFonts w:ascii="Times New Roman" w:hAnsi="Times New Roman" w:cs="Times New Roman"/>
          <w:szCs w:val="21"/>
        </w:rPr>
      </w:pPr>
      <w:r>
        <w:rPr>
          <w:rFonts w:ascii="Times New Roman" w:hAnsi="Times New Roman" w:cs="Times New Roman"/>
          <w:szCs w:val="21"/>
        </w:rPr>
        <w:t>注：以场地红线西北角为原点（0，0，0）</w:t>
      </w:r>
    </w:p>
    <w:p w14:paraId="610E6353">
      <w:pPr>
        <w:pStyle w:val="76"/>
        <w:jc w:val="center"/>
        <w:outlineLvl w:val="0"/>
        <w:rPr>
          <w:rFonts w:ascii="Times New Roman" w:hAnsi="Times New Roman" w:eastAsia="黑体" w:cs="Times New Roman"/>
          <w:snapToGrid w:val="0"/>
          <w:sz w:val="30"/>
          <w:szCs w:val="30"/>
        </w:rPr>
      </w:pPr>
    </w:p>
    <w:p w14:paraId="00055EE4">
      <w:pPr>
        <w:pStyle w:val="76"/>
        <w:jc w:val="center"/>
        <w:outlineLvl w:val="0"/>
        <w:rPr>
          <w:rFonts w:ascii="Times New Roman" w:hAnsi="Times New Roman" w:eastAsia="黑体" w:cs="Times New Roman"/>
          <w:snapToGrid w:val="0"/>
          <w:sz w:val="30"/>
          <w:szCs w:val="30"/>
        </w:rPr>
      </w:pPr>
    </w:p>
    <w:p w14:paraId="69160E58">
      <w:pPr>
        <w:pStyle w:val="76"/>
        <w:jc w:val="center"/>
        <w:outlineLvl w:val="0"/>
        <w:rPr>
          <w:rFonts w:ascii="Times New Roman" w:hAnsi="Times New Roman" w:eastAsia="黑体" w:cs="Times New Roman"/>
          <w:snapToGrid w:val="0"/>
          <w:sz w:val="30"/>
          <w:szCs w:val="30"/>
        </w:rPr>
      </w:pPr>
    </w:p>
    <w:p w14:paraId="0E3124AF">
      <w:pPr>
        <w:pStyle w:val="76"/>
        <w:jc w:val="center"/>
        <w:outlineLvl w:val="0"/>
        <w:rPr>
          <w:rFonts w:ascii="Times New Roman" w:hAnsi="Times New Roman" w:eastAsia="黑体" w:cs="Times New Roman"/>
          <w:snapToGrid w:val="0"/>
          <w:sz w:val="30"/>
          <w:szCs w:val="30"/>
        </w:rPr>
      </w:pPr>
    </w:p>
    <w:p w14:paraId="0E58FF54">
      <w:pPr>
        <w:pStyle w:val="76"/>
        <w:jc w:val="center"/>
        <w:outlineLvl w:val="0"/>
        <w:rPr>
          <w:rFonts w:ascii="Times New Roman" w:hAnsi="Times New Roman" w:eastAsia="黑体" w:cs="Times New Roman"/>
          <w:snapToGrid w:val="0"/>
          <w:sz w:val="30"/>
          <w:szCs w:val="30"/>
        </w:rPr>
      </w:pPr>
      <w:r>
        <w:rPr>
          <w:rFonts w:ascii="Times New Roman" w:hAnsi="Times New Roman" w:eastAsia="黑体" w:cs="Times New Roman"/>
          <w:snapToGrid w:val="0"/>
          <w:sz w:val="30"/>
          <w:szCs w:val="30"/>
        </w:rPr>
        <w:t>五、</w:t>
      </w:r>
      <w:bookmarkStart w:id="89" w:name="_Hlk54167917"/>
      <w:r>
        <w:rPr>
          <w:rFonts w:ascii="Times New Roman" w:hAnsi="Times New Roman" w:eastAsia="黑体" w:cs="Times New Roman"/>
          <w:snapToGrid w:val="0"/>
          <w:sz w:val="30"/>
          <w:szCs w:val="30"/>
        </w:rPr>
        <w:t>环境保护措施监督检查清单</w:t>
      </w:r>
      <w:bookmarkEnd w:id="89"/>
    </w:p>
    <w:tbl>
      <w:tblPr>
        <w:tblStyle w:val="8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95"/>
        <w:gridCol w:w="1982"/>
        <w:gridCol w:w="1272"/>
        <w:gridCol w:w="5668"/>
        <w:gridCol w:w="3635"/>
      </w:tblGrid>
      <w:tr w14:paraId="5EF40D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tcBorders>
              <w:tl2br w:val="single" w:color="auto" w:sz="4" w:space="0"/>
            </w:tcBorders>
            <w:vAlign w:val="center"/>
          </w:tcPr>
          <w:p w14:paraId="0748045F">
            <w:pPr>
              <w:adjustRightInd w:val="0"/>
              <w:snapToGrid w:val="0"/>
              <w:ind w:firstLine="422" w:firstLineChars="200"/>
              <w:jc w:val="center"/>
              <w:rPr>
                <w:rFonts w:ascii="Times New Roman" w:hAnsi="Times New Roman" w:cs="Times New Roman"/>
                <w:b/>
                <w:szCs w:val="21"/>
              </w:rPr>
            </w:pPr>
            <w:r>
              <w:rPr>
                <w:rFonts w:ascii="Times New Roman" w:hAnsi="Times New Roman" w:cs="Times New Roman"/>
                <w:b/>
                <w:szCs w:val="21"/>
              </w:rPr>
              <w:t>内容</w:t>
            </w:r>
          </w:p>
          <w:p w14:paraId="70DC7598">
            <w:pPr>
              <w:adjustRightInd w:val="0"/>
              <w:snapToGrid w:val="0"/>
              <w:rPr>
                <w:rFonts w:ascii="Times New Roman" w:hAnsi="Times New Roman" w:cs="Times New Roman"/>
                <w:b/>
                <w:szCs w:val="21"/>
              </w:rPr>
            </w:pPr>
            <w:r>
              <w:rPr>
                <w:rFonts w:ascii="Times New Roman" w:hAnsi="Times New Roman" w:cs="Times New Roman"/>
                <w:b/>
                <w:szCs w:val="21"/>
              </w:rPr>
              <w:t>要素</w:t>
            </w:r>
          </w:p>
        </w:tc>
        <w:tc>
          <w:tcPr>
            <w:tcW w:w="726" w:type="pct"/>
            <w:vAlign w:val="center"/>
          </w:tcPr>
          <w:p w14:paraId="54983431">
            <w:pPr>
              <w:adjustRightInd w:val="0"/>
              <w:snapToGrid w:val="0"/>
              <w:jc w:val="center"/>
              <w:rPr>
                <w:rFonts w:ascii="Times New Roman" w:hAnsi="Times New Roman" w:cs="Times New Roman"/>
                <w:b/>
                <w:szCs w:val="21"/>
              </w:rPr>
            </w:pPr>
            <w:r>
              <w:rPr>
                <w:rFonts w:ascii="Times New Roman" w:hAnsi="Times New Roman" w:cs="Times New Roman"/>
                <w:b/>
                <w:szCs w:val="21"/>
              </w:rPr>
              <w:t>排放口(编号、名称)/污染源</w:t>
            </w:r>
          </w:p>
        </w:tc>
        <w:tc>
          <w:tcPr>
            <w:tcW w:w="466" w:type="pct"/>
            <w:vAlign w:val="center"/>
          </w:tcPr>
          <w:p w14:paraId="6E170BE6">
            <w:pPr>
              <w:adjustRightInd w:val="0"/>
              <w:snapToGrid w:val="0"/>
              <w:jc w:val="center"/>
              <w:rPr>
                <w:rFonts w:ascii="Times New Roman" w:hAnsi="Times New Roman" w:cs="Times New Roman"/>
                <w:b/>
                <w:szCs w:val="21"/>
              </w:rPr>
            </w:pPr>
            <w:r>
              <w:rPr>
                <w:rFonts w:ascii="Times New Roman" w:hAnsi="Times New Roman" w:cs="Times New Roman"/>
                <w:b/>
                <w:szCs w:val="21"/>
              </w:rPr>
              <w:t>污染物项目</w:t>
            </w:r>
          </w:p>
        </w:tc>
        <w:tc>
          <w:tcPr>
            <w:tcW w:w="2076" w:type="pct"/>
            <w:vAlign w:val="center"/>
          </w:tcPr>
          <w:p w14:paraId="05305711">
            <w:pPr>
              <w:adjustRightInd w:val="0"/>
              <w:snapToGrid w:val="0"/>
              <w:jc w:val="center"/>
              <w:rPr>
                <w:rFonts w:ascii="Times New Roman" w:hAnsi="Times New Roman" w:cs="Times New Roman"/>
                <w:b/>
                <w:szCs w:val="21"/>
              </w:rPr>
            </w:pPr>
            <w:r>
              <w:rPr>
                <w:rFonts w:ascii="Times New Roman" w:hAnsi="Times New Roman" w:cs="Times New Roman"/>
                <w:b/>
                <w:szCs w:val="21"/>
              </w:rPr>
              <w:t>环境保护措施</w:t>
            </w:r>
          </w:p>
        </w:tc>
        <w:tc>
          <w:tcPr>
            <w:tcW w:w="1331" w:type="pct"/>
            <w:vAlign w:val="center"/>
          </w:tcPr>
          <w:p w14:paraId="2A88D8DB">
            <w:pPr>
              <w:adjustRightInd w:val="0"/>
              <w:snapToGrid w:val="0"/>
              <w:jc w:val="center"/>
              <w:rPr>
                <w:rFonts w:ascii="Times New Roman" w:hAnsi="Times New Roman" w:cs="Times New Roman"/>
                <w:b/>
                <w:szCs w:val="21"/>
              </w:rPr>
            </w:pPr>
            <w:r>
              <w:rPr>
                <w:rFonts w:ascii="Times New Roman" w:hAnsi="Times New Roman" w:cs="Times New Roman"/>
                <w:b/>
                <w:szCs w:val="21"/>
              </w:rPr>
              <w:t>执行标准</w:t>
            </w:r>
          </w:p>
        </w:tc>
      </w:tr>
      <w:tr w14:paraId="1BAB70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Merge w:val="restart"/>
            <w:vAlign w:val="center"/>
          </w:tcPr>
          <w:p w14:paraId="53B4979E">
            <w:pPr>
              <w:adjustRightInd w:val="0"/>
              <w:snapToGrid w:val="0"/>
              <w:jc w:val="center"/>
              <w:rPr>
                <w:rFonts w:ascii="Times New Roman" w:hAnsi="Times New Roman" w:cs="Times New Roman"/>
                <w:szCs w:val="21"/>
              </w:rPr>
            </w:pPr>
            <w:r>
              <w:rPr>
                <w:rFonts w:ascii="Times New Roman" w:hAnsi="Times New Roman" w:cs="Times New Roman"/>
                <w:szCs w:val="21"/>
              </w:rPr>
              <w:t>大气环境</w:t>
            </w:r>
          </w:p>
        </w:tc>
        <w:tc>
          <w:tcPr>
            <w:tcW w:w="726" w:type="pct"/>
            <w:vAlign w:val="center"/>
          </w:tcPr>
          <w:p w14:paraId="522973FF">
            <w:pPr>
              <w:adjustRightInd w:val="0"/>
              <w:snapToGrid w:val="0"/>
              <w:jc w:val="center"/>
              <w:rPr>
                <w:rFonts w:ascii="Times New Roman" w:hAnsi="Times New Roman" w:cs="Times New Roman"/>
                <w:szCs w:val="21"/>
              </w:rPr>
            </w:pPr>
            <w:r>
              <w:rPr>
                <w:rFonts w:ascii="Times New Roman" w:hAnsi="Times New Roman" w:cs="Times New Roman"/>
                <w:szCs w:val="21"/>
              </w:rPr>
              <w:t>无组织</w:t>
            </w:r>
          </w:p>
        </w:tc>
        <w:tc>
          <w:tcPr>
            <w:tcW w:w="466" w:type="pct"/>
            <w:vAlign w:val="center"/>
          </w:tcPr>
          <w:p w14:paraId="1B53D12F">
            <w:pPr>
              <w:widowControl/>
              <w:spacing w:line="300" w:lineRule="exact"/>
              <w:jc w:val="center"/>
              <w:rPr>
                <w:rFonts w:ascii="Times New Roman" w:hAnsi="Times New Roman" w:cs="Times New Roman"/>
                <w:kern w:val="0"/>
                <w:szCs w:val="21"/>
              </w:rPr>
            </w:pPr>
            <w:r>
              <w:rPr>
                <w:rFonts w:ascii="Times New Roman" w:hAnsi="Times New Roman" w:cs="Times New Roman"/>
                <w:szCs w:val="21"/>
              </w:rPr>
              <w:t>非甲烷总烃</w:t>
            </w:r>
          </w:p>
        </w:tc>
        <w:tc>
          <w:tcPr>
            <w:tcW w:w="2076" w:type="pct"/>
            <w:vAlign w:val="center"/>
          </w:tcPr>
          <w:p w14:paraId="798CBFDA">
            <w:pPr>
              <w:widowControl/>
              <w:spacing w:line="300" w:lineRule="exact"/>
              <w:rPr>
                <w:rFonts w:ascii="Times New Roman" w:hAnsi="Times New Roman" w:cs="Times New Roman"/>
                <w:kern w:val="0"/>
                <w:szCs w:val="21"/>
              </w:rPr>
            </w:pPr>
            <w:r>
              <w:rPr>
                <w:rFonts w:ascii="Times New Roman" w:hAnsi="Times New Roman" w:cs="Times New Roman"/>
                <w:szCs w:val="21"/>
              </w:rPr>
              <w:t>各设备及管线密闭运行，设置可燃气体泄露检测装置</w:t>
            </w:r>
          </w:p>
        </w:tc>
        <w:tc>
          <w:tcPr>
            <w:tcW w:w="1331" w:type="pct"/>
            <w:vAlign w:val="center"/>
          </w:tcPr>
          <w:p w14:paraId="27A90ED9">
            <w:pPr>
              <w:widowControl/>
              <w:spacing w:line="300" w:lineRule="exact"/>
              <w:jc w:val="center"/>
              <w:rPr>
                <w:rFonts w:ascii="Times New Roman" w:hAnsi="Times New Roman" w:cs="Times New Roman"/>
                <w:szCs w:val="21"/>
              </w:rPr>
            </w:pPr>
            <w:r>
              <w:rPr>
                <w:rFonts w:ascii="Times New Roman" w:hAnsi="Times New Roman" w:cs="Times New Roman"/>
                <w:szCs w:val="21"/>
              </w:rPr>
              <w:t>《大气污染物综合排放标准》（DB50/418-2016）中表1的无组织排放监控点浓度限值（4mg/m</w:t>
            </w:r>
            <w:r>
              <w:rPr>
                <w:rFonts w:ascii="Times New Roman" w:hAnsi="Times New Roman" w:cs="Times New Roman"/>
                <w:szCs w:val="21"/>
                <w:vertAlign w:val="superscript"/>
              </w:rPr>
              <w:t>3</w:t>
            </w:r>
            <w:r>
              <w:rPr>
                <w:rFonts w:ascii="Times New Roman" w:hAnsi="Times New Roman" w:cs="Times New Roman"/>
                <w:szCs w:val="21"/>
              </w:rPr>
              <w:t>）</w:t>
            </w:r>
          </w:p>
        </w:tc>
      </w:tr>
      <w:tr w14:paraId="0CB2A3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Merge w:val="continue"/>
            <w:vAlign w:val="center"/>
          </w:tcPr>
          <w:p w14:paraId="1AF5842D">
            <w:pPr>
              <w:adjustRightInd w:val="0"/>
              <w:snapToGrid w:val="0"/>
              <w:jc w:val="center"/>
              <w:rPr>
                <w:rFonts w:ascii="Times New Roman" w:hAnsi="Times New Roman" w:cs="Times New Roman"/>
                <w:szCs w:val="21"/>
              </w:rPr>
            </w:pPr>
          </w:p>
        </w:tc>
        <w:tc>
          <w:tcPr>
            <w:tcW w:w="726" w:type="pct"/>
            <w:vAlign w:val="center"/>
          </w:tcPr>
          <w:p w14:paraId="57DC7EB3">
            <w:pPr>
              <w:adjustRightInd w:val="0"/>
              <w:snapToGrid w:val="0"/>
              <w:jc w:val="center"/>
              <w:rPr>
                <w:rFonts w:ascii="Times New Roman" w:hAnsi="Times New Roman" w:cs="Times New Roman"/>
                <w:kern w:val="0"/>
                <w:szCs w:val="21"/>
              </w:rPr>
            </w:pPr>
            <w:r>
              <w:rPr>
                <w:rFonts w:ascii="Times New Roman" w:hAnsi="Times New Roman" w:cs="Times New Roman"/>
                <w:szCs w:val="21"/>
              </w:rPr>
              <w:t>导热油炉燃烧废气</w:t>
            </w:r>
          </w:p>
        </w:tc>
        <w:tc>
          <w:tcPr>
            <w:tcW w:w="466" w:type="pct"/>
            <w:vAlign w:val="center"/>
          </w:tcPr>
          <w:p w14:paraId="40F57663">
            <w:pPr>
              <w:widowControl/>
              <w:spacing w:line="300" w:lineRule="exact"/>
              <w:jc w:val="center"/>
              <w:rPr>
                <w:rFonts w:ascii="Times New Roman" w:hAnsi="Times New Roman" w:cs="Times New Roman"/>
                <w:kern w:val="0"/>
                <w:szCs w:val="21"/>
              </w:rPr>
            </w:pPr>
            <w:r>
              <w:rPr>
                <w:rFonts w:ascii="Times New Roman" w:hAnsi="Times New Roman" w:cs="Times New Roman"/>
                <w:szCs w:val="21"/>
              </w:rPr>
              <w:t>颗粒物</w:t>
            </w:r>
            <w:r>
              <w:rPr>
                <w:rFonts w:hint="eastAsia" w:ascii="Times New Roman" w:hAnsi="Times New Roman" w:cs="Times New Roman"/>
                <w:szCs w:val="21"/>
              </w:rPr>
              <w:t>、</w:t>
            </w:r>
            <w:r>
              <w:rPr>
                <w:rFonts w:ascii="Times New Roman" w:hAnsi="Times New Roman" w:cs="Times New Roman"/>
                <w:szCs w:val="21"/>
              </w:rPr>
              <w:t>二氧化硫</w:t>
            </w:r>
            <w:r>
              <w:rPr>
                <w:rFonts w:hint="eastAsia" w:ascii="Times New Roman" w:hAnsi="Times New Roman" w:cs="Times New Roman"/>
                <w:szCs w:val="21"/>
              </w:rPr>
              <w:t>、</w:t>
            </w:r>
            <w:r>
              <w:rPr>
                <w:rFonts w:ascii="Times New Roman" w:hAnsi="Times New Roman" w:cs="Times New Roman"/>
                <w:szCs w:val="21"/>
              </w:rPr>
              <w:t>氮氧化物</w:t>
            </w:r>
          </w:p>
        </w:tc>
        <w:tc>
          <w:tcPr>
            <w:tcW w:w="2076" w:type="pct"/>
            <w:vAlign w:val="center"/>
          </w:tcPr>
          <w:p w14:paraId="23CB9A3E">
            <w:pPr>
              <w:widowControl/>
              <w:spacing w:line="300" w:lineRule="exact"/>
              <w:rPr>
                <w:rFonts w:ascii="Times New Roman" w:hAnsi="Times New Roman" w:cs="Times New Roman"/>
                <w:kern w:val="0"/>
                <w:szCs w:val="21"/>
              </w:rPr>
            </w:pPr>
            <w:r>
              <w:rPr>
                <w:rFonts w:ascii="Times New Roman" w:hAnsi="Times New Roman" w:cs="Times New Roman"/>
                <w:szCs w:val="21"/>
              </w:rPr>
              <w:t>天然气为燃料</w:t>
            </w:r>
          </w:p>
        </w:tc>
        <w:tc>
          <w:tcPr>
            <w:tcW w:w="1331" w:type="pct"/>
            <w:vAlign w:val="center"/>
          </w:tcPr>
          <w:p w14:paraId="54E9140A">
            <w:pPr>
              <w:widowControl/>
              <w:spacing w:line="300" w:lineRule="exact"/>
              <w:jc w:val="center"/>
              <w:rPr>
                <w:rFonts w:ascii="Times New Roman" w:hAnsi="Times New Roman" w:cs="Times New Roman"/>
                <w:szCs w:val="21"/>
              </w:rPr>
            </w:pPr>
            <w:r>
              <w:rPr>
                <w:rFonts w:ascii="Times New Roman" w:hAnsi="Times New Roman" w:cs="Times New Roman"/>
                <w:szCs w:val="21"/>
              </w:rPr>
              <w:t>《</w:t>
            </w:r>
            <w:r>
              <w:fldChar w:fldCharType="begin"/>
            </w:r>
            <w:r>
              <w:instrText xml:space="preserve"> HYPERLINK "http://sthjj.cq.gov.cn/zwgk_249/zfxxgkml/kjbz/gjjdfhj/dfhjbz/202011/W020220324607955683970.pdf" </w:instrText>
            </w:r>
            <w:r>
              <w:fldChar w:fldCharType="separate"/>
            </w:r>
            <w:r>
              <w:rPr>
                <w:rFonts w:ascii="Times New Roman" w:hAnsi="Times New Roman" w:cs="Times New Roman"/>
                <w:szCs w:val="21"/>
              </w:rPr>
              <w:t>锅炉大气污染物排放标准》（DB50658-2016）及第1号修改单</w:t>
            </w:r>
            <w:r>
              <w:rPr>
                <w:rFonts w:ascii="Times New Roman" w:hAnsi="Times New Roman" w:cs="Times New Roman"/>
                <w:szCs w:val="21"/>
              </w:rPr>
              <w:fldChar w:fldCharType="end"/>
            </w:r>
          </w:p>
        </w:tc>
      </w:tr>
      <w:tr w14:paraId="3B8FC5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Merge w:val="restart"/>
            <w:vAlign w:val="center"/>
          </w:tcPr>
          <w:p w14:paraId="3C35F249">
            <w:pPr>
              <w:adjustRightInd w:val="0"/>
              <w:snapToGrid w:val="0"/>
              <w:jc w:val="center"/>
              <w:rPr>
                <w:rFonts w:ascii="Times New Roman" w:hAnsi="Times New Roman" w:cs="Times New Roman"/>
                <w:szCs w:val="21"/>
              </w:rPr>
            </w:pPr>
            <w:r>
              <w:rPr>
                <w:rFonts w:ascii="Times New Roman" w:hAnsi="Times New Roman" w:cs="Times New Roman"/>
                <w:szCs w:val="21"/>
              </w:rPr>
              <w:t>地表水环境</w:t>
            </w:r>
          </w:p>
        </w:tc>
        <w:tc>
          <w:tcPr>
            <w:tcW w:w="726" w:type="pct"/>
            <w:vAlign w:val="center"/>
          </w:tcPr>
          <w:p w14:paraId="7C9C9D21">
            <w:pPr>
              <w:adjustRightInd w:val="0"/>
              <w:snapToGrid w:val="0"/>
              <w:jc w:val="center"/>
              <w:rPr>
                <w:rFonts w:ascii="Times New Roman" w:hAnsi="Times New Roman" w:cs="Times New Roman"/>
                <w:szCs w:val="21"/>
              </w:rPr>
            </w:pPr>
            <w:r>
              <w:rPr>
                <w:rFonts w:ascii="Times New Roman" w:hAnsi="Times New Roman" w:cs="Times New Roman"/>
                <w:szCs w:val="21"/>
              </w:rPr>
              <w:t>生活污水</w:t>
            </w:r>
          </w:p>
        </w:tc>
        <w:tc>
          <w:tcPr>
            <w:tcW w:w="466" w:type="pct"/>
            <w:vAlign w:val="center"/>
          </w:tcPr>
          <w:p w14:paraId="1F44E730">
            <w:pPr>
              <w:widowControl/>
              <w:spacing w:line="300" w:lineRule="exact"/>
              <w:jc w:val="center"/>
              <w:rPr>
                <w:rFonts w:ascii="Times New Roman" w:hAnsi="Times New Roman" w:cs="Times New Roman"/>
                <w:szCs w:val="21"/>
              </w:rPr>
            </w:pPr>
            <w:r>
              <w:rPr>
                <w:rFonts w:ascii="Times New Roman" w:hAnsi="Times New Roman" w:cs="Times New Roman"/>
                <w:bCs/>
                <w:szCs w:val="21"/>
              </w:rPr>
              <w:t>COD、BOD</w:t>
            </w:r>
            <w:r>
              <w:rPr>
                <w:rFonts w:ascii="Times New Roman" w:hAnsi="Times New Roman" w:cs="Times New Roman"/>
                <w:bCs/>
                <w:szCs w:val="21"/>
                <w:vertAlign w:val="subscript"/>
              </w:rPr>
              <w:t>5</w:t>
            </w:r>
            <w:r>
              <w:rPr>
                <w:rFonts w:ascii="Times New Roman" w:hAnsi="Times New Roman" w:cs="Times New Roman"/>
                <w:bCs/>
                <w:szCs w:val="21"/>
              </w:rPr>
              <w:t>、SS、NH</w:t>
            </w:r>
            <w:r>
              <w:rPr>
                <w:rFonts w:ascii="Times New Roman" w:hAnsi="Times New Roman" w:cs="Times New Roman"/>
                <w:bCs/>
                <w:szCs w:val="21"/>
                <w:vertAlign w:val="subscript"/>
              </w:rPr>
              <w:t>3</w:t>
            </w:r>
            <w:r>
              <w:rPr>
                <w:rFonts w:ascii="Times New Roman" w:hAnsi="Times New Roman" w:cs="Times New Roman"/>
                <w:bCs/>
                <w:szCs w:val="21"/>
              </w:rPr>
              <w:t>-N等</w:t>
            </w:r>
          </w:p>
        </w:tc>
        <w:tc>
          <w:tcPr>
            <w:tcW w:w="2076" w:type="pct"/>
            <w:vAlign w:val="center"/>
          </w:tcPr>
          <w:p w14:paraId="3165DB01">
            <w:pPr>
              <w:widowControl/>
              <w:spacing w:line="300" w:lineRule="exact"/>
              <w:rPr>
                <w:rFonts w:ascii="Times New Roman" w:hAnsi="Times New Roman" w:cs="Times New Roman"/>
                <w:szCs w:val="21"/>
              </w:rPr>
            </w:pPr>
            <w:r>
              <w:rPr>
                <w:rFonts w:ascii="Times New Roman" w:hAnsi="Times New Roman" w:cs="Times New Roman"/>
                <w:szCs w:val="21"/>
              </w:rPr>
              <w:t>化粪池处理后排入园区管网</w:t>
            </w:r>
          </w:p>
        </w:tc>
        <w:tc>
          <w:tcPr>
            <w:tcW w:w="1331" w:type="pct"/>
            <w:vMerge w:val="restart"/>
            <w:vAlign w:val="center"/>
          </w:tcPr>
          <w:p w14:paraId="2B8F828A">
            <w:pPr>
              <w:spacing w:line="300" w:lineRule="exact"/>
              <w:jc w:val="center"/>
              <w:rPr>
                <w:rFonts w:ascii="Times New Roman" w:hAnsi="Times New Roman" w:cs="Times New Roman"/>
                <w:kern w:val="0"/>
                <w:szCs w:val="21"/>
              </w:rPr>
            </w:pPr>
            <w:r>
              <w:rPr>
                <w:rFonts w:ascii="Times New Roman" w:hAnsi="Times New Roman" w:cs="Times New Roman"/>
                <w:kern w:val="0"/>
                <w:szCs w:val="21"/>
              </w:rPr>
              <w:t>《污水综合排放标准》（GB8978-1996）三级标准</w:t>
            </w:r>
          </w:p>
        </w:tc>
      </w:tr>
      <w:tr w14:paraId="1A91B0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Merge w:val="continue"/>
            <w:vAlign w:val="center"/>
          </w:tcPr>
          <w:p w14:paraId="1595792F">
            <w:pPr>
              <w:adjustRightInd w:val="0"/>
              <w:snapToGrid w:val="0"/>
              <w:jc w:val="center"/>
              <w:rPr>
                <w:rFonts w:ascii="Times New Roman" w:hAnsi="Times New Roman" w:cs="Times New Roman"/>
                <w:szCs w:val="21"/>
              </w:rPr>
            </w:pPr>
          </w:p>
        </w:tc>
        <w:tc>
          <w:tcPr>
            <w:tcW w:w="726" w:type="pct"/>
            <w:vAlign w:val="center"/>
          </w:tcPr>
          <w:p w14:paraId="2256B55A">
            <w:pPr>
              <w:adjustRightInd w:val="0"/>
              <w:snapToGrid w:val="0"/>
              <w:jc w:val="center"/>
              <w:rPr>
                <w:rFonts w:ascii="Times New Roman" w:hAnsi="Times New Roman" w:cs="Times New Roman"/>
                <w:szCs w:val="21"/>
              </w:rPr>
            </w:pPr>
            <w:r>
              <w:rPr>
                <w:rFonts w:hint="eastAsia"/>
                <w:sz w:val="24"/>
              </w:rPr>
              <w:t>生产废水</w:t>
            </w:r>
          </w:p>
        </w:tc>
        <w:tc>
          <w:tcPr>
            <w:tcW w:w="466" w:type="pct"/>
            <w:vAlign w:val="center"/>
          </w:tcPr>
          <w:p w14:paraId="7377F6CA">
            <w:pPr>
              <w:widowControl/>
              <w:spacing w:line="300" w:lineRule="exact"/>
              <w:jc w:val="center"/>
              <w:rPr>
                <w:rFonts w:ascii="Times New Roman" w:hAnsi="Times New Roman" w:cs="Times New Roman"/>
                <w:bCs/>
                <w:szCs w:val="21"/>
              </w:rPr>
            </w:pPr>
            <w:r>
              <w:rPr>
                <w:rFonts w:hint="eastAsia" w:ascii="Times New Roman" w:hAnsi="Times New Roman" w:cs="Times New Roman"/>
                <w:bCs/>
                <w:szCs w:val="21"/>
              </w:rPr>
              <w:t>COD、氨氮</w:t>
            </w:r>
          </w:p>
        </w:tc>
        <w:tc>
          <w:tcPr>
            <w:tcW w:w="2076" w:type="pct"/>
            <w:vAlign w:val="center"/>
          </w:tcPr>
          <w:p w14:paraId="5C438CF5">
            <w:pPr>
              <w:widowControl/>
              <w:spacing w:line="300" w:lineRule="exact"/>
              <w:rPr>
                <w:rFonts w:ascii="Times New Roman" w:hAnsi="Times New Roman" w:cs="Times New Roman"/>
                <w:szCs w:val="21"/>
              </w:rPr>
            </w:pPr>
            <w:r>
              <w:rPr>
                <w:rFonts w:hint="eastAsia" w:ascii="Times New Roman" w:hAnsi="Times New Roman" w:cs="Times New Roman"/>
                <w:szCs w:val="21"/>
              </w:rPr>
              <w:t>生产废水池收集</w:t>
            </w:r>
            <w:r>
              <w:rPr>
                <w:rFonts w:ascii="Times New Roman" w:hAnsi="Times New Roman" w:cs="Times New Roman"/>
                <w:szCs w:val="21"/>
              </w:rPr>
              <w:t>处理后排入园区管网</w:t>
            </w:r>
          </w:p>
        </w:tc>
        <w:tc>
          <w:tcPr>
            <w:tcW w:w="1331" w:type="pct"/>
            <w:vMerge w:val="continue"/>
            <w:vAlign w:val="center"/>
          </w:tcPr>
          <w:p w14:paraId="26836A4C">
            <w:pPr>
              <w:spacing w:line="300" w:lineRule="exact"/>
              <w:jc w:val="center"/>
              <w:rPr>
                <w:rFonts w:ascii="Times New Roman" w:hAnsi="Times New Roman" w:cs="Times New Roman"/>
                <w:kern w:val="0"/>
                <w:szCs w:val="21"/>
              </w:rPr>
            </w:pPr>
          </w:p>
        </w:tc>
      </w:tr>
      <w:tr w14:paraId="1D39CB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Align w:val="center"/>
          </w:tcPr>
          <w:p w14:paraId="622E6A2F">
            <w:pPr>
              <w:adjustRightInd w:val="0"/>
              <w:snapToGrid w:val="0"/>
              <w:jc w:val="center"/>
              <w:rPr>
                <w:rFonts w:ascii="Times New Roman" w:hAnsi="Times New Roman" w:cs="Times New Roman"/>
                <w:szCs w:val="21"/>
              </w:rPr>
            </w:pPr>
            <w:r>
              <w:rPr>
                <w:rFonts w:ascii="Times New Roman" w:hAnsi="Times New Roman" w:cs="Times New Roman"/>
                <w:szCs w:val="21"/>
              </w:rPr>
              <w:t>声环境</w:t>
            </w:r>
          </w:p>
        </w:tc>
        <w:tc>
          <w:tcPr>
            <w:tcW w:w="726" w:type="pct"/>
            <w:vAlign w:val="center"/>
          </w:tcPr>
          <w:p w14:paraId="29AC74ED">
            <w:pPr>
              <w:widowControl/>
              <w:spacing w:line="300" w:lineRule="exact"/>
              <w:jc w:val="center"/>
              <w:rPr>
                <w:rFonts w:ascii="Times New Roman" w:hAnsi="Times New Roman" w:cs="Times New Roman"/>
                <w:kern w:val="0"/>
                <w:szCs w:val="21"/>
              </w:rPr>
            </w:pPr>
            <w:r>
              <w:rPr>
                <w:rFonts w:ascii="Times New Roman" w:hAnsi="Times New Roman" w:cs="Times New Roman"/>
                <w:kern w:val="0"/>
                <w:szCs w:val="21"/>
              </w:rPr>
              <w:t>设备噪声</w:t>
            </w:r>
          </w:p>
        </w:tc>
        <w:tc>
          <w:tcPr>
            <w:tcW w:w="466" w:type="pct"/>
            <w:vAlign w:val="center"/>
          </w:tcPr>
          <w:p w14:paraId="580E787F">
            <w:pPr>
              <w:widowControl/>
              <w:spacing w:line="300" w:lineRule="exact"/>
              <w:jc w:val="center"/>
              <w:rPr>
                <w:rFonts w:ascii="Times New Roman" w:hAnsi="Times New Roman" w:cs="Times New Roman"/>
                <w:kern w:val="0"/>
                <w:szCs w:val="21"/>
              </w:rPr>
            </w:pPr>
          </w:p>
        </w:tc>
        <w:tc>
          <w:tcPr>
            <w:tcW w:w="2076" w:type="pct"/>
            <w:vAlign w:val="center"/>
          </w:tcPr>
          <w:p w14:paraId="3E317628">
            <w:pPr>
              <w:widowControl/>
              <w:spacing w:line="300" w:lineRule="exact"/>
              <w:jc w:val="center"/>
              <w:rPr>
                <w:rFonts w:ascii="Times New Roman" w:hAnsi="Times New Roman" w:cs="Times New Roman"/>
                <w:kern w:val="0"/>
                <w:szCs w:val="21"/>
              </w:rPr>
            </w:pPr>
            <w:r>
              <w:rPr>
                <w:rFonts w:ascii="Times New Roman" w:hAnsi="Times New Roman" w:cs="Times New Roman"/>
                <w:kern w:val="0"/>
                <w:szCs w:val="21"/>
              </w:rPr>
              <w:t>选用先进的低噪声设备，进行合理布置、隔声、减振等防噪降噪措施，加强维护和管理，加强厂区绿化。</w:t>
            </w:r>
          </w:p>
        </w:tc>
        <w:tc>
          <w:tcPr>
            <w:tcW w:w="1331" w:type="pct"/>
            <w:vAlign w:val="center"/>
          </w:tcPr>
          <w:p w14:paraId="0A8EA417">
            <w:pPr>
              <w:widowControl/>
              <w:spacing w:line="300" w:lineRule="exact"/>
              <w:jc w:val="center"/>
              <w:rPr>
                <w:rFonts w:ascii="Times New Roman" w:hAnsi="Times New Roman" w:cs="Times New Roman"/>
                <w:kern w:val="0"/>
                <w:szCs w:val="21"/>
              </w:rPr>
            </w:pPr>
            <w:r>
              <w:rPr>
                <w:rFonts w:ascii="Times New Roman" w:hAnsi="Times New Roman" w:cs="Times New Roman"/>
                <w:kern w:val="0"/>
                <w:szCs w:val="21"/>
              </w:rPr>
              <w:t>厂界满足《工业企业厂界环境噪声排放标准》(GB12348-2008)3类标准。</w:t>
            </w:r>
          </w:p>
        </w:tc>
      </w:tr>
      <w:tr w14:paraId="3C4A25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Align w:val="center"/>
          </w:tcPr>
          <w:p w14:paraId="4D49F324">
            <w:pPr>
              <w:adjustRightInd w:val="0"/>
              <w:snapToGrid w:val="0"/>
              <w:jc w:val="center"/>
              <w:rPr>
                <w:rFonts w:ascii="Times New Roman" w:hAnsi="Times New Roman" w:cs="Times New Roman"/>
                <w:szCs w:val="21"/>
              </w:rPr>
            </w:pPr>
            <w:r>
              <w:rPr>
                <w:rFonts w:ascii="Times New Roman" w:hAnsi="Times New Roman" w:cs="Times New Roman"/>
                <w:szCs w:val="21"/>
              </w:rPr>
              <w:t>电磁辐射</w:t>
            </w:r>
          </w:p>
        </w:tc>
        <w:tc>
          <w:tcPr>
            <w:tcW w:w="4599" w:type="pct"/>
            <w:gridSpan w:val="4"/>
            <w:vAlign w:val="center"/>
          </w:tcPr>
          <w:p w14:paraId="290191FB">
            <w:pPr>
              <w:adjustRightInd w:val="0"/>
              <w:snapToGrid w:val="0"/>
              <w:jc w:val="center"/>
              <w:rPr>
                <w:rFonts w:ascii="Times New Roman" w:hAnsi="Times New Roman" w:cs="Times New Roman"/>
                <w:szCs w:val="21"/>
              </w:rPr>
            </w:pPr>
            <w:r>
              <w:rPr>
                <w:rFonts w:ascii="Times New Roman" w:hAnsi="Times New Roman" w:cs="Times New Roman"/>
                <w:szCs w:val="21"/>
              </w:rPr>
              <w:t>不涉及</w:t>
            </w:r>
          </w:p>
        </w:tc>
      </w:tr>
      <w:tr w14:paraId="1D7BA2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Align w:val="center"/>
          </w:tcPr>
          <w:p w14:paraId="0382C9C9">
            <w:pPr>
              <w:adjustRightInd w:val="0"/>
              <w:snapToGrid w:val="0"/>
              <w:jc w:val="center"/>
              <w:rPr>
                <w:rFonts w:ascii="Times New Roman" w:hAnsi="Times New Roman" w:cs="Times New Roman"/>
                <w:szCs w:val="21"/>
              </w:rPr>
            </w:pPr>
            <w:r>
              <w:rPr>
                <w:rFonts w:ascii="Times New Roman" w:hAnsi="Times New Roman" w:cs="Times New Roman"/>
                <w:szCs w:val="21"/>
              </w:rPr>
              <w:t>固体废物</w:t>
            </w:r>
          </w:p>
        </w:tc>
        <w:tc>
          <w:tcPr>
            <w:tcW w:w="4599" w:type="pct"/>
            <w:gridSpan w:val="4"/>
            <w:vAlign w:val="center"/>
          </w:tcPr>
          <w:p w14:paraId="4B83E1D6">
            <w:pPr>
              <w:adjustRightInd w:val="0"/>
              <w:snapToGrid w:val="0"/>
              <w:jc w:val="left"/>
              <w:rPr>
                <w:rFonts w:ascii="Times New Roman" w:hAnsi="Times New Roman" w:cs="Times New Roman"/>
                <w:szCs w:val="21"/>
              </w:rPr>
            </w:pPr>
            <w:r>
              <w:rPr>
                <w:rFonts w:ascii="Times New Roman" w:hAnsi="Times New Roman" w:cs="Times New Roman"/>
                <w:szCs w:val="21"/>
              </w:rPr>
              <w:t>各类固体废物均得到妥善处置，工业固体</w:t>
            </w:r>
            <w:r>
              <w:rPr>
                <w:rFonts w:ascii="Times New Roman" w:hAnsi="Times New Roman" w:cs="Times New Roman"/>
              </w:rPr>
              <w:t>废物管理台账齐全，种类、数量、流向、贮存、利用、处置等信息完善</w:t>
            </w:r>
          </w:p>
        </w:tc>
      </w:tr>
      <w:tr w14:paraId="7CBF6F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Align w:val="center"/>
          </w:tcPr>
          <w:p w14:paraId="2B279780">
            <w:pPr>
              <w:adjustRightInd w:val="0"/>
              <w:snapToGrid w:val="0"/>
              <w:jc w:val="center"/>
              <w:rPr>
                <w:rFonts w:ascii="Times New Roman" w:hAnsi="Times New Roman" w:cs="Times New Roman"/>
                <w:szCs w:val="21"/>
              </w:rPr>
            </w:pPr>
            <w:r>
              <w:rPr>
                <w:rFonts w:ascii="Times New Roman" w:hAnsi="Times New Roman" w:cs="Times New Roman"/>
                <w:szCs w:val="21"/>
              </w:rPr>
              <w:t>土壤及地下水污染防治措施</w:t>
            </w:r>
          </w:p>
        </w:tc>
        <w:tc>
          <w:tcPr>
            <w:tcW w:w="4599" w:type="pct"/>
            <w:gridSpan w:val="4"/>
            <w:vAlign w:val="center"/>
          </w:tcPr>
          <w:p w14:paraId="28EBE510">
            <w:pPr>
              <w:adjustRightInd w:val="0"/>
              <w:snapToGrid w:val="0"/>
              <w:jc w:val="left"/>
              <w:rPr>
                <w:rFonts w:ascii="Times New Roman" w:hAnsi="Times New Roman" w:cs="Times New Roman"/>
                <w:szCs w:val="21"/>
              </w:rPr>
            </w:pPr>
            <w:r>
              <w:rPr>
                <w:rFonts w:hint="eastAsia" w:ascii="宋体" w:hAnsi="宋体" w:cs="宋体"/>
                <w:szCs w:val="21"/>
              </w:rPr>
              <w:t>做好相关防渗和防护工作</w:t>
            </w:r>
          </w:p>
        </w:tc>
      </w:tr>
      <w:tr w14:paraId="483443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Align w:val="center"/>
          </w:tcPr>
          <w:p w14:paraId="571DCAAB">
            <w:pPr>
              <w:adjustRightInd w:val="0"/>
              <w:snapToGrid w:val="0"/>
              <w:jc w:val="center"/>
              <w:rPr>
                <w:rFonts w:ascii="Times New Roman" w:hAnsi="Times New Roman" w:cs="Times New Roman"/>
                <w:szCs w:val="21"/>
              </w:rPr>
            </w:pPr>
            <w:r>
              <w:rPr>
                <w:rFonts w:ascii="Times New Roman" w:hAnsi="Times New Roman" w:cs="Times New Roman"/>
                <w:szCs w:val="21"/>
              </w:rPr>
              <w:t>生态保护措施</w:t>
            </w:r>
          </w:p>
        </w:tc>
        <w:tc>
          <w:tcPr>
            <w:tcW w:w="4599" w:type="pct"/>
            <w:gridSpan w:val="4"/>
            <w:vAlign w:val="center"/>
          </w:tcPr>
          <w:p w14:paraId="2CF4D8F7">
            <w:pPr>
              <w:adjustRightInd w:val="0"/>
              <w:snapToGrid w:val="0"/>
              <w:jc w:val="center"/>
              <w:rPr>
                <w:rFonts w:ascii="Times New Roman" w:hAnsi="Times New Roman" w:cs="Times New Roman"/>
                <w:szCs w:val="21"/>
              </w:rPr>
            </w:pPr>
            <w:r>
              <w:rPr>
                <w:rFonts w:ascii="Times New Roman" w:hAnsi="Times New Roman" w:cs="Times New Roman"/>
                <w:szCs w:val="21"/>
              </w:rPr>
              <w:t>不涉及</w:t>
            </w:r>
          </w:p>
        </w:tc>
      </w:tr>
      <w:tr w14:paraId="41A5A2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20" w:hRule="atLeast"/>
          <w:jc w:val="center"/>
        </w:trPr>
        <w:tc>
          <w:tcPr>
            <w:tcW w:w="401" w:type="pct"/>
            <w:vAlign w:val="center"/>
          </w:tcPr>
          <w:p w14:paraId="18035366">
            <w:pPr>
              <w:adjustRightInd w:val="0"/>
              <w:snapToGrid w:val="0"/>
              <w:jc w:val="center"/>
              <w:rPr>
                <w:rFonts w:ascii="Times New Roman" w:hAnsi="Times New Roman" w:cs="Times New Roman"/>
                <w:spacing w:val="-8"/>
                <w:szCs w:val="21"/>
              </w:rPr>
            </w:pPr>
            <w:r>
              <w:rPr>
                <w:rFonts w:ascii="Times New Roman" w:hAnsi="Times New Roman" w:cs="Times New Roman"/>
                <w:spacing w:val="-8"/>
                <w:szCs w:val="21"/>
              </w:rPr>
              <w:t>环境风险防范措施</w:t>
            </w:r>
          </w:p>
        </w:tc>
        <w:tc>
          <w:tcPr>
            <w:tcW w:w="4599" w:type="pct"/>
            <w:gridSpan w:val="4"/>
            <w:vAlign w:val="center"/>
          </w:tcPr>
          <w:p w14:paraId="52A32F4B">
            <w:pPr>
              <w:numPr>
                <w:ilvl w:val="0"/>
                <w:numId w:val="14"/>
              </w:numPr>
              <w:adjustRightInd w:val="0"/>
              <w:snapToGrid w:val="0"/>
              <w:jc w:val="left"/>
              <w:rPr>
                <w:rFonts w:ascii="Times New Roman" w:hAnsi="Times New Roman" w:cs="Times New Roman"/>
                <w:szCs w:val="21"/>
              </w:rPr>
            </w:pPr>
            <w:r>
              <w:rPr>
                <w:rFonts w:ascii="Times New Roman" w:hAnsi="Times New Roman" w:cs="Times New Roman"/>
                <w:szCs w:val="21"/>
              </w:rPr>
              <w:t>按规范要求合理布置总图，设置可燃气体检测和报警系统。</w:t>
            </w:r>
          </w:p>
          <w:p w14:paraId="595A35C6">
            <w:pPr>
              <w:numPr>
                <w:ilvl w:val="0"/>
                <w:numId w:val="14"/>
              </w:numPr>
              <w:adjustRightInd w:val="0"/>
              <w:snapToGrid w:val="0"/>
              <w:jc w:val="left"/>
              <w:rPr>
                <w:rFonts w:ascii="Times New Roman" w:hAnsi="Times New Roman" w:cs="Times New Roman"/>
                <w:szCs w:val="21"/>
              </w:rPr>
            </w:pPr>
            <w:r>
              <w:rPr>
                <w:rFonts w:ascii="Times New Roman" w:hAnsi="Times New Roman" w:cs="Times New Roman"/>
                <w:szCs w:val="21"/>
              </w:rPr>
              <w:t>加强安全方面的管理，定期对高压环节的设备、管道、阀门、法兰盘等进行维护保养，确保设备运行故障及时发现，及时修理。</w:t>
            </w:r>
          </w:p>
          <w:p w14:paraId="74CDCB7C">
            <w:pPr>
              <w:numPr>
                <w:ilvl w:val="0"/>
                <w:numId w:val="14"/>
              </w:numPr>
              <w:adjustRightInd w:val="0"/>
              <w:snapToGrid w:val="0"/>
              <w:jc w:val="left"/>
              <w:rPr>
                <w:rFonts w:ascii="Times New Roman" w:hAnsi="Times New Roman" w:cs="Times New Roman"/>
                <w:szCs w:val="21"/>
              </w:rPr>
            </w:pPr>
            <w:r>
              <w:rPr>
                <w:rFonts w:ascii="Times New Roman" w:hAnsi="Times New Roman" w:cs="Times New Roman"/>
                <w:szCs w:val="21"/>
              </w:rPr>
              <w:t>规范设置消防系统。</w:t>
            </w:r>
          </w:p>
          <w:p w14:paraId="16045D18">
            <w:pPr>
              <w:numPr>
                <w:ilvl w:val="0"/>
                <w:numId w:val="14"/>
              </w:numPr>
              <w:adjustRightInd w:val="0"/>
              <w:snapToGrid w:val="0"/>
              <w:jc w:val="left"/>
              <w:rPr>
                <w:rFonts w:ascii="Times New Roman" w:hAnsi="Times New Roman" w:cs="Times New Roman"/>
                <w:szCs w:val="21"/>
              </w:rPr>
            </w:pPr>
            <w:r>
              <w:rPr>
                <w:rFonts w:ascii="Times New Roman" w:hAnsi="Times New Roman" w:cs="Times New Roman"/>
                <w:szCs w:val="21"/>
              </w:rPr>
              <w:t>加强职工的安全教育，提高安全防范风险的意识。</w:t>
            </w:r>
          </w:p>
          <w:p w14:paraId="40741DBD">
            <w:pPr>
              <w:autoSpaceDE w:val="0"/>
              <w:autoSpaceDN w:val="0"/>
              <w:adjustRightInd w:val="0"/>
              <w:spacing w:line="320" w:lineRule="exact"/>
              <w:jc w:val="left"/>
              <w:rPr>
                <w:rFonts w:ascii="Times New Roman" w:hAnsi="Times New Roman" w:cs="Times New Roman"/>
                <w:szCs w:val="21"/>
              </w:rPr>
            </w:pPr>
            <w:r>
              <w:rPr>
                <w:rFonts w:ascii="Times New Roman" w:hAnsi="Times New Roman" w:cs="Times New Roman"/>
                <w:szCs w:val="21"/>
              </w:rPr>
              <w:t>按要求制定应急预案，完善环境风险事故应急措施，加强应急演练。</w:t>
            </w:r>
          </w:p>
        </w:tc>
      </w:tr>
      <w:tr w14:paraId="5680A2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Align w:val="center"/>
          </w:tcPr>
          <w:p w14:paraId="0A4842AC">
            <w:pPr>
              <w:adjustRightInd w:val="0"/>
              <w:snapToGrid w:val="0"/>
              <w:jc w:val="center"/>
              <w:rPr>
                <w:rFonts w:ascii="Times New Roman" w:hAnsi="Times New Roman" w:cs="Times New Roman"/>
                <w:spacing w:val="-8"/>
                <w:szCs w:val="21"/>
              </w:rPr>
            </w:pPr>
            <w:r>
              <w:rPr>
                <w:rFonts w:ascii="Times New Roman" w:hAnsi="Times New Roman" w:cs="Times New Roman"/>
                <w:spacing w:val="-8"/>
                <w:szCs w:val="21"/>
              </w:rPr>
              <w:t>其他环境管理要求</w:t>
            </w:r>
          </w:p>
        </w:tc>
        <w:tc>
          <w:tcPr>
            <w:tcW w:w="4599" w:type="pct"/>
            <w:gridSpan w:val="4"/>
            <w:vAlign w:val="center"/>
          </w:tcPr>
          <w:p w14:paraId="11326CB2">
            <w:pPr>
              <w:adjustRightInd w:val="0"/>
              <w:snapToGrid w:val="0"/>
              <w:jc w:val="center"/>
              <w:rPr>
                <w:rFonts w:ascii="Times New Roman" w:hAnsi="Times New Roman" w:cs="Times New Roman"/>
                <w:szCs w:val="21"/>
              </w:rPr>
            </w:pPr>
            <w:r>
              <w:rPr>
                <w:rFonts w:ascii="Times New Roman" w:hAnsi="Times New Roman" w:cs="Times New Roman"/>
                <w:szCs w:val="21"/>
              </w:rPr>
              <w:t>环保手续、档案齐全，环境管理制度建立。</w:t>
            </w:r>
          </w:p>
        </w:tc>
      </w:tr>
    </w:tbl>
    <w:p w14:paraId="1FEA17A1">
      <w:pPr>
        <w:pStyle w:val="76"/>
        <w:jc w:val="center"/>
        <w:outlineLvl w:val="0"/>
        <w:rPr>
          <w:rFonts w:ascii="Times New Roman" w:hAnsi="Times New Roman" w:cs="Times New Roman"/>
          <w:snapToGrid w:val="0"/>
        </w:rPr>
        <w:sectPr>
          <w:pgSz w:w="16838" w:h="11906" w:orient="landscape"/>
          <w:pgMar w:top="1531" w:right="1701" w:bottom="1531" w:left="1701" w:header="851" w:footer="851" w:gutter="0"/>
          <w:cols w:space="720" w:num="1"/>
          <w:docGrid w:linePitch="312" w:charSpace="0"/>
        </w:sectPr>
      </w:pPr>
    </w:p>
    <w:p w14:paraId="72994BBC">
      <w:pPr>
        <w:pStyle w:val="76"/>
        <w:jc w:val="center"/>
        <w:outlineLvl w:val="0"/>
        <w:rPr>
          <w:rFonts w:ascii="Times New Roman" w:hAnsi="Times New Roman" w:eastAsia="黑体" w:cs="Times New Roman"/>
          <w:snapToGrid w:val="0"/>
          <w:sz w:val="30"/>
          <w:szCs w:val="30"/>
        </w:rPr>
      </w:pPr>
      <w:r>
        <w:rPr>
          <w:rFonts w:ascii="Times New Roman" w:hAnsi="Times New Roman" w:eastAsia="黑体" w:cs="Times New Roman"/>
          <w:snapToGrid w:val="0"/>
          <w:sz w:val="30"/>
          <w:szCs w:val="30"/>
        </w:rPr>
        <w:t>六、结论</w:t>
      </w:r>
    </w:p>
    <w:tbl>
      <w:tblPr>
        <w:tblStyle w:val="8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2EAE9D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7DFB59BD">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涪陵液化天然气（LNG）工厂二期项目</w:t>
            </w:r>
            <w:r>
              <w:rPr>
                <w:rFonts w:ascii="Times New Roman" w:hAnsi="Times New Roman" w:cs="Times New Roman"/>
                <w:sz w:val="24"/>
              </w:rPr>
              <w:t>的建设符合国家产业政策、符合相关环保政策、环保规划以及重庆白涛工业园区总体规划环境影响报告书及审查意见的要求。项目采用的污染防治措施技术合理可行，能确保各种污染物稳定达标排放，对环境不会造成明显影响，不会改变区域环境功能。采取严格的风险防范措施后，环境风险可防可控。因此，在严格落实报告提出的各项环境保护措施和风险防范措施后，从环境保护角度分析，拟建项目建设是合理、可行的。</w:t>
            </w:r>
          </w:p>
        </w:tc>
      </w:tr>
    </w:tbl>
    <w:p w14:paraId="7BEF2C19">
      <w:pPr>
        <w:rPr>
          <w:rFonts w:ascii="Times New Roman" w:hAnsi="Times New Roman" w:cs="Times New Roman"/>
        </w:rPr>
        <w:sectPr>
          <w:pgSz w:w="11906" w:h="16838"/>
          <w:pgMar w:top="1701" w:right="1531" w:bottom="1701" w:left="1531" w:header="851" w:footer="851" w:gutter="0"/>
          <w:cols w:space="720" w:num="1"/>
          <w:docGrid w:linePitch="312" w:charSpace="0"/>
        </w:sectPr>
      </w:pPr>
    </w:p>
    <w:p w14:paraId="217BC8B3">
      <w:pPr>
        <w:pStyle w:val="76"/>
        <w:adjustRightInd w:val="0"/>
        <w:snapToGrid w:val="0"/>
        <w:spacing w:before="0" w:beforeAutospacing="0" w:after="0" w:afterAutospacing="0" w:line="360" w:lineRule="auto"/>
        <w:outlineLvl w:val="0"/>
        <w:rPr>
          <w:rFonts w:ascii="Times New Roman" w:hAnsi="Times New Roman" w:eastAsia="黑体" w:cs="Times New Roman"/>
          <w:snapToGrid w:val="0"/>
          <w:sz w:val="32"/>
          <w:szCs w:val="32"/>
        </w:rPr>
      </w:pPr>
      <w:r>
        <w:rPr>
          <w:rFonts w:ascii="Times New Roman" w:hAnsi="Times New Roman" w:eastAsia="黑体" w:cs="Times New Roman"/>
          <w:snapToGrid w:val="0"/>
          <w:sz w:val="32"/>
          <w:szCs w:val="32"/>
        </w:rPr>
        <w:t>附表</w:t>
      </w:r>
    </w:p>
    <w:p w14:paraId="24CF3A32">
      <w:pPr>
        <w:pStyle w:val="76"/>
        <w:adjustRightInd w:val="0"/>
        <w:snapToGrid w:val="0"/>
        <w:spacing w:before="0" w:beforeAutospacing="0" w:after="0" w:afterAutospacing="0"/>
        <w:jc w:val="center"/>
        <w:outlineLvl w:val="0"/>
        <w:rPr>
          <w:rFonts w:ascii="Times New Roman" w:hAnsi="Times New Roman" w:eastAsia="方正小标宋_GBK" w:cs="Times New Roman"/>
          <w:snapToGrid w:val="0"/>
          <w:sz w:val="38"/>
          <w:szCs w:val="38"/>
        </w:rPr>
      </w:pPr>
      <w:r>
        <w:rPr>
          <w:rFonts w:ascii="Times New Roman" w:hAnsi="Times New Roman" w:eastAsia="方正小标宋_GBK" w:cs="Times New Roman"/>
          <w:snapToGrid w:val="0"/>
          <w:sz w:val="38"/>
          <w:szCs w:val="38"/>
        </w:rPr>
        <w:t>建设项目污染物排放量汇总表</w:t>
      </w:r>
    </w:p>
    <w:tbl>
      <w:tblPr>
        <w:tblStyle w:val="81"/>
        <w:tblW w:w="5057" w:type="pct"/>
        <w:tblInd w:w="-8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09"/>
        <w:gridCol w:w="1436"/>
        <w:gridCol w:w="1727"/>
        <w:gridCol w:w="1296"/>
        <w:gridCol w:w="1727"/>
        <w:gridCol w:w="1579"/>
        <w:gridCol w:w="1789"/>
        <w:gridCol w:w="1990"/>
        <w:gridCol w:w="837"/>
      </w:tblGrid>
      <w:tr w14:paraId="5596C3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575" w:type="pct"/>
            <w:tcBorders>
              <w:tl2br w:val="single" w:color="auto" w:sz="4" w:space="0"/>
            </w:tcBorders>
            <w:tcMar>
              <w:left w:w="28" w:type="dxa"/>
              <w:right w:w="28" w:type="dxa"/>
            </w:tcMar>
            <w:vAlign w:val="center"/>
          </w:tcPr>
          <w:p w14:paraId="3CF8485C">
            <w:pPr>
              <w:pStyle w:val="187"/>
              <w:spacing w:beforeLines="0" w:afterLines="0" w:line="240" w:lineRule="auto"/>
              <w:jc w:val="right"/>
              <w:rPr>
                <w:rFonts w:ascii="Times New Roman" w:hAnsi="Times New Roman" w:eastAsia="黑体" w:cs="Times New Roman"/>
                <w:snapToGrid w:val="0"/>
                <w:spacing w:val="-6"/>
                <w:kern w:val="21"/>
                <w:sz w:val="18"/>
                <w:szCs w:val="18"/>
              </w:rPr>
            </w:pPr>
            <w:r>
              <w:rPr>
                <w:rFonts w:ascii="Times New Roman" w:hAnsi="Times New Roman" w:eastAsia="黑体" w:cs="Times New Roman"/>
                <w:snapToGrid w:val="0"/>
                <w:spacing w:val="-6"/>
                <w:kern w:val="21"/>
                <w:sz w:val="18"/>
                <w:szCs w:val="18"/>
              </w:rPr>
              <w:t>项目</w:t>
            </w:r>
          </w:p>
          <w:p w14:paraId="1BFCD41B">
            <w:pPr>
              <w:pStyle w:val="187"/>
              <w:spacing w:beforeLines="0" w:afterLines="0" w:line="240" w:lineRule="auto"/>
              <w:jc w:val="left"/>
              <w:rPr>
                <w:rFonts w:ascii="Times New Roman" w:hAnsi="Times New Roman" w:eastAsia="黑体" w:cs="Times New Roman"/>
                <w:snapToGrid w:val="0"/>
                <w:spacing w:val="-6"/>
                <w:kern w:val="21"/>
                <w:sz w:val="18"/>
                <w:szCs w:val="18"/>
              </w:rPr>
            </w:pPr>
            <w:r>
              <w:rPr>
                <w:rFonts w:ascii="Times New Roman" w:hAnsi="Times New Roman" w:eastAsia="黑体" w:cs="Times New Roman"/>
                <w:snapToGrid w:val="0"/>
                <w:spacing w:val="-6"/>
                <w:kern w:val="21"/>
                <w:sz w:val="18"/>
                <w:szCs w:val="18"/>
              </w:rPr>
              <w:t>分类</w:t>
            </w:r>
          </w:p>
        </w:tc>
        <w:tc>
          <w:tcPr>
            <w:tcW w:w="513" w:type="pct"/>
            <w:tcMar>
              <w:left w:w="28" w:type="dxa"/>
              <w:right w:w="28" w:type="dxa"/>
            </w:tcMar>
            <w:vAlign w:val="center"/>
          </w:tcPr>
          <w:p w14:paraId="4D61CBC0">
            <w:pPr>
              <w:pStyle w:val="187"/>
              <w:spacing w:beforeLines="0" w:afterLines="0" w:line="240" w:lineRule="auto"/>
              <w:rPr>
                <w:rFonts w:ascii="Times New Roman" w:hAnsi="Times New Roman" w:eastAsia="黑体" w:cs="Times New Roman"/>
                <w:snapToGrid w:val="0"/>
                <w:spacing w:val="-6"/>
                <w:kern w:val="21"/>
                <w:sz w:val="18"/>
                <w:szCs w:val="18"/>
              </w:rPr>
            </w:pPr>
            <w:r>
              <w:rPr>
                <w:rFonts w:ascii="Times New Roman" w:hAnsi="Times New Roman" w:eastAsia="黑体" w:cs="Times New Roman"/>
                <w:snapToGrid w:val="0"/>
                <w:spacing w:val="-6"/>
                <w:kern w:val="21"/>
                <w:sz w:val="18"/>
                <w:szCs w:val="18"/>
              </w:rPr>
              <w:t>污染物名称</w:t>
            </w:r>
          </w:p>
        </w:tc>
        <w:tc>
          <w:tcPr>
            <w:tcW w:w="617" w:type="pct"/>
            <w:tcMar>
              <w:left w:w="28" w:type="dxa"/>
              <w:right w:w="28" w:type="dxa"/>
            </w:tcMar>
            <w:vAlign w:val="center"/>
          </w:tcPr>
          <w:p w14:paraId="3BD26A94">
            <w:pPr>
              <w:pStyle w:val="187"/>
              <w:spacing w:beforeLines="0" w:afterLines="0" w:line="240" w:lineRule="auto"/>
              <w:rPr>
                <w:rFonts w:ascii="Times New Roman" w:hAnsi="Times New Roman" w:eastAsia="黑体" w:cs="Times New Roman"/>
                <w:snapToGrid w:val="0"/>
                <w:spacing w:val="-6"/>
                <w:kern w:val="21"/>
                <w:sz w:val="18"/>
                <w:szCs w:val="18"/>
              </w:rPr>
            </w:pPr>
            <w:r>
              <w:rPr>
                <w:rFonts w:ascii="Times New Roman" w:hAnsi="Times New Roman" w:eastAsia="黑体" w:cs="Times New Roman"/>
                <w:snapToGrid w:val="0"/>
                <w:spacing w:val="-6"/>
                <w:kern w:val="21"/>
                <w:sz w:val="18"/>
                <w:szCs w:val="18"/>
              </w:rPr>
              <w:t>现有工程</w:t>
            </w:r>
          </w:p>
          <w:p w14:paraId="124F83D7">
            <w:pPr>
              <w:pStyle w:val="187"/>
              <w:spacing w:beforeLines="0" w:afterLines="0" w:line="240" w:lineRule="auto"/>
              <w:rPr>
                <w:rFonts w:ascii="Times New Roman" w:hAnsi="Times New Roman" w:eastAsia="黑体" w:cs="Times New Roman"/>
                <w:snapToGrid w:val="0"/>
                <w:spacing w:val="-6"/>
                <w:kern w:val="21"/>
                <w:sz w:val="18"/>
                <w:szCs w:val="18"/>
              </w:rPr>
            </w:pPr>
            <w:r>
              <w:rPr>
                <w:rFonts w:ascii="Times New Roman" w:hAnsi="Times New Roman" w:eastAsia="黑体" w:cs="Times New Roman"/>
                <w:snapToGrid w:val="0"/>
                <w:spacing w:val="-6"/>
                <w:kern w:val="21"/>
                <w:sz w:val="18"/>
                <w:szCs w:val="18"/>
              </w:rPr>
              <w:t>排放量（固体废物产生量）</w:t>
            </w:r>
            <w:r>
              <w:rPr>
                <w:rFonts w:ascii="Times New Roman" w:hAnsi="Times New Roman" w:eastAsia="黑体" w:cs="Times New Roman"/>
                <w:snapToGrid w:val="0"/>
                <w:spacing w:val="-6"/>
                <w:kern w:val="21"/>
                <w:sz w:val="18"/>
                <w:szCs w:val="18"/>
              </w:rPr>
              <w:fldChar w:fldCharType="begin"/>
            </w:r>
            <w:r>
              <w:rPr>
                <w:rFonts w:ascii="Times New Roman" w:hAnsi="Times New Roman" w:eastAsia="黑体" w:cs="Times New Roman"/>
                <w:snapToGrid w:val="0"/>
                <w:spacing w:val="-6"/>
                <w:kern w:val="21"/>
                <w:sz w:val="18"/>
                <w:szCs w:val="18"/>
              </w:rPr>
              <w:instrText xml:space="preserve"> = 1 \* GB3 \* MERGEFORMAT </w:instrText>
            </w:r>
            <w:r>
              <w:rPr>
                <w:rFonts w:ascii="Times New Roman" w:hAnsi="Times New Roman" w:eastAsia="黑体" w:cs="Times New Roman"/>
                <w:snapToGrid w:val="0"/>
                <w:spacing w:val="-6"/>
                <w:kern w:val="21"/>
                <w:sz w:val="18"/>
                <w:szCs w:val="18"/>
              </w:rPr>
              <w:fldChar w:fldCharType="separate"/>
            </w:r>
            <w:r>
              <w:rPr>
                <w:rFonts w:hint="eastAsia" w:hAnsi="宋体" w:cs="宋体"/>
                <w:kern w:val="2"/>
                <w:sz w:val="18"/>
                <w:szCs w:val="18"/>
              </w:rPr>
              <w:t>①</w:t>
            </w:r>
            <w:r>
              <w:rPr>
                <w:rFonts w:ascii="Times New Roman" w:hAnsi="Times New Roman" w:eastAsia="黑体" w:cs="Times New Roman"/>
                <w:snapToGrid w:val="0"/>
                <w:spacing w:val="-6"/>
                <w:kern w:val="21"/>
                <w:sz w:val="18"/>
                <w:szCs w:val="18"/>
              </w:rPr>
              <w:fldChar w:fldCharType="end"/>
            </w:r>
          </w:p>
        </w:tc>
        <w:tc>
          <w:tcPr>
            <w:tcW w:w="463" w:type="pct"/>
            <w:tcMar>
              <w:left w:w="28" w:type="dxa"/>
              <w:right w:w="28" w:type="dxa"/>
            </w:tcMar>
            <w:vAlign w:val="center"/>
          </w:tcPr>
          <w:p w14:paraId="0F817AF1">
            <w:pPr>
              <w:pStyle w:val="187"/>
              <w:spacing w:beforeLines="0" w:afterLines="0" w:line="240" w:lineRule="auto"/>
              <w:rPr>
                <w:rFonts w:ascii="Times New Roman" w:hAnsi="Times New Roman" w:eastAsia="黑体" w:cs="Times New Roman"/>
                <w:snapToGrid w:val="0"/>
                <w:spacing w:val="-6"/>
                <w:kern w:val="21"/>
                <w:sz w:val="18"/>
                <w:szCs w:val="18"/>
              </w:rPr>
            </w:pPr>
            <w:r>
              <w:rPr>
                <w:rFonts w:ascii="Times New Roman" w:hAnsi="Times New Roman" w:eastAsia="黑体" w:cs="Times New Roman"/>
                <w:snapToGrid w:val="0"/>
                <w:spacing w:val="-6"/>
                <w:kern w:val="21"/>
                <w:sz w:val="18"/>
                <w:szCs w:val="18"/>
              </w:rPr>
              <w:t>现有工程</w:t>
            </w:r>
          </w:p>
          <w:p w14:paraId="75562CFD">
            <w:pPr>
              <w:pStyle w:val="187"/>
              <w:spacing w:beforeLines="0" w:afterLines="0" w:line="240" w:lineRule="auto"/>
              <w:rPr>
                <w:rFonts w:ascii="Times New Roman" w:hAnsi="Times New Roman" w:eastAsia="黑体" w:cs="Times New Roman"/>
                <w:snapToGrid w:val="0"/>
                <w:spacing w:val="-6"/>
                <w:kern w:val="21"/>
                <w:sz w:val="18"/>
                <w:szCs w:val="18"/>
              </w:rPr>
            </w:pPr>
            <w:r>
              <w:rPr>
                <w:rFonts w:ascii="Times New Roman" w:hAnsi="Times New Roman" w:eastAsia="黑体" w:cs="Times New Roman"/>
                <w:snapToGrid w:val="0"/>
                <w:spacing w:val="-6"/>
                <w:kern w:val="21"/>
                <w:sz w:val="18"/>
                <w:szCs w:val="18"/>
              </w:rPr>
              <w:t>许可排放量</w:t>
            </w:r>
          </w:p>
          <w:p w14:paraId="0608E405">
            <w:pPr>
              <w:pStyle w:val="187"/>
              <w:spacing w:beforeLines="0" w:afterLines="0" w:line="240" w:lineRule="auto"/>
              <w:rPr>
                <w:rFonts w:ascii="Times New Roman" w:hAnsi="Times New Roman" w:eastAsia="黑体" w:cs="Times New Roman"/>
                <w:snapToGrid w:val="0"/>
                <w:spacing w:val="-6"/>
                <w:kern w:val="21"/>
                <w:sz w:val="18"/>
                <w:szCs w:val="18"/>
              </w:rPr>
            </w:pPr>
            <w:r>
              <w:rPr>
                <w:rFonts w:ascii="Times New Roman" w:hAnsi="Times New Roman" w:eastAsia="黑体" w:cs="Times New Roman"/>
                <w:snapToGrid w:val="0"/>
                <w:spacing w:val="-6"/>
                <w:kern w:val="21"/>
                <w:sz w:val="18"/>
                <w:szCs w:val="18"/>
              </w:rPr>
              <w:fldChar w:fldCharType="begin"/>
            </w:r>
            <w:r>
              <w:rPr>
                <w:rFonts w:ascii="Times New Roman" w:hAnsi="Times New Roman" w:eastAsia="黑体" w:cs="Times New Roman"/>
                <w:snapToGrid w:val="0"/>
                <w:spacing w:val="-6"/>
                <w:kern w:val="21"/>
                <w:sz w:val="18"/>
                <w:szCs w:val="18"/>
              </w:rPr>
              <w:instrText xml:space="preserve"> = 2 \* GB3 \* MERGEFORMAT </w:instrText>
            </w:r>
            <w:r>
              <w:rPr>
                <w:rFonts w:ascii="Times New Roman" w:hAnsi="Times New Roman" w:eastAsia="黑体" w:cs="Times New Roman"/>
                <w:snapToGrid w:val="0"/>
                <w:spacing w:val="-6"/>
                <w:kern w:val="21"/>
                <w:sz w:val="18"/>
                <w:szCs w:val="18"/>
              </w:rPr>
              <w:fldChar w:fldCharType="separate"/>
            </w:r>
            <w:r>
              <w:rPr>
                <w:rFonts w:hint="eastAsia" w:hAnsi="宋体" w:cs="宋体"/>
                <w:snapToGrid w:val="0"/>
                <w:spacing w:val="-6"/>
                <w:kern w:val="21"/>
                <w:sz w:val="18"/>
                <w:szCs w:val="18"/>
              </w:rPr>
              <w:t>②</w:t>
            </w:r>
            <w:r>
              <w:rPr>
                <w:rFonts w:ascii="Times New Roman" w:hAnsi="Times New Roman" w:eastAsia="黑体" w:cs="Times New Roman"/>
                <w:snapToGrid w:val="0"/>
                <w:spacing w:val="-6"/>
                <w:kern w:val="21"/>
                <w:sz w:val="18"/>
                <w:szCs w:val="18"/>
              </w:rPr>
              <w:fldChar w:fldCharType="end"/>
            </w:r>
          </w:p>
        </w:tc>
        <w:tc>
          <w:tcPr>
            <w:tcW w:w="617" w:type="pct"/>
            <w:tcMar>
              <w:left w:w="28" w:type="dxa"/>
              <w:right w:w="28" w:type="dxa"/>
            </w:tcMar>
            <w:vAlign w:val="center"/>
          </w:tcPr>
          <w:p w14:paraId="1E203BE8">
            <w:pPr>
              <w:pStyle w:val="187"/>
              <w:spacing w:beforeLines="0" w:afterLines="0" w:line="240" w:lineRule="auto"/>
              <w:rPr>
                <w:rFonts w:ascii="Times New Roman" w:hAnsi="Times New Roman" w:eastAsia="黑体" w:cs="Times New Roman"/>
                <w:snapToGrid w:val="0"/>
                <w:spacing w:val="-6"/>
                <w:kern w:val="21"/>
                <w:sz w:val="18"/>
                <w:szCs w:val="18"/>
              </w:rPr>
            </w:pPr>
            <w:r>
              <w:rPr>
                <w:rFonts w:ascii="Times New Roman" w:hAnsi="Times New Roman" w:eastAsia="黑体" w:cs="Times New Roman"/>
                <w:snapToGrid w:val="0"/>
                <w:spacing w:val="-6"/>
                <w:kern w:val="21"/>
                <w:sz w:val="18"/>
                <w:szCs w:val="18"/>
              </w:rPr>
              <w:t>在建工程</w:t>
            </w:r>
          </w:p>
          <w:p w14:paraId="55A6ED93">
            <w:pPr>
              <w:pStyle w:val="187"/>
              <w:spacing w:beforeLines="0" w:afterLines="0" w:line="240" w:lineRule="auto"/>
              <w:rPr>
                <w:rFonts w:ascii="Times New Roman" w:hAnsi="Times New Roman" w:eastAsia="黑体" w:cs="Times New Roman"/>
                <w:snapToGrid w:val="0"/>
                <w:spacing w:val="-6"/>
                <w:kern w:val="21"/>
                <w:sz w:val="18"/>
                <w:szCs w:val="18"/>
              </w:rPr>
            </w:pPr>
            <w:r>
              <w:rPr>
                <w:rFonts w:ascii="Times New Roman" w:hAnsi="Times New Roman" w:eastAsia="黑体" w:cs="Times New Roman"/>
                <w:snapToGrid w:val="0"/>
                <w:spacing w:val="-6"/>
                <w:kern w:val="21"/>
                <w:sz w:val="18"/>
                <w:szCs w:val="18"/>
              </w:rPr>
              <w:t>排放量（固体废物产生量）</w:t>
            </w:r>
            <w:r>
              <w:rPr>
                <w:rFonts w:ascii="Times New Roman" w:hAnsi="Times New Roman" w:eastAsia="黑体" w:cs="Times New Roman"/>
                <w:snapToGrid w:val="0"/>
                <w:spacing w:val="-6"/>
                <w:kern w:val="21"/>
                <w:sz w:val="18"/>
                <w:szCs w:val="18"/>
              </w:rPr>
              <w:fldChar w:fldCharType="begin"/>
            </w:r>
            <w:r>
              <w:rPr>
                <w:rFonts w:ascii="Times New Roman" w:hAnsi="Times New Roman" w:eastAsia="黑体" w:cs="Times New Roman"/>
                <w:snapToGrid w:val="0"/>
                <w:spacing w:val="-6"/>
                <w:kern w:val="21"/>
                <w:sz w:val="18"/>
                <w:szCs w:val="18"/>
              </w:rPr>
              <w:instrText xml:space="preserve"> = 3 \* GB3 \* MERGEFORMAT </w:instrText>
            </w:r>
            <w:r>
              <w:rPr>
                <w:rFonts w:ascii="Times New Roman" w:hAnsi="Times New Roman" w:eastAsia="黑体" w:cs="Times New Roman"/>
                <w:snapToGrid w:val="0"/>
                <w:spacing w:val="-6"/>
                <w:kern w:val="21"/>
                <w:sz w:val="18"/>
                <w:szCs w:val="18"/>
              </w:rPr>
              <w:fldChar w:fldCharType="separate"/>
            </w:r>
            <w:r>
              <w:rPr>
                <w:rFonts w:hint="eastAsia" w:hAnsi="宋体" w:cs="宋体"/>
                <w:kern w:val="2"/>
                <w:sz w:val="18"/>
                <w:szCs w:val="18"/>
              </w:rPr>
              <w:t>③</w:t>
            </w:r>
            <w:r>
              <w:rPr>
                <w:rFonts w:ascii="Times New Roman" w:hAnsi="Times New Roman" w:eastAsia="黑体" w:cs="Times New Roman"/>
                <w:snapToGrid w:val="0"/>
                <w:spacing w:val="-6"/>
                <w:kern w:val="21"/>
                <w:sz w:val="18"/>
                <w:szCs w:val="18"/>
              </w:rPr>
              <w:fldChar w:fldCharType="end"/>
            </w:r>
          </w:p>
        </w:tc>
        <w:tc>
          <w:tcPr>
            <w:tcW w:w="564" w:type="pct"/>
            <w:tcMar>
              <w:left w:w="28" w:type="dxa"/>
              <w:right w:w="28" w:type="dxa"/>
            </w:tcMar>
            <w:vAlign w:val="center"/>
          </w:tcPr>
          <w:p w14:paraId="7FF50660">
            <w:pPr>
              <w:pStyle w:val="187"/>
              <w:spacing w:beforeLines="0" w:afterLines="0" w:line="240" w:lineRule="auto"/>
              <w:rPr>
                <w:rFonts w:ascii="Times New Roman" w:hAnsi="Times New Roman" w:eastAsia="黑体" w:cs="Times New Roman"/>
                <w:snapToGrid w:val="0"/>
                <w:spacing w:val="-6"/>
                <w:kern w:val="21"/>
                <w:sz w:val="18"/>
                <w:szCs w:val="18"/>
              </w:rPr>
            </w:pPr>
            <w:r>
              <w:rPr>
                <w:rFonts w:ascii="Times New Roman" w:hAnsi="Times New Roman" w:eastAsia="黑体" w:cs="Times New Roman"/>
                <w:snapToGrid w:val="0"/>
                <w:spacing w:val="-6"/>
                <w:kern w:val="21"/>
                <w:sz w:val="18"/>
                <w:szCs w:val="18"/>
              </w:rPr>
              <w:t>本项目</w:t>
            </w:r>
          </w:p>
          <w:p w14:paraId="7602993E">
            <w:pPr>
              <w:pStyle w:val="187"/>
              <w:spacing w:beforeLines="0" w:afterLines="0" w:line="240" w:lineRule="auto"/>
              <w:rPr>
                <w:rFonts w:ascii="Times New Roman" w:hAnsi="Times New Roman" w:eastAsia="黑体" w:cs="Times New Roman"/>
                <w:snapToGrid w:val="0"/>
                <w:spacing w:val="-6"/>
                <w:kern w:val="21"/>
                <w:sz w:val="18"/>
                <w:szCs w:val="18"/>
              </w:rPr>
            </w:pPr>
            <w:r>
              <w:rPr>
                <w:rFonts w:ascii="Times New Roman" w:hAnsi="Times New Roman" w:eastAsia="黑体" w:cs="Times New Roman"/>
                <w:snapToGrid w:val="0"/>
                <w:spacing w:val="-6"/>
                <w:kern w:val="21"/>
                <w:sz w:val="18"/>
                <w:szCs w:val="18"/>
              </w:rPr>
              <w:t>排放量（固体废物产生量）</w:t>
            </w:r>
            <w:r>
              <w:rPr>
                <w:rFonts w:ascii="Times New Roman" w:hAnsi="Times New Roman" w:eastAsia="黑体" w:cs="Times New Roman"/>
                <w:snapToGrid w:val="0"/>
                <w:spacing w:val="-6"/>
                <w:kern w:val="21"/>
                <w:sz w:val="18"/>
                <w:szCs w:val="18"/>
              </w:rPr>
              <w:fldChar w:fldCharType="begin"/>
            </w:r>
            <w:r>
              <w:rPr>
                <w:rFonts w:ascii="Times New Roman" w:hAnsi="Times New Roman" w:eastAsia="黑体" w:cs="Times New Roman"/>
                <w:snapToGrid w:val="0"/>
                <w:spacing w:val="-6"/>
                <w:kern w:val="21"/>
                <w:sz w:val="18"/>
                <w:szCs w:val="18"/>
              </w:rPr>
              <w:instrText xml:space="preserve"> = 4 \* GB3 \* MERGEFORMAT </w:instrText>
            </w:r>
            <w:r>
              <w:rPr>
                <w:rFonts w:ascii="Times New Roman" w:hAnsi="Times New Roman" w:eastAsia="黑体" w:cs="Times New Roman"/>
                <w:snapToGrid w:val="0"/>
                <w:spacing w:val="-6"/>
                <w:kern w:val="21"/>
                <w:sz w:val="18"/>
                <w:szCs w:val="18"/>
              </w:rPr>
              <w:fldChar w:fldCharType="separate"/>
            </w:r>
            <w:r>
              <w:rPr>
                <w:rFonts w:hint="eastAsia" w:hAnsi="宋体" w:cs="宋体"/>
                <w:kern w:val="2"/>
                <w:sz w:val="18"/>
                <w:szCs w:val="18"/>
              </w:rPr>
              <w:t>④</w:t>
            </w:r>
            <w:r>
              <w:rPr>
                <w:rFonts w:ascii="Times New Roman" w:hAnsi="Times New Roman" w:eastAsia="黑体" w:cs="Times New Roman"/>
                <w:snapToGrid w:val="0"/>
                <w:spacing w:val="-6"/>
                <w:kern w:val="21"/>
                <w:sz w:val="18"/>
                <w:szCs w:val="18"/>
              </w:rPr>
              <w:fldChar w:fldCharType="end"/>
            </w:r>
          </w:p>
        </w:tc>
        <w:tc>
          <w:tcPr>
            <w:tcW w:w="639" w:type="pct"/>
            <w:tcMar>
              <w:left w:w="28" w:type="dxa"/>
              <w:right w:w="28" w:type="dxa"/>
            </w:tcMar>
            <w:vAlign w:val="center"/>
          </w:tcPr>
          <w:p w14:paraId="5CBDCFD7">
            <w:pPr>
              <w:pStyle w:val="187"/>
              <w:spacing w:beforeLines="0" w:afterLines="0" w:line="240" w:lineRule="auto"/>
              <w:rPr>
                <w:rFonts w:ascii="Times New Roman" w:hAnsi="Times New Roman" w:eastAsia="黑体" w:cs="Times New Roman"/>
                <w:snapToGrid w:val="0"/>
                <w:spacing w:val="-16"/>
                <w:kern w:val="21"/>
                <w:sz w:val="18"/>
                <w:szCs w:val="18"/>
              </w:rPr>
            </w:pPr>
            <w:r>
              <w:rPr>
                <w:rFonts w:ascii="Times New Roman" w:hAnsi="Times New Roman" w:eastAsia="黑体" w:cs="Times New Roman"/>
                <w:snapToGrid w:val="0"/>
                <w:spacing w:val="-16"/>
                <w:kern w:val="21"/>
                <w:sz w:val="18"/>
                <w:szCs w:val="18"/>
              </w:rPr>
              <w:t>以新带老削减量</w:t>
            </w:r>
          </w:p>
          <w:p w14:paraId="78DB4FBB">
            <w:pPr>
              <w:pStyle w:val="187"/>
              <w:spacing w:beforeLines="0" w:afterLines="0" w:line="240" w:lineRule="auto"/>
              <w:rPr>
                <w:rFonts w:ascii="Times New Roman" w:hAnsi="Times New Roman" w:eastAsia="黑体" w:cs="Times New Roman"/>
                <w:snapToGrid w:val="0"/>
                <w:spacing w:val="-16"/>
                <w:kern w:val="21"/>
                <w:sz w:val="18"/>
                <w:szCs w:val="18"/>
              </w:rPr>
            </w:pPr>
            <w:r>
              <w:rPr>
                <w:rFonts w:ascii="Times New Roman" w:hAnsi="Times New Roman" w:eastAsia="黑体" w:cs="Times New Roman"/>
                <w:snapToGrid w:val="0"/>
                <w:spacing w:val="-16"/>
                <w:kern w:val="21"/>
                <w:sz w:val="18"/>
                <w:szCs w:val="18"/>
              </w:rPr>
              <w:t>（新建项目不填）</w:t>
            </w:r>
            <w:r>
              <w:rPr>
                <w:rFonts w:ascii="Times New Roman" w:hAnsi="Times New Roman" w:eastAsia="黑体" w:cs="Times New Roman"/>
                <w:snapToGrid w:val="0"/>
                <w:spacing w:val="-16"/>
                <w:kern w:val="21"/>
                <w:sz w:val="18"/>
                <w:szCs w:val="18"/>
              </w:rPr>
              <w:fldChar w:fldCharType="begin"/>
            </w:r>
            <w:r>
              <w:rPr>
                <w:rFonts w:ascii="Times New Roman" w:hAnsi="Times New Roman" w:eastAsia="黑体" w:cs="Times New Roman"/>
                <w:snapToGrid w:val="0"/>
                <w:spacing w:val="-16"/>
                <w:kern w:val="21"/>
                <w:sz w:val="18"/>
                <w:szCs w:val="18"/>
              </w:rPr>
              <w:instrText xml:space="preserve"> = 5 \* GB3 \* MERGEFORMAT </w:instrText>
            </w:r>
            <w:r>
              <w:rPr>
                <w:rFonts w:ascii="Times New Roman" w:hAnsi="Times New Roman" w:eastAsia="黑体" w:cs="Times New Roman"/>
                <w:snapToGrid w:val="0"/>
                <w:spacing w:val="-16"/>
                <w:kern w:val="21"/>
                <w:sz w:val="18"/>
                <w:szCs w:val="18"/>
              </w:rPr>
              <w:fldChar w:fldCharType="separate"/>
            </w:r>
            <w:r>
              <w:rPr>
                <w:rFonts w:hint="eastAsia" w:hAnsi="宋体" w:cs="宋体"/>
                <w:kern w:val="2"/>
                <w:sz w:val="18"/>
                <w:szCs w:val="18"/>
              </w:rPr>
              <w:t>⑤</w:t>
            </w:r>
            <w:r>
              <w:rPr>
                <w:rFonts w:ascii="Times New Roman" w:hAnsi="Times New Roman" w:eastAsia="黑体" w:cs="Times New Roman"/>
                <w:snapToGrid w:val="0"/>
                <w:spacing w:val="-16"/>
                <w:kern w:val="21"/>
                <w:sz w:val="18"/>
                <w:szCs w:val="18"/>
              </w:rPr>
              <w:fldChar w:fldCharType="end"/>
            </w:r>
          </w:p>
        </w:tc>
        <w:tc>
          <w:tcPr>
            <w:tcW w:w="711" w:type="pct"/>
            <w:tcMar>
              <w:left w:w="28" w:type="dxa"/>
              <w:right w:w="28" w:type="dxa"/>
            </w:tcMar>
            <w:vAlign w:val="center"/>
          </w:tcPr>
          <w:p w14:paraId="108EB6F7">
            <w:pPr>
              <w:pStyle w:val="187"/>
              <w:spacing w:beforeLines="0" w:afterLines="0" w:line="240" w:lineRule="auto"/>
              <w:rPr>
                <w:rFonts w:ascii="Times New Roman" w:hAnsi="Times New Roman" w:eastAsia="黑体" w:cs="Times New Roman"/>
                <w:snapToGrid w:val="0"/>
                <w:spacing w:val="-16"/>
                <w:kern w:val="21"/>
                <w:sz w:val="18"/>
                <w:szCs w:val="18"/>
              </w:rPr>
            </w:pPr>
            <w:r>
              <w:rPr>
                <w:rFonts w:ascii="Times New Roman" w:hAnsi="Times New Roman" w:eastAsia="黑体" w:cs="Times New Roman"/>
                <w:snapToGrid w:val="0"/>
                <w:spacing w:val="-16"/>
                <w:kern w:val="21"/>
                <w:sz w:val="18"/>
                <w:szCs w:val="18"/>
              </w:rPr>
              <w:t>本项目建成后</w:t>
            </w:r>
          </w:p>
          <w:p w14:paraId="4E0DE949">
            <w:pPr>
              <w:pStyle w:val="187"/>
              <w:spacing w:beforeLines="0" w:afterLines="0" w:line="240" w:lineRule="auto"/>
              <w:rPr>
                <w:rFonts w:ascii="Times New Roman" w:hAnsi="Times New Roman" w:eastAsia="黑体" w:cs="Times New Roman"/>
                <w:snapToGrid w:val="0"/>
                <w:spacing w:val="-16"/>
                <w:kern w:val="21"/>
                <w:sz w:val="18"/>
                <w:szCs w:val="18"/>
              </w:rPr>
            </w:pPr>
            <w:r>
              <w:rPr>
                <w:rFonts w:ascii="Times New Roman" w:hAnsi="Times New Roman" w:eastAsia="黑体" w:cs="Times New Roman"/>
                <w:snapToGrid w:val="0"/>
                <w:spacing w:val="-16"/>
                <w:kern w:val="21"/>
                <w:sz w:val="18"/>
                <w:szCs w:val="18"/>
              </w:rPr>
              <w:t>全厂排放量（固体废物产生量）</w:t>
            </w:r>
            <w:r>
              <w:rPr>
                <w:rFonts w:ascii="Times New Roman" w:hAnsi="Times New Roman" w:eastAsia="黑体" w:cs="Times New Roman"/>
                <w:snapToGrid w:val="0"/>
                <w:spacing w:val="-16"/>
                <w:kern w:val="21"/>
                <w:sz w:val="18"/>
                <w:szCs w:val="18"/>
              </w:rPr>
              <w:fldChar w:fldCharType="begin"/>
            </w:r>
            <w:r>
              <w:rPr>
                <w:rFonts w:ascii="Times New Roman" w:hAnsi="Times New Roman" w:eastAsia="黑体" w:cs="Times New Roman"/>
                <w:snapToGrid w:val="0"/>
                <w:spacing w:val="-16"/>
                <w:kern w:val="21"/>
                <w:sz w:val="18"/>
                <w:szCs w:val="18"/>
              </w:rPr>
              <w:instrText xml:space="preserve"> = 6 \* GB3 \* MERGEFORMAT </w:instrText>
            </w:r>
            <w:r>
              <w:rPr>
                <w:rFonts w:ascii="Times New Roman" w:hAnsi="Times New Roman" w:eastAsia="黑体" w:cs="Times New Roman"/>
                <w:snapToGrid w:val="0"/>
                <w:spacing w:val="-16"/>
                <w:kern w:val="21"/>
                <w:sz w:val="18"/>
                <w:szCs w:val="18"/>
              </w:rPr>
              <w:fldChar w:fldCharType="separate"/>
            </w:r>
            <w:r>
              <w:rPr>
                <w:rFonts w:hint="eastAsia" w:hAnsi="宋体" w:cs="宋体"/>
                <w:kern w:val="2"/>
                <w:sz w:val="18"/>
                <w:szCs w:val="18"/>
              </w:rPr>
              <w:t>⑥</w:t>
            </w:r>
            <w:r>
              <w:rPr>
                <w:rFonts w:ascii="Times New Roman" w:hAnsi="Times New Roman" w:eastAsia="黑体" w:cs="Times New Roman"/>
                <w:snapToGrid w:val="0"/>
                <w:spacing w:val="-16"/>
                <w:kern w:val="21"/>
                <w:sz w:val="18"/>
                <w:szCs w:val="18"/>
              </w:rPr>
              <w:fldChar w:fldCharType="end"/>
            </w:r>
          </w:p>
        </w:tc>
        <w:tc>
          <w:tcPr>
            <w:tcW w:w="299" w:type="pct"/>
            <w:tcMar>
              <w:left w:w="28" w:type="dxa"/>
              <w:right w:w="28" w:type="dxa"/>
            </w:tcMar>
            <w:vAlign w:val="center"/>
          </w:tcPr>
          <w:p w14:paraId="06BB8145">
            <w:pPr>
              <w:pStyle w:val="187"/>
              <w:spacing w:beforeLines="0" w:afterLines="0" w:line="240" w:lineRule="auto"/>
              <w:rPr>
                <w:rFonts w:ascii="Times New Roman" w:hAnsi="Times New Roman" w:eastAsia="黑体" w:cs="Times New Roman"/>
                <w:snapToGrid w:val="0"/>
                <w:spacing w:val="-6"/>
                <w:kern w:val="21"/>
                <w:sz w:val="18"/>
                <w:szCs w:val="18"/>
              </w:rPr>
            </w:pPr>
            <w:r>
              <w:rPr>
                <w:rFonts w:ascii="Times New Roman" w:hAnsi="Times New Roman" w:eastAsia="黑体" w:cs="Times New Roman"/>
                <w:snapToGrid w:val="0"/>
                <w:spacing w:val="-6"/>
                <w:kern w:val="21"/>
                <w:sz w:val="18"/>
                <w:szCs w:val="18"/>
              </w:rPr>
              <w:t>变化量</w:t>
            </w:r>
          </w:p>
          <w:p w14:paraId="625AEF2F">
            <w:pPr>
              <w:pStyle w:val="187"/>
              <w:spacing w:beforeLines="0" w:afterLines="0" w:line="240" w:lineRule="auto"/>
              <w:rPr>
                <w:rFonts w:ascii="Times New Roman" w:hAnsi="Times New Roman" w:eastAsia="黑体" w:cs="Times New Roman"/>
                <w:snapToGrid w:val="0"/>
                <w:spacing w:val="-6"/>
                <w:kern w:val="21"/>
                <w:sz w:val="18"/>
                <w:szCs w:val="18"/>
              </w:rPr>
            </w:pPr>
            <w:r>
              <w:rPr>
                <w:rFonts w:ascii="Times New Roman" w:hAnsi="Times New Roman" w:eastAsia="黑体" w:cs="Times New Roman"/>
                <w:snapToGrid w:val="0"/>
                <w:spacing w:val="-6"/>
                <w:kern w:val="21"/>
                <w:sz w:val="18"/>
                <w:szCs w:val="18"/>
              </w:rPr>
              <w:fldChar w:fldCharType="begin"/>
            </w:r>
            <w:r>
              <w:rPr>
                <w:rFonts w:ascii="Times New Roman" w:hAnsi="Times New Roman" w:eastAsia="黑体" w:cs="Times New Roman"/>
                <w:snapToGrid w:val="0"/>
                <w:spacing w:val="-6"/>
                <w:kern w:val="21"/>
                <w:sz w:val="18"/>
                <w:szCs w:val="18"/>
              </w:rPr>
              <w:instrText xml:space="preserve"> = 7 \* GB3 \* MERGEFORMAT </w:instrText>
            </w:r>
            <w:r>
              <w:rPr>
                <w:rFonts w:ascii="Times New Roman" w:hAnsi="Times New Roman" w:eastAsia="黑体" w:cs="Times New Roman"/>
                <w:snapToGrid w:val="0"/>
                <w:spacing w:val="-6"/>
                <w:kern w:val="21"/>
                <w:sz w:val="18"/>
                <w:szCs w:val="18"/>
              </w:rPr>
              <w:fldChar w:fldCharType="separate"/>
            </w:r>
            <w:r>
              <w:rPr>
                <w:rFonts w:hint="eastAsia" w:hAnsi="宋体" w:cs="宋体"/>
                <w:kern w:val="2"/>
                <w:sz w:val="18"/>
                <w:szCs w:val="18"/>
              </w:rPr>
              <w:t>⑦</w:t>
            </w:r>
            <w:r>
              <w:rPr>
                <w:rFonts w:ascii="Times New Roman" w:hAnsi="Times New Roman" w:eastAsia="黑体" w:cs="Times New Roman"/>
                <w:snapToGrid w:val="0"/>
                <w:spacing w:val="-6"/>
                <w:kern w:val="21"/>
                <w:sz w:val="18"/>
                <w:szCs w:val="18"/>
              </w:rPr>
              <w:fldChar w:fldCharType="end"/>
            </w:r>
          </w:p>
        </w:tc>
      </w:tr>
      <w:tr w14:paraId="235791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575" w:type="pct"/>
            <w:vMerge w:val="restart"/>
            <w:vAlign w:val="center"/>
          </w:tcPr>
          <w:p w14:paraId="13E928DC">
            <w:pPr>
              <w:jc w:val="center"/>
              <w:rPr>
                <w:rFonts w:ascii="Times New Roman" w:hAnsi="Times New Roman" w:cs="Times New Roman"/>
                <w:sz w:val="18"/>
                <w:szCs w:val="18"/>
              </w:rPr>
            </w:pPr>
            <w:r>
              <w:rPr>
                <w:rFonts w:ascii="Times New Roman" w:hAnsi="Times New Roman" w:cs="Times New Roman"/>
                <w:sz w:val="18"/>
                <w:szCs w:val="18"/>
              </w:rPr>
              <w:t>废气</w:t>
            </w:r>
          </w:p>
        </w:tc>
        <w:tc>
          <w:tcPr>
            <w:tcW w:w="513" w:type="pct"/>
            <w:vAlign w:val="center"/>
          </w:tcPr>
          <w:p w14:paraId="72D14DFF">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SO2</w:t>
            </w:r>
          </w:p>
        </w:tc>
        <w:tc>
          <w:tcPr>
            <w:tcW w:w="617" w:type="pct"/>
            <w:vAlign w:val="center"/>
          </w:tcPr>
          <w:p w14:paraId="62AA13D0">
            <w:pPr>
              <w:widowControl/>
              <w:jc w:val="center"/>
              <w:textAlignment w:val="center"/>
              <w:rPr>
                <w:rFonts w:ascii="Times New Roman" w:hAnsi="Times New Roman" w:cs="Times New Roman"/>
                <w:kern w:val="0"/>
                <w:szCs w:val="21"/>
              </w:rPr>
            </w:pPr>
            <w:r>
              <w:rPr>
                <w:rFonts w:ascii="Times New Roman" w:hAnsi="Times New Roman" w:eastAsia="等线" w:cs="Times New Roman"/>
                <w:color w:val="000000"/>
                <w:szCs w:val="21"/>
              </w:rPr>
              <w:t>0.544</w:t>
            </w:r>
          </w:p>
        </w:tc>
        <w:tc>
          <w:tcPr>
            <w:tcW w:w="463" w:type="pct"/>
            <w:vAlign w:val="center"/>
          </w:tcPr>
          <w:p w14:paraId="31C70D39">
            <w:pPr>
              <w:pStyle w:val="187"/>
              <w:widowControl/>
              <w:spacing w:beforeLines="0" w:afterLines="0" w:line="240" w:lineRule="auto"/>
              <w:textAlignment w:val="center"/>
              <w:rPr>
                <w:rFonts w:ascii="Times New Roman" w:hAnsi="Times New Roman" w:cs="Times New Roman"/>
                <w:szCs w:val="21"/>
              </w:rPr>
            </w:pPr>
          </w:p>
        </w:tc>
        <w:tc>
          <w:tcPr>
            <w:tcW w:w="617" w:type="pct"/>
            <w:vAlign w:val="center"/>
          </w:tcPr>
          <w:p w14:paraId="3C530472">
            <w:pPr>
              <w:pStyle w:val="187"/>
              <w:widowControl/>
              <w:spacing w:beforeLines="0" w:afterLines="0" w:line="240" w:lineRule="auto"/>
              <w:textAlignment w:val="center"/>
              <w:rPr>
                <w:rFonts w:ascii="Times New Roman" w:hAnsi="Times New Roman" w:cs="Times New Roman"/>
                <w:szCs w:val="21"/>
              </w:rPr>
            </w:pPr>
          </w:p>
        </w:tc>
        <w:tc>
          <w:tcPr>
            <w:tcW w:w="564" w:type="pct"/>
            <w:vAlign w:val="center"/>
          </w:tcPr>
          <w:p w14:paraId="57DE60DB">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0.9</w:t>
            </w:r>
          </w:p>
        </w:tc>
        <w:tc>
          <w:tcPr>
            <w:tcW w:w="639" w:type="pct"/>
          </w:tcPr>
          <w:p w14:paraId="09368A6D">
            <w:pPr>
              <w:pStyle w:val="187"/>
              <w:widowControl/>
              <w:spacing w:beforeLines="0" w:afterLines="0" w:line="240" w:lineRule="auto"/>
              <w:textAlignment w:val="center"/>
              <w:rPr>
                <w:rFonts w:ascii="Times New Roman" w:hAnsi="Times New Roman" w:cs="Times New Roman"/>
                <w:szCs w:val="21"/>
              </w:rPr>
            </w:pPr>
            <w:r>
              <w:rPr>
                <w:rFonts w:ascii="Times New Roman" w:hAnsi="Times New Roman" w:cs="Times New Roman"/>
                <w:szCs w:val="21"/>
              </w:rPr>
              <w:t>0</w:t>
            </w:r>
          </w:p>
        </w:tc>
        <w:tc>
          <w:tcPr>
            <w:tcW w:w="711" w:type="pct"/>
          </w:tcPr>
          <w:p w14:paraId="0C693B69">
            <w:pPr>
              <w:pStyle w:val="187"/>
              <w:widowControl/>
              <w:spacing w:beforeLines="0" w:afterLines="0" w:line="240" w:lineRule="auto"/>
              <w:textAlignment w:val="center"/>
              <w:rPr>
                <w:rFonts w:ascii="Times New Roman" w:hAnsi="Times New Roman" w:cs="Times New Roman"/>
                <w:szCs w:val="21"/>
              </w:rPr>
            </w:pPr>
            <w:r>
              <w:rPr>
                <w:rFonts w:ascii="Times New Roman" w:hAnsi="Times New Roman" w:cs="Times New Roman"/>
                <w:szCs w:val="21"/>
              </w:rPr>
              <w:t>1.444</w:t>
            </w:r>
          </w:p>
        </w:tc>
        <w:tc>
          <w:tcPr>
            <w:tcW w:w="299" w:type="pct"/>
            <w:vAlign w:val="center"/>
          </w:tcPr>
          <w:p w14:paraId="3C18ED62">
            <w:pPr>
              <w:widowControl/>
              <w:jc w:val="right"/>
              <w:textAlignment w:val="center"/>
              <w:rPr>
                <w:rFonts w:ascii="Times New Roman" w:hAnsi="Times New Roman" w:cs="Times New Roman"/>
                <w:kern w:val="0"/>
                <w:szCs w:val="21"/>
              </w:rPr>
            </w:pPr>
            <w:r>
              <w:rPr>
                <w:rFonts w:ascii="Times New Roman" w:hAnsi="Times New Roman" w:cs="Times New Roman"/>
                <w:kern w:val="0"/>
                <w:szCs w:val="21"/>
              </w:rPr>
              <w:t>+0.9</w:t>
            </w:r>
          </w:p>
        </w:tc>
      </w:tr>
      <w:tr w14:paraId="376EF1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575" w:type="pct"/>
            <w:vMerge w:val="continue"/>
            <w:vAlign w:val="center"/>
          </w:tcPr>
          <w:p w14:paraId="7187372C">
            <w:pPr>
              <w:rPr>
                <w:rFonts w:ascii="Times New Roman" w:hAnsi="Times New Roman" w:cs="Times New Roman"/>
                <w:sz w:val="18"/>
                <w:szCs w:val="18"/>
              </w:rPr>
            </w:pPr>
          </w:p>
        </w:tc>
        <w:tc>
          <w:tcPr>
            <w:tcW w:w="513" w:type="pct"/>
            <w:vAlign w:val="center"/>
          </w:tcPr>
          <w:p w14:paraId="6B5C84A6">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NOx</w:t>
            </w:r>
          </w:p>
        </w:tc>
        <w:tc>
          <w:tcPr>
            <w:tcW w:w="617" w:type="pct"/>
            <w:vAlign w:val="center"/>
          </w:tcPr>
          <w:p w14:paraId="5759C346">
            <w:pPr>
              <w:widowControl/>
              <w:jc w:val="center"/>
              <w:textAlignment w:val="center"/>
              <w:rPr>
                <w:rFonts w:ascii="Times New Roman" w:hAnsi="Times New Roman" w:cs="Times New Roman"/>
                <w:kern w:val="0"/>
                <w:szCs w:val="21"/>
              </w:rPr>
            </w:pPr>
            <w:r>
              <w:rPr>
                <w:rFonts w:ascii="Times New Roman" w:hAnsi="Times New Roman" w:eastAsia="等线" w:cs="Times New Roman"/>
                <w:color w:val="000000"/>
                <w:szCs w:val="21"/>
              </w:rPr>
              <w:t>0.824</w:t>
            </w:r>
          </w:p>
        </w:tc>
        <w:tc>
          <w:tcPr>
            <w:tcW w:w="463" w:type="pct"/>
            <w:vAlign w:val="center"/>
          </w:tcPr>
          <w:p w14:paraId="29A52EB8">
            <w:pPr>
              <w:pStyle w:val="187"/>
              <w:widowControl/>
              <w:spacing w:beforeLines="0" w:afterLines="0" w:line="240" w:lineRule="auto"/>
              <w:textAlignment w:val="center"/>
              <w:rPr>
                <w:rFonts w:ascii="Times New Roman" w:hAnsi="Times New Roman" w:cs="Times New Roman"/>
                <w:szCs w:val="21"/>
              </w:rPr>
            </w:pPr>
          </w:p>
        </w:tc>
        <w:tc>
          <w:tcPr>
            <w:tcW w:w="617" w:type="pct"/>
            <w:vAlign w:val="center"/>
          </w:tcPr>
          <w:p w14:paraId="40FE1DF6">
            <w:pPr>
              <w:pStyle w:val="187"/>
              <w:widowControl/>
              <w:spacing w:beforeLines="0" w:afterLines="0" w:line="240" w:lineRule="auto"/>
              <w:textAlignment w:val="center"/>
              <w:rPr>
                <w:rFonts w:ascii="Times New Roman" w:hAnsi="Times New Roman" w:cs="Times New Roman"/>
                <w:szCs w:val="21"/>
              </w:rPr>
            </w:pPr>
          </w:p>
        </w:tc>
        <w:tc>
          <w:tcPr>
            <w:tcW w:w="564" w:type="pct"/>
          </w:tcPr>
          <w:p w14:paraId="6FD04D64">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2.02</w:t>
            </w:r>
          </w:p>
        </w:tc>
        <w:tc>
          <w:tcPr>
            <w:tcW w:w="639" w:type="pct"/>
          </w:tcPr>
          <w:p w14:paraId="2535EC2B">
            <w:pPr>
              <w:pStyle w:val="187"/>
              <w:widowControl/>
              <w:spacing w:beforeLines="0" w:afterLines="0" w:line="240" w:lineRule="auto"/>
              <w:textAlignment w:val="center"/>
              <w:rPr>
                <w:rFonts w:ascii="Times New Roman" w:hAnsi="Times New Roman" w:cs="Times New Roman"/>
                <w:szCs w:val="21"/>
              </w:rPr>
            </w:pPr>
            <w:r>
              <w:rPr>
                <w:rFonts w:ascii="Times New Roman" w:hAnsi="Times New Roman" w:cs="Times New Roman"/>
                <w:szCs w:val="21"/>
              </w:rPr>
              <w:t>0</w:t>
            </w:r>
          </w:p>
        </w:tc>
        <w:tc>
          <w:tcPr>
            <w:tcW w:w="711" w:type="pct"/>
          </w:tcPr>
          <w:p w14:paraId="20B1E465">
            <w:pPr>
              <w:pStyle w:val="187"/>
              <w:widowControl/>
              <w:spacing w:beforeLines="0" w:afterLines="0" w:line="240" w:lineRule="auto"/>
              <w:textAlignment w:val="center"/>
              <w:rPr>
                <w:rFonts w:ascii="Times New Roman" w:hAnsi="Times New Roman" w:cs="Times New Roman"/>
                <w:szCs w:val="21"/>
              </w:rPr>
            </w:pPr>
            <w:r>
              <w:rPr>
                <w:rFonts w:ascii="Times New Roman" w:hAnsi="Times New Roman" w:cs="Times New Roman"/>
                <w:szCs w:val="21"/>
              </w:rPr>
              <w:t>2.844</w:t>
            </w:r>
          </w:p>
        </w:tc>
        <w:tc>
          <w:tcPr>
            <w:tcW w:w="299" w:type="pct"/>
          </w:tcPr>
          <w:p w14:paraId="6393C810">
            <w:pPr>
              <w:widowControl/>
              <w:jc w:val="right"/>
              <w:textAlignment w:val="center"/>
              <w:rPr>
                <w:rFonts w:ascii="Times New Roman" w:hAnsi="Times New Roman" w:cs="Times New Roman"/>
                <w:kern w:val="0"/>
                <w:szCs w:val="21"/>
              </w:rPr>
            </w:pPr>
            <w:r>
              <w:rPr>
                <w:rFonts w:ascii="Times New Roman" w:hAnsi="Times New Roman" w:cs="Times New Roman"/>
                <w:kern w:val="0"/>
                <w:szCs w:val="21"/>
              </w:rPr>
              <w:t>+2.02</w:t>
            </w:r>
          </w:p>
        </w:tc>
      </w:tr>
      <w:tr w14:paraId="500F4A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575" w:type="pct"/>
            <w:vMerge w:val="continue"/>
            <w:vAlign w:val="center"/>
          </w:tcPr>
          <w:p w14:paraId="363AF203">
            <w:pPr>
              <w:rPr>
                <w:rFonts w:ascii="Times New Roman" w:hAnsi="Times New Roman" w:cs="Times New Roman"/>
                <w:sz w:val="18"/>
                <w:szCs w:val="18"/>
              </w:rPr>
            </w:pPr>
          </w:p>
        </w:tc>
        <w:tc>
          <w:tcPr>
            <w:tcW w:w="513" w:type="pct"/>
            <w:vAlign w:val="center"/>
          </w:tcPr>
          <w:p w14:paraId="0E632759">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烟尘</w:t>
            </w:r>
          </w:p>
        </w:tc>
        <w:tc>
          <w:tcPr>
            <w:tcW w:w="617" w:type="pct"/>
            <w:vAlign w:val="center"/>
          </w:tcPr>
          <w:p w14:paraId="0CE93509">
            <w:pPr>
              <w:widowControl/>
              <w:jc w:val="center"/>
              <w:textAlignment w:val="center"/>
              <w:rPr>
                <w:rFonts w:ascii="Times New Roman" w:hAnsi="Times New Roman" w:cs="Times New Roman"/>
                <w:kern w:val="0"/>
                <w:szCs w:val="21"/>
              </w:rPr>
            </w:pPr>
            <w:r>
              <w:rPr>
                <w:rFonts w:ascii="Times New Roman" w:hAnsi="Times New Roman" w:eastAsia="等线" w:cs="Times New Roman"/>
                <w:color w:val="000000"/>
                <w:szCs w:val="21"/>
              </w:rPr>
              <w:t>0.283</w:t>
            </w:r>
          </w:p>
        </w:tc>
        <w:tc>
          <w:tcPr>
            <w:tcW w:w="463" w:type="pct"/>
            <w:vAlign w:val="center"/>
          </w:tcPr>
          <w:p w14:paraId="69A45A7B">
            <w:pPr>
              <w:pStyle w:val="187"/>
              <w:widowControl/>
              <w:spacing w:beforeLines="0" w:afterLines="0" w:line="240" w:lineRule="auto"/>
              <w:textAlignment w:val="center"/>
              <w:rPr>
                <w:rFonts w:ascii="Times New Roman" w:hAnsi="Times New Roman" w:cs="Times New Roman"/>
                <w:szCs w:val="21"/>
              </w:rPr>
            </w:pPr>
          </w:p>
        </w:tc>
        <w:tc>
          <w:tcPr>
            <w:tcW w:w="617" w:type="pct"/>
            <w:vAlign w:val="center"/>
          </w:tcPr>
          <w:p w14:paraId="61301412">
            <w:pPr>
              <w:pStyle w:val="187"/>
              <w:widowControl/>
              <w:spacing w:beforeLines="0" w:afterLines="0" w:line="240" w:lineRule="auto"/>
              <w:textAlignment w:val="center"/>
              <w:rPr>
                <w:rFonts w:ascii="Times New Roman" w:hAnsi="Times New Roman" w:cs="Times New Roman"/>
                <w:szCs w:val="21"/>
              </w:rPr>
            </w:pPr>
          </w:p>
        </w:tc>
        <w:tc>
          <w:tcPr>
            <w:tcW w:w="564" w:type="pct"/>
          </w:tcPr>
          <w:p w14:paraId="0C7EEC4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1.29</w:t>
            </w:r>
          </w:p>
        </w:tc>
        <w:tc>
          <w:tcPr>
            <w:tcW w:w="639" w:type="pct"/>
          </w:tcPr>
          <w:p w14:paraId="7C3A3ACC">
            <w:pPr>
              <w:pStyle w:val="187"/>
              <w:widowControl/>
              <w:spacing w:beforeLines="0" w:afterLines="0" w:line="240" w:lineRule="auto"/>
              <w:textAlignment w:val="center"/>
              <w:rPr>
                <w:rFonts w:ascii="Times New Roman" w:hAnsi="Times New Roman" w:cs="Times New Roman"/>
                <w:szCs w:val="21"/>
              </w:rPr>
            </w:pPr>
            <w:r>
              <w:rPr>
                <w:rFonts w:ascii="Times New Roman" w:hAnsi="Times New Roman" w:cs="Times New Roman"/>
                <w:szCs w:val="21"/>
              </w:rPr>
              <w:t>0</w:t>
            </w:r>
          </w:p>
        </w:tc>
        <w:tc>
          <w:tcPr>
            <w:tcW w:w="711" w:type="pct"/>
          </w:tcPr>
          <w:p w14:paraId="60EEA55C">
            <w:pPr>
              <w:pStyle w:val="187"/>
              <w:widowControl/>
              <w:spacing w:beforeLines="0" w:afterLines="0" w:line="240" w:lineRule="auto"/>
              <w:textAlignment w:val="center"/>
              <w:rPr>
                <w:rFonts w:ascii="Times New Roman" w:hAnsi="Times New Roman" w:cs="Times New Roman"/>
                <w:szCs w:val="21"/>
              </w:rPr>
            </w:pPr>
            <w:r>
              <w:rPr>
                <w:rFonts w:ascii="Times New Roman" w:hAnsi="Times New Roman" w:cs="Times New Roman"/>
                <w:szCs w:val="21"/>
              </w:rPr>
              <w:t>1.573</w:t>
            </w:r>
          </w:p>
        </w:tc>
        <w:tc>
          <w:tcPr>
            <w:tcW w:w="299" w:type="pct"/>
          </w:tcPr>
          <w:p w14:paraId="3E4AA100">
            <w:pPr>
              <w:widowControl/>
              <w:jc w:val="right"/>
              <w:textAlignment w:val="center"/>
              <w:rPr>
                <w:rFonts w:ascii="Times New Roman" w:hAnsi="Times New Roman" w:cs="Times New Roman"/>
                <w:kern w:val="0"/>
                <w:szCs w:val="21"/>
              </w:rPr>
            </w:pPr>
            <w:r>
              <w:rPr>
                <w:rFonts w:ascii="Times New Roman" w:hAnsi="Times New Roman" w:cs="Times New Roman"/>
                <w:kern w:val="0"/>
                <w:szCs w:val="21"/>
              </w:rPr>
              <w:t>+1.29</w:t>
            </w:r>
          </w:p>
        </w:tc>
      </w:tr>
      <w:tr w14:paraId="69DCA3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575" w:type="pct"/>
            <w:vMerge w:val="restart"/>
            <w:vAlign w:val="center"/>
          </w:tcPr>
          <w:p w14:paraId="7597BDE4">
            <w:pPr>
              <w:pStyle w:val="187"/>
              <w:spacing w:beforeLines="0" w:afterLines="0" w:line="240" w:lineRule="auto"/>
              <w:rPr>
                <w:rFonts w:ascii="Times New Roman" w:hAnsi="Times New Roman" w:cs="Times New Roman"/>
                <w:snapToGrid w:val="0"/>
                <w:kern w:val="21"/>
                <w:sz w:val="18"/>
                <w:szCs w:val="18"/>
              </w:rPr>
            </w:pPr>
            <w:r>
              <w:rPr>
                <w:rFonts w:ascii="Times New Roman" w:hAnsi="Times New Roman" w:cs="Times New Roman"/>
                <w:snapToGrid w:val="0"/>
                <w:kern w:val="21"/>
                <w:sz w:val="18"/>
                <w:szCs w:val="18"/>
              </w:rPr>
              <w:t>废水</w:t>
            </w:r>
          </w:p>
        </w:tc>
        <w:tc>
          <w:tcPr>
            <w:tcW w:w="513" w:type="pct"/>
            <w:vAlign w:val="center"/>
          </w:tcPr>
          <w:p w14:paraId="595CBB6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COD</w:t>
            </w:r>
          </w:p>
        </w:tc>
        <w:tc>
          <w:tcPr>
            <w:tcW w:w="617" w:type="pct"/>
            <w:vAlign w:val="center"/>
          </w:tcPr>
          <w:p w14:paraId="558D5346">
            <w:pPr>
              <w:widowControl/>
              <w:jc w:val="center"/>
              <w:textAlignment w:val="center"/>
              <w:rPr>
                <w:rFonts w:ascii="Times New Roman" w:hAnsi="Times New Roman" w:cs="Times New Roman"/>
                <w:kern w:val="0"/>
                <w:szCs w:val="21"/>
              </w:rPr>
            </w:pPr>
            <w:r>
              <w:rPr>
                <w:rFonts w:ascii="Times New Roman" w:hAnsi="Times New Roman" w:eastAsia="等线" w:cs="Times New Roman"/>
                <w:color w:val="000000"/>
                <w:szCs w:val="21"/>
              </w:rPr>
              <w:t>0.297</w:t>
            </w:r>
          </w:p>
        </w:tc>
        <w:tc>
          <w:tcPr>
            <w:tcW w:w="463" w:type="pct"/>
            <w:vAlign w:val="center"/>
          </w:tcPr>
          <w:p w14:paraId="29C098DF">
            <w:pPr>
              <w:widowControl/>
              <w:jc w:val="center"/>
              <w:textAlignment w:val="center"/>
              <w:rPr>
                <w:rFonts w:ascii="Times New Roman" w:hAnsi="Times New Roman" w:cs="Times New Roman"/>
                <w:kern w:val="0"/>
                <w:szCs w:val="21"/>
              </w:rPr>
            </w:pPr>
          </w:p>
        </w:tc>
        <w:tc>
          <w:tcPr>
            <w:tcW w:w="617" w:type="pct"/>
          </w:tcPr>
          <w:p w14:paraId="5CB560D3">
            <w:pPr>
              <w:widowControl/>
              <w:jc w:val="center"/>
              <w:textAlignment w:val="center"/>
              <w:rPr>
                <w:rFonts w:ascii="Times New Roman" w:hAnsi="Times New Roman" w:cs="Times New Roman"/>
                <w:kern w:val="0"/>
                <w:szCs w:val="21"/>
              </w:rPr>
            </w:pPr>
          </w:p>
        </w:tc>
        <w:tc>
          <w:tcPr>
            <w:tcW w:w="564" w:type="pct"/>
            <w:vAlign w:val="center"/>
          </w:tcPr>
          <w:p w14:paraId="3550793C">
            <w:pPr>
              <w:widowControl/>
              <w:jc w:val="center"/>
              <w:textAlignment w:val="center"/>
              <w:rPr>
                <w:rFonts w:ascii="Times New Roman" w:hAnsi="Times New Roman" w:cs="Times New Roman"/>
                <w:kern w:val="0"/>
                <w:szCs w:val="21"/>
              </w:rPr>
            </w:pPr>
            <w:r>
              <w:rPr>
                <w:rFonts w:hint="eastAsia" w:ascii="Times New Roman" w:hAnsi="Times New Roman" w:cs="Times New Roman"/>
                <w:kern w:val="0"/>
                <w:szCs w:val="21"/>
              </w:rPr>
              <w:t>0.17</w:t>
            </w:r>
          </w:p>
        </w:tc>
        <w:tc>
          <w:tcPr>
            <w:tcW w:w="639" w:type="pct"/>
          </w:tcPr>
          <w:p w14:paraId="6B47D2ED">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0</w:t>
            </w:r>
          </w:p>
        </w:tc>
        <w:tc>
          <w:tcPr>
            <w:tcW w:w="711" w:type="pct"/>
          </w:tcPr>
          <w:p w14:paraId="3D73D006">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0.467</w:t>
            </w:r>
          </w:p>
        </w:tc>
        <w:tc>
          <w:tcPr>
            <w:tcW w:w="299" w:type="pct"/>
            <w:vAlign w:val="center"/>
          </w:tcPr>
          <w:p w14:paraId="1F004ED2">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r>
              <w:rPr>
                <w:rFonts w:hint="eastAsia" w:ascii="Times New Roman" w:hAnsi="Times New Roman" w:cs="Times New Roman"/>
                <w:kern w:val="0"/>
                <w:szCs w:val="21"/>
              </w:rPr>
              <w:t>0.17</w:t>
            </w:r>
          </w:p>
        </w:tc>
      </w:tr>
      <w:tr w14:paraId="55B835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575" w:type="pct"/>
            <w:vMerge w:val="continue"/>
            <w:vAlign w:val="center"/>
          </w:tcPr>
          <w:p w14:paraId="507B738C">
            <w:pPr>
              <w:pStyle w:val="187"/>
              <w:spacing w:beforeLines="0" w:afterLines="0" w:line="240" w:lineRule="auto"/>
              <w:rPr>
                <w:rFonts w:ascii="Times New Roman" w:hAnsi="Times New Roman" w:cs="Times New Roman"/>
                <w:snapToGrid w:val="0"/>
                <w:kern w:val="21"/>
                <w:sz w:val="18"/>
                <w:szCs w:val="18"/>
              </w:rPr>
            </w:pPr>
          </w:p>
        </w:tc>
        <w:tc>
          <w:tcPr>
            <w:tcW w:w="513" w:type="pct"/>
            <w:vAlign w:val="center"/>
          </w:tcPr>
          <w:p w14:paraId="2B0CB075">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BOD5</w:t>
            </w:r>
          </w:p>
        </w:tc>
        <w:tc>
          <w:tcPr>
            <w:tcW w:w="617" w:type="pct"/>
            <w:vAlign w:val="center"/>
          </w:tcPr>
          <w:p w14:paraId="20DA2FE1">
            <w:pPr>
              <w:widowControl/>
              <w:jc w:val="center"/>
              <w:textAlignment w:val="center"/>
              <w:rPr>
                <w:rFonts w:ascii="Times New Roman" w:hAnsi="Times New Roman" w:cs="Times New Roman"/>
                <w:kern w:val="0"/>
                <w:szCs w:val="21"/>
              </w:rPr>
            </w:pPr>
            <w:r>
              <w:rPr>
                <w:rFonts w:ascii="Times New Roman" w:hAnsi="Times New Roman" w:eastAsia="等线" w:cs="Times New Roman"/>
                <w:color w:val="000000"/>
                <w:szCs w:val="21"/>
              </w:rPr>
              <w:t>0.053</w:t>
            </w:r>
          </w:p>
        </w:tc>
        <w:tc>
          <w:tcPr>
            <w:tcW w:w="463" w:type="pct"/>
            <w:vAlign w:val="center"/>
          </w:tcPr>
          <w:p w14:paraId="6D6B8721">
            <w:pPr>
              <w:widowControl/>
              <w:jc w:val="center"/>
              <w:textAlignment w:val="center"/>
              <w:rPr>
                <w:rFonts w:ascii="Times New Roman" w:hAnsi="Times New Roman" w:cs="Times New Roman"/>
                <w:kern w:val="0"/>
                <w:szCs w:val="21"/>
              </w:rPr>
            </w:pPr>
          </w:p>
        </w:tc>
        <w:tc>
          <w:tcPr>
            <w:tcW w:w="617" w:type="pct"/>
          </w:tcPr>
          <w:p w14:paraId="512BE643">
            <w:pPr>
              <w:widowControl/>
              <w:jc w:val="center"/>
              <w:textAlignment w:val="center"/>
              <w:rPr>
                <w:rFonts w:ascii="Times New Roman" w:hAnsi="Times New Roman" w:cs="Times New Roman"/>
                <w:kern w:val="0"/>
                <w:szCs w:val="21"/>
              </w:rPr>
            </w:pPr>
          </w:p>
        </w:tc>
        <w:tc>
          <w:tcPr>
            <w:tcW w:w="564" w:type="pct"/>
            <w:vAlign w:val="center"/>
          </w:tcPr>
          <w:p w14:paraId="1C2D7A20">
            <w:pPr>
              <w:widowControl/>
              <w:jc w:val="center"/>
              <w:textAlignment w:val="center"/>
              <w:rPr>
                <w:rFonts w:ascii="Times New Roman" w:hAnsi="Times New Roman" w:cs="Times New Roman"/>
                <w:kern w:val="0"/>
                <w:szCs w:val="21"/>
              </w:rPr>
            </w:pPr>
            <w:r>
              <w:rPr>
                <w:rFonts w:hint="eastAsia" w:ascii="Times New Roman" w:hAnsi="Times New Roman" w:cs="Times New Roman"/>
                <w:kern w:val="0"/>
                <w:szCs w:val="21"/>
              </w:rPr>
              <w:t>0.042</w:t>
            </w:r>
          </w:p>
        </w:tc>
        <w:tc>
          <w:tcPr>
            <w:tcW w:w="639" w:type="pct"/>
          </w:tcPr>
          <w:p w14:paraId="17B2D2AD">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0</w:t>
            </w:r>
          </w:p>
        </w:tc>
        <w:tc>
          <w:tcPr>
            <w:tcW w:w="711" w:type="pct"/>
          </w:tcPr>
          <w:p w14:paraId="42490167">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0.095</w:t>
            </w:r>
          </w:p>
        </w:tc>
        <w:tc>
          <w:tcPr>
            <w:tcW w:w="299" w:type="pct"/>
            <w:vAlign w:val="center"/>
          </w:tcPr>
          <w:p w14:paraId="05C79BFF">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r>
              <w:rPr>
                <w:rFonts w:hint="eastAsia" w:ascii="Times New Roman" w:hAnsi="Times New Roman" w:cs="Times New Roman"/>
                <w:kern w:val="0"/>
                <w:szCs w:val="21"/>
              </w:rPr>
              <w:t>0.042</w:t>
            </w:r>
          </w:p>
        </w:tc>
      </w:tr>
      <w:tr w14:paraId="3C26B0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575" w:type="pct"/>
            <w:vMerge w:val="continue"/>
            <w:vAlign w:val="center"/>
          </w:tcPr>
          <w:p w14:paraId="16E425AD">
            <w:pPr>
              <w:pStyle w:val="187"/>
              <w:spacing w:beforeLines="0" w:afterLines="0" w:line="240" w:lineRule="auto"/>
              <w:rPr>
                <w:rFonts w:ascii="Times New Roman" w:hAnsi="Times New Roman" w:cs="Times New Roman"/>
                <w:snapToGrid w:val="0"/>
                <w:kern w:val="21"/>
                <w:sz w:val="18"/>
                <w:szCs w:val="18"/>
              </w:rPr>
            </w:pPr>
          </w:p>
        </w:tc>
        <w:tc>
          <w:tcPr>
            <w:tcW w:w="513" w:type="pct"/>
            <w:vAlign w:val="center"/>
          </w:tcPr>
          <w:p w14:paraId="49861F1C">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SS</w:t>
            </w:r>
          </w:p>
        </w:tc>
        <w:tc>
          <w:tcPr>
            <w:tcW w:w="617" w:type="pct"/>
            <w:vAlign w:val="center"/>
          </w:tcPr>
          <w:p w14:paraId="39645707">
            <w:pPr>
              <w:widowControl/>
              <w:jc w:val="center"/>
              <w:textAlignment w:val="center"/>
              <w:rPr>
                <w:rFonts w:ascii="Times New Roman" w:hAnsi="Times New Roman" w:cs="Times New Roman"/>
                <w:kern w:val="0"/>
                <w:szCs w:val="21"/>
              </w:rPr>
            </w:pPr>
            <w:r>
              <w:rPr>
                <w:rFonts w:ascii="Times New Roman" w:hAnsi="Times New Roman" w:eastAsia="等线" w:cs="Times New Roman"/>
                <w:color w:val="000000"/>
                <w:szCs w:val="21"/>
              </w:rPr>
              <w:t>0.26</w:t>
            </w:r>
          </w:p>
        </w:tc>
        <w:tc>
          <w:tcPr>
            <w:tcW w:w="463" w:type="pct"/>
            <w:vAlign w:val="center"/>
          </w:tcPr>
          <w:p w14:paraId="596B89EC">
            <w:pPr>
              <w:widowControl/>
              <w:jc w:val="center"/>
              <w:textAlignment w:val="center"/>
              <w:rPr>
                <w:rFonts w:ascii="Times New Roman" w:hAnsi="Times New Roman" w:cs="Times New Roman"/>
                <w:kern w:val="0"/>
                <w:szCs w:val="21"/>
              </w:rPr>
            </w:pPr>
          </w:p>
        </w:tc>
        <w:tc>
          <w:tcPr>
            <w:tcW w:w="617" w:type="pct"/>
          </w:tcPr>
          <w:p w14:paraId="0D970F89">
            <w:pPr>
              <w:widowControl/>
              <w:jc w:val="center"/>
              <w:textAlignment w:val="center"/>
              <w:rPr>
                <w:rFonts w:ascii="Times New Roman" w:hAnsi="Times New Roman" w:cs="Times New Roman"/>
                <w:kern w:val="0"/>
                <w:szCs w:val="21"/>
              </w:rPr>
            </w:pPr>
          </w:p>
        </w:tc>
        <w:tc>
          <w:tcPr>
            <w:tcW w:w="564" w:type="pct"/>
            <w:vAlign w:val="center"/>
          </w:tcPr>
          <w:p w14:paraId="773BA45A">
            <w:pPr>
              <w:widowControl/>
              <w:jc w:val="center"/>
              <w:textAlignment w:val="center"/>
              <w:rPr>
                <w:rFonts w:ascii="Times New Roman" w:hAnsi="Times New Roman" w:cs="Times New Roman"/>
                <w:kern w:val="0"/>
                <w:szCs w:val="21"/>
              </w:rPr>
            </w:pPr>
            <w:r>
              <w:rPr>
                <w:rFonts w:hint="eastAsia" w:ascii="Times New Roman" w:hAnsi="Times New Roman" w:cs="Times New Roman"/>
                <w:kern w:val="0"/>
                <w:szCs w:val="21"/>
              </w:rPr>
              <w:t>0.15</w:t>
            </w:r>
          </w:p>
        </w:tc>
        <w:tc>
          <w:tcPr>
            <w:tcW w:w="639" w:type="pct"/>
          </w:tcPr>
          <w:p w14:paraId="461D09A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0</w:t>
            </w:r>
          </w:p>
        </w:tc>
        <w:tc>
          <w:tcPr>
            <w:tcW w:w="711" w:type="pct"/>
          </w:tcPr>
          <w:p w14:paraId="630745EB">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0.41</w:t>
            </w:r>
          </w:p>
        </w:tc>
        <w:tc>
          <w:tcPr>
            <w:tcW w:w="299" w:type="pct"/>
            <w:vAlign w:val="center"/>
          </w:tcPr>
          <w:p w14:paraId="29123FCF">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r>
              <w:rPr>
                <w:rFonts w:hint="eastAsia" w:ascii="Times New Roman" w:hAnsi="Times New Roman" w:cs="Times New Roman"/>
                <w:kern w:val="0"/>
                <w:szCs w:val="21"/>
              </w:rPr>
              <w:t>0.15</w:t>
            </w:r>
          </w:p>
        </w:tc>
      </w:tr>
      <w:tr w14:paraId="3CEB9F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575" w:type="pct"/>
            <w:vMerge w:val="continue"/>
            <w:vAlign w:val="center"/>
          </w:tcPr>
          <w:p w14:paraId="3342AA16">
            <w:pPr>
              <w:pStyle w:val="187"/>
              <w:spacing w:beforeLines="0" w:afterLines="0" w:line="240" w:lineRule="auto"/>
              <w:rPr>
                <w:rFonts w:ascii="Times New Roman" w:hAnsi="Times New Roman" w:cs="Times New Roman"/>
                <w:snapToGrid w:val="0"/>
                <w:kern w:val="21"/>
                <w:sz w:val="18"/>
                <w:szCs w:val="18"/>
              </w:rPr>
            </w:pPr>
          </w:p>
        </w:tc>
        <w:tc>
          <w:tcPr>
            <w:tcW w:w="513" w:type="pct"/>
            <w:vAlign w:val="center"/>
          </w:tcPr>
          <w:p w14:paraId="1F83D6C0">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NH3-N</w:t>
            </w:r>
          </w:p>
        </w:tc>
        <w:tc>
          <w:tcPr>
            <w:tcW w:w="617" w:type="pct"/>
            <w:vAlign w:val="center"/>
          </w:tcPr>
          <w:p w14:paraId="1FD2458A">
            <w:pPr>
              <w:widowControl/>
              <w:jc w:val="center"/>
              <w:textAlignment w:val="center"/>
              <w:rPr>
                <w:rFonts w:ascii="Times New Roman" w:hAnsi="Times New Roman" w:cs="Times New Roman"/>
                <w:kern w:val="0"/>
                <w:szCs w:val="21"/>
              </w:rPr>
            </w:pPr>
            <w:r>
              <w:rPr>
                <w:rFonts w:ascii="Times New Roman" w:hAnsi="Times New Roman" w:eastAsia="等线" w:cs="Times New Roman"/>
                <w:color w:val="000000"/>
                <w:szCs w:val="21"/>
              </w:rPr>
              <w:t>0.027</w:t>
            </w:r>
          </w:p>
        </w:tc>
        <w:tc>
          <w:tcPr>
            <w:tcW w:w="463" w:type="pct"/>
            <w:vAlign w:val="center"/>
          </w:tcPr>
          <w:p w14:paraId="60C2850A">
            <w:pPr>
              <w:widowControl/>
              <w:jc w:val="center"/>
              <w:textAlignment w:val="center"/>
              <w:rPr>
                <w:rFonts w:ascii="Times New Roman" w:hAnsi="Times New Roman" w:cs="Times New Roman"/>
                <w:kern w:val="0"/>
                <w:szCs w:val="21"/>
              </w:rPr>
            </w:pPr>
          </w:p>
        </w:tc>
        <w:tc>
          <w:tcPr>
            <w:tcW w:w="617" w:type="pct"/>
          </w:tcPr>
          <w:p w14:paraId="2176BC88">
            <w:pPr>
              <w:widowControl/>
              <w:jc w:val="center"/>
              <w:textAlignment w:val="center"/>
              <w:rPr>
                <w:rFonts w:ascii="Times New Roman" w:hAnsi="Times New Roman" w:cs="Times New Roman"/>
                <w:kern w:val="0"/>
                <w:szCs w:val="21"/>
              </w:rPr>
            </w:pPr>
          </w:p>
        </w:tc>
        <w:tc>
          <w:tcPr>
            <w:tcW w:w="564" w:type="pct"/>
            <w:vAlign w:val="center"/>
          </w:tcPr>
          <w:p w14:paraId="632B7676">
            <w:pPr>
              <w:widowControl/>
              <w:jc w:val="center"/>
              <w:textAlignment w:val="center"/>
              <w:rPr>
                <w:rFonts w:ascii="Times New Roman" w:hAnsi="Times New Roman" w:cs="Times New Roman"/>
                <w:kern w:val="0"/>
                <w:szCs w:val="21"/>
              </w:rPr>
            </w:pPr>
            <w:r>
              <w:rPr>
                <w:rFonts w:hint="eastAsia" w:ascii="Times New Roman" w:hAnsi="Times New Roman" w:cs="Times New Roman"/>
                <w:kern w:val="0"/>
                <w:szCs w:val="21"/>
              </w:rPr>
              <w:t>0.021</w:t>
            </w:r>
          </w:p>
        </w:tc>
        <w:tc>
          <w:tcPr>
            <w:tcW w:w="639" w:type="pct"/>
          </w:tcPr>
          <w:p w14:paraId="156C6A88">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0</w:t>
            </w:r>
          </w:p>
        </w:tc>
        <w:tc>
          <w:tcPr>
            <w:tcW w:w="711" w:type="pct"/>
          </w:tcPr>
          <w:p w14:paraId="7B3F98D4">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0.048</w:t>
            </w:r>
          </w:p>
        </w:tc>
        <w:tc>
          <w:tcPr>
            <w:tcW w:w="299" w:type="pct"/>
            <w:vAlign w:val="center"/>
          </w:tcPr>
          <w:p w14:paraId="51D6EA69">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r>
              <w:rPr>
                <w:rFonts w:hint="eastAsia" w:ascii="Times New Roman" w:hAnsi="Times New Roman" w:cs="Times New Roman"/>
                <w:kern w:val="0"/>
                <w:szCs w:val="21"/>
              </w:rPr>
              <w:t>0.021</w:t>
            </w:r>
          </w:p>
        </w:tc>
      </w:tr>
      <w:tr w14:paraId="749DDC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575" w:type="pct"/>
            <w:vAlign w:val="center"/>
          </w:tcPr>
          <w:p w14:paraId="3651E349">
            <w:pPr>
              <w:pStyle w:val="187"/>
              <w:spacing w:beforeLines="0" w:afterLines="0" w:line="240" w:lineRule="auto"/>
              <w:rPr>
                <w:rFonts w:ascii="Times New Roman" w:hAnsi="Times New Roman" w:cs="Times New Roman"/>
                <w:snapToGrid w:val="0"/>
                <w:kern w:val="21"/>
                <w:sz w:val="18"/>
                <w:szCs w:val="18"/>
              </w:rPr>
            </w:pPr>
            <w:r>
              <w:rPr>
                <w:rFonts w:ascii="Times New Roman" w:hAnsi="Times New Roman" w:cs="Times New Roman"/>
                <w:snapToGrid w:val="0"/>
                <w:kern w:val="21"/>
                <w:sz w:val="18"/>
                <w:szCs w:val="18"/>
              </w:rPr>
              <w:t>固体废物</w:t>
            </w:r>
          </w:p>
        </w:tc>
        <w:tc>
          <w:tcPr>
            <w:tcW w:w="513" w:type="pct"/>
            <w:vAlign w:val="center"/>
          </w:tcPr>
          <w:p w14:paraId="7E894ACC">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生活垃圾</w:t>
            </w:r>
          </w:p>
        </w:tc>
        <w:tc>
          <w:tcPr>
            <w:tcW w:w="617" w:type="pct"/>
            <w:vAlign w:val="center"/>
          </w:tcPr>
          <w:p w14:paraId="740767CC">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19.8</w:t>
            </w:r>
          </w:p>
        </w:tc>
        <w:tc>
          <w:tcPr>
            <w:tcW w:w="463" w:type="pct"/>
            <w:vAlign w:val="center"/>
          </w:tcPr>
          <w:p w14:paraId="5B25E855">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617" w:type="pct"/>
            <w:vAlign w:val="center"/>
          </w:tcPr>
          <w:p w14:paraId="584EDC05">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564" w:type="pct"/>
            <w:vAlign w:val="center"/>
          </w:tcPr>
          <w:p w14:paraId="645B8F2B">
            <w:pPr>
              <w:widowControl/>
              <w:jc w:val="center"/>
              <w:textAlignment w:val="center"/>
              <w:rPr>
                <w:rFonts w:ascii="Times New Roman" w:hAnsi="Times New Roman" w:cs="Times New Roman"/>
                <w:kern w:val="0"/>
                <w:szCs w:val="21"/>
              </w:rPr>
            </w:pPr>
            <w:r>
              <w:rPr>
                <w:rFonts w:ascii="Times New Roman" w:hAnsi="Times New Roman" w:eastAsia="等线" w:cs="Times New Roman"/>
                <w:color w:val="000000"/>
                <w:sz w:val="18"/>
                <w:szCs w:val="18"/>
              </w:rPr>
              <w:t>12.151</w:t>
            </w:r>
          </w:p>
        </w:tc>
        <w:tc>
          <w:tcPr>
            <w:tcW w:w="639" w:type="pct"/>
            <w:vAlign w:val="center"/>
          </w:tcPr>
          <w:p w14:paraId="27905F48">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0</w:t>
            </w:r>
          </w:p>
        </w:tc>
        <w:tc>
          <w:tcPr>
            <w:tcW w:w="711" w:type="pct"/>
            <w:vAlign w:val="center"/>
          </w:tcPr>
          <w:p w14:paraId="68A40DE4">
            <w:pPr>
              <w:widowControl/>
              <w:jc w:val="center"/>
              <w:textAlignment w:val="center"/>
              <w:rPr>
                <w:rFonts w:ascii="Times New Roman" w:hAnsi="Times New Roman" w:cs="Times New Roman"/>
                <w:kern w:val="0"/>
                <w:szCs w:val="21"/>
              </w:rPr>
            </w:pPr>
            <w:r>
              <w:rPr>
                <w:rFonts w:hint="eastAsia" w:ascii="Times New Roman" w:hAnsi="Times New Roman" w:cs="Times New Roman"/>
                <w:kern w:val="0"/>
                <w:szCs w:val="21"/>
              </w:rPr>
              <w:t>31.951</w:t>
            </w:r>
          </w:p>
        </w:tc>
        <w:tc>
          <w:tcPr>
            <w:tcW w:w="299" w:type="pct"/>
            <w:vAlign w:val="center"/>
          </w:tcPr>
          <w:p w14:paraId="78B5E1A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r>
      <w:tr w14:paraId="156335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575" w:type="pct"/>
            <w:vAlign w:val="center"/>
          </w:tcPr>
          <w:p w14:paraId="672942CD">
            <w:pPr>
              <w:pStyle w:val="187"/>
              <w:spacing w:beforeLines="0" w:afterLines="0" w:line="240" w:lineRule="auto"/>
              <w:rPr>
                <w:rFonts w:ascii="Times New Roman" w:hAnsi="Times New Roman" w:cs="Times New Roman"/>
                <w:snapToGrid w:val="0"/>
                <w:kern w:val="21"/>
                <w:sz w:val="18"/>
                <w:szCs w:val="18"/>
              </w:rPr>
            </w:pPr>
          </w:p>
        </w:tc>
        <w:tc>
          <w:tcPr>
            <w:tcW w:w="513" w:type="pct"/>
            <w:vAlign w:val="center"/>
          </w:tcPr>
          <w:p w14:paraId="34F4A916">
            <w:pPr>
              <w:widowControl/>
              <w:jc w:val="center"/>
              <w:textAlignment w:val="center"/>
              <w:rPr>
                <w:rFonts w:ascii="Times New Roman" w:hAnsi="Times New Roman" w:cs="Times New Roman"/>
                <w:kern w:val="0"/>
                <w:szCs w:val="21"/>
              </w:rPr>
            </w:pPr>
            <w:r>
              <w:rPr>
                <w:rFonts w:hint="eastAsia" w:ascii="Times New Roman" w:hAnsi="Times New Roman" w:cs="Times New Roman"/>
                <w:kern w:val="0"/>
                <w:szCs w:val="21"/>
              </w:rPr>
              <w:t>一般固废</w:t>
            </w:r>
          </w:p>
        </w:tc>
        <w:tc>
          <w:tcPr>
            <w:tcW w:w="617" w:type="pct"/>
            <w:vAlign w:val="center"/>
          </w:tcPr>
          <w:p w14:paraId="29077913">
            <w:pPr>
              <w:widowControl/>
              <w:jc w:val="center"/>
              <w:textAlignment w:val="center"/>
              <w:rPr>
                <w:rFonts w:ascii="Times New Roman" w:hAnsi="Times New Roman" w:cs="Times New Roman"/>
                <w:kern w:val="0"/>
                <w:szCs w:val="21"/>
              </w:rPr>
            </w:pPr>
            <w:r>
              <w:rPr>
                <w:rFonts w:hint="eastAsia" w:ascii="Times New Roman" w:hAnsi="Times New Roman" w:cs="Times New Roman"/>
                <w:kern w:val="0"/>
                <w:szCs w:val="21"/>
              </w:rPr>
              <w:t>8</w:t>
            </w:r>
            <w:r>
              <w:rPr>
                <w:rFonts w:ascii="Times New Roman" w:hAnsi="Times New Roman" w:cs="Times New Roman"/>
                <w:kern w:val="0"/>
                <w:szCs w:val="21"/>
              </w:rPr>
              <w:t>.25</w:t>
            </w:r>
          </w:p>
        </w:tc>
        <w:tc>
          <w:tcPr>
            <w:tcW w:w="463" w:type="pct"/>
            <w:vAlign w:val="center"/>
          </w:tcPr>
          <w:p w14:paraId="1EBC9DB4">
            <w:pPr>
              <w:widowControl/>
              <w:jc w:val="center"/>
              <w:textAlignment w:val="center"/>
              <w:rPr>
                <w:rFonts w:ascii="Times New Roman" w:hAnsi="Times New Roman" w:cs="Times New Roman"/>
                <w:kern w:val="0"/>
                <w:szCs w:val="21"/>
              </w:rPr>
            </w:pPr>
          </w:p>
        </w:tc>
        <w:tc>
          <w:tcPr>
            <w:tcW w:w="617" w:type="pct"/>
            <w:vAlign w:val="center"/>
          </w:tcPr>
          <w:p w14:paraId="44FAC706">
            <w:pPr>
              <w:widowControl/>
              <w:jc w:val="center"/>
              <w:textAlignment w:val="center"/>
              <w:rPr>
                <w:rFonts w:ascii="Times New Roman" w:hAnsi="Times New Roman" w:cs="Times New Roman"/>
                <w:kern w:val="0"/>
                <w:szCs w:val="21"/>
              </w:rPr>
            </w:pPr>
          </w:p>
        </w:tc>
        <w:tc>
          <w:tcPr>
            <w:tcW w:w="564" w:type="pct"/>
            <w:vAlign w:val="center"/>
          </w:tcPr>
          <w:p w14:paraId="63B219B4">
            <w:pPr>
              <w:widowControl/>
              <w:jc w:val="center"/>
              <w:textAlignment w:val="center"/>
              <w:rPr>
                <w:rFonts w:ascii="Times New Roman" w:hAnsi="Times New Roman" w:cs="Times New Roman"/>
                <w:kern w:val="0"/>
                <w:szCs w:val="21"/>
              </w:rPr>
            </w:pPr>
            <w:r>
              <w:rPr>
                <w:rFonts w:ascii="Times New Roman" w:hAnsi="Times New Roman" w:eastAsia="等线" w:cs="Times New Roman"/>
                <w:color w:val="000000"/>
                <w:sz w:val="18"/>
                <w:szCs w:val="18"/>
              </w:rPr>
              <w:t>21</w:t>
            </w:r>
          </w:p>
        </w:tc>
        <w:tc>
          <w:tcPr>
            <w:tcW w:w="639" w:type="pct"/>
            <w:vAlign w:val="center"/>
          </w:tcPr>
          <w:p w14:paraId="4290F724">
            <w:pPr>
              <w:widowControl/>
              <w:jc w:val="center"/>
              <w:textAlignment w:val="center"/>
              <w:rPr>
                <w:rFonts w:ascii="Times New Roman" w:hAnsi="Times New Roman" w:cs="Times New Roman"/>
                <w:kern w:val="0"/>
                <w:szCs w:val="21"/>
              </w:rPr>
            </w:pPr>
          </w:p>
        </w:tc>
        <w:tc>
          <w:tcPr>
            <w:tcW w:w="711" w:type="pct"/>
            <w:vAlign w:val="center"/>
          </w:tcPr>
          <w:p w14:paraId="4E65F75E">
            <w:pPr>
              <w:widowControl/>
              <w:jc w:val="center"/>
              <w:textAlignment w:val="center"/>
              <w:rPr>
                <w:rFonts w:ascii="Times New Roman" w:hAnsi="Times New Roman" w:cs="Times New Roman"/>
                <w:kern w:val="0"/>
                <w:szCs w:val="21"/>
              </w:rPr>
            </w:pPr>
            <w:r>
              <w:rPr>
                <w:rFonts w:hint="eastAsia" w:ascii="Times New Roman" w:hAnsi="Times New Roman" w:cs="Times New Roman"/>
                <w:kern w:val="0"/>
                <w:szCs w:val="21"/>
              </w:rPr>
              <w:t>29.25</w:t>
            </w:r>
          </w:p>
        </w:tc>
        <w:tc>
          <w:tcPr>
            <w:tcW w:w="299" w:type="pct"/>
            <w:vAlign w:val="center"/>
          </w:tcPr>
          <w:p w14:paraId="38CFC271">
            <w:pPr>
              <w:widowControl/>
              <w:jc w:val="center"/>
              <w:textAlignment w:val="center"/>
              <w:rPr>
                <w:rFonts w:ascii="Times New Roman" w:hAnsi="Times New Roman" w:cs="Times New Roman"/>
                <w:kern w:val="0"/>
                <w:szCs w:val="21"/>
              </w:rPr>
            </w:pPr>
          </w:p>
        </w:tc>
      </w:tr>
      <w:tr w14:paraId="3A9620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575" w:type="pct"/>
            <w:vAlign w:val="center"/>
          </w:tcPr>
          <w:p w14:paraId="19F90E4C">
            <w:pPr>
              <w:pStyle w:val="187"/>
              <w:spacing w:beforeLines="0" w:afterLines="0" w:line="240" w:lineRule="auto"/>
              <w:rPr>
                <w:rFonts w:ascii="Times New Roman" w:hAnsi="Times New Roman" w:cs="Times New Roman"/>
                <w:snapToGrid w:val="0"/>
                <w:kern w:val="21"/>
                <w:sz w:val="18"/>
                <w:szCs w:val="18"/>
              </w:rPr>
            </w:pPr>
          </w:p>
        </w:tc>
        <w:tc>
          <w:tcPr>
            <w:tcW w:w="513" w:type="pct"/>
            <w:vAlign w:val="center"/>
          </w:tcPr>
          <w:p w14:paraId="02A64A03">
            <w:pPr>
              <w:widowControl/>
              <w:jc w:val="center"/>
              <w:textAlignment w:val="center"/>
              <w:rPr>
                <w:rFonts w:ascii="Times New Roman" w:hAnsi="Times New Roman" w:cs="Times New Roman"/>
                <w:kern w:val="0"/>
                <w:szCs w:val="21"/>
              </w:rPr>
            </w:pPr>
            <w:r>
              <w:rPr>
                <w:rFonts w:hint="eastAsia" w:ascii="Times New Roman" w:hAnsi="Times New Roman" w:cs="Times New Roman"/>
                <w:kern w:val="0"/>
                <w:szCs w:val="21"/>
              </w:rPr>
              <w:t>危废</w:t>
            </w:r>
          </w:p>
        </w:tc>
        <w:tc>
          <w:tcPr>
            <w:tcW w:w="617" w:type="pct"/>
            <w:vAlign w:val="center"/>
          </w:tcPr>
          <w:p w14:paraId="407204BF">
            <w:pPr>
              <w:widowControl/>
              <w:jc w:val="center"/>
              <w:textAlignment w:val="center"/>
              <w:rPr>
                <w:rFonts w:ascii="Times New Roman" w:hAnsi="Times New Roman" w:cs="Times New Roman"/>
                <w:kern w:val="0"/>
                <w:szCs w:val="21"/>
              </w:rPr>
            </w:pPr>
            <w:r>
              <w:rPr>
                <w:rFonts w:hint="eastAsia" w:ascii="Times New Roman" w:hAnsi="Times New Roman" w:cs="Times New Roman"/>
                <w:kern w:val="0"/>
                <w:szCs w:val="21"/>
              </w:rPr>
              <w:t>5</w:t>
            </w:r>
            <w:r>
              <w:rPr>
                <w:rFonts w:ascii="Times New Roman" w:hAnsi="Times New Roman" w:cs="Times New Roman"/>
                <w:kern w:val="0"/>
                <w:szCs w:val="21"/>
              </w:rPr>
              <w:t>.9</w:t>
            </w:r>
          </w:p>
        </w:tc>
        <w:tc>
          <w:tcPr>
            <w:tcW w:w="463" w:type="pct"/>
            <w:vAlign w:val="center"/>
          </w:tcPr>
          <w:p w14:paraId="712CDAF1">
            <w:pPr>
              <w:widowControl/>
              <w:jc w:val="center"/>
              <w:textAlignment w:val="center"/>
              <w:rPr>
                <w:rFonts w:ascii="Times New Roman" w:hAnsi="Times New Roman" w:cs="Times New Roman"/>
                <w:kern w:val="0"/>
                <w:szCs w:val="21"/>
              </w:rPr>
            </w:pPr>
          </w:p>
        </w:tc>
        <w:tc>
          <w:tcPr>
            <w:tcW w:w="617" w:type="pct"/>
            <w:vAlign w:val="center"/>
          </w:tcPr>
          <w:p w14:paraId="60D8524D">
            <w:pPr>
              <w:widowControl/>
              <w:jc w:val="center"/>
              <w:textAlignment w:val="center"/>
              <w:rPr>
                <w:rFonts w:ascii="Times New Roman" w:hAnsi="Times New Roman" w:cs="Times New Roman"/>
                <w:kern w:val="0"/>
                <w:szCs w:val="21"/>
              </w:rPr>
            </w:pPr>
          </w:p>
        </w:tc>
        <w:tc>
          <w:tcPr>
            <w:tcW w:w="564" w:type="pct"/>
            <w:vAlign w:val="center"/>
          </w:tcPr>
          <w:p w14:paraId="65DA2C76">
            <w:pPr>
              <w:widowControl/>
              <w:jc w:val="center"/>
              <w:textAlignment w:val="center"/>
              <w:rPr>
                <w:rFonts w:ascii="Times New Roman" w:hAnsi="Times New Roman" w:cs="Times New Roman"/>
                <w:kern w:val="0"/>
                <w:szCs w:val="21"/>
              </w:rPr>
            </w:pPr>
            <w:r>
              <w:rPr>
                <w:rFonts w:ascii="Times New Roman" w:hAnsi="Times New Roman" w:eastAsia="等线" w:cs="Times New Roman"/>
                <w:color w:val="000000"/>
                <w:sz w:val="18"/>
                <w:szCs w:val="18"/>
              </w:rPr>
              <w:t>2.8</w:t>
            </w:r>
          </w:p>
        </w:tc>
        <w:tc>
          <w:tcPr>
            <w:tcW w:w="639" w:type="pct"/>
            <w:vAlign w:val="center"/>
          </w:tcPr>
          <w:p w14:paraId="7DE8988F">
            <w:pPr>
              <w:widowControl/>
              <w:jc w:val="center"/>
              <w:textAlignment w:val="center"/>
              <w:rPr>
                <w:rFonts w:ascii="Times New Roman" w:hAnsi="Times New Roman" w:cs="Times New Roman"/>
                <w:kern w:val="0"/>
                <w:szCs w:val="21"/>
              </w:rPr>
            </w:pPr>
          </w:p>
        </w:tc>
        <w:tc>
          <w:tcPr>
            <w:tcW w:w="711" w:type="pct"/>
            <w:vAlign w:val="center"/>
          </w:tcPr>
          <w:p w14:paraId="5F31A327">
            <w:pPr>
              <w:widowControl/>
              <w:jc w:val="center"/>
              <w:textAlignment w:val="center"/>
              <w:rPr>
                <w:rFonts w:ascii="Times New Roman" w:hAnsi="Times New Roman" w:cs="Times New Roman"/>
                <w:kern w:val="0"/>
                <w:szCs w:val="21"/>
              </w:rPr>
            </w:pPr>
            <w:r>
              <w:rPr>
                <w:rFonts w:hint="eastAsia" w:ascii="Times New Roman" w:hAnsi="Times New Roman" w:cs="Times New Roman"/>
                <w:kern w:val="0"/>
                <w:szCs w:val="21"/>
              </w:rPr>
              <w:t>8.7</w:t>
            </w:r>
          </w:p>
        </w:tc>
        <w:tc>
          <w:tcPr>
            <w:tcW w:w="299" w:type="pct"/>
            <w:vAlign w:val="center"/>
          </w:tcPr>
          <w:p w14:paraId="0E4CFD17">
            <w:pPr>
              <w:widowControl/>
              <w:jc w:val="center"/>
              <w:textAlignment w:val="center"/>
              <w:rPr>
                <w:rFonts w:ascii="Times New Roman" w:hAnsi="Times New Roman" w:cs="Times New Roman"/>
                <w:kern w:val="0"/>
                <w:szCs w:val="21"/>
              </w:rPr>
            </w:pPr>
          </w:p>
        </w:tc>
      </w:tr>
    </w:tbl>
    <w:p w14:paraId="2C72D425">
      <w:pPr>
        <w:tabs>
          <w:tab w:val="left" w:pos="864"/>
        </w:tabs>
        <w:spacing w:line="2" w:lineRule="atLeast"/>
        <w:rPr>
          <w:rFonts w:ascii="Times New Roman" w:hAnsi="Times New Roman" w:cs="Times New Roman"/>
        </w:rPr>
        <w:sectPr>
          <w:footerReference r:id="rId6" w:type="default"/>
          <w:pgSz w:w="16838" w:h="11906" w:orient="landscape"/>
          <w:pgMar w:top="1701" w:right="1531" w:bottom="1701" w:left="1531" w:header="851" w:footer="851" w:gutter="0"/>
          <w:cols w:space="720" w:num="1"/>
          <w:docGrid w:linePitch="312" w:charSpace="0"/>
        </w:sectPr>
      </w:pPr>
    </w:p>
    <w:p w14:paraId="4C414EFB">
      <w:pPr>
        <w:spacing w:line="360" w:lineRule="auto"/>
        <w:rPr>
          <w:rFonts w:ascii="Times New Roman" w:hAnsi="Times New Roman" w:cs="Times New Roman"/>
          <w:sz w:val="24"/>
        </w:rPr>
      </w:pPr>
      <w:r>
        <w:drawing>
          <wp:inline distT="0" distB="0" distL="0" distR="0">
            <wp:extent cx="5615940" cy="6148705"/>
            <wp:effectExtent l="0" t="0" r="381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2"/>
                    <a:stretch>
                      <a:fillRect/>
                    </a:stretch>
                  </pic:blipFill>
                  <pic:spPr>
                    <a:xfrm>
                      <a:off x="0" y="0"/>
                      <a:ext cx="5615940" cy="6148705"/>
                    </a:xfrm>
                    <a:prstGeom prst="rect">
                      <a:avLst/>
                    </a:prstGeom>
                  </pic:spPr>
                </pic:pic>
              </a:graphicData>
            </a:graphic>
          </wp:inline>
        </w:drawing>
      </w:r>
    </w:p>
    <w:sectPr>
      <w:footerReference r:id="rId7" w:type="default"/>
      <w:pgSz w:w="11906" w:h="16838"/>
      <w:pgMar w:top="1701" w:right="1531" w:bottom="1701" w:left="153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7BD59E2-DA72-4FA9-97E6-CECA6B854E6E}"/>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Symusic">
    <w:altName w:val="Segoe Print"/>
    <w:panose1 w:val="00000400000000000000"/>
    <w:charset w:val="00"/>
    <w:family w:val="auto"/>
    <w:pitch w:val="default"/>
    <w:sig w:usb0="00000000" w:usb1="00000000" w:usb2="00000000" w:usb3="00000000" w:csb0="000001FF" w:csb1="00000000"/>
  </w:font>
  <w:font w:name="Segoe Print">
    <w:panose1 w:val="02000600000000000000"/>
    <w:charset w:val="00"/>
    <w:family w:val="auto"/>
    <w:pitch w:val="default"/>
    <w:sig w:usb0="0000028F" w:usb1="00000000" w:usb2="00000000" w:usb3="00000000" w:csb0="2000009F" w:csb1="47010000"/>
  </w:font>
  <w:font w:name="Arial Narrow">
    <w:altName w:val="Arial"/>
    <w:panose1 w:val="020B0606020202030204"/>
    <w:charset w:val="00"/>
    <w:family w:val="swiss"/>
    <w:pitch w:val="default"/>
    <w:sig w:usb0="00000000" w:usb1="00000000" w:usb2="00000000" w:usb3="00000000" w:csb0="0000009F" w:csb1="00000000"/>
  </w:font>
  <w:font w:name="仿宋_GB2312">
    <w:panose1 w:val="02010609030101010101"/>
    <w:charset w:val="86"/>
    <w:family w:val="modern"/>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embedRegular r:id="rId2" w:fontKey="{6C87BCD8-6C04-4BE5-843B-6C360E545DD3}"/>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 w:name="Dutch801 Rm BT">
    <w:altName w:val="Times New Roman"/>
    <w:panose1 w:val="02020603060505020304"/>
    <w:charset w:val="00"/>
    <w:family w:val="roman"/>
    <w:pitch w:val="default"/>
    <w:sig w:usb0="00000000" w:usb1="00000000" w:usb2="00000000" w:usb3="00000000" w:csb0="0000001B" w:csb1="00000000"/>
  </w:font>
  <w:font w:name="Calibri Light">
    <w:panose1 w:val="020F0302020204030204"/>
    <w:charset w:val="00"/>
    <w:family w:val="swiss"/>
    <w:pitch w:val="default"/>
    <w:sig w:usb0="A00002EF" w:usb1="4000207B" w:usb2="00000000"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Arial Black">
    <w:panose1 w:val="020B0A04020102020204"/>
    <w:charset w:val="00"/>
    <w:family w:val="swiss"/>
    <w:pitch w:val="default"/>
    <w:sig w:usb0="00000287"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003F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华文行楷">
    <w:altName w:val="微软雅黑"/>
    <w:panose1 w:val="02010800040101010101"/>
    <w:charset w:val="86"/>
    <w:family w:val="auto"/>
    <w:pitch w:val="default"/>
    <w:sig w:usb0="00000000" w:usb1="00000000" w:usb2="00000010" w:usb3="00000000" w:csb0="00040000" w:csb1="00000000"/>
  </w:font>
  <w:font w:name="CommercialPi BT">
    <w:altName w:val="Symbol"/>
    <w:panose1 w:val="05020102010206080802"/>
    <w:charset w:val="02"/>
    <w:family w:val="roman"/>
    <w:pitch w:val="default"/>
    <w:sig w:usb0="00000000" w:usb1="00000000" w:usb2="00000000" w:usb3="00000000" w:csb0="80000000" w:csb1="00000000"/>
  </w:font>
  <w:font w:name="隶书">
    <w:altName w:val="微软雅黑"/>
    <w:panose1 w:val="02010509060101010101"/>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MT Extra">
    <w:panose1 w:val="05050102010205020202"/>
    <w:charset w:val="02"/>
    <w:family w:val="roman"/>
    <w:pitch w:val="default"/>
    <w:sig w:usb0="80000000" w:usb1="00000000" w:usb2="00000000" w:usb3="00000000" w:csb0="00000000" w:csb1="00000000"/>
  </w:font>
  <w:font w:name="新宋体">
    <w:panose1 w:val="02010609030101010101"/>
    <w:charset w:val="86"/>
    <w:family w:val="modern"/>
    <w:pitch w:val="default"/>
    <w:sig w:usb0="00000003" w:usb1="288F0000" w:usb2="00000006" w:usb3="00000000" w:csb0="00040001" w:csb1="00000000"/>
  </w:font>
  <w:font w:name="”“Times New Roman”“">
    <w:altName w:val="宋体"/>
    <w:panose1 w:val="00000000000000000000"/>
    <w:charset w:val="86"/>
    <w:family w:val="roman"/>
    <w:pitch w:val="default"/>
    <w:sig w:usb0="00000000" w:usb1="00000000" w:usb2="00000010" w:usb3="00000000" w:csb0="00040000" w:csb1="00000000"/>
  </w:font>
  <w:font w:name="幼圆">
    <w:altName w:val="宋体"/>
    <w:panose1 w:val="02010509060101010101"/>
    <w:charset w:val="86"/>
    <w:family w:val="modern"/>
    <w:pitch w:val="default"/>
    <w:sig w:usb0="00000000" w:usb1="00000000" w:usb2="00000010" w:usb3="00000000" w:csb0="00040000" w:csb1="00000000"/>
  </w:font>
  <w:font w:name="Garamond">
    <w:altName w:val="PMingLiU-ExtB"/>
    <w:panose1 w:val="02020404030301010803"/>
    <w:charset w:val="00"/>
    <w:family w:val="roman"/>
    <w:pitch w:val="default"/>
    <w:sig w:usb0="00000000" w:usb1="00000000" w:usb2="00000000" w:usb3="00000000" w:csb0="0000009F" w:csb1="00000000"/>
  </w:font>
  <w:font w:name="PMingLiU-ExtB">
    <w:panose1 w:val="02020500000000000000"/>
    <w:charset w:val="88"/>
    <w:family w:val="auto"/>
    <w:pitch w:val="default"/>
    <w:sig w:usb0="8000002F" w:usb1="02000008" w:usb2="00000000" w:usb3="00000000" w:csb0="00100001" w:csb1="00000000"/>
  </w:font>
  <w:font w:name="仿宋体">
    <w:altName w:val="宋体"/>
    <w:panose1 w:val="00000000000000000000"/>
    <w:charset w:val="86"/>
    <w:family w:val="roman"/>
    <w:pitch w:val="default"/>
    <w:sig w:usb0="00000000" w:usb1="00000000" w:usb2="00000010" w:usb3="00000000" w:csb0="00040001" w:csb1="00000000"/>
  </w:font>
  <w:font w:name="华文宋体">
    <w:altName w:val="宋体"/>
    <w:panose1 w:val="02010600040101010101"/>
    <w:charset w:val="86"/>
    <w:family w:val="auto"/>
    <w:pitch w:val="default"/>
    <w:sig w:usb0="00000000" w:usb1="00000000" w:usb2="00000010" w:usb3="00000000" w:csb0="0004009F" w:csb1="00000000"/>
  </w:font>
  <w:font w:name="宋体繁体">
    <w:altName w:val="宋体"/>
    <w:panose1 w:val="00000000000000000000"/>
    <w:charset w:val="86"/>
    <w:family w:val="roman"/>
    <w:pitch w:val="default"/>
    <w:sig w:usb0="00000000" w:usb1="00000000" w:usb2="00000010" w:usb3="00000000" w:csb0="00040000" w:csb1="00000000"/>
  </w:font>
  <w:font w:name="五">
    <w:altName w:val="黑体"/>
    <w:panose1 w:val="00000000000000000000"/>
    <w:charset w:val="86"/>
    <w:family w:val="auto"/>
    <w:pitch w:val="default"/>
    <w:sig w:usb0="00000000" w:usb1="00000000" w:usb2="00000010" w:usb3="00000000" w:csb0="00040000" w:csb1="00000000"/>
  </w:font>
  <w:font w:name="Batang">
    <w:panose1 w:val="02030600000101010101"/>
    <w:charset w:val="81"/>
    <w:family w:val="auto"/>
    <w:pitch w:val="default"/>
    <w:sig w:usb0="B00002AF" w:usb1="69D77CFB" w:usb2="00000030" w:usb3="00000000" w:csb0="4008009F" w:csb1="DFD70000"/>
  </w:font>
  <w:font w:name="TimesNewRomanPSMT">
    <w:altName w:val="宋体"/>
    <w:panose1 w:val="00000000000000000000"/>
    <w:charset w:val="00"/>
    <w:family w:val="roman"/>
    <w:pitch w:val="default"/>
    <w:sig w:usb0="00000000" w:usb1="00000000" w:usb2="00000010" w:usb3="00000000" w:csb0="00020001" w:csb1="00000000"/>
  </w:font>
  <w:font w:name="Times">
    <w:altName w:val="Times New Roman"/>
    <w:panose1 w:val="02020603050405020304"/>
    <w:charset w:val="00"/>
    <w:family w:val="roman"/>
    <w:pitch w:val="default"/>
    <w:sig w:usb0="00000000" w:usb1="00000000" w:usb2="00000009" w:usb3="00000000" w:csb0="000001FF" w:csb1="00000000"/>
  </w:font>
  <w:font w:name="Tms Rmn">
    <w:altName w:val="Segoe Print"/>
    <w:panose1 w:val="02020603040505020304"/>
    <w:charset w:val="00"/>
    <w:family w:val="roman"/>
    <w:pitch w:val="default"/>
    <w:sig w:usb0="00000000" w:usb1="00000000" w:usb2="00000000" w:usb3="00000000" w:csb0="00000001" w:csb1="00000000"/>
  </w:font>
  <w:font w:name="@宋体">
    <w:panose1 w:val="02010600030101010101"/>
    <w:charset w:val="86"/>
    <w:family w:val="auto"/>
    <w:pitch w:val="default"/>
    <w:sig w:usb0="00000003" w:usb1="288F0000" w:usb2="00000006" w:usb3="00000000" w:csb0="00040001" w:csb1="00000000"/>
  </w:font>
  <w:font w:name="华文细黑">
    <w:altName w:val="微软雅黑"/>
    <w:panose1 w:val="02010600040101010101"/>
    <w:charset w:val="86"/>
    <w:family w:val="auto"/>
    <w:pitch w:val="default"/>
    <w:sig w:usb0="00000000" w:usb1="00000000" w:usb2="00000010" w:usb3="00000000" w:csb0="0004009F" w:csb1="00000000"/>
  </w:font>
  <w:font w:name="MS Mincho">
    <w:panose1 w:val="02020609040205080304"/>
    <w:charset w:val="80"/>
    <w:family w:val="roman"/>
    <w:pitch w:val="default"/>
    <w:sig w:usb0="E00002FF" w:usb1="6AC7FDFB" w:usb2="00000012" w:usb3="00000000" w:csb0="4002009F" w:csb1="DFD70000"/>
  </w:font>
  <w:font w:name="华文新魏">
    <w:altName w:val="宋体"/>
    <w:panose1 w:val="02010800040101010101"/>
    <w:charset w:val="86"/>
    <w:family w:val="auto"/>
    <w:pitch w:val="default"/>
    <w:sig w:usb0="00000000" w:usb1="00000000" w:usb2="00000010" w:usb3="00000000" w:csb0="00040000" w:csb1="00000000"/>
  </w:font>
  <w:font w:name="Book Antiqua">
    <w:altName w:val="Segoe Print"/>
    <w:panose1 w:val="02040602050305030304"/>
    <w:charset w:val="00"/>
    <w:family w:val="roman"/>
    <w:pitch w:val="default"/>
    <w:sig w:usb0="00000000" w:usb1="00000000" w:usb2="00000000" w:usb3="00000000" w:csb0="0000009F" w:csb1="00000000"/>
  </w:font>
  <w:font w:name="TimesNewRoman">
    <w:altName w:val="Times New Roman"/>
    <w:panose1 w:val="00000000000000000000"/>
    <w:charset w:val="00"/>
    <w:family w:val="auto"/>
    <w:pitch w:val="default"/>
    <w:sig w:usb0="00000000" w:usb1="00000000" w:usb2="00000010" w:usb3="00000000" w:csb0="00040001" w:csb1="00000000"/>
  </w:font>
  <w:font w:name="CG Times (W1)">
    <w:altName w:val="Times New Roman"/>
    <w:panose1 w:val="00000000000000000000"/>
    <w:charset w:val="01"/>
    <w:family w:val="roman"/>
    <w:pitch w:val="default"/>
    <w:sig w:usb0="00000000" w:usb1="00000000" w:usb2="00000000" w:usb3="00000000" w:csb0="00000001" w:csb1="00000000"/>
  </w:font>
  <w:font w:name="_GB2312">
    <w:altName w:val="Times New Roman"/>
    <w:panose1 w:val="00000000000000000000"/>
    <w:charset w:val="00"/>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embedRegular r:id="rId3" w:fontKey="{66294E92-5A4D-404A-94D5-790179F3301E}"/>
  </w:font>
  <w:font w:name="方正魏碑简体">
    <w:altName w:val="宋体"/>
    <w:panose1 w:val="00000000000000000000"/>
    <w:charset w:val="86"/>
    <w:family w:val="auto"/>
    <w:pitch w:val="default"/>
    <w:sig w:usb0="00000000" w:usb1="00000000" w:usb2="00000010" w:usb3="00000000" w:csb0="00040000" w:csb1="00000000"/>
  </w:font>
  <w:font w:name="Century">
    <w:altName w:val="Nyala"/>
    <w:panose1 w:val="02040604050505020304"/>
    <w:charset w:val="00"/>
    <w:family w:val="roman"/>
    <w:pitch w:val="default"/>
    <w:sig w:usb0="00000000" w:usb1="00000000" w:usb2="00000000" w:usb3="00000000" w:csb0="0000009F" w:csb1="00000000"/>
  </w:font>
  <w:font w:name="Nyala">
    <w:panose1 w:val="02000504070300020003"/>
    <w:charset w:val="00"/>
    <w:family w:val="auto"/>
    <w:pitch w:val="default"/>
    <w:sig w:usb0="A000006F" w:usb1="00000000" w:usb2="00000800" w:usb3="00000000" w:csb0="00000093" w:csb1="00000000"/>
  </w:font>
  <w:font w:name="Arial Rounded MT Bold">
    <w:altName w:val="Arial"/>
    <w:panose1 w:val="020F0704030504030204"/>
    <w:charset w:val="00"/>
    <w:family w:val="swiss"/>
    <w:pitch w:val="default"/>
    <w:sig w:usb0="00000000" w:usb1="00000000" w:usb2="00000000" w:usb3="00000000" w:csb0="00000001" w:csb1="00000000"/>
  </w:font>
  <w:font w:name="Century Schoolbook">
    <w:altName w:val="Segoe Print"/>
    <w:panose1 w:val="02040604050505020304"/>
    <w:charset w:val="00"/>
    <w:family w:val="roman"/>
    <w:pitch w:val="default"/>
    <w:sig w:usb0="00000000" w:usb1="00000000" w:usb2="00000000" w:usb3="00000000" w:csb0="0000009F" w:csb1="00000000"/>
  </w:font>
  <w:font w:name="Kai Titling">
    <w:altName w:val="黑体"/>
    <w:panose1 w:val="00000000000000000000"/>
    <w:charset w:val="86"/>
    <w:family w:val="auto"/>
    <w:pitch w:val="default"/>
    <w:sig w:usb0="00000000" w:usb1="00000000" w:usb2="00000010" w:usb3="00000000" w:csb0="00040000" w:csb1="00000000"/>
  </w:font>
  <w:font w:name="ӗԲ">
    <w:altName w:val="Times New Roman"/>
    <w:panose1 w:val="00000000000000000000"/>
    <w:charset w:val="00"/>
    <w:family w:val="auto"/>
    <w:pitch w:val="default"/>
    <w:sig w:usb0="00000000" w:usb1="00000000" w:usb2="00000000" w:usb3="00000000" w:csb0="00040001" w:csb1="00000000"/>
  </w:font>
  <w:font w:name="򌘺ڢ,  ڌ墬 ˎ̥">
    <w:altName w:val="宋体"/>
    <w:panose1 w:val="00000000000000000000"/>
    <w:charset w:val="86"/>
    <w:family w:val="auto"/>
    <w:pitch w:val="default"/>
    <w:sig w:usb0="00000000" w:usb1="00000000" w:usb2="00000010" w:usb3="00000000" w:csb0="00040000" w:csb1="00000000"/>
  </w:font>
  <w:font w:name="MingLiU">
    <w:panose1 w:val="02020509000000000000"/>
    <w:charset w:val="88"/>
    <w:family w:val="modern"/>
    <w:pitch w:val="default"/>
    <w:sig w:usb0="A00002FF" w:usb1="28CFFCFA" w:usb2="00000016" w:usb3="00000000" w:csb0="00100001" w:csb1="00000000"/>
  </w:font>
  <w:font w:name="Microsoft Sans Serif">
    <w:panose1 w:val="020B0604020202020204"/>
    <w:charset w:val="00"/>
    <w:family w:val="swiss"/>
    <w:pitch w:val="default"/>
    <w:sig w:usb0="E1002AFF" w:usb1="C0000002" w:usb2="00000008" w:usb3="00000000" w:csb0="200101FF" w:csb1="20280000"/>
  </w:font>
  <w:font w:name="华文仿宋">
    <w:altName w:val="仿宋"/>
    <w:panose1 w:val="02010600040101010101"/>
    <w:charset w:val="86"/>
    <w:family w:val="auto"/>
    <w:pitch w:val="default"/>
    <w:sig w:usb0="00000000" w:usb1="00000000" w:usb2="00000010" w:usb3="00000000" w:csb0="0004009F" w:csb1="00000000"/>
  </w:font>
  <w:font w:name="方正小标宋简体">
    <w:altName w:val="微软雅黑"/>
    <w:panose1 w:val="00000000000000000000"/>
    <w:charset w:val="86"/>
    <w:family w:val="auto"/>
    <w:pitch w:val="default"/>
    <w:sig w:usb0="00000000" w:usb1="00000000" w:usb2="00000012" w:usb3="00000000" w:csb0="00040001" w:csb1="00000000"/>
  </w:font>
  <w:font w:name="方正仿宋简体">
    <w:altName w:val="微软雅黑"/>
    <w:panose1 w:val="00000000000000000000"/>
    <w:charset w:val="86"/>
    <w:family w:val="auto"/>
    <w:pitch w:val="default"/>
    <w:sig w:usb0="00000000" w:usb1="00000000" w:usb2="00000012" w:usb3="00000000" w:csb0="00040001" w:csb1="00000000"/>
  </w:font>
  <w:font w:name="方正黑体简体">
    <w:panose1 w:val="02000000000000000000"/>
    <w:charset w:val="86"/>
    <w:family w:val="auto"/>
    <w:pitch w:val="default"/>
    <w:sig w:usb0="A00002BF" w:usb1="184F6CFA" w:usb2="00000012" w:usb3="00000000" w:csb0="00040001" w:csb1="00000000"/>
  </w:font>
  <w:font w:name="昆仑黑体">
    <w:altName w:val="黑体"/>
    <w:panose1 w:val="00000000000000000000"/>
    <w:charset w:val="86"/>
    <w:family w:val="modern"/>
    <w:pitch w:val="default"/>
    <w:sig w:usb0="00000000" w:usb1="00000000" w:usb2="00000010" w:usb3="00000000" w:csb0="00040000" w:csb1="00000000"/>
  </w:font>
  <w:font w:name="Sim Sun">
    <w:altName w:val="黑体"/>
    <w:panose1 w:val="00000000000000000000"/>
    <w:charset w:val="86"/>
    <w:family w:val="roman"/>
    <w:pitch w:val="default"/>
    <w:sig w:usb0="00000000" w:usb1="00000000" w:usb2="00000010" w:usb3="00000000" w:csb0="00040000" w:csb1="00000000"/>
  </w:font>
  <w:font w:name="華康中楷體">
    <w:altName w:val="Microsoft JhengHei"/>
    <w:panose1 w:val="00000000000000000000"/>
    <w:charset w:val="88"/>
    <w:family w:val="modern"/>
    <w:pitch w:val="default"/>
    <w:sig w:usb0="00000000" w:usb1="00000000" w:usb2="00000010" w:usb3="00000000" w:csb0="00100000" w:csb1="00000000"/>
  </w:font>
  <w:font w:name="Microsoft JhengHei">
    <w:panose1 w:val="020B0604030504040204"/>
    <w:charset w:val="88"/>
    <w:family w:val="auto"/>
    <w:pitch w:val="default"/>
    <w:sig w:usb0="00000087" w:usb1="28AF4000" w:usb2="00000016" w:usb3="00000000" w:csb0="00100009" w:csb1="00000000"/>
  </w:font>
  <w:font w:name="?l?r ｨC?｡ｯ?">
    <w:altName w:val="MS Gothic"/>
    <w:panose1 w:val="00000000000000000000"/>
    <w:charset w:val="80"/>
    <w:family w:val="roman"/>
    <w:pitch w:val="default"/>
    <w:sig w:usb0="00000000" w:usb1="00000000" w:usb2="00000010" w:usb3="00000000" w:csb0="00020000" w:csb1="00000000"/>
  </w:font>
  <w:font w:name="MS Gothic">
    <w:panose1 w:val="020B0609070205080204"/>
    <w:charset w:val="80"/>
    <w:family w:val="auto"/>
    <w:pitch w:val="default"/>
    <w:sig w:usb0="E00002FF" w:usb1="6AC7FDFB" w:usb2="00000012" w:usb3="00000000" w:csb0="4002009F" w:csb1="DFD70000"/>
  </w:font>
  <w:font w:name="Wingdings 2">
    <w:altName w:val="Wingdings"/>
    <w:panose1 w:val="05020102010507070707"/>
    <w:charset w:val="02"/>
    <w:family w:val="roman"/>
    <w:pitch w:val="default"/>
    <w:sig w:usb0="00000000" w:usb1="00000000" w:usb2="00000000" w:usb3="00000000" w:csb0="80000000" w:csb1="00000000"/>
  </w:font>
  <w:font w:name="方正仿宋_GBK">
    <w:panose1 w:val="02000000000000000000"/>
    <w:charset w:val="86"/>
    <w:family w:val="script"/>
    <w:pitch w:val="default"/>
    <w:sig w:usb0="A00002BF" w:usb1="38CF7CFA" w:usb2="00082016" w:usb3="00000000" w:csb0="00040001" w:csb1="00000000"/>
    <w:embedRegular r:id="rId4" w:fontKey="{C4925E6C-90E9-43CB-8F5D-0C960C17D595}"/>
  </w:font>
  <w:font w:name="Cambria Math">
    <w:panose1 w:val="02040503050406030204"/>
    <w:charset w:val="00"/>
    <w:family w:val="roman"/>
    <w:pitch w:val="default"/>
    <w:sig w:usb0="E00002FF" w:usb1="420024FF" w:usb2="00000000" w:usb3="00000000" w:csb0="2000019F" w:csb1="00000000"/>
    <w:embedRegular r:id="rId5" w:fontKey="{11E28C35-E456-4924-B8D0-E9E4E055D13F}"/>
  </w:font>
  <w:font w:name="方正小标宋_GBK">
    <w:panose1 w:val="02000000000000000000"/>
    <w:charset w:val="86"/>
    <w:family w:val="script"/>
    <w:pitch w:val="default"/>
    <w:sig w:usb0="A00002BF" w:usb1="38CF7CFA" w:usb2="00082016" w:usb3="00000000" w:csb0="00040001" w:csb1="00000000"/>
    <w:embedRegular r:id="rId6" w:fontKey="{8CC82475-3BF0-44B7-B98B-7DE61E548FCB}"/>
  </w:font>
  <w:font w:name="Kingsoft UE">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8D88C">
    <w:pPr>
      <w:pStyle w:val="54"/>
      <w:framePr w:wrap="around" w:vAnchor="text" w:hAnchor="margin" w:xAlign="outside" w:y="1"/>
      <w:rPr>
        <w:rStyle w:val="125"/>
        <w:rFonts w:ascii="宋体" w:hAnsi="宋体"/>
        <w:sz w:val="28"/>
        <w:szCs w:val="28"/>
      </w:rPr>
    </w:pPr>
    <w:r>
      <w:rPr>
        <w:rStyle w:val="125"/>
        <w:rFonts w:hint="eastAsia" w:ascii="宋体" w:hAnsi="宋体"/>
        <w:sz w:val="20"/>
      </w:rPr>
      <w:t xml:space="preserve">  </w:t>
    </w:r>
  </w:p>
  <w:p w14:paraId="157833FA">
    <w:pPr>
      <w:pStyle w:val="54"/>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4A078">
    <w:pPr>
      <w:pStyle w:val="54"/>
      <w:rPr>
        <w:b/>
        <w:bCs/>
        <w:sz w:val="24"/>
        <w:szCs w:val="28"/>
      </w:rPr>
    </w:pPr>
    <w:r>
      <w:rPr>
        <w:rStyle w:val="125"/>
        <w:rFonts w:hint="eastAsia" w:ascii="宋体" w:hAnsi="宋体"/>
        <w:sz w:val="28"/>
        <w:szCs w:val="28"/>
      </w:rPr>
      <w:t>—</w:t>
    </w:r>
    <w:r>
      <w:rPr>
        <w:rStyle w:val="125"/>
        <w:rFonts w:ascii="宋体" w:hAnsi="宋体"/>
        <w:sz w:val="28"/>
        <w:szCs w:val="28"/>
      </w:rPr>
      <w:t xml:space="preserve">  </w:t>
    </w:r>
    <w:r>
      <w:rPr>
        <w:sz w:val="24"/>
        <w:szCs w:val="28"/>
      </w:rPr>
      <w:fldChar w:fldCharType="begin"/>
    </w:r>
    <w:r>
      <w:rPr>
        <w:sz w:val="24"/>
        <w:szCs w:val="28"/>
      </w:rPr>
      <w:instrText xml:space="preserve">PAGE   \* MERGEFORMAT</w:instrText>
    </w:r>
    <w:r>
      <w:rPr>
        <w:sz w:val="24"/>
        <w:szCs w:val="28"/>
      </w:rPr>
      <w:fldChar w:fldCharType="separate"/>
    </w:r>
    <w:r>
      <w:rPr>
        <w:sz w:val="24"/>
        <w:szCs w:val="28"/>
        <w:lang w:val="zh-CN"/>
      </w:rPr>
      <w:t>80</w:t>
    </w:r>
    <w:r>
      <w:rPr>
        <w:sz w:val="24"/>
        <w:szCs w:val="28"/>
      </w:rPr>
      <w:fldChar w:fldCharType="end"/>
    </w:r>
    <w:r>
      <w:rPr>
        <w:sz w:val="24"/>
        <w:szCs w:val="28"/>
      </w:rPr>
      <w:t xml:space="preserve">  </w:t>
    </w:r>
    <w:r>
      <w:rPr>
        <w:rStyle w:val="125"/>
        <w:rFonts w:hint="eastAsia" w:ascii="宋体" w:hAnsi="宋体"/>
        <w:sz w:val="28"/>
        <w:szCs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16C80">
    <w:pPr>
      <w:pStyle w:val="54"/>
      <w:jc w:val="right"/>
      <w:rPr>
        <w:sz w:val="24"/>
        <w:szCs w:val="28"/>
      </w:rPr>
    </w:pPr>
    <w:r>
      <w:rPr>
        <w:rStyle w:val="125"/>
        <w:rFonts w:hint="eastAsia" w:ascii="宋体" w:hAnsi="宋体"/>
        <w:sz w:val="28"/>
        <w:szCs w:val="28"/>
      </w:rPr>
      <w:t xml:space="preserve">— </w:t>
    </w:r>
    <w:r>
      <w:rPr>
        <w:rStyle w:val="125"/>
        <w:rFonts w:ascii="宋体" w:hAnsi="宋体"/>
        <w:sz w:val="28"/>
        <w:szCs w:val="28"/>
      </w:rPr>
      <w:t xml:space="preserve"> </w:t>
    </w:r>
    <w:r>
      <w:rPr>
        <w:sz w:val="24"/>
        <w:szCs w:val="28"/>
      </w:rPr>
      <w:fldChar w:fldCharType="begin"/>
    </w:r>
    <w:r>
      <w:rPr>
        <w:sz w:val="24"/>
        <w:szCs w:val="28"/>
      </w:rPr>
      <w:instrText xml:space="preserve">PAGE   \* MERGEFORMAT</w:instrText>
    </w:r>
    <w:r>
      <w:rPr>
        <w:sz w:val="24"/>
        <w:szCs w:val="28"/>
      </w:rPr>
      <w:fldChar w:fldCharType="separate"/>
    </w:r>
    <w:r>
      <w:rPr>
        <w:sz w:val="24"/>
        <w:szCs w:val="28"/>
        <w:lang w:val="zh-CN"/>
      </w:rPr>
      <w:t>81</w:t>
    </w:r>
    <w:r>
      <w:rPr>
        <w:sz w:val="24"/>
        <w:szCs w:val="28"/>
      </w:rPr>
      <w:fldChar w:fldCharType="end"/>
    </w:r>
    <w:r>
      <w:rPr>
        <w:sz w:val="24"/>
        <w:szCs w:val="28"/>
      </w:rPr>
      <w:t xml:space="preserve">  </w:t>
    </w:r>
    <w:r>
      <w:rPr>
        <w:rStyle w:val="125"/>
        <w:rFonts w:hint="eastAsia" w:ascii="宋体" w:hAnsi="宋体"/>
        <w:sz w:val="28"/>
        <w:szCs w:val="28"/>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15211">
    <w:pPr>
      <w:pStyle w:val="54"/>
      <w:framePr w:wrap="around" w:vAnchor="text" w:hAnchor="margin" w:xAlign="center" w:y="1"/>
      <w:rPr>
        <w:rStyle w:val="125"/>
        <w:rFonts w:ascii="宋体" w:hAnsi="宋体"/>
        <w:sz w:val="28"/>
        <w:szCs w:val="28"/>
      </w:rPr>
    </w:pPr>
    <w:r>
      <w:rPr>
        <w:rStyle w:val="125"/>
        <w:rFonts w:hint="eastAsia" w:ascii="宋体" w:hAnsi="宋体"/>
        <w:sz w:val="28"/>
        <w:szCs w:val="28"/>
      </w:rPr>
      <w:t>—</w:t>
    </w:r>
    <w:r>
      <w:rPr>
        <w:rStyle w:val="125"/>
        <w:rFonts w:hint="eastAsia" w:ascii="宋体" w:hAnsi="宋体"/>
        <w:sz w:val="20"/>
      </w:rPr>
      <w:t xml:space="preserve">  </w:t>
    </w:r>
    <w:r>
      <w:rPr>
        <w:rStyle w:val="125"/>
        <w:rFonts w:ascii="宋体" w:hAnsi="宋体"/>
        <w:sz w:val="26"/>
        <w:szCs w:val="26"/>
      </w:rPr>
      <w:fldChar w:fldCharType="begin"/>
    </w:r>
    <w:r>
      <w:rPr>
        <w:rStyle w:val="125"/>
        <w:rFonts w:ascii="宋体" w:hAnsi="宋体"/>
        <w:sz w:val="26"/>
        <w:szCs w:val="26"/>
      </w:rPr>
      <w:instrText xml:space="preserve">PAGE  </w:instrText>
    </w:r>
    <w:r>
      <w:rPr>
        <w:rStyle w:val="125"/>
        <w:rFonts w:ascii="宋体" w:hAnsi="宋体"/>
        <w:sz w:val="26"/>
        <w:szCs w:val="26"/>
      </w:rPr>
      <w:fldChar w:fldCharType="separate"/>
    </w:r>
    <w:r>
      <w:rPr>
        <w:rStyle w:val="125"/>
        <w:rFonts w:ascii="宋体" w:hAnsi="宋体"/>
        <w:sz w:val="26"/>
        <w:szCs w:val="26"/>
      </w:rPr>
      <w:t>77</w:t>
    </w:r>
    <w:r>
      <w:rPr>
        <w:rStyle w:val="125"/>
        <w:rFonts w:ascii="宋体" w:hAnsi="宋体"/>
        <w:sz w:val="26"/>
        <w:szCs w:val="26"/>
      </w:rPr>
      <w:fldChar w:fldCharType="end"/>
    </w:r>
    <w:r>
      <w:rPr>
        <w:rStyle w:val="125"/>
        <w:rFonts w:hint="eastAsia" w:ascii="宋体" w:hAnsi="宋体"/>
        <w:sz w:val="20"/>
      </w:rPr>
      <w:t xml:space="preserve">  </w:t>
    </w:r>
    <w:r>
      <w:rPr>
        <w:rStyle w:val="125"/>
        <w:rFonts w:hint="eastAsia" w:ascii="宋体" w:hAnsi="宋体"/>
        <w:sz w:val="28"/>
        <w:szCs w:val="28"/>
      </w:rPr>
      <w:t>—</w:t>
    </w:r>
  </w:p>
  <w:p w14:paraId="56E62B98">
    <w:pPr>
      <w:pStyle w:val="54"/>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4CC76">
    <w:pPr>
      <w:pStyle w:val="5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D73613"/>
    <w:multiLevelType w:val="singleLevel"/>
    <w:tmpl w:val="E6D73613"/>
    <w:lvl w:ilvl="0" w:tentative="0">
      <w:start w:val="1"/>
      <w:numFmt w:val="decimal"/>
      <w:lvlText w:val="%1."/>
      <w:lvlJc w:val="left"/>
      <w:pPr>
        <w:tabs>
          <w:tab w:val="left" w:pos="312"/>
        </w:tabs>
      </w:pPr>
    </w:lvl>
  </w:abstractNum>
  <w:abstractNum w:abstractNumId="1">
    <w:nsid w:val="0A3E11AB"/>
    <w:multiLevelType w:val="multilevel"/>
    <w:tmpl w:val="0A3E11AB"/>
    <w:lvl w:ilvl="0" w:tentative="0">
      <w:start w:val="1"/>
      <w:numFmt w:val="bullet"/>
      <w:lvlText w:val=""/>
      <w:lvlJc w:val="left"/>
      <w:pPr>
        <w:ind w:left="420" w:hanging="420"/>
      </w:pPr>
      <w:rPr>
        <w:rFonts w:hint="default" w:ascii="Wingdings" w:hAnsi="Wingdings"/>
      </w:rPr>
    </w:lvl>
    <w:lvl w:ilvl="1" w:tentative="0">
      <w:start w:val="1"/>
      <w:numFmt w:val="bullet"/>
      <w:pStyle w:val="3466"/>
      <w:lvlText w:val=""/>
      <w:lvlJc w:val="left"/>
      <w:pPr>
        <w:ind w:left="840" w:hanging="420"/>
      </w:pPr>
      <w:rPr>
        <w:rFonts w:hint="default" w:ascii="Wingdings" w:hAnsi="Wingdings"/>
      </w:rPr>
    </w:lvl>
    <w:lvl w:ilvl="2" w:tentative="0">
      <w:start w:val="1"/>
      <w:numFmt w:val="bullet"/>
      <w:pStyle w:val="3520"/>
      <w:lvlText w:val=""/>
      <w:lvlJc w:val="left"/>
      <w:pPr>
        <w:ind w:left="1260" w:hanging="420"/>
      </w:pPr>
      <w:rPr>
        <w:rFonts w:hint="default" w:ascii="Wingdings" w:hAnsi="Wingdings"/>
      </w:rPr>
    </w:lvl>
    <w:lvl w:ilvl="3" w:tentative="0">
      <w:start w:val="1"/>
      <w:numFmt w:val="bullet"/>
      <w:pStyle w:val="3824"/>
      <w:lvlText w:val=""/>
      <w:lvlJc w:val="left"/>
      <w:pPr>
        <w:ind w:left="1680" w:hanging="420"/>
      </w:pPr>
      <w:rPr>
        <w:rFonts w:hint="default" w:ascii="Wingdings" w:hAnsi="Wingdings"/>
      </w:rPr>
    </w:lvl>
    <w:lvl w:ilvl="4" w:tentative="0">
      <w:start w:val="1"/>
      <w:numFmt w:val="bullet"/>
      <w:pStyle w:val="3938"/>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0B6020CD"/>
    <w:multiLevelType w:val="multilevel"/>
    <w:tmpl w:val="0B6020CD"/>
    <w:lvl w:ilvl="0" w:tentative="0">
      <w:start w:val="1"/>
      <w:numFmt w:val="decimal"/>
      <w:suff w:val="space"/>
      <w:lvlText w:val="%1"/>
      <w:lvlJc w:val="left"/>
      <w:pPr>
        <w:ind w:left="567" w:hanging="567"/>
      </w:pPr>
      <w:rPr>
        <w:rFonts w:hint="eastAsia"/>
      </w:rPr>
    </w:lvl>
    <w:lvl w:ilvl="1" w:tentative="0">
      <w:start w:val="1"/>
      <w:numFmt w:val="decimal"/>
      <w:suff w:val="space"/>
      <w:lvlText w:val="%1.%2"/>
      <w:lvlJc w:val="left"/>
      <w:pPr>
        <w:ind w:left="567" w:hanging="567"/>
      </w:pPr>
      <w:rPr>
        <w:rFonts w:hint="eastAsia"/>
      </w:rPr>
    </w:lvl>
    <w:lvl w:ilvl="2" w:tentative="0">
      <w:start w:val="1"/>
      <w:numFmt w:val="decimal"/>
      <w:isLgl/>
      <w:suff w:val="space"/>
      <w:lvlText w:val="%1.%2.%3"/>
      <w:lvlJc w:val="left"/>
      <w:pPr>
        <w:ind w:left="567" w:hanging="567"/>
      </w:pPr>
      <w:rPr>
        <w:rFonts w:hint="eastAsia"/>
      </w:rPr>
    </w:lvl>
    <w:lvl w:ilvl="3" w:tentative="0">
      <w:start w:val="1"/>
      <w:numFmt w:val="decimal"/>
      <w:pStyle w:val="8"/>
      <w:suff w:val="space"/>
      <w:lvlText w:val="%1.%2.%3.%4"/>
      <w:lvlJc w:val="left"/>
      <w:pPr>
        <w:ind w:left="0" w:firstLine="0"/>
      </w:pPr>
      <w:rPr>
        <w:rFonts w:hint="eastAsia"/>
      </w:rPr>
    </w:lvl>
    <w:lvl w:ilvl="4" w:tentative="0">
      <w:start w:val="1"/>
      <w:numFmt w:val="decimal"/>
      <w:pStyle w:val="9"/>
      <w:lvlText w:val="%1.%2.%3.%4.%5"/>
      <w:lvlJc w:val="left"/>
      <w:pPr>
        <w:tabs>
          <w:tab w:val="left" w:pos="1800"/>
        </w:tabs>
        <w:ind w:left="567" w:hanging="567"/>
      </w:pPr>
      <w:rPr>
        <w:rFonts w:hint="eastAsia"/>
      </w:rPr>
    </w:lvl>
    <w:lvl w:ilvl="5" w:tentative="0">
      <w:start w:val="1"/>
      <w:numFmt w:val="decimal"/>
      <w:pStyle w:val="10"/>
      <w:lvlText w:val="%1.%2.%3.%4.%5.%6"/>
      <w:lvlJc w:val="left"/>
      <w:pPr>
        <w:tabs>
          <w:tab w:val="left" w:pos="2160"/>
        </w:tabs>
        <w:ind w:left="567" w:hanging="567"/>
      </w:pPr>
      <w:rPr>
        <w:rFonts w:hint="eastAsia"/>
      </w:rPr>
    </w:lvl>
    <w:lvl w:ilvl="6" w:tentative="0">
      <w:start w:val="1"/>
      <w:numFmt w:val="decimal"/>
      <w:pStyle w:val="11"/>
      <w:lvlText w:val="%1.%2.%3.%4.%5.%6.%7"/>
      <w:lvlJc w:val="left"/>
      <w:pPr>
        <w:tabs>
          <w:tab w:val="left" w:pos="2520"/>
        </w:tabs>
        <w:ind w:left="567" w:hanging="567"/>
      </w:pPr>
      <w:rPr>
        <w:rFonts w:hint="eastAsia"/>
      </w:rPr>
    </w:lvl>
    <w:lvl w:ilvl="7" w:tentative="0">
      <w:start w:val="1"/>
      <w:numFmt w:val="decimal"/>
      <w:pStyle w:val="12"/>
      <w:lvlText w:val="%1.%2.%3.%4.%5.%6.%7.%8"/>
      <w:lvlJc w:val="left"/>
      <w:pPr>
        <w:tabs>
          <w:tab w:val="left" w:pos="2880"/>
        </w:tabs>
        <w:ind w:left="567" w:hanging="567"/>
      </w:pPr>
      <w:rPr>
        <w:rFonts w:hint="eastAsia"/>
      </w:rPr>
    </w:lvl>
    <w:lvl w:ilvl="8" w:tentative="0">
      <w:start w:val="1"/>
      <w:numFmt w:val="decimal"/>
      <w:pStyle w:val="13"/>
      <w:suff w:val="space"/>
      <w:lvlText w:val="%1.%2.%3.%4.%5.%6.%7.%8.%9"/>
      <w:lvlJc w:val="left"/>
      <w:pPr>
        <w:ind w:left="567" w:hanging="567"/>
      </w:pPr>
      <w:rPr>
        <w:rFonts w:hint="eastAsia"/>
      </w:rPr>
    </w:lvl>
  </w:abstractNum>
  <w:abstractNum w:abstractNumId="3">
    <w:nsid w:val="2B3F3991"/>
    <w:multiLevelType w:val="multilevel"/>
    <w:tmpl w:val="2B3F3991"/>
    <w:lvl w:ilvl="0" w:tentative="0">
      <w:start w:val="1"/>
      <w:numFmt w:val="decimal"/>
      <w:pStyle w:val="1247"/>
      <w:lvlText w:val="第%1章"/>
      <w:lvlJc w:val="center"/>
      <w:pPr>
        <w:tabs>
          <w:tab w:val="left" w:pos="680"/>
        </w:tabs>
        <w:ind w:left="851" w:hanging="851"/>
      </w:pPr>
      <w:rPr>
        <w:rFonts w:hint="default" w:ascii="Arial" w:hAnsi="Arial" w:cs="Times New Roman"/>
      </w:rPr>
    </w:lvl>
    <w:lvl w:ilvl="1" w:tentative="0">
      <w:start w:val="1"/>
      <w:numFmt w:val="decimal"/>
      <w:lvlText w:val="%1.%2"/>
      <w:lvlJc w:val="left"/>
      <w:pPr>
        <w:tabs>
          <w:tab w:val="left" w:pos="567"/>
        </w:tabs>
        <w:ind w:left="0" w:firstLine="0"/>
      </w:pPr>
      <w:rPr>
        <w:rFonts w:hint="default" w:ascii="Arial" w:hAnsi="Arial" w:cs="Times New Roman"/>
      </w:rPr>
    </w:lvl>
    <w:lvl w:ilvl="2" w:tentative="0">
      <w:start w:val="1"/>
      <w:numFmt w:val="decimal"/>
      <w:isLgl/>
      <w:lvlText w:val="%1.%2.%3"/>
      <w:lvlJc w:val="left"/>
      <w:pPr>
        <w:tabs>
          <w:tab w:val="left" w:pos="680"/>
        </w:tabs>
        <w:ind w:left="0" w:firstLine="0"/>
      </w:pPr>
      <w:rPr>
        <w:rFonts w:hint="default" w:ascii="Arial" w:hAnsi="Arial" w:cs="Times New Roman"/>
        <w:b w:val="0"/>
        <w:i w:val="0"/>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440"/>
        </w:tabs>
        <w:ind w:left="1440" w:hanging="1440"/>
      </w:pPr>
      <w:rPr>
        <w:rFonts w:hint="default"/>
      </w:rPr>
    </w:lvl>
    <w:lvl w:ilvl="5" w:tentative="0">
      <w:start w:val="1"/>
      <w:numFmt w:val="decimal"/>
      <w:lvlText w:val="%1.%2.%3.%4.%5.%6"/>
      <w:lvlJc w:val="left"/>
      <w:pPr>
        <w:tabs>
          <w:tab w:val="left" w:pos="1800"/>
        </w:tabs>
        <w:ind w:left="1800" w:hanging="1800"/>
      </w:pPr>
      <w:rPr>
        <w:rFonts w:hint="default"/>
      </w:rPr>
    </w:lvl>
    <w:lvl w:ilvl="6" w:tentative="0">
      <w:start w:val="1"/>
      <w:numFmt w:val="decimal"/>
      <w:lvlText w:val="%1.%2.%3.%4.%5.%6.%7"/>
      <w:lvlJc w:val="left"/>
      <w:pPr>
        <w:tabs>
          <w:tab w:val="left" w:pos="2160"/>
        </w:tabs>
        <w:ind w:left="2160" w:hanging="2160"/>
      </w:pPr>
      <w:rPr>
        <w:rFonts w:hint="default"/>
      </w:rPr>
    </w:lvl>
    <w:lvl w:ilvl="7" w:tentative="0">
      <w:start w:val="1"/>
      <w:numFmt w:val="decimal"/>
      <w:lvlText w:val="%1.%2.%3.%4.%5.%6.%7.%8"/>
      <w:lvlJc w:val="left"/>
      <w:pPr>
        <w:tabs>
          <w:tab w:val="left" w:pos="2160"/>
        </w:tabs>
        <w:ind w:left="2160" w:hanging="2160"/>
      </w:pPr>
      <w:rPr>
        <w:rFonts w:hint="default"/>
      </w:rPr>
    </w:lvl>
    <w:lvl w:ilvl="8" w:tentative="0">
      <w:start w:val="1"/>
      <w:numFmt w:val="decimal"/>
      <w:lvlText w:val="%1.%2.%3.%4.%5.%6.%7.%8.%9"/>
      <w:lvlJc w:val="left"/>
      <w:pPr>
        <w:tabs>
          <w:tab w:val="left" w:pos="2520"/>
        </w:tabs>
        <w:ind w:left="2520" w:hanging="2520"/>
      </w:pPr>
      <w:rPr>
        <w:rFonts w:hint="default"/>
      </w:rPr>
    </w:lvl>
  </w:abstractNum>
  <w:abstractNum w:abstractNumId="4">
    <w:nsid w:val="33F44AA9"/>
    <w:multiLevelType w:val="multilevel"/>
    <w:tmpl w:val="33F44AA9"/>
    <w:lvl w:ilvl="0" w:tentative="0">
      <w:start w:val="1"/>
      <w:numFmt w:val="chineseCountingThousand"/>
      <w:suff w:val="nothing"/>
      <w:lvlText w:val="%1"/>
      <w:lvlJc w:val="center"/>
      <w:pPr>
        <w:ind w:left="426" w:firstLine="0"/>
      </w:pPr>
      <w:rPr>
        <w:rFonts w:hint="eastAsia"/>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5">
    <w:nsid w:val="37EB5FDF"/>
    <w:multiLevelType w:val="multilevel"/>
    <w:tmpl w:val="37EB5FDF"/>
    <w:lvl w:ilvl="0" w:tentative="0">
      <w:start w:val="1"/>
      <w:numFmt w:val="decimal"/>
      <w:pStyle w:val="1574"/>
      <w:lvlText w:val="2.%1、"/>
      <w:lvlJc w:val="left"/>
      <w:pPr>
        <w:tabs>
          <w:tab w:val="left" w:pos="420"/>
        </w:tabs>
        <w:ind w:left="420" w:hanging="420"/>
      </w:pPr>
      <w:rPr>
        <w:rFonts w:hint="eastAsia"/>
      </w:rPr>
    </w:lvl>
    <w:lvl w:ilvl="1" w:tentative="0">
      <w:start w:val="1"/>
      <w:numFmt w:val="decimal"/>
      <w:lvlText w:val="（%2）"/>
      <w:lvlJc w:val="left"/>
      <w:pPr>
        <w:tabs>
          <w:tab w:val="left" w:pos="1140"/>
        </w:tabs>
        <w:ind w:left="1140" w:hanging="720"/>
      </w:pPr>
      <w:rPr>
        <w:rFonts w:hint="default"/>
      </w:rPr>
    </w:lvl>
    <w:lvl w:ilvl="2" w:tentative="0">
      <w:start w:val="1"/>
      <w:numFmt w:val="decimal"/>
      <w:lvlText w:val="（%3)"/>
      <w:lvlJc w:val="left"/>
      <w:pPr>
        <w:tabs>
          <w:tab w:val="left" w:pos="1200"/>
        </w:tabs>
        <w:ind w:left="1200" w:hanging="36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39B771D5"/>
    <w:multiLevelType w:val="multilevel"/>
    <w:tmpl w:val="39B771D5"/>
    <w:lvl w:ilvl="0" w:tentative="0">
      <w:start w:val="1"/>
      <w:numFmt w:val="decimal"/>
      <w:pStyle w:val="1075"/>
      <w:lvlText w:val="%1"/>
      <w:lvlJc w:val="left"/>
      <w:pPr>
        <w:tabs>
          <w:tab w:val="left" w:pos="0"/>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48EC3C7A"/>
    <w:multiLevelType w:val="multilevel"/>
    <w:tmpl w:val="48EC3C7A"/>
    <w:lvl w:ilvl="0" w:tentative="0">
      <w:start w:val="1"/>
      <w:numFmt w:val="decimalEnclosedCircle"/>
      <w:lvlText w:val="%1"/>
      <w:lvlJc w:val="left"/>
      <w:pPr>
        <w:ind w:left="842" w:hanging="360"/>
      </w:pPr>
      <w:rPr>
        <w:rFonts w:hint="default" w:ascii="宋体"/>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8">
    <w:nsid w:val="536B6F1D"/>
    <w:multiLevelType w:val="singleLevel"/>
    <w:tmpl w:val="536B6F1D"/>
    <w:lvl w:ilvl="0" w:tentative="0">
      <w:start w:val="1"/>
      <w:numFmt w:val="bullet"/>
      <w:pStyle w:val="1092"/>
      <w:lvlText w:val=""/>
      <w:lvlJc w:val="left"/>
      <w:pPr>
        <w:tabs>
          <w:tab w:val="left" w:pos="425"/>
        </w:tabs>
        <w:ind w:left="425" w:hanging="425"/>
      </w:pPr>
      <w:rPr>
        <w:rFonts w:hint="default" w:ascii="Wingdings" w:hAnsi="Wingdings"/>
        <w:sz w:val="21"/>
      </w:rPr>
    </w:lvl>
  </w:abstractNum>
  <w:abstractNum w:abstractNumId="9">
    <w:nsid w:val="5746A6EE"/>
    <w:multiLevelType w:val="singleLevel"/>
    <w:tmpl w:val="5746A6EE"/>
    <w:lvl w:ilvl="0" w:tentative="0">
      <w:start w:val="1"/>
      <w:numFmt w:val="decimal"/>
      <w:pStyle w:val="1616"/>
      <w:suff w:val="nothing"/>
      <w:lvlText w:val="%1."/>
      <w:lvlJc w:val="left"/>
    </w:lvl>
  </w:abstractNum>
  <w:abstractNum w:abstractNumId="10">
    <w:nsid w:val="5A326EAA"/>
    <w:multiLevelType w:val="multilevel"/>
    <w:tmpl w:val="5A326EAA"/>
    <w:lvl w:ilvl="0" w:tentative="0">
      <w:start w:val="1"/>
      <w:numFmt w:val="decimal"/>
      <w:pStyle w:val="943"/>
      <w:lvlText w:val="第%1条 "/>
      <w:lvlJc w:val="left"/>
      <w:pPr>
        <w:ind w:left="987" w:hanging="420"/>
      </w:pPr>
      <w:rPr>
        <w:rFonts w:hint="eastAsia" w:ascii="宋体" w:hAnsi="宋体" w:eastAsia="宋体"/>
        <w:b/>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66551C58"/>
    <w:multiLevelType w:val="multilevel"/>
    <w:tmpl w:val="66551C58"/>
    <w:lvl w:ilvl="0" w:tentative="0">
      <w:start w:val="1"/>
      <w:numFmt w:val="decimalEnclosedCircle"/>
      <w:pStyle w:val="228"/>
      <w:lvlText w:val="%1"/>
      <w:lvlJc w:val="left"/>
      <w:pPr>
        <w:ind w:left="880" w:hanging="360"/>
      </w:pPr>
      <w:rPr>
        <w:rFonts w:hint="default"/>
      </w:rPr>
    </w:lvl>
    <w:lvl w:ilvl="1" w:tentative="0">
      <w:start w:val="1"/>
      <w:numFmt w:val="lowerLetter"/>
      <w:lvlText w:val="%2)"/>
      <w:lvlJc w:val="left"/>
      <w:pPr>
        <w:ind w:left="1360" w:hanging="420"/>
      </w:pPr>
    </w:lvl>
    <w:lvl w:ilvl="2" w:tentative="0">
      <w:start w:val="1"/>
      <w:numFmt w:val="lowerRoman"/>
      <w:lvlText w:val="%3."/>
      <w:lvlJc w:val="right"/>
      <w:pPr>
        <w:ind w:left="1780" w:hanging="420"/>
      </w:pPr>
    </w:lvl>
    <w:lvl w:ilvl="3" w:tentative="0">
      <w:start w:val="1"/>
      <w:numFmt w:val="decimal"/>
      <w:lvlText w:val="%4."/>
      <w:lvlJc w:val="left"/>
      <w:pPr>
        <w:ind w:left="2200" w:hanging="420"/>
      </w:pPr>
    </w:lvl>
    <w:lvl w:ilvl="4" w:tentative="0">
      <w:start w:val="1"/>
      <w:numFmt w:val="lowerLetter"/>
      <w:lvlText w:val="%5)"/>
      <w:lvlJc w:val="left"/>
      <w:pPr>
        <w:ind w:left="2620" w:hanging="420"/>
      </w:pPr>
    </w:lvl>
    <w:lvl w:ilvl="5" w:tentative="0">
      <w:start w:val="1"/>
      <w:numFmt w:val="lowerRoman"/>
      <w:lvlText w:val="%6."/>
      <w:lvlJc w:val="right"/>
      <w:pPr>
        <w:ind w:left="3040" w:hanging="420"/>
      </w:pPr>
    </w:lvl>
    <w:lvl w:ilvl="6" w:tentative="0">
      <w:start w:val="1"/>
      <w:numFmt w:val="decimal"/>
      <w:lvlText w:val="%7."/>
      <w:lvlJc w:val="left"/>
      <w:pPr>
        <w:ind w:left="3460" w:hanging="420"/>
      </w:pPr>
    </w:lvl>
    <w:lvl w:ilvl="7" w:tentative="0">
      <w:start w:val="1"/>
      <w:numFmt w:val="lowerLetter"/>
      <w:lvlText w:val="%8)"/>
      <w:lvlJc w:val="left"/>
      <w:pPr>
        <w:ind w:left="3880" w:hanging="420"/>
      </w:pPr>
    </w:lvl>
    <w:lvl w:ilvl="8" w:tentative="0">
      <w:start w:val="1"/>
      <w:numFmt w:val="lowerRoman"/>
      <w:lvlText w:val="%9."/>
      <w:lvlJc w:val="right"/>
      <w:pPr>
        <w:ind w:left="4300" w:hanging="420"/>
      </w:pPr>
    </w:lvl>
  </w:abstractNum>
  <w:abstractNum w:abstractNumId="12">
    <w:nsid w:val="7C3D0086"/>
    <w:multiLevelType w:val="multilevel"/>
    <w:tmpl w:val="7C3D0086"/>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7E013D9D"/>
    <w:multiLevelType w:val="singleLevel"/>
    <w:tmpl w:val="7E013D9D"/>
    <w:lvl w:ilvl="0" w:tentative="0">
      <w:start w:val="1"/>
      <w:numFmt w:val="chineseCountingThousand"/>
      <w:pStyle w:val="2557"/>
      <w:lvlText w:val="%1."/>
      <w:lvlJc w:val="left"/>
      <w:pPr>
        <w:tabs>
          <w:tab w:val="left" w:pos="425"/>
        </w:tabs>
        <w:ind w:left="425" w:hanging="425"/>
      </w:pPr>
      <w:rPr>
        <w:rFonts w:hint="eastAsia"/>
        <w:b w:val="0"/>
        <w:i w:val="0"/>
      </w:rPr>
    </w:lvl>
  </w:abstractNum>
  <w:num w:numId="1">
    <w:abstractNumId w:val="2"/>
  </w:num>
  <w:num w:numId="2">
    <w:abstractNumId w:val="11"/>
  </w:num>
  <w:num w:numId="3">
    <w:abstractNumId w:val="10"/>
  </w:num>
  <w:num w:numId="4">
    <w:abstractNumId w:val="6"/>
  </w:num>
  <w:num w:numId="5">
    <w:abstractNumId w:val="8"/>
  </w:num>
  <w:num w:numId="6">
    <w:abstractNumId w:val="3"/>
  </w:num>
  <w:num w:numId="7">
    <w:abstractNumId w:val="5"/>
  </w:num>
  <w:num w:numId="8">
    <w:abstractNumId w:val="9"/>
  </w:num>
  <w:num w:numId="9">
    <w:abstractNumId w:val="13"/>
  </w:num>
  <w:num w:numId="10">
    <w:abstractNumId w:val="1"/>
  </w:num>
  <w:num w:numId="11">
    <w:abstractNumId w:val="12"/>
  </w:num>
  <w:num w:numId="12">
    <w:abstractNumId w:val="4"/>
  </w:num>
  <w:num w:numId="13">
    <w:abstractNumId w:val="7"/>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evenAndOddHeaders w:val="1"/>
  <w:noPunctuationKerning w:val="1"/>
  <w:characterSpacingControl w:val="doNotCompress"/>
  <w:noLineBreaksAfter w:lang="zh-CN" w:val="([{·‘“〈《「『【〔〖（．［｛￡￥"/>
  <w:noLineBreaksBefore w:lang="zh-CN" w:val="!),.:;?]}¨·ˇˉ―‖’”…∶、。〃々〉》」』】〕〗！＂＇），．：；？］｀｜｝～￠"/>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llMGM1MDg0NWMyNjg3MGFkYzA0MmFhZjdkMzg1NzMifQ=="/>
  </w:docVars>
  <w:rsids>
    <w:rsidRoot w:val="00172A27"/>
    <w:rsid w:val="00000832"/>
    <w:rsid w:val="0000091E"/>
    <w:rsid w:val="0000094E"/>
    <w:rsid w:val="0000192C"/>
    <w:rsid w:val="00002C3F"/>
    <w:rsid w:val="000036F3"/>
    <w:rsid w:val="00003D7D"/>
    <w:rsid w:val="000041E2"/>
    <w:rsid w:val="00004C84"/>
    <w:rsid w:val="00005101"/>
    <w:rsid w:val="000056BD"/>
    <w:rsid w:val="000056FF"/>
    <w:rsid w:val="000060B3"/>
    <w:rsid w:val="0000638D"/>
    <w:rsid w:val="00006578"/>
    <w:rsid w:val="00006FCD"/>
    <w:rsid w:val="00007495"/>
    <w:rsid w:val="0001183E"/>
    <w:rsid w:val="00011E3F"/>
    <w:rsid w:val="000122D3"/>
    <w:rsid w:val="0001235E"/>
    <w:rsid w:val="000129BB"/>
    <w:rsid w:val="0001301D"/>
    <w:rsid w:val="00013D9A"/>
    <w:rsid w:val="00014435"/>
    <w:rsid w:val="00014948"/>
    <w:rsid w:val="00014C79"/>
    <w:rsid w:val="0001558A"/>
    <w:rsid w:val="000156AB"/>
    <w:rsid w:val="00015C53"/>
    <w:rsid w:val="00016D2F"/>
    <w:rsid w:val="00016EC7"/>
    <w:rsid w:val="00016FA8"/>
    <w:rsid w:val="0001725B"/>
    <w:rsid w:val="00020063"/>
    <w:rsid w:val="00020FA3"/>
    <w:rsid w:val="0002127F"/>
    <w:rsid w:val="00021362"/>
    <w:rsid w:val="000213E0"/>
    <w:rsid w:val="00021F9C"/>
    <w:rsid w:val="00022D29"/>
    <w:rsid w:val="0002302D"/>
    <w:rsid w:val="000230D3"/>
    <w:rsid w:val="000235E2"/>
    <w:rsid w:val="00023613"/>
    <w:rsid w:val="000239CD"/>
    <w:rsid w:val="00023F5A"/>
    <w:rsid w:val="0002432F"/>
    <w:rsid w:val="00024491"/>
    <w:rsid w:val="00024A39"/>
    <w:rsid w:val="00024B3B"/>
    <w:rsid w:val="00024EE9"/>
    <w:rsid w:val="00025B05"/>
    <w:rsid w:val="00026113"/>
    <w:rsid w:val="0002628D"/>
    <w:rsid w:val="000270BC"/>
    <w:rsid w:val="00027420"/>
    <w:rsid w:val="00027A97"/>
    <w:rsid w:val="0003067F"/>
    <w:rsid w:val="0003076D"/>
    <w:rsid w:val="00030BB2"/>
    <w:rsid w:val="00030FB0"/>
    <w:rsid w:val="00031147"/>
    <w:rsid w:val="00032127"/>
    <w:rsid w:val="000321FE"/>
    <w:rsid w:val="000325BB"/>
    <w:rsid w:val="0003312B"/>
    <w:rsid w:val="00033288"/>
    <w:rsid w:val="00033303"/>
    <w:rsid w:val="000334BB"/>
    <w:rsid w:val="00033DBF"/>
    <w:rsid w:val="0003436D"/>
    <w:rsid w:val="00034B45"/>
    <w:rsid w:val="00034FA3"/>
    <w:rsid w:val="000350E9"/>
    <w:rsid w:val="0003711C"/>
    <w:rsid w:val="0003727A"/>
    <w:rsid w:val="000411A0"/>
    <w:rsid w:val="00041816"/>
    <w:rsid w:val="00041C23"/>
    <w:rsid w:val="00041DC1"/>
    <w:rsid w:val="00043370"/>
    <w:rsid w:val="00043497"/>
    <w:rsid w:val="0004364B"/>
    <w:rsid w:val="00043880"/>
    <w:rsid w:val="00043AD5"/>
    <w:rsid w:val="00043D4B"/>
    <w:rsid w:val="00044421"/>
    <w:rsid w:val="0004446D"/>
    <w:rsid w:val="0004455C"/>
    <w:rsid w:val="000447AB"/>
    <w:rsid w:val="0004481F"/>
    <w:rsid w:val="00044834"/>
    <w:rsid w:val="000450FA"/>
    <w:rsid w:val="00045848"/>
    <w:rsid w:val="00045EFD"/>
    <w:rsid w:val="0004634A"/>
    <w:rsid w:val="00046711"/>
    <w:rsid w:val="00046BE0"/>
    <w:rsid w:val="00046F8C"/>
    <w:rsid w:val="0004711B"/>
    <w:rsid w:val="00047294"/>
    <w:rsid w:val="00047304"/>
    <w:rsid w:val="00047582"/>
    <w:rsid w:val="00050717"/>
    <w:rsid w:val="00051385"/>
    <w:rsid w:val="00051494"/>
    <w:rsid w:val="00051907"/>
    <w:rsid w:val="000524D1"/>
    <w:rsid w:val="000526A7"/>
    <w:rsid w:val="00053DEA"/>
    <w:rsid w:val="00054829"/>
    <w:rsid w:val="0005491B"/>
    <w:rsid w:val="000553CD"/>
    <w:rsid w:val="00055A69"/>
    <w:rsid w:val="00055DA9"/>
    <w:rsid w:val="00055FBF"/>
    <w:rsid w:val="0005611B"/>
    <w:rsid w:val="000563CC"/>
    <w:rsid w:val="00056784"/>
    <w:rsid w:val="00056E79"/>
    <w:rsid w:val="00056E84"/>
    <w:rsid w:val="00057175"/>
    <w:rsid w:val="000577AC"/>
    <w:rsid w:val="0005782E"/>
    <w:rsid w:val="00060FF6"/>
    <w:rsid w:val="00061900"/>
    <w:rsid w:val="00061AC0"/>
    <w:rsid w:val="00061B1F"/>
    <w:rsid w:val="00061D3A"/>
    <w:rsid w:val="00061ED4"/>
    <w:rsid w:val="0006227B"/>
    <w:rsid w:val="00063261"/>
    <w:rsid w:val="00064D8B"/>
    <w:rsid w:val="000656FD"/>
    <w:rsid w:val="000658C4"/>
    <w:rsid w:val="00066414"/>
    <w:rsid w:val="00066CB7"/>
    <w:rsid w:val="000671D6"/>
    <w:rsid w:val="000677D6"/>
    <w:rsid w:val="00067856"/>
    <w:rsid w:val="00067CBC"/>
    <w:rsid w:val="00067FB0"/>
    <w:rsid w:val="00070EDC"/>
    <w:rsid w:val="0007101B"/>
    <w:rsid w:val="000717D4"/>
    <w:rsid w:val="00071843"/>
    <w:rsid w:val="00072351"/>
    <w:rsid w:val="00072423"/>
    <w:rsid w:val="00072561"/>
    <w:rsid w:val="00072969"/>
    <w:rsid w:val="00072992"/>
    <w:rsid w:val="000729F2"/>
    <w:rsid w:val="00072ED2"/>
    <w:rsid w:val="00073098"/>
    <w:rsid w:val="00073322"/>
    <w:rsid w:val="000733C4"/>
    <w:rsid w:val="00073636"/>
    <w:rsid w:val="00073670"/>
    <w:rsid w:val="000738E0"/>
    <w:rsid w:val="00074183"/>
    <w:rsid w:val="0007448C"/>
    <w:rsid w:val="000745DA"/>
    <w:rsid w:val="00074783"/>
    <w:rsid w:val="000751B0"/>
    <w:rsid w:val="000754A1"/>
    <w:rsid w:val="000768EB"/>
    <w:rsid w:val="00076DAC"/>
    <w:rsid w:val="0007757F"/>
    <w:rsid w:val="00077AD0"/>
    <w:rsid w:val="000805AD"/>
    <w:rsid w:val="0008070B"/>
    <w:rsid w:val="00080B27"/>
    <w:rsid w:val="00080BA0"/>
    <w:rsid w:val="00080E5F"/>
    <w:rsid w:val="00080F7C"/>
    <w:rsid w:val="00080FFC"/>
    <w:rsid w:val="000810AC"/>
    <w:rsid w:val="000811A1"/>
    <w:rsid w:val="00081809"/>
    <w:rsid w:val="00081A02"/>
    <w:rsid w:val="00082038"/>
    <w:rsid w:val="00082231"/>
    <w:rsid w:val="0008368D"/>
    <w:rsid w:val="000849D4"/>
    <w:rsid w:val="00084B02"/>
    <w:rsid w:val="000856F3"/>
    <w:rsid w:val="000859E9"/>
    <w:rsid w:val="00086029"/>
    <w:rsid w:val="000865C0"/>
    <w:rsid w:val="000867E1"/>
    <w:rsid w:val="00087B8E"/>
    <w:rsid w:val="000910D9"/>
    <w:rsid w:val="000927B8"/>
    <w:rsid w:val="00092905"/>
    <w:rsid w:val="00092D38"/>
    <w:rsid w:val="00093741"/>
    <w:rsid w:val="0009377B"/>
    <w:rsid w:val="00093F9A"/>
    <w:rsid w:val="00094655"/>
    <w:rsid w:val="00095143"/>
    <w:rsid w:val="00095209"/>
    <w:rsid w:val="00095298"/>
    <w:rsid w:val="00095FAA"/>
    <w:rsid w:val="00096A8F"/>
    <w:rsid w:val="00096F88"/>
    <w:rsid w:val="00097C05"/>
    <w:rsid w:val="000A0250"/>
    <w:rsid w:val="000A154C"/>
    <w:rsid w:val="000A20C9"/>
    <w:rsid w:val="000A22FF"/>
    <w:rsid w:val="000A297D"/>
    <w:rsid w:val="000A2BDF"/>
    <w:rsid w:val="000A3180"/>
    <w:rsid w:val="000A3549"/>
    <w:rsid w:val="000A3773"/>
    <w:rsid w:val="000A39E6"/>
    <w:rsid w:val="000A4276"/>
    <w:rsid w:val="000A429D"/>
    <w:rsid w:val="000A48A1"/>
    <w:rsid w:val="000A4ADA"/>
    <w:rsid w:val="000A4D9B"/>
    <w:rsid w:val="000A4E63"/>
    <w:rsid w:val="000A4F58"/>
    <w:rsid w:val="000A650D"/>
    <w:rsid w:val="000A6CA9"/>
    <w:rsid w:val="000A6EB8"/>
    <w:rsid w:val="000A736E"/>
    <w:rsid w:val="000A7B15"/>
    <w:rsid w:val="000B058F"/>
    <w:rsid w:val="000B0827"/>
    <w:rsid w:val="000B11F4"/>
    <w:rsid w:val="000B1560"/>
    <w:rsid w:val="000B1967"/>
    <w:rsid w:val="000B1AAF"/>
    <w:rsid w:val="000B22DA"/>
    <w:rsid w:val="000B26C4"/>
    <w:rsid w:val="000B394D"/>
    <w:rsid w:val="000B3AB9"/>
    <w:rsid w:val="000B4393"/>
    <w:rsid w:val="000B4467"/>
    <w:rsid w:val="000B4732"/>
    <w:rsid w:val="000B4B17"/>
    <w:rsid w:val="000B4B23"/>
    <w:rsid w:val="000B4B4F"/>
    <w:rsid w:val="000B4DB9"/>
    <w:rsid w:val="000B5196"/>
    <w:rsid w:val="000B5AD4"/>
    <w:rsid w:val="000B5CF3"/>
    <w:rsid w:val="000B5E34"/>
    <w:rsid w:val="000B647D"/>
    <w:rsid w:val="000B699F"/>
    <w:rsid w:val="000B783D"/>
    <w:rsid w:val="000C09AC"/>
    <w:rsid w:val="000C16B7"/>
    <w:rsid w:val="000C1D4E"/>
    <w:rsid w:val="000C2507"/>
    <w:rsid w:val="000C2662"/>
    <w:rsid w:val="000C2677"/>
    <w:rsid w:val="000C295B"/>
    <w:rsid w:val="000C29C1"/>
    <w:rsid w:val="000C2A5B"/>
    <w:rsid w:val="000C32C2"/>
    <w:rsid w:val="000C368E"/>
    <w:rsid w:val="000C3D03"/>
    <w:rsid w:val="000C43CA"/>
    <w:rsid w:val="000C4788"/>
    <w:rsid w:val="000C48C5"/>
    <w:rsid w:val="000C5810"/>
    <w:rsid w:val="000C5836"/>
    <w:rsid w:val="000C5941"/>
    <w:rsid w:val="000C5DA2"/>
    <w:rsid w:val="000C638F"/>
    <w:rsid w:val="000C6627"/>
    <w:rsid w:val="000C6A2E"/>
    <w:rsid w:val="000C6CF9"/>
    <w:rsid w:val="000C6E90"/>
    <w:rsid w:val="000C7329"/>
    <w:rsid w:val="000C7552"/>
    <w:rsid w:val="000C767F"/>
    <w:rsid w:val="000C76BB"/>
    <w:rsid w:val="000C77D3"/>
    <w:rsid w:val="000C783E"/>
    <w:rsid w:val="000D0D9B"/>
    <w:rsid w:val="000D1250"/>
    <w:rsid w:val="000D1B03"/>
    <w:rsid w:val="000D2673"/>
    <w:rsid w:val="000D3612"/>
    <w:rsid w:val="000D3C46"/>
    <w:rsid w:val="000D3EF2"/>
    <w:rsid w:val="000D4A85"/>
    <w:rsid w:val="000D4BD6"/>
    <w:rsid w:val="000D54C4"/>
    <w:rsid w:val="000D54E3"/>
    <w:rsid w:val="000D59DB"/>
    <w:rsid w:val="000D5A44"/>
    <w:rsid w:val="000D6092"/>
    <w:rsid w:val="000D6229"/>
    <w:rsid w:val="000D64DA"/>
    <w:rsid w:val="000D6C29"/>
    <w:rsid w:val="000D7F60"/>
    <w:rsid w:val="000E0553"/>
    <w:rsid w:val="000E09B9"/>
    <w:rsid w:val="000E11B0"/>
    <w:rsid w:val="000E17E5"/>
    <w:rsid w:val="000E20D7"/>
    <w:rsid w:val="000E2BBB"/>
    <w:rsid w:val="000E2C9B"/>
    <w:rsid w:val="000E2F2E"/>
    <w:rsid w:val="000E3151"/>
    <w:rsid w:val="000E31AC"/>
    <w:rsid w:val="000E361B"/>
    <w:rsid w:val="000E374B"/>
    <w:rsid w:val="000E3D53"/>
    <w:rsid w:val="000E3ED2"/>
    <w:rsid w:val="000E43ED"/>
    <w:rsid w:val="000E5EA7"/>
    <w:rsid w:val="000E5FD4"/>
    <w:rsid w:val="000E6615"/>
    <w:rsid w:val="000E7323"/>
    <w:rsid w:val="000F0A52"/>
    <w:rsid w:val="000F19F4"/>
    <w:rsid w:val="000F2918"/>
    <w:rsid w:val="000F2B86"/>
    <w:rsid w:val="000F34C2"/>
    <w:rsid w:val="000F3616"/>
    <w:rsid w:val="000F3B62"/>
    <w:rsid w:val="000F3D93"/>
    <w:rsid w:val="000F3DDA"/>
    <w:rsid w:val="000F452F"/>
    <w:rsid w:val="000F4B7E"/>
    <w:rsid w:val="000F4E57"/>
    <w:rsid w:val="000F5AF3"/>
    <w:rsid w:val="000F5B82"/>
    <w:rsid w:val="000F5FB0"/>
    <w:rsid w:val="000F6013"/>
    <w:rsid w:val="000F6605"/>
    <w:rsid w:val="000F67FF"/>
    <w:rsid w:val="000F6A7B"/>
    <w:rsid w:val="000F6FEF"/>
    <w:rsid w:val="000F728C"/>
    <w:rsid w:val="000F734F"/>
    <w:rsid w:val="000F7C6D"/>
    <w:rsid w:val="000F7E9F"/>
    <w:rsid w:val="001001ED"/>
    <w:rsid w:val="00100B6C"/>
    <w:rsid w:val="00100ECB"/>
    <w:rsid w:val="0010137E"/>
    <w:rsid w:val="001014A9"/>
    <w:rsid w:val="0010190B"/>
    <w:rsid w:val="00101CC3"/>
    <w:rsid w:val="0010287A"/>
    <w:rsid w:val="00102970"/>
    <w:rsid w:val="00103687"/>
    <w:rsid w:val="001039E4"/>
    <w:rsid w:val="001039E8"/>
    <w:rsid w:val="001040DE"/>
    <w:rsid w:val="0010471B"/>
    <w:rsid w:val="00104821"/>
    <w:rsid w:val="001049E3"/>
    <w:rsid w:val="00104BE0"/>
    <w:rsid w:val="00104C71"/>
    <w:rsid w:val="0010545C"/>
    <w:rsid w:val="0010569B"/>
    <w:rsid w:val="001058A3"/>
    <w:rsid w:val="00105A61"/>
    <w:rsid w:val="00106DED"/>
    <w:rsid w:val="001070EC"/>
    <w:rsid w:val="001073EE"/>
    <w:rsid w:val="0010747B"/>
    <w:rsid w:val="00107AA1"/>
    <w:rsid w:val="001107E4"/>
    <w:rsid w:val="00110D63"/>
    <w:rsid w:val="0011156E"/>
    <w:rsid w:val="001121C0"/>
    <w:rsid w:val="001135C8"/>
    <w:rsid w:val="001143DB"/>
    <w:rsid w:val="00114476"/>
    <w:rsid w:val="0011470F"/>
    <w:rsid w:val="00114845"/>
    <w:rsid w:val="00114DF7"/>
    <w:rsid w:val="001150A7"/>
    <w:rsid w:val="00115173"/>
    <w:rsid w:val="001159C5"/>
    <w:rsid w:val="0011602B"/>
    <w:rsid w:val="00116209"/>
    <w:rsid w:val="00116549"/>
    <w:rsid w:val="00117246"/>
    <w:rsid w:val="00117503"/>
    <w:rsid w:val="00117AF3"/>
    <w:rsid w:val="001203D1"/>
    <w:rsid w:val="0012046E"/>
    <w:rsid w:val="00120FCD"/>
    <w:rsid w:val="001215AD"/>
    <w:rsid w:val="001216D6"/>
    <w:rsid w:val="001216D9"/>
    <w:rsid w:val="00121EA1"/>
    <w:rsid w:val="0012213A"/>
    <w:rsid w:val="0012273C"/>
    <w:rsid w:val="00122C6A"/>
    <w:rsid w:val="00122E64"/>
    <w:rsid w:val="00122E99"/>
    <w:rsid w:val="001243AA"/>
    <w:rsid w:val="0012451B"/>
    <w:rsid w:val="00125540"/>
    <w:rsid w:val="00125B8B"/>
    <w:rsid w:val="001264D8"/>
    <w:rsid w:val="001265CD"/>
    <w:rsid w:val="00127B43"/>
    <w:rsid w:val="00127CD0"/>
    <w:rsid w:val="00130100"/>
    <w:rsid w:val="00130421"/>
    <w:rsid w:val="00130ADA"/>
    <w:rsid w:val="00130C7E"/>
    <w:rsid w:val="00130CEE"/>
    <w:rsid w:val="00131019"/>
    <w:rsid w:val="001318C9"/>
    <w:rsid w:val="00131C01"/>
    <w:rsid w:val="00131F42"/>
    <w:rsid w:val="001322E3"/>
    <w:rsid w:val="0013284D"/>
    <w:rsid w:val="00133496"/>
    <w:rsid w:val="001334AC"/>
    <w:rsid w:val="00133731"/>
    <w:rsid w:val="00133918"/>
    <w:rsid w:val="00133B90"/>
    <w:rsid w:val="00134523"/>
    <w:rsid w:val="00134835"/>
    <w:rsid w:val="00134BCB"/>
    <w:rsid w:val="001351A3"/>
    <w:rsid w:val="001357F1"/>
    <w:rsid w:val="0013621B"/>
    <w:rsid w:val="0013702F"/>
    <w:rsid w:val="0014051C"/>
    <w:rsid w:val="001409DA"/>
    <w:rsid w:val="00140EA0"/>
    <w:rsid w:val="00140FA8"/>
    <w:rsid w:val="00141723"/>
    <w:rsid w:val="00141F0E"/>
    <w:rsid w:val="00142A5E"/>
    <w:rsid w:val="00142FEB"/>
    <w:rsid w:val="001431E2"/>
    <w:rsid w:val="00143A2D"/>
    <w:rsid w:val="001446BC"/>
    <w:rsid w:val="0014506F"/>
    <w:rsid w:val="001450A1"/>
    <w:rsid w:val="00145A41"/>
    <w:rsid w:val="001467CD"/>
    <w:rsid w:val="00147905"/>
    <w:rsid w:val="00147A80"/>
    <w:rsid w:val="00150F6C"/>
    <w:rsid w:val="00151675"/>
    <w:rsid w:val="00152285"/>
    <w:rsid w:val="0015255B"/>
    <w:rsid w:val="00152712"/>
    <w:rsid w:val="00152900"/>
    <w:rsid w:val="00152B5D"/>
    <w:rsid w:val="00153421"/>
    <w:rsid w:val="00153610"/>
    <w:rsid w:val="001537CB"/>
    <w:rsid w:val="00153B6F"/>
    <w:rsid w:val="001544B0"/>
    <w:rsid w:val="00154B77"/>
    <w:rsid w:val="00154ED1"/>
    <w:rsid w:val="00155546"/>
    <w:rsid w:val="00155596"/>
    <w:rsid w:val="001560DA"/>
    <w:rsid w:val="0015631D"/>
    <w:rsid w:val="001563E5"/>
    <w:rsid w:val="001566D0"/>
    <w:rsid w:val="001566FA"/>
    <w:rsid w:val="001571E8"/>
    <w:rsid w:val="00157435"/>
    <w:rsid w:val="00157965"/>
    <w:rsid w:val="00161242"/>
    <w:rsid w:val="00161885"/>
    <w:rsid w:val="001618E6"/>
    <w:rsid w:val="00161BE6"/>
    <w:rsid w:val="00161FE8"/>
    <w:rsid w:val="001622AE"/>
    <w:rsid w:val="00162B83"/>
    <w:rsid w:val="00162C57"/>
    <w:rsid w:val="00163D37"/>
    <w:rsid w:val="001641F4"/>
    <w:rsid w:val="001645A2"/>
    <w:rsid w:val="0016487E"/>
    <w:rsid w:val="00165452"/>
    <w:rsid w:val="00165CB4"/>
    <w:rsid w:val="00166275"/>
    <w:rsid w:val="001669FA"/>
    <w:rsid w:val="00166B43"/>
    <w:rsid w:val="001703FB"/>
    <w:rsid w:val="00170AA8"/>
    <w:rsid w:val="00170B7C"/>
    <w:rsid w:val="00170D96"/>
    <w:rsid w:val="00171184"/>
    <w:rsid w:val="001713B6"/>
    <w:rsid w:val="00171EF0"/>
    <w:rsid w:val="00172519"/>
    <w:rsid w:val="00172A27"/>
    <w:rsid w:val="00172A46"/>
    <w:rsid w:val="0017374F"/>
    <w:rsid w:val="0017419C"/>
    <w:rsid w:val="00174700"/>
    <w:rsid w:val="001747C1"/>
    <w:rsid w:val="0017496E"/>
    <w:rsid w:val="00174A9F"/>
    <w:rsid w:val="0017504D"/>
    <w:rsid w:val="00175642"/>
    <w:rsid w:val="001758E0"/>
    <w:rsid w:val="00175A9E"/>
    <w:rsid w:val="001762AD"/>
    <w:rsid w:val="0017671A"/>
    <w:rsid w:val="00176AFE"/>
    <w:rsid w:val="00176CFD"/>
    <w:rsid w:val="00177010"/>
    <w:rsid w:val="00177422"/>
    <w:rsid w:val="00180397"/>
    <w:rsid w:val="00180A1D"/>
    <w:rsid w:val="00180FCA"/>
    <w:rsid w:val="00181017"/>
    <w:rsid w:val="0018107C"/>
    <w:rsid w:val="0018118D"/>
    <w:rsid w:val="00181D4D"/>
    <w:rsid w:val="001821AB"/>
    <w:rsid w:val="00182544"/>
    <w:rsid w:val="00182A8A"/>
    <w:rsid w:val="00182D8D"/>
    <w:rsid w:val="00182F16"/>
    <w:rsid w:val="00183A4F"/>
    <w:rsid w:val="00184590"/>
    <w:rsid w:val="00184B32"/>
    <w:rsid w:val="0018520B"/>
    <w:rsid w:val="00185FE9"/>
    <w:rsid w:val="00186019"/>
    <w:rsid w:val="001867CE"/>
    <w:rsid w:val="00186AFA"/>
    <w:rsid w:val="001870D1"/>
    <w:rsid w:val="00187223"/>
    <w:rsid w:val="0018781E"/>
    <w:rsid w:val="001878F0"/>
    <w:rsid w:val="00187FEF"/>
    <w:rsid w:val="00190439"/>
    <w:rsid w:val="00190EF4"/>
    <w:rsid w:val="001913D0"/>
    <w:rsid w:val="00191627"/>
    <w:rsid w:val="00191E16"/>
    <w:rsid w:val="0019262D"/>
    <w:rsid w:val="001938E0"/>
    <w:rsid w:val="00193975"/>
    <w:rsid w:val="00193B1C"/>
    <w:rsid w:val="00193BB7"/>
    <w:rsid w:val="00194BD6"/>
    <w:rsid w:val="001955D6"/>
    <w:rsid w:val="001958CE"/>
    <w:rsid w:val="001962F4"/>
    <w:rsid w:val="001970BE"/>
    <w:rsid w:val="001970FE"/>
    <w:rsid w:val="001A0178"/>
    <w:rsid w:val="001A0A06"/>
    <w:rsid w:val="001A1063"/>
    <w:rsid w:val="001A134B"/>
    <w:rsid w:val="001A1458"/>
    <w:rsid w:val="001A1B35"/>
    <w:rsid w:val="001A2D55"/>
    <w:rsid w:val="001A3886"/>
    <w:rsid w:val="001A3F62"/>
    <w:rsid w:val="001A48A2"/>
    <w:rsid w:val="001A48EC"/>
    <w:rsid w:val="001A4C5D"/>
    <w:rsid w:val="001A6250"/>
    <w:rsid w:val="001A6F61"/>
    <w:rsid w:val="001A7435"/>
    <w:rsid w:val="001A7A66"/>
    <w:rsid w:val="001B0926"/>
    <w:rsid w:val="001B12E2"/>
    <w:rsid w:val="001B1428"/>
    <w:rsid w:val="001B146B"/>
    <w:rsid w:val="001B27F2"/>
    <w:rsid w:val="001B328F"/>
    <w:rsid w:val="001B429C"/>
    <w:rsid w:val="001B4D83"/>
    <w:rsid w:val="001B52CB"/>
    <w:rsid w:val="001B5647"/>
    <w:rsid w:val="001B5EF4"/>
    <w:rsid w:val="001B634C"/>
    <w:rsid w:val="001B72B8"/>
    <w:rsid w:val="001B743E"/>
    <w:rsid w:val="001B7530"/>
    <w:rsid w:val="001B7902"/>
    <w:rsid w:val="001B7911"/>
    <w:rsid w:val="001B7BFD"/>
    <w:rsid w:val="001B7C49"/>
    <w:rsid w:val="001B7C6E"/>
    <w:rsid w:val="001C022A"/>
    <w:rsid w:val="001C0366"/>
    <w:rsid w:val="001C2ED8"/>
    <w:rsid w:val="001C3297"/>
    <w:rsid w:val="001C3A50"/>
    <w:rsid w:val="001C3B98"/>
    <w:rsid w:val="001C4178"/>
    <w:rsid w:val="001C4303"/>
    <w:rsid w:val="001C4EE9"/>
    <w:rsid w:val="001C56AC"/>
    <w:rsid w:val="001C5B8A"/>
    <w:rsid w:val="001C6781"/>
    <w:rsid w:val="001C69B3"/>
    <w:rsid w:val="001C6FCD"/>
    <w:rsid w:val="001C72D9"/>
    <w:rsid w:val="001C72F6"/>
    <w:rsid w:val="001C73D2"/>
    <w:rsid w:val="001C7CD5"/>
    <w:rsid w:val="001D0AA0"/>
    <w:rsid w:val="001D0FF8"/>
    <w:rsid w:val="001D1076"/>
    <w:rsid w:val="001D20DA"/>
    <w:rsid w:val="001D251D"/>
    <w:rsid w:val="001D2638"/>
    <w:rsid w:val="001D2942"/>
    <w:rsid w:val="001D2B4C"/>
    <w:rsid w:val="001D3E5F"/>
    <w:rsid w:val="001D4364"/>
    <w:rsid w:val="001D4B8A"/>
    <w:rsid w:val="001D4C27"/>
    <w:rsid w:val="001D4D06"/>
    <w:rsid w:val="001D507F"/>
    <w:rsid w:val="001D543E"/>
    <w:rsid w:val="001D5595"/>
    <w:rsid w:val="001D6316"/>
    <w:rsid w:val="001D6F65"/>
    <w:rsid w:val="001D71DA"/>
    <w:rsid w:val="001D7874"/>
    <w:rsid w:val="001D79C8"/>
    <w:rsid w:val="001D7F22"/>
    <w:rsid w:val="001E02A5"/>
    <w:rsid w:val="001E0978"/>
    <w:rsid w:val="001E0D74"/>
    <w:rsid w:val="001E0DC8"/>
    <w:rsid w:val="001E136A"/>
    <w:rsid w:val="001E1FFC"/>
    <w:rsid w:val="001E2839"/>
    <w:rsid w:val="001E2F07"/>
    <w:rsid w:val="001E30DF"/>
    <w:rsid w:val="001E3501"/>
    <w:rsid w:val="001E3D34"/>
    <w:rsid w:val="001E3E9C"/>
    <w:rsid w:val="001E446B"/>
    <w:rsid w:val="001E47E4"/>
    <w:rsid w:val="001E496A"/>
    <w:rsid w:val="001E4ADC"/>
    <w:rsid w:val="001E512F"/>
    <w:rsid w:val="001E51AA"/>
    <w:rsid w:val="001E57F7"/>
    <w:rsid w:val="001E5A00"/>
    <w:rsid w:val="001E6393"/>
    <w:rsid w:val="001E648D"/>
    <w:rsid w:val="001E64D4"/>
    <w:rsid w:val="001E769A"/>
    <w:rsid w:val="001E7D81"/>
    <w:rsid w:val="001E7DD0"/>
    <w:rsid w:val="001F00CA"/>
    <w:rsid w:val="001F061D"/>
    <w:rsid w:val="001F09E8"/>
    <w:rsid w:val="001F0C79"/>
    <w:rsid w:val="001F0F17"/>
    <w:rsid w:val="001F1347"/>
    <w:rsid w:val="001F15F8"/>
    <w:rsid w:val="001F17B2"/>
    <w:rsid w:val="001F1C78"/>
    <w:rsid w:val="001F2271"/>
    <w:rsid w:val="001F23D1"/>
    <w:rsid w:val="001F2996"/>
    <w:rsid w:val="001F2DDC"/>
    <w:rsid w:val="001F2E8C"/>
    <w:rsid w:val="001F313A"/>
    <w:rsid w:val="001F3347"/>
    <w:rsid w:val="001F46FA"/>
    <w:rsid w:val="001F4CA7"/>
    <w:rsid w:val="001F51EF"/>
    <w:rsid w:val="001F56D0"/>
    <w:rsid w:val="001F571A"/>
    <w:rsid w:val="001F5B49"/>
    <w:rsid w:val="001F6430"/>
    <w:rsid w:val="001F69E4"/>
    <w:rsid w:val="001F71DC"/>
    <w:rsid w:val="001F7E9B"/>
    <w:rsid w:val="00200365"/>
    <w:rsid w:val="00201976"/>
    <w:rsid w:val="00202084"/>
    <w:rsid w:val="00202635"/>
    <w:rsid w:val="00202870"/>
    <w:rsid w:val="002028B7"/>
    <w:rsid w:val="002031C8"/>
    <w:rsid w:val="00203E62"/>
    <w:rsid w:val="00203F8C"/>
    <w:rsid w:val="00204335"/>
    <w:rsid w:val="00204348"/>
    <w:rsid w:val="002049AE"/>
    <w:rsid w:val="002049CE"/>
    <w:rsid w:val="00204D22"/>
    <w:rsid w:val="00204F11"/>
    <w:rsid w:val="00205126"/>
    <w:rsid w:val="00205E6B"/>
    <w:rsid w:val="002063F6"/>
    <w:rsid w:val="00206640"/>
    <w:rsid w:val="002068E2"/>
    <w:rsid w:val="00206FA9"/>
    <w:rsid w:val="002078E4"/>
    <w:rsid w:val="00207BF3"/>
    <w:rsid w:val="00207F34"/>
    <w:rsid w:val="00207FBC"/>
    <w:rsid w:val="002100EE"/>
    <w:rsid w:val="0021156E"/>
    <w:rsid w:val="002118F5"/>
    <w:rsid w:val="00211C3F"/>
    <w:rsid w:val="00211D6A"/>
    <w:rsid w:val="00212043"/>
    <w:rsid w:val="00212294"/>
    <w:rsid w:val="002125B4"/>
    <w:rsid w:val="00212A44"/>
    <w:rsid w:val="002134C3"/>
    <w:rsid w:val="0021374D"/>
    <w:rsid w:val="00213BB9"/>
    <w:rsid w:val="00213F74"/>
    <w:rsid w:val="002142AA"/>
    <w:rsid w:val="00214F62"/>
    <w:rsid w:val="002155B8"/>
    <w:rsid w:val="002159AC"/>
    <w:rsid w:val="00216C11"/>
    <w:rsid w:val="0021786E"/>
    <w:rsid w:val="002201D1"/>
    <w:rsid w:val="00220330"/>
    <w:rsid w:val="00220543"/>
    <w:rsid w:val="00220923"/>
    <w:rsid w:val="00221398"/>
    <w:rsid w:val="00221D11"/>
    <w:rsid w:val="00221DD6"/>
    <w:rsid w:val="00222A77"/>
    <w:rsid w:val="00222F72"/>
    <w:rsid w:val="002235B9"/>
    <w:rsid w:val="00223870"/>
    <w:rsid w:val="00223ED8"/>
    <w:rsid w:val="00223FC3"/>
    <w:rsid w:val="00224406"/>
    <w:rsid w:val="002246EE"/>
    <w:rsid w:val="00224839"/>
    <w:rsid w:val="002249B2"/>
    <w:rsid w:val="00224D49"/>
    <w:rsid w:val="00225526"/>
    <w:rsid w:val="00225B77"/>
    <w:rsid w:val="00226574"/>
    <w:rsid w:val="00226A92"/>
    <w:rsid w:val="00226A93"/>
    <w:rsid w:val="00226DFF"/>
    <w:rsid w:val="0022715F"/>
    <w:rsid w:val="0022753C"/>
    <w:rsid w:val="002278EC"/>
    <w:rsid w:val="00227AE1"/>
    <w:rsid w:val="00230736"/>
    <w:rsid w:val="00232803"/>
    <w:rsid w:val="0023280E"/>
    <w:rsid w:val="00233256"/>
    <w:rsid w:val="0023383E"/>
    <w:rsid w:val="0023389C"/>
    <w:rsid w:val="00233C73"/>
    <w:rsid w:val="0023438D"/>
    <w:rsid w:val="0023476B"/>
    <w:rsid w:val="00235B45"/>
    <w:rsid w:val="00235C82"/>
    <w:rsid w:val="00236478"/>
    <w:rsid w:val="002368B2"/>
    <w:rsid w:val="00236B95"/>
    <w:rsid w:val="00236FC5"/>
    <w:rsid w:val="00237707"/>
    <w:rsid w:val="002377D1"/>
    <w:rsid w:val="00237A6D"/>
    <w:rsid w:val="00240098"/>
    <w:rsid w:val="002402B3"/>
    <w:rsid w:val="00241E67"/>
    <w:rsid w:val="0024259B"/>
    <w:rsid w:val="0024317C"/>
    <w:rsid w:val="0024422C"/>
    <w:rsid w:val="00244AC2"/>
    <w:rsid w:val="002451C1"/>
    <w:rsid w:val="00245AB1"/>
    <w:rsid w:val="00245E45"/>
    <w:rsid w:val="00246B77"/>
    <w:rsid w:val="00247387"/>
    <w:rsid w:val="00247459"/>
    <w:rsid w:val="00247593"/>
    <w:rsid w:val="002477D9"/>
    <w:rsid w:val="002506BC"/>
    <w:rsid w:val="0025086D"/>
    <w:rsid w:val="00250FF6"/>
    <w:rsid w:val="00252848"/>
    <w:rsid w:val="00252C0E"/>
    <w:rsid w:val="00252EC8"/>
    <w:rsid w:val="0025328A"/>
    <w:rsid w:val="0025347E"/>
    <w:rsid w:val="002538B3"/>
    <w:rsid w:val="0025406E"/>
    <w:rsid w:val="0025408F"/>
    <w:rsid w:val="00254178"/>
    <w:rsid w:val="002542E2"/>
    <w:rsid w:val="00254345"/>
    <w:rsid w:val="00254A80"/>
    <w:rsid w:val="00254C41"/>
    <w:rsid w:val="00254FCB"/>
    <w:rsid w:val="00255300"/>
    <w:rsid w:val="00255D69"/>
    <w:rsid w:val="00255E31"/>
    <w:rsid w:val="002568AD"/>
    <w:rsid w:val="00256CD2"/>
    <w:rsid w:val="00257FF9"/>
    <w:rsid w:val="002607F1"/>
    <w:rsid w:val="00260ED8"/>
    <w:rsid w:val="00261071"/>
    <w:rsid w:val="002611D3"/>
    <w:rsid w:val="00261274"/>
    <w:rsid w:val="002614AF"/>
    <w:rsid w:val="0026166E"/>
    <w:rsid w:val="00261903"/>
    <w:rsid w:val="00262F2E"/>
    <w:rsid w:val="00263809"/>
    <w:rsid w:val="00264557"/>
    <w:rsid w:val="00264DBF"/>
    <w:rsid w:val="002651C7"/>
    <w:rsid w:val="002655D8"/>
    <w:rsid w:val="002663E2"/>
    <w:rsid w:val="00266C84"/>
    <w:rsid w:val="00267620"/>
    <w:rsid w:val="002700CC"/>
    <w:rsid w:val="00270624"/>
    <w:rsid w:val="00270708"/>
    <w:rsid w:val="0027119D"/>
    <w:rsid w:val="00272942"/>
    <w:rsid w:val="002729A7"/>
    <w:rsid w:val="00272FAA"/>
    <w:rsid w:val="002731D2"/>
    <w:rsid w:val="00273577"/>
    <w:rsid w:val="00273907"/>
    <w:rsid w:val="00273A4E"/>
    <w:rsid w:val="0027414B"/>
    <w:rsid w:val="002748AF"/>
    <w:rsid w:val="002756B6"/>
    <w:rsid w:val="00275C8C"/>
    <w:rsid w:val="00275DD5"/>
    <w:rsid w:val="00275F3C"/>
    <w:rsid w:val="002763FE"/>
    <w:rsid w:val="002764D8"/>
    <w:rsid w:val="00276F6C"/>
    <w:rsid w:val="0027725D"/>
    <w:rsid w:val="00277420"/>
    <w:rsid w:val="00277453"/>
    <w:rsid w:val="002805AB"/>
    <w:rsid w:val="00280FF9"/>
    <w:rsid w:val="0028128D"/>
    <w:rsid w:val="0028168A"/>
    <w:rsid w:val="002821CA"/>
    <w:rsid w:val="00282DB4"/>
    <w:rsid w:val="0028316E"/>
    <w:rsid w:val="00283233"/>
    <w:rsid w:val="00283238"/>
    <w:rsid w:val="00283303"/>
    <w:rsid w:val="0028342E"/>
    <w:rsid w:val="00284075"/>
    <w:rsid w:val="00284204"/>
    <w:rsid w:val="00284793"/>
    <w:rsid w:val="00284D7E"/>
    <w:rsid w:val="00285616"/>
    <w:rsid w:val="0028591B"/>
    <w:rsid w:val="00285B16"/>
    <w:rsid w:val="0028649E"/>
    <w:rsid w:val="00286A59"/>
    <w:rsid w:val="002870F3"/>
    <w:rsid w:val="0028744F"/>
    <w:rsid w:val="00287971"/>
    <w:rsid w:val="00287A2F"/>
    <w:rsid w:val="00287D89"/>
    <w:rsid w:val="00290FDA"/>
    <w:rsid w:val="00291773"/>
    <w:rsid w:val="002918DE"/>
    <w:rsid w:val="00291B7B"/>
    <w:rsid w:val="00291D13"/>
    <w:rsid w:val="00292068"/>
    <w:rsid w:val="00292101"/>
    <w:rsid w:val="00292607"/>
    <w:rsid w:val="002927F7"/>
    <w:rsid w:val="00293069"/>
    <w:rsid w:val="00293662"/>
    <w:rsid w:val="00293972"/>
    <w:rsid w:val="0029433F"/>
    <w:rsid w:val="002943B0"/>
    <w:rsid w:val="00294888"/>
    <w:rsid w:val="00295822"/>
    <w:rsid w:val="002958F2"/>
    <w:rsid w:val="00295D0C"/>
    <w:rsid w:val="002965F7"/>
    <w:rsid w:val="00297157"/>
    <w:rsid w:val="0029751D"/>
    <w:rsid w:val="00297FA5"/>
    <w:rsid w:val="002A058E"/>
    <w:rsid w:val="002A168C"/>
    <w:rsid w:val="002A3DC7"/>
    <w:rsid w:val="002A44F7"/>
    <w:rsid w:val="002A5197"/>
    <w:rsid w:val="002A521E"/>
    <w:rsid w:val="002A650E"/>
    <w:rsid w:val="002A6B38"/>
    <w:rsid w:val="002A6B9E"/>
    <w:rsid w:val="002A7830"/>
    <w:rsid w:val="002B02D8"/>
    <w:rsid w:val="002B0CAE"/>
    <w:rsid w:val="002B1F7C"/>
    <w:rsid w:val="002B241A"/>
    <w:rsid w:val="002B2DD5"/>
    <w:rsid w:val="002B2F71"/>
    <w:rsid w:val="002B2FBF"/>
    <w:rsid w:val="002B31C0"/>
    <w:rsid w:val="002B3369"/>
    <w:rsid w:val="002B39D6"/>
    <w:rsid w:val="002B3D03"/>
    <w:rsid w:val="002B3EE5"/>
    <w:rsid w:val="002B4180"/>
    <w:rsid w:val="002B49E2"/>
    <w:rsid w:val="002B5203"/>
    <w:rsid w:val="002B5B23"/>
    <w:rsid w:val="002B71FA"/>
    <w:rsid w:val="002B7B00"/>
    <w:rsid w:val="002B7C44"/>
    <w:rsid w:val="002B7CEB"/>
    <w:rsid w:val="002C00C5"/>
    <w:rsid w:val="002C059D"/>
    <w:rsid w:val="002C0906"/>
    <w:rsid w:val="002C0B26"/>
    <w:rsid w:val="002C0F5C"/>
    <w:rsid w:val="002C1745"/>
    <w:rsid w:val="002C1BCB"/>
    <w:rsid w:val="002C1D87"/>
    <w:rsid w:val="002C25CC"/>
    <w:rsid w:val="002C2AA3"/>
    <w:rsid w:val="002C2B17"/>
    <w:rsid w:val="002C2FF1"/>
    <w:rsid w:val="002C3FE8"/>
    <w:rsid w:val="002C4091"/>
    <w:rsid w:val="002C4986"/>
    <w:rsid w:val="002C4A16"/>
    <w:rsid w:val="002C4FC5"/>
    <w:rsid w:val="002C58E3"/>
    <w:rsid w:val="002C597A"/>
    <w:rsid w:val="002C6FD2"/>
    <w:rsid w:val="002C7072"/>
    <w:rsid w:val="002C7ACA"/>
    <w:rsid w:val="002C7FDF"/>
    <w:rsid w:val="002D0978"/>
    <w:rsid w:val="002D0BBC"/>
    <w:rsid w:val="002D0C38"/>
    <w:rsid w:val="002D1693"/>
    <w:rsid w:val="002D1B9C"/>
    <w:rsid w:val="002D1F93"/>
    <w:rsid w:val="002D2A77"/>
    <w:rsid w:val="002D2FF2"/>
    <w:rsid w:val="002D310D"/>
    <w:rsid w:val="002D35A9"/>
    <w:rsid w:val="002D3DD0"/>
    <w:rsid w:val="002D3FE3"/>
    <w:rsid w:val="002D4949"/>
    <w:rsid w:val="002D4A6C"/>
    <w:rsid w:val="002D5059"/>
    <w:rsid w:val="002D5B30"/>
    <w:rsid w:val="002D6462"/>
    <w:rsid w:val="002D667A"/>
    <w:rsid w:val="002D78D4"/>
    <w:rsid w:val="002D7C4A"/>
    <w:rsid w:val="002E10B5"/>
    <w:rsid w:val="002E1B11"/>
    <w:rsid w:val="002E1F3A"/>
    <w:rsid w:val="002E20B3"/>
    <w:rsid w:val="002E211F"/>
    <w:rsid w:val="002E22FD"/>
    <w:rsid w:val="002E270E"/>
    <w:rsid w:val="002E298A"/>
    <w:rsid w:val="002E31A3"/>
    <w:rsid w:val="002E333F"/>
    <w:rsid w:val="002E3E25"/>
    <w:rsid w:val="002E3F9A"/>
    <w:rsid w:val="002E4C92"/>
    <w:rsid w:val="002E5378"/>
    <w:rsid w:val="002E65DF"/>
    <w:rsid w:val="002E6DB0"/>
    <w:rsid w:val="002E7D3E"/>
    <w:rsid w:val="002F040A"/>
    <w:rsid w:val="002F08E2"/>
    <w:rsid w:val="002F0EA9"/>
    <w:rsid w:val="002F1A4D"/>
    <w:rsid w:val="002F2B2B"/>
    <w:rsid w:val="002F2EA8"/>
    <w:rsid w:val="002F2F66"/>
    <w:rsid w:val="002F3759"/>
    <w:rsid w:val="002F3D5E"/>
    <w:rsid w:val="002F41A0"/>
    <w:rsid w:val="002F43C2"/>
    <w:rsid w:val="002F46A9"/>
    <w:rsid w:val="002F4B3B"/>
    <w:rsid w:val="002F4BBB"/>
    <w:rsid w:val="002F4D2F"/>
    <w:rsid w:val="002F54E3"/>
    <w:rsid w:val="002F5D15"/>
    <w:rsid w:val="002F5F2F"/>
    <w:rsid w:val="002F6144"/>
    <w:rsid w:val="002F6312"/>
    <w:rsid w:val="002F6F5D"/>
    <w:rsid w:val="002F704F"/>
    <w:rsid w:val="00300CA3"/>
    <w:rsid w:val="00301235"/>
    <w:rsid w:val="00301978"/>
    <w:rsid w:val="00301B68"/>
    <w:rsid w:val="00301EC2"/>
    <w:rsid w:val="00302071"/>
    <w:rsid w:val="00302446"/>
    <w:rsid w:val="00302C15"/>
    <w:rsid w:val="00302CEB"/>
    <w:rsid w:val="0030332C"/>
    <w:rsid w:val="00303A04"/>
    <w:rsid w:val="00303FFA"/>
    <w:rsid w:val="00304351"/>
    <w:rsid w:val="003044CC"/>
    <w:rsid w:val="00304B91"/>
    <w:rsid w:val="00304F79"/>
    <w:rsid w:val="00304F86"/>
    <w:rsid w:val="003051C2"/>
    <w:rsid w:val="00305589"/>
    <w:rsid w:val="00305666"/>
    <w:rsid w:val="00305F3C"/>
    <w:rsid w:val="003061BE"/>
    <w:rsid w:val="00306241"/>
    <w:rsid w:val="00306E30"/>
    <w:rsid w:val="00310454"/>
    <w:rsid w:val="003104C2"/>
    <w:rsid w:val="00310541"/>
    <w:rsid w:val="0031068E"/>
    <w:rsid w:val="00310D4F"/>
    <w:rsid w:val="00310E0A"/>
    <w:rsid w:val="00310F19"/>
    <w:rsid w:val="00311338"/>
    <w:rsid w:val="0031149D"/>
    <w:rsid w:val="00312296"/>
    <w:rsid w:val="0031249E"/>
    <w:rsid w:val="003125F1"/>
    <w:rsid w:val="00312AB5"/>
    <w:rsid w:val="0031313A"/>
    <w:rsid w:val="00313529"/>
    <w:rsid w:val="00313791"/>
    <w:rsid w:val="00313986"/>
    <w:rsid w:val="00314686"/>
    <w:rsid w:val="003146DC"/>
    <w:rsid w:val="00314F0E"/>
    <w:rsid w:val="003151EA"/>
    <w:rsid w:val="00315653"/>
    <w:rsid w:val="003157FD"/>
    <w:rsid w:val="00315E7B"/>
    <w:rsid w:val="003162ED"/>
    <w:rsid w:val="003178B7"/>
    <w:rsid w:val="0032032C"/>
    <w:rsid w:val="00320B46"/>
    <w:rsid w:val="00321149"/>
    <w:rsid w:val="00321C7D"/>
    <w:rsid w:val="00321D8E"/>
    <w:rsid w:val="003222A9"/>
    <w:rsid w:val="003224AC"/>
    <w:rsid w:val="00322636"/>
    <w:rsid w:val="003229DC"/>
    <w:rsid w:val="00322B1B"/>
    <w:rsid w:val="00322D67"/>
    <w:rsid w:val="00323181"/>
    <w:rsid w:val="003235BC"/>
    <w:rsid w:val="003237BD"/>
    <w:rsid w:val="00324179"/>
    <w:rsid w:val="003245E2"/>
    <w:rsid w:val="0032474B"/>
    <w:rsid w:val="00324764"/>
    <w:rsid w:val="00324BC4"/>
    <w:rsid w:val="00325057"/>
    <w:rsid w:val="003252C4"/>
    <w:rsid w:val="00325928"/>
    <w:rsid w:val="0032618F"/>
    <w:rsid w:val="00327325"/>
    <w:rsid w:val="00327AF1"/>
    <w:rsid w:val="00327ED1"/>
    <w:rsid w:val="003309A0"/>
    <w:rsid w:val="00331C6B"/>
    <w:rsid w:val="00332863"/>
    <w:rsid w:val="003329F6"/>
    <w:rsid w:val="00333060"/>
    <w:rsid w:val="003332F9"/>
    <w:rsid w:val="00333AD5"/>
    <w:rsid w:val="00333BF9"/>
    <w:rsid w:val="00334487"/>
    <w:rsid w:val="003350A1"/>
    <w:rsid w:val="0033513C"/>
    <w:rsid w:val="00335C2A"/>
    <w:rsid w:val="00335D70"/>
    <w:rsid w:val="00336192"/>
    <w:rsid w:val="00336294"/>
    <w:rsid w:val="0033684D"/>
    <w:rsid w:val="00336B51"/>
    <w:rsid w:val="003379EC"/>
    <w:rsid w:val="00337B42"/>
    <w:rsid w:val="00340026"/>
    <w:rsid w:val="00340146"/>
    <w:rsid w:val="00340597"/>
    <w:rsid w:val="00340935"/>
    <w:rsid w:val="00340A87"/>
    <w:rsid w:val="00341B42"/>
    <w:rsid w:val="00341F5A"/>
    <w:rsid w:val="00342F8D"/>
    <w:rsid w:val="0034348F"/>
    <w:rsid w:val="003435B6"/>
    <w:rsid w:val="00343C8A"/>
    <w:rsid w:val="003445B7"/>
    <w:rsid w:val="00344907"/>
    <w:rsid w:val="00344D62"/>
    <w:rsid w:val="0034507D"/>
    <w:rsid w:val="00345126"/>
    <w:rsid w:val="0034539A"/>
    <w:rsid w:val="0034594E"/>
    <w:rsid w:val="00345DE2"/>
    <w:rsid w:val="00346079"/>
    <w:rsid w:val="003468EE"/>
    <w:rsid w:val="00347CC6"/>
    <w:rsid w:val="00347E6B"/>
    <w:rsid w:val="00347EB6"/>
    <w:rsid w:val="00347EED"/>
    <w:rsid w:val="00350420"/>
    <w:rsid w:val="003504B2"/>
    <w:rsid w:val="003509D4"/>
    <w:rsid w:val="00351530"/>
    <w:rsid w:val="00351544"/>
    <w:rsid w:val="00351592"/>
    <w:rsid w:val="00351BFD"/>
    <w:rsid w:val="00352645"/>
    <w:rsid w:val="0035413F"/>
    <w:rsid w:val="003543BD"/>
    <w:rsid w:val="0035473F"/>
    <w:rsid w:val="00354D60"/>
    <w:rsid w:val="00354E0E"/>
    <w:rsid w:val="003558B0"/>
    <w:rsid w:val="00355ECE"/>
    <w:rsid w:val="00356653"/>
    <w:rsid w:val="0035676D"/>
    <w:rsid w:val="0035698D"/>
    <w:rsid w:val="00356E9E"/>
    <w:rsid w:val="00356EF7"/>
    <w:rsid w:val="0035743F"/>
    <w:rsid w:val="00357BE2"/>
    <w:rsid w:val="00357C69"/>
    <w:rsid w:val="003607D1"/>
    <w:rsid w:val="0036170C"/>
    <w:rsid w:val="0036235F"/>
    <w:rsid w:val="00362589"/>
    <w:rsid w:val="00362C0F"/>
    <w:rsid w:val="003633D8"/>
    <w:rsid w:val="00363F80"/>
    <w:rsid w:val="0036411C"/>
    <w:rsid w:val="00365FAB"/>
    <w:rsid w:val="00366488"/>
    <w:rsid w:val="00366694"/>
    <w:rsid w:val="003666B8"/>
    <w:rsid w:val="00366DC9"/>
    <w:rsid w:val="00366E0F"/>
    <w:rsid w:val="00366E19"/>
    <w:rsid w:val="00366EA5"/>
    <w:rsid w:val="003676D1"/>
    <w:rsid w:val="00367E15"/>
    <w:rsid w:val="003711F3"/>
    <w:rsid w:val="0037152F"/>
    <w:rsid w:val="0037196A"/>
    <w:rsid w:val="0037254A"/>
    <w:rsid w:val="0037280C"/>
    <w:rsid w:val="00373147"/>
    <w:rsid w:val="00373B32"/>
    <w:rsid w:val="003744C0"/>
    <w:rsid w:val="00374F05"/>
    <w:rsid w:val="00375068"/>
    <w:rsid w:val="003753AE"/>
    <w:rsid w:val="003756C2"/>
    <w:rsid w:val="00375A9A"/>
    <w:rsid w:val="0037684E"/>
    <w:rsid w:val="0037685F"/>
    <w:rsid w:val="0037700C"/>
    <w:rsid w:val="00377C3E"/>
    <w:rsid w:val="00377F1C"/>
    <w:rsid w:val="00380183"/>
    <w:rsid w:val="00380696"/>
    <w:rsid w:val="00381197"/>
    <w:rsid w:val="00381A72"/>
    <w:rsid w:val="00382E1A"/>
    <w:rsid w:val="00384676"/>
    <w:rsid w:val="00384B56"/>
    <w:rsid w:val="00384DFE"/>
    <w:rsid w:val="0038619E"/>
    <w:rsid w:val="003863FB"/>
    <w:rsid w:val="0038650A"/>
    <w:rsid w:val="00386623"/>
    <w:rsid w:val="00386863"/>
    <w:rsid w:val="00386B24"/>
    <w:rsid w:val="00386FA6"/>
    <w:rsid w:val="0038796F"/>
    <w:rsid w:val="00387977"/>
    <w:rsid w:val="003879FE"/>
    <w:rsid w:val="00387C5F"/>
    <w:rsid w:val="00390857"/>
    <w:rsid w:val="00390E61"/>
    <w:rsid w:val="00390E9E"/>
    <w:rsid w:val="0039110E"/>
    <w:rsid w:val="00391ED2"/>
    <w:rsid w:val="00391F7B"/>
    <w:rsid w:val="00392213"/>
    <w:rsid w:val="00392600"/>
    <w:rsid w:val="0039347A"/>
    <w:rsid w:val="00394021"/>
    <w:rsid w:val="00394126"/>
    <w:rsid w:val="003941A8"/>
    <w:rsid w:val="0039439E"/>
    <w:rsid w:val="0039459E"/>
    <w:rsid w:val="00394BD0"/>
    <w:rsid w:val="00394C5C"/>
    <w:rsid w:val="003951C7"/>
    <w:rsid w:val="003953AE"/>
    <w:rsid w:val="003954F5"/>
    <w:rsid w:val="00395528"/>
    <w:rsid w:val="00395530"/>
    <w:rsid w:val="00395C0B"/>
    <w:rsid w:val="00395FB7"/>
    <w:rsid w:val="00396752"/>
    <w:rsid w:val="003977C9"/>
    <w:rsid w:val="00397C49"/>
    <w:rsid w:val="003A017D"/>
    <w:rsid w:val="003A0CA9"/>
    <w:rsid w:val="003A19F8"/>
    <w:rsid w:val="003A204E"/>
    <w:rsid w:val="003A2740"/>
    <w:rsid w:val="003A31B0"/>
    <w:rsid w:val="003A3F3C"/>
    <w:rsid w:val="003A4824"/>
    <w:rsid w:val="003A493F"/>
    <w:rsid w:val="003A4BF3"/>
    <w:rsid w:val="003A4D4B"/>
    <w:rsid w:val="003A5197"/>
    <w:rsid w:val="003A5469"/>
    <w:rsid w:val="003A6212"/>
    <w:rsid w:val="003A6330"/>
    <w:rsid w:val="003A6B5B"/>
    <w:rsid w:val="003A7901"/>
    <w:rsid w:val="003A7D2D"/>
    <w:rsid w:val="003A7D3A"/>
    <w:rsid w:val="003B0458"/>
    <w:rsid w:val="003B064E"/>
    <w:rsid w:val="003B08B9"/>
    <w:rsid w:val="003B090B"/>
    <w:rsid w:val="003B0AF3"/>
    <w:rsid w:val="003B2154"/>
    <w:rsid w:val="003B2354"/>
    <w:rsid w:val="003B2873"/>
    <w:rsid w:val="003B2944"/>
    <w:rsid w:val="003B2D10"/>
    <w:rsid w:val="003B2FFF"/>
    <w:rsid w:val="003B3ADB"/>
    <w:rsid w:val="003B3F11"/>
    <w:rsid w:val="003B420D"/>
    <w:rsid w:val="003B4558"/>
    <w:rsid w:val="003B482B"/>
    <w:rsid w:val="003B53C9"/>
    <w:rsid w:val="003B59DB"/>
    <w:rsid w:val="003B68E1"/>
    <w:rsid w:val="003B717E"/>
    <w:rsid w:val="003B7556"/>
    <w:rsid w:val="003B75CC"/>
    <w:rsid w:val="003B7B62"/>
    <w:rsid w:val="003C01DF"/>
    <w:rsid w:val="003C0463"/>
    <w:rsid w:val="003C0485"/>
    <w:rsid w:val="003C05C2"/>
    <w:rsid w:val="003C06EC"/>
    <w:rsid w:val="003C0EC6"/>
    <w:rsid w:val="003C14D8"/>
    <w:rsid w:val="003C17D1"/>
    <w:rsid w:val="003C18D3"/>
    <w:rsid w:val="003C249B"/>
    <w:rsid w:val="003C4A9C"/>
    <w:rsid w:val="003C4AA3"/>
    <w:rsid w:val="003C5355"/>
    <w:rsid w:val="003C578E"/>
    <w:rsid w:val="003C64FE"/>
    <w:rsid w:val="003C6C16"/>
    <w:rsid w:val="003C73BF"/>
    <w:rsid w:val="003C7722"/>
    <w:rsid w:val="003C7BF7"/>
    <w:rsid w:val="003D0059"/>
    <w:rsid w:val="003D0C92"/>
    <w:rsid w:val="003D0F97"/>
    <w:rsid w:val="003D12F8"/>
    <w:rsid w:val="003D1D31"/>
    <w:rsid w:val="003D2BF7"/>
    <w:rsid w:val="003D3753"/>
    <w:rsid w:val="003D4443"/>
    <w:rsid w:val="003D47AE"/>
    <w:rsid w:val="003D47F8"/>
    <w:rsid w:val="003D497A"/>
    <w:rsid w:val="003D4F78"/>
    <w:rsid w:val="003D5126"/>
    <w:rsid w:val="003D550B"/>
    <w:rsid w:val="003D5786"/>
    <w:rsid w:val="003D585E"/>
    <w:rsid w:val="003D5EA9"/>
    <w:rsid w:val="003D6240"/>
    <w:rsid w:val="003D6BC3"/>
    <w:rsid w:val="003D77A3"/>
    <w:rsid w:val="003D794D"/>
    <w:rsid w:val="003D7AF2"/>
    <w:rsid w:val="003D7ED9"/>
    <w:rsid w:val="003E005B"/>
    <w:rsid w:val="003E03FA"/>
    <w:rsid w:val="003E081F"/>
    <w:rsid w:val="003E17BE"/>
    <w:rsid w:val="003E1F51"/>
    <w:rsid w:val="003E272E"/>
    <w:rsid w:val="003E3058"/>
    <w:rsid w:val="003E30C3"/>
    <w:rsid w:val="003E30D0"/>
    <w:rsid w:val="003E34CF"/>
    <w:rsid w:val="003E399C"/>
    <w:rsid w:val="003E42FF"/>
    <w:rsid w:val="003E4726"/>
    <w:rsid w:val="003E5503"/>
    <w:rsid w:val="003E5880"/>
    <w:rsid w:val="003E5A9F"/>
    <w:rsid w:val="003E5C2F"/>
    <w:rsid w:val="003E61AD"/>
    <w:rsid w:val="003E621C"/>
    <w:rsid w:val="003E76A9"/>
    <w:rsid w:val="003E7A60"/>
    <w:rsid w:val="003F009D"/>
    <w:rsid w:val="003F02C3"/>
    <w:rsid w:val="003F03A4"/>
    <w:rsid w:val="003F0809"/>
    <w:rsid w:val="003F0DCE"/>
    <w:rsid w:val="003F1B43"/>
    <w:rsid w:val="003F1C57"/>
    <w:rsid w:val="003F1CA5"/>
    <w:rsid w:val="003F1D85"/>
    <w:rsid w:val="003F22D3"/>
    <w:rsid w:val="003F2800"/>
    <w:rsid w:val="003F2C2C"/>
    <w:rsid w:val="003F34E7"/>
    <w:rsid w:val="003F382C"/>
    <w:rsid w:val="003F413E"/>
    <w:rsid w:val="003F45C2"/>
    <w:rsid w:val="003F487A"/>
    <w:rsid w:val="003F4E7A"/>
    <w:rsid w:val="003F53A7"/>
    <w:rsid w:val="003F58E9"/>
    <w:rsid w:val="003F60C2"/>
    <w:rsid w:val="003F617C"/>
    <w:rsid w:val="003F6965"/>
    <w:rsid w:val="003F6A8C"/>
    <w:rsid w:val="003F6EE6"/>
    <w:rsid w:val="003F6FAB"/>
    <w:rsid w:val="003F755C"/>
    <w:rsid w:val="003F780A"/>
    <w:rsid w:val="003F7BD7"/>
    <w:rsid w:val="00401346"/>
    <w:rsid w:val="0040152E"/>
    <w:rsid w:val="00402AD1"/>
    <w:rsid w:val="00402BB2"/>
    <w:rsid w:val="00403076"/>
    <w:rsid w:val="004037C3"/>
    <w:rsid w:val="00403926"/>
    <w:rsid w:val="00404F2A"/>
    <w:rsid w:val="004063C3"/>
    <w:rsid w:val="00406802"/>
    <w:rsid w:val="00406F01"/>
    <w:rsid w:val="00407009"/>
    <w:rsid w:val="00407348"/>
    <w:rsid w:val="00407972"/>
    <w:rsid w:val="004104C2"/>
    <w:rsid w:val="004106E6"/>
    <w:rsid w:val="00410AD6"/>
    <w:rsid w:val="00410E0C"/>
    <w:rsid w:val="004137CF"/>
    <w:rsid w:val="00414010"/>
    <w:rsid w:val="00414334"/>
    <w:rsid w:val="0041452C"/>
    <w:rsid w:val="00414AA0"/>
    <w:rsid w:val="00414BB7"/>
    <w:rsid w:val="00414D23"/>
    <w:rsid w:val="004150B8"/>
    <w:rsid w:val="004152D8"/>
    <w:rsid w:val="004154F0"/>
    <w:rsid w:val="00415671"/>
    <w:rsid w:val="00416D50"/>
    <w:rsid w:val="00416FD5"/>
    <w:rsid w:val="00417171"/>
    <w:rsid w:val="004174DB"/>
    <w:rsid w:val="00417772"/>
    <w:rsid w:val="0041784A"/>
    <w:rsid w:val="00417857"/>
    <w:rsid w:val="004204B5"/>
    <w:rsid w:val="004206D2"/>
    <w:rsid w:val="00420777"/>
    <w:rsid w:val="00420CE1"/>
    <w:rsid w:val="00420E6A"/>
    <w:rsid w:val="004214E4"/>
    <w:rsid w:val="00421B36"/>
    <w:rsid w:val="004220A8"/>
    <w:rsid w:val="00423A1D"/>
    <w:rsid w:val="00423B75"/>
    <w:rsid w:val="004255C5"/>
    <w:rsid w:val="0042586C"/>
    <w:rsid w:val="00425A9E"/>
    <w:rsid w:val="00426D6B"/>
    <w:rsid w:val="00427D2E"/>
    <w:rsid w:val="00427FD4"/>
    <w:rsid w:val="004303B4"/>
    <w:rsid w:val="00431E6C"/>
    <w:rsid w:val="00432176"/>
    <w:rsid w:val="0043295C"/>
    <w:rsid w:val="00432A2F"/>
    <w:rsid w:val="00432F61"/>
    <w:rsid w:val="0043377B"/>
    <w:rsid w:val="004338CD"/>
    <w:rsid w:val="00433CE7"/>
    <w:rsid w:val="00434098"/>
    <w:rsid w:val="0043409E"/>
    <w:rsid w:val="00434929"/>
    <w:rsid w:val="00434C32"/>
    <w:rsid w:val="00434CAF"/>
    <w:rsid w:val="0043544A"/>
    <w:rsid w:val="0043556F"/>
    <w:rsid w:val="00435A62"/>
    <w:rsid w:val="00435CA9"/>
    <w:rsid w:val="0043720C"/>
    <w:rsid w:val="00437C37"/>
    <w:rsid w:val="00440DE7"/>
    <w:rsid w:val="00441942"/>
    <w:rsid w:val="00441A25"/>
    <w:rsid w:val="00442C6C"/>
    <w:rsid w:val="004431DD"/>
    <w:rsid w:val="00443270"/>
    <w:rsid w:val="00443DCC"/>
    <w:rsid w:val="00444FE4"/>
    <w:rsid w:val="0044534E"/>
    <w:rsid w:val="00447B0F"/>
    <w:rsid w:val="00447B8B"/>
    <w:rsid w:val="00450001"/>
    <w:rsid w:val="004500E1"/>
    <w:rsid w:val="004501AB"/>
    <w:rsid w:val="00450ACD"/>
    <w:rsid w:val="00451041"/>
    <w:rsid w:val="004515BF"/>
    <w:rsid w:val="004519D9"/>
    <w:rsid w:val="0045240F"/>
    <w:rsid w:val="00452738"/>
    <w:rsid w:val="00452846"/>
    <w:rsid w:val="004529B1"/>
    <w:rsid w:val="00452F32"/>
    <w:rsid w:val="00453080"/>
    <w:rsid w:val="00453564"/>
    <w:rsid w:val="00453E0F"/>
    <w:rsid w:val="004540D3"/>
    <w:rsid w:val="004546DA"/>
    <w:rsid w:val="004549B9"/>
    <w:rsid w:val="00454A9E"/>
    <w:rsid w:val="00454FDC"/>
    <w:rsid w:val="004552EE"/>
    <w:rsid w:val="00455413"/>
    <w:rsid w:val="00456091"/>
    <w:rsid w:val="00456191"/>
    <w:rsid w:val="004561D6"/>
    <w:rsid w:val="00456BE7"/>
    <w:rsid w:val="00456BF0"/>
    <w:rsid w:val="00456DB8"/>
    <w:rsid w:val="00456F4F"/>
    <w:rsid w:val="00457929"/>
    <w:rsid w:val="00457C98"/>
    <w:rsid w:val="00457E8D"/>
    <w:rsid w:val="00457ED0"/>
    <w:rsid w:val="00460AAF"/>
    <w:rsid w:val="00461152"/>
    <w:rsid w:val="004612A8"/>
    <w:rsid w:val="00461F20"/>
    <w:rsid w:val="004622E3"/>
    <w:rsid w:val="004623C1"/>
    <w:rsid w:val="00462BCC"/>
    <w:rsid w:val="00462FAF"/>
    <w:rsid w:val="00463CA2"/>
    <w:rsid w:val="00463D89"/>
    <w:rsid w:val="00464580"/>
    <w:rsid w:val="00464952"/>
    <w:rsid w:val="004659CB"/>
    <w:rsid w:val="00465E09"/>
    <w:rsid w:val="00465F06"/>
    <w:rsid w:val="00466205"/>
    <w:rsid w:val="00466321"/>
    <w:rsid w:val="004663C0"/>
    <w:rsid w:val="00466525"/>
    <w:rsid w:val="00466908"/>
    <w:rsid w:val="00466CD0"/>
    <w:rsid w:val="0046743D"/>
    <w:rsid w:val="00470983"/>
    <w:rsid w:val="00470DFD"/>
    <w:rsid w:val="00471EFD"/>
    <w:rsid w:val="00472042"/>
    <w:rsid w:val="004734DC"/>
    <w:rsid w:val="00473920"/>
    <w:rsid w:val="00473A1F"/>
    <w:rsid w:val="00473C66"/>
    <w:rsid w:val="00473CA3"/>
    <w:rsid w:val="00474174"/>
    <w:rsid w:val="00474D08"/>
    <w:rsid w:val="00474EFB"/>
    <w:rsid w:val="00475497"/>
    <w:rsid w:val="00475E66"/>
    <w:rsid w:val="004779B9"/>
    <w:rsid w:val="00477BF5"/>
    <w:rsid w:val="00480273"/>
    <w:rsid w:val="0048045A"/>
    <w:rsid w:val="0048065F"/>
    <w:rsid w:val="00480EF9"/>
    <w:rsid w:val="004826C0"/>
    <w:rsid w:val="00482788"/>
    <w:rsid w:val="00483786"/>
    <w:rsid w:val="00484B9B"/>
    <w:rsid w:val="004855F6"/>
    <w:rsid w:val="00485739"/>
    <w:rsid w:val="00485C46"/>
    <w:rsid w:val="00485CE7"/>
    <w:rsid w:val="00486310"/>
    <w:rsid w:val="0048661E"/>
    <w:rsid w:val="0048698B"/>
    <w:rsid w:val="00486B1F"/>
    <w:rsid w:val="00487C7F"/>
    <w:rsid w:val="00490605"/>
    <w:rsid w:val="0049060B"/>
    <w:rsid w:val="00490906"/>
    <w:rsid w:val="004912EC"/>
    <w:rsid w:val="00491313"/>
    <w:rsid w:val="004913FF"/>
    <w:rsid w:val="004914DC"/>
    <w:rsid w:val="004919D5"/>
    <w:rsid w:val="004927EC"/>
    <w:rsid w:val="00493008"/>
    <w:rsid w:val="004935E4"/>
    <w:rsid w:val="004941E3"/>
    <w:rsid w:val="00494670"/>
    <w:rsid w:val="00494BE9"/>
    <w:rsid w:val="00494F65"/>
    <w:rsid w:val="004952F9"/>
    <w:rsid w:val="00496297"/>
    <w:rsid w:val="004979B6"/>
    <w:rsid w:val="00497FAF"/>
    <w:rsid w:val="004A10F8"/>
    <w:rsid w:val="004A149B"/>
    <w:rsid w:val="004A2098"/>
    <w:rsid w:val="004A3823"/>
    <w:rsid w:val="004A38B6"/>
    <w:rsid w:val="004A3A75"/>
    <w:rsid w:val="004A3A95"/>
    <w:rsid w:val="004A3ACF"/>
    <w:rsid w:val="004A3BBA"/>
    <w:rsid w:val="004A449B"/>
    <w:rsid w:val="004A476E"/>
    <w:rsid w:val="004A4782"/>
    <w:rsid w:val="004A4D8D"/>
    <w:rsid w:val="004A55F9"/>
    <w:rsid w:val="004A5C8A"/>
    <w:rsid w:val="004A5DAD"/>
    <w:rsid w:val="004A66D2"/>
    <w:rsid w:val="004A6822"/>
    <w:rsid w:val="004A6B1C"/>
    <w:rsid w:val="004A6D8B"/>
    <w:rsid w:val="004A6DE5"/>
    <w:rsid w:val="004A6FB7"/>
    <w:rsid w:val="004A7004"/>
    <w:rsid w:val="004B047D"/>
    <w:rsid w:val="004B065B"/>
    <w:rsid w:val="004B0662"/>
    <w:rsid w:val="004B0935"/>
    <w:rsid w:val="004B19D8"/>
    <w:rsid w:val="004B1F6C"/>
    <w:rsid w:val="004B2133"/>
    <w:rsid w:val="004B2BC6"/>
    <w:rsid w:val="004B2E24"/>
    <w:rsid w:val="004B3204"/>
    <w:rsid w:val="004B321F"/>
    <w:rsid w:val="004B3379"/>
    <w:rsid w:val="004B37FC"/>
    <w:rsid w:val="004B4302"/>
    <w:rsid w:val="004B5AF0"/>
    <w:rsid w:val="004B5E3A"/>
    <w:rsid w:val="004B65D0"/>
    <w:rsid w:val="004B6DDB"/>
    <w:rsid w:val="004B6F9C"/>
    <w:rsid w:val="004B7261"/>
    <w:rsid w:val="004C024D"/>
    <w:rsid w:val="004C104A"/>
    <w:rsid w:val="004C1344"/>
    <w:rsid w:val="004C1489"/>
    <w:rsid w:val="004C1734"/>
    <w:rsid w:val="004C183F"/>
    <w:rsid w:val="004C204B"/>
    <w:rsid w:val="004C20AF"/>
    <w:rsid w:val="004C2671"/>
    <w:rsid w:val="004C2CB6"/>
    <w:rsid w:val="004C2F8D"/>
    <w:rsid w:val="004C338C"/>
    <w:rsid w:val="004C3465"/>
    <w:rsid w:val="004C3CF2"/>
    <w:rsid w:val="004C40E7"/>
    <w:rsid w:val="004C4565"/>
    <w:rsid w:val="004C638F"/>
    <w:rsid w:val="004C7148"/>
    <w:rsid w:val="004C76BF"/>
    <w:rsid w:val="004D111B"/>
    <w:rsid w:val="004D1329"/>
    <w:rsid w:val="004D2783"/>
    <w:rsid w:val="004D2C2B"/>
    <w:rsid w:val="004D2D08"/>
    <w:rsid w:val="004D2DE3"/>
    <w:rsid w:val="004D3489"/>
    <w:rsid w:val="004D35E0"/>
    <w:rsid w:val="004D369A"/>
    <w:rsid w:val="004D3C2C"/>
    <w:rsid w:val="004D3E9E"/>
    <w:rsid w:val="004D3EEB"/>
    <w:rsid w:val="004D408B"/>
    <w:rsid w:val="004D40B3"/>
    <w:rsid w:val="004D49D8"/>
    <w:rsid w:val="004D5943"/>
    <w:rsid w:val="004D5CFD"/>
    <w:rsid w:val="004D5F73"/>
    <w:rsid w:val="004D6428"/>
    <w:rsid w:val="004D6AB5"/>
    <w:rsid w:val="004D6BB9"/>
    <w:rsid w:val="004D6F96"/>
    <w:rsid w:val="004D72C8"/>
    <w:rsid w:val="004D76FB"/>
    <w:rsid w:val="004D7B79"/>
    <w:rsid w:val="004E1D60"/>
    <w:rsid w:val="004E1DFA"/>
    <w:rsid w:val="004E2618"/>
    <w:rsid w:val="004E2A9D"/>
    <w:rsid w:val="004E30B5"/>
    <w:rsid w:val="004E320E"/>
    <w:rsid w:val="004E3566"/>
    <w:rsid w:val="004E3AB7"/>
    <w:rsid w:val="004E3E3E"/>
    <w:rsid w:val="004E3EDE"/>
    <w:rsid w:val="004E4683"/>
    <w:rsid w:val="004E4A54"/>
    <w:rsid w:val="004E5494"/>
    <w:rsid w:val="004E623F"/>
    <w:rsid w:val="004E65AD"/>
    <w:rsid w:val="004E6946"/>
    <w:rsid w:val="004E6ACD"/>
    <w:rsid w:val="004E7632"/>
    <w:rsid w:val="004E76B8"/>
    <w:rsid w:val="004E7A19"/>
    <w:rsid w:val="004E7B4E"/>
    <w:rsid w:val="004F0286"/>
    <w:rsid w:val="004F07B8"/>
    <w:rsid w:val="004F0E76"/>
    <w:rsid w:val="004F0FD2"/>
    <w:rsid w:val="004F1AD8"/>
    <w:rsid w:val="004F1D54"/>
    <w:rsid w:val="004F2A58"/>
    <w:rsid w:val="004F2BE0"/>
    <w:rsid w:val="004F3098"/>
    <w:rsid w:val="004F3141"/>
    <w:rsid w:val="004F3626"/>
    <w:rsid w:val="004F450B"/>
    <w:rsid w:val="004F4D10"/>
    <w:rsid w:val="004F56D7"/>
    <w:rsid w:val="004F599F"/>
    <w:rsid w:val="004F6C14"/>
    <w:rsid w:val="004F75FD"/>
    <w:rsid w:val="0050067B"/>
    <w:rsid w:val="00500ADB"/>
    <w:rsid w:val="00500D5D"/>
    <w:rsid w:val="0050114C"/>
    <w:rsid w:val="00501290"/>
    <w:rsid w:val="00501652"/>
    <w:rsid w:val="0050176C"/>
    <w:rsid w:val="00502462"/>
    <w:rsid w:val="0050277B"/>
    <w:rsid w:val="00502D5E"/>
    <w:rsid w:val="00503511"/>
    <w:rsid w:val="005039CB"/>
    <w:rsid w:val="00503A88"/>
    <w:rsid w:val="005043BD"/>
    <w:rsid w:val="0050472E"/>
    <w:rsid w:val="00504842"/>
    <w:rsid w:val="00505121"/>
    <w:rsid w:val="005054B0"/>
    <w:rsid w:val="0050558F"/>
    <w:rsid w:val="005055E7"/>
    <w:rsid w:val="00505E17"/>
    <w:rsid w:val="00506286"/>
    <w:rsid w:val="00506985"/>
    <w:rsid w:val="005069DD"/>
    <w:rsid w:val="00506F5B"/>
    <w:rsid w:val="005074FB"/>
    <w:rsid w:val="00507985"/>
    <w:rsid w:val="00507BE2"/>
    <w:rsid w:val="00510813"/>
    <w:rsid w:val="005116C5"/>
    <w:rsid w:val="00511990"/>
    <w:rsid w:val="00511B10"/>
    <w:rsid w:val="00511DE0"/>
    <w:rsid w:val="00512C61"/>
    <w:rsid w:val="00512F66"/>
    <w:rsid w:val="0051356A"/>
    <w:rsid w:val="005135C0"/>
    <w:rsid w:val="00513FC8"/>
    <w:rsid w:val="0051414A"/>
    <w:rsid w:val="00514858"/>
    <w:rsid w:val="00514870"/>
    <w:rsid w:val="00514B17"/>
    <w:rsid w:val="00514B9B"/>
    <w:rsid w:val="00514C3F"/>
    <w:rsid w:val="00515E1B"/>
    <w:rsid w:val="0051638B"/>
    <w:rsid w:val="0051696E"/>
    <w:rsid w:val="00516F8D"/>
    <w:rsid w:val="005176FE"/>
    <w:rsid w:val="00517B98"/>
    <w:rsid w:val="00517F02"/>
    <w:rsid w:val="005201BA"/>
    <w:rsid w:val="00520DE7"/>
    <w:rsid w:val="00520F34"/>
    <w:rsid w:val="00520F8C"/>
    <w:rsid w:val="00521197"/>
    <w:rsid w:val="00521356"/>
    <w:rsid w:val="0052150B"/>
    <w:rsid w:val="005218F6"/>
    <w:rsid w:val="00521DD4"/>
    <w:rsid w:val="00521EB9"/>
    <w:rsid w:val="0052233A"/>
    <w:rsid w:val="00523B01"/>
    <w:rsid w:val="00524303"/>
    <w:rsid w:val="00524E4D"/>
    <w:rsid w:val="005258A2"/>
    <w:rsid w:val="00525EEA"/>
    <w:rsid w:val="005262A6"/>
    <w:rsid w:val="00526FA2"/>
    <w:rsid w:val="005274D7"/>
    <w:rsid w:val="005279F8"/>
    <w:rsid w:val="0053064A"/>
    <w:rsid w:val="00530F80"/>
    <w:rsid w:val="00530FEC"/>
    <w:rsid w:val="00531075"/>
    <w:rsid w:val="005313A3"/>
    <w:rsid w:val="00531461"/>
    <w:rsid w:val="005317F8"/>
    <w:rsid w:val="00532087"/>
    <w:rsid w:val="00532658"/>
    <w:rsid w:val="00533A94"/>
    <w:rsid w:val="0053468A"/>
    <w:rsid w:val="00534F83"/>
    <w:rsid w:val="00535140"/>
    <w:rsid w:val="00535415"/>
    <w:rsid w:val="005355D8"/>
    <w:rsid w:val="005355DD"/>
    <w:rsid w:val="00535C11"/>
    <w:rsid w:val="005368EC"/>
    <w:rsid w:val="00537A42"/>
    <w:rsid w:val="00540022"/>
    <w:rsid w:val="005401AE"/>
    <w:rsid w:val="00540399"/>
    <w:rsid w:val="00540403"/>
    <w:rsid w:val="00540571"/>
    <w:rsid w:val="00540D7E"/>
    <w:rsid w:val="00541009"/>
    <w:rsid w:val="005421F4"/>
    <w:rsid w:val="005422BA"/>
    <w:rsid w:val="00542375"/>
    <w:rsid w:val="005428D6"/>
    <w:rsid w:val="00542E07"/>
    <w:rsid w:val="005431A9"/>
    <w:rsid w:val="0054368E"/>
    <w:rsid w:val="00544F55"/>
    <w:rsid w:val="005451AF"/>
    <w:rsid w:val="0054521B"/>
    <w:rsid w:val="00545424"/>
    <w:rsid w:val="00545D54"/>
    <w:rsid w:val="00546299"/>
    <w:rsid w:val="005468D3"/>
    <w:rsid w:val="00546DC3"/>
    <w:rsid w:val="00547B25"/>
    <w:rsid w:val="00547D7E"/>
    <w:rsid w:val="00550600"/>
    <w:rsid w:val="0055095D"/>
    <w:rsid w:val="00550AC3"/>
    <w:rsid w:val="00550C5B"/>
    <w:rsid w:val="0055168F"/>
    <w:rsid w:val="00551EA3"/>
    <w:rsid w:val="00552F6E"/>
    <w:rsid w:val="0055386C"/>
    <w:rsid w:val="00553B82"/>
    <w:rsid w:val="00554289"/>
    <w:rsid w:val="00554A7B"/>
    <w:rsid w:val="00554ECD"/>
    <w:rsid w:val="00554FA1"/>
    <w:rsid w:val="005551EA"/>
    <w:rsid w:val="0055572C"/>
    <w:rsid w:val="00555B00"/>
    <w:rsid w:val="00556149"/>
    <w:rsid w:val="005564F4"/>
    <w:rsid w:val="005571E9"/>
    <w:rsid w:val="005573D5"/>
    <w:rsid w:val="005605AA"/>
    <w:rsid w:val="005609DA"/>
    <w:rsid w:val="00560F84"/>
    <w:rsid w:val="0056106A"/>
    <w:rsid w:val="0056213F"/>
    <w:rsid w:val="00562973"/>
    <w:rsid w:val="00563A04"/>
    <w:rsid w:val="00563B88"/>
    <w:rsid w:val="005641BE"/>
    <w:rsid w:val="00564348"/>
    <w:rsid w:val="005656E0"/>
    <w:rsid w:val="00566528"/>
    <w:rsid w:val="005668A3"/>
    <w:rsid w:val="005678A2"/>
    <w:rsid w:val="00567DD6"/>
    <w:rsid w:val="00570393"/>
    <w:rsid w:val="0057167F"/>
    <w:rsid w:val="00571FFB"/>
    <w:rsid w:val="005720AE"/>
    <w:rsid w:val="005729B1"/>
    <w:rsid w:val="00572AF5"/>
    <w:rsid w:val="00573226"/>
    <w:rsid w:val="005737D2"/>
    <w:rsid w:val="005739F3"/>
    <w:rsid w:val="00574482"/>
    <w:rsid w:val="00574524"/>
    <w:rsid w:val="00574B9E"/>
    <w:rsid w:val="00575656"/>
    <w:rsid w:val="005759E3"/>
    <w:rsid w:val="00575C9E"/>
    <w:rsid w:val="005767E7"/>
    <w:rsid w:val="00576962"/>
    <w:rsid w:val="00577123"/>
    <w:rsid w:val="005771D3"/>
    <w:rsid w:val="00577C24"/>
    <w:rsid w:val="00577C83"/>
    <w:rsid w:val="00580507"/>
    <w:rsid w:val="00580673"/>
    <w:rsid w:val="00580D1D"/>
    <w:rsid w:val="00581451"/>
    <w:rsid w:val="00581BEC"/>
    <w:rsid w:val="00581F46"/>
    <w:rsid w:val="005827B2"/>
    <w:rsid w:val="005833B1"/>
    <w:rsid w:val="005839A9"/>
    <w:rsid w:val="005840AD"/>
    <w:rsid w:val="005845C0"/>
    <w:rsid w:val="00585B14"/>
    <w:rsid w:val="005862A8"/>
    <w:rsid w:val="00586FFA"/>
    <w:rsid w:val="005874DE"/>
    <w:rsid w:val="00587B36"/>
    <w:rsid w:val="00587C53"/>
    <w:rsid w:val="00587D1C"/>
    <w:rsid w:val="00590330"/>
    <w:rsid w:val="00590AFF"/>
    <w:rsid w:val="00591065"/>
    <w:rsid w:val="00591478"/>
    <w:rsid w:val="00591549"/>
    <w:rsid w:val="0059165F"/>
    <w:rsid w:val="00591BC4"/>
    <w:rsid w:val="005920D0"/>
    <w:rsid w:val="0059267A"/>
    <w:rsid w:val="00592761"/>
    <w:rsid w:val="00592B3E"/>
    <w:rsid w:val="0059338E"/>
    <w:rsid w:val="00593B9F"/>
    <w:rsid w:val="0059405D"/>
    <w:rsid w:val="00594487"/>
    <w:rsid w:val="005946F1"/>
    <w:rsid w:val="00594D59"/>
    <w:rsid w:val="00594D77"/>
    <w:rsid w:val="00595F8B"/>
    <w:rsid w:val="00596894"/>
    <w:rsid w:val="005969E4"/>
    <w:rsid w:val="00596BAF"/>
    <w:rsid w:val="00597C75"/>
    <w:rsid w:val="00597FA1"/>
    <w:rsid w:val="005A01D8"/>
    <w:rsid w:val="005A02C6"/>
    <w:rsid w:val="005A056E"/>
    <w:rsid w:val="005A06B7"/>
    <w:rsid w:val="005A1759"/>
    <w:rsid w:val="005A1E5D"/>
    <w:rsid w:val="005A2CD9"/>
    <w:rsid w:val="005A4806"/>
    <w:rsid w:val="005A4B80"/>
    <w:rsid w:val="005A5327"/>
    <w:rsid w:val="005A5A9D"/>
    <w:rsid w:val="005A5BF6"/>
    <w:rsid w:val="005A63D9"/>
    <w:rsid w:val="005A6762"/>
    <w:rsid w:val="005A67FC"/>
    <w:rsid w:val="005A68A7"/>
    <w:rsid w:val="005A6D3A"/>
    <w:rsid w:val="005A77FC"/>
    <w:rsid w:val="005A7D18"/>
    <w:rsid w:val="005A7EE3"/>
    <w:rsid w:val="005B00ED"/>
    <w:rsid w:val="005B027A"/>
    <w:rsid w:val="005B070C"/>
    <w:rsid w:val="005B12CA"/>
    <w:rsid w:val="005B18F1"/>
    <w:rsid w:val="005B29CF"/>
    <w:rsid w:val="005B2C29"/>
    <w:rsid w:val="005B303A"/>
    <w:rsid w:val="005B3B61"/>
    <w:rsid w:val="005B45E0"/>
    <w:rsid w:val="005B494B"/>
    <w:rsid w:val="005B4FEF"/>
    <w:rsid w:val="005B50A3"/>
    <w:rsid w:val="005B520F"/>
    <w:rsid w:val="005B56B5"/>
    <w:rsid w:val="005B584A"/>
    <w:rsid w:val="005B59E1"/>
    <w:rsid w:val="005B728F"/>
    <w:rsid w:val="005B7F9E"/>
    <w:rsid w:val="005C16D9"/>
    <w:rsid w:val="005C25B2"/>
    <w:rsid w:val="005C2E62"/>
    <w:rsid w:val="005C2E90"/>
    <w:rsid w:val="005C2F37"/>
    <w:rsid w:val="005C3077"/>
    <w:rsid w:val="005C31CA"/>
    <w:rsid w:val="005C31D4"/>
    <w:rsid w:val="005C3300"/>
    <w:rsid w:val="005C36C3"/>
    <w:rsid w:val="005C3DB2"/>
    <w:rsid w:val="005C4258"/>
    <w:rsid w:val="005C4934"/>
    <w:rsid w:val="005C4C33"/>
    <w:rsid w:val="005C5192"/>
    <w:rsid w:val="005C54AC"/>
    <w:rsid w:val="005C59BE"/>
    <w:rsid w:val="005C5B29"/>
    <w:rsid w:val="005C64C8"/>
    <w:rsid w:val="005C68CF"/>
    <w:rsid w:val="005C7630"/>
    <w:rsid w:val="005C76B9"/>
    <w:rsid w:val="005C79D5"/>
    <w:rsid w:val="005D01DF"/>
    <w:rsid w:val="005D15C3"/>
    <w:rsid w:val="005D1D9B"/>
    <w:rsid w:val="005D2585"/>
    <w:rsid w:val="005D2CD9"/>
    <w:rsid w:val="005D3369"/>
    <w:rsid w:val="005D3549"/>
    <w:rsid w:val="005D36AB"/>
    <w:rsid w:val="005D4725"/>
    <w:rsid w:val="005D47AA"/>
    <w:rsid w:val="005D68CC"/>
    <w:rsid w:val="005D6B55"/>
    <w:rsid w:val="005D7112"/>
    <w:rsid w:val="005E1593"/>
    <w:rsid w:val="005E1594"/>
    <w:rsid w:val="005E1ECB"/>
    <w:rsid w:val="005E200B"/>
    <w:rsid w:val="005E2EE9"/>
    <w:rsid w:val="005E3ED1"/>
    <w:rsid w:val="005E47DC"/>
    <w:rsid w:val="005E5047"/>
    <w:rsid w:val="005E5C27"/>
    <w:rsid w:val="005E62E3"/>
    <w:rsid w:val="005E6427"/>
    <w:rsid w:val="005E740C"/>
    <w:rsid w:val="005F0866"/>
    <w:rsid w:val="005F0975"/>
    <w:rsid w:val="005F0CD5"/>
    <w:rsid w:val="005F144E"/>
    <w:rsid w:val="005F1EFD"/>
    <w:rsid w:val="005F266B"/>
    <w:rsid w:val="005F271E"/>
    <w:rsid w:val="005F2B27"/>
    <w:rsid w:val="005F2B58"/>
    <w:rsid w:val="005F3439"/>
    <w:rsid w:val="005F34CC"/>
    <w:rsid w:val="005F3559"/>
    <w:rsid w:val="005F429A"/>
    <w:rsid w:val="005F47C2"/>
    <w:rsid w:val="005F54A2"/>
    <w:rsid w:val="005F5FDB"/>
    <w:rsid w:val="005F63AC"/>
    <w:rsid w:val="005F6488"/>
    <w:rsid w:val="005F6E2F"/>
    <w:rsid w:val="005F7295"/>
    <w:rsid w:val="005F732C"/>
    <w:rsid w:val="005F73FD"/>
    <w:rsid w:val="005F7402"/>
    <w:rsid w:val="00601373"/>
    <w:rsid w:val="006015AB"/>
    <w:rsid w:val="00601D30"/>
    <w:rsid w:val="00601DE5"/>
    <w:rsid w:val="00602E2D"/>
    <w:rsid w:val="00603061"/>
    <w:rsid w:val="00603399"/>
    <w:rsid w:val="00603644"/>
    <w:rsid w:val="00603C8D"/>
    <w:rsid w:val="00603FD5"/>
    <w:rsid w:val="00605D53"/>
    <w:rsid w:val="00605EAC"/>
    <w:rsid w:val="0060661E"/>
    <w:rsid w:val="00606B32"/>
    <w:rsid w:val="00606BCE"/>
    <w:rsid w:val="00607BF0"/>
    <w:rsid w:val="00610613"/>
    <w:rsid w:val="00610A28"/>
    <w:rsid w:val="00610AC3"/>
    <w:rsid w:val="00610BAC"/>
    <w:rsid w:val="006127AC"/>
    <w:rsid w:val="00612C6D"/>
    <w:rsid w:val="00613436"/>
    <w:rsid w:val="00613783"/>
    <w:rsid w:val="00614AA0"/>
    <w:rsid w:val="00615086"/>
    <w:rsid w:val="00615A2B"/>
    <w:rsid w:val="006160DD"/>
    <w:rsid w:val="0061687F"/>
    <w:rsid w:val="00616AFB"/>
    <w:rsid w:val="0061779B"/>
    <w:rsid w:val="00617815"/>
    <w:rsid w:val="006179A9"/>
    <w:rsid w:val="00617C75"/>
    <w:rsid w:val="00617CC3"/>
    <w:rsid w:val="0062144A"/>
    <w:rsid w:val="006214EC"/>
    <w:rsid w:val="00621E55"/>
    <w:rsid w:val="006222A1"/>
    <w:rsid w:val="006224B6"/>
    <w:rsid w:val="006227D9"/>
    <w:rsid w:val="00622826"/>
    <w:rsid w:val="006238B6"/>
    <w:rsid w:val="00623D3A"/>
    <w:rsid w:val="00624345"/>
    <w:rsid w:val="006246BD"/>
    <w:rsid w:val="00625B34"/>
    <w:rsid w:val="0062674E"/>
    <w:rsid w:val="0062741B"/>
    <w:rsid w:val="00627A31"/>
    <w:rsid w:val="00627CAE"/>
    <w:rsid w:val="00627D87"/>
    <w:rsid w:val="006309D3"/>
    <w:rsid w:val="00630A05"/>
    <w:rsid w:val="00630BBE"/>
    <w:rsid w:val="00630D1B"/>
    <w:rsid w:val="00631110"/>
    <w:rsid w:val="0063173F"/>
    <w:rsid w:val="00632000"/>
    <w:rsid w:val="0063243B"/>
    <w:rsid w:val="00632F46"/>
    <w:rsid w:val="00632FFE"/>
    <w:rsid w:val="00633AFD"/>
    <w:rsid w:val="00633CB7"/>
    <w:rsid w:val="00634ACA"/>
    <w:rsid w:val="006352C5"/>
    <w:rsid w:val="0063576B"/>
    <w:rsid w:val="00635810"/>
    <w:rsid w:val="00636159"/>
    <w:rsid w:val="006361F6"/>
    <w:rsid w:val="00636941"/>
    <w:rsid w:val="00637331"/>
    <w:rsid w:val="006377A6"/>
    <w:rsid w:val="00637A3D"/>
    <w:rsid w:val="00637D0F"/>
    <w:rsid w:val="00637D1F"/>
    <w:rsid w:val="00640105"/>
    <w:rsid w:val="0064101C"/>
    <w:rsid w:val="00641087"/>
    <w:rsid w:val="006411EF"/>
    <w:rsid w:val="006425CD"/>
    <w:rsid w:val="00642B2B"/>
    <w:rsid w:val="00643545"/>
    <w:rsid w:val="00643885"/>
    <w:rsid w:val="006438E6"/>
    <w:rsid w:val="0064396D"/>
    <w:rsid w:val="00643D49"/>
    <w:rsid w:val="00644566"/>
    <w:rsid w:val="00644592"/>
    <w:rsid w:val="006445E7"/>
    <w:rsid w:val="00644903"/>
    <w:rsid w:val="0064520F"/>
    <w:rsid w:val="00645AF1"/>
    <w:rsid w:val="006470EB"/>
    <w:rsid w:val="00647E3D"/>
    <w:rsid w:val="00647F84"/>
    <w:rsid w:val="00651035"/>
    <w:rsid w:val="0065120E"/>
    <w:rsid w:val="006516C2"/>
    <w:rsid w:val="00651A47"/>
    <w:rsid w:val="00651E3A"/>
    <w:rsid w:val="006527C6"/>
    <w:rsid w:val="0065296F"/>
    <w:rsid w:val="006529B8"/>
    <w:rsid w:val="00652D20"/>
    <w:rsid w:val="0065346E"/>
    <w:rsid w:val="00653761"/>
    <w:rsid w:val="00654689"/>
    <w:rsid w:val="0065468D"/>
    <w:rsid w:val="00654691"/>
    <w:rsid w:val="00655528"/>
    <w:rsid w:val="00655805"/>
    <w:rsid w:val="00655A76"/>
    <w:rsid w:val="006560AB"/>
    <w:rsid w:val="00656666"/>
    <w:rsid w:val="00656EDF"/>
    <w:rsid w:val="006571EF"/>
    <w:rsid w:val="00657248"/>
    <w:rsid w:val="006576C7"/>
    <w:rsid w:val="00657773"/>
    <w:rsid w:val="00660029"/>
    <w:rsid w:val="00660A93"/>
    <w:rsid w:val="00661001"/>
    <w:rsid w:val="006610B5"/>
    <w:rsid w:val="00661604"/>
    <w:rsid w:val="00662372"/>
    <w:rsid w:val="006628A5"/>
    <w:rsid w:val="00662DD3"/>
    <w:rsid w:val="006631E5"/>
    <w:rsid w:val="00663B3A"/>
    <w:rsid w:val="00664A17"/>
    <w:rsid w:val="00664AC5"/>
    <w:rsid w:val="00665553"/>
    <w:rsid w:val="006657F9"/>
    <w:rsid w:val="006658E9"/>
    <w:rsid w:val="00665A5F"/>
    <w:rsid w:val="00665C8D"/>
    <w:rsid w:val="006661F4"/>
    <w:rsid w:val="00666784"/>
    <w:rsid w:val="006668B6"/>
    <w:rsid w:val="006669F9"/>
    <w:rsid w:val="00667DDF"/>
    <w:rsid w:val="00667F02"/>
    <w:rsid w:val="00670C7C"/>
    <w:rsid w:val="00671014"/>
    <w:rsid w:val="0067180E"/>
    <w:rsid w:val="00671A2E"/>
    <w:rsid w:val="00672172"/>
    <w:rsid w:val="00672EAE"/>
    <w:rsid w:val="0067318B"/>
    <w:rsid w:val="00673443"/>
    <w:rsid w:val="0067430E"/>
    <w:rsid w:val="006747EB"/>
    <w:rsid w:val="006748B8"/>
    <w:rsid w:val="00674F5F"/>
    <w:rsid w:val="00674F80"/>
    <w:rsid w:val="00675EFE"/>
    <w:rsid w:val="006760E6"/>
    <w:rsid w:val="006775BC"/>
    <w:rsid w:val="006775C3"/>
    <w:rsid w:val="006808D6"/>
    <w:rsid w:val="006808DE"/>
    <w:rsid w:val="0068094A"/>
    <w:rsid w:val="00680AF4"/>
    <w:rsid w:val="00680C0A"/>
    <w:rsid w:val="006811E2"/>
    <w:rsid w:val="00681DE8"/>
    <w:rsid w:val="00682B8E"/>
    <w:rsid w:val="006832EF"/>
    <w:rsid w:val="0068342A"/>
    <w:rsid w:val="00684822"/>
    <w:rsid w:val="00684995"/>
    <w:rsid w:val="0068529C"/>
    <w:rsid w:val="006859DC"/>
    <w:rsid w:val="00685C20"/>
    <w:rsid w:val="0068619E"/>
    <w:rsid w:val="0068691B"/>
    <w:rsid w:val="00686A79"/>
    <w:rsid w:val="00686EDD"/>
    <w:rsid w:val="00690129"/>
    <w:rsid w:val="00691DF6"/>
    <w:rsid w:val="00691F92"/>
    <w:rsid w:val="006926A5"/>
    <w:rsid w:val="0069290A"/>
    <w:rsid w:val="00692A42"/>
    <w:rsid w:val="00692F07"/>
    <w:rsid w:val="00693BE3"/>
    <w:rsid w:val="00694140"/>
    <w:rsid w:val="006941B3"/>
    <w:rsid w:val="006948F6"/>
    <w:rsid w:val="006949F1"/>
    <w:rsid w:val="00695813"/>
    <w:rsid w:val="00695BA6"/>
    <w:rsid w:val="00695D88"/>
    <w:rsid w:val="006966F7"/>
    <w:rsid w:val="00696B2F"/>
    <w:rsid w:val="0069775A"/>
    <w:rsid w:val="00697813"/>
    <w:rsid w:val="00697BFF"/>
    <w:rsid w:val="006A02C5"/>
    <w:rsid w:val="006A0D07"/>
    <w:rsid w:val="006A152E"/>
    <w:rsid w:val="006A17AF"/>
    <w:rsid w:val="006A1A3E"/>
    <w:rsid w:val="006A1DD1"/>
    <w:rsid w:val="006A21CB"/>
    <w:rsid w:val="006A2436"/>
    <w:rsid w:val="006A2870"/>
    <w:rsid w:val="006A2B6A"/>
    <w:rsid w:val="006A39ED"/>
    <w:rsid w:val="006A3A0A"/>
    <w:rsid w:val="006A3D17"/>
    <w:rsid w:val="006A3EE8"/>
    <w:rsid w:val="006A4206"/>
    <w:rsid w:val="006A4607"/>
    <w:rsid w:val="006A49BF"/>
    <w:rsid w:val="006A4A6F"/>
    <w:rsid w:val="006A4CDE"/>
    <w:rsid w:val="006A525B"/>
    <w:rsid w:val="006A575B"/>
    <w:rsid w:val="006A5A2B"/>
    <w:rsid w:val="006A5AF5"/>
    <w:rsid w:val="006A6C9A"/>
    <w:rsid w:val="006A72BF"/>
    <w:rsid w:val="006A74B3"/>
    <w:rsid w:val="006A785F"/>
    <w:rsid w:val="006B0178"/>
    <w:rsid w:val="006B03F2"/>
    <w:rsid w:val="006B07F2"/>
    <w:rsid w:val="006B1569"/>
    <w:rsid w:val="006B195B"/>
    <w:rsid w:val="006B1B39"/>
    <w:rsid w:val="006B1F35"/>
    <w:rsid w:val="006B2559"/>
    <w:rsid w:val="006B2CEC"/>
    <w:rsid w:val="006B2DD8"/>
    <w:rsid w:val="006B37DC"/>
    <w:rsid w:val="006B3CBD"/>
    <w:rsid w:val="006B45CE"/>
    <w:rsid w:val="006B4BE0"/>
    <w:rsid w:val="006B4F68"/>
    <w:rsid w:val="006B50E7"/>
    <w:rsid w:val="006B524C"/>
    <w:rsid w:val="006B563B"/>
    <w:rsid w:val="006B5817"/>
    <w:rsid w:val="006B5B58"/>
    <w:rsid w:val="006B60F8"/>
    <w:rsid w:val="006B69E8"/>
    <w:rsid w:val="006B6A48"/>
    <w:rsid w:val="006B6CC5"/>
    <w:rsid w:val="006B749B"/>
    <w:rsid w:val="006B7775"/>
    <w:rsid w:val="006B7AA3"/>
    <w:rsid w:val="006B7D8F"/>
    <w:rsid w:val="006C00F9"/>
    <w:rsid w:val="006C02FA"/>
    <w:rsid w:val="006C054C"/>
    <w:rsid w:val="006C0592"/>
    <w:rsid w:val="006C0F9C"/>
    <w:rsid w:val="006C18B6"/>
    <w:rsid w:val="006C1A32"/>
    <w:rsid w:val="006C272E"/>
    <w:rsid w:val="006C2827"/>
    <w:rsid w:val="006C3A97"/>
    <w:rsid w:val="006C46C4"/>
    <w:rsid w:val="006C51F9"/>
    <w:rsid w:val="006C5479"/>
    <w:rsid w:val="006C59E5"/>
    <w:rsid w:val="006C5A75"/>
    <w:rsid w:val="006C5FCD"/>
    <w:rsid w:val="006C6439"/>
    <w:rsid w:val="006C6850"/>
    <w:rsid w:val="006C6990"/>
    <w:rsid w:val="006C7013"/>
    <w:rsid w:val="006C716C"/>
    <w:rsid w:val="006C741E"/>
    <w:rsid w:val="006C7EDA"/>
    <w:rsid w:val="006D04FC"/>
    <w:rsid w:val="006D09A2"/>
    <w:rsid w:val="006D0B7A"/>
    <w:rsid w:val="006D1326"/>
    <w:rsid w:val="006D13B5"/>
    <w:rsid w:val="006D1AA4"/>
    <w:rsid w:val="006D2CE2"/>
    <w:rsid w:val="006D2E17"/>
    <w:rsid w:val="006D302A"/>
    <w:rsid w:val="006D3440"/>
    <w:rsid w:val="006D360C"/>
    <w:rsid w:val="006D3E62"/>
    <w:rsid w:val="006D431B"/>
    <w:rsid w:val="006D4552"/>
    <w:rsid w:val="006D4739"/>
    <w:rsid w:val="006D4CFA"/>
    <w:rsid w:val="006D4E80"/>
    <w:rsid w:val="006D4FD8"/>
    <w:rsid w:val="006D5474"/>
    <w:rsid w:val="006D599F"/>
    <w:rsid w:val="006D5C71"/>
    <w:rsid w:val="006D5F77"/>
    <w:rsid w:val="006D607F"/>
    <w:rsid w:val="006D6349"/>
    <w:rsid w:val="006D63F4"/>
    <w:rsid w:val="006D6637"/>
    <w:rsid w:val="006D6ED0"/>
    <w:rsid w:val="006D75CB"/>
    <w:rsid w:val="006D777B"/>
    <w:rsid w:val="006E0307"/>
    <w:rsid w:val="006E05B4"/>
    <w:rsid w:val="006E0FDD"/>
    <w:rsid w:val="006E12FF"/>
    <w:rsid w:val="006E174A"/>
    <w:rsid w:val="006E1A05"/>
    <w:rsid w:val="006E1FD5"/>
    <w:rsid w:val="006E2452"/>
    <w:rsid w:val="006E27D3"/>
    <w:rsid w:val="006E2EA1"/>
    <w:rsid w:val="006E5344"/>
    <w:rsid w:val="006E607E"/>
    <w:rsid w:val="006E6CB4"/>
    <w:rsid w:val="006E6F38"/>
    <w:rsid w:val="006F0AEE"/>
    <w:rsid w:val="006F1177"/>
    <w:rsid w:val="006F19D1"/>
    <w:rsid w:val="006F1F23"/>
    <w:rsid w:val="006F1F68"/>
    <w:rsid w:val="006F1F8A"/>
    <w:rsid w:val="006F2562"/>
    <w:rsid w:val="006F30B7"/>
    <w:rsid w:val="006F3BBC"/>
    <w:rsid w:val="006F4D03"/>
    <w:rsid w:val="006F4D9C"/>
    <w:rsid w:val="006F5046"/>
    <w:rsid w:val="006F5092"/>
    <w:rsid w:val="006F510F"/>
    <w:rsid w:val="006F57F1"/>
    <w:rsid w:val="006F6A55"/>
    <w:rsid w:val="006F72C2"/>
    <w:rsid w:val="006F7EE5"/>
    <w:rsid w:val="007000A1"/>
    <w:rsid w:val="00700122"/>
    <w:rsid w:val="00701385"/>
    <w:rsid w:val="00701393"/>
    <w:rsid w:val="007025F7"/>
    <w:rsid w:val="00702916"/>
    <w:rsid w:val="00703F2B"/>
    <w:rsid w:val="00704138"/>
    <w:rsid w:val="00704446"/>
    <w:rsid w:val="007056E9"/>
    <w:rsid w:val="007057AD"/>
    <w:rsid w:val="00706008"/>
    <w:rsid w:val="00706C5D"/>
    <w:rsid w:val="00706FB7"/>
    <w:rsid w:val="007079F7"/>
    <w:rsid w:val="007105C8"/>
    <w:rsid w:val="007107B4"/>
    <w:rsid w:val="00710B17"/>
    <w:rsid w:val="00710B7D"/>
    <w:rsid w:val="00711BD7"/>
    <w:rsid w:val="00712154"/>
    <w:rsid w:val="007124E3"/>
    <w:rsid w:val="00712500"/>
    <w:rsid w:val="007127D3"/>
    <w:rsid w:val="00712AE9"/>
    <w:rsid w:val="00713346"/>
    <w:rsid w:val="007133A6"/>
    <w:rsid w:val="007137E2"/>
    <w:rsid w:val="00713BC4"/>
    <w:rsid w:val="0071480E"/>
    <w:rsid w:val="00715DA4"/>
    <w:rsid w:val="00715F50"/>
    <w:rsid w:val="00716B43"/>
    <w:rsid w:val="00716D9F"/>
    <w:rsid w:val="0071716F"/>
    <w:rsid w:val="00717474"/>
    <w:rsid w:val="00717481"/>
    <w:rsid w:val="00717ACD"/>
    <w:rsid w:val="0072057B"/>
    <w:rsid w:val="00721AC0"/>
    <w:rsid w:val="00721DAA"/>
    <w:rsid w:val="007221F1"/>
    <w:rsid w:val="00722701"/>
    <w:rsid w:val="00722762"/>
    <w:rsid w:val="00722940"/>
    <w:rsid w:val="007229BC"/>
    <w:rsid w:val="00723409"/>
    <w:rsid w:val="00723C73"/>
    <w:rsid w:val="00723EF6"/>
    <w:rsid w:val="007245ED"/>
    <w:rsid w:val="00724C3F"/>
    <w:rsid w:val="00724D7A"/>
    <w:rsid w:val="00724DDD"/>
    <w:rsid w:val="0072526C"/>
    <w:rsid w:val="0072550F"/>
    <w:rsid w:val="007261B1"/>
    <w:rsid w:val="00726A99"/>
    <w:rsid w:val="00726FF9"/>
    <w:rsid w:val="0072794C"/>
    <w:rsid w:val="0073025D"/>
    <w:rsid w:val="0073093F"/>
    <w:rsid w:val="00730B72"/>
    <w:rsid w:val="00730C19"/>
    <w:rsid w:val="00730FB8"/>
    <w:rsid w:val="00730FC5"/>
    <w:rsid w:val="0073121A"/>
    <w:rsid w:val="00731FBB"/>
    <w:rsid w:val="00732922"/>
    <w:rsid w:val="00732944"/>
    <w:rsid w:val="0073384C"/>
    <w:rsid w:val="00733E99"/>
    <w:rsid w:val="00734AA1"/>
    <w:rsid w:val="00734C95"/>
    <w:rsid w:val="0073529E"/>
    <w:rsid w:val="00735313"/>
    <w:rsid w:val="00735625"/>
    <w:rsid w:val="007356A9"/>
    <w:rsid w:val="007359CD"/>
    <w:rsid w:val="00735D93"/>
    <w:rsid w:val="00735ED0"/>
    <w:rsid w:val="00736193"/>
    <w:rsid w:val="007365BA"/>
    <w:rsid w:val="00736F3A"/>
    <w:rsid w:val="0073714B"/>
    <w:rsid w:val="0073774E"/>
    <w:rsid w:val="00737B9F"/>
    <w:rsid w:val="00737C3D"/>
    <w:rsid w:val="0074017C"/>
    <w:rsid w:val="00740AA9"/>
    <w:rsid w:val="00740EC7"/>
    <w:rsid w:val="00742124"/>
    <w:rsid w:val="00742803"/>
    <w:rsid w:val="00742A3D"/>
    <w:rsid w:val="00742AB1"/>
    <w:rsid w:val="007436F6"/>
    <w:rsid w:val="00743717"/>
    <w:rsid w:val="00744160"/>
    <w:rsid w:val="00745D19"/>
    <w:rsid w:val="007460DD"/>
    <w:rsid w:val="00746650"/>
    <w:rsid w:val="0074691E"/>
    <w:rsid w:val="00746C91"/>
    <w:rsid w:val="00746CEC"/>
    <w:rsid w:val="00747CBC"/>
    <w:rsid w:val="0075146F"/>
    <w:rsid w:val="0075162E"/>
    <w:rsid w:val="00751869"/>
    <w:rsid w:val="007519B3"/>
    <w:rsid w:val="00751B1F"/>
    <w:rsid w:val="00751B87"/>
    <w:rsid w:val="0075236B"/>
    <w:rsid w:val="00752683"/>
    <w:rsid w:val="00752769"/>
    <w:rsid w:val="00752CAA"/>
    <w:rsid w:val="007531A5"/>
    <w:rsid w:val="00753C7A"/>
    <w:rsid w:val="00753EA4"/>
    <w:rsid w:val="00754034"/>
    <w:rsid w:val="007548B1"/>
    <w:rsid w:val="00754B5D"/>
    <w:rsid w:val="00754F1B"/>
    <w:rsid w:val="00754F3B"/>
    <w:rsid w:val="007554AB"/>
    <w:rsid w:val="00755614"/>
    <w:rsid w:val="0075588A"/>
    <w:rsid w:val="00756556"/>
    <w:rsid w:val="00756A3F"/>
    <w:rsid w:val="0075728A"/>
    <w:rsid w:val="00757485"/>
    <w:rsid w:val="00757E83"/>
    <w:rsid w:val="0076029B"/>
    <w:rsid w:val="007613F3"/>
    <w:rsid w:val="0076153E"/>
    <w:rsid w:val="007618C4"/>
    <w:rsid w:val="00761FB4"/>
    <w:rsid w:val="00762784"/>
    <w:rsid w:val="00762DD3"/>
    <w:rsid w:val="007650E6"/>
    <w:rsid w:val="00765F42"/>
    <w:rsid w:val="0076617F"/>
    <w:rsid w:val="007669DE"/>
    <w:rsid w:val="007674DC"/>
    <w:rsid w:val="00767980"/>
    <w:rsid w:val="00767A4D"/>
    <w:rsid w:val="00767B80"/>
    <w:rsid w:val="00767D59"/>
    <w:rsid w:val="00767D8E"/>
    <w:rsid w:val="00770B19"/>
    <w:rsid w:val="00770BD8"/>
    <w:rsid w:val="00770CDA"/>
    <w:rsid w:val="007715F8"/>
    <w:rsid w:val="00771F26"/>
    <w:rsid w:val="00772050"/>
    <w:rsid w:val="00772438"/>
    <w:rsid w:val="0077285E"/>
    <w:rsid w:val="00772E28"/>
    <w:rsid w:val="00772E40"/>
    <w:rsid w:val="00773F9E"/>
    <w:rsid w:val="0077448C"/>
    <w:rsid w:val="0077463F"/>
    <w:rsid w:val="007755A0"/>
    <w:rsid w:val="007758CA"/>
    <w:rsid w:val="00775948"/>
    <w:rsid w:val="00776EC8"/>
    <w:rsid w:val="00777A69"/>
    <w:rsid w:val="00777E61"/>
    <w:rsid w:val="00777E88"/>
    <w:rsid w:val="0078083F"/>
    <w:rsid w:val="00781CA1"/>
    <w:rsid w:val="00782241"/>
    <w:rsid w:val="00782CF0"/>
    <w:rsid w:val="00782F8D"/>
    <w:rsid w:val="0078308D"/>
    <w:rsid w:val="007836EA"/>
    <w:rsid w:val="007838C4"/>
    <w:rsid w:val="00783B8A"/>
    <w:rsid w:val="00783D0C"/>
    <w:rsid w:val="00784AEF"/>
    <w:rsid w:val="00784CDA"/>
    <w:rsid w:val="007857AC"/>
    <w:rsid w:val="00785F53"/>
    <w:rsid w:val="007861F8"/>
    <w:rsid w:val="007906C3"/>
    <w:rsid w:val="007906C4"/>
    <w:rsid w:val="00792026"/>
    <w:rsid w:val="00792206"/>
    <w:rsid w:val="007923D4"/>
    <w:rsid w:val="00792807"/>
    <w:rsid w:val="00793089"/>
    <w:rsid w:val="00793615"/>
    <w:rsid w:val="00793899"/>
    <w:rsid w:val="007940EA"/>
    <w:rsid w:val="00794AD3"/>
    <w:rsid w:val="00795AAE"/>
    <w:rsid w:val="007963E4"/>
    <w:rsid w:val="007967E8"/>
    <w:rsid w:val="007969B1"/>
    <w:rsid w:val="00796B78"/>
    <w:rsid w:val="00797002"/>
    <w:rsid w:val="007975AF"/>
    <w:rsid w:val="00797730"/>
    <w:rsid w:val="0079794B"/>
    <w:rsid w:val="007A03BF"/>
    <w:rsid w:val="007A061B"/>
    <w:rsid w:val="007A1A60"/>
    <w:rsid w:val="007A1B9C"/>
    <w:rsid w:val="007A2170"/>
    <w:rsid w:val="007A22BF"/>
    <w:rsid w:val="007A248F"/>
    <w:rsid w:val="007A28B8"/>
    <w:rsid w:val="007A2CF2"/>
    <w:rsid w:val="007A2F39"/>
    <w:rsid w:val="007A3323"/>
    <w:rsid w:val="007A3FA7"/>
    <w:rsid w:val="007A41AB"/>
    <w:rsid w:val="007A41CC"/>
    <w:rsid w:val="007A5BC0"/>
    <w:rsid w:val="007A5D77"/>
    <w:rsid w:val="007A6049"/>
    <w:rsid w:val="007A63F4"/>
    <w:rsid w:val="007A6568"/>
    <w:rsid w:val="007A727A"/>
    <w:rsid w:val="007A7595"/>
    <w:rsid w:val="007A7670"/>
    <w:rsid w:val="007A7678"/>
    <w:rsid w:val="007A7D7C"/>
    <w:rsid w:val="007B0523"/>
    <w:rsid w:val="007B0D83"/>
    <w:rsid w:val="007B0EC0"/>
    <w:rsid w:val="007B1123"/>
    <w:rsid w:val="007B1D2D"/>
    <w:rsid w:val="007B23C5"/>
    <w:rsid w:val="007B2B6A"/>
    <w:rsid w:val="007B3A1E"/>
    <w:rsid w:val="007B3ACD"/>
    <w:rsid w:val="007B416C"/>
    <w:rsid w:val="007B47B4"/>
    <w:rsid w:val="007B49D3"/>
    <w:rsid w:val="007B4A85"/>
    <w:rsid w:val="007B4ABF"/>
    <w:rsid w:val="007B5034"/>
    <w:rsid w:val="007B51BC"/>
    <w:rsid w:val="007B5661"/>
    <w:rsid w:val="007B584C"/>
    <w:rsid w:val="007B5BFF"/>
    <w:rsid w:val="007B5F5F"/>
    <w:rsid w:val="007B65F9"/>
    <w:rsid w:val="007B72B8"/>
    <w:rsid w:val="007B7477"/>
    <w:rsid w:val="007B7A58"/>
    <w:rsid w:val="007B7E97"/>
    <w:rsid w:val="007C0DFB"/>
    <w:rsid w:val="007C0E55"/>
    <w:rsid w:val="007C1318"/>
    <w:rsid w:val="007C21B5"/>
    <w:rsid w:val="007C21C2"/>
    <w:rsid w:val="007C29BA"/>
    <w:rsid w:val="007C475C"/>
    <w:rsid w:val="007C4826"/>
    <w:rsid w:val="007C497B"/>
    <w:rsid w:val="007C4C48"/>
    <w:rsid w:val="007C4F88"/>
    <w:rsid w:val="007C5C2B"/>
    <w:rsid w:val="007C5C52"/>
    <w:rsid w:val="007C5D79"/>
    <w:rsid w:val="007C5F44"/>
    <w:rsid w:val="007C761C"/>
    <w:rsid w:val="007C7698"/>
    <w:rsid w:val="007C7E56"/>
    <w:rsid w:val="007D0456"/>
    <w:rsid w:val="007D05E2"/>
    <w:rsid w:val="007D07FD"/>
    <w:rsid w:val="007D0FB2"/>
    <w:rsid w:val="007D25A3"/>
    <w:rsid w:val="007D2776"/>
    <w:rsid w:val="007D378F"/>
    <w:rsid w:val="007D3E5B"/>
    <w:rsid w:val="007D41DD"/>
    <w:rsid w:val="007D44D9"/>
    <w:rsid w:val="007D4585"/>
    <w:rsid w:val="007D4772"/>
    <w:rsid w:val="007D49D0"/>
    <w:rsid w:val="007D4B29"/>
    <w:rsid w:val="007D5171"/>
    <w:rsid w:val="007D5198"/>
    <w:rsid w:val="007D67F4"/>
    <w:rsid w:val="007D686C"/>
    <w:rsid w:val="007D7548"/>
    <w:rsid w:val="007E0052"/>
    <w:rsid w:val="007E01F7"/>
    <w:rsid w:val="007E047C"/>
    <w:rsid w:val="007E0F3F"/>
    <w:rsid w:val="007E1214"/>
    <w:rsid w:val="007E1291"/>
    <w:rsid w:val="007E1C6A"/>
    <w:rsid w:val="007E1C74"/>
    <w:rsid w:val="007E1F41"/>
    <w:rsid w:val="007E2214"/>
    <w:rsid w:val="007E224B"/>
    <w:rsid w:val="007E2540"/>
    <w:rsid w:val="007E2667"/>
    <w:rsid w:val="007E292E"/>
    <w:rsid w:val="007E2E64"/>
    <w:rsid w:val="007E4781"/>
    <w:rsid w:val="007E4BD2"/>
    <w:rsid w:val="007E4D00"/>
    <w:rsid w:val="007E4E3F"/>
    <w:rsid w:val="007E50F3"/>
    <w:rsid w:val="007E59A8"/>
    <w:rsid w:val="007E5F8C"/>
    <w:rsid w:val="007E5FC4"/>
    <w:rsid w:val="007E6F90"/>
    <w:rsid w:val="007E7014"/>
    <w:rsid w:val="007E724B"/>
    <w:rsid w:val="007F01DD"/>
    <w:rsid w:val="007F01EF"/>
    <w:rsid w:val="007F05C3"/>
    <w:rsid w:val="007F0935"/>
    <w:rsid w:val="007F0D48"/>
    <w:rsid w:val="007F15DE"/>
    <w:rsid w:val="007F1E57"/>
    <w:rsid w:val="007F1E89"/>
    <w:rsid w:val="007F2523"/>
    <w:rsid w:val="007F280E"/>
    <w:rsid w:val="007F2CF3"/>
    <w:rsid w:val="007F2DC7"/>
    <w:rsid w:val="007F3049"/>
    <w:rsid w:val="007F32B7"/>
    <w:rsid w:val="007F376A"/>
    <w:rsid w:val="007F3E0A"/>
    <w:rsid w:val="007F4F7E"/>
    <w:rsid w:val="007F5A67"/>
    <w:rsid w:val="007F5F28"/>
    <w:rsid w:val="007F69A0"/>
    <w:rsid w:val="007F774F"/>
    <w:rsid w:val="0080030D"/>
    <w:rsid w:val="00800D3A"/>
    <w:rsid w:val="00800F41"/>
    <w:rsid w:val="00801192"/>
    <w:rsid w:val="008011E6"/>
    <w:rsid w:val="00801393"/>
    <w:rsid w:val="00801A45"/>
    <w:rsid w:val="00801AB1"/>
    <w:rsid w:val="0080211A"/>
    <w:rsid w:val="008026BD"/>
    <w:rsid w:val="00802C05"/>
    <w:rsid w:val="00802F88"/>
    <w:rsid w:val="00803EB6"/>
    <w:rsid w:val="008040AC"/>
    <w:rsid w:val="00804E95"/>
    <w:rsid w:val="00804F0C"/>
    <w:rsid w:val="00805E8B"/>
    <w:rsid w:val="0080696E"/>
    <w:rsid w:val="00807D3B"/>
    <w:rsid w:val="00807EF0"/>
    <w:rsid w:val="00810D01"/>
    <w:rsid w:val="00810F58"/>
    <w:rsid w:val="0081127C"/>
    <w:rsid w:val="008114B5"/>
    <w:rsid w:val="0081164D"/>
    <w:rsid w:val="00811A5B"/>
    <w:rsid w:val="00811E20"/>
    <w:rsid w:val="0081293E"/>
    <w:rsid w:val="008132C9"/>
    <w:rsid w:val="00814040"/>
    <w:rsid w:val="00814278"/>
    <w:rsid w:val="008146A0"/>
    <w:rsid w:val="00814752"/>
    <w:rsid w:val="00814929"/>
    <w:rsid w:val="00814BD2"/>
    <w:rsid w:val="008152E3"/>
    <w:rsid w:val="00815465"/>
    <w:rsid w:val="00816B0D"/>
    <w:rsid w:val="00817487"/>
    <w:rsid w:val="00817CAA"/>
    <w:rsid w:val="00817E9A"/>
    <w:rsid w:val="00820C91"/>
    <w:rsid w:val="00820D13"/>
    <w:rsid w:val="008213C7"/>
    <w:rsid w:val="00821D91"/>
    <w:rsid w:val="00821D9F"/>
    <w:rsid w:val="00821EAB"/>
    <w:rsid w:val="00822140"/>
    <w:rsid w:val="00822564"/>
    <w:rsid w:val="00822DA5"/>
    <w:rsid w:val="00822E81"/>
    <w:rsid w:val="008237BE"/>
    <w:rsid w:val="00823FB0"/>
    <w:rsid w:val="00824A4F"/>
    <w:rsid w:val="00825AD2"/>
    <w:rsid w:val="00825B2C"/>
    <w:rsid w:val="00825E3E"/>
    <w:rsid w:val="00826AC3"/>
    <w:rsid w:val="00827A31"/>
    <w:rsid w:val="00830145"/>
    <w:rsid w:val="00830209"/>
    <w:rsid w:val="0083060B"/>
    <w:rsid w:val="008306BD"/>
    <w:rsid w:val="00830727"/>
    <w:rsid w:val="0083089A"/>
    <w:rsid w:val="008318F4"/>
    <w:rsid w:val="00831A80"/>
    <w:rsid w:val="008321A6"/>
    <w:rsid w:val="00832F8B"/>
    <w:rsid w:val="0083332C"/>
    <w:rsid w:val="00833743"/>
    <w:rsid w:val="008337C9"/>
    <w:rsid w:val="00833CB5"/>
    <w:rsid w:val="008340A4"/>
    <w:rsid w:val="00834482"/>
    <w:rsid w:val="008349A4"/>
    <w:rsid w:val="00836150"/>
    <w:rsid w:val="00836177"/>
    <w:rsid w:val="00836188"/>
    <w:rsid w:val="00836229"/>
    <w:rsid w:val="008369BE"/>
    <w:rsid w:val="008370F9"/>
    <w:rsid w:val="00837477"/>
    <w:rsid w:val="00837E2B"/>
    <w:rsid w:val="00840CF0"/>
    <w:rsid w:val="008417BE"/>
    <w:rsid w:val="00842169"/>
    <w:rsid w:val="00844820"/>
    <w:rsid w:val="0084542A"/>
    <w:rsid w:val="0084561C"/>
    <w:rsid w:val="00846450"/>
    <w:rsid w:val="0084665D"/>
    <w:rsid w:val="00846CBF"/>
    <w:rsid w:val="00846E15"/>
    <w:rsid w:val="00846E9E"/>
    <w:rsid w:val="00846F14"/>
    <w:rsid w:val="00847E5B"/>
    <w:rsid w:val="00850029"/>
    <w:rsid w:val="0085071E"/>
    <w:rsid w:val="00851836"/>
    <w:rsid w:val="00852388"/>
    <w:rsid w:val="0085261B"/>
    <w:rsid w:val="00852AB4"/>
    <w:rsid w:val="00852E62"/>
    <w:rsid w:val="008543DC"/>
    <w:rsid w:val="008550E0"/>
    <w:rsid w:val="00855141"/>
    <w:rsid w:val="00855407"/>
    <w:rsid w:val="00855D7D"/>
    <w:rsid w:val="00857452"/>
    <w:rsid w:val="00857C9C"/>
    <w:rsid w:val="00857FBE"/>
    <w:rsid w:val="00860313"/>
    <w:rsid w:val="00861221"/>
    <w:rsid w:val="008614E1"/>
    <w:rsid w:val="0086178C"/>
    <w:rsid w:val="008622BD"/>
    <w:rsid w:val="0086285E"/>
    <w:rsid w:val="00862B3A"/>
    <w:rsid w:val="008636EF"/>
    <w:rsid w:val="00864D47"/>
    <w:rsid w:val="00864DC5"/>
    <w:rsid w:val="00865374"/>
    <w:rsid w:val="008658F6"/>
    <w:rsid w:val="00866029"/>
    <w:rsid w:val="0086603C"/>
    <w:rsid w:val="00866244"/>
    <w:rsid w:val="00866A20"/>
    <w:rsid w:val="008673EB"/>
    <w:rsid w:val="00867409"/>
    <w:rsid w:val="0086792B"/>
    <w:rsid w:val="00867D2A"/>
    <w:rsid w:val="00870586"/>
    <w:rsid w:val="0087059C"/>
    <w:rsid w:val="00870CB1"/>
    <w:rsid w:val="0087135F"/>
    <w:rsid w:val="00871484"/>
    <w:rsid w:val="00871CFB"/>
    <w:rsid w:val="00872027"/>
    <w:rsid w:val="008721AF"/>
    <w:rsid w:val="0087256C"/>
    <w:rsid w:val="00872D94"/>
    <w:rsid w:val="00872E25"/>
    <w:rsid w:val="008730BA"/>
    <w:rsid w:val="00873451"/>
    <w:rsid w:val="008742A5"/>
    <w:rsid w:val="00874705"/>
    <w:rsid w:val="00874A9B"/>
    <w:rsid w:val="00876366"/>
    <w:rsid w:val="0087721C"/>
    <w:rsid w:val="00877983"/>
    <w:rsid w:val="00877E19"/>
    <w:rsid w:val="00880364"/>
    <w:rsid w:val="008805AA"/>
    <w:rsid w:val="00881594"/>
    <w:rsid w:val="00882898"/>
    <w:rsid w:val="00882C75"/>
    <w:rsid w:val="00882E8D"/>
    <w:rsid w:val="00883C6B"/>
    <w:rsid w:val="00884434"/>
    <w:rsid w:val="00884585"/>
    <w:rsid w:val="00884DBD"/>
    <w:rsid w:val="00884F91"/>
    <w:rsid w:val="00885866"/>
    <w:rsid w:val="00886069"/>
    <w:rsid w:val="00886483"/>
    <w:rsid w:val="00887170"/>
    <w:rsid w:val="00890664"/>
    <w:rsid w:val="00890E36"/>
    <w:rsid w:val="00891592"/>
    <w:rsid w:val="00891E9E"/>
    <w:rsid w:val="00891EF6"/>
    <w:rsid w:val="008929BD"/>
    <w:rsid w:val="00892B88"/>
    <w:rsid w:val="00892C42"/>
    <w:rsid w:val="00892E32"/>
    <w:rsid w:val="008939E9"/>
    <w:rsid w:val="008940DF"/>
    <w:rsid w:val="00894D10"/>
    <w:rsid w:val="00895CC7"/>
    <w:rsid w:val="00896E97"/>
    <w:rsid w:val="008971B9"/>
    <w:rsid w:val="0089722E"/>
    <w:rsid w:val="008A10E8"/>
    <w:rsid w:val="008A116B"/>
    <w:rsid w:val="008A17D0"/>
    <w:rsid w:val="008A1BF6"/>
    <w:rsid w:val="008A1C8B"/>
    <w:rsid w:val="008A1EF5"/>
    <w:rsid w:val="008A2F68"/>
    <w:rsid w:val="008A32E8"/>
    <w:rsid w:val="008A34A7"/>
    <w:rsid w:val="008A37C7"/>
    <w:rsid w:val="008A4055"/>
    <w:rsid w:val="008A43DF"/>
    <w:rsid w:val="008A4B4C"/>
    <w:rsid w:val="008A5D0A"/>
    <w:rsid w:val="008A61C2"/>
    <w:rsid w:val="008A662F"/>
    <w:rsid w:val="008A6E74"/>
    <w:rsid w:val="008A7486"/>
    <w:rsid w:val="008A7608"/>
    <w:rsid w:val="008A7CFA"/>
    <w:rsid w:val="008B0372"/>
    <w:rsid w:val="008B05A9"/>
    <w:rsid w:val="008B15CF"/>
    <w:rsid w:val="008B1C19"/>
    <w:rsid w:val="008B224A"/>
    <w:rsid w:val="008B238C"/>
    <w:rsid w:val="008B2515"/>
    <w:rsid w:val="008B2517"/>
    <w:rsid w:val="008B2A59"/>
    <w:rsid w:val="008B31DB"/>
    <w:rsid w:val="008B3FD4"/>
    <w:rsid w:val="008B411D"/>
    <w:rsid w:val="008B43E6"/>
    <w:rsid w:val="008B4816"/>
    <w:rsid w:val="008B4DB0"/>
    <w:rsid w:val="008B4E8E"/>
    <w:rsid w:val="008B4FA6"/>
    <w:rsid w:val="008B503B"/>
    <w:rsid w:val="008B51BA"/>
    <w:rsid w:val="008B5282"/>
    <w:rsid w:val="008B64D7"/>
    <w:rsid w:val="008B6F62"/>
    <w:rsid w:val="008B7765"/>
    <w:rsid w:val="008B7C17"/>
    <w:rsid w:val="008B7E25"/>
    <w:rsid w:val="008C02FE"/>
    <w:rsid w:val="008C0797"/>
    <w:rsid w:val="008C0D9C"/>
    <w:rsid w:val="008C13DD"/>
    <w:rsid w:val="008C23D3"/>
    <w:rsid w:val="008C2765"/>
    <w:rsid w:val="008C2AB7"/>
    <w:rsid w:val="008C2D01"/>
    <w:rsid w:val="008C3050"/>
    <w:rsid w:val="008C32C3"/>
    <w:rsid w:val="008C37AB"/>
    <w:rsid w:val="008C3813"/>
    <w:rsid w:val="008C3AE8"/>
    <w:rsid w:val="008C3FA0"/>
    <w:rsid w:val="008C40E6"/>
    <w:rsid w:val="008C4673"/>
    <w:rsid w:val="008C479F"/>
    <w:rsid w:val="008C4D44"/>
    <w:rsid w:val="008C531B"/>
    <w:rsid w:val="008C5340"/>
    <w:rsid w:val="008C5836"/>
    <w:rsid w:val="008C61C9"/>
    <w:rsid w:val="008C6340"/>
    <w:rsid w:val="008C6BE9"/>
    <w:rsid w:val="008C6C81"/>
    <w:rsid w:val="008C72D7"/>
    <w:rsid w:val="008C7595"/>
    <w:rsid w:val="008C75D6"/>
    <w:rsid w:val="008D052C"/>
    <w:rsid w:val="008D0D17"/>
    <w:rsid w:val="008D0F7A"/>
    <w:rsid w:val="008D1637"/>
    <w:rsid w:val="008D2CF4"/>
    <w:rsid w:val="008D31DA"/>
    <w:rsid w:val="008D3D45"/>
    <w:rsid w:val="008D4296"/>
    <w:rsid w:val="008D465B"/>
    <w:rsid w:val="008D5409"/>
    <w:rsid w:val="008D552F"/>
    <w:rsid w:val="008D594C"/>
    <w:rsid w:val="008D68E4"/>
    <w:rsid w:val="008D6A46"/>
    <w:rsid w:val="008D6A52"/>
    <w:rsid w:val="008D6A56"/>
    <w:rsid w:val="008D6C91"/>
    <w:rsid w:val="008D717E"/>
    <w:rsid w:val="008D7AA6"/>
    <w:rsid w:val="008E0506"/>
    <w:rsid w:val="008E0B79"/>
    <w:rsid w:val="008E0CFF"/>
    <w:rsid w:val="008E25B5"/>
    <w:rsid w:val="008E25F1"/>
    <w:rsid w:val="008E27EF"/>
    <w:rsid w:val="008E29AB"/>
    <w:rsid w:val="008E2DA3"/>
    <w:rsid w:val="008E358E"/>
    <w:rsid w:val="008E35F4"/>
    <w:rsid w:val="008E377D"/>
    <w:rsid w:val="008E3B20"/>
    <w:rsid w:val="008E3E58"/>
    <w:rsid w:val="008E3F04"/>
    <w:rsid w:val="008E4560"/>
    <w:rsid w:val="008E4FEA"/>
    <w:rsid w:val="008E5639"/>
    <w:rsid w:val="008E5782"/>
    <w:rsid w:val="008E5873"/>
    <w:rsid w:val="008E5D6B"/>
    <w:rsid w:val="008E65DB"/>
    <w:rsid w:val="008E6F0F"/>
    <w:rsid w:val="008E76F0"/>
    <w:rsid w:val="008E7712"/>
    <w:rsid w:val="008E7D7F"/>
    <w:rsid w:val="008E7F3A"/>
    <w:rsid w:val="008F002B"/>
    <w:rsid w:val="008F05AA"/>
    <w:rsid w:val="008F08C9"/>
    <w:rsid w:val="008F0B59"/>
    <w:rsid w:val="008F111D"/>
    <w:rsid w:val="008F11B2"/>
    <w:rsid w:val="008F15FE"/>
    <w:rsid w:val="008F183B"/>
    <w:rsid w:val="008F2476"/>
    <w:rsid w:val="008F2608"/>
    <w:rsid w:val="008F2C7C"/>
    <w:rsid w:val="008F2D29"/>
    <w:rsid w:val="008F2F08"/>
    <w:rsid w:val="008F300C"/>
    <w:rsid w:val="008F3468"/>
    <w:rsid w:val="008F4DBD"/>
    <w:rsid w:val="008F5187"/>
    <w:rsid w:val="008F5B66"/>
    <w:rsid w:val="008F5BEA"/>
    <w:rsid w:val="008F6063"/>
    <w:rsid w:val="008F60D8"/>
    <w:rsid w:val="008F6776"/>
    <w:rsid w:val="008F7297"/>
    <w:rsid w:val="008F7AE6"/>
    <w:rsid w:val="00900194"/>
    <w:rsid w:val="00900E67"/>
    <w:rsid w:val="009012B1"/>
    <w:rsid w:val="00901431"/>
    <w:rsid w:val="00901478"/>
    <w:rsid w:val="0090160F"/>
    <w:rsid w:val="00901C82"/>
    <w:rsid w:val="009022B1"/>
    <w:rsid w:val="00902727"/>
    <w:rsid w:val="00902A9C"/>
    <w:rsid w:val="0090312B"/>
    <w:rsid w:val="00903B00"/>
    <w:rsid w:val="00904681"/>
    <w:rsid w:val="009054AF"/>
    <w:rsid w:val="00906A48"/>
    <w:rsid w:val="00906F86"/>
    <w:rsid w:val="00907197"/>
    <w:rsid w:val="0090751C"/>
    <w:rsid w:val="00907779"/>
    <w:rsid w:val="009100D0"/>
    <w:rsid w:val="00910454"/>
    <w:rsid w:val="009105BA"/>
    <w:rsid w:val="009116C3"/>
    <w:rsid w:val="009117A6"/>
    <w:rsid w:val="009119AD"/>
    <w:rsid w:val="00911B6E"/>
    <w:rsid w:val="00911FE6"/>
    <w:rsid w:val="00913200"/>
    <w:rsid w:val="00913428"/>
    <w:rsid w:val="009140B0"/>
    <w:rsid w:val="00914938"/>
    <w:rsid w:val="00915392"/>
    <w:rsid w:val="0091639C"/>
    <w:rsid w:val="009171D7"/>
    <w:rsid w:val="0091736D"/>
    <w:rsid w:val="00917C1D"/>
    <w:rsid w:val="009202AA"/>
    <w:rsid w:val="009208A7"/>
    <w:rsid w:val="009209CB"/>
    <w:rsid w:val="00920F86"/>
    <w:rsid w:val="0092113A"/>
    <w:rsid w:val="00922013"/>
    <w:rsid w:val="00922BC1"/>
    <w:rsid w:val="00922EC1"/>
    <w:rsid w:val="0092323D"/>
    <w:rsid w:val="00923392"/>
    <w:rsid w:val="0092475A"/>
    <w:rsid w:val="00924E58"/>
    <w:rsid w:val="00925C31"/>
    <w:rsid w:val="00925F68"/>
    <w:rsid w:val="009266D3"/>
    <w:rsid w:val="00926942"/>
    <w:rsid w:val="00926EDD"/>
    <w:rsid w:val="00927567"/>
    <w:rsid w:val="009276E7"/>
    <w:rsid w:val="00927D1E"/>
    <w:rsid w:val="009300B4"/>
    <w:rsid w:val="0093037A"/>
    <w:rsid w:val="009305D5"/>
    <w:rsid w:val="009306C5"/>
    <w:rsid w:val="009307F8"/>
    <w:rsid w:val="00930D33"/>
    <w:rsid w:val="00931173"/>
    <w:rsid w:val="00931476"/>
    <w:rsid w:val="00931F1E"/>
    <w:rsid w:val="00932028"/>
    <w:rsid w:val="0093261A"/>
    <w:rsid w:val="0093291F"/>
    <w:rsid w:val="00932E95"/>
    <w:rsid w:val="00933326"/>
    <w:rsid w:val="009335ED"/>
    <w:rsid w:val="0093400B"/>
    <w:rsid w:val="00934AE7"/>
    <w:rsid w:val="00935025"/>
    <w:rsid w:val="00935600"/>
    <w:rsid w:val="00935629"/>
    <w:rsid w:val="00935836"/>
    <w:rsid w:val="00936436"/>
    <w:rsid w:val="0093691B"/>
    <w:rsid w:val="00937344"/>
    <w:rsid w:val="00937F70"/>
    <w:rsid w:val="0094006B"/>
    <w:rsid w:val="00940243"/>
    <w:rsid w:val="0094027F"/>
    <w:rsid w:val="009412DF"/>
    <w:rsid w:val="0094154D"/>
    <w:rsid w:val="009424C9"/>
    <w:rsid w:val="009425B1"/>
    <w:rsid w:val="009430B3"/>
    <w:rsid w:val="009434DE"/>
    <w:rsid w:val="00943BF8"/>
    <w:rsid w:val="009441F3"/>
    <w:rsid w:val="00944C50"/>
    <w:rsid w:val="009450F7"/>
    <w:rsid w:val="00945C95"/>
    <w:rsid w:val="00945E43"/>
    <w:rsid w:val="009463F6"/>
    <w:rsid w:val="00946431"/>
    <w:rsid w:val="009466C6"/>
    <w:rsid w:val="00946E71"/>
    <w:rsid w:val="00947058"/>
    <w:rsid w:val="009472F4"/>
    <w:rsid w:val="009479F8"/>
    <w:rsid w:val="00947DDF"/>
    <w:rsid w:val="00950015"/>
    <w:rsid w:val="0095006E"/>
    <w:rsid w:val="00950AC4"/>
    <w:rsid w:val="0095155F"/>
    <w:rsid w:val="009517F7"/>
    <w:rsid w:val="00951B04"/>
    <w:rsid w:val="00951D81"/>
    <w:rsid w:val="00951F82"/>
    <w:rsid w:val="00952690"/>
    <w:rsid w:val="0095359D"/>
    <w:rsid w:val="00953C18"/>
    <w:rsid w:val="00954429"/>
    <w:rsid w:val="0095459B"/>
    <w:rsid w:val="0095460C"/>
    <w:rsid w:val="00954D22"/>
    <w:rsid w:val="009553E8"/>
    <w:rsid w:val="009557B4"/>
    <w:rsid w:val="0095586D"/>
    <w:rsid w:val="00955ACA"/>
    <w:rsid w:val="00955C3D"/>
    <w:rsid w:val="00955C98"/>
    <w:rsid w:val="009563CE"/>
    <w:rsid w:val="00956736"/>
    <w:rsid w:val="00960275"/>
    <w:rsid w:val="00960883"/>
    <w:rsid w:val="00961655"/>
    <w:rsid w:val="00961B1F"/>
    <w:rsid w:val="009620DF"/>
    <w:rsid w:val="00962631"/>
    <w:rsid w:val="00962710"/>
    <w:rsid w:val="00962857"/>
    <w:rsid w:val="009629A6"/>
    <w:rsid w:val="00962A28"/>
    <w:rsid w:val="00962FB2"/>
    <w:rsid w:val="009632C9"/>
    <w:rsid w:val="00963A60"/>
    <w:rsid w:val="00963C85"/>
    <w:rsid w:val="00963D64"/>
    <w:rsid w:val="009656FA"/>
    <w:rsid w:val="00966E01"/>
    <w:rsid w:val="00967271"/>
    <w:rsid w:val="0097016C"/>
    <w:rsid w:val="009704D4"/>
    <w:rsid w:val="00971029"/>
    <w:rsid w:val="00971A24"/>
    <w:rsid w:val="00971D06"/>
    <w:rsid w:val="00971DBB"/>
    <w:rsid w:val="009726DC"/>
    <w:rsid w:val="00973743"/>
    <w:rsid w:val="00973C34"/>
    <w:rsid w:val="00974948"/>
    <w:rsid w:val="00974E0F"/>
    <w:rsid w:val="00975112"/>
    <w:rsid w:val="009755B7"/>
    <w:rsid w:val="00975D55"/>
    <w:rsid w:val="00976022"/>
    <w:rsid w:val="00976328"/>
    <w:rsid w:val="009767C7"/>
    <w:rsid w:val="0097680D"/>
    <w:rsid w:val="00977AC3"/>
    <w:rsid w:val="00977B34"/>
    <w:rsid w:val="009803D6"/>
    <w:rsid w:val="00980FCD"/>
    <w:rsid w:val="009813EF"/>
    <w:rsid w:val="00981F4D"/>
    <w:rsid w:val="00982438"/>
    <w:rsid w:val="009826FD"/>
    <w:rsid w:val="0098368E"/>
    <w:rsid w:val="00983990"/>
    <w:rsid w:val="00983F69"/>
    <w:rsid w:val="0098404C"/>
    <w:rsid w:val="00984086"/>
    <w:rsid w:val="00984453"/>
    <w:rsid w:val="00984995"/>
    <w:rsid w:val="00984A74"/>
    <w:rsid w:val="00985283"/>
    <w:rsid w:val="00985510"/>
    <w:rsid w:val="009866FE"/>
    <w:rsid w:val="00986E53"/>
    <w:rsid w:val="00987647"/>
    <w:rsid w:val="00987F0A"/>
    <w:rsid w:val="0099026A"/>
    <w:rsid w:val="00990C4E"/>
    <w:rsid w:val="009911BD"/>
    <w:rsid w:val="0099130D"/>
    <w:rsid w:val="00991B48"/>
    <w:rsid w:val="00991CD3"/>
    <w:rsid w:val="00991ECC"/>
    <w:rsid w:val="00992003"/>
    <w:rsid w:val="009927D9"/>
    <w:rsid w:val="00992D34"/>
    <w:rsid w:val="00992ED0"/>
    <w:rsid w:val="00993323"/>
    <w:rsid w:val="00993583"/>
    <w:rsid w:val="00993D67"/>
    <w:rsid w:val="00993E74"/>
    <w:rsid w:val="0099431E"/>
    <w:rsid w:val="00994338"/>
    <w:rsid w:val="00994F0C"/>
    <w:rsid w:val="009958C9"/>
    <w:rsid w:val="00995992"/>
    <w:rsid w:val="009962D0"/>
    <w:rsid w:val="00996630"/>
    <w:rsid w:val="009966E1"/>
    <w:rsid w:val="0099681A"/>
    <w:rsid w:val="00997960"/>
    <w:rsid w:val="009A0082"/>
    <w:rsid w:val="009A03E5"/>
    <w:rsid w:val="009A0C31"/>
    <w:rsid w:val="009A0F3B"/>
    <w:rsid w:val="009A1BA5"/>
    <w:rsid w:val="009A1BB4"/>
    <w:rsid w:val="009A2389"/>
    <w:rsid w:val="009A2628"/>
    <w:rsid w:val="009A299C"/>
    <w:rsid w:val="009A3024"/>
    <w:rsid w:val="009A3200"/>
    <w:rsid w:val="009A32DA"/>
    <w:rsid w:val="009A3458"/>
    <w:rsid w:val="009A524E"/>
    <w:rsid w:val="009A5A6D"/>
    <w:rsid w:val="009A651B"/>
    <w:rsid w:val="009A695E"/>
    <w:rsid w:val="009A6BB8"/>
    <w:rsid w:val="009A6FC3"/>
    <w:rsid w:val="009A7881"/>
    <w:rsid w:val="009A78FE"/>
    <w:rsid w:val="009A7E1E"/>
    <w:rsid w:val="009B0587"/>
    <w:rsid w:val="009B0897"/>
    <w:rsid w:val="009B0F5D"/>
    <w:rsid w:val="009B14ED"/>
    <w:rsid w:val="009B1539"/>
    <w:rsid w:val="009B246C"/>
    <w:rsid w:val="009B2B7C"/>
    <w:rsid w:val="009B39D1"/>
    <w:rsid w:val="009B3C3A"/>
    <w:rsid w:val="009B4009"/>
    <w:rsid w:val="009B4131"/>
    <w:rsid w:val="009B4490"/>
    <w:rsid w:val="009B540A"/>
    <w:rsid w:val="009B54B3"/>
    <w:rsid w:val="009B57E5"/>
    <w:rsid w:val="009B5D72"/>
    <w:rsid w:val="009B685E"/>
    <w:rsid w:val="009B71AD"/>
    <w:rsid w:val="009B75D7"/>
    <w:rsid w:val="009B76A4"/>
    <w:rsid w:val="009B7BD9"/>
    <w:rsid w:val="009B7BF8"/>
    <w:rsid w:val="009B7FAE"/>
    <w:rsid w:val="009C175F"/>
    <w:rsid w:val="009C218B"/>
    <w:rsid w:val="009C2483"/>
    <w:rsid w:val="009C2992"/>
    <w:rsid w:val="009C2A32"/>
    <w:rsid w:val="009C2FDF"/>
    <w:rsid w:val="009C318D"/>
    <w:rsid w:val="009C3345"/>
    <w:rsid w:val="009C3BDB"/>
    <w:rsid w:val="009C5DE5"/>
    <w:rsid w:val="009C61A4"/>
    <w:rsid w:val="009C620D"/>
    <w:rsid w:val="009C636B"/>
    <w:rsid w:val="009C65F7"/>
    <w:rsid w:val="009C6AD8"/>
    <w:rsid w:val="009C7273"/>
    <w:rsid w:val="009C7514"/>
    <w:rsid w:val="009C798A"/>
    <w:rsid w:val="009C79AF"/>
    <w:rsid w:val="009C7DD5"/>
    <w:rsid w:val="009D2FFA"/>
    <w:rsid w:val="009D3076"/>
    <w:rsid w:val="009D3708"/>
    <w:rsid w:val="009D4117"/>
    <w:rsid w:val="009D4369"/>
    <w:rsid w:val="009D4678"/>
    <w:rsid w:val="009D4D3B"/>
    <w:rsid w:val="009D54C7"/>
    <w:rsid w:val="009D5552"/>
    <w:rsid w:val="009D5628"/>
    <w:rsid w:val="009D56E9"/>
    <w:rsid w:val="009D58FB"/>
    <w:rsid w:val="009D5AED"/>
    <w:rsid w:val="009D63DC"/>
    <w:rsid w:val="009D6BBC"/>
    <w:rsid w:val="009D76C9"/>
    <w:rsid w:val="009D783B"/>
    <w:rsid w:val="009D7C9F"/>
    <w:rsid w:val="009D7EC7"/>
    <w:rsid w:val="009E05F6"/>
    <w:rsid w:val="009E088F"/>
    <w:rsid w:val="009E0BD2"/>
    <w:rsid w:val="009E13EF"/>
    <w:rsid w:val="009E15C9"/>
    <w:rsid w:val="009E18DB"/>
    <w:rsid w:val="009E227D"/>
    <w:rsid w:val="009E240D"/>
    <w:rsid w:val="009E242B"/>
    <w:rsid w:val="009E2741"/>
    <w:rsid w:val="009E283A"/>
    <w:rsid w:val="009E286E"/>
    <w:rsid w:val="009E2E83"/>
    <w:rsid w:val="009E3881"/>
    <w:rsid w:val="009E4609"/>
    <w:rsid w:val="009E4846"/>
    <w:rsid w:val="009E5019"/>
    <w:rsid w:val="009E537A"/>
    <w:rsid w:val="009E5A93"/>
    <w:rsid w:val="009E5DEF"/>
    <w:rsid w:val="009E5E29"/>
    <w:rsid w:val="009E6369"/>
    <w:rsid w:val="009E6687"/>
    <w:rsid w:val="009E682A"/>
    <w:rsid w:val="009E6AF1"/>
    <w:rsid w:val="009E71C3"/>
    <w:rsid w:val="009E744B"/>
    <w:rsid w:val="009F115D"/>
    <w:rsid w:val="009F137C"/>
    <w:rsid w:val="009F18F2"/>
    <w:rsid w:val="009F1A26"/>
    <w:rsid w:val="009F317C"/>
    <w:rsid w:val="009F32FB"/>
    <w:rsid w:val="009F3326"/>
    <w:rsid w:val="009F38DB"/>
    <w:rsid w:val="009F4444"/>
    <w:rsid w:val="009F44FE"/>
    <w:rsid w:val="009F4A1B"/>
    <w:rsid w:val="009F4AE9"/>
    <w:rsid w:val="009F5667"/>
    <w:rsid w:val="009F5B4D"/>
    <w:rsid w:val="009F5CF6"/>
    <w:rsid w:val="009F5D44"/>
    <w:rsid w:val="009F5FBF"/>
    <w:rsid w:val="009F62D5"/>
    <w:rsid w:val="009F6489"/>
    <w:rsid w:val="009F6A94"/>
    <w:rsid w:val="00A00B64"/>
    <w:rsid w:val="00A00C0A"/>
    <w:rsid w:val="00A01755"/>
    <w:rsid w:val="00A01F3D"/>
    <w:rsid w:val="00A023CB"/>
    <w:rsid w:val="00A024F9"/>
    <w:rsid w:val="00A03B33"/>
    <w:rsid w:val="00A0415D"/>
    <w:rsid w:val="00A04F1B"/>
    <w:rsid w:val="00A0501B"/>
    <w:rsid w:val="00A05226"/>
    <w:rsid w:val="00A05825"/>
    <w:rsid w:val="00A06560"/>
    <w:rsid w:val="00A06AE1"/>
    <w:rsid w:val="00A06F3C"/>
    <w:rsid w:val="00A0720F"/>
    <w:rsid w:val="00A1013B"/>
    <w:rsid w:val="00A1038D"/>
    <w:rsid w:val="00A105DC"/>
    <w:rsid w:val="00A1099F"/>
    <w:rsid w:val="00A10F81"/>
    <w:rsid w:val="00A11537"/>
    <w:rsid w:val="00A1159E"/>
    <w:rsid w:val="00A118BD"/>
    <w:rsid w:val="00A12621"/>
    <w:rsid w:val="00A12C2A"/>
    <w:rsid w:val="00A13165"/>
    <w:rsid w:val="00A13193"/>
    <w:rsid w:val="00A14058"/>
    <w:rsid w:val="00A14274"/>
    <w:rsid w:val="00A1453E"/>
    <w:rsid w:val="00A147FE"/>
    <w:rsid w:val="00A14947"/>
    <w:rsid w:val="00A14F9B"/>
    <w:rsid w:val="00A150EB"/>
    <w:rsid w:val="00A15160"/>
    <w:rsid w:val="00A1538E"/>
    <w:rsid w:val="00A15902"/>
    <w:rsid w:val="00A1590D"/>
    <w:rsid w:val="00A15996"/>
    <w:rsid w:val="00A16421"/>
    <w:rsid w:val="00A1645A"/>
    <w:rsid w:val="00A1653E"/>
    <w:rsid w:val="00A16567"/>
    <w:rsid w:val="00A1673D"/>
    <w:rsid w:val="00A16DD5"/>
    <w:rsid w:val="00A16E65"/>
    <w:rsid w:val="00A17513"/>
    <w:rsid w:val="00A17563"/>
    <w:rsid w:val="00A17846"/>
    <w:rsid w:val="00A2001A"/>
    <w:rsid w:val="00A201AC"/>
    <w:rsid w:val="00A2037D"/>
    <w:rsid w:val="00A219DE"/>
    <w:rsid w:val="00A21D05"/>
    <w:rsid w:val="00A21EDB"/>
    <w:rsid w:val="00A227A0"/>
    <w:rsid w:val="00A228A6"/>
    <w:rsid w:val="00A22F83"/>
    <w:rsid w:val="00A23B34"/>
    <w:rsid w:val="00A23CB6"/>
    <w:rsid w:val="00A24204"/>
    <w:rsid w:val="00A24711"/>
    <w:rsid w:val="00A24C3A"/>
    <w:rsid w:val="00A2574E"/>
    <w:rsid w:val="00A25A3B"/>
    <w:rsid w:val="00A26607"/>
    <w:rsid w:val="00A26CFF"/>
    <w:rsid w:val="00A27459"/>
    <w:rsid w:val="00A27746"/>
    <w:rsid w:val="00A27990"/>
    <w:rsid w:val="00A2799A"/>
    <w:rsid w:val="00A300F8"/>
    <w:rsid w:val="00A301E1"/>
    <w:rsid w:val="00A3026D"/>
    <w:rsid w:val="00A31802"/>
    <w:rsid w:val="00A31998"/>
    <w:rsid w:val="00A3209E"/>
    <w:rsid w:val="00A32A83"/>
    <w:rsid w:val="00A3306F"/>
    <w:rsid w:val="00A3352C"/>
    <w:rsid w:val="00A33D96"/>
    <w:rsid w:val="00A34158"/>
    <w:rsid w:val="00A34307"/>
    <w:rsid w:val="00A349D2"/>
    <w:rsid w:val="00A34F06"/>
    <w:rsid w:val="00A350BA"/>
    <w:rsid w:val="00A363FC"/>
    <w:rsid w:val="00A368DB"/>
    <w:rsid w:val="00A36A63"/>
    <w:rsid w:val="00A36B97"/>
    <w:rsid w:val="00A36EC8"/>
    <w:rsid w:val="00A36F95"/>
    <w:rsid w:val="00A37760"/>
    <w:rsid w:val="00A37F84"/>
    <w:rsid w:val="00A4007C"/>
    <w:rsid w:val="00A421EF"/>
    <w:rsid w:val="00A423AA"/>
    <w:rsid w:val="00A42696"/>
    <w:rsid w:val="00A43048"/>
    <w:rsid w:val="00A43183"/>
    <w:rsid w:val="00A43340"/>
    <w:rsid w:val="00A4356D"/>
    <w:rsid w:val="00A44685"/>
    <w:rsid w:val="00A45305"/>
    <w:rsid w:val="00A45EF2"/>
    <w:rsid w:val="00A4604C"/>
    <w:rsid w:val="00A4622C"/>
    <w:rsid w:val="00A4664F"/>
    <w:rsid w:val="00A46803"/>
    <w:rsid w:val="00A46C10"/>
    <w:rsid w:val="00A4795D"/>
    <w:rsid w:val="00A479CB"/>
    <w:rsid w:val="00A50479"/>
    <w:rsid w:val="00A509B3"/>
    <w:rsid w:val="00A51037"/>
    <w:rsid w:val="00A515AE"/>
    <w:rsid w:val="00A519E0"/>
    <w:rsid w:val="00A51C55"/>
    <w:rsid w:val="00A51CEC"/>
    <w:rsid w:val="00A523D7"/>
    <w:rsid w:val="00A52A37"/>
    <w:rsid w:val="00A5327B"/>
    <w:rsid w:val="00A536F1"/>
    <w:rsid w:val="00A53AFD"/>
    <w:rsid w:val="00A53EC6"/>
    <w:rsid w:val="00A53F31"/>
    <w:rsid w:val="00A5505C"/>
    <w:rsid w:val="00A55168"/>
    <w:rsid w:val="00A55571"/>
    <w:rsid w:val="00A555E5"/>
    <w:rsid w:val="00A55C0F"/>
    <w:rsid w:val="00A55FAE"/>
    <w:rsid w:val="00A56207"/>
    <w:rsid w:val="00A5669F"/>
    <w:rsid w:val="00A5692D"/>
    <w:rsid w:val="00A56C88"/>
    <w:rsid w:val="00A5705C"/>
    <w:rsid w:val="00A57181"/>
    <w:rsid w:val="00A57792"/>
    <w:rsid w:val="00A577F4"/>
    <w:rsid w:val="00A60031"/>
    <w:rsid w:val="00A601A2"/>
    <w:rsid w:val="00A601BE"/>
    <w:rsid w:val="00A603EE"/>
    <w:rsid w:val="00A608C4"/>
    <w:rsid w:val="00A6112B"/>
    <w:rsid w:val="00A61562"/>
    <w:rsid w:val="00A61F69"/>
    <w:rsid w:val="00A622D5"/>
    <w:rsid w:val="00A628C5"/>
    <w:rsid w:val="00A648BC"/>
    <w:rsid w:val="00A649D9"/>
    <w:rsid w:val="00A64DA5"/>
    <w:rsid w:val="00A651F5"/>
    <w:rsid w:val="00A655BE"/>
    <w:rsid w:val="00A6580A"/>
    <w:rsid w:val="00A66010"/>
    <w:rsid w:val="00A66198"/>
    <w:rsid w:val="00A66320"/>
    <w:rsid w:val="00A6643F"/>
    <w:rsid w:val="00A66BA1"/>
    <w:rsid w:val="00A675D8"/>
    <w:rsid w:val="00A67ADC"/>
    <w:rsid w:val="00A67D42"/>
    <w:rsid w:val="00A70BCD"/>
    <w:rsid w:val="00A71863"/>
    <w:rsid w:val="00A7238D"/>
    <w:rsid w:val="00A72946"/>
    <w:rsid w:val="00A7340D"/>
    <w:rsid w:val="00A73449"/>
    <w:rsid w:val="00A73876"/>
    <w:rsid w:val="00A73DB0"/>
    <w:rsid w:val="00A74864"/>
    <w:rsid w:val="00A74E42"/>
    <w:rsid w:val="00A754AC"/>
    <w:rsid w:val="00A758E5"/>
    <w:rsid w:val="00A75F40"/>
    <w:rsid w:val="00A76D20"/>
    <w:rsid w:val="00A770E4"/>
    <w:rsid w:val="00A7722D"/>
    <w:rsid w:val="00A7729C"/>
    <w:rsid w:val="00A77431"/>
    <w:rsid w:val="00A774DF"/>
    <w:rsid w:val="00A7795B"/>
    <w:rsid w:val="00A80058"/>
    <w:rsid w:val="00A8019A"/>
    <w:rsid w:val="00A8099B"/>
    <w:rsid w:val="00A81C86"/>
    <w:rsid w:val="00A82332"/>
    <w:rsid w:val="00A82D87"/>
    <w:rsid w:val="00A832A8"/>
    <w:rsid w:val="00A83D47"/>
    <w:rsid w:val="00A8450F"/>
    <w:rsid w:val="00A84925"/>
    <w:rsid w:val="00A85E94"/>
    <w:rsid w:val="00A85EC5"/>
    <w:rsid w:val="00A86803"/>
    <w:rsid w:val="00A86A08"/>
    <w:rsid w:val="00A87000"/>
    <w:rsid w:val="00A8713F"/>
    <w:rsid w:val="00A873A5"/>
    <w:rsid w:val="00A87A2C"/>
    <w:rsid w:val="00A87A58"/>
    <w:rsid w:val="00A902D8"/>
    <w:rsid w:val="00A90559"/>
    <w:rsid w:val="00A90BA1"/>
    <w:rsid w:val="00A90BFA"/>
    <w:rsid w:val="00A90D86"/>
    <w:rsid w:val="00A93075"/>
    <w:rsid w:val="00A930E7"/>
    <w:rsid w:val="00A9334F"/>
    <w:rsid w:val="00A93A90"/>
    <w:rsid w:val="00A93BFE"/>
    <w:rsid w:val="00A94750"/>
    <w:rsid w:val="00A94F9A"/>
    <w:rsid w:val="00A955B9"/>
    <w:rsid w:val="00A95DF9"/>
    <w:rsid w:val="00A95E3D"/>
    <w:rsid w:val="00A960DD"/>
    <w:rsid w:val="00A969FB"/>
    <w:rsid w:val="00A9758F"/>
    <w:rsid w:val="00A978C5"/>
    <w:rsid w:val="00A97A9A"/>
    <w:rsid w:val="00AA0671"/>
    <w:rsid w:val="00AA0AA2"/>
    <w:rsid w:val="00AA0B6D"/>
    <w:rsid w:val="00AA0DF9"/>
    <w:rsid w:val="00AA10F8"/>
    <w:rsid w:val="00AA2531"/>
    <w:rsid w:val="00AA3014"/>
    <w:rsid w:val="00AA3112"/>
    <w:rsid w:val="00AA36F8"/>
    <w:rsid w:val="00AA399D"/>
    <w:rsid w:val="00AA4AEB"/>
    <w:rsid w:val="00AA5087"/>
    <w:rsid w:val="00AA575F"/>
    <w:rsid w:val="00AA5A01"/>
    <w:rsid w:val="00AA5BEE"/>
    <w:rsid w:val="00AA5E95"/>
    <w:rsid w:val="00AA5F02"/>
    <w:rsid w:val="00AA62C2"/>
    <w:rsid w:val="00AB186E"/>
    <w:rsid w:val="00AB196C"/>
    <w:rsid w:val="00AB1E09"/>
    <w:rsid w:val="00AB2B71"/>
    <w:rsid w:val="00AB2F9A"/>
    <w:rsid w:val="00AB3A78"/>
    <w:rsid w:val="00AB3AA3"/>
    <w:rsid w:val="00AB408B"/>
    <w:rsid w:val="00AB4C09"/>
    <w:rsid w:val="00AB4D90"/>
    <w:rsid w:val="00AB5294"/>
    <w:rsid w:val="00AB5330"/>
    <w:rsid w:val="00AB5590"/>
    <w:rsid w:val="00AB5EEF"/>
    <w:rsid w:val="00AB6588"/>
    <w:rsid w:val="00AB6818"/>
    <w:rsid w:val="00AB6E7C"/>
    <w:rsid w:val="00AB7073"/>
    <w:rsid w:val="00AB7747"/>
    <w:rsid w:val="00AC05B9"/>
    <w:rsid w:val="00AC096F"/>
    <w:rsid w:val="00AC0ED1"/>
    <w:rsid w:val="00AC144C"/>
    <w:rsid w:val="00AC14CE"/>
    <w:rsid w:val="00AC161B"/>
    <w:rsid w:val="00AC18C5"/>
    <w:rsid w:val="00AC1CD5"/>
    <w:rsid w:val="00AC206A"/>
    <w:rsid w:val="00AC2237"/>
    <w:rsid w:val="00AC2626"/>
    <w:rsid w:val="00AC27E4"/>
    <w:rsid w:val="00AC2A56"/>
    <w:rsid w:val="00AC2A94"/>
    <w:rsid w:val="00AC2EA1"/>
    <w:rsid w:val="00AC32EB"/>
    <w:rsid w:val="00AC37EA"/>
    <w:rsid w:val="00AC3E1F"/>
    <w:rsid w:val="00AC3EF5"/>
    <w:rsid w:val="00AC442D"/>
    <w:rsid w:val="00AC46E0"/>
    <w:rsid w:val="00AC48A9"/>
    <w:rsid w:val="00AC49F7"/>
    <w:rsid w:val="00AC4DC6"/>
    <w:rsid w:val="00AC4F18"/>
    <w:rsid w:val="00AC50B8"/>
    <w:rsid w:val="00AC5295"/>
    <w:rsid w:val="00AC53E7"/>
    <w:rsid w:val="00AC58F1"/>
    <w:rsid w:val="00AC758D"/>
    <w:rsid w:val="00AC78C8"/>
    <w:rsid w:val="00AD0277"/>
    <w:rsid w:val="00AD055E"/>
    <w:rsid w:val="00AD0BDA"/>
    <w:rsid w:val="00AD0E72"/>
    <w:rsid w:val="00AD1002"/>
    <w:rsid w:val="00AD13C8"/>
    <w:rsid w:val="00AD18BC"/>
    <w:rsid w:val="00AD1908"/>
    <w:rsid w:val="00AD1F68"/>
    <w:rsid w:val="00AD2132"/>
    <w:rsid w:val="00AD2285"/>
    <w:rsid w:val="00AD29ED"/>
    <w:rsid w:val="00AD303B"/>
    <w:rsid w:val="00AD31FB"/>
    <w:rsid w:val="00AD32B9"/>
    <w:rsid w:val="00AD3647"/>
    <w:rsid w:val="00AD36EB"/>
    <w:rsid w:val="00AD3826"/>
    <w:rsid w:val="00AD47A7"/>
    <w:rsid w:val="00AD4B35"/>
    <w:rsid w:val="00AD596C"/>
    <w:rsid w:val="00AD5CB1"/>
    <w:rsid w:val="00AD6917"/>
    <w:rsid w:val="00AD6AF9"/>
    <w:rsid w:val="00AD6CE5"/>
    <w:rsid w:val="00AD7078"/>
    <w:rsid w:val="00AD7565"/>
    <w:rsid w:val="00AD7638"/>
    <w:rsid w:val="00AD7E34"/>
    <w:rsid w:val="00AD7EF8"/>
    <w:rsid w:val="00AE0E44"/>
    <w:rsid w:val="00AE11F9"/>
    <w:rsid w:val="00AE1284"/>
    <w:rsid w:val="00AE2577"/>
    <w:rsid w:val="00AE2919"/>
    <w:rsid w:val="00AE4037"/>
    <w:rsid w:val="00AE40F5"/>
    <w:rsid w:val="00AE4568"/>
    <w:rsid w:val="00AE4E10"/>
    <w:rsid w:val="00AE4F9C"/>
    <w:rsid w:val="00AE5042"/>
    <w:rsid w:val="00AE54E2"/>
    <w:rsid w:val="00AE5701"/>
    <w:rsid w:val="00AE5A62"/>
    <w:rsid w:val="00AE5E60"/>
    <w:rsid w:val="00AE625F"/>
    <w:rsid w:val="00AE7947"/>
    <w:rsid w:val="00AE7A15"/>
    <w:rsid w:val="00AE7ECD"/>
    <w:rsid w:val="00AF0CBF"/>
    <w:rsid w:val="00AF0FFA"/>
    <w:rsid w:val="00AF100B"/>
    <w:rsid w:val="00AF14E8"/>
    <w:rsid w:val="00AF16CA"/>
    <w:rsid w:val="00AF2085"/>
    <w:rsid w:val="00AF217A"/>
    <w:rsid w:val="00AF2547"/>
    <w:rsid w:val="00AF257F"/>
    <w:rsid w:val="00AF3136"/>
    <w:rsid w:val="00AF32B4"/>
    <w:rsid w:val="00AF33CF"/>
    <w:rsid w:val="00AF377C"/>
    <w:rsid w:val="00AF3B84"/>
    <w:rsid w:val="00AF4364"/>
    <w:rsid w:val="00AF477A"/>
    <w:rsid w:val="00AF4953"/>
    <w:rsid w:val="00AF4D50"/>
    <w:rsid w:val="00AF5274"/>
    <w:rsid w:val="00AF5ABD"/>
    <w:rsid w:val="00AF6179"/>
    <w:rsid w:val="00AF6DAD"/>
    <w:rsid w:val="00AF70BA"/>
    <w:rsid w:val="00AF756D"/>
    <w:rsid w:val="00AF7599"/>
    <w:rsid w:val="00AF7B55"/>
    <w:rsid w:val="00B00A64"/>
    <w:rsid w:val="00B00B93"/>
    <w:rsid w:val="00B00D9C"/>
    <w:rsid w:val="00B019DF"/>
    <w:rsid w:val="00B01E45"/>
    <w:rsid w:val="00B01EBA"/>
    <w:rsid w:val="00B02CB0"/>
    <w:rsid w:val="00B036D0"/>
    <w:rsid w:val="00B03818"/>
    <w:rsid w:val="00B03832"/>
    <w:rsid w:val="00B03C79"/>
    <w:rsid w:val="00B03DC2"/>
    <w:rsid w:val="00B044C4"/>
    <w:rsid w:val="00B04E90"/>
    <w:rsid w:val="00B055D9"/>
    <w:rsid w:val="00B05DE6"/>
    <w:rsid w:val="00B05E37"/>
    <w:rsid w:val="00B0636E"/>
    <w:rsid w:val="00B06C8C"/>
    <w:rsid w:val="00B07076"/>
    <w:rsid w:val="00B071AD"/>
    <w:rsid w:val="00B0722D"/>
    <w:rsid w:val="00B0794F"/>
    <w:rsid w:val="00B10075"/>
    <w:rsid w:val="00B109A7"/>
    <w:rsid w:val="00B10BC3"/>
    <w:rsid w:val="00B10F04"/>
    <w:rsid w:val="00B11049"/>
    <w:rsid w:val="00B11958"/>
    <w:rsid w:val="00B11E73"/>
    <w:rsid w:val="00B121D8"/>
    <w:rsid w:val="00B12457"/>
    <w:rsid w:val="00B1295A"/>
    <w:rsid w:val="00B12C09"/>
    <w:rsid w:val="00B12ED2"/>
    <w:rsid w:val="00B12FED"/>
    <w:rsid w:val="00B1345D"/>
    <w:rsid w:val="00B134FE"/>
    <w:rsid w:val="00B14102"/>
    <w:rsid w:val="00B148B2"/>
    <w:rsid w:val="00B152AE"/>
    <w:rsid w:val="00B152DA"/>
    <w:rsid w:val="00B15402"/>
    <w:rsid w:val="00B15733"/>
    <w:rsid w:val="00B16C47"/>
    <w:rsid w:val="00B16DFB"/>
    <w:rsid w:val="00B16E77"/>
    <w:rsid w:val="00B17304"/>
    <w:rsid w:val="00B1775F"/>
    <w:rsid w:val="00B17BF0"/>
    <w:rsid w:val="00B201DB"/>
    <w:rsid w:val="00B2024C"/>
    <w:rsid w:val="00B20A45"/>
    <w:rsid w:val="00B2137E"/>
    <w:rsid w:val="00B21C9A"/>
    <w:rsid w:val="00B21E8B"/>
    <w:rsid w:val="00B22081"/>
    <w:rsid w:val="00B22917"/>
    <w:rsid w:val="00B22A50"/>
    <w:rsid w:val="00B22C5C"/>
    <w:rsid w:val="00B231F8"/>
    <w:rsid w:val="00B233DA"/>
    <w:rsid w:val="00B23874"/>
    <w:rsid w:val="00B2400F"/>
    <w:rsid w:val="00B247F3"/>
    <w:rsid w:val="00B24AA0"/>
    <w:rsid w:val="00B24D16"/>
    <w:rsid w:val="00B24DE8"/>
    <w:rsid w:val="00B24E7D"/>
    <w:rsid w:val="00B24F30"/>
    <w:rsid w:val="00B260AA"/>
    <w:rsid w:val="00B26501"/>
    <w:rsid w:val="00B265E5"/>
    <w:rsid w:val="00B26616"/>
    <w:rsid w:val="00B27AA8"/>
    <w:rsid w:val="00B30D79"/>
    <w:rsid w:val="00B31754"/>
    <w:rsid w:val="00B31ABF"/>
    <w:rsid w:val="00B3218D"/>
    <w:rsid w:val="00B32489"/>
    <w:rsid w:val="00B328C3"/>
    <w:rsid w:val="00B32AC9"/>
    <w:rsid w:val="00B33BE3"/>
    <w:rsid w:val="00B35223"/>
    <w:rsid w:val="00B3535F"/>
    <w:rsid w:val="00B35471"/>
    <w:rsid w:val="00B357AC"/>
    <w:rsid w:val="00B35870"/>
    <w:rsid w:val="00B35B70"/>
    <w:rsid w:val="00B35B87"/>
    <w:rsid w:val="00B36D71"/>
    <w:rsid w:val="00B371C9"/>
    <w:rsid w:val="00B37BAF"/>
    <w:rsid w:val="00B40034"/>
    <w:rsid w:val="00B40385"/>
    <w:rsid w:val="00B40815"/>
    <w:rsid w:val="00B4095F"/>
    <w:rsid w:val="00B41096"/>
    <w:rsid w:val="00B4119C"/>
    <w:rsid w:val="00B41EA6"/>
    <w:rsid w:val="00B42543"/>
    <w:rsid w:val="00B43228"/>
    <w:rsid w:val="00B436D0"/>
    <w:rsid w:val="00B440D1"/>
    <w:rsid w:val="00B456CD"/>
    <w:rsid w:val="00B46061"/>
    <w:rsid w:val="00B469F4"/>
    <w:rsid w:val="00B46A34"/>
    <w:rsid w:val="00B46EDB"/>
    <w:rsid w:val="00B47D13"/>
    <w:rsid w:val="00B47DA7"/>
    <w:rsid w:val="00B47E2B"/>
    <w:rsid w:val="00B50861"/>
    <w:rsid w:val="00B50951"/>
    <w:rsid w:val="00B50B58"/>
    <w:rsid w:val="00B520EE"/>
    <w:rsid w:val="00B52221"/>
    <w:rsid w:val="00B52347"/>
    <w:rsid w:val="00B52672"/>
    <w:rsid w:val="00B52D6E"/>
    <w:rsid w:val="00B5318C"/>
    <w:rsid w:val="00B53763"/>
    <w:rsid w:val="00B53B5D"/>
    <w:rsid w:val="00B53EC7"/>
    <w:rsid w:val="00B55DBC"/>
    <w:rsid w:val="00B56EFA"/>
    <w:rsid w:val="00B57506"/>
    <w:rsid w:val="00B5762E"/>
    <w:rsid w:val="00B6055E"/>
    <w:rsid w:val="00B61103"/>
    <w:rsid w:val="00B61475"/>
    <w:rsid w:val="00B625A3"/>
    <w:rsid w:val="00B62AFA"/>
    <w:rsid w:val="00B62F14"/>
    <w:rsid w:val="00B6317D"/>
    <w:rsid w:val="00B64335"/>
    <w:rsid w:val="00B64511"/>
    <w:rsid w:val="00B64744"/>
    <w:rsid w:val="00B64E1A"/>
    <w:rsid w:val="00B653F5"/>
    <w:rsid w:val="00B65543"/>
    <w:rsid w:val="00B65691"/>
    <w:rsid w:val="00B65725"/>
    <w:rsid w:val="00B66F5A"/>
    <w:rsid w:val="00B672C7"/>
    <w:rsid w:val="00B67A20"/>
    <w:rsid w:val="00B67B7E"/>
    <w:rsid w:val="00B67BBD"/>
    <w:rsid w:val="00B703E6"/>
    <w:rsid w:val="00B70F71"/>
    <w:rsid w:val="00B7130A"/>
    <w:rsid w:val="00B71445"/>
    <w:rsid w:val="00B715B3"/>
    <w:rsid w:val="00B719B8"/>
    <w:rsid w:val="00B726CB"/>
    <w:rsid w:val="00B73026"/>
    <w:rsid w:val="00B74691"/>
    <w:rsid w:val="00B74AE8"/>
    <w:rsid w:val="00B74B41"/>
    <w:rsid w:val="00B74CA3"/>
    <w:rsid w:val="00B74ED4"/>
    <w:rsid w:val="00B75125"/>
    <w:rsid w:val="00B75794"/>
    <w:rsid w:val="00B7589E"/>
    <w:rsid w:val="00B75953"/>
    <w:rsid w:val="00B75FB0"/>
    <w:rsid w:val="00B760DE"/>
    <w:rsid w:val="00B7646E"/>
    <w:rsid w:val="00B76779"/>
    <w:rsid w:val="00B76967"/>
    <w:rsid w:val="00B7723F"/>
    <w:rsid w:val="00B77CBF"/>
    <w:rsid w:val="00B77D0C"/>
    <w:rsid w:val="00B80534"/>
    <w:rsid w:val="00B80A53"/>
    <w:rsid w:val="00B80A84"/>
    <w:rsid w:val="00B80CC8"/>
    <w:rsid w:val="00B80CFD"/>
    <w:rsid w:val="00B80E1F"/>
    <w:rsid w:val="00B80FDB"/>
    <w:rsid w:val="00B81959"/>
    <w:rsid w:val="00B81E56"/>
    <w:rsid w:val="00B8253E"/>
    <w:rsid w:val="00B82949"/>
    <w:rsid w:val="00B83109"/>
    <w:rsid w:val="00B83A5B"/>
    <w:rsid w:val="00B8433C"/>
    <w:rsid w:val="00B84660"/>
    <w:rsid w:val="00B861FC"/>
    <w:rsid w:val="00B8626B"/>
    <w:rsid w:val="00B866F1"/>
    <w:rsid w:val="00B86E4B"/>
    <w:rsid w:val="00B87491"/>
    <w:rsid w:val="00B876C6"/>
    <w:rsid w:val="00B877C1"/>
    <w:rsid w:val="00B87986"/>
    <w:rsid w:val="00B87ECE"/>
    <w:rsid w:val="00B9004A"/>
    <w:rsid w:val="00B90873"/>
    <w:rsid w:val="00B90CE3"/>
    <w:rsid w:val="00B91926"/>
    <w:rsid w:val="00B919A3"/>
    <w:rsid w:val="00B925A1"/>
    <w:rsid w:val="00B927B6"/>
    <w:rsid w:val="00B9298A"/>
    <w:rsid w:val="00B92A71"/>
    <w:rsid w:val="00B92B55"/>
    <w:rsid w:val="00B9340B"/>
    <w:rsid w:val="00B93729"/>
    <w:rsid w:val="00B9419F"/>
    <w:rsid w:val="00B9447E"/>
    <w:rsid w:val="00B94911"/>
    <w:rsid w:val="00B95B13"/>
    <w:rsid w:val="00B969A8"/>
    <w:rsid w:val="00B96A4B"/>
    <w:rsid w:val="00B97269"/>
    <w:rsid w:val="00BA0CE6"/>
    <w:rsid w:val="00BA0DA4"/>
    <w:rsid w:val="00BA1A59"/>
    <w:rsid w:val="00BA23DA"/>
    <w:rsid w:val="00BA2845"/>
    <w:rsid w:val="00BA286C"/>
    <w:rsid w:val="00BA29E9"/>
    <w:rsid w:val="00BA2B0C"/>
    <w:rsid w:val="00BA2CFA"/>
    <w:rsid w:val="00BA2E72"/>
    <w:rsid w:val="00BA3F95"/>
    <w:rsid w:val="00BA459F"/>
    <w:rsid w:val="00BA45AD"/>
    <w:rsid w:val="00BA4E83"/>
    <w:rsid w:val="00BA52FB"/>
    <w:rsid w:val="00BA5907"/>
    <w:rsid w:val="00BA5BA0"/>
    <w:rsid w:val="00BA62C0"/>
    <w:rsid w:val="00BA6728"/>
    <w:rsid w:val="00BA6A07"/>
    <w:rsid w:val="00BA6B5F"/>
    <w:rsid w:val="00BA6EE7"/>
    <w:rsid w:val="00BA6F03"/>
    <w:rsid w:val="00BA70B0"/>
    <w:rsid w:val="00BA7142"/>
    <w:rsid w:val="00BA780A"/>
    <w:rsid w:val="00BA7B71"/>
    <w:rsid w:val="00BA7CCD"/>
    <w:rsid w:val="00BB0443"/>
    <w:rsid w:val="00BB11AE"/>
    <w:rsid w:val="00BB168C"/>
    <w:rsid w:val="00BB170E"/>
    <w:rsid w:val="00BB237C"/>
    <w:rsid w:val="00BB2793"/>
    <w:rsid w:val="00BB27A0"/>
    <w:rsid w:val="00BB3421"/>
    <w:rsid w:val="00BB37A6"/>
    <w:rsid w:val="00BB40BE"/>
    <w:rsid w:val="00BB41A3"/>
    <w:rsid w:val="00BB4713"/>
    <w:rsid w:val="00BB4A74"/>
    <w:rsid w:val="00BB5286"/>
    <w:rsid w:val="00BB5B7C"/>
    <w:rsid w:val="00BB5C60"/>
    <w:rsid w:val="00BB6F77"/>
    <w:rsid w:val="00BB79D9"/>
    <w:rsid w:val="00BB7C6D"/>
    <w:rsid w:val="00BB7C79"/>
    <w:rsid w:val="00BC0002"/>
    <w:rsid w:val="00BC0280"/>
    <w:rsid w:val="00BC0315"/>
    <w:rsid w:val="00BC16B1"/>
    <w:rsid w:val="00BC2CC8"/>
    <w:rsid w:val="00BC31F1"/>
    <w:rsid w:val="00BC32DC"/>
    <w:rsid w:val="00BC35B6"/>
    <w:rsid w:val="00BC36AD"/>
    <w:rsid w:val="00BC3833"/>
    <w:rsid w:val="00BC42EF"/>
    <w:rsid w:val="00BC6607"/>
    <w:rsid w:val="00BC74FE"/>
    <w:rsid w:val="00BC7B92"/>
    <w:rsid w:val="00BC7E2E"/>
    <w:rsid w:val="00BD08CF"/>
    <w:rsid w:val="00BD13E2"/>
    <w:rsid w:val="00BD1539"/>
    <w:rsid w:val="00BD1A53"/>
    <w:rsid w:val="00BD1B51"/>
    <w:rsid w:val="00BD1C79"/>
    <w:rsid w:val="00BD2266"/>
    <w:rsid w:val="00BD22CC"/>
    <w:rsid w:val="00BD29C2"/>
    <w:rsid w:val="00BD2E46"/>
    <w:rsid w:val="00BD3220"/>
    <w:rsid w:val="00BD332F"/>
    <w:rsid w:val="00BD33A7"/>
    <w:rsid w:val="00BD367C"/>
    <w:rsid w:val="00BD37F5"/>
    <w:rsid w:val="00BD407C"/>
    <w:rsid w:val="00BD4596"/>
    <w:rsid w:val="00BD4650"/>
    <w:rsid w:val="00BD48AC"/>
    <w:rsid w:val="00BD4D10"/>
    <w:rsid w:val="00BD53D7"/>
    <w:rsid w:val="00BD5C99"/>
    <w:rsid w:val="00BD6414"/>
    <w:rsid w:val="00BD69A6"/>
    <w:rsid w:val="00BD7339"/>
    <w:rsid w:val="00BD774E"/>
    <w:rsid w:val="00BD7788"/>
    <w:rsid w:val="00BE00F3"/>
    <w:rsid w:val="00BE07D6"/>
    <w:rsid w:val="00BE0A2F"/>
    <w:rsid w:val="00BE1405"/>
    <w:rsid w:val="00BE15A2"/>
    <w:rsid w:val="00BE1608"/>
    <w:rsid w:val="00BE1717"/>
    <w:rsid w:val="00BE1F68"/>
    <w:rsid w:val="00BE22BA"/>
    <w:rsid w:val="00BE2363"/>
    <w:rsid w:val="00BE27D4"/>
    <w:rsid w:val="00BE288A"/>
    <w:rsid w:val="00BE29B9"/>
    <w:rsid w:val="00BE29FB"/>
    <w:rsid w:val="00BE2BED"/>
    <w:rsid w:val="00BE312D"/>
    <w:rsid w:val="00BE3217"/>
    <w:rsid w:val="00BE3691"/>
    <w:rsid w:val="00BE37F9"/>
    <w:rsid w:val="00BE4728"/>
    <w:rsid w:val="00BE6BD0"/>
    <w:rsid w:val="00BE719A"/>
    <w:rsid w:val="00BF011C"/>
    <w:rsid w:val="00BF0384"/>
    <w:rsid w:val="00BF06C2"/>
    <w:rsid w:val="00BF0773"/>
    <w:rsid w:val="00BF19DD"/>
    <w:rsid w:val="00BF1C20"/>
    <w:rsid w:val="00BF206F"/>
    <w:rsid w:val="00BF220F"/>
    <w:rsid w:val="00BF2495"/>
    <w:rsid w:val="00BF3447"/>
    <w:rsid w:val="00BF365D"/>
    <w:rsid w:val="00BF382A"/>
    <w:rsid w:val="00BF3A40"/>
    <w:rsid w:val="00BF3B99"/>
    <w:rsid w:val="00BF3D71"/>
    <w:rsid w:val="00BF3E44"/>
    <w:rsid w:val="00BF453A"/>
    <w:rsid w:val="00BF52CC"/>
    <w:rsid w:val="00BF5C39"/>
    <w:rsid w:val="00BF5F11"/>
    <w:rsid w:val="00BF64EF"/>
    <w:rsid w:val="00C003E8"/>
    <w:rsid w:val="00C00A34"/>
    <w:rsid w:val="00C00BED"/>
    <w:rsid w:val="00C00E75"/>
    <w:rsid w:val="00C01000"/>
    <w:rsid w:val="00C012F7"/>
    <w:rsid w:val="00C01899"/>
    <w:rsid w:val="00C02BC4"/>
    <w:rsid w:val="00C03141"/>
    <w:rsid w:val="00C03C22"/>
    <w:rsid w:val="00C045D6"/>
    <w:rsid w:val="00C0477D"/>
    <w:rsid w:val="00C04888"/>
    <w:rsid w:val="00C04C89"/>
    <w:rsid w:val="00C04F67"/>
    <w:rsid w:val="00C054E6"/>
    <w:rsid w:val="00C055F8"/>
    <w:rsid w:val="00C05A3D"/>
    <w:rsid w:val="00C06016"/>
    <w:rsid w:val="00C0669C"/>
    <w:rsid w:val="00C06AC8"/>
    <w:rsid w:val="00C07366"/>
    <w:rsid w:val="00C079C0"/>
    <w:rsid w:val="00C1001B"/>
    <w:rsid w:val="00C10578"/>
    <w:rsid w:val="00C117EF"/>
    <w:rsid w:val="00C1191D"/>
    <w:rsid w:val="00C135BC"/>
    <w:rsid w:val="00C13E9C"/>
    <w:rsid w:val="00C14009"/>
    <w:rsid w:val="00C146DA"/>
    <w:rsid w:val="00C14938"/>
    <w:rsid w:val="00C14B02"/>
    <w:rsid w:val="00C14FBA"/>
    <w:rsid w:val="00C155C6"/>
    <w:rsid w:val="00C15788"/>
    <w:rsid w:val="00C1593C"/>
    <w:rsid w:val="00C15C95"/>
    <w:rsid w:val="00C15CE2"/>
    <w:rsid w:val="00C15D17"/>
    <w:rsid w:val="00C15E95"/>
    <w:rsid w:val="00C160B9"/>
    <w:rsid w:val="00C165FC"/>
    <w:rsid w:val="00C168BB"/>
    <w:rsid w:val="00C16C83"/>
    <w:rsid w:val="00C1730D"/>
    <w:rsid w:val="00C1770F"/>
    <w:rsid w:val="00C17A10"/>
    <w:rsid w:val="00C17CDF"/>
    <w:rsid w:val="00C17D65"/>
    <w:rsid w:val="00C2006D"/>
    <w:rsid w:val="00C20CD1"/>
    <w:rsid w:val="00C20DFA"/>
    <w:rsid w:val="00C21386"/>
    <w:rsid w:val="00C22C2A"/>
    <w:rsid w:val="00C23FEB"/>
    <w:rsid w:val="00C25731"/>
    <w:rsid w:val="00C2596A"/>
    <w:rsid w:val="00C25C76"/>
    <w:rsid w:val="00C260EB"/>
    <w:rsid w:val="00C2614A"/>
    <w:rsid w:val="00C262CE"/>
    <w:rsid w:val="00C26327"/>
    <w:rsid w:val="00C263AD"/>
    <w:rsid w:val="00C27537"/>
    <w:rsid w:val="00C27549"/>
    <w:rsid w:val="00C27A18"/>
    <w:rsid w:val="00C27C8B"/>
    <w:rsid w:val="00C30713"/>
    <w:rsid w:val="00C30840"/>
    <w:rsid w:val="00C30DFE"/>
    <w:rsid w:val="00C30EE9"/>
    <w:rsid w:val="00C3160E"/>
    <w:rsid w:val="00C31AB6"/>
    <w:rsid w:val="00C32276"/>
    <w:rsid w:val="00C323A8"/>
    <w:rsid w:val="00C3260F"/>
    <w:rsid w:val="00C328FE"/>
    <w:rsid w:val="00C32E27"/>
    <w:rsid w:val="00C333FB"/>
    <w:rsid w:val="00C33507"/>
    <w:rsid w:val="00C3393B"/>
    <w:rsid w:val="00C33B34"/>
    <w:rsid w:val="00C33D59"/>
    <w:rsid w:val="00C3580E"/>
    <w:rsid w:val="00C3697A"/>
    <w:rsid w:val="00C36AC9"/>
    <w:rsid w:val="00C37B7E"/>
    <w:rsid w:val="00C40078"/>
    <w:rsid w:val="00C40370"/>
    <w:rsid w:val="00C403A6"/>
    <w:rsid w:val="00C4042E"/>
    <w:rsid w:val="00C40A78"/>
    <w:rsid w:val="00C40B19"/>
    <w:rsid w:val="00C40D39"/>
    <w:rsid w:val="00C41243"/>
    <w:rsid w:val="00C4134E"/>
    <w:rsid w:val="00C41606"/>
    <w:rsid w:val="00C41B46"/>
    <w:rsid w:val="00C4291C"/>
    <w:rsid w:val="00C4409D"/>
    <w:rsid w:val="00C44E72"/>
    <w:rsid w:val="00C45520"/>
    <w:rsid w:val="00C45A06"/>
    <w:rsid w:val="00C45C33"/>
    <w:rsid w:val="00C46007"/>
    <w:rsid w:val="00C46C3A"/>
    <w:rsid w:val="00C470F8"/>
    <w:rsid w:val="00C471C7"/>
    <w:rsid w:val="00C47455"/>
    <w:rsid w:val="00C47B3D"/>
    <w:rsid w:val="00C47E5B"/>
    <w:rsid w:val="00C5017A"/>
    <w:rsid w:val="00C5027D"/>
    <w:rsid w:val="00C50294"/>
    <w:rsid w:val="00C5079C"/>
    <w:rsid w:val="00C5127D"/>
    <w:rsid w:val="00C52C40"/>
    <w:rsid w:val="00C53CE0"/>
    <w:rsid w:val="00C54574"/>
    <w:rsid w:val="00C546E9"/>
    <w:rsid w:val="00C54819"/>
    <w:rsid w:val="00C54CC6"/>
    <w:rsid w:val="00C5574F"/>
    <w:rsid w:val="00C5575C"/>
    <w:rsid w:val="00C56168"/>
    <w:rsid w:val="00C56428"/>
    <w:rsid w:val="00C567B8"/>
    <w:rsid w:val="00C569B4"/>
    <w:rsid w:val="00C573AB"/>
    <w:rsid w:val="00C603BF"/>
    <w:rsid w:val="00C60C57"/>
    <w:rsid w:val="00C61BE7"/>
    <w:rsid w:val="00C61E4B"/>
    <w:rsid w:val="00C6242D"/>
    <w:rsid w:val="00C62859"/>
    <w:rsid w:val="00C6364E"/>
    <w:rsid w:val="00C63C1F"/>
    <w:rsid w:val="00C63EA0"/>
    <w:rsid w:val="00C64038"/>
    <w:rsid w:val="00C64165"/>
    <w:rsid w:val="00C6426C"/>
    <w:rsid w:val="00C64621"/>
    <w:rsid w:val="00C64698"/>
    <w:rsid w:val="00C646E2"/>
    <w:rsid w:val="00C64BFF"/>
    <w:rsid w:val="00C64C52"/>
    <w:rsid w:val="00C64E1A"/>
    <w:rsid w:val="00C65085"/>
    <w:rsid w:val="00C65A56"/>
    <w:rsid w:val="00C6625B"/>
    <w:rsid w:val="00C6669E"/>
    <w:rsid w:val="00C66E5C"/>
    <w:rsid w:val="00C675EB"/>
    <w:rsid w:val="00C67831"/>
    <w:rsid w:val="00C6784B"/>
    <w:rsid w:val="00C67D85"/>
    <w:rsid w:val="00C7031A"/>
    <w:rsid w:val="00C7042D"/>
    <w:rsid w:val="00C70454"/>
    <w:rsid w:val="00C704E9"/>
    <w:rsid w:val="00C71BC4"/>
    <w:rsid w:val="00C71C39"/>
    <w:rsid w:val="00C71FB7"/>
    <w:rsid w:val="00C72775"/>
    <w:rsid w:val="00C72BD0"/>
    <w:rsid w:val="00C7355C"/>
    <w:rsid w:val="00C74730"/>
    <w:rsid w:val="00C748A3"/>
    <w:rsid w:val="00C74A98"/>
    <w:rsid w:val="00C752BF"/>
    <w:rsid w:val="00C75E9D"/>
    <w:rsid w:val="00C7605E"/>
    <w:rsid w:val="00C763C9"/>
    <w:rsid w:val="00C76AB6"/>
    <w:rsid w:val="00C76E28"/>
    <w:rsid w:val="00C76FB1"/>
    <w:rsid w:val="00C77052"/>
    <w:rsid w:val="00C7726D"/>
    <w:rsid w:val="00C80057"/>
    <w:rsid w:val="00C80908"/>
    <w:rsid w:val="00C80BED"/>
    <w:rsid w:val="00C81D01"/>
    <w:rsid w:val="00C82232"/>
    <w:rsid w:val="00C822FF"/>
    <w:rsid w:val="00C825E3"/>
    <w:rsid w:val="00C82913"/>
    <w:rsid w:val="00C82E45"/>
    <w:rsid w:val="00C82FD4"/>
    <w:rsid w:val="00C837AE"/>
    <w:rsid w:val="00C83C13"/>
    <w:rsid w:val="00C83F26"/>
    <w:rsid w:val="00C842AB"/>
    <w:rsid w:val="00C8498D"/>
    <w:rsid w:val="00C84F46"/>
    <w:rsid w:val="00C850D2"/>
    <w:rsid w:val="00C851D5"/>
    <w:rsid w:val="00C8565E"/>
    <w:rsid w:val="00C86018"/>
    <w:rsid w:val="00C869E9"/>
    <w:rsid w:val="00C873AE"/>
    <w:rsid w:val="00C87442"/>
    <w:rsid w:val="00C87520"/>
    <w:rsid w:val="00C902C1"/>
    <w:rsid w:val="00C908D9"/>
    <w:rsid w:val="00C90B07"/>
    <w:rsid w:val="00C91FAF"/>
    <w:rsid w:val="00C91FF7"/>
    <w:rsid w:val="00C92A45"/>
    <w:rsid w:val="00C92BEB"/>
    <w:rsid w:val="00C92DD4"/>
    <w:rsid w:val="00C93B28"/>
    <w:rsid w:val="00C94461"/>
    <w:rsid w:val="00C94644"/>
    <w:rsid w:val="00C94DEE"/>
    <w:rsid w:val="00C96041"/>
    <w:rsid w:val="00C96470"/>
    <w:rsid w:val="00C96B49"/>
    <w:rsid w:val="00C972B1"/>
    <w:rsid w:val="00CA046D"/>
    <w:rsid w:val="00CA055C"/>
    <w:rsid w:val="00CA0966"/>
    <w:rsid w:val="00CA0A23"/>
    <w:rsid w:val="00CA0C89"/>
    <w:rsid w:val="00CA0DA2"/>
    <w:rsid w:val="00CA11A1"/>
    <w:rsid w:val="00CA12DC"/>
    <w:rsid w:val="00CA145D"/>
    <w:rsid w:val="00CA212C"/>
    <w:rsid w:val="00CA28A6"/>
    <w:rsid w:val="00CA292A"/>
    <w:rsid w:val="00CA2AF8"/>
    <w:rsid w:val="00CA2CCE"/>
    <w:rsid w:val="00CA43E4"/>
    <w:rsid w:val="00CA43FD"/>
    <w:rsid w:val="00CA458A"/>
    <w:rsid w:val="00CA488A"/>
    <w:rsid w:val="00CA49EE"/>
    <w:rsid w:val="00CA508A"/>
    <w:rsid w:val="00CA534F"/>
    <w:rsid w:val="00CA57BF"/>
    <w:rsid w:val="00CA5A0A"/>
    <w:rsid w:val="00CA5AB5"/>
    <w:rsid w:val="00CA6D38"/>
    <w:rsid w:val="00CA715D"/>
    <w:rsid w:val="00CA769F"/>
    <w:rsid w:val="00CA7EF8"/>
    <w:rsid w:val="00CB00CE"/>
    <w:rsid w:val="00CB04D9"/>
    <w:rsid w:val="00CB0855"/>
    <w:rsid w:val="00CB0A19"/>
    <w:rsid w:val="00CB0BD3"/>
    <w:rsid w:val="00CB0F0C"/>
    <w:rsid w:val="00CB114E"/>
    <w:rsid w:val="00CB2867"/>
    <w:rsid w:val="00CB45B7"/>
    <w:rsid w:val="00CB4917"/>
    <w:rsid w:val="00CB4B07"/>
    <w:rsid w:val="00CB4C3A"/>
    <w:rsid w:val="00CB50B9"/>
    <w:rsid w:val="00CB576C"/>
    <w:rsid w:val="00CB581B"/>
    <w:rsid w:val="00CB5E58"/>
    <w:rsid w:val="00CB5F48"/>
    <w:rsid w:val="00CB6662"/>
    <w:rsid w:val="00CB6872"/>
    <w:rsid w:val="00CB78FD"/>
    <w:rsid w:val="00CB7AB8"/>
    <w:rsid w:val="00CC0759"/>
    <w:rsid w:val="00CC0E06"/>
    <w:rsid w:val="00CC0F0C"/>
    <w:rsid w:val="00CC135A"/>
    <w:rsid w:val="00CC209D"/>
    <w:rsid w:val="00CC21F1"/>
    <w:rsid w:val="00CC2A5B"/>
    <w:rsid w:val="00CC3204"/>
    <w:rsid w:val="00CC3702"/>
    <w:rsid w:val="00CC39C5"/>
    <w:rsid w:val="00CC404C"/>
    <w:rsid w:val="00CC46B5"/>
    <w:rsid w:val="00CC489B"/>
    <w:rsid w:val="00CC4AB6"/>
    <w:rsid w:val="00CC5099"/>
    <w:rsid w:val="00CC51B9"/>
    <w:rsid w:val="00CC5ABD"/>
    <w:rsid w:val="00CC5BC5"/>
    <w:rsid w:val="00CC5D1D"/>
    <w:rsid w:val="00CC67BB"/>
    <w:rsid w:val="00CC7ADA"/>
    <w:rsid w:val="00CC7C44"/>
    <w:rsid w:val="00CD00DC"/>
    <w:rsid w:val="00CD0A93"/>
    <w:rsid w:val="00CD0EAD"/>
    <w:rsid w:val="00CD1595"/>
    <w:rsid w:val="00CD19E1"/>
    <w:rsid w:val="00CD2894"/>
    <w:rsid w:val="00CD292D"/>
    <w:rsid w:val="00CD29D2"/>
    <w:rsid w:val="00CD2B60"/>
    <w:rsid w:val="00CD2BCD"/>
    <w:rsid w:val="00CD316B"/>
    <w:rsid w:val="00CD31A8"/>
    <w:rsid w:val="00CD3A4C"/>
    <w:rsid w:val="00CD3FA1"/>
    <w:rsid w:val="00CD464E"/>
    <w:rsid w:val="00CD49CC"/>
    <w:rsid w:val="00CD590C"/>
    <w:rsid w:val="00CD5953"/>
    <w:rsid w:val="00CD5B19"/>
    <w:rsid w:val="00CD5EA0"/>
    <w:rsid w:val="00CD65FC"/>
    <w:rsid w:val="00CD6854"/>
    <w:rsid w:val="00CD73E8"/>
    <w:rsid w:val="00CD7699"/>
    <w:rsid w:val="00CE0059"/>
    <w:rsid w:val="00CE10E9"/>
    <w:rsid w:val="00CE144E"/>
    <w:rsid w:val="00CE14C7"/>
    <w:rsid w:val="00CE1C5A"/>
    <w:rsid w:val="00CE2331"/>
    <w:rsid w:val="00CE26FC"/>
    <w:rsid w:val="00CE2817"/>
    <w:rsid w:val="00CE2910"/>
    <w:rsid w:val="00CE34BD"/>
    <w:rsid w:val="00CE3D09"/>
    <w:rsid w:val="00CE3F17"/>
    <w:rsid w:val="00CE3FB1"/>
    <w:rsid w:val="00CE49FD"/>
    <w:rsid w:val="00CE4B2E"/>
    <w:rsid w:val="00CE4FEE"/>
    <w:rsid w:val="00CE5393"/>
    <w:rsid w:val="00CE63E2"/>
    <w:rsid w:val="00CE6FB9"/>
    <w:rsid w:val="00CE7728"/>
    <w:rsid w:val="00CE7A08"/>
    <w:rsid w:val="00CE7C15"/>
    <w:rsid w:val="00CF0771"/>
    <w:rsid w:val="00CF0FCF"/>
    <w:rsid w:val="00CF116C"/>
    <w:rsid w:val="00CF13C8"/>
    <w:rsid w:val="00CF1414"/>
    <w:rsid w:val="00CF1CD7"/>
    <w:rsid w:val="00CF1EB4"/>
    <w:rsid w:val="00CF30C0"/>
    <w:rsid w:val="00CF356D"/>
    <w:rsid w:val="00CF36BE"/>
    <w:rsid w:val="00CF387D"/>
    <w:rsid w:val="00CF3E79"/>
    <w:rsid w:val="00CF3FA8"/>
    <w:rsid w:val="00CF43F3"/>
    <w:rsid w:val="00CF4712"/>
    <w:rsid w:val="00CF4CDD"/>
    <w:rsid w:val="00CF4FC1"/>
    <w:rsid w:val="00CF54D5"/>
    <w:rsid w:val="00CF6000"/>
    <w:rsid w:val="00CF6181"/>
    <w:rsid w:val="00CF6C6A"/>
    <w:rsid w:val="00CF7539"/>
    <w:rsid w:val="00CF77B7"/>
    <w:rsid w:val="00CF7F8F"/>
    <w:rsid w:val="00D003F3"/>
    <w:rsid w:val="00D00953"/>
    <w:rsid w:val="00D00A7C"/>
    <w:rsid w:val="00D0364F"/>
    <w:rsid w:val="00D0450A"/>
    <w:rsid w:val="00D04AAF"/>
    <w:rsid w:val="00D054F7"/>
    <w:rsid w:val="00D0672B"/>
    <w:rsid w:val="00D06834"/>
    <w:rsid w:val="00D06B57"/>
    <w:rsid w:val="00D075E5"/>
    <w:rsid w:val="00D109AC"/>
    <w:rsid w:val="00D10B0E"/>
    <w:rsid w:val="00D10B64"/>
    <w:rsid w:val="00D1106C"/>
    <w:rsid w:val="00D1123F"/>
    <w:rsid w:val="00D116BC"/>
    <w:rsid w:val="00D117CA"/>
    <w:rsid w:val="00D1218B"/>
    <w:rsid w:val="00D12AF8"/>
    <w:rsid w:val="00D1397C"/>
    <w:rsid w:val="00D13C00"/>
    <w:rsid w:val="00D14E77"/>
    <w:rsid w:val="00D153AD"/>
    <w:rsid w:val="00D16081"/>
    <w:rsid w:val="00D162BA"/>
    <w:rsid w:val="00D1640D"/>
    <w:rsid w:val="00D167BF"/>
    <w:rsid w:val="00D169B7"/>
    <w:rsid w:val="00D16B6C"/>
    <w:rsid w:val="00D17475"/>
    <w:rsid w:val="00D1770A"/>
    <w:rsid w:val="00D17F23"/>
    <w:rsid w:val="00D208A6"/>
    <w:rsid w:val="00D218A1"/>
    <w:rsid w:val="00D21943"/>
    <w:rsid w:val="00D224E3"/>
    <w:rsid w:val="00D229C3"/>
    <w:rsid w:val="00D22A45"/>
    <w:rsid w:val="00D22C08"/>
    <w:rsid w:val="00D23830"/>
    <w:rsid w:val="00D24720"/>
    <w:rsid w:val="00D25753"/>
    <w:rsid w:val="00D25D5E"/>
    <w:rsid w:val="00D27263"/>
    <w:rsid w:val="00D27345"/>
    <w:rsid w:val="00D2756B"/>
    <w:rsid w:val="00D279C6"/>
    <w:rsid w:val="00D27EA3"/>
    <w:rsid w:val="00D27F8E"/>
    <w:rsid w:val="00D27FC7"/>
    <w:rsid w:val="00D3067E"/>
    <w:rsid w:val="00D308ED"/>
    <w:rsid w:val="00D30C31"/>
    <w:rsid w:val="00D312A3"/>
    <w:rsid w:val="00D31B75"/>
    <w:rsid w:val="00D32021"/>
    <w:rsid w:val="00D32596"/>
    <w:rsid w:val="00D32598"/>
    <w:rsid w:val="00D32775"/>
    <w:rsid w:val="00D33272"/>
    <w:rsid w:val="00D33B25"/>
    <w:rsid w:val="00D33D53"/>
    <w:rsid w:val="00D34AD9"/>
    <w:rsid w:val="00D34FA1"/>
    <w:rsid w:val="00D36D86"/>
    <w:rsid w:val="00D36EDF"/>
    <w:rsid w:val="00D37091"/>
    <w:rsid w:val="00D37679"/>
    <w:rsid w:val="00D37D7B"/>
    <w:rsid w:val="00D401BD"/>
    <w:rsid w:val="00D40604"/>
    <w:rsid w:val="00D410A2"/>
    <w:rsid w:val="00D4156C"/>
    <w:rsid w:val="00D41783"/>
    <w:rsid w:val="00D41FD5"/>
    <w:rsid w:val="00D42441"/>
    <w:rsid w:val="00D42829"/>
    <w:rsid w:val="00D428AA"/>
    <w:rsid w:val="00D42D8C"/>
    <w:rsid w:val="00D438FB"/>
    <w:rsid w:val="00D44830"/>
    <w:rsid w:val="00D44C17"/>
    <w:rsid w:val="00D454CA"/>
    <w:rsid w:val="00D46BC4"/>
    <w:rsid w:val="00D46F0C"/>
    <w:rsid w:val="00D46FF8"/>
    <w:rsid w:val="00D47D29"/>
    <w:rsid w:val="00D5008B"/>
    <w:rsid w:val="00D50A34"/>
    <w:rsid w:val="00D50DC9"/>
    <w:rsid w:val="00D512EF"/>
    <w:rsid w:val="00D51668"/>
    <w:rsid w:val="00D531A4"/>
    <w:rsid w:val="00D53D67"/>
    <w:rsid w:val="00D53E56"/>
    <w:rsid w:val="00D53EFA"/>
    <w:rsid w:val="00D5513D"/>
    <w:rsid w:val="00D552B9"/>
    <w:rsid w:val="00D55405"/>
    <w:rsid w:val="00D558DB"/>
    <w:rsid w:val="00D55F52"/>
    <w:rsid w:val="00D57EDB"/>
    <w:rsid w:val="00D60038"/>
    <w:rsid w:val="00D60232"/>
    <w:rsid w:val="00D60EEA"/>
    <w:rsid w:val="00D6129F"/>
    <w:rsid w:val="00D62122"/>
    <w:rsid w:val="00D62322"/>
    <w:rsid w:val="00D62DA7"/>
    <w:rsid w:val="00D632AA"/>
    <w:rsid w:val="00D63354"/>
    <w:rsid w:val="00D63C2D"/>
    <w:rsid w:val="00D63CD9"/>
    <w:rsid w:val="00D63F8B"/>
    <w:rsid w:val="00D64A34"/>
    <w:rsid w:val="00D64EE9"/>
    <w:rsid w:val="00D651F4"/>
    <w:rsid w:val="00D661D9"/>
    <w:rsid w:val="00D66311"/>
    <w:rsid w:val="00D67714"/>
    <w:rsid w:val="00D70781"/>
    <w:rsid w:val="00D709CD"/>
    <w:rsid w:val="00D70B00"/>
    <w:rsid w:val="00D70BA5"/>
    <w:rsid w:val="00D70D26"/>
    <w:rsid w:val="00D70EDF"/>
    <w:rsid w:val="00D71E07"/>
    <w:rsid w:val="00D72485"/>
    <w:rsid w:val="00D73429"/>
    <w:rsid w:val="00D736E6"/>
    <w:rsid w:val="00D73EC1"/>
    <w:rsid w:val="00D74035"/>
    <w:rsid w:val="00D74941"/>
    <w:rsid w:val="00D74F97"/>
    <w:rsid w:val="00D754EB"/>
    <w:rsid w:val="00D760EC"/>
    <w:rsid w:val="00D7641E"/>
    <w:rsid w:val="00D76605"/>
    <w:rsid w:val="00D76AE4"/>
    <w:rsid w:val="00D76CEA"/>
    <w:rsid w:val="00D77451"/>
    <w:rsid w:val="00D775B4"/>
    <w:rsid w:val="00D777C2"/>
    <w:rsid w:val="00D77B68"/>
    <w:rsid w:val="00D77C09"/>
    <w:rsid w:val="00D77C12"/>
    <w:rsid w:val="00D77CC3"/>
    <w:rsid w:val="00D77F07"/>
    <w:rsid w:val="00D80AD4"/>
    <w:rsid w:val="00D80CEA"/>
    <w:rsid w:val="00D80D5A"/>
    <w:rsid w:val="00D80E6F"/>
    <w:rsid w:val="00D80F99"/>
    <w:rsid w:val="00D81F98"/>
    <w:rsid w:val="00D829E4"/>
    <w:rsid w:val="00D83172"/>
    <w:rsid w:val="00D83DDD"/>
    <w:rsid w:val="00D84C23"/>
    <w:rsid w:val="00D84D0A"/>
    <w:rsid w:val="00D85521"/>
    <w:rsid w:val="00D86351"/>
    <w:rsid w:val="00D865A6"/>
    <w:rsid w:val="00D86C41"/>
    <w:rsid w:val="00D86CC2"/>
    <w:rsid w:val="00D87A24"/>
    <w:rsid w:val="00D907C4"/>
    <w:rsid w:val="00D92753"/>
    <w:rsid w:val="00D9309B"/>
    <w:rsid w:val="00D93483"/>
    <w:rsid w:val="00D93619"/>
    <w:rsid w:val="00D94501"/>
    <w:rsid w:val="00D94A7C"/>
    <w:rsid w:val="00D94C5F"/>
    <w:rsid w:val="00D94F3A"/>
    <w:rsid w:val="00D953FC"/>
    <w:rsid w:val="00D9567A"/>
    <w:rsid w:val="00D95896"/>
    <w:rsid w:val="00D95B05"/>
    <w:rsid w:val="00D962BC"/>
    <w:rsid w:val="00D96CE9"/>
    <w:rsid w:val="00D96DC3"/>
    <w:rsid w:val="00D9722C"/>
    <w:rsid w:val="00DA0996"/>
    <w:rsid w:val="00DA0E2E"/>
    <w:rsid w:val="00DA0E61"/>
    <w:rsid w:val="00DA1123"/>
    <w:rsid w:val="00DA17CC"/>
    <w:rsid w:val="00DA1AA7"/>
    <w:rsid w:val="00DA1B74"/>
    <w:rsid w:val="00DA24FC"/>
    <w:rsid w:val="00DA266D"/>
    <w:rsid w:val="00DA2760"/>
    <w:rsid w:val="00DA3825"/>
    <w:rsid w:val="00DA3F6C"/>
    <w:rsid w:val="00DA415D"/>
    <w:rsid w:val="00DA4563"/>
    <w:rsid w:val="00DA470C"/>
    <w:rsid w:val="00DA4734"/>
    <w:rsid w:val="00DA4854"/>
    <w:rsid w:val="00DA5299"/>
    <w:rsid w:val="00DA56E6"/>
    <w:rsid w:val="00DA5EE3"/>
    <w:rsid w:val="00DA6BA1"/>
    <w:rsid w:val="00DA6C5E"/>
    <w:rsid w:val="00DA71B2"/>
    <w:rsid w:val="00DA73A2"/>
    <w:rsid w:val="00DA7672"/>
    <w:rsid w:val="00DA79B8"/>
    <w:rsid w:val="00DA7ADE"/>
    <w:rsid w:val="00DA7C50"/>
    <w:rsid w:val="00DA7F95"/>
    <w:rsid w:val="00DA7FC6"/>
    <w:rsid w:val="00DB0E6F"/>
    <w:rsid w:val="00DB1EB1"/>
    <w:rsid w:val="00DB1FF9"/>
    <w:rsid w:val="00DB2696"/>
    <w:rsid w:val="00DB2983"/>
    <w:rsid w:val="00DB3C27"/>
    <w:rsid w:val="00DB3EB1"/>
    <w:rsid w:val="00DB43E5"/>
    <w:rsid w:val="00DB4D4A"/>
    <w:rsid w:val="00DB53AB"/>
    <w:rsid w:val="00DB54B9"/>
    <w:rsid w:val="00DB5922"/>
    <w:rsid w:val="00DB5EA0"/>
    <w:rsid w:val="00DB6473"/>
    <w:rsid w:val="00DB668C"/>
    <w:rsid w:val="00DB66CD"/>
    <w:rsid w:val="00DB6E5D"/>
    <w:rsid w:val="00DB7DEA"/>
    <w:rsid w:val="00DC0114"/>
    <w:rsid w:val="00DC0AD2"/>
    <w:rsid w:val="00DC0E1B"/>
    <w:rsid w:val="00DC1247"/>
    <w:rsid w:val="00DC1257"/>
    <w:rsid w:val="00DC1A9A"/>
    <w:rsid w:val="00DC2216"/>
    <w:rsid w:val="00DC2986"/>
    <w:rsid w:val="00DC3BAB"/>
    <w:rsid w:val="00DC3DC0"/>
    <w:rsid w:val="00DC4518"/>
    <w:rsid w:val="00DC4D51"/>
    <w:rsid w:val="00DC5310"/>
    <w:rsid w:val="00DC563A"/>
    <w:rsid w:val="00DC5B2B"/>
    <w:rsid w:val="00DC5F5E"/>
    <w:rsid w:val="00DC6334"/>
    <w:rsid w:val="00DC63F0"/>
    <w:rsid w:val="00DC65C3"/>
    <w:rsid w:val="00DC6A82"/>
    <w:rsid w:val="00DC6AFD"/>
    <w:rsid w:val="00DC7574"/>
    <w:rsid w:val="00DC77F6"/>
    <w:rsid w:val="00DC7848"/>
    <w:rsid w:val="00DD0061"/>
    <w:rsid w:val="00DD183E"/>
    <w:rsid w:val="00DD202F"/>
    <w:rsid w:val="00DD23E4"/>
    <w:rsid w:val="00DD28C3"/>
    <w:rsid w:val="00DD318D"/>
    <w:rsid w:val="00DD33E1"/>
    <w:rsid w:val="00DD3534"/>
    <w:rsid w:val="00DD4430"/>
    <w:rsid w:val="00DD5914"/>
    <w:rsid w:val="00DD59FA"/>
    <w:rsid w:val="00DD5EE4"/>
    <w:rsid w:val="00DD6538"/>
    <w:rsid w:val="00DD655A"/>
    <w:rsid w:val="00DD6CF6"/>
    <w:rsid w:val="00DD715C"/>
    <w:rsid w:val="00DD7414"/>
    <w:rsid w:val="00DD75A1"/>
    <w:rsid w:val="00DD78C9"/>
    <w:rsid w:val="00DD7BBC"/>
    <w:rsid w:val="00DD7E1B"/>
    <w:rsid w:val="00DE01C8"/>
    <w:rsid w:val="00DE03B7"/>
    <w:rsid w:val="00DE093E"/>
    <w:rsid w:val="00DE176A"/>
    <w:rsid w:val="00DE270D"/>
    <w:rsid w:val="00DE282D"/>
    <w:rsid w:val="00DE2A0A"/>
    <w:rsid w:val="00DE2B53"/>
    <w:rsid w:val="00DE2C3A"/>
    <w:rsid w:val="00DE316C"/>
    <w:rsid w:val="00DE35D9"/>
    <w:rsid w:val="00DE3BFB"/>
    <w:rsid w:val="00DE4177"/>
    <w:rsid w:val="00DE4FFA"/>
    <w:rsid w:val="00DE51D9"/>
    <w:rsid w:val="00DE587C"/>
    <w:rsid w:val="00DE6402"/>
    <w:rsid w:val="00DE64A4"/>
    <w:rsid w:val="00DE7810"/>
    <w:rsid w:val="00DE7F9B"/>
    <w:rsid w:val="00DF0215"/>
    <w:rsid w:val="00DF1109"/>
    <w:rsid w:val="00DF122E"/>
    <w:rsid w:val="00DF2E12"/>
    <w:rsid w:val="00DF3454"/>
    <w:rsid w:val="00DF39CA"/>
    <w:rsid w:val="00DF4C83"/>
    <w:rsid w:val="00DF4D99"/>
    <w:rsid w:val="00DF5055"/>
    <w:rsid w:val="00DF514A"/>
    <w:rsid w:val="00DF5458"/>
    <w:rsid w:val="00DF5838"/>
    <w:rsid w:val="00DF59F3"/>
    <w:rsid w:val="00DF5F21"/>
    <w:rsid w:val="00DF5FDF"/>
    <w:rsid w:val="00DF6690"/>
    <w:rsid w:val="00DF6804"/>
    <w:rsid w:val="00DF6AEB"/>
    <w:rsid w:val="00DF6F4F"/>
    <w:rsid w:val="00DF7830"/>
    <w:rsid w:val="00DF7855"/>
    <w:rsid w:val="00DF7B0B"/>
    <w:rsid w:val="00E0228B"/>
    <w:rsid w:val="00E02F46"/>
    <w:rsid w:val="00E0315A"/>
    <w:rsid w:val="00E0358D"/>
    <w:rsid w:val="00E03A57"/>
    <w:rsid w:val="00E03B23"/>
    <w:rsid w:val="00E03CCD"/>
    <w:rsid w:val="00E04323"/>
    <w:rsid w:val="00E05147"/>
    <w:rsid w:val="00E05202"/>
    <w:rsid w:val="00E0617C"/>
    <w:rsid w:val="00E061AC"/>
    <w:rsid w:val="00E06D95"/>
    <w:rsid w:val="00E070A2"/>
    <w:rsid w:val="00E07778"/>
    <w:rsid w:val="00E07B1E"/>
    <w:rsid w:val="00E07C88"/>
    <w:rsid w:val="00E07D30"/>
    <w:rsid w:val="00E112B5"/>
    <w:rsid w:val="00E11B63"/>
    <w:rsid w:val="00E11C7B"/>
    <w:rsid w:val="00E13419"/>
    <w:rsid w:val="00E1467E"/>
    <w:rsid w:val="00E14935"/>
    <w:rsid w:val="00E14E14"/>
    <w:rsid w:val="00E14F62"/>
    <w:rsid w:val="00E1579C"/>
    <w:rsid w:val="00E159B1"/>
    <w:rsid w:val="00E15ABF"/>
    <w:rsid w:val="00E15B8F"/>
    <w:rsid w:val="00E15F14"/>
    <w:rsid w:val="00E164D5"/>
    <w:rsid w:val="00E1651C"/>
    <w:rsid w:val="00E171BB"/>
    <w:rsid w:val="00E174E9"/>
    <w:rsid w:val="00E176B4"/>
    <w:rsid w:val="00E17825"/>
    <w:rsid w:val="00E205D9"/>
    <w:rsid w:val="00E20B69"/>
    <w:rsid w:val="00E20CEF"/>
    <w:rsid w:val="00E21331"/>
    <w:rsid w:val="00E219C5"/>
    <w:rsid w:val="00E22C74"/>
    <w:rsid w:val="00E22C95"/>
    <w:rsid w:val="00E2361F"/>
    <w:rsid w:val="00E23A31"/>
    <w:rsid w:val="00E23CFC"/>
    <w:rsid w:val="00E23F16"/>
    <w:rsid w:val="00E24126"/>
    <w:rsid w:val="00E242B5"/>
    <w:rsid w:val="00E2620F"/>
    <w:rsid w:val="00E26356"/>
    <w:rsid w:val="00E2656A"/>
    <w:rsid w:val="00E26D91"/>
    <w:rsid w:val="00E27D26"/>
    <w:rsid w:val="00E27F8E"/>
    <w:rsid w:val="00E30AF6"/>
    <w:rsid w:val="00E313CC"/>
    <w:rsid w:val="00E31679"/>
    <w:rsid w:val="00E322CB"/>
    <w:rsid w:val="00E327BB"/>
    <w:rsid w:val="00E34585"/>
    <w:rsid w:val="00E34C35"/>
    <w:rsid w:val="00E35685"/>
    <w:rsid w:val="00E36672"/>
    <w:rsid w:val="00E36826"/>
    <w:rsid w:val="00E36D79"/>
    <w:rsid w:val="00E36EA9"/>
    <w:rsid w:val="00E373CA"/>
    <w:rsid w:val="00E3765E"/>
    <w:rsid w:val="00E37B06"/>
    <w:rsid w:val="00E37FF6"/>
    <w:rsid w:val="00E40C7A"/>
    <w:rsid w:val="00E40EEB"/>
    <w:rsid w:val="00E40F29"/>
    <w:rsid w:val="00E4120D"/>
    <w:rsid w:val="00E412D0"/>
    <w:rsid w:val="00E415A2"/>
    <w:rsid w:val="00E417AA"/>
    <w:rsid w:val="00E422A8"/>
    <w:rsid w:val="00E42669"/>
    <w:rsid w:val="00E4272C"/>
    <w:rsid w:val="00E44493"/>
    <w:rsid w:val="00E44531"/>
    <w:rsid w:val="00E456E1"/>
    <w:rsid w:val="00E460A0"/>
    <w:rsid w:val="00E46CC7"/>
    <w:rsid w:val="00E46DC4"/>
    <w:rsid w:val="00E478E3"/>
    <w:rsid w:val="00E47A47"/>
    <w:rsid w:val="00E47EBE"/>
    <w:rsid w:val="00E50140"/>
    <w:rsid w:val="00E50CEF"/>
    <w:rsid w:val="00E510BF"/>
    <w:rsid w:val="00E51B1B"/>
    <w:rsid w:val="00E52060"/>
    <w:rsid w:val="00E521E6"/>
    <w:rsid w:val="00E52FF3"/>
    <w:rsid w:val="00E53281"/>
    <w:rsid w:val="00E533CB"/>
    <w:rsid w:val="00E5359B"/>
    <w:rsid w:val="00E538F1"/>
    <w:rsid w:val="00E539F9"/>
    <w:rsid w:val="00E53A23"/>
    <w:rsid w:val="00E5454A"/>
    <w:rsid w:val="00E55F44"/>
    <w:rsid w:val="00E560B8"/>
    <w:rsid w:val="00E56322"/>
    <w:rsid w:val="00E568DD"/>
    <w:rsid w:val="00E5696B"/>
    <w:rsid w:val="00E56A64"/>
    <w:rsid w:val="00E56E12"/>
    <w:rsid w:val="00E57F55"/>
    <w:rsid w:val="00E6047B"/>
    <w:rsid w:val="00E60982"/>
    <w:rsid w:val="00E61972"/>
    <w:rsid w:val="00E62092"/>
    <w:rsid w:val="00E62863"/>
    <w:rsid w:val="00E62A12"/>
    <w:rsid w:val="00E62C62"/>
    <w:rsid w:val="00E62E68"/>
    <w:rsid w:val="00E631CB"/>
    <w:rsid w:val="00E63777"/>
    <w:rsid w:val="00E63AD2"/>
    <w:rsid w:val="00E642B3"/>
    <w:rsid w:val="00E64F93"/>
    <w:rsid w:val="00E65210"/>
    <w:rsid w:val="00E654C1"/>
    <w:rsid w:val="00E65770"/>
    <w:rsid w:val="00E65D97"/>
    <w:rsid w:val="00E66142"/>
    <w:rsid w:val="00E6655A"/>
    <w:rsid w:val="00E6736C"/>
    <w:rsid w:val="00E673DB"/>
    <w:rsid w:val="00E67B3F"/>
    <w:rsid w:val="00E67D8C"/>
    <w:rsid w:val="00E70895"/>
    <w:rsid w:val="00E7120C"/>
    <w:rsid w:val="00E71DBB"/>
    <w:rsid w:val="00E71EE5"/>
    <w:rsid w:val="00E71FA8"/>
    <w:rsid w:val="00E723F1"/>
    <w:rsid w:val="00E724A7"/>
    <w:rsid w:val="00E72A5A"/>
    <w:rsid w:val="00E73354"/>
    <w:rsid w:val="00E7337D"/>
    <w:rsid w:val="00E73564"/>
    <w:rsid w:val="00E73927"/>
    <w:rsid w:val="00E739CD"/>
    <w:rsid w:val="00E740B1"/>
    <w:rsid w:val="00E752F7"/>
    <w:rsid w:val="00E76147"/>
    <w:rsid w:val="00E768EE"/>
    <w:rsid w:val="00E76B06"/>
    <w:rsid w:val="00E76E3D"/>
    <w:rsid w:val="00E778F7"/>
    <w:rsid w:val="00E77DD4"/>
    <w:rsid w:val="00E77DD9"/>
    <w:rsid w:val="00E77F8E"/>
    <w:rsid w:val="00E802FC"/>
    <w:rsid w:val="00E80432"/>
    <w:rsid w:val="00E80565"/>
    <w:rsid w:val="00E806B1"/>
    <w:rsid w:val="00E80D7F"/>
    <w:rsid w:val="00E815D0"/>
    <w:rsid w:val="00E81703"/>
    <w:rsid w:val="00E81940"/>
    <w:rsid w:val="00E81B4C"/>
    <w:rsid w:val="00E8288F"/>
    <w:rsid w:val="00E82C28"/>
    <w:rsid w:val="00E82D78"/>
    <w:rsid w:val="00E83025"/>
    <w:rsid w:val="00E83B7A"/>
    <w:rsid w:val="00E843A3"/>
    <w:rsid w:val="00E851C1"/>
    <w:rsid w:val="00E85872"/>
    <w:rsid w:val="00E85C4F"/>
    <w:rsid w:val="00E86331"/>
    <w:rsid w:val="00E8641B"/>
    <w:rsid w:val="00E8679E"/>
    <w:rsid w:val="00E87445"/>
    <w:rsid w:val="00E8752B"/>
    <w:rsid w:val="00E877E8"/>
    <w:rsid w:val="00E903B8"/>
    <w:rsid w:val="00E9126D"/>
    <w:rsid w:val="00E913EE"/>
    <w:rsid w:val="00E9224A"/>
    <w:rsid w:val="00E9242D"/>
    <w:rsid w:val="00E924A2"/>
    <w:rsid w:val="00E93666"/>
    <w:rsid w:val="00E93D61"/>
    <w:rsid w:val="00E94187"/>
    <w:rsid w:val="00E941F4"/>
    <w:rsid w:val="00E94370"/>
    <w:rsid w:val="00E95325"/>
    <w:rsid w:val="00E96F30"/>
    <w:rsid w:val="00E97159"/>
    <w:rsid w:val="00E97A3D"/>
    <w:rsid w:val="00EA0D88"/>
    <w:rsid w:val="00EA1064"/>
    <w:rsid w:val="00EA17B2"/>
    <w:rsid w:val="00EA1E90"/>
    <w:rsid w:val="00EA206F"/>
    <w:rsid w:val="00EA2F66"/>
    <w:rsid w:val="00EA30EF"/>
    <w:rsid w:val="00EA3908"/>
    <w:rsid w:val="00EA404E"/>
    <w:rsid w:val="00EA43BF"/>
    <w:rsid w:val="00EA4A62"/>
    <w:rsid w:val="00EA500F"/>
    <w:rsid w:val="00EA52E4"/>
    <w:rsid w:val="00EA5B7D"/>
    <w:rsid w:val="00EA7116"/>
    <w:rsid w:val="00EA734D"/>
    <w:rsid w:val="00EA738C"/>
    <w:rsid w:val="00EB00AC"/>
    <w:rsid w:val="00EB0145"/>
    <w:rsid w:val="00EB0513"/>
    <w:rsid w:val="00EB07AA"/>
    <w:rsid w:val="00EB1CFE"/>
    <w:rsid w:val="00EB1F47"/>
    <w:rsid w:val="00EB2DF2"/>
    <w:rsid w:val="00EB33D6"/>
    <w:rsid w:val="00EB4E3A"/>
    <w:rsid w:val="00EB4E97"/>
    <w:rsid w:val="00EB5255"/>
    <w:rsid w:val="00EB57FE"/>
    <w:rsid w:val="00EB59E7"/>
    <w:rsid w:val="00EB5C47"/>
    <w:rsid w:val="00EB5D20"/>
    <w:rsid w:val="00EB5D28"/>
    <w:rsid w:val="00EB653B"/>
    <w:rsid w:val="00EB7BAE"/>
    <w:rsid w:val="00EC0F11"/>
    <w:rsid w:val="00EC1011"/>
    <w:rsid w:val="00EC11A1"/>
    <w:rsid w:val="00EC14A4"/>
    <w:rsid w:val="00EC1943"/>
    <w:rsid w:val="00EC2EAD"/>
    <w:rsid w:val="00EC2ED9"/>
    <w:rsid w:val="00EC3652"/>
    <w:rsid w:val="00EC3B55"/>
    <w:rsid w:val="00EC3D63"/>
    <w:rsid w:val="00EC492F"/>
    <w:rsid w:val="00EC4FEB"/>
    <w:rsid w:val="00EC59A8"/>
    <w:rsid w:val="00EC5A67"/>
    <w:rsid w:val="00EC5D34"/>
    <w:rsid w:val="00EC60D4"/>
    <w:rsid w:val="00EC79EA"/>
    <w:rsid w:val="00EC7A47"/>
    <w:rsid w:val="00EC7C47"/>
    <w:rsid w:val="00EC7F64"/>
    <w:rsid w:val="00ED0639"/>
    <w:rsid w:val="00ED06BE"/>
    <w:rsid w:val="00ED06FE"/>
    <w:rsid w:val="00ED0D7C"/>
    <w:rsid w:val="00ED142F"/>
    <w:rsid w:val="00ED152B"/>
    <w:rsid w:val="00ED16DC"/>
    <w:rsid w:val="00ED1A3E"/>
    <w:rsid w:val="00ED2990"/>
    <w:rsid w:val="00ED2A61"/>
    <w:rsid w:val="00ED31CA"/>
    <w:rsid w:val="00ED3DE9"/>
    <w:rsid w:val="00ED41D7"/>
    <w:rsid w:val="00ED4669"/>
    <w:rsid w:val="00ED46E0"/>
    <w:rsid w:val="00ED47FB"/>
    <w:rsid w:val="00ED482B"/>
    <w:rsid w:val="00ED4BE0"/>
    <w:rsid w:val="00ED5263"/>
    <w:rsid w:val="00ED52AE"/>
    <w:rsid w:val="00ED55BC"/>
    <w:rsid w:val="00ED5780"/>
    <w:rsid w:val="00ED60E6"/>
    <w:rsid w:val="00ED63C2"/>
    <w:rsid w:val="00ED6925"/>
    <w:rsid w:val="00ED7024"/>
    <w:rsid w:val="00ED749A"/>
    <w:rsid w:val="00ED7FAF"/>
    <w:rsid w:val="00EE031E"/>
    <w:rsid w:val="00EE13EE"/>
    <w:rsid w:val="00EE3EA9"/>
    <w:rsid w:val="00EE4187"/>
    <w:rsid w:val="00EE425D"/>
    <w:rsid w:val="00EE4390"/>
    <w:rsid w:val="00EE51C4"/>
    <w:rsid w:val="00EE5331"/>
    <w:rsid w:val="00EE5F0A"/>
    <w:rsid w:val="00EE5FF1"/>
    <w:rsid w:val="00EE629C"/>
    <w:rsid w:val="00EE6A7C"/>
    <w:rsid w:val="00EE77C7"/>
    <w:rsid w:val="00EE7BFD"/>
    <w:rsid w:val="00EF0354"/>
    <w:rsid w:val="00EF14A0"/>
    <w:rsid w:val="00EF1770"/>
    <w:rsid w:val="00EF1A6A"/>
    <w:rsid w:val="00EF1AD8"/>
    <w:rsid w:val="00EF1E8F"/>
    <w:rsid w:val="00EF1EDF"/>
    <w:rsid w:val="00EF215B"/>
    <w:rsid w:val="00EF2446"/>
    <w:rsid w:val="00EF24D5"/>
    <w:rsid w:val="00EF2670"/>
    <w:rsid w:val="00EF2CFA"/>
    <w:rsid w:val="00EF33D1"/>
    <w:rsid w:val="00EF35E7"/>
    <w:rsid w:val="00EF38D7"/>
    <w:rsid w:val="00EF4755"/>
    <w:rsid w:val="00EF4D1B"/>
    <w:rsid w:val="00EF565E"/>
    <w:rsid w:val="00EF5901"/>
    <w:rsid w:val="00EF5943"/>
    <w:rsid w:val="00EF6C64"/>
    <w:rsid w:val="00EF7135"/>
    <w:rsid w:val="00EF785E"/>
    <w:rsid w:val="00EF7AB7"/>
    <w:rsid w:val="00EF7CC6"/>
    <w:rsid w:val="00F00DAA"/>
    <w:rsid w:val="00F01F55"/>
    <w:rsid w:val="00F02554"/>
    <w:rsid w:val="00F027DB"/>
    <w:rsid w:val="00F03744"/>
    <w:rsid w:val="00F0378D"/>
    <w:rsid w:val="00F03A02"/>
    <w:rsid w:val="00F03D45"/>
    <w:rsid w:val="00F05101"/>
    <w:rsid w:val="00F05276"/>
    <w:rsid w:val="00F0549F"/>
    <w:rsid w:val="00F05DA6"/>
    <w:rsid w:val="00F05DE1"/>
    <w:rsid w:val="00F05ED9"/>
    <w:rsid w:val="00F06CE3"/>
    <w:rsid w:val="00F10210"/>
    <w:rsid w:val="00F11C25"/>
    <w:rsid w:val="00F122EF"/>
    <w:rsid w:val="00F12B3F"/>
    <w:rsid w:val="00F12C48"/>
    <w:rsid w:val="00F13AFC"/>
    <w:rsid w:val="00F13BFC"/>
    <w:rsid w:val="00F13D2E"/>
    <w:rsid w:val="00F14026"/>
    <w:rsid w:val="00F1460F"/>
    <w:rsid w:val="00F1480D"/>
    <w:rsid w:val="00F14A7A"/>
    <w:rsid w:val="00F14E08"/>
    <w:rsid w:val="00F15068"/>
    <w:rsid w:val="00F1577B"/>
    <w:rsid w:val="00F159EC"/>
    <w:rsid w:val="00F15AD4"/>
    <w:rsid w:val="00F15DB5"/>
    <w:rsid w:val="00F15E6A"/>
    <w:rsid w:val="00F15EFE"/>
    <w:rsid w:val="00F164E0"/>
    <w:rsid w:val="00F1687E"/>
    <w:rsid w:val="00F16AC6"/>
    <w:rsid w:val="00F16FC7"/>
    <w:rsid w:val="00F176CE"/>
    <w:rsid w:val="00F17930"/>
    <w:rsid w:val="00F17AE2"/>
    <w:rsid w:val="00F20C1F"/>
    <w:rsid w:val="00F221B2"/>
    <w:rsid w:val="00F225BA"/>
    <w:rsid w:val="00F22687"/>
    <w:rsid w:val="00F22985"/>
    <w:rsid w:val="00F22ABA"/>
    <w:rsid w:val="00F22E75"/>
    <w:rsid w:val="00F2321E"/>
    <w:rsid w:val="00F23333"/>
    <w:rsid w:val="00F25267"/>
    <w:rsid w:val="00F25999"/>
    <w:rsid w:val="00F25B06"/>
    <w:rsid w:val="00F25DF3"/>
    <w:rsid w:val="00F2616A"/>
    <w:rsid w:val="00F26F8F"/>
    <w:rsid w:val="00F271C0"/>
    <w:rsid w:val="00F27615"/>
    <w:rsid w:val="00F27973"/>
    <w:rsid w:val="00F30E38"/>
    <w:rsid w:val="00F30F69"/>
    <w:rsid w:val="00F31419"/>
    <w:rsid w:val="00F3153B"/>
    <w:rsid w:val="00F32291"/>
    <w:rsid w:val="00F322DA"/>
    <w:rsid w:val="00F323FC"/>
    <w:rsid w:val="00F326F7"/>
    <w:rsid w:val="00F32CC7"/>
    <w:rsid w:val="00F32EB7"/>
    <w:rsid w:val="00F336C7"/>
    <w:rsid w:val="00F3383E"/>
    <w:rsid w:val="00F33ED9"/>
    <w:rsid w:val="00F34813"/>
    <w:rsid w:val="00F356E6"/>
    <w:rsid w:val="00F359A6"/>
    <w:rsid w:val="00F36BA2"/>
    <w:rsid w:val="00F36DE8"/>
    <w:rsid w:val="00F37970"/>
    <w:rsid w:val="00F40110"/>
    <w:rsid w:val="00F4100C"/>
    <w:rsid w:val="00F41464"/>
    <w:rsid w:val="00F423CE"/>
    <w:rsid w:val="00F42592"/>
    <w:rsid w:val="00F42F07"/>
    <w:rsid w:val="00F431BB"/>
    <w:rsid w:val="00F444E6"/>
    <w:rsid w:val="00F44B8A"/>
    <w:rsid w:val="00F44D94"/>
    <w:rsid w:val="00F45060"/>
    <w:rsid w:val="00F45BDF"/>
    <w:rsid w:val="00F45E07"/>
    <w:rsid w:val="00F45F44"/>
    <w:rsid w:val="00F465A7"/>
    <w:rsid w:val="00F466E2"/>
    <w:rsid w:val="00F466FB"/>
    <w:rsid w:val="00F476CF"/>
    <w:rsid w:val="00F47B88"/>
    <w:rsid w:val="00F50B7C"/>
    <w:rsid w:val="00F514E1"/>
    <w:rsid w:val="00F5192A"/>
    <w:rsid w:val="00F51B15"/>
    <w:rsid w:val="00F51EFA"/>
    <w:rsid w:val="00F533E7"/>
    <w:rsid w:val="00F53727"/>
    <w:rsid w:val="00F53FBA"/>
    <w:rsid w:val="00F54264"/>
    <w:rsid w:val="00F5426D"/>
    <w:rsid w:val="00F545CB"/>
    <w:rsid w:val="00F54699"/>
    <w:rsid w:val="00F54964"/>
    <w:rsid w:val="00F550E6"/>
    <w:rsid w:val="00F5586C"/>
    <w:rsid w:val="00F5623C"/>
    <w:rsid w:val="00F56582"/>
    <w:rsid w:val="00F56ABF"/>
    <w:rsid w:val="00F56B4F"/>
    <w:rsid w:val="00F56DC2"/>
    <w:rsid w:val="00F5707F"/>
    <w:rsid w:val="00F60469"/>
    <w:rsid w:val="00F60511"/>
    <w:rsid w:val="00F60571"/>
    <w:rsid w:val="00F6062E"/>
    <w:rsid w:val="00F6069A"/>
    <w:rsid w:val="00F607BA"/>
    <w:rsid w:val="00F60F24"/>
    <w:rsid w:val="00F60FCE"/>
    <w:rsid w:val="00F6160C"/>
    <w:rsid w:val="00F61D1D"/>
    <w:rsid w:val="00F61E7C"/>
    <w:rsid w:val="00F62156"/>
    <w:rsid w:val="00F628A6"/>
    <w:rsid w:val="00F62BB6"/>
    <w:rsid w:val="00F63120"/>
    <w:rsid w:val="00F63FAF"/>
    <w:rsid w:val="00F64F45"/>
    <w:rsid w:val="00F650D5"/>
    <w:rsid w:val="00F6556C"/>
    <w:rsid w:val="00F65FF3"/>
    <w:rsid w:val="00F67049"/>
    <w:rsid w:val="00F67FC7"/>
    <w:rsid w:val="00F70181"/>
    <w:rsid w:val="00F70C1E"/>
    <w:rsid w:val="00F7153C"/>
    <w:rsid w:val="00F715EC"/>
    <w:rsid w:val="00F7191F"/>
    <w:rsid w:val="00F71B66"/>
    <w:rsid w:val="00F71DED"/>
    <w:rsid w:val="00F73C95"/>
    <w:rsid w:val="00F74345"/>
    <w:rsid w:val="00F74881"/>
    <w:rsid w:val="00F74B66"/>
    <w:rsid w:val="00F74BA2"/>
    <w:rsid w:val="00F74E18"/>
    <w:rsid w:val="00F7563C"/>
    <w:rsid w:val="00F75B68"/>
    <w:rsid w:val="00F75B92"/>
    <w:rsid w:val="00F76CFE"/>
    <w:rsid w:val="00F76F07"/>
    <w:rsid w:val="00F779F1"/>
    <w:rsid w:val="00F77D37"/>
    <w:rsid w:val="00F80355"/>
    <w:rsid w:val="00F8068A"/>
    <w:rsid w:val="00F80A0A"/>
    <w:rsid w:val="00F8103C"/>
    <w:rsid w:val="00F81647"/>
    <w:rsid w:val="00F826F6"/>
    <w:rsid w:val="00F82B19"/>
    <w:rsid w:val="00F8317C"/>
    <w:rsid w:val="00F83C66"/>
    <w:rsid w:val="00F84198"/>
    <w:rsid w:val="00F845AF"/>
    <w:rsid w:val="00F84FF6"/>
    <w:rsid w:val="00F85FA4"/>
    <w:rsid w:val="00F86544"/>
    <w:rsid w:val="00F867F6"/>
    <w:rsid w:val="00F86C2E"/>
    <w:rsid w:val="00F870AC"/>
    <w:rsid w:val="00F876C3"/>
    <w:rsid w:val="00F8797B"/>
    <w:rsid w:val="00F901E4"/>
    <w:rsid w:val="00F903C8"/>
    <w:rsid w:val="00F90643"/>
    <w:rsid w:val="00F90677"/>
    <w:rsid w:val="00F9086D"/>
    <w:rsid w:val="00F9150C"/>
    <w:rsid w:val="00F91AB8"/>
    <w:rsid w:val="00F9210F"/>
    <w:rsid w:val="00F9212D"/>
    <w:rsid w:val="00F92CF2"/>
    <w:rsid w:val="00F92E6B"/>
    <w:rsid w:val="00F92EC0"/>
    <w:rsid w:val="00F93432"/>
    <w:rsid w:val="00F936FE"/>
    <w:rsid w:val="00F93B1A"/>
    <w:rsid w:val="00F93DF1"/>
    <w:rsid w:val="00F94055"/>
    <w:rsid w:val="00F94888"/>
    <w:rsid w:val="00F94A06"/>
    <w:rsid w:val="00F94AA4"/>
    <w:rsid w:val="00F9528D"/>
    <w:rsid w:val="00F95297"/>
    <w:rsid w:val="00F952F1"/>
    <w:rsid w:val="00F96133"/>
    <w:rsid w:val="00F961E0"/>
    <w:rsid w:val="00F9633A"/>
    <w:rsid w:val="00F965DA"/>
    <w:rsid w:val="00F967D5"/>
    <w:rsid w:val="00F96FA4"/>
    <w:rsid w:val="00F970F7"/>
    <w:rsid w:val="00F9763E"/>
    <w:rsid w:val="00F97E5C"/>
    <w:rsid w:val="00FA0052"/>
    <w:rsid w:val="00FA18F8"/>
    <w:rsid w:val="00FA1A7E"/>
    <w:rsid w:val="00FA1DB6"/>
    <w:rsid w:val="00FA2106"/>
    <w:rsid w:val="00FA2D80"/>
    <w:rsid w:val="00FA320A"/>
    <w:rsid w:val="00FA33D0"/>
    <w:rsid w:val="00FA37B8"/>
    <w:rsid w:val="00FA4000"/>
    <w:rsid w:val="00FA406A"/>
    <w:rsid w:val="00FA460E"/>
    <w:rsid w:val="00FA49F4"/>
    <w:rsid w:val="00FA4BE8"/>
    <w:rsid w:val="00FA51D9"/>
    <w:rsid w:val="00FA5FA8"/>
    <w:rsid w:val="00FA609D"/>
    <w:rsid w:val="00FA6660"/>
    <w:rsid w:val="00FA78A2"/>
    <w:rsid w:val="00FA78C3"/>
    <w:rsid w:val="00FB0825"/>
    <w:rsid w:val="00FB0A12"/>
    <w:rsid w:val="00FB1833"/>
    <w:rsid w:val="00FB1D45"/>
    <w:rsid w:val="00FB27A5"/>
    <w:rsid w:val="00FB2A35"/>
    <w:rsid w:val="00FB2EBF"/>
    <w:rsid w:val="00FB4753"/>
    <w:rsid w:val="00FB479A"/>
    <w:rsid w:val="00FB4814"/>
    <w:rsid w:val="00FB4820"/>
    <w:rsid w:val="00FB488B"/>
    <w:rsid w:val="00FB503A"/>
    <w:rsid w:val="00FB516C"/>
    <w:rsid w:val="00FB5E45"/>
    <w:rsid w:val="00FB661A"/>
    <w:rsid w:val="00FB69E9"/>
    <w:rsid w:val="00FB73D5"/>
    <w:rsid w:val="00FB769D"/>
    <w:rsid w:val="00FB7D96"/>
    <w:rsid w:val="00FC10ED"/>
    <w:rsid w:val="00FC137D"/>
    <w:rsid w:val="00FC27E6"/>
    <w:rsid w:val="00FC2A3B"/>
    <w:rsid w:val="00FC2B35"/>
    <w:rsid w:val="00FC2C40"/>
    <w:rsid w:val="00FC2E99"/>
    <w:rsid w:val="00FC317E"/>
    <w:rsid w:val="00FC3189"/>
    <w:rsid w:val="00FC31CC"/>
    <w:rsid w:val="00FC38E0"/>
    <w:rsid w:val="00FC4033"/>
    <w:rsid w:val="00FC4322"/>
    <w:rsid w:val="00FC488F"/>
    <w:rsid w:val="00FC4D7E"/>
    <w:rsid w:val="00FC51B1"/>
    <w:rsid w:val="00FC61CB"/>
    <w:rsid w:val="00FC6256"/>
    <w:rsid w:val="00FC6A10"/>
    <w:rsid w:val="00FC7108"/>
    <w:rsid w:val="00FC712B"/>
    <w:rsid w:val="00FC7568"/>
    <w:rsid w:val="00FC7B85"/>
    <w:rsid w:val="00FD002D"/>
    <w:rsid w:val="00FD0236"/>
    <w:rsid w:val="00FD09EA"/>
    <w:rsid w:val="00FD0EDF"/>
    <w:rsid w:val="00FD18F4"/>
    <w:rsid w:val="00FD3DF7"/>
    <w:rsid w:val="00FD3E4B"/>
    <w:rsid w:val="00FD44E1"/>
    <w:rsid w:val="00FD50D3"/>
    <w:rsid w:val="00FD54DB"/>
    <w:rsid w:val="00FD612A"/>
    <w:rsid w:val="00FD619F"/>
    <w:rsid w:val="00FD6F3F"/>
    <w:rsid w:val="00FD7850"/>
    <w:rsid w:val="00FD79A5"/>
    <w:rsid w:val="00FE0BCA"/>
    <w:rsid w:val="00FE0C56"/>
    <w:rsid w:val="00FE0EEE"/>
    <w:rsid w:val="00FE1309"/>
    <w:rsid w:val="00FE1CA7"/>
    <w:rsid w:val="00FE1D4D"/>
    <w:rsid w:val="00FE2B44"/>
    <w:rsid w:val="00FE2BA0"/>
    <w:rsid w:val="00FE3B4D"/>
    <w:rsid w:val="00FE3FA3"/>
    <w:rsid w:val="00FE5BAA"/>
    <w:rsid w:val="00FE7484"/>
    <w:rsid w:val="00FE7731"/>
    <w:rsid w:val="00FE78C7"/>
    <w:rsid w:val="00FF0175"/>
    <w:rsid w:val="00FF0567"/>
    <w:rsid w:val="00FF08FD"/>
    <w:rsid w:val="00FF096E"/>
    <w:rsid w:val="00FF0A7A"/>
    <w:rsid w:val="00FF0AEF"/>
    <w:rsid w:val="00FF133B"/>
    <w:rsid w:val="00FF1BE3"/>
    <w:rsid w:val="00FF1C7A"/>
    <w:rsid w:val="00FF1FF8"/>
    <w:rsid w:val="00FF217E"/>
    <w:rsid w:val="00FF2FD3"/>
    <w:rsid w:val="00FF41F8"/>
    <w:rsid w:val="00FF4A19"/>
    <w:rsid w:val="00FF4CCF"/>
    <w:rsid w:val="00FF5B05"/>
    <w:rsid w:val="00FF6961"/>
    <w:rsid w:val="00FF7CCE"/>
    <w:rsid w:val="01290F7E"/>
    <w:rsid w:val="015D1E09"/>
    <w:rsid w:val="02697903"/>
    <w:rsid w:val="02F96569"/>
    <w:rsid w:val="03EA7B21"/>
    <w:rsid w:val="05F83EAE"/>
    <w:rsid w:val="063E7D85"/>
    <w:rsid w:val="07293586"/>
    <w:rsid w:val="07295285"/>
    <w:rsid w:val="07636392"/>
    <w:rsid w:val="07770C56"/>
    <w:rsid w:val="092217DD"/>
    <w:rsid w:val="093A7294"/>
    <w:rsid w:val="0A263993"/>
    <w:rsid w:val="0A2D3AC2"/>
    <w:rsid w:val="0A3B2465"/>
    <w:rsid w:val="0AA755DF"/>
    <w:rsid w:val="0B120D44"/>
    <w:rsid w:val="0BD27BF6"/>
    <w:rsid w:val="0BF858C2"/>
    <w:rsid w:val="0C3B3C7D"/>
    <w:rsid w:val="0CAB2EAE"/>
    <w:rsid w:val="0D621C7D"/>
    <w:rsid w:val="0E1B5270"/>
    <w:rsid w:val="0E73034D"/>
    <w:rsid w:val="0F13775A"/>
    <w:rsid w:val="0F5F45FE"/>
    <w:rsid w:val="0F9A112B"/>
    <w:rsid w:val="106D2F64"/>
    <w:rsid w:val="10B63710"/>
    <w:rsid w:val="10F10820"/>
    <w:rsid w:val="111C2F7A"/>
    <w:rsid w:val="11665CA1"/>
    <w:rsid w:val="13951726"/>
    <w:rsid w:val="14396509"/>
    <w:rsid w:val="14DD2C3C"/>
    <w:rsid w:val="16087E1D"/>
    <w:rsid w:val="16BA09BF"/>
    <w:rsid w:val="17701D14"/>
    <w:rsid w:val="17735226"/>
    <w:rsid w:val="189F624C"/>
    <w:rsid w:val="1A1C66C0"/>
    <w:rsid w:val="1A42393B"/>
    <w:rsid w:val="1AAD45DE"/>
    <w:rsid w:val="1B046F80"/>
    <w:rsid w:val="1B3267B5"/>
    <w:rsid w:val="1B40161D"/>
    <w:rsid w:val="1B441859"/>
    <w:rsid w:val="1B6606B1"/>
    <w:rsid w:val="1C5936D2"/>
    <w:rsid w:val="1C5E7925"/>
    <w:rsid w:val="1CD90113"/>
    <w:rsid w:val="1CFD070F"/>
    <w:rsid w:val="1D5F6196"/>
    <w:rsid w:val="1D6132A5"/>
    <w:rsid w:val="1D8E56D5"/>
    <w:rsid w:val="1E7A43DA"/>
    <w:rsid w:val="1F1C595D"/>
    <w:rsid w:val="1FE7539E"/>
    <w:rsid w:val="2040513D"/>
    <w:rsid w:val="20671BE0"/>
    <w:rsid w:val="20963CB8"/>
    <w:rsid w:val="20A81A1B"/>
    <w:rsid w:val="20B07FB6"/>
    <w:rsid w:val="20B646FB"/>
    <w:rsid w:val="21373521"/>
    <w:rsid w:val="213B74B1"/>
    <w:rsid w:val="215A2310"/>
    <w:rsid w:val="21DE318A"/>
    <w:rsid w:val="21EF5B80"/>
    <w:rsid w:val="22576990"/>
    <w:rsid w:val="22F47480"/>
    <w:rsid w:val="23DE1C48"/>
    <w:rsid w:val="240210CD"/>
    <w:rsid w:val="240D668E"/>
    <w:rsid w:val="24293D1D"/>
    <w:rsid w:val="248221CF"/>
    <w:rsid w:val="24BF09F7"/>
    <w:rsid w:val="252D53FE"/>
    <w:rsid w:val="25325D6A"/>
    <w:rsid w:val="25EC2D81"/>
    <w:rsid w:val="277057A2"/>
    <w:rsid w:val="277B7C02"/>
    <w:rsid w:val="27BB4208"/>
    <w:rsid w:val="28645BDB"/>
    <w:rsid w:val="29206EB8"/>
    <w:rsid w:val="29595666"/>
    <w:rsid w:val="296D5306"/>
    <w:rsid w:val="29874881"/>
    <w:rsid w:val="29B7625C"/>
    <w:rsid w:val="29E325E0"/>
    <w:rsid w:val="2A452503"/>
    <w:rsid w:val="2BA936A8"/>
    <w:rsid w:val="2C036885"/>
    <w:rsid w:val="2C315A5A"/>
    <w:rsid w:val="2C4B1C25"/>
    <w:rsid w:val="2D9E56F5"/>
    <w:rsid w:val="2E667F96"/>
    <w:rsid w:val="2E8226AB"/>
    <w:rsid w:val="2E9E34C2"/>
    <w:rsid w:val="2FD065E6"/>
    <w:rsid w:val="2FD96870"/>
    <w:rsid w:val="302254C6"/>
    <w:rsid w:val="30580BC9"/>
    <w:rsid w:val="311E2ED7"/>
    <w:rsid w:val="3152323C"/>
    <w:rsid w:val="315619EE"/>
    <w:rsid w:val="315C449C"/>
    <w:rsid w:val="31A044A3"/>
    <w:rsid w:val="31B82709"/>
    <w:rsid w:val="31D05482"/>
    <w:rsid w:val="31E4568E"/>
    <w:rsid w:val="31FF6A15"/>
    <w:rsid w:val="32400B34"/>
    <w:rsid w:val="326067DD"/>
    <w:rsid w:val="329E6876"/>
    <w:rsid w:val="3301564A"/>
    <w:rsid w:val="333015F2"/>
    <w:rsid w:val="334B6320"/>
    <w:rsid w:val="335835F0"/>
    <w:rsid w:val="33600AA7"/>
    <w:rsid w:val="336B1568"/>
    <w:rsid w:val="33D934D4"/>
    <w:rsid w:val="33FE2F6A"/>
    <w:rsid w:val="340E07E5"/>
    <w:rsid w:val="34235BF7"/>
    <w:rsid w:val="346016DE"/>
    <w:rsid w:val="358C5FA8"/>
    <w:rsid w:val="35C15DF1"/>
    <w:rsid w:val="36074A7F"/>
    <w:rsid w:val="367009B4"/>
    <w:rsid w:val="36923549"/>
    <w:rsid w:val="36B75FBF"/>
    <w:rsid w:val="36BD0C45"/>
    <w:rsid w:val="37361E1F"/>
    <w:rsid w:val="37C046DD"/>
    <w:rsid w:val="37E00298"/>
    <w:rsid w:val="38B302F9"/>
    <w:rsid w:val="38F12CD3"/>
    <w:rsid w:val="38F94775"/>
    <w:rsid w:val="392971ED"/>
    <w:rsid w:val="39325651"/>
    <w:rsid w:val="3A872856"/>
    <w:rsid w:val="3B3763D1"/>
    <w:rsid w:val="3B7C29BE"/>
    <w:rsid w:val="3C2F6E1E"/>
    <w:rsid w:val="3C4F64BA"/>
    <w:rsid w:val="3CB43575"/>
    <w:rsid w:val="3CDA245A"/>
    <w:rsid w:val="3D1E06B7"/>
    <w:rsid w:val="3EDA0523"/>
    <w:rsid w:val="403876D1"/>
    <w:rsid w:val="407A6407"/>
    <w:rsid w:val="4200449D"/>
    <w:rsid w:val="420507FA"/>
    <w:rsid w:val="423A3BCC"/>
    <w:rsid w:val="424E57D2"/>
    <w:rsid w:val="42B26C49"/>
    <w:rsid w:val="433A6FE6"/>
    <w:rsid w:val="43480868"/>
    <w:rsid w:val="4350713C"/>
    <w:rsid w:val="43633821"/>
    <w:rsid w:val="436653E0"/>
    <w:rsid w:val="43C4431A"/>
    <w:rsid w:val="44B951CC"/>
    <w:rsid w:val="44CD14E0"/>
    <w:rsid w:val="44F20B0B"/>
    <w:rsid w:val="452E5F4C"/>
    <w:rsid w:val="45612018"/>
    <w:rsid w:val="458946E9"/>
    <w:rsid w:val="45A47C0E"/>
    <w:rsid w:val="46577FD6"/>
    <w:rsid w:val="46D955A7"/>
    <w:rsid w:val="47133957"/>
    <w:rsid w:val="47A07E0C"/>
    <w:rsid w:val="483303C3"/>
    <w:rsid w:val="4870272E"/>
    <w:rsid w:val="49DC7715"/>
    <w:rsid w:val="4A023139"/>
    <w:rsid w:val="4A7B576F"/>
    <w:rsid w:val="4A84551D"/>
    <w:rsid w:val="4AF561A9"/>
    <w:rsid w:val="4C4A0649"/>
    <w:rsid w:val="4C574CB8"/>
    <w:rsid w:val="4C7E5ECA"/>
    <w:rsid w:val="4C876AA5"/>
    <w:rsid w:val="4C8B6DCD"/>
    <w:rsid w:val="4D0E00FB"/>
    <w:rsid w:val="4D176606"/>
    <w:rsid w:val="4DEC4FB0"/>
    <w:rsid w:val="4E075D8A"/>
    <w:rsid w:val="4E8F4DB4"/>
    <w:rsid w:val="4EC00FAD"/>
    <w:rsid w:val="4F9843DC"/>
    <w:rsid w:val="4FC62A8C"/>
    <w:rsid w:val="4FE20F0D"/>
    <w:rsid w:val="4FE51552"/>
    <w:rsid w:val="50504C4B"/>
    <w:rsid w:val="509C6E7C"/>
    <w:rsid w:val="50CB731F"/>
    <w:rsid w:val="5162104E"/>
    <w:rsid w:val="52201508"/>
    <w:rsid w:val="53A039CC"/>
    <w:rsid w:val="53A1505A"/>
    <w:rsid w:val="54063E08"/>
    <w:rsid w:val="543437E8"/>
    <w:rsid w:val="54F73313"/>
    <w:rsid w:val="54F80955"/>
    <w:rsid w:val="54FC7385"/>
    <w:rsid w:val="555170A7"/>
    <w:rsid w:val="5587536D"/>
    <w:rsid w:val="559B174B"/>
    <w:rsid w:val="55CE0CF4"/>
    <w:rsid w:val="56B22A9C"/>
    <w:rsid w:val="57B72A76"/>
    <w:rsid w:val="57C3426C"/>
    <w:rsid w:val="57CE1F93"/>
    <w:rsid w:val="588743D1"/>
    <w:rsid w:val="5887701A"/>
    <w:rsid w:val="59C0439F"/>
    <w:rsid w:val="5ABE2233"/>
    <w:rsid w:val="5BDF5D95"/>
    <w:rsid w:val="5BFE7528"/>
    <w:rsid w:val="5D4900CD"/>
    <w:rsid w:val="5D4C150B"/>
    <w:rsid w:val="5D975E3E"/>
    <w:rsid w:val="5E2467F1"/>
    <w:rsid w:val="5F1A2B43"/>
    <w:rsid w:val="5FB837BB"/>
    <w:rsid w:val="60CC405A"/>
    <w:rsid w:val="61E215D8"/>
    <w:rsid w:val="621B3775"/>
    <w:rsid w:val="62364782"/>
    <w:rsid w:val="62A4368A"/>
    <w:rsid w:val="63186930"/>
    <w:rsid w:val="6394356A"/>
    <w:rsid w:val="63C61B2C"/>
    <w:rsid w:val="63D40BE9"/>
    <w:rsid w:val="64102431"/>
    <w:rsid w:val="641B50AA"/>
    <w:rsid w:val="64A5243A"/>
    <w:rsid w:val="64F531DE"/>
    <w:rsid w:val="65373578"/>
    <w:rsid w:val="66F54451"/>
    <w:rsid w:val="671F124A"/>
    <w:rsid w:val="677A33C6"/>
    <w:rsid w:val="681F6961"/>
    <w:rsid w:val="68610A2F"/>
    <w:rsid w:val="68805514"/>
    <w:rsid w:val="69316E2F"/>
    <w:rsid w:val="694E2071"/>
    <w:rsid w:val="69766163"/>
    <w:rsid w:val="697A3B33"/>
    <w:rsid w:val="69D44760"/>
    <w:rsid w:val="6A520EC7"/>
    <w:rsid w:val="6AF87E20"/>
    <w:rsid w:val="6B322639"/>
    <w:rsid w:val="6C636C38"/>
    <w:rsid w:val="6D7010D8"/>
    <w:rsid w:val="6DB34098"/>
    <w:rsid w:val="6DB545B6"/>
    <w:rsid w:val="6DE02FB4"/>
    <w:rsid w:val="6DE42A9B"/>
    <w:rsid w:val="6E514CED"/>
    <w:rsid w:val="6E66182C"/>
    <w:rsid w:val="6EB563D5"/>
    <w:rsid w:val="6ED92677"/>
    <w:rsid w:val="6F225983"/>
    <w:rsid w:val="6FFC5590"/>
    <w:rsid w:val="706D1559"/>
    <w:rsid w:val="706D1DD0"/>
    <w:rsid w:val="70856B87"/>
    <w:rsid w:val="70D527EE"/>
    <w:rsid w:val="715B5300"/>
    <w:rsid w:val="71D27F8A"/>
    <w:rsid w:val="72070A1D"/>
    <w:rsid w:val="72553024"/>
    <w:rsid w:val="73122968"/>
    <w:rsid w:val="731F5D5E"/>
    <w:rsid w:val="73C51AD5"/>
    <w:rsid w:val="73CB04E9"/>
    <w:rsid w:val="741E793C"/>
    <w:rsid w:val="745E3944"/>
    <w:rsid w:val="74FA3A64"/>
    <w:rsid w:val="7635099D"/>
    <w:rsid w:val="77762421"/>
    <w:rsid w:val="77B56B1F"/>
    <w:rsid w:val="77D93491"/>
    <w:rsid w:val="780F09F4"/>
    <w:rsid w:val="78A90480"/>
    <w:rsid w:val="791304E5"/>
    <w:rsid w:val="79A74828"/>
    <w:rsid w:val="7A364017"/>
    <w:rsid w:val="7A8265E1"/>
    <w:rsid w:val="7B686D42"/>
    <w:rsid w:val="7B841746"/>
    <w:rsid w:val="7B9701F5"/>
    <w:rsid w:val="7C6B3A57"/>
    <w:rsid w:val="7C6C5AC7"/>
    <w:rsid w:val="7C717EF0"/>
    <w:rsid w:val="7CC6544B"/>
    <w:rsid w:val="7D0239FF"/>
    <w:rsid w:val="7D5E40CD"/>
    <w:rsid w:val="7DCD56F2"/>
    <w:rsid w:val="7DDD07D8"/>
    <w:rsid w:val="7F001CE7"/>
    <w:rsid w:val="7F7E0426"/>
    <w:rsid w:val="7FAE7925"/>
    <w:rsid w:val="7FE47E5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nhideWhenUsed="0" w:uiPriority="9" w:semiHidden="0" w:name="heading 6" w:locked="1"/>
    <w:lsdException w:qFormat="1" w:unhideWhenUsed="0" w:uiPriority="9" w:semiHidden="0" w:name="heading 7" w:locked="1"/>
    <w:lsdException w:qFormat="1" w:unhideWhenUsed="0" w:uiPriority="9" w:semiHidden="0" w:name="heading 8" w:locked="1"/>
    <w:lsdException w:qFormat="1" w:unhideWhenUsed="0" w:uiPriority="9" w:semiHidden="0" w:name="heading 9" w:locked="1"/>
    <w:lsdException w:qFormat="1" w:unhideWhenUsed="0" w:uiPriority="0" w:semiHidden="0" w:name="index 1" w:locked="1"/>
    <w:lsdException w:qFormat="1" w:unhideWhenUsed="0" w:uiPriority="0" w:semiHidden="0" w:name="index 2" w:locked="1"/>
    <w:lsdException w:qFormat="1" w:unhideWhenUsed="0" w:uiPriority="0" w:semiHidden="0" w:name="index 3" w:locked="1"/>
    <w:lsdException w:qFormat="1" w:unhideWhenUsed="0" w:uiPriority="0" w:semiHidden="0" w:name="index 4" w:locked="1"/>
    <w:lsdException w:qFormat="1" w:uiPriority="99" w:semiHidden="0" w:name="index 5" w:locked="1"/>
    <w:lsdException w:qFormat="1" w:unhideWhenUsed="0" w:uiPriority="0" w:semiHidden="0" w:name="index 6" w:locked="1"/>
    <w:lsdException w:qFormat="1" w:unhideWhenUsed="0" w:uiPriority="0" w:semiHidden="0" w:name="index 7" w:locked="1"/>
    <w:lsdException w:qFormat="1" w:unhideWhenUsed="0" w:uiPriority="0" w:semiHidden="0" w:name="index 8" w:locked="1"/>
    <w:lsdException w:qFormat="1" w:unhideWhenUsed="0" w:uiPriority="0" w:semiHidden="0" w:name="index 9" w:locked="1"/>
    <w:lsdException w:qFormat="1" w:unhideWhenUsed="0" w:uiPriority="39" w:semiHidden="0" w:name="toc 1" w:locked="1"/>
    <w:lsdException w:unhideWhenUsed="0" w:uiPriority="0" w:semiHidden="0" w:name="toc 2" w:locked="1"/>
    <w:lsdException w:qFormat="1" w:uiPriority="39" w:semiHidden="0" w:name="toc 3" w:locked="1"/>
    <w:lsdException w:qFormat="1" w:unhideWhenUsed="0" w:uiPriority="39" w:semiHidden="0" w:name="toc 4" w:locked="1"/>
    <w:lsdException w:qFormat="1" w:unhideWhenUsed="0" w:uiPriority="39" w:semiHidden="0" w:name="toc 5" w:locked="1"/>
    <w:lsdException w:unhideWhenUsed="0" w:uiPriority="0" w:semiHidden="0" w:name="toc 6" w:locked="1"/>
    <w:lsdException w:qFormat="1" w:unhideWhenUsed="0" w:uiPriority="39" w:semiHidden="0" w:name="toc 7" w:locked="1"/>
    <w:lsdException w:qFormat="1" w:unhideWhenUsed="0" w:uiPriority="39" w:semiHidden="0" w:name="toc 8" w:locked="1"/>
    <w:lsdException w:unhideWhenUsed="0" w:uiPriority="0" w:semiHidden="0" w:name="toc 9" w:locked="1"/>
    <w:lsdException w:qFormat="1" w:unhideWhenUsed="0" w:uiPriority="0" w:semiHidden="0" w:name="Normal Indent" w:locked="1"/>
    <w:lsdException w:qFormat="1"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nhideWhenUsed="0" w:uiPriority="0" w:semiHidden="0" w:name="caption" w:locked="1"/>
    <w:lsdException w:qFormat="1" w:unhideWhenUsed="0" w:uiPriority="0" w:semiHidden="0" w:name="table of figures" w:locked="1"/>
    <w:lsdException w:qFormat="1" w:unhideWhenUsed="0" w:uiPriority="0" w:semiHidden="0" w:name="envelope address" w:locked="1"/>
    <w:lsdException w:qFormat="1" w:unhideWhenUsed="0" w:uiPriority="0" w:semiHidden="0" w:name="envelope return" w:locked="1"/>
    <w:lsdException w:qFormat="1" w:unhideWhenUsed="0" w:uiPriority="0" w:semiHidden="0" w:name="footnote reference" w:locked="1"/>
    <w:lsdException w:qFormat="1" w:unhideWhenUsed="0" w:uiPriority="99" w:semiHidden="0" w:name="annotation reference"/>
    <w:lsdException w:qFormat="1" w:unhideWhenUsed="0" w:uiPriority="0" w:semiHidden="0" w:name="line number" w:locked="1"/>
    <w:lsdException w:qFormat="1" w:unhideWhenUsed="0" w:uiPriority="0" w:semiHidden="0" w:name="page number" w:locked="1"/>
    <w:lsdException w:qFormat="1" w:unhideWhenUsed="0" w:uiPriority="99" w:semiHidden="0" w:name="endnote reference" w:locked="1"/>
    <w:lsdException w:qFormat="1" w:unhideWhenUsed="0" w:uiPriority="99" w:semiHidden="0" w:name="endnote text" w:locked="1"/>
    <w:lsdException w:qFormat="1" w:unhideWhenUsed="0" w:uiPriority="0" w:semiHidden="0" w:name="table of authorities" w:locked="1"/>
    <w:lsdException w:qFormat="1" w:uiPriority="0" w:semiHidden="0" w:name="macro" w:locked="1"/>
    <w:lsdException w:qFormat="1" w:unhideWhenUsed="0" w:uiPriority="0" w:semiHidden="0" w:name="toa heading" w:locked="1"/>
    <w:lsdException w:qFormat="1" w:unhideWhenUsed="0" w:uiPriority="0" w:semiHidden="0" w:name="List" w:locked="1"/>
    <w:lsdException w:qFormat="1" w:unhideWhenUsed="0" w:uiPriority="0" w:semiHidden="0" w:name="List Bullet" w:locked="1"/>
    <w:lsdException w:qFormat="1" w:unhideWhenUsed="0" w:uiPriority="0" w:semiHidden="0" w:name="List Number" w:locked="1"/>
    <w:lsdException w:qFormat="1" w:unhideWhenUsed="0" w:uiPriority="0" w:semiHidden="0" w:name="List 2" w:locked="1"/>
    <w:lsdException w:qFormat="1" w:unhideWhenUsed="0" w:uiPriority="0" w:semiHidden="0" w:name="List 3" w:locked="1"/>
    <w:lsdException w:qFormat="1" w:unhideWhenUsed="0" w:uiPriority="0" w:semiHidden="0" w:name="List 4" w:locked="1"/>
    <w:lsdException w:qFormat="1" w:unhideWhenUsed="0" w:uiPriority="0" w:semiHidden="0" w:name="List 5" w:locked="1"/>
    <w:lsdException w:qFormat="1" w:unhideWhenUsed="0" w:uiPriority="0" w:semiHidden="0" w:name="List Bullet 2" w:locked="1"/>
    <w:lsdException w:qFormat="1" w:unhideWhenUsed="0" w:uiPriority="0" w:semiHidden="0" w:name="List Bullet 3" w:locked="1"/>
    <w:lsdException w:qFormat="1" w:unhideWhenUsed="0" w:uiPriority="0" w:semiHidden="0" w:name="List Bullet 4" w:locked="1"/>
    <w:lsdException w:qFormat="1" w:unhideWhenUsed="0" w:uiPriority="0" w:semiHidden="0" w:name="List Bullet 5" w:locked="1"/>
    <w:lsdException w:qFormat="1" w:unhideWhenUsed="0" w:uiPriority="0" w:semiHidden="0" w:name="List Number 2" w:locked="1"/>
    <w:lsdException w:qFormat="1" w:unhideWhenUsed="0" w:uiPriority="0" w:semiHidden="0" w:name="List Number 3" w:locked="1"/>
    <w:lsdException w:qFormat="1" w:unhideWhenUsed="0" w:uiPriority="0" w:semiHidden="0" w:name="List Number 4" w:locked="1"/>
    <w:lsdException w:qFormat="1" w:unhideWhenUsed="0" w:uiPriority="0" w:semiHidden="0" w:name="List Number 5" w:locked="1"/>
    <w:lsdException w:qFormat="1" w:unhideWhenUsed="0" w:uiPriority="0" w:semiHidden="0" w:name="Title" w:locked="1"/>
    <w:lsdException w:qFormat="1" w:unhideWhenUsed="0" w:uiPriority="0" w:semiHidden="0" w:name="Closing" w:locked="1"/>
    <w:lsdException w:qFormat="1"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ocked="1"/>
    <w:lsdException w:qFormat="1" w:unhideWhenUsed="0" w:uiPriority="0" w:semiHidden="0" w:name="List Continue 2" w:locked="1"/>
    <w:lsdException w:qFormat="1" w:unhideWhenUsed="0" w:uiPriority="0" w:semiHidden="0" w:name="List Continue 3" w:locked="1"/>
    <w:lsdException w:qFormat="1" w:unhideWhenUsed="0" w:uiPriority="0" w:semiHidden="0" w:name="List Continue 4" w:locked="1"/>
    <w:lsdException w:qFormat="1" w:unhideWhenUsed="0" w:uiPriority="0" w:semiHidden="0" w:name="List Continue 5" w:locked="1"/>
    <w:lsdException w:qFormat="1" w:unhideWhenUsed="0" w:uiPriority="0" w:semiHidden="0" w:name="Message Header" w:locked="1"/>
    <w:lsdException w:qFormat="1" w:unhideWhenUsed="0" w:uiPriority="11"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qFormat="1" w:uiPriority="0" w:semiHidden="0" w:name="Body Text 2" w:locked="1"/>
    <w:lsdException w:qFormat="1" w:uiPriority="0" w:semiHidden="0" w:name="Body Text 3" w:locked="1"/>
    <w:lsdException w:qFormat="1" w:uiPriority="0" w:semiHidden="0" w:name="Body Text Indent 2" w:locked="1"/>
    <w:lsdException w:qFormat="1" w:uiPriority="0" w:semiHidden="0" w:name="Body Text Indent 3" w:locked="1"/>
    <w:lsdException w:qFormat="1" w:unhideWhenUsed="0" w:uiPriority="0" w:semiHidden="0" w:name="Block Text" w:locked="1"/>
    <w:lsdException w:qFormat="1" w:uiPriority="99" w:semiHidden="0" w:name="Hyperlink" w:locked="1"/>
    <w:lsdException w:qFormat="1" w:uiPriority="0" w:semiHidden="0" w:name="FollowedHyperlink" w:locked="1"/>
    <w:lsdException w:qFormat="1" w:unhideWhenUsed="0" w:uiPriority="0" w:semiHidden="0" w:name="Strong" w:locked="1"/>
    <w:lsdException w:qFormat="1" w:unhideWhenUsed="0" w:uiPriority="0" w:semiHidden="0" w:name="Emphasis" w:locked="1"/>
    <w:lsdException w:qFormat="1" w:uiPriority="0" w:semiHidden="0" w:name="Document Map" w:locked="1"/>
    <w:lsdException w:qFormat="1" w:unhideWhenUsed="0" w:uiPriority="0" w:semiHidden="0" w:name="Plain Text" w:locked="1"/>
    <w:lsdException w:qFormat="1" w:unhideWhenUsed="0" w:uiPriority="0" w:semiHidden="0" w:name="E-mail Signature" w:locked="1"/>
    <w:lsdException w:qFormat="1" w:unhideWhenUsed="0" w:uiPriority="99" w:semiHidden="0" w:name="Normal (Web)"/>
    <w:lsdException w:qFormat="1" w:unhideWhenUsed="0" w:uiPriority="0" w:semiHidden="0" w:name="HTML Acronym" w:locked="1"/>
    <w:lsdException w:qFormat="1" w:unhideWhenUsed="0" w:uiPriority="0" w:semiHidden="0" w:name="HTML Address" w:locked="1"/>
    <w:lsdException w:qFormat="1" w:unhideWhenUsed="0" w:uiPriority="0" w:semiHidden="0" w:name="HTML Cite" w:locked="1"/>
    <w:lsdException w:qFormat="1" w:unhideWhenUsed="0" w:uiPriority="0" w:semiHidden="0" w:name="HTML Code" w:locked="1"/>
    <w:lsdException w:qFormat="1" w:unhideWhenUsed="0" w:uiPriority="0" w:semiHidden="0" w:name="HTML Definition" w:locked="1"/>
    <w:lsdException w:qFormat="1" w:unhideWhenUsed="0" w:uiPriority="0" w:semiHidden="0" w:name="HTML Keyboard" w:locked="1"/>
    <w:lsdException w:qFormat="1" w:uiPriority="0" w:semiHidden="0" w:name="HTML Preformatted" w:locked="1"/>
    <w:lsdException w:qFormat="1" w:unhideWhenUsed="0" w:uiPriority="0" w:semiHidden="0" w:name="HTML Sample" w:locked="1"/>
    <w:lsdException w:qFormat="1" w:unhideWhenUsed="0" w:uiPriority="0" w:semiHidden="0" w:name="HTML Typewriter" w:locked="1"/>
    <w:lsdException w:qFormat="1" w:unhideWhenUsed="0" w:uiPriority="0" w:semiHidden="0" w:name="HTML Variable" w:locked="1"/>
    <w:lsdException w:qFormat="1" w:uiPriority="99" w:name="Normal Table"/>
    <w:lsdException w:qFormat="1" w:unhideWhenUsed="0" w:uiPriority="0" w:semiHidden="0" w:name="annotation subject"/>
    <w:lsdException w:qFormat="1" w:unhideWhenUsed="0" w:uiPriority="0" w:semiHidden="0" w:name="Table Simple 1" w:locked="1"/>
    <w:lsdException w:qFormat="1" w:unhideWhenUsed="0" w:uiPriority="0" w:semiHidden="0" w:name="Table Simple 2" w:locked="1"/>
    <w:lsdException w:qFormat="1" w:unhideWhenUsed="0" w:uiPriority="0" w:semiHidden="0" w:name="Table Simple 3" w:locked="1"/>
    <w:lsdException w:qFormat="1" w:unhideWhenUsed="0" w:uiPriority="0" w:semiHidden="0" w:name="Table Classic 1" w:locked="1"/>
    <w:lsdException w:qFormat="1" w:unhideWhenUsed="0" w:uiPriority="0" w:semiHidden="0" w:name="Table Classic 2" w:locked="1"/>
    <w:lsdException w:qFormat="1" w:unhideWhenUsed="0" w:uiPriority="0" w:semiHidden="0" w:name="Table Classic 3" w:locked="1"/>
    <w:lsdException w:qFormat="1" w:unhideWhenUsed="0" w:uiPriority="0" w:semiHidden="0" w:name="Table Classic 4" w:locked="1"/>
    <w:lsdException w:uiPriority="0" w:name="Table Colorful 1" w:locked="1"/>
    <w:lsdException w:qFormat="1" w:unhideWhenUsed="0" w:uiPriority="0" w:semiHidden="0" w:name="Table Colorful 2" w:locked="1"/>
    <w:lsdException w:qFormat="1" w:unhideWhenUsed="0" w:uiPriority="0" w:semiHidden="0" w:name="Table Colorful 3" w:locked="1"/>
    <w:lsdException w:qFormat="1" w:unhideWhenUsed="0" w:uiPriority="0" w:semiHidden="0" w:name="Table Columns 1" w:locked="1"/>
    <w:lsdException w:qFormat="1" w:unhideWhenUsed="0" w:uiPriority="0" w:semiHidden="0" w:name="Table Columns 2" w:locked="1"/>
    <w:lsdException w:qFormat="1" w:unhideWhenUsed="0" w:uiPriority="0" w:semiHidden="0" w:name="Table Columns 3" w:locked="1"/>
    <w:lsdException w:qFormat="1" w:unhideWhenUsed="0" w:uiPriority="0" w:semiHidden="0" w:name="Table Columns 4" w:locked="1"/>
    <w:lsdException w:qFormat="1" w:unhideWhenUsed="0" w:uiPriority="0" w:semiHidden="0" w:name="Table Columns 5" w:locked="1"/>
    <w:lsdException w:qFormat="1" w:unhideWhenUsed="0" w:uiPriority="0" w:semiHidden="0" w:name="Table Grid 1" w:locked="1"/>
    <w:lsdException w:qFormat="1" w:unhideWhenUsed="0" w:uiPriority="0" w:semiHidden="0" w:name="Table Grid 2" w:locked="1"/>
    <w:lsdException w:qFormat="1" w:unhideWhenUsed="0" w:uiPriority="0" w:semiHidden="0" w:name="Table Grid 3" w:locked="1"/>
    <w:lsdException w:qFormat="1" w:unhideWhenUsed="0" w:uiPriority="0" w:semiHidden="0" w:name="Table Grid 4" w:locked="1"/>
    <w:lsdException w:qFormat="1" w:unhideWhenUsed="0" w:uiPriority="0" w:semiHidden="0" w:name="Table Grid 5" w:locked="1"/>
    <w:lsdException w:qFormat="1" w:unhideWhenUsed="0" w:uiPriority="0" w:semiHidden="0" w:name="Table Grid 6" w:locked="1"/>
    <w:lsdException w:qFormat="1" w:unhideWhenUsed="0" w:uiPriority="0" w:semiHidden="0" w:name="Table Grid 7" w:locked="1"/>
    <w:lsdException w:qFormat="1" w:unhideWhenUsed="0" w:uiPriority="0" w:semiHidden="0" w:name="Table Grid 8" w:locked="1"/>
    <w:lsdException w:qFormat="1" w:unhideWhenUsed="0" w:uiPriority="0" w:semiHidden="0" w:name="Table List 1" w:locked="1"/>
    <w:lsdException w:qFormat="1" w:unhideWhenUsed="0" w:uiPriority="0" w:semiHidden="0" w:name="Table List 2" w:locked="1"/>
    <w:lsdException w:qFormat="1" w:unhideWhenUsed="0" w:uiPriority="0" w:semiHidden="0" w:name="Table List 3" w:locked="1"/>
    <w:lsdException w:qFormat="1" w:unhideWhenUsed="0" w:uiPriority="0" w:semiHidden="0" w:name="Table List 4" w:locked="1"/>
    <w:lsdException w:qFormat="1" w:unhideWhenUsed="0" w:uiPriority="0" w:semiHidden="0" w:name="Table List 5" w:locked="1"/>
    <w:lsdException w:qFormat="1" w:unhideWhenUsed="0" w:uiPriority="0" w:semiHidden="0" w:name="Table List 6" w:locked="1"/>
    <w:lsdException w:qFormat="1" w:unhideWhenUsed="0" w:uiPriority="0" w:semiHidden="0" w:name="Table List 7" w:locked="1"/>
    <w:lsdException w:qFormat="1" w:unhideWhenUsed="0" w:uiPriority="0" w:semiHidden="0" w:name="Table List 8" w:locked="1"/>
    <w:lsdException w:uiPriority="0" w:name="Table 3D effects 1" w:locked="1"/>
    <w:lsdException w:uiPriority="0" w:name="Table 3D effects 2" w:locked="1"/>
    <w:lsdException w:uiPriority="0" w:name="Table 3D effects 3" w:locked="1"/>
    <w:lsdException w:qFormat="1" w:unhideWhenUsed="0" w:uiPriority="0" w:semiHidden="0" w:name="Table Contemporary" w:locked="1"/>
    <w:lsdException w:qFormat="1" w:unhideWhenUsed="0" w:uiPriority="0" w:semiHidden="0" w:name="Table Elegant" w:locked="1"/>
    <w:lsdException w:qFormat="1" w:unhideWhenUsed="0" w:uiPriority="0" w:semiHidden="0" w:name="Table Professional" w:locked="1"/>
    <w:lsdException w:qFormat="1" w:unhideWhenUsed="0" w:uiPriority="0" w:semiHidden="0" w:name="Table Subtle 1" w:locked="1"/>
    <w:lsdException w:qFormat="1" w:unhideWhenUsed="0" w:uiPriority="0" w:semiHidden="0" w:name="Table Subtle 2" w:locked="1"/>
    <w:lsdException w:qFormat="1" w:unhideWhenUsed="0" w:uiPriority="0" w:semiHidden="0" w:name="Table Web 1" w:locked="1"/>
    <w:lsdException w:qFormat="1" w:unhideWhenUsed="0" w:uiPriority="0" w:semiHidden="0" w:name="Table Web 2" w:locked="1"/>
    <w:lsdException w:qFormat="1" w:unhideWhenUsed="0" w:uiPriority="0" w:semiHidden="0" w:name="Table Web 3" w:locked="1"/>
    <w:lsdException w:qFormat="1" w:unhideWhenUsed="0" w:uiPriority="99" w:semiHidden="0" w:name="Balloon Text"/>
    <w:lsdException w:qFormat="1" w:unhideWhenUsed="0" w:uiPriority="0" w:semiHidden="0" w:name="Table Grid"/>
    <w:lsdException w:qFormat="1" w:unhideWhenUsed="0" w:uiPriority="0" w:semiHidden="0" w:name="Table Theme" w:locked="1"/>
    <w:lsdException w:qFormat="1" w:uiPriority="99"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Calibri"/>
      <w:kern w:val="2"/>
      <w:sz w:val="21"/>
      <w:szCs w:val="24"/>
      <w:lang w:val="en-US" w:eastAsia="zh-CN" w:bidi="ar-SA"/>
    </w:rPr>
  </w:style>
  <w:style w:type="paragraph" w:styleId="5">
    <w:name w:val="heading 1"/>
    <w:basedOn w:val="1"/>
    <w:next w:val="1"/>
    <w:link w:val="141"/>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link w:val="142"/>
    <w:qFormat/>
    <w:locked/>
    <w:uiPriority w:val="0"/>
    <w:pPr>
      <w:keepNext/>
      <w:keepLines/>
      <w:spacing w:before="260" w:after="260" w:line="416" w:lineRule="auto"/>
      <w:outlineLvl w:val="1"/>
    </w:pPr>
    <w:rPr>
      <w:rFonts w:ascii="等线 Light" w:hAnsi="等线 Light" w:eastAsia="等线 Light"/>
      <w:b/>
      <w:bCs/>
      <w:sz w:val="32"/>
      <w:szCs w:val="32"/>
    </w:rPr>
  </w:style>
  <w:style w:type="paragraph" w:styleId="7">
    <w:name w:val="heading 3"/>
    <w:basedOn w:val="1"/>
    <w:next w:val="1"/>
    <w:link w:val="143"/>
    <w:qFormat/>
    <w:locked/>
    <w:uiPriority w:val="0"/>
    <w:pPr>
      <w:keepNext/>
      <w:keepLines/>
      <w:widowControl/>
      <w:adjustRightInd w:val="0"/>
      <w:snapToGrid w:val="0"/>
      <w:spacing w:before="260" w:after="260" w:line="416" w:lineRule="auto"/>
      <w:jc w:val="left"/>
      <w:outlineLvl w:val="2"/>
    </w:pPr>
    <w:rPr>
      <w:rFonts w:ascii="Symusic" w:hAnsi="Symusic"/>
      <w:b/>
      <w:bCs/>
      <w:sz w:val="32"/>
      <w:szCs w:val="32"/>
      <w:lang w:val="zh-CN"/>
    </w:rPr>
  </w:style>
  <w:style w:type="paragraph" w:styleId="8">
    <w:name w:val="heading 4"/>
    <w:basedOn w:val="1"/>
    <w:next w:val="1"/>
    <w:link w:val="144"/>
    <w:qFormat/>
    <w:locked/>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9">
    <w:name w:val="heading 5"/>
    <w:basedOn w:val="1"/>
    <w:next w:val="1"/>
    <w:link w:val="145"/>
    <w:qFormat/>
    <w:locked/>
    <w:uiPriority w:val="0"/>
    <w:pPr>
      <w:keepNext/>
      <w:keepLines/>
      <w:numPr>
        <w:ilvl w:val="4"/>
        <w:numId w:val="1"/>
      </w:numPr>
      <w:snapToGrid w:val="0"/>
      <w:spacing w:line="480" w:lineRule="atLeast"/>
      <w:ind w:firstLine="0"/>
      <w:outlineLvl w:val="4"/>
    </w:pPr>
    <w:rPr>
      <w:bCs/>
      <w:kern w:val="24"/>
      <w:sz w:val="24"/>
    </w:rPr>
  </w:style>
  <w:style w:type="paragraph" w:styleId="10">
    <w:name w:val="heading 6"/>
    <w:basedOn w:val="1"/>
    <w:next w:val="1"/>
    <w:link w:val="146"/>
    <w:qFormat/>
    <w:locked/>
    <w:uiPriority w:val="9"/>
    <w:pPr>
      <w:keepNext/>
      <w:keepLines/>
      <w:numPr>
        <w:ilvl w:val="5"/>
        <w:numId w:val="1"/>
      </w:numPr>
      <w:snapToGrid w:val="0"/>
      <w:spacing w:line="480" w:lineRule="atLeast"/>
      <w:ind w:firstLine="0"/>
      <w:outlineLvl w:val="5"/>
    </w:pPr>
    <w:rPr>
      <w:rFonts w:ascii="Arial" w:hAnsi="Arial"/>
      <w:bCs/>
      <w:kern w:val="24"/>
      <w:sz w:val="24"/>
    </w:rPr>
  </w:style>
  <w:style w:type="paragraph" w:styleId="11">
    <w:name w:val="heading 7"/>
    <w:basedOn w:val="1"/>
    <w:next w:val="1"/>
    <w:link w:val="147"/>
    <w:qFormat/>
    <w:locked/>
    <w:uiPriority w:val="9"/>
    <w:pPr>
      <w:keepNext/>
      <w:keepLines/>
      <w:numPr>
        <w:ilvl w:val="6"/>
        <w:numId w:val="1"/>
      </w:numPr>
      <w:snapToGrid w:val="0"/>
      <w:spacing w:line="500" w:lineRule="atLeast"/>
      <w:ind w:firstLine="0"/>
      <w:outlineLvl w:val="6"/>
    </w:pPr>
    <w:rPr>
      <w:bCs/>
      <w:kern w:val="24"/>
      <w:sz w:val="24"/>
    </w:rPr>
  </w:style>
  <w:style w:type="paragraph" w:styleId="12">
    <w:name w:val="heading 8"/>
    <w:basedOn w:val="1"/>
    <w:next w:val="1"/>
    <w:link w:val="148"/>
    <w:qFormat/>
    <w:locked/>
    <w:uiPriority w:val="9"/>
    <w:pPr>
      <w:keepNext/>
      <w:keepLines/>
      <w:numPr>
        <w:ilvl w:val="7"/>
        <w:numId w:val="1"/>
      </w:numPr>
      <w:snapToGrid w:val="0"/>
      <w:spacing w:line="500" w:lineRule="atLeast"/>
      <w:ind w:firstLine="0"/>
      <w:outlineLvl w:val="7"/>
    </w:pPr>
    <w:rPr>
      <w:rFonts w:ascii="Arial" w:hAnsi="Arial"/>
      <w:bCs/>
      <w:kern w:val="24"/>
      <w:sz w:val="24"/>
    </w:rPr>
  </w:style>
  <w:style w:type="paragraph" w:styleId="13">
    <w:name w:val="heading 9"/>
    <w:basedOn w:val="1"/>
    <w:next w:val="1"/>
    <w:link w:val="149"/>
    <w:qFormat/>
    <w:locked/>
    <w:uiPriority w:val="9"/>
    <w:pPr>
      <w:keepNext/>
      <w:keepLines/>
      <w:numPr>
        <w:ilvl w:val="8"/>
        <w:numId w:val="1"/>
      </w:numPr>
      <w:snapToGrid w:val="0"/>
      <w:spacing w:line="500" w:lineRule="atLeast"/>
      <w:ind w:firstLine="0"/>
      <w:outlineLvl w:val="8"/>
    </w:pPr>
    <w:rPr>
      <w:rFonts w:ascii="Arial" w:hAnsi="Arial"/>
      <w:bCs/>
      <w:kern w:val="24"/>
      <w:sz w:val="24"/>
    </w:rPr>
  </w:style>
  <w:style w:type="character" w:default="1" w:styleId="122">
    <w:name w:val="Default Paragraph Font"/>
    <w:semiHidden/>
    <w:unhideWhenUsed/>
    <w:qFormat/>
    <w:uiPriority w:val="1"/>
  </w:style>
  <w:style w:type="table" w:default="1" w:styleId="81">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3"/>
    <w:link w:val="153"/>
    <w:qFormat/>
    <w:uiPriority w:val="0"/>
    <w:pPr>
      <w:widowControl w:val="0"/>
      <w:suppressAutoHyphens/>
      <w:autoSpaceDE w:val="0"/>
      <w:autoSpaceDN w:val="0"/>
      <w:textAlignment w:val="baseline"/>
    </w:pPr>
    <w:rPr>
      <w:rFonts w:ascii="宋体" w:hAnsi="宋体" w:eastAsia="宋体" w:cs="宋体"/>
      <w:color w:val="000000"/>
      <w:sz w:val="24"/>
      <w:szCs w:val="24"/>
      <w:lang w:val="en-US" w:eastAsia="zh-CN" w:bidi="ar-SA"/>
    </w:rPr>
  </w:style>
  <w:style w:type="paragraph" w:styleId="3">
    <w:name w:val="List 3"/>
    <w:basedOn w:val="1"/>
    <w:next w:val="1"/>
    <w:link w:val="150"/>
    <w:qFormat/>
    <w:locked/>
    <w:uiPriority w:val="0"/>
    <w:pPr>
      <w:ind w:left="100" w:leftChars="400" w:hanging="200" w:hangingChars="200"/>
      <w:contextualSpacing/>
    </w:pPr>
  </w:style>
  <w:style w:type="paragraph" w:styleId="4">
    <w:name w:val="macro"/>
    <w:link w:val="140"/>
    <w:unhideWhenUsed/>
    <w:qFormat/>
    <w:locked/>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480" w:firstLineChars="200"/>
    </w:pPr>
    <w:rPr>
      <w:rFonts w:ascii="Courier New" w:hAnsi="Courier New" w:eastAsia="宋体" w:cs="Courier New"/>
      <w:kern w:val="2"/>
      <w:sz w:val="24"/>
      <w:szCs w:val="24"/>
      <w:lang w:val="en-US" w:eastAsia="zh-CN" w:bidi="ar-SA"/>
    </w:rPr>
  </w:style>
  <w:style w:type="paragraph" w:styleId="14">
    <w:name w:val="List Number 2"/>
    <w:basedOn w:val="1"/>
    <w:qFormat/>
    <w:locked/>
    <w:uiPriority w:val="0"/>
    <w:pPr>
      <w:tabs>
        <w:tab w:val="left" w:pos="1032"/>
      </w:tabs>
      <w:ind w:left="1032" w:hanging="840"/>
    </w:pPr>
    <w:rPr>
      <w:rFonts w:ascii="Arial Narrow" w:hAnsi="Arial Narrow" w:eastAsia="仿宋_GB2312"/>
      <w:sz w:val="24"/>
    </w:rPr>
  </w:style>
  <w:style w:type="paragraph" w:styleId="15">
    <w:name w:val="table of authorities"/>
    <w:basedOn w:val="1"/>
    <w:next w:val="1"/>
    <w:qFormat/>
    <w:locked/>
    <w:uiPriority w:val="0"/>
    <w:pPr>
      <w:ind w:left="420"/>
    </w:pPr>
    <w:rPr>
      <w:rFonts w:ascii="宋体" w:hAnsi="宋体"/>
      <w:color w:val="000000"/>
      <w:kern w:val="0"/>
      <w:szCs w:val="20"/>
    </w:rPr>
  </w:style>
  <w:style w:type="paragraph" w:styleId="16">
    <w:name w:val="Note Heading"/>
    <w:basedOn w:val="1"/>
    <w:next w:val="1"/>
    <w:link w:val="151"/>
    <w:qFormat/>
    <w:locked/>
    <w:uiPriority w:val="0"/>
    <w:pPr>
      <w:jc w:val="center"/>
    </w:pPr>
    <w:rPr>
      <w:rFonts w:ascii="Arial Narrow" w:hAnsi="Arial Narrow" w:eastAsia="仿宋_GB2312"/>
      <w:sz w:val="24"/>
    </w:rPr>
  </w:style>
  <w:style w:type="paragraph" w:styleId="17">
    <w:name w:val="List Bullet 4"/>
    <w:basedOn w:val="1"/>
    <w:qFormat/>
    <w:locked/>
    <w:uiPriority w:val="0"/>
    <w:pPr>
      <w:tabs>
        <w:tab w:val="left" w:pos="432"/>
      </w:tabs>
      <w:ind w:left="432" w:hanging="432"/>
    </w:pPr>
    <w:rPr>
      <w:rFonts w:ascii="Arial Narrow" w:hAnsi="Arial Narrow" w:eastAsia="仿宋_GB2312"/>
      <w:sz w:val="24"/>
    </w:rPr>
  </w:style>
  <w:style w:type="paragraph" w:styleId="18">
    <w:name w:val="index 8"/>
    <w:basedOn w:val="1"/>
    <w:next w:val="1"/>
    <w:qFormat/>
    <w:locked/>
    <w:uiPriority w:val="0"/>
    <w:pPr>
      <w:spacing w:line="300" w:lineRule="auto"/>
      <w:ind w:left="1400" w:leftChars="1400"/>
    </w:pPr>
    <w:rPr>
      <w:rFonts w:ascii="Arial Narrow" w:hAnsi="Arial Narrow" w:eastAsia="仿宋_GB2312"/>
      <w:sz w:val="24"/>
    </w:rPr>
  </w:style>
  <w:style w:type="paragraph" w:styleId="19">
    <w:name w:val="E-mail Signature"/>
    <w:basedOn w:val="1"/>
    <w:link w:val="152"/>
    <w:qFormat/>
    <w:locked/>
    <w:uiPriority w:val="0"/>
  </w:style>
  <w:style w:type="paragraph" w:styleId="20">
    <w:name w:val="List Number"/>
    <w:basedOn w:val="1"/>
    <w:qFormat/>
    <w:locked/>
    <w:uiPriority w:val="0"/>
    <w:pPr>
      <w:tabs>
        <w:tab w:val="left" w:pos="0"/>
      </w:tabs>
      <w:ind w:left="425" w:hanging="425"/>
    </w:pPr>
    <w:rPr>
      <w:rFonts w:ascii="Arial Narrow" w:hAnsi="Arial Narrow" w:eastAsia="仿宋_GB2312"/>
      <w:sz w:val="24"/>
    </w:rPr>
  </w:style>
  <w:style w:type="paragraph" w:styleId="21">
    <w:name w:val="Normal Indent"/>
    <w:basedOn w:val="2"/>
    <w:next w:val="2"/>
    <w:link w:val="154"/>
    <w:qFormat/>
    <w:locked/>
    <w:uiPriority w:val="0"/>
    <w:pPr>
      <w:keepNext/>
      <w:spacing w:line="400" w:lineRule="exact"/>
      <w:ind w:firstLine="560"/>
      <w:jc w:val="center"/>
    </w:pPr>
    <w:rPr>
      <w:bCs/>
    </w:rPr>
  </w:style>
  <w:style w:type="paragraph" w:styleId="22">
    <w:name w:val="caption"/>
    <w:basedOn w:val="1"/>
    <w:next w:val="1"/>
    <w:link w:val="155"/>
    <w:qFormat/>
    <w:locked/>
    <w:uiPriority w:val="0"/>
    <w:pPr>
      <w:snapToGrid w:val="0"/>
      <w:spacing w:line="360" w:lineRule="auto"/>
      <w:jc w:val="center"/>
    </w:pPr>
    <w:rPr>
      <w:rFonts w:ascii="黑体" w:hAnsi="宋体" w:eastAsia="黑体" w:cs="Arial"/>
      <w:sz w:val="24"/>
    </w:rPr>
  </w:style>
  <w:style w:type="paragraph" w:styleId="23">
    <w:name w:val="index 5"/>
    <w:basedOn w:val="1"/>
    <w:next w:val="1"/>
    <w:unhideWhenUsed/>
    <w:qFormat/>
    <w:locked/>
    <w:uiPriority w:val="99"/>
    <w:pPr>
      <w:spacing w:line="360" w:lineRule="auto"/>
      <w:ind w:left="800" w:leftChars="800"/>
    </w:pPr>
    <w:rPr>
      <w:sz w:val="28"/>
    </w:rPr>
  </w:style>
  <w:style w:type="paragraph" w:styleId="24">
    <w:name w:val="List Bullet"/>
    <w:basedOn w:val="1"/>
    <w:qFormat/>
    <w:locked/>
    <w:uiPriority w:val="0"/>
    <w:pPr>
      <w:tabs>
        <w:tab w:val="left" w:pos="1416"/>
      </w:tabs>
      <w:ind w:left="1416" w:hanging="720"/>
    </w:pPr>
    <w:rPr>
      <w:rFonts w:ascii="Arial Narrow" w:hAnsi="Arial Narrow" w:eastAsia="仿宋_GB2312"/>
      <w:sz w:val="24"/>
    </w:rPr>
  </w:style>
  <w:style w:type="paragraph" w:styleId="25">
    <w:name w:val="envelope address"/>
    <w:basedOn w:val="1"/>
    <w:qFormat/>
    <w:locked/>
    <w:uiPriority w:val="0"/>
    <w:pPr>
      <w:framePr w:w="7920" w:h="1980" w:hRule="exact" w:hSpace="180" w:wrap="around" w:vAnchor="margin" w:hAnchor="page" w:xAlign="center" w:yAlign="bottom"/>
      <w:snapToGrid w:val="0"/>
      <w:ind w:left="100" w:leftChars="1400"/>
    </w:pPr>
    <w:rPr>
      <w:rFonts w:ascii="Arial" w:hAnsi="Arial" w:cs="Arial"/>
      <w:sz w:val="24"/>
    </w:rPr>
  </w:style>
  <w:style w:type="paragraph" w:styleId="26">
    <w:name w:val="Document Map"/>
    <w:basedOn w:val="1"/>
    <w:link w:val="156"/>
    <w:unhideWhenUsed/>
    <w:qFormat/>
    <w:locked/>
    <w:uiPriority w:val="0"/>
    <w:rPr>
      <w:rFonts w:ascii="宋体"/>
      <w:sz w:val="24"/>
    </w:rPr>
  </w:style>
  <w:style w:type="paragraph" w:styleId="27">
    <w:name w:val="toa heading"/>
    <w:basedOn w:val="1"/>
    <w:next w:val="1"/>
    <w:qFormat/>
    <w:locked/>
    <w:uiPriority w:val="0"/>
    <w:pPr>
      <w:spacing w:before="120"/>
    </w:pPr>
    <w:rPr>
      <w:rFonts w:ascii="Arial" w:hAnsi="Arial" w:cs="Arial"/>
      <w:sz w:val="24"/>
    </w:rPr>
  </w:style>
  <w:style w:type="paragraph" w:styleId="28">
    <w:name w:val="annotation text"/>
    <w:basedOn w:val="1"/>
    <w:link w:val="157"/>
    <w:qFormat/>
    <w:uiPriority w:val="0"/>
    <w:pPr>
      <w:jc w:val="left"/>
    </w:pPr>
    <w:rPr>
      <w:kern w:val="0"/>
      <w:sz w:val="24"/>
      <w:szCs w:val="20"/>
    </w:rPr>
  </w:style>
  <w:style w:type="paragraph" w:styleId="29">
    <w:name w:val="index 6"/>
    <w:basedOn w:val="1"/>
    <w:next w:val="1"/>
    <w:qFormat/>
    <w:locked/>
    <w:uiPriority w:val="0"/>
    <w:pPr>
      <w:spacing w:line="300" w:lineRule="auto"/>
      <w:ind w:left="1000" w:leftChars="1000"/>
    </w:pPr>
    <w:rPr>
      <w:rFonts w:ascii="Arial Narrow" w:hAnsi="Arial Narrow" w:eastAsia="仿宋_GB2312"/>
      <w:sz w:val="24"/>
    </w:rPr>
  </w:style>
  <w:style w:type="paragraph" w:styleId="30">
    <w:name w:val="Salutation"/>
    <w:basedOn w:val="1"/>
    <w:next w:val="1"/>
    <w:link w:val="158"/>
    <w:qFormat/>
    <w:locked/>
    <w:uiPriority w:val="0"/>
    <w:pPr>
      <w:autoSpaceDE w:val="0"/>
      <w:autoSpaceDN w:val="0"/>
      <w:adjustRightInd w:val="0"/>
      <w:snapToGrid w:val="0"/>
      <w:spacing w:line="300" w:lineRule="auto"/>
      <w:ind w:firstLine="480" w:firstLineChars="200"/>
    </w:pPr>
    <w:rPr>
      <w:rFonts w:ascii="仿宋_GB2312" w:hAnsi="宋体" w:eastAsia="仿宋_GB2312" w:cs="宋体"/>
    </w:rPr>
  </w:style>
  <w:style w:type="paragraph" w:styleId="31">
    <w:name w:val="Body Text 3"/>
    <w:basedOn w:val="1"/>
    <w:link w:val="159"/>
    <w:unhideWhenUsed/>
    <w:qFormat/>
    <w:locked/>
    <w:uiPriority w:val="0"/>
    <w:pPr>
      <w:spacing w:after="120"/>
    </w:pPr>
    <w:rPr>
      <w:sz w:val="16"/>
      <w:szCs w:val="16"/>
    </w:rPr>
  </w:style>
  <w:style w:type="paragraph" w:styleId="32">
    <w:name w:val="Closing"/>
    <w:basedOn w:val="1"/>
    <w:link w:val="160"/>
    <w:qFormat/>
    <w:locked/>
    <w:uiPriority w:val="0"/>
    <w:pPr>
      <w:ind w:left="100" w:leftChars="2100"/>
    </w:pPr>
  </w:style>
  <w:style w:type="paragraph" w:styleId="33">
    <w:name w:val="List Bullet 3"/>
    <w:basedOn w:val="1"/>
    <w:qFormat/>
    <w:locked/>
    <w:uiPriority w:val="0"/>
    <w:pPr>
      <w:tabs>
        <w:tab w:val="left" w:pos="1416"/>
      </w:tabs>
      <w:autoSpaceDE w:val="0"/>
      <w:autoSpaceDN w:val="0"/>
      <w:adjustRightInd w:val="0"/>
      <w:ind w:left="1416" w:hanging="720"/>
      <w:jc w:val="left"/>
      <w:textAlignment w:val="baseline"/>
    </w:pPr>
    <w:rPr>
      <w:kern w:val="0"/>
      <w:sz w:val="20"/>
      <w:szCs w:val="20"/>
    </w:rPr>
  </w:style>
  <w:style w:type="paragraph" w:styleId="34">
    <w:name w:val="Body Text"/>
    <w:basedOn w:val="1"/>
    <w:next w:val="1"/>
    <w:link w:val="161"/>
    <w:qFormat/>
    <w:uiPriority w:val="0"/>
    <w:pPr>
      <w:widowControl/>
      <w:snapToGrid w:val="0"/>
      <w:spacing w:before="60" w:after="160" w:line="259" w:lineRule="auto"/>
      <w:ind w:right="113"/>
    </w:pPr>
    <w:rPr>
      <w:kern w:val="0"/>
      <w:sz w:val="18"/>
      <w:szCs w:val="20"/>
    </w:rPr>
  </w:style>
  <w:style w:type="paragraph" w:styleId="35">
    <w:name w:val="Body Text Indent"/>
    <w:basedOn w:val="1"/>
    <w:link w:val="162"/>
    <w:qFormat/>
    <w:uiPriority w:val="0"/>
    <w:pPr>
      <w:spacing w:after="120"/>
      <w:ind w:left="420" w:leftChars="200"/>
    </w:pPr>
    <w:rPr>
      <w:kern w:val="0"/>
      <w:sz w:val="24"/>
      <w:szCs w:val="20"/>
    </w:rPr>
  </w:style>
  <w:style w:type="paragraph" w:styleId="36">
    <w:name w:val="List Number 3"/>
    <w:basedOn w:val="1"/>
    <w:qFormat/>
    <w:locked/>
    <w:uiPriority w:val="0"/>
    <w:pPr>
      <w:tabs>
        <w:tab w:val="left" w:pos="720"/>
      </w:tabs>
      <w:ind w:left="720" w:hanging="720"/>
    </w:pPr>
    <w:rPr>
      <w:rFonts w:ascii="Arial Narrow" w:hAnsi="Arial Narrow" w:eastAsia="仿宋_GB2312"/>
      <w:sz w:val="24"/>
    </w:rPr>
  </w:style>
  <w:style w:type="paragraph" w:styleId="37">
    <w:name w:val="List 2"/>
    <w:basedOn w:val="1"/>
    <w:qFormat/>
    <w:locked/>
    <w:uiPriority w:val="0"/>
    <w:pPr>
      <w:ind w:left="100" w:leftChars="200" w:hanging="200" w:hangingChars="200"/>
    </w:pPr>
  </w:style>
  <w:style w:type="paragraph" w:styleId="38">
    <w:name w:val="List Continue"/>
    <w:basedOn w:val="1"/>
    <w:qFormat/>
    <w:locked/>
    <w:uiPriority w:val="0"/>
    <w:pPr>
      <w:ind w:left="420" w:leftChars="200"/>
    </w:pPr>
  </w:style>
  <w:style w:type="paragraph" w:styleId="39">
    <w:name w:val="Block Text"/>
    <w:basedOn w:val="1"/>
    <w:link w:val="163"/>
    <w:qFormat/>
    <w:locked/>
    <w:uiPriority w:val="0"/>
    <w:pPr>
      <w:spacing w:line="360" w:lineRule="auto"/>
      <w:ind w:left="720" w:right="-334" w:hanging="720"/>
    </w:pPr>
    <w:rPr>
      <w:sz w:val="24"/>
      <w:szCs w:val="20"/>
    </w:rPr>
  </w:style>
  <w:style w:type="paragraph" w:styleId="40">
    <w:name w:val="List Bullet 2"/>
    <w:basedOn w:val="1"/>
    <w:next w:val="41"/>
    <w:qFormat/>
    <w:locked/>
    <w:uiPriority w:val="0"/>
    <w:pPr>
      <w:adjustRightInd w:val="0"/>
      <w:jc w:val="center"/>
      <w:textAlignment w:val="baseline"/>
    </w:pPr>
    <w:rPr>
      <w:color w:val="FF0000"/>
      <w:kern w:val="0"/>
      <w:sz w:val="22"/>
      <w:szCs w:val="22"/>
    </w:rPr>
  </w:style>
  <w:style w:type="paragraph" w:styleId="41">
    <w:name w:val="Body Text First Indent"/>
    <w:basedOn w:val="34"/>
    <w:link w:val="164"/>
    <w:qFormat/>
    <w:locked/>
    <w:uiPriority w:val="0"/>
    <w:pPr>
      <w:widowControl w:val="0"/>
      <w:snapToGrid/>
      <w:spacing w:before="0" w:after="120" w:line="240" w:lineRule="auto"/>
      <w:ind w:right="0" w:firstLine="420" w:firstLineChars="100"/>
    </w:pPr>
    <w:rPr>
      <w:kern w:val="2"/>
      <w:sz w:val="21"/>
    </w:rPr>
  </w:style>
  <w:style w:type="paragraph" w:styleId="42">
    <w:name w:val="HTML Address"/>
    <w:basedOn w:val="1"/>
    <w:link w:val="165"/>
    <w:qFormat/>
    <w:locked/>
    <w:uiPriority w:val="0"/>
    <w:rPr>
      <w:i/>
      <w:iCs/>
    </w:rPr>
  </w:style>
  <w:style w:type="paragraph" w:styleId="43">
    <w:name w:val="index 4"/>
    <w:basedOn w:val="1"/>
    <w:next w:val="1"/>
    <w:qFormat/>
    <w:locked/>
    <w:uiPriority w:val="0"/>
    <w:pPr>
      <w:spacing w:line="300" w:lineRule="auto"/>
      <w:ind w:left="600" w:leftChars="600"/>
    </w:pPr>
    <w:rPr>
      <w:rFonts w:ascii="Arial Narrow" w:hAnsi="Arial Narrow" w:eastAsia="仿宋_GB2312"/>
      <w:sz w:val="24"/>
    </w:rPr>
  </w:style>
  <w:style w:type="paragraph" w:styleId="44">
    <w:name w:val="toc 3"/>
    <w:basedOn w:val="1"/>
    <w:next w:val="1"/>
    <w:unhideWhenUsed/>
    <w:qFormat/>
    <w:locked/>
    <w:uiPriority w:val="39"/>
    <w:pPr>
      <w:spacing w:beforeLines="10" w:afterLines="10" w:line="360" w:lineRule="auto"/>
      <w:ind w:left="420" w:firstLine="200" w:firstLineChars="200"/>
      <w:jc w:val="left"/>
    </w:pPr>
    <w:rPr>
      <w:rFonts w:eastAsia="等线"/>
      <w:i/>
      <w:iCs/>
      <w:sz w:val="20"/>
      <w:szCs w:val="20"/>
    </w:rPr>
  </w:style>
  <w:style w:type="paragraph" w:styleId="45">
    <w:name w:val="Plain Text"/>
    <w:basedOn w:val="1"/>
    <w:link w:val="166"/>
    <w:qFormat/>
    <w:locked/>
    <w:uiPriority w:val="0"/>
    <w:pPr>
      <w:suppressAutoHyphens/>
      <w:autoSpaceDN w:val="0"/>
      <w:textAlignment w:val="baseline"/>
    </w:pPr>
    <w:rPr>
      <w:rFonts w:ascii="宋体" w:hAnsi="宋体"/>
      <w:kern w:val="3"/>
      <w:szCs w:val="20"/>
    </w:rPr>
  </w:style>
  <w:style w:type="paragraph" w:styleId="46">
    <w:name w:val="List Bullet 5"/>
    <w:basedOn w:val="1"/>
    <w:qFormat/>
    <w:locked/>
    <w:uiPriority w:val="0"/>
    <w:pPr>
      <w:tabs>
        <w:tab w:val="left" w:pos="2040"/>
      </w:tabs>
      <w:spacing w:line="400" w:lineRule="exact"/>
      <w:ind w:left="2040" w:hanging="360" w:firstLineChars="200"/>
    </w:pPr>
    <w:rPr>
      <w:bCs/>
      <w:sz w:val="24"/>
      <w:szCs w:val="20"/>
    </w:rPr>
  </w:style>
  <w:style w:type="paragraph" w:styleId="47">
    <w:name w:val="List Number 4"/>
    <w:basedOn w:val="1"/>
    <w:qFormat/>
    <w:locked/>
    <w:uiPriority w:val="0"/>
    <w:pPr>
      <w:tabs>
        <w:tab w:val="left" w:pos="1416"/>
      </w:tabs>
      <w:ind w:left="1416" w:hanging="720"/>
    </w:pPr>
    <w:rPr>
      <w:rFonts w:ascii="Arial Narrow" w:hAnsi="Arial Narrow" w:eastAsia="仿宋_GB2312"/>
      <w:sz w:val="24"/>
    </w:rPr>
  </w:style>
  <w:style w:type="paragraph" w:styleId="48">
    <w:name w:val="index 3"/>
    <w:basedOn w:val="1"/>
    <w:next w:val="1"/>
    <w:qFormat/>
    <w:locked/>
    <w:uiPriority w:val="0"/>
    <w:pPr>
      <w:widowControl/>
      <w:spacing w:line="360" w:lineRule="auto"/>
      <w:jc w:val="center"/>
    </w:pPr>
    <w:rPr>
      <w:rFonts w:ascii="仿宋_GB2312" w:hAnsi="宋体" w:eastAsia="仿宋_GB2312" w:cs="宋体"/>
      <w:color w:val="FF0000"/>
      <w:kern w:val="0"/>
      <w:sz w:val="28"/>
    </w:rPr>
  </w:style>
  <w:style w:type="paragraph" w:styleId="49">
    <w:name w:val="Date"/>
    <w:basedOn w:val="1"/>
    <w:next w:val="1"/>
    <w:link w:val="167"/>
    <w:qFormat/>
    <w:uiPriority w:val="0"/>
    <w:pPr>
      <w:ind w:left="100" w:leftChars="2500"/>
    </w:pPr>
    <w:rPr>
      <w:kern w:val="0"/>
      <w:sz w:val="24"/>
      <w:szCs w:val="20"/>
    </w:rPr>
  </w:style>
  <w:style w:type="paragraph" w:styleId="50">
    <w:name w:val="Body Text Indent 2"/>
    <w:basedOn w:val="1"/>
    <w:link w:val="168"/>
    <w:unhideWhenUsed/>
    <w:qFormat/>
    <w:locked/>
    <w:uiPriority w:val="0"/>
    <w:pPr>
      <w:spacing w:after="120" w:line="480" w:lineRule="auto"/>
      <w:ind w:left="420" w:leftChars="200"/>
    </w:pPr>
    <w:rPr>
      <w:szCs w:val="20"/>
    </w:rPr>
  </w:style>
  <w:style w:type="paragraph" w:styleId="51">
    <w:name w:val="endnote text"/>
    <w:basedOn w:val="1"/>
    <w:link w:val="169"/>
    <w:qFormat/>
    <w:locked/>
    <w:uiPriority w:val="99"/>
    <w:pPr>
      <w:snapToGrid w:val="0"/>
      <w:jc w:val="left"/>
    </w:pPr>
  </w:style>
  <w:style w:type="paragraph" w:styleId="52">
    <w:name w:val="List Continue 5"/>
    <w:basedOn w:val="1"/>
    <w:qFormat/>
    <w:locked/>
    <w:uiPriority w:val="0"/>
    <w:pPr>
      <w:ind w:left="2100" w:leftChars="1000"/>
    </w:pPr>
  </w:style>
  <w:style w:type="paragraph" w:styleId="53">
    <w:name w:val="Balloon Text"/>
    <w:basedOn w:val="1"/>
    <w:link w:val="170"/>
    <w:qFormat/>
    <w:uiPriority w:val="99"/>
    <w:rPr>
      <w:kern w:val="0"/>
      <w:sz w:val="18"/>
      <w:szCs w:val="20"/>
    </w:rPr>
  </w:style>
  <w:style w:type="paragraph" w:styleId="54">
    <w:name w:val="footer"/>
    <w:basedOn w:val="1"/>
    <w:link w:val="171"/>
    <w:qFormat/>
    <w:uiPriority w:val="99"/>
    <w:pPr>
      <w:tabs>
        <w:tab w:val="center" w:pos="4153"/>
        <w:tab w:val="right" w:pos="8306"/>
      </w:tabs>
      <w:snapToGrid w:val="0"/>
      <w:jc w:val="left"/>
    </w:pPr>
    <w:rPr>
      <w:kern w:val="0"/>
      <w:sz w:val="18"/>
      <w:szCs w:val="20"/>
    </w:rPr>
  </w:style>
  <w:style w:type="paragraph" w:styleId="55">
    <w:name w:val="envelope return"/>
    <w:basedOn w:val="1"/>
    <w:qFormat/>
    <w:locked/>
    <w:uiPriority w:val="0"/>
    <w:pPr>
      <w:snapToGrid w:val="0"/>
    </w:pPr>
    <w:rPr>
      <w:rFonts w:ascii="Arial" w:hAnsi="Arial" w:cs="Arial"/>
    </w:rPr>
  </w:style>
  <w:style w:type="paragraph" w:styleId="56">
    <w:name w:val="header"/>
    <w:basedOn w:val="1"/>
    <w:link w:val="172"/>
    <w:qFormat/>
    <w:uiPriority w:val="0"/>
    <w:pPr>
      <w:pBdr>
        <w:bottom w:val="single" w:color="auto" w:sz="6" w:space="1"/>
      </w:pBdr>
      <w:tabs>
        <w:tab w:val="center" w:pos="4153"/>
        <w:tab w:val="right" w:pos="8306"/>
      </w:tabs>
      <w:snapToGrid w:val="0"/>
      <w:jc w:val="center"/>
    </w:pPr>
    <w:rPr>
      <w:kern w:val="0"/>
      <w:sz w:val="18"/>
      <w:szCs w:val="20"/>
    </w:rPr>
  </w:style>
  <w:style w:type="paragraph" w:styleId="57">
    <w:name w:val="Signature"/>
    <w:basedOn w:val="1"/>
    <w:link w:val="173"/>
    <w:qFormat/>
    <w:locked/>
    <w:uiPriority w:val="0"/>
    <w:pPr>
      <w:ind w:left="100" w:leftChars="2100"/>
    </w:pPr>
  </w:style>
  <w:style w:type="paragraph" w:styleId="58">
    <w:name w:val="toc 1"/>
    <w:basedOn w:val="1"/>
    <w:next w:val="1"/>
    <w:qFormat/>
    <w:locked/>
    <w:uiPriority w:val="39"/>
  </w:style>
  <w:style w:type="paragraph" w:styleId="59">
    <w:name w:val="List Continue 4"/>
    <w:basedOn w:val="1"/>
    <w:qFormat/>
    <w:locked/>
    <w:uiPriority w:val="0"/>
    <w:pPr>
      <w:ind w:left="1680" w:leftChars="800"/>
    </w:pPr>
  </w:style>
  <w:style w:type="paragraph" w:styleId="60">
    <w:name w:val="index heading"/>
    <w:basedOn w:val="1"/>
    <w:next w:val="61"/>
    <w:qFormat/>
    <w:locked/>
    <w:uiPriority w:val="0"/>
    <w:pPr>
      <w:spacing w:line="300" w:lineRule="auto"/>
    </w:pPr>
    <w:rPr>
      <w:rFonts w:ascii="Arial Narrow" w:hAnsi="Arial Narrow" w:eastAsia="仿宋_GB2312"/>
      <w:sz w:val="24"/>
    </w:rPr>
  </w:style>
  <w:style w:type="paragraph" w:styleId="61">
    <w:name w:val="index 1"/>
    <w:basedOn w:val="1"/>
    <w:next w:val="1"/>
    <w:qFormat/>
    <w:locked/>
    <w:uiPriority w:val="0"/>
  </w:style>
  <w:style w:type="paragraph" w:styleId="62">
    <w:name w:val="Subtitle"/>
    <w:basedOn w:val="1"/>
    <w:next w:val="1"/>
    <w:link w:val="174"/>
    <w:qFormat/>
    <w:locked/>
    <w:uiPriority w:val="11"/>
    <w:pPr>
      <w:spacing w:before="240" w:after="60" w:line="312" w:lineRule="auto"/>
      <w:jc w:val="center"/>
      <w:outlineLvl w:val="1"/>
    </w:pPr>
    <w:rPr>
      <w:rFonts w:ascii="Cambria" w:hAnsi="Cambria"/>
      <w:b/>
      <w:bCs/>
      <w:kern w:val="28"/>
      <w:sz w:val="32"/>
      <w:szCs w:val="32"/>
    </w:rPr>
  </w:style>
  <w:style w:type="paragraph" w:styleId="63">
    <w:name w:val="List Number 5"/>
    <w:basedOn w:val="1"/>
    <w:qFormat/>
    <w:locked/>
    <w:uiPriority w:val="0"/>
    <w:pPr>
      <w:tabs>
        <w:tab w:val="left" w:pos="1416"/>
      </w:tabs>
      <w:ind w:left="1416" w:hanging="720"/>
    </w:pPr>
    <w:rPr>
      <w:rFonts w:ascii="Arial Narrow" w:hAnsi="Arial Narrow" w:eastAsia="仿宋_GB2312"/>
      <w:sz w:val="24"/>
    </w:rPr>
  </w:style>
  <w:style w:type="paragraph" w:styleId="64">
    <w:name w:val="List"/>
    <w:basedOn w:val="1"/>
    <w:link w:val="175"/>
    <w:qFormat/>
    <w:locked/>
    <w:uiPriority w:val="0"/>
    <w:pPr>
      <w:ind w:left="200" w:hanging="200" w:hangingChars="200"/>
    </w:pPr>
  </w:style>
  <w:style w:type="paragraph" w:styleId="65">
    <w:name w:val="footnote text"/>
    <w:basedOn w:val="1"/>
    <w:link w:val="176"/>
    <w:qFormat/>
    <w:locked/>
    <w:uiPriority w:val="0"/>
    <w:pPr>
      <w:snapToGrid w:val="0"/>
      <w:spacing w:line="300" w:lineRule="auto"/>
      <w:jc w:val="left"/>
    </w:pPr>
    <w:rPr>
      <w:rFonts w:ascii="Arial Narrow" w:hAnsi="Arial Narrow" w:eastAsia="仿宋_GB2312"/>
      <w:sz w:val="18"/>
      <w:szCs w:val="18"/>
    </w:rPr>
  </w:style>
  <w:style w:type="paragraph" w:styleId="66">
    <w:name w:val="List 5"/>
    <w:basedOn w:val="1"/>
    <w:qFormat/>
    <w:locked/>
    <w:uiPriority w:val="0"/>
    <w:pPr>
      <w:ind w:left="100" w:leftChars="800" w:hanging="200" w:hangingChars="200"/>
    </w:pPr>
  </w:style>
  <w:style w:type="paragraph" w:styleId="67">
    <w:name w:val="Body Text Indent 3"/>
    <w:basedOn w:val="1"/>
    <w:link w:val="177"/>
    <w:unhideWhenUsed/>
    <w:qFormat/>
    <w:locked/>
    <w:uiPriority w:val="0"/>
    <w:pPr>
      <w:spacing w:after="120"/>
      <w:ind w:left="420" w:leftChars="200"/>
    </w:pPr>
    <w:rPr>
      <w:sz w:val="16"/>
      <w:szCs w:val="16"/>
    </w:rPr>
  </w:style>
  <w:style w:type="paragraph" w:styleId="68">
    <w:name w:val="index 7"/>
    <w:basedOn w:val="1"/>
    <w:next w:val="1"/>
    <w:qFormat/>
    <w:locked/>
    <w:uiPriority w:val="0"/>
    <w:pPr>
      <w:spacing w:line="300" w:lineRule="auto"/>
      <w:ind w:left="1200" w:leftChars="1200"/>
    </w:pPr>
    <w:rPr>
      <w:rFonts w:ascii="Arial Narrow" w:hAnsi="Arial Narrow" w:eastAsia="仿宋_GB2312"/>
      <w:sz w:val="24"/>
    </w:rPr>
  </w:style>
  <w:style w:type="paragraph" w:styleId="69">
    <w:name w:val="index 9"/>
    <w:basedOn w:val="1"/>
    <w:next w:val="1"/>
    <w:qFormat/>
    <w:locked/>
    <w:uiPriority w:val="0"/>
    <w:pPr>
      <w:spacing w:line="300" w:lineRule="auto"/>
      <w:ind w:left="1600" w:leftChars="1600"/>
    </w:pPr>
    <w:rPr>
      <w:rFonts w:ascii="Arial Narrow" w:hAnsi="Arial Narrow" w:eastAsia="仿宋_GB2312"/>
      <w:sz w:val="24"/>
    </w:rPr>
  </w:style>
  <w:style w:type="paragraph" w:styleId="70">
    <w:name w:val="table of figures"/>
    <w:basedOn w:val="1"/>
    <w:next w:val="1"/>
    <w:qFormat/>
    <w:locked/>
    <w:uiPriority w:val="0"/>
    <w:pPr>
      <w:ind w:left="840" w:leftChars="200" w:hanging="420" w:hangingChars="200"/>
    </w:pPr>
    <w:rPr>
      <w:szCs w:val="20"/>
    </w:rPr>
  </w:style>
  <w:style w:type="paragraph" w:styleId="71">
    <w:name w:val="Body Text 2"/>
    <w:basedOn w:val="1"/>
    <w:link w:val="178"/>
    <w:unhideWhenUsed/>
    <w:qFormat/>
    <w:locked/>
    <w:uiPriority w:val="0"/>
    <w:pPr>
      <w:spacing w:after="120" w:line="480" w:lineRule="auto"/>
    </w:pPr>
    <w:rPr>
      <w:szCs w:val="20"/>
    </w:rPr>
  </w:style>
  <w:style w:type="paragraph" w:styleId="72">
    <w:name w:val="List 4"/>
    <w:basedOn w:val="1"/>
    <w:qFormat/>
    <w:locked/>
    <w:uiPriority w:val="0"/>
    <w:pPr>
      <w:ind w:left="100" w:leftChars="600" w:hanging="200" w:hangingChars="200"/>
    </w:pPr>
  </w:style>
  <w:style w:type="paragraph" w:styleId="73">
    <w:name w:val="List Continue 2"/>
    <w:basedOn w:val="1"/>
    <w:qFormat/>
    <w:locked/>
    <w:uiPriority w:val="0"/>
    <w:pPr>
      <w:ind w:left="840" w:leftChars="400"/>
    </w:pPr>
  </w:style>
  <w:style w:type="paragraph" w:styleId="74">
    <w:name w:val="Message Header"/>
    <w:basedOn w:val="1"/>
    <w:link w:val="179"/>
    <w:qFormat/>
    <w:locked/>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rPr>
  </w:style>
  <w:style w:type="paragraph" w:styleId="75">
    <w:name w:val="HTML Preformatted"/>
    <w:basedOn w:val="1"/>
    <w:link w:val="180"/>
    <w:unhideWhenUsed/>
    <w:qFormat/>
    <w:locked/>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76">
    <w:name w:val="Normal (Web)"/>
    <w:basedOn w:val="1"/>
    <w:link w:val="181"/>
    <w:qFormat/>
    <w:uiPriority w:val="99"/>
    <w:pPr>
      <w:widowControl/>
      <w:spacing w:before="100" w:beforeAutospacing="1" w:after="100" w:afterAutospacing="1"/>
      <w:jc w:val="left"/>
    </w:pPr>
    <w:rPr>
      <w:rFonts w:ascii="宋体" w:hAnsi="宋体"/>
      <w:kern w:val="0"/>
      <w:sz w:val="24"/>
      <w:szCs w:val="20"/>
    </w:rPr>
  </w:style>
  <w:style w:type="paragraph" w:styleId="77">
    <w:name w:val="List Continue 3"/>
    <w:basedOn w:val="1"/>
    <w:qFormat/>
    <w:locked/>
    <w:uiPriority w:val="0"/>
    <w:pPr>
      <w:spacing w:after="120" w:line="400" w:lineRule="exact"/>
      <w:ind w:left="1260" w:leftChars="600" w:firstLine="200" w:firstLineChars="200"/>
    </w:pPr>
    <w:rPr>
      <w:bCs/>
      <w:sz w:val="24"/>
      <w:szCs w:val="20"/>
    </w:rPr>
  </w:style>
  <w:style w:type="paragraph" w:styleId="78">
    <w:name w:val="index 2"/>
    <w:basedOn w:val="1"/>
    <w:next w:val="1"/>
    <w:qFormat/>
    <w:locked/>
    <w:uiPriority w:val="0"/>
    <w:pPr>
      <w:widowControl/>
      <w:spacing w:line="360" w:lineRule="auto"/>
      <w:ind w:left="-43" w:leftChars="-21" w:hanging="1"/>
      <w:jc w:val="left"/>
    </w:pPr>
    <w:rPr>
      <w:rFonts w:ascii="仿宋_GB2312" w:hAnsi="宋体" w:eastAsia="仿宋_GB2312" w:cs="宋体"/>
      <w:kern w:val="0"/>
      <w:sz w:val="28"/>
    </w:rPr>
  </w:style>
  <w:style w:type="paragraph" w:styleId="79">
    <w:name w:val="Title"/>
    <w:basedOn w:val="1"/>
    <w:next w:val="1"/>
    <w:link w:val="182"/>
    <w:qFormat/>
    <w:locked/>
    <w:uiPriority w:val="0"/>
    <w:pPr>
      <w:adjustRightInd w:val="0"/>
      <w:snapToGrid w:val="0"/>
      <w:spacing w:before="120" w:beforeLines="50"/>
      <w:jc w:val="center"/>
    </w:pPr>
    <w:rPr>
      <w:bCs/>
      <w:spacing w:val="8"/>
      <w:sz w:val="24"/>
    </w:rPr>
  </w:style>
  <w:style w:type="paragraph" w:styleId="80">
    <w:name w:val="annotation subject"/>
    <w:basedOn w:val="28"/>
    <w:next w:val="28"/>
    <w:link w:val="183"/>
    <w:qFormat/>
    <w:uiPriority w:val="0"/>
    <w:rPr>
      <w:b/>
    </w:rPr>
  </w:style>
  <w:style w:type="table" w:styleId="82">
    <w:name w:val="Table Grid"/>
    <w:basedOn w:val="8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3">
    <w:name w:val="Table Theme"/>
    <w:basedOn w:val="81"/>
    <w:qFormat/>
    <w:locked/>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4">
    <w:name w:val="Table Colorful 2"/>
    <w:basedOn w:val="81"/>
    <w:qFormat/>
    <w:locked/>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top w:val="nil"/>
          <w:left w:val="single" w:color="000000" w:sz="12" w:space="0"/>
          <w:bottom w:val="nil"/>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85">
    <w:name w:val="Table Colorful 3"/>
    <w:basedOn w:val="81"/>
    <w:qFormat/>
    <w:locked/>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top w:val="nil"/>
          <w:left w:val="single" w:color="000000" w:sz="6" w:space="0"/>
          <w:bottom w:val="nil"/>
          <w:right w:val="nil"/>
          <w:insideH w:val="nil"/>
          <w:insideV w:val="nil"/>
          <w:tl2br w:val="nil"/>
          <w:tr2bl w:val="nil"/>
        </w:tcBorders>
        <w:shd w:val="solid" w:color="008080" w:fill="FFFFFF"/>
      </w:tcPr>
    </w:tblStylePr>
    <w:tblStylePr w:type="firstCol">
      <w:tblPr/>
      <w:tcPr>
        <w:tcBorders>
          <w:top w:val="nil"/>
          <w:left w:val="nil"/>
          <w:bottom w:val="single" w:color="000000" w:sz="36" w:space="0"/>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86">
    <w:name w:val="Table Elegant"/>
    <w:basedOn w:val="81"/>
    <w:qFormat/>
    <w:locked/>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87">
    <w:name w:val="Table Classic 1"/>
    <w:basedOn w:val="81"/>
    <w:qFormat/>
    <w:locked/>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88">
    <w:name w:val="Table Classic 2"/>
    <w:basedOn w:val="81"/>
    <w:qFormat/>
    <w:locked/>
    <w:uiPriority w:val="0"/>
    <w:pPr>
      <w:widowControl w:val="0"/>
      <w:jc w:val="both"/>
    </w:pPr>
    <w:tblPr>
      <w:tblBorders>
        <w:top w:val="single" w:color="000000" w:sz="12" w:space="0"/>
        <w:bottom w:val="single" w:color="000000" w:sz="12" w:space="0"/>
      </w:tblBorders>
    </w:tblPr>
    <w:tcPr>
      <w:shd w:val="clear" w:color="auto" w:fill="auto"/>
    </w:tcPr>
    <w:tblStylePr w:type="firstRow">
      <w:rPr>
        <w:color w:val="FFFFFF"/>
      </w:rPr>
      <w:tblPr/>
      <w:tcPr>
        <w:tcBorders>
          <w:top w:val="nil"/>
          <w:left w:val="single" w:color="000000" w:sz="6" w:space="0"/>
          <w:bottom w:val="nil"/>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89">
    <w:name w:val="Table Classic 3"/>
    <w:basedOn w:val="81"/>
    <w:qFormat/>
    <w:locked/>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top w:val="nil"/>
          <w:left w:val="single" w:color="000000" w:sz="6" w:space="0"/>
          <w:bottom w:val="nil"/>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90">
    <w:name w:val="Table Classic 4"/>
    <w:basedOn w:val="81"/>
    <w:qFormat/>
    <w:locked/>
    <w:uiPriority w:val="0"/>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top w:val="nil"/>
          <w:left w:val="single" w:color="000000" w:sz="6" w:space="0"/>
          <w:bottom w:val="nil"/>
          <w:right w:val="nil"/>
          <w:insideH w:val="nil"/>
          <w:insideV w:val="nil"/>
          <w:tl2br w:val="nil"/>
          <w:tr2bl w:val="nil"/>
        </w:tcBorders>
        <w:shd w:val="pct50" w:color="000080" w:fill="FFFFFF"/>
      </w:tcPr>
    </w:tblStylePr>
    <w:tblStylePr w:type="lastRow">
      <w:rPr>
        <w:color w:val="000080"/>
      </w:rPr>
      <w:tblPr/>
      <w:tcPr>
        <w:tcBorders>
          <w:top w:val="nil"/>
          <w:left w:val="single" w:color="000000" w:sz="6" w:space="0"/>
          <w:bottom w:val="nil"/>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1">
    <w:name w:val="Table Simple 1"/>
    <w:basedOn w:val="81"/>
    <w:qFormat/>
    <w:locked/>
    <w:uiPriority w:val="0"/>
    <w:pPr>
      <w:widowControl w:val="0"/>
      <w:adjustRightInd w:val="0"/>
      <w:textAlignment w:val="baseline"/>
    </w:pPr>
    <w:tblPr>
      <w:tblBorders>
        <w:top w:val="single" w:color="008000" w:sz="12" w:space="0"/>
        <w:bottom w:val="single" w:color="008000" w:sz="12" w:space="0"/>
      </w:tblBorders>
    </w:tblPr>
    <w:tcPr>
      <w:shd w:val="clear" w:color="auto" w:fill="auto"/>
    </w:tcPr>
    <w:tblStylePr w:type="firstRow">
      <w:tblPr/>
      <w:tcPr>
        <w:tcBorders>
          <w:top w:val="nil"/>
          <w:left w:val="single" w:color="008000" w:sz="6" w:space="0"/>
          <w:bottom w:val="nil"/>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92">
    <w:name w:val="Table Simple 2"/>
    <w:basedOn w:val="81"/>
    <w:qFormat/>
    <w:locked/>
    <w:uiPriority w:val="0"/>
    <w:pPr>
      <w:widowControl w:val="0"/>
      <w:jc w:val="both"/>
    </w:pPr>
    <w:tblPr/>
    <w:tblStylePr w:type="firstRow">
      <w:rPr>
        <w:b/>
        <w:bCs/>
      </w:rPr>
      <w:tblPr/>
      <w:tcPr>
        <w:tcBorders>
          <w:top w:val="nil"/>
          <w:left w:val="single" w:color="000000" w:sz="12" w:space="0"/>
          <w:bottom w:val="nil"/>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nil"/>
          <w:bottom w:val="single" w:color="000000" w:sz="6" w:space="0"/>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3">
    <w:name w:val="Table Simple 3"/>
    <w:basedOn w:val="81"/>
    <w:qFormat/>
    <w:locked/>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4">
    <w:name w:val="Table Subtle 1"/>
    <w:basedOn w:val="81"/>
    <w:qFormat/>
    <w:locked/>
    <w:uiPriority w:val="0"/>
    <w:pPr>
      <w:widowControl w:val="0"/>
      <w:jc w:val="both"/>
    </w:pPr>
    <w:tblPr>
      <w:tblStyleRowBandSize w:val="1"/>
    </w:tblPr>
    <w:tblStylePr w:type="firstRow">
      <w:tblPr/>
      <w:tcPr>
        <w:tcBorders>
          <w:top w:val="single" w:color="000000" w:sz="6" w:space="0"/>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nil"/>
          <w:bottom w:val="single" w:color="000000" w:sz="12" w:space="0"/>
          <w:right w:val="nil"/>
          <w:insideH w:val="nil"/>
          <w:insideV w:val="nil"/>
          <w:tl2br w:val="nil"/>
          <w:tr2bl w:val="nil"/>
        </w:tcBorders>
      </w:tcPr>
    </w:tblStylePr>
    <w:tblStylePr w:type="band1Horz">
      <w:tblPr/>
      <w:tcPr>
        <w:tcBorders>
          <w:top w:val="nil"/>
          <w:left w:val="single" w:color="000000" w:sz="6"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5">
    <w:name w:val="Table Subtle 2"/>
    <w:basedOn w:val="81"/>
    <w:qFormat/>
    <w:locked/>
    <w:uiPriority w:val="0"/>
    <w:pPr>
      <w:widowControl w:val="0"/>
      <w:jc w:val="both"/>
    </w:pPr>
    <w:tblPr>
      <w:tblBorders>
        <w:left w:val="single" w:color="000000" w:sz="6" w:space="0"/>
        <w:right w:val="single" w:color="000000" w:sz="6" w:space="0"/>
      </w:tblBorders>
    </w:tblPr>
    <w:tblStylePr w:type="firstRow">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nil"/>
          <w:bottom w:val="single" w:color="000000" w:sz="12"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6">
    <w:name w:val="Table List 1"/>
    <w:basedOn w:val="81"/>
    <w:qFormat/>
    <w:locked/>
    <w:uiPriority w:val="0"/>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top w:val="nil"/>
          <w:left w:val="single" w:color="000000" w:sz="6" w:space="0"/>
          <w:bottom w:val="nil"/>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7">
    <w:name w:val="Table List 2"/>
    <w:basedOn w:val="81"/>
    <w:qFormat/>
    <w:locked/>
    <w:uiPriority w:val="0"/>
    <w:pPr>
      <w:widowControl w:val="0"/>
      <w:jc w:val="both"/>
    </w:pPr>
    <w:tblPr>
      <w:tblBorders>
        <w:bottom w:val="single" w:color="808080" w:sz="12" w:space="0"/>
      </w:tblBorders>
    </w:tblPr>
    <w:tblStylePr w:type="firstRow">
      <w:rPr>
        <w:b/>
        <w:bCs/>
        <w:color w:val="FFFFFF"/>
      </w:rPr>
      <w:tblPr/>
      <w:tcPr>
        <w:tcBorders>
          <w:top w:val="nil"/>
          <w:left w:val="single" w:color="000000" w:sz="6" w:space="0"/>
          <w:bottom w:val="nil"/>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8">
    <w:name w:val="Table List 3"/>
    <w:basedOn w:val="81"/>
    <w:qFormat/>
    <w:locked/>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99">
    <w:name w:val="Table List 4"/>
    <w:basedOn w:val="81"/>
    <w:qFormat/>
    <w:locked/>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top w:val="nil"/>
          <w:left w:val="single" w:color="000000" w:sz="12" w:space="0"/>
          <w:bottom w:val="nil"/>
          <w:right w:val="nil"/>
          <w:insideH w:val="nil"/>
          <w:insideV w:val="nil"/>
          <w:tl2br w:val="nil"/>
          <w:tr2bl w:val="nil"/>
        </w:tcBorders>
        <w:shd w:val="solid" w:color="808080" w:fill="FFFFFF"/>
      </w:tcPr>
    </w:tblStylePr>
  </w:style>
  <w:style w:type="table" w:styleId="100">
    <w:name w:val="Table List 5"/>
    <w:basedOn w:val="81"/>
    <w:qFormat/>
    <w:locked/>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01">
    <w:name w:val="Table List 6"/>
    <w:basedOn w:val="81"/>
    <w:qFormat/>
    <w:locked/>
    <w:uiPriority w:val="0"/>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02">
    <w:name w:val="Table List 7"/>
    <w:basedOn w:val="81"/>
    <w:qFormat/>
    <w:locked/>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top w:val="nil"/>
          <w:left w:val="single" w:color="008000" w:sz="12" w:space="0"/>
          <w:bottom w:val="nil"/>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03">
    <w:name w:val="Table List 8"/>
    <w:basedOn w:val="81"/>
    <w:qFormat/>
    <w:locked/>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top w:val="nil"/>
          <w:left w:val="single" w:color="000000" w:sz="6" w:space="0"/>
          <w:bottom w:val="nil"/>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04">
    <w:name w:val="Table Contemporary"/>
    <w:basedOn w:val="81"/>
    <w:qFormat/>
    <w:locked/>
    <w:uiPriority w:val="0"/>
    <w:pPr>
      <w:widowControl w:val="0"/>
      <w:jc w:val="both"/>
    </w:p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05">
    <w:name w:val="Table Columns 1"/>
    <w:basedOn w:val="81"/>
    <w:qFormat/>
    <w:locked/>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top w:val="nil"/>
          <w:left w:val="double" w:color="000000" w:sz="6" w:space="0"/>
          <w:bottom w:val="nil"/>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6">
    <w:name w:val="Table Columns 2"/>
    <w:basedOn w:val="81"/>
    <w:qFormat/>
    <w:locked/>
    <w:uiPriority w:val="0"/>
    <w:pPr>
      <w:widowControl w:val="0"/>
      <w:jc w:val="both"/>
    </w:pPr>
    <w:rPr>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7">
    <w:name w:val="Table Columns 3"/>
    <w:basedOn w:val="81"/>
    <w:qFormat/>
    <w:locked/>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08">
    <w:name w:val="Table Columns 4"/>
    <w:basedOn w:val="81"/>
    <w:qFormat/>
    <w:locked/>
    <w:uiPriority w:val="0"/>
    <w:pPr>
      <w:widowControl w:val="0"/>
      <w:jc w:val="both"/>
    </w:p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09">
    <w:name w:val="Table Columns 5"/>
    <w:basedOn w:val="81"/>
    <w:qFormat/>
    <w:locked/>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top w:val="nil"/>
          <w:left w:val="single" w:color="808080" w:sz="6" w:space="0"/>
          <w:bottom w:val="nil"/>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10">
    <w:name w:val="Table Grid 1"/>
    <w:basedOn w:val="81"/>
    <w:qFormat/>
    <w:locked/>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1">
    <w:name w:val="Table Grid 2"/>
    <w:basedOn w:val="81"/>
    <w:qFormat/>
    <w:locked/>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12">
    <w:name w:val="Table Grid 3"/>
    <w:basedOn w:val="81"/>
    <w:qFormat/>
    <w:locked/>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3">
    <w:name w:val="Table Grid 4"/>
    <w:basedOn w:val="81"/>
    <w:qFormat/>
    <w:locked/>
    <w:uiPriority w:val="0"/>
    <w:pPr>
      <w:widowControl w:val="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14">
    <w:name w:val="Table Grid 5"/>
    <w:basedOn w:val="81"/>
    <w:qFormat/>
    <w:locked/>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single" w:color="000000" w:sz="12" w:space="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5">
    <w:name w:val="Table Grid 6"/>
    <w:basedOn w:val="81"/>
    <w:qFormat/>
    <w:locked/>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6">
    <w:name w:val="Table Grid 7"/>
    <w:basedOn w:val="81"/>
    <w:qFormat/>
    <w:locked/>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single" w:color="000000" w:sz="12" w:space="0"/>
          <w:bottom w:val="nil"/>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7">
    <w:name w:val="Table Grid 8"/>
    <w:basedOn w:val="81"/>
    <w:qFormat/>
    <w:locked/>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18">
    <w:name w:val="Table Web 1"/>
    <w:basedOn w:val="81"/>
    <w:qFormat/>
    <w:locked/>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19">
    <w:name w:val="Table Web 2"/>
    <w:basedOn w:val="81"/>
    <w:qFormat/>
    <w:locked/>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0">
    <w:name w:val="Table Web 3"/>
    <w:basedOn w:val="81"/>
    <w:qFormat/>
    <w:locked/>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1">
    <w:name w:val="Table Professional"/>
    <w:basedOn w:val="81"/>
    <w:qFormat/>
    <w:locked/>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23">
    <w:name w:val="Strong"/>
    <w:qFormat/>
    <w:locked/>
    <w:uiPriority w:val="0"/>
    <w:rPr>
      <w:rFonts w:ascii="Times New Roman" w:hAnsi="Times New Roman" w:eastAsia="宋体"/>
      <w:bCs/>
      <w:sz w:val="21"/>
    </w:rPr>
  </w:style>
  <w:style w:type="character" w:styleId="124">
    <w:name w:val="endnote reference"/>
    <w:qFormat/>
    <w:locked/>
    <w:uiPriority w:val="99"/>
    <w:rPr>
      <w:vertAlign w:val="superscript"/>
    </w:rPr>
  </w:style>
  <w:style w:type="character" w:styleId="125">
    <w:name w:val="page number"/>
    <w:qFormat/>
    <w:locked/>
    <w:uiPriority w:val="0"/>
  </w:style>
  <w:style w:type="character" w:styleId="126">
    <w:name w:val="FollowedHyperlink"/>
    <w:unhideWhenUsed/>
    <w:qFormat/>
    <w:locked/>
    <w:uiPriority w:val="0"/>
    <w:rPr>
      <w:color w:val="800080"/>
      <w:u w:val="single"/>
    </w:rPr>
  </w:style>
  <w:style w:type="character" w:styleId="127">
    <w:name w:val="Emphasis"/>
    <w:qFormat/>
    <w:locked/>
    <w:uiPriority w:val="0"/>
    <w:rPr>
      <w:color w:val="CC0033"/>
    </w:rPr>
  </w:style>
  <w:style w:type="character" w:styleId="128">
    <w:name w:val="line number"/>
    <w:qFormat/>
    <w:locked/>
    <w:uiPriority w:val="0"/>
    <w:rPr>
      <w:rFonts w:ascii="Verdana" w:hAnsi="Verdana" w:eastAsia="宋体"/>
      <w:lang w:val="en-US" w:eastAsia="en-US" w:bidi="ar-SA"/>
    </w:rPr>
  </w:style>
  <w:style w:type="character" w:styleId="129">
    <w:name w:val="HTML Definition"/>
    <w:qFormat/>
    <w:locked/>
    <w:uiPriority w:val="0"/>
    <w:rPr>
      <w:rFonts w:ascii="Verdana" w:hAnsi="Verdana" w:eastAsia="宋体"/>
      <w:i/>
      <w:iCs/>
      <w:lang w:val="en-US" w:eastAsia="en-US" w:bidi="ar-SA"/>
    </w:rPr>
  </w:style>
  <w:style w:type="character" w:styleId="130">
    <w:name w:val="HTML Typewriter"/>
    <w:qFormat/>
    <w:locked/>
    <w:uiPriority w:val="0"/>
    <w:rPr>
      <w:rFonts w:ascii="Courier New" w:hAnsi="Courier New" w:eastAsia="宋体" w:cs="Courier New"/>
      <w:kern w:val="2"/>
      <w:sz w:val="20"/>
      <w:szCs w:val="20"/>
      <w:lang w:val="en-US" w:eastAsia="zh-CN" w:bidi="ar-SA"/>
    </w:rPr>
  </w:style>
  <w:style w:type="character" w:styleId="131">
    <w:name w:val="HTML Acronym"/>
    <w:qFormat/>
    <w:locked/>
    <w:uiPriority w:val="0"/>
    <w:rPr>
      <w:rFonts w:ascii="宋体" w:hAnsi="宋体" w:eastAsia="宋体" w:cs="Courier New"/>
      <w:kern w:val="2"/>
      <w:sz w:val="32"/>
      <w:szCs w:val="32"/>
      <w:lang w:val="en-US" w:eastAsia="zh-CN" w:bidi="ar-SA"/>
    </w:rPr>
  </w:style>
  <w:style w:type="character" w:styleId="132">
    <w:name w:val="HTML Variable"/>
    <w:qFormat/>
    <w:locked/>
    <w:uiPriority w:val="0"/>
    <w:rPr>
      <w:rFonts w:ascii="宋体" w:hAnsi="宋体" w:eastAsia="宋体" w:cs="Courier New"/>
      <w:i/>
      <w:iCs/>
      <w:kern w:val="2"/>
      <w:sz w:val="32"/>
      <w:szCs w:val="32"/>
      <w:lang w:val="en-US" w:eastAsia="zh-CN" w:bidi="ar-SA"/>
    </w:rPr>
  </w:style>
  <w:style w:type="character" w:styleId="133">
    <w:name w:val="Hyperlink"/>
    <w:unhideWhenUsed/>
    <w:qFormat/>
    <w:locked/>
    <w:uiPriority w:val="99"/>
    <w:rPr>
      <w:color w:val="0000FF"/>
      <w:u w:val="single"/>
    </w:rPr>
  </w:style>
  <w:style w:type="character" w:styleId="134">
    <w:name w:val="HTML Code"/>
    <w:qFormat/>
    <w:locked/>
    <w:uiPriority w:val="0"/>
    <w:rPr>
      <w:rFonts w:ascii="Courier New" w:hAnsi="Courier New" w:eastAsia="宋体" w:cs="Courier New"/>
      <w:sz w:val="20"/>
      <w:szCs w:val="20"/>
      <w:lang w:val="en-US" w:eastAsia="en-US" w:bidi="ar-SA"/>
    </w:rPr>
  </w:style>
  <w:style w:type="character" w:styleId="135">
    <w:name w:val="annotation reference"/>
    <w:qFormat/>
    <w:uiPriority w:val="99"/>
    <w:rPr>
      <w:sz w:val="21"/>
    </w:rPr>
  </w:style>
  <w:style w:type="character" w:styleId="136">
    <w:name w:val="HTML Cite"/>
    <w:qFormat/>
    <w:locked/>
    <w:uiPriority w:val="0"/>
    <w:rPr>
      <w:rFonts w:ascii="宋体" w:hAnsi="宋体" w:eastAsia="宋体" w:cs="Courier New"/>
      <w:i/>
      <w:iCs/>
      <w:kern w:val="2"/>
      <w:sz w:val="32"/>
      <w:szCs w:val="32"/>
      <w:lang w:val="en-US" w:eastAsia="zh-CN" w:bidi="ar-SA"/>
    </w:rPr>
  </w:style>
  <w:style w:type="character" w:styleId="137">
    <w:name w:val="footnote reference"/>
    <w:qFormat/>
    <w:locked/>
    <w:uiPriority w:val="0"/>
    <w:rPr>
      <w:rFonts w:ascii="Verdana" w:hAnsi="Verdana" w:eastAsia="宋体"/>
      <w:vertAlign w:val="superscript"/>
      <w:lang w:val="en-US" w:eastAsia="en-US" w:bidi="ar-SA"/>
    </w:rPr>
  </w:style>
  <w:style w:type="character" w:styleId="138">
    <w:name w:val="HTML Keyboard"/>
    <w:qFormat/>
    <w:locked/>
    <w:uiPriority w:val="0"/>
    <w:rPr>
      <w:rFonts w:ascii="Courier New" w:hAnsi="Courier New" w:eastAsia="宋体"/>
      <w:sz w:val="20"/>
      <w:szCs w:val="20"/>
      <w:lang w:val="en-US" w:eastAsia="en-US" w:bidi="ar-SA"/>
    </w:rPr>
  </w:style>
  <w:style w:type="character" w:styleId="139">
    <w:name w:val="HTML Sample"/>
    <w:qFormat/>
    <w:locked/>
    <w:uiPriority w:val="0"/>
    <w:rPr>
      <w:rFonts w:ascii="Courier New" w:hAnsi="Courier New" w:eastAsia="宋体" w:cs="Courier New"/>
      <w:kern w:val="2"/>
      <w:sz w:val="32"/>
      <w:szCs w:val="32"/>
      <w:lang w:val="en-US" w:eastAsia="zh-CN" w:bidi="ar-SA"/>
    </w:rPr>
  </w:style>
  <w:style w:type="character" w:customStyle="1" w:styleId="140">
    <w:name w:val="宏文本 字符1"/>
    <w:link w:val="4"/>
    <w:qFormat/>
    <w:uiPriority w:val="99"/>
    <w:rPr>
      <w:rFonts w:ascii="Courier New" w:hAnsi="Courier New" w:cs="Courier New"/>
      <w:kern w:val="2"/>
      <w:sz w:val="24"/>
      <w:szCs w:val="24"/>
    </w:rPr>
  </w:style>
  <w:style w:type="character" w:customStyle="1" w:styleId="141">
    <w:name w:val="标题 1 字符"/>
    <w:link w:val="5"/>
    <w:qFormat/>
    <w:uiPriority w:val="0"/>
    <w:rPr>
      <w:rFonts w:eastAsia="黑体"/>
      <w:b/>
      <w:bCs/>
      <w:color w:val="000000"/>
      <w:kern w:val="44"/>
      <w:sz w:val="30"/>
      <w:szCs w:val="30"/>
    </w:rPr>
  </w:style>
  <w:style w:type="character" w:customStyle="1" w:styleId="142">
    <w:name w:val="标题 2 字符"/>
    <w:link w:val="6"/>
    <w:qFormat/>
    <w:uiPriority w:val="0"/>
    <w:rPr>
      <w:rFonts w:ascii="等线 Light" w:hAnsi="等线 Light" w:eastAsia="等线 Light" w:cs="Times New Roman"/>
      <w:b/>
      <w:bCs/>
      <w:kern w:val="2"/>
      <w:sz w:val="32"/>
      <w:szCs w:val="32"/>
    </w:rPr>
  </w:style>
  <w:style w:type="character" w:customStyle="1" w:styleId="143">
    <w:name w:val="标题 3 字符"/>
    <w:link w:val="7"/>
    <w:qFormat/>
    <w:uiPriority w:val="0"/>
    <w:rPr>
      <w:rFonts w:ascii="Symusic" w:hAnsi="Symusic"/>
      <w:b/>
      <w:bCs/>
      <w:kern w:val="2"/>
      <w:sz w:val="32"/>
      <w:szCs w:val="32"/>
      <w:lang w:val="zh-CN"/>
    </w:rPr>
  </w:style>
  <w:style w:type="character" w:customStyle="1" w:styleId="144">
    <w:name w:val="标题 4 字符1"/>
    <w:link w:val="8"/>
    <w:qFormat/>
    <w:uiPriority w:val="0"/>
    <w:rPr>
      <w:rFonts w:ascii="Arial" w:hAnsi="Arial" w:eastAsia="黑体"/>
      <w:b/>
      <w:bCs/>
      <w:kern w:val="2"/>
      <w:sz w:val="28"/>
      <w:szCs w:val="28"/>
    </w:rPr>
  </w:style>
  <w:style w:type="character" w:customStyle="1" w:styleId="145">
    <w:name w:val="标题 5 字符1"/>
    <w:link w:val="9"/>
    <w:qFormat/>
    <w:uiPriority w:val="0"/>
    <w:rPr>
      <w:bCs/>
      <w:kern w:val="24"/>
      <w:sz w:val="24"/>
      <w:szCs w:val="24"/>
    </w:rPr>
  </w:style>
  <w:style w:type="character" w:customStyle="1" w:styleId="146">
    <w:name w:val="标题 6 字符1"/>
    <w:link w:val="10"/>
    <w:qFormat/>
    <w:uiPriority w:val="9"/>
    <w:rPr>
      <w:rFonts w:ascii="Arial" w:hAnsi="Arial"/>
      <w:bCs/>
      <w:kern w:val="24"/>
      <w:sz w:val="24"/>
      <w:szCs w:val="24"/>
    </w:rPr>
  </w:style>
  <w:style w:type="character" w:customStyle="1" w:styleId="147">
    <w:name w:val="标题 7 字符1"/>
    <w:link w:val="11"/>
    <w:qFormat/>
    <w:uiPriority w:val="9"/>
    <w:rPr>
      <w:bCs/>
      <w:kern w:val="24"/>
      <w:sz w:val="24"/>
      <w:szCs w:val="24"/>
    </w:rPr>
  </w:style>
  <w:style w:type="character" w:customStyle="1" w:styleId="148">
    <w:name w:val="标题 8 字符1"/>
    <w:link w:val="12"/>
    <w:qFormat/>
    <w:uiPriority w:val="9"/>
    <w:rPr>
      <w:rFonts w:ascii="Arial" w:hAnsi="Arial"/>
      <w:bCs/>
      <w:kern w:val="24"/>
      <w:sz w:val="24"/>
      <w:szCs w:val="24"/>
    </w:rPr>
  </w:style>
  <w:style w:type="character" w:customStyle="1" w:styleId="149">
    <w:name w:val="标题 9 字符1"/>
    <w:link w:val="13"/>
    <w:qFormat/>
    <w:uiPriority w:val="9"/>
    <w:rPr>
      <w:rFonts w:ascii="Arial" w:hAnsi="Arial"/>
      <w:bCs/>
      <w:kern w:val="24"/>
      <w:sz w:val="24"/>
      <w:szCs w:val="24"/>
    </w:rPr>
  </w:style>
  <w:style w:type="character" w:customStyle="1" w:styleId="150">
    <w:name w:val="列表 3 字符"/>
    <w:link w:val="3"/>
    <w:qFormat/>
    <w:locked/>
    <w:uiPriority w:val="0"/>
    <w:rPr>
      <w:kern w:val="2"/>
      <w:sz w:val="21"/>
      <w:szCs w:val="24"/>
    </w:rPr>
  </w:style>
  <w:style w:type="character" w:customStyle="1" w:styleId="151">
    <w:name w:val="注释标题 字符1"/>
    <w:link w:val="16"/>
    <w:qFormat/>
    <w:uiPriority w:val="0"/>
    <w:rPr>
      <w:rFonts w:ascii="Arial Narrow" w:hAnsi="Arial Narrow" w:eastAsia="仿宋_GB2312"/>
      <w:kern w:val="2"/>
      <w:sz w:val="24"/>
      <w:szCs w:val="24"/>
    </w:rPr>
  </w:style>
  <w:style w:type="character" w:customStyle="1" w:styleId="152">
    <w:name w:val="电子邮件签名 字符1"/>
    <w:link w:val="19"/>
    <w:qFormat/>
    <w:uiPriority w:val="0"/>
    <w:rPr>
      <w:kern w:val="2"/>
      <w:sz w:val="21"/>
      <w:szCs w:val="24"/>
    </w:rPr>
  </w:style>
  <w:style w:type="character" w:customStyle="1" w:styleId="153">
    <w:name w:val="Default Char"/>
    <w:link w:val="2"/>
    <w:qFormat/>
    <w:uiPriority w:val="0"/>
    <w:rPr>
      <w:rFonts w:ascii="宋体" w:hAnsi="宋体" w:cs="宋体"/>
      <w:color w:val="000000"/>
      <w:sz w:val="24"/>
      <w:szCs w:val="24"/>
    </w:rPr>
  </w:style>
  <w:style w:type="character" w:customStyle="1" w:styleId="154">
    <w:name w:val="正文缩进 字符"/>
    <w:link w:val="21"/>
    <w:qFormat/>
    <w:uiPriority w:val="0"/>
    <w:rPr>
      <w:rFonts w:ascii="宋体" w:hAnsi="宋体"/>
      <w:bCs/>
      <w:kern w:val="2"/>
      <w:sz w:val="24"/>
      <w:szCs w:val="24"/>
    </w:rPr>
  </w:style>
  <w:style w:type="character" w:customStyle="1" w:styleId="155">
    <w:name w:val="题注 字符"/>
    <w:link w:val="22"/>
    <w:qFormat/>
    <w:uiPriority w:val="0"/>
    <w:rPr>
      <w:rFonts w:ascii="黑体" w:hAnsi="宋体" w:eastAsia="黑体" w:cs="Arial"/>
      <w:kern w:val="2"/>
      <w:sz w:val="24"/>
      <w:szCs w:val="24"/>
    </w:rPr>
  </w:style>
  <w:style w:type="character" w:customStyle="1" w:styleId="156">
    <w:name w:val="文档结构图 字符1"/>
    <w:link w:val="26"/>
    <w:qFormat/>
    <w:uiPriority w:val="0"/>
    <w:rPr>
      <w:rFonts w:ascii="宋体" w:hAnsi="Calibri"/>
      <w:kern w:val="2"/>
      <w:sz w:val="24"/>
      <w:szCs w:val="24"/>
    </w:rPr>
  </w:style>
  <w:style w:type="character" w:customStyle="1" w:styleId="157">
    <w:name w:val="批注文字 字符"/>
    <w:link w:val="28"/>
    <w:qFormat/>
    <w:locked/>
    <w:uiPriority w:val="0"/>
    <w:rPr>
      <w:rFonts w:ascii="Times New Roman" w:hAnsi="Times New Roman" w:eastAsia="宋体"/>
      <w:sz w:val="24"/>
    </w:rPr>
  </w:style>
  <w:style w:type="character" w:customStyle="1" w:styleId="158">
    <w:name w:val="称呼 字符1"/>
    <w:link w:val="30"/>
    <w:qFormat/>
    <w:uiPriority w:val="0"/>
    <w:rPr>
      <w:rFonts w:ascii="仿宋_GB2312" w:hAnsi="宋体" w:eastAsia="仿宋_GB2312" w:cs="宋体"/>
      <w:kern w:val="2"/>
      <w:sz w:val="21"/>
      <w:szCs w:val="24"/>
    </w:rPr>
  </w:style>
  <w:style w:type="character" w:customStyle="1" w:styleId="159">
    <w:name w:val="正文文本 3 字符1"/>
    <w:link w:val="31"/>
    <w:qFormat/>
    <w:uiPriority w:val="0"/>
    <w:rPr>
      <w:rFonts w:ascii="Calibri" w:hAnsi="Calibri"/>
      <w:kern w:val="2"/>
      <w:sz w:val="16"/>
      <w:szCs w:val="16"/>
    </w:rPr>
  </w:style>
  <w:style w:type="character" w:customStyle="1" w:styleId="160">
    <w:name w:val="结束语 字符1"/>
    <w:link w:val="32"/>
    <w:qFormat/>
    <w:uiPriority w:val="0"/>
    <w:rPr>
      <w:kern w:val="2"/>
      <w:sz w:val="21"/>
      <w:szCs w:val="24"/>
    </w:rPr>
  </w:style>
  <w:style w:type="character" w:customStyle="1" w:styleId="161">
    <w:name w:val="正文文本 字符"/>
    <w:link w:val="34"/>
    <w:qFormat/>
    <w:locked/>
    <w:uiPriority w:val="0"/>
    <w:rPr>
      <w:sz w:val="18"/>
    </w:rPr>
  </w:style>
  <w:style w:type="character" w:customStyle="1" w:styleId="162">
    <w:name w:val="正文文本缩进 字符"/>
    <w:link w:val="35"/>
    <w:qFormat/>
    <w:locked/>
    <w:uiPriority w:val="0"/>
    <w:rPr>
      <w:rFonts w:ascii="Times New Roman" w:hAnsi="Times New Roman" w:eastAsia="宋体"/>
      <w:sz w:val="24"/>
    </w:rPr>
  </w:style>
  <w:style w:type="character" w:customStyle="1" w:styleId="163">
    <w:name w:val="文本块 字符"/>
    <w:link w:val="39"/>
    <w:qFormat/>
    <w:uiPriority w:val="0"/>
    <w:rPr>
      <w:kern w:val="2"/>
      <w:sz w:val="24"/>
    </w:rPr>
  </w:style>
  <w:style w:type="character" w:customStyle="1" w:styleId="164">
    <w:name w:val="正文文本首行缩进 字符"/>
    <w:link w:val="41"/>
    <w:qFormat/>
    <w:uiPriority w:val="0"/>
    <w:rPr>
      <w:kern w:val="2"/>
      <w:sz w:val="21"/>
    </w:rPr>
  </w:style>
  <w:style w:type="character" w:customStyle="1" w:styleId="165">
    <w:name w:val="HTML 地址 字符1"/>
    <w:link w:val="42"/>
    <w:qFormat/>
    <w:uiPriority w:val="0"/>
    <w:rPr>
      <w:i/>
      <w:iCs/>
      <w:kern w:val="2"/>
      <w:sz w:val="21"/>
      <w:szCs w:val="24"/>
    </w:rPr>
  </w:style>
  <w:style w:type="character" w:customStyle="1" w:styleId="166">
    <w:name w:val="纯文本 字符1"/>
    <w:link w:val="45"/>
    <w:qFormat/>
    <w:uiPriority w:val="99"/>
    <w:rPr>
      <w:rFonts w:ascii="宋体" w:hAnsi="宋体"/>
      <w:kern w:val="3"/>
      <w:sz w:val="21"/>
    </w:rPr>
  </w:style>
  <w:style w:type="character" w:customStyle="1" w:styleId="167">
    <w:name w:val="日期 字符1"/>
    <w:link w:val="49"/>
    <w:qFormat/>
    <w:locked/>
    <w:uiPriority w:val="0"/>
    <w:rPr>
      <w:rFonts w:ascii="Times New Roman" w:hAnsi="Times New Roman" w:eastAsia="宋体"/>
      <w:sz w:val="24"/>
    </w:rPr>
  </w:style>
  <w:style w:type="character" w:customStyle="1" w:styleId="168">
    <w:name w:val="正文文本缩进 2 字符1"/>
    <w:link w:val="50"/>
    <w:qFormat/>
    <w:uiPriority w:val="0"/>
    <w:rPr>
      <w:rFonts w:ascii="Calibri" w:hAnsi="Calibri"/>
      <w:kern w:val="2"/>
      <w:sz w:val="21"/>
    </w:rPr>
  </w:style>
  <w:style w:type="character" w:customStyle="1" w:styleId="169">
    <w:name w:val="尾注文本 字符1"/>
    <w:link w:val="51"/>
    <w:qFormat/>
    <w:uiPriority w:val="0"/>
    <w:rPr>
      <w:kern w:val="2"/>
      <w:sz w:val="21"/>
      <w:szCs w:val="24"/>
    </w:rPr>
  </w:style>
  <w:style w:type="character" w:customStyle="1" w:styleId="170">
    <w:name w:val="批注框文本 字符"/>
    <w:link w:val="53"/>
    <w:qFormat/>
    <w:locked/>
    <w:uiPriority w:val="0"/>
    <w:rPr>
      <w:rFonts w:ascii="Times New Roman" w:hAnsi="Times New Roman" w:eastAsia="宋体"/>
      <w:sz w:val="18"/>
    </w:rPr>
  </w:style>
  <w:style w:type="character" w:customStyle="1" w:styleId="171">
    <w:name w:val="页脚 字符1"/>
    <w:link w:val="54"/>
    <w:qFormat/>
    <w:locked/>
    <w:uiPriority w:val="99"/>
    <w:rPr>
      <w:sz w:val="18"/>
    </w:rPr>
  </w:style>
  <w:style w:type="character" w:customStyle="1" w:styleId="172">
    <w:name w:val="页眉 字符"/>
    <w:link w:val="56"/>
    <w:qFormat/>
    <w:locked/>
    <w:uiPriority w:val="0"/>
    <w:rPr>
      <w:sz w:val="18"/>
    </w:rPr>
  </w:style>
  <w:style w:type="character" w:customStyle="1" w:styleId="173">
    <w:name w:val="签名 字符1"/>
    <w:link w:val="57"/>
    <w:qFormat/>
    <w:uiPriority w:val="0"/>
    <w:rPr>
      <w:kern w:val="2"/>
      <w:sz w:val="21"/>
      <w:szCs w:val="24"/>
    </w:rPr>
  </w:style>
  <w:style w:type="character" w:customStyle="1" w:styleId="174">
    <w:name w:val="副标题 字符1"/>
    <w:link w:val="62"/>
    <w:qFormat/>
    <w:uiPriority w:val="11"/>
    <w:rPr>
      <w:rFonts w:ascii="Cambria" w:hAnsi="Cambria"/>
      <w:b/>
      <w:bCs/>
      <w:kern w:val="28"/>
      <w:sz w:val="32"/>
      <w:szCs w:val="32"/>
    </w:rPr>
  </w:style>
  <w:style w:type="character" w:customStyle="1" w:styleId="175">
    <w:name w:val="列表 字符"/>
    <w:link w:val="64"/>
    <w:qFormat/>
    <w:uiPriority w:val="0"/>
    <w:rPr>
      <w:kern w:val="2"/>
      <w:sz w:val="21"/>
      <w:szCs w:val="24"/>
    </w:rPr>
  </w:style>
  <w:style w:type="character" w:customStyle="1" w:styleId="176">
    <w:name w:val="脚注文本 字符1"/>
    <w:link w:val="65"/>
    <w:qFormat/>
    <w:uiPriority w:val="0"/>
    <w:rPr>
      <w:rFonts w:ascii="Arial Narrow" w:hAnsi="Arial Narrow" w:eastAsia="仿宋_GB2312"/>
      <w:kern w:val="2"/>
      <w:sz w:val="18"/>
      <w:szCs w:val="18"/>
    </w:rPr>
  </w:style>
  <w:style w:type="character" w:customStyle="1" w:styleId="177">
    <w:name w:val="正文文本缩进 3 字符1"/>
    <w:link w:val="67"/>
    <w:qFormat/>
    <w:uiPriority w:val="0"/>
    <w:rPr>
      <w:rFonts w:ascii="Calibri" w:hAnsi="Calibri"/>
      <w:kern w:val="2"/>
      <w:sz w:val="16"/>
      <w:szCs w:val="16"/>
    </w:rPr>
  </w:style>
  <w:style w:type="character" w:customStyle="1" w:styleId="178">
    <w:name w:val="正文文本 2 字符1"/>
    <w:link w:val="71"/>
    <w:qFormat/>
    <w:uiPriority w:val="99"/>
    <w:rPr>
      <w:rFonts w:ascii="Calibri" w:hAnsi="Calibri"/>
      <w:kern w:val="2"/>
      <w:sz w:val="21"/>
    </w:rPr>
  </w:style>
  <w:style w:type="character" w:customStyle="1" w:styleId="179">
    <w:name w:val="信息标题 字符1"/>
    <w:link w:val="74"/>
    <w:qFormat/>
    <w:uiPriority w:val="0"/>
    <w:rPr>
      <w:rFonts w:ascii="Arial" w:hAnsi="Arial" w:cs="Arial"/>
      <w:kern w:val="2"/>
      <w:sz w:val="24"/>
      <w:szCs w:val="24"/>
      <w:shd w:val="pct20" w:color="auto" w:fill="auto"/>
    </w:rPr>
  </w:style>
  <w:style w:type="character" w:customStyle="1" w:styleId="180">
    <w:name w:val="HTML 预设格式 字符1"/>
    <w:link w:val="75"/>
    <w:qFormat/>
    <w:uiPriority w:val="0"/>
    <w:rPr>
      <w:rFonts w:ascii="宋体" w:hAnsi="宋体" w:cs="宋体"/>
      <w:sz w:val="24"/>
      <w:szCs w:val="24"/>
    </w:rPr>
  </w:style>
  <w:style w:type="character" w:customStyle="1" w:styleId="181">
    <w:name w:val="普通(网站) 字符"/>
    <w:link w:val="76"/>
    <w:qFormat/>
    <w:locked/>
    <w:uiPriority w:val="0"/>
    <w:rPr>
      <w:rFonts w:ascii="宋体" w:hAnsi="宋体" w:eastAsia="宋体"/>
      <w:sz w:val="24"/>
    </w:rPr>
  </w:style>
  <w:style w:type="character" w:customStyle="1" w:styleId="182">
    <w:name w:val="标题 字符"/>
    <w:link w:val="79"/>
    <w:qFormat/>
    <w:uiPriority w:val="0"/>
    <w:rPr>
      <w:bCs/>
      <w:spacing w:val="8"/>
      <w:kern w:val="2"/>
      <w:sz w:val="24"/>
      <w:szCs w:val="24"/>
    </w:rPr>
  </w:style>
  <w:style w:type="character" w:customStyle="1" w:styleId="183">
    <w:name w:val="批注主题 字符"/>
    <w:link w:val="80"/>
    <w:qFormat/>
    <w:locked/>
    <w:uiPriority w:val="0"/>
    <w:rPr>
      <w:rFonts w:ascii="Times New Roman" w:hAnsi="Times New Roman" w:eastAsia="宋体"/>
      <w:b/>
      <w:kern w:val="2"/>
      <w:sz w:val="24"/>
    </w:rPr>
  </w:style>
  <w:style w:type="character" w:customStyle="1" w:styleId="184">
    <w:name w:val="页脚 字符"/>
    <w:qFormat/>
    <w:uiPriority w:val="99"/>
  </w:style>
  <w:style w:type="character" w:customStyle="1" w:styleId="185">
    <w:name w:val="正文文本 字符1"/>
    <w:qFormat/>
    <w:uiPriority w:val="0"/>
    <w:rPr>
      <w:rFonts w:ascii="Times New Roman" w:hAnsi="Times New Roman" w:eastAsia="宋体"/>
      <w:sz w:val="24"/>
    </w:rPr>
  </w:style>
  <w:style w:type="character" w:customStyle="1" w:styleId="186">
    <w:name w:val="表格 Char"/>
    <w:link w:val="187"/>
    <w:qFormat/>
    <w:locked/>
    <w:uiPriority w:val="0"/>
    <w:rPr>
      <w:rFonts w:ascii="宋体"/>
      <w:sz w:val="21"/>
    </w:rPr>
  </w:style>
  <w:style w:type="paragraph" w:customStyle="1" w:styleId="187">
    <w:name w:val="表格"/>
    <w:basedOn w:val="1"/>
    <w:next w:val="1"/>
    <w:link w:val="186"/>
    <w:qFormat/>
    <w:uiPriority w:val="0"/>
    <w:pPr>
      <w:adjustRightInd w:val="0"/>
      <w:snapToGrid w:val="0"/>
      <w:spacing w:beforeLines="10" w:afterLines="10" w:line="259" w:lineRule="auto"/>
      <w:jc w:val="center"/>
    </w:pPr>
    <w:rPr>
      <w:rFonts w:ascii="宋体"/>
      <w:kern w:val="0"/>
      <w:szCs w:val="20"/>
    </w:rPr>
  </w:style>
  <w:style w:type="character" w:customStyle="1" w:styleId="188">
    <w:name w:val="日期 字符"/>
    <w:qFormat/>
    <w:uiPriority w:val="0"/>
    <w:rPr>
      <w:rFonts w:ascii="Times New Roman" w:hAnsi="Times New Roman" w:eastAsia="宋体"/>
      <w:sz w:val="24"/>
    </w:rPr>
  </w:style>
  <w:style w:type="character" w:customStyle="1" w:styleId="189">
    <w:name w:val="批注文字 字符1"/>
    <w:qFormat/>
    <w:uiPriority w:val="99"/>
    <w:rPr>
      <w:rFonts w:ascii="Times New Roman" w:hAnsi="Times New Roman" w:eastAsia="宋体"/>
      <w:sz w:val="24"/>
    </w:rPr>
  </w:style>
  <w:style w:type="paragraph" w:customStyle="1" w:styleId="190">
    <w:name w:val="正文_10"/>
    <w:qFormat/>
    <w:uiPriority w:val="0"/>
    <w:pPr>
      <w:widowControl w:val="0"/>
      <w:jc w:val="both"/>
    </w:pPr>
    <w:rPr>
      <w:rFonts w:ascii="Calibri" w:hAnsi="Calibri" w:eastAsia="宋体" w:cs="Calibri"/>
      <w:kern w:val="2"/>
      <w:sz w:val="21"/>
      <w:szCs w:val="22"/>
      <w:lang w:val="en-US" w:eastAsia="zh-CN" w:bidi="ar-SA"/>
    </w:rPr>
  </w:style>
  <w:style w:type="paragraph" w:customStyle="1" w:styleId="191">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192">
    <w:name w:val="修订1"/>
    <w:qFormat/>
    <w:uiPriority w:val="99"/>
    <w:rPr>
      <w:rFonts w:ascii="Calibri" w:hAnsi="Calibri" w:eastAsia="宋体" w:cs="Calibri"/>
      <w:kern w:val="2"/>
      <w:sz w:val="21"/>
      <w:szCs w:val="24"/>
      <w:lang w:val="en-US" w:eastAsia="zh-CN" w:bidi="ar-SA"/>
    </w:rPr>
  </w:style>
  <w:style w:type="paragraph" w:customStyle="1" w:styleId="193">
    <w:name w:val="xl31"/>
    <w:basedOn w:val="1"/>
    <w:qFormat/>
    <w:uiPriority w:val="0"/>
    <w:pPr>
      <w:widowControl/>
      <w:suppressAutoHyphens/>
      <w:autoSpaceDN w:val="0"/>
      <w:spacing w:before="100" w:after="100"/>
      <w:jc w:val="center"/>
      <w:textAlignment w:val="baseline"/>
    </w:pPr>
    <w:rPr>
      <w:rFonts w:cs="Dutch801 Rm BT"/>
      <w:kern w:val="0"/>
      <w:sz w:val="24"/>
    </w:rPr>
  </w:style>
  <w:style w:type="character" w:customStyle="1" w:styleId="194">
    <w:name w:val="纯文本 字符"/>
    <w:qFormat/>
    <w:uiPriority w:val="0"/>
    <w:rPr>
      <w:rFonts w:ascii="宋体" w:hAnsi="Courier New" w:cs="Courier New"/>
      <w:kern w:val="2"/>
      <w:sz w:val="21"/>
      <w:szCs w:val="21"/>
    </w:rPr>
  </w:style>
  <w:style w:type="paragraph" w:customStyle="1" w:styleId="195">
    <w:name w:val="表内容"/>
    <w:basedOn w:val="1"/>
    <w:link w:val="196"/>
    <w:qFormat/>
    <w:uiPriority w:val="0"/>
    <w:pPr>
      <w:widowControl/>
      <w:adjustRightInd w:val="0"/>
      <w:snapToGrid w:val="0"/>
      <w:spacing w:beforeLines="20" w:afterLines="20"/>
      <w:jc w:val="center"/>
    </w:pPr>
  </w:style>
  <w:style w:type="character" w:customStyle="1" w:styleId="196">
    <w:name w:val="表内容 Char"/>
    <w:link w:val="195"/>
    <w:qFormat/>
    <w:uiPriority w:val="0"/>
    <w:rPr>
      <w:kern w:val="2"/>
      <w:sz w:val="21"/>
      <w:szCs w:val="24"/>
    </w:rPr>
  </w:style>
  <w:style w:type="paragraph" w:customStyle="1" w:styleId="197">
    <w:name w:val="表格内容格式"/>
    <w:basedOn w:val="1"/>
    <w:next w:val="34"/>
    <w:qFormat/>
    <w:uiPriority w:val="0"/>
    <w:pPr>
      <w:jc w:val="center"/>
    </w:pPr>
    <w:rPr>
      <w:kern w:val="0"/>
      <w:sz w:val="22"/>
      <w:szCs w:val="22"/>
      <w:lang w:eastAsia="en-US"/>
    </w:rPr>
  </w:style>
  <w:style w:type="paragraph" w:customStyle="1" w:styleId="198">
    <w:name w:val="BGZW"/>
    <w:qFormat/>
    <w:uiPriority w:val="0"/>
    <w:pPr>
      <w:widowControl w:val="0"/>
      <w:spacing w:line="360" w:lineRule="auto"/>
      <w:ind w:firstLine="480" w:firstLineChars="200"/>
      <w:jc w:val="both"/>
    </w:pPr>
    <w:rPr>
      <w:rFonts w:ascii="Calibri" w:hAnsi="Calibri" w:eastAsia="宋体" w:cs="宋体"/>
      <w:snapToGrid w:val="0"/>
      <w:sz w:val="24"/>
      <w:lang w:val="en-US" w:eastAsia="zh-CN" w:bidi="ar-SA"/>
    </w:rPr>
  </w:style>
  <w:style w:type="paragraph" w:customStyle="1" w:styleId="199">
    <w:name w:val="表头"/>
    <w:basedOn w:val="200"/>
    <w:next w:val="1"/>
    <w:link w:val="201"/>
    <w:qFormat/>
    <w:uiPriority w:val="0"/>
    <w:pPr>
      <w:adjustRightInd w:val="0"/>
      <w:snapToGrid w:val="0"/>
      <w:spacing w:line="480" w:lineRule="exact"/>
      <w:jc w:val="center"/>
    </w:pPr>
    <w:rPr>
      <w:sz w:val="24"/>
      <w:szCs w:val="20"/>
      <w:lang w:val="zh-CN"/>
    </w:rPr>
  </w:style>
  <w:style w:type="paragraph" w:customStyle="1" w:styleId="200">
    <w:name w:val="样式7"/>
    <w:basedOn w:val="1"/>
    <w:link w:val="516"/>
    <w:qFormat/>
    <w:uiPriority w:val="0"/>
    <w:pPr>
      <w:spacing w:line="540" w:lineRule="exact"/>
    </w:pPr>
    <w:rPr>
      <w:rFonts w:ascii="宋体" w:hAnsi="宋体"/>
      <w:b/>
      <w:bCs/>
      <w:spacing w:val="20"/>
      <w:sz w:val="32"/>
      <w:szCs w:val="32"/>
    </w:rPr>
  </w:style>
  <w:style w:type="character" w:customStyle="1" w:styleId="201">
    <w:name w:val="表头 Char"/>
    <w:link w:val="199"/>
    <w:qFormat/>
    <w:uiPriority w:val="0"/>
    <w:rPr>
      <w:b/>
      <w:kern w:val="2"/>
      <w:sz w:val="24"/>
      <w:lang w:val="zh-CN"/>
    </w:rPr>
  </w:style>
  <w:style w:type="paragraph" w:customStyle="1" w:styleId="202">
    <w:name w:val="环评"/>
    <w:basedOn w:val="1"/>
    <w:qFormat/>
    <w:uiPriority w:val="0"/>
    <w:pPr>
      <w:spacing w:beforeLines="10" w:afterLines="10" w:line="360" w:lineRule="exact"/>
      <w:ind w:firstLine="200" w:firstLineChars="200"/>
    </w:pPr>
    <w:rPr>
      <w:rFonts w:eastAsia="仿宋_GB2312"/>
      <w:bCs/>
      <w:sz w:val="24"/>
    </w:rPr>
  </w:style>
  <w:style w:type="character" w:customStyle="1" w:styleId="203">
    <w:name w:val="A标准格式 Char Char"/>
    <w:link w:val="204"/>
    <w:qFormat/>
    <w:uiPriority w:val="0"/>
    <w:rPr>
      <w:kern w:val="2"/>
      <w:sz w:val="24"/>
      <w:szCs w:val="24"/>
    </w:rPr>
  </w:style>
  <w:style w:type="paragraph" w:customStyle="1" w:styleId="204">
    <w:name w:val="A标准格式"/>
    <w:basedOn w:val="1"/>
    <w:link w:val="203"/>
    <w:qFormat/>
    <w:uiPriority w:val="0"/>
    <w:pPr>
      <w:spacing w:line="440" w:lineRule="exact"/>
      <w:ind w:firstLine="480" w:firstLineChars="200"/>
    </w:pPr>
    <w:rPr>
      <w:sz w:val="24"/>
    </w:rPr>
  </w:style>
  <w:style w:type="character" w:customStyle="1" w:styleId="205">
    <w:name w:val="报告正文-连续目录 Char Char"/>
    <w:link w:val="206"/>
    <w:qFormat/>
    <w:locked/>
    <w:uiPriority w:val="0"/>
    <w:rPr>
      <w:rFonts w:ascii="Arial" w:hAnsi="Arial" w:cs="Arial"/>
      <w:sz w:val="24"/>
      <w:szCs w:val="24"/>
    </w:rPr>
  </w:style>
  <w:style w:type="paragraph" w:customStyle="1" w:styleId="206">
    <w:name w:val="报告正文-连续目录"/>
    <w:basedOn w:val="1"/>
    <w:link w:val="205"/>
    <w:qFormat/>
    <w:uiPriority w:val="0"/>
    <w:pPr>
      <w:snapToGrid w:val="0"/>
      <w:spacing w:line="440" w:lineRule="exact"/>
      <w:ind w:firstLine="200" w:firstLineChars="200"/>
    </w:pPr>
    <w:rPr>
      <w:rFonts w:ascii="Arial" w:hAnsi="Arial" w:cs="Arial"/>
      <w:kern w:val="0"/>
      <w:sz w:val="24"/>
    </w:rPr>
  </w:style>
  <w:style w:type="paragraph" w:styleId="207">
    <w:name w:val="List Paragraph"/>
    <w:basedOn w:val="1"/>
    <w:qFormat/>
    <w:uiPriority w:val="0"/>
    <w:pPr>
      <w:widowControl/>
      <w:adjustRightInd w:val="0"/>
      <w:snapToGrid w:val="0"/>
      <w:spacing w:line="360" w:lineRule="auto"/>
      <w:ind w:firstLine="420" w:firstLineChars="200"/>
      <w:jc w:val="left"/>
    </w:pPr>
    <w:rPr>
      <w:rFonts w:ascii="Symusic" w:hAnsi="Symusic"/>
      <w:sz w:val="24"/>
      <w:szCs w:val="22"/>
    </w:rPr>
  </w:style>
  <w:style w:type="paragraph" w:customStyle="1" w:styleId="208">
    <w:name w:val="样式2"/>
    <w:basedOn w:val="1"/>
    <w:next w:val="1"/>
    <w:link w:val="209"/>
    <w:qFormat/>
    <w:uiPriority w:val="0"/>
    <w:pPr>
      <w:spacing w:line="360" w:lineRule="auto"/>
      <w:ind w:firstLine="200" w:firstLineChars="200"/>
    </w:pPr>
    <w:rPr>
      <w:kern w:val="0"/>
      <w:sz w:val="24"/>
      <w:szCs w:val="20"/>
    </w:rPr>
  </w:style>
  <w:style w:type="character" w:customStyle="1" w:styleId="209">
    <w:name w:val="样式2 Char"/>
    <w:link w:val="208"/>
    <w:qFormat/>
    <w:uiPriority w:val="0"/>
    <w:rPr>
      <w:sz w:val="24"/>
    </w:rPr>
  </w:style>
  <w:style w:type="paragraph" w:customStyle="1" w:styleId="210">
    <w:name w:val="123正文"/>
    <w:basedOn w:val="1"/>
    <w:qFormat/>
    <w:uiPriority w:val="0"/>
    <w:pPr>
      <w:spacing w:line="500" w:lineRule="exact"/>
      <w:ind w:firstLine="480" w:firstLineChars="200"/>
    </w:pPr>
    <w:rPr>
      <w:sz w:val="24"/>
      <w:szCs w:val="22"/>
    </w:rPr>
  </w:style>
  <w:style w:type="character" w:customStyle="1" w:styleId="211">
    <w:name w:val="表中文字 Char"/>
    <w:link w:val="212"/>
    <w:qFormat/>
    <w:locked/>
    <w:uiPriority w:val="0"/>
    <w:rPr>
      <w:kern w:val="2"/>
      <w:sz w:val="21"/>
      <w:szCs w:val="24"/>
    </w:rPr>
  </w:style>
  <w:style w:type="paragraph" w:customStyle="1" w:styleId="212">
    <w:name w:val="表中文字"/>
    <w:basedOn w:val="1"/>
    <w:link w:val="211"/>
    <w:qFormat/>
    <w:uiPriority w:val="0"/>
    <w:pPr>
      <w:adjustRightInd w:val="0"/>
      <w:snapToGrid w:val="0"/>
      <w:spacing w:line="400" w:lineRule="exact"/>
      <w:jc w:val="center"/>
    </w:pPr>
  </w:style>
  <w:style w:type="paragraph" w:customStyle="1" w:styleId="213">
    <w:name w:val="表文排版"/>
    <w:basedOn w:val="34"/>
    <w:qFormat/>
    <w:uiPriority w:val="0"/>
    <w:pPr>
      <w:widowControl w:val="0"/>
      <w:adjustRightInd w:val="0"/>
      <w:spacing w:before="0" w:after="0" w:line="240" w:lineRule="auto"/>
      <w:ind w:right="0"/>
      <w:jc w:val="center"/>
    </w:pPr>
    <w:rPr>
      <w:kern w:val="2"/>
      <w:sz w:val="22"/>
      <w:szCs w:val="24"/>
    </w:rPr>
  </w:style>
  <w:style w:type="character" w:customStyle="1" w:styleId="214">
    <w:name w:val="表格 Char Char"/>
    <w:qFormat/>
    <w:locked/>
    <w:uiPriority w:val="0"/>
    <w:rPr>
      <w:kern w:val="2"/>
      <w:sz w:val="24"/>
    </w:rPr>
  </w:style>
  <w:style w:type="paragraph" w:customStyle="1" w:styleId="215">
    <w:name w:val="正文(首行缩进)"/>
    <w:basedOn w:val="1"/>
    <w:link w:val="216"/>
    <w:qFormat/>
    <w:uiPriority w:val="0"/>
    <w:pPr>
      <w:spacing w:line="360" w:lineRule="auto"/>
      <w:ind w:firstLine="510"/>
    </w:pPr>
    <w:rPr>
      <w:rFonts w:ascii="宋体" w:hAnsi="宋体"/>
      <w:kern w:val="0"/>
      <w:sz w:val="24"/>
    </w:rPr>
  </w:style>
  <w:style w:type="character" w:customStyle="1" w:styleId="216">
    <w:name w:val="正文(首行缩进) Char"/>
    <w:link w:val="215"/>
    <w:qFormat/>
    <w:uiPriority w:val="0"/>
    <w:rPr>
      <w:rFonts w:ascii="宋体" w:hAnsi="宋体"/>
      <w:snapToGrid/>
      <w:sz w:val="24"/>
      <w:szCs w:val="24"/>
    </w:rPr>
  </w:style>
  <w:style w:type="paragraph" w:customStyle="1" w:styleId="217">
    <w:name w:val="表头图头"/>
    <w:basedOn w:val="1"/>
    <w:link w:val="218"/>
    <w:qFormat/>
    <w:uiPriority w:val="0"/>
    <w:pPr>
      <w:spacing w:line="440" w:lineRule="exact"/>
      <w:jc w:val="center"/>
    </w:pPr>
    <w:rPr>
      <w:b/>
      <w:color w:val="000000"/>
      <w:sz w:val="24"/>
    </w:rPr>
  </w:style>
  <w:style w:type="character" w:customStyle="1" w:styleId="218">
    <w:name w:val="表头图头 字符"/>
    <w:link w:val="217"/>
    <w:qFormat/>
    <w:uiPriority w:val="0"/>
    <w:rPr>
      <w:b/>
      <w:color w:val="000000"/>
      <w:kern w:val="2"/>
      <w:sz w:val="24"/>
      <w:szCs w:val="24"/>
    </w:rPr>
  </w:style>
  <w:style w:type="paragraph" w:customStyle="1" w:styleId="219">
    <w:name w:val="Normal+2"/>
    <w:basedOn w:val="2"/>
    <w:next w:val="2"/>
    <w:qFormat/>
    <w:uiPriority w:val="99"/>
    <w:pPr>
      <w:suppressAutoHyphens w:val="0"/>
      <w:adjustRightInd w:val="0"/>
      <w:textAlignment w:val="auto"/>
    </w:pPr>
    <w:rPr>
      <w:rFonts w:hAnsi="Times New Roman" w:cs="Times New Roman"/>
      <w:color w:val="auto"/>
    </w:rPr>
  </w:style>
  <w:style w:type="paragraph" w:customStyle="1" w:styleId="220">
    <w:name w:val="表格文字"/>
    <w:link w:val="221"/>
    <w:qFormat/>
    <w:uiPriority w:val="0"/>
    <w:pPr>
      <w:widowControl w:val="0"/>
      <w:adjustRightInd w:val="0"/>
      <w:snapToGrid w:val="0"/>
      <w:spacing w:line="360" w:lineRule="exact"/>
      <w:ind w:left="440" w:hanging="440"/>
      <w:textAlignment w:val="center"/>
    </w:pPr>
    <w:rPr>
      <w:rFonts w:ascii="Calibri" w:hAnsi="Calibri" w:eastAsia="宋体" w:cs="Calibri"/>
      <w:sz w:val="18"/>
      <w:szCs w:val="18"/>
      <w:lang w:val="en-US" w:eastAsia="zh-CN" w:bidi="ar-SA"/>
    </w:rPr>
  </w:style>
  <w:style w:type="character" w:customStyle="1" w:styleId="221">
    <w:name w:val="表格文字 Char"/>
    <w:link w:val="220"/>
    <w:qFormat/>
    <w:uiPriority w:val="0"/>
    <w:rPr>
      <w:sz w:val="18"/>
      <w:szCs w:val="18"/>
    </w:rPr>
  </w:style>
  <w:style w:type="character" w:customStyle="1" w:styleId="222">
    <w:name w:val="样式 表中文字 + Char Char"/>
    <w:link w:val="223"/>
    <w:qFormat/>
    <w:uiPriority w:val="0"/>
    <w:rPr>
      <w:sz w:val="21"/>
      <w:szCs w:val="21"/>
    </w:rPr>
  </w:style>
  <w:style w:type="paragraph" w:customStyle="1" w:styleId="223">
    <w:name w:val="样式 表中文字 +"/>
    <w:basedOn w:val="212"/>
    <w:link w:val="222"/>
    <w:qFormat/>
    <w:uiPriority w:val="0"/>
    <w:rPr>
      <w:kern w:val="0"/>
      <w:szCs w:val="21"/>
    </w:rPr>
  </w:style>
  <w:style w:type="character" w:customStyle="1" w:styleId="224">
    <w:name w:val="font21"/>
    <w:qFormat/>
    <w:uiPriority w:val="0"/>
    <w:rPr>
      <w:rFonts w:hint="eastAsia" w:ascii="宋体" w:hAnsi="宋体" w:eastAsia="宋体" w:cs="宋体"/>
      <w:color w:val="000000"/>
      <w:sz w:val="24"/>
      <w:szCs w:val="24"/>
      <w:u w:val="none"/>
    </w:rPr>
  </w:style>
  <w:style w:type="character" w:customStyle="1" w:styleId="225">
    <w:name w:val="font31"/>
    <w:qFormat/>
    <w:uiPriority w:val="0"/>
    <w:rPr>
      <w:rFonts w:hint="eastAsia" w:ascii="宋体" w:hAnsi="宋体" w:eastAsia="宋体" w:cs="宋体"/>
      <w:color w:val="000000"/>
      <w:sz w:val="24"/>
      <w:szCs w:val="24"/>
      <w:u w:val="none"/>
    </w:rPr>
  </w:style>
  <w:style w:type="character" w:customStyle="1" w:styleId="226">
    <w:name w:val="font11"/>
    <w:qFormat/>
    <w:uiPriority w:val="0"/>
    <w:rPr>
      <w:rFonts w:hint="eastAsia" w:ascii="宋体" w:hAnsi="宋体" w:eastAsia="宋体" w:cs="宋体"/>
      <w:color w:val="000000"/>
      <w:sz w:val="18"/>
      <w:szCs w:val="18"/>
      <w:u w:val="none"/>
    </w:rPr>
  </w:style>
  <w:style w:type="character" w:customStyle="1" w:styleId="227">
    <w:name w:val="font61"/>
    <w:qFormat/>
    <w:uiPriority w:val="0"/>
    <w:rPr>
      <w:rFonts w:hint="eastAsia" w:ascii="宋体" w:hAnsi="宋体" w:eastAsia="宋体" w:cs="宋体"/>
      <w:color w:val="000000"/>
      <w:sz w:val="20"/>
      <w:szCs w:val="20"/>
      <w:u w:val="none"/>
    </w:rPr>
  </w:style>
  <w:style w:type="paragraph" w:customStyle="1" w:styleId="228">
    <w:name w:val="编制依据-L"/>
    <w:basedOn w:val="207"/>
    <w:qFormat/>
    <w:uiPriority w:val="0"/>
    <w:pPr>
      <w:widowControl w:val="0"/>
      <w:numPr>
        <w:ilvl w:val="0"/>
        <w:numId w:val="2"/>
      </w:numPr>
      <w:spacing w:line="440" w:lineRule="exact"/>
      <w:ind w:left="5242" w:firstLine="0" w:firstLineChars="0"/>
      <w:jc w:val="both"/>
    </w:pPr>
    <w:rPr>
      <w:rFonts w:ascii="Times New Roman" w:hAnsi="Times New Roman" w:cs="Arial"/>
      <w:szCs w:val="21"/>
    </w:rPr>
  </w:style>
  <w:style w:type="paragraph" w:customStyle="1" w:styleId="229">
    <w:name w:val="表格内居中文字"/>
    <w:basedOn w:val="1"/>
    <w:qFormat/>
    <w:uiPriority w:val="0"/>
    <w:pPr>
      <w:spacing w:line="320" w:lineRule="atLeast"/>
      <w:jc w:val="center"/>
    </w:pPr>
    <w:rPr>
      <w:sz w:val="22"/>
    </w:rPr>
  </w:style>
  <w:style w:type="paragraph" w:customStyle="1" w:styleId="230">
    <w:name w:val="表格样式"/>
    <w:basedOn w:val="1"/>
    <w:link w:val="231"/>
    <w:qFormat/>
    <w:uiPriority w:val="0"/>
    <w:pPr>
      <w:spacing w:line="320" w:lineRule="exact"/>
      <w:contextualSpacing/>
      <w:jc w:val="center"/>
    </w:pPr>
    <w:rPr>
      <w:sz w:val="22"/>
      <w:szCs w:val="22"/>
    </w:rPr>
  </w:style>
  <w:style w:type="character" w:customStyle="1" w:styleId="231">
    <w:name w:val="表格样式 Char"/>
    <w:link w:val="230"/>
    <w:qFormat/>
    <w:uiPriority w:val="0"/>
    <w:rPr>
      <w:kern w:val="2"/>
      <w:sz w:val="22"/>
      <w:szCs w:val="22"/>
    </w:rPr>
  </w:style>
  <w:style w:type="character" w:customStyle="1" w:styleId="232">
    <w:name w:val="标题 4 字符"/>
    <w:qFormat/>
    <w:uiPriority w:val="0"/>
    <w:rPr>
      <w:rFonts w:ascii="等线 Light" w:hAnsi="等线 Light" w:eastAsia="等线 Light" w:cs="Times New Roman"/>
      <w:b/>
      <w:bCs/>
      <w:kern w:val="2"/>
      <w:sz w:val="28"/>
      <w:szCs w:val="28"/>
    </w:rPr>
  </w:style>
  <w:style w:type="character" w:customStyle="1" w:styleId="233">
    <w:name w:val="标题 5 字符"/>
    <w:qFormat/>
    <w:uiPriority w:val="0"/>
    <w:rPr>
      <w:b/>
      <w:bCs/>
      <w:kern w:val="2"/>
      <w:sz w:val="28"/>
      <w:szCs w:val="28"/>
    </w:rPr>
  </w:style>
  <w:style w:type="character" w:customStyle="1" w:styleId="234">
    <w:name w:val="标题 6 字符"/>
    <w:qFormat/>
    <w:uiPriority w:val="9"/>
    <w:rPr>
      <w:rFonts w:ascii="等线 Light" w:hAnsi="等线 Light" w:eastAsia="等线 Light" w:cs="Times New Roman"/>
      <w:b/>
      <w:bCs/>
      <w:kern w:val="2"/>
      <w:sz w:val="24"/>
      <w:szCs w:val="24"/>
    </w:rPr>
  </w:style>
  <w:style w:type="character" w:customStyle="1" w:styleId="235">
    <w:name w:val="标题 7 字符"/>
    <w:qFormat/>
    <w:uiPriority w:val="9"/>
    <w:rPr>
      <w:b/>
      <w:bCs/>
      <w:kern w:val="2"/>
      <w:sz w:val="24"/>
      <w:szCs w:val="24"/>
    </w:rPr>
  </w:style>
  <w:style w:type="character" w:customStyle="1" w:styleId="236">
    <w:name w:val="标题 8 字符"/>
    <w:qFormat/>
    <w:uiPriority w:val="9"/>
    <w:rPr>
      <w:rFonts w:ascii="等线 Light" w:hAnsi="等线 Light" w:eastAsia="等线 Light" w:cs="Times New Roman"/>
      <w:kern w:val="2"/>
      <w:sz w:val="24"/>
      <w:szCs w:val="24"/>
    </w:rPr>
  </w:style>
  <w:style w:type="character" w:customStyle="1" w:styleId="237">
    <w:name w:val="标题 9 字符"/>
    <w:qFormat/>
    <w:uiPriority w:val="9"/>
    <w:rPr>
      <w:rFonts w:ascii="等线 Light" w:hAnsi="等线 Light" w:eastAsia="等线 Light" w:cs="Times New Roman"/>
      <w:kern w:val="2"/>
      <w:sz w:val="21"/>
      <w:szCs w:val="21"/>
    </w:rPr>
  </w:style>
  <w:style w:type="character" w:customStyle="1" w:styleId="238">
    <w:name w:val="宏文本 字符"/>
    <w:qFormat/>
    <w:uiPriority w:val="0"/>
    <w:rPr>
      <w:rFonts w:ascii="Courier New" w:hAnsi="Courier New" w:cs="Courier New"/>
      <w:kern w:val="2"/>
      <w:sz w:val="24"/>
      <w:szCs w:val="24"/>
    </w:rPr>
  </w:style>
  <w:style w:type="character" w:customStyle="1" w:styleId="239">
    <w:name w:val="标题 2 Char"/>
    <w:qFormat/>
    <w:uiPriority w:val="0"/>
    <w:rPr>
      <w:rFonts w:ascii="Calibri Light" w:hAnsi="Calibri Light" w:eastAsia="宋体" w:cs="Times New Roman"/>
      <w:b/>
      <w:bCs/>
      <w:kern w:val="2"/>
      <w:sz w:val="32"/>
      <w:szCs w:val="32"/>
    </w:rPr>
  </w:style>
  <w:style w:type="character" w:customStyle="1" w:styleId="240">
    <w:name w:val="标题 3 Char"/>
    <w:qFormat/>
    <w:uiPriority w:val="0"/>
    <w:rPr>
      <w:b/>
      <w:bCs/>
      <w:kern w:val="2"/>
      <w:sz w:val="32"/>
      <w:szCs w:val="32"/>
    </w:rPr>
  </w:style>
  <w:style w:type="paragraph" w:customStyle="1" w:styleId="241">
    <w:name w:val="_Style 112"/>
    <w:basedOn w:val="1"/>
    <w:next w:val="207"/>
    <w:link w:val="242"/>
    <w:qFormat/>
    <w:uiPriority w:val="34"/>
    <w:pPr>
      <w:spacing w:line="360" w:lineRule="auto"/>
      <w:ind w:firstLine="420" w:firstLineChars="200"/>
    </w:pPr>
    <w:rPr>
      <w:sz w:val="24"/>
    </w:rPr>
  </w:style>
  <w:style w:type="character" w:customStyle="1" w:styleId="242">
    <w:name w:val="列出段落 Char"/>
    <w:link w:val="241"/>
    <w:qFormat/>
    <w:uiPriority w:val="34"/>
    <w:rPr>
      <w:kern w:val="2"/>
      <w:sz w:val="24"/>
      <w:szCs w:val="24"/>
    </w:rPr>
  </w:style>
  <w:style w:type="character" w:customStyle="1" w:styleId="243">
    <w:name w:val="注释标题 字符"/>
    <w:qFormat/>
    <w:uiPriority w:val="0"/>
    <w:rPr>
      <w:kern w:val="2"/>
      <w:sz w:val="21"/>
      <w:szCs w:val="24"/>
    </w:rPr>
  </w:style>
  <w:style w:type="character" w:customStyle="1" w:styleId="244">
    <w:name w:val="电子邮件签名 字符"/>
    <w:qFormat/>
    <w:uiPriority w:val="0"/>
    <w:rPr>
      <w:kern w:val="2"/>
      <w:sz w:val="21"/>
      <w:szCs w:val="24"/>
    </w:rPr>
  </w:style>
  <w:style w:type="character" w:customStyle="1" w:styleId="245">
    <w:name w:val="文档结构图 字符"/>
    <w:qFormat/>
    <w:uiPriority w:val="0"/>
    <w:rPr>
      <w:rFonts w:ascii="Microsoft YaHei UI" w:eastAsia="Microsoft YaHei UI"/>
      <w:kern w:val="2"/>
      <w:sz w:val="18"/>
      <w:szCs w:val="18"/>
    </w:rPr>
  </w:style>
  <w:style w:type="character" w:customStyle="1" w:styleId="246">
    <w:name w:val="批注文字 Char"/>
    <w:qFormat/>
    <w:locked/>
    <w:uiPriority w:val="0"/>
    <w:rPr>
      <w:rFonts w:ascii="Times New Roman" w:hAnsi="Times New Roman" w:eastAsia="宋体"/>
      <w:sz w:val="24"/>
    </w:rPr>
  </w:style>
  <w:style w:type="character" w:customStyle="1" w:styleId="247">
    <w:name w:val="称呼 字符"/>
    <w:qFormat/>
    <w:uiPriority w:val="0"/>
    <w:rPr>
      <w:kern w:val="2"/>
      <w:sz w:val="21"/>
      <w:szCs w:val="24"/>
    </w:rPr>
  </w:style>
  <w:style w:type="character" w:customStyle="1" w:styleId="248">
    <w:name w:val="正文文本 3 字符"/>
    <w:qFormat/>
    <w:uiPriority w:val="0"/>
    <w:rPr>
      <w:kern w:val="2"/>
      <w:sz w:val="16"/>
      <w:szCs w:val="16"/>
    </w:rPr>
  </w:style>
  <w:style w:type="character" w:customStyle="1" w:styleId="249">
    <w:name w:val="结束语 字符"/>
    <w:qFormat/>
    <w:uiPriority w:val="0"/>
    <w:rPr>
      <w:kern w:val="2"/>
      <w:sz w:val="21"/>
      <w:szCs w:val="24"/>
    </w:rPr>
  </w:style>
  <w:style w:type="character" w:customStyle="1" w:styleId="250">
    <w:name w:val="正文文本 Char"/>
    <w:qFormat/>
    <w:locked/>
    <w:uiPriority w:val="0"/>
    <w:rPr>
      <w:sz w:val="18"/>
    </w:rPr>
  </w:style>
  <w:style w:type="character" w:customStyle="1" w:styleId="251">
    <w:name w:val="正文文本缩进 Char"/>
    <w:qFormat/>
    <w:locked/>
    <w:uiPriority w:val="99"/>
    <w:rPr>
      <w:rFonts w:ascii="Times New Roman" w:hAnsi="Times New Roman" w:eastAsia="宋体"/>
      <w:sz w:val="24"/>
    </w:rPr>
  </w:style>
  <w:style w:type="character" w:customStyle="1" w:styleId="252">
    <w:name w:val="HTML 地址 字符"/>
    <w:qFormat/>
    <w:uiPriority w:val="0"/>
    <w:rPr>
      <w:i/>
      <w:iCs/>
      <w:kern w:val="2"/>
      <w:sz w:val="21"/>
      <w:szCs w:val="24"/>
    </w:rPr>
  </w:style>
  <w:style w:type="character" w:customStyle="1" w:styleId="253">
    <w:name w:val="纯文本 Char"/>
    <w:qFormat/>
    <w:uiPriority w:val="39"/>
    <w:rPr>
      <w:rFonts w:ascii="宋体" w:hAnsi="Courier New"/>
      <w:kern w:val="2"/>
      <w:sz w:val="26"/>
      <w:szCs w:val="26"/>
    </w:rPr>
  </w:style>
  <w:style w:type="character" w:customStyle="1" w:styleId="254">
    <w:name w:val="日期 Char"/>
    <w:qFormat/>
    <w:locked/>
    <w:uiPriority w:val="99"/>
    <w:rPr>
      <w:rFonts w:ascii="Times New Roman" w:hAnsi="Times New Roman" w:eastAsia="宋体"/>
      <w:sz w:val="24"/>
    </w:rPr>
  </w:style>
  <w:style w:type="character" w:customStyle="1" w:styleId="255">
    <w:name w:val="正文文本缩进 2 字符"/>
    <w:qFormat/>
    <w:uiPriority w:val="0"/>
    <w:rPr>
      <w:kern w:val="2"/>
      <w:sz w:val="21"/>
      <w:szCs w:val="24"/>
    </w:rPr>
  </w:style>
  <w:style w:type="character" w:customStyle="1" w:styleId="256">
    <w:name w:val="尾注文本 字符"/>
    <w:qFormat/>
    <w:uiPriority w:val="99"/>
    <w:rPr>
      <w:kern w:val="2"/>
      <w:sz w:val="21"/>
      <w:szCs w:val="24"/>
    </w:rPr>
  </w:style>
  <w:style w:type="character" w:customStyle="1" w:styleId="257">
    <w:name w:val="批注框文本 Char"/>
    <w:qFormat/>
    <w:locked/>
    <w:uiPriority w:val="99"/>
    <w:rPr>
      <w:rFonts w:ascii="Times New Roman" w:hAnsi="Times New Roman" w:eastAsia="宋体"/>
      <w:sz w:val="18"/>
    </w:rPr>
  </w:style>
  <w:style w:type="character" w:customStyle="1" w:styleId="258">
    <w:name w:val="页脚 Char"/>
    <w:qFormat/>
    <w:locked/>
    <w:uiPriority w:val="99"/>
    <w:rPr>
      <w:sz w:val="18"/>
    </w:rPr>
  </w:style>
  <w:style w:type="character" w:customStyle="1" w:styleId="259">
    <w:name w:val="页眉 Char"/>
    <w:qFormat/>
    <w:locked/>
    <w:uiPriority w:val="0"/>
    <w:rPr>
      <w:sz w:val="18"/>
    </w:rPr>
  </w:style>
  <w:style w:type="character" w:customStyle="1" w:styleId="260">
    <w:name w:val="签名 字符"/>
    <w:qFormat/>
    <w:uiPriority w:val="0"/>
    <w:rPr>
      <w:kern w:val="2"/>
      <w:sz w:val="21"/>
      <w:szCs w:val="24"/>
    </w:rPr>
  </w:style>
  <w:style w:type="character" w:customStyle="1" w:styleId="261">
    <w:name w:val="副标题 字符"/>
    <w:qFormat/>
    <w:uiPriority w:val="11"/>
    <w:rPr>
      <w:rFonts w:ascii="等线 Light" w:hAnsi="等线 Light" w:cs="Times New Roman"/>
      <w:b/>
      <w:bCs/>
      <w:kern w:val="28"/>
      <w:sz w:val="32"/>
      <w:szCs w:val="32"/>
    </w:rPr>
  </w:style>
  <w:style w:type="character" w:customStyle="1" w:styleId="262">
    <w:name w:val="脚注文本 字符"/>
    <w:qFormat/>
    <w:uiPriority w:val="0"/>
    <w:rPr>
      <w:kern w:val="2"/>
      <w:sz w:val="18"/>
      <w:szCs w:val="18"/>
    </w:rPr>
  </w:style>
  <w:style w:type="character" w:customStyle="1" w:styleId="263">
    <w:name w:val="正文文本缩进 3 字符"/>
    <w:qFormat/>
    <w:uiPriority w:val="0"/>
    <w:rPr>
      <w:kern w:val="2"/>
      <w:sz w:val="16"/>
      <w:szCs w:val="16"/>
    </w:rPr>
  </w:style>
  <w:style w:type="character" w:customStyle="1" w:styleId="264">
    <w:name w:val="正文文本 2 字符"/>
    <w:qFormat/>
    <w:uiPriority w:val="0"/>
    <w:rPr>
      <w:kern w:val="2"/>
      <w:sz w:val="21"/>
      <w:szCs w:val="24"/>
    </w:rPr>
  </w:style>
  <w:style w:type="character" w:customStyle="1" w:styleId="265">
    <w:name w:val="信息标题 字符"/>
    <w:qFormat/>
    <w:uiPriority w:val="0"/>
    <w:rPr>
      <w:rFonts w:ascii="等线 Light" w:hAnsi="等线 Light" w:eastAsia="等线 Light" w:cs="Times New Roman"/>
      <w:kern w:val="2"/>
      <w:sz w:val="24"/>
      <w:szCs w:val="24"/>
      <w:shd w:val="pct20" w:color="auto" w:fill="auto"/>
    </w:rPr>
  </w:style>
  <w:style w:type="character" w:customStyle="1" w:styleId="266">
    <w:name w:val="HTML 预设格式 字符"/>
    <w:qFormat/>
    <w:uiPriority w:val="0"/>
    <w:rPr>
      <w:rFonts w:ascii="Courier New" w:hAnsi="Courier New" w:cs="Courier New"/>
      <w:kern w:val="2"/>
    </w:rPr>
  </w:style>
  <w:style w:type="character" w:customStyle="1" w:styleId="267">
    <w:name w:val="普通(网站) Char"/>
    <w:qFormat/>
    <w:locked/>
    <w:uiPriority w:val="99"/>
    <w:rPr>
      <w:rFonts w:ascii="宋体" w:hAnsi="宋体" w:eastAsia="宋体"/>
      <w:sz w:val="24"/>
    </w:rPr>
  </w:style>
  <w:style w:type="character" w:customStyle="1" w:styleId="268">
    <w:name w:val="标题 Char"/>
    <w:qFormat/>
    <w:uiPriority w:val="10"/>
    <w:rPr>
      <w:rFonts w:ascii="Cambria" w:hAnsi="Cambria" w:cs="Cambria"/>
      <w:b/>
      <w:bCs/>
      <w:kern w:val="2"/>
      <w:sz w:val="32"/>
      <w:szCs w:val="32"/>
    </w:rPr>
  </w:style>
  <w:style w:type="character" w:customStyle="1" w:styleId="269">
    <w:name w:val="批注主题 Char"/>
    <w:qFormat/>
    <w:locked/>
    <w:uiPriority w:val="99"/>
    <w:rPr>
      <w:rFonts w:ascii="Times New Roman" w:hAnsi="Times New Roman" w:eastAsia="宋体"/>
      <w:b/>
      <w:kern w:val="2"/>
      <w:sz w:val="24"/>
    </w:rPr>
  </w:style>
  <w:style w:type="character" w:customStyle="1" w:styleId="270">
    <w:name w:val="正文首行缩进 Char"/>
    <w:qFormat/>
    <w:uiPriority w:val="0"/>
    <w:rPr>
      <w:kern w:val="2"/>
      <w:sz w:val="30"/>
    </w:rPr>
  </w:style>
  <w:style w:type="character" w:customStyle="1" w:styleId="271">
    <w:name w:val="正文首行缩进 2 Char"/>
    <w:qFormat/>
    <w:uiPriority w:val="0"/>
    <w:rPr>
      <w:rFonts w:ascii="宋体" w:hAnsi="宋体" w:eastAsia="宋体" w:cs="宋体"/>
      <w:sz w:val="21"/>
      <w:szCs w:val="24"/>
    </w:rPr>
  </w:style>
  <w:style w:type="paragraph" w:customStyle="1" w:styleId="272">
    <w:name w:val="表中的文字"/>
    <w:basedOn w:val="1"/>
    <w:link w:val="273"/>
    <w:qFormat/>
    <w:uiPriority w:val="0"/>
    <w:pPr>
      <w:adjustRightInd w:val="0"/>
      <w:snapToGrid w:val="0"/>
      <w:spacing w:line="360" w:lineRule="exact"/>
      <w:jc w:val="center"/>
    </w:pPr>
    <w:rPr>
      <w:szCs w:val="21"/>
    </w:rPr>
  </w:style>
  <w:style w:type="character" w:customStyle="1" w:styleId="273">
    <w:name w:val="表中的文字 Char"/>
    <w:link w:val="272"/>
    <w:qFormat/>
    <w:uiPriority w:val="0"/>
    <w:rPr>
      <w:rFonts w:ascii="Calibri" w:hAnsi="Calibri"/>
      <w:kern w:val="2"/>
      <w:sz w:val="21"/>
      <w:szCs w:val="21"/>
    </w:rPr>
  </w:style>
  <w:style w:type="character" w:customStyle="1" w:styleId="274">
    <w:name w:val="font01"/>
    <w:qFormat/>
    <w:uiPriority w:val="0"/>
    <w:rPr>
      <w:rFonts w:hint="eastAsia" w:ascii="宋体" w:hAnsi="宋体" w:eastAsia="宋体"/>
      <w:color w:val="000000"/>
      <w:sz w:val="20"/>
      <w:szCs w:val="20"/>
      <w:u w:val="none"/>
    </w:rPr>
  </w:style>
  <w:style w:type="paragraph" w:customStyle="1" w:styleId="275">
    <w:name w:val="Table Paragraph"/>
    <w:basedOn w:val="1"/>
    <w:qFormat/>
    <w:uiPriority w:val="1"/>
    <w:pPr>
      <w:jc w:val="center"/>
    </w:pPr>
    <w:rPr>
      <w:rFonts w:ascii="宋体" w:hAnsi="宋体" w:cs="宋体"/>
      <w:kern w:val="0"/>
      <w:sz w:val="22"/>
      <w:szCs w:val="22"/>
      <w:lang w:eastAsia="en-US"/>
    </w:rPr>
  </w:style>
  <w:style w:type="paragraph" w:customStyle="1" w:styleId="276">
    <w:name w:val="样式3"/>
    <w:basedOn w:val="1"/>
    <w:link w:val="277"/>
    <w:qFormat/>
    <w:uiPriority w:val="0"/>
    <w:pPr>
      <w:spacing w:line="440" w:lineRule="exact"/>
      <w:jc w:val="center"/>
    </w:pPr>
    <w:rPr>
      <w:bCs/>
      <w:sz w:val="24"/>
      <w:szCs w:val="20"/>
    </w:rPr>
  </w:style>
  <w:style w:type="character" w:customStyle="1" w:styleId="277">
    <w:name w:val="样式3 Char2"/>
    <w:link w:val="276"/>
    <w:qFormat/>
    <w:uiPriority w:val="0"/>
    <w:rPr>
      <w:bCs/>
      <w:kern w:val="2"/>
      <w:sz w:val="24"/>
    </w:rPr>
  </w:style>
  <w:style w:type="table" w:customStyle="1" w:styleId="278">
    <w:name w:val="网格型111"/>
    <w:basedOn w:val="81"/>
    <w:unhideWhenUsed/>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79">
    <w:name w:val="目录 71"/>
    <w:basedOn w:val="1"/>
    <w:next w:val="1"/>
    <w:unhideWhenUsed/>
    <w:qFormat/>
    <w:uiPriority w:val="39"/>
    <w:pPr>
      <w:spacing w:line="360" w:lineRule="auto"/>
      <w:ind w:left="1260" w:firstLine="200" w:firstLineChars="200"/>
      <w:jc w:val="left"/>
    </w:pPr>
    <w:rPr>
      <w:sz w:val="18"/>
      <w:szCs w:val="18"/>
    </w:rPr>
  </w:style>
  <w:style w:type="paragraph" w:customStyle="1" w:styleId="280">
    <w:name w:val="目录 51"/>
    <w:basedOn w:val="1"/>
    <w:next w:val="1"/>
    <w:unhideWhenUsed/>
    <w:qFormat/>
    <w:uiPriority w:val="39"/>
    <w:pPr>
      <w:spacing w:line="360" w:lineRule="auto"/>
      <w:ind w:firstLine="200" w:firstLineChars="200"/>
      <w:jc w:val="left"/>
    </w:pPr>
    <w:rPr>
      <w:sz w:val="24"/>
      <w:szCs w:val="18"/>
    </w:rPr>
  </w:style>
  <w:style w:type="paragraph" w:customStyle="1" w:styleId="281">
    <w:name w:val="目录 31"/>
    <w:basedOn w:val="1"/>
    <w:next w:val="1"/>
    <w:unhideWhenUsed/>
    <w:qFormat/>
    <w:uiPriority w:val="39"/>
    <w:pPr>
      <w:spacing w:line="360" w:lineRule="auto"/>
      <w:ind w:left="420" w:firstLine="200" w:firstLineChars="200"/>
      <w:jc w:val="left"/>
    </w:pPr>
    <w:rPr>
      <w:i/>
      <w:iCs/>
      <w:sz w:val="20"/>
      <w:szCs w:val="20"/>
    </w:rPr>
  </w:style>
  <w:style w:type="paragraph" w:customStyle="1" w:styleId="282">
    <w:name w:val="目录 81"/>
    <w:basedOn w:val="1"/>
    <w:next w:val="1"/>
    <w:unhideWhenUsed/>
    <w:qFormat/>
    <w:uiPriority w:val="39"/>
    <w:pPr>
      <w:spacing w:line="360" w:lineRule="auto"/>
      <w:ind w:left="1470" w:firstLine="200" w:firstLineChars="200"/>
      <w:jc w:val="left"/>
    </w:pPr>
    <w:rPr>
      <w:sz w:val="18"/>
      <w:szCs w:val="18"/>
    </w:rPr>
  </w:style>
  <w:style w:type="paragraph" w:customStyle="1" w:styleId="283">
    <w:name w:val="目录 11"/>
    <w:basedOn w:val="1"/>
    <w:next w:val="1"/>
    <w:unhideWhenUsed/>
    <w:qFormat/>
    <w:uiPriority w:val="39"/>
    <w:pPr>
      <w:tabs>
        <w:tab w:val="right" w:leader="dot" w:pos="9060"/>
      </w:tabs>
      <w:spacing w:before="120" w:after="120" w:line="360" w:lineRule="auto"/>
      <w:ind w:firstLine="200" w:firstLineChars="200"/>
      <w:jc w:val="center"/>
    </w:pPr>
    <w:rPr>
      <w:b/>
      <w:bCs/>
      <w:caps/>
      <w:sz w:val="20"/>
      <w:szCs w:val="20"/>
    </w:rPr>
  </w:style>
  <w:style w:type="paragraph" w:customStyle="1" w:styleId="284">
    <w:name w:val="目录 41"/>
    <w:basedOn w:val="1"/>
    <w:next w:val="1"/>
    <w:unhideWhenUsed/>
    <w:qFormat/>
    <w:uiPriority w:val="39"/>
    <w:pPr>
      <w:spacing w:line="360" w:lineRule="auto"/>
      <w:ind w:left="630" w:firstLine="200" w:firstLineChars="200"/>
      <w:jc w:val="left"/>
    </w:pPr>
    <w:rPr>
      <w:sz w:val="18"/>
      <w:szCs w:val="18"/>
    </w:rPr>
  </w:style>
  <w:style w:type="paragraph" w:customStyle="1" w:styleId="285">
    <w:name w:val="目录 61"/>
    <w:basedOn w:val="1"/>
    <w:next w:val="1"/>
    <w:unhideWhenUsed/>
    <w:qFormat/>
    <w:uiPriority w:val="39"/>
    <w:pPr>
      <w:spacing w:line="360" w:lineRule="auto"/>
      <w:ind w:left="1050" w:firstLine="200" w:firstLineChars="200"/>
      <w:jc w:val="left"/>
    </w:pPr>
    <w:rPr>
      <w:sz w:val="18"/>
      <w:szCs w:val="18"/>
    </w:rPr>
  </w:style>
  <w:style w:type="paragraph" w:customStyle="1" w:styleId="286">
    <w:name w:val="目录 21"/>
    <w:basedOn w:val="1"/>
    <w:next w:val="1"/>
    <w:unhideWhenUsed/>
    <w:qFormat/>
    <w:uiPriority w:val="39"/>
    <w:pPr>
      <w:spacing w:line="360" w:lineRule="auto"/>
      <w:ind w:left="210" w:firstLine="200" w:firstLineChars="200"/>
      <w:jc w:val="left"/>
    </w:pPr>
    <w:rPr>
      <w:smallCaps/>
      <w:sz w:val="20"/>
      <w:szCs w:val="20"/>
    </w:rPr>
  </w:style>
  <w:style w:type="paragraph" w:customStyle="1" w:styleId="287">
    <w:name w:val="目录 91"/>
    <w:basedOn w:val="1"/>
    <w:next w:val="1"/>
    <w:unhideWhenUsed/>
    <w:qFormat/>
    <w:uiPriority w:val="39"/>
    <w:pPr>
      <w:spacing w:line="360" w:lineRule="auto"/>
      <w:ind w:left="1680" w:firstLine="200" w:firstLineChars="200"/>
      <w:jc w:val="left"/>
    </w:pPr>
    <w:rPr>
      <w:sz w:val="18"/>
      <w:szCs w:val="18"/>
    </w:rPr>
  </w:style>
  <w:style w:type="table" w:customStyle="1" w:styleId="288">
    <w:name w:val="网格型112"/>
    <w:basedOn w:val="81"/>
    <w:unhideWhenUsed/>
    <w:qFormat/>
    <w:uiPriority w:val="3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89">
    <w:name w:val="流程"/>
    <w:basedOn w:val="1"/>
    <w:qFormat/>
    <w:uiPriority w:val="0"/>
    <w:pPr>
      <w:topLinePunct/>
      <w:adjustRightInd w:val="0"/>
      <w:snapToGrid w:val="0"/>
      <w:spacing w:line="360" w:lineRule="auto"/>
      <w:ind w:firstLine="200" w:firstLineChars="200"/>
      <w:jc w:val="center"/>
    </w:pPr>
    <w:rPr>
      <w:sz w:val="18"/>
      <w:szCs w:val="18"/>
    </w:rPr>
  </w:style>
  <w:style w:type="paragraph" w:customStyle="1" w:styleId="290">
    <w:name w:val="默认段落字体 Para Char Char Char Char"/>
    <w:basedOn w:val="1"/>
    <w:qFormat/>
    <w:uiPriority w:val="0"/>
    <w:pPr>
      <w:spacing w:line="360" w:lineRule="auto"/>
      <w:ind w:firstLine="200" w:firstLineChars="200"/>
    </w:pPr>
    <w:rPr>
      <w:sz w:val="24"/>
      <w:szCs w:val="21"/>
    </w:rPr>
  </w:style>
  <w:style w:type="character" w:customStyle="1" w:styleId="291">
    <w:name w:val="10"/>
    <w:qFormat/>
    <w:uiPriority w:val="0"/>
    <w:rPr>
      <w:rFonts w:hint="default" w:ascii="Times New Roman" w:hAnsi="Times New Roman" w:cs="Times New Roman"/>
    </w:rPr>
  </w:style>
  <w:style w:type="character" w:customStyle="1" w:styleId="292">
    <w:name w:val="15"/>
    <w:qFormat/>
    <w:uiPriority w:val="0"/>
    <w:rPr>
      <w:rFonts w:hint="default" w:ascii="Times New Roman" w:hAnsi="Times New Roman" w:cs="Times New Roman"/>
    </w:rPr>
  </w:style>
  <w:style w:type="paragraph" w:customStyle="1" w:styleId="293">
    <w:name w:val="表格111"/>
    <w:qFormat/>
    <w:uiPriority w:val="0"/>
    <w:pPr>
      <w:jc w:val="center"/>
    </w:pPr>
    <w:rPr>
      <w:rFonts w:ascii="Calibri" w:hAnsi="Calibri" w:eastAsia="宋体" w:cs="Calibri"/>
      <w:kern w:val="2"/>
      <w:sz w:val="21"/>
      <w:szCs w:val="21"/>
      <w:lang w:val="en-US" w:eastAsia="zh-CN" w:bidi="ar-SA"/>
    </w:rPr>
  </w:style>
  <w:style w:type="character" w:styleId="294">
    <w:name w:val="Placeholder Text"/>
    <w:unhideWhenUsed/>
    <w:qFormat/>
    <w:uiPriority w:val="99"/>
    <w:rPr>
      <w:color w:val="808080"/>
    </w:rPr>
  </w:style>
  <w:style w:type="paragraph" w:customStyle="1" w:styleId="295">
    <w:name w:val="正文四号"/>
    <w:basedOn w:val="1"/>
    <w:link w:val="296"/>
    <w:qFormat/>
    <w:uiPriority w:val="0"/>
    <w:pPr>
      <w:spacing w:before="100" w:beforeAutospacing="1" w:afterLines="50" w:line="360" w:lineRule="auto"/>
      <w:ind w:firstLine="200" w:firstLineChars="200"/>
    </w:pPr>
    <w:rPr>
      <w:sz w:val="24"/>
    </w:rPr>
  </w:style>
  <w:style w:type="character" w:customStyle="1" w:styleId="296">
    <w:name w:val="正文四号 Char"/>
    <w:link w:val="295"/>
    <w:qFormat/>
    <w:locked/>
    <w:uiPriority w:val="0"/>
    <w:rPr>
      <w:kern w:val="2"/>
      <w:sz w:val="24"/>
      <w:szCs w:val="24"/>
    </w:rPr>
  </w:style>
  <w:style w:type="paragraph" w:customStyle="1" w:styleId="297">
    <w:name w:val="01正文"/>
    <w:basedOn w:val="1"/>
    <w:qFormat/>
    <w:uiPriority w:val="0"/>
    <w:pPr>
      <w:adjustRightInd w:val="0"/>
      <w:snapToGrid w:val="0"/>
      <w:spacing w:line="480" w:lineRule="exact"/>
      <w:ind w:firstLine="520" w:firstLineChars="200"/>
    </w:pPr>
    <w:rPr>
      <w:sz w:val="26"/>
      <w:szCs w:val="26"/>
    </w:rPr>
  </w:style>
  <w:style w:type="character" w:customStyle="1" w:styleId="298">
    <w:name w:val="不明显强调1"/>
    <w:qFormat/>
    <w:uiPriority w:val="19"/>
    <w:rPr>
      <w:i/>
      <w:iCs/>
      <w:color w:val="404040"/>
    </w:rPr>
  </w:style>
  <w:style w:type="paragraph" w:styleId="299">
    <w:name w:val="No Spacing"/>
    <w:link w:val="300"/>
    <w:qFormat/>
    <w:uiPriority w:val="0"/>
    <w:pPr>
      <w:widowControl w:val="0"/>
      <w:jc w:val="both"/>
    </w:pPr>
    <w:rPr>
      <w:rFonts w:ascii="Calibri" w:hAnsi="Calibri" w:eastAsia="宋体" w:cs="Calibri"/>
      <w:kern w:val="2"/>
      <w:sz w:val="21"/>
      <w:szCs w:val="24"/>
      <w:lang w:val="en-US" w:eastAsia="zh-CN" w:bidi="ar-SA"/>
    </w:rPr>
  </w:style>
  <w:style w:type="character" w:customStyle="1" w:styleId="300">
    <w:name w:val="无间隔 字符"/>
    <w:link w:val="299"/>
    <w:qFormat/>
    <w:uiPriority w:val="0"/>
    <w:rPr>
      <w:kern w:val="2"/>
      <w:sz w:val="21"/>
      <w:szCs w:val="24"/>
    </w:rPr>
  </w:style>
  <w:style w:type="paragraph" w:customStyle="1" w:styleId="301">
    <w:name w:val="引用1"/>
    <w:basedOn w:val="1"/>
    <w:next w:val="1"/>
    <w:qFormat/>
    <w:uiPriority w:val="0"/>
    <w:pPr>
      <w:spacing w:before="200" w:after="160" w:line="360" w:lineRule="auto"/>
      <w:ind w:left="864" w:right="864" w:firstLine="200" w:firstLineChars="200"/>
      <w:jc w:val="center"/>
    </w:pPr>
    <w:rPr>
      <w:i/>
      <w:iCs/>
      <w:color w:val="404040"/>
      <w:sz w:val="24"/>
    </w:rPr>
  </w:style>
  <w:style w:type="character" w:customStyle="1" w:styleId="302">
    <w:name w:val="引用 Char"/>
    <w:qFormat/>
    <w:uiPriority w:val="0"/>
    <w:rPr>
      <w:rFonts w:ascii="Times New Roman" w:hAnsi="Times New Roman" w:eastAsia="宋体" w:cs="Times New Roman"/>
      <w:i/>
      <w:iCs/>
      <w:color w:val="404040"/>
      <w:kern w:val="2"/>
      <w:sz w:val="21"/>
      <w:szCs w:val="24"/>
    </w:rPr>
  </w:style>
  <w:style w:type="paragraph" w:styleId="303">
    <w:name w:val="Quote"/>
    <w:basedOn w:val="1"/>
    <w:next w:val="1"/>
    <w:link w:val="304"/>
    <w:qFormat/>
    <w:uiPriority w:val="29"/>
    <w:pPr>
      <w:spacing w:before="200" w:after="160"/>
      <w:ind w:left="864" w:right="864"/>
      <w:jc w:val="center"/>
    </w:pPr>
    <w:rPr>
      <w:i/>
      <w:iCs/>
      <w:color w:val="404040"/>
    </w:rPr>
  </w:style>
  <w:style w:type="character" w:customStyle="1" w:styleId="304">
    <w:name w:val="引用 字符2"/>
    <w:link w:val="303"/>
    <w:qFormat/>
    <w:uiPriority w:val="0"/>
    <w:rPr>
      <w:i/>
      <w:iCs/>
      <w:color w:val="404040"/>
      <w:kern w:val="2"/>
      <w:sz w:val="21"/>
      <w:szCs w:val="24"/>
    </w:rPr>
  </w:style>
  <w:style w:type="character" w:customStyle="1" w:styleId="305">
    <w:name w:val="引用 字符"/>
    <w:qFormat/>
    <w:uiPriority w:val="29"/>
    <w:rPr>
      <w:i/>
      <w:iCs/>
      <w:color w:val="404040"/>
      <w:kern w:val="2"/>
      <w:sz w:val="21"/>
      <w:szCs w:val="24"/>
    </w:rPr>
  </w:style>
  <w:style w:type="paragraph" w:customStyle="1" w:styleId="306">
    <w:name w:val="正文001"/>
    <w:basedOn w:val="1"/>
    <w:link w:val="307"/>
    <w:qFormat/>
    <w:uiPriority w:val="0"/>
    <w:pPr>
      <w:spacing w:before="60" w:after="100" w:afterAutospacing="1" w:line="460" w:lineRule="exact"/>
      <w:ind w:firstLine="200" w:firstLineChars="200"/>
    </w:pPr>
    <w:rPr>
      <w:rFonts w:ascii="Arial" w:hAnsi="Arial" w:cs="Arial"/>
      <w:sz w:val="24"/>
    </w:rPr>
  </w:style>
  <w:style w:type="character" w:customStyle="1" w:styleId="307">
    <w:name w:val="正文001 Char"/>
    <w:link w:val="306"/>
    <w:qFormat/>
    <w:uiPriority w:val="0"/>
    <w:rPr>
      <w:rFonts w:ascii="Arial" w:hAnsi="Arial" w:cs="Arial"/>
      <w:kern w:val="2"/>
      <w:sz w:val="24"/>
      <w:szCs w:val="24"/>
    </w:rPr>
  </w:style>
  <w:style w:type="paragraph" w:customStyle="1" w:styleId="308">
    <w:name w:val="表格正文"/>
    <w:basedOn w:val="1"/>
    <w:link w:val="309"/>
    <w:qFormat/>
    <w:uiPriority w:val="0"/>
    <w:pPr>
      <w:spacing w:line="360" w:lineRule="exact"/>
      <w:jc w:val="center"/>
    </w:pPr>
    <w:rPr>
      <w:rFonts w:ascii="Arial" w:hAnsi="Arial" w:cs="Arial"/>
      <w:kern w:val="0"/>
      <w:szCs w:val="21"/>
    </w:rPr>
  </w:style>
  <w:style w:type="character" w:customStyle="1" w:styleId="309">
    <w:name w:val="表格正文 Char1"/>
    <w:link w:val="308"/>
    <w:qFormat/>
    <w:uiPriority w:val="0"/>
    <w:rPr>
      <w:rFonts w:ascii="Arial" w:hAnsi="Arial" w:cs="Arial"/>
      <w:sz w:val="21"/>
      <w:szCs w:val="21"/>
    </w:rPr>
  </w:style>
  <w:style w:type="paragraph" w:customStyle="1" w:styleId="310">
    <w:name w:val="报告书正文"/>
    <w:basedOn w:val="1"/>
    <w:link w:val="311"/>
    <w:qFormat/>
    <w:uiPriority w:val="0"/>
    <w:pPr>
      <w:spacing w:line="300" w:lineRule="auto"/>
      <w:ind w:firstLine="200" w:firstLineChars="200"/>
    </w:pPr>
    <w:rPr>
      <w:rFonts w:ascii="Arial" w:hAnsi="Arial" w:cs="Arial"/>
      <w:sz w:val="24"/>
    </w:rPr>
  </w:style>
  <w:style w:type="character" w:customStyle="1" w:styleId="311">
    <w:name w:val="报告书正文 Char Char"/>
    <w:link w:val="310"/>
    <w:qFormat/>
    <w:uiPriority w:val="0"/>
    <w:rPr>
      <w:rFonts w:ascii="Arial" w:hAnsi="Arial" w:cs="Arial"/>
      <w:kern w:val="2"/>
      <w:sz w:val="24"/>
      <w:szCs w:val="24"/>
    </w:rPr>
  </w:style>
  <w:style w:type="paragraph" w:customStyle="1" w:styleId="312">
    <w:name w:val="样式 左 首行缩进:  1.01 厘米"/>
    <w:basedOn w:val="1"/>
    <w:link w:val="313"/>
    <w:qFormat/>
    <w:uiPriority w:val="0"/>
    <w:pPr>
      <w:adjustRightInd w:val="0"/>
      <w:snapToGrid w:val="0"/>
      <w:spacing w:line="460" w:lineRule="exact"/>
      <w:ind w:firstLine="200" w:firstLineChars="200"/>
    </w:pPr>
    <w:rPr>
      <w:rFonts w:cs="宋体"/>
      <w:sz w:val="26"/>
      <w:szCs w:val="26"/>
    </w:rPr>
  </w:style>
  <w:style w:type="character" w:customStyle="1" w:styleId="313">
    <w:name w:val="样式 左 首行缩进:  1.01 厘米 Char"/>
    <w:link w:val="312"/>
    <w:qFormat/>
    <w:uiPriority w:val="0"/>
    <w:rPr>
      <w:rFonts w:cs="宋体"/>
      <w:kern w:val="2"/>
      <w:sz w:val="26"/>
      <w:szCs w:val="26"/>
    </w:rPr>
  </w:style>
  <w:style w:type="paragraph" w:customStyle="1" w:styleId="314">
    <w:name w:val="表格-可"/>
    <w:basedOn w:val="1"/>
    <w:qFormat/>
    <w:uiPriority w:val="0"/>
    <w:pPr>
      <w:jc w:val="center"/>
    </w:pPr>
    <w:rPr>
      <w:kern w:val="28"/>
      <w:szCs w:val="21"/>
    </w:rPr>
  </w:style>
  <w:style w:type="paragraph" w:customStyle="1" w:styleId="315">
    <w:name w:val="表头表头"/>
    <w:basedOn w:val="1"/>
    <w:qFormat/>
    <w:uiPriority w:val="0"/>
    <w:pPr>
      <w:adjustRightInd w:val="0"/>
      <w:snapToGrid w:val="0"/>
      <w:spacing w:beforeLines="50" w:after="100" w:afterAutospacing="1"/>
      <w:jc w:val="center"/>
    </w:pPr>
    <w:rPr>
      <w:b/>
      <w:bCs/>
      <w:szCs w:val="21"/>
    </w:rPr>
  </w:style>
  <w:style w:type="paragraph" w:customStyle="1" w:styleId="316">
    <w:name w:val="TOC 标题1"/>
    <w:basedOn w:val="5"/>
    <w:next w:val="1"/>
    <w:unhideWhenUsed/>
    <w:qFormat/>
    <w:uiPriority w:val="39"/>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character" w:customStyle="1" w:styleId="317">
    <w:name w:val="超链接1"/>
    <w:unhideWhenUsed/>
    <w:qFormat/>
    <w:uiPriority w:val="99"/>
    <w:rPr>
      <w:color w:val="0000FF"/>
      <w:u w:val="single"/>
    </w:rPr>
  </w:style>
  <w:style w:type="paragraph" w:customStyle="1" w:styleId="318">
    <w:name w:val="表格文字-hao-居中"/>
    <w:basedOn w:val="1"/>
    <w:link w:val="319"/>
    <w:qFormat/>
    <w:uiPriority w:val="0"/>
    <w:pPr>
      <w:widowControl/>
      <w:adjustRightInd w:val="0"/>
      <w:snapToGrid w:val="0"/>
      <w:spacing w:beforeLines="20" w:afterLines="10" w:line="264" w:lineRule="auto"/>
      <w:jc w:val="center"/>
      <w:textAlignment w:val="center"/>
    </w:pPr>
    <w:rPr>
      <w:rFonts w:ascii="宋体" w:hAnsi="宋体" w:cs="宋体"/>
      <w:kern w:val="0"/>
      <w:szCs w:val="21"/>
    </w:rPr>
  </w:style>
  <w:style w:type="character" w:customStyle="1" w:styleId="319">
    <w:name w:val="表格文字-hao-居中 Char"/>
    <w:link w:val="318"/>
    <w:qFormat/>
    <w:uiPriority w:val="0"/>
    <w:rPr>
      <w:rFonts w:ascii="宋体" w:hAnsi="宋体" w:cs="宋体"/>
      <w:sz w:val="21"/>
      <w:szCs w:val="21"/>
    </w:rPr>
  </w:style>
  <w:style w:type="paragraph" w:customStyle="1" w:styleId="320">
    <w:name w:val="小四表格"/>
    <w:basedOn w:val="1"/>
    <w:qFormat/>
    <w:uiPriority w:val="0"/>
    <w:pPr>
      <w:snapToGrid w:val="0"/>
      <w:jc w:val="center"/>
    </w:pPr>
    <w:rPr>
      <w:rFonts w:ascii="宋体" w:hAnsi="宋体" w:cs="宋体"/>
      <w:kern w:val="0"/>
      <w:sz w:val="24"/>
    </w:rPr>
  </w:style>
  <w:style w:type="paragraph" w:customStyle="1" w:styleId="321">
    <w:name w:val="IDC A-Head (2nd Line)"/>
    <w:basedOn w:val="1"/>
    <w:next w:val="1"/>
    <w:qFormat/>
    <w:uiPriority w:val="0"/>
    <w:pPr>
      <w:widowControl/>
      <w:jc w:val="center"/>
    </w:pPr>
    <w:rPr>
      <w:caps/>
      <w:kern w:val="0"/>
      <w:sz w:val="24"/>
      <w:szCs w:val="20"/>
    </w:rPr>
  </w:style>
  <w:style w:type="paragraph" w:customStyle="1" w:styleId="322">
    <w:name w:val="表内式样"/>
    <w:qFormat/>
    <w:uiPriority w:val="0"/>
    <w:pPr>
      <w:widowControl w:val="0"/>
      <w:spacing w:line="200" w:lineRule="atLeast"/>
      <w:jc w:val="center"/>
    </w:pPr>
    <w:rPr>
      <w:rFonts w:ascii="宋体" w:hAnsi="宋体" w:eastAsia="宋体" w:cs="Calibri"/>
      <w:color w:val="000000"/>
      <w:kern w:val="2"/>
      <w:sz w:val="21"/>
      <w:lang w:val="en-US" w:eastAsia="zh-CN" w:bidi="ar-SA"/>
    </w:rPr>
  </w:style>
  <w:style w:type="character" w:customStyle="1" w:styleId="323">
    <w:name w:val="font41"/>
    <w:qFormat/>
    <w:uiPriority w:val="0"/>
    <w:rPr>
      <w:rFonts w:hint="default" w:ascii="Times New Roman" w:hAnsi="Times New Roman" w:cs="Times New Roman"/>
      <w:color w:val="000000"/>
      <w:sz w:val="18"/>
      <w:szCs w:val="18"/>
      <w:u w:val="none"/>
    </w:rPr>
  </w:style>
  <w:style w:type="table" w:customStyle="1" w:styleId="324">
    <w:name w:val="三线表1"/>
    <w:basedOn w:val="81"/>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325">
    <w:name w:val="正文缩进 Char"/>
    <w:qFormat/>
    <w:uiPriority w:val="0"/>
    <w:rPr>
      <w:rFonts w:ascii="宋体" w:hAnsi="宋体" w:eastAsia="宋体"/>
      <w:bCs/>
      <w:kern w:val="2"/>
      <w:sz w:val="24"/>
      <w:szCs w:val="24"/>
    </w:rPr>
  </w:style>
  <w:style w:type="paragraph" w:customStyle="1" w:styleId="326">
    <w:name w:val="表内文字"/>
    <w:basedOn w:val="1"/>
    <w:qFormat/>
    <w:uiPriority w:val="0"/>
    <w:pPr>
      <w:adjustRightInd w:val="0"/>
      <w:snapToGrid w:val="0"/>
    </w:pPr>
    <w:rPr>
      <w:rFonts w:cs="宋体"/>
      <w:color w:val="0070C0"/>
      <w:kern w:val="0"/>
      <w:lang w:val="zh-CN"/>
    </w:rPr>
  </w:style>
  <w:style w:type="table" w:customStyle="1" w:styleId="327">
    <w:name w:val="网格型1111"/>
    <w:basedOn w:val="8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8">
    <w:name w:val="网格型1121"/>
    <w:basedOn w:val="8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29">
    <w:name w:val="普通文字 Char3"/>
    <w:qFormat/>
    <w:uiPriority w:val="0"/>
    <w:rPr>
      <w:rFonts w:ascii="宋体" w:hAnsi="Courier New" w:eastAsia="宋体" w:cs="Courier New"/>
      <w:szCs w:val="21"/>
    </w:rPr>
  </w:style>
  <w:style w:type="character" w:customStyle="1" w:styleId="330">
    <w:name w:val="页脚 Char1"/>
    <w:qFormat/>
    <w:uiPriority w:val="0"/>
    <w:rPr>
      <w:rFonts w:ascii="Calibri" w:hAnsi="Calibri" w:eastAsia="宋体" w:cs="Times New Roman"/>
      <w:sz w:val="18"/>
      <w:szCs w:val="18"/>
    </w:rPr>
  </w:style>
  <w:style w:type="character" w:customStyle="1" w:styleId="331">
    <w:name w:val="页眉 Char1"/>
    <w:qFormat/>
    <w:uiPriority w:val="99"/>
    <w:rPr>
      <w:rFonts w:ascii="Calibri" w:hAnsi="Calibri" w:eastAsia="宋体" w:cs="Times New Roman"/>
      <w:sz w:val="18"/>
      <w:szCs w:val="18"/>
    </w:rPr>
  </w:style>
  <w:style w:type="paragraph" w:customStyle="1" w:styleId="332">
    <w:name w:val="正文样式 Char"/>
    <w:basedOn w:val="1"/>
    <w:qFormat/>
    <w:uiPriority w:val="0"/>
    <w:pPr>
      <w:adjustRightInd w:val="0"/>
      <w:snapToGrid w:val="0"/>
      <w:spacing w:line="460" w:lineRule="exact"/>
      <w:ind w:firstLine="200" w:firstLineChars="200"/>
    </w:pPr>
    <w:rPr>
      <w:color w:val="000000"/>
      <w:sz w:val="26"/>
      <w:szCs w:val="26"/>
    </w:rPr>
  </w:style>
  <w:style w:type="character" w:customStyle="1" w:styleId="333">
    <w:name w:val="+正文 Char"/>
    <w:link w:val="334"/>
    <w:qFormat/>
    <w:locked/>
    <w:uiPriority w:val="0"/>
    <w:rPr>
      <w:sz w:val="24"/>
      <w:szCs w:val="28"/>
    </w:rPr>
  </w:style>
  <w:style w:type="paragraph" w:customStyle="1" w:styleId="334">
    <w:name w:val="+正文"/>
    <w:basedOn w:val="1"/>
    <w:link w:val="333"/>
    <w:qFormat/>
    <w:uiPriority w:val="0"/>
    <w:pPr>
      <w:spacing w:line="360" w:lineRule="auto"/>
      <w:ind w:firstLine="200" w:firstLineChars="200"/>
    </w:pPr>
    <w:rPr>
      <w:kern w:val="0"/>
      <w:sz w:val="24"/>
      <w:szCs w:val="28"/>
    </w:rPr>
  </w:style>
  <w:style w:type="character" w:customStyle="1" w:styleId="335">
    <w:name w:val="样式 宋体 小三"/>
    <w:qFormat/>
    <w:uiPriority w:val="0"/>
    <w:rPr>
      <w:rFonts w:ascii="宋体" w:hAnsi="宋体"/>
      <w:sz w:val="28"/>
    </w:rPr>
  </w:style>
  <w:style w:type="character" w:customStyle="1" w:styleId="336">
    <w:name w:val="纯文本 Char2"/>
    <w:qFormat/>
    <w:uiPriority w:val="99"/>
    <w:rPr>
      <w:rFonts w:ascii="宋体" w:hAnsi="Courier New" w:eastAsia="宋体"/>
      <w:kern w:val="2"/>
      <w:sz w:val="24"/>
      <w:lang w:val="en-US" w:eastAsia="zh-CN" w:bidi="ar-SA"/>
    </w:rPr>
  </w:style>
  <w:style w:type="paragraph" w:customStyle="1" w:styleId="337">
    <w:name w:val="01"/>
    <w:basedOn w:val="1"/>
    <w:qFormat/>
    <w:uiPriority w:val="0"/>
    <w:pPr>
      <w:spacing w:line="520" w:lineRule="exact"/>
    </w:pPr>
    <w:rPr>
      <w:rFonts w:ascii="黑体" w:eastAsia="黑体"/>
      <w:b/>
      <w:color w:val="000000"/>
      <w:sz w:val="24"/>
    </w:rPr>
  </w:style>
  <w:style w:type="paragraph" w:customStyle="1" w:styleId="338">
    <w:name w:val="环评正文"/>
    <w:basedOn w:val="1"/>
    <w:link w:val="339"/>
    <w:qFormat/>
    <w:uiPriority w:val="0"/>
    <w:pPr>
      <w:spacing w:before="60" w:after="60" w:line="400" w:lineRule="exact"/>
      <w:ind w:firstLine="200" w:firstLineChars="200"/>
    </w:pPr>
    <w:rPr>
      <w:rFonts w:eastAsia="仿宋_GB2312"/>
      <w:sz w:val="24"/>
    </w:rPr>
  </w:style>
  <w:style w:type="character" w:customStyle="1" w:styleId="339">
    <w:name w:val="环评正文 Char1"/>
    <w:link w:val="338"/>
    <w:qFormat/>
    <w:uiPriority w:val="0"/>
    <w:rPr>
      <w:rFonts w:eastAsia="仿宋_GB2312"/>
      <w:kern w:val="2"/>
      <w:sz w:val="24"/>
      <w:szCs w:val="24"/>
    </w:rPr>
  </w:style>
  <w:style w:type="character" w:customStyle="1" w:styleId="340">
    <w:name w:val="font91"/>
    <w:qFormat/>
    <w:uiPriority w:val="0"/>
    <w:rPr>
      <w:rFonts w:hint="default" w:ascii="Times New Roman" w:hAnsi="Times New Roman" w:cs="Times New Roman"/>
      <w:color w:val="000000"/>
      <w:sz w:val="21"/>
      <w:szCs w:val="21"/>
      <w:u w:val="none"/>
      <w:vertAlign w:val="superscript"/>
    </w:rPr>
  </w:style>
  <w:style w:type="character" w:customStyle="1" w:styleId="341">
    <w:name w:val="样式 样式1 + 首行缩进:  2 字符 Char1"/>
    <w:qFormat/>
    <w:uiPriority w:val="0"/>
    <w:rPr>
      <w:rFonts w:eastAsia="宋体" w:cs="宋体"/>
      <w:bCs/>
      <w:kern w:val="2"/>
      <w:sz w:val="24"/>
      <w:lang w:val="en-US" w:eastAsia="zh-CN" w:bidi="ar-SA"/>
    </w:rPr>
  </w:style>
  <w:style w:type="character" w:customStyle="1" w:styleId="342">
    <w:name w:val="样式6 Char"/>
    <w:link w:val="343"/>
    <w:qFormat/>
    <w:uiPriority w:val="0"/>
    <w:rPr>
      <w:bCs/>
      <w:sz w:val="26"/>
      <w:szCs w:val="26"/>
    </w:rPr>
  </w:style>
  <w:style w:type="paragraph" w:customStyle="1" w:styleId="343">
    <w:name w:val="样式6"/>
    <w:basedOn w:val="1"/>
    <w:link w:val="342"/>
    <w:qFormat/>
    <w:uiPriority w:val="0"/>
    <w:pPr>
      <w:adjustRightInd w:val="0"/>
      <w:snapToGrid w:val="0"/>
      <w:spacing w:line="480" w:lineRule="exact"/>
      <w:ind w:firstLine="520" w:firstLineChars="200"/>
    </w:pPr>
    <w:rPr>
      <w:bCs/>
      <w:kern w:val="0"/>
      <w:sz w:val="26"/>
      <w:szCs w:val="26"/>
    </w:rPr>
  </w:style>
  <w:style w:type="character" w:customStyle="1" w:styleId="344">
    <w:name w:val="样式12 Char"/>
    <w:link w:val="345"/>
    <w:qFormat/>
    <w:uiPriority w:val="0"/>
    <w:rPr>
      <w:rFonts w:ascii="宋体" w:hAnsi="宋体"/>
      <w:sz w:val="26"/>
      <w:szCs w:val="26"/>
    </w:rPr>
  </w:style>
  <w:style w:type="paragraph" w:customStyle="1" w:styleId="345">
    <w:name w:val="样式12"/>
    <w:basedOn w:val="1"/>
    <w:link w:val="344"/>
    <w:qFormat/>
    <w:uiPriority w:val="0"/>
    <w:pPr>
      <w:spacing w:line="480" w:lineRule="exact"/>
      <w:ind w:firstLine="514" w:firstLineChars="200"/>
    </w:pPr>
    <w:rPr>
      <w:rFonts w:ascii="宋体" w:hAnsi="宋体"/>
      <w:kern w:val="0"/>
      <w:sz w:val="26"/>
      <w:szCs w:val="26"/>
    </w:rPr>
  </w:style>
  <w:style w:type="character" w:customStyle="1" w:styleId="346">
    <w:name w:val="样式16 Char"/>
    <w:link w:val="347"/>
    <w:qFormat/>
    <w:uiPriority w:val="0"/>
    <w:rPr>
      <w:rFonts w:ascii="宋体" w:hAnsi="宋体"/>
      <w:sz w:val="26"/>
      <w:szCs w:val="26"/>
    </w:rPr>
  </w:style>
  <w:style w:type="paragraph" w:customStyle="1" w:styleId="347">
    <w:name w:val="样式16"/>
    <w:basedOn w:val="1"/>
    <w:link w:val="346"/>
    <w:qFormat/>
    <w:uiPriority w:val="0"/>
    <w:pPr>
      <w:adjustRightInd w:val="0"/>
      <w:snapToGrid w:val="0"/>
      <w:spacing w:line="480" w:lineRule="exact"/>
      <w:ind w:firstLine="520" w:firstLineChars="200"/>
    </w:pPr>
    <w:rPr>
      <w:rFonts w:ascii="宋体" w:hAnsi="宋体"/>
      <w:kern w:val="0"/>
      <w:sz w:val="26"/>
      <w:szCs w:val="26"/>
    </w:rPr>
  </w:style>
  <w:style w:type="paragraph" w:customStyle="1" w:styleId="348">
    <w:name w:val="表名"/>
    <w:basedOn w:val="1"/>
    <w:link w:val="349"/>
    <w:qFormat/>
    <w:uiPriority w:val="0"/>
    <w:pPr>
      <w:spacing w:line="500" w:lineRule="exact"/>
      <w:jc w:val="center"/>
    </w:pPr>
    <w:rPr>
      <w:rFonts w:ascii="黑体" w:eastAsia="黑体"/>
      <w:color w:val="000000"/>
      <w:szCs w:val="20"/>
    </w:rPr>
  </w:style>
  <w:style w:type="character" w:customStyle="1" w:styleId="349">
    <w:name w:val="表名 Char"/>
    <w:link w:val="348"/>
    <w:qFormat/>
    <w:uiPriority w:val="0"/>
    <w:rPr>
      <w:rFonts w:ascii="黑体" w:hAnsi="Calibri" w:eastAsia="黑体"/>
      <w:color w:val="000000"/>
      <w:kern w:val="2"/>
      <w:sz w:val="21"/>
    </w:rPr>
  </w:style>
  <w:style w:type="character" w:customStyle="1" w:styleId="350">
    <w:name w:val="标题 2 Char2"/>
    <w:qFormat/>
    <w:uiPriority w:val="0"/>
    <w:rPr>
      <w:rFonts w:ascii="Cambria" w:hAnsi="Cambria" w:eastAsia="宋体" w:cs="Times New Roman"/>
      <w:b/>
      <w:bCs/>
      <w:sz w:val="32"/>
      <w:szCs w:val="32"/>
    </w:rPr>
  </w:style>
  <w:style w:type="paragraph" w:customStyle="1" w:styleId="351">
    <w:name w:val="表格标题"/>
    <w:basedOn w:val="1"/>
    <w:qFormat/>
    <w:uiPriority w:val="0"/>
    <w:pPr>
      <w:adjustRightInd w:val="0"/>
      <w:snapToGrid w:val="0"/>
      <w:spacing w:beforeLines="50" w:line="460" w:lineRule="exact"/>
      <w:jc w:val="center"/>
    </w:pPr>
    <w:rPr>
      <w:b/>
      <w:kern w:val="0"/>
      <w:sz w:val="24"/>
    </w:rPr>
  </w:style>
  <w:style w:type="paragraph" w:customStyle="1" w:styleId="352">
    <w:name w:val="xl25"/>
    <w:basedOn w:val="1"/>
    <w:qFormat/>
    <w:uiPriority w:val="0"/>
    <w:pPr>
      <w:widowControl/>
      <w:spacing w:before="100" w:beforeAutospacing="1" w:after="100" w:afterAutospacing="1"/>
      <w:jc w:val="center"/>
    </w:pPr>
    <w:rPr>
      <w:rFonts w:hint="eastAsia" w:ascii="宋体" w:hAnsi="宋体"/>
      <w:kern w:val="0"/>
      <w:sz w:val="24"/>
    </w:rPr>
  </w:style>
  <w:style w:type="paragraph" w:customStyle="1" w:styleId="353">
    <w:name w:val="Char Char Char Char"/>
    <w:basedOn w:val="1"/>
    <w:qFormat/>
    <w:uiPriority w:val="0"/>
    <w:pPr>
      <w:spacing w:line="360" w:lineRule="auto"/>
      <w:ind w:firstLine="200" w:firstLineChars="200"/>
    </w:pPr>
    <w:rPr>
      <w:rFonts w:ascii="宋体" w:hAnsi="宋体" w:cs="宋体"/>
      <w:sz w:val="24"/>
    </w:rPr>
  </w:style>
  <w:style w:type="paragraph" w:customStyle="1" w:styleId="354">
    <w:name w:val="xl37"/>
    <w:basedOn w:val="1"/>
    <w:qFormat/>
    <w:uiPriority w:val="0"/>
    <w:pPr>
      <w:widowControl/>
      <w:spacing w:before="100" w:beforeAutospacing="1" w:after="100" w:afterAutospacing="1"/>
      <w:jc w:val="center"/>
    </w:pPr>
    <w:rPr>
      <w:rFonts w:ascii="宋体" w:hAnsi="宋体"/>
      <w:kern w:val="0"/>
      <w:sz w:val="24"/>
    </w:rPr>
  </w:style>
  <w:style w:type="paragraph" w:customStyle="1" w:styleId="355">
    <w:name w:val="1"/>
    <w:basedOn w:val="1"/>
    <w:next w:val="35"/>
    <w:qFormat/>
    <w:uiPriority w:val="0"/>
    <w:pPr>
      <w:spacing w:line="360" w:lineRule="auto"/>
      <w:ind w:firstLine="480" w:firstLineChars="200"/>
    </w:pPr>
    <w:rPr>
      <w:rFonts w:ascii="仿宋_GB2312" w:eastAsia="仿宋_GB2312"/>
      <w:sz w:val="24"/>
    </w:rPr>
  </w:style>
  <w:style w:type="character" w:customStyle="1" w:styleId="356">
    <w:name w:val="正文文本缩进 Char3"/>
    <w:qFormat/>
    <w:uiPriority w:val="0"/>
    <w:rPr>
      <w:rFonts w:ascii="Times New Roman" w:hAnsi="Times New Roman" w:eastAsia="宋体" w:cs="Times New Roman"/>
      <w:kern w:val="2"/>
      <w:sz w:val="21"/>
      <w:szCs w:val="24"/>
    </w:rPr>
  </w:style>
  <w:style w:type="paragraph" w:customStyle="1" w:styleId="357">
    <w:name w:val="表"/>
    <w:basedOn w:val="1"/>
    <w:qFormat/>
    <w:uiPriority w:val="0"/>
    <w:pPr>
      <w:snapToGrid w:val="0"/>
      <w:jc w:val="center"/>
    </w:pPr>
    <w:rPr>
      <w:spacing w:val="2"/>
      <w:szCs w:val="20"/>
    </w:rPr>
  </w:style>
  <w:style w:type="character" w:customStyle="1" w:styleId="358">
    <w:name w:val="表文字 Char1"/>
    <w:link w:val="359"/>
    <w:qFormat/>
    <w:uiPriority w:val="0"/>
    <w:rPr>
      <w:szCs w:val="21"/>
    </w:rPr>
  </w:style>
  <w:style w:type="paragraph" w:customStyle="1" w:styleId="359">
    <w:name w:val="表文字"/>
    <w:link w:val="358"/>
    <w:qFormat/>
    <w:uiPriority w:val="0"/>
    <w:pPr>
      <w:widowControl w:val="0"/>
      <w:adjustRightInd w:val="0"/>
      <w:spacing w:line="240" w:lineRule="exact"/>
      <w:jc w:val="center"/>
      <w:textAlignment w:val="baseline"/>
    </w:pPr>
    <w:rPr>
      <w:rFonts w:ascii="Calibri" w:hAnsi="Calibri" w:eastAsia="宋体" w:cs="Calibri"/>
      <w:szCs w:val="21"/>
      <w:lang w:val="en-US" w:eastAsia="zh-CN" w:bidi="ar-SA"/>
    </w:rPr>
  </w:style>
  <w:style w:type="paragraph" w:customStyle="1" w:styleId="360">
    <w:name w:val="Char"/>
    <w:basedOn w:val="1"/>
    <w:qFormat/>
    <w:uiPriority w:val="0"/>
  </w:style>
  <w:style w:type="table" w:customStyle="1" w:styleId="361">
    <w:name w:val="浅色网格型1"/>
    <w:basedOn w:val="81"/>
    <w:qFormat/>
    <w:uiPriority w:val="4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362">
    <w:name w:val="列表 31"/>
    <w:basedOn w:val="81"/>
    <w:qFormat/>
    <w:uiPriority w:val="48"/>
    <w:tblPr>
      <w:tblBorders>
        <w:top w:val="single" w:color="000000" w:sz="4" w:space="0"/>
        <w:left w:val="single" w:color="000000" w:sz="4" w:space="0"/>
        <w:bottom w:val="single" w:color="000000" w:sz="4" w:space="0"/>
        <w:right w:val="single" w:color="000000" w:sz="4" w:space="0"/>
      </w:tblBorders>
    </w:tblPr>
    <w:tblStylePr w:type="firstRow">
      <w:rPr>
        <w:b/>
        <w:bCs/>
        <w:color w:val="FFFFFF"/>
      </w:rPr>
      <w:tcPr>
        <w:shd w:val="clear" w:color="auto" w:fill="000000"/>
      </w:tcPr>
    </w:tblStylePr>
    <w:tblStylePr w:type="lastRow">
      <w:rPr>
        <w:b/>
        <w:bCs/>
      </w:rPr>
      <w:tcPr>
        <w:tcBorders>
          <w:top w:val="double" w:color="000000" w:sz="4" w:space="0"/>
          <w:left w:val="nil"/>
          <w:bottom w:val="nil"/>
          <w:right w:val="nil"/>
          <w:insideH w:val="nil"/>
          <w:insideV w:val="nil"/>
          <w:tl2br w:val="nil"/>
          <w:tr2bl w:val="nil"/>
        </w:tcBorders>
        <w:shd w:val="clear" w:color="auto" w:fill="FFFFFF"/>
      </w:tcPr>
    </w:tblStylePr>
    <w:tblStylePr w:type="firstCol">
      <w:rPr>
        <w:b/>
        <w:bCs/>
      </w:rPr>
      <w:tcPr>
        <w:tcBorders>
          <w:top w:val="nil"/>
          <w:left w:val="nil"/>
          <w:bottom w:val="nil"/>
          <w:right w:val="nil"/>
          <w:insideH w:val="nil"/>
          <w:insideV w:val="nil"/>
          <w:tl2br w:val="nil"/>
          <w:tr2bl w:val="nil"/>
        </w:tcBorders>
        <w:shd w:val="clear" w:color="auto" w:fill="FFFFFF"/>
      </w:tcPr>
    </w:tblStylePr>
    <w:tblStylePr w:type="lastCol">
      <w:rPr>
        <w:b/>
        <w:bCs/>
      </w:rPr>
      <w:tcPr>
        <w:tcBorders>
          <w:top w:val="nil"/>
          <w:left w:val="nil"/>
          <w:bottom w:val="nil"/>
          <w:right w:val="nil"/>
          <w:insideH w:val="nil"/>
          <w:insideV w:val="nil"/>
          <w:tl2br w:val="nil"/>
          <w:tr2bl w:val="nil"/>
        </w:tcBorders>
        <w:shd w:val="clear" w:color="auto" w:fill="FFFFFF"/>
      </w:tcPr>
    </w:tblStylePr>
    <w:tblStylePr w:type="band1Vert">
      <w:tcPr>
        <w:tcBorders>
          <w:top w:val="nil"/>
          <w:left w:val="nil"/>
          <w:bottom w:val="single" w:color="000000" w:sz="4" w:space="0"/>
          <w:right w:val="single" w:color="000000" w:sz="4" w:space="0"/>
          <w:insideH w:val="nil"/>
          <w:insideV w:val="nil"/>
          <w:tl2br w:val="nil"/>
          <w:tr2bl w:val="nil"/>
        </w:tcBorders>
      </w:tcPr>
    </w:tblStylePr>
    <w:tblStylePr w:type="band1Horz">
      <w:tcPr>
        <w:tcBorders>
          <w:top w:val="single" w:color="000000" w:sz="4" w:space="0"/>
          <w:left w:val="single" w:color="000000" w:sz="4"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double" w:color="000000" w:sz="4" w:space="0"/>
          <w:left w:val="nil"/>
          <w:bottom w:val="nil"/>
          <w:right w:val="nil"/>
          <w:insideH w:val="nil"/>
          <w:insideV w:val="nil"/>
          <w:tl2br w:val="nil"/>
          <w:tr2bl w:val="nil"/>
        </w:tcBorders>
      </w:tcPr>
    </w:tblStylePr>
    <w:tblStylePr w:type="swCell">
      <w:tcPr>
        <w:tcBorders>
          <w:top w:val="double" w:color="000000" w:sz="4" w:space="0"/>
          <w:left w:val="nil"/>
          <w:bottom w:val="nil"/>
          <w:right w:val="nil"/>
          <w:insideH w:val="nil"/>
          <w:insideV w:val="nil"/>
          <w:tl2br w:val="nil"/>
          <w:tr2bl w:val="nil"/>
        </w:tcBorders>
      </w:tcPr>
    </w:tblStylePr>
  </w:style>
  <w:style w:type="paragraph" w:customStyle="1" w:styleId="363">
    <w:name w:val="表格内"/>
    <w:basedOn w:val="1"/>
    <w:link w:val="364"/>
    <w:qFormat/>
    <w:uiPriority w:val="0"/>
    <w:pPr>
      <w:jc w:val="center"/>
    </w:pPr>
    <w:rPr>
      <w:kern w:val="0"/>
      <w:szCs w:val="21"/>
    </w:rPr>
  </w:style>
  <w:style w:type="character" w:customStyle="1" w:styleId="364">
    <w:name w:val="表格内 Char"/>
    <w:link w:val="363"/>
    <w:qFormat/>
    <w:uiPriority w:val="0"/>
    <w:rPr>
      <w:sz w:val="21"/>
      <w:szCs w:val="21"/>
    </w:rPr>
  </w:style>
  <w:style w:type="table" w:customStyle="1" w:styleId="365">
    <w:name w:val="Table Normal"/>
    <w:unhideWhenUsed/>
    <w:qFormat/>
    <w:uiPriority w:val="2"/>
    <w:pPr>
      <w:widowControl w:val="0"/>
    </w:pPr>
    <w:rPr>
      <w:sz w:val="22"/>
      <w:szCs w:val="22"/>
      <w:lang w:eastAsia="en-US"/>
    </w:rPr>
    <w:tblPr>
      <w:tblCellMar>
        <w:top w:w="0" w:type="dxa"/>
        <w:left w:w="0" w:type="dxa"/>
        <w:bottom w:w="0" w:type="dxa"/>
        <w:right w:w="0" w:type="dxa"/>
      </w:tblCellMar>
    </w:tblPr>
  </w:style>
  <w:style w:type="character" w:customStyle="1" w:styleId="366">
    <w:name w:val="apple-converted-space"/>
    <w:qFormat/>
    <w:uiPriority w:val="0"/>
  </w:style>
  <w:style w:type="paragraph" w:customStyle="1" w:styleId="367">
    <w:name w:val="3 Char Char Char Char Char Char Char Char Char3 Char Char Char Char Char Char Char Char Char Char"/>
    <w:basedOn w:val="1"/>
    <w:qFormat/>
    <w:uiPriority w:val="0"/>
    <w:pPr>
      <w:snapToGrid w:val="0"/>
      <w:spacing w:line="360" w:lineRule="auto"/>
      <w:ind w:firstLine="200" w:firstLineChars="200"/>
    </w:pPr>
    <w:rPr>
      <w:szCs w:val="20"/>
    </w:rPr>
  </w:style>
  <w:style w:type="character" w:customStyle="1" w:styleId="368">
    <w:name w:val="hj1"/>
    <w:qFormat/>
    <w:uiPriority w:val="0"/>
    <w:rPr>
      <w:sz w:val="20"/>
      <w:szCs w:val="20"/>
    </w:rPr>
  </w:style>
  <w:style w:type="character" w:customStyle="1" w:styleId="369">
    <w:name w:val="加粗正文 Char"/>
    <w:qFormat/>
    <w:uiPriority w:val="0"/>
    <w:rPr>
      <w:rFonts w:ascii="宋体" w:hAnsi="Courier New" w:eastAsia="宋体" w:cs="Courier New"/>
      <w:kern w:val="2"/>
      <w:sz w:val="21"/>
      <w:szCs w:val="21"/>
      <w:lang w:val="en-US" w:eastAsia="zh-CN" w:bidi="ar-SA"/>
    </w:rPr>
  </w:style>
  <w:style w:type="character" w:customStyle="1" w:styleId="370">
    <w:name w:val="9points1"/>
    <w:qFormat/>
    <w:uiPriority w:val="0"/>
    <w:rPr>
      <w:rFonts w:hint="default"/>
      <w:color w:val="003366"/>
      <w:sz w:val="18"/>
      <w:szCs w:val="18"/>
      <w:u w:val="none"/>
    </w:rPr>
  </w:style>
  <w:style w:type="character" w:customStyle="1" w:styleId="371">
    <w:name w:val="样式1 Char2"/>
    <w:link w:val="372"/>
    <w:qFormat/>
    <w:uiPriority w:val="0"/>
    <w:rPr>
      <w:rFonts w:ascii="宋体"/>
    </w:rPr>
  </w:style>
  <w:style w:type="paragraph" w:customStyle="1" w:styleId="372">
    <w:name w:val="样式1"/>
    <w:basedOn w:val="1"/>
    <w:link w:val="371"/>
    <w:qFormat/>
    <w:uiPriority w:val="0"/>
    <w:pPr>
      <w:snapToGrid w:val="0"/>
      <w:jc w:val="center"/>
    </w:pPr>
    <w:rPr>
      <w:rFonts w:ascii="宋体"/>
      <w:kern w:val="0"/>
      <w:sz w:val="20"/>
      <w:szCs w:val="20"/>
    </w:rPr>
  </w:style>
  <w:style w:type="character" w:customStyle="1" w:styleId="373">
    <w:name w:val="style31"/>
    <w:qFormat/>
    <w:uiPriority w:val="0"/>
    <w:rPr>
      <w:color w:val="666666"/>
      <w:sz w:val="24"/>
      <w:szCs w:val="24"/>
      <w:u w:val="none"/>
    </w:rPr>
  </w:style>
  <w:style w:type="character" w:customStyle="1" w:styleId="374">
    <w:name w:val="标题1"/>
    <w:qFormat/>
    <w:uiPriority w:val="0"/>
  </w:style>
  <w:style w:type="character" w:customStyle="1" w:styleId="375">
    <w:name w:val="标题2 Char Char"/>
    <w:qFormat/>
    <w:uiPriority w:val="0"/>
    <w:rPr>
      <w:rFonts w:ascii="Arial" w:hAnsi="Arial" w:eastAsia="黑体"/>
      <w:b/>
      <w:bCs/>
      <w:kern w:val="2"/>
      <w:sz w:val="32"/>
      <w:szCs w:val="32"/>
      <w:lang w:val="en-US" w:eastAsia="zh-CN" w:bidi="ar-SA"/>
    </w:rPr>
  </w:style>
  <w:style w:type="character" w:customStyle="1" w:styleId="376">
    <w:name w:val="nota"/>
    <w:qFormat/>
    <w:uiPriority w:val="0"/>
    <w:rPr>
      <w:i/>
      <w:iCs/>
      <w:sz w:val="20"/>
    </w:rPr>
  </w:style>
  <w:style w:type="character" w:customStyle="1" w:styleId="377">
    <w:name w:val="标题 2 Char1"/>
    <w:qFormat/>
    <w:uiPriority w:val="0"/>
    <w:rPr>
      <w:rFonts w:ascii="宋体" w:hAnsi="Arial" w:eastAsia="宋体" w:cs="Times New Roman"/>
      <w:b/>
      <w:kern w:val="0"/>
      <w:sz w:val="28"/>
      <w:szCs w:val="20"/>
    </w:rPr>
  </w:style>
  <w:style w:type="character" w:customStyle="1" w:styleId="378">
    <w:name w:val="表格内容 Char"/>
    <w:link w:val="379"/>
    <w:qFormat/>
    <w:uiPriority w:val="0"/>
  </w:style>
  <w:style w:type="paragraph" w:customStyle="1" w:styleId="379">
    <w:name w:val="表格内容"/>
    <w:basedOn w:val="1"/>
    <w:link w:val="378"/>
    <w:qFormat/>
    <w:uiPriority w:val="0"/>
    <w:pPr>
      <w:spacing w:before="80" w:after="80"/>
      <w:jc w:val="center"/>
    </w:pPr>
    <w:rPr>
      <w:kern w:val="0"/>
      <w:sz w:val="20"/>
      <w:szCs w:val="20"/>
    </w:rPr>
  </w:style>
  <w:style w:type="character" w:customStyle="1" w:styleId="380">
    <w:name w:val="正文文本缩进 Char1"/>
    <w:qFormat/>
    <w:uiPriority w:val="0"/>
    <w:rPr>
      <w:szCs w:val="24"/>
    </w:rPr>
  </w:style>
  <w:style w:type="character" w:customStyle="1" w:styleId="381">
    <w:name w:val="style161"/>
    <w:qFormat/>
    <w:uiPriority w:val="0"/>
    <w:rPr>
      <w:color w:val="000000"/>
      <w:sz w:val="28"/>
      <w:szCs w:val="28"/>
    </w:rPr>
  </w:style>
  <w:style w:type="character" w:customStyle="1" w:styleId="382">
    <w:name w:val="oblog_text"/>
    <w:qFormat/>
    <w:uiPriority w:val="0"/>
  </w:style>
  <w:style w:type="character" w:customStyle="1" w:styleId="383">
    <w:name w:val="表格文字1 Char"/>
    <w:qFormat/>
    <w:uiPriority w:val="0"/>
    <w:rPr>
      <w:rFonts w:ascii="宋体" w:hAnsi="Courier New" w:eastAsia="宋体"/>
      <w:kern w:val="2"/>
      <w:sz w:val="21"/>
      <w:lang w:val="en-US" w:eastAsia="zh-CN" w:bidi="ar-SA"/>
    </w:rPr>
  </w:style>
  <w:style w:type="character" w:customStyle="1" w:styleId="384">
    <w:name w:val="px141"/>
    <w:qFormat/>
    <w:uiPriority w:val="0"/>
    <w:rPr>
      <w:sz w:val="28"/>
    </w:rPr>
  </w:style>
  <w:style w:type="character" w:customStyle="1" w:styleId="385">
    <w:name w:val="yqlink"/>
    <w:qFormat/>
    <w:uiPriority w:val="0"/>
  </w:style>
  <w:style w:type="character" w:customStyle="1" w:styleId="386">
    <w:name w:val="apple-style-span"/>
    <w:qFormat/>
    <w:uiPriority w:val="0"/>
  </w:style>
  <w:style w:type="character" w:customStyle="1" w:styleId="387">
    <w:name w:val="环评正文 Char"/>
    <w:qFormat/>
    <w:uiPriority w:val="0"/>
    <w:rPr>
      <w:rFonts w:ascii="宋体" w:hAnsi="宋体" w:eastAsia="宋体"/>
      <w:bCs/>
      <w:spacing w:val="0"/>
      <w:kern w:val="2"/>
      <w:sz w:val="24"/>
      <w:szCs w:val="24"/>
      <w:lang w:val="en-US" w:eastAsia="zh-CN" w:bidi="ar-SA"/>
    </w:rPr>
  </w:style>
  <w:style w:type="character" w:customStyle="1" w:styleId="388">
    <w:name w:val="样式 (符号) 宋体 四号 Char"/>
    <w:link w:val="389"/>
    <w:qFormat/>
    <w:uiPriority w:val="0"/>
    <w:rPr>
      <w:rFonts w:cs="宋体"/>
      <w:sz w:val="24"/>
      <w:szCs w:val="28"/>
    </w:rPr>
  </w:style>
  <w:style w:type="paragraph" w:customStyle="1" w:styleId="389">
    <w:name w:val="样式 (符号) 宋体 四号"/>
    <w:basedOn w:val="1"/>
    <w:link w:val="388"/>
    <w:qFormat/>
    <w:uiPriority w:val="0"/>
    <w:pPr>
      <w:spacing w:line="500" w:lineRule="exact"/>
      <w:ind w:firstLine="200" w:firstLineChars="200"/>
    </w:pPr>
    <w:rPr>
      <w:rFonts w:cs="宋体"/>
      <w:kern w:val="0"/>
      <w:sz w:val="24"/>
      <w:szCs w:val="28"/>
    </w:rPr>
  </w:style>
  <w:style w:type="character" w:customStyle="1" w:styleId="390">
    <w:name w:val="页眉00 Char Char"/>
    <w:qFormat/>
    <w:uiPriority w:val="0"/>
    <w:rPr>
      <w:rFonts w:eastAsia="宋体"/>
      <w:kern w:val="2"/>
      <w:sz w:val="18"/>
      <w:szCs w:val="18"/>
      <w:lang w:val="en-US" w:eastAsia="zh-CN" w:bidi="ar-SA"/>
    </w:rPr>
  </w:style>
  <w:style w:type="character" w:customStyle="1" w:styleId="391">
    <w:name w:val="列表(L) Char"/>
    <w:link w:val="392"/>
    <w:qFormat/>
    <w:uiPriority w:val="0"/>
    <w:rPr>
      <w:rFonts w:cs="宋体"/>
    </w:rPr>
  </w:style>
  <w:style w:type="paragraph" w:customStyle="1" w:styleId="392">
    <w:name w:val="列表(L)"/>
    <w:basedOn w:val="64"/>
    <w:link w:val="391"/>
    <w:qFormat/>
    <w:uiPriority w:val="0"/>
    <w:pPr>
      <w:snapToGrid w:val="0"/>
      <w:ind w:left="0" w:firstLine="0" w:firstLineChars="0"/>
    </w:pPr>
    <w:rPr>
      <w:rFonts w:cs="宋体"/>
      <w:kern w:val="0"/>
      <w:sz w:val="20"/>
      <w:szCs w:val="20"/>
    </w:rPr>
  </w:style>
  <w:style w:type="character" w:customStyle="1" w:styleId="393">
    <w:name w:val="Heading 9 Char"/>
    <w:qFormat/>
    <w:uiPriority w:val="0"/>
    <w:rPr>
      <w:rFonts w:ascii="Arial Black" w:hAnsi="Arial Black" w:eastAsia="仿宋_GB2312"/>
      <w:i/>
      <w:iCs/>
      <w:kern w:val="2"/>
      <w:sz w:val="22"/>
      <w:szCs w:val="22"/>
    </w:rPr>
  </w:style>
  <w:style w:type="character" w:customStyle="1" w:styleId="394">
    <w:name w:val="Body Text Indent 3 Char"/>
    <w:qFormat/>
    <w:uiPriority w:val="0"/>
    <w:rPr>
      <w:rFonts w:ascii="Arial" w:hAnsi="Arial" w:eastAsia="仿宋_GB2312"/>
      <w:kern w:val="2"/>
      <w:sz w:val="24"/>
      <w:szCs w:val="24"/>
    </w:rPr>
  </w:style>
  <w:style w:type="character" w:customStyle="1" w:styleId="395">
    <w:name w:val="ec_mean1"/>
    <w:qFormat/>
    <w:uiPriority w:val="0"/>
    <w:rPr>
      <w:sz w:val="21"/>
      <w:szCs w:val="21"/>
    </w:rPr>
  </w:style>
  <w:style w:type="character" w:customStyle="1" w:styleId="396">
    <w:name w:val="中文报告书样式 Char1"/>
    <w:link w:val="397"/>
    <w:qFormat/>
    <w:uiPriority w:val="0"/>
    <w:rPr>
      <w:kern w:val="24"/>
      <w:sz w:val="24"/>
    </w:rPr>
  </w:style>
  <w:style w:type="paragraph" w:customStyle="1" w:styleId="397">
    <w:name w:val="中文报告书样式"/>
    <w:basedOn w:val="1"/>
    <w:link w:val="396"/>
    <w:qFormat/>
    <w:uiPriority w:val="0"/>
    <w:pPr>
      <w:adjustRightInd w:val="0"/>
      <w:spacing w:line="480" w:lineRule="atLeast"/>
      <w:ind w:firstLine="482"/>
      <w:textAlignment w:val="baseline"/>
    </w:pPr>
    <w:rPr>
      <w:kern w:val="24"/>
      <w:sz w:val="24"/>
      <w:szCs w:val="20"/>
    </w:rPr>
  </w:style>
  <w:style w:type="character" w:customStyle="1" w:styleId="398">
    <w:name w:val="页眉00 Char"/>
    <w:qFormat/>
    <w:uiPriority w:val="0"/>
    <w:rPr>
      <w:rFonts w:eastAsia="宋体"/>
      <w:kern w:val="2"/>
      <w:sz w:val="18"/>
      <w:lang w:val="en-US" w:eastAsia="zh-CN" w:bidi="ar-SA"/>
    </w:rPr>
  </w:style>
  <w:style w:type="character" w:customStyle="1" w:styleId="399">
    <w:name w:val="样式1 Char"/>
    <w:qFormat/>
    <w:uiPriority w:val="0"/>
    <w:rPr>
      <w:rFonts w:ascii="宋体" w:eastAsia="宋体"/>
      <w:kern w:val="2"/>
      <w:sz w:val="21"/>
      <w:lang w:val="en-US" w:eastAsia="zh-CN" w:bidi="ar-SA"/>
    </w:rPr>
  </w:style>
  <w:style w:type="character" w:customStyle="1" w:styleId="400">
    <w:name w:val="at_9"/>
    <w:qFormat/>
    <w:uiPriority w:val="0"/>
  </w:style>
  <w:style w:type="character" w:customStyle="1" w:styleId="401">
    <w:name w:val="at_10"/>
    <w:qFormat/>
    <w:uiPriority w:val="0"/>
  </w:style>
  <w:style w:type="character" w:customStyle="1" w:styleId="402">
    <w:name w:val="at_1"/>
    <w:qFormat/>
    <w:uiPriority w:val="0"/>
  </w:style>
  <w:style w:type="character" w:customStyle="1" w:styleId="403">
    <w:name w:val="1 Char1"/>
    <w:qFormat/>
    <w:uiPriority w:val="0"/>
    <w:rPr>
      <w:rFonts w:ascii="宋体" w:hAnsi="Arial" w:eastAsia="宋体"/>
      <w:b/>
      <w:sz w:val="28"/>
      <w:lang w:val="en-US" w:eastAsia="zh-CN" w:bidi="ar-SA"/>
    </w:rPr>
  </w:style>
  <w:style w:type="character" w:customStyle="1" w:styleId="404">
    <w:name w:val="仿宋体正文 Char Char"/>
    <w:qFormat/>
    <w:uiPriority w:val="0"/>
    <w:rPr>
      <w:rFonts w:eastAsia="宋体"/>
      <w:kern w:val="2"/>
      <w:sz w:val="21"/>
      <w:szCs w:val="24"/>
      <w:lang w:val="en-US" w:eastAsia="zh-CN" w:bidi="ar-SA"/>
    </w:rPr>
  </w:style>
  <w:style w:type="character" w:customStyle="1" w:styleId="405">
    <w:name w:val="页眉00 Char1"/>
    <w:qFormat/>
    <w:uiPriority w:val="0"/>
    <w:rPr>
      <w:rFonts w:eastAsia="宋体"/>
      <w:kern w:val="2"/>
      <w:sz w:val="18"/>
      <w:lang w:val="en-US" w:eastAsia="zh-CN" w:bidi="ar-SA"/>
    </w:rPr>
  </w:style>
  <w:style w:type="character" w:customStyle="1" w:styleId="406">
    <w:name w:val="正文5号 Char Char"/>
    <w:qFormat/>
    <w:uiPriority w:val="0"/>
    <w:rPr>
      <w:rFonts w:eastAsia="宋体"/>
      <w:spacing w:val="10"/>
      <w:kern w:val="24"/>
      <w:sz w:val="24"/>
      <w:szCs w:val="24"/>
      <w:lang w:val="en-US" w:eastAsia="zh-CN" w:bidi="ar-SA"/>
    </w:rPr>
  </w:style>
  <w:style w:type="character" w:customStyle="1" w:styleId="407">
    <w:name w:val="1 Char2"/>
    <w:qFormat/>
    <w:uiPriority w:val="0"/>
    <w:rPr>
      <w:rFonts w:ascii="宋体" w:hAnsi="Arial" w:eastAsia="宋体"/>
      <w:b/>
      <w:sz w:val="28"/>
      <w:lang w:val="en-US" w:eastAsia="zh-CN" w:bidi="ar-SA"/>
    </w:rPr>
  </w:style>
  <w:style w:type="character" w:customStyle="1" w:styleId="408">
    <w:name w:val="页眉00 Char2"/>
    <w:qFormat/>
    <w:uiPriority w:val="0"/>
    <w:rPr>
      <w:rFonts w:eastAsia="宋体"/>
      <w:kern w:val="2"/>
      <w:sz w:val="18"/>
      <w:lang w:val="en-US" w:eastAsia="zh-CN" w:bidi="ar-SA"/>
    </w:rPr>
  </w:style>
  <w:style w:type="character" w:customStyle="1" w:styleId="409">
    <w:name w:val="Char Char7"/>
    <w:qFormat/>
    <w:uiPriority w:val="0"/>
    <w:rPr>
      <w:rFonts w:eastAsia="宋体"/>
      <w:kern w:val="2"/>
      <w:sz w:val="18"/>
      <w:szCs w:val="18"/>
      <w:lang w:val="en-US" w:eastAsia="zh-CN" w:bidi="ar-SA"/>
    </w:rPr>
  </w:style>
  <w:style w:type="character" w:customStyle="1" w:styleId="410">
    <w:name w:val="仿宋体正文 Char Char1"/>
    <w:qFormat/>
    <w:uiPriority w:val="0"/>
    <w:rPr>
      <w:rFonts w:eastAsia="宋体"/>
      <w:kern w:val="2"/>
      <w:sz w:val="21"/>
      <w:szCs w:val="24"/>
      <w:lang w:val="en-US" w:eastAsia="zh-CN" w:bidi="ar-SA"/>
    </w:rPr>
  </w:style>
  <w:style w:type="character" w:customStyle="1" w:styleId="411">
    <w:name w:val="Char Char6"/>
    <w:qFormat/>
    <w:uiPriority w:val="0"/>
    <w:rPr>
      <w:rFonts w:eastAsia="宋体"/>
      <w:kern w:val="2"/>
      <w:sz w:val="16"/>
      <w:szCs w:val="16"/>
      <w:lang w:val="en-US" w:eastAsia="zh-CN" w:bidi="ar-SA"/>
    </w:rPr>
  </w:style>
  <w:style w:type="character" w:customStyle="1" w:styleId="412">
    <w:name w:val="正文5号 Char Char1"/>
    <w:qFormat/>
    <w:uiPriority w:val="0"/>
    <w:rPr>
      <w:rFonts w:eastAsia="宋体"/>
      <w:spacing w:val="10"/>
      <w:kern w:val="24"/>
      <w:sz w:val="24"/>
      <w:szCs w:val="24"/>
      <w:lang w:val="en-US" w:eastAsia="zh-CN" w:bidi="ar-SA"/>
    </w:rPr>
  </w:style>
  <w:style w:type="character" w:customStyle="1" w:styleId="413">
    <w:name w:val="Char Char Char1 Char Char"/>
    <w:qFormat/>
    <w:uiPriority w:val="0"/>
    <w:rPr>
      <w:rFonts w:ascii="黑体" w:hAnsi="宋体" w:eastAsia="黑体" w:cs="Arial"/>
      <w:kern w:val="2"/>
      <w:sz w:val="24"/>
      <w:szCs w:val="24"/>
      <w:lang w:val="en-US" w:eastAsia="zh-CN" w:bidi="ar-SA"/>
    </w:rPr>
  </w:style>
  <w:style w:type="character" w:customStyle="1" w:styleId="414">
    <w:name w:val="fs_141"/>
    <w:qFormat/>
    <w:uiPriority w:val="0"/>
    <w:rPr>
      <w:sz w:val="21"/>
      <w:szCs w:val="21"/>
    </w:rPr>
  </w:style>
  <w:style w:type="paragraph" w:customStyle="1" w:styleId="415">
    <w:name w:val="xl77"/>
    <w:basedOn w:val="1"/>
    <w:qFormat/>
    <w:uiPriority w:val="0"/>
    <w:pPr>
      <w:widowControl/>
      <w:pBdr>
        <w:right w:val="single" w:color="auto" w:sz="8" w:space="0"/>
      </w:pBdr>
      <w:spacing w:before="100" w:after="100"/>
      <w:jc w:val="center"/>
      <w:textAlignment w:val="center"/>
    </w:pPr>
    <w:rPr>
      <w:kern w:val="0"/>
      <w:sz w:val="24"/>
    </w:rPr>
  </w:style>
  <w:style w:type="paragraph" w:customStyle="1" w:styleId="416">
    <w:name w:val="xl23"/>
    <w:basedOn w:val="1"/>
    <w:qFormat/>
    <w:uiPriority w:val="0"/>
    <w:pPr>
      <w:widowControl/>
      <w:pBdr>
        <w:left w:val="single" w:color="auto" w:sz="8" w:space="0"/>
        <w:bottom w:val="single" w:color="auto" w:sz="4" w:space="0"/>
      </w:pBdr>
      <w:spacing w:before="100" w:after="100"/>
      <w:jc w:val="center"/>
      <w:textAlignment w:val="center"/>
    </w:pPr>
    <w:rPr>
      <w:rFonts w:ascii="宋体" w:hAnsi="宋体"/>
      <w:kern w:val="0"/>
      <w:sz w:val="28"/>
      <w:szCs w:val="28"/>
    </w:rPr>
  </w:style>
  <w:style w:type="character" w:customStyle="1" w:styleId="417">
    <w:name w:val="正文首行缩进 Char1"/>
    <w:qFormat/>
    <w:uiPriority w:val="0"/>
    <w:rPr>
      <w:rFonts w:ascii="Times New Roman" w:hAnsi="Times New Roman" w:eastAsia="宋体" w:cs="Times New Roman"/>
      <w:sz w:val="72"/>
      <w:szCs w:val="24"/>
    </w:rPr>
  </w:style>
  <w:style w:type="character" w:customStyle="1" w:styleId="418">
    <w:name w:val="正文文本缩进 Char2"/>
    <w:qFormat/>
    <w:uiPriority w:val="0"/>
  </w:style>
  <w:style w:type="character" w:customStyle="1" w:styleId="419">
    <w:name w:val="正文文本缩进 3 Char1"/>
    <w:qFormat/>
    <w:uiPriority w:val="0"/>
    <w:rPr>
      <w:sz w:val="16"/>
      <w:szCs w:val="16"/>
    </w:rPr>
  </w:style>
  <w:style w:type="paragraph" w:customStyle="1" w:styleId="420">
    <w:name w:val="正文首行缩进:  2 字符"/>
    <w:basedOn w:val="1"/>
    <w:qFormat/>
    <w:uiPriority w:val="0"/>
    <w:pPr>
      <w:spacing w:line="500" w:lineRule="exact"/>
      <w:ind w:firstLine="480" w:firstLineChars="200"/>
    </w:pPr>
    <w:rPr>
      <w:sz w:val="24"/>
      <w:szCs w:val="20"/>
    </w:rPr>
  </w:style>
  <w:style w:type="paragraph" w:customStyle="1" w:styleId="421">
    <w:name w:val="xl32"/>
    <w:basedOn w:val="1"/>
    <w:qFormat/>
    <w:uiPriority w:val="0"/>
    <w:pPr>
      <w:widowControl/>
      <w:pBdr>
        <w:top w:val="single" w:color="auto" w:sz="4" w:space="0"/>
        <w:left w:val="single" w:color="auto" w:sz="4" w:space="0"/>
        <w:bottom w:val="single" w:color="auto" w:sz="4" w:space="0"/>
      </w:pBdr>
      <w:spacing w:before="100" w:after="100"/>
      <w:jc w:val="center"/>
      <w:textAlignment w:val="center"/>
    </w:pPr>
    <w:rPr>
      <w:rFonts w:ascii="宋体" w:hAnsi="宋体"/>
      <w:kern w:val="0"/>
      <w:sz w:val="24"/>
    </w:rPr>
  </w:style>
  <w:style w:type="paragraph" w:customStyle="1" w:styleId="422">
    <w:name w:val="流程图"/>
    <w:basedOn w:val="1"/>
    <w:qFormat/>
    <w:uiPriority w:val="0"/>
    <w:pPr>
      <w:tabs>
        <w:tab w:val="left" w:pos="0"/>
      </w:tabs>
      <w:autoSpaceDE w:val="0"/>
      <w:autoSpaceDN w:val="0"/>
      <w:adjustRightInd w:val="0"/>
      <w:spacing w:line="240" w:lineRule="atLeast"/>
      <w:jc w:val="center"/>
      <w:textAlignment w:val="bottom"/>
    </w:pPr>
    <w:rPr>
      <w:rFonts w:ascii="宋体"/>
      <w:szCs w:val="20"/>
    </w:rPr>
  </w:style>
  <w:style w:type="paragraph" w:customStyle="1" w:styleId="423">
    <w:name w:val="xl40"/>
    <w:basedOn w:val="1"/>
    <w:qFormat/>
    <w:uiPriority w:val="0"/>
    <w:pPr>
      <w:widowControl/>
      <w:pBdr>
        <w:bottom w:val="single" w:color="auto" w:sz="4" w:space="0"/>
        <w:right w:val="single" w:color="auto" w:sz="4" w:space="0"/>
      </w:pBdr>
      <w:spacing w:before="100" w:beforeAutospacing="1" w:after="100" w:afterAutospacing="1"/>
      <w:jc w:val="center"/>
      <w:textAlignment w:val="top"/>
    </w:pPr>
    <w:rPr>
      <w:color w:val="FF0000"/>
      <w:kern w:val="0"/>
      <w:szCs w:val="21"/>
    </w:rPr>
  </w:style>
  <w:style w:type="paragraph" w:customStyle="1" w:styleId="424">
    <w:name w:val="默认段落字体 Para Char"/>
    <w:basedOn w:val="1"/>
    <w:link w:val="425"/>
    <w:qFormat/>
    <w:uiPriority w:val="0"/>
    <w:rPr>
      <w:rFonts w:ascii="Tahoma" w:hAnsi="Tahoma" w:eastAsia="仿宋_GB2312"/>
      <w:sz w:val="24"/>
      <w:szCs w:val="20"/>
    </w:rPr>
  </w:style>
  <w:style w:type="character" w:customStyle="1" w:styleId="425">
    <w:name w:val="默认段落字体 Para Char Char"/>
    <w:link w:val="424"/>
    <w:qFormat/>
    <w:uiPriority w:val="0"/>
    <w:rPr>
      <w:rFonts w:ascii="Tahoma" w:hAnsi="Tahoma" w:eastAsia="仿宋_GB2312"/>
      <w:kern w:val="2"/>
      <w:sz w:val="24"/>
    </w:rPr>
  </w:style>
  <w:style w:type="paragraph" w:customStyle="1" w:styleId="426">
    <w:name w:val="副标题3"/>
    <w:basedOn w:val="1"/>
    <w:qFormat/>
    <w:uiPriority w:val="0"/>
    <w:pPr>
      <w:keepLines/>
      <w:tabs>
        <w:tab w:val="left" w:pos="672"/>
        <w:tab w:val="left" w:pos="720"/>
      </w:tabs>
      <w:adjustRightInd w:val="0"/>
      <w:snapToGrid w:val="0"/>
      <w:spacing w:line="400" w:lineRule="atLeast"/>
      <w:ind w:left="672" w:hanging="348"/>
      <w:outlineLvl w:val="3"/>
    </w:pPr>
    <w:rPr>
      <w:rFonts w:ascii="宋体"/>
      <w:kern w:val="0"/>
      <w:sz w:val="24"/>
    </w:rPr>
  </w:style>
  <w:style w:type="paragraph" w:customStyle="1" w:styleId="427">
    <w:name w:val="xl52"/>
    <w:basedOn w:val="1"/>
    <w:qFormat/>
    <w:uiPriority w:val="0"/>
    <w:pPr>
      <w:widowControl/>
      <w:pBdr>
        <w:left w:val="single" w:color="auto" w:sz="4" w:space="0"/>
        <w:bottom w:val="single" w:color="auto" w:sz="4" w:space="0"/>
      </w:pBdr>
      <w:spacing w:before="100" w:after="100"/>
      <w:jc w:val="center"/>
      <w:textAlignment w:val="center"/>
    </w:pPr>
    <w:rPr>
      <w:kern w:val="0"/>
      <w:sz w:val="28"/>
      <w:szCs w:val="28"/>
    </w:rPr>
  </w:style>
  <w:style w:type="paragraph" w:customStyle="1" w:styleId="428">
    <w:name w:val="Char Char4 Char Char"/>
    <w:basedOn w:val="1"/>
    <w:qFormat/>
    <w:uiPriority w:val="0"/>
    <w:rPr>
      <w:spacing w:val="-2"/>
      <w:kern w:val="0"/>
      <w:sz w:val="24"/>
    </w:rPr>
  </w:style>
  <w:style w:type="paragraph" w:customStyle="1" w:styleId="429">
    <w:name w:val="标题4"/>
    <w:basedOn w:val="1"/>
    <w:qFormat/>
    <w:uiPriority w:val="0"/>
    <w:pPr>
      <w:tabs>
        <w:tab w:val="left" w:pos="360"/>
      </w:tabs>
      <w:adjustRightInd w:val="0"/>
      <w:snapToGrid w:val="0"/>
      <w:spacing w:beforeLines="50" w:line="360" w:lineRule="auto"/>
      <w:jc w:val="left"/>
    </w:pPr>
    <w:rPr>
      <w:rFonts w:ascii="Arial Unicode MS" w:hAnsi="Arial Unicode MS" w:eastAsia="黑体"/>
      <w:spacing w:val="20"/>
      <w:kern w:val="0"/>
      <w:sz w:val="24"/>
      <w:szCs w:val="20"/>
    </w:rPr>
  </w:style>
  <w:style w:type="paragraph" w:customStyle="1" w:styleId="430">
    <w:name w:val="xl81"/>
    <w:basedOn w:val="1"/>
    <w:qFormat/>
    <w:uiPriority w:val="0"/>
    <w:pPr>
      <w:widowControl/>
      <w:pBdr>
        <w:top w:val="single" w:color="auto" w:sz="8" w:space="0"/>
        <w:left w:val="single" w:color="auto" w:sz="4" w:space="0"/>
        <w:right w:val="single" w:color="auto" w:sz="4" w:space="0"/>
      </w:pBdr>
      <w:spacing w:before="100" w:after="100"/>
      <w:jc w:val="center"/>
      <w:textAlignment w:val="center"/>
    </w:pPr>
    <w:rPr>
      <w:rFonts w:ascii="宋体" w:hAnsi="宋体"/>
      <w:kern w:val="0"/>
      <w:sz w:val="24"/>
    </w:rPr>
  </w:style>
  <w:style w:type="paragraph" w:customStyle="1" w:styleId="431">
    <w:name w:val="表体"/>
    <w:basedOn w:val="1"/>
    <w:link w:val="432"/>
    <w:qFormat/>
    <w:uiPriority w:val="0"/>
    <w:pPr>
      <w:spacing w:line="280" w:lineRule="exact"/>
    </w:pPr>
    <w:rPr>
      <w:spacing w:val="-6"/>
      <w:sz w:val="18"/>
      <w:szCs w:val="18"/>
    </w:rPr>
  </w:style>
  <w:style w:type="character" w:customStyle="1" w:styleId="432">
    <w:name w:val="表体 Char"/>
    <w:link w:val="431"/>
    <w:qFormat/>
    <w:locked/>
    <w:uiPriority w:val="0"/>
    <w:rPr>
      <w:spacing w:val="-6"/>
      <w:kern w:val="2"/>
      <w:sz w:val="18"/>
      <w:szCs w:val="18"/>
    </w:rPr>
  </w:style>
  <w:style w:type="paragraph" w:customStyle="1" w:styleId="433">
    <w:name w:val="wg"/>
    <w:basedOn w:val="1"/>
    <w:qFormat/>
    <w:uiPriority w:val="0"/>
    <w:rPr>
      <w:sz w:val="28"/>
      <w:szCs w:val="20"/>
    </w:rPr>
  </w:style>
  <w:style w:type="paragraph" w:customStyle="1" w:styleId="434">
    <w:name w:val="Char Char Char Char Char Char Char Char Char Char Char1 Char Char Char Char Char Char Char1"/>
    <w:basedOn w:val="1"/>
    <w:qFormat/>
    <w:uiPriority w:val="0"/>
  </w:style>
  <w:style w:type="paragraph" w:customStyle="1" w:styleId="435">
    <w:name w:val="样式1 + 四号 居中"/>
    <w:basedOn w:val="1"/>
    <w:qFormat/>
    <w:uiPriority w:val="0"/>
    <w:pPr>
      <w:spacing w:line="336" w:lineRule="auto"/>
      <w:jc w:val="center"/>
    </w:pPr>
    <w:rPr>
      <w:sz w:val="28"/>
      <w:szCs w:val="20"/>
    </w:rPr>
  </w:style>
  <w:style w:type="paragraph" w:customStyle="1" w:styleId="436">
    <w:name w:val="xl82"/>
    <w:basedOn w:val="1"/>
    <w:qFormat/>
    <w:uiPriority w:val="0"/>
    <w:pPr>
      <w:widowControl/>
      <w:pBdr>
        <w:left w:val="single" w:color="auto" w:sz="4" w:space="0"/>
        <w:right w:val="single" w:color="auto" w:sz="4" w:space="0"/>
      </w:pBdr>
      <w:spacing w:before="100" w:after="100"/>
      <w:jc w:val="center"/>
      <w:textAlignment w:val="center"/>
    </w:pPr>
    <w:rPr>
      <w:kern w:val="0"/>
      <w:sz w:val="24"/>
    </w:rPr>
  </w:style>
  <w:style w:type="paragraph" w:customStyle="1" w:styleId="437">
    <w:name w:val="项目符号1"/>
    <w:basedOn w:val="1"/>
    <w:qFormat/>
    <w:uiPriority w:val="0"/>
    <w:pPr>
      <w:snapToGrid w:val="0"/>
      <w:spacing w:before="120" w:after="120" w:line="312" w:lineRule="auto"/>
    </w:pPr>
    <w:rPr>
      <w:rFonts w:ascii="Arial" w:hAnsi="Arial" w:eastAsia="楷体_GB2312"/>
      <w:b/>
      <w:sz w:val="28"/>
      <w:szCs w:val="20"/>
    </w:rPr>
  </w:style>
  <w:style w:type="paragraph" w:customStyle="1" w:styleId="438">
    <w:name w:val="xl51"/>
    <w:basedOn w:val="1"/>
    <w:qFormat/>
    <w:uiPriority w:val="0"/>
    <w:pPr>
      <w:widowControl/>
      <w:pBdr>
        <w:bottom w:val="single" w:color="auto" w:sz="4" w:space="0"/>
        <w:right w:val="single" w:color="auto" w:sz="4" w:space="0"/>
      </w:pBdr>
      <w:spacing w:before="100" w:after="100"/>
      <w:jc w:val="center"/>
      <w:textAlignment w:val="center"/>
    </w:pPr>
    <w:rPr>
      <w:rFonts w:ascii="宋体" w:hAnsi="宋体"/>
      <w:kern w:val="0"/>
      <w:sz w:val="28"/>
      <w:szCs w:val="28"/>
    </w:rPr>
  </w:style>
  <w:style w:type="paragraph" w:customStyle="1" w:styleId="439">
    <w:name w:val="xl41"/>
    <w:basedOn w:val="1"/>
    <w:qFormat/>
    <w:uiPriority w:val="0"/>
    <w:pPr>
      <w:widowControl/>
      <w:pBdr>
        <w:top w:val="single" w:color="auto" w:sz="4" w:space="0"/>
        <w:left w:val="single" w:color="auto" w:sz="4" w:space="0"/>
        <w:bottom w:val="single" w:color="auto" w:sz="4" w:space="0"/>
      </w:pBdr>
      <w:spacing w:before="100" w:after="100"/>
      <w:jc w:val="center"/>
      <w:textAlignment w:val="center"/>
    </w:pPr>
    <w:rPr>
      <w:kern w:val="0"/>
      <w:sz w:val="24"/>
    </w:rPr>
  </w:style>
  <w:style w:type="paragraph" w:customStyle="1" w:styleId="440">
    <w:name w:val="4"/>
    <w:basedOn w:val="1"/>
    <w:next w:val="1"/>
    <w:qFormat/>
    <w:uiPriority w:val="0"/>
    <w:rPr>
      <w:rFonts w:ascii="宋体" w:hAnsi="Courier New"/>
      <w:szCs w:val="20"/>
    </w:rPr>
  </w:style>
  <w:style w:type="paragraph" w:customStyle="1" w:styleId="441">
    <w:name w:val="xl70"/>
    <w:basedOn w:val="1"/>
    <w:qFormat/>
    <w:uiPriority w:val="0"/>
    <w:pPr>
      <w:widowControl/>
      <w:pBdr>
        <w:bottom w:val="single" w:color="auto" w:sz="8" w:space="0"/>
        <w:right w:val="single" w:color="auto" w:sz="4" w:space="0"/>
      </w:pBdr>
      <w:spacing w:before="100" w:after="100"/>
      <w:jc w:val="center"/>
      <w:textAlignment w:val="top"/>
    </w:pPr>
    <w:rPr>
      <w:kern w:val="0"/>
      <w:sz w:val="24"/>
    </w:rPr>
  </w:style>
  <w:style w:type="paragraph" w:customStyle="1" w:styleId="442">
    <w:name w:val="xl46"/>
    <w:basedOn w:val="1"/>
    <w:qFormat/>
    <w:uiPriority w:val="0"/>
    <w:pPr>
      <w:widowControl/>
      <w:pBdr>
        <w:top w:val="single" w:color="auto" w:sz="4" w:space="0"/>
        <w:bottom w:val="single" w:color="auto" w:sz="4" w:space="0"/>
      </w:pBdr>
      <w:spacing w:before="100" w:after="100"/>
      <w:jc w:val="center"/>
      <w:textAlignment w:val="center"/>
    </w:pPr>
    <w:rPr>
      <w:kern w:val="0"/>
      <w:sz w:val="24"/>
    </w:rPr>
  </w:style>
  <w:style w:type="paragraph" w:customStyle="1" w:styleId="443">
    <w:name w:val="样式 标题 2h22Header 2nd PageA.B.C.h2 main h标题2 + 仿宋_GB2312 行距..."/>
    <w:basedOn w:val="6"/>
    <w:qFormat/>
    <w:uiPriority w:val="0"/>
    <w:pPr>
      <w:widowControl/>
      <w:spacing w:line="360" w:lineRule="auto"/>
      <w:ind w:firstLine="455" w:firstLineChars="162"/>
      <w:jc w:val="left"/>
    </w:pPr>
    <w:rPr>
      <w:rFonts w:ascii="仿宋_GB2312" w:hAnsi="ˎ̥" w:eastAsia="仿宋_GB2312"/>
      <w:b w:val="0"/>
      <w:sz w:val="28"/>
      <w:szCs w:val="20"/>
    </w:rPr>
  </w:style>
  <w:style w:type="paragraph" w:customStyle="1" w:styleId="444">
    <w:name w:val="xl65"/>
    <w:basedOn w:val="1"/>
    <w:qFormat/>
    <w:uiPriority w:val="0"/>
    <w:pPr>
      <w:widowControl/>
      <w:pBdr>
        <w:left w:val="single" w:color="auto" w:sz="4" w:space="0"/>
      </w:pBdr>
      <w:spacing w:before="100" w:after="100"/>
      <w:jc w:val="center"/>
      <w:textAlignment w:val="top"/>
    </w:pPr>
    <w:rPr>
      <w:kern w:val="0"/>
      <w:sz w:val="24"/>
    </w:rPr>
  </w:style>
  <w:style w:type="paragraph" w:customStyle="1" w:styleId="445">
    <w:name w:val="样式 仿宋_GB2312 四号 行距: 1.5 倍行距 首行缩进:  2 字符"/>
    <w:basedOn w:val="1"/>
    <w:qFormat/>
    <w:uiPriority w:val="0"/>
    <w:pPr>
      <w:spacing w:line="360" w:lineRule="auto"/>
      <w:ind w:firstLine="560" w:firstLineChars="200"/>
    </w:pPr>
    <w:rPr>
      <w:rFonts w:ascii="仿宋_GB2312" w:eastAsia="仿宋_GB2312"/>
      <w:sz w:val="28"/>
      <w:szCs w:val="20"/>
    </w:rPr>
  </w:style>
  <w:style w:type="paragraph" w:customStyle="1" w:styleId="446">
    <w:name w:val="xl74"/>
    <w:basedOn w:val="1"/>
    <w:qFormat/>
    <w:uiPriority w:val="0"/>
    <w:pPr>
      <w:widowControl/>
      <w:pBdr>
        <w:top w:val="single" w:color="auto" w:sz="8" w:space="0"/>
        <w:right w:val="single" w:color="auto" w:sz="8" w:space="0"/>
      </w:pBdr>
      <w:spacing w:before="100" w:after="100"/>
      <w:jc w:val="center"/>
      <w:textAlignment w:val="center"/>
    </w:pPr>
    <w:rPr>
      <w:kern w:val="0"/>
      <w:sz w:val="24"/>
    </w:rPr>
  </w:style>
  <w:style w:type="paragraph" w:customStyle="1" w:styleId="447">
    <w:name w:val="font9"/>
    <w:basedOn w:val="1"/>
    <w:qFormat/>
    <w:uiPriority w:val="0"/>
    <w:pPr>
      <w:widowControl/>
      <w:spacing w:before="100" w:after="100"/>
      <w:jc w:val="left"/>
    </w:pPr>
    <w:rPr>
      <w:kern w:val="0"/>
      <w:sz w:val="28"/>
      <w:szCs w:val="28"/>
    </w:rPr>
  </w:style>
  <w:style w:type="paragraph" w:customStyle="1" w:styleId="448">
    <w:name w:val="Char Char Char Char Char Char Char Char Char Char Char Char Char Char Char Char Char Char Char Char Char Char Char Char"/>
    <w:basedOn w:val="1"/>
    <w:qFormat/>
    <w:uiPriority w:val="0"/>
  </w:style>
  <w:style w:type="paragraph" w:customStyle="1" w:styleId="449">
    <w:name w:val="xl78"/>
    <w:basedOn w:val="1"/>
    <w:qFormat/>
    <w:uiPriority w:val="0"/>
    <w:pPr>
      <w:widowControl/>
      <w:pBdr>
        <w:left w:val="single" w:color="auto" w:sz="4" w:space="0"/>
        <w:bottom w:val="single" w:color="auto" w:sz="8" w:space="0"/>
      </w:pBdr>
      <w:spacing w:before="100" w:after="100"/>
      <w:jc w:val="center"/>
      <w:textAlignment w:val="center"/>
    </w:pPr>
    <w:rPr>
      <w:kern w:val="0"/>
      <w:sz w:val="24"/>
    </w:rPr>
  </w:style>
  <w:style w:type="paragraph" w:customStyle="1" w:styleId="450">
    <w:name w:val="xl36"/>
    <w:basedOn w:val="1"/>
    <w:qFormat/>
    <w:uiPriority w:val="0"/>
    <w:pPr>
      <w:widowControl/>
      <w:pBdr>
        <w:top w:val="single" w:color="auto" w:sz="4" w:space="0"/>
        <w:bottom w:val="single" w:color="auto" w:sz="4" w:space="0"/>
        <w:right w:val="single" w:color="auto" w:sz="4" w:space="0"/>
      </w:pBdr>
      <w:spacing w:before="100" w:after="100"/>
      <w:jc w:val="center"/>
      <w:textAlignment w:val="center"/>
    </w:pPr>
    <w:rPr>
      <w:rFonts w:ascii="宋体" w:hAnsi="宋体"/>
      <w:kern w:val="0"/>
      <w:sz w:val="24"/>
    </w:rPr>
  </w:style>
  <w:style w:type="paragraph" w:customStyle="1" w:styleId="451">
    <w:name w:val="封面标准文稿编辑信息"/>
    <w:qFormat/>
    <w:uiPriority w:val="0"/>
    <w:pPr>
      <w:spacing w:before="180" w:line="180" w:lineRule="exact"/>
      <w:jc w:val="center"/>
    </w:pPr>
    <w:rPr>
      <w:rFonts w:ascii="宋体" w:hAnsi="Calibri" w:eastAsia="宋体" w:cs="Calibri"/>
      <w:sz w:val="21"/>
      <w:lang w:val="en-US" w:eastAsia="zh-CN" w:bidi="ar-SA"/>
    </w:rPr>
  </w:style>
  <w:style w:type="paragraph" w:customStyle="1" w:styleId="452">
    <w:name w:val="xl66"/>
    <w:basedOn w:val="1"/>
    <w:qFormat/>
    <w:uiPriority w:val="0"/>
    <w:pPr>
      <w:widowControl/>
      <w:spacing w:before="100" w:after="100"/>
      <w:jc w:val="center"/>
      <w:textAlignment w:val="top"/>
    </w:pPr>
    <w:rPr>
      <w:kern w:val="0"/>
      <w:sz w:val="24"/>
    </w:rPr>
  </w:style>
  <w:style w:type="paragraph" w:customStyle="1" w:styleId="453">
    <w:name w:val="正文 首行缩进:  2 字符"/>
    <w:basedOn w:val="1"/>
    <w:link w:val="454"/>
    <w:qFormat/>
    <w:uiPriority w:val="0"/>
    <w:pPr>
      <w:ind w:firstLine="579" w:firstLineChars="200"/>
    </w:pPr>
    <w:rPr>
      <w:sz w:val="28"/>
      <w:szCs w:val="20"/>
    </w:rPr>
  </w:style>
  <w:style w:type="character" w:customStyle="1" w:styleId="454">
    <w:name w:val="正文 首行缩进:  2 字符 Char"/>
    <w:link w:val="453"/>
    <w:qFormat/>
    <w:uiPriority w:val="0"/>
    <w:rPr>
      <w:kern w:val="2"/>
      <w:sz w:val="28"/>
    </w:rPr>
  </w:style>
  <w:style w:type="paragraph" w:customStyle="1" w:styleId="455">
    <w:name w:val="Char Char3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456">
    <w:name w:val="2 Char"/>
    <w:basedOn w:val="1"/>
    <w:qFormat/>
    <w:uiPriority w:val="0"/>
  </w:style>
  <w:style w:type="paragraph" w:customStyle="1" w:styleId="457">
    <w:name w:val="正文1"/>
    <w:basedOn w:val="1"/>
    <w:link w:val="458"/>
    <w:qFormat/>
    <w:uiPriority w:val="0"/>
    <w:pPr>
      <w:snapToGrid w:val="0"/>
      <w:spacing w:line="360" w:lineRule="exact"/>
      <w:jc w:val="center"/>
    </w:pPr>
    <w:rPr>
      <w:kern w:val="21"/>
      <w:sz w:val="28"/>
      <w:szCs w:val="20"/>
    </w:rPr>
  </w:style>
  <w:style w:type="character" w:customStyle="1" w:styleId="458">
    <w:name w:val="正文1 Char"/>
    <w:link w:val="457"/>
    <w:qFormat/>
    <w:uiPriority w:val="0"/>
    <w:rPr>
      <w:snapToGrid/>
      <w:kern w:val="21"/>
      <w:sz w:val="28"/>
    </w:rPr>
  </w:style>
  <w:style w:type="paragraph" w:customStyle="1" w:styleId="459">
    <w:name w:val="xl54"/>
    <w:basedOn w:val="1"/>
    <w:qFormat/>
    <w:uiPriority w:val="0"/>
    <w:pPr>
      <w:widowControl/>
      <w:pBdr>
        <w:bottom w:val="single" w:color="auto" w:sz="4" w:space="0"/>
        <w:right w:val="single" w:color="auto" w:sz="4" w:space="0"/>
      </w:pBdr>
      <w:spacing w:before="100" w:after="100"/>
      <w:jc w:val="center"/>
      <w:textAlignment w:val="center"/>
    </w:pPr>
    <w:rPr>
      <w:rFonts w:ascii="宋体" w:hAnsi="宋体"/>
      <w:kern w:val="0"/>
      <w:sz w:val="28"/>
      <w:szCs w:val="28"/>
    </w:rPr>
  </w:style>
  <w:style w:type="paragraph" w:customStyle="1" w:styleId="460">
    <w:name w:val="xl44"/>
    <w:basedOn w:val="1"/>
    <w:qFormat/>
    <w:uiPriority w:val="0"/>
    <w:pPr>
      <w:widowControl/>
      <w:pBdr>
        <w:top w:val="single" w:color="auto" w:sz="4" w:space="0"/>
        <w:bottom w:val="single" w:color="auto" w:sz="4" w:space="0"/>
      </w:pBdr>
      <w:spacing w:before="100" w:after="100"/>
      <w:jc w:val="center"/>
      <w:textAlignment w:val="center"/>
    </w:pPr>
    <w:rPr>
      <w:rFonts w:ascii="宋体" w:hAnsi="宋体"/>
      <w:kern w:val="0"/>
      <w:sz w:val="24"/>
    </w:rPr>
  </w:style>
  <w:style w:type="paragraph" w:customStyle="1" w:styleId="461">
    <w:name w:val="5"/>
    <w:basedOn w:val="1"/>
    <w:next w:val="35"/>
    <w:qFormat/>
    <w:uiPriority w:val="0"/>
    <w:pPr>
      <w:ind w:firstLine="540"/>
    </w:pPr>
    <w:rPr>
      <w:rFonts w:eastAsia="华文行楷"/>
      <w:sz w:val="28"/>
      <w:szCs w:val="20"/>
    </w:rPr>
  </w:style>
  <w:style w:type="paragraph" w:customStyle="1" w:styleId="462">
    <w:name w:val="样式 四号 行距: 固定值 28 磅"/>
    <w:basedOn w:val="1"/>
    <w:qFormat/>
    <w:uiPriority w:val="0"/>
    <w:pPr>
      <w:spacing w:line="400" w:lineRule="exact"/>
    </w:pPr>
    <w:rPr>
      <w:color w:val="000000"/>
    </w:rPr>
  </w:style>
  <w:style w:type="paragraph" w:customStyle="1" w:styleId="463">
    <w:name w:val="zhengwen"/>
    <w:basedOn w:val="1"/>
    <w:qFormat/>
    <w:uiPriority w:val="0"/>
    <w:pPr>
      <w:adjustRightInd w:val="0"/>
      <w:spacing w:line="360" w:lineRule="auto"/>
      <w:ind w:firstLine="476"/>
      <w:jc w:val="left"/>
      <w:textAlignment w:val="baseline"/>
    </w:pPr>
    <w:rPr>
      <w:color w:val="000000"/>
      <w:kern w:val="0"/>
      <w:sz w:val="24"/>
    </w:rPr>
  </w:style>
  <w:style w:type="paragraph" w:customStyle="1" w:styleId="464">
    <w:name w:val="xl38"/>
    <w:basedOn w:val="1"/>
    <w:qFormat/>
    <w:uiPriority w:val="0"/>
    <w:pPr>
      <w:widowControl/>
      <w:pBdr>
        <w:top w:val="single" w:color="auto" w:sz="4" w:space="0"/>
        <w:bottom w:val="single" w:color="auto" w:sz="4" w:space="0"/>
      </w:pBdr>
      <w:spacing w:before="100" w:after="100"/>
      <w:jc w:val="center"/>
      <w:textAlignment w:val="center"/>
    </w:pPr>
    <w:rPr>
      <w:kern w:val="0"/>
      <w:sz w:val="28"/>
      <w:szCs w:val="28"/>
    </w:rPr>
  </w:style>
  <w:style w:type="paragraph" w:customStyle="1" w:styleId="465">
    <w:name w:val="font5"/>
    <w:basedOn w:val="1"/>
    <w:qFormat/>
    <w:uiPriority w:val="0"/>
    <w:pPr>
      <w:widowControl/>
      <w:spacing w:before="100" w:after="100"/>
      <w:jc w:val="left"/>
    </w:pPr>
    <w:rPr>
      <w:rFonts w:ascii="宋体" w:hAnsi="宋体"/>
      <w:kern w:val="0"/>
      <w:sz w:val="18"/>
      <w:szCs w:val="18"/>
    </w:rPr>
  </w:style>
  <w:style w:type="paragraph" w:customStyle="1" w:styleId="466">
    <w:name w:val="文字表格"/>
    <w:basedOn w:val="21"/>
    <w:qFormat/>
    <w:uiPriority w:val="0"/>
    <w:pPr>
      <w:keepNext w:val="0"/>
      <w:adjustRightInd w:val="0"/>
      <w:snapToGrid w:val="0"/>
      <w:spacing w:line="360" w:lineRule="atLeast"/>
      <w:ind w:firstLine="0"/>
    </w:pPr>
    <w:rPr>
      <w:rFonts w:ascii="Calibri" w:hAnsi="Calibri"/>
      <w:bCs w:val="0"/>
      <w:sz w:val="21"/>
      <w:szCs w:val="21"/>
      <w:lang w:val="zh-CN"/>
    </w:rPr>
  </w:style>
  <w:style w:type="paragraph" w:customStyle="1" w:styleId="467">
    <w:name w:val="样式 样式 标题 2h22Header 2nd PageA.B.C.h2 main h标题2 + 仿宋_GB2312 行距......1"/>
    <w:basedOn w:val="443"/>
    <w:qFormat/>
    <w:uiPriority w:val="0"/>
    <w:pPr>
      <w:ind w:firstLine="454"/>
    </w:pPr>
    <w:rPr>
      <w:b/>
      <w:bCs w:val="0"/>
    </w:rPr>
  </w:style>
  <w:style w:type="paragraph" w:customStyle="1" w:styleId="468">
    <w:name w:val="Char Char4 Char Char Char Char"/>
    <w:basedOn w:val="1"/>
    <w:qFormat/>
    <w:uiPriority w:val="0"/>
    <w:rPr>
      <w:spacing w:val="-2"/>
      <w:kern w:val="0"/>
      <w:sz w:val="24"/>
    </w:rPr>
  </w:style>
  <w:style w:type="paragraph" w:customStyle="1" w:styleId="469">
    <w:name w:val="Char Char Char Char Char Char Char Char Char Char Char1 Char Char Char Char Char Char Char"/>
    <w:basedOn w:val="1"/>
    <w:qFormat/>
    <w:uiPriority w:val="0"/>
  </w:style>
  <w:style w:type="paragraph" w:customStyle="1" w:styleId="470">
    <w:name w:val="xl29"/>
    <w:basedOn w:val="1"/>
    <w:qFormat/>
    <w:uiPriority w:val="0"/>
    <w:pPr>
      <w:widowControl/>
      <w:pBdr>
        <w:top w:val="single" w:color="auto" w:sz="4" w:space="0"/>
        <w:left w:val="single" w:color="auto" w:sz="4" w:space="0"/>
        <w:bottom w:val="single" w:color="auto" w:sz="4" w:space="0"/>
      </w:pBdr>
      <w:spacing w:before="100" w:after="100"/>
      <w:jc w:val="center"/>
      <w:textAlignment w:val="center"/>
    </w:pPr>
    <w:rPr>
      <w:rFonts w:ascii="宋体" w:hAnsi="宋体"/>
      <w:kern w:val="0"/>
      <w:sz w:val="28"/>
      <w:szCs w:val="28"/>
    </w:rPr>
  </w:style>
  <w:style w:type="paragraph" w:customStyle="1" w:styleId="471">
    <w:name w:val="xl24"/>
    <w:basedOn w:val="1"/>
    <w:qFormat/>
    <w:uiPriority w:val="0"/>
    <w:pPr>
      <w:widowControl/>
      <w:spacing w:before="100" w:beforeAutospacing="1" w:after="100" w:afterAutospacing="1"/>
      <w:jc w:val="center"/>
      <w:textAlignment w:val="center"/>
    </w:pPr>
    <w:rPr>
      <w:rFonts w:ascii="宋体" w:hAnsi="宋体"/>
      <w:kern w:val="0"/>
      <w:sz w:val="24"/>
    </w:rPr>
  </w:style>
  <w:style w:type="paragraph" w:customStyle="1" w:styleId="472">
    <w:name w:val="xl75"/>
    <w:basedOn w:val="1"/>
    <w:qFormat/>
    <w:uiPriority w:val="0"/>
    <w:pPr>
      <w:widowControl/>
      <w:pBdr>
        <w:left w:val="single" w:color="auto" w:sz="4" w:space="0"/>
      </w:pBdr>
      <w:spacing w:before="100" w:after="100"/>
      <w:jc w:val="center"/>
      <w:textAlignment w:val="center"/>
    </w:pPr>
    <w:rPr>
      <w:kern w:val="0"/>
      <w:sz w:val="24"/>
    </w:rPr>
  </w:style>
  <w:style w:type="paragraph" w:customStyle="1" w:styleId="473">
    <w:name w:val="xl28"/>
    <w:basedOn w:val="1"/>
    <w:qFormat/>
    <w:uiPriority w:val="0"/>
    <w:pPr>
      <w:widowControl/>
      <w:pBdr>
        <w:bottom w:val="single" w:color="auto" w:sz="4" w:space="0"/>
        <w:right w:val="single" w:color="auto" w:sz="4" w:space="0"/>
      </w:pBdr>
      <w:spacing w:before="100" w:beforeAutospacing="1" w:after="100" w:afterAutospacing="1"/>
    </w:pPr>
    <w:rPr>
      <w:rFonts w:ascii="宋体" w:hAnsi="宋体"/>
      <w:kern w:val="0"/>
      <w:sz w:val="24"/>
    </w:rPr>
  </w:style>
  <w:style w:type="paragraph" w:customStyle="1" w:styleId="474">
    <w:name w:val="xl64"/>
    <w:basedOn w:val="1"/>
    <w:qFormat/>
    <w:uiPriority w:val="0"/>
    <w:pPr>
      <w:widowControl/>
      <w:pBdr>
        <w:top w:val="single" w:color="auto" w:sz="8" w:space="0"/>
        <w:right w:val="single" w:color="auto" w:sz="4" w:space="0"/>
      </w:pBdr>
      <w:spacing w:before="100" w:after="100"/>
      <w:jc w:val="center"/>
      <w:textAlignment w:val="top"/>
    </w:pPr>
    <w:rPr>
      <w:kern w:val="0"/>
      <w:sz w:val="24"/>
    </w:rPr>
  </w:style>
  <w:style w:type="paragraph" w:customStyle="1" w:styleId="475">
    <w:name w:val="xl83"/>
    <w:basedOn w:val="1"/>
    <w:qFormat/>
    <w:uiPriority w:val="0"/>
    <w:pPr>
      <w:widowControl/>
      <w:pBdr>
        <w:left w:val="single" w:color="auto" w:sz="4" w:space="0"/>
        <w:bottom w:val="single" w:color="auto" w:sz="8" w:space="0"/>
        <w:right w:val="single" w:color="auto" w:sz="4" w:space="0"/>
      </w:pBdr>
      <w:spacing w:before="100" w:after="100"/>
      <w:jc w:val="center"/>
      <w:textAlignment w:val="center"/>
    </w:pPr>
    <w:rPr>
      <w:kern w:val="0"/>
      <w:sz w:val="24"/>
    </w:rPr>
  </w:style>
  <w:style w:type="paragraph" w:customStyle="1" w:styleId="476">
    <w:name w:val="xl39"/>
    <w:basedOn w:val="1"/>
    <w:qFormat/>
    <w:uiPriority w:val="0"/>
    <w:pPr>
      <w:widowControl/>
      <w:pBdr>
        <w:top w:val="single" w:color="auto" w:sz="4" w:space="0"/>
        <w:bottom w:val="single" w:color="auto" w:sz="4" w:space="0"/>
        <w:right w:val="single" w:color="auto" w:sz="4" w:space="0"/>
      </w:pBdr>
      <w:spacing w:before="100" w:after="100"/>
      <w:jc w:val="center"/>
      <w:textAlignment w:val="center"/>
    </w:pPr>
    <w:rPr>
      <w:kern w:val="0"/>
      <w:sz w:val="28"/>
      <w:szCs w:val="28"/>
    </w:rPr>
  </w:style>
  <w:style w:type="paragraph" w:customStyle="1" w:styleId="477">
    <w:name w:val="样式 样式 环评正文 + (西文) 仿宋_GB2312 (中文) 宋体 10.5 磅 首行缩进:  2 字符 + 首行缩进:  ..."/>
    <w:basedOn w:val="1"/>
    <w:qFormat/>
    <w:uiPriority w:val="0"/>
    <w:pPr>
      <w:spacing w:line="400" w:lineRule="exact"/>
    </w:pPr>
    <w:rPr>
      <w:rFonts w:ascii="仿宋_GB2312" w:hAnsi="仿宋_GB2312"/>
      <w:sz w:val="24"/>
      <w:szCs w:val="20"/>
    </w:rPr>
  </w:style>
  <w:style w:type="character" w:customStyle="1" w:styleId="478">
    <w:name w:val="正文文本 2 Char1"/>
    <w:qFormat/>
    <w:uiPriority w:val="99"/>
  </w:style>
  <w:style w:type="paragraph" w:customStyle="1" w:styleId="479">
    <w:name w:val="正文缩"/>
    <w:basedOn w:val="1"/>
    <w:qFormat/>
    <w:uiPriority w:val="0"/>
    <w:pPr>
      <w:adjustRightInd w:val="0"/>
      <w:spacing w:line="480" w:lineRule="atLeast"/>
      <w:ind w:firstLine="567"/>
      <w:textAlignment w:val="baseline"/>
    </w:pPr>
    <w:rPr>
      <w:rFonts w:ascii="宋体"/>
      <w:spacing w:val="6"/>
      <w:kern w:val="0"/>
      <w:sz w:val="28"/>
      <w:szCs w:val="20"/>
    </w:rPr>
  </w:style>
  <w:style w:type="paragraph" w:customStyle="1" w:styleId="480">
    <w:name w:val="xl67"/>
    <w:basedOn w:val="1"/>
    <w:qFormat/>
    <w:uiPriority w:val="0"/>
    <w:pPr>
      <w:widowControl/>
      <w:pBdr>
        <w:right w:val="single" w:color="auto" w:sz="4" w:space="0"/>
      </w:pBdr>
      <w:spacing w:before="100" w:after="100"/>
      <w:jc w:val="center"/>
      <w:textAlignment w:val="top"/>
    </w:pPr>
    <w:rPr>
      <w:kern w:val="0"/>
      <w:sz w:val="24"/>
    </w:rPr>
  </w:style>
  <w:style w:type="paragraph" w:customStyle="1" w:styleId="481">
    <w:name w:val="xl45"/>
    <w:basedOn w:val="1"/>
    <w:qFormat/>
    <w:uiPriority w:val="0"/>
    <w:pPr>
      <w:widowControl/>
      <w:pBdr>
        <w:top w:val="single" w:color="auto" w:sz="4" w:space="0"/>
        <w:bottom w:val="single" w:color="auto" w:sz="4" w:space="0"/>
        <w:right w:val="single" w:color="auto" w:sz="4" w:space="0"/>
      </w:pBdr>
      <w:spacing w:before="100" w:after="100"/>
      <w:jc w:val="center"/>
      <w:textAlignment w:val="center"/>
    </w:pPr>
    <w:rPr>
      <w:rFonts w:ascii="宋体" w:hAnsi="宋体"/>
      <w:kern w:val="0"/>
      <w:sz w:val="24"/>
    </w:rPr>
  </w:style>
  <w:style w:type="paragraph" w:customStyle="1" w:styleId="482">
    <w:name w:val="xl34"/>
    <w:basedOn w:val="1"/>
    <w:qFormat/>
    <w:uiPriority w:val="0"/>
    <w:pPr>
      <w:widowControl/>
      <w:pBdr>
        <w:top w:val="single" w:color="auto" w:sz="4" w:space="0"/>
        <w:bottom w:val="single" w:color="auto" w:sz="4" w:space="0"/>
        <w:right w:val="single" w:color="auto" w:sz="4" w:space="0"/>
      </w:pBdr>
      <w:spacing w:before="100" w:after="100"/>
      <w:jc w:val="center"/>
      <w:textAlignment w:val="center"/>
    </w:pPr>
    <w:rPr>
      <w:rFonts w:ascii="宋体" w:hAnsi="宋体"/>
      <w:kern w:val="0"/>
      <w:sz w:val="24"/>
    </w:rPr>
  </w:style>
  <w:style w:type="paragraph" w:customStyle="1" w:styleId="483">
    <w:name w:val="Char Char Char Char Char Char Char Char Char"/>
    <w:basedOn w:val="1"/>
    <w:qFormat/>
    <w:uiPriority w:val="0"/>
  </w:style>
  <w:style w:type="paragraph" w:customStyle="1" w:styleId="484">
    <w:name w:val="xl71"/>
    <w:basedOn w:val="1"/>
    <w:qFormat/>
    <w:uiPriority w:val="0"/>
    <w:pPr>
      <w:widowControl/>
      <w:pBdr>
        <w:top w:val="single" w:color="auto" w:sz="4" w:space="0"/>
        <w:left w:val="single" w:color="auto" w:sz="4" w:space="0"/>
        <w:bottom w:val="single" w:color="auto" w:sz="4" w:space="0"/>
      </w:pBdr>
      <w:spacing w:before="100" w:after="100"/>
      <w:jc w:val="center"/>
      <w:textAlignment w:val="center"/>
    </w:pPr>
    <w:rPr>
      <w:rFonts w:ascii="宋体" w:hAnsi="宋体"/>
      <w:kern w:val="0"/>
      <w:sz w:val="24"/>
    </w:rPr>
  </w:style>
  <w:style w:type="paragraph" w:customStyle="1" w:styleId="485">
    <w:name w:val="xl79"/>
    <w:basedOn w:val="1"/>
    <w:qFormat/>
    <w:uiPriority w:val="0"/>
    <w:pPr>
      <w:widowControl/>
      <w:pBdr>
        <w:bottom w:val="single" w:color="auto" w:sz="8" w:space="0"/>
      </w:pBdr>
      <w:spacing w:before="100" w:after="100"/>
      <w:jc w:val="center"/>
      <w:textAlignment w:val="center"/>
    </w:pPr>
    <w:rPr>
      <w:kern w:val="0"/>
      <w:sz w:val="24"/>
    </w:rPr>
  </w:style>
  <w:style w:type="paragraph" w:customStyle="1" w:styleId="486">
    <w:name w:val="xl59"/>
    <w:basedOn w:val="1"/>
    <w:qFormat/>
    <w:uiPriority w:val="0"/>
    <w:pPr>
      <w:widowControl/>
      <w:pBdr>
        <w:top w:val="single" w:color="auto" w:sz="8" w:space="0"/>
        <w:left w:val="single" w:color="auto" w:sz="8" w:space="0"/>
        <w:right w:val="single" w:color="auto" w:sz="4" w:space="0"/>
      </w:pBdr>
      <w:spacing w:before="100" w:after="100"/>
      <w:jc w:val="center"/>
      <w:textAlignment w:val="top"/>
    </w:pPr>
    <w:rPr>
      <w:kern w:val="0"/>
      <w:sz w:val="24"/>
    </w:rPr>
  </w:style>
  <w:style w:type="paragraph" w:customStyle="1" w:styleId="487">
    <w:name w:val="z-窗体底端1"/>
    <w:basedOn w:val="1"/>
    <w:next w:val="1"/>
    <w:link w:val="488"/>
    <w:qFormat/>
    <w:uiPriority w:val="0"/>
    <w:pPr>
      <w:widowControl/>
      <w:pBdr>
        <w:top w:val="single" w:color="auto" w:sz="6" w:space="1"/>
      </w:pBdr>
      <w:jc w:val="center"/>
    </w:pPr>
    <w:rPr>
      <w:rFonts w:ascii="Arial" w:hAnsi="Arial" w:eastAsia="Arial Unicode MS"/>
      <w:vanish/>
      <w:kern w:val="0"/>
      <w:sz w:val="16"/>
      <w:szCs w:val="20"/>
    </w:rPr>
  </w:style>
  <w:style w:type="character" w:customStyle="1" w:styleId="488">
    <w:name w:val="z-窗体底端 Char"/>
    <w:link w:val="487"/>
    <w:qFormat/>
    <w:uiPriority w:val="0"/>
    <w:rPr>
      <w:rFonts w:ascii="Arial" w:hAnsi="Arial" w:eastAsia="Arial Unicode MS"/>
      <w:vanish/>
      <w:sz w:val="16"/>
    </w:rPr>
  </w:style>
  <w:style w:type="paragraph" w:customStyle="1" w:styleId="489">
    <w:name w:val="Char Char"/>
    <w:basedOn w:val="1"/>
    <w:qFormat/>
    <w:uiPriority w:val="0"/>
  </w:style>
  <w:style w:type="paragraph" w:customStyle="1" w:styleId="490">
    <w:name w:val="2 Char Char Char"/>
    <w:basedOn w:val="1"/>
    <w:qFormat/>
    <w:uiPriority w:val="0"/>
  </w:style>
  <w:style w:type="paragraph" w:customStyle="1" w:styleId="491">
    <w:name w:val="xl55"/>
    <w:basedOn w:val="1"/>
    <w:qFormat/>
    <w:uiPriority w:val="0"/>
    <w:pPr>
      <w:widowControl/>
      <w:pBdr>
        <w:bottom w:val="single" w:color="auto" w:sz="4" w:space="0"/>
        <w:right w:val="single" w:color="auto" w:sz="8" w:space="0"/>
      </w:pBdr>
      <w:spacing w:before="100" w:after="100"/>
      <w:jc w:val="center"/>
      <w:textAlignment w:val="center"/>
    </w:pPr>
    <w:rPr>
      <w:rFonts w:ascii="宋体" w:hAnsi="宋体"/>
      <w:kern w:val="0"/>
      <w:sz w:val="28"/>
      <w:szCs w:val="28"/>
    </w:rPr>
  </w:style>
  <w:style w:type="paragraph" w:customStyle="1" w:styleId="492">
    <w:name w:val="Char Char Char Char Char Char Char Char Char Char Char Char Char Char Char"/>
    <w:basedOn w:val="1"/>
    <w:qFormat/>
    <w:uiPriority w:val="0"/>
  </w:style>
  <w:style w:type="paragraph" w:customStyle="1" w:styleId="493">
    <w:name w:val="xl30"/>
    <w:basedOn w:val="1"/>
    <w:qFormat/>
    <w:uiPriority w:val="0"/>
    <w:pPr>
      <w:widowControl/>
      <w:pBdr>
        <w:top w:val="single" w:color="auto" w:sz="4" w:space="0"/>
        <w:bottom w:val="single" w:color="auto" w:sz="4" w:space="0"/>
      </w:pBdr>
      <w:spacing w:before="100" w:after="100"/>
      <w:jc w:val="center"/>
      <w:textAlignment w:val="center"/>
    </w:pPr>
    <w:rPr>
      <w:rFonts w:ascii="宋体" w:hAnsi="宋体"/>
      <w:kern w:val="0"/>
      <w:sz w:val="28"/>
      <w:szCs w:val="28"/>
    </w:rPr>
  </w:style>
  <w:style w:type="paragraph" w:customStyle="1" w:styleId="494">
    <w:name w:val="Char Char Char Char Char Char Char Char Char Char Char1 Char Char Char Char"/>
    <w:basedOn w:val="1"/>
    <w:qFormat/>
    <w:uiPriority w:val="0"/>
  </w:style>
  <w:style w:type="paragraph" w:customStyle="1" w:styleId="495">
    <w:name w:val="BG1"/>
    <w:basedOn w:val="1"/>
    <w:qFormat/>
    <w:uiPriority w:val="0"/>
    <w:pPr>
      <w:spacing w:line="300" w:lineRule="exact"/>
      <w:jc w:val="center"/>
    </w:pPr>
    <w:rPr>
      <w:color w:val="FF0000"/>
      <w:szCs w:val="21"/>
    </w:rPr>
  </w:style>
  <w:style w:type="paragraph" w:customStyle="1" w:styleId="496">
    <w:name w:val="Char Char Char Char Char Char Char Char Char Char Char Char Char Char Char Char Char"/>
    <w:basedOn w:val="1"/>
    <w:qFormat/>
    <w:uiPriority w:val="0"/>
  </w:style>
  <w:style w:type="paragraph" w:customStyle="1" w:styleId="497">
    <w:name w:val="xl48"/>
    <w:basedOn w:val="1"/>
    <w:qFormat/>
    <w:uiPriority w:val="0"/>
    <w:pPr>
      <w:widowControl/>
      <w:pBdr>
        <w:top w:val="single" w:color="auto" w:sz="4" w:space="0"/>
        <w:left w:val="single" w:color="auto" w:sz="4" w:space="0"/>
        <w:bottom w:val="single" w:color="auto" w:sz="4" w:space="0"/>
      </w:pBdr>
      <w:spacing w:before="100" w:after="100"/>
      <w:jc w:val="center"/>
      <w:textAlignment w:val="center"/>
    </w:pPr>
    <w:rPr>
      <w:rFonts w:ascii="宋体" w:hAnsi="宋体"/>
      <w:kern w:val="0"/>
      <w:sz w:val="24"/>
    </w:rPr>
  </w:style>
  <w:style w:type="paragraph" w:customStyle="1" w:styleId="498">
    <w:name w:val="xl43"/>
    <w:basedOn w:val="1"/>
    <w:qFormat/>
    <w:uiPriority w:val="0"/>
    <w:pPr>
      <w:widowControl/>
      <w:pBdr>
        <w:top w:val="single" w:color="auto" w:sz="4" w:space="0"/>
        <w:left w:val="single" w:color="auto" w:sz="4" w:space="0"/>
        <w:bottom w:val="single" w:color="auto" w:sz="4" w:space="0"/>
      </w:pBdr>
      <w:spacing w:before="100" w:after="100"/>
      <w:jc w:val="center"/>
      <w:textAlignment w:val="center"/>
    </w:pPr>
    <w:rPr>
      <w:kern w:val="0"/>
      <w:sz w:val="24"/>
    </w:rPr>
  </w:style>
  <w:style w:type="paragraph" w:customStyle="1" w:styleId="499">
    <w:name w:val="xl26"/>
    <w:basedOn w:val="1"/>
    <w:qFormat/>
    <w:uiPriority w:val="0"/>
    <w:pPr>
      <w:widowControl/>
      <w:pBdr>
        <w:left w:val="single" w:color="auto" w:sz="4" w:space="0"/>
        <w:bottom w:val="single" w:color="auto" w:sz="4" w:space="0"/>
        <w:right w:val="single" w:color="auto" w:sz="4" w:space="0"/>
      </w:pBdr>
      <w:spacing w:before="100" w:after="100"/>
      <w:jc w:val="center"/>
      <w:textAlignment w:val="center"/>
    </w:pPr>
    <w:rPr>
      <w:kern w:val="0"/>
      <w:sz w:val="24"/>
    </w:rPr>
  </w:style>
  <w:style w:type="paragraph" w:customStyle="1" w:styleId="500">
    <w:name w:val="Char Char Char Char Char Char Char Char Char Char Char"/>
    <w:basedOn w:val="1"/>
    <w:qFormat/>
    <w:uiPriority w:val="0"/>
  </w:style>
  <w:style w:type="paragraph" w:customStyle="1" w:styleId="501">
    <w:name w:val="xl33"/>
    <w:basedOn w:val="1"/>
    <w:qFormat/>
    <w:uiPriority w:val="0"/>
    <w:pPr>
      <w:widowControl/>
      <w:pBdr>
        <w:top w:val="single" w:color="auto" w:sz="4" w:space="0"/>
        <w:bottom w:val="single" w:color="auto" w:sz="4" w:space="0"/>
      </w:pBdr>
      <w:spacing w:before="100" w:after="100"/>
      <w:jc w:val="center"/>
      <w:textAlignment w:val="center"/>
    </w:pPr>
    <w:rPr>
      <w:rFonts w:ascii="宋体" w:hAnsi="宋体"/>
      <w:kern w:val="0"/>
      <w:sz w:val="24"/>
    </w:rPr>
  </w:style>
  <w:style w:type="paragraph" w:customStyle="1" w:styleId="502">
    <w:name w:val="标题5"/>
    <w:basedOn w:val="21"/>
    <w:qFormat/>
    <w:uiPriority w:val="0"/>
    <w:pPr>
      <w:keepNext w:val="0"/>
      <w:tabs>
        <w:tab w:val="left" w:pos="900"/>
      </w:tabs>
      <w:spacing w:line="240" w:lineRule="auto"/>
      <w:ind w:left="900" w:hanging="900"/>
      <w:jc w:val="both"/>
    </w:pPr>
    <w:rPr>
      <w:rFonts w:ascii="Calibri" w:hAnsi="Calibri"/>
      <w:b/>
      <w:bCs w:val="0"/>
      <w:spacing w:val="10"/>
      <w:sz w:val="28"/>
      <w:szCs w:val="20"/>
    </w:rPr>
  </w:style>
  <w:style w:type="paragraph" w:customStyle="1" w:styleId="503">
    <w:name w:val="正文11111111"/>
    <w:basedOn w:val="1"/>
    <w:qFormat/>
    <w:uiPriority w:val="0"/>
    <w:pPr>
      <w:spacing w:line="440" w:lineRule="exact"/>
      <w:ind w:firstLine="200" w:firstLineChars="200"/>
    </w:pPr>
    <w:rPr>
      <w:rFonts w:cs="宋体"/>
      <w:sz w:val="24"/>
      <w:szCs w:val="20"/>
    </w:rPr>
  </w:style>
  <w:style w:type="paragraph" w:customStyle="1" w:styleId="504">
    <w:name w:val="表内字"/>
    <w:basedOn w:val="64"/>
    <w:qFormat/>
    <w:uiPriority w:val="0"/>
    <w:pPr>
      <w:spacing w:before="80" w:after="80"/>
    </w:pPr>
  </w:style>
  <w:style w:type="paragraph" w:customStyle="1" w:styleId="505">
    <w:name w:val="xl68"/>
    <w:basedOn w:val="1"/>
    <w:qFormat/>
    <w:uiPriority w:val="0"/>
    <w:pPr>
      <w:widowControl/>
      <w:pBdr>
        <w:left w:val="single" w:color="auto" w:sz="4" w:space="0"/>
        <w:bottom w:val="single" w:color="auto" w:sz="8" w:space="0"/>
      </w:pBdr>
      <w:spacing w:before="100" w:after="100"/>
      <w:jc w:val="center"/>
      <w:textAlignment w:val="top"/>
    </w:pPr>
    <w:rPr>
      <w:kern w:val="0"/>
      <w:sz w:val="24"/>
    </w:rPr>
  </w:style>
  <w:style w:type="paragraph" w:customStyle="1" w:styleId="506">
    <w:name w:val="日期1"/>
    <w:basedOn w:val="1"/>
    <w:next w:val="1"/>
    <w:qFormat/>
    <w:uiPriority w:val="0"/>
    <w:pPr>
      <w:adjustRightInd w:val="0"/>
      <w:textAlignment w:val="baseline"/>
    </w:pPr>
    <w:rPr>
      <w:szCs w:val="20"/>
    </w:rPr>
  </w:style>
  <w:style w:type="paragraph" w:customStyle="1" w:styleId="507">
    <w:name w:val="报告书表格"/>
    <w:basedOn w:val="1"/>
    <w:qFormat/>
    <w:uiPriority w:val="0"/>
    <w:pPr>
      <w:adjustRightInd w:val="0"/>
      <w:spacing w:before="60" w:after="60" w:line="240" w:lineRule="atLeast"/>
      <w:jc w:val="center"/>
      <w:textAlignment w:val="baseline"/>
    </w:pPr>
    <w:rPr>
      <w:kern w:val="0"/>
      <w:szCs w:val="20"/>
    </w:rPr>
  </w:style>
  <w:style w:type="paragraph" w:customStyle="1" w:styleId="508">
    <w:name w:val="xl84"/>
    <w:basedOn w:val="1"/>
    <w:qFormat/>
    <w:uiPriority w:val="0"/>
    <w:pPr>
      <w:widowControl/>
      <w:pBdr>
        <w:top w:val="single" w:color="auto" w:sz="4" w:space="0"/>
        <w:left w:val="single" w:color="auto" w:sz="4" w:space="0"/>
        <w:bottom w:val="single" w:color="auto" w:sz="4" w:space="0"/>
      </w:pBdr>
      <w:spacing w:before="100" w:after="100"/>
      <w:jc w:val="center"/>
      <w:textAlignment w:val="center"/>
    </w:pPr>
    <w:rPr>
      <w:rFonts w:ascii="宋体" w:hAnsi="宋体"/>
      <w:kern w:val="0"/>
      <w:sz w:val="24"/>
    </w:rPr>
  </w:style>
  <w:style w:type="paragraph" w:customStyle="1" w:styleId="509">
    <w:name w:val="Char Char4"/>
    <w:basedOn w:val="1"/>
    <w:qFormat/>
    <w:uiPriority w:val="0"/>
    <w:rPr>
      <w:spacing w:val="-2"/>
      <w:kern w:val="0"/>
      <w:sz w:val="24"/>
    </w:rPr>
  </w:style>
  <w:style w:type="paragraph" w:customStyle="1" w:styleId="510">
    <w:name w:val="xl80"/>
    <w:basedOn w:val="1"/>
    <w:qFormat/>
    <w:uiPriority w:val="0"/>
    <w:pPr>
      <w:widowControl/>
      <w:pBdr>
        <w:bottom w:val="single" w:color="auto" w:sz="8" w:space="0"/>
        <w:right w:val="single" w:color="auto" w:sz="8" w:space="0"/>
      </w:pBdr>
      <w:spacing w:before="100" w:after="100"/>
      <w:jc w:val="center"/>
      <w:textAlignment w:val="center"/>
    </w:pPr>
    <w:rPr>
      <w:kern w:val="0"/>
      <w:sz w:val="24"/>
    </w:rPr>
  </w:style>
  <w:style w:type="paragraph" w:customStyle="1" w:styleId="511">
    <w:name w:val="xl60"/>
    <w:basedOn w:val="1"/>
    <w:qFormat/>
    <w:uiPriority w:val="0"/>
    <w:pPr>
      <w:widowControl/>
      <w:pBdr>
        <w:left w:val="single" w:color="auto" w:sz="8" w:space="0"/>
        <w:right w:val="single" w:color="auto" w:sz="4" w:space="0"/>
      </w:pBdr>
      <w:spacing w:before="100" w:after="100"/>
      <w:jc w:val="center"/>
      <w:textAlignment w:val="top"/>
    </w:pPr>
    <w:rPr>
      <w:kern w:val="0"/>
      <w:sz w:val="24"/>
    </w:rPr>
  </w:style>
  <w:style w:type="paragraph" w:customStyle="1" w:styleId="512">
    <w:name w:val="xl27"/>
    <w:basedOn w:val="1"/>
    <w:qFormat/>
    <w:uiPriority w:val="0"/>
    <w:pPr>
      <w:widowControl/>
      <w:pBdr>
        <w:top w:val="single" w:color="auto" w:sz="4" w:space="0"/>
        <w:bottom w:val="single" w:color="auto" w:sz="4" w:space="0"/>
      </w:pBdr>
      <w:spacing w:before="100" w:after="100"/>
      <w:jc w:val="center"/>
      <w:textAlignment w:val="center"/>
    </w:pPr>
    <w:rPr>
      <w:rFonts w:ascii="宋体" w:hAnsi="宋体"/>
      <w:kern w:val="0"/>
      <w:sz w:val="28"/>
      <w:szCs w:val="28"/>
    </w:rPr>
  </w:style>
  <w:style w:type="paragraph" w:customStyle="1" w:styleId="513">
    <w:name w:val="Char Char Char Char Char Char Char Char Char Char Char Char Char Char Char Char Char Char"/>
    <w:basedOn w:val="1"/>
    <w:qFormat/>
    <w:uiPriority w:val="0"/>
  </w:style>
  <w:style w:type="paragraph" w:customStyle="1" w:styleId="514">
    <w:name w:val="样式 正文（首行缩进两字） + 宋体"/>
    <w:basedOn w:val="21"/>
    <w:qFormat/>
    <w:uiPriority w:val="0"/>
    <w:pPr>
      <w:keepNext w:val="0"/>
      <w:adjustRightInd w:val="0"/>
      <w:spacing w:line="240" w:lineRule="auto"/>
      <w:ind w:firstLine="0"/>
      <w:jc w:val="both"/>
    </w:pPr>
    <w:rPr>
      <w:bCs w:val="0"/>
      <w:sz w:val="28"/>
      <w:szCs w:val="20"/>
    </w:rPr>
  </w:style>
  <w:style w:type="paragraph" w:customStyle="1" w:styleId="515">
    <w:name w:val="Char Char Char Char Char Char Char Char Char Char Char Char Char Char Char Char Char Char Char Char Char"/>
    <w:basedOn w:val="1"/>
    <w:qFormat/>
    <w:uiPriority w:val="0"/>
  </w:style>
  <w:style w:type="character" w:customStyle="1" w:styleId="516">
    <w:name w:val="样式7 Char"/>
    <w:link w:val="200"/>
    <w:qFormat/>
    <w:uiPriority w:val="0"/>
    <w:rPr>
      <w:rFonts w:ascii="宋体" w:hAnsi="宋体"/>
      <w:b/>
      <w:bCs/>
      <w:spacing w:val="20"/>
      <w:kern w:val="2"/>
      <w:sz w:val="32"/>
      <w:szCs w:val="32"/>
    </w:rPr>
  </w:style>
  <w:style w:type="paragraph" w:customStyle="1" w:styleId="517">
    <w:name w:val="表格内容1"/>
    <w:basedOn w:val="1"/>
    <w:qFormat/>
    <w:uiPriority w:val="0"/>
    <w:pPr>
      <w:adjustRightInd w:val="0"/>
      <w:snapToGrid w:val="0"/>
      <w:ind w:left="-2" w:firstLine="2"/>
      <w:jc w:val="center"/>
    </w:pPr>
    <w:rPr>
      <w:kern w:val="0"/>
      <w:szCs w:val="21"/>
    </w:rPr>
  </w:style>
  <w:style w:type="paragraph" w:customStyle="1" w:styleId="518">
    <w:name w:val="xl42"/>
    <w:basedOn w:val="1"/>
    <w:qFormat/>
    <w:uiPriority w:val="0"/>
    <w:pPr>
      <w:widowControl/>
      <w:pBdr>
        <w:top w:val="single" w:color="auto" w:sz="4" w:space="0"/>
        <w:left w:val="single" w:color="auto" w:sz="4" w:space="0"/>
        <w:bottom w:val="single" w:color="auto" w:sz="4" w:space="0"/>
      </w:pBdr>
      <w:spacing w:before="100" w:after="100"/>
      <w:jc w:val="center"/>
      <w:textAlignment w:val="center"/>
    </w:pPr>
    <w:rPr>
      <w:kern w:val="0"/>
      <w:sz w:val="28"/>
      <w:szCs w:val="28"/>
    </w:rPr>
  </w:style>
  <w:style w:type="paragraph" w:customStyle="1" w:styleId="519">
    <w:name w:val="font7"/>
    <w:basedOn w:val="1"/>
    <w:qFormat/>
    <w:uiPriority w:val="0"/>
    <w:pPr>
      <w:widowControl/>
      <w:spacing w:before="100" w:after="100"/>
      <w:jc w:val="left"/>
    </w:pPr>
    <w:rPr>
      <w:rFonts w:ascii="宋体" w:hAnsi="宋体"/>
      <w:kern w:val="0"/>
      <w:sz w:val="28"/>
      <w:szCs w:val="28"/>
    </w:rPr>
  </w:style>
  <w:style w:type="paragraph" w:customStyle="1" w:styleId="520">
    <w:name w:val="Date1"/>
    <w:basedOn w:val="1"/>
    <w:next w:val="1"/>
    <w:qFormat/>
    <w:uiPriority w:val="0"/>
    <w:pPr>
      <w:adjustRightInd w:val="0"/>
      <w:textAlignment w:val="baseline"/>
    </w:pPr>
    <w:rPr>
      <w:szCs w:val="20"/>
    </w:rPr>
  </w:style>
  <w:style w:type="paragraph" w:customStyle="1" w:styleId="521">
    <w:name w:val="样式 首行缩进:  2 字符"/>
    <w:basedOn w:val="1"/>
    <w:link w:val="522"/>
    <w:qFormat/>
    <w:uiPriority w:val="0"/>
    <w:pPr>
      <w:spacing w:line="500" w:lineRule="exact"/>
      <w:ind w:firstLine="561"/>
    </w:pPr>
    <w:rPr>
      <w:sz w:val="24"/>
    </w:rPr>
  </w:style>
  <w:style w:type="character" w:customStyle="1" w:styleId="522">
    <w:name w:val="样式 首行缩进:  2 字符 Char"/>
    <w:link w:val="521"/>
    <w:qFormat/>
    <w:uiPriority w:val="0"/>
    <w:rPr>
      <w:kern w:val="2"/>
      <w:sz w:val="24"/>
      <w:szCs w:val="24"/>
    </w:rPr>
  </w:style>
  <w:style w:type="paragraph" w:customStyle="1" w:styleId="523">
    <w:name w:val="Char Char Char Char Char"/>
    <w:basedOn w:val="1"/>
    <w:qFormat/>
    <w:uiPriority w:val="0"/>
  </w:style>
  <w:style w:type="paragraph" w:customStyle="1" w:styleId="524">
    <w:name w:val="xl69"/>
    <w:basedOn w:val="1"/>
    <w:qFormat/>
    <w:uiPriority w:val="0"/>
    <w:pPr>
      <w:widowControl/>
      <w:pBdr>
        <w:bottom w:val="single" w:color="auto" w:sz="8" w:space="0"/>
      </w:pBdr>
      <w:spacing w:before="100" w:after="100"/>
      <w:jc w:val="center"/>
      <w:textAlignment w:val="top"/>
    </w:pPr>
    <w:rPr>
      <w:kern w:val="0"/>
      <w:sz w:val="24"/>
    </w:rPr>
  </w:style>
  <w:style w:type="paragraph" w:customStyle="1" w:styleId="525">
    <w:name w:val="font0"/>
    <w:basedOn w:val="1"/>
    <w:qFormat/>
    <w:uiPriority w:val="0"/>
    <w:pPr>
      <w:widowControl/>
      <w:spacing w:before="100" w:after="100"/>
      <w:jc w:val="left"/>
    </w:pPr>
    <w:rPr>
      <w:rFonts w:ascii="宋体" w:hAnsi="宋体"/>
      <w:kern w:val="0"/>
      <w:sz w:val="24"/>
    </w:rPr>
  </w:style>
  <w:style w:type="paragraph" w:customStyle="1" w:styleId="526">
    <w:name w:val="文本框"/>
    <w:basedOn w:val="1"/>
    <w:qFormat/>
    <w:uiPriority w:val="0"/>
    <w:pPr>
      <w:adjustRightInd w:val="0"/>
      <w:snapToGrid w:val="0"/>
      <w:spacing w:after="6"/>
      <w:jc w:val="center"/>
    </w:pPr>
    <w:rPr>
      <w:rFonts w:eastAsia="仿宋_GB2312"/>
    </w:rPr>
  </w:style>
  <w:style w:type="paragraph" w:customStyle="1" w:styleId="527">
    <w:name w:val="font6"/>
    <w:basedOn w:val="1"/>
    <w:qFormat/>
    <w:uiPriority w:val="0"/>
    <w:pPr>
      <w:widowControl/>
      <w:spacing w:before="100" w:after="100"/>
      <w:jc w:val="left"/>
    </w:pPr>
    <w:rPr>
      <w:kern w:val="0"/>
      <w:sz w:val="24"/>
    </w:rPr>
  </w:style>
  <w:style w:type="paragraph" w:customStyle="1" w:styleId="528">
    <w:name w:val="Char1"/>
    <w:basedOn w:val="1"/>
    <w:qFormat/>
    <w:uiPriority w:val="0"/>
    <w:rPr>
      <w:rFonts w:ascii="Tahoma" w:hAnsi="Tahoma"/>
      <w:sz w:val="24"/>
      <w:szCs w:val="20"/>
    </w:rPr>
  </w:style>
  <w:style w:type="paragraph" w:customStyle="1" w:styleId="529">
    <w:name w:val="xl35"/>
    <w:basedOn w:val="1"/>
    <w:qFormat/>
    <w:uiPriority w:val="0"/>
    <w:pPr>
      <w:widowControl/>
      <w:pBdr>
        <w:top w:val="single" w:color="auto" w:sz="4" w:space="0"/>
        <w:bottom w:val="single" w:color="auto" w:sz="4" w:space="0"/>
      </w:pBdr>
      <w:spacing w:before="100" w:after="100"/>
      <w:jc w:val="center"/>
      <w:textAlignment w:val="center"/>
    </w:pPr>
    <w:rPr>
      <w:rFonts w:ascii="宋体" w:hAnsi="宋体"/>
      <w:kern w:val="0"/>
      <w:sz w:val="24"/>
    </w:rPr>
  </w:style>
  <w:style w:type="paragraph" w:customStyle="1" w:styleId="530">
    <w:name w:val="font8"/>
    <w:basedOn w:val="1"/>
    <w:qFormat/>
    <w:uiPriority w:val="0"/>
    <w:pPr>
      <w:widowControl/>
      <w:spacing w:before="100" w:after="100"/>
      <w:jc w:val="left"/>
    </w:pPr>
    <w:rPr>
      <w:rFonts w:ascii="宋体" w:hAnsi="宋体"/>
      <w:kern w:val="0"/>
      <w:sz w:val="24"/>
    </w:rPr>
  </w:style>
  <w:style w:type="paragraph" w:customStyle="1" w:styleId="531">
    <w:name w:val="xl73"/>
    <w:basedOn w:val="1"/>
    <w:qFormat/>
    <w:uiPriority w:val="0"/>
    <w:pPr>
      <w:widowControl/>
      <w:pBdr>
        <w:top w:val="single" w:color="auto" w:sz="8" w:space="0"/>
      </w:pBdr>
      <w:spacing w:before="100" w:after="100"/>
      <w:jc w:val="center"/>
      <w:textAlignment w:val="center"/>
    </w:pPr>
    <w:rPr>
      <w:kern w:val="0"/>
      <w:sz w:val="24"/>
    </w:rPr>
  </w:style>
  <w:style w:type="paragraph" w:customStyle="1" w:styleId="532">
    <w:name w:val="xl57"/>
    <w:basedOn w:val="1"/>
    <w:qFormat/>
    <w:uiPriority w:val="0"/>
    <w:pPr>
      <w:widowControl/>
      <w:pBdr>
        <w:top w:val="single" w:color="auto" w:sz="8" w:space="0"/>
        <w:bottom w:val="single" w:color="auto" w:sz="4" w:space="0"/>
      </w:pBdr>
      <w:spacing w:before="100" w:after="100"/>
      <w:jc w:val="center"/>
      <w:textAlignment w:val="center"/>
    </w:pPr>
    <w:rPr>
      <w:rFonts w:ascii="宋体" w:hAnsi="宋体"/>
      <w:kern w:val="0"/>
      <w:sz w:val="28"/>
      <w:szCs w:val="28"/>
    </w:rPr>
  </w:style>
  <w:style w:type="paragraph" w:customStyle="1" w:styleId="533">
    <w:name w:val="xl47"/>
    <w:basedOn w:val="1"/>
    <w:qFormat/>
    <w:uiPriority w:val="0"/>
    <w:pPr>
      <w:widowControl/>
      <w:pBdr>
        <w:top w:val="single" w:color="auto" w:sz="4" w:space="0"/>
        <w:bottom w:val="single" w:color="auto" w:sz="4" w:space="0"/>
        <w:right w:val="single" w:color="auto" w:sz="4" w:space="0"/>
      </w:pBdr>
      <w:spacing w:before="100" w:after="100"/>
      <w:jc w:val="center"/>
      <w:textAlignment w:val="center"/>
    </w:pPr>
    <w:rPr>
      <w:kern w:val="0"/>
      <w:sz w:val="24"/>
    </w:rPr>
  </w:style>
  <w:style w:type="paragraph" w:customStyle="1" w:styleId="534">
    <w:name w:val="Char2"/>
    <w:basedOn w:val="1"/>
    <w:qFormat/>
    <w:uiPriority w:val="0"/>
  </w:style>
  <w:style w:type="paragraph" w:customStyle="1" w:styleId="535">
    <w:name w:val="xl49"/>
    <w:basedOn w:val="1"/>
    <w:qFormat/>
    <w:uiPriority w:val="0"/>
    <w:pPr>
      <w:widowControl/>
      <w:pBdr>
        <w:left w:val="single" w:color="auto" w:sz="4" w:space="0"/>
        <w:bottom w:val="single" w:color="auto" w:sz="4" w:space="0"/>
      </w:pBdr>
      <w:spacing w:before="100" w:after="100"/>
      <w:jc w:val="center"/>
      <w:textAlignment w:val="center"/>
    </w:pPr>
    <w:rPr>
      <w:rFonts w:ascii="宋体" w:hAnsi="宋体"/>
      <w:kern w:val="0"/>
      <w:sz w:val="28"/>
      <w:szCs w:val="28"/>
    </w:rPr>
  </w:style>
  <w:style w:type="paragraph" w:customStyle="1" w:styleId="536">
    <w:name w:val="Char Char5"/>
    <w:basedOn w:val="1"/>
    <w:qFormat/>
    <w:uiPriority w:val="0"/>
    <w:rPr>
      <w:spacing w:val="-2"/>
      <w:kern w:val="0"/>
      <w:sz w:val="24"/>
    </w:rPr>
  </w:style>
  <w:style w:type="paragraph" w:customStyle="1" w:styleId="537">
    <w:name w:val="Char Char Char Char Char Char Char Char Char Char Char Char"/>
    <w:basedOn w:val="1"/>
    <w:qFormat/>
    <w:uiPriority w:val="0"/>
  </w:style>
  <w:style w:type="paragraph" w:customStyle="1" w:styleId="538">
    <w:name w:val="正文文本 21"/>
    <w:basedOn w:val="1"/>
    <w:qFormat/>
    <w:uiPriority w:val="0"/>
    <w:pPr>
      <w:overflowPunct w:val="0"/>
      <w:autoSpaceDE w:val="0"/>
      <w:autoSpaceDN w:val="0"/>
      <w:adjustRightInd w:val="0"/>
      <w:spacing w:after="120" w:line="360" w:lineRule="auto"/>
      <w:textAlignment w:val="baseline"/>
    </w:pPr>
    <w:rPr>
      <w:sz w:val="24"/>
      <w:szCs w:val="20"/>
    </w:rPr>
  </w:style>
  <w:style w:type="paragraph" w:customStyle="1" w:styleId="539">
    <w:name w:val="xl50"/>
    <w:basedOn w:val="1"/>
    <w:qFormat/>
    <w:uiPriority w:val="0"/>
    <w:pPr>
      <w:widowControl/>
      <w:pBdr>
        <w:bottom w:val="single" w:color="auto" w:sz="4" w:space="0"/>
      </w:pBdr>
      <w:spacing w:before="100" w:after="100"/>
      <w:jc w:val="center"/>
      <w:textAlignment w:val="center"/>
    </w:pPr>
    <w:rPr>
      <w:rFonts w:ascii="宋体" w:hAnsi="宋体"/>
      <w:kern w:val="0"/>
      <w:sz w:val="28"/>
      <w:szCs w:val="28"/>
    </w:rPr>
  </w:style>
  <w:style w:type="paragraph" w:customStyle="1" w:styleId="540">
    <w:name w:val="Char Char Char Char Char Char Char Char Char Char Char Char Char Char Char Char Char Char Char Char Char Char Char"/>
    <w:basedOn w:val="1"/>
    <w:qFormat/>
    <w:uiPriority w:val="0"/>
  </w:style>
  <w:style w:type="paragraph" w:customStyle="1" w:styleId="541">
    <w:name w:val="副标题4"/>
    <w:basedOn w:val="426"/>
    <w:qFormat/>
    <w:uiPriority w:val="0"/>
    <w:pPr>
      <w:tabs>
        <w:tab w:val="left" w:pos="1275"/>
        <w:tab w:val="left" w:pos="1575"/>
        <w:tab w:val="left" w:pos="2100"/>
        <w:tab w:val="clear" w:pos="672"/>
        <w:tab w:val="clear" w:pos="720"/>
      </w:tabs>
      <w:ind w:left="1275" w:hanging="705"/>
      <w:outlineLvl w:val="4"/>
    </w:pPr>
  </w:style>
  <w:style w:type="paragraph" w:customStyle="1" w:styleId="542">
    <w:name w:val="xl63"/>
    <w:basedOn w:val="1"/>
    <w:qFormat/>
    <w:uiPriority w:val="0"/>
    <w:pPr>
      <w:widowControl/>
      <w:pBdr>
        <w:top w:val="single" w:color="auto" w:sz="8" w:space="0"/>
      </w:pBdr>
      <w:spacing w:before="100" w:after="100"/>
      <w:jc w:val="center"/>
      <w:textAlignment w:val="top"/>
    </w:pPr>
    <w:rPr>
      <w:kern w:val="0"/>
      <w:sz w:val="24"/>
    </w:rPr>
  </w:style>
  <w:style w:type="paragraph" w:customStyle="1" w:styleId="543">
    <w:name w:val="xl53"/>
    <w:basedOn w:val="1"/>
    <w:qFormat/>
    <w:uiPriority w:val="0"/>
    <w:pPr>
      <w:widowControl/>
      <w:pBdr>
        <w:bottom w:val="single" w:color="auto" w:sz="4" w:space="0"/>
      </w:pBdr>
      <w:spacing w:before="100" w:after="100"/>
      <w:jc w:val="center"/>
      <w:textAlignment w:val="center"/>
    </w:pPr>
    <w:rPr>
      <w:rFonts w:ascii="宋体" w:hAnsi="宋体"/>
      <w:kern w:val="0"/>
      <w:sz w:val="28"/>
      <w:szCs w:val="28"/>
    </w:rPr>
  </w:style>
  <w:style w:type="paragraph" w:customStyle="1" w:styleId="544">
    <w:name w:val="xl56"/>
    <w:basedOn w:val="1"/>
    <w:qFormat/>
    <w:uiPriority w:val="0"/>
    <w:pPr>
      <w:widowControl/>
      <w:pBdr>
        <w:top w:val="single" w:color="auto" w:sz="8" w:space="0"/>
        <w:left w:val="single" w:color="auto" w:sz="4" w:space="0"/>
        <w:bottom w:val="single" w:color="auto" w:sz="4" w:space="0"/>
      </w:pBdr>
      <w:spacing w:before="100" w:after="100"/>
      <w:jc w:val="center"/>
      <w:textAlignment w:val="center"/>
    </w:pPr>
    <w:rPr>
      <w:rFonts w:ascii="宋体" w:hAnsi="宋体"/>
      <w:kern w:val="0"/>
      <w:sz w:val="28"/>
      <w:szCs w:val="28"/>
    </w:rPr>
  </w:style>
  <w:style w:type="paragraph" w:customStyle="1" w:styleId="545">
    <w:name w:val="xl76"/>
    <w:basedOn w:val="1"/>
    <w:qFormat/>
    <w:uiPriority w:val="0"/>
    <w:pPr>
      <w:widowControl/>
      <w:spacing w:before="100" w:after="100"/>
      <w:jc w:val="center"/>
      <w:textAlignment w:val="center"/>
    </w:pPr>
    <w:rPr>
      <w:kern w:val="0"/>
      <w:sz w:val="24"/>
    </w:rPr>
  </w:style>
  <w:style w:type="paragraph" w:customStyle="1" w:styleId="546">
    <w:name w:val="xl58"/>
    <w:basedOn w:val="1"/>
    <w:qFormat/>
    <w:uiPriority w:val="0"/>
    <w:pPr>
      <w:widowControl/>
      <w:pBdr>
        <w:top w:val="single" w:color="auto" w:sz="8" w:space="0"/>
        <w:bottom w:val="single" w:color="auto" w:sz="4" w:space="0"/>
        <w:right w:val="single" w:color="auto" w:sz="8" w:space="0"/>
      </w:pBdr>
      <w:spacing w:before="100" w:after="100"/>
      <w:jc w:val="center"/>
      <w:textAlignment w:val="center"/>
    </w:pPr>
    <w:rPr>
      <w:rFonts w:ascii="宋体" w:hAnsi="宋体"/>
      <w:kern w:val="0"/>
      <w:sz w:val="28"/>
      <w:szCs w:val="28"/>
    </w:rPr>
  </w:style>
  <w:style w:type="paragraph" w:customStyle="1" w:styleId="547">
    <w:name w:val="Char Char3"/>
    <w:basedOn w:val="1"/>
    <w:qFormat/>
    <w:uiPriority w:val="0"/>
    <w:rPr>
      <w:spacing w:val="-2"/>
      <w:kern w:val="0"/>
      <w:sz w:val="24"/>
    </w:rPr>
  </w:style>
  <w:style w:type="paragraph" w:customStyle="1" w:styleId="548">
    <w:name w:val="Char Char Char Char Char Char Char Char Char Char Char1"/>
    <w:basedOn w:val="1"/>
    <w:qFormat/>
    <w:uiPriority w:val="0"/>
  </w:style>
  <w:style w:type="paragraph" w:customStyle="1" w:styleId="549">
    <w:name w:val="xl61"/>
    <w:basedOn w:val="1"/>
    <w:qFormat/>
    <w:uiPriority w:val="0"/>
    <w:pPr>
      <w:widowControl/>
      <w:pBdr>
        <w:left w:val="single" w:color="auto" w:sz="8" w:space="0"/>
        <w:bottom w:val="single" w:color="auto" w:sz="8" w:space="0"/>
        <w:right w:val="single" w:color="auto" w:sz="4" w:space="0"/>
      </w:pBdr>
      <w:spacing w:before="100" w:after="100"/>
      <w:jc w:val="center"/>
      <w:textAlignment w:val="top"/>
    </w:pPr>
    <w:rPr>
      <w:kern w:val="0"/>
      <w:sz w:val="24"/>
    </w:rPr>
  </w:style>
  <w:style w:type="paragraph" w:customStyle="1" w:styleId="550">
    <w:name w:val="Char Char1 Char"/>
    <w:basedOn w:val="1"/>
    <w:qFormat/>
    <w:uiPriority w:val="0"/>
  </w:style>
  <w:style w:type="paragraph" w:customStyle="1" w:styleId="551">
    <w:name w:val="xl62"/>
    <w:basedOn w:val="1"/>
    <w:qFormat/>
    <w:uiPriority w:val="0"/>
    <w:pPr>
      <w:widowControl/>
      <w:pBdr>
        <w:top w:val="single" w:color="auto" w:sz="8" w:space="0"/>
        <w:left w:val="single" w:color="auto" w:sz="4" w:space="0"/>
      </w:pBdr>
      <w:spacing w:before="100" w:after="100"/>
      <w:jc w:val="center"/>
      <w:textAlignment w:val="top"/>
    </w:pPr>
    <w:rPr>
      <w:kern w:val="0"/>
      <w:sz w:val="24"/>
    </w:rPr>
  </w:style>
  <w:style w:type="paragraph" w:customStyle="1" w:styleId="552">
    <w:name w:val="Char Char Char"/>
    <w:basedOn w:val="1"/>
    <w:qFormat/>
    <w:uiPriority w:val="0"/>
  </w:style>
  <w:style w:type="paragraph" w:customStyle="1" w:styleId="553">
    <w:name w:val="xl72"/>
    <w:basedOn w:val="1"/>
    <w:qFormat/>
    <w:uiPriority w:val="0"/>
    <w:pPr>
      <w:widowControl/>
      <w:pBdr>
        <w:top w:val="single" w:color="auto" w:sz="8" w:space="0"/>
        <w:left w:val="single" w:color="auto" w:sz="4" w:space="0"/>
      </w:pBdr>
      <w:spacing w:before="100" w:after="100"/>
      <w:jc w:val="center"/>
      <w:textAlignment w:val="center"/>
    </w:pPr>
    <w:rPr>
      <w:rFonts w:ascii="宋体" w:hAnsi="宋体"/>
      <w:kern w:val="0"/>
      <w:sz w:val="24"/>
    </w:rPr>
  </w:style>
  <w:style w:type="paragraph" w:customStyle="1" w:styleId="554">
    <w:name w:val="缺省文本_宋体"/>
    <w:basedOn w:val="1"/>
    <w:qFormat/>
    <w:uiPriority w:val="0"/>
    <w:pPr>
      <w:tabs>
        <w:tab w:val="left" w:pos="525"/>
        <w:tab w:val="center" w:pos="5670"/>
        <w:tab w:val="right" w:pos="7655"/>
      </w:tabs>
      <w:spacing w:before="80" w:after="120" w:line="360" w:lineRule="auto"/>
      <w:outlineLvl w:val="7"/>
    </w:pPr>
    <w:rPr>
      <w:spacing w:val="16"/>
      <w:kern w:val="28"/>
      <w:sz w:val="24"/>
      <w:szCs w:val="20"/>
    </w:rPr>
  </w:style>
  <w:style w:type="paragraph" w:customStyle="1" w:styleId="555">
    <w:name w:val="xl22"/>
    <w:basedOn w:val="1"/>
    <w:qFormat/>
    <w:uiPriority w:val="0"/>
    <w:pPr>
      <w:widowControl/>
      <w:pBdr>
        <w:left w:val="single" w:color="auto" w:sz="8" w:space="0"/>
        <w:bottom w:val="single" w:color="auto" w:sz="4" w:space="0"/>
      </w:pBdr>
      <w:spacing w:before="100" w:after="100"/>
      <w:jc w:val="center"/>
      <w:textAlignment w:val="center"/>
    </w:pPr>
    <w:rPr>
      <w:rFonts w:ascii="宋体" w:hAnsi="宋体"/>
      <w:kern w:val="0"/>
      <w:sz w:val="28"/>
      <w:szCs w:val="28"/>
    </w:rPr>
  </w:style>
  <w:style w:type="paragraph" w:customStyle="1" w:styleId="556">
    <w:name w:val="font10"/>
    <w:basedOn w:val="1"/>
    <w:qFormat/>
    <w:uiPriority w:val="0"/>
    <w:pPr>
      <w:widowControl/>
      <w:spacing w:before="100" w:beforeAutospacing="1" w:after="100" w:afterAutospacing="1"/>
      <w:jc w:val="left"/>
    </w:pPr>
    <w:rPr>
      <w:kern w:val="0"/>
      <w:sz w:val="11"/>
      <w:szCs w:val="11"/>
    </w:rPr>
  </w:style>
  <w:style w:type="paragraph" w:customStyle="1" w:styleId="557">
    <w:name w:val="Char Char Char Char Char Char Char Char Char1"/>
    <w:basedOn w:val="1"/>
    <w:qFormat/>
    <w:uiPriority w:val="0"/>
  </w:style>
  <w:style w:type="paragraph" w:customStyle="1" w:styleId="558">
    <w:name w:val="Char Char Char Char Char Char Char Char Char Char Char1 Char Char Char Char Char Char Char Char Char"/>
    <w:basedOn w:val="1"/>
    <w:qFormat/>
    <w:uiPriority w:val="0"/>
  </w:style>
  <w:style w:type="paragraph" w:customStyle="1" w:styleId="559">
    <w:name w:val="列出段落1"/>
    <w:basedOn w:val="1"/>
    <w:qFormat/>
    <w:uiPriority w:val="34"/>
    <w:pPr>
      <w:ind w:firstLine="420" w:firstLineChars="200"/>
    </w:pPr>
    <w:rPr>
      <w:szCs w:val="21"/>
    </w:rPr>
  </w:style>
  <w:style w:type="paragraph" w:customStyle="1" w:styleId="560">
    <w:name w:val="表头1"/>
    <w:basedOn w:val="199"/>
    <w:next w:val="1"/>
    <w:link w:val="561"/>
    <w:qFormat/>
    <w:uiPriority w:val="0"/>
    <w:pPr>
      <w:tabs>
        <w:tab w:val="left" w:pos="605"/>
      </w:tabs>
    </w:pPr>
    <w:rPr>
      <w:rFonts w:eastAsia="黑体"/>
      <w:kern w:val="0"/>
      <w:szCs w:val="28"/>
    </w:rPr>
  </w:style>
  <w:style w:type="character" w:customStyle="1" w:styleId="561">
    <w:name w:val="表头1 Char"/>
    <w:link w:val="560"/>
    <w:qFormat/>
    <w:uiPriority w:val="0"/>
    <w:rPr>
      <w:rFonts w:eastAsia="黑体"/>
      <w:sz w:val="21"/>
      <w:szCs w:val="28"/>
    </w:rPr>
  </w:style>
  <w:style w:type="paragraph" w:customStyle="1" w:styleId="562">
    <w:name w:val="日期2"/>
    <w:basedOn w:val="1"/>
    <w:next w:val="1"/>
    <w:qFormat/>
    <w:uiPriority w:val="0"/>
    <w:pPr>
      <w:adjustRightInd w:val="0"/>
      <w:textAlignment w:val="baseline"/>
    </w:pPr>
    <w:rPr>
      <w:szCs w:val="20"/>
    </w:rPr>
  </w:style>
  <w:style w:type="paragraph" w:customStyle="1" w:styleId="563">
    <w:name w:val="文本11"/>
    <w:basedOn w:val="1"/>
    <w:link w:val="564"/>
    <w:qFormat/>
    <w:uiPriority w:val="0"/>
    <w:pPr>
      <w:spacing w:line="360" w:lineRule="auto"/>
      <w:ind w:firstLine="200" w:firstLineChars="200"/>
    </w:pPr>
    <w:rPr>
      <w:color w:val="000000"/>
      <w:sz w:val="24"/>
    </w:rPr>
  </w:style>
  <w:style w:type="character" w:customStyle="1" w:styleId="564">
    <w:name w:val="文本11 Char"/>
    <w:link w:val="563"/>
    <w:qFormat/>
    <w:uiPriority w:val="0"/>
    <w:rPr>
      <w:color w:val="000000"/>
      <w:kern w:val="2"/>
      <w:sz w:val="24"/>
      <w:szCs w:val="24"/>
    </w:rPr>
  </w:style>
  <w:style w:type="paragraph" w:customStyle="1" w:styleId="565">
    <w:name w:val="Char Char Char Char Char2 Char"/>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566">
    <w:name w:val="Char Char Char Char Char2 Char4"/>
    <w:basedOn w:val="1"/>
    <w:qFormat/>
    <w:uiPriority w:val="0"/>
    <w:pPr>
      <w:adjustRightInd w:val="0"/>
      <w:snapToGrid w:val="0"/>
      <w:spacing w:line="360" w:lineRule="auto"/>
      <w:ind w:firstLine="200" w:firstLineChars="200"/>
    </w:pPr>
    <w:rPr>
      <w:rFonts w:ascii="宋体" w:hAnsi="宋体" w:cs="宋体"/>
      <w:sz w:val="24"/>
      <w:szCs w:val="26"/>
    </w:rPr>
  </w:style>
  <w:style w:type="character" w:customStyle="1" w:styleId="567">
    <w:name w:val="short_text"/>
    <w:qFormat/>
    <w:uiPriority w:val="0"/>
  </w:style>
  <w:style w:type="character" w:customStyle="1" w:styleId="568">
    <w:name w:val="atn"/>
    <w:qFormat/>
    <w:uiPriority w:val="0"/>
  </w:style>
  <w:style w:type="paragraph" w:customStyle="1" w:styleId="569">
    <w:name w:val="表格体"/>
    <w:basedOn w:val="1"/>
    <w:link w:val="570"/>
    <w:qFormat/>
    <w:uiPriority w:val="0"/>
    <w:pPr>
      <w:jc w:val="center"/>
    </w:pPr>
    <w:rPr>
      <w:szCs w:val="18"/>
    </w:rPr>
  </w:style>
  <w:style w:type="character" w:customStyle="1" w:styleId="570">
    <w:name w:val="表格体 Char"/>
    <w:link w:val="569"/>
    <w:qFormat/>
    <w:uiPriority w:val="0"/>
    <w:rPr>
      <w:kern w:val="2"/>
      <w:sz w:val="21"/>
      <w:szCs w:val="18"/>
    </w:rPr>
  </w:style>
  <w:style w:type="paragraph" w:customStyle="1" w:styleId="571">
    <w:name w:val="6"/>
    <w:qFormat/>
    <w:uiPriority w:val="0"/>
    <w:pPr>
      <w:widowControl w:val="0"/>
      <w:spacing w:line="360" w:lineRule="auto"/>
      <w:jc w:val="both"/>
    </w:pPr>
    <w:rPr>
      <w:rFonts w:ascii="Calibri" w:hAnsi="Calibri" w:eastAsia="宋体" w:cs="Calibri"/>
      <w:kern w:val="2"/>
      <w:sz w:val="28"/>
      <w:szCs w:val="24"/>
      <w:lang w:val="en-US" w:eastAsia="zh-CN" w:bidi="ar-SA"/>
    </w:rPr>
  </w:style>
  <w:style w:type="paragraph" w:customStyle="1" w:styleId="572">
    <w:name w:val="表格1"/>
    <w:basedOn w:val="1"/>
    <w:link w:val="573"/>
    <w:qFormat/>
    <w:uiPriority w:val="0"/>
    <w:pPr>
      <w:snapToGrid w:val="0"/>
      <w:spacing w:line="280" w:lineRule="exact"/>
      <w:jc w:val="center"/>
    </w:pPr>
    <w:rPr>
      <w:rFonts w:ascii="宋体" w:hAnsi="宋体"/>
      <w:sz w:val="18"/>
    </w:rPr>
  </w:style>
  <w:style w:type="character" w:customStyle="1" w:styleId="573">
    <w:name w:val="表格1 Char"/>
    <w:link w:val="572"/>
    <w:qFormat/>
    <w:locked/>
    <w:uiPriority w:val="0"/>
    <w:rPr>
      <w:rFonts w:ascii="宋体" w:hAnsi="宋体"/>
      <w:kern w:val="2"/>
      <w:sz w:val="18"/>
      <w:szCs w:val="24"/>
    </w:rPr>
  </w:style>
  <w:style w:type="paragraph" w:customStyle="1" w:styleId="574">
    <w:name w:val="排版正文"/>
    <w:basedOn w:val="1"/>
    <w:link w:val="575"/>
    <w:qFormat/>
    <w:uiPriority w:val="0"/>
    <w:pPr>
      <w:adjustRightInd w:val="0"/>
      <w:snapToGrid w:val="0"/>
      <w:spacing w:line="440" w:lineRule="exact"/>
      <w:ind w:firstLine="480" w:firstLineChars="200"/>
    </w:pPr>
    <w:rPr>
      <w:rFonts w:ascii="ˎ̥" w:hAnsi="ˎ̥"/>
      <w:sz w:val="24"/>
    </w:rPr>
  </w:style>
  <w:style w:type="character" w:customStyle="1" w:styleId="575">
    <w:name w:val="排版正文 Char"/>
    <w:link w:val="574"/>
    <w:qFormat/>
    <w:uiPriority w:val="0"/>
    <w:rPr>
      <w:rFonts w:ascii="ˎ̥" w:hAnsi="ˎ̥"/>
      <w:kern w:val="2"/>
      <w:sz w:val="24"/>
      <w:szCs w:val="24"/>
    </w:rPr>
  </w:style>
  <w:style w:type="paragraph" w:customStyle="1" w:styleId="576">
    <w:name w:val="样式 标题 3 + 黑色"/>
    <w:basedOn w:val="7"/>
    <w:qFormat/>
    <w:uiPriority w:val="0"/>
    <w:pPr>
      <w:keepNext w:val="0"/>
      <w:keepLines w:val="0"/>
      <w:widowControl w:val="0"/>
      <w:spacing w:before="0" w:after="0" w:line="440" w:lineRule="atLeast"/>
      <w:ind w:firstLine="482" w:firstLineChars="200"/>
      <w:jc w:val="both"/>
      <w:outlineLvl w:val="9"/>
    </w:pPr>
    <w:rPr>
      <w:rFonts w:ascii="Times New Roman" w:hAnsi="宋体"/>
      <w:sz w:val="24"/>
      <w:szCs w:val="24"/>
      <w:lang w:val="en-US"/>
    </w:rPr>
  </w:style>
  <w:style w:type="paragraph" w:customStyle="1" w:styleId="577">
    <w:name w:val="无间隔1"/>
    <w:link w:val="578"/>
    <w:qFormat/>
    <w:uiPriority w:val="0"/>
    <w:pPr>
      <w:widowControl w:val="0"/>
      <w:jc w:val="both"/>
    </w:pPr>
    <w:rPr>
      <w:rFonts w:ascii="Calibri" w:hAnsi="Calibri" w:eastAsia="宋体" w:cs="Calibri"/>
      <w:kern w:val="2"/>
      <w:sz w:val="21"/>
      <w:szCs w:val="21"/>
      <w:lang w:val="en-US" w:eastAsia="zh-CN" w:bidi="ar-SA"/>
    </w:rPr>
  </w:style>
  <w:style w:type="character" w:customStyle="1" w:styleId="578">
    <w:name w:val="无间隔 Char"/>
    <w:link w:val="577"/>
    <w:qFormat/>
    <w:uiPriority w:val="0"/>
    <w:rPr>
      <w:rFonts w:ascii="Calibri" w:hAnsi="Calibri" w:cs="Calibri"/>
      <w:kern w:val="2"/>
      <w:sz w:val="21"/>
      <w:szCs w:val="21"/>
    </w:rPr>
  </w:style>
  <w:style w:type="paragraph" w:customStyle="1" w:styleId="579">
    <w:name w:val="姓名"/>
    <w:basedOn w:val="34"/>
    <w:qFormat/>
    <w:uiPriority w:val="0"/>
  </w:style>
  <w:style w:type="character" w:customStyle="1" w:styleId="580">
    <w:name w:val="批注文字 Char1"/>
    <w:qFormat/>
    <w:locked/>
    <w:uiPriority w:val="0"/>
    <w:rPr>
      <w:rFonts w:ascii="Times New Roman" w:hAnsi="Times New Roman" w:eastAsia="宋体" w:cs="Times New Roman"/>
      <w:sz w:val="28"/>
      <w:szCs w:val="28"/>
    </w:rPr>
  </w:style>
  <w:style w:type="paragraph" w:customStyle="1" w:styleId="581">
    <w:name w:val="地址"/>
    <w:basedOn w:val="34"/>
    <w:qFormat/>
    <w:uiPriority w:val="0"/>
  </w:style>
  <w:style w:type="character" w:customStyle="1" w:styleId="582">
    <w:name w:val="Char Char16"/>
    <w:qFormat/>
    <w:uiPriority w:val="0"/>
    <w:rPr>
      <w:rFonts w:eastAsia="宋体"/>
      <w:b/>
      <w:sz w:val="28"/>
      <w:lang w:val="en-US" w:eastAsia="zh-CN" w:bidi="ar-SA"/>
    </w:rPr>
  </w:style>
  <w:style w:type="paragraph" w:customStyle="1" w:styleId="583">
    <w:name w:val="列表标题"/>
    <w:basedOn w:val="1"/>
    <w:next w:val="1"/>
    <w:qFormat/>
    <w:uiPriority w:val="0"/>
    <w:pPr>
      <w:jc w:val="center"/>
    </w:pPr>
    <w:rPr>
      <w:sz w:val="24"/>
      <w:szCs w:val="20"/>
    </w:rPr>
  </w:style>
  <w:style w:type="paragraph" w:customStyle="1" w:styleId="584">
    <w:name w:val="圆环"/>
    <w:basedOn w:val="1"/>
    <w:qFormat/>
    <w:uiPriority w:val="0"/>
    <w:pPr>
      <w:adjustRightInd w:val="0"/>
      <w:spacing w:line="312" w:lineRule="atLeast"/>
      <w:textAlignment w:val="baseline"/>
    </w:pPr>
    <w:rPr>
      <w:rFonts w:eastAsia="仿宋_GB2312"/>
      <w:spacing w:val="6"/>
      <w:kern w:val="0"/>
      <w:sz w:val="28"/>
      <w:szCs w:val="20"/>
    </w:rPr>
  </w:style>
  <w:style w:type="paragraph" w:customStyle="1" w:styleId="585">
    <w:name w:val="列出段落2"/>
    <w:basedOn w:val="1"/>
    <w:qFormat/>
    <w:uiPriority w:val="0"/>
    <w:pPr>
      <w:widowControl/>
      <w:ind w:firstLine="420" w:firstLineChars="200"/>
      <w:jc w:val="left"/>
    </w:pPr>
    <w:rPr>
      <w:rFonts w:ascii="宋体" w:hAnsi="宋体" w:cs="宋体"/>
      <w:kern w:val="0"/>
      <w:sz w:val="24"/>
      <w:szCs w:val="21"/>
    </w:rPr>
  </w:style>
  <w:style w:type="character" w:customStyle="1" w:styleId="586">
    <w:name w:val="txtcontent11"/>
    <w:qFormat/>
    <w:uiPriority w:val="0"/>
    <w:rPr>
      <w:rFonts w:hint="default" w:ascii="ˎ̥" w:hAnsi="ˎ̥"/>
      <w:color w:val="000000"/>
      <w:sz w:val="21"/>
      <w:szCs w:val="21"/>
    </w:rPr>
  </w:style>
  <w:style w:type="paragraph" w:customStyle="1" w:styleId="587">
    <w:name w:val="表格小四"/>
    <w:basedOn w:val="1"/>
    <w:link w:val="588"/>
    <w:qFormat/>
    <w:uiPriority w:val="0"/>
    <w:pPr>
      <w:widowControl/>
      <w:jc w:val="center"/>
    </w:pPr>
    <w:rPr>
      <w:rFonts w:ascii="宋体" w:hAnsi="宋体" w:cs="宋体"/>
      <w:bCs/>
      <w:kern w:val="0"/>
      <w:sz w:val="24"/>
    </w:rPr>
  </w:style>
  <w:style w:type="character" w:customStyle="1" w:styleId="588">
    <w:name w:val="表格小四 Char"/>
    <w:link w:val="587"/>
    <w:qFormat/>
    <w:uiPriority w:val="0"/>
    <w:rPr>
      <w:rFonts w:ascii="宋体" w:hAnsi="宋体" w:cs="宋体"/>
      <w:bCs/>
      <w:sz w:val="24"/>
      <w:szCs w:val="24"/>
    </w:rPr>
  </w:style>
  <w:style w:type="paragraph" w:customStyle="1" w:styleId="589">
    <w:name w:val="edri-正文"/>
    <w:basedOn w:val="1"/>
    <w:qFormat/>
    <w:uiPriority w:val="0"/>
    <w:pPr>
      <w:widowControl/>
      <w:spacing w:line="360" w:lineRule="auto"/>
      <w:ind w:firstLine="560" w:firstLineChars="200"/>
      <w:jc w:val="left"/>
    </w:pPr>
    <w:rPr>
      <w:rFonts w:ascii="宋体" w:hAnsi="宋体" w:cs="CommercialPi BT"/>
      <w:kern w:val="0"/>
      <w:sz w:val="28"/>
      <w:szCs w:val="28"/>
    </w:rPr>
  </w:style>
  <w:style w:type="paragraph" w:customStyle="1" w:styleId="590">
    <w:name w:val="正文（行首缩进2字）"/>
    <w:basedOn w:val="1"/>
    <w:qFormat/>
    <w:uiPriority w:val="0"/>
    <w:pPr>
      <w:widowControl/>
      <w:spacing w:line="360" w:lineRule="auto"/>
      <w:ind w:firstLine="200" w:firstLineChars="200"/>
      <w:jc w:val="left"/>
    </w:pPr>
    <w:rPr>
      <w:rFonts w:ascii="宋体" w:hAnsi="宋体" w:cs="宋体"/>
      <w:kern w:val="0"/>
      <w:sz w:val="24"/>
    </w:rPr>
  </w:style>
  <w:style w:type="paragraph" w:customStyle="1" w:styleId="591">
    <w:name w:val="Default Text"/>
    <w:basedOn w:val="1"/>
    <w:qFormat/>
    <w:uiPriority w:val="0"/>
    <w:pPr>
      <w:widowControl/>
      <w:autoSpaceDE w:val="0"/>
      <w:autoSpaceDN w:val="0"/>
      <w:adjustRightInd w:val="0"/>
      <w:jc w:val="left"/>
    </w:pPr>
    <w:rPr>
      <w:rFonts w:ascii="宋体" w:hAnsi="宋体" w:cs="宋体"/>
      <w:kern w:val="0"/>
      <w:sz w:val="24"/>
    </w:rPr>
  </w:style>
  <w:style w:type="paragraph" w:customStyle="1" w:styleId="592">
    <w:name w:val="Char6"/>
    <w:basedOn w:val="1"/>
    <w:qFormat/>
    <w:uiPriority w:val="0"/>
  </w:style>
  <w:style w:type="character" w:customStyle="1" w:styleId="593">
    <w:name w:val="s1"/>
    <w:qFormat/>
    <w:uiPriority w:val="0"/>
    <w:rPr>
      <w:sz w:val="18"/>
      <w:szCs w:val="18"/>
    </w:rPr>
  </w:style>
  <w:style w:type="character" w:customStyle="1" w:styleId="594">
    <w:name w:val="H1 Char"/>
    <w:qFormat/>
    <w:uiPriority w:val="0"/>
    <w:rPr>
      <w:rFonts w:ascii="Times New Roman" w:hAnsi="Times New Roman" w:eastAsia="宋体" w:cs="Times New Roman"/>
      <w:sz w:val="28"/>
      <w:szCs w:val="28"/>
    </w:rPr>
  </w:style>
  <w:style w:type="character" w:customStyle="1" w:styleId="595">
    <w:name w:val="Char Char15"/>
    <w:qFormat/>
    <w:uiPriority w:val="0"/>
    <w:rPr>
      <w:sz w:val="18"/>
      <w:szCs w:val="18"/>
    </w:rPr>
  </w:style>
  <w:style w:type="character" w:customStyle="1" w:styleId="596">
    <w:name w:val="Char Char14"/>
    <w:qFormat/>
    <w:uiPriority w:val="0"/>
    <w:rPr>
      <w:sz w:val="18"/>
      <w:szCs w:val="18"/>
    </w:rPr>
  </w:style>
  <w:style w:type="character" w:customStyle="1" w:styleId="597">
    <w:name w:val="Char Char13"/>
    <w:qFormat/>
    <w:uiPriority w:val="0"/>
    <w:rPr>
      <w:sz w:val="18"/>
      <w:szCs w:val="18"/>
    </w:rPr>
  </w:style>
  <w:style w:type="character" w:customStyle="1" w:styleId="598">
    <w:name w:val="Char Char9"/>
    <w:qFormat/>
    <w:locked/>
    <w:uiPriority w:val="0"/>
    <w:rPr>
      <w:rFonts w:ascii="Times New Roman" w:hAnsi="Times New Roman" w:eastAsia="宋体" w:cs="Times New Roman"/>
      <w:sz w:val="28"/>
      <w:szCs w:val="28"/>
    </w:rPr>
  </w:style>
  <w:style w:type="paragraph" w:customStyle="1" w:styleId="599">
    <w:name w:val="- PAGE -"/>
    <w:qFormat/>
    <w:uiPriority w:val="0"/>
    <w:rPr>
      <w:rFonts w:ascii="Calibri" w:hAnsi="Calibri" w:eastAsia="宋体" w:cs="Calibri"/>
      <w:sz w:val="24"/>
      <w:szCs w:val="24"/>
      <w:lang w:val="en-US" w:eastAsia="en-US" w:bidi="ar-SA"/>
    </w:rPr>
  </w:style>
  <w:style w:type="character" w:customStyle="1" w:styleId="600">
    <w:name w:val="Char Char8"/>
    <w:qFormat/>
    <w:uiPriority w:val="0"/>
    <w:rPr>
      <w:rFonts w:ascii="宋体" w:hAnsi="宋体" w:eastAsia="宋体" w:cs="宋体"/>
      <w:kern w:val="0"/>
      <w:sz w:val="24"/>
      <w:szCs w:val="24"/>
    </w:rPr>
  </w:style>
  <w:style w:type="character" w:customStyle="1" w:styleId="601">
    <w:name w:val="style21"/>
    <w:qFormat/>
    <w:uiPriority w:val="0"/>
  </w:style>
  <w:style w:type="character" w:customStyle="1" w:styleId="602">
    <w:name w:val="Char Char72"/>
    <w:qFormat/>
    <w:locked/>
    <w:uiPriority w:val="0"/>
    <w:rPr>
      <w:rFonts w:eastAsia="宋体"/>
      <w:kern w:val="2"/>
      <w:sz w:val="28"/>
      <w:szCs w:val="28"/>
      <w:lang w:val="en-US" w:eastAsia="zh-CN"/>
    </w:rPr>
  </w:style>
  <w:style w:type="character" w:customStyle="1" w:styleId="603">
    <w:name w:val="Char Char142"/>
    <w:qFormat/>
    <w:locked/>
    <w:uiPriority w:val="0"/>
    <w:rPr>
      <w:rFonts w:eastAsia="宋体"/>
      <w:b/>
      <w:bCs/>
      <w:kern w:val="44"/>
      <w:sz w:val="44"/>
      <w:szCs w:val="44"/>
      <w:lang w:val="en-US" w:eastAsia="zh-CN"/>
    </w:rPr>
  </w:style>
  <w:style w:type="character" w:customStyle="1" w:styleId="604">
    <w:name w:val="Char Char132"/>
    <w:qFormat/>
    <w:locked/>
    <w:uiPriority w:val="0"/>
    <w:rPr>
      <w:rFonts w:ascii="Arial" w:hAnsi="Arial" w:eastAsia="黑体" w:cs="Arial"/>
      <w:b/>
      <w:bCs/>
      <w:kern w:val="2"/>
      <w:sz w:val="32"/>
      <w:szCs w:val="32"/>
      <w:lang w:val="en-US" w:eastAsia="zh-CN"/>
    </w:rPr>
  </w:style>
  <w:style w:type="character" w:customStyle="1" w:styleId="605">
    <w:name w:val="Char Char11"/>
    <w:qFormat/>
    <w:locked/>
    <w:uiPriority w:val="0"/>
    <w:rPr>
      <w:rFonts w:eastAsia="宋体"/>
      <w:spacing w:val="-20"/>
      <w:kern w:val="2"/>
      <w:sz w:val="28"/>
      <w:szCs w:val="28"/>
      <w:lang w:val="en-US" w:eastAsia="zh-CN"/>
    </w:rPr>
  </w:style>
  <w:style w:type="character" w:customStyle="1" w:styleId="606">
    <w:name w:val="Char Char10"/>
    <w:qFormat/>
    <w:locked/>
    <w:uiPriority w:val="0"/>
    <w:rPr>
      <w:rFonts w:eastAsia="仿宋_GB2312"/>
      <w:kern w:val="2"/>
      <w:sz w:val="28"/>
      <w:szCs w:val="28"/>
      <w:lang w:val="en-US" w:eastAsia="zh-CN"/>
    </w:rPr>
  </w:style>
  <w:style w:type="character" w:customStyle="1" w:styleId="607">
    <w:name w:val="Char Char92"/>
    <w:qFormat/>
    <w:locked/>
    <w:uiPriority w:val="0"/>
    <w:rPr>
      <w:rFonts w:ascii="Calibri" w:hAnsi="Calibri" w:eastAsia="宋体" w:cs="Calibri"/>
      <w:kern w:val="2"/>
      <w:sz w:val="18"/>
      <w:szCs w:val="18"/>
      <w:lang w:val="en-US" w:eastAsia="zh-CN"/>
    </w:rPr>
  </w:style>
  <w:style w:type="character" w:customStyle="1" w:styleId="608">
    <w:name w:val="Char Char82"/>
    <w:qFormat/>
    <w:locked/>
    <w:uiPriority w:val="0"/>
    <w:rPr>
      <w:rFonts w:ascii="Calibri" w:hAnsi="Calibri" w:eastAsia="宋体" w:cs="Calibri"/>
      <w:kern w:val="2"/>
      <w:sz w:val="18"/>
      <w:szCs w:val="18"/>
      <w:lang w:val="en-US" w:eastAsia="zh-CN"/>
    </w:rPr>
  </w:style>
  <w:style w:type="paragraph" w:customStyle="1" w:styleId="609">
    <w:name w:val="无间隔2"/>
    <w:qFormat/>
    <w:uiPriority w:val="0"/>
    <w:pPr>
      <w:widowControl w:val="0"/>
      <w:jc w:val="both"/>
    </w:pPr>
    <w:rPr>
      <w:rFonts w:ascii="Calibri" w:hAnsi="Calibri" w:eastAsia="宋体" w:cs="Calibri"/>
      <w:kern w:val="2"/>
      <w:sz w:val="21"/>
      <w:szCs w:val="21"/>
      <w:lang w:val="en-US" w:eastAsia="zh-CN" w:bidi="ar-SA"/>
    </w:rPr>
  </w:style>
  <w:style w:type="paragraph" w:customStyle="1" w:styleId="610">
    <w:name w:val="5 Char"/>
    <w:basedOn w:val="1"/>
    <w:qFormat/>
    <w:uiPriority w:val="0"/>
    <w:rPr>
      <w:rFonts w:ascii="宋体" w:hAnsi="宋体"/>
      <w:kern w:val="0"/>
      <w:sz w:val="24"/>
      <w:szCs w:val="21"/>
    </w:rPr>
  </w:style>
  <w:style w:type="paragraph" w:customStyle="1" w:styleId="611">
    <w:name w:val="样式 标题 3条标题1.1.1H3BOD 0Heading 3 - oldLevel 3 Headh33rd le..."/>
    <w:basedOn w:val="7"/>
    <w:link w:val="612"/>
    <w:qFormat/>
    <w:uiPriority w:val="0"/>
    <w:pPr>
      <w:widowControl w:val="0"/>
      <w:spacing w:before="0" w:after="0" w:line="500" w:lineRule="exact"/>
    </w:pPr>
    <w:rPr>
      <w:rFonts w:ascii="宋体" w:hAnsi="宋体" w:cs="宋体"/>
      <w:kern w:val="24"/>
      <w:sz w:val="24"/>
      <w:szCs w:val="20"/>
      <w:lang w:val="en-US"/>
    </w:rPr>
  </w:style>
  <w:style w:type="character" w:customStyle="1" w:styleId="612">
    <w:name w:val="样式 标题 3条标题1.1.1H3BOD 0Heading 3 - oldLevel 3 Headh33rd le... Char"/>
    <w:link w:val="611"/>
    <w:qFormat/>
    <w:uiPriority w:val="0"/>
    <w:rPr>
      <w:rFonts w:ascii="宋体" w:hAnsi="宋体" w:cs="宋体"/>
      <w:b/>
      <w:bCs/>
      <w:kern w:val="24"/>
      <w:sz w:val="24"/>
    </w:rPr>
  </w:style>
  <w:style w:type="paragraph" w:customStyle="1" w:styleId="613">
    <w:name w:val="Char2 Char Char Char Char Char Char Char Char Char Char Char Char Char Char Char Char Char Char Char Char Char"/>
    <w:basedOn w:val="1"/>
    <w:qFormat/>
    <w:uiPriority w:val="0"/>
    <w:pPr>
      <w:snapToGrid w:val="0"/>
      <w:spacing w:line="360" w:lineRule="auto"/>
      <w:ind w:firstLine="200" w:firstLineChars="200"/>
    </w:pPr>
    <w:rPr>
      <w:rFonts w:eastAsia="仿宋_GB2312"/>
      <w:sz w:val="24"/>
    </w:rPr>
  </w:style>
  <w:style w:type="paragraph" w:customStyle="1" w:styleId="614">
    <w:name w:val="无间隔11"/>
    <w:qFormat/>
    <w:uiPriority w:val="0"/>
    <w:pPr>
      <w:widowControl w:val="0"/>
      <w:jc w:val="both"/>
    </w:pPr>
    <w:rPr>
      <w:rFonts w:ascii="Calibri" w:hAnsi="Calibri" w:eastAsia="宋体" w:cs="Calibri"/>
      <w:kern w:val="2"/>
      <w:sz w:val="21"/>
      <w:szCs w:val="21"/>
      <w:lang w:val="en-US" w:eastAsia="zh-CN" w:bidi="ar-SA"/>
    </w:rPr>
  </w:style>
  <w:style w:type="paragraph" w:customStyle="1" w:styleId="615">
    <w:name w:val="样式 宋体 小四 行距: 固定值 24 磅"/>
    <w:basedOn w:val="1"/>
    <w:qFormat/>
    <w:uiPriority w:val="0"/>
    <w:pPr>
      <w:framePr w:hSpace="180" w:wrap="around" w:vAnchor="text" w:hAnchor="margin" w:y="112"/>
      <w:spacing w:line="480" w:lineRule="exact"/>
      <w:jc w:val="left"/>
    </w:pPr>
    <w:rPr>
      <w:rFonts w:ascii="宋体" w:hAnsi="宋体" w:cs="宋体"/>
      <w:color w:val="000000"/>
      <w:kern w:val="0"/>
      <w:szCs w:val="21"/>
    </w:rPr>
  </w:style>
  <w:style w:type="paragraph" w:customStyle="1" w:styleId="616">
    <w:name w:val="样式 样式 样式1 + 首行缩进:  2 字符 + 首行缩进:  2 字符1"/>
    <w:basedOn w:val="1"/>
    <w:qFormat/>
    <w:uiPriority w:val="0"/>
    <w:pPr>
      <w:tabs>
        <w:tab w:val="left" w:pos="2265"/>
        <w:tab w:val="left" w:pos="3075"/>
      </w:tabs>
      <w:spacing w:line="400" w:lineRule="exact"/>
      <w:ind w:firstLine="482" w:firstLineChars="200"/>
      <w:jc w:val="left"/>
    </w:pPr>
    <w:rPr>
      <w:rFonts w:ascii="宋体" w:hAnsi="宋体" w:cs="宋体"/>
      <w:b/>
      <w:kern w:val="0"/>
      <w:sz w:val="24"/>
    </w:rPr>
  </w:style>
  <w:style w:type="paragraph" w:customStyle="1" w:styleId="617">
    <w:name w:val="无间隔3"/>
    <w:qFormat/>
    <w:uiPriority w:val="0"/>
    <w:pPr>
      <w:widowControl w:val="0"/>
      <w:jc w:val="both"/>
    </w:pPr>
    <w:rPr>
      <w:rFonts w:ascii="Calibri" w:hAnsi="Calibri" w:eastAsia="宋体" w:cs="Calibri"/>
      <w:kern w:val="2"/>
      <w:sz w:val="21"/>
      <w:szCs w:val="21"/>
      <w:lang w:val="en-US" w:eastAsia="zh-CN" w:bidi="ar-SA"/>
    </w:rPr>
  </w:style>
  <w:style w:type="paragraph" w:customStyle="1" w:styleId="618">
    <w:name w:val="_书名"/>
    <w:basedOn w:val="1"/>
    <w:qFormat/>
    <w:uiPriority w:val="0"/>
    <w:pPr>
      <w:jc w:val="center"/>
    </w:pPr>
    <w:rPr>
      <w:b/>
      <w:sz w:val="96"/>
      <w:szCs w:val="96"/>
    </w:rPr>
  </w:style>
  <w:style w:type="paragraph" w:customStyle="1" w:styleId="619">
    <w:name w:val="建设单位名称"/>
    <w:basedOn w:val="1"/>
    <w:qFormat/>
    <w:uiPriority w:val="0"/>
    <w:pPr>
      <w:jc w:val="center"/>
    </w:pPr>
    <w:rPr>
      <w:b/>
      <w:sz w:val="36"/>
      <w:szCs w:val="36"/>
    </w:rPr>
  </w:style>
  <w:style w:type="paragraph" w:customStyle="1" w:styleId="620">
    <w:name w:val="样式 正文 首行缩进:  2 字符 + 首行缩进:  2 字符"/>
    <w:basedOn w:val="1"/>
    <w:qFormat/>
    <w:uiPriority w:val="0"/>
    <w:pPr>
      <w:spacing w:line="480" w:lineRule="exact"/>
      <w:ind w:firstLine="480"/>
      <w:jc w:val="left"/>
    </w:pPr>
    <w:rPr>
      <w:rFonts w:cs="宋体"/>
      <w:b/>
      <w:bCs/>
      <w:sz w:val="32"/>
    </w:rPr>
  </w:style>
  <w:style w:type="paragraph" w:customStyle="1" w:styleId="621">
    <w:name w:val="无间隔4"/>
    <w:qFormat/>
    <w:uiPriority w:val="0"/>
    <w:pPr>
      <w:widowControl w:val="0"/>
      <w:jc w:val="both"/>
    </w:pPr>
    <w:rPr>
      <w:rFonts w:ascii="Calibri" w:hAnsi="Calibri" w:eastAsia="宋体" w:cs="Calibri"/>
      <w:kern w:val="2"/>
      <w:sz w:val="21"/>
      <w:szCs w:val="21"/>
      <w:lang w:val="en-US" w:eastAsia="zh-CN" w:bidi="ar-SA"/>
    </w:rPr>
  </w:style>
  <w:style w:type="paragraph" w:customStyle="1" w:styleId="622">
    <w:name w:val="无间隔5"/>
    <w:qFormat/>
    <w:uiPriority w:val="0"/>
    <w:pPr>
      <w:widowControl w:val="0"/>
      <w:jc w:val="both"/>
    </w:pPr>
    <w:rPr>
      <w:rFonts w:ascii="Calibri" w:hAnsi="Calibri" w:eastAsia="宋体" w:cs="Calibri"/>
      <w:kern w:val="2"/>
      <w:sz w:val="21"/>
      <w:szCs w:val="21"/>
      <w:lang w:val="en-US" w:eastAsia="zh-CN" w:bidi="ar-SA"/>
    </w:rPr>
  </w:style>
  <w:style w:type="paragraph" w:customStyle="1" w:styleId="623">
    <w:name w:val="无间隔6"/>
    <w:qFormat/>
    <w:uiPriority w:val="0"/>
    <w:pPr>
      <w:widowControl w:val="0"/>
      <w:jc w:val="both"/>
    </w:pPr>
    <w:rPr>
      <w:rFonts w:ascii="Calibri" w:hAnsi="Calibri" w:eastAsia="宋体" w:cs="Calibri"/>
      <w:kern w:val="2"/>
      <w:sz w:val="21"/>
      <w:szCs w:val="21"/>
      <w:lang w:val="en-US" w:eastAsia="zh-CN" w:bidi="ar-SA"/>
    </w:rPr>
  </w:style>
  <w:style w:type="paragraph" w:customStyle="1" w:styleId="624">
    <w:name w:val="样式 楷体_GB2312 四号 首行缩进:  2 字符"/>
    <w:basedOn w:val="1"/>
    <w:qFormat/>
    <w:uiPriority w:val="0"/>
    <w:pPr>
      <w:ind w:firstLine="560" w:firstLineChars="200"/>
    </w:pPr>
    <w:rPr>
      <w:rFonts w:ascii="楷体_GB2312" w:hAnsi="楷体_GB2312" w:eastAsia="仿宋_GB2312"/>
      <w:sz w:val="28"/>
      <w:szCs w:val="20"/>
    </w:rPr>
  </w:style>
  <w:style w:type="character" w:customStyle="1" w:styleId="625">
    <w:name w:val="hangju1"/>
    <w:qFormat/>
    <w:uiPriority w:val="0"/>
  </w:style>
  <w:style w:type="paragraph" w:customStyle="1" w:styleId="626">
    <w:name w:val="列出段落3"/>
    <w:basedOn w:val="1"/>
    <w:qFormat/>
    <w:uiPriority w:val="0"/>
    <w:pPr>
      <w:ind w:firstLine="420" w:firstLineChars="200"/>
    </w:pPr>
    <w:rPr>
      <w:szCs w:val="21"/>
    </w:rPr>
  </w:style>
  <w:style w:type="character" w:customStyle="1" w:styleId="627">
    <w:name w:val="批注文字 Char Char"/>
    <w:qFormat/>
    <w:uiPriority w:val="0"/>
  </w:style>
  <w:style w:type="paragraph" w:customStyle="1" w:styleId="628">
    <w:name w:val="样式 表格 + 首行缩进:  2.19 字符1"/>
    <w:basedOn w:val="187"/>
    <w:qFormat/>
    <w:uiPriority w:val="0"/>
    <w:pPr>
      <w:snapToGrid/>
      <w:spacing w:beforeLines="0" w:afterLines="0" w:line="360" w:lineRule="exact"/>
    </w:pPr>
    <w:rPr>
      <w:rFonts w:ascii="Times New Roman" w:cs="宋体"/>
      <w:spacing w:val="10"/>
      <w:sz w:val="20"/>
    </w:rPr>
  </w:style>
  <w:style w:type="paragraph" w:customStyle="1" w:styleId="629">
    <w:name w:val="表格内格式"/>
    <w:basedOn w:val="1"/>
    <w:qFormat/>
    <w:uiPriority w:val="0"/>
    <w:pPr>
      <w:spacing w:line="240" w:lineRule="exact"/>
      <w:jc w:val="center"/>
    </w:pPr>
    <w:rPr>
      <w:rFonts w:ascii="宋体"/>
    </w:rPr>
  </w:style>
  <w:style w:type="paragraph" w:customStyle="1" w:styleId="630">
    <w:name w:val="图表标题"/>
    <w:basedOn w:val="1"/>
    <w:next w:val="1"/>
    <w:link w:val="631"/>
    <w:qFormat/>
    <w:uiPriority w:val="0"/>
    <w:pPr>
      <w:spacing w:line="360" w:lineRule="auto"/>
      <w:jc w:val="center"/>
      <w:textAlignment w:val="baseline"/>
    </w:pPr>
    <w:rPr>
      <w:rFonts w:ascii="黑体" w:eastAsia="黑体"/>
      <w:sz w:val="24"/>
    </w:rPr>
  </w:style>
  <w:style w:type="character" w:customStyle="1" w:styleId="631">
    <w:name w:val="图表标题 Char"/>
    <w:link w:val="630"/>
    <w:qFormat/>
    <w:uiPriority w:val="0"/>
    <w:rPr>
      <w:rFonts w:ascii="黑体" w:eastAsia="黑体"/>
      <w:kern w:val="2"/>
      <w:sz w:val="24"/>
      <w:szCs w:val="24"/>
    </w:rPr>
  </w:style>
  <w:style w:type="paragraph" w:customStyle="1" w:styleId="632">
    <w:name w:val="Char4 Char Char Char"/>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633">
    <w:name w:val="Char Char3 Char Char Char Char Char Char"/>
    <w:basedOn w:val="1"/>
    <w:qFormat/>
    <w:uiPriority w:val="0"/>
    <w:pPr>
      <w:widowControl/>
      <w:tabs>
        <w:tab w:val="left" w:pos="480"/>
      </w:tabs>
      <w:spacing w:after="160" w:line="240" w:lineRule="exact"/>
      <w:jc w:val="left"/>
    </w:pPr>
    <w:rPr>
      <w:rFonts w:ascii="Verdana" w:hAnsi="Verdana"/>
      <w:kern w:val="0"/>
      <w:sz w:val="20"/>
      <w:szCs w:val="20"/>
      <w:lang w:eastAsia="en-US"/>
    </w:rPr>
  </w:style>
  <w:style w:type="paragraph" w:customStyle="1" w:styleId="634">
    <w:name w:val="Char Char Char Char Char Char Char Char Char Char Char Char Char Char Char Char"/>
    <w:basedOn w:val="1"/>
    <w:qFormat/>
    <w:uiPriority w:val="0"/>
  </w:style>
  <w:style w:type="character" w:customStyle="1" w:styleId="635">
    <w:name w:val="bold1"/>
    <w:qFormat/>
    <w:uiPriority w:val="0"/>
    <w:rPr>
      <w:b/>
      <w:bCs/>
    </w:rPr>
  </w:style>
  <w:style w:type="paragraph" w:customStyle="1" w:styleId="636">
    <w:name w:val="首页页眉样式"/>
    <w:basedOn w:val="1"/>
    <w:qFormat/>
    <w:uiPriority w:val="0"/>
    <w:pPr>
      <w:spacing w:line="320" w:lineRule="exact"/>
      <w:jc w:val="center"/>
    </w:pPr>
    <w:rPr>
      <w:rFonts w:ascii="宋体" w:hAnsi="宋体"/>
      <w:szCs w:val="20"/>
    </w:rPr>
  </w:style>
  <w:style w:type="paragraph" w:customStyle="1" w:styleId="637">
    <w:name w:val="表中"/>
    <w:qFormat/>
    <w:uiPriority w:val="0"/>
    <w:pPr>
      <w:widowControl w:val="0"/>
      <w:adjustRightInd w:val="0"/>
      <w:spacing w:line="280" w:lineRule="exact"/>
      <w:jc w:val="center"/>
      <w:textAlignment w:val="baseline"/>
    </w:pPr>
    <w:rPr>
      <w:rFonts w:ascii="宋体" w:hAnsi="宋体" w:eastAsia="宋体" w:cs="Calibri"/>
      <w:color w:val="000000"/>
      <w:spacing w:val="20"/>
      <w:kern w:val="44"/>
      <w:sz w:val="18"/>
      <w:szCs w:val="18"/>
      <w:lang w:val="en-US" w:eastAsia="zh-CN" w:bidi="ar-SA"/>
    </w:rPr>
  </w:style>
  <w:style w:type="character" w:customStyle="1" w:styleId="638">
    <w:name w:val="unnamed21"/>
    <w:qFormat/>
    <w:uiPriority w:val="0"/>
  </w:style>
  <w:style w:type="paragraph" w:customStyle="1" w:styleId="639">
    <w:name w:val="表号"/>
    <w:basedOn w:val="1"/>
    <w:next w:val="1"/>
    <w:link w:val="640"/>
    <w:qFormat/>
    <w:uiPriority w:val="0"/>
    <w:pPr>
      <w:widowControl/>
      <w:spacing w:before="120" w:line="240" w:lineRule="atLeast"/>
      <w:jc w:val="center"/>
    </w:pPr>
    <w:rPr>
      <w:rFonts w:ascii="黑体" w:eastAsia="黑体"/>
      <w:color w:val="000000"/>
      <w:spacing w:val="6"/>
      <w:kern w:val="0"/>
      <w:sz w:val="26"/>
      <w:szCs w:val="26"/>
    </w:rPr>
  </w:style>
  <w:style w:type="character" w:customStyle="1" w:styleId="640">
    <w:name w:val="表号 Char1"/>
    <w:link w:val="639"/>
    <w:qFormat/>
    <w:uiPriority w:val="0"/>
    <w:rPr>
      <w:rFonts w:ascii="黑体" w:eastAsia="黑体"/>
      <w:color w:val="000000"/>
      <w:spacing w:val="6"/>
      <w:sz w:val="26"/>
      <w:szCs w:val="26"/>
    </w:rPr>
  </w:style>
  <w:style w:type="paragraph" w:customStyle="1" w:styleId="641">
    <w:name w:val=".."/>
    <w:basedOn w:val="1"/>
    <w:next w:val="1"/>
    <w:qFormat/>
    <w:uiPriority w:val="0"/>
    <w:pPr>
      <w:autoSpaceDE w:val="0"/>
      <w:autoSpaceDN w:val="0"/>
      <w:adjustRightInd w:val="0"/>
      <w:jc w:val="left"/>
    </w:pPr>
    <w:rPr>
      <w:rFonts w:ascii="宋体"/>
      <w:kern w:val="0"/>
      <w:sz w:val="20"/>
    </w:rPr>
  </w:style>
  <w:style w:type="paragraph" w:customStyle="1" w:styleId="642">
    <w:name w:val="Char Char Char Char1"/>
    <w:basedOn w:val="1"/>
    <w:qFormat/>
    <w:uiPriority w:val="0"/>
    <w:pPr>
      <w:spacing w:line="360" w:lineRule="auto"/>
      <w:ind w:firstLine="200" w:firstLineChars="200"/>
    </w:pPr>
    <w:rPr>
      <w:rFonts w:ascii="宋体" w:hAnsi="宋体" w:cs="宋体"/>
      <w:sz w:val="24"/>
    </w:rPr>
  </w:style>
  <w:style w:type="paragraph" w:customStyle="1" w:styleId="643">
    <w:name w:val="五级条标题"/>
    <w:basedOn w:val="1"/>
    <w:next w:val="1"/>
    <w:qFormat/>
    <w:uiPriority w:val="0"/>
    <w:pPr>
      <w:widowControl/>
      <w:tabs>
        <w:tab w:val="left" w:pos="360"/>
        <w:tab w:val="left" w:pos="425"/>
        <w:tab w:val="left" w:pos="1125"/>
      </w:tabs>
      <w:ind w:left="425" w:hanging="425"/>
      <w:outlineLvl w:val="6"/>
    </w:pPr>
    <w:rPr>
      <w:rFonts w:ascii="黑体" w:eastAsia="黑体"/>
      <w:kern w:val="0"/>
      <w:szCs w:val="20"/>
    </w:rPr>
  </w:style>
  <w:style w:type="paragraph" w:customStyle="1" w:styleId="644">
    <w:name w:val="前言、引言标题"/>
    <w:next w:val="1"/>
    <w:qFormat/>
    <w:uiPriority w:val="0"/>
    <w:pPr>
      <w:shd w:val="clear" w:color="FFFFFF" w:fill="FFFFFF"/>
      <w:tabs>
        <w:tab w:val="left" w:pos="903"/>
      </w:tabs>
      <w:spacing w:before="640" w:after="560"/>
      <w:ind w:left="903" w:hanging="315"/>
      <w:jc w:val="center"/>
      <w:outlineLvl w:val="0"/>
    </w:pPr>
    <w:rPr>
      <w:rFonts w:ascii="黑体" w:hAnsi="Calibri" w:eastAsia="黑体" w:cs="Calibri"/>
      <w:sz w:val="32"/>
      <w:lang w:val="en-US" w:eastAsia="zh-CN" w:bidi="ar-SA"/>
    </w:rPr>
  </w:style>
  <w:style w:type="paragraph" w:customStyle="1" w:styleId="645">
    <w:name w:val="样式4"/>
    <w:basedOn w:val="8"/>
    <w:link w:val="646"/>
    <w:qFormat/>
    <w:uiPriority w:val="0"/>
    <w:pPr>
      <w:numPr>
        <w:ilvl w:val="0"/>
        <w:numId w:val="0"/>
      </w:numPr>
      <w:spacing w:before="0" w:after="0" w:line="360" w:lineRule="auto"/>
    </w:pPr>
    <w:rPr>
      <w:rFonts w:ascii="宋体" w:hAnsi="宋体" w:eastAsia="宋体"/>
      <w:b w:val="0"/>
      <w:sz w:val="24"/>
      <w:szCs w:val="24"/>
    </w:rPr>
  </w:style>
  <w:style w:type="character" w:customStyle="1" w:styleId="646">
    <w:name w:val="样式4 Char"/>
    <w:link w:val="645"/>
    <w:qFormat/>
    <w:uiPriority w:val="0"/>
    <w:rPr>
      <w:rFonts w:ascii="宋体" w:hAnsi="宋体"/>
      <w:bCs/>
      <w:kern w:val="2"/>
      <w:sz w:val="24"/>
      <w:szCs w:val="24"/>
    </w:rPr>
  </w:style>
  <w:style w:type="paragraph" w:customStyle="1" w:styleId="647">
    <w:name w:val="表题"/>
    <w:basedOn w:val="1"/>
    <w:link w:val="648"/>
    <w:qFormat/>
    <w:uiPriority w:val="0"/>
    <w:pPr>
      <w:autoSpaceDE w:val="0"/>
      <w:autoSpaceDN w:val="0"/>
      <w:adjustRightInd w:val="0"/>
      <w:spacing w:line="480" w:lineRule="atLeast"/>
      <w:jc w:val="center"/>
      <w:textAlignment w:val="baseline"/>
    </w:pPr>
    <w:rPr>
      <w:rFonts w:ascii="黑体" w:eastAsia="黑体"/>
      <w:kern w:val="16"/>
      <w:szCs w:val="20"/>
    </w:rPr>
  </w:style>
  <w:style w:type="character" w:customStyle="1" w:styleId="648">
    <w:name w:val="表题 Char Char"/>
    <w:link w:val="647"/>
    <w:qFormat/>
    <w:uiPriority w:val="0"/>
    <w:rPr>
      <w:rFonts w:ascii="黑体" w:eastAsia="黑体"/>
      <w:kern w:val="16"/>
      <w:sz w:val="21"/>
    </w:rPr>
  </w:style>
  <w:style w:type="paragraph" w:customStyle="1" w:styleId="649">
    <w:name w:val="Body Text 21"/>
    <w:basedOn w:val="1"/>
    <w:qFormat/>
    <w:uiPriority w:val="0"/>
    <w:pPr>
      <w:tabs>
        <w:tab w:val="left" w:pos="567"/>
      </w:tabs>
      <w:adjustRightInd w:val="0"/>
      <w:spacing w:line="410" w:lineRule="atLeast"/>
      <w:ind w:firstLine="480"/>
      <w:textAlignment w:val="baseline"/>
    </w:pPr>
    <w:rPr>
      <w:rFonts w:ascii="宋体"/>
      <w:kern w:val="0"/>
      <w:sz w:val="24"/>
      <w:szCs w:val="20"/>
    </w:rPr>
  </w:style>
  <w:style w:type="paragraph" w:customStyle="1" w:styleId="650">
    <w:name w:val="标准"/>
    <w:basedOn w:val="1"/>
    <w:qFormat/>
    <w:uiPriority w:val="0"/>
    <w:pPr>
      <w:adjustRightInd w:val="0"/>
      <w:spacing w:line="600" w:lineRule="atLeast"/>
      <w:textAlignment w:val="baseline"/>
    </w:pPr>
    <w:rPr>
      <w:kern w:val="0"/>
      <w:sz w:val="28"/>
      <w:szCs w:val="20"/>
    </w:rPr>
  </w:style>
  <w:style w:type="paragraph" w:customStyle="1" w:styleId="651">
    <w:name w:val="封面正文"/>
    <w:qFormat/>
    <w:uiPriority w:val="0"/>
    <w:pPr>
      <w:jc w:val="both"/>
    </w:pPr>
    <w:rPr>
      <w:rFonts w:ascii="Calibri" w:hAnsi="Calibri" w:eastAsia="宋体" w:cs="Calibri"/>
      <w:lang w:val="en-US" w:eastAsia="zh-CN" w:bidi="ar-SA"/>
    </w:rPr>
  </w:style>
  <w:style w:type="paragraph" w:customStyle="1" w:styleId="652">
    <w:name w:val="样式 宋体 小四 左 行距: 固定值 22 磅"/>
    <w:basedOn w:val="1"/>
    <w:qFormat/>
    <w:uiPriority w:val="0"/>
    <w:pPr>
      <w:spacing w:line="440" w:lineRule="exact"/>
      <w:ind w:firstLine="200" w:firstLineChars="200"/>
      <w:jc w:val="left"/>
    </w:pPr>
    <w:rPr>
      <w:rFonts w:ascii="宋体" w:hAnsi="宋体" w:cs="宋体"/>
      <w:sz w:val="24"/>
      <w:szCs w:val="20"/>
    </w:rPr>
  </w:style>
  <w:style w:type="paragraph" w:customStyle="1" w:styleId="653">
    <w:name w:val="基准页脚样式"/>
    <w:basedOn w:val="34"/>
    <w:qFormat/>
    <w:uiPriority w:val="0"/>
  </w:style>
  <w:style w:type="paragraph" w:customStyle="1" w:styleId="654">
    <w:name w:val="CM40"/>
    <w:basedOn w:val="2"/>
    <w:next w:val="2"/>
    <w:qFormat/>
    <w:uiPriority w:val="0"/>
    <w:pPr>
      <w:suppressAutoHyphens w:val="0"/>
      <w:adjustRightInd w:val="0"/>
      <w:spacing w:after="138"/>
      <w:textAlignment w:val="auto"/>
    </w:pPr>
    <w:rPr>
      <w:rFonts w:ascii="隶书" w:hAnsi="Times New Roman" w:eastAsia="隶书" w:cs="Times New Roman"/>
      <w:color w:val="auto"/>
    </w:rPr>
  </w:style>
  <w:style w:type="paragraph" w:customStyle="1" w:styleId="655">
    <w:name w:val="CM101"/>
    <w:basedOn w:val="2"/>
    <w:next w:val="2"/>
    <w:qFormat/>
    <w:uiPriority w:val="0"/>
    <w:pPr>
      <w:suppressAutoHyphens w:val="0"/>
      <w:adjustRightInd w:val="0"/>
      <w:spacing w:after="325"/>
      <w:textAlignment w:val="auto"/>
    </w:pPr>
    <w:rPr>
      <w:rFonts w:hAnsi="Times New Roman" w:cs="Times New Roman"/>
      <w:color w:val="auto"/>
    </w:rPr>
  </w:style>
  <w:style w:type="paragraph" w:customStyle="1" w:styleId="656">
    <w:name w:val="CM105"/>
    <w:basedOn w:val="2"/>
    <w:next w:val="2"/>
    <w:qFormat/>
    <w:uiPriority w:val="0"/>
    <w:pPr>
      <w:suppressAutoHyphens w:val="0"/>
      <w:adjustRightInd w:val="0"/>
      <w:spacing w:after="225"/>
      <w:textAlignment w:val="auto"/>
    </w:pPr>
    <w:rPr>
      <w:rFonts w:hAnsi="Times New Roman" w:cs="Times New Roman"/>
      <w:color w:val="auto"/>
    </w:rPr>
  </w:style>
  <w:style w:type="paragraph" w:customStyle="1" w:styleId="657">
    <w:name w:val="CM18"/>
    <w:basedOn w:val="2"/>
    <w:next w:val="2"/>
    <w:qFormat/>
    <w:uiPriority w:val="0"/>
    <w:pPr>
      <w:suppressAutoHyphens w:val="0"/>
      <w:adjustRightInd w:val="0"/>
      <w:spacing w:line="468" w:lineRule="atLeast"/>
      <w:textAlignment w:val="auto"/>
    </w:pPr>
    <w:rPr>
      <w:rFonts w:ascii="隶书" w:hAnsi="Times New Roman" w:eastAsia="隶书" w:cs="Times New Roman"/>
      <w:color w:val="auto"/>
    </w:rPr>
  </w:style>
  <w:style w:type="character" w:customStyle="1" w:styleId="658">
    <w:name w:val="题注 Char1"/>
    <w:qFormat/>
    <w:uiPriority w:val="0"/>
    <w:rPr>
      <w:rFonts w:ascii="Arial" w:hAnsi="Arial" w:eastAsia="黑体" w:cs="Arial"/>
      <w:sz w:val="20"/>
      <w:szCs w:val="20"/>
    </w:rPr>
  </w:style>
  <w:style w:type="paragraph" w:customStyle="1" w:styleId="659">
    <w:name w:val="正文2"/>
    <w:basedOn w:val="1"/>
    <w:link w:val="660"/>
    <w:qFormat/>
    <w:uiPriority w:val="0"/>
    <w:pPr>
      <w:adjustRightInd w:val="0"/>
      <w:spacing w:before="120" w:line="315" w:lineRule="atLeast"/>
      <w:jc w:val="left"/>
      <w:textAlignment w:val="baseline"/>
    </w:pPr>
    <w:rPr>
      <w:rFonts w:ascii="宋体"/>
      <w:kern w:val="0"/>
      <w:sz w:val="24"/>
      <w:szCs w:val="20"/>
    </w:rPr>
  </w:style>
  <w:style w:type="character" w:customStyle="1" w:styleId="660">
    <w:name w:val="正文 Char"/>
    <w:link w:val="659"/>
    <w:qFormat/>
    <w:uiPriority w:val="0"/>
    <w:rPr>
      <w:rFonts w:ascii="宋体"/>
      <w:sz w:val="24"/>
    </w:rPr>
  </w:style>
  <w:style w:type="character" w:customStyle="1" w:styleId="661">
    <w:name w:val="样式3 Char"/>
    <w:qFormat/>
    <w:uiPriority w:val="0"/>
    <w:rPr>
      <w:snapToGrid w:val="0"/>
      <w:color w:val="000000"/>
      <w:sz w:val="21"/>
    </w:rPr>
  </w:style>
  <w:style w:type="paragraph" w:customStyle="1" w:styleId="662">
    <w:name w:val="亚行正文"/>
    <w:basedOn w:val="1"/>
    <w:link w:val="663"/>
    <w:qFormat/>
    <w:uiPriority w:val="0"/>
    <w:pPr>
      <w:wordWrap w:val="0"/>
      <w:spacing w:line="360" w:lineRule="auto"/>
      <w:ind w:left="-2" w:leftChars="-1" w:firstLine="473" w:firstLineChars="197"/>
    </w:pPr>
    <w:rPr>
      <w:kern w:val="0"/>
      <w:sz w:val="24"/>
    </w:rPr>
  </w:style>
  <w:style w:type="character" w:customStyle="1" w:styleId="663">
    <w:name w:val="亚行正文 Char"/>
    <w:link w:val="662"/>
    <w:qFormat/>
    <w:uiPriority w:val="0"/>
    <w:rPr>
      <w:snapToGrid/>
      <w:sz w:val="24"/>
      <w:szCs w:val="24"/>
    </w:rPr>
  </w:style>
  <w:style w:type="paragraph" w:customStyle="1" w:styleId="664">
    <w:name w:val="小四正文"/>
    <w:link w:val="665"/>
    <w:qFormat/>
    <w:uiPriority w:val="0"/>
    <w:pPr>
      <w:spacing w:line="480" w:lineRule="exact"/>
      <w:jc w:val="both"/>
    </w:pPr>
    <w:rPr>
      <w:rFonts w:ascii="Calibri" w:hAnsi="宋体" w:eastAsia="宋体" w:cs="Calibri"/>
      <w:b/>
      <w:color w:val="000000"/>
      <w:kern w:val="2"/>
      <w:sz w:val="24"/>
      <w:szCs w:val="24"/>
      <w:lang w:val="en-US" w:eastAsia="zh-CN" w:bidi="ar-SA"/>
    </w:rPr>
  </w:style>
  <w:style w:type="character" w:customStyle="1" w:styleId="665">
    <w:name w:val="小四正文 Char"/>
    <w:link w:val="664"/>
    <w:qFormat/>
    <w:uiPriority w:val="0"/>
    <w:rPr>
      <w:rFonts w:hAnsi="宋体"/>
      <w:b/>
      <w:color w:val="000000"/>
      <w:kern w:val="2"/>
      <w:sz w:val="24"/>
      <w:szCs w:val="24"/>
    </w:rPr>
  </w:style>
  <w:style w:type="paragraph" w:customStyle="1" w:styleId="666">
    <w:name w:val="正文王"/>
    <w:basedOn w:val="45"/>
    <w:qFormat/>
    <w:uiPriority w:val="0"/>
    <w:pPr>
      <w:suppressAutoHyphens w:val="0"/>
      <w:autoSpaceDN/>
      <w:spacing w:line="440" w:lineRule="exact"/>
      <w:textAlignment w:val="auto"/>
    </w:pPr>
    <w:rPr>
      <w:rFonts w:ascii="Arial" w:hAnsi="Arial"/>
      <w:kern w:val="0"/>
      <w:sz w:val="24"/>
    </w:rPr>
  </w:style>
  <w:style w:type="paragraph" w:customStyle="1" w:styleId="667">
    <w:name w:val="蒲正文"/>
    <w:basedOn w:val="1"/>
    <w:link w:val="668"/>
    <w:qFormat/>
    <w:uiPriority w:val="0"/>
    <w:pPr>
      <w:adjustRightInd w:val="0"/>
      <w:snapToGrid w:val="0"/>
      <w:spacing w:line="440" w:lineRule="exact"/>
    </w:pPr>
    <w:rPr>
      <w:rFonts w:ascii="宋体" w:hAnsi="宋体"/>
      <w:b/>
      <w:kern w:val="0"/>
      <w:sz w:val="24"/>
    </w:rPr>
  </w:style>
  <w:style w:type="character" w:customStyle="1" w:styleId="668">
    <w:name w:val="蒲正文 Char"/>
    <w:link w:val="667"/>
    <w:qFormat/>
    <w:uiPriority w:val="0"/>
    <w:rPr>
      <w:rFonts w:ascii="宋体" w:hAnsi="宋体"/>
      <w:b/>
      <w:sz w:val="24"/>
      <w:szCs w:val="24"/>
    </w:rPr>
  </w:style>
  <w:style w:type="paragraph" w:customStyle="1" w:styleId="669">
    <w:name w:val="样式 正文11111111 + 左侧:  0.85 厘米 首行缩进:  2 字符"/>
    <w:basedOn w:val="503"/>
    <w:qFormat/>
    <w:uiPriority w:val="0"/>
    <w:pPr>
      <w:ind w:firstLine="480"/>
    </w:pPr>
  </w:style>
  <w:style w:type="paragraph" w:customStyle="1" w:styleId="670">
    <w:name w:val="正文一"/>
    <w:basedOn w:val="1"/>
    <w:qFormat/>
    <w:uiPriority w:val="0"/>
    <w:pPr>
      <w:widowControl/>
      <w:adjustRightInd w:val="0"/>
      <w:snapToGrid w:val="0"/>
      <w:spacing w:line="480" w:lineRule="atLeast"/>
    </w:pPr>
    <w:rPr>
      <w:rFonts w:ascii="宋体" w:cs="宋体"/>
      <w:spacing w:val="6"/>
      <w:kern w:val="0"/>
      <w:sz w:val="24"/>
    </w:rPr>
  </w:style>
  <w:style w:type="paragraph" w:customStyle="1" w:styleId="671">
    <w:name w:val="二级无标题条"/>
    <w:basedOn w:val="1"/>
    <w:qFormat/>
    <w:uiPriority w:val="0"/>
  </w:style>
  <w:style w:type="paragraph" w:customStyle="1" w:styleId="672">
    <w:name w:val="一级条标题"/>
    <w:basedOn w:val="1"/>
    <w:next w:val="1"/>
    <w:qFormat/>
    <w:uiPriority w:val="0"/>
    <w:pPr>
      <w:widowControl/>
      <w:tabs>
        <w:tab w:val="left" w:pos="720"/>
        <w:tab w:val="left" w:pos="1125"/>
        <w:tab w:val="left" w:pos="1830"/>
      </w:tabs>
      <w:ind w:left="1830" w:hanging="720"/>
      <w:outlineLvl w:val="2"/>
    </w:pPr>
    <w:rPr>
      <w:rFonts w:ascii="黑体" w:eastAsia="黑体"/>
      <w:kern w:val="0"/>
      <w:szCs w:val="20"/>
    </w:rPr>
  </w:style>
  <w:style w:type="paragraph" w:customStyle="1" w:styleId="673">
    <w:name w:val="四级条标题"/>
    <w:basedOn w:val="1"/>
    <w:next w:val="1"/>
    <w:qFormat/>
    <w:uiPriority w:val="0"/>
    <w:pPr>
      <w:widowControl/>
      <w:tabs>
        <w:tab w:val="left" w:pos="360"/>
        <w:tab w:val="left" w:pos="1800"/>
      </w:tabs>
      <w:ind w:left="1800" w:hanging="1800"/>
      <w:outlineLvl w:val="5"/>
    </w:pPr>
    <w:rPr>
      <w:rFonts w:ascii="黑体" w:eastAsia="黑体"/>
      <w:kern w:val="0"/>
      <w:szCs w:val="20"/>
    </w:rPr>
  </w:style>
  <w:style w:type="paragraph" w:customStyle="1" w:styleId="674">
    <w:name w:val="样式5"/>
    <w:basedOn w:val="1"/>
    <w:link w:val="675"/>
    <w:qFormat/>
    <w:uiPriority w:val="0"/>
    <w:pPr>
      <w:adjustRightInd w:val="0"/>
      <w:snapToGrid w:val="0"/>
      <w:spacing w:beforeLines="50" w:line="480" w:lineRule="exact"/>
      <w:jc w:val="center"/>
      <w:outlineLvl w:val="4"/>
    </w:pPr>
    <w:rPr>
      <w:bCs/>
      <w:sz w:val="26"/>
      <w:szCs w:val="26"/>
    </w:rPr>
  </w:style>
  <w:style w:type="character" w:customStyle="1" w:styleId="675">
    <w:name w:val="样式5 Char"/>
    <w:link w:val="674"/>
    <w:qFormat/>
    <w:uiPriority w:val="0"/>
    <w:rPr>
      <w:bCs/>
      <w:kern w:val="2"/>
      <w:sz w:val="26"/>
      <w:szCs w:val="26"/>
    </w:rPr>
  </w:style>
  <w:style w:type="paragraph" w:customStyle="1" w:styleId="676">
    <w:name w:val="图表名称"/>
    <w:next w:val="1"/>
    <w:link w:val="677"/>
    <w:qFormat/>
    <w:uiPriority w:val="0"/>
    <w:pPr>
      <w:spacing w:before="25" w:after="25" w:line="360" w:lineRule="auto"/>
      <w:jc w:val="center"/>
    </w:pPr>
    <w:rPr>
      <w:rFonts w:ascii="Calibri" w:hAnsi="Calibri" w:eastAsia="黑体" w:cs="Calibri"/>
      <w:b/>
      <w:bCs/>
      <w:kern w:val="2"/>
      <w:sz w:val="24"/>
      <w:szCs w:val="21"/>
      <w:lang w:val="en-US" w:eastAsia="zh-CN" w:bidi="ar-SA"/>
    </w:rPr>
  </w:style>
  <w:style w:type="character" w:customStyle="1" w:styleId="677">
    <w:name w:val="图表名称 Char"/>
    <w:link w:val="676"/>
    <w:qFormat/>
    <w:uiPriority w:val="0"/>
    <w:rPr>
      <w:rFonts w:eastAsia="黑体"/>
      <w:b/>
      <w:bCs/>
      <w:kern w:val="2"/>
      <w:sz w:val="24"/>
      <w:szCs w:val="21"/>
    </w:rPr>
  </w:style>
  <w:style w:type="paragraph" w:customStyle="1" w:styleId="678">
    <w:name w:val="川维5"/>
    <w:basedOn w:val="1"/>
    <w:link w:val="679"/>
    <w:qFormat/>
    <w:uiPriority w:val="0"/>
    <w:pPr>
      <w:spacing w:line="360" w:lineRule="auto"/>
      <w:ind w:firstLine="200" w:firstLineChars="200"/>
    </w:pPr>
    <w:rPr>
      <w:kern w:val="24"/>
      <w:sz w:val="24"/>
    </w:rPr>
  </w:style>
  <w:style w:type="character" w:customStyle="1" w:styleId="679">
    <w:name w:val="川维5 Char"/>
    <w:link w:val="678"/>
    <w:qFormat/>
    <w:uiPriority w:val="0"/>
    <w:rPr>
      <w:kern w:val="24"/>
      <w:sz w:val="24"/>
      <w:szCs w:val="24"/>
    </w:rPr>
  </w:style>
  <w:style w:type="paragraph" w:customStyle="1" w:styleId="680">
    <w:name w:val="1正文段落"/>
    <w:basedOn w:val="1"/>
    <w:link w:val="681"/>
    <w:qFormat/>
    <w:uiPriority w:val="0"/>
    <w:pPr>
      <w:spacing w:line="360" w:lineRule="auto"/>
      <w:ind w:firstLine="480" w:firstLineChars="200"/>
      <w:jc w:val="left"/>
    </w:pPr>
    <w:rPr>
      <w:kern w:val="0"/>
      <w:sz w:val="24"/>
    </w:rPr>
  </w:style>
  <w:style w:type="character" w:customStyle="1" w:styleId="681">
    <w:name w:val="1正文段落 Char"/>
    <w:link w:val="680"/>
    <w:qFormat/>
    <w:uiPriority w:val="0"/>
    <w:rPr>
      <w:snapToGrid/>
      <w:sz w:val="24"/>
      <w:szCs w:val="24"/>
    </w:rPr>
  </w:style>
  <w:style w:type="paragraph" w:customStyle="1" w:styleId="682">
    <w:name w:val="标注"/>
    <w:basedOn w:val="51"/>
    <w:next w:val="1"/>
    <w:link w:val="683"/>
    <w:qFormat/>
    <w:uiPriority w:val="0"/>
    <w:pPr>
      <w:ind w:right="360"/>
      <w:jc w:val="both"/>
    </w:pPr>
    <w:rPr>
      <w:color w:val="000000"/>
      <w:szCs w:val="21"/>
    </w:rPr>
  </w:style>
  <w:style w:type="character" w:customStyle="1" w:styleId="683">
    <w:name w:val="标注 Char"/>
    <w:link w:val="682"/>
    <w:qFormat/>
    <w:uiPriority w:val="0"/>
    <w:rPr>
      <w:color w:val="000000"/>
      <w:kern w:val="2"/>
      <w:sz w:val="21"/>
      <w:szCs w:val="21"/>
    </w:rPr>
  </w:style>
  <w:style w:type="paragraph" w:customStyle="1" w:styleId="684">
    <w:name w:val="楷体加粗"/>
    <w:basedOn w:val="1"/>
    <w:link w:val="685"/>
    <w:qFormat/>
    <w:uiPriority w:val="0"/>
    <w:pPr>
      <w:spacing w:line="440" w:lineRule="exact"/>
      <w:ind w:firstLine="470" w:firstLineChars="196"/>
      <w:jc w:val="left"/>
    </w:pPr>
    <w:rPr>
      <w:rFonts w:ascii="宋体" w:hAnsi="宋体"/>
      <w:sz w:val="24"/>
    </w:rPr>
  </w:style>
  <w:style w:type="character" w:customStyle="1" w:styleId="685">
    <w:name w:val="楷体加粗 Char"/>
    <w:link w:val="684"/>
    <w:qFormat/>
    <w:uiPriority w:val="0"/>
    <w:rPr>
      <w:rFonts w:ascii="宋体" w:hAnsi="宋体"/>
      <w:kern w:val="2"/>
      <w:sz w:val="24"/>
      <w:szCs w:val="24"/>
    </w:rPr>
  </w:style>
  <w:style w:type="paragraph" w:customStyle="1" w:styleId="686">
    <w:name w:val="单位"/>
    <w:basedOn w:val="682"/>
    <w:qFormat/>
    <w:uiPriority w:val="0"/>
  </w:style>
  <w:style w:type="paragraph" w:customStyle="1" w:styleId="687">
    <w:name w:val="二级条标题"/>
    <w:basedOn w:val="672"/>
    <w:next w:val="1"/>
    <w:link w:val="688"/>
    <w:qFormat/>
    <w:uiPriority w:val="0"/>
    <w:pPr>
      <w:tabs>
        <w:tab w:val="left" w:pos="360"/>
        <w:tab w:val="left" w:pos="1260"/>
        <w:tab w:val="clear" w:pos="720"/>
        <w:tab w:val="clear" w:pos="1125"/>
        <w:tab w:val="clear" w:pos="1830"/>
      </w:tabs>
      <w:ind w:left="0" w:firstLine="0"/>
      <w:outlineLvl w:val="3"/>
    </w:pPr>
  </w:style>
  <w:style w:type="character" w:customStyle="1" w:styleId="688">
    <w:name w:val="二级条标题 Char"/>
    <w:link w:val="687"/>
    <w:qFormat/>
    <w:uiPriority w:val="0"/>
    <w:rPr>
      <w:rFonts w:ascii="黑体" w:eastAsia="黑体"/>
      <w:sz w:val="21"/>
    </w:rPr>
  </w:style>
  <w:style w:type="paragraph" w:customStyle="1" w:styleId="689">
    <w:name w:val="三级条标题"/>
    <w:basedOn w:val="687"/>
    <w:next w:val="1"/>
    <w:qFormat/>
    <w:uiPriority w:val="0"/>
    <w:pPr>
      <w:outlineLvl w:val="4"/>
    </w:pPr>
  </w:style>
  <w:style w:type="paragraph" w:customStyle="1" w:styleId="690">
    <w:name w:val="样式"/>
    <w:basedOn w:val="1"/>
    <w:next w:val="67"/>
    <w:qFormat/>
    <w:uiPriority w:val="0"/>
    <w:pPr>
      <w:tabs>
        <w:tab w:val="left" w:pos="6720"/>
      </w:tabs>
      <w:spacing w:line="360" w:lineRule="auto"/>
      <w:ind w:firstLine="480" w:firstLineChars="200"/>
    </w:pPr>
    <w:rPr>
      <w:rFonts w:ascii="楷体_GB2312" w:eastAsia="楷体_GB2312"/>
      <w:sz w:val="24"/>
    </w:rPr>
  </w:style>
  <w:style w:type="character" w:customStyle="1" w:styleId="691">
    <w:name w:val="zhenwen14"/>
    <w:qFormat/>
    <w:uiPriority w:val="0"/>
  </w:style>
  <w:style w:type="paragraph" w:customStyle="1" w:styleId="692">
    <w:name w:val="附录表标题"/>
    <w:next w:val="7"/>
    <w:qFormat/>
    <w:uiPriority w:val="0"/>
    <w:pPr>
      <w:tabs>
        <w:tab w:val="left" w:pos="360"/>
      </w:tabs>
      <w:jc w:val="center"/>
      <w:textAlignment w:val="baseline"/>
    </w:pPr>
    <w:rPr>
      <w:rFonts w:ascii="黑体" w:hAnsi="Calibri" w:eastAsia="黑体" w:cs="Calibri"/>
      <w:kern w:val="21"/>
      <w:sz w:val="21"/>
      <w:lang w:val="en-US" w:eastAsia="zh-CN" w:bidi="ar-SA"/>
    </w:rPr>
  </w:style>
  <w:style w:type="character" w:customStyle="1" w:styleId="693">
    <w:name w:val="标题3"/>
    <w:qFormat/>
    <w:uiPriority w:val="0"/>
  </w:style>
  <w:style w:type="character" w:customStyle="1" w:styleId="694">
    <w:name w:val="样式 四号"/>
    <w:qFormat/>
    <w:uiPriority w:val="0"/>
    <w:rPr>
      <w:sz w:val="28"/>
    </w:rPr>
  </w:style>
  <w:style w:type="character" w:customStyle="1" w:styleId="695">
    <w:name w:val="title162"/>
    <w:qFormat/>
    <w:uiPriority w:val="0"/>
    <w:rPr>
      <w:b/>
      <w:bCs/>
      <w:color w:val="900000"/>
      <w:sz w:val="23"/>
      <w:szCs w:val="23"/>
    </w:rPr>
  </w:style>
  <w:style w:type="paragraph" w:customStyle="1" w:styleId="696">
    <w:name w:val="样式 样式1 + 首行缩进:  2 字符"/>
    <w:basedOn w:val="372"/>
    <w:qFormat/>
    <w:uiPriority w:val="0"/>
    <w:pPr>
      <w:snapToGrid/>
      <w:spacing w:line="440" w:lineRule="exact"/>
      <w:ind w:firstLine="480" w:firstLineChars="200"/>
      <w:jc w:val="both"/>
    </w:pPr>
    <w:rPr>
      <w:rFonts w:ascii="Times New Roman" w:cs="宋体"/>
      <w:sz w:val="24"/>
    </w:rPr>
  </w:style>
  <w:style w:type="paragraph" w:customStyle="1" w:styleId="697">
    <w:name w:val="样式 样式1 + 宋体 首行缩进:  2 字符"/>
    <w:basedOn w:val="1"/>
    <w:qFormat/>
    <w:uiPriority w:val="0"/>
    <w:pPr>
      <w:spacing w:line="180" w:lineRule="atLeast"/>
      <w:ind w:firstLine="520" w:firstLineChars="200"/>
    </w:pPr>
    <w:rPr>
      <w:rFonts w:ascii="宋体" w:hAnsi="宋体"/>
      <w:sz w:val="28"/>
      <w:szCs w:val="28"/>
    </w:rPr>
  </w:style>
  <w:style w:type="paragraph" w:customStyle="1" w:styleId="698">
    <w:name w:val="hcr3"/>
    <w:qFormat/>
    <w:uiPriority w:val="0"/>
    <w:pPr>
      <w:ind w:firstLine="200" w:firstLineChars="200"/>
    </w:pPr>
    <w:rPr>
      <w:rFonts w:ascii="仿宋_GB2312" w:hAnsi="Calibri" w:eastAsia="仿宋_GB2312" w:cs="Calibri"/>
      <w:bCs/>
      <w:sz w:val="28"/>
      <w:lang w:val="en-US" w:eastAsia="zh-CN" w:bidi="ar-SA"/>
    </w:rPr>
  </w:style>
  <w:style w:type="paragraph" w:customStyle="1" w:styleId="699">
    <w:name w:val="表格内文字"/>
    <w:basedOn w:val="1"/>
    <w:qFormat/>
    <w:uiPriority w:val="0"/>
    <w:pPr>
      <w:adjustRightInd w:val="0"/>
      <w:snapToGrid w:val="0"/>
      <w:spacing w:before="80" w:line="240" w:lineRule="exact"/>
      <w:jc w:val="center"/>
    </w:pPr>
    <w:rPr>
      <w:spacing w:val="6"/>
      <w:kern w:val="0"/>
      <w:sz w:val="24"/>
      <w:szCs w:val="20"/>
    </w:rPr>
  </w:style>
  <w:style w:type="character" w:customStyle="1" w:styleId="700">
    <w:name w:val="样式1 Char1"/>
    <w:qFormat/>
    <w:uiPriority w:val="0"/>
    <w:rPr>
      <w:rFonts w:eastAsia="宋体"/>
      <w:kern w:val="2"/>
      <w:sz w:val="24"/>
      <w:szCs w:val="24"/>
      <w:lang w:val="en-US" w:eastAsia="zh-CN" w:bidi="ar-SA"/>
    </w:rPr>
  </w:style>
  <w:style w:type="paragraph" w:customStyle="1" w:styleId="701">
    <w:name w:val="章标题"/>
    <w:next w:val="8"/>
    <w:qFormat/>
    <w:uiPriority w:val="0"/>
    <w:pPr>
      <w:tabs>
        <w:tab w:val="left" w:pos="903"/>
      </w:tabs>
      <w:spacing w:before="50" w:after="50"/>
      <w:ind w:left="903" w:hanging="315"/>
      <w:jc w:val="both"/>
      <w:outlineLvl w:val="1"/>
    </w:pPr>
    <w:rPr>
      <w:rFonts w:ascii="黑体" w:hAnsi="Calibri" w:eastAsia="黑体" w:cs="Calibri"/>
      <w:sz w:val="21"/>
      <w:lang w:val="en-US" w:eastAsia="zh-CN" w:bidi="ar-SA"/>
    </w:rPr>
  </w:style>
  <w:style w:type="paragraph" w:customStyle="1" w:styleId="702">
    <w:name w:val="Date2"/>
    <w:basedOn w:val="1"/>
    <w:next w:val="1"/>
    <w:qFormat/>
    <w:uiPriority w:val="0"/>
    <w:pPr>
      <w:adjustRightInd w:val="0"/>
      <w:jc w:val="left"/>
      <w:textAlignment w:val="baseline"/>
    </w:pPr>
    <w:rPr>
      <w:rFonts w:ascii="宋体"/>
      <w:spacing w:val="24"/>
      <w:kern w:val="24"/>
      <w:sz w:val="24"/>
      <w:szCs w:val="20"/>
    </w:rPr>
  </w:style>
  <w:style w:type="paragraph" w:customStyle="1" w:styleId="703">
    <w:name w:val="Char Char Char Char Char Char Char"/>
    <w:basedOn w:val="1"/>
    <w:qFormat/>
    <w:uiPriority w:val="0"/>
    <w:pPr>
      <w:adjustRightInd w:val="0"/>
      <w:spacing w:line="360" w:lineRule="auto"/>
    </w:pPr>
    <w:rPr>
      <w:kern w:val="0"/>
      <w:sz w:val="24"/>
      <w:szCs w:val="20"/>
    </w:rPr>
  </w:style>
  <w:style w:type="paragraph" w:customStyle="1" w:styleId="704">
    <w:name w:val="节以下序号1"/>
    <w:basedOn w:val="1"/>
    <w:next w:val="1"/>
    <w:link w:val="705"/>
    <w:qFormat/>
    <w:uiPriority w:val="0"/>
    <w:pPr>
      <w:tabs>
        <w:tab w:val="right" w:pos="18"/>
        <w:tab w:val="left" w:pos="3615"/>
        <w:tab w:val="right" w:pos="4804"/>
      </w:tabs>
      <w:adjustRightInd w:val="0"/>
      <w:snapToGrid w:val="0"/>
      <w:spacing w:line="440" w:lineRule="exact"/>
      <w:ind w:firstLine="480" w:firstLineChars="200"/>
    </w:pPr>
    <w:rPr>
      <w:rFonts w:hAnsi="宋体"/>
      <w:sz w:val="24"/>
      <w:szCs w:val="28"/>
    </w:rPr>
  </w:style>
  <w:style w:type="character" w:customStyle="1" w:styleId="705">
    <w:name w:val="节以下序号1 Char"/>
    <w:link w:val="704"/>
    <w:qFormat/>
    <w:uiPriority w:val="0"/>
    <w:rPr>
      <w:rFonts w:hAnsi="宋体"/>
      <w:kern w:val="2"/>
      <w:sz w:val="24"/>
      <w:szCs w:val="28"/>
    </w:rPr>
  </w:style>
  <w:style w:type="character" w:customStyle="1" w:styleId="706">
    <w:name w:val="zw1"/>
    <w:qFormat/>
    <w:uiPriority w:val="0"/>
    <w:rPr>
      <w:rFonts w:hint="eastAsia" w:ascii="宋体" w:hAnsi="宋体" w:eastAsia="宋体"/>
      <w:sz w:val="22"/>
      <w:szCs w:val="22"/>
    </w:rPr>
  </w:style>
  <w:style w:type="character" w:customStyle="1" w:styleId="707">
    <w:name w:val="正 文 1 Char Char"/>
    <w:qFormat/>
    <w:uiPriority w:val="0"/>
    <w:rPr>
      <w:rFonts w:ascii="宋体" w:hAnsi="Courier New" w:eastAsia="宋体"/>
      <w:kern w:val="2"/>
      <w:sz w:val="21"/>
      <w:lang w:val="en-US" w:eastAsia="zh-CN" w:bidi="ar-SA"/>
    </w:rPr>
  </w:style>
  <w:style w:type="character" w:customStyle="1" w:styleId="708">
    <w:name w:val="表 Char"/>
    <w:qFormat/>
    <w:uiPriority w:val="0"/>
    <w:rPr>
      <w:rFonts w:ascii="Arial" w:hAnsi="Arial" w:eastAsia="黑体" w:cs="Arial"/>
      <w:kern w:val="2"/>
      <w:lang w:val="en-US" w:eastAsia="zh-CN" w:bidi="ar-SA"/>
    </w:rPr>
  </w:style>
  <w:style w:type="paragraph" w:customStyle="1" w:styleId="709">
    <w:name w:val="Char Char Char Char3"/>
    <w:basedOn w:val="1"/>
    <w:qFormat/>
    <w:uiPriority w:val="0"/>
    <w:rPr>
      <w:rFonts w:ascii="宋体"/>
      <w:kern w:val="0"/>
      <w:sz w:val="24"/>
      <w:szCs w:val="20"/>
    </w:rPr>
  </w:style>
  <w:style w:type="paragraph" w:customStyle="1" w:styleId="710">
    <w:name w:val="样式 题注 + 首行缩进:  2 字符"/>
    <w:basedOn w:val="22"/>
    <w:qFormat/>
    <w:uiPriority w:val="0"/>
    <w:pPr>
      <w:snapToGrid/>
      <w:spacing w:before="152" w:after="160" w:line="500" w:lineRule="exact"/>
      <w:ind w:firstLine="400" w:firstLineChars="200"/>
    </w:pPr>
    <w:rPr>
      <w:rFonts w:ascii="Arial" w:hAnsi="Arial" w:eastAsia="宋体" w:cs="Times New Roman"/>
      <w:b/>
      <w:szCs w:val="20"/>
    </w:rPr>
  </w:style>
  <w:style w:type="paragraph" w:customStyle="1" w:styleId="711">
    <w:name w:val="0"/>
    <w:basedOn w:val="1"/>
    <w:qFormat/>
    <w:uiPriority w:val="0"/>
    <w:pPr>
      <w:widowControl/>
      <w:snapToGrid w:val="0"/>
    </w:pPr>
    <w:rPr>
      <w:kern w:val="0"/>
      <w:sz w:val="20"/>
      <w:szCs w:val="20"/>
    </w:rPr>
  </w:style>
  <w:style w:type="paragraph" w:customStyle="1" w:styleId="712">
    <w:name w:val="Char12"/>
    <w:basedOn w:val="1"/>
    <w:qFormat/>
    <w:uiPriority w:val="0"/>
    <w:rPr>
      <w:rFonts w:ascii="Tahoma" w:hAnsi="Tahoma"/>
      <w:sz w:val="24"/>
      <w:szCs w:val="20"/>
    </w:rPr>
  </w:style>
  <w:style w:type="character" w:customStyle="1" w:styleId="713">
    <w:name w:val="表格 Char1"/>
    <w:qFormat/>
    <w:uiPriority w:val="0"/>
    <w:rPr>
      <w:rFonts w:eastAsia="宋体"/>
      <w:b/>
      <w:snapToGrid w:val="0"/>
      <w:sz w:val="21"/>
      <w:szCs w:val="21"/>
      <w:lang w:val="en-US" w:eastAsia="zh-CN" w:bidi="ar-SA"/>
    </w:rPr>
  </w:style>
  <w:style w:type="paragraph" w:customStyle="1" w:styleId="714">
    <w:name w:val="正文（首行缩进2字）"/>
    <w:basedOn w:val="1"/>
    <w:qFormat/>
    <w:uiPriority w:val="0"/>
    <w:pPr>
      <w:spacing w:line="440" w:lineRule="exact"/>
      <w:ind w:firstLine="480" w:firstLineChars="200"/>
    </w:pPr>
    <w:rPr>
      <w:rFonts w:ascii="宋体" w:hAnsi="宋体" w:cs="宋体"/>
      <w:bCs/>
      <w:sz w:val="24"/>
    </w:rPr>
  </w:style>
  <w:style w:type="paragraph" w:customStyle="1" w:styleId="715">
    <w:name w:val="Char Char1 Char Char Char Char Char Char Char"/>
    <w:basedOn w:val="1"/>
    <w:qFormat/>
    <w:uiPriority w:val="0"/>
    <w:pPr>
      <w:pageBreakBefore/>
      <w:spacing w:line="480" w:lineRule="auto"/>
      <w:ind w:firstLine="200" w:firstLineChars="200"/>
    </w:pPr>
    <w:rPr>
      <w:rFonts w:ascii="宋体" w:hAnsi="宋体" w:eastAsia="仿宋_GB2312" w:cs="宋体"/>
      <w:sz w:val="28"/>
      <w:szCs w:val="28"/>
    </w:rPr>
  </w:style>
  <w:style w:type="table" w:customStyle="1" w:styleId="716">
    <w:name w:val="专业网格1"/>
    <w:basedOn w:val="8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17">
    <w:name w:val="Char Char161"/>
    <w:qFormat/>
    <w:uiPriority w:val="0"/>
    <w:rPr>
      <w:rFonts w:eastAsia="宋体"/>
      <w:b/>
      <w:sz w:val="28"/>
      <w:lang w:val="en-US" w:eastAsia="zh-CN" w:bidi="ar-SA"/>
    </w:rPr>
  </w:style>
  <w:style w:type="paragraph" w:customStyle="1" w:styleId="718">
    <w:name w:val="Char5"/>
    <w:basedOn w:val="1"/>
    <w:qFormat/>
    <w:uiPriority w:val="0"/>
    <w:pPr>
      <w:widowControl/>
      <w:spacing w:line="360" w:lineRule="auto"/>
      <w:ind w:firstLine="200" w:firstLineChars="200"/>
      <w:jc w:val="left"/>
    </w:pPr>
    <w:rPr>
      <w:rFonts w:ascii="宋体" w:hAnsi="宋体" w:cs="宋体"/>
      <w:kern w:val="0"/>
      <w:sz w:val="24"/>
    </w:rPr>
  </w:style>
  <w:style w:type="paragraph" w:customStyle="1" w:styleId="719">
    <w:name w:val="Char Char Char Char2"/>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720">
    <w:name w:val="Char Char151"/>
    <w:qFormat/>
    <w:uiPriority w:val="0"/>
    <w:rPr>
      <w:sz w:val="18"/>
      <w:szCs w:val="18"/>
    </w:rPr>
  </w:style>
  <w:style w:type="character" w:customStyle="1" w:styleId="721">
    <w:name w:val="Char Char141"/>
    <w:qFormat/>
    <w:uiPriority w:val="0"/>
    <w:rPr>
      <w:sz w:val="18"/>
      <w:szCs w:val="18"/>
    </w:rPr>
  </w:style>
  <w:style w:type="character" w:customStyle="1" w:styleId="722">
    <w:name w:val="Char Char131"/>
    <w:qFormat/>
    <w:uiPriority w:val="0"/>
    <w:rPr>
      <w:sz w:val="18"/>
      <w:szCs w:val="18"/>
    </w:rPr>
  </w:style>
  <w:style w:type="character" w:customStyle="1" w:styleId="723">
    <w:name w:val="Char Char91"/>
    <w:qFormat/>
    <w:locked/>
    <w:uiPriority w:val="0"/>
    <w:rPr>
      <w:rFonts w:ascii="Times New Roman" w:hAnsi="Times New Roman" w:eastAsia="宋体" w:cs="Times New Roman"/>
      <w:sz w:val="28"/>
      <w:szCs w:val="28"/>
    </w:rPr>
  </w:style>
  <w:style w:type="character" w:customStyle="1" w:styleId="724">
    <w:name w:val="Char Char81"/>
    <w:qFormat/>
    <w:uiPriority w:val="0"/>
    <w:rPr>
      <w:rFonts w:ascii="宋体" w:hAnsi="宋体" w:eastAsia="宋体" w:cs="宋体"/>
      <w:kern w:val="0"/>
      <w:sz w:val="24"/>
      <w:szCs w:val="24"/>
    </w:rPr>
  </w:style>
  <w:style w:type="character" w:customStyle="1" w:styleId="725">
    <w:name w:val="Char Char71"/>
    <w:qFormat/>
    <w:uiPriority w:val="0"/>
    <w:rPr>
      <w:rFonts w:ascii="Cambria" w:hAnsi="Cambria" w:eastAsia="宋体" w:cs="Cambria"/>
      <w:b/>
      <w:bCs/>
      <w:sz w:val="32"/>
      <w:szCs w:val="32"/>
    </w:rPr>
  </w:style>
  <w:style w:type="paragraph" w:customStyle="1" w:styleId="726">
    <w:name w:val="列出段落4"/>
    <w:basedOn w:val="1"/>
    <w:qFormat/>
    <w:uiPriority w:val="0"/>
    <w:pPr>
      <w:ind w:firstLine="420" w:firstLineChars="200"/>
    </w:pPr>
    <w:rPr>
      <w:szCs w:val="21"/>
    </w:rPr>
  </w:style>
  <w:style w:type="paragraph" w:customStyle="1" w:styleId="727">
    <w:name w:val="Char4 Char Char Char1"/>
    <w:basedOn w:val="1"/>
    <w:qFormat/>
    <w:uiPriority w:val="0"/>
    <w:pPr>
      <w:adjustRightInd w:val="0"/>
      <w:snapToGrid w:val="0"/>
      <w:spacing w:line="360" w:lineRule="auto"/>
      <w:ind w:firstLine="200" w:firstLineChars="200"/>
    </w:pPr>
    <w:rPr>
      <w:rFonts w:ascii="宋体" w:hAnsi="宋体" w:cs="宋体"/>
      <w:sz w:val="24"/>
      <w:szCs w:val="26"/>
    </w:rPr>
  </w:style>
  <w:style w:type="table" w:customStyle="1" w:styleId="728">
    <w:name w:val="表格主题1"/>
    <w:basedOn w:val="81"/>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29">
    <w:name w:val="正文文本 22"/>
    <w:basedOn w:val="1"/>
    <w:qFormat/>
    <w:uiPriority w:val="0"/>
    <w:pPr>
      <w:overflowPunct w:val="0"/>
      <w:autoSpaceDE w:val="0"/>
      <w:autoSpaceDN w:val="0"/>
      <w:adjustRightInd w:val="0"/>
      <w:spacing w:after="120" w:line="360" w:lineRule="auto"/>
      <w:textAlignment w:val="baseline"/>
    </w:pPr>
    <w:rPr>
      <w:sz w:val="24"/>
      <w:szCs w:val="20"/>
    </w:rPr>
  </w:style>
  <w:style w:type="paragraph" w:customStyle="1" w:styleId="730">
    <w:name w:val="Char Char Char Char Char2 Char1"/>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731">
    <w:name w:val="Char11"/>
    <w:basedOn w:val="1"/>
    <w:qFormat/>
    <w:uiPriority w:val="0"/>
    <w:rPr>
      <w:rFonts w:ascii="Tahoma" w:hAnsi="Tahoma"/>
      <w:sz w:val="24"/>
      <w:szCs w:val="20"/>
    </w:rPr>
  </w:style>
  <w:style w:type="paragraph" w:customStyle="1" w:styleId="732">
    <w:name w:val="Char4"/>
    <w:basedOn w:val="1"/>
    <w:qFormat/>
    <w:uiPriority w:val="0"/>
    <w:pPr>
      <w:widowControl/>
      <w:jc w:val="left"/>
    </w:pPr>
    <w:rPr>
      <w:rFonts w:ascii="Tahoma" w:hAnsi="Tahoma"/>
      <w:kern w:val="0"/>
      <w:sz w:val="24"/>
      <w:szCs w:val="20"/>
      <w:lang w:eastAsia="en-US"/>
    </w:rPr>
  </w:style>
  <w:style w:type="paragraph" w:customStyle="1" w:styleId="733">
    <w:name w:val="Char3"/>
    <w:basedOn w:val="1"/>
    <w:qFormat/>
    <w:uiPriority w:val="0"/>
    <w:pPr>
      <w:widowControl/>
      <w:jc w:val="left"/>
    </w:pPr>
    <w:rPr>
      <w:rFonts w:ascii="Tahoma" w:hAnsi="Tahoma"/>
      <w:kern w:val="0"/>
      <w:sz w:val="24"/>
      <w:szCs w:val="20"/>
      <w:lang w:eastAsia="en-US"/>
    </w:rPr>
  </w:style>
  <w:style w:type="paragraph" w:customStyle="1" w:styleId="734">
    <w:name w:val="换行"/>
    <w:basedOn w:val="1"/>
    <w:qFormat/>
    <w:uiPriority w:val="0"/>
    <w:pPr>
      <w:ind w:firstLine="480" w:firstLineChars="200"/>
    </w:pPr>
    <w:rPr>
      <w:rFonts w:ascii="Arial" w:hAnsi="Arial"/>
      <w:sz w:val="18"/>
    </w:rPr>
  </w:style>
  <w:style w:type="paragraph" w:customStyle="1" w:styleId="735">
    <w:name w:val="reader-word-layer"/>
    <w:basedOn w:val="1"/>
    <w:qFormat/>
    <w:uiPriority w:val="0"/>
    <w:pPr>
      <w:widowControl/>
      <w:spacing w:before="100" w:beforeAutospacing="1" w:after="100" w:afterAutospacing="1"/>
      <w:jc w:val="left"/>
    </w:pPr>
    <w:rPr>
      <w:rFonts w:ascii="宋体" w:hAnsi="宋体" w:cs="宋体"/>
      <w:kern w:val="0"/>
      <w:sz w:val="24"/>
    </w:rPr>
  </w:style>
  <w:style w:type="character" w:customStyle="1" w:styleId="736">
    <w:name w:val="s c c"/>
    <w:qFormat/>
    <w:uiPriority w:val="0"/>
  </w:style>
  <w:style w:type="paragraph" w:customStyle="1" w:styleId="737">
    <w:name w:val="三级标题"/>
    <w:basedOn w:val="1"/>
    <w:link w:val="738"/>
    <w:qFormat/>
    <w:uiPriority w:val="0"/>
    <w:pPr>
      <w:widowControl/>
      <w:spacing w:line="240" w:lineRule="exact"/>
      <w:jc w:val="center"/>
    </w:pPr>
    <w:rPr>
      <w:rFonts w:ascii="宋体" w:hAnsi="宋体"/>
      <w:sz w:val="24"/>
    </w:rPr>
  </w:style>
  <w:style w:type="character" w:customStyle="1" w:styleId="738">
    <w:name w:val="三级标题 Char Char"/>
    <w:link w:val="737"/>
    <w:qFormat/>
    <w:uiPriority w:val="0"/>
    <w:rPr>
      <w:rFonts w:ascii="宋体" w:hAnsi="宋体"/>
      <w:kern w:val="2"/>
      <w:sz w:val="24"/>
      <w:szCs w:val="24"/>
    </w:rPr>
  </w:style>
  <w:style w:type="paragraph" w:customStyle="1" w:styleId="739">
    <w:name w:val="表、图名"/>
    <w:basedOn w:val="1"/>
    <w:link w:val="740"/>
    <w:qFormat/>
    <w:uiPriority w:val="0"/>
    <w:pPr>
      <w:adjustRightInd w:val="0"/>
      <w:snapToGrid w:val="0"/>
      <w:jc w:val="center"/>
    </w:pPr>
    <w:rPr>
      <w:rFonts w:eastAsia="黑体"/>
      <w:kern w:val="0"/>
      <w:szCs w:val="21"/>
    </w:rPr>
  </w:style>
  <w:style w:type="character" w:customStyle="1" w:styleId="740">
    <w:name w:val="表、图名 Char"/>
    <w:link w:val="739"/>
    <w:qFormat/>
    <w:uiPriority w:val="0"/>
    <w:rPr>
      <w:rFonts w:eastAsia="黑体"/>
      <w:sz w:val="21"/>
      <w:szCs w:val="21"/>
    </w:rPr>
  </w:style>
  <w:style w:type="paragraph" w:customStyle="1" w:styleId="741">
    <w:name w:val="Char Char Char Char Char Char Char Char Char Char"/>
    <w:basedOn w:val="1"/>
    <w:qFormat/>
    <w:uiPriority w:val="0"/>
    <w:rPr>
      <w:szCs w:val="20"/>
    </w:rPr>
  </w:style>
  <w:style w:type="paragraph" w:customStyle="1" w:styleId="742">
    <w:name w:val="样式 题注 + 首行缩进:  2 字符1"/>
    <w:basedOn w:val="22"/>
    <w:qFormat/>
    <w:uiPriority w:val="0"/>
    <w:pPr>
      <w:spacing w:before="152" w:afterLines="40" w:line="440" w:lineRule="exact"/>
    </w:pPr>
    <w:rPr>
      <w:rFonts w:ascii="宋体" w:eastAsia="宋体" w:cs="Times New Roman"/>
      <w:sz w:val="21"/>
      <w:szCs w:val="20"/>
    </w:rPr>
  </w:style>
  <w:style w:type="character" w:customStyle="1" w:styleId="743">
    <w:name w:val="jc zi14"/>
    <w:qFormat/>
    <w:uiPriority w:val="0"/>
  </w:style>
  <w:style w:type="character" w:customStyle="1" w:styleId="744">
    <w:name w:val="正文1 Char Char"/>
    <w:qFormat/>
    <w:uiPriority w:val="0"/>
    <w:rPr>
      <w:rFonts w:ascii="Times New Roman" w:hAnsi="Times New Roman" w:eastAsia="宋体" w:cs="Times New Roman"/>
      <w:snapToGrid w:val="0"/>
      <w:kern w:val="21"/>
      <w:szCs w:val="20"/>
      <w:lang w:val="zh-CN" w:eastAsia="zh-CN"/>
    </w:rPr>
  </w:style>
  <w:style w:type="character" w:customStyle="1" w:styleId="745">
    <w:name w:val="infodetail1"/>
    <w:qFormat/>
    <w:uiPriority w:val="0"/>
    <w:rPr>
      <w:rFonts w:hint="default" w:ascii="ˎ̥" w:hAnsi="ˎ̥"/>
      <w:color w:val="000000"/>
      <w:sz w:val="24"/>
      <w:szCs w:val="24"/>
      <w:u w:val="none"/>
    </w:rPr>
  </w:style>
  <w:style w:type="character" w:customStyle="1" w:styleId="746">
    <w:name w:val="谢谢谢谢 Char"/>
    <w:link w:val="747"/>
    <w:qFormat/>
    <w:locked/>
    <w:uiPriority w:val="0"/>
    <w:rPr>
      <w:sz w:val="24"/>
      <w:szCs w:val="24"/>
    </w:rPr>
  </w:style>
  <w:style w:type="paragraph" w:customStyle="1" w:styleId="747">
    <w:name w:val="谢谢谢谢"/>
    <w:basedOn w:val="1"/>
    <w:link w:val="746"/>
    <w:qFormat/>
    <w:uiPriority w:val="0"/>
    <w:pPr>
      <w:spacing w:line="440" w:lineRule="exact"/>
      <w:ind w:firstLine="200" w:firstLineChars="200"/>
      <w:jc w:val="left"/>
    </w:pPr>
    <w:rPr>
      <w:kern w:val="0"/>
      <w:sz w:val="24"/>
    </w:rPr>
  </w:style>
  <w:style w:type="character" w:customStyle="1" w:styleId="748">
    <w:name w:val="f141"/>
    <w:qFormat/>
    <w:uiPriority w:val="0"/>
    <w:rPr>
      <w:sz w:val="21"/>
      <w:szCs w:val="21"/>
    </w:rPr>
  </w:style>
  <w:style w:type="character" w:customStyle="1" w:styleId="749">
    <w:name w:val="样式3 Char1"/>
    <w:qFormat/>
    <w:uiPriority w:val="0"/>
    <w:rPr>
      <w:rFonts w:ascii="宋体" w:hAnsi="宋体" w:eastAsia="宋体"/>
      <w:kern w:val="2"/>
      <w:sz w:val="24"/>
      <w:szCs w:val="24"/>
      <w:lang w:val="en-US" w:eastAsia="zh-CN" w:bidi="ar-SA"/>
    </w:rPr>
  </w:style>
  <w:style w:type="paragraph" w:customStyle="1" w:styleId="750">
    <w:name w:val="样式11"/>
    <w:basedOn w:val="1"/>
    <w:link w:val="751"/>
    <w:unhideWhenUsed/>
    <w:qFormat/>
    <w:uiPriority w:val="0"/>
    <w:pPr>
      <w:widowControl/>
      <w:tabs>
        <w:tab w:val="left" w:pos="540"/>
      </w:tabs>
      <w:spacing w:line="400" w:lineRule="exact"/>
      <w:ind w:left="2" w:firstLine="2"/>
      <w:jc w:val="left"/>
    </w:pPr>
    <w:rPr>
      <w:spacing w:val="20"/>
      <w:sz w:val="24"/>
    </w:rPr>
  </w:style>
  <w:style w:type="character" w:customStyle="1" w:styleId="751">
    <w:name w:val="样式11 Char"/>
    <w:link w:val="750"/>
    <w:qFormat/>
    <w:uiPriority w:val="0"/>
    <w:rPr>
      <w:spacing w:val="20"/>
      <w:kern w:val="2"/>
      <w:sz w:val="24"/>
      <w:szCs w:val="24"/>
    </w:rPr>
  </w:style>
  <w:style w:type="paragraph" w:customStyle="1" w:styleId="752">
    <w:name w:val="样式 样式3 + 小四"/>
    <w:basedOn w:val="276"/>
    <w:qFormat/>
    <w:uiPriority w:val="0"/>
    <w:pPr>
      <w:spacing w:line="360" w:lineRule="auto"/>
      <w:ind w:firstLine="200" w:firstLineChars="200"/>
      <w:jc w:val="left"/>
    </w:pPr>
    <w:rPr>
      <w:rFonts w:ascii="宋体" w:hAnsi="宋体"/>
      <w:bCs w:val="0"/>
      <w:szCs w:val="24"/>
    </w:rPr>
  </w:style>
  <w:style w:type="paragraph" w:customStyle="1" w:styleId="753">
    <w:name w:val="样式 样式3 + 首行缩进:  2 字符"/>
    <w:basedOn w:val="276"/>
    <w:qFormat/>
    <w:uiPriority w:val="0"/>
    <w:pPr>
      <w:spacing w:line="360" w:lineRule="auto"/>
      <w:ind w:firstLine="200" w:firstLineChars="200"/>
      <w:jc w:val="left"/>
    </w:pPr>
    <w:rPr>
      <w:rFonts w:ascii="宋体" w:hAnsi="宋体" w:cs="宋体"/>
      <w:bCs w:val="0"/>
    </w:rPr>
  </w:style>
  <w:style w:type="paragraph" w:customStyle="1" w:styleId="754">
    <w:name w:val="表格小五"/>
    <w:basedOn w:val="1"/>
    <w:qFormat/>
    <w:uiPriority w:val="0"/>
    <w:pPr>
      <w:adjustRightInd w:val="0"/>
      <w:snapToGrid w:val="0"/>
      <w:spacing w:line="360" w:lineRule="auto"/>
      <w:ind w:left="-56" w:leftChars="-20" w:right="-56" w:rightChars="-20"/>
      <w:jc w:val="center"/>
      <w:textAlignment w:val="baseline"/>
    </w:pPr>
    <w:rPr>
      <w:rFonts w:ascii="Arial" w:hAnsi="Arial" w:cs="Arial"/>
      <w:kern w:val="28"/>
      <w:sz w:val="24"/>
    </w:rPr>
  </w:style>
  <w:style w:type="paragraph" w:customStyle="1" w:styleId="755">
    <w:name w:val="普通(网站)1"/>
    <w:basedOn w:val="1"/>
    <w:qFormat/>
    <w:uiPriority w:val="0"/>
    <w:pPr>
      <w:widowControl/>
      <w:spacing w:before="100" w:beforeAutospacing="1" w:after="100" w:afterAutospacing="1"/>
      <w:jc w:val="left"/>
    </w:pPr>
    <w:rPr>
      <w:rFonts w:ascii="宋体" w:hAnsi="宋体" w:cs="宋体"/>
      <w:kern w:val="0"/>
      <w:sz w:val="24"/>
    </w:rPr>
  </w:style>
  <w:style w:type="paragraph" w:customStyle="1" w:styleId="756">
    <w:name w:val="zw"/>
    <w:basedOn w:val="1"/>
    <w:qFormat/>
    <w:uiPriority w:val="0"/>
    <w:pPr>
      <w:widowControl/>
      <w:spacing w:before="100" w:beforeAutospacing="1" w:after="100" w:afterAutospacing="1" w:line="440" w:lineRule="atLeast"/>
      <w:jc w:val="left"/>
    </w:pPr>
    <w:rPr>
      <w:rFonts w:ascii="宋体" w:hAnsi="宋体" w:cs="宋体"/>
      <w:kern w:val="0"/>
      <w:sz w:val="22"/>
      <w:szCs w:val="22"/>
    </w:rPr>
  </w:style>
  <w:style w:type="paragraph" w:customStyle="1" w:styleId="757">
    <w:name w:val="Char Char Char1 Char Char Char1 Char Char Char Char Char Char Char Char Char Char Char Char1 Char Char Char Char Char Char Char"/>
    <w:basedOn w:val="1"/>
    <w:qFormat/>
    <w:uiPriority w:val="0"/>
    <w:pPr>
      <w:widowControl/>
      <w:spacing w:after="160" w:line="240" w:lineRule="exact"/>
      <w:jc w:val="left"/>
    </w:pPr>
    <w:rPr>
      <w:szCs w:val="20"/>
    </w:rPr>
  </w:style>
  <w:style w:type="paragraph" w:customStyle="1" w:styleId="758">
    <w:name w:val="p0"/>
    <w:basedOn w:val="1"/>
    <w:qFormat/>
    <w:uiPriority w:val="0"/>
    <w:pPr>
      <w:widowControl/>
    </w:pPr>
    <w:rPr>
      <w:kern w:val="0"/>
      <w:szCs w:val="21"/>
    </w:rPr>
  </w:style>
  <w:style w:type="character" w:customStyle="1" w:styleId="759">
    <w:name w:val="font131"/>
    <w:qFormat/>
    <w:uiPriority w:val="0"/>
    <w:rPr>
      <w:rFonts w:hint="default" w:ascii="Times New Roman" w:hAnsi="Times New Roman" w:cs="Times New Roman"/>
      <w:color w:val="0000FF"/>
      <w:sz w:val="20"/>
      <w:szCs w:val="20"/>
      <w:u w:val="none"/>
    </w:rPr>
  </w:style>
  <w:style w:type="character" w:customStyle="1" w:styleId="760">
    <w:name w:val="textblack"/>
    <w:qFormat/>
    <w:uiPriority w:val="0"/>
  </w:style>
  <w:style w:type="paragraph" w:customStyle="1" w:styleId="761">
    <w:name w:val="textblack1"/>
    <w:basedOn w:val="1"/>
    <w:qFormat/>
    <w:uiPriority w:val="0"/>
    <w:pPr>
      <w:widowControl/>
      <w:spacing w:before="100" w:beforeAutospacing="1" w:after="100" w:afterAutospacing="1"/>
      <w:jc w:val="left"/>
    </w:pPr>
    <w:rPr>
      <w:rFonts w:ascii="宋体" w:hAnsi="宋体" w:cs="宋体"/>
      <w:kern w:val="0"/>
      <w:sz w:val="24"/>
    </w:rPr>
  </w:style>
  <w:style w:type="character" w:customStyle="1" w:styleId="762">
    <w:name w:val="a14"/>
    <w:qFormat/>
    <w:uiPriority w:val="0"/>
  </w:style>
  <w:style w:type="character" w:customStyle="1" w:styleId="763">
    <w:name w:val="font141"/>
    <w:qFormat/>
    <w:uiPriority w:val="0"/>
    <w:rPr>
      <w:rFonts w:hint="default" w:ascii="Arial" w:hAnsi="Arial" w:cs="Arial"/>
      <w:color w:val="000000"/>
      <w:sz w:val="24"/>
      <w:szCs w:val="24"/>
      <w:u w:val="none"/>
    </w:rPr>
  </w:style>
  <w:style w:type="character" w:customStyle="1" w:styleId="764">
    <w:name w:val="font71"/>
    <w:qFormat/>
    <w:uiPriority w:val="0"/>
    <w:rPr>
      <w:rFonts w:hint="default" w:ascii="Arial" w:hAnsi="Arial" w:cs="Arial"/>
      <w:color w:val="000000"/>
      <w:sz w:val="24"/>
      <w:szCs w:val="24"/>
      <w:u w:val="none"/>
      <w:vertAlign w:val="superscript"/>
    </w:rPr>
  </w:style>
  <w:style w:type="character" w:customStyle="1" w:styleId="765">
    <w:name w:val="font51"/>
    <w:qFormat/>
    <w:uiPriority w:val="0"/>
    <w:rPr>
      <w:rFonts w:hint="default" w:ascii="Arial" w:hAnsi="Arial" w:cs="Arial"/>
      <w:color w:val="000000"/>
      <w:sz w:val="20"/>
      <w:szCs w:val="20"/>
      <w:u w:val="none"/>
    </w:rPr>
  </w:style>
  <w:style w:type="character" w:customStyle="1" w:styleId="766">
    <w:name w:val="font81"/>
    <w:qFormat/>
    <w:uiPriority w:val="0"/>
    <w:rPr>
      <w:rFonts w:hint="eastAsia" w:ascii="宋体" w:hAnsi="宋体" w:eastAsia="宋体"/>
      <w:color w:val="000000"/>
      <w:sz w:val="20"/>
      <w:szCs w:val="20"/>
      <w:u w:val="none"/>
    </w:rPr>
  </w:style>
  <w:style w:type="character" w:customStyle="1" w:styleId="767">
    <w:name w:val="font121"/>
    <w:qFormat/>
    <w:uiPriority w:val="0"/>
    <w:rPr>
      <w:rFonts w:hint="eastAsia" w:ascii="宋体" w:hAnsi="宋体" w:eastAsia="宋体"/>
      <w:color w:val="000000"/>
      <w:sz w:val="22"/>
      <w:szCs w:val="22"/>
      <w:u w:val="none"/>
    </w:rPr>
  </w:style>
  <w:style w:type="paragraph" w:customStyle="1" w:styleId="768">
    <w:name w:val="p15"/>
    <w:basedOn w:val="1"/>
    <w:qFormat/>
    <w:uiPriority w:val="0"/>
    <w:pPr>
      <w:widowControl/>
      <w:ind w:firstLine="420"/>
    </w:pPr>
    <w:rPr>
      <w:kern w:val="0"/>
      <w:szCs w:val="21"/>
    </w:rPr>
  </w:style>
  <w:style w:type="paragraph" w:customStyle="1" w:styleId="769">
    <w:name w:val="正文111111111"/>
    <w:basedOn w:val="1"/>
    <w:link w:val="770"/>
    <w:qFormat/>
    <w:uiPriority w:val="0"/>
    <w:pPr>
      <w:spacing w:line="360" w:lineRule="auto"/>
      <w:ind w:firstLine="480" w:firstLineChars="200"/>
    </w:pPr>
    <w:rPr>
      <w:rFonts w:cs="宋体"/>
      <w:sz w:val="24"/>
      <w:szCs w:val="20"/>
    </w:rPr>
  </w:style>
  <w:style w:type="character" w:customStyle="1" w:styleId="770">
    <w:name w:val="正文111111111 Char"/>
    <w:link w:val="769"/>
    <w:qFormat/>
    <w:uiPriority w:val="0"/>
    <w:rPr>
      <w:rFonts w:ascii="Calibri" w:hAnsi="Calibri" w:cs="宋体"/>
      <w:kern w:val="2"/>
      <w:sz w:val="24"/>
    </w:rPr>
  </w:style>
  <w:style w:type="paragraph" w:customStyle="1" w:styleId="771">
    <w:name w:val="样式 标题 4Char1.1.1.1标题 4.1.1.1.1款1.1.1.1 Char标4§1.1.1.1§1....1"/>
    <w:basedOn w:val="8"/>
    <w:qFormat/>
    <w:uiPriority w:val="0"/>
    <w:pPr>
      <w:keepNext w:val="0"/>
      <w:keepLines w:val="0"/>
      <w:numPr>
        <w:ilvl w:val="0"/>
        <w:numId w:val="0"/>
      </w:numPr>
      <w:tabs>
        <w:tab w:val="left" w:pos="980"/>
      </w:tabs>
      <w:adjustRightInd w:val="0"/>
      <w:snapToGrid w:val="0"/>
      <w:spacing w:before="0" w:after="0" w:line="276" w:lineRule="auto"/>
      <w:jc w:val="left"/>
    </w:pPr>
    <w:rPr>
      <w:rFonts w:ascii="Arial Narrow" w:hAnsi="Arial Narrow" w:eastAsia="宋体" w:cs="宋体"/>
      <w:b w:val="0"/>
      <w:bCs w:val="0"/>
      <w:sz w:val="24"/>
      <w:szCs w:val="20"/>
      <w:lang w:val="en-GB"/>
    </w:rPr>
  </w:style>
  <w:style w:type="paragraph" w:customStyle="1" w:styleId="772">
    <w:name w:val="font12"/>
    <w:basedOn w:val="1"/>
    <w:qFormat/>
    <w:uiPriority w:val="0"/>
    <w:pPr>
      <w:widowControl/>
      <w:spacing w:before="100" w:beforeAutospacing="1" w:after="100" w:afterAutospacing="1"/>
      <w:jc w:val="left"/>
    </w:pPr>
    <w:rPr>
      <w:kern w:val="0"/>
      <w:sz w:val="20"/>
      <w:szCs w:val="20"/>
    </w:rPr>
  </w:style>
  <w:style w:type="paragraph" w:customStyle="1" w:styleId="773">
    <w:name w:val="font13"/>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774">
    <w:name w:val="font14"/>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75">
    <w:name w:val="font15"/>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776">
    <w:name w:val="font1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777">
    <w:name w:val="font1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78">
    <w:name w:val="font18"/>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779">
    <w:name w:val="font19"/>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780">
    <w:name w:val="font20"/>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81">
    <w:name w:val="font2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82">
    <w:name w:val="font23"/>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783">
    <w:name w:val="font24"/>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784">
    <w:name w:val="font25"/>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785">
    <w:name w:val="font2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786">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787">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788">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789">
    <w:name w:val="xl8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790">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791">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792">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793">
    <w:name w:val="xl9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794">
    <w:name w:val="xl9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kern w:val="0"/>
      <w:sz w:val="20"/>
      <w:szCs w:val="20"/>
    </w:rPr>
  </w:style>
  <w:style w:type="paragraph" w:customStyle="1" w:styleId="795">
    <w:name w:val="xl94"/>
    <w:basedOn w:val="1"/>
    <w:qFormat/>
    <w:uiPriority w:val="0"/>
    <w:pPr>
      <w:widowControl/>
      <w:pBdr>
        <w:top w:val="single" w:color="auto" w:sz="4" w:space="0"/>
        <w:bottom w:val="single" w:color="auto" w:sz="4" w:space="0"/>
        <w:right w:val="single" w:color="auto" w:sz="8" w:space="0"/>
      </w:pBdr>
      <w:spacing w:before="100" w:beforeAutospacing="1" w:after="100" w:afterAutospacing="1"/>
      <w:jc w:val="center"/>
    </w:pPr>
    <w:rPr>
      <w:rFonts w:ascii="宋体" w:hAnsi="宋体" w:cs="宋体"/>
      <w:kern w:val="0"/>
      <w:sz w:val="20"/>
      <w:szCs w:val="20"/>
    </w:rPr>
  </w:style>
  <w:style w:type="paragraph" w:customStyle="1" w:styleId="796">
    <w:name w:val="xl95"/>
    <w:basedOn w:val="1"/>
    <w:qFormat/>
    <w:uiPriority w:val="0"/>
    <w:pPr>
      <w:widowControl/>
      <w:pBdr>
        <w:top w:val="single" w:color="auto" w:sz="8" w:space="0"/>
        <w:left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797">
    <w:name w:val="xl96"/>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798">
    <w:name w:val="xl97"/>
    <w:basedOn w:val="1"/>
    <w:qFormat/>
    <w:uiPriority w:val="0"/>
    <w:pPr>
      <w:widowControl/>
      <w:pBdr>
        <w:top w:val="single" w:color="auto" w:sz="8" w:space="0"/>
        <w:left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799">
    <w:name w:val="xl98"/>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800">
    <w:name w:val="xl99"/>
    <w:basedOn w:val="1"/>
    <w:qFormat/>
    <w:uiPriority w:val="0"/>
    <w:pPr>
      <w:widowControl/>
      <w:pBdr>
        <w:top w:val="single" w:color="auto" w:sz="8" w:space="0"/>
        <w:left w:val="single" w:color="auto" w:sz="4" w:space="0"/>
      </w:pBdr>
      <w:spacing w:before="100" w:beforeAutospacing="1" w:after="100" w:afterAutospacing="1"/>
      <w:jc w:val="center"/>
    </w:pPr>
    <w:rPr>
      <w:rFonts w:ascii="宋体" w:hAnsi="宋体" w:cs="宋体"/>
      <w:b/>
      <w:bCs/>
      <w:kern w:val="0"/>
      <w:sz w:val="24"/>
    </w:rPr>
  </w:style>
  <w:style w:type="paragraph" w:customStyle="1" w:styleId="801">
    <w:name w:val="xl100"/>
    <w:basedOn w:val="1"/>
    <w:qFormat/>
    <w:uiPriority w:val="0"/>
    <w:pPr>
      <w:widowControl/>
      <w:pBdr>
        <w:top w:val="single" w:color="auto" w:sz="8" w:space="0"/>
        <w:right w:val="single" w:color="auto" w:sz="8" w:space="0"/>
      </w:pBdr>
      <w:spacing w:before="100" w:beforeAutospacing="1" w:after="100" w:afterAutospacing="1"/>
      <w:jc w:val="center"/>
    </w:pPr>
    <w:rPr>
      <w:rFonts w:ascii="宋体" w:hAnsi="宋体" w:cs="宋体"/>
      <w:b/>
      <w:bCs/>
      <w:kern w:val="0"/>
      <w:sz w:val="24"/>
    </w:rPr>
  </w:style>
  <w:style w:type="paragraph" w:customStyle="1" w:styleId="802">
    <w:name w:val="xl101"/>
    <w:basedOn w:val="1"/>
    <w:qFormat/>
    <w:uiPriority w:val="0"/>
    <w:pPr>
      <w:widowControl/>
      <w:pBdr>
        <w:left w:val="single" w:color="auto" w:sz="4" w:space="0"/>
        <w:bottom w:val="single" w:color="auto" w:sz="8" w:space="0"/>
      </w:pBdr>
      <w:spacing w:before="100" w:beforeAutospacing="1" w:after="100" w:afterAutospacing="1"/>
      <w:jc w:val="center"/>
    </w:pPr>
    <w:rPr>
      <w:rFonts w:ascii="宋体" w:hAnsi="宋体" w:cs="宋体"/>
      <w:b/>
      <w:bCs/>
      <w:kern w:val="0"/>
      <w:sz w:val="24"/>
    </w:rPr>
  </w:style>
  <w:style w:type="paragraph" w:customStyle="1" w:styleId="803">
    <w:name w:val="xl102"/>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b/>
      <w:bCs/>
      <w:kern w:val="0"/>
      <w:sz w:val="24"/>
    </w:rPr>
  </w:style>
  <w:style w:type="character" w:customStyle="1" w:styleId="804">
    <w:name w:val="表格文字居中 Char"/>
    <w:qFormat/>
    <w:uiPriority w:val="0"/>
    <w:rPr>
      <w:rFonts w:eastAsia="宋体"/>
      <w:snapToGrid w:val="0"/>
      <w:color w:val="000000"/>
      <w:kern w:val="2"/>
      <w:sz w:val="22"/>
      <w:szCs w:val="22"/>
      <w:lang w:val="en-US" w:eastAsia="zh-CN" w:bidi="ar-SA"/>
    </w:rPr>
  </w:style>
  <w:style w:type="paragraph" w:customStyle="1" w:styleId="805">
    <w:name w:val="图表文字"/>
    <w:qFormat/>
    <w:uiPriority w:val="0"/>
    <w:pPr>
      <w:adjustRightInd w:val="0"/>
      <w:snapToGrid w:val="0"/>
      <w:spacing w:line="380" w:lineRule="exact"/>
      <w:jc w:val="center"/>
    </w:pPr>
    <w:rPr>
      <w:rFonts w:ascii="Calibri" w:hAnsi="Calibri" w:eastAsia="宋体" w:cs="Calibri"/>
      <w:sz w:val="21"/>
      <w:lang w:val="en-US" w:eastAsia="zh-CN" w:bidi="ar-SA"/>
    </w:rPr>
  </w:style>
  <w:style w:type="paragraph" w:customStyle="1" w:styleId="806">
    <w:name w:val="列出段落5"/>
    <w:basedOn w:val="1"/>
    <w:qFormat/>
    <w:uiPriority w:val="0"/>
    <w:pPr>
      <w:widowControl/>
      <w:spacing w:line="440" w:lineRule="exact"/>
      <w:ind w:left="720" w:firstLine="200" w:firstLineChars="200"/>
      <w:contextualSpacing/>
    </w:pPr>
    <w:rPr>
      <w:rFonts w:ascii="宋体"/>
      <w:kern w:val="0"/>
      <w:sz w:val="24"/>
      <w:szCs w:val="20"/>
    </w:rPr>
  </w:style>
  <w:style w:type="character" w:customStyle="1" w:styleId="807">
    <w:name w:val="正文四号 Char Char"/>
    <w:qFormat/>
    <w:uiPriority w:val="0"/>
    <w:rPr>
      <w:rFonts w:eastAsia="宋体" w:cs="宋体"/>
      <w:kern w:val="2"/>
      <w:sz w:val="24"/>
      <w:szCs w:val="24"/>
      <w:lang w:val="en-US" w:eastAsia="zh-CN" w:bidi="ar-SA"/>
    </w:rPr>
  </w:style>
  <w:style w:type="paragraph" w:customStyle="1" w:styleId="808">
    <w:name w:val="中等深浅网格 21"/>
    <w:basedOn w:val="9"/>
    <w:qFormat/>
    <w:uiPriority w:val="0"/>
    <w:pPr>
      <w:numPr>
        <w:ilvl w:val="0"/>
        <w:numId w:val="0"/>
      </w:numPr>
      <w:tabs>
        <w:tab w:val="clear" w:pos="1800"/>
      </w:tabs>
      <w:snapToGrid/>
      <w:spacing w:before="120" w:after="120" w:line="240" w:lineRule="auto"/>
    </w:pPr>
    <w:rPr>
      <w:b/>
      <w:kern w:val="2"/>
    </w:rPr>
  </w:style>
  <w:style w:type="paragraph" w:customStyle="1" w:styleId="809">
    <w:name w:val="【正文】"/>
    <w:basedOn w:val="1"/>
    <w:link w:val="810"/>
    <w:qFormat/>
    <w:uiPriority w:val="0"/>
    <w:pPr>
      <w:spacing w:line="440" w:lineRule="exact"/>
      <w:ind w:firstLine="544" w:firstLineChars="200"/>
    </w:pPr>
    <w:rPr>
      <w:sz w:val="24"/>
      <w:szCs w:val="20"/>
      <w:lang w:val="zh-CN"/>
    </w:rPr>
  </w:style>
  <w:style w:type="character" w:customStyle="1" w:styleId="810">
    <w:name w:val="【正文】 Char"/>
    <w:link w:val="809"/>
    <w:qFormat/>
    <w:uiPriority w:val="0"/>
    <w:rPr>
      <w:kern w:val="2"/>
      <w:sz w:val="24"/>
      <w:lang w:val="zh-CN"/>
    </w:rPr>
  </w:style>
  <w:style w:type="paragraph" w:customStyle="1" w:styleId="811">
    <w:name w:val="Char Char Char Char Char2 Char3"/>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812">
    <w:name w:val="Char Char Char Char Char2 Char2"/>
    <w:basedOn w:val="1"/>
    <w:qFormat/>
    <w:uiPriority w:val="0"/>
    <w:pPr>
      <w:adjustRightInd w:val="0"/>
      <w:snapToGrid w:val="0"/>
      <w:spacing w:line="360" w:lineRule="auto"/>
      <w:ind w:firstLine="200" w:firstLineChars="200"/>
    </w:pPr>
    <w:rPr>
      <w:rFonts w:ascii="宋体" w:hAnsi="宋体" w:cs="宋体"/>
      <w:sz w:val="24"/>
      <w:szCs w:val="26"/>
    </w:rPr>
  </w:style>
  <w:style w:type="character" w:customStyle="1" w:styleId="813">
    <w:name w:val="批注文字 Char2"/>
    <w:semiHidden/>
    <w:qFormat/>
    <w:uiPriority w:val="99"/>
    <w:rPr>
      <w:rFonts w:ascii="Calibri" w:hAnsi="Calibri" w:eastAsia="宋体" w:cs="Times New Roman"/>
    </w:rPr>
  </w:style>
  <w:style w:type="character" w:customStyle="1" w:styleId="814">
    <w:name w:val="尾注文本 Char1"/>
    <w:qFormat/>
    <w:uiPriority w:val="0"/>
    <w:rPr>
      <w:rFonts w:ascii="Calibri" w:hAnsi="Calibri" w:eastAsia="宋体" w:cs="Times New Roman"/>
    </w:rPr>
  </w:style>
  <w:style w:type="character" w:customStyle="1" w:styleId="815">
    <w:name w:val="正文文本 Char1"/>
    <w:qFormat/>
    <w:uiPriority w:val="0"/>
    <w:rPr>
      <w:rFonts w:ascii="Calibri" w:hAnsi="Calibri" w:eastAsia="宋体" w:cs="Times New Roman"/>
    </w:rPr>
  </w:style>
  <w:style w:type="character" w:customStyle="1" w:styleId="816">
    <w:name w:val="正文首行缩进 2 Char1"/>
    <w:qFormat/>
    <w:uiPriority w:val="99"/>
    <w:rPr>
      <w:rFonts w:ascii="Calibri" w:hAnsi="Calibri" w:eastAsia="宋体" w:cs="Times New Roman"/>
      <w:color w:val="000000"/>
      <w:sz w:val="24"/>
      <w:szCs w:val="24"/>
    </w:rPr>
  </w:style>
  <w:style w:type="character" w:customStyle="1" w:styleId="817">
    <w:name w:val="HTML 预设格式 Char1"/>
    <w:qFormat/>
    <w:uiPriority w:val="0"/>
    <w:rPr>
      <w:rFonts w:ascii="Courier New" w:hAnsi="Courier New" w:eastAsia="宋体" w:cs="Courier New"/>
      <w:sz w:val="20"/>
      <w:szCs w:val="20"/>
    </w:rPr>
  </w:style>
  <w:style w:type="character" w:customStyle="1" w:styleId="818">
    <w:name w:val="副标题 Char1"/>
    <w:qFormat/>
    <w:uiPriority w:val="0"/>
    <w:rPr>
      <w:rFonts w:ascii="Cambria" w:hAnsi="Cambria" w:eastAsia="宋体" w:cs="Times New Roman"/>
      <w:b/>
      <w:bCs/>
      <w:kern w:val="28"/>
      <w:sz w:val="32"/>
      <w:szCs w:val="32"/>
    </w:rPr>
  </w:style>
  <w:style w:type="character" w:customStyle="1" w:styleId="819">
    <w:name w:val="正文文本缩进 2 Char1"/>
    <w:qFormat/>
    <w:uiPriority w:val="0"/>
    <w:rPr>
      <w:rFonts w:ascii="Calibri" w:hAnsi="Calibri" w:eastAsia="宋体" w:cs="Times New Roman"/>
    </w:rPr>
  </w:style>
  <w:style w:type="character" w:customStyle="1" w:styleId="820">
    <w:name w:val="正文文本 3 Char1"/>
    <w:qFormat/>
    <w:uiPriority w:val="0"/>
    <w:rPr>
      <w:rFonts w:ascii="Calibri" w:hAnsi="Calibri" w:eastAsia="宋体" w:cs="Times New Roman"/>
      <w:sz w:val="16"/>
      <w:szCs w:val="16"/>
    </w:rPr>
  </w:style>
  <w:style w:type="character" w:customStyle="1" w:styleId="821">
    <w:name w:val="批注框文本 Char1"/>
    <w:qFormat/>
    <w:uiPriority w:val="0"/>
    <w:rPr>
      <w:rFonts w:ascii="Calibri" w:hAnsi="Calibri" w:eastAsia="宋体" w:cs="Times New Roman"/>
      <w:sz w:val="18"/>
      <w:szCs w:val="18"/>
    </w:rPr>
  </w:style>
  <w:style w:type="character" w:customStyle="1" w:styleId="822">
    <w:name w:val="批注主题 Char1"/>
    <w:qFormat/>
    <w:uiPriority w:val="0"/>
    <w:rPr>
      <w:rFonts w:ascii="Calibri" w:hAnsi="Calibri" w:eastAsia="宋体" w:cs="Times New Roman"/>
      <w:b/>
      <w:bCs/>
    </w:rPr>
  </w:style>
  <w:style w:type="character" w:customStyle="1" w:styleId="823">
    <w:name w:val="日期 Char1"/>
    <w:qFormat/>
    <w:uiPriority w:val="0"/>
    <w:rPr>
      <w:rFonts w:ascii="Calibri" w:hAnsi="Calibri" w:eastAsia="宋体" w:cs="Times New Roman"/>
    </w:rPr>
  </w:style>
  <w:style w:type="character" w:customStyle="1" w:styleId="824">
    <w:name w:val="文档结构图 Char1"/>
    <w:qFormat/>
    <w:uiPriority w:val="0"/>
    <w:rPr>
      <w:rFonts w:ascii="宋体" w:hAnsi="Calibri" w:eastAsia="宋体" w:cs="Times New Roman"/>
      <w:sz w:val="18"/>
      <w:szCs w:val="18"/>
    </w:rPr>
  </w:style>
  <w:style w:type="character" w:customStyle="1" w:styleId="825">
    <w:name w:val="标题 Char1"/>
    <w:qFormat/>
    <w:uiPriority w:val="0"/>
    <w:rPr>
      <w:rFonts w:ascii="Cambria" w:hAnsi="Cambria" w:eastAsia="宋体" w:cs="Times New Roman"/>
      <w:b/>
      <w:bCs/>
      <w:sz w:val="32"/>
      <w:szCs w:val="32"/>
    </w:rPr>
  </w:style>
  <w:style w:type="table" w:customStyle="1" w:styleId="826">
    <w:name w:val="网格型 51"/>
    <w:basedOn w:val="81"/>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827">
    <w:name w:val="网格型 11"/>
    <w:basedOn w:val="81"/>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character" w:customStyle="1" w:styleId="828">
    <w:name w:val="description"/>
    <w:qFormat/>
    <w:uiPriority w:val="0"/>
  </w:style>
  <w:style w:type="character" w:customStyle="1" w:styleId="829">
    <w:name w:val="font191"/>
    <w:qFormat/>
    <w:uiPriority w:val="0"/>
    <w:rPr>
      <w:rFonts w:hint="eastAsia" w:ascii="宋体" w:hAnsi="宋体" w:eastAsia="宋体"/>
      <w:color w:val="000000"/>
      <w:sz w:val="24"/>
      <w:szCs w:val="24"/>
      <w:u w:val="none"/>
    </w:rPr>
  </w:style>
  <w:style w:type="paragraph" w:customStyle="1" w:styleId="830">
    <w:name w:val="日期3"/>
    <w:basedOn w:val="1"/>
    <w:next w:val="1"/>
    <w:qFormat/>
    <w:uiPriority w:val="0"/>
    <w:pPr>
      <w:adjustRightInd w:val="0"/>
      <w:textAlignment w:val="baseline"/>
    </w:pPr>
    <w:rPr>
      <w:szCs w:val="20"/>
    </w:rPr>
  </w:style>
  <w:style w:type="paragraph" w:customStyle="1" w:styleId="831">
    <w:name w:val="正文 小四 行距: 1.5 倍行距"/>
    <w:basedOn w:val="1"/>
    <w:qFormat/>
    <w:uiPriority w:val="0"/>
    <w:pPr>
      <w:spacing w:before="120" w:line="360" w:lineRule="auto"/>
      <w:ind w:firstLine="480" w:firstLineChars="200"/>
      <w:jc w:val="left"/>
    </w:pPr>
    <w:rPr>
      <w:rFonts w:cs="宋体"/>
      <w:sz w:val="24"/>
      <w:szCs w:val="20"/>
    </w:rPr>
  </w:style>
  <w:style w:type="paragraph" w:customStyle="1" w:styleId="832">
    <w:name w:val="【图片】"/>
    <w:next w:val="41"/>
    <w:link w:val="833"/>
    <w:qFormat/>
    <w:uiPriority w:val="0"/>
    <w:pPr>
      <w:jc w:val="center"/>
    </w:pPr>
    <w:rPr>
      <w:rFonts w:ascii="宋体" w:hAnsi="宋体" w:eastAsia="宋体" w:cs="Calibri"/>
      <w:sz w:val="24"/>
      <w:lang w:val="en-US" w:eastAsia="zh-CN" w:bidi="ar-SA"/>
    </w:rPr>
  </w:style>
  <w:style w:type="character" w:customStyle="1" w:styleId="833">
    <w:name w:val="【图片】 Char"/>
    <w:link w:val="832"/>
    <w:qFormat/>
    <w:uiPriority w:val="0"/>
    <w:rPr>
      <w:rFonts w:ascii="宋体" w:hAnsi="宋体"/>
      <w:sz w:val="24"/>
    </w:rPr>
  </w:style>
  <w:style w:type="paragraph" w:customStyle="1" w:styleId="834">
    <w:name w:val="样式333333"/>
    <w:basedOn w:val="1"/>
    <w:link w:val="835"/>
    <w:qFormat/>
    <w:uiPriority w:val="0"/>
    <w:pPr>
      <w:adjustRightInd w:val="0"/>
      <w:snapToGrid w:val="0"/>
      <w:spacing w:beforeLines="10" w:afterLines="50" w:line="460" w:lineRule="exact"/>
      <w:jc w:val="left"/>
      <w:outlineLvl w:val="2"/>
    </w:pPr>
    <w:rPr>
      <w:b/>
      <w:kern w:val="0"/>
      <w:sz w:val="24"/>
      <w:szCs w:val="26"/>
    </w:rPr>
  </w:style>
  <w:style w:type="character" w:customStyle="1" w:styleId="835">
    <w:name w:val="样式333333 Char"/>
    <w:link w:val="834"/>
    <w:qFormat/>
    <w:uiPriority w:val="0"/>
    <w:rPr>
      <w:b/>
      <w:snapToGrid/>
      <w:sz w:val="24"/>
      <w:szCs w:val="26"/>
    </w:rPr>
  </w:style>
  <w:style w:type="paragraph" w:customStyle="1" w:styleId="836">
    <w:name w:val="csp"/>
    <w:basedOn w:val="1"/>
    <w:qFormat/>
    <w:uiPriority w:val="0"/>
    <w:pPr>
      <w:widowControl/>
      <w:adjustRightInd w:val="0"/>
      <w:snapToGrid w:val="0"/>
      <w:jc w:val="center"/>
    </w:pPr>
    <w:rPr>
      <w:rFonts w:ascii="宋体" w:hAnsi="宋体" w:cs="宋体"/>
      <w:kern w:val="0"/>
      <w:szCs w:val="30"/>
    </w:rPr>
  </w:style>
  <w:style w:type="paragraph" w:customStyle="1" w:styleId="837">
    <w:name w:val="Char7"/>
    <w:basedOn w:val="1"/>
    <w:qFormat/>
    <w:uiPriority w:val="0"/>
  </w:style>
  <w:style w:type="character" w:customStyle="1" w:styleId="838">
    <w:name w:val="样式3 Char Char"/>
    <w:qFormat/>
    <w:uiPriority w:val="0"/>
    <w:rPr>
      <w:rFonts w:eastAsia="宋体"/>
      <w:b/>
      <w:bCs/>
      <w:color w:val="000000"/>
      <w:spacing w:val="20"/>
      <w:kern w:val="2"/>
      <w:sz w:val="24"/>
      <w:szCs w:val="24"/>
      <w:lang w:val="en-US" w:eastAsia="zh-CN" w:bidi="ar-SA"/>
    </w:rPr>
  </w:style>
  <w:style w:type="paragraph" w:customStyle="1" w:styleId="839">
    <w:name w:val="样式25"/>
    <w:basedOn w:val="208"/>
    <w:qFormat/>
    <w:uiPriority w:val="0"/>
    <w:pPr>
      <w:autoSpaceDE w:val="0"/>
      <w:adjustRightInd w:val="0"/>
      <w:spacing w:line="400" w:lineRule="exact"/>
      <w:ind w:firstLine="560"/>
    </w:pPr>
    <w:rPr>
      <w:b/>
      <w:spacing w:val="20"/>
      <w:kern w:val="2"/>
      <w:szCs w:val="24"/>
    </w:rPr>
  </w:style>
  <w:style w:type="character" w:customStyle="1" w:styleId="840">
    <w:name w:val="样式17 Char Char"/>
    <w:link w:val="841"/>
    <w:qFormat/>
    <w:uiPriority w:val="0"/>
    <w:rPr>
      <w:spacing w:val="20"/>
      <w:sz w:val="24"/>
    </w:rPr>
  </w:style>
  <w:style w:type="paragraph" w:customStyle="1" w:styleId="841">
    <w:name w:val="样式17"/>
    <w:basedOn w:val="1"/>
    <w:link w:val="840"/>
    <w:qFormat/>
    <w:uiPriority w:val="0"/>
    <w:pPr>
      <w:spacing w:line="400" w:lineRule="exact"/>
      <w:ind w:firstLine="200" w:firstLineChars="200"/>
    </w:pPr>
    <w:rPr>
      <w:spacing w:val="20"/>
      <w:kern w:val="0"/>
      <w:sz w:val="24"/>
      <w:szCs w:val="20"/>
    </w:rPr>
  </w:style>
  <w:style w:type="table" w:customStyle="1" w:styleId="842">
    <w:name w:val="网格型2"/>
    <w:basedOn w:val="8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3">
    <w:name w:val="专业网格2"/>
    <w:basedOn w:val="8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4">
    <w:name w:val="专业型1"/>
    <w:basedOn w:val="81"/>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845">
    <w:name w:val="表格主题2"/>
    <w:basedOn w:val="81"/>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6">
    <w:name w:val="专业网格11"/>
    <w:basedOn w:val="8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7">
    <w:name w:val="表格主题11"/>
    <w:basedOn w:val="81"/>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8">
    <w:name w:val="网格型 12"/>
    <w:basedOn w:val="81"/>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849">
    <w:name w:val="网格型 52"/>
    <w:basedOn w:val="81"/>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850">
    <w:name w:val="网格型 511"/>
    <w:basedOn w:val="81"/>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851">
    <w:name w:val="网格型 111"/>
    <w:basedOn w:val="81"/>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852">
    <w:name w:val="Table Normal1"/>
    <w:qFormat/>
    <w:uiPriority w:val="2"/>
    <w:pPr>
      <w:widowControl w:val="0"/>
    </w:pPr>
    <w:rPr>
      <w:rFonts w:eastAsia="Times New Roman"/>
      <w:sz w:val="22"/>
      <w:szCs w:val="22"/>
      <w:lang w:eastAsia="en-US"/>
    </w:rPr>
    <w:tblPr>
      <w:tblCellMar>
        <w:top w:w="0" w:type="dxa"/>
        <w:left w:w="0" w:type="dxa"/>
        <w:bottom w:w="0" w:type="dxa"/>
        <w:right w:w="0" w:type="dxa"/>
      </w:tblCellMar>
    </w:tblPr>
  </w:style>
  <w:style w:type="paragraph" w:customStyle="1" w:styleId="853">
    <w:name w:val="新正文样式"/>
    <w:basedOn w:val="1"/>
    <w:qFormat/>
    <w:uiPriority w:val="0"/>
    <w:pPr>
      <w:tabs>
        <w:tab w:val="left" w:pos="567"/>
      </w:tabs>
      <w:topLinePunct/>
      <w:spacing w:line="360" w:lineRule="auto"/>
      <w:ind w:firstLine="567"/>
    </w:pPr>
    <w:rPr>
      <w:rFonts w:eastAsia="华文中宋"/>
      <w:spacing w:val="20"/>
      <w:sz w:val="24"/>
    </w:rPr>
  </w:style>
  <w:style w:type="character" w:customStyle="1" w:styleId="854">
    <w:name w:val="正文首行缩进 字符1"/>
    <w:semiHidden/>
    <w:qFormat/>
    <w:uiPriority w:val="99"/>
    <w:rPr>
      <w:rFonts w:ascii="Times New Roman" w:hAnsi="Times New Roman" w:eastAsia="宋体" w:cs="Times New Roman"/>
      <w:sz w:val="28"/>
      <w:szCs w:val="24"/>
    </w:rPr>
  </w:style>
  <w:style w:type="table" w:customStyle="1" w:styleId="855">
    <w:name w:val="网格型3"/>
    <w:basedOn w:val="8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6">
    <w:name w:val="网格型4"/>
    <w:basedOn w:val="8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57">
    <w:name w:val="highlight"/>
    <w:qFormat/>
    <w:uiPriority w:val="0"/>
    <w:rPr>
      <w:rFonts w:cs="Times New Roman"/>
    </w:rPr>
  </w:style>
  <w:style w:type="character" w:customStyle="1" w:styleId="858">
    <w:name w:val="可研正文 Char Char"/>
    <w:link w:val="859"/>
    <w:qFormat/>
    <w:locked/>
    <w:uiPriority w:val="0"/>
    <w:rPr>
      <w:rFonts w:ascii="宋体" w:hAnsi="宋体" w:cs="宋体"/>
      <w:sz w:val="28"/>
    </w:rPr>
  </w:style>
  <w:style w:type="paragraph" w:customStyle="1" w:styleId="859">
    <w:name w:val="可研正文"/>
    <w:basedOn w:val="1"/>
    <w:link w:val="858"/>
    <w:qFormat/>
    <w:uiPriority w:val="0"/>
    <w:pPr>
      <w:spacing w:line="360" w:lineRule="auto"/>
      <w:ind w:firstLine="560" w:firstLineChars="200"/>
    </w:pPr>
    <w:rPr>
      <w:rFonts w:ascii="宋体" w:hAnsi="宋体" w:cs="宋体"/>
      <w:kern w:val="0"/>
      <w:sz w:val="28"/>
      <w:szCs w:val="20"/>
    </w:rPr>
  </w:style>
  <w:style w:type="character" w:customStyle="1" w:styleId="860">
    <w:name w:val="articlecontent"/>
    <w:qFormat/>
    <w:uiPriority w:val="0"/>
    <w:rPr>
      <w:rFonts w:cs="Times New Roman"/>
    </w:rPr>
  </w:style>
  <w:style w:type="character" w:customStyle="1" w:styleId="861">
    <w:name w:val="unnamed4"/>
    <w:qFormat/>
    <w:uiPriority w:val="0"/>
    <w:rPr>
      <w:rFonts w:cs="Times New Roman"/>
    </w:rPr>
  </w:style>
  <w:style w:type="character" w:customStyle="1" w:styleId="862">
    <w:name w:val="value"/>
    <w:qFormat/>
    <w:uiPriority w:val="0"/>
    <w:rPr>
      <w:rFonts w:cs="Times New Roman"/>
    </w:rPr>
  </w:style>
  <w:style w:type="paragraph" w:customStyle="1" w:styleId="863">
    <w:name w:val="列出段落6"/>
    <w:basedOn w:val="1"/>
    <w:qFormat/>
    <w:uiPriority w:val="0"/>
    <w:pPr>
      <w:widowControl/>
      <w:adjustRightInd w:val="0"/>
      <w:snapToGrid w:val="0"/>
      <w:spacing w:after="200"/>
      <w:ind w:firstLine="420" w:firstLineChars="200"/>
      <w:jc w:val="left"/>
    </w:pPr>
    <w:rPr>
      <w:rFonts w:ascii="Tahoma" w:hAnsi="Tahoma" w:eastAsia="微软雅黑"/>
      <w:kern w:val="0"/>
      <w:sz w:val="22"/>
      <w:szCs w:val="22"/>
    </w:rPr>
  </w:style>
  <w:style w:type="paragraph" w:customStyle="1" w:styleId="864">
    <w:name w:val="Char Char Char Char4"/>
    <w:basedOn w:val="1"/>
    <w:qFormat/>
    <w:uiPriority w:val="0"/>
    <w:pPr>
      <w:widowControl/>
      <w:spacing w:after="160" w:line="240" w:lineRule="exact"/>
      <w:jc w:val="left"/>
    </w:pPr>
  </w:style>
  <w:style w:type="paragraph" w:customStyle="1" w:styleId="865">
    <w:name w:val="90v"/>
    <w:basedOn w:val="1"/>
    <w:qFormat/>
    <w:uiPriority w:val="0"/>
    <w:pPr>
      <w:widowControl/>
      <w:spacing w:before="100" w:beforeAutospacing="1" w:after="100" w:afterAutospacing="1"/>
      <w:jc w:val="left"/>
    </w:pPr>
    <w:rPr>
      <w:rFonts w:ascii="宋体" w:hAnsi="宋体"/>
      <w:kern w:val="0"/>
      <w:sz w:val="24"/>
    </w:rPr>
  </w:style>
  <w:style w:type="paragraph" w:customStyle="1" w:styleId="866">
    <w:name w:val="Char8"/>
    <w:basedOn w:val="1"/>
    <w:next w:val="1"/>
    <w:qFormat/>
    <w:uiPriority w:val="0"/>
    <w:pPr>
      <w:widowControl/>
      <w:jc w:val="left"/>
    </w:pPr>
    <w:rPr>
      <w:rFonts w:ascii="Tahoma" w:hAnsi="Tahoma"/>
      <w:kern w:val="0"/>
      <w:sz w:val="24"/>
      <w:szCs w:val="20"/>
      <w:lang w:eastAsia="en-US"/>
    </w:rPr>
  </w:style>
  <w:style w:type="paragraph" w:customStyle="1" w:styleId="867">
    <w:name w:val="样式 首行缩进:  2 字符2"/>
    <w:basedOn w:val="1"/>
    <w:qFormat/>
    <w:uiPriority w:val="0"/>
    <w:pPr>
      <w:spacing w:line="400" w:lineRule="exact"/>
      <w:ind w:firstLine="480" w:firstLineChars="200"/>
    </w:pPr>
    <w:rPr>
      <w:rFonts w:cs="宋体"/>
      <w:sz w:val="28"/>
      <w:szCs w:val="20"/>
    </w:rPr>
  </w:style>
  <w:style w:type="paragraph" w:customStyle="1" w:styleId="868">
    <w:name w:val="Char Char Char Char Char Char Char Char Char Char Char Char Char Char Char Char Char Char Char Char Char Char"/>
    <w:basedOn w:val="1"/>
    <w:qFormat/>
    <w:uiPriority w:val="0"/>
    <w:rPr>
      <w:rFonts w:ascii="宋体" w:hAnsi="宋体" w:eastAsia="仿宋_GB2312" w:cs="Courier New"/>
      <w:sz w:val="32"/>
      <w:szCs w:val="32"/>
    </w:rPr>
  </w:style>
  <w:style w:type="character" w:customStyle="1" w:styleId="869">
    <w:name w:val="君邦正文 Char2"/>
    <w:link w:val="870"/>
    <w:qFormat/>
    <w:uiPriority w:val="0"/>
    <w:rPr>
      <w:sz w:val="24"/>
    </w:rPr>
  </w:style>
  <w:style w:type="paragraph" w:customStyle="1" w:styleId="870">
    <w:name w:val="君邦正文"/>
    <w:basedOn w:val="1"/>
    <w:link w:val="869"/>
    <w:qFormat/>
    <w:uiPriority w:val="0"/>
    <w:pPr>
      <w:spacing w:after="60" w:line="360" w:lineRule="auto"/>
      <w:ind w:firstLine="200" w:firstLineChars="200"/>
    </w:pPr>
    <w:rPr>
      <w:kern w:val="0"/>
      <w:sz w:val="24"/>
      <w:szCs w:val="20"/>
    </w:rPr>
  </w:style>
  <w:style w:type="character" w:customStyle="1" w:styleId="871">
    <w:name w:val="表内字体 Char"/>
    <w:link w:val="872"/>
    <w:qFormat/>
    <w:uiPriority w:val="0"/>
    <w:rPr>
      <w:sz w:val="18"/>
      <w:szCs w:val="18"/>
    </w:rPr>
  </w:style>
  <w:style w:type="paragraph" w:customStyle="1" w:styleId="872">
    <w:name w:val="表内字体"/>
    <w:basedOn w:val="1"/>
    <w:link w:val="871"/>
    <w:qFormat/>
    <w:uiPriority w:val="0"/>
    <w:pPr>
      <w:tabs>
        <w:tab w:val="left" w:pos="0"/>
      </w:tabs>
      <w:snapToGrid w:val="0"/>
      <w:jc w:val="center"/>
    </w:pPr>
    <w:rPr>
      <w:kern w:val="0"/>
      <w:sz w:val="18"/>
      <w:szCs w:val="18"/>
    </w:rPr>
  </w:style>
  <w:style w:type="character" w:customStyle="1" w:styleId="873">
    <w:name w:val="表头字体 Char1"/>
    <w:link w:val="874"/>
    <w:qFormat/>
    <w:uiPriority w:val="0"/>
    <w:rPr>
      <w:rFonts w:eastAsia="黑体"/>
      <w:b/>
      <w:sz w:val="24"/>
      <w:szCs w:val="24"/>
    </w:rPr>
  </w:style>
  <w:style w:type="paragraph" w:customStyle="1" w:styleId="874">
    <w:name w:val="表头字体"/>
    <w:basedOn w:val="1"/>
    <w:next w:val="870"/>
    <w:link w:val="873"/>
    <w:qFormat/>
    <w:uiPriority w:val="0"/>
    <w:pPr>
      <w:jc w:val="center"/>
    </w:pPr>
    <w:rPr>
      <w:rFonts w:eastAsia="黑体"/>
      <w:b/>
      <w:kern w:val="0"/>
      <w:sz w:val="24"/>
    </w:rPr>
  </w:style>
  <w:style w:type="paragraph" w:customStyle="1" w:styleId="875">
    <w:name w:val="样式 样式 首行缩进:  2 字符1 + 首行缩进:  2 字符"/>
    <w:basedOn w:val="1"/>
    <w:qFormat/>
    <w:uiPriority w:val="0"/>
    <w:pPr>
      <w:spacing w:line="400" w:lineRule="exact"/>
      <w:ind w:firstLine="480" w:firstLineChars="200"/>
    </w:pPr>
    <w:rPr>
      <w:rFonts w:ascii="Arial" w:hAnsi="Arial" w:cs="MT Extra"/>
      <w:sz w:val="28"/>
      <w:szCs w:val="20"/>
    </w:rPr>
  </w:style>
  <w:style w:type="paragraph" w:customStyle="1" w:styleId="876">
    <w:name w:val="Char6 Char Char Char"/>
    <w:basedOn w:val="50"/>
    <w:next w:val="50"/>
    <w:semiHidden/>
    <w:qFormat/>
    <w:uiPriority w:val="0"/>
    <w:pPr>
      <w:ind w:left="630" w:leftChars="100" w:right="100" w:rightChars="100"/>
    </w:pPr>
    <w:rPr>
      <w:rFonts w:ascii="Times New Roman" w:hAnsi="Times New Roman"/>
      <w:sz w:val="28"/>
      <w:szCs w:val="28"/>
      <w:lang w:val="zh-CN"/>
    </w:rPr>
  </w:style>
  <w:style w:type="paragraph" w:customStyle="1" w:styleId="877">
    <w:name w:val="日期6"/>
    <w:basedOn w:val="1"/>
    <w:next w:val="1"/>
    <w:qFormat/>
    <w:uiPriority w:val="0"/>
    <w:pPr>
      <w:adjustRightInd w:val="0"/>
      <w:textAlignment w:val="baseline"/>
    </w:pPr>
    <w:rPr>
      <w:szCs w:val="20"/>
    </w:rPr>
  </w:style>
  <w:style w:type="character" w:customStyle="1" w:styleId="878">
    <w:name w:val="不明显强调2"/>
    <w:qFormat/>
    <w:uiPriority w:val="19"/>
    <w:rPr>
      <w:i/>
      <w:iCs/>
      <w:color w:val="808080"/>
    </w:rPr>
  </w:style>
  <w:style w:type="character" w:customStyle="1" w:styleId="879">
    <w:name w:val="明显强调1"/>
    <w:qFormat/>
    <w:uiPriority w:val="21"/>
    <w:rPr>
      <w:b/>
      <w:bCs/>
      <w:i/>
      <w:iCs/>
      <w:color w:val="4F81BD"/>
    </w:rPr>
  </w:style>
  <w:style w:type="paragraph" w:styleId="880">
    <w:name w:val="Intense Quote"/>
    <w:basedOn w:val="1"/>
    <w:next w:val="1"/>
    <w:link w:val="881"/>
    <w:qFormat/>
    <w:uiPriority w:val="30"/>
    <w:pPr>
      <w:widowControl/>
      <w:pBdr>
        <w:bottom w:val="single" w:color="4F81BD" w:sz="4" w:space="4"/>
      </w:pBdr>
      <w:spacing w:before="200" w:after="280" w:line="440" w:lineRule="exact"/>
      <w:ind w:left="936" w:right="936" w:firstLine="200" w:firstLineChars="200"/>
    </w:pPr>
    <w:rPr>
      <w:b/>
      <w:bCs/>
      <w:i/>
      <w:iCs/>
      <w:color w:val="4F81BD"/>
      <w:kern w:val="0"/>
      <w:sz w:val="24"/>
      <w:szCs w:val="22"/>
      <w:lang w:val="zh-CN" w:eastAsia="en-US" w:bidi="en-US"/>
    </w:rPr>
  </w:style>
  <w:style w:type="character" w:customStyle="1" w:styleId="881">
    <w:name w:val="明显引用 字符1"/>
    <w:link w:val="880"/>
    <w:qFormat/>
    <w:uiPriority w:val="30"/>
    <w:rPr>
      <w:rFonts w:ascii="Calibri" w:hAnsi="Calibri"/>
      <w:b/>
      <w:bCs/>
      <w:i/>
      <w:iCs/>
      <w:color w:val="4F81BD"/>
      <w:sz w:val="24"/>
      <w:szCs w:val="22"/>
      <w:lang w:val="zh-CN" w:eastAsia="en-US" w:bidi="en-US"/>
    </w:rPr>
  </w:style>
  <w:style w:type="character" w:customStyle="1" w:styleId="882">
    <w:name w:val="明显引用 字符"/>
    <w:qFormat/>
    <w:uiPriority w:val="30"/>
    <w:rPr>
      <w:i/>
      <w:iCs/>
      <w:color w:val="4472C4"/>
      <w:kern w:val="2"/>
      <w:sz w:val="21"/>
      <w:szCs w:val="24"/>
    </w:rPr>
  </w:style>
  <w:style w:type="character" w:customStyle="1" w:styleId="883">
    <w:name w:val="不明显参考1"/>
    <w:qFormat/>
    <w:uiPriority w:val="31"/>
    <w:rPr>
      <w:smallCaps/>
      <w:color w:val="C0504D"/>
      <w:u w:val="single"/>
    </w:rPr>
  </w:style>
  <w:style w:type="character" w:customStyle="1" w:styleId="884">
    <w:name w:val="明显参考1"/>
    <w:qFormat/>
    <w:uiPriority w:val="32"/>
    <w:rPr>
      <w:b/>
      <w:bCs/>
      <w:smallCaps/>
      <w:color w:val="C0504D"/>
      <w:spacing w:val="5"/>
      <w:u w:val="single"/>
    </w:rPr>
  </w:style>
  <w:style w:type="character" w:customStyle="1" w:styleId="885">
    <w:name w:val="书籍标题1"/>
    <w:qFormat/>
    <w:uiPriority w:val="0"/>
    <w:rPr>
      <w:b/>
      <w:bCs/>
      <w:smallCaps/>
      <w:spacing w:val="5"/>
    </w:rPr>
  </w:style>
  <w:style w:type="paragraph" w:customStyle="1" w:styleId="886">
    <w:name w:val="表头11"/>
    <w:basedOn w:val="1"/>
    <w:link w:val="887"/>
    <w:qFormat/>
    <w:uiPriority w:val="0"/>
    <w:pPr>
      <w:adjustRightInd w:val="0"/>
      <w:snapToGrid w:val="0"/>
      <w:spacing w:beforeLines="30" w:line="460" w:lineRule="exact"/>
      <w:jc w:val="center"/>
    </w:pPr>
    <w:rPr>
      <w:b/>
      <w:kern w:val="0"/>
      <w:sz w:val="24"/>
      <w:lang w:val="zh-CN"/>
    </w:rPr>
  </w:style>
  <w:style w:type="character" w:customStyle="1" w:styleId="887">
    <w:name w:val="表头11 Char"/>
    <w:link w:val="886"/>
    <w:qFormat/>
    <w:uiPriority w:val="0"/>
    <w:rPr>
      <w:b/>
      <w:snapToGrid/>
      <w:sz w:val="24"/>
      <w:szCs w:val="24"/>
      <w:lang w:val="zh-CN"/>
    </w:rPr>
  </w:style>
  <w:style w:type="paragraph" w:customStyle="1" w:styleId="888">
    <w:name w:val="正文文本缩进1"/>
    <w:basedOn w:val="1"/>
    <w:qFormat/>
    <w:uiPriority w:val="0"/>
    <w:pPr>
      <w:widowControl/>
      <w:spacing w:after="120" w:line="360" w:lineRule="auto"/>
      <w:ind w:left="420" w:leftChars="200" w:firstLine="200" w:firstLineChars="200"/>
    </w:pPr>
    <w:rPr>
      <w:kern w:val="0"/>
      <w:sz w:val="24"/>
      <w:lang w:val="zh-CN"/>
    </w:rPr>
  </w:style>
  <w:style w:type="character" w:customStyle="1" w:styleId="889">
    <w:name w:val="title-text"/>
    <w:qFormat/>
    <w:uiPriority w:val="0"/>
  </w:style>
  <w:style w:type="character" w:customStyle="1" w:styleId="890">
    <w:name w:val="标题2"/>
    <w:qFormat/>
    <w:uiPriority w:val="0"/>
  </w:style>
  <w:style w:type="character" w:customStyle="1" w:styleId="891">
    <w:name w:val="opt"/>
    <w:qFormat/>
    <w:uiPriority w:val="0"/>
  </w:style>
  <w:style w:type="character" w:customStyle="1" w:styleId="892">
    <w:name w:val="icofont"/>
    <w:qFormat/>
    <w:uiPriority w:val="0"/>
  </w:style>
  <w:style w:type="paragraph" w:customStyle="1" w:styleId="893">
    <w:name w:val="cardlist-name"/>
    <w:basedOn w:val="1"/>
    <w:qFormat/>
    <w:uiPriority w:val="0"/>
    <w:pPr>
      <w:widowControl/>
      <w:spacing w:before="100" w:beforeAutospacing="1" w:after="100" w:afterAutospacing="1"/>
      <w:jc w:val="left"/>
    </w:pPr>
    <w:rPr>
      <w:rFonts w:ascii="宋体" w:hAnsi="宋体" w:cs="宋体"/>
      <w:kern w:val="0"/>
      <w:sz w:val="24"/>
    </w:rPr>
  </w:style>
  <w:style w:type="paragraph" w:customStyle="1" w:styleId="894">
    <w:name w:val="cardlist-value"/>
    <w:basedOn w:val="1"/>
    <w:qFormat/>
    <w:uiPriority w:val="0"/>
    <w:pPr>
      <w:widowControl/>
      <w:spacing w:before="100" w:beforeAutospacing="1" w:after="100" w:afterAutospacing="1"/>
      <w:jc w:val="left"/>
    </w:pPr>
    <w:rPr>
      <w:rFonts w:ascii="宋体" w:hAnsi="宋体" w:cs="宋体"/>
      <w:kern w:val="0"/>
      <w:sz w:val="24"/>
    </w:rPr>
  </w:style>
  <w:style w:type="character" w:customStyle="1" w:styleId="895">
    <w:name w:val="index"/>
    <w:qFormat/>
    <w:uiPriority w:val="0"/>
  </w:style>
  <w:style w:type="paragraph" w:customStyle="1" w:styleId="896">
    <w:name w:val="Char Char51"/>
    <w:basedOn w:val="1"/>
    <w:qFormat/>
    <w:uiPriority w:val="0"/>
  </w:style>
  <w:style w:type="paragraph" w:customStyle="1" w:styleId="897">
    <w:name w:val="说明-正文"/>
    <w:basedOn w:val="1"/>
    <w:qFormat/>
    <w:uiPriority w:val="0"/>
    <w:pPr>
      <w:spacing w:line="360" w:lineRule="auto"/>
      <w:ind w:firstLine="560" w:firstLineChars="200"/>
    </w:pPr>
    <w:rPr>
      <w:color w:val="000000"/>
      <w:kern w:val="0"/>
      <w:sz w:val="24"/>
      <w:szCs w:val="20"/>
    </w:rPr>
  </w:style>
  <w:style w:type="paragraph" w:customStyle="1" w:styleId="898">
    <w:name w:val="样式 样式 纯文本 + (符号) 宋体 小四 段后: 0.5 行 行距: 1.5 倍行距 + 首行缩进:  1.5 字符"/>
    <w:basedOn w:val="1"/>
    <w:qFormat/>
    <w:uiPriority w:val="0"/>
    <w:pPr>
      <w:spacing w:beforeLines="30" w:afterLines="30"/>
      <w:ind w:firstLine="200" w:firstLineChars="200"/>
    </w:pPr>
    <w:rPr>
      <w:rFonts w:ascii="新宋体" w:hAnsi="宋体" w:eastAsia="新宋体" w:cs="宋体"/>
      <w:w w:val="90"/>
      <w:kern w:val="0"/>
      <w:sz w:val="22"/>
      <w:szCs w:val="22"/>
    </w:rPr>
  </w:style>
  <w:style w:type="paragraph" w:customStyle="1" w:styleId="899">
    <w:name w:val="表内字体111"/>
    <w:basedOn w:val="1"/>
    <w:link w:val="900"/>
    <w:qFormat/>
    <w:uiPriority w:val="0"/>
    <w:pPr>
      <w:adjustRightInd w:val="0"/>
      <w:snapToGrid w:val="0"/>
      <w:jc w:val="center"/>
    </w:pPr>
    <w:rPr>
      <w:kern w:val="0"/>
    </w:rPr>
  </w:style>
  <w:style w:type="character" w:customStyle="1" w:styleId="900">
    <w:name w:val="表内字体111 Char"/>
    <w:link w:val="899"/>
    <w:qFormat/>
    <w:uiPriority w:val="0"/>
    <w:rPr>
      <w:snapToGrid/>
      <w:sz w:val="21"/>
      <w:szCs w:val="24"/>
    </w:rPr>
  </w:style>
  <w:style w:type="table" w:customStyle="1" w:styleId="901">
    <w:name w:val="网格型刘2"/>
    <w:basedOn w:val="8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02">
    <w:name w:val="正文11"/>
    <w:basedOn w:val="1"/>
    <w:link w:val="903"/>
    <w:qFormat/>
    <w:uiPriority w:val="0"/>
    <w:pPr>
      <w:spacing w:line="360" w:lineRule="auto"/>
      <w:ind w:firstLine="480" w:firstLineChars="200"/>
    </w:pPr>
    <w:rPr>
      <w:color w:val="000000"/>
      <w:sz w:val="24"/>
      <w:szCs w:val="22"/>
    </w:rPr>
  </w:style>
  <w:style w:type="character" w:customStyle="1" w:styleId="903">
    <w:name w:val="正文11 Char"/>
    <w:link w:val="902"/>
    <w:qFormat/>
    <w:uiPriority w:val="0"/>
    <w:rPr>
      <w:color w:val="000000"/>
      <w:kern w:val="2"/>
      <w:sz w:val="24"/>
      <w:szCs w:val="22"/>
    </w:rPr>
  </w:style>
  <w:style w:type="paragraph" w:customStyle="1" w:styleId="904">
    <w:name w:val="正文2段落"/>
    <w:basedOn w:val="1"/>
    <w:next w:val="1"/>
    <w:qFormat/>
    <w:uiPriority w:val="0"/>
    <w:pPr>
      <w:spacing w:line="360" w:lineRule="auto"/>
      <w:jc w:val="left"/>
    </w:pPr>
    <w:rPr>
      <w:rFonts w:eastAsia="仿宋_GB2312"/>
      <w:sz w:val="24"/>
      <w:szCs w:val="21"/>
    </w:rPr>
  </w:style>
  <w:style w:type="paragraph" w:customStyle="1" w:styleId="905">
    <w:name w:val="正文段落"/>
    <w:basedOn w:val="904"/>
    <w:next w:val="904"/>
    <w:link w:val="906"/>
    <w:qFormat/>
    <w:uiPriority w:val="0"/>
    <w:pPr>
      <w:ind w:firstLine="200" w:firstLineChars="200"/>
    </w:pPr>
  </w:style>
  <w:style w:type="character" w:customStyle="1" w:styleId="906">
    <w:name w:val="正文段落 Char"/>
    <w:link w:val="905"/>
    <w:qFormat/>
    <w:locked/>
    <w:uiPriority w:val="0"/>
    <w:rPr>
      <w:rFonts w:eastAsia="仿宋_GB2312"/>
      <w:kern w:val="2"/>
      <w:sz w:val="24"/>
      <w:szCs w:val="21"/>
    </w:rPr>
  </w:style>
  <w:style w:type="paragraph" w:customStyle="1" w:styleId="907">
    <w:name w:val="表格-HF"/>
    <w:basedOn w:val="1"/>
    <w:link w:val="908"/>
    <w:qFormat/>
    <w:uiPriority w:val="1"/>
    <w:pPr>
      <w:jc w:val="center"/>
    </w:pPr>
    <w:rPr>
      <w:szCs w:val="21"/>
    </w:rPr>
  </w:style>
  <w:style w:type="character" w:customStyle="1" w:styleId="908">
    <w:name w:val="表格-HF 字符"/>
    <w:link w:val="907"/>
    <w:qFormat/>
    <w:uiPriority w:val="1"/>
    <w:rPr>
      <w:kern w:val="2"/>
      <w:sz w:val="21"/>
      <w:szCs w:val="21"/>
    </w:rPr>
  </w:style>
  <w:style w:type="character" w:customStyle="1" w:styleId="909">
    <w:name w:val="标题4 Char"/>
    <w:qFormat/>
    <w:uiPriority w:val="0"/>
    <w:rPr>
      <w:rFonts w:ascii="Arial Unicode MS" w:hAnsi="Arial Unicode MS" w:eastAsia="黑体" w:cs="Times New Roman"/>
      <w:snapToGrid w:val="0"/>
      <w:spacing w:val="20"/>
      <w:kern w:val="0"/>
      <w:sz w:val="24"/>
      <w:szCs w:val="20"/>
    </w:rPr>
  </w:style>
  <w:style w:type="paragraph" w:customStyle="1" w:styleId="910">
    <w:name w:val="表题-HF"/>
    <w:basedOn w:val="1"/>
    <w:link w:val="911"/>
    <w:qFormat/>
    <w:uiPriority w:val="1"/>
    <w:pPr>
      <w:spacing w:line="348" w:lineRule="auto"/>
      <w:jc w:val="center"/>
    </w:pPr>
    <w:rPr>
      <w:b/>
      <w:sz w:val="24"/>
      <w:szCs w:val="21"/>
    </w:rPr>
  </w:style>
  <w:style w:type="character" w:customStyle="1" w:styleId="911">
    <w:name w:val="表题-HF 字符"/>
    <w:link w:val="910"/>
    <w:qFormat/>
    <w:uiPriority w:val="1"/>
    <w:rPr>
      <w:b/>
      <w:kern w:val="2"/>
      <w:sz w:val="24"/>
      <w:szCs w:val="21"/>
    </w:rPr>
  </w:style>
  <w:style w:type="character" w:customStyle="1" w:styleId="912">
    <w:name w:val="标题 3 Char1"/>
    <w:qFormat/>
    <w:uiPriority w:val="0"/>
    <w:rPr>
      <w:rFonts w:eastAsia="宋体"/>
      <w:b/>
      <w:bCs/>
      <w:kern w:val="2"/>
      <w:sz w:val="32"/>
      <w:szCs w:val="32"/>
      <w:lang w:val="en-US" w:eastAsia="zh-CN" w:bidi="ar-SA"/>
    </w:rPr>
  </w:style>
  <w:style w:type="character" w:customStyle="1" w:styleId="913">
    <w:name w:val="222222 Char"/>
    <w:link w:val="914"/>
    <w:qFormat/>
    <w:uiPriority w:val="0"/>
    <w:rPr>
      <w:rFonts w:ascii="宋体" w:hAnsi="宋体"/>
      <w:szCs w:val="24"/>
    </w:rPr>
  </w:style>
  <w:style w:type="paragraph" w:customStyle="1" w:styleId="914">
    <w:name w:val="222222"/>
    <w:basedOn w:val="1"/>
    <w:link w:val="913"/>
    <w:qFormat/>
    <w:uiPriority w:val="0"/>
    <w:pPr>
      <w:adjustRightInd w:val="0"/>
      <w:snapToGrid w:val="0"/>
      <w:jc w:val="center"/>
    </w:pPr>
    <w:rPr>
      <w:rFonts w:ascii="宋体" w:hAnsi="宋体"/>
      <w:kern w:val="0"/>
      <w:sz w:val="20"/>
    </w:rPr>
  </w:style>
  <w:style w:type="character" w:customStyle="1" w:styleId="915">
    <w:name w:val="1正文 Char"/>
    <w:link w:val="916"/>
    <w:qFormat/>
    <w:uiPriority w:val="0"/>
    <w:rPr>
      <w:rFonts w:hAnsi="宋体"/>
      <w:sz w:val="26"/>
      <w:szCs w:val="26"/>
    </w:rPr>
  </w:style>
  <w:style w:type="paragraph" w:customStyle="1" w:styleId="916">
    <w:name w:val="1正文"/>
    <w:basedOn w:val="457"/>
    <w:link w:val="915"/>
    <w:qFormat/>
    <w:uiPriority w:val="0"/>
    <w:pPr>
      <w:adjustRightInd w:val="0"/>
      <w:spacing w:line="480" w:lineRule="exact"/>
      <w:ind w:firstLine="520" w:firstLineChars="200"/>
    </w:pPr>
    <w:rPr>
      <w:rFonts w:hAnsi="宋体"/>
      <w:kern w:val="0"/>
      <w:sz w:val="26"/>
      <w:szCs w:val="26"/>
    </w:rPr>
  </w:style>
  <w:style w:type="character" w:customStyle="1" w:styleId="917">
    <w:name w:val="1111 Char"/>
    <w:link w:val="918"/>
    <w:qFormat/>
    <w:uiPriority w:val="0"/>
    <w:rPr>
      <w:b/>
      <w:szCs w:val="24"/>
    </w:rPr>
  </w:style>
  <w:style w:type="paragraph" w:customStyle="1" w:styleId="918">
    <w:name w:val="1111"/>
    <w:basedOn w:val="1"/>
    <w:link w:val="917"/>
    <w:qFormat/>
    <w:uiPriority w:val="0"/>
    <w:pPr>
      <w:jc w:val="center"/>
    </w:pPr>
    <w:rPr>
      <w:b/>
      <w:kern w:val="0"/>
      <w:sz w:val="20"/>
    </w:rPr>
  </w:style>
  <w:style w:type="character" w:customStyle="1" w:styleId="919">
    <w:name w:val="样式2 Char Char"/>
    <w:qFormat/>
    <w:uiPriority w:val="0"/>
    <w:rPr>
      <w:kern w:val="2"/>
      <w:sz w:val="26"/>
      <w:szCs w:val="26"/>
    </w:rPr>
  </w:style>
  <w:style w:type="character" w:customStyle="1" w:styleId="920">
    <w:name w:val="zi1"/>
    <w:qFormat/>
    <w:uiPriority w:val="0"/>
    <w:rPr>
      <w:color w:val="000000"/>
      <w:sz w:val="18"/>
      <w:szCs w:val="18"/>
    </w:rPr>
  </w:style>
  <w:style w:type="character" w:customStyle="1" w:styleId="921">
    <w:name w:val="03表格文本 Char"/>
    <w:link w:val="922"/>
    <w:qFormat/>
    <w:uiPriority w:val="0"/>
    <w:rPr>
      <w:sz w:val="22"/>
    </w:rPr>
  </w:style>
  <w:style w:type="paragraph" w:customStyle="1" w:styleId="922">
    <w:name w:val="03表格文本"/>
    <w:basedOn w:val="1"/>
    <w:link w:val="921"/>
    <w:qFormat/>
    <w:uiPriority w:val="0"/>
    <w:pPr>
      <w:adjustRightInd w:val="0"/>
      <w:snapToGrid w:val="0"/>
      <w:spacing w:line="360" w:lineRule="exact"/>
      <w:jc w:val="center"/>
    </w:pPr>
    <w:rPr>
      <w:kern w:val="0"/>
      <w:sz w:val="22"/>
      <w:szCs w:val="20"/>
    </w:rPr>
  </w:style>
  <w:style w:type="character" w:customStyle="1" w:styleId="923">
    <w:name w:val="正文01 Char"/>
    <w:link w:val="924"/>
    <w:qFormat/>
    <w:uiPriority w:val="0"/>
    <w:rPr>
      <w:rFonts w:ascii="Arial" w:hAnsi="Arial"/>
      <w:sz w:val="24"/>
      <w:szCs w:val="21"/>
    </w:rPr>
  </w:style>
  <w:style w:type="paragraph" w:customStyle="1" w:styleId="924">
    <w:name w:val="正文01"/>
    <w:basedOn w:val="1"/>
    <w:link w:val="923"/>
    <w:qFormat/>
    <w:uiPriority w:val="0"/>
    <w:pPr>
      <w:spacing w:before="60" w:line="460" w:lineRule="exact"/>
      <w:ind w:firstLine="200" w:firstLineChars="200"/>
    </w:pPr>
    <w:rPr>
      <w:rFonts w:ascii="Arial" w:hAnsi="Arial"/>
      <w:kern w:val="0"/>
      <w:sz w:val="24"/>
      <w:szCs w:val="21"/>
    </w:rPr>
  </w:style>
  <w:style w:type="character" w:customStyle="1" w:styleId="925">
    <w:name w:val="我的正文 Char"/>
    <w:link w:val="926"/>
    <w:qFormat/>
    <w:uiPriority w:val="0"/>
    <w:rPr>
      <w:sz w:val="24"/>
      <w:szCs w:val="24"/>
    </w:rPr>
  </w:style>
  <w:style w:type="paragraph" w:customStyle="1" w:styleId="926">
    <w:name w:val="我的正文"/>
    <w:basedOn w:val="1"/>
    <w:link w:val="925"/>
    <w:qFormat/>
    <w:uiPriority w:val="0"/>
    <w:pPr>
      <w:spacing w:line="440" w:lineRule="exact"/>
      <w:ind w:firstLine="538" w:firstLineChars="192"/>
    </w:pPr>
    <w:rPr>
      <w:kern w:val="0"/>
      <w:sz w:val="24"/>
    </w:rPr>
  </w:style>
  <w:style w:type="character" w:customStyle="1" w:styleId="927">
    <w:name w:val="正文四号 Char1"/>
    <w:qFormat/>
    <w:uiPriority w:val="0"/>
    <w:rPr>
      <w:kern w:val="2"/>
      <w:sz w:val="28"/>
    </w:rPr>
  </w:style>
  <w:style w:type="paragraph" w:customStyle="1" w:styleId="928">
    <w:name w:val="Char4 Char Char Char2"/>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929">
    <w:name w:val="02表格标题"/>
    <w:basedOn w:val="208"/>
    <w:qFormat/>
    <w:uiPriority w:val="0"/>
    <w:pPr>
      <w:adjustRightInd w:val="0"/>
      <w:snapToGrid w:val="0"/>
      <w:spacing w:before="40" w:beforeLines="50" w:line="480" w:lineRule="exact"/>
      <w:ind w:firstLine="0" w:firstLineChars="0"/>
      <w:jc w:val="center"/>
      <w:outlineLvl w:val="4"/>
    </w:pPr>
    <w:rPr>
      <w:kern w:val="2"/>
      <w:sz w:val="26"/>
      <w:szCs w:val="26"/>
    </w:rPr>
  </w:style>
  <w:style w:type="paragraph" w:customStyle="1" w:styleId="930">
    <w:name w:val="reader-word-layer reader-word-s3-14"/>
    <w:basedOn w:val="1"/>
    <w:qFormat/>
    <w:uiPriority w:val="0"/>
    <w:pPr>
      <w:widowControl/>
      <w:spacing w:before="100" w:beforeAutospacing="1" w:after="100" w:afterAutospacing="1"/>
      <w:jc w:val="left"/>
    </w:pPr>
    <w:rPr>
      <w:rFonts w:ascii="宋体" w:hAnsi="宋体" w:cs="宋体"/>
      <w:kern w:val="0"/>
      <w:sz w:val="24"/>
    </w:rPr>
  </w:style>
  <w:style w:type="paragraph" w:customStyle="1" w:styleId="931">
    <w:name w:val="Char4 Char Char Char4"/>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932">
    <w:name w:val="正文 New New New New New New New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Calibri"/>
      <w:lang w:val="en-US" w:eastAsia="zh-CN" w:bidi="ar-SA"/>
    </w:rPr>
  </w:style>
  <w:style w:type="paragraph" w:customStyle="1" w:styleId="933">
    <w:name w:val="Char4 Char Char Char5"/>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934">
    <w:name w:val="Char4 Char Char Char6"/>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935">
    <w:name w:val="Char4 Char Char Char3"/>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936">
    <w:name w:val="Char Char Char Char Char Char Char5"/>
    <w:basedOn w:val="1"/>
    <w:link w:val="937"/>
    <w:qFormat/>
    <w:uiPriority w:val="0"/>
  </w:style>
  <w:style w:type="character" w:customStyle="1" w:styleId="937">
    <w:name w:val="Char Char Char Char Char Char Char Char"/>
    <w:link w:val="936"/>
    <w:qFormat/>
    <w:uiPriority w:val="0"/>
    <w:rPr>
      <w:kern w:val="2"/>
      <w:sz w:val="21"/>
      <w:szCs w:val="24"/>
    </w:rPr>
  </w:style>
  <w:style w:type="paragraph" w:customStyle="1" w:styleId="938">
    <w:name w:val="zw Char Char"/>
    <w:basedOn w:val="1"/>
    <w:link w:val="939"/>
    <w:qFormat/>
    <w:uiPriority w:val="0"/>
    <w:pPr>
      <w:spacing w:line="480" w:lineRule="exact"/>
      <w:ind w:firstLine="480" w:firstLineChars="200"/>
    </w:pPr>
    <w:rPr>
      <w:bCs/>
      <w:color w:val="000000"/>
      <w:sz w:val="24"/>
    </w:rPr>
  </w:style>
  <w:style w:type="character" w:customStyle="1" w:styleId="939">
    <w:name w:val="zw Char Char Char"/>
    <w:link w:val="938"/>
    <w:qFormat/>
    <w:uiPriority w:val="0"/>
    <w:rPr>
      <w:bCs/>
      <w:color w:val="000000"/>
      <w:kern w:val="2"/>
      <w:sz w:val="24"/>
      <w:szCs w:val="24"/>
    </w:rPr>
  </w:style>
  <w:style w:type="paragraph" w:customStyle="1" w:styleId="940">
    <w:name w:val="14"/>
    <w:qFormat/>
    <w:uiPriority w:val="0"/>
    <w:pPr>
      <w:widowControl w:val="0"/>
      <w:jc w:val="both"/>
    </w:pPr>
    <w:rPr>
      <w:rFonts w:ascii="Calibri" w:hAnsi="Calibri" w:eastAsia="宋体" w:cs="Calibri"/>
      <w:kern w:val="2"/>
      <w:sz w:val="21"/>
      <w:szCs w:val="22"/>
      <w:lang w:val="en-US" w:eastAsia="zh-CN" w:bidi="ar-SA"/>
    </w:rPr>
  </w:style>
  <w:style w:type="character" w:customStyle="1" w:styleId="941">
    <w:name w:val="标题1 Char"/>
    <w:qFormat/>
    <w:uiPriority w:val="0"/>
    <w:rPr>
      <w:rFonts w:ascii="Times New Roman" w:hAnsi="Times New Roman" w:eastAsia="宋体"/>
      <w:b/>
      <w:color w:val="000000"/>
      <w:sz w:val="28"/>
      <w:szCs w:val="28"/>
    </w:rPr>
  </w:style>
  <w:style w:type="character" w:customStyle="1" w:styleId="942">
    <w:name w:val="标题3 Char"/>
    <w:qFormat/>
    <w:uiPriority w:val="0"/>
    <w:rPr>
      <w:rFonts w:ascii="Times New Roman" w:hAnsi="Times New Roman" w:eastAsia="宋体"/>
      <w:b/>
      <w:bCs/>
      <w:color w:val="000000"/>
      <w:sz w:val="24"/>
    </w:rPr>
  </w:style>
  <w:style w:type="paragraph" w:customStyle="1" w:styleId="943">
    <w:name w:val="标题4 第1条"/>
    <w:basedOn w:val="8"/>
    <w:qFormat/>
    <w:uiPriority w:val="0"/>
    <w:pPr>
      <w:numPr>
        <w:ilvl w:val="0"/>
        <w:numId w:val="3"/>
      </w:numPr>
      <w:spacing w:beforeLines="10" w:afterLines="10" w:line="288" w:lineRule="auto"/>
      <w:ind w:left="0" w:firstLine="0" w:firstLineChars="200"/>
    </w:pPr>
    <w:rPr>
      <w:rFonts w:ascii="Cambria" w:hAnsi="Cambria" w:eastAsia="宋体"/>
      <w:b w:val="0"/>
      <w:sz w:val="24"/>
    </w:rPr>
  </w:style>
  <w:style w:type="paragraph" w:customStyle="1" w:styleId="944">
    <w:name w:val="样式 纯文本表内文字 + 楷体_GB2312 左"/>
    <w:basedOn w:val="1"/>
    <w:qFormat/>
    <w:uiPriority w:val="0"/>
    <w:pPr>
      <w:tabs>
        <w:tab w:val="left" w:pos="1350"/>
      </w:tabs>
      <w:autoSpaceDE w:val="0"/>
      <w:autoSpaceDN w:val="0"/>
      <w:adjustRightInd w:val="0"/>
      <w:snapToGrid w:val="0"/>
      <w:spacing w:beforeLines="10" w:afterLines="10" w:line="320" w:lineRule="exact"/>
      <w:ind w:firstLine="200" w:firstLineChars="200"/>
      <w:jc w:val="left"/>
    </w:pPr>
    <w:rPr>
      <w:rFonts w:ascii="Arial" w:hAnsi="Arial" w:eastAsia="楷体_GB2312"/>
      <w:sz w:val="24"/>
      <w:szCs w:val="20"/>
    </w:rPr>
  </w:style>
  <w:style w:type="paragraph" w:customStyle="1" w:styleId="945">
    <w:name w:val="图头11"/>
    <w:basedOn w:val="1"/>
    <w:link w:val="946"/>
    <w:qFormat/>
    <w:uiPriority w:val="0"/>
    <w:pPr>
      <w:adjustRightInd w:val="0"/>
      <w:snapToGrid w:val="0"/>
      <w:spacing w:afterLines="100" w:line="0" w:lineRule="atLeast"/>
      <w:jc w:val="center"/>
    </w:pPr>
    <w:rPr>
      <w:b/>
      <w:kern w:val="0"/>
      <w:sz w:val="24"/>
    </w:rPr>
  </w:style>
  <w:style w:type="character" w:customStyle="1" w:styleId="946">
    <w:name w:val="图头11 Char"/>
    <w:link w:val="945"/>
    <w:qFormat/>
    <w:uiPriority w:val="0"/>
    <w:rPr>
      <w:b/>
      <w:snapToGrid/>
      <w:sz w:val="24"/>
      <w:szCs w:val="24"/>
    </w:rPr>
  </w:style>
  <w:style w:type="paragraph" w:customStyle="1" w:styleId="947">
    <w:name w:val="样式8"/>
    <w:basedOn w:val="1"/>
    <w:link w:val="948"/>
    <w:qFormat/>
    <w:uiPriority w:val="0"/>
    <w:pPr>
      <w:adjustRightInd w:val="0"/>
      <w:snapToGrid w:val="0"/>
      <w:spacing w:beforeLines="10" w:afterLines="10" w:line="300" w:lineRule="exact"/>
      <w:ind w:firstLine="200" w:firstLineChars="200"/>
      <w:jc w:val="center"/>
    </w:pPr>
    <w:rPr>
      <w:rFonts w:ascii="Arial" w:cs="Arial"/>
      <w:sz w:val="24"/>
      <w:szCs w:val="21"/>
    </w:rPr>
  </w:style>
  <w:style w:type="character" w:customStyle="1" w:styleId="948">
    <w:name w:val="样式8 Char"/>
    <w:link w:val="947"/>
    <w:qFormat/>
    <w:uiPriority w:val="0"/>
    <w:rPr>
      <w:rFonts w:ascii="Arial" w:cs="Arial"/>
      <w:kern w:val="2"/>
      <w:sz w:val="24"/>
      <w:szCs w:val="21"/>
    </w:rPr>
  </w:style>
  <w:style w:type="paragraph" w:customStyle="1" w:styleId="949">
    <w:name w:val="样式 宋体 五号 首行缩进:  2 字符"/>
    <w:basedOn w:val="1"/>
    <w:next w:val="1"/>
    <w:qFormat/>
    <w:uiPriority w:val="0"/>
    <w:pPr>
      <w:spacing w:beforeLines="10" w:afterLines="10" w:line="360" w:lineRule="auto"/>
      <w:ind w:firstLine="200" w:firstLineChars="200"/>
      <w:jc w:val="center"/>
    </w:pPr>
    <w:rPr>
      <w:rFonts w:cs="宋体"/>
      <w:sz w:val="24"/>
      <w:szCs w:val="21"/>
    </w:rPr>
  </w:style>
  <w:style w:type="paragraph" w:customStyle="1" w:styleId="950">
    <w:name w:val="CM26"/>
    <w:basedOn w:val="1"/>
    <w:next w:val="1"/>
    <w:qFormat/>
    <w:uiPriority w:val="99"/>
    <w:pPr>
      <w:autoSpaceDE w:val="0"/>
      <w:autoSpaceDN w:val="0"/>
      <w:adjustRightInd w:val="0"/>
      <w:spacing w:beforeLines="10" w:afterLines="10" w:line="471" w:lineRule="atLeast"/>
      <w:ind w:firstLine="200" w:firstLineChars="200"/>
      <w:jc w:val="left"/>
    </w:pPr>
    <w:rPr>
      <w:rFonts w:ascii="宋体"/>
      <w:kern w:val="0"/>
      <w:sz w:val="24"/>
    </w:rPr>
  </w:style>
  <w:style w:type="paragraph" w:customStyle="1" w:styleId="951">
    <w:name w:val="表文"/>
    <w:basedOn w:val="1"/>
    <w:link w:val="952"/>
    <w:qFormat/>
    <w:uiPriority w:val="0"/>
    <w:pPr>
      <w:widowControl/>
      <w:spacing w:beforeLines="10" w:afterLines="10" w:line="360" w:lineRule="auto"/>
      <w:ind w:firstLine="200" w:firstLineChars="200"/>
      <w:jc w:val="center"/>
    </w:pPr>
    <w:rPr>
      <w:rFonts w:ascii="宋体" w:hAnsi="宋体"/>
      <w:kern w:val="0"/>
      <w:sz w:val="24"/>
      <w:szCs w:val="18"/>
    </w:rPr>
  </w:style>
  <w:style w:type="character" w:customStyle="1" w:styleId="952">
    <w:name w:val="表文 Char2"/>
    <w:link w:val="951"/>
    <w:qFormat/>
    <w:uiPriority w:val="0"/>
    <w:rPr>
      <w:rFonts w:ascii="宋体" w:hAnsi="宋体"/>
      <w:sz w:val="24"/>
      <w:szCs w:val="18"/>
    </w:rPr>
  </w:style>
  <w:style w:type="paragraph" w:customStyle="1" w:styleId="953">
    <w:name w:val="char"/>
    <w:basedOn w:val="1"/>
    <w:qFormat/>
    <w:uiPriority w:val="0"/>
    <w:pPr>
      <w:widowControl/>
      <w:spacing w:beforeLines="10" w:afterLines="10" w:line="360" w:lineRule="auto"/>
      <w:ind w:firstLine="200" w:firstLineChars="200"/>
      <w:jc w:val="left"/>
    </w:pPr>
    <w:rPr>
      <w:rFonts w:ascii="Verdana" w:hAnsi="Verdana" w:eastAsia="仿宋_GB2312" w:cs="”“Times New Roman”“"/>
      <w:kern w:val="0"/>
      <w:sz w:val="28"/>
      <w:szCs w:val="28"/>
      <w:lang w:eastAsia="en-US"/>
    </w:rPr>
  </w:style>
  <w:style w:type="character" w:customStyle="1" w:styleId="954">
    <w:name w:val="03表格文字 Char"/>
    <w:link w:val="955"/>
    <w:qFormat/>
    <w:uiPriority w:val="0"/>
    <w:rPr>
      <w:sz w:val="22"/>
    </w:rPr>
  </w:style>
  <w:style w:type="paragraph" w:customStyle="1" w:styleId="955">
    <w:name w:val="03表格文字"/>
    <w:basedOn w:val="1"/>
    <w:link w:val="954"/>
    <w:qFormat/>
    <w:uiPriority w:val="0"/>
    <w:pPr>
      <w:adjustRightInd w:val="0"/>
      <w:snapToGrid w:val="0"/>
      <w:spacing w:beforeLines="10" w:afterLines="10" w:line="360" w:lineRule="exact"/>
      <w:ind w:firstLine="200" w:firstLineChars="200"/>
      <w:jc w:val="center"/>
    </w:pPr>
    <w:rPr>
      <w:kern w:val="0"/>
      <w:sz w:val="22"/>
      <w:szCs w:val="20"/>
    </w:rPr>
  </w:style>
  <w:style w:type="table" w:customStyle="1" w:styleId="956">
    <w:name w:val="网格型刘1"/>
    <w:basedOn w:val="8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57">
    <w:name w:val="body"/>
    <w:basedOn w:val="1"/>
    <w:qFormat/>
    <w:uiPriority w:val="0"/>
    <w:pPr>
      <w:spacing w:line="360" w:lineRule="auto"/>
      <w:ind w:firstLine="480" w:firstLineChars="200"/>
    </w:pPr>
    <w:rPr>
      <w:rFonts w:ascii="宋体" w:hAnsi="宋体"/>
      <w:sz w:val="24"/>
    </w:rPr>
  </w:style>
  <w:style w:type="paragraph" w:customStyle="1" w:styleId="958">
    <w:name w:val="样式 表格文字 +"/>
    <w:basedOn w:val="1"/>
    <w:link w:val="959"/>
    <w:qFormat/>
    <w:uiPriority w:val="0"/>
    <w:pPr>
      <w:adjustRightInd w:val="0"/>
      <w:snapToGrid w:val="0"/>
      <w:spacing w:line="348" w:lineRule="auto"/>
      <w:jc w:val="center"/>
      <w:textAlignment w:val="baseline"/>
    </w:pPr>
    <w:rPr>
      <w:szCs w:val="72"/>
    </w:rPr>
  </w:style>
  <w:style w:type="character" w:customStyle="1" w:styleId="959">
    <w:name w:val="样式 表格文字 + Char"/>
    <w:link w:val="958"/>
    <w:qFormat/>
    <w:uiPriority w:val="0"/>
    <w:rPr>
      <w:kern w:val="2"/>
      <w:sz w:val="21"/>
      <w:szCs w:val="72"/>
    </w:rPr>
  </w:style>
  <w:style w:type="character" w:customStyle="1" w:styleId="960">
    <w:name w:val="defaultfont1"/>
    <w:qFormat/>
    <w:uiPriority w:val="0"/>
  </w:style>
  <w:style w:type="paragraph" w:customStyle="1" w:styleId="961">
    <w:name w:val="0.25"/>
    <w:basedOn w:val="1"/>
    <w:qFormat/>
    <w:uiPriority w:val="0"/>
    <w:pPr>
      <w:spacing w:beforeLines="50" w:line="300" w:lineRule="auto"/>
      <w:ind w:firstLine="480" w:firstLineChars="200"/>
    </w:pPr>
    <w:rPr>
      <w:rFonts w:ascii="宋体" w:hAnsi="宋体"/>
      <w:sz w:val="24"/>
    </w:rPr>
  </w:style>
  <w:style w:type="paragraph" w:customStyle="1" w:styleId="962">
    <w:name w:val="图题-HF"/>
    <w:basedOn w:val="910"/>
    <w:link w:val="963"/>
    <w:qFormat/>
    <w:uiPriority w:val="2"/>
  </w:style>
  <w:style w:type="character" w:customStyle="1" w:styleId="963">
    <w:name w:val="图题-HF 字符"/>
    <w:link w:val="962"/>
    <w:qFormat/>
    <w:uiPriority w:val="2"/>
    <w:rPr>
      <w:b/>
      <w:kern w:val="2"/>
      <w:sz w:val="24"/>
      <w:szCs w:val="21"/>
    </w:rPr>
  </w:style>
  <w:style w:type="character" w:customStyle="1" w:styleId="964">
    <w:name w:val="流程图 Char1"/>
    <w:qFormat/>
    <w:uiPriority w:val="0"/>
    <w:rPr>
      <w:rFonts w:ascii="Times New Roman" w:hAnsi="Times New Roman" w:eastAsia="宋体" w:cs="Times New Roman"/>
      <w:szCs w:val="21"/>
    </w:rPr>
  </w:style>
  <w:style w:type="paragraph" w:customStyle="1" w:styleId="965">
    <w:name w:val="图"/>
    <w:basedOn w:val="1"/>
    <w:qFormat/>
    <w:uiPriority w:val="0"/>
    <w:pPr>
      <w:spacing w:beforeLines="35" w:afterLines="35" w:line="360" w:lineRule="auto"/>
      <w:jc w:val="center"/>
    </w:pPr>
    <w:rPr>
      <w:b/>
      <w:sz w:val="24"/>
    </w:rPr>
  </w:style>
  <w:style w:type="paragraph" w:customStyle="1" w:styleId="966">
    <w:name w:val="样式 标题 1 + 段前: 0.5 行 段后: 0.5 行"/>
    <w:basedOn w:val="5"/>
    <w:qFormat/>
    <w:uiPriority w:val="0"/>
    <w:pPr>
      <w:keepLines/>
      <w:overflowPunct/>
      <w:snapToGrid/>
      <w:spacing w:before="0" w:beforeLines="10" w:after="0" w:afterLines="10" w:line="578" w:lineRule="auto"/>
      <w:ind w:left="0" w:firstLine="200" w:firstLineChars="200"/>
    </w:pPr>
    <w:rPr>
      <w:rFonts w:eastAsia="宋体"/>
      <w:color w:val="auto"/>
      <w:sz w:val="44"/>
      <w:szCs w:val="44"/>
    </w:rPr>
  </w:style>
  <w:style w:type="paragraph" w:customStyle="1" w:styleId="967">
    <w:name w:val="样式 标题 2 + 段前: 0.5 行 段后: 0.5 行"/>
    <w:basedOn w:val="6"/>
    <w:qFormat/>
    <w:uiPriority w:val="0"/>
    <w:pPr>
      <w:spacing w:beforeLines="10" w:afterLines="10"/>
      <w:ind w:firstLine="200" w:firstLineChars="200"/>
    </w:pPr>
    <w:rPr>
      <w:rFonts w:ascii="Cambria" w:hAnsi="Cambria" w:eastAsia="宋体"/>
    </w:rPr>
  </w:style>
  <w:style w:type="paragraph" w:customStyle="1" w:styleId="968">
    <w:name w:val="样式 四号 居中"/>
    <w:basedOn w:val="1"/>
    <w:qFormat/>
    <w:uiPriority w:val="0"/>
    <w:pPr>
      <w:adjustRightInd w:val="0"/>
      <w:spacing w:beforeLines="50" w:afterLines="50" w:line="460" w:lineRule="exact"/>
      <w:ind w:firstLine="200" w:firstLineChars="200"/>
      <w:jc w:val="center"/>
      <w:textAlignment w:val="baseline"/>
    </w:pPr>
    <w:rPr>
      <w:rFonts w:cs="宋体"/>
      <w:sz w:val="24"/>
      <w:szCs w:val="20"/>
    </w:rPr>
  </w:style>
  <w:style w:type="paragraph" w:customStyle="1" w:styleId="969">
    <w:name w:val="样式 宋体 小四 行距: 固定值 23 磅"/>
    <w:basedOn w:val="1"/>
    <w:semiHidden/>
    <w:qFormat/>
    <w:uiPriority w:val="0"/>
    <w:pPr>
      <w:spacing w:beforeLines="50" w:afterLines="50" w:line="460" w:lineRule="exact"/>
      <w:ind w:firstLine="464" w:firstLineChars="200"/>
    </w:pPr>
    <w:rPr>
      <w:rFonts w:ascii="宋体" w:hAnsi="宋体" w:cs="宋体"/>
      <w:sz w:val="24"/>
      <w:szCs w:val="20"/>
    </w:rPr>
  </w:style>
  <w:style w:type="paragraph" w:customStyle="1" w:styleId="970">
    <w:name w:val="样式 样式 样式 首行缩进:  2 字符 + 首行缩进:  2 字符 + 首行缩进:  2 字符"/>
    <w:basedOn w:val="1"/>
    <w:semiHidden/>
    <w:qFormat/>
    <w:uiPriority w:val="0"/>
    <w:pPr>
      <w:spacing w:beforeLines="50" w:afterLines="50" w:line="420" w:lineRule="atLeast"/>
      <w:ind w:firstLine="200" w:firstLineChars="200"/>
    </w:pPr>
    <w:rPr>
      <w:rFonts w:eastAsia="仿宋_GB2312" w:cs="宋体"/>
      <w:sz w:val="24"/>
      <w:szCs w:val="20"/>
    </w:rPr>
  </w:style>
  <w:style w:type="paragraph" w:customStyle="1" w:styleId="971">
    <w:name w:val="样式 样式 样式 样式1 + 首行缩进:  2 字符 + 首行缩进:  2 字符 段前: 0.5 行 段后: 0.5 行 + 首..."/>
    <w:basedOn w:val="972"/>
    <w:semiHidden/>
    <w:qFormat/>
    <w:uiPriority w:val="0"/>
    <w:pPr>
      <w:ind w:firstLine="464"/>
    </w:pPr>
  </w:style>
  <w:style w:type="paragraph" w:customStyle="1" w:styleId="972">
    <w:name w:val="样式 样式 样式1 + 首行缩进:  2 字符 + 首行缩进:  2 字符 段前: 0.5 行 段后: 0.5 行"/>
    <w:basedOn w:val="696"/>
    <w:semiHidden/>
    <w:qFormat/>
    <w:uiPriority w:val="0"/>
    <w:pPr>
      <w:spacing w:beforeLines="50" w:afterLines="50" w:line="460" w:lineRule="exact"/>
      <w:ind w:firstLine="384"/>
    </w:pPr>
    <w:rPr>
      <w:rFonts w:ascii="仿宋_GB2312"/>
    </w:rPr>
  </w:style>
  <w:style w:type="paragraph" w:customStyle="1" w:styleId="973">
    <w:name w:val="样式 样式 样式 样式1 + 首行缩进:  2 字符 + 首行缩进:  2 字符 段前: 0.5 行 段后: 0.5 行 + 首...1"/>
    <w:basedOn w:val="972"/>
    <w:semiHidden/>
    <w:qFormat/>
    <w:uiPriority w:val="0"/>
    <w:pPr>
      <w:ind w:firstLine="464"/>
    </w:pPr>
  </w:style>
  <w:style w:type="paragraph" w:customStyle="1" w:styleId="974">
    <w:name w:val="样式 样式1 + 首行缩进:  2 字符 Char Char Char Char Char Char"/>
    <w:basedOn w:val="1"/>
    <w:semiHidden/>
    <w:qFormat/>
    <w:uiPriority w:val="0"/>
    <w:pPr>
      <w:spacing w:beforeLines="50" w:afterLines="50" w:line="460" w:lineRule="exact"/>
      <w:ind w:firstLine="480" w:firstLineChars="200"/>
    </w:pPr>
    <w:rPr>
      <w:rFonts w:cs="宋体"/>
      <w:kern w:val="0"/>
      <w:sz w:val="24"/>
      <w:szCs w:val="20"/>
      <w:lang w:val="zh-CN"/>
    </w:rPr>
  </w:style>
  <w:style w:type="paragraph" w:customStyle="1" w:styleId="975">
    <w:name w:val="样式 样式1 + 首行缩进:  2 字符 Char Char Char Char Char Char Char Char"/>
    <w:basedOn w:val="1"/>
    <w:semiHidden/>
    <w:qFormat/>
    <w:uiPriority w:val="0"/>
    <w:pPr>
      <w:spacing w:beforeLines="50" w:afterLines="50" w:line="460" w:lineRule="exact"/>
      <w:ind w:firstLine="480" w:firstLineChars="200"/>
    </w:pPr>
    <w:rPr>
      <w:rFonts w:cs="宋体"/>
      <w:sz w:val="24"/>
      <w:szCs w:val="21"/>
      <w:lang w:val="zh-CN"/>
    </w:rPr>
  </w:style>
  <w:style w:type="character" w:customStyle="1" w:styleId="976">
    <w:name w:val="样式1 Char Char"/>
    <w:qFormat/>
    <w:uiPriority w:val="0"/>
    <w:rPr>
      <w:rFonts w:eastAsia="宋体"/>
      <w:sz w:val="24"/>
      <w:szCs w:val="21"/>
      <w:lang w:val="zh-CN" w:eastAsia="zh-CN" w:bidi="ar-SA"/>
    </w:rPr>
  </w:style>
  <w:style w:type="character" w:customStyle="1" w:styleId="977">
    <w:name w:val="pt93"/>
    <w:qFormat/>
    <w:uiPriority w:val="0"/>
    <w:rPr>
      <w:color w:val="000000"/>
      <w:sz w:val="18"/>
      <w:szCs w:val="18"/>
      <w:u w:val="none"/>
    </w:rPr>
  </w:style>
  <w:style w:type="table" w:customStyle="1" w:styleId="978">
    <w:name w:val="表格样式1"/>
    <w:basedOn w:val="81"/>
    <w:qFormat/>
    <w:uiPriority w:val="0"/>
  </w:style>
  <w:style w:type="paragraph" w:customStyle="1" w:styleId="979">
    <w:name w:val="Char Char Char Char Char Char Char Char Char Char Char Char1 Char Char Char Char Char Char Char Char Char Char Char Char Char Char Char Char Char Char Char"/>
    <w:basedOn w:val="1"/>
    <w:qFormat/>
    <w:uiPriority w:val="0"/>
    <w:pPr>
      <w:spacing w:line="360" w:lineRule="auto"/>
      <w:ind w:firstLine="200" w:firstLineChars="200"/>
    </w:pPr>
    <w:rPr>
      <w:rFonts w:ascii="宋体" w:hAnsi="宋体" w:cs="宋体"/>
      <w:sz w:val="24"/>
      <w:szCs w:val="26"/>
    </w:rPr>
  </w:style>
  <w:style w:type="table" w:customStyle="1" w:styleId="980">
    <w:name w:val="表格样式-ls"/>
    <w:basedOn w:val="81"/>
    <w:qFormat/>
    <w:uiPriority w:val="0"/>
    <w:pPr>
      <w:widowControl w:val="0"/>
      <w:adjustRightInd w:val="0"/>
      <w:spacing w:line="360" w:lineRule="exact"/>
      <w:jc w:val="center"/>
      <w:textAlignment w:val="center"/>
    </w:pPr>
    <w:rPr>
      <w:szCs w:val="21"/>
    </w:rPr>
    <w:tblPr>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
    <w:trPr>
      <w:jc w:val="center"/>
    </w:trPr>
    <w:tcPr>
      <w:shd w:val="clear" w:color="auto" w:fill="auto"/>
      <w:vAlign w:val="center"/>
    </w:tcPr>
    <w:tblStylePr w:type="firstRow">
      <w:pPr>
        <w:jc w:val="center"/>
      </w:pPr>
      <w:rPr>
        <w:rFonts w:eastAsia="仿宋_GB2312"/>
        <w:b w:val="0"/>
        <w:bCs/>
        <w:color w:val="auto"/>
        <w:sz w:val="21"/>
      </w:rPr>
      <w:tcPr>
        <w:tcBorders>
          <w:top w:val="nil"/>
          <w:left w:val="nil"/>
          <w:bottom w:val="nil"/>
          <w:right w:val="nil"/>
          <w:insideH w:val="nil"/>
          <w:insideV w:val="nil"/>
          <w:tl2br w:val="nil"/>
          <w:tr2bl w:val="nil"/>
        </w:tcBorders>
        <w:shd w:val="pct20" w:color="000000" w:fill="FFFFFF"/>
      </w:tcPr>
    </w:tblStylePr>
  </w:style>
  <w:style w:type="paragraph" w:customStyle="1" w:styleId="981">
    <w:name w:val="一级标题"/>
    <w:next w:val="982"/>
    <w:qFormat/>
    <w:uiPriority w:val="0"/>
    <w:pPr>
      <w:tabs>
        <w:tab w:val="left" w:pos="425"/>
        <w:tab w:val="left" w:pos="9720"/>
      </w:tabs>
      <w:ind w:left="425" w:hanging="425"/>
    </w:pPr>
    <w:rPr>
      <w:rFonts w:ascii="Calibri" w:hAnsi="Calibri" w:eastAsia="黑体" w:cs="Calibri"/>
      <w:sz w:val="30"/>
      <w:lang w:val="en-US" w:eastAsia="zh-CN" w:bidi="ar-SA"/>
    </w:rPr>
  </w:style>
  <w:style w:type="paragraph" w:customStyle="1" w:styleId="982">
    <w:name w:val="二级标题"/>
    <w:next w:val="1"/>
    <w:link w:val="983"/>
    <w:qFormat/>
    <w:uiPriority w:val="0"/>
    <w:pPr>
      <w:spacing w:before="120" w:after="120"/>
    </w:pPr>
    <w:rPr>
      <w:rFonts w:ascii="Calibri" w:hAnsi="Calibri" w:eastAsia="宋体" w:cs="Calibri"/>
      <w:b/>
      <w:sz w:val="28"/>
      <w:lang w:val="en-US" w:eastAsia="zh-CN" w:bidi="ar-SA"/>
    </w:rPr>
  </w:style>
  <w:style w:type="character" w:customStyle="1" w:styleId="983">
    <w:name w:val="二级标题 Char Char"/>
    <w:link w:val="982"/>
    <w:qFormat/>
    <w:uiPriority w:val="0"/>
    <w:rPr>
      <w:b/>
      <w:sz w:val="28"/>
    </w:rPr>
  </w:style>
  <w:style w:type="paragraph" w:customStyle="1" w:styleId="984">
    <w:name w:val="样式 标题 1 + 华文中宋 两端对齐 左侧:  0 厘米"/>
    <w:basedOn w:val="5"/>
    <w:qFormat/>
    <w:uiPriority w:val="0"/>
    <w:pPr>
      <w:keepLines/>
      <w:overflowPunct/>
      <w:snapToGrid/>
      <w:spacing w:before="0" w:beforeLines="10" w:after="0" w:afterLines="10" w:line="578" w:lineRule="auto"/>
      <w:ind w:left="0" w:firstLine="200" w:firstLineChars="200"/>
    </w:pPr>
    <w:rPr>
      <w:rFonts w:eastAsia="宋体"/>
      <w:color w:val="auto"/>
      <w:sz w:val="44"/>
      <w:szCs w:val="44"/>
    </w:rPr>
  </w:style>
  <w:style w:type="paragraph" w:customStyle="1" w:styleId="985">
    <w:name w:val="CC Char Char Char Char Char Char"/>
    <w:basedOn w:val="50"/>
    <w:next w:val="50"/>
    <w:qFormat/>
    <w:uiPriority w:val="0"/>
    <w:pPr>
      <w:spacing w:after="0" w:line="240" w:lineRule="auto"/>
      <w:ind w:left="0" w:leftChars="0"/>
    </w:pPr>
    <w:rPr>
      <w:szCs w:val="22"/>
    </w:rPr>
  </w:style>
  <w:style w:type="paragraph" w:customStyle="1" w:styleId="986">
    <w:name w:val="正文文字"/>
    <w:basedOn w:val="1"/>
    <w:link w:val="987"/>
    <w:qFormat/>
    <w:uiPriority w:val="0"/>
    <w:pPr>
      <w:snapToGrid w:val="0"/>
      <w:spacing w:beforeLines="50" w:line="312" w:lineRule="auto"/>
      <w:ind w:firstLine="540" w:firstLineChars="225"/>
    </w:pPr>
    <w:rPr>
      <w:rFonts w:ascii="Arial" w:hAnsi="Arial" w:eastAsia="仿宋_GB2312" w:cs="Arial"/>
      <w:bCs/>
      <w:kern w:val="0"/>
      <w:sz w:val="24"/>
      <w:lang w:val="de-DE"/>
    </w:rPr>
  </w:style>
  <w:style w:type="character" w:customStyle="1" w:styleId="987">
    <w:name w:val="正文文字 字符"/>
    <w:link w:val="986"/>
    <w:qFormat/>
    <w:uiPriority w:val="0"/>
    <w:rPr>
      <w:rFonts w:ascii="Arial" w:hAnsi="Arial" w:eastAsia="仿宋_GB2312" w:cs="Arial"/>
      <w:bCs/>
      <w:sz w:val="24"/>
      <w:szCs w:val="24"/>
      <w:lang w:val="de-DE"/>
    </w:rPr>
  </w:style>
  <w:style w:type="paragraph" w:customStyle="1" w:styleId="988">
    <w:name w:val="Char Char1 Char Char Char Char"/>
    <w:basedOn w:val="1"/>
    <w:qFormat/>
    <w:uiPriority w:val="0"/>
    <w:rPr>
      <w:sz w:val="24"/>
    </w:rPr>
  </w:style>
  <w:style w:type="paragraph" w:customStyle="1" w:styleId="989">
    <w:name w:val="Char2 Char Char Char Char Char Char"/>
    <w:basedOn w:val="1"/>
    <w:qFormat/>
    <w:uiPriority w:val="0"/>
  </w:style>
  <w:style w:type="paragraph" w:customStyle="1" w:styleId="990">
    <w:name w:val="王向东正文"/>
    <w:qFormat/>
    <w:uiPriority w:val="0"/>
    <w:pPr>
      <w:ind w:right="17" w:rightChars="8" w:firstLine="480" w:firstLineChars="200"/>
    </w:pPr>
    <w:rPr>
      <w:rFonts w:ascii="宋体" w:hAnsi="宋体" w:eastAsia="宋体" w:cs="幼圆"/>
      <w:kern w:val="2"/>
      <w:sz w:val="24"/>
      <w:szCs w:val="24"/>
      <w:lang w:val="en-US" w:eastAsia="zh-CN" w:bidi="ar-SA"/>
    </w:rPr>
  </w:style>
  <w:style w:type="paragraph" w:customStyle="1" w:styleId="991">
    <w:name w:val="样式13"/>
    <w:basedOn w:val="1"/>
    <w:qFormat/>
    <w:uiPriority w:val="0"/>
    <w:pPr>
      <w:autoSpaceDE w:val="0"/>
      <w:autoSpaceDN w:val="0"/>
      <w:adjustRightInd w:val="0"/>
      <w:snapToGrid w:val="0"/>
      <w:spacing w:beforeLines="50" w:line="480" w:lineRule="exact"/>
      <w:jc w:val="center"/>
      <w:outlineLvl w:val="4"/>
    </w:pPr>
    <w:rPr>
      <w:sz w:val="26"/>
      <w:szCs w:val="26"/>
      <w:lang w:val="zh-CN"/>
    </w:rPr>
  </w:style>
  <w:style w:type="paragraph" w:customStyle="1" w:styleId="992">
    <w:name w:val="样式14"/>
    <w:basedOn w:val="1"/>
    <w:link w:val="993"/>
    <w:qFormat/>
    <w:uiPriority w:val="0"/>
    <w:pPr>
      <w:autoSpaceDE w:val="0"/>
      <w:autoSpaceDN w:val="0"/>
      <w:adjustRightInd w:val="0"/>
      <w:spacing w:line="320" w:lineRule="atLeast"/>
      <w:jc w:val="center"/>
    </w:pPr>
    <w:rPr>
      <w:sz w:val="22"/>
      <w:szCs w:val="22"/>
      <w:lang w:val="zh-CN"/>
    </w:rPr>
  </w:style>
  <w:style w:type="character" w:customStyle="1" w:styleId="993">
    <w:name w:val="样式14 Char"/>
    <w:link w:val="992"/>
    <w:qFormat/>
    <w:uiPriority w:val="0"/>
    <w:rPr>
      <w:kern w:val="2"/>
      <w:sz w:val="22"/>
      <w:szCs w:val="22"/>
      <w:lang w:val="zh-CN"/>
    </w:rPr>
  </w:style>
  <w:style w:type="paragraph" w:customStyle="1" w:styleId="994">
    <w:name w:val="T表格"/>
    <w:qFormat/>
    <w:uiPriority w:val="0"/>
    <w:pPr>
      <w:widowControl w:val="0"/>
      <w:spacing w:line="280" w:lineRule="exact"/>
      <w:jc w:val="center"/>
    </w:pPr>
    <w:rPr>
      <w:rFonts w:ascii="宋体" w:hAnsi="宋体" w:eastAsia="宋体" w:cs="Calibri"/>
      <w:sz w:val="21"/>
      <w:szCs w:val="21"/>
      <w:lang w:val="en-US" w:eastAsia="zh-CN" w:bidi="ar-SA"/>
    </w:rPr>
  </w:style>
  <w:style w:type="paragraph" w:customStyle="1" w:styleId="995">
    <w:name w:val="z正文"/>
    <w:basedOn w:val="35"/>
    <w:qFormat/>
    <w:uiPriority w:val="0"/>
    <w:pPr>
      <w:autoSpaceDE w:val="0"/>
      <w:autoSpaceDN w:val="0"/>
      <w:adjustRightInd w:val="0"/>
      <w:snapToGrid w:val="0"/>
      <w:spacing w:line="360" w:lineRule="auto"/>
      <w:ind w:left="0" w:leftChars="0" w:firstLine="200" w:firstLineChars="200"/>
      <w:textAlignment w:val="baseline"/>
    </w:pPr>
    <w:rPr>
      <w:szCs w:val="24"/>
    </w:rPr>
  </w:style>
  <w:style w:type="character" w:customStyle="1" w:styleId="996">
    <w:name w:val="datatitle1"/>
    <w:qFormat/>
    <w:uiPriority w:val="0"/>
    <w:rPr>
      <w:b/>
      <w:bCs/>
      <w:color w:val="10619F"/>
      <w:sz w:val="21"/>
      <w:szCs w:val="21"/>
    </w:rPr>
  </w:style>
  <w:style w:type="paragraph" w:customStyle="1" w:styleId="997">
    <w:name w:val="Char Char Char Char Char Char"/>
    <w:basedOn w:val="1"/>
    <w:qFormat/>
    <w:uiPriority w:val="0"/>
    <w:rPr>
      <w:rFonts w:ascii="宋体" w:hAnsi="宋体"/>
      <w:sz w:val="24"/>
    </w:rPr>
  </w:style>
  <w:style w:type="paragraph" w:customStyle="1" w:styleId="998">
    <w:name w:val="Char1 Char Char Char"/>
    <w:basedOn w:val="1"/>
    <w:qFormat/>
    <w:uiPriority w:val="0"/>
    <w:pPr>
      <w:spacing w:line="440" w:lineRule="exact"/>
    </w:pPr>
    <w:rPr>
      <w:rFonts w:ascii="宋体" w:hAnsi="宋体"/>
      <w:sz w:val="24"/>
    </w:rPr>
  </w:style>
  <w:style w:type="character" w:customStyle="1" w:styleId="999">
    <w:name w:val="word3noad"/>
    <w:qFormat/>
    <w:uiPriority w:val="0"/>
  </w:style>
  <w:style w:type="character" w:customStyle="1" w:styleId="1000">
    <w:name w:val="标题 2-xh Char Char"/>
    <w:qFormat/>
    <w:uiPriority w:val="0"/>
    <w:rPr>
      <w:rFonts w:ascii="Arial" w:hAnsi="Arial" w:eastAsia="黑体"/>
      <w:b/>
      <w:bCs/>
      <w:kern w:val="2"/>
      <w:sz w:val="32"/>
      <w:szCs w:val="32"/>
      <w:lang w:val="en-US" w:eastAsia="zh-CN" w:bidi="ar-SA"/>
    </w:rPr>
  </w:style>
  <w:style w:type="paragraph" w:customStyle="1" w:styleId="1001">
    <w:name w:val="表格头"/>
    <w:basedOn w:val="1"/>
    <w:qFormat/>
    <w:uiPriority w:val="0"/>
    <w:pPr>
      <w:adjustRightInd w:val="0"/>
      <w:snapToGrid w:val="0"/>
      <w:spacing w:line="348" w:lineRule="auto"/>
      <w:jc w:val="center"/>
    </w:pPr>
    <w:rPr>
      <w:sz w:val="28"/>
    </w:rPr>
  </w:style>
  <w:style w:type="paragraph" w:customStyle="1" w:styleId="1002">
    <w:name w:val="表格编号"/>
    <w:basedOn w:val="1"/>
    <w:next w:val="1"/>
    <w:link w:val="1003"/>
    <w:qFormat/>
    <w:uiPriority w:val="0"/>
    <w:pPr>
      <w:jc w:val="center"/>
    </w:pPr>
    <w:rPr>
      <w:sz w:val="24"/>
      <w:szCs w:val="20"/>
    </w:rPr>
  </w:style>
  <w:style w:type="character" w:customStyle="1" w:styleId="1003">
    <w:name w:val="表格编号 Char Char"/>
    <w:link w:val="1002"/>
    <w:qFormat/>
    <w:uiPriority w:val="0"/>
    <w:rPr>
      <w:kern w:val="2"/>
      <w:sz w:val="24"/>
    </w:rPr>
  </w:style>
  <w:style w:type="paragraph" w:customStyle="1" w:styleId="1004">
    <w:name w:val="样式 样式 标题 3标题 3 Char Char1.1.1条标3§1.1.1.. (1.1.1)- 3rd Order ...2..."/>
    <w:basedOn w:val="1"/>
    <w:qFormat/>
    <w:uiPriority w:val="0"/>
    <w:pPr>
      <w:tabs>
        <w:tab w:val="left" w:pos="578"/>
      </w:tabs>
      <w:spacing w:line="300" w:lineRule="auto"/>
      <w:outlineLvl w:val="2"/>
    </w:pPr>
    <w:rPr>
      <w:rFonts w:ascii="Arial" w:hAnsi="Arial Narrow"/>
      <w:b/>
      <w:bCs/>
      <w:kern w:val="0"/>
      <w:sz w:val="24"/>
    </w:rPr>
  </w:style>
  <w:style w:type="paragraph" w:customStyle="1" w:styleId="1005">
    <w:name w:val="样式 样式 标题 2_Heading 2标题 2 Char标题21.1标题 21.1节标2可研-标题 2节 Char... + ..."/>
    <w:basedOn w:val="1"/>
    <w:qFormat/>
    <w:uiPriority w:val="0"/>
    <w:pPr>
      <w:keepNext/>
      <w:tabs>
        <w:tab w:val="left" w:pos="57"/>
      </w:tabs>
      <w:adjustRightInd w:val="0"/>
      <w:snapToGrid w:val="0"/>
      <w:spacing w:line="300" w:lineRule="auto"/>
      <w:outlineLvl w:val="1"/>
    </w:pPr>
    <w:rPr>
      <w:rFonts w:ascii="Arial" w:hAnsi="Arial"/>
      <w:b/>
      <w:bCs/>
      <w:sz w:val="24"/>
    </w:rPr>
  </w:style>
  <w:style w:type="paragraph" w:customStyle="1" w:styleId="1006">
    <w:name w:val="样式 标题 1 + 小四 非加粗 段前: 6 磅 段后: 6 磅 行距: 最小值 4 磅"/>
    <w:basedOn w:val="5"/>
    <w:qFormat/>
    <w:uiPriority w:val="0"/>
    <w:pPr>
      <w:keepLines/>
      <w:overflowPunct/>
      <w:snapToGrid/>
      <w:spacing w:before="0" w:beforeLines="10" w:after="0" w:afterLines="10" w:line="578" w:lineRule="auto"/>
      <w:ind w:left="0" w:firstLine="200" w:firstLineChars="200"/>
    </w:pPr>
    <w:rPr>
      <w:rFonts w:eastAsia="宋体"/>
      <w:color w:val="auto"/>
      <w:sz w:val="44"/>
      <w:szCs w:val="44"/>
    </w:rPr>
  </w:style>
  <w:style w:type="paragraph" w:customStyle="1" w:styleId="1007">
    <w:name w:val="样式 标题 1 + 小四 段前: 7.8 磅 段后: 7.8 磅 行距: 多倍行距 1.25 字行"/>
    <w:basedOn w:val="5"/>
    <w:qFormat/>
    <w:uiPriority w:val="0"/>
    <w:pPr>
      <w:keepLines/>
      <w:overflowPunct/>
      <w:snapToGrid/>
      <w:spacing w:before="0" w:beforeLines="10" w:after="0" w:afterLines="10" w:line="578" w:lineRule="auto"/>
      <w:ind w:left="0" w:firstLine="200" w:firstLineChars="200"/>
    </w:pPr>
    <w:rPr>
      <w:rFonts w:eastAsia="宋体"/>
      <w:color w:val="auto"/>
      <w:sz w:val="44"/>
      <w:szCs w:val="44"/>
    </w:rPr>
  </w:style>
  <w:style w:type="paragraph" w:customStyle="1" w:styleId="1008">
    <w:name w:val="表格文字缩进"/>
    <w:basedOn w:val="1"/>
    <w:next w:val="1"/>
    <w:qFormat/>
    <w:uiPriority w:val="0"/>
    <w:pPr>
      <w:spacing w:line="300" w:lineRule="auto"/>
      <w:ind w:firstLine="420" w:firstLineChars="200"/>
      <w:jc w:val="center"/>
    </w:pPr>
    <w:rPr>
      <w:color w:val="000000"/>
      <w:kern w:val="0"/>
    </w:rPr>
  </w:style>
  <w:style w:type="paragraph" w:customStyle="1" w:styleId="1009">
    <w:name w:val="正文3"/>
    <w:link w:val="1010"/>
    <w:qFormat/>
    <w:uiPriority w:val="0"/>
    <w:pPr>
      <w:ind w:firstLine="480" w:firstLineChars="200"/>
    </w:pPr>
    <w:rPr>
      <w:rFonts w:ascii="Arial Narrow" w:hAnsi="Arial Narrow" w:eastAsia="宋体" w:cs="Calibri"/>
      <w:sz w:val="24"/>
      <w:lang w:val="en-US" w:eastAsia="zh-CN" w:bidi="ar-SA"/>
    </w:rPr>
  </w:style>
  <w:style w:type="character" w:customStyle="1" w:styleId="1010">
    <w:name w:val="正文 Char Char"/>
    <w:link w:val="1009"/>
    <w:qFormat/>
    <w:uiPriority w:val="0"/>
    <w:rPr>
      <w:rFonts w:ascii="Arial Narrow" w:hAnsi="Arial Narrow"/>
      <w:sz w:val="24"/>
    </w:rPr>
  </w:style>
  <w:style w:type="paragraph" w:customStyle="1" w:styleId="1011">
    <w:name w:val="Tabelle"/>
    <w:basedOn w:val="1"/>
    <w:qFormat/>
    <w:uiPriority w:val="0"/>
    <w:pPr>
      <w:widowControl/>
      <w:autoSpaceDE w:val="0"/>
      <w:autoSpaceDN w:val="0"/>
      <w:adjustRightInd w:val="0"/>
      <w:spacing w:line="300" w:lineRule="auto"/>
      <w:jc w:val="center"/>
    </w:pPr>
    <w:rPr>
      <w:rFonts w:ascii="Arial" w:hAnsi="Arial"/>
      <w:color w:val="000000"/>
      <w:kern w:val="0"/>
      <w:sz w:val="20"/>
      <w:szCs w:val="20"/>
      <w:lang w:val="en-GB"/>
    </w:rPr>
  </w:style>
  <w:style w:type="paragraph" w:customStyle="1" w:styleId="1012">
    <w:name w:val="表格文字左对齐"/>
    <w:basedOn w:val="504"/>
    <w:next w:val="504"/>
    <w:qFormat/>
    <w:uiPriority w:val="0"/>
    <w:pPr>
      <w:adjustRightInd w:val="0"/>
      <w:snapToGrid w:val="0"/>
      <w:spacing w:before="0" w:after="0" w:line="300" w:lineRule="auto"/>
      <w:jc w:val="center"/>
    </w:pPr>
    <w:rPr>
      <w:rFonts w:ascii="Arial" w:hAnsi="Arial"/>
      <w:b/>
      <w:kern w:val="0"/>
      <w:szCs w:val="21"/>
    </w:rPr>
  </w:style>
  <w:style w:type="paragraph" w:customStyle="1" w:styleId="1013">
    <w:name w:val="spalten"/>
    <w:basedOn w:val="1"/>
    <w:qFormat/>
    <w:uiPriority w:val="0"/>
    <w:pPr>
      <w:widowControl/>
      <w:tabs>
        <w:tab w:val="left" w:pos="5670"/>
        <w:tab w:val="left" w:pos="7371"/>
      </w:tabs>
      <w:spacing w:line="300" w:lineRule="auto"/>
      <w:ind w:left="3969" w:hanging="2835"/>
      <w:jc w:val="left"/>
    </w:pPr>
    <w:rPr>
      <w:rFonts w:ascii="Arial" w:hAnsi="Arial" w:eastAsia="Times New Roman"/>
      <w:color w:val="000000"/>
      <w:kern w:val="0"/>
      <w:sz w:val="22"/>
      <w:szCs w:val="20"/>
      <w:lang w:val="de-DE"/>
    </w:rPr>
  </w:style>
  <w:style w:type="paragraph" w:customStyle="1" w:styleId="1014">
    <w:name w:val="正文首行不缩进"/>
    <w:basedOn w:val="1"/>
    <w:qFormat/>
    <w:uiPriority w:val="0"/>
    <w:pPr>
      <w:keepNext/>
      <w:keepLines/>
      <w:adjustRightInd w:val="0"/>
      <w:snapToGrid w:val="0"/>
      <w:spacing w:line="360" w:lineRule="auto"/>
    </w:pPr>
    <w:rPr>
      <w:rFonts w:ascii="Arial Narrow" w:hAnsi="Arial Narrow"/>
      <w:color w:val="000000"/>
      <w:kern w:val="0"/>
      <w:sz w:val="28"/>
    </w:rPr>
  </w:style>
  <w:style w:type="paragraph" w:customStyle="1" w:styleId="1015">
    <w:name w:val="目录1"/>
    <w:basedOn w:val="1"/>
    <w:qFormat/>
    <w:uiPriority w:val="0"/>
    <w:pPr>
      <w:spacing w:line="300" w:lineRule="auto"/>
      <w:ind w:left="50" w:leftChars="50"/>
    </w:pPr>
    <w:rPr>
      <w:rFonts w:ascii="Arial Narrow" w:hAnsi="Arial Narrow" w:eastAsia="仿宋_GB2312"/>
      <w:b/>
      <w:color w:val="000000"/>
      <w:kern w:val="0"/>
      <w:sz w:val="24"/>
    </w:rPr>
  </w:style>
  <w:style w:type="paragraph" w:customStyle="1" w:styleId="1016">
    <w:name w:val="样式 五号 行距: 单倍行距 首行缩进:  0.5 字符"/>
    <w:basedOn w:val="1"/>
    <w:qFormat/>
    <w:uiPriority w:val="0"/>
    <w:pPr>
      <w:ind w:right="147" w:rightChars="147" w:firstLine="50" w:firstLineChars="50"/>
      <w:jc w:val="right"/>
    </w:pPr>
    <w:rPr>
      <w:rFonts w:ascii="Arial Narrow" w:hAnsi="Arial Narrow" w:eastAsia="仿宋_GB2312" w:cs="宋体"/>
      <w:color w:val="000000"/>
      <w:kern w:val="0"/>
      <w:szCs w:val="21"/>
    </w:rPr>
  </w:style>
  <w:style w:type="paragraph" w:customStyle="1" w:styleId="1017">
    <w:name w:val="样式 样式 五号 行距: 单倍行距 首行缩进:  0.5 字符 + 首行缩进:  0.5 字符 右侧:  1.47 字符"/>
    <w:basedOn w:val="1016"/>
    <w:qFormat/>
    <w:uiPriority w:val="0"/>
    <w:pPr>
      <w:ind w:right="353" w:firstLine="105"/>
      <w:jc w:val="left"/>
    </w:pPr>
    <w:rPr>
      <w:szCs w:val="20"/>
    </w:rPr>
  </w:style>
  <w:style w:type="paragraph" w:customStyle="1" w:styleId="1018">
    <w:name w:val="表格文字中对齐"/>
    <w:basedOn w:val="1008"/>
    <w:qFormat/>
    <w:uiPriority w:val="0"/>
    <w:pPr>
      <w:keepNext/>
      <w:keepLines/>
      <w:spacing w:beforeLines="10" w:afterLines="10" w:line="578" w:lineRule="auto"/>
      <w:ind w:firstLine="0"/>
      <w:jc w:val="both"/>
      <w:outlineLvl w:val="0"/>
    </w:pPr>
    <w:rPr>
      <w:b/>
      <w:bCs/>
      <w:color w:val="auto"/>
      <w:kern w:val="44"/>
      <w:sz w:val="44"/>
      <w:szCs w:val="44"/>
    </w:rPr>
  </w:style>
  <w:style w:type="paragraph" w:customStyle="1" w:styleId="1019">
    <w:name w:val="表格文字两端对齐"/>
    <w:basedOn w:val="1008"/>
    <w:qFormat/>
    <w:uiPriority w:val="0"/>
    <w:pPr>
      <w:keepNext/>
      <w:keepLines/>
      <w:spacing w:beforeLines="10" w:afterLines="10" w:line="578" w:lineRule="auto"/>
      <w:ind w:firstLine="0"/>
      <w:jc w:val="both"/>
      <w:outlineLvl w:val="0"/>
    </w:pPr>
    <w:rPr>
      <w:b/>
      <w:bCs/>
      <w:color w:val="auto"/>
      <w:kern w:val="44"/>
      <w:sz w:val="44"/>
      <w:szCs w:val="44"/>
    </w:rPr>
  </w:style>
  <w:style w:type="paragraph" w:customStyle="1" w:styleId="1020">
    <w:name w:val="封面分册"/>
    <w:basedOn w:val="1021"/>
    <w:next w:val="1021"/>
    <w:qFormat/>
    <w:uiPriority w:val="0"/>
    <w:rPr>
      <w:sz w:val="32"/>
    </w:rPr>
  </w:style>
  <w:style w:type="paragraph" w:customStyle="1" w:styleId="1021">
    <w:name w:val="封面项目名称"/>
    <w:basedOn w:val="1"/>
    <w:qFormat/>
    <w:uiPriority w:val="0"/>
    <w:pPr>
      <w:spacing w:line="300" w:lineRule="auto"/>
      <w:jc w:val="center"/>
    </w:pPr>
    <w:rPr>
      <w:rFonts w:eastAsia="仿宋_GB2312"/>
      <w:b/>
      <w:color w:val="000000"/>
      <w:kern w:val="0"/>
      <w:sz w:val="44"/>
    </w:rPr>
  </w:style>
  <w:style w:type="paragraph" w:customStyle="1" w:styleId="1022">
    <w:name w:val="封面首行"/>
    <w:basedOn w:val="1"/>
    <w:next w:val="1021"/>
    <w:qFormat/>
    <w:uiPriority w:val="0"/>
    <w:pPr>
      <w:spacing w:line="300" w:lineRule="auto"/>
    </w:pPr>
    <w:rPr>
      <w:rFonts w:eastAsia="仿宋_GB2312"/>
      <w:b/>
      <w:color w:val="000000"/>
      <w:kern w:val="0"/>
      <w:sz w:val="24"/>
    </w:rPr>
  </w:style>
  <w:style w:type="paragraph" w:customStyle="1" w:styleId="1023">
    <w:name w:val="表标题"/>
    <w:link w:val="1024"/>
    <w:qFormat/>
    <w:uiPriority w:val="0"/>
    <w:pPr>
      <w:spacing w:beforeLines="50" w:line="300" w:lineRule="auto"/>
      <w:jc w:val="center"/>
    </w:pPr>
    <w:rPr>
      <w:rFonts w:ascii="Arial Narrow" w:hAnsi="Arial Narrow" w:eastAsia="仿宋_GB2312" w:cs="Calibri"/>
      <w:b/>
      <w:bCs/>
      <w:spacing w:val="-4"/>
      <w:sz w:val="24"/>
      <w:szCs w:val="24"/>
      <w:lang w:val="en-US" w:eastAsia="zh-CN" w:bidi="ar-SA"/>
    </w:rPr>
  </w:style>
  <w:style w:type="character" w:customStyle="1" w:styleId="1024">
    <w:name w:val="表标题 Char"/>
    <w:link w:val="1023"/>
    <w:qFormat/>
    <w:uiPriority w:val="0"/>
    <w:rPr>
      <w:rFonts w:ascii="Arial Narrow" w:hAnsi="Arial Narrow" w:eastAsia="仿宋_GB2312"/>
      <w:b/>
      <w:bCs/>
      <w:spacing w:val="-4"/>
      <w:sz w:val="24"/>
      <w:szCs w:val="24"/>
    </w:rPr>
  </w:style>
  <w:style w:type="paragraph" w:customStyle="1" w:styleId="1025">
    <w:name w:val="表中字"/>
    <w:qFormat/>
    <w:uiPriority w:val="0"/>
    <w:pPr>
      <w:widowControl w:val="0"/>
      <w:adjustRightInd w:val="0"/>
      <w:snapToGrid w:val="0"/>
      <w:jc w:val="center"/>
    </w:pPr>
    <w:rPr>
      <w:rFonts w:ascii="Calibri" w:hAnsi="Calibri" w:eastAsia="宋体" w:cs="Calibri"/>
      <w:w w:val="90"/>
      <w:sz w:val="21"/>
      <w:lang w:val="en-US" w:eastAsia="zh-CN" w:bidi="ar-SA"/>
    </w:rPr>
  </w:style>
  <w:style w:type="paragraph" w:customStyle="1" w:styleId="1026">
    <w:name w:val="附表名称"/>
    <w:basedOn w:val="45"/>
    <w:qFormat/>
    <w:uiPriority w:val="0"/>
    <w:pPr>
      <w:suppressAutoHyphens w:val="0"/>
      <w:autoSpaceDN/>
      <w:adjustRightInd w:val="0"/>
      <w:snapToGrid w:val="0"/>
      <w:spacing w:line="360" w:lineRule="auto"/>
      <w:jc w:val="center"/>
      <w:textAlignment w:val="auto"/>
    </w:pPr>
    <w:rPr>
      <w:rFonts w:ascii="Arial Narrow" w:hAnsi="Arial Narrow" w:eastAsia="黑体" w:cs="Courier New"/>
      <w:color w:val="000000"/>
      <w:kern w:val="0"/>
      <w:sz w:val="28"/>
      <w:szCs w:val="21"/>
    </w:rPr>
  </w:style>
  <w:style w:type="paragraph" w:customStyle="1" w:styleId="1027">
    <w:name w:val="样式 样式 样式 五号 行距: 单倍行距 首行缩进:  0.5 字符 + 首行缩进:  0.5 字符 右侧:  1.47 字符 ..."/>
    <w:basedOn w:val="1017"/>
    <w:qFormat/>
    <w:uiPriority w:val="0"/>
    <w:pPr>
      <w:jc w:val="both"/>
    </w:pPr>
  </w:style>
  <w:style w:type="paragraph" w:customStyle="1" w:styleId="1028">
    <w:name w:val="目录2"/>
    <w:basedOn w:val="6"/>
    <w:qFormat/>
    <w:uiPriority w:val="0"/>
    <w:pPr>
      <w:spacing w:beforeLines="10" w:afterLines="10"/>
      <w:ind w:firstLine="200" w:firstLineChars="200"/>
    </w:pPr>
    <w:rPr>
      <w:rFonts w:ascii="Cambria" w:hAnsi="Cambria" w:eastAsia="宋体"/>
    </w:rPr>
  </w:style>
  <w:style w:type="paragraph" w:customStyle="1" w:styleId="1029">
    <w:name w:val="表字"/>
    <w:basedOn w:val="1"/>
    <w:link w:val="1030"/>
    <w:qFormat/>
    <w:uiPriority w:val="0"/>
    <w:pPr>
      <w:spacing w:line="300" w:lineRule="auto"/>
      <w:jc w:val="center"/>
    </w:pPr>
    <w:rPr>
      <w:rFonts w:ascii="宋体"/>
      <w:color w:val="000000"/>
      <w:kern w:val="0"/>
      <w:szCs w:val="20"/>
    </w:rPr>
  </w:style>
  <w:style w:type="character" w:customStyle="1" w:styleId="1030">
    <w:name w:val="表字 Char"/>
    <w:link w:val="1029"/>
    <w:qFormat/>
    <w:uiPriority w:val="0"/>
    <w:rPr>
      <w:rFonts w:ascii="宋体"/>
      <w:color w:val="000000"/>
      <w:sz w:val="21"/>
    </w:rPr>
  </w:style>
  <w:style w:type="paragraph" w:customStyle="1" w:styleId="1031">
    <w:name w:val="表标"/>
    <w:basedOn w:val="1"/>
    <w:next w:val="357"/>
    <w:qFormat/>
    <w:uiPriority w:val="0"/>
    <w:pPr>
      <w:tabs>
        <w:tab w:val="left" w:pos="3750"/>
      </w:tabs>
      <w:adjustRightInd w:val="0"/>
      <w:snapToGrid w:val="0"/>
      <w:ind w:firstLine="561" w:firstLineChars="200"/>
      <w:jc w:val="center"/>
      <w:textAlignment w:val="baseline"/>
    </w:pPr>
    <w:rPr>
      <w:rFonts w:ascii="楷体_GB2312" w:eastAsia="黑体"/>
      <w:color w:val="000000"/>
      <w:kern w:val="0"/>
      <w:sz w:val="28"/>
      <w:szCs w:val="20"/>
    </w:rPr>
  </w:style>
  <w:style w:type="paragraph" w:customStyle="1" w:styleId="1032">
    <w:name w:val="正文首行缩进2字"/>
    <w:basedOn w:val="1"/>
    <w:qFormat/>
    <w:uiPriority w:val="0"/>
    <w:pPr>
      <w:keepNext/>
      <w:keepLines/>
      <w:adjustRightInd w:val="0"/>
      <w:snapToGrid w:val="0"/>
      <w:spacing w:line="360" w:lineRule="auto"/>
      <w:ind w:firstLine="563" w:firstLineChars="201"/>
    </w:pPr>
    <w:rPr>
      <w:rFonts w:ascii="Arial Narrow" w:hAnsi="Arial Narrow"/>
      <w:sz w:val="28"/>
    </w:rPr>
  </w:style>
  <w:style w:type="paragraph" w:customStyle="1" w:styleId="1033">
    <w:name w:val="封面大标题"/>
    <w:basedOn w:val="1021"/>
    <w:next w:val="1021"/>
    <w:qFormat/>
    <w:uiPriority w:val="0"/>
    <w:rPr>
      <w:rFonts w:eastAsia="宋体"/>
      <w:b w:val="0"/>
      <w:color w:val="auto"/>
      <w:spacing w:val="100"/>
      <w:kern w:val="2"/>
      <w:sz w:val="52"/>
    </w:rPr>
  </w:style>
  <w:style w:type="paragraph" w:customStyle="1" w:styleId="1034">
    <w:name w:val="表格表头"/>
    <w:basedOn w:val="1008"/>
    <w:next w:val="1008"/>
    <w:qFormat/>
    <w:uiPriority w:val="0"/>
    <w:pPr>
      <w:keepNext/>
      <w:keepLines/>
      <w:spacing w:beforeLines="10" w:afterLines="10" w:line="578" w:lineRule="auto"/>
      <w:ind w:firstLine="0"/>
      <w:jc w:val="both"/>
      <w:outlineLvl w:val="0"/>
    </w:pPr>
    <w:rPr>
      <w:b/>
      <w:bCs/>
      <w:color w:val="auto"/>
      <w:kern w:val="44"/>
      <w:sz w:val="44"/>
      <w:szCs w:val="44"/>
    </w:rPr>
  </w:style>
  <w:style w:type="paragraph" w:customStyle="1" w:styleId="1035">
    <w:name w:val="表格文字右对齐"/>
    <w:basedOn w:val="1008"/>
    <w:qFormat/>
    <w:uiPriority w:val="0"/>
    <w:pPr>
      <w:keepNext/>
      <w:keepLines/>
      <w:spacing w:beforeLines="10" w:afterLines="10" w:line="578" w:lineRule="auto"/>
      <w:ind w:firstLine="0"/>
      <w:jc w:val="both"/>
      <w:outlineLvl w:val="0"/>
    </w:pPr>
    <w:rPr>
      <w:b/>
      <w:bCs/>
      <w:color w:val="auto"/>
      <w:kern w:val="44"/>
      <w:sz w:val="44"/>
      <w:szCs w:val="44"/>
    </w:rPr>
  </w:style>
  <w:style w:type="paragraph" w:customStyle="1" w:styleId="1036">
    <w:name w:val="表格文字分散对齐"/>
    <w:basedOn w:val="1008"/>
    <w:qFormat/>
    <w:uiPriority w:val="0"/>
    <w:pPr>
      <w:keepNext/>
      <w:keepLines/>
      <w:spacing w:beforeLines="10" w:afterLines="10" w:line="578" w:lineRule="auto"/>
      <w:ind w:firstLine="0"/>
      <w:jc w:val="both"/>
      <w:outlineLvl w:val="0"/>
    </w:pPr>
    <w:rPr>
      <w:b/>
      <w:bCs/>
      <w:color w:val="auto"/>
      <w:kern w:val="44"/>
      <w:sz w:val="44"/>
      <w:szCs w:val="44"/>
    </w:rPr>
  </w:style>
  <w:style w:type="paragraph" w:customStyle="1" w:styleId="1037">
    <w:name w:val="表格文字自调"/>
    <w:basedOn w:val="45"/>
    <w:qFormat/>
    <w:uiPriority w:val="0"/>
    <w:pPr>
      <w:suppressAutoHyphens w:val="0"/>
      <w:autoSpaceDN/>
      <w:spacing w:line="300" w:lineRule="auto"/>
      <w:textAlignment w:val="auto"/>
    </w:pPr>
    <w:rPr>
      <w:rFonts w:ascii="Times New Roman" w:hAnsi="Times New Roman" w:cs="Courier New"/>
      <w:kern w:val="2"/>
      <w:szCs w:val="21"/>
    </w:rPr>
  </w:style>
  <w:style w:type="paragraph" w:customStyle="1" w:styleId="1038">
    <w:name w:val="封面公司名称"/>
    <w:basedOn w:val="1"/>
    <w:qFormat/>
    <w:uiPriority w:val="0"/>
    <w:pPr>
      <w:adjustRightInd w:val="0"/>
      <w:snapToGrid w:val="0"/>
      <w:spacing w:line="300" w:lineRule="auto"/>
      <w:jc w:val="center"/>
    </w:pPr>
    <w:rPr>
      <w:rFonts w:ascii="Arial Narrow" w:hAnsi="Arial Narrow" w:eastAsia="黑体"/>
      <w:sz w:val="32"/>
    </w:rPr>
  </w:style>
  <w:style w:type="paragraph" w:customStyle="1" w:styleId="1039">
    <w:name w:val="附表编号"/>
    <w:basedOn w:val="1"/>
    <w:qFormat/>
    <w:uiPriority w:val="0"/>
    <w:pPr>
      <w:adjustRightInd w:val="0"/>
      <w:snapToGrid w:val="0"/>
      <w:spacing w:line="360" w:lineRule="auto"/>
    </w:pPr>
    <w:rPr>
      <w:rFonts w:ascii="Arial Narrow" w:hAnsi="Arial Narrow" w:eastAsia="黑体"/>
      <w:sz w:val="28"/>
    </w:rPr>
  </w:style>
  <w:style w:type="paragraph" w:customStyle="1" w:styleId="1040">
    <w:name w:val="ÕýÎÄ"/>
    <w:qFormat/>
    <w:uiPriority w:val="0"/>
    <w:pPr>
      <w:widowControl w:val="0"/>
      <w:overflowPunct w:val="0"/>
      <w:autoSpaceDE w:val="0"/>
      <w:autoSpaceDN w:val="0"/>
      <w:adjustRightInd w:val="0"/>
      <w:jc w:val="both"/>
      <w:textAlignment w:val="baseline"/>
    </w:pPr>
    <w:rPr>
      <w:rFonts w:ascii="Calibri" w:hAnsi="Calibri" w:eastAsia="宋体" w:cs="Calibri"/>
      <w:kern w:val="2"/>
      <w:sz w:val="21"/>
      <w:lang w:val="en-US" w:eastAsia="zh-CN" w:bidi="ar-SA"/>
    </w:rPr>
  </w:style>
  <w:style w:type="paragraph" w:customStyle="1" w:styleId="1041">
    <w:name w:val="注"/>
    <w:basedOn w:val="1"/>
    <w:next w:val="1"/>
    <w:qFormat/>
    <w:uiPriority w:val="0"/>
    <w:pPr>
      <w:widowControl/>
      <w:tabs>
        <w:tab w:val="left" w:pos="540"/>
        <w:tab w:val="left" w:pos="600"/>
        <w:tab w:val="left" w:pos="720"/>
        <w:tab w:val="left" w:pos="1200"/>
        <w:tab w:val="left" w:pos="1440"/>
        <w:tab w:val="left" w:pos="2448"/>
        <w:tab w:val="left" w:pos="3000"/>
        <w:tab w:val="left" w:pos="3888"/>
        <w:tab w:val="left" w:pos="4800"/>
        <w:tab w:val="left" w:pos="5883"/>
        <w:tab w:val="left" w:pos="6300"/>
        <w:tab w:val="left" w:pos="7353"/>
        <w:tab w:val="left" w:pos="8613"/>
      </w:tabs>
      <w:autoSpaceDE w:val="0"/>
      <w:autoSpaceDN w:val="0"/>
      <w:adjustRightInd w:val="0"/>
      <w:snapToGrid w:val="0"/>
      <w:spacing w:line="312" w:lineRule="auto"/>
      <w:jc w:val="left"/>
    </w:pPr>
    <w:rPr>
      <w:rFonts w:ascii="宋体" w:hAnsi="宋体" w:eastAsia="黑体"/>
      <w:bCs/>
      <w:spacing w:val="6"/>
      <w:kern w:val="0"/>
      <w:sz w:val="28"/>
      <w:szCs w:val="20"/>
    </w:rPr>
  </w:style>
  <w:style w:type="paragraph" w:customStyle="1" w:styleId="1042">
    <w:name w:val="样式10"/>
    <w:basedOn w:val="1"/>
    <w:next w:val="1"/>
    <w:link w:val="1043"/>
    <w:qFormat/>
    <w:uiPriority w:val="0"/>
    <w:pPr>
      <w:tabs>
        <w:tab w:val="left" w:pos="540"/>
        <w:tab w:val="left" w:pos="1008"/>
        <w:tab w:val="right" w:leader="middleDot" w:pos="8296"/>
        <w:tab w:val="right" w:leader="dot" w:pos="8493"/>
        <w:tab w:val="right" w:leader="dot" w:pos="8777"/>
        <w:tab w:val="right" w:leader="dot" w:pos="9061"/>
      </w:tabs>
      <w:kinsoku w:val="0"/>
      <w:overflowPunct w:val="0"/>
      <w:autoSpaceDE w:val="0"/>
      <w:autoSpaceDN w:val="0"/>
      <w:adjustRightInd w:val="0"/>
      <w:snapToGrid w:val="0"/>
      <w:spacing w:before="24" w:after="24" w:line="300" w:lineRule="auto"/>
      <w:jc w:val="center"/>
    </w:pPr>
    <w:rPr>
      <w:rFonts w:ascii="黑体" w:hAnsi="Arial" w:cs="Arial"/>
      <w:bCs/>
      <w:color w:val="000000"/>
      <w:spacing w:val="6"/>
      <w:sz w:val="52"/>
      <w:szCs w:val="28"/>
    </w:rPr>
  </w:style>
  <w:style w:type="character" w:customStyle="1" w:styleId="1043">
    <w:name w:val="样式10 Char"/>
    <w:link w:val="1042"/>
    <w:qFormat/>
    <w:uiPriority w:val="0"/>
    <w:rPr>
      <w:rFonts w:ascii="黑体" w:hAnsi="Arial" w:cs="Arial"/>
      <w:bCs/>
      <w:color w:val="000000"/>
      <w:spacing w:val="6"/>
      <w:kern w:val="2"/>
      <w:sz w:val="52"/>
      <w:szCs w:val="28"/>
    </w:rPr>
  </w:style>
  <w:style w:type="paragraph" w:customStyle="1" w:styleId="1044">
    <w:name w:val="单级编号"/>
    <w:basedOn w:val="1"/>
    <w:qFormat/>
    <w:uiPriority w:val="0"/>
    <w:pPr>
      <w:keepNext/>
      <w:tabs>
        <w:tab w:val="left" w:pos="830"/>
      </w:tabs>
      <w:spacing w:line="300" w:lineRule="auto"/>
      <w:ind w:left="830" w:hanging="830"/>
    </w:pPr>
    <w:rPr>
      <w:rFonts w:ascii="Arial Narrow" w:hAnsi="Arial Narrow" w:eastAsia="仿宋_GB2312"/>
      <w:sz w:val="24"/>
      <w:szCs w:val="28"/>
    </w:rPr>
  </w:style>
  <w:style w:type="paragraph" w:customStyle="1" w:styleId="1045">
    <w:name w:val="页码章节"/>
    <w:basedOn w:val="5"/>
    <w:next w:val="1"/>
    <w:qFormat/>
    <w:uiPriority w:val="0"/>
    <w:pPr>
      <w:keepLines/>
      <w:overflowPunct/>
      <w:snapToGrid/>
      <w:spacing w:before="0" w:beforeLines="10" w:after="0" w:afterLines="10" w:line="578" w:lineRule="auto"/>
      <w:ind w:left="0" w:firstLine="200" w:firstLineChars="200"/>
    </w:pPr>
    <w:rPr>
      <w:rFonts w:eastAsia="宋体"/>
      <w:color w:val="auto"/>
      <w:sz w:val="44"/>
      <w:szCs w:val="44"/>
    </w:rPr>
  </w:style>
  <w:style w:type="paragraph" w:customStyle="1" w:styleId="1046">
    <w:name w:val="表1"/>
    <w:basedOn w:val="357"/>
    <w:link w:val="1047"/>
    <w:qFormat/>
    <w:uiPriority w:val="0"/>
    <w:pPr>
      <w:widowControl/>
      <w:adjustRightInd w:val="0"/>
    </w:pPr>
    <w:rPr>
      <w:spacing w:val="0"/>
      <w:kern w:val="0"/>
    </w:rPr>
  </w:style>
  <w:style w:type="character" w:customStyle="1" w:styleId="1047">
    <w:name w:val="表1 Char"/>
    <w:link w:val="1046"/>
    <w:qFormat/>
    <w:locked/>
    <w:uiPriority w:val="0"/>
    <w:rPr>
      <w:sz w:val="21"/>
    </w:rPr>
  </w:style>
  <w:style w:type="paragraph" w:customStyle="1" w:styleId="1048">
    <w:name w:val="表内字一"/>
    <w:basedOn w:val="504"/>
    <w:qFormat/>
    <w:uiPriority w:val="0"/>
    <w:pPr>
      <w:snapToGrid w:val="0"/>
      <w:spacing w:before="0" w:after="0" w:line="300" w:lineRule="auto"/>
      <w:ind w:left="-105" w:right="-29"/>
      <w:jc w:val="center"/>
      <w:textAlignment w:val="baseline"/>
    </w:pPr>
    <w:rPr>
      <w:rFonts w:ascii="Arial" w:hAnsi="Arial"/>
      <w:kern w:val="11"/>
    </w:rPr>
  </w:style>
  <w:style w:type="paragraph" w:customStyle="1" w:styleId="1049">
    <w:name w:val="样式 样式 标题 2 + 段前: 0.5 行 段后: 0.5 行 + 段前: 0.5 行 段后: 0.5 行"/>
    <w:basedOn w:val="1"/>
    <w:qFormat/>
    <w:uiPriority w:val="0"/>
    <w:pPr>
      <w:adjustRightInd w:val="0"/>
      <w:snapToGrid w:val="0"/>
      <w:spacing w:beforeLines="50" w:afterLines="50" w:line="300" w:lineRule="auto"/>
      <w:jc w:val="left"/>
      <w:outlineLvl w:val="1"/>
    </w:pPr>
    <w:rPr>
      <w:rFonts w:ascii="Arial Narrow" w:hAnsi="Arial Narrow" w:eastAsia="仿宋_GB2312"/>
      <w:b/>
      <w:bCs/>
      <w:kern w:val="0"/>
      <w:sz w:val="24"/>
      <w:szCs w:val="20"/>
    </w:rPr>
  </w:style>
  <w:style w:type="paragraph" w:customStyle="1" w:styleId="1050">
    <w:name w:val="正文首行缩进1"/>
    <w:basedOn w:val="1"/>
    <w:next w:val="1"/>
    <w:link w:val="1051"/>
    <w:qFormat/>
    <w:uiPriority w:val="0"/>
    <w:pPr>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firstLine="561"/>
      <w:textAlignment w:val="baseline"/>
    </w:pPr>
    <w:rPr>
      <w:kern w:val="0"/>
      <w:sz w:val="28"/>
    </w:rPr>
  </w:style>
  <w:style w:type="character" w:customStyle="1" w:styleId="1051">
    <w:name w:val="正文首行缩进 Char2 Char"/>
    <w:link w:val="1050"/>
    <w:qFormat/>
    <w:locked/>
    <w:uiPriority w:val="0"/>
    <w:rPr>
      <w:sz w:val="28"/>
      <w:szCs w:val="24"/>
    </w:rPr>
  </w:style>
  <w:style w:type="paragraph" w:customStyle="1" w:styleId="1052">
    <w:name w:val="批注框文本1"/>
    <w:basedOn w:val="1"/>
    <w:qFormat/>
    <w:uiPriority w:val="0"/>
    <w:pPr>
      <w:spacing w:line="300" w:lineRule="auto"/>
    </w:pPr>
    <w:rPr>
      <w:rFonts w:ascii="Arial Narrow" w:hAnsi="Arial Narrow" w:eastAsia="仿宋_GB2312"/>
      <w:sz w:val="18"/>
      <w:szCs w:val="18"/>
    </w:rPr>
  </w:style>
  <w:style w:type="character" w:customStyle="1" w:styleId="1053">
    <w:name w:val="style141"/>
    <w:qFormat/>
    <w:uiPriority w:val="0"/>
    <w:rPr>
      <w:rFonts w:ascii="Verdana" w:hAnsi="Verdana" w:eastAsia="宋体"/>
      <w:color w:val="666666"/>
      <w:lang w:val="en-US" w:eastAsia="en-US" w:bidi="ar-SA"/>
    </w:rPr>
  </w:style>
  <w:style w:type="paragraph" w:customStyle="1" w:styleId="1054">
    <w:name w:val="text"/>
    <w:basedOn w:val="1"/>
    <w:qFormat/>
    <w:uiPriority w:val="0"/>
    <w:pPr>
      <w:widowControl/>
      <w:spacing w:beforeAutospacing="1" w:afterAutospacing="1" w:line="300" w:lineRule="atLeast"/>
      <w:jc w:val="left"/>
    </w:pPr>
    <w:rPr>
      <w:rFonts w:ascii="Arial Unicode MS" w:hAnsi="Arial Unicode MS" w:eastAsia="Arial Unicode MS" w:cs="Arial Unicode MS"/>
      <w:kern w:val="0"/>
      <w:sz w:val="18"/>
      <w:szCs w:val="18"/>
    </w:rPr>
  </w:style>
  <w:style w:type="character" w:customStyle="1" w:styleId="1055">
    <w:name w:val="text3"/>
    <w:qFormat/>
    <w:uiPriority w:val="0"/>
    <w:rPr>
      <w:rFonts w:ascii="Verdana" w:hAnsi="Verdana" w:eastAsia="宋体"/>
      <w:sz w:val="18"/>
      <w:szCs w:val="18"/>
      <w:lang w:val="en-US" w:eastAsia="en-US" w:bidi="ar-SA"/>
    </w:rPr>
  </w:style>
  <w:style w:type="paragraph" w:customStyle="1" w:styleId="1056">
    <w:name w:val="smj Char"/>
    <w:basedOn w:val="1"/>
    <w:qFormat/>
    <w:uiPriority w:val="0"/>
    <w:rPr>
      <w:rFonts w:eastAsia="黑体"/>
    </w:rPr>
  </w:style>
  <w:style w:type="paragraph" w:customStyle="1" w:styleId="1057">
    <w:name w:val="123"/>
    <w:basedOn w:val="1"/>
    <w:qFormat/>
    <w:uiPriority w:val="0"/>
    <w:pPr>
      <w:spacing w:line="360" w:lineRule="auto"/>
      <w:ind w:firstLine="454"/>
    </w:pPr>
    <w:rPr>
      <w:sz w:val="24"/>
      <w:szCs w:val="20"/>
    </w:rPr>
  </w:style>
  <w:style w:type="paragraph" w:customStyle="1" w:styleId="1058">
    <w:name w:val="正文中对齐"/>
    <w:basedOn w:val="1"/>
    <w:qFormat/>
    <w:uiPriority w:val="0"/>
    <w:pPr>
      <w:snapToGrid w:val="0"/>
      <w:spacing w:line="60" w:lineRule="atLeast"/>
      <w:jc w:val="center"/>
    </w:pPr>
    <w:rPr>
      <w:sz w:val="24"/>
      <w:szCs w:val="20"/>
    </w:rPr>
  </w:style>
  <w:style w:type="paragraph" w:customStyle="1" w:styleId="1059">
    <w:name w:val="宏福正文-2"/>
    <w:basedOn w:val="41"/>
    <w:qFormat/>
    <w:uiPriority w:val="0"/>
    <w:pPr>
      <w:snapToGrid w:val="0"/>
      <w:spacing w:before="240" w:after="0" w:line="400" w:lineRule="atLeast"/>
      <w:ind w:firstLine="567" w:firstLineChars="0"/>
    </w:pPr>
    <w:rPr>
      <w:b/>
      <w:bCs/>
      <w:sz w:val="28"/>
    </w:rPr>
  </w:style>
  <w:style w:type="paragraph" w:customStyle="1" w:styleId="1060">
    <w:name w:val="宏福4"/>
    <w:basedOn w:val="1059"/>
    <w:qFormat/>
    <w:uiPriority w:val="0"/>
  </w:style>
  <w:style w:type="paragraph" w:customStyle="1" w:styleId="1061">
    <w:name w:val="宏福3A"/>
    <w:basedOn w:val="1"/>
    <w:qFormat/>
    <w:uiPriority w:val="0"/>
    <w:pPr>
      <w:keepNext/>
      <w:keepLines/>
      <w:snapToGrid w:val="0"/>
      <w:outlineLvl w:val="2"/>
    </w:pPr>
    <w:rPr>
      <w:b/>
      <w:sz w:val="24"/>
      <w:szCs w:val="20"/>
    </w:rPr>
  </w:style>
  <w:style w:type="paragraph" w:customStyle="1" w:styleId="1062">
    <w:name w:val="文字缩"/>
    <w:basedOn w:val="1"/>
    <w:qFormat/>
    <w:uiPriority w:val="0"/>
    <w:pPr>
      <w:autoSpaceDE w:val="0"/>
      <w:autoSpaceDN w:val="0"/>
      <w:adjustRightInd w:val="0"/>
      <w:snapToGrid w:val="0"/>
      <w:spacing w:line="480" w:lineRule="atLeast"/>
      <w:ind w:firstLine="200" w:firstLineChars="200"/>
      <w:jc w:val="left"/>
    </w:pPr>
    <w:rPr>
      <w:rFonts w:ascii="宋体"/>
      <w:spacing w:val="6"/>
      <w:kern w:val="0"/>
      <w:sz w:val="28"/>
      <w:szCs w:val="20"/>
    </w:rPr>
  </w:style>
  <w:style w:type="character" w:customStyle="1" w:styleId="1063">
    <w:name w:val="§1. Char1"/>
    <w:qFormat/>
    <w:uiPriority w:val="0"/>
    <w:rPr>
      <w:rFonts w:ascii="Arial Narrow" w:hAnsi="Arial Narrow" w:eastAsia="仿宋_GB2312" w:cs="Arial"/>
      <w:b/>
      <w:bCs/>
      <w:kern w:val="44"/>
      <w:sz w:val="32"/>
      <w:szCs w:val="44"/>
      <w:lang w:val="en-US" w:eastAsia="zh-CN" w:bidi="ar-SA"/>
    </w:rPr>
  </w:style>
  <w:style w:type="paragraph" w:customStyle="1" w:styleId="1064">
    <w:name w:val="样式 标题 51)项标5标题 5 Char21) Char2项 Char2 + 左侧:  -0.04 厘米"/>
    <w:basedOn w:val="1065"/>
    <w:qFormat/>
    <w:uiPriority w:val="0"/>
    <w:pPr>
      <w:tabs>
        <w:tab w:val="left" w:pos="628"/>
        <w:tab w:val="left" w:pos="1727"/>
        <w:tab w:val="left" w:pos="1884"/>
        <w:tab w:val="left" w:pos="2660"/>
        <w:tab w:val="left" w:pos="5460"/>
      </w:tabs>
    </w:pPr>
    <w:rPr>
      <w:rFonts w:ascii="黑体" w:eastAsia="黑体"/>
      <w:color w:val="auto"/>
      <w:szCs w:val="28"/>
    </w:rPr>
  </w:style>
  <w:style w:type="paragraph" w:customStyle="1" w:styleId="1065">
    <w:name w:val="样式 标题 51)项标5标题 5 Char21) Char2项 Char2 + 黑色 行距: 1.5 倍行距"/>
    <w:basedOn w:val="1066"/>
    <w:qFormat/>
    <w:uiPriority w:val="0"/>
    <w:pPr>
      <w:tabs>
        <w:tab w:val="left" w:pos="628"/>
        <w:tab w:val="left" w:pos="1727"/>
        <w:tab w:val="left" w:pos="1884"/>
        <w:tab w:val="left" w:pos="2660"/>
        <w:tab w:val="left" w:pos="5460"/>
      </w:tabs>
    </w:pPr>
    <w:rPr>
      <w:szCs w:val="20"/>
    </w:rPr>
  </w:style>
  <w:style w:type="paragraph" w:customStyle="1" w:styleId="1066">
    <w:name w:val="标题 55"/>
    <w:basedOn w:val="1"/>
    <w:qFormat/>
    <w:uiPriority w:val="0"/>
    <w:pPr>
      <w:tabs>
        <w:tab w:val="left" w:pos="628"/>
        <w:tab w:val="left" w:pos="1727"/>
        <w:tab w:val="left" w:pos="1884"/>
        <w:tab w:val="left" w:pos="2660"/>
        <w:tab w:val="left" w:pos="5460"/>
      </w:tabs>
      <w:autoSpaceDE w:val="0"/>
      <w:autoSpaceDN w:val="0"/>
      <w:adjustRightInd w:val="0"/>
      <w:snapToGrid w:val="0"/>
      <w:spacing w:line="300" w:lineRule="auto"/>
      <w:jc w:val="center"/>
    </w:pPr>
    <w:rPr>
      <w:rFonts w:ascii="仿宋_GB2312" w:hAnsi="宋体" w:eastAsia="仿宋_GB2312"/>
      <w:color w:val="000000"/>
      <w:sz w:val="24"/>
    </w:rPr>
  </w:style>
  <w:style w:type="paragraph" w:customStyle="1" w:styleId="1067">
    <w:name w:val="样式 表格文字居中 + 右侧:  -0.06 字符1"/>
    <w:qFormat/>
    <w:uiPriority w:val="0"/>
    <w:pPr>
      <w:autoSpaceDE w:val="0"/>
      <w:autoSpaceDN w:val="0"/>
      <w:adjustRightInd w:val="0"/>
      <w:snapToGrid w:val="0"/>
      <w:jc w:val="center"/>
    </w:pPr>
    <w:rPr>
      <w:rFonts w:ascii="仿宋_GB2312" w:hAnsi="宋体" w:eastAsia="仿宋_GB2312" w:cs="Calibri"/>
      <w:color w:val="000000"/>
      <w:kern w:val="2"/>
      <w:sz w:val="24"/>
      <w:lang w:val="en-US" w:eastAsia="zh-CN" w:bidi="ar-SA"/>
    </w:rPr>
  </w:style>
  <w:style w:type="character" w:customStyle="1" w:styleId="1068">
    <w:name w:val="font"/>
    <w:qFormat/>
    <w:uiPriority w:val="0"/>
    <w:rPr>
      <w:rFonts w:ascii="Verdana" w:hAnsi="Verdana" w:eastAsia="宋体"/>
      <w:lang w:val="en-US" w:eastAsia="en-US" w:bidi="ar-SA"/>
    </w:rPr>
  </w:style>
  <w:style w:type="paragraph" w:customStyle="1" w:styleId="1069">
    <w:name w:val="样式 标题 3标题 3 Char Char1.1.1条标3§1.1.1.. (1.1.1)- 3rd Order ..."/>
    <w:basedOn w:val="7"/>
    <w:qFormat/>
    <w:uiPriority w:val="0"/>
    <w:pPr>
      <w:widowControl w:val="0"/>
      <w:adjustRightInd/>
      <w:snapToGrid/>
      <w:spacing w:before="120" w:beforeLines="10" w:after="120" w:afterLines="10"/>
      <w:ind w:left="720" w:hanging="432" w:firstLineChars="200"/>
      <w:jc w:val="both"/>
    </w:pPr>
    <w:rPr>
      <w:rFonts w:ascii="Times New Roman" w:hAnsi="Times New Roman"/>
      <w:lang w:val="en-US"/>
    </w:rPr>
  </w:style>
  <w:style w:type="character" w:customStyle="1" w:styleId="1070">
    <w:name w:val="px14"/>
    <w:qFormat/>
    <w:uiPriority w:val="0"/>
    <w:rPr>
      <w:rFonts w:ascii="Verdana" w:hAnsi="Verdana" w:eastAsia="宋体"/>
      <w:lang w:val="en-US" w:eastAsia="en-US" w:bidi="ar-SA"/>
    </w:rPr>
  </w:style>
  <w:style w:type="character" w:customStyle="1" w:styleId="1071">
    <w:name w:val="hand"/>
    <w:qFormat/>
    <w:uiPriority w:val="0"/>
    <w:rPr>
      <w:rFonts w:ascii="Verdana" w:hAnsi="Verdana" w:eastAsia="宋体"/>
      <w:lang w:val="en-US" w:eastAsia="en-US" w:bidi="ar-SA"/>
    </w:rPr>
  </w:style>
  <w:style w:type="character" w:customStyle="1" w:styleId="1072">
    <w:name w:val="djcn2"/>
    <w:qFormat/>
    <w:uiPriority w:val="0"/>
    <w:rPr>
      <w:rFonts w:ascii="Verdana" w:hAnsi="Verdana" w:eastAsia="宋体"/>
      <w:color w:val="666666"/>
      <w:lang w:val="en-US" w:eastAsia="en-US" w:bidi="ar-SA"/>
    </w:rPr>
  </w:style>
  <w:style w:type="character" w:customStyle="1" w:styleId="1073">
    <w:name w:val="c01"/>
    <w:qFormat/>
    <w:uiPriority w:val="0"/>
    <w:rPr>
      <w:rFonts w:ascii="Verdana" w:hAnsi="Verdana" w:eastAsia="宋体"/>
      <w:sz w:val="22"/>
      <w:szCs w:val="22"/>
      <w:shd w:val="clear" w:color="auto" w:fill="FBF8E6"/>
      <w:lang w:val="en-US" w:eastAsia="en-US" w:bidi="ar-SA"/>
    </w:rPr>
  </w:style>
  <w:style w:type="paragraph" w:customStyle="1" w:styleId="1074">
    <w:name w:val="样式 标题 3标题 3 Char Char1.1.1条标3§1.1.1.. (1.1.1)- 3rd Order ...1"/>
    <w:basedOn w:val="7"/>
    <w:qFormat/>
    <w:uiPriority w:val="0"/>
    <w:pPr>
      <w:widowControl w:val="0"/>
      <w:adjustRightInd/>
      <w:snapToGrid/>
      <w:spacing w:before="120" w:beforeLines="10" w:after="120" w:afterLines="10"/>
      <w:ind w:left="720" w:hanging="432" w:firstLineChars="200"/>
      <w:jc w:val="both"/>
    </w:pPr>
    <w:rPr>
      <w:rFonts w:ascii="Times New Roman" w:hAnsi="Times New Roman"/>
      <w:lang w:val="en-US"/>
    </w:rPr>
  </w:style>
  <w:style w:type="paragraph" w:customStyle="1" w:styleId="1075">
    <w:name w:val="样式 标题 4Char1.1.1.1标题 4.1.1.1.1款1.1.1.1 Char标4§1.1.1.1§1...."/>
    <w:basedOn w:val="8"/>
    <w:link w:val="1076"/>
    <w:qFormat/>
    <w:uiPriority w:val="0"/>
    <w:pPr>
      <w:numPr>
        <w:ilvl w:val="0"/>
        <w:numId w:val="4"/>
      </w:numPr>
      <w:tabs>
        <w:tab w:val="clear" w:pos="0"/>
      </w:tabs>
      <w:spacing w:beforeLines="10" w:afterLines="10"/>
      <w:ind w:left="864" w:hanging="144" w:firstLineChars="200"/>
    </w:pPr>
    <w:rPr>
      <w:rFonts w:ascii="Cambria" w:hAnsi="Cambria" w:eastAsia="宋体"/>
    </w:rPr>
  </w:style>
  <w:style w:type="character" w:customStyle="1" w:styleId="1076">
    <w:name w:val="样式 标题 4Char1.1.1.1标题 4.1.1.1.1款1.1.1.1 Char标4§1.1.1.1§1.... Char"/>
    <w:link w:val="1075"/>
    <w:qFormat/>
    <w:uiPriority w:val="0"/>
    <w:rPr>
      <w:rFonts w:ascii="Cambria" w:hAnsi="Cambria"/>
      <w:b/>
      <w:bCs/>
      <w:kern w:val="2"/>
      <w:sz w:val="28"/>
      <w:szCs w:val="28"/>
    </w:rPr>
  </w:style>
  <w:style w:type="character" w:customStyle="1" w:styleId="1077">
    <w:name w:val="textsy1"/>
    <w:qFormat/>
    <w:uiPriority w:val="0"/>
    <w:rPr>
      <w:rFonts w:ascii="Verdana" w:hAnsi="Verdana" w:eastAsia="宋体"/>
      <w:sz w:val="22"/>
      <w:szCs w:val="22"/>
      <w:lang w:val="en-US" w:eastAsia="en-US" w:bidi="ar-SA"/>
    </w:rPr>
  </w:style>
  <w:style w:type="paragraph" w:customStyle="1" w:styleId="1078">
    <w:name w:val="font1"/>
    <w:basedOn w:val="1"/>
    <w:qFormat/>
    <w:uiPriority w:val="0"/>
    <w:pPr>
      <w:widowControl/>
      <w:spacing w:beforeAutospacing="1" w:afterAutospacing="1"/>
      <w:jc w:val="left"/>
    </w:pPr>
    <w:rPr>
      <w:rFonts w:eastAsia="Arial Unicode MS"/>
      <w:b/>
      <w:bCs/>
      <w:kern w:val="0"/>
      <w:sz w:val="24"/>
    </w:rPr>
  </w:style>
  <w:style w:type="paragraph" w:customStyle="1" w:styleId="1079">
    <w:name w:val="样式 标题 1 + 居中 段前: 12 磅 段后: 6 磅 行距: 多倍行距 1.25 字行"/>
    <w:basedOn w:val="5"/>
    <w:qFormat/>
    <w:uiPriority w:val="0"/>
    <w:pPr>
      <w:keepLines/>
      <w:overflowPunct/>
      <w:snapToGrid/>
      <w:spacing w:before="0" w:beforeLines="10" w:after="0" w:afterLines="10" w:line="578" w:lineRule="auto"/>
      <w:ind w:left="0" w:firstLine="200" w:firstLineChars="200"/>
    </w:pPr>
    <w:rPr>
      <w:rFonts w:eastAsia="宋体"/>
      <w:color w:val="auto"/>
      <w:sz w:val="44"/>
      <w:szCs w:val="44"/>
    </w:rPr>
  </w:style>
  <w:style w:type="paragraph" w:customStyle="1" w:styleId="1080">
    <w:name w:val="proposal"/>
    <w:basedOn w:val="1"/>
    <w:qFormat/>
    <w:uiPriority w:val="0"/>
    <w:pPr>
      <w:widowControl/>
      <w:spacing w:line="300" w:lineRule="auto"/>
      <w:ind w:left="1440" w:hanging="1440"/>
    </w:pPr>
    <w:rPr>
      <w:kern w:val="0"/>
      <w:sz w:val="24"/>
      <w:szCs w:val="20"/>
      <w:lang w:val="en-GB" w:eastAsia="en-GB"/>
    </w:rPr>
  </w:style>
  <w:style w:type="paragraph" w:customStyle="1" w:styleId="1081">
    <w:name w:val="正文_01"/>
    <w:link w:val="1082"/>
    <w:qFormat/>
    <w:uiPriority w:val="0"/>
    <w:pPr>
      <w:widowControl w:val="0"/>
      <w:spacing w:line="360" w:lineRule="auto"/>
      <w:ind w:firstLine="560" w:firstLineChars="200"/>
      <w:jc w:val="both"/>
      <w:textAlignment w:val="center"/>
    </w:pPr>
    <w:rPr>
      <w:rFonts w:ascii="Garamond" w:hAnsi="Garamond" w:eastAsia="宋体" w:cs="Calibri"/>
      <w:bCs/>
      <w:color w:val="000000"/>
      <w:kern w:val="28"/>
      <w:sz w:val="28"/>
      <w:szCs w:val="28"/>
      <w:lang w:val="en-US" w:eastAsia="zh-CN" w:bidi="ar-SA"/>
    </w:rPr>
  </w:style>
  <w:style w:type="character" w:customStyle="1" w:styleId="1082">
    <w:name w:val="正文_01 Char"/>
    <w:link w:val="1081"/>
    <w:qFormat/>
    <w:uiPriority w:val="0"/>
    <w:rPr>
      <w:rFonts w:ascii="Garamond" w:hAnsi="Garamond"/>
      <w:bCs/>
      <w:color w:val="000000"/>
      <w:kern w:val="28"/>
      <w:sz w:val="28"/>
      <w:szCs w:val="28"/>
    </w:rPr>
  </w:style>
  <w:style w:type="paragraph" w:customStyle="1" w:styleId="1083">
    <w:name w:val="样式 标题 51)项标5标题 5 Char21) Char2项 Char2 + 左侧:  -0.04 厘米 首行缩..."/>
    <w:basedOn w:val="9"/>
    <w:qFormat/>
    <w:uiPriority w:val="0"/>
    <w:pPr>
      <w:numPr>
        <w:ilvl w:val="0"/>
        <w:numId w:val="0"/>
      </w:numPr>
      <w:snapToGrid/>
      <w:spacing w:line="376" w:lineRule="auto"/>
      <w:ind w:left="1008" w:hanging="432"/>
    </w:pPr>
    <w:rPr>
      <w:rFonts w:ascii="宋体"/>
      <w:b/>
      <w:bCs w:val="0"/>
      <w:spacing w:val="6"/>
      <w:kern w:val="2"/>
      <w:sz w:val="26"/>
      <w:szCs w:val="26"/>
    </w:rPr>
  </w:style>
  <w:style w:type="paragraph" w:customStyle="1" w:styleId="1084">
    <w:name w:val="样式 标题 3标题 3 Char Char1.1.1条标3§1.1.1.. (1.1.1)- 3rd Order ...2"/>
    <w:basedOn w:val="7"/>
    <w:qFormat/>
    <w:uiPriority w:val="0"/>
    <w:pPr>
      <w:widowControl w:val="0"/>
      <w:adjustRightInd/>
      <w:snapToGrid/>
      <w:spacing w:before="120" w:beforeLines="10" w:after="120" w:afterLines="10"/>
      <w:ind w:left="720" w:hanging="432" w:firstLineChars="200"/>
      <w:jc w:val="both"/>
    </w:pPr>
    <w:rPr>
      <w:rFonts w:ascii="Times New Roman" w:hAnsi="Times New Roman"/>
      <w:lang w:val="en-US"/>
    </w:rPr>
  </w:style>
  <w:style w:type="paragraph" w:customStyle="1" w:styleId="1085">
    <w:name w:val="a"/>
    <w:basedOn w:val="1"/>
    <w:qFormat/>
    <w:uiPriority w:val="0"/>
    <w:pPr>
      <w:widowControl/>
      <w:autoSpaceDE w:val="0"/>
      <w:autoSpaceDN w:val="0"/>
      <w:snapToGrid w:val="0"/>
      <w:ind w:left="34" w:hanging="34"/>
      <w:jc w:val="center"/>
    </w:pPr>
    <w:rPr>
      <w:rFonts w:ascii="Arial Narrow" w:hAnsi="Arial Narrow" w:cs="宋体"/>
      <w:b/>
      <w:bCs/>
      <w:kern w:val="0"/>
      <w:szCs w:val="21"/>
    </w:rPr>
  </w:style>
  <w:style w:type="paragraph" w:customStyle="1" w:styleId="1086">
    <w:name w:val="样式 标题 3标题 3 Char Char1.1.1条标3§1.1.1.. (1.1.1)- 3rd Order ...3"/>
    <w:basedOn w:val="7"/>
    <w:qFormat/>
    <w:uiPriority w:val="0"/>
    <w:pPr>
      <w:widowControl w:val="0"/>
      <w:adjustRightInd/>
      <w:snapToGrid/>
      <w:spacing w:before="120" w:beforeLines="10" w:after="120" w:afterLines="10"/>
      <w:ind w:left="720" w:hanging="432" w:firstLineChars="200"/>
      <w:jc w:val="both"/>
    </w:pPr>
    <w:rPr>
      <w:rFonts w:ascii="Times New Roman" w:hAnsi="Times New Roman"/>
      <w:lang w:val="en-US"/>
    </w:rPr>
  </w:style>
  <w:style w:type="paragraph" w:customStyle="1" w:styleId="1087">
    <w:name w:val="基准标题"/>
    <w:basedOn w:val="34"/>
    <w:next w:val="34"/>
    <w:qFormat/>
    <w:uiPriority w:val="0"/>
  </w:style>
  <w:style w:type="paragraph" w:customStyle="1" w:styleId="1088">
    <w:name w:val="正文新"/>
    <w:basedOn w:val="45"/>
    <w:qFormat/>
    <w:uiPriority w:val="0"/>
    <w:pPr>
      <w:suppressAutoHyphens w:val="0"/>
      <w:autoSpaceDN/>
      <w:spacing w:line="300" w:lineRule="auto"/>
      <w:ind w:firstLine="510"/>
      <w:textAlignment w:val="auto"/>
    </w:pPr>
    <w:rPr>
      <w:rFonts w:hAnsi="Arial"/>
      <w:kern w:val="0"/>
      <w:sz w:val="24"/>
    </w:rPr>
  </w:style>
  <w:style w:type="paragraph" w:customStyle="1" w:styleId="1089">
    <w:name w:val="基准页眉样式"/>
    <w:basedOn w:val="34"/>
    <w:qFormat/>
    <w:uiPriority w:val="0"/>
  </w:style>
  <w:style w:type="paragraph" w:customStyle="1" w:styleId="1090">
    <w:name w:val="基准脚注"/>
    <w:basedOn w:val="1"/>
    <w:qFormat/>
    <w:uiPriority w:val="0"/>
    <w:pPr>
      <w:widowControl/>
      <w:jc w:val="left"/>
    </w:pPr>
    <w:rPr>
      <w:rFonts w:ascii="Garamond" w:hAnsi="Garamond"/>
      <w:kern w:val="0"/>
      <w:sz w:val="22"/>
      <w:szCs w:val="20"/>
    </w:rPr>
  </w:style>
  <w:style w:type="paragraph" w:customStyle="1" w:styleId="1091">
    <w:name w:val="Paratitre"/>
    <w:basedOn w:val="1"/>
    <w:qFormat/>
    <w:uiPriority w:val="0"/>
    <w:pPr>
      <w:widowControl/>
      <w:overflowPunct w:val="0"/>
      <w:autoSpaceDE w:val="0"/>
      <w:autoSpaceDN w:val="0"/>
      <w:adjustRightInd w:val="0"/>
      <w:ind w:left="700"/>
      <w:textAlignment w:val="baseline"/>
    </w:pPr>
    <w:rPr>
      <w:rFonts w:ascii="Arial" w:hAnsi="Arial"/>
      <w:kern w:val="0"/>
      <w:sz w:val="20"/>
      <w:szCs w:val="20"/>
      <w:lang w:val="fr-FR"/>
    </w:rPr>
  </w:style>
  <w:style w:type="paragraph" w:customStyle="1" w:styleId="1092">
    <w:name w:val="项目符号2"/>
    <w:basedOn w:val="437"/>
    <w:qFormat/>
    <w:uiPriority w:val="0"/>
    <w:pPr>
      <w:numPr>
        <w:ilvl w:val="0"/>
        <w:numId w:val="5"/>
      </w:numPr>
      <w:tabs>
        <w:tab w:val="left" w:pos="360"/>
        <w:tab w:val="left" w:pos="720"/>
        <w:tab w:val="clear" w:pos="425"/>
      </w:tabs>
      <w:spacing w:before="0" w:after="0"/>
      <w:ind w:left="850" w:hanging="720"/>
    </w:pPr>
    <w:rPr>
      <w:b w:val="0"/>
    </w:rPr>
  </w:style>
  <w:style w:type="paragraph" w:customStyle="1" w:styleId="1093">
    <w:name w:val="样式 标题 2_Heading 2标题 2 Char标题21.1标题 21.1节标2可研-标题 2节 Char..."/>
    <w:basedOn w:val="6"/>
    <w:link w:val="1094"/>
    <w:qFormat/>
    <w:uiPriority w:val="0"/>
    <w:pPr>
      <w:spacing w:beforeLines="10" w:afterLines="10"/>
      <w:ind w:firstLine="200" w:firstLineChars="200"/>
    </w:pPr>
    <w:rPr>
      <w:rFonts w:ascii="Cambria" w:hAnsi="Cambria" w:eastAsia="宋体"/>
    </w:rPr>
  </w:style>
  <w:style w:type="character" w:customStyle="1" w:styleId="1094">
    <w:name w:val="样式 标题 2_Heading 2标题 2 Char标题21.1标题 21.1节标2可研-标题 2节 Char... Char Char"/>
    <w:link w:val="1093"/>
    <w:qFormat/>
    <w:uiPriority w:val="0"/>
    <w:rPr>
      <w:rFonts w:ascii="Cambria" w:hAnsi="Cambria"/>
      <w:b/>
      <w:bCs/>
      <w:kern w:val="2"/>
      <w:sz w:val="32"/>
      <w:szCs w:val="32"/>
    </w:rPr>
  </w:style>
  <w:style w:type="character" w:customStyle="1" w:styleId="1095">
    <w:name w:val="3zw1"/>
    <w:qFormat/>
    <w:uiPriority w:val="0"/>
    <w:rPr>
      <w:rFonts w:ascii="Verdana" w:hAnsi="Verdana" w:eastAsia="宋体"/>
      <w:color w:val="000000"/>
      <w:sz w:val="21"/>
      <w:szCs w:val="21"/>
      <w:u w:val="none"/>
      <w:lang w:val="en-US" w:eastAsia="en-US" w:bidi="ar-SA"/>
    </w:rPr>
  </w:style>
  <w:style w:type="character" w:customStyle="1" w:styleId="1096">
    <w:name w:val="grame"/>
    <w:qFormat/>
    <w:uiPriority w:val="0"/>
    <w:rPr>
      <w:rFonts w:ascii="Verdana" w:hAnsi="Verdana" w:eastAsia="宋体"/>
      <w:lang w:val="en-US" w:eastAsia="en-US" w:bidi="ar-SA"/>
    </w:rPr>
  </w:style>
  <w:style w:type="paragraph" w:customStyle="1" w:styleId="1097">
    <w:name w:val="段落 内容"/>
    <w:basedOn w:val="1"/>
    <w:qFormat/>
    <w:uiPriority w:val="0"/>
    <w:pPr>
      <w:spacing w:beforeLines="50" w:afterLines="20" w:line="360" w:lineRule="auto"/>
      <w:ind w:firstLine="200" w:firstLineChars="200"/>
    </w:pPr>
    <w:rPr>
      <w:rFonts w:ascii="宋体" w:hAnsi="宋体" w:cs="宋体"/>
      <w:sz w:val="24"/>
    </w:rPr>
  </w:style>
  <w:style w:type="paragraph" w:customStyle="1" w:styleId="1098">
    <w:name w:val="样式 标题 2_Heading 2标题 2 Char1.1标题 21.1标题2节标2可研-标题 2节 Char..."/>
    <w:basedOn w:val="6"/>
    <w:qFormat/>
    <w:uiPriority w:val="0"/>
    <w:pPr>
      <w:spacing w:beforeLines="10" w:afterLines="10"/>
      <w:ind w:firstLine="200" w:firstLineChars="200"/>
    </w:pPr>
    <w:rPr>
      <w:rFonts w:ascii="Cambria" w:hAnsi="Cambria" w:eastAsia="宋体"/>
    </w:rPr>
  </w:style>
  <w:style w:type="paragraph" w:customStyle="1" w:styleId="1099">
    <w:name w:val="样式 正文文本 + (中文) 宋体 首行缩进:  0.2 厘米"/>
    <w:basedOn w:val="34"/>
    <w:qFormat/>
    <w:uiPriority w:val="0"/>
  </w:style>
  <w:style w:type="paragraph" w:customStyle="1" w:styleId="1100">
    <w:name w:val="标题 54"/>
    <w:basedOn w:val="1066"/>
    <w:qFormat/>
    <w:uiPriority w:val="0"/>
    <w:rPr>
      <w:rFonts w:cs="宋体"/>
      <w:bCs/>
    </w:rPr>
  </w:style>
  <w:style w:type="paragraph" w:customStyle="1" w:styleId="1101">
    <w:name w:val="9"/>
    <w:basedOn w:val="1"/>
    <w:qFormat/>
    <w:uiPriority w:val="0"/>
    <w:rPr>
      <w:rFonts w:ascii="Arial Narrow" w:hAnsi="Arial Narrow" w:eastAsia="仿宋_GB2312"/>
      <w:sz w:val="24"/>
    </w:rPr>
  </w:style>
  <w:style w:type="paragraph" w:customStyle="1" w:styleId="1102">
    <w:name w:val="8"/>
    <w:basedOn w:val="1"/>
    <w:next w:val="31"/>
    <w:qFormat/>
    <w:uiPriority w:val="0"/>
    <w:pPr>
      <w:spacing w:line="300" w:lineRule="auto"/>
      <w:jc w:val="center"/>
    </w:pPr>
    <w:rPr>
      <w:sz w:val="18"/>
      <w:szCs w:val="18"/>
    </w:rPr>
  </w:style>
  <w:style w:type="paragraph" w:customStyle="1" w:styleId="1103">
    <w:name w:val="7"/>
    <w:basedOn w:val="1"/>
    <w:qFormat/>
    <w:uiPriority w:val="0"/>
    <w:rPr>
      <w:rFonts w:ascii="Arial Narrow" w:hAnsi="Arial Narrow" w:eastAsia="仿宋_GB2312"/>
      <w:sz w:val="24"/>
    </w:rPr>
  </w:style>
  <w:style w:type="paragraph" w:customStyle="1" w:styleId="1104">
    <w:name w:val="Heading2"/>
    <w:basedOn w:val="5"/>
    <w:qFormat/>
    <w:uiPriority w:val="0"/>
    <w:pPr>
      <w:keepLines/>
      <w:overflowPunct/>
      <w:snapToGrid/>
      <w:spacing w:before="0" w:beforeLines="10" w:after="0" w:afterLines="10" w:line="578" w:lineRule="auto"/>
      <w:ind w:left="0" w:firstLine="200" w:firstLineChars="200"/>
    </w:pPr>
    <w:rPr>
      <w:rFonts w:eastAsia="宋体"/>
      <w:color w:val="auto"/>
      <w:sz w:val="44"/>
      <w:szCs w:val="44"/>
    </w:rPr>
  </w:style>
  <w:style w:type="paragraph" w:customStyle="1" w:styleId="1105">
    <w:name w:val="批注框文本2"/>
    <w:basedOn w:val="1"/>
    <w:semiHidden/>
    <w:qFormat/>
    <w:uiPriority w:val="0"/>
    <w:pPr>
      <w:widowControl/>
      <w:autoSpaceDE w:val="0"/>
      <w:autoSpaceDN w:val="0"/>
      <w:jc w:val="left"/>
    </w:pPr>
    <w:rPr>
      <w:rFonts w:ascii="Tahoma" w:hAnsi="Tahoma" w:cs="幼圆"/>
      <w:kern w:val="0"/>
      <w:sz w:val="16"/>
      <w:szCs w:val="16"/>
      <w:lang w:val="en-GB" w:eastAsia="en-GB"/>
    </w:rPr>
  </w:style>
  <w:style w:type="paragraph" w:customStyle="1" w:styleId="1106">
    <w:name w:val="bluck"/>
    <w:basedOn w:val="1"/>
    <w:qFormat/>
    <w:uiPriority w:val="0"/>
    <w:pPr>
      <w:widowControl/>
      <w:spacing w:beforeAutospacing="1" w:afterAutospacing="1" w:line="301" w:lineRule="atLeast"/>
      <w:jc w:val="left"/>
    </w:pPr>
    <w:rPr>
      <w:rFonts w:eastAsia="Arial Unicode MS" w:cs="Arial Unicode MS"/>
      <w:color w:val="000000"/>
      <w:kern w:val="0"/>
      <w:sz w:val="22"/>
      <w:szCs w:val="22"/>
    </w:rPr>
  </w:style>
  <w:style w:type="character" w:customStyle="1" w:styleId="1107">
    <w:name w:val="black1"/>
    <w:qFormat/>
    <w:uiPriority w:val="0"/>
    <w:rPr>
      <w:rFonts w:hint="default" w:eastAsia="宋体"/>
      <w:color w:val="000000"/>
      <w:sz w:val="20"/>
      <w:szCs w:val="20"/>
      <w:lang w:val="en-US" w:eastAsia="en-US" w:bidi="ar-SA"/>
    </w:rPr>
  </w:style>
  <w:style w:type="paragraph" w:customStyle="1" w:styleId="1108">
    <w:name w:val="标3正文项"/>
    <w:basedOn w:val="1"/>
    <w:qFormat/>
    <w:uiPriority w:val="0"/>
    <w:pPr>
      <w:spacing w:line="360" w:lineRule="auto"/>
      <w:ind w:firstLine="540"/>
    </w:pPr>
    <w:rPr>
      <w:sz w:val="24"/>
    </w:rPr>
  </w:style>
  <w:style w:type="paragraph" w:customStyle="1" w:styleId="1109">
    <w:name w:val="In Table (II)"/>
    <w:basedOn w:val="1"/>
    <w:qFormat/>
    <w:uiPriority w:val="0"/>
    <w:pPr>
      <w:tabs>
        <w:tab w:val="left" w:pos="2200"/>
        <w:tab w:val="left" w:pos="3960"/>
        <w:tab w:val="left" w:pos="5280"/>
      </w:tabs>
      <w:spacing w:line="0" w:lineRule="atLeast"/>
      <w:ind w:left="48" w:leftChars="20"/>
      <w:jc w:val="left"/>
    </w:pPr>
    <w:rPr>
      <w:rFonts w:ascii="Tahoma" w:hAnsi="Tahoma" w:eastAsia="华文中宋" w:cs="Arial"/>
      <w:bCs/>
      <w:szCs w:val="21"/>
    </w:rPr>
  </w:style>
  <w:style w:type="paragraph" w:customStyle="1" w:styleId="1110">
    <w:name w:val="In Table"/>
    <w:basedOn w:val="1"/>
    <w:qFormat/>
    <w:uiPriority w:val="0"/>
    <w:pPr>
      <w:tabs>
        <w:tab w:val="left" w:pos="2200"/>
        <w:tab w:val="left" w:pos="3960"/>
        <w:tab w:val="left" w:pos="5280"/>
      </w:tabs>
      <w:spacing w:line="0" w:lineRule="atLeast"/>
      <w:jc w:val="center"/>
    </w:pPr>
    <w:rPr>
      <w:rFonts w:ascii="Tahoma" w:hAnsi="Tahoma" w:eastAsia="华文中宋" w:cs="Arial"/>
      <w:bCs/>
      <w:szCs w:val="21"/>
    </w:rPr>
  </w:style>
  <w:style w:type="paragraph" w:customStyle="1" w:styleId="1111">
    <w:name w:val="说明书"/>
    <w:basedOn w:val="1"/>
    <w:qFormat/>
    <w:uiPriority w:val="0"/>
    <w:pPr>
      <w:adjustRightInd w:val="0"/>
      <w:spacing w:line="500" w:lineRule="exact"/>
      <w:ind w:firstLine="624"/>
      <w:textAlignment w:val="baseline"/>
    </w:pPr>
    <w:rPr>
      <w:rFonts w:ascii="Arial" w:hAnsi="Arial"/>
      <w:kern w:val="0"/>
      <w:sz w:val="28"/>
      <w:szCs w:val="20"/>
    </w:rPr>
  </w:style>
  <w:style w:type="paragraph" w:customStyle="1" w:styleId="1112">
    <w:name w:val="样式 样式 标题 41.1.1.1标题 4.1.1.1.1标题 4 Char款1.1.1.1 Char标4 + (符号) ......"/>
    <w:basedOn w:val="1"/>
    <w:qFormat/>
    <w:uiPriority w:val="0"/>
    <w:pPr>
      <w:keepLines/>
      <w:autoSpaceDE w:val="0"/>
      <w:autoSpaceDN w:val="0"/>
      <w:adjustRightInd w:val="0"/>
      <w:snapToGrid w:val="0"/>
      <w:spacing w:line="360" w:lineRule="auto"/>
      <w:jc w:val="left"/>
      <w:textAlignment w:val="bottom"/>
      <w:outlineLvl w:val="3"/>
    </w:pPr>
    <w:rPr>
      <w:rFonts w:ascii="宋体" w:hAnsi="宋体"/>
      <w:sz w:val="28"/>
      <w:szCs w:val="20"/>
    </w:rPr>
  </w:style>
  <w:style w:type="paragraph" w:customStyle="1" w:styleId="1113">
    <w:name w:val="标题 51"/>
    <w:basedOn w:val="1"/>
    <w:qFormat/>
    <w:uiPriority w:val="0"/>
    <w:pPr>
      <w:tabs>
        <w:tab w:val="left" w:pos="0"/>
      </w:tabs>
      <w:autoSpaceDE w:val="0"/>
      <w:autoSpaceDN w:val="0"/>
      <w:adjustRightInd w:val="0"/>
      <w:snapToGrid w:val="0"/>
      <w:spacing w:line="420" w:lineRule="exact"/>
      <w:ind w:right="-263" w:firstLine="360" w:firstLineChars="200"/>
    </w:pPr>
    <w:rPr>
      <w:rFonts w:ascii="仿宋_GB2312" w:hAnsi="宋体" w:eastAsia="仿宋_GB2312" w:cs="宋体"/>
      <w:sz w:val="24"/>
    </w:rPr>
  </w:style>
  <w:style w:type="paragraph" w:customStyle="1" w:styleId="1114">
    <w:name w:val="表中居中文字"/>
    <w:basedOn w:val="1"/>
    <w:qFormat/>
    <w:uiPriority w:val="0"/>
    <w:pPr>
      <w:autoSpaceDE w:val="0"/>
      <w:autoSpaceDN w:val="0"/>
      <w:adjustRightInd w:val="0"/>
      <w:snapToGrid w:val="0"/>
      <w:spacing w:line="300" w:lineRule="auto"/>
      <w:jc w:val="center"/>
    </w:pPr>
    <w:rPr>
      <w:rFonts w:ascii="仿宋_GB2312" w:hAnsi="宋体" w:eastAsia="仿宋_GB2312" w:cs="Arial"/>
      <w:sz w:val="24"/>
      <w:szCs w:val="18"/>
    </w:rPr>
  </w:style>
  <w:style w:type="paragraph" w:customStyle="1" w:styleId="1115">
    <w:name w:val="zxl正文首行缩进  2 字符 行距: Char"/>
    <w:basedOn w:val="1"/>
    <w:qFormat/>
    <w:uiPriority w:val="0"/>
    <w:pPr>
      <w:widowControl/>
      <w:tabs>
        <w:tab w:val="left" w:pos="-1843"/>
        <w:tab w:val="left" w:pos="1727"/>
        <w:tab w:val="left" w:pos="1884"/>
      </w:tabs>
      <w:autoSpaceDE w:val="0"/>
      <w:autoSpaceDN w:val="0"/>
      <w:adjustRightInd w:val="0"/>
      <w:snapToGrid w:val="0"/>
      <w:spacing w:line="336" w:lineRule="auto"/>
      <w:ind w:firstLine="480" w:firstLineChars="200"/>
      <w:textAlignment w:val="bottom"/>
      <w:outlineLvl w:val="0"/>
    </w:pPr>
    <w:rPr>
      <w:rFonts w:ascii="仿宋_GB2312" w:hAnsi="宋体" w:eastAsia="仿宋_GB2312" w:cs="宋体"/>
      <w:color w:val="000000"/>
      <w:sz w:val="24"/>
    </w:rPr>
  </w:style>
  <w:style w:type="paragraph" w:customStyle="1" w:styleId="1116">
    <w:name w:val="列表项目符号1.缩2"/>
    <w:basedOn w:val="1"/>
    <w:qFormat/>
    <w:uiPriority w:val="0"/>
    <w:pPr>
      <w:tabs>
        <w:tab w:val="left" w:pos="397"/>
        <w:tab w:val="left" w:pos="945"/>
      </w:tabs>
      <w:autoSpaceDE w:val="0"/>
      <w:autoSpaceDN w:val="0"/>
      <w:adjustRightInd w:val="0"/>
      <w:snapToGrid w:val="0"/>
      <w:spacing w:line="300" w:lineRule="auto"/>
      <w:ind w:firstLine="425" w:firstLineChars="200"/>
      <w:textAlignment w:val="baseline"/>
    </w:pPr>
    <w:rPr>
      <w:rFonts w:ascii="仿宋_GB2312" w:hAnsi="宋体" w:eastAsia="仿宋_GB2312" w:cs="宋体"/>
      <w:kern w:val="0"/>
      <w:sz w:val="24"/>
      <w:szCs w:val="20"/>
    </w:rPr>
  </w:style>
  <w:style w:type="paragraph" w:customStyle="1" w:styleId="1117">
    <w:name w:val="表格文字中"/>
    <w:basedOn w:val="1"/>
    <w:qFormat/>
    <w:uiPriority w:val="0"/>
    <w:pPr>
      <w:keepNext/>
      <w:widowControl/>
      <w:tabs>
        <w:tab w:val="left" w:pos="1727"/>
        <w:tab w:val="left" w:pos="1884"/>
      </w:tabs>
      <w:autoSpaceDE w:val="0"/>
      <w:autoSpaceDN w:val="0"/>
      <w:adjustRightInd w:val="0"/>
      <w:snapToGrid w:val="0"/>
      <w:spacing w:line="300" w:lineRule="auto"/>
      <w:ind w:firstLine="480" w:firstLineChars="200"/>
      <w:jc w:val="center"/>
      <w:outlineLvl w:val="0"/>
    </w:pPr>
    <w:rPr>
      <w:rFonts w:ascii="黑体" w:hAnsi="宋体" w:eastAsia="黑体" w:cs="宋体"/>
      <w:color w:val="000000"/>
      <w:kern w:val="0"/>
      <w:sz w:val="18"/>
      <w:szCs w:val="20"/>
    </w:rPr>
  </w:style>
  <w:style w:type="character" w:customStyle="1" w:styleId="1118">
    <w:name w:val="表格文字中 Char"/>
    <w:qFormat/>
    <w:uiPriority w:val="0"/>
    <w:rPr>
      <w:rFonts w:ascii="黑体" w:hAnsi="宋体" w:eastAsia="黑体"/>
      <w:color w:val="000000"/>
      <w:sz w:val="18"/>
      <w:lang w:val="en-US" w:eastAsia="zh-CN" w:bidi="ar-SA"/>
    </w:rPr>
  </w:style>
  <w:style w:type="paragraph" w:customStyle="1" w:styleId="1119">
    <w:name w:val="表格文字左"/>
    <w:basedOn w:val="1114"/>
    <w:qFormat/>
    <w:uiPriority w:val="0"/>
    <w:pPr>
      <w:ind w:firstLine="180" w:firstLineChars="75"/>
      <w:jc w:val="left"/>
    </w:pPr>
  </w:style>
  <w:style w:type="paragraph" w:customStyle="1" w:styleId="1120">
    <w:name w:val="表格文字居中 Char Char"/>
    <w:basedOn w:val="41"/>
    <w:qFormat/>
    <w:uiPriority w:val="0"/>
    <w:pPr>
      <w:keepNext/>
      <w:widowControl/>
      <w:tabs>
        <w:tab w:val="left" w:pos="628"/>
        <w:tab w:val="left" w:pos="1727"/>
        <w:tab w:val="left" w:pos="1884"/>
        <w:tab w:val="left" w:pos="4900"/>
      </w:tabs>
      <w:autoSpaceDE w:val="0"/>
      <w:autoSpaceDN w:val="0"/>
      <w:adjustRightInd w:val="0"/>
      <w:snapToGrid w:val="0"/>
      <w:spacing w:before="100" w:beforeAutospacing="1" w:after="0"/>
      <w:ind w:firstLine="0" w:firstLineChars="0"/>
      <w:jc w:val="center"/>
    </w:pPr>
    <w:rPr>
      <w:rFonts w:hint="eastAsia" w:ascii="仿宋_GB2312" w:hAnsi="宋体" w:eastAsia="仿宋_GB2312" w:cs="宋体"/>
      <w:color w:val="FF0000"/>
      <w:sz w:val="24"/>
      <w:szCs w:val="24"/>
    </w:rPr>
  </w:style>
  <w:style w:type="paragraph" w:customStyle="1" w:styleId="1121">
    <w:name w:val="列表项目符号1."/>
    <w:basedOn w:val="1"/>
    <w:qFormat/>
    <w:uiPriority w:val="0"/>
    <w:pPr>
      <w:keepNext/>
      <w:autoSpaceDE w:val="0"/>
      <w:autoSpaceDN w:val="0"/>
      <w:adjustRightInd w:val="0"/>
      <w:snapToGrid w:val="0"/>
      <w:spacing w:line="312" w:lineRule="atLeast"/>
      <w:ind w:left="425" w:hanging="425"/>
      <w:textAlignment w:val="baseline"/>
    </w:pPr>
    <w:rPr>
      <w:rFonts w:ascii="仿宋_GB2312" w:hAnsi="宋体" w:eastAsia="仿宋_GB2312" w:cs="宋体"/>
      <w:kern w:val="0"/>
      <w:szCs w:val="20"/>
    </w:rPr>
  </w:style>
  <w:style w:type="paragraph" w:customStyle="1" w:styleId="1122">
    <w:name w:val="注意"/>
    <w:basedOn w:val="1"/>
    <w:next w:val="41"/>
    <w:qFormat/>
    <w:uiPriority w:val="0"/>
    <w:pPr>
      <w:keepNext/>
      <w:autoSpaceDE w:val="0"/>
      <w:autoSpaceDN w:val="0"/>
      <w:adjustRightInd w:val="0"/>
      <w:snapToGrid w:val="0"/>
      <w:spacing w:line="300" w:lineRule="auto"/>
      <w:ind w:firstLine="198" w:firstLineChars="200"/>
    </w:pPr>
    <w:rPr>
      <w:rFonts w:ascii="仿宋_GB2312" w:hAnsi="宋体" w:eastAsia="楷体_GB2312" w:cs="宋体"/>
      <w:color w:val="000000"/>
    </w:rPr>
  </w:style>
  <w:style w:type="paragraph" w:customStyle="1" w:styleId="1123">
    <w:name w:val="样式 标题 1 + 黑体 四号 自动设置 两端对齐 段前: 7.8 磅 段后: 7.8 磅"/>
    <w:basedOn w:val="5"/>
    <w:qFormat/>
    <w:uiPriority w:val="0"/>
    <w:pPr>
      <w:keepLines/>
      <w:overflowPunct/>
      <w:snapToGrid/>
      <w:spacing w:before="0" w:beforeLines="10" w:after="0" w:afterLines="10" w:line="578" w:lineRule="auto"/>
      <w:ind w:left="0" w:firstLine="200" w:firstLineChars="200"/>
    </w:pPr>
    <w:rPr>
      <w:rFonts w:eastAsia="宋体"/>
      <w:color w:val="auto"/>
      <w:sz w:val="44"/>
      <w:szCs w:val="44"/>
    </w:rPr>
  </w:style>
  <w:style w:type="paragraph" w:customStyle="1" w:styleId="1124">
    <w:name w:val="样式 标题 51)项标题 5 Char1) Char项 Char标5 + 左 Char"/>
    <w:basedOn w:val="9"/>
    <w:next w:val="41"/>
    <w:link w:val="1125"/>
    <w:qFormat/>
    <w:uiPriority w:val="0"/>
    <w:pPr>
      <w:numPr>
        <w:ilvl w:val="0"/>
        <w:numId w:val="0"/>
      </w:numPr>
      <w:snapToGrid/>
      <w:spacing w:line="376" w:lineRule="auto"/>
      <w:ind w:left="1008" w:hanging="432"/>
    </w:pPr>
    <w:rPr>
      <w:rFonts w:ascii="宋体"/>
      <w:b/>
      <w:bCs w:val="0"/>
      <w:spacing w:val="6"/>
      <w:kern w:val="2"/>
      <w:sz w:val="26"/>
      <w:szCs w:val="26"/>
    </w:rPr>
  </w:style>
  <w:style w:type="character" w:customStyle="1" w:styleId="1125">
    <w:name w:val="样式 标题 51)项标题 5 Char1) Char项 Char标5 + 左 Char Char"/>
    <w:link w:val="1124"/>
    <w:qFormat/>
    <w:uiPriority w:val="0"/>
    <w:rPr>
      <w:rFonts w:ascii="宋体"/>
      <w:b/>
      <w:spacing w:val="6"/>
      <w:kern w:val="2"/>
      <w:sz w:val="26"/>
      <w:szCs w:val="26"/>
    </w:rPr>
  </w:style>
  <w:style w:type="paragraph" w:customStyle="1" w:styleId="1126">
    <w:name w:val="样式 题注"/>
    <w:basedOn w:val="22"/>
    <w:qFormat/>
    <w:uiPriority w:val="0"/>
    <w:pPr>
      <w:autoSpaceDE w:val="0"/>
      <w:autoSpaceDN w:val="0"/>
      <w:adjustRightInd w:val="0"/>
      <w:spacing w:line="240" w:lineRule="auto"/>
      <w:ind w:firstLine="617"/>
    </w:pPr>
    <w:rPr>
      <w:color w:val="000000"/>
    </w:rPr>
  </w:style>
  <w:style w:type="paragraph" w:customStyle="1" w:styleId="1127">
    <w:name w:val="表中文字居中"/>
    <w:basedOn w:val="1"/>
    <w:next w:val="41"/>
    <w:qFormat/>
    <w:uiPriority w:val="0"/>
    <w:pPr>
      <w:keepNext/>
      <w:autoSpaceDE w:val="0"/>
      <w:autoSpaceDN w:val="0"/>
      <w:adjustRightInd w:val="0"/>
      <w:snapToGrid w:val="0"/>
      <w:spacing w:line="300" w:lineRule="auto"/>
      <w:ind w:firstLine="480" w:firstLineChars="200"/>
      <w:jc w:val="center"/>
    </w:pPr>
    <w:rPr>
      <w:rFonts w:ascii="仿宋_GB2312" w:hAnsi="宋体" w:eastAsia="仿宋_GB2312" w:cs="宋体"/>
      <w:sz w:val="24"/>
    </w:rPr>
  </w:style>
  <w:style w:type="paragraph" w:customStyle="1" w:styleId="1128">
    <w:name w:val="样式 标题 51)项标题 5 Char1) Char项 Char标5 + 左1"/>
    <w:basedOn w:val="9"/>
    <w:next w:val="1"/>
    <w:qFormat/>
    <w:uiPriority w:val="0"/>
    <w:pPr>
      <w:numPr>
        <w:ilvl w:val="0"/>
        <w:numId w:val="0"/>
      </w:numPr>
      <w:snapToGrid/>
      <w:spacing w:line="376" w:lineRule="auto"/>
      <w:ind w:left="1008" w:hanging="432"/>
    </w:pPr>
    <w:rPr>
      <w:rFonts w:ascii="宋体"/>
      <w:b/>
      <w:bCs w:val="0"/>
      <w:spacing w:val="6"/>
      <w:kern w:val="2"/>
      <w:sz w:val="26"/>
      <w:szCs w:val="26"/>
    </w:rPr>
  </w:style>
  <w:style w:type="paragraph" w:customStyle="1" w:styleId="1129">
    <w:name w:val="备注"/>
    <w:basedOn w:val="41"/>
    <w:qFormat/>
    <w:uiPriority w:val="0"/>
    <w:pPr>
      <w:keepNext/>
      <w:tabs>
        <w:tab w:val="left" w:pos="628"/>
        <w:tab w:val="left" w:pos="1727"/>
        <w:tab w:val="left" w:pos="1884"/>
        <w:tab w:val="left" w:pos="4900"/>
      </w:tabs>
      <w:autoSpaceDE w:val="0"/>
      <w:autoSpaceDN w:val="0"/>
      <w:adjustRightInd w:val="0"/>
      <w:snapToGrid w:val="0"/>
      <w:spacing w:after="0" w:line="300" w:lineRule="auto"/>
      <w:ind w:firstLine="480" w:firstLineChars="200"/>
      <w:jc w:val="center"/>
    </w:pPr>
    <w:rPr>
      <w:rFonts w:ascii="仿宋_GB2312" w:hAnsi="宋体" w:eastAsia="楷体_GB2312" w:cs="宋体"/>
      <w:bCs/>
      <w:sz w:val="24"/>
      <w:szCs w:val="24"/>
    </w:rPr>
  </w:style>
  <w:style w:type="paragraph" w:customStyle="1" w:styleId="1130">
    <w:name w:val="样式 目录 1目录 + 首行缩进:  2 字符"/>
    <w:basedOn w:val="58"/>
    <w:qFormat/>
    <w:uiPriority w:val="0"/>
    <w:pPr>
      <w:keepNext/>
      <w:tabs>
        <w:tab w:val="right" w:leader="dot" w:pos="9062"/>
      </w:tabs>
      <w:autoSpaceDE w:val="0"/>
      <w:autoSpaceDN w:val="0"/>
      <w:adjustRightInd w:val="0"/>
      <w:snapToGrid w:val="0"/>
      <w:spacing w:line="300" w:lineRule="auto"/>
    </w:pPr>
    <w:rPr>
      <w:rFonts w:ascii="Arial Narrow" w:hAnsi="Arial Narrow" w:eastAsia="仿宋_GB2312" w:cs="宋体"/>
      <w:bCs/>
      <w:caps/>
      <w:color w:val="000000"/>
      <w:sz w:val="20"/>
      <w:szCs w:val="20"/>
      <w:lang w:val="zh-CN"/>
    </w:rPr>
  </w:style>
  <w:style w:type="paragraph" w:customStyle="1" w:styleId="1131">
    <w:name w:val="题注2"/>
    <w:basedOn w:val="22"/>
    <w:qFormat/>
    <w:uiPriority w:val="0"/>
    <w:pPr>
      <w:keepNext/>
      <w:autoSpaceDE w:val="0"/>
      <w:autoSpaceDN w:val="0"/>
      <w:adjustRightInd w:val="0"/>
      <w:spacing w:afterLines="50" w:line="240" w:lineRule="auto"/>
      <w:ind w:right="109" w:rightChars="39"/>
    </w:pPr>
    <w:rPr>
      <w:b/>
      <w:color w:val="000000"/>
      <w:kern w:val="0"/>
    </w:rPr>
  </w:style>
  <w:style w:type="paragraph" w:customStyle="1" w:styleId="1132">
    <w:name w:val="样式 正文首行缩进 + 首行缩进:  2 字符"/>
    <w:basedOn w:val="41"/>
    <w:qFormat/>
    <w:uiPriority w:val="0"/>
    <w:pPr>
      <w:tabs>
        <w:tab w:val="left" w:pos="628"/>
        <w:tab w:val="left" w:pos="1727"/>
        <w:tab w:val="left" w:pos="1884"/>
        <w:tab w:val="left" w:pos="2660"/>
        <w:tab w:val="left" w:pos="5460"/>
      </w:tabs>
      <w:autoSpaceDE w:val="0"/>
      <w:autoSpaceDN w:val="0"/>
      <w:adjustRightInd w:val="0"/>
      <w:snapToGrid w:val="0"/>
      <w:spacing w:after="0" w:line="300" w:lineRule="auto"/>
      <w:ind w:firstLine="480" w:firstLineChars="200"/>
      <w:jc w:val="center"/>
    </w:pPr>
    <w:rPr>
      <w:rFonts w:ascii="仿宋_GB2312" w:hAnsi="宋体" w:eastAsia="仿宋_GB2312" w:cs="宋体"/>
      <w:bCs/>
      <w:color w:val="000000"/>
      <w:sz w:val="24"/>
      <w:szCs w:val="24"/>
    </w:rPr>
  </w:style>
  <w:style w:type="paragraph" w:customStyle="1" w:styleId="1133">
    <w:name w:val="样式 标题 1标题 1 Char标1第一章 + 两端对齐 段前: 0.5 行 段后: 0.5 行"/>
    <w:basedOn w:val="5"/>
    <w:qFormat/>
    <w:uiPriority w:val="0"/>
    <w:pPr>
      <w:keepLines/>
      <w:overflowPunct/>
      <w:snapToGrid/>
      <w:spacing w:before="0" w:beforeLines="10" w:after="0" w:afterLines="10" w:line="578" w:lineRule="auto"/>
      <w:ind w:left="0" w:firstLine="200" w:firstLineChars="200"/>
    </w:pPr>
    <w:rPr>
      <w:rFonts w:eastAsia="宋体"/>
      <w:color w:val="auto"/>
      <w:sz w:val="44"/>
      <w:szCs w:val="44"/>
    </w:rPr>
  </w:style>
  <w:style w:type="paragraph" w:customStyle="1" w:styleId="1134">
    <w:name w:val="样式 标题 31.1.1条标题 3 Char Char标题 3 Char标3 +"/>
    <w:basedOn w:val="7"/>
    <w:qFormat/>
    <w:uiPriority w:val="0"/>
    <w:pPr>
      <w:widowControl w:val="0"/>
      <w:adjustRightInd/>
      <w:snapToGrid/>
      <w:spacing w:before="120" w:beforeLines="10" w:after="120" w:afterLines="10"/>
      <w:ind w:left="720" w:hanging="432" w:firstLineChars="200"/>
      <w:jc w:val="both"/>
    </w:pPr>
    <w:rPr>
      <w:rFonts w:ascii="Times New Roman" w:hAnsi="Times New Roman"/>
      <w:lang w:val="en-US"/>
    </w:rPr>
  </w:style>
  <w:style w:type="paragraph" w:customStyle="1" w:styleId="1135">
    <w:name w:val="样式 标题 21.1标题 21.1标题2标题 2 Char1节_Heading 2标2 + 段前: 0.5 行..."/>
    <w:basedOn w:val="6"/>
    <w:qFormat/>
    <w:uiPriority w:val="0"/>
    <w:pPr>
      <w:spacing w:beforeLines="10" w:afterLines="10"/>
      <w:ind w:firstLine="200" w:firstLineChars="200"/>
    </w:pPr>
    <w:rPr>
      <w:rFonts w:ascii="Cambria" w:hAnsi="Cambria" w:eastAsia="宋体"/>
    </w:rPr>
  </w:style>
  <w:style w:type="paragraph" w:customStyle="1" w:styleId="1136">
    <w:name w:val="样式 标题 41.1.1.1标题 4.1.1.1.1标题 4 Char款1.1.1.1 Char标4 +"/>
    <w:basedOn w:val="8"/>
    <w:qFormat/>
    <w:uiPriority w:val="0"/>
    <w:pPr>
      <w:numPr>
        <w:ilvl w:val="0"/>
        <w:numId w:val="0"/>
      </w:numPr>
      <w:spacing w:beforeLines="10" w:afterLines="10"/>
      <w:ind w:left="864" w:hanging="144" w:firstLineChars="200"/>
    </w:pPr>
    <w:rPr>
      <w:rFonts w:ascii="Cambria" w:hAnsi="Cambria" w:eastAsia="宋体"/>
    </w:rPr>
  </w:style>
  <w:style w:type="paragraph" w:customStyle="1" w:styleId="1137">
    <w:name w:val="样式 标题 51)项标5 +"/>
    <w:basedOn w:val="9"/>
    <w:qFormat/>
    <w:uiPriority w:val="0"/>
    <w:pPr>
      <w:numPr>
        <w:ilvl w:val="0"/>
        <w:numId w:val="0"/>
      </w:numPr>
      <w:snapToGrid/>
      <w:spacing w:line="376" w:lineRule="auto"/>
      <w:ind w:left="1008" w:hanging="432"/>
    </w:pPr>
    <w:rPr>
      <w:rFonts w:ascii="宋体"/>
      <w:b/>
      <w:bCs w:val="0"/>
      <w:spacing w:val="6"/>
      <w:kern w:val="2"/>
      <w:sz w:val="26"/>
      <w:szCs w:val="26"/>
    </w:rPr>
  </w:style>
  <w:style w:type="paragraph" w:customStyle="1" w:styleId="1138">
    <w:name w:val="样式 标题 51)项标5 +1"/>
    <w:basedOn w:val="9"/>
    <w:qFormat/>
    <w:uiPriority w:val="0"/>
    <w:pPr>
      <w:numPr>
        <w:ilvl w:val="0"/>
        <w:numId w:val="0"/>
      </w:numPr>
      <w:snapToGrid/>
      <w:spacing w:line="376" w:lineRule="auto"/>
      <w:ind w:left="1008" w:hanging="432"/>
    </w:pPr>
    <w:rPr>
      <w:rFonts w:ascii="宋体"/>
      <w:b/>
      <w:bCs w:val="0"/>
      <w:spacing w:val="6"/>
      <w:kern w:val="2"/>
      <w:sz w:val="26"/>
      <w:szCs w:val="26"/>
    </w:rPr>
  </w:style>
  <w:style w:type="paragraph" w:customStyle="1" w:styleId="1139">
    <w:name w:val="样式 标题 1标题 1 Char标1 + 段前: 0.5 行 段后: 0.5 行"/>
    <w:basedOn w:val="5"/>
    <w:qFormat/>
    <w:uiPriority w:val="0"/>
    <w:pPr>
      <w:keepLines/>
      <w:overflowPunct/>
      <w:snapToGrid/>
      <w:spacing w:before="0" w:beforeLines="10" w:after="0" w:afterLines="10" w:line="578" w:lineRule="auto"/>
      <w:ind w:left="0" w:firstLine="200" w:firstLineChars="200"/>
    </w:pPr>
    <w:rPr>
      <w:rFonts w:eastAsia="宋体"/>
      <w:color w:val="auto"/>
      <w:sz w:val="44"/>
      <w:szCs w:val="44"/>
    </w:rPr>
  </w:style>
  <w:style w:type="paragraph" w:customStyle="1" w:styleId="1140">
    <w:name w:val="样式 标题 21.1标题 21.1标题2标题 2 Char1节_Heading 2标2二级标题1.1标题 +..."/>
    <w:basedOn w:val="6"/>
    <w:qFormat/>
    <w:uiPriority w:val="0"/>
    <w:pPr>
      <w:spacing w:beforeLines="10" w:afterLines="10"/>
      <w:ind w:firstLine="200" w:firstLineChars="200"/>
    </w:pPr>
    <w:rPr>
      <w:rFonts w:ascii="Cambria" w:hAnsi="Cambria" w:eastAsia="宋体"/>
    </w:rPr>
  </w:style>
  <w:style w:type="paragraph" w:customStyle="1" w:styleId="1141">
    <w:name w:val="标题 52"/>
    <w:basedOn w:val="1"/>
    <w:qFormat/>
    <w:uiPriority w:val="0"/>
    <w:pPr>
      <w:autoSpaceDE w:val="0"/>
      <w:autoSpaceDN w:val="0"/>
      <w:adjustRightInd w:val="0"/>
      <w:snapToGrid w:val="0"/>
      <w:spacing w:line="300" w:lineRule="auto"/>
      <w:ind w:firstLine="567" w:firstLineChars="200"/>
    </w:pPr>
    <w:rPr>
      <w:rFonts w:ascii="仿宋_GB2312" w:hAnsi="宋体" w:eastAsia="仿宋_GB2312" w:cs="宋体"/>
      <w:sz w:val="24"/>
    </w:rPr>
  </w:style>
  <w:style w:type="paragraph" w:customStyle="1" w:styleId="1142">
    <w:name w:val="样式 标题 21.1标题 21.1标题2标题 2 Char1节_Heading 2标2二级标题1.1标题 +...1"/>
    <w:basedOn w:val="1"/>
    <w:next w:val="41"/>
    <w:qFormat/>
    <w:uiPriority w:val="0"/>
    <w:pPr>
      <w:keepNext/>
      <w:autoSpaceDE w:val="0"/>
      <w:autoSpaceDN w:val="0"/>
      <w:adjustRightInd w:val="0"/>
      <w:snapToGrid w:val="0"/>
      <w:spacing w:line="300" w:lineRule="auto"/>
      <w:ind w:firstLine="480" w:firstLineChars="200"/>
    </w:pPr>
    <w:rPr>
      <w:rFonts w:ascii="仿宋_GB2312" w:hAnsi="宋体" w:eastAsia="仿宋_GB2312" w:cs="宋体"/>
      <w:sz w:val="24"/>
      <w:szCs w:val="20"/>
    </w:rPr>
  </w:style>
  <w:style w:type="paragraph" w:customStyle="1" w:styleId="1143">
    <w:name w:val="c"/>
    <w:qFormat/>
    <w:uiPriority w:val="0"/>
    <w:pPr>
      <w:widowControl w:val="0"/>
      <w:autoSpaceDE w:val="0"/>
      <w:autoSpaceDN w:val="0"/>
      <w:adjustRightInd w:val="0"/>
      <w:jc w:val="both"/>
    </w:pPr>
    <w:rPr>
      <w:rFonts w:ascii="Arial" w:hAnsi="Arial" w:eastAsia="宋体" w:cs="Calibri"/>
      <w:sz w:val="24"/>
      <w:lang w:val="en-US" w:eastAsia="zh-CN" w:bidi="ar-SA"/>
    </w:rPr>
  </w:style>
  <w:style w:type="paragraph" w:customStyle="1" w:styleId="1144">
    <w:name w:val="gb1"/>
    <w:basedOn w:val="1"/>
    <w:qFormat/>
    <w:uiPriority w:val="0"/>
    <w:pPr>
      <w:tabs>
        <w:tab w:val="left" w:pos="227"/>
      </w:tabs>
      <w:overflowPunct w:val="0"/>
      <w:autoSpaceDE w:val="0"/>
      <w:autoSpaceDN w:val="0"/>
      <w:adjustRightInd w:val="0"/>
      <w:snapToGrid w:val="0"/>
      <w:spacing w:line="300" w:lineRule="auto"/>
      <w:ind w:firstLine="480" w:firstLineChars="200"/>
      <w:textAlignment w:val="baseline"/>
    </w:pPr>
    <w:rPr>
      <w:rFonts w:ascii="Arial" w:hAnsi="Arial" w:eastAsia="仿宋体" w:cs="宋体"/>
      <w:kern w:val="0"/>
      <w:szCs w:val="20"/>
    </w:rPr>
  </w:style>
  <w:style w:type="paragraph" w:customStyle="1" w:styleId="1145">
    <w:name w:val="注释标题4"/>
    <w:basedOn w:val="16"/>
    <w:qFormat/>
    <w:uiPriority w:val="0"/>
    <w:pPr>
      <w:autoSpaceDE w:val="0"/>
      <w:autoSpaceDN w:val="0"/>
      <w:adjustRightInd w:val="0"/>
      <w:snapToGrid w:val="0"/>
      <w:spacing w:line="300" w:lineRule="auto"/>
      <w:ind w:left="-20" w:firstLine="198" w:firstLineChars="200"/>
    </w:pPr>
    <w:rPr>
      <w:rFonts w:ascii="仿宋_GB2312" w:hAnsi="宋体" w:cs="宋体"/>
    </w:rPr>
  </w:style>
  <w:style w:type="paragraph" w:customStyle="1" w:styleId="1146">
    <w:name w:val="首页脚注"/>
    <w:basedOn w:val="54"/>
    <w:qFormat/>
    <w:uiPriority w:val="0"/>
  </w:style>
  <w:style w:type="paragraph" w:customStyle="1" w:styleId="1147">
    <w:name w:val="正文4"/>
    <w:qFormat/>
    <w:uiPriority w:val="0"/>
    <w:pPr>
      <w:widowControl w:val="0"/>
      <w:adjustRightInd w:val="0"/>
      <w:spacing w:line="312" w:lineRule="atLeast"/>
      <w:jc w:val="both"/>
      <w:textAlignment w:val="baseline"/>
    </w:pPr>
    <w:rPr>
      <w:rFonts w:ascii="宋体" w:hAnsi="Calibri" w:eastAsia="宋体" w:cs="Calibri"/>
      <w:sz w:val="34"/>
      <w:lang w:val="en-US" w:eastAsia="zh-CN" w:bidi="ar-SA"/>
    </w:rPr>
  </w:style>
  <w:style w:type="paragraph" w:customStyle="1" w:styleId="1148">
    <w:name w:val="样式 正文文本 +"/>
    <w:basedOn w:val="34"/>
    <w:qFormat/>
    <w:uiPriority w:val="0"/>
  </w:style>
  <w:style w:type="paragraph" w:customStyle="1" w:styleId="1149">
    <w:name w:val="样式 题注 + (西文) 宋体"/>
    <w:basedOn w:val="22"/>
    <w:qFormat/>
    <w:uiPriority w:val="0"/>
    <w:pPr>
      <w:tabs>
        <w:tab w:val="left" w:pos="1727"/>
        <w:tab w:val="left" w:pos="1884"/>
      </w:tabs>
      <w:autoSpaceDE w:val="0"/>
      <w:autoSpaceDN w:val="0"/>
      <w:adjustRightInd w:val="0"/>
      <w:outlineLvl w:val="0"/>
    </w:pPr>
    <w:rPr>
      <w:rFonts w:cs="宋体"/>
      <w:color w:val="000000"/>
      <w:kern w:val="0"/>
      <w:lang w:val="zh-CN"/>
    </w:rPr>
  </w:style>
  <w:style w:type="character" w:customStyle="1" w:styleId="1150">
    <w:name w:val="样式 题注 + (西文) 宋体 Char"/>
    <w:qFormat/>
    <w:locked/>
    <w:uiPriority w:val="0"/>
    <w:rPr>
      <w:rFonts w:ascii="宋体" w:hAnsi="宋体" w:eastAsia="宋体" w:cs="宋体"/>
      <w:color w:val="000000"/>
      <w:sz w:val="28"/>
      <w:szCs w:val="28"/>
      <w:lang w:val="zh-CN" w:eastAsia="zh-CN" w:bidi="ar-SA"/>
    </w:rPr>
  </w:style>
  <w:style w:type="paragraph" w:customStyle="1" w:styleId="1151">
    <w:name w:val="样式 表格1 + 黑体 两端对齐 首行缩进:  2.12 厘米 行距: 1.5 倍行距"/>
    <w:basedOn w:val="1"/>
    <w:qFormat/>
    <w:uiPriority w:val="0"/>
    <w:pPr>
      <w:keepNext/>
      <w:autoSpaceDE w:val="0"/>
      <w:autoSpaceDN w:val="0"/>
      <w:adjustRightInd w:val="0"/>
      <w:snapToGrid w:val="0"/>
      <w:spacing w:line="300" w:lineRule="auto"/>
      <w:ind w:firstLine="480" w:firstLineChars="200"/>
      <w:jc w:val="center"/>
    </w:pPr>
    <w:rPr>
      <w:rFonts w:ascii="黑体" w:hAnsi="宋体" w:eastAsia="黑体" w:cs="黑体"/>
      <w:kern w:val="0"/>
      <w:sz w:val="24"/>
      <w:lang w:val="zh-CN"/>
    </w:rPr>
  </w:style>
  <w:style w:type="paragraph" w:customStyle="1" w:styleId="1152">
    <w:name w:val="五号"/>
    <w:basedOn w:val="1"/>
    <w:qFormat/>
    <w:uiPriority w:val="0"/>
    <w:pPr>
      <w:autoSpaceDE w:val="0"/>
      <w:autoSpaceDN w:val="0"/>
      <w:adjustRightInd w:val="0"/>
      <w:snapToGrid w:val="0"/>
      <w:spacing w:line="300" w:lineRule="auto"/>
      <w:ind w:firstLine="200" w:firstLineChars="200"/>
    </w:pPr>
    <w:rPr>
      <w:rFonts w:ascii="仿宋_GB2312" w:hAnsi="宋体" w:eastAsia="仿宋_GB2312" w:cs="宋体"/>
      <w:szCs w:val="21"/>
    </w:rPr>
  </w:style>
  <w:style w:type="character" w:customStyle="1" w:styleId="1153">
    <w:name w:val="五号 Char"/>
    <w:qFormat/>
    <w:uiPriority w:val="0"/>
    <w:rPr>
      <w:rFonts w:ascii="Verdana" w:hAnsi="Verdana" w:eastAsia="宋体"/>
      <w:kern w:val="2"/>
      <w:sz w:val="21"/>
      <w:szCs w:val="24"/>
      <w:lang w:val="en-US" w:eastAsia="zh-CN" w:bidi="ar-SA"/>
    </w:rPr>
  </w:style>
  <w:style w:type="paragraph" w:customStyle="1" w:styleId="1154">
    <w:name w:val="样式 题注 + 小四"/>
    <w:basedOn w:val="22"/>
    <w:qFormat/>
    <w:uiPriority w:val="0"/>
    <w:pPr>
      <w:autoSpaceDE w:val="0"/>
      <w:autoSpaceDN w:val="0"/>
      <w:adjustRightInd w:val="0"/>
      <w:ind w:firstLine="200" w:firstLineChars="200"/>
    </w:pPr>
    <w:rPr>
      <w:rFonts w:ascii="Arial" w:hAnsi="Arial"/>
      <w:color w:val="000000"/>
      <w:szCs w:val="20"/>
    </w:rPr>
  </w:style>
  <w:style w:type="character" w:customStyle="1" w:styleId="1155">
    <w:name w:val="样式 题注 + 小四 Char"/>
    <w:qFormat/>
    <w:uiPriority w:val="0"/>
    <w:rPr>
      <w:rFonts w:ascii="Arial" w:hAnsi="Arial" w:eastAsia="黑体" w:cs="Arial"/>
      <w:kern w:val="2"/>
      <w:sz w:val="24"/>
      <w:szCs w:val="24"/>
      <w:lang w:val="en-US" w:eastAsia="zh-CN" w:bidi="ar-SA"/>
    </w:rPr>
  </w:style>
  <w:style w:type="paragraph" w:customStyle="1" w:styleId="1156">
    <w:name w:val="样式 左侧:  0.85 厘米"/>
    <w:basedOn w:val="1"/>
    <w:qFormat/>
    <w:uiPriority w:val="0"/>
    <w:pPr>
      <w:autoSpaceDE w:val="0"/>
      <w:autoSpaceDN w:val="0"/>
      <w:adjustRightInd w:val="0"/>
      <w:snapToGrid w:val="0"/>
      <w:spacing w:line="300" w:lineRule="auto"/>
      <w:ind w:left="482" w:firstLine="200" w:firstLineChars="200"/>
    </w:pPr>
    <w:rPr>
      <w:rFonts w:ascii="仿宋_GB2312" w:hAnsi="宋体" w:eastAsia="仿宋_GB2312" w:cs="宋体"/>
      <w:sz w:val="24"/>
      <w:szCs w:val="20"/>
    </w:rPr>
  </w:style>
  <w:style w:type="character" w:customStyle="1" w:styleId="1157">
    <w:name w:val="标题5 Char Char"/>
    <w:qFormat/>
    <w:uiPriority w:val="0"/>
    <w:rPr>
      <w:rFonts w:ascii="宋体" w:hAnsi="Verdana" w:eastAsia="宋体"/>
      <w:color w:val="000000"/>
      <w:kern w:val="2"/>
      <w:sz w:val="28"/>
      <w:szCs w:val="24"/>
      <w:lang w:val="en-US" w:eastAsia="zh-CN" w:bidi="ar-SA"/>
    </w:rPr>
  </w:style>
  <w:style w:type="paragraph" w:customStyle="1" w:styleId="1158">
    <w:name w:val="表格标题居中"/>
    <w:qFormat/>
    <w:uiPriority w:val="0"/>
    <w:pPr>
      <w:autoSpaceDE w:val="0"/>
      <w:autoSpaceDN w:val="0"/>
      <w:adjustRightInd w:val="0"/>
      <w:snapToGrid w:val="0"/>
      <w:spacing w:line="360" w:lineRule="auto"/>
      <w:ind w:firstLine="561"/>
      <w:jc w:val="center"/>
    </w:pPr>
    <w:rPr>
      <w:rFonts w:ascii="仿宋_GB2312" w:hAnsi="宋体" w:eastAsia="黑体" w:cs="宋体"/>
      <w:color w:val="000000"/>
      <w:sz w:val="24"/>
      <w:szCs w:val="24"/>
      <w:lang w:val="en-US" w:eastAsia="zh-CN" w:bidi="ar-SA"/>
    </w:rPr>
  </w:style>
  <w:style w:type="paragraph" w:customStyle="1" w:styleId="1159">
    <w:name w:val="正文居中"/>
    <w:basedOn w:val="1"/>
    <w:next w:val="1"/>
    <w:qFormat/>
    <w:uiPriority w:val="0"/>
    <w:pPr>
      <w:autoSpaceDE w:val="0"/>
      <w:autoSpaceDN w:val="0"/>
      <w:adjustRightInd w:val="0"/>
      <w:snapToGrid w:val="0"/>
      <w:spacing w:line="300" w:lineRule="auto"/>
      <w:ind w:firstLine="200" w:firstLineChars="200"/>
      <w:jc w:val="center"/>
    </w:pPr>
    <w:rPr>
      <w:rFonts w:ascii="仿宋_GB2312" w:hAnsi="宋体" w:eastAsia="仿宋_GB2312" w:cs="宋体"/>
      <w:spacing w:val="8"/>
      <w:kern w:val="21"/>
      <w:sz w:val="24"/>
      <w:szCs w:val="20"/>
    </w:rPr>
  </w:style>
  <w:style w:type="paragraph" w:customStyle="1" w:styleId="1160">
    <w:name w:val="样式 普通段落 + 首行缩进:  2 字符 段前: 0.5 行4"/>
    <w:basedOn w:val="1"/>
    <w:qFormat/>
    <w:uiPriority w:val="0"/>
    <w:pPr>
      <w:autoSpaceDE w:val="0"/>
      <w:autoSpaceDN w:val="0"/>
      <w:adjustRightInd w:val="0"/>
      <w:snapToGrid w:val="0"/>
      <w:spacing w:beforeLines="50" w:line="288" w:lineRule="auto"/>
      <w:ind w:firstLine="480" w:firstLineChars="200"/>
    </w:pPr>
    <w:rPr>
      <w:rFonts w:ascii="Arial" w:hAnsi="Arial" w:eastAsia="华文宋体" w:cs="Arial"/>
      <w:kern w:val="0"/>
      <w:sz w:val="24"/>
      <w:szCs w:val="20"/>
    </w:rPr>
  </w:style>
  <w:style w:type="paragraph" w:customStyle="1" w:styleId="1161">
    <w:name w:val="样式 题注 + (西文) Arial (中文) 黑体 小四 Char Char"/>
    <w:basedOn w:val="22"/>
    <w:qFormat/>
    <w:uiPriority w:val="0"/>
    <w:pPr>
      <w:autoSpaceDE w:val="0"/>
      <w:autoSpaceDN w:val="0"/>
      <w:adjustRightInd w:val="0"/>
      <w:spacing w:line="240" w:lineRule="auto"/>
    </w:pPr>
    <w:rPr>
      <w:rFonts w:ascii="Arial" w:hAnsi="Arial"/>
      <w:color w:val="000000"/>
    </w:rPr>
  </w:style>
  <w:style w:type="character" w:customStyle="1" w:styleId="1162">
    <w:name w:val="样式 题注 + (西文) Arial (中文) 黑体 小四 Char Char Char"/>
    <w:qFormat/>
    <w:uiPriority w:val="0"/>
    <w:rPr>
      <w:rFonts w:ascii="黑体" w:hAnsi="Arial" w:eastAsia="黑体" w:cs="Arial"/>
      <w:kern w:val="2"/>
      <w:sz w:val="28"/>
      <w:szCs w:val="28"/>
      <w:lang w:val="en-US" w:eastAsia="zh-CN" w:bidi="ar-SA"/>
    </w:rPr>
  </w:style>
  <w:style w:type="paragraph" w:customStyle="1" w:styleId="1163">
    <w:name w:val="样式 标题 21.1标题 21.1标题2标题 2 Char1节_Heading 2标2二级标题1.1标题 +...2"/>
    <w:basedOn w:val="6"/>
    <w:qFormat/>
    <w:uiPriority w:val="0"/>
    <w:pPr>
      <w:spacing w:beforeLines="10" w:afterLines="10"/>
      <w:ind w:firstLine="200" w:firstLineChars="200"/>
    </w:pPr>
    <w:rPr>
      <w:rFonts w:ascii="Cambria" w:hAnsi="Cambria" w:eastAsia="宋体"/>
    </w:rPr>
  </w:style>
  <w:style w:type="character" w:customStyle="1" w:styleId="1164">
    <w:name w:val="样式 标题 51)项标5标题 5 Char21) Char2项 Char2 + 左侧:  -0.04 厘米 首行缩... Char"/>
    <w:qFormat/>
    <w:uiPriority w:val="0"/>
    <w:rPr>
      <w:rFonts w:ascii="宋体" w:hAnsi="宋体" w:eastAsia="宋体" w:cs="宋体"/>
      <w:kern w:val="2"/>
      <w:sz w:val="28"/>
      <w:szCs w:val="28"/>
      <w:lang w:val="en-US" w:eastAsia="zh-CN" w:bidi="ar-SA"/>
    </w:rPr>
  </w:style>
  <w:style w:type="paragraph" w:customStyle="1" w:styleId="1165">
    <w:name w:val="样式 左侧:  -0.04 厘米"/>
    <w:basedOn w:val="1"/>
    <w:qFormat/>
    <w:uiPriority w:val="0"/>
    <w:pPr>
      <w:autoSpaceDE w:val="0"/>
      <w:autoSpaceDN w:val="0"/>
      <w:adjustRightInd w:val="0"/>
      <w:snapToGrid w:val="0"/>
      <w:spacing w:line="300" w:lineRule="auto"/>
      <w:ind w:left="-23" w:firstLine="200" w:firstLineChars="200"/>
    </w:pPr>
    <w:rPr>
      <w:rFonts w:ascii="仿宋_GB2312" w:hAnsi="宋体" w:eastAsia="仿宋_GB2312" w:cs="宋体"/>
      <w:sz w:val="24"/>
      <w:szCs w:val="20"/>
    </w:rPr>
  </w:style>
  <w:style w:type="paragraph" w:customStyle="1" w:styleId="1166">
    <w:name w:val="样式 样式 左侧:  -0.04 厘米 + 首行缩进:  2 字符"/>
    <w:basedOn w:val="1167"/>
    <w:qFormat/>
    <w:uiPriority w:val="0"/>
    <w:pPr>
      <w:ind w:firstLine="560"/>
    </w:pPr>
  </w:style>
  <w:style w:type="paragraph" w:customStyle="1" w:styleId="1167">
    <w:name w:val="样式 五号 首行缩进:  2 字符"/>
    <w:basedOn w:val="1"/>
    <w:qFormat/>
    <w:uiPriority w:val="0"/>
    <w:pPr>
      <w:autoSpaceDE w:val="0"/>
      <w:autoSpaceDN w:val="0"/>
      <w:adjustRightInd w:val="0"/>
      <w:snapToGrid w:val="0"/>
      <w:spacing w:line="300" w:lineRule="auto"/>
      <w:ind w:firstLine="420" w:firstLineChars="200"/>
    </w:pPr>
    <w:rPr>
      <w:rFonts w:ascii="仿宋_GB2312" w:hAnsi="宋体" w:eastAsia="仿宋_GB2312" w:cs="宋体"/>
      <w:sz w:val="24"/>
    </w:rPr>
  </w:style>
  <w:style w:type="character" w:customStyle="1" w:styleId="1168">
    <w:name w:val="无节 Char"/>
    <w:qFormat/>
    <w:uiPriority w:val="0"/>
    <w:rPr>
      <w:rFonts w:ascii="Arial" w:hAnsi="Arial" w:eastAsia="宋体"/>
      <w:kern w:val="2"/>
      <w:sz w:val="28"/>
      <w:szCs w:val="28"/>
      <w:lang w:val="en-US" w:eastAsia="zh-CN" w:bidi="ar-SA"/>
    </w:rPr>
  </w:style>
  <w:style w:type="paragraph" w:customStyle="1" w:styleId="1169">
    <w:name w:val="标题 53"/>
    <w:basedOn w:val="1100"/>
    <w:qFormat/>
    <w:uiPriority w:val="0"/>
  </w:style>
  <w:style w:type="paragraph" w:customStyle="1" w:styleId="1170">
    <w:name w:val="标题 21.1标题 21.1标题2标题 2 Char1节_Heading 2标2二级标题1.1标题 +..."/>
    <w:basedOn w:val="1"/>
    <w:qFormat/>
    <w:uiPriority w:val="0"/>
    <w:pPr>
      <w:autoSpaceDE w:val="0"/>
      <w:autoSpaceDN w:val="0"/>
      <w:adjustRightInd w:val="0"/>
      <w:snapToGrid w:val="0"/>
      <w:spacing w:line="300" w:lineRule="auto"/>
      <w:ind w:firstLine="200" w:firstLineChars="200"/>
    </w:pPr>
    <w:rPr>
      <w:rFonts w:ascii="仿宋_GB2312" w:hAnsi="宋体" w:eastAsia="仿宋_GB2312" w:cs="宋体"/>
      <w:sz w:val="24"/>
    </w:rPr>
  </w:style>
  <w:style w:type="paragraph" w:customStyle="1" w:styleId="1171">
    <w:name w:val="表格2"/>
    <w:basedOn w:val="572"/>
    <w:qFormat/>
    <w:uiPriority w:val="0"/>
    <w:pPr>
      <w:autoSpaceDE w:val="0"/>
      <w:autoSpaceDN w:val="0"/>
      <w:adjustRightInd w:val="0"/>
      <w:spacing w:line="300" w:lineRule="auto"/>
      <w:ind w:firstLine="480" w:firstLineChars="200"/>
    </w:pPr>
    <w:rPr>
      <w:rFonts w:hint="eastAsia" w:ascii="仿宋_GB2312" w:eastAsia="仿宋_GB2312" w:cs="宋体"/>
      <w:kern w:val="0"/>
      <w:szCs w:val="21"/>
    </w:rPr>
  </w:style>
  <w:style w:type="paragraph" w:customStyle="1" w:styleId="1172">
    <w:name w:val="样式 题注 + (西文) Arial (中文) 黑体 小四"/>
    <w:basedOn w:val="22"/>
    <w:qFormat/>
    <w:uiPriority w:val="0"/>
    <w:pPr>
      <w:tabs>
        <w:tab w:val="left" w:pos="360"/>
      </w:tabs>
      <w:autoSpaceDE w:val="0"/>
      <w:autoSpaceDN w:val="0"/>
      <w:adjustRightInd w:val="0"/>
      <w:spacing w:line="240" w:lineRule="auto"/>
      <w:ind w:firstLine="560"/>
    </w:pPr>
    <w:rPr>
      <w:rFonts w:ascii="Arial" w:hAnsi="Arial"/>
      <w:color w:val="000000"/>
    </w:rPr>
  </w:style>
  <w:style w:type="paragraph" w:customStyle="1" w:styleId="1173">
    <w:name w:val="样式 样式 题注 + (西文) 宋体 + 黑体 四号"/>
    <w:basedOn w:val="1149"/>
    <w:qFormat/>
    <w:uiPriority w:val="0"/>
    <w:pPr>
      <w:outlineLvl w:val="9"/>
    </w:pPr>
    <w:rPr>
      <w:rFonts w:hAnsi="黑体"/>
    </w:rPr>
  </w:style>
  <w:style w:type="character" w:customStyle="1" w:styleId="1174">
    <w:name w:val="样式 样式 题注 + (西文) 宋体 + 黑体 四号 Char"/>
    <w:qFormat/>
    <w:uiPriority w:val="0"/>
    <w:rPr>
      <w:rFonts w:ascii="黑体" w:hAnsi="黑体" w:eastAsia="黑体" w:cs="宋体"/>
      <w:color w:val="000000"/>
      <w:sz w:val="28"/>
      <w:szCs w:val="24"/>
      <w:lang w:val="zh-CN" w:eastAsia="zh-CN" w:bidi="ar-SA"/>
    </w:rPr>
  </w:style>
  <w:style w:type="paragraph" w:customStyle="1" w:styleId="1175">
    <w:name w:val="样式 标题 51)项标题 5 Char1) Char项 Char标5一级项 + 紧缩量  0.7 磅"/>
    <w:basedOn w:val="1"/>
    <w:qFormat/>
    <w:uiPriority w:val="0"/>
    <w:pPr>
      <w:autoSpaceDE w:val="0"/>
      <w:autoSpaceDN w:val="0"/>
      <w:adjustRightInd w:val="0"/>
      <w:snapToGrid w:val="0"/>
      <w:spacing w:line="300" w:lineRule="auto"/>
      <w:ind w:firstLine="567" w:firstLineChars="200"/>
    </w:pPr>
    <w:rPr>
      <w:rFonts w:ascii="仿宋_GB2312" w:hAnsi="宋体" w:eastAsia="仿宋_GB2312" w:cs="宋体"/>
      <w:spacing w:val="-14"/>
      <w:sz w:val="24"/>
    </w:rPr>
  </w:style>
  <w:style w:type="character" w:customStyle="1" w:styleId="1176">
    <w:name w:val="样式 标题 51)项标题 5 Char1) Char项 Char标5一级项 + 紧缩量  0.7 磅 Char"/>
    <w:qFormat/>
    <w:uiPriority w:val="0"/>
    <w:rPr>
      <w:rFonts w:ascii="宋体" w:hAnsi="宋体" w:eastAsia="宋体"/>
      <w:spacing w:val="-14"/>
      <w:kern w:val="2"/>
      <w:sz w:val="28"/>
      <w:szCs w:val="28"/>
      <w:lang w:val="en-US" w:eastAsia="zh-CN" w:bidi="ar-SA"/>
    </w:rPr>
  </w:style>
  <w:style w:type="paragraph" w:customStyle="1" w:styleId="1177">
    <w:name w:val="样式 标题 41.1.1.1标题 4.1.1.1.1标题 4 Char款1.1.1.1 Char标4 + (符号) ..."/>
    <w:basedOn w:val="8"/>
    <w:next w:val="8"/>
    <w:qFormat/>
    <w:uiPriority w:val="0"/>
    <w:pPr>
      <w:numPr>
        <w:ilvl w:val="0"/>
        <w:numId w:val="0"/>
      </w:numPr>
      <w:spacing w:beforeLines="10" w:afterLines="10"/>
      <w:ind w:left="864" w:hanging="144" w:firstLineChars="200"/>
    </w:pPr>
    <w:rPr>
      <w:rFonts w:ascii="Cambria" w:hAnsi="Cambria" w:eastAsia="宋体"/>
    </w:rPr>
  </w:style>
  <w:style w:type="character" w:customStyle="1" w:styleId="1178">
    <w:name w:val="样式 标题 41.1.1.1标题 4.1.1.1.1标题 4 Char款1.1.1.1 Char标4 + (符号) ... Char Char"/>
    <w:qFormat/>
    <w:uiPriority w:val="0"/>
    <w:rPr>
      <w:rFonts w:ascii="宋体" w:hAnsi="Arial" w:eastAsia="宋体"/>
      <w:bCs/>
      <w:color w:val="000000"/>
      <w:kern w:val="2"/>
      <w:sz w:val="28"/>
      <w:szCs w:val="28"/>
      <w:lang w:val="en-US" w:eastAsia="zh-CN" w:bidi="ar-SA"/>
    </w:rPr>
  </w:style>
  <w:style w:type="paragraph" w:customStyle="1" w:styleId="1179">
    <w:name w:val="样式 标题 1标题 1 Char标1 + 段前: 0.5 行 段后: 0.5 行1"/>
    <w:basedOn w:val="5"/>
    <w:qFormat/>
    <w:uiPriority w:val="0"/>
    <w:pPr>
      <w:keepLines/>
      <w:overflowPunct/>
      <w:snapToGrid/>
      <w:spacing w:before="0" w:beforeLines="10" w:after="0" w:afterLines="10" w:line="578" w:lineRule="auto"/>
      <w:ind w:left="0" w:firstLine="200" w:firstLineChars="200"/>
    </w:pPr>
    <w:rPr>
      <w:rFonts w:eastAsia="宋体"/>
      <w:color w:val="auto"/>
      <w:sz w:val="44"/>
      <w:szCs w:val="44"/>
    </w:rPr>
  </w:style>
  <w:style w:type="paragraph" w:customStyle="1" w:styleId="1180">
    <w:name w:val="样式 标题 21.1标题 21.1标题2标题 2 Char1节_Heading 2标2 + 段前: 0.5 行...1"/>
    <w:basedOn w:val="6"/>
    <w:qFormat/>
    <w:uiPriority w:val="0"/>
    <w:pPr>
      <w:spacing w:beforeLines="10" w:afterLines="10"/>
      <w:ind w:firstLine="200" w:firstLineChars="200"/>
    </w:pPr>
    <w:rPr>
      <w:rFonts w:ascii="Cambria" w:hAnsi="Cambria" w:eastAsia="宋体"/>
    </w:rPr>
  </w:style>
  <w:style w:type="paragraph" w:customStyle="1" w:styleId="1181">
    <w:name w:val="样式 标题5 + 段前: 0.5 行 段后: 0.5 行"/>
    <w:basedOn w:val="502"/>
    <w:qFormat/>
    <w:uiPriority w:val="0"/>
    <w:pPr>
      <w:tabs>
        <w:tab w:val="left" w:pos="720"/>
        <w:tab w:val="left" w:pos="864"/>
        <w:tab w:val="clear" w:pos="900"/>
      </w:tabs>
      <w:adjustRightInd w:val="0"/>
      <w:snapToGrid w:val="0"/>
      <w:spacing w:line="360" w:lineRule="auto"/>
      <w:ind w:left="864" w:hanging="864"/>
      <w:jc w:val="left"/>
      <w:outlineLvl w:val="4"/>
    </w:pPr>
    <w:rPr>
      <w:rFonts w:ascii="仿宋_GB2312" w:hAnsi="宋体" w:eastAsia="仿宋_GB2312"/>
      <w:b w:val="0"/>
      <w:bCs/>
      <w:spacing w:val="0"/>
      <w:kern w:val="44"/>
      <w:sz w:val="24"/>
      <w:szCs w:val="28"/>
    </w:rPr>
  </w:style>
  <w:style w:type="paragraph" w:customStyle="1" w:styleId="1182">
    <w:name w:val="样式 标题 41.1.1.1标题 4.1.1.1.1标题 4 Char款1.1.1.1 Char标4 + 段前: 0..."/>
    <w:basedOn w:val="8"/>
    <w:qFormat/>
    <w:uiPriority w:val="0"/>
    <w:pPr>
      <w:numPr>
        <w:ilvl w:val="0"/>
        <w:numId w:val="0"/>
      </w:numPr>
      <w:spacing w:beforeLines="10" w:afterLines="10"/>
      <w:ind w:left="864" w:hanging="144" w:firstLineChars="200"/>
    </w:pPr>
    <w:rPr>
      <w:rFonts w:ascii="Cambria" w:hAnsi="Cambria" w:eastAsia="宋体"/>
    </w:rPr>
  </w:style>
  <w:style w:type="character" w:customStyle="1" w:styleId="1183">
    <w:name w:val="样式 标题 51)项标题 5 Char1) Char项 Char标5一级项 + 紧缩量  0.7 磅 Char1"/>
    <w:qFormat/>
    <w:uiPriority w:val="0"/>
    <w:rPr>
      <w:rFonts w:ascii="宋体" w:hAnsi="宋体" w:eastAsia="宋体"/>
      <w:spacing w:val="-14"/>
      <w:kern w:val="2"/>
      <w:sz w:val="28"/>
      <w:szCs w:val="28"/>
      <w:lang w:val="en-US" w:eastAsia="zh-CN" w:bidi="ar-SA"/>
    </w:rPr>
  </w:style>
  <w:style w:type="character" w:customStyle="1" w:styleId="1184">
    <w:name w:val="标题 3 Char2"/>
    <w:qFormat/>
    <w:uiPriority w:val="0"/>
    <w:rPr>
      <w:rFonts w:ascii="宋体" w:hAnsi="Arial" w:eastAsia="宋体"/>
      <w:b/>
      <w:bCs/>
      <w:color w:val="000000"/>
      <w:kern w:val="2"/>
      <w:sz w:val="28"/>
      <w:szCs w:val="28"/>
      <w:lang w:val="en-US" w:eastAsia="zh-CN" w:bidi="ar-SA"/>
    </w:rPr>
  </w:style>
  <w:style w:type="character" w:customStyle="1" w:styleId="1185">
    <w:name w:val="标题 4 Char3"/>
    <w:qFormat/>
    <w:uiPriority w:val="0"/>
    <w:rPr>
      <w:rFonts w:ascii="宋体" w:hAnsi="Arial" w:eastAsia="宋体"/>
      <w:b/>
      <w:bCs/>
      <w:color w:val="000000"/>
      <w:kern w:val="2"/>
      <w:sz w:val="28"/>
      <w:szCs w:val="28"/>
      <w:lang w:val="en-US" w:eastAsia="zh-CN" w:bidi="ar-SA"/>
    </w:rPr>
  </w:style>
  <w:style w:type="character" w:customStyle="1" w:styleId="1186">
    <w:name w:val="标题5 Char"/>
    <w:qFormat/>
    <w:uiPriority w:val="0"/>
    <w:rPr>
      <w:rFonts w:ascii="宋体" w:hAnsi="宋体" w:eastAsia="宋体"/>
      <w:b/>
      <w:bCs/>
      <w:color w:val="000000"/>
      <w:kern w:val="2"/>
      <w:sz w:val="28"/>
      <w:szCs w:val="32"/>
      <w:lang w:val="en-US" w:eastAsia="zh-CN" w:bidi="ar-SA"/>
    </w:rPr>
  </w:style>
  <w:style w:type="paragraph" w:customStyle="1" w:styleId="1187">
    <w:name w:val="样式 表格文字居中 + 首行缩进:  2 字符"/>
    <w:qFormat/>
    <w:uiPriority w:val="0"/>
    <w:pPr>
      <w:autoSpaceDE w:val="0"/>
      <w:autoSpaceDN w:val="0"/>
      <w:adjustRightInd w:val="0"/>
      <w:snapToGrid w:val="0"/>
      <w:spacing w:before="50" w:after="50"/>
      <w:jc w:val="center"/>
    </w:pPr>
    <w:rPr>
      <w:rFonts w:ascii="仿宋_GB2312" w:hAnsi="宋体" w:eastAsia="仿宋_GB2312" w:cs="宋体"/>
      <w:color w:val="000000"/>
      <w:kern w:val="2"/>
      <w:sz w:val="24"/>
      <w:lang w:val="en-US" w:eastAsia="zh-CN" w:bidi="ar-SA"/>
    </w:rPr>
  </w:style>
  <w:style w:type="paragraph" w:customStyle="1" w:styleId="1188">
    <w:name w:val="样式 样式 五号 首行缩进:  2 字符 + 首行缩进:  2 字符"/>
    <w:basedOn w:val="1167"/>
    <w:qFormat/>
    <w:uiPriority w:val="0"/>
    <w:pPr>
      <w:ind w:firstLine="560"/>
    </w:pPr>
  </w:style>
  <w:style w:type="paragraph" w:customStyle="1" w:styleId="1189">
    <w:name w:val="样式 样式 样式 五号 首行缩进:  2 字符 + 首行缩进:  2 字符 + 首行缩进:  2 字符"/>
    <w:basedOn w:val="1190"/>
    <w:qFormat/>
    <w:uiPriority w:val="0"/>
  </w:style>
  <w:style w:type="paragraph" w:customStyle="1" w:styleId="1190">
    <w:name w:val="样式 样式 五号 首行缩进:  2 字符 + 首行缩进:  2 字符1"/>
    <w:basedOn w:val="1167"/>
    <w:qFormat/>
    <w:uiPriority w:val="0"/>
    <w:pPr>
      <w:ind w:firstLine="480"/>
    </w:pPr>
  </w:style>
  <w:style w:type="paragraph" w:customStyle="1" w:styleId="1191">
    <w:name w:val="样式 表格文字居中 + 宋体 小四 Char"/>
    <w:link w:val="1192"/>
    <w:qFormat/>
    <w:uiPriority w:val="0"/>
    <w:pPr>
      <w:autoSpaceDE w:val="0"/>
      <w:autoSpaceDN w:val="0"/>
      <w:adjustRightInd w:val="0"/>
      <w:snapToGrid w:val="0"/>
      <w:spacing w:line="360" w:lineRule="auto"/>
      <w:jc w:val="center"/>
    </w:pPr>
    <w:rPr>
      <w:rFonts w:ascii="宋体" w:hAnsi="宋体" w:eastAsia="宋体" w:cs="Calibri"/>
      <w:kern w:val="2"/>
      <w:sz w:val="24"/>
      <w:szCs w:val="24"/>
      <w:lang w:val="en-US" w:eastAsia="zh-CN" w:bidi="ar-SA"/>
    </w:rPr>
  </w:style>
  <w:style w:type="character" w:customStyle="1" w:styleId="1192">
    <w:name w:val="样式 表格文字居中 + 宋体 小四 Char Char"/>
    <w:link w:val="1191"/>
    <w:qFormat/>
    <w:uiPriority w:val="0"/>
    <w:rPr>
      <w:rFonts w:ascii="宋体" w:hAnsi="宋体"/>
      <w:kern w:val="2"/>
      <w:sz w:val="24"/>
      <w:szCs w:val="24"/>
    </w:rPr>
  </w:style>
  <w:style w:type="paragraph" w:customStyle="1" w:styleId="1193">
    <w:name w:val="Items"/>
    <w:basedOn w:val="1"/>
    <w:qFormat/>
    <w:uiPriority w:val="0"/>
    <w:pPr>
      <w:spacing w:beforeLines="20" w:afterLines="30" w:line="560" w:lineRule="exact"/>
      <w:ind w:left="240" w:firstLine="80"/>
    </w:pPr>
    <w:rPr>
      <w:rFonts w:ascii="Arial" w:hAnsi="Arial" w:eastAsia="仿宋_GB2312" w:cs="宋体"/>
      <w:sz w:val="24"/>
      <w:szCs w:val="20"/>
    </w:rPr>
  </w:style>
  <w:style w:type="paragraph" w:customStyle="1" w:styleId="1194">
    <w:name w:val="批注框文本 Char Char"/>
    <w:basedOn w:val="1"/>
    <w:qFormat/>
    <w:uiPriority w:val="0"/>
    <w:pPr>
      <w:spacing w:line="312" w:lineRule="auto"/>
    </w:pPr>
    <w:rPr>
      <w:rFonts w:eastAsia="楷体_GB2312"/>
      <w:sz w:val="18"/>
      <w:szCs w:val="20"/>
    </w:rPr>
  </w:style>
  <w:style w:type="paragraph" w:customStyle="1" w:styleId="1195">
    <w:name w:val="样式 仿宋_GB2312 小四 行距: 多倍行距 1.25 字行"/>
    <w:basedOn w:val="1"/>
    <w:qFormat/>
    <w:uiPriority w:val="0"/>
    <w:pPr>
      <w:spacing w:line="300" w:lineRule="auto"/>
    </w:pPr>
    <w:rPr>
      <w:rFonts w:ascii="Arial Narrow" w:hAnsi="Arial Narrow" w:eastAsia="仿宋_GB2312" w:cs="宋体"/>
      <w:sz w:val="24"/>
    </w:rPr>
  </w:style>
  <w:style w:type="paragraph" w:customStyle="1" w:styleId="1196">
    <w:name w:val="表字1"/>
    <w:basedOn w:val="1"/>
    <w:qFormat/>
    <w:uiPriority w:val="0"/>
    <w:pPr>
      <w:adjustRightInd w:val="0"/>
      <w:spacing w:line="360" w:lineRule="auto"/>
      <w:jc w:val="center"/>
      <w:textAlignment w:val="baseline"/>
    </w:pPr>
    <w:rPr>
      <w:rFonts w:ascii="宋体"/>
      <w:kern w:val="0"/>
      <w:szCs w:val="20"/>
    </w:rPr>
  </w:style>
  <w:style w:type="paragraph" w:customStyle="1" w:styleId="1197">
    <w:name w:val="我的样式（正文）"/>
    <w:basedOn w:val="1"/>
    <w:qFormat/>
    <w:uiPriority w:val="0"/>
    <w:pPr>
      <w:spacing w:line="440" w:lineRule="exact"/>
    </w:pPr>
    <w:rPr>
      <w:rFonts w:ascii="宋体"/>
      <w:sz w:val="28"/>
      <w:szCs w:val="28"/>
    </w:rPr>
  </w:style>
  <w:style w:type="character" w:customStyle="1" w:styleId="1198">
    <w:name w:val="可研-正文首行缩进 Char Char"/>
    <w:qFormat/>
    <w:uiPriority w:val="0"/>
    <w:rPr>
      <w:rFonts w:ascii="Arial Narrow" w:hAnsi="Arial Narrow" w:eastAsia="仿宋_GB2312"/>
      <w:kern w:val="2"/>
      <w:sz w:val="24"/>
      <w:szCs w:val="24"/>
      <w:lang w:val="en-US" w:eastAsia="zh-CN" w:bidi="ar-SA"/>
    </w:rPr>
  </w:style>
  <w:style w:type="paragraph" w:customStyle="1" w:styleId="1199">
    <w:name w:val="正文小四"/>
    <w:basedOn w:val="1"/>
    <w:link w:val="1200"/>
    <w:qFormat/>
    <w:uiPriority w:val="0"/>
    <w:pPr>
      <w:spacing w:line="360" w:lineRule="auto"/>
    </w:pPr>
    <w:rPr>
      <w:sz w:val="24"/>
      <w:szCs w:val="20"/>
    </w:rPr>
  </w:style>
  <w:style w:type="character" w:customStyle="1" w:styleId="1200">
    <w:name w:val="正文小四 Char"/>
    <w:link w:val="1199"/>
    <w:qFormat/>
    <w:locked/>
    <w:uiPriority w:val="0"/>
    <w:rPr>
      <w:kern w:val="2"/>
      <w:sz w:val="24"/>
    </w:rPr>
  </w:style>
  <w:style w:type="character" w:customStyle="1" w:styleId="1201">
    <w:name w:val="content"/>
    <w:qFormat/>
    <w:uiPriority w:val="0"/>
    <w:rPr>
      <w:rFonts w:ascii="Verdana" w:hAnsi="Verdana" w:eastAsia="宋体"/>
      <w:lang w:val="en-US" w:eastAsia="en-US" w:bidi="ar-SA"/>
    </w:rPr>
  </w:style>
  <w:style w:type="paragraph" w:customStyle="1" w:styleId="1202">
    <w:name w:val="项目符号文字"/>
    <w:basedOn w:val="1203"/>
    <w:next w:val="1203"/>
    <w:qFormat/>
    <w:uiPriority w:val="0"/>
    <w:pPr>
      <w:tabs>
        <w:tab w:val="left" w:pos="927"/>
      </w:tabs>
      <w:ind w:left="284" w:firstLine="0"/>
    </w:pPr>
    <w:rPr>
      <w:rFonts w:ascii="宋体" w:hAnsi="宋体"/>
    </w:rPr>
  </w:style>
  <w:style w:type="paragraph" w:customStyle="1" w:styleId="1203">
    <w:name w:val="文字"/>
    <w:basedOn w:val="1"/>
    <w:qFormat/>
    <w:uiPriority w:val="0"/>
    <w:pPr>
      <w:spacing w:line="360" w:lineRule="auto"/>
      <w:ind w:firstLine="482"/>
    </w:pPr>
    <w:rPr>
      <w:rFonts w:ascii="Arial" w:hAnsi="Arial"/>
      <w:kern w:val="28"/>
      <w:sz w:val="24"/>
      <w:szCs w:val="20"/>
    </w:rPr>
  </w:style>
  <w:style w:type="paragraph" w:customStyle="1" w:styleId="1204">
    <w:name w:val="正文41"/>
    <w:basedOn w:val="1"/>
    <w:qFormat/>
    <w:uiPriority w:val="0"/>
    <w:pPr>
      <w:tabs>
        <w:tab w:val="left" w:pos="425"/>
      </w:tabs>
      <w:spacing w:line="360" w:lineRule="auto"/>
      <w:ind w:left="425" w:hanging="425"/>
    </w:pPr>
    <w:rPr>
      <w:sz w:val="24"/>
    </w:rPr>
  </w:style>
  <w:style w:type="paragraph" w:customStyle="1" w:styleId="1205">
    <w:name w:val="正文5"/>
    <w:basedOn w:val="1"/>
    <w:qFormat/>
    <w:uiPriority w:val="0"/>
    <w:pPr>
      <w:spacing w:line="360" w:lineRule="auto"/>
      <w:ind w:firstLine="70" w:firstLineChars="70"/>
    </w:pPr>
    <w:rPr>
      <w:sz w:val="24"/>
    </w:rPr>
  </w:style>
  <w:style w:type="paragraph" w:customStyle="1" w:styleId="1206">
    <w:name w:val="表格填充1"/>
    <w:basedOn w:val="1"/>
    <w:qFormat/>
    <w:uiPriority w:val="0"/>
    <w:pPr>
      <w:snapToGrid w:val="0"/>
      <w:jc w:val="center"/>
    </w:pPr>
    <w:rPr>
      <w:sz w:val="30"/>
      <w:szCs w:val="20"/>
    </w:rPr>
  </w:style>
  <w:style w:type="paragraph" w:customStyle="1" w:styleId="1207">
    <w:name w:val="流程文字"/>
    <w:basedOn w:val="1"/>
    <w:qFormat/>
    <w:uiPriority w:val="0"/>
    <w:pPr>
      <w:tabs>
        <w:tab w:val="left" w:pos="6480"/>
      </w:tabs>
      <w:topLinePunct/>
      <w:adjustRightInd w:val="0"/>
      <w:snapToGrid w:val="0"/>
      <w:jc w:val="center"/>
    </w:pPr>
    <w:rPr>
      <w:rFonts w:eastAsia="仿宋_GB2312"/>
      <w:szCs w:val="20"/>
    </w:rPr>
  </w:style>
  <w:style w:type="paragraph" w:customStyle="1" w:styleId="1208">
    <w:name w:val="表内字五"/>
    <w:basedOn w:val="64"/>
    <w:qFormat/>
    <w:uiPriority w:val="0"/>
    <w:pPr>
      <w:tabs>
        <w:tab w:val="left" w:pos="255"/>
        <w:tab w:val="left" w:pos="540"/>
        <w:tab w:val="left" w:pos="600"/>
        <w:tab w:val="left" w:pos="720"/>
        <w:tab w:val="left" w:pos="1200"/>
        <w:tab w:val="left" w:pos="1440"/>
        <w:tab w:val="left" w:pos="2448"/>
        <w:tab w:val="left" w:pos="3000"/>
        <w:tab w:val="left" w:pos="3888"/>
        <w:tab w:val="left" w:pos="4800"/>
        <w:tab w:val="left" w:pos="5883"/>
        <w:tab w:val="left" w:pos="6300"/>
        <w:tab w:val="left" w:pos="7353"/>
        <w:tab w:val="left" w:pos="8613"/>
      </w:tabs>
      <w:autoSpaceDE w:val="0"/>
      <w:autoSpaceDN w:val="0"/>
      <w:snapToGrid w:val="0"/>
      <w:spacing w:line="300" w:lineRule="auto"/>
      <w:ind w:left="0" w:firstLine="0" w:firstLineChars="0"/>
      <w:jc w:val="center"/>
      <w:textAlignment w:val="baseline"/>
    </w:pPr>
    <w:rPr>
      <w:kern w:val="0"/>
      <w:szCs w:val="21"/>
    </w:rPr>
  </w:style>
  <w:style w:type="paragraph" w:customStyle="1" w:styleId="1209">
    <w:name w:val="样式1 正文"/>
    <w:basedOn w:val="45"/>
    <w:qFormat/>
    <w:uiPriority w:val="0"/>
    <w:pPr>
      <w:suppressAutoHyphens w:val="0"/>
      <w:autoSpaceDN/>
      <w:snapToGrid w:val="0"/>
      <w:spacing w:line="420" w:lineRule="auto"/>
      <w:textAlignment w:val="auto"/>
    </w:pPr>
    <w:rPr>
      <w:rFonts w:cs="Courier New"/>
      <w:kern w:val="2"/>
      <w:szCs w:val="21"/>
    </w:rPr>
  </w:style>
  <w:style w:type="paragraph" w:customStyle="1" w:styleId="1210">
    <w:name w:val="biaoge 表1"/>
    <w:basedOn w:val="1"/>
    <w:qFormat/>
    <w:uiPriority w:val="0"/>
    <w:pPr>
      <w:jc w:val="center"/>
    </w:pPr>
    <w:rPr>
      <w:szCs w:val="20"/>
    </w:rPr>
  </w:style>
  <w:style w:type="paragraph" w:customStyle="1" w:styleId="1211">
    <w:name w:val="样式 样式 正文缩进 + 首行缩进:  2 字符 + 首行缩进:  0.99 厘米"/>
    <w:basedOn w:val="1"/>
    <w:qFormat/>
    <w:uiPriority w:val="0"/>
    <w:pPr>
      <w:tabs>
        <w:tab w:val="left" w:pos="540"/>
        <w:tab w:val="left" w:pos="600"/>
        <w:tab w:val="left" w:pos="7265"/>
        <w:tab w:val="left" w:pos="7340"/>
        <w:tab w:val="left" w:pos="8613"/>
      </w:tabs>
      <w:autoSpaceDE w:val="0"/>
      <w:autoSpaceDN w:val="0"/>
      <w:adjustRightInd w:val="0"/>
      <w:snapToGrid w:val="0"/>
      <w:spacing w:line="300" w:lineRule="auto"/>
      <w:ind w:firstLine="624"/>
      <w:textAlignment w:val="baseline"/>
    </w:pPr>
    <w:rPr>
      <w:rFonts w:ascii="宋体" w:hAnsi="宋体"/>
      <w:kern w:val="0"/>
      <w:sz w:val="28"/>
      <w:szCs w:val="20"/>
      <w:u w:color="FFFFFF"/>
    </w:rPr>
  </w:style>
  <w:style w:type="paragraph" w:customStyle="1" w:styleId="1212">
    <w:name w:val="表格文字2"/>
    <w:basedOn w:val="1"/>
    <w:qFormat/>
    <w:uiPriority w:val="0"/>
    <w:pPr>
      <w:tabs>
        <w:tab w:val="left" w:pos="277"/>
        <w:tab w:val="left" w:pos="600"/>
        <w:tab w:val="left" w:pos="780"/>
        <w:tab w:val="left" w:pos="2517"/>
      </w:tabs>
      <w:adjustRightInd w:val="0"/>
      <w:jc w:val="center"/>
      <w:textAlignment w:val="baseline"/>
    </w:pPr>
    <w:rPr>
      <w:kern w:val="0"/>
      <w:szCs w:val="20"/>
    </w:rPr>
  </w:style>
  <w:style w:type="paragraph" w:customStyle="1" w:styleId="1213">
    <w:name w:val="表前文字"/>
    <w:basedOn w:val="1"/>
    <w:qFormat/>
    <w:uiPriority w:val="0"/>
    <w:pPr>
      <w:jc w:val="center"/>
    </w:pPr>
    <w:rPr>
      <w:rFonts w:ascii="宋体" w:hAnsi="宋体"/>
      <w:bCs/>
      <w:kern w:val="0"/>
      <w:sz w:val="24"/>
    </w:rPr>
  </w:style>
  <w:style w:type="paragraph" w:customStyle="1" w:styleId="1214">
    <w:name w:val="报告"/>
    <w:basedOn w:val="1"/>
    <w:link w:val="1215"/>
    <w:qFormat/>
    <w:uiPriority w:val="0"/>
    <w:pPr>
      <w:overflowPunct w:val="0"/>
      <w:autoSpaceDE w:val="0"/>
      <w:autoSpaceDN w:val="0"/>
      <w:adjustRightInd w:val="0"/>
      <w:spacing w:beforeLines="20" w:afterLines="20" w:line="360" w:lineRule="atLeast"/>
      <w:ind w:firstLine="200" w:firstLineChars="200"/>
      <w:jc w:val="left"/>
      <w:textAlignment w:val="baseline"/>
    </w:pPr>
    <w:rPr>
      <w:color w:val="000000"/>
      <w:spacing w:val="8"/>
      <w:kern w:val="0"/>
      <w:sz w:val="24"/>
      <w:szCs w:val="28"/>
    </w:rPr>
  </w:style>
  <w:style w:type="character" w:customStyle="1" w:styleId="1215">
    <w:name w:val="报告 Char"/>
    <w:link w:val="1214"/>
    <w:qFormat/>
    <w:locked/>
    <w:uiPriority w:val="0"/>
    <w:rPr>
      <w:color w:val="000000"/>
      <w:spacing w:val="8"/>
      <w:sz w:val="24"/>
      <w:szCs w:val="28"/>
    </w:rPr>
  </w:style>
  <w:style w:type="character" w:customStyle="1" w:styleId="1216">
    <w:name w:val="Char1 Char Char Char Char Char Char Char Char Char Char Char Char Char Char Char Char Char"/>
    <w:qFormat/>
    <w:uiPriority w:val="0"/>
    <w:rPr>
      <w:rFonts w:ascii="Arial Narrow" w:hAnsi="Arial Narrow" w:eastAsia="仿宋_GB2312"/>
      <w:sz w:val="24"/>
      <w:szCs w:val="28"/>
      <w:lang w:val="en-US" w:eastAsia="zh-CN" w:bidi="ar-SA"/>
    </w:rPr>
  </w:style>
  <w:style w:type="character" w:customStyle="1" w:styleId="1217">
    <w:name w:val="标题 4 Char Char3"/>
    <w:qFormat/>
    <w:uiPriority w:val="0"/>
    <w:rPr>
      <w:rFonts w:ascii="Arial Narrow" w:hAnsi="Arial Narrow" w:eastAsia="仿宋_GB2312" w:cs="Arial"/>
      <w:snapToGrid w:val="0"/>
      <w:sz w:val="24"/>
      <w:szCs w:val="32"/>
      <w:lang w:val="en-US" w:eastAsia="zh-CN" w:bidi="ar-SA"/>
    </w:rPr>
  </w:style>
  <w:style w:type="character" w:customStyle="1" w:styleId="1218">
    <w:name w:val="可研-正文首行缩进 Char Char Char2"/>
    <w:qFormat/>
    <w:uiPriority w:val="0"/>
    <w:rPr>
      <w:rFonts w:ascii="Arial Narrow" w:hAnsi="宋体" w:eastAsia="宋体"/>
      <w:b/>
      <w:kern w:val="2"/>
      <w:sz w:val="24"/>
      <w:szCs w:val="24"/>
      <w:lang w:val="en-US" w:eastAsia="zh-CN" w:bidi="ar-SA"/>
    </w:rPr>
  </w:style>
  <w:style w:type="paragraph" w:customStyle="1" w:styleId="1219">
    <w:name w:val="表格文字居中 Char Char1"/>
    <w:basedOn w:val="41"/>
    <w:qFormat/>
    <w:uiPriority w:val="0"/>
    <w:pPr>
      <w:keepNext/>
      <w:widowControl/>
      <w:tabs>
        <w:tab w:val="left" w:pos="628"/>
        <w:tab w:val="left" w:pos="1727"/>
        <w:tab w:val="left" w:pos="1884"/>
        <w:tab w:val="left" w:pos="4900"/>
      </w:tabs>
      <w:autoSpaceDE w:val="0"/>
      <w:autoSpaceDN w:val="0"/>
      <w:adjustRightInd w:val="0"/>
      <w:snapToGrid w:val="0"/>
      <w:spacing w:before="100" w:beforeAutospacing="1" w:after="0"/>
      <w:ind w:firstLine="0" w:firstLineChars="200"/>
      <w:jc w:val="center"/>
    </w:pPr>
    <w:rPr>
      <w:rFonts w:hint="eastAsia" w:ascii="仿宋_GB2312" w:hAnsi="宋体" w:cs="宋体"/>
      <w:b/>
      <w:bCs/>
      <w:color w:val="FF0000"/>
      <w:sz w:val="24"/>
      <w:szCs w:val="24"/>
    </w:rPr>
  </w:style>
  <w:style w:type="character" w:customStyle="1" w:styleId="1220">
    <w:name w:val="表格文字居中 Char Char Char"/>
    <w:qFormat/>
    <w:uiPriority w:val="0"/>
    <w:rPr>
      <w:rFonts w:ascii="宋体" w:hAnsi="宋体" w:eastAsia="宋体"/>
      <w:kern w:val="2"/>
      <w:sz w:val="24"/>
      <w:szCs w:val="24"/>
      <w:lang w:val="en-US" w:eastAsia="zh-CN" w:bidi="ar-SA"/>
    </w:rPr>
  </w:style>
  <w:style w:type="character" w:customStyle="1" w:styleId="1221">
    <w:name w:val="样式 标题 51)项标题 5 Char1) Char项 Char标5 + 左 Char Char Char"/>
    <w:qFormat/>
    <w:uiPriority w:val="0"/>
    <w:rPr>
      <w:rFonts w:ascii="Arial Narrow" w:hAnsi="Arial" w:eastAsia="宋体"/>
      <w:b/>
      <w:bCs/>
      <w:color w:val="000000"/>
      <w:kern w:val="24"/>
      <w:sz w:val="28"/>
      <w:szCs w:val="28"/>
      <w:lang w:val="en-US" w:eastAsia="zh-CN" w:bidi="ar-SA"/>
    </w:rPr>
  </w:style>
  <w:style w:type="character" w:customStyle="1" w:styleId="1222">
    <w:name w:val="样式 表格文字居中 + 宋体 小四 Char Char Char"/>
    <w:qFormat/>
    <w:uiPriority w:val="0"/>
    <w:rPr>
      <w:rFonts w:ascii="宋体" w:hAnsi="宋体" w:eastAsia="宋体"/>
      <w:kern w:val="2"/>
      <w:sz w:val="24"/>
      <w:szCs w:val="24"/>
      <w:lang w:val="en-US" w:eastAsia="zh-CN" w:bidi="ar-SA"/>
    </w:rPr>
  </w:style>
  <w:style w:type="character" w:customStyle="1" w:styleId="1223">
    <w:name w:val="可研-正文首行缩进 Char Char Char1"/>
    <w:qFormat/>
    <w:uiPriority w:val="0"/>
    <w:rPr>
      <w:rFonts w:ascii="Arial Narrow" w:hAnsi="Arial Narrow" w:eastAsia="仿宋_GB2312"/>
      <w:kern w:val="2"/>
      <w:sz w:val="24"/>
      <w:szCs w:val="24"/>
      <w:lang w:val="en-US" w:eastAsia="zh-CN" w:bidi="ar-SA"/>
    </w:rPr>
  </w:style>
  <w:style w:type="character" w:customStyle="1" w:styleId="1224">
    <w:name w:val="可研-正文首行缩进 Char Char Char Char Char"/>
    <w:qFormat/>
    <w:uiPriority w:val="0"/>
    <w:rPr>
      <w:rFonts w:ascii="Arial Narrow" w:hAnsi="Arial Narrow" w:eastAsia="仿宋_GB2312"/>
      <w:kern w:val="2"/>
      <w:sz w:val="24"/>
      <w:szCs w:val="24"/>
      <w:lang w:val="en-US" w:eastAsia="zh-CN" w:bidi="ar-SA"/>
    </w:rPr>
  </w:style>
  <w:style w:type="character" w:customStyle="1" w:styleId="1225">
    <w:name w:val="表格文字居中 Char Char Char Char"/>
    <w:qFormat/>
    <w:uiPriority w:val="0"/>
    <w:rPr>
      <w:rFonts w:ascii="宋体" w:hAnsi="宋体" w:eastAsia="宋体"/>
      <w:kern w:val="2"/>
      <w:sz w:val="24"/>
      <w:szCs w:val="24"/>
      <w:lang w:val="en-US" w:eastAsia="zh-CN" w:bidi="ar-SA"/>
    </w:rPr>
  </w:style>
  <w:style w:type="character" w:customStyle="1" w:styleId="1226">
    <w:name w:val="样式 标题 51)项标题 5 Char1) Char项 Char标5 + 左 Char Char Char Char"/>
    <w:qFormat/>
    <w:uiPriority w:val="0"/>
    <w:rPr>
      <w:rFonts w:ascii="Arial Narrow" w:hAnsi="Arial" w:eastAsia="宋体"/>
      <w:b/>
      <w:bCs/>
      <w:kern w:val="24"/>
      <w:sz w:val="28"/>
      <w:szCs w:val="28"/>
      <w:lang w:val="en-US" w:eastAsia="zh-CN" w:bidi="ar-SA"/>
    </w:rPr>
  </w:style>
  <w:style w:type="character" w:customStyle="1" w:styleId="1227">
    <w:name w:val="样式 表格文字居中 + 宋体 小四 Char Char Char Char"/>
    <w:qFormat/>
    <w:uiPriority w:val="0"/>
    <w:rPr>
      <w:rFonts w:ascii="宋体" w:hAnsi="宋体" w:eastAsia="宋体"/>
      <w:kern w:val="2"/>
      <w:sz w:val="24"/>
      <w:szCs w:val="24"/>
      <w:lang w:val="en-US" w:eastAsia="zh-CN" w:bidi="ar-SA"/>
    </w:rPr>
  </w:style>
  <w:style w:type="paragraph" w:customStyle="1" w:styleId="1228">
    <w:name w:val="样式 标题 4 + 图案: 清除 (白色)1"/>
    <w:basedOn w:val="8"/>
    <w:qFormat/>
    <w:uiPriority w:val="0"/>
    <w:pPr>
      <w:numPr>
        <w:ilvl w:val="0"/>
        <w:numId w:val="0"/>
      </w:numPr>
      <w:spacing w:beforeLines="10" w:afterLines="10"/>
      <w:ind w:left="864" w:hanging="144" w:firstLineChars="200"/>
    </w:pPr>
    <w:rPr>
      <w:rFonts w:ascii="Cambria" w:hAnsi="Cambria" w:eastAsia="宋体"/>
    </w:rPr>
  </w:style>
  <w:style w:type="paragraph" w:customStyle="1" w:styleId="1229">
    <w:name w:val="表文字5"/>
    <w:basedOn w:val="1"/>
    <w:qFormat/>
    <w:uiPriority w:val="0"/>
    <w:pPr>
      <w:adjustRightInd w:val="0"/>
      <w:jc w:val="left"/>
      <w:textAlignment w:val="baseline"/>
    </w:pPr>
    <w:rPr>
      <w:rFonts w:ascii="宋体"/>
      <w:kern w:val="0"/>
      <w:szCs w:val="20"/>
    </w:rPr>
  </w:style>
  <w:style w:type="paragraph" w:customStyle="1" w:styleId="1230">
    <w:name w:val="封面标题1"/>
    <w:basedOn w:val="1"/>
    <w:next w:val="1"/>
    <w:qFormat/>
    <w:uiPriority w:val="0"/>
    <w:pPr>
      <w:adjustRightInd w:val="0"/>
      <w:jc w:val="center"/>
      <w:textAlignment w:val="baseline"/>
    </w:pPr>
    <w:rPr>
      <w:rFonts w:ascii="宋体" w:eastAsia="宋体繁体"/>
      <w:b/>
      <w:spacing w:val="6"/>
      <w:kern w:val="0"/>
      <w:sz w:val="44"/>
      <w:szCs w:val="20"/>
    </w:rPr>
  </w:style>
  <w:style w:type="paragraph" w:customStyle="1" w:styleId="1231">
    <w:name w:val="封面标题2"/>
    <w:basedOn w:val="1"/>
    <w:qFormat/>
    <w:uiPriority w:val="0"/>
    <w:pPr>
      <w:adjustRightInd w:val="0"/>
      <w:spacing w:line="480" w:lineRule="atLeast"/>
      <w:jc w:val="center"/>
      <w:textAlignment w:val="baseline"/>
    </w:pPr>
    <w:rPr>
      <w:rFonts w:ascii="宋体" w:eastAsia="黑体"/>
      <w:kern w:val="0"/>
      <w:sz w:val="52"/>
      <w:szCs w:val="20"/>
    </w:rPr>
  </w:style>
  <w:style w:type="character" w:customStyle="1" w:styleId="1232">
    <w:name w:val="正文 Char1"/>
    <w:qFormat/>
    <w:uiPriority w:val="0"/>
    <w:rPr>
      <w:rFonts w:ascii="Arial Narrow" w:hAnsi="Arial Narrow" w:eastAsia="仿宋_GB2312"/>
      <w:sz w:val="24"/>
      <w:szCs w:val="24"/>
      <w:lang w:val="en-US" w:eastAsia="zh-CN" w:bidi="ar-SA"/>
    </w:rPr>
  </w:style>
  <w:style w:type="paragraph" w:customStyle="1" w:styleId="1233">
    <w:name w:val="CM1"/>
    <w:basedOn w:val="2"/>
    <w:next w:val="2"/>
    <w:qFormat/>
    <w:uiPriority w:val="0"/>
    <w:pPr>
      <w:suppressAutoHyphens w:val="0"/>
      <w:adjustRightInd w:val="0"/>
      <w:textAlignment w:val="auto"/>
    </w:pPr>
    <w:rPr>
      <w:rFonts w:ascii="Times New Roman" w:hAnsi="Times New Roman" w:cs="Times New Roman"/>
      <w:color w:val="auto"/>
    </w:rPr>
  </w:style>
  <w:style w:type="paragraph" w:customStyle="1" w:styleId="1234">
    <w:name w:val="CM109"/>
    <w:basedOn w:val="2"/>
    <w:next w:val="2"/>
    <w:qFormat/>
    <w:uiPriority w:val="0"/>
    <w:pPr>
      <w:suppressAutoHyphens w:val="0"/>
      <w:adjustRightInd w:val="0"/>
      <w:spacing w:after="378"/>
      <w:textAlignment w:val="auto"/>
    </w:pPr>
    <w:rPr>
      <w:rFonts w:ascii="Times New Roman" w:hAnsi="Times New Roman" w:cs="Times New Roman"/>
      <w:color w:val="auto"/>
    </w:rPr>
  </w:style>
  <w:style w:type="paragraph" w:customStyle="1" w:styleId="1235">
    <w:name w:val="CM21"/>
    <w:basedOn w:val="2"/>
    <w:next w:val="2"/>
    <w:qFormat/>
    <w:uiPriority w:val="0"/>
    <w:pPr>
      <w:suppressAutoHyphens w:val="0"/>
      <w:adjustRightInd w:val="0"/>
      <w:spacing w:line="438" w:lineRule="atLeast"/>
      <w:textAlignment w:val="auto"/>
    </w:pPr>
    <w:rPr>
      <w:rFonts w:ascii="Times New Roman" w:hAnsi="Times New Roman" w:cs="Times New Roman"/>
      <w:color w:val="auto"/>
    </w:rPr>
  </w:style>
  <w:style w:type="paragraph" w:customStyle="1" w:styleId="1236">
    <w:name w:val="CM22"/>
    <w:basedOn w:val="2"/>
    <w:next w:val="2"/>
    <w:qFormat/>
    <w:uiPriority w:val="0"/>
    <w:pPr>
      <w:suppressAutoHyphens w:val="0"/>
      <w:adjustRightInd w:val="0"/>
      <w:spacing w:line="468" w:lineRule="atLeast"/>
      <w:textAlignment w:val="auto"/>
    </w:pPr>
    <w:rPr>
      <w:rFonts w:ascii="Times New Roman" w:hAnsi="Times New Roman" w:cs="Times New Roman"/>
      <w:color w:val="auto"/>
    </w:rPr>
  </w:style>
  <w:style w:type="paragraph" w:customStyle="1" w:styleId="1237">
    <w:name w:val="CM110"/>
    <w:basedOn w:val="2"/>
    <w:next w:val="2"/>
    <w:qFormat/>
    <w:uiPriority w:val="0"/>
    <w:pPr>
      <w:suppressAutoHyphens w:val="0"/>
      <w:adjustRightInd w:val="0"/>
      <w:spacing w:after="73"/>
      <w:textAlignment w:val="auto"/>
    </w:pPr>
    <w:rPr>
      <w:rFonts w:ascii="Times New Roman" w:hAnsi="Times New Roman" w:cs="Times New Roman"/>
      <w:color w:val="auto"/>
    </w:rPr>
  </w:style>
  <w:style w:type="paragraph" w:customStyle="1" w:styleId="1238">
    <w:name w:val="CM24"/>
    <w:basedOn w:val="2"/>
    <w:next w:val="2"/>
    <w:qFormat/>
    <w:uiPriority w:val="0"/>
    <w:pPr>
      <w:suppressAutoHyphens w:val="0"/>
      <w:adjustRightInd w:val="0"/>
      <w:spacing w:line="468" w:lineRule="atLeast"/>
      <w:textAlignment w:val="auto"/>
    </w:pPr>
    <w:rPr>
      <w:rFonts w:ascii="Times New Roman" w:hAnsi="Times New Roman" w:cs="Times New Roman"/>
      <w:color w:val="auto"/>
    </w:rPr>
  </w:style>
  <w:style w:type="paragraph" w:customStyle="1" w:styleId="1239">
    <w:name w:val="CM25"/>
    <w:basedOn w:val="2"/>
    <w:next w:val="2"/>
    <w:qFormat/>
    <w:uiPriority w:val="0"/>
    <w:pPr>
      <w:suppressAutoHyphens w:val="0"/>
      <w:adjustRightInd w:val="0"/>
      <w:spacing w:line="468" w:lineRule="atLeast"/>
      <w:textAlignment w:val="auto"/>
    </w:pPr>
    <w:rPr>
      <w:rFonts w:ascii="Times New Roman" w:hAnsi="Times New Roman" w:cs="Times New Roman"/>
      <w:color w:val="auto"/>
    </w:rPr>
  </w:style>
  <w:style w:type="paragraph" w:customStyle="1" w:styleId="1240">
    <w:name w:val="CM112"/>
    <w:basedOn w:val="2"/>
    <w:next w:val="2"/>
    <w:qFormat/>
    <w:uiPriority w:val="0"/>
    <w:pPr>
      <w:suppressAutoHyphens w:val="0"/>
      <w:adjustRightInd w:val="0"/>
      <w:spacing w:after="303"/>
      <w:textAlignment w:val="auto"/>
    </w:pPr>
    <w:rPr>
      <w:rFonts w:ascii="Times New Roman" w:hAnsi="Times New Roman" w:cs="Times New Roman"/>
      <w:color w:val="auto"/>
    </w:rPr>
  </w:style>
  <w:style w:type="paragraph" w:customStyle="1" w:styleId="1241">
    <w:name w:val="CM27"/>
    <w:basedOn w:val="2"/>
    <w:next w:val="2"/>
    <w:qFormat/>
    <w:uiPriority w:val="0"/>
    <w:pPr>
      <w:suppressAutoHyphens w:val="0"/>
      <w:adjustRightInd w:val="0"/>
      <w:spacing w:line="438" w:lineRule="atLeast"/>
      <w:textAlignment w:val="auto"/>
    </w:pPr>
    <w:rPr>
      <w:rFonts w:ascii="Times New Roman" w:hAnsi="Times New Roman" w:cs="Times New Roman"/>
      <w:color w:val="auto"/>
    </w:rPr>
  </w:style>
  <w:style w:type="paragraph" w:customStyle="1" w:styleId="1242">
    <w:name w:val="Char Char3 Char Char Char Char1"/>
    <w:basedOn w:val="1"/>
    <w:qFormat/>
    <w:uiPriority w:val="0"/>
    <w:pPr>
      <w:widowControl/>
      <w:spacing w:line="240" w:lineRule="exact"/>
      <w:jc w:val="left"/>
    </w:pPr>
    <w:rPr>
      <w:rFonts w:ascii="Verdana" w:hAnsi="Verdana"/>
      <w:kern w:val="0"/>
      <w:sz w:val="20"/>
      <w:szCs w:val="20"/>
      <w:lang w:eastAsia="en-US"/>
    </w:rPr>
  </w:style>
  <w:style w:type="paragraph" w:customStyle="1" w:styleId="1243">
    <w:name w:val="样式 报告正文 + 首行缩进:  2 字符 Char Char"/>
    <w:basedOn w:val="1"/>
    <w:link w:val="1244"/>
    <w:qFormat/>
    <w:uiPriority w:val="0"/>
    <w:pPr>
      <w:spacing w:line="312" w:lineRule="auto"/>
      <w:ind w:firstLine="600" w:firstLineChars="200"/>
    </w:pPr>
    <w:rPr>
      <w:rFonts w:eastAsia="楷体_GB2312" w:cs="宋体"/>
      <w:bCs/>
      <w:sz w:val="30"/>
    </w:rPr>
  </w:style>
  <w:style w:type="character" w:customStyle="1" w:styleId="1244">
    <w:name w:val="样式 报告正文 + 首行缩进:  2 字符 Char Char Char"/>
    <w:link w:val="1243"/>
    <w:qFormat/>
    <w:uiPriority w:val="0"/>
    <w:rPr>
      <w:rFonts w:eastAsia="楷体_GB2312" w:cs="宋体"/>
      <w:bCs/>
      <w:kern w:val="2"/>
      <w:sz w:val="30"/>
      <w:szCs w:val="24"/>
    </w:rPr>
  </w:style>
  <w:style w:type="paragraph" w:customStyle="1" w:styleId="1245">
    <w:name w:val="投标文件正文"/>
    <w:basedOn w:val="1"/>
    <w:link w:val="1246"/>
    <w:qFormat/>
    <w:uiPriority w:val="0"/>
    <w:pPr>
      <w:spacing w:line="400" w:lineRule="exact"/>
      <w:ind w:firstLine="480" w:firstLineChars="200"/>
    </w:pPr>
    <w:rPr>
      <w:rFonts w:ascii="Arial" w:hAnsi="Arial"/>
      <w:sz w:val="24"/>
    </w:rPr>
  </w:style>
  <w:style w:type="character" w:customStyle="1" w:styleId="1246">
    <w:name w:val="投标文件正文 Char"/>
    <w:link w:val="1245"/>
    <w:qFormat/>
    <w:uiPriority w:val="0"/>
    <w:rPr>
      <w:rFonts w:ascii="Arial" w:hAnsi="Arial"/>
      <w:kern w:val="2"/>
      <w:sz w:val="24"/>
      <w:szCs w:val="24"/>
    </w:rPr>
  </w:style>
  <w:style w:type="paragraph" w:customStyle="1" w:styleId="1247">
    <w:name w:val="投标文件一级标题"/>
    <w:basedOn w:val="5"/>
    <w:qFormat/>
    <w:uiPriority w:val="0"/>
    <w:pPr>
      <w:keepLines/>
      <w:numPr>
        <w:ilvl w:val="0"/>
        <w:numId w:val="6"/>
      </w:numPr>
      <w:tabs>
        <w:tab w:val="clear" w:pos="680"/>
      </w:tabs>
      <w:overflowPunct/>
      <w:snapToGrid/>
      <w:spacing w:before="0" w:beforeLines="10" w:after="0" w:afterLines="10" w:line="578" w:lineRule="auto"/>
      <w:ind w:left="0" w:firstLine="0" w:firstLineChars="200"/>
    </w:pPr>
    <w:rPr>
      <w:rFonts w:eastAsia="宋体"/>
      <w:color w:val="auto"/>
      <w:sz w:val="44"/>
      <w:szCs w:val="44"/>
    </w:rPr>
  </w:style>
  <w:style w:type="paragraph" w:customStyle="1" w:styleId="1248">
    <w:name w:val="投标文件二级标题"/>
    <w:basedOn w:val="6"/>
    <w:qFormat/>
    <w:uiPriority w:val="0"/>
    <w:pPr>
      <w:spacing w:beforeLines="10" w:afterLines="10"/>
      <w:ind w:firstLine="200" w:firstLineChars="200"/>
    </w:pPr>
    <w:rPr>
      <w:rFonts w:ascii="Cambria" w:hAnsi="Cambria" w:eastAsia="宋体"/>
    </w:rPr>
  </w:style>
  <w:style w:type="paragraph" w:customStyle="1" w:styleId="1249">
    <w:name w:val="投标文件三级标题"/>
    <w:basedOn w:val="7"/>
    <w:qFormat/>
    <w:uiPriority w:val="0"/>
    <w:pPr>
      <w:widowControl w:val="0"/>
      <w:adjustRightInd/>
      <w:snapToGrid/>
      <w:spacing w:before="120" w:beforeLines="10" w:after="120" w:afterLines="10"/>
      <w:ind w:left="720" w:hanging="432" w:firstLineChars="200"/>
      <w:jc w:val="both"/>
    </w:pPr>
    <w:rPr>
      <w:rFonts w:ascii="Times New Roman" w:hAnsi="Times New Roman"/>
      <w:lang w:val="en-US"/>
    </w:rPr>
  </w:style>
  <w:style w:type="paragraph" w:customStyle="1" w:styleId="1250">
    <w:name w:val="投标文件四级标题"/>
    <w:basedOn w:val="8"/>
    <w:qFormat/>
    <w:uiPriority w:val="0"/>
    <w:pPr>
      <w:numPr>
        <w:ilvl w:val="0"/>
        <w:numId w:val="0"/>
      </w:numPr>
      <w:spacing w:beforeLines="10" w:afterLines="10"/>
      <w:ind w:left="864" w:hanging="144" w:firstLineChars="200"/>
    </w:pPr>
    <w:rPr>
      <w:rFonts w:ascii="Cambria" w:hAnsi="Cambria" w:eastAsia="宋体"/>
    </w:rPr>
  </w:style>
  <w:style w:type="paragraph" w:customStyle="1" w:styleId="1251">
    <w:name w:val="正文-ls"/>
    <w:basedOn w:val="1"/>
    <w:link w:val="1252"/>
    <w:qFormat/>
    <w:uiPriority w:val="0"/>
    <w:pPr>
      <w:spacing w:line="360" w:lineRule="auto"/>
      <w:ind w:firstLine="200" w:firstLineChars="200"/>
    </w:pPr>
    <w:rPr>
      <w:rFonts w:hAnsi="宋体" w:cs="宋体"/>
      <w:sz w:val="24"/>
      <w:szCs w:val="20"/>
    </w:rPr>
  </w:style>
  <w:style w:type="character" w:customStyle="1" w:styleId="1252">
    <w:name w:val="正文-ls Char"/>
    <w:link w:val="1251"/>
    <w:qFormat/>
    <w:uiPriority w:val="0"/>
    <w:rPr>
      <w:rFonts w:hAnsi="宋体" w:cs="宋体"/>
      <w:kern w:val="2"/>
      <w:sz w:val="24"/>
    </w:rPr>
  </w:style>
  <w:style w:type="character" w:customStyle="1" w:styleId="1253">
    <w:name w:val="表头 Char2"/>
    <w:qFormat/>
    <w:uiPriority w:val="0"/>
    <w:rPr>
      <w:rFonts w:ascii="宋体" w:hAnsi="宋体" w:eastAsia="宋体" w:cs="Arial"/>
      <w:b/>
      <w:kern w:val="28"/>
      <w:sz w:val="21"/>
      <w:szCs w:val="21"/>
      <w:lang w:val="en-US" w:eastAsia="zh-CN" w:bidi="ar-SA"/>
    </w:rPr>
  </w:style>
  <w:style w:type="character" w:customStyle="1" w:styleId="1254">
    <w:name w:val="标题 5 Char2"/>
    <w:qFormat/>
    <w:uiPriority w:val="0"/>
    <w:rPr>
      <w:rFonts w:ascii="宋体" w:hAnsi="Times New Roman" w:eastAsia="宋体" w:cs="Times New Roman"/>
      <w:b/>
      <w:spacing w:val="6"/>
      <w:sz w:val="26"/>
      <w:szCs w:val="26"/>
    </w:rPr>
  </w:style>
  <w:style w:type="paragraph" w:customStyle="1" w:styleId="1255">
    <w:name w:val="Char Char Char Char Char Char Char Char Char Char Char Char Char Char Char Char Char Char Char"/>
    <w:basedOn w:val="1"/>
    <w:qFormat/>
    <w:uiPriority w:val="0"/>
    <w:rPr>
      <w:rFonts w:eastAsia="Times New Roman"/>
      <w:kern w:val="0"/>
      <w:sz w:val="20"/>
      <w:szCs w:val="20"/>
    </w:rPr>
  </w:style>
  <w:style w:type="paragraph" w:customStyle="1" w:styleId="1256">
    <w:name w:val="dan7-1"/>
    <w:basedOn w:val="1"/>
    <w:link w:val="1257"/>
    <w:qFormat/>
    <w:uiPriority w:val="0"/>
    <w:pPr>
      <w:spacing w:line="360" w:lineRule="auto"/>
      <w:ind w:firstLine="200" w:firstLineChars="200"/>
    </w:pPr>
    <w:rPr>
      <w:kern w:val="0"/>
      <w:sz w:val="24"/>
      <w:lang w:val="zh-CN"/>
    </w:rPr>
  </w:style>
  <w:style w:type="character" w:customStyle="1" w:styleId="1257">
    <w:name w:val="dan7-1 Char"/>
    <w:link w:val="1256"/>
    <w:qFormat/>
    <w:uiPriority w:val="0"/>
    <w:rPr>
      <w:sz w:val="24"/>
      <w:szCs w:val="24"/>
      <w:lang w:val="zh-CN"/>
    </w:rPr>
  </w:style>
  <w:style w:type="paragraph" w:customStyle="1" w:styleId="1258">
    <w:name w:val="_Style 10"/>
    <w:basedOn w:val="1"/>
    <w:next w:val="34"/>
    <w:qFormat/>
    <w:uiPriority w:val="0"/>
    <w:pPr>
      <w:spacing w:line="360" w:lineRule="auto"/>
    </w:pPr>
    <w:rPr>
      <w:sz w:val="24"/>
      <w:szCs w:val="20"/>
    </w:rPr>
  </w:style>
  <w:style w:type="character" w:customStyle="1" w:styleId="1259">
    <w:name w:val="style41"/>
    <w:qFormat/>
    <w:uiPriority w:val="0"/>
    <w:rPr>
      <w:color w:val="000000"/>
      <w:sz w:val="16"/>
      <w:szCs w:val="16"/>
    </w:rPr>
  </w:style>
  <w:style w:type="character" w:customStyle="1" w:styleId="1260">
    <w:name w:val="rsdesckey1"/>
    <w:qFormat/>
    <w:uiPriority w:val="0"/>
    <w:rPr>
      <w:color w:val="FF0000"/>
    </w:rPr>
  </w:style>
  <w:style w:type="character" w:customStyle="1" w:styleId="1261">
    <w:name w:val="style51"/>
    <w:qFormat/>
    <w:uiPriority w:val="0"/>
    <w:rPr>
      <w:sz w:val="21"/>
      <w:szCs w:val="21"/>
    </w:rPr>
  </w:style>
  <w:style w:type="paragraph" w:customStyle="1" w:styleId="1262">
    <w:name w:val="_Style 5"/>
    <w:basedOn w:val="1"/>
    <w:next w:val="50"/>
    <w:qFormat/>
    <w:uiPriority w:val="0"/>
    <w:pPr>
      <w:tabs>
        <w:tab w:val="left" w:pos="360"/>
        <w:tab w:val="left" w:pos="540"/>
      </w:tabs>
      <w:spacing w:line="440" w:lineRule="exact"/>
      <w:ind w:firstLine="480" w:firstLineChars="200"/>
    </w:pPr>
    <w:rPr>
      <w:kern w:val="10"/>
      <w:sz w:val="24"/>
      <w:szCs w:val="20"/>
    </w:rPr>
  </w:style>
  <w:style w:type="paragraph" w:customStyle="1" w:styleId="1263">
    <w:name w:val="MFS正文 Char Char"/>
    <w:basedOn w:val="41"/>
    <w:qFormat/>
    <w:uiPriority w:val="0"/>
    <w:pPr>
      <w:adjustRightInd w:val="0"/>
      <w:snapToGrid w:val="0"/>
      <w:spacing w:before="93" w:line="360" w:lineRule="auto"/>
      <w:ind w:firstLine="487" w:firstLineChars="200"/>
    </w:pPr>
    <w:rPr>
      <w:kern w:val="0"/>
      <w:sz w:val="24"/>
      <w:szCs w:val="24"/>
      <w:lang w:val="zh-CN" w:bidi="ar-BH"/>
    </w:rPr>
  </w:style>
  <w:style w:type="paragraph" w:customStyle="1" w:styleId="1264">
    <w:name w:val="表样式"/>
    <w:basedOn w:val="1"/>
    <w:qFormat/>
    <w:uiPriority w:val="0"/>
    <w:pPr>
      <w:jc w:val="center"/>
    </w:pPr>
    <w:rPr>
      <w:rFonts w:ascii="仿宋_GB2312" w:eastAsia="黑体"/>
    </w:rPr>
  </w:style>
  <w:style w:type="paragraph" w:customStyle="1" w:styleId="1265">
    <w:name w:val="简单回函地址"/>
    <w:basedOn w:val="1"/>
    <w:qFormat/>
    <w:uiPriority w:val="0"/>
    <w:pPr>
      <w:adjustRightInd w:val="0"/>
      <w:spacing w:line="312" w:lineRule="atLeast"/>
      <w:textAlignment w:val="baseline"/>
    </w:pPr>
    <w:rPr>
      <w:kern w:val="0"/>
      <w:szCs w:val="20"/>
    </w:rPr>
  </w:style>
  <w:style w:type="paragraph" w:customStyle="1" w:styleId="1266">
    <w:name w:val="?2"/>
    <w:basedOn w:val="1"/>
    <w:next w:val="1"/>
    <w:qFormat/>
    <w:uiPriority w:val="0"/>
    <w:pPr>
      <w:autoSpaceDE w:val="0"/>
      <w:autoSpaceDN w:val="0"/>
      <w:adjustRightInd w:val="0"/>
      <w:jc w:val="left"/>
    </w:pPr>
    <w:rPr>
      <w:rFonts w:ascii="五" w:eastAsia="五"/>
      <w:kern w:val="0"/>
      <w:sz w:val="20"/>
    </w:rPr>
  </w:style>
  <w:style w:type="paragraph" w:customStyle="1" w:styleId="1267">
    <w:name w:val="text13"/>
    <w:basedOn w:val="1"/>
    <w:qFormat/>
    <w:uiPriority w:val="0"/>
    <w:pPr>
      <w:widowControl/>
      <w:spacing w:beforeAutospacing="1" w:afterAutospacing="1"/>
      <w:jc w:val="left"/>
    </w:pPr>
    <w:rPr>
      <w:rFonts w:ascii="宋体" w:hAnsi="宋体"/>
      <w:kern w:val="0"/>
      <w:sz w:val="24"/>
    </w:rPr>
  </w:style>
  <w:style w:type="paragraph" w:customStyle="1" w:styleId="1268">
    <w:name w:val="unnamed11"/>
    <w:basedOn w:val="1"/>
    <w:qFormat/>
    <w:uiPriority w:val="0"/>
    <w:pPr>
      <w:widowControl/>
      <w:spacing w:beforeAutospacing="1" w:afterAutospacing="1"/>
      <w:jc w:val="left"/>
    </w:pPr>
    <w:rPr>
      <w:color w:val="000000"/>
      <w:kern w:val="0"/>
      <w:sz w:val="18"/>
      <w:szCs w:val="18"/>
    </w:rPr>
  </w:style>
  <w:style w:type="paragraph" w:customStyle="1" w:styleId="1269">
    <w:name w:val="af0"/>
    <w:basedOn w:val="1"/>
    <w:qFormat/>
    <w:uiPriority w:val="0"/>
    <w:pPr>
      <w:widowControl/>
      <w:spacing w:beforeAutospacing="1" w:afterAutospacing="1"/>
      <w:jc w:val="left"/>
    </w:pPr>
    <w:rPr>
      <w:rFonts w:ascii="宋体" w:hAnsi="宋体"/>
      <w:kern w:val="0"/>
      <w:sz w:val="24"/>
    </w:rPr>
  </w:style>
  <w:style w:type="character" w:customStyle="1" w:styleId="1270">
    <w:name w:val="cont21"/>
    <w:qFormat/>
    <w:uiPriority w:val="0"/>
    <w:rPr>
      <w:sz w:val="21"/>
      <w:szCs w:val="21"/>
    </w:rPr>
  </w:style>
  <w:style w:type="paragraph" w:customStyle="1" w:styleId="1271">
    <w:name w:val="注："/>
    <w:next w:val="8"/>
    <w:qFormat/>
    <w:uiPriority w:val="0"/>
    <w:pPr>
      <w:widowControl w:val="0"/>
      <w:autoSpaceDE w:val="0"/>
      <w:autoSpaceDN w:val="0"/>
      <w:ind w:left="840" w:hanging="420"/>
      <w:jc w:val="both"/>
    </w:pPr>
    <w:rPr>
      <w:rFonts w:ascii="宋体" w:hAnsi="Calibri" w:eastAsia="宋体" w:cs="Calibri"/>
      <w:sz w:val="18"/>
      <w:lang w:val="en-US" w:eastAsia="zh-CN" w:bidi="ar-SA"/>
    </w:rPr>
  </w:style>
  <w:style w:type="paragraph" w:customStyle="1" w:styleId="1272">
    <w:name w:val="Char Char Char Char Char2 Char Char Char Char"/>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1273">
    <w:name w:val="样式 表格内容 + (中文) 宋体 居中"/>
    <w:basedOn w:val="1"/>
    <w:qFormat/>
    <w:uiPriority w:val="0"/>
    <w:pPr>
      <w:overflowPunct w:val="0"/>
      <w:adjustRightInd w:val="0"/>
      <w:snapToGrid w:val="0"/>
      <w:spacing w:line="440" w:lineRule="exact"/>
      <w:jc w:val="center"/>
      <w:textAlignment w:val="baseline"/>
    </w:pPr>
    <w:rPr>
      <w:rFonts w:ascii="Arial" w:hAnsi="Arial"/>
      <w:kern w:val="0"/>
      <w:szCs w:val="21"/>
    </w:rPr>
  </w:style>
  <w:style w:type="paragraph" w:customStyle="1" w:styleId="1274">
    <w:name w:val="666666-标题2"/>
    <w:basedOn w:val="1"/>
    <w:qFormat/>
    <w:uiPriority w:val="0"/>
    <w:pPr>
      <w:spacing w:beforeLines="50" w:afterLines="50" w:line="440" w:lineRule="exact"/>
      <w:outlineLvl w:val="1"/>
    </w:pPr>
    <w:rPr>
      <w:rFonts w:eastAsia="黑体"/>
      <w:kern w:val="44"/>
      <w:sz w:val="32"/>
      <w:szCs w:val="20"/>
    </w:rPr>
  </w:style>
  <w:style w:type="paragraph" w:customStyle="1" w:styleId="1275">
    <w:name w:val="666666-标题3"/>
    <w:basedOn w:val="7"/>
    <w:qFormat/>
    <w:uiPriority w:val="0"/>
    <w:pPr>
      <w:widowControl w:val="0"/>
      <w:adjustRightInd/>
      <w:snapToGrid/>
      <w:spacing w:before="120" w:beforeLines="10" w:after="120" w:afterLines="10"/>
      <w:ind w:left="720" w:hanging="432" w:firstLineChars="200"/>
      <w:jc w:val="both"/>
    </w:pPr>
    <w:rPr>
      <w:rFonts w:ascii="Times New Roman" w:hAnsi="Times New Roman"/>
      <w:lang w:val="en-US"/>
    </w:rPr>
  </w:style>
  <w:style w:type="paragraph" w:customStyle="1" w:styleId="1276">
    <w:name w:val="666666-正文"/>
    <w:basedOn w:val="1"/>
    <w:qFormat/>
    <w:uiPriority w:val="0"/>
    <w:pPr>
      <w:spacing w:line="440" w:lineRule="exact"/>
      <w:ind w:firstLine="200" w:firstLineChars="200"/>
    </w:pPr>
    <w:rPr>
      <w:sz w:val="24"/>
      <w:szCs w:val="20"/>
      <w:lang w:val="zh-CN"/>
    </w:rPr>
  </w:style>
  <w:style w:type="paragraph" w:customStyle="1" w:styleId="1277">
    <w:name w:val="666666-标题1"/>
    <w:basedOn w:val="1"/>
    <w:qFormat/>
    <w:uiPriority w:val="0"/>
    <w:pPr>
      <w:spacing w:beforeLines="50" w:afterLines="50" w:line="440" w:lineRule="exact"/>
      <w:outlineLvl w:val="0"/>
    </w:pPr>
    <w:rPr>
      <w:rFonts w:eastAsia="黑体"/>
      <w:sz w:val="36"/>
      <w:szCs w:val="20"/>
    </w:rPr>
  </w:style>
  <w:style w:type="paragraph" w:customStyle="1" w:styleId="1278">
    <w:name w:val="word"/>
    <w:basedOn w:val="1"/>
    <w:qFormat/>
    <w:uiPriority w:val="0"/>
    <w:pPr>
      <w:spacing w:beforeLines="50"/>
      <w:jc w:val="center"/>
    </w:pPr>
    <w:rPr>
      <w:rFonts w:ascii="黑体" w:eastAsia="黑体"/>
      <w:szCs w:val="21"/>
    </w:rPr>
  </w:style>
  <w:style w:type="paragraph" w:customStyle="1" w:styleId="1279">
    <w:name w:val="标题 3 + Arial 小四 非加粗 段前: 0 磅 段后: 6 磅 行距: 固定值 22 磅"/>
    <w:basedOn w:val="7"/>
    <w:next w:val="1"/>
    <w:qFormat/>
    <w:uiPriority w:val="0"/>
    <w:pPr>
      <w:widowControl w:val="0"/>
      <w:adjustRightInd/>
      <w:snapToGrid/>
      <w:spacing w:before="120" w:beforeLines="10" w:after="120" w:afterLines="10"/>
      <w:ind w:left="720" w:hanging="432" w:firstLineChars="200"/>
      <w:jc w:val="both"/>
    </w:pPr>
    <w:rPr>
      <w:rFonts w:ascii="Times New Roman" w:hAnsi="Times New Roman"/>
      <w:lang w:val="en-US"/>
    </w:rPr>
  </w:style>
  <w:style w:type="paragraph" w:customStyle="1" w:styleId="1280">
    <w:name w:val="样式 四号 黑色 首行缩进:  2 字符"/>
    <w:basedOn w:val="1"/>
    <w:qFormat/>
    <w:uiPriority w:val="0"/>
    <w:pPr>
      <w:spacing w:line="480" w:lineRule="atLeast"/>
      <w:ind w:firstLine="200" w:firstLineChars="200"/>
    </w:pPr>
    <w:rPr>
      <w:color w:val="000000"/>
      <w:sz w:val="24"/>
    </w:rPr>
  </w:style>
  <w:style w:type="paragraph" w:customStyle="1" w:styleId="1281">
    <w:name w:val="TEXT"/>
    <w:basedOn w:val="1"/>
    <w:qFormat/>
    <w:uiPriority w:val="0"/>
    <w:pPr>
      <w:spacing w:line="360" w:lineRule="auto"/>
    </w:pPr>
    <w:rPr>
      <w:b/>
      <w:sz w:val="30"/>
      <w:szCs w:val="30"/>
    </w:rPr>
  </w:style>
  <w:style w:type="paragraph" w:customStyle="1" w:styleId="1282">
    <w:name w:val="初设正文"/>
    <w:basedOn w:val="1"/>
    <w:qFormat/>
    <w:uiPriority w:val="0"/>
    <w:pPr>
      <w:spacing w:line="440" w:lineRule="exact"/>
      <w:ind w:left="425" w:firstLine="425"/>
    </w:pPr>
    <w:rPr>
      <w:rFonts w:ascii="Arial" w:hAnsi="Arial"/>
      <w:kern w:val="0"/>
      <w:sz w:val="24"/>
      <w:szCs w:val="20"/>
    </w:rPr>
  </w:style>
  <w:style w:type="paragraph" w:customStyle="1" w:styleId="1283">
    <w:name w:val="正文x"/>
    <w:basedOn w:val="1"/>
    <w:next w:val="1"/>
    <w:qFormat/>
    <w:uiPriority w:val="0"/>
    <w:pPr>
      <w:spacing w:line="360" w:lineRule="auto"/>
      <w:ind w:firstLine="480" w:firstLineChars="200"/>
    </w:pPr>
    <w:rPr>
      <w:rFonts w:hAnsi="宋体"/>
      <w:sz w:val="24"/>
    </w:rPr>
  </w:style>
  <w:style w:type="paragraph" w:customStyle="1" w:styleId="1284">
    <w:name w:val="正文样式3"/>
    <w:basedOn w:val="1"/>
    <w:qFormat/>
    <w:uiPriority w:val="0"/>
    <w:pPr>
      <w:keepLines/>
      <w:adjustRightInd w:val="0"/>
      <w:spacing w:line="20" w:lineRule="atLeast"/>
      <w:jc w:val="center"/>
      <w:textAlignment w:val="baseline"/>
    </w:pPr>
    <w:rPr>
      <w:kern w:val="0"/>
      <w:sz w:val="24"/>
      <w:szCs w:val="20"/>
    </w:rPr>
  </w:style>
  <w:style w:type="paragraph" w:customStyle="1" w:styleId="1285">
    <w:name w:val="样式 列表 + 五号"/>
    <w:basedOn w:val="64"/>
    <w:qFormat/>
    <w:uiPriority w:val="0"/>
    <w:pPr>
      <w:keepNext/>
      <w:ind w:left="0" w:firstLine="0" w:firstLineChars="0"/>
      <w:jc w:val="center"/>
    </w:pPr>
  </w:style>
  <w:style w:type="paragraph" w:customStyle="1" w:styleId="1286">
    <w:name w:val="Char Char Char Char Char Char1"/>
    <w:basedOn w:val="1"/>
    <w:qFormat/>
    <w:uiPriority w:val="0"/>
  </w:style>
  <w:style w:type="paragraph" w:customStyle="1" w:styleId="1287">
    <w:name w:val="666666-表头儿"/>
    <w:basedOn w:val="1"/>
    <w:link w:val="1288"/>
    <w:qFormat/>
    <w:uiPriority w:val="0"/>
    <w:pPr>
      <w:spacing w:line="440" w:lineRule="exact"/>
      <w:jc w:val="center"/>
    </w:pPr>
    <w:rPr>
      <w:rFonts w:eastAsia="黑体"/>
      <w:szCs w:val="20"/>
    </w:rPr>
  </w:style>
  <w:style w:type="character" w:customStyle="1" w:styleId="1288">
    <w:name w:val="666666-表头儿 Char"/>
    <w:link w:val="1287"/>
    <w:qFormat/>
    <w:uiPriority w:val="0"/>
    <w:rPr>
      <w:rFonts w:eastAsia="黑体"/>
      <w:kern w:val="2"/>
      <w:sz w:val="21"/>
    </w:rPr>
  </w:style>
  <w:style w:type="paragraph" w:customStyle="1" w:styleId="1289">
    <w:name w:val="样式 标题 1 + 宋体"/>
    <w:basedOn w:val="5"/>
    <w:qFormat/>
    <w:uiPriority w:val="0"/>
    <w:pPr>
      <w:keepLines/>
      <w:overflowPunct/>
      <w:snapToGrid/>
      <w:spacing w:before="0" w:beforeLines="10" w:after="0" w:afterLines="10" w:line="578" w:lineRule="auto"/>
      <w:ind w:left="0" w:firstLine="200" w:firstLineChars="200"/>
    </w:pPr>
    <w:rPr>
      <w:rFonts w:eastAsia="宋体"/>
      <w:color w:val="auto"/>
      <w:sz w:val="44"/>
      <w:szCs w:val="44"/>
    </w:rPr>
  </w:style>
  <w:style w:type="paragraph" w:customStyle="1" w:styleId="1290">
    <w:name w:val="样式 标题 2 + 宋体"/>
    <w:basedOn w:val="6"/>
    <w:qFormat/>
    <w:uiPriority w:val="0"/>
    <w:pPr>
      <w:spacing w:beforeLines="10" w:afterLines="10"/>
      <w:ind w:firstLine="200" w:firstLineChars="200"/>
    </w:pPr>
    <w:rPr>
      <w:rFonts w:ascii="Cambria" w:hAnsi="Cambria" w:eastAsia="宋体"/>
    </w:rPr>
  </w:style>
  <w:style w:type="paragraph" w:customStyle="1" w:styleId="1291">
    <w:name w:val="样式 标题 3 + 宋体"/>
    <w:basedOn w:val="7"/>
    <w:qFormat/>
    <w:uiPriority w:val="0"/>
    <w:pPr>
      <w:widowControl w:val="0"/>
      <w:adjustRightInd/>
      <w:snapToGrid/>
      <w:spacing w:before="120" w:beforeLines="10" w:after="120" w:afterLines="10"/>
      <w:ind w:left="720" w:hanging="432" w:firstLineChars="200"/>
      <w:jc w:val="both"/>
    </w:pPr>
    <w:rPr>
      <w:rFonts w:ascii="Times New Roman" w:hAnsi="Times New Roman"/>
      <w:lang w:val="en-US"/>
    </w:rPr>
  </w:style>
  <w:style w:type="paragraph" w:customStyle="1" w:styleId="1292">
    <w:name w:val="4 Char"/>
    <w:basedOn w:val="1"/>
    <w:qFormat/>
    <w:uiPriority w:val="0"/>
  </w:style>
  <w:style w:type="character" w:customStyle="1" w:styleId="1293">
    <w:name w:val="style11"/>
    <w:qFormat/>
    <w:uiPriority w:val="0"/>
    <w:rPr>
      <w:color w:val="000000"/>
    </w:rPr>
  </w:style>
  <w:style w:type="character" w:customStyle="1" w:styleId="1294">
    <w:name w:val="Re Char1"/>
    <w:qFormat/>
    <w:uiPriority w:val="0"/>
    <w:rPr>
      <w:rFonts w:eastAsia="宋体"/>
      <w:b/>
      <w:bCs/>
      <w:kern w:val="2"/>
      <w:sz w:val="32"/>
      <w:szCs w:val="32"/>
      <w:lang w:val="en-US" w:eastAsia="zh-CN" w:bidi="ar-SA"/>
    </w:rPr>
  </w:style>
  <w:style w:type="character" w:customStyle="1" w:styleId="1295">
    <w:name w:val="标题 3-ls Char"/>
    <w:qFormat/>
    <w:uiPriority w:val="0"/>
    <w:rPr>
      <w:rFonts w:eastAsia="黑体"/>
      <w:b/>
      <w:bCs/>
      <w:kern w:val="2"/>
      <w:sz w:val="28"/>
      <w:szCs w:val="32"/>
      <w:lang w:val="en-US" w:eastAsia="zh-CN" w:bidi="ar-SA"/>
    </w:rPr>
  </w:style>
  <w:style w:type="paragraph" w:customStyle="1" w:styleId="1296">
    <w:name w:val="标题1-ls"/>
    <w:basedOn w:val="79"/>
    <w:qFormat/>
    <w:uiPriority w:val="0"/>
    <w:pPr>
      <w:adjustRightInd/>
      <w:snapToGrid/>
      <w:spacing w:before="0" w:beforeLines="0" w:after="60" w:afterLines="100" w:line="360" w:lineRule="auto"/>
      <w:outlineLvl w:val="0"/>
    </w:pPr>
    <w:rPr>
      <w:rFonts w:eastAsia="黑体" w:cs="Arial"/>
      <w:b/>
      <w:bCs w:val="0"/>
      <w:spacing w:val="0"/>
      <w:sz w:val="36"/>
      <w:szCs w:val="32"/>
    </w:rPr>
  </w:style>
  <w:style w:type="paragraph" w:customStyle="1" w:styleId="1297">
    <w:name w:val="表左"/>
    <w:basedOn w:val="1"/>
    <w:qFormat/>
    <w:uiPriority w:val="0"/>
    <w:pPr>
      <w:spacing w:line="280" w:lineRule="exact"/>
      <w:jc w:val="left"/>
    </w:pPr>
    <w:rPr>
      <w:rFonts w:ascii="宋体"/>
      <w:color w:val="000000"/>
      <w:sz w:val="18"/>
    </w:rPr>
  </w:style>
  <w:style w:type="paragraph" w:customStyle="1" w:styleId="1298">
    <w:name w:val="正文仿宋"/>
    <w:basedOn w:val="1"/>
    <w:qFormat/>
    <w:uiPriority w:val="0"/>
    <w:pPr>
      <w:adjustRightInd w:val="0"/>
      <w:snapToGrid w:val="0"/>
      <w:spacing w:line="360" w:lineRule="auto"/>
      <w:ind w:firstLine="567"/>
    </w:pPr>
    <w:rPr>
      <w:rFonts w:eastAsia="仿宋_GB2312"/>
      <w:kern w:val="0"/>
      <w:sz w:val="24"/>
      <w:szCs w:val="20"/>
    </w:rPr>
  </w:style>
  <w:style w:type="character" w:customStyle="1" w:styleId="1299">
    <w:name w:val="标题 4宋旭峰 Char Char"/>
    <w:qFormat/>
    <w:uiPriority w:val="0"/>
    <w:rPr>
      <w:rFonts w:eastAsia="黑体"/>
      <w:b/>
      <w:bCs/>
      <w:kern w:val="2"/>
      <w:sz w:val="24"/>
      <w:szCs w:val="28"/>
      <w:lang w:val="en-US" w:eastAsia="zh-CN" w:bidi="ar-SA"/>
    </w:rPr>
  </w:style>
  <w:style w:type="paragraph" w:customStyle="1" w:styleId="1300">
    <w:name w:val="依据文字"/>
    <w:basedOn w:val="1"/>
    <w:qFormat/>
    <w:uiPriority w:val="0"/>
    <w:pPr>
      <w:tabs>
        <w:tab w:val="left" w:pos="420"/>
        <w:tab w:val="left" w:pos="870"/>
        <w:tab w:val="left" w:pos="3150"/>
      </w:tabs>
      <w:autoSpaceDE w:val="0"/>
      <w:autoSpaceDN w:val="0"/>
      <w:adjustRightInd w:val="0"/>
      <w:spacing w:before="60" w:line="336" w:lineRule="auto"/>
      <w:ind w:firstLine="527"/>
      <w:textAlignment w:val="baseline"/>
    </w:pPr>
    <w:rPr>
      <w:rFonts w:ascii="宋体"/>
      <w:sz w:val="24"/>
      <w:szCs w:val="20"/>
    </w:rPr>
  </w:style>
  <w:style w:type="paragraph" w:customStyle="1" w:styleId="1301">
    <w:name w:val="右侧"/>
    <w:qFormat/>
    <w:uiPriority w:val="0"/>
    <w:pPr>
      <w:spacing w:line="280" w:lineRule="exact"/>
      <w:jc w:val="right"/>
    </w:pPr>
    <w:rPr>
      <w:rFonts w:ascii="Batang" w:hAnsi="Batang" w:eastAsia="宋体" w:cs="Calibri"/>
      <w:color w:val="000000"/>
      <w:sz w:val="18"/>
      <w:lang w:val="en-US" w:eastAsia="zh-CN" w:bidi="ar-SA"/>
    </w:rPr>
  </w:style>
  <w:style w:type="paragraph" w:customStyle="1" w:styleId="1302">
    <w:name w:val="左侧"/>
    <w:semiHidden/>
    <w:qFormat/>
    <w:uiPriority w:val="0"/>
    <w:pPr>
      <w:spacing w:line="280" w:lineRule="exact"/>
      <w:jc w:val="center"/>
    </w:pPr>
    <w:rPr>
      <w:rFonts w:ascii="Batang" w:hAnsi="Batang" w:eastAsia="宋体" w:cs="Calibri"/>
      <w:color w:val="000000"/>
      <w:sz w:val="21"/>
      <w:lang w:val="en-US" w:eastAsia="zh-CN" w:bidi="ar-SA"/>
    </w:rPr>
  </w:style>
  <w:style w:type="paragraph" w:customStyle="1" w:styleId="1303">
    <w:name w:val="右五"/>
    <w:basedOn w:val="1304"/>
    <w:next w:val="1"/>
    <w:semiHidden/>
    <w:qFormat/>
    <w:uiPriority w:val="0"/>
    <w:pPr>
      <w:jc w:val="right"/>
    </w:pPr>
  </w:style>
  <w:style w:type="paragraph" w:customStyle="1" w:styleId="1304">
    <w:name w:val="左五"/>
    <w:basedOn w:val="1"/>
    <w:semiHidden/>
    <w:qFormat/>
    <w:uiPriority w:val="0"/>
    <w:pPr>
      <w:adjustRightInd w:val="0"/>
      <w:snapToGrid w:val="0"/>
      <w:spacing w:line="280" w:lineRule="exact"/>
      <w:jc w:val="left"/>
    </w:pPr>
    <w:rPr>
      <w:rFonts w:ascii="宋体" w:hAnsi="Symusic"/>
      <w:color w:val="000000"/>
      <w:sz w:val="18"/>
    </w:rPr>
  </w:style>
  <w:style w:type="paragraph" w:customStyle="1" w:styleId="1305">
    <w:name w:val="样式 图表 + 首行缩进:  2 字符1"/>
    <w:basedOn w:val="1"/>
    <w:qFormat/>
    <w:uiPriority w:val="0"/>
    <w:pPr>
      <w:adjustRightInd w:val="0"/>
      <w:snapToGrid w:val="0"/>
      <w:spacing w:beforeLines="20" w:afterLines="20"/>
      <w:ind w:left="-102" w:leftChars="-50" w:right="-105" w:rightChars="-50" w:hanging="3"/>
      <w:jc w:val="center"/>
    </w:pPr>
    <w:rPr>
      <w:rFonts w:eastAsia="仿宋_GB2312"/>
      <w:color w:val="000000"/>
    </w:rPr>
  </w:style>
  <w:style w:type="paragraph" w:customStyle="1" w:styleId="1306">
    <w:name w:val="正文仿宋小四"/>
    <w:basedOn w:val="1"/>
    <w:semiHidden/>
    <w:qFormat/>
    <w:uiPriority w:val="0"/>
    <w:pPr>
      <w:adjustRightInd w:val="0"/>
      <w:snapToGrid w:val="0"/>
      <w:spacing w:line="360" w:lineRule="auto"/>
      <w:ind w:firstLine="480" w:firstLineChars="200"/>
    </w:pPr>
    <w:rPr>
      <w:rFonts w:eastAsia="仿宋_GB2312"/>
      <w:sz w:val="24"/>
    </w:rPr>
  </w:style>
  <w:style w:type="character" w:customStyle="1" w:styleId="1307">
    <w:name w:val="样式 仿宋_GB2312 小四2"/>
    <w:qFormat/>
    <w:uiPriority w:val="0"/>
    <w:rPr>
      <w:rFonts w:ascii="Times New Roman" w:hAnsi="Times New Roman" w:eastAsia="仿宋_GB2312" w:cs="Courier New"/>
      <w:kern w:val="2"/>
      <w:sz w:val="24"/>
      <w:szCs w:val="24"/>
      <w:lang w:val="en-US" w:eastAsia="zh-CN" w:bidi="ar-SA"/>
    </w:rPr>
  </w:style>
  <w:style w:type="paragraph" w:customStyle="1" w:styleId="1308">
    <w:name w:val="正文单倍行距"/>
    <w:basedOn w:val="1"/>
    <w:qFormat/>
    <w:uiPriority w:val="0"/>
    <w:pPr>
      <w:tabs>
        <w:tab w:val="left" w:pos="8640"/>
      </w:tabs>
      <w:snapToGrid w:val="0"/>
      <w:ind w:firstLine="200" w:firstLineChars="200"/>
    </w:pPr>
    <w:rPr>
      <w:rFonts w:eastAsia="仿宋_GB2312"/>
      <w:sz w:val="24"/>
    </w:rPr>
  </w:style>
  <w:style w:type="character" w:customStyle="1" w:styleId="1309">
    <w:name w:val="样式 仿宋_GB2312 小四 黑色"/>
    <w:qFormat/>
    <w:uiPriority w:val="0"/>
    <w:rPr>
      <w:rFonts w:ascii="Times New Roman" w:hAnsi="Times New Roman" w:eastAsia="仿宋_GB2312" w:cs="Courier New"/>
      <w:color w:val="000000"/>
      <w:kern w:val="2"/>
      <w:sz w:val="24"/>
      <w:szCs w:val="24"/>
      <w:lang w:val="en-US" w:eastAsia="zh-CN" w:bidi="ar-SA"/>
    </w:rPr>
  </w:style>
  <w:style w:type="paragraph" w:customStyle="1" w:styleId="1310">
    <w:name w:val="样式 仿宋_GB2312 小四1"/>
    <w:basedOn w:val="1"/>
    <w:semiHidden/>
    <w:qFormat/>
    <w:uiPriority w:val="0"/>
    <w:pPr>
      <w:adjustRightInd w:val="0"/>
      <w:spacing w:line="360" w:lineRule="auto"/>
      <w:ind w:firstLine="480" w:firstLineChars="200"/>
      <w:textAlignment w:val="baseline"/>
    </w:pPr>
    <w:rPr>
      <w:rFonts w:eastAsia="仿宋_GB2312"/>
      <w:kern w:val="0"/>
      <w:sz w:val="24"/>
    </w:rPr>
  </w:style>
  <w:style w:type="paragraph" w:customStyle="1" w:styleId="1311">
    <w:name w:val="湛江码头表"/>
    <w:basedOn w:val="1"/>
    <w:qFormat/>
    <w:uiPriority w:val="0"/>
    <w:pPr>
      <w:jc w:val="center"/>
    </w:pPr>
    <w:rPr>
      <w:rFonts w:eastAsia="仿宋_GB2312"/>
      <w:kern w:val="0"/>
      <w:lang w:eastAsia="zh-TW"/>
    </w:rPr>
  </w:style>
  <w:style w:type="character" w:customStyle="1" w:styleId="1312">
    <w:name w:val="样式 (西文) 宋体 (中文) 仿宋_GB2312 黑色"/>
    <w:semiHidden/>
    <w:qFormat/>
    <w:uiPriority w:val="0"/>
    <w:rPr>
      <w:rFonts w:ascii="Times New Roman" w:hAnsi="Times New Roman" w:eastAsia="仿宋_GB2312" w:cs="Courier New"/>
      <w:color w:val="000000"/>
      <w:kern w:val="2"/>
      <w:sz w:val="32"/>
      <w:szCs w:val="32"/>
      <w:lang w:val="en-US" w:eastAsia="zh-CN" w:bidi="ar-SA"/>
    </w:rPr>
  </w:style>
  <w:style w:type="paragraph" w:customStyle="1" w:styleId="1313">
    <w:name w:val="样式 正文缩进正文（首行缩进两字）正文（首行缩进两字） Char Char Char Char Char Char Char..."/>
    <w:basedOn w:val="21"/>
    <w:qFormat/>
    <w:uiPriority w:val="0"/>
    <w:pPr>
      <w:keepNext w:val="0"/>
      <w:tabs>
        <w:tab w:val="left" w:pos="3360"/>
      </w:tabs>
      <w:adjustRightInd w:val="0"/>
      <w:snapToGrid w:val="0"/>
      <w:spacing w:line="360" w:lineRule="auto"/>
      <w:ind w:firstLine="480" w:firstLineChars="200"/>
      <w:jc w:val="both"/>
    </w:pPr>
    <w:rPr>
      <w:rFonts w:ascii="楷体_GB2312" w:hAnsi="Times New Roman" w:eastAsia="楷体_GB2312"/>
      <w:bCs w:val="0"/>
    </w:rPr>
  </w:style>
  <w:style w:type="paragraph" w:customStyle="1" w:styleId="1314">
    <w:name w:val="正文图小四"/>
    <w:basedOn w:val="1"/>
    <w:qFormat/>
    <w:uiPriority w:val="0"/>
    <w:pPr>
      <w:adjustRightInd w:val="0"/>
      <w:snapToGrid w:val="0"/>
      <w:jc w:val="center"/>
      <w:textAlignment w:val="baseline"/>
    </w:pPr>
    <w:rPr>
      <w:rFonts w:ascii="宋体"/>
      <w:kern w:val="0"/>
      <w:sz w:val="24"/>
    </w:rPr>
  </w:style>
  <w:style w:type="paragraph" w:customStyle="1" w:styleId="1315">
    <w:name w:val="样式 标题 2 + 段后: 0.5 行"/>
    <w:basedOn w:val="6"/>
    <w:semiHidden/>
    <w:qFormat/>
    <w:uiPriority w:val="0"/>
    <w:pPr>
      <w:spacing w:beforeLines="10" w:afterLines="10"/>
      <w:ind w:firstLine="200" w:firstLineChars="200"/>
    </w:pPr>
    <w:rPr>
      <w:rFonts w:ascii="Cambria" w:hAnsi="Cambria" w:eastAsia="宋体"/>
    </w:rPr>
  </w:style>
  <w:style w:type="paragraph" w:customStyle="1" w:styleId="1316">
    <w:name w:val="样式19"/>
    <w:basedOn w:val="6"/>
    <w:link w:val="1317"/>
    <w:qFormat/>
    <w:uiPriority w:val="0"/>
    <w:pPr>
      <w:spacing w:beforeLines="10" w:afterLines="10"/>
      <w:ind w:firstLine="200" w:firstLineChars="200"/>
    </w:pPr>
    <w:rPr>
      <w:rFonts w:ascii="Cambria" w:hAnsi="Cambria" w:eastAsia="宋体"/>
    </w:rPr>
  </w:style>
  <w:style w:type="character" w:customStyle="1" w:styleId="1317">
    <w:name w:val="样式19 Char Char"/>
    <w:link w:val="1316"/>
    <w:qFormat/>
    <w:uiPriority w:val="0"/>
    <w:rPr>
      <w:rFonts w:ascii="Cambria" w:hAnsi="Cambria"/>
      <w:b/>
      <w:bCs/>
      <w:kern w:val="2"/>
      <w:sz w:val="32"/>
      <w:szCs w:val="32"/>
    </w:rPr>
  </w:style>
  <w:style w:type="paragraph" w:customStyle="1" w:styleId="1318">
    <w:name w:val="正文999"/>
    <w:basedOn w:val="1"/>
    <w:semiHidden/>
    <w:qFormat/>
    <w:uiPriority w:val="0"/>
    <w:pPr>
      <w:spacing w:line="360" w:lineRule="auto"/>
      <w:ind w:firstLine="480" w:firstLineChars="200"/>
    </w:pPr>
    <w:rPr>
      <w:rFonts w:ascii="宋体" w:hAnsi="宋体"/>
      <w:sz w:val="24"/>
    </w:rPr>
  </w:style>
  <w:style w:type="character" w:customStyle="1" w:styleId="1319">
    <w:name w:val="样式 样式 首行缩进:  0.85 厘米 + 段前: 0.5 行 Char1"/>
    <w:link w:val="1320"/>
    <w:qFormat/>
    <w:uiPriority w:val="0"/>
    <w:rPr>
      <w:sz w:val="24"/>
      <w:szCs w:val="24"/>
    </w:rPr>
  </w:style>
  <w:style w:type="paragraph" w:customStyle="1" w:styleId="1320">
    <w:name w:val="样式 样式 首行缩进:  0.85 厘米 + 段前: 0.5 行"/>
    <w:basedOn w:val="1"/>
    <w:link w:val="1319"/>
    <w:qFormat/>
    <w:uiPriority w:val="0"/>
    <w:pPr>
      <w:spacing w:line="360" w:lineRule="auto"/>
      <w:ind w:firstLine="482"/>
    </w:pPr>
    <w:rPr>
      <w:kern w:val="0"/>
      <w:sz w:val="24"/>
    </w:rPr>
  </w:style>
  <w:style w:type="paragraph" w:customStyle="1" w:styleId="1321">
    <w:name w:val="默认段落字体 Para"/>
    <w:basedOn w:val="1"/>
    <w:qFormat/>
    <w:uiPriority w:val="0"/>
  </w:style>
  <w:style w:type="character" w:customStyle="1" w:styleId="1322">
    <w:name w:val="正文文本缩进 2 Char Char Char"/>
    <w:qFormat/>
    <w:uiPriority w:val="0"/>
    <w:rPr>
      <w:rFonts w:ascii="Arial" w:hAnsi="Arial" w:eastAsia="宋体"/>
      <w:kern w:val="2"/>
      <w:sz w:val="24"/>
      <w:szCs w:val="24"/>
      <w:lang w:val="en-US" w:eastAsia="zh-CN" w:bidi="ar-SA"/>
    </w:rPr>
  </w:style>
  <w:style w:type="paragraph" w:customStyle="1" w:styleId="1323">
    <w:name w:val="样式 居中 首行缩进:  0 字符 Char Char Char"/>
    <w:basedOn w:val="1"/>
    <w:next w:val="1"/>
    <w:link w:val="1324"/>
    <w:qFormat/>
    <w:uiPriority w:val="0"/>
    <w:pPr>
      <w:tabs>
        <w:tab w:val="left" w:pos="9128"/>
      </w:tabs>
      <w:snapToGrid w:val="0"/>
      <w:jc w:val="center"/>
    </w:pPr>
    <w:rPr>
      <w:rFonts w:ascii="宋体" w:hAnsi="宋体"/>
      <w:color w:val="FF0000"/>
      <w:sz w:val="18"/>
      <w:szCs w:val="18"/>
    </w:rPr>
  </w:style>
  <w:style w:type="character" w:customStyle="1" w:styleId="1324">
    <w:name w:val="样式 居中 首行缩进:  0 字符 Char Char Char Char"/>
    <w:link w:val="1323"/>
    <w:qFormat/>
    <w:uiPriority w:val="0"/>
    <w:rPr>
      <w:rFonts w:ascii="宋体" w:hAnsi="宋体"/>
      <w:color w:val="FF0000"/>
      <w:kern w:val="2"/>
      <w:sz w:val="18"/>
      <w:szCs w:val="18"/>
    </w:rPr>
  </w:style>
  <w:style w:type="paragraph" w:customStyle="1" w:styleId="1325">
    <w:name w:val="样式 居中 首行缩进:  0 字符"/>
    <w:basedOn w:val="1"/>
    <w:next w:val="1"/>
    <w:link w:val="1326"/>
    <w:qFormat/>
    <w:uiPriority w:val="0"/>
    <w:pPr>
      <w:tabs>
        <w:tab w:val="left" w:pos="9128"/>
      </w:tabs>
      <w:spacing w:line="500" w:lineRule="exact"/>
      <w:jc w:val="center"/>
    </w:pPr>
    <w:rPr>
      <w:rFonts w:eastAsia="仿宋_GB2312"/>
      <w:szCs w:val="20"/>
    </w:rPr>
  </w:style>
  <w:style w:type="character" w:customStyle="1" w:styleId="1326">
    <w:name w:val="样式 居中 首行缩进:  0 字符 Char"/>
    <w:link w:val="1325"/>
    <w:qFormat/>
    <w:locked/>
    <w:uiPriority w:val="0"/>
    <w:rPr>
      <w:rFonts w:eastAsia="仿宋_GB2312"/>
      <w:kern w:val="2"/>
      <w:sz w:val="21"/>
    </w:rPr>
  </w:style>
  <w:style w:type="table" w:customStyle="1" w:styleId="1327">
    <w:name w:val="自定义1"/>
    <w:basedOn w:val="114"/>
    <w:qFormat/>
    <w:uiPriority w:val="0"/>
    <w:pPr>
      <w:jc w:val="center"/>
    </w:pPr>
    <w:rPr>
      <w:sz w:val="21"/>
      <w:szCs w:val="21"/>
    </w:rPr>
    <w:tblPr>
      <w:tblBorders>
        <w:top w:val="thinThickSmallGap" w:color="auto" w:sz="12" w:space="0"/>
        <w:left w:val="thinThickSmallGap" w:color="auto" w:sz="12" w:space="0"/>
        <w:bottom w:val="thickThinSmallGap" w:color="auto" w:sz="12" w:space="0"/>
        <w:right w:val="thickThinSmallGap" w:color="auto" w:sz="12" w:space="0"/>
      </w:tblBorders>
      <w:tblCellMar>
        <w:left w:w="0" w:type="dxa"/>
        <w:right w:w="0" w:type="dxa"/>
      </w:tblCellMar>
    </w:tblPr>
    <w:tcPr>
      <w:shd w:val="clear" w:color="auto" w:fill="auto"/>
      <w:vAlign w:val="center"/>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paragraph" w:customStyle="1" w:styleId="1328">
    <w:name w:val="样式 标题 1 + 加粗"/>
    <w:basedOn w:val="5"/>
    <w:qFormat/>
    <w:uiPriority w:val="0"/>
    <w:pPr>
      <w:keepLines/>
      <w:overflowPunct/>
      <w:snapToGrid/>
      <w:spacing w:before="0" w:beforeLines="10" w:after="0" w:afterLines="10" w:line="578" w:lineRule="auto"/>
      <w:ind w:left="0" w:firstLine="200" w:firstLineChars="200"/>
    </w:pPr>
    <w:rPr>
      <w:rFonts w:eastAsia="宋体"/>
      <w:color w:val="auto"/>
      <w:sz w:val="44"/>
      <w:szCs w:val="44"/>
    </w:rPr>
  </w:style>
  <w:style w:type="character" w:customStyle="1" w:styleId="1329">
    <w:name w:val="font14px"/>
    <w:qFormat/>
    <w:uiPriority w:val="0"/>
    <w:rPr>
      <w:rFonts w:eastAsia="宋体"/>
      <w:kern w:val="2"/>
      <w:sz w:val="21"/>
      <w:szCs w:val="24"/>
      <w:lang w:val="en-US" w:eastAsia="zh-CN" w:bidi="ar-SA"/>
    </w:rPr>
  </w:style>
  <w:style w:type="character" w:customStyle="1" w:styleId="1330">
    <w:name w:val="s"/>
    <w:qFormat/>
    <w:uiPriority w:val="0"/>
    <w:rPr>
      <w:rFonts w:eastAsia="宋体"/>
      <w:kern w:val="2"/>
      <w:sz w:val="21"/>
      <w:szCs w:val="24"/>
      <w:lang w:val="en-US" w:eastAsia="zh-CN" w:bidi="ar-SA"/>
    </w:rPr>
  </w:style>
  <w:style w:type="paragraph" w:customStyle="1" w:styleId="1331">
    <w:name w:val="样式 居中 首行缩进:  0 字符 Char Char"/>
    <w:basedOn w:val="1"/>
    <w:next w:val="1"/>
    <w:qFormat/>
    <w:uiPriority w:val="0"/>
    <w:pPr>
      <w:tabs>
        <w:tab w:val="left" w:pos="9128"/>
      </w:tabs>
      <w:snapToGrid w:val="0"/>
      <w:jc w:val="center"/>
    </w:pPr>
    <w:rPr>
      <w:rFonts w:ascii="宋体" w:hAnsi="宋体"/>
      <w:color w:val="FF0000"/>
      <w:sz w:val="18"/>
      <w:szCs w:val="18"/>
    </w:rPr>
  </w:style>
  <w:style w:type="table" w:customStyle="1" w:styleId="1332">
    <w:name w:val="自定义"/>
    <w:basedOn w:val="86"/>
    <w:qFormat/>
    <w:uiPriority w:val="0"/>
    <w:pPr>
      <w:jc w:val="center"/>
    </w:pPr>
    <w:rPr>
      <w:sz w:val="21"/>
    </w:rPr>
    <w:tblPr>
      <w:tblBorders>
        <w:top w:val="thinThickSmallGap" w:color="auto" w:sz="12" w:space="0"/>
        <w:left w:val="thinThickSmallGap" w:color="auto" w:sz="12" w:space="0"/>
        <w:bottom w:val="thickThinSmallGap" w:color="auto" w:sz="12" w:space="0"/>
        <w:right w:val="thickThinSmallGap" w:color="auto" w:sz="12" w:space="0"/>
      </w:tblBorders>
      <w:tblCellMar>
        <w:left w:w="0" w:type="dxa"/>
        <w:right w:w="0" w:type="dxa"/>
      </w:tblCellMar>
    </w:tblPr>
    <w:tcPr>
      <w:shd w:val="clear" w:color="auto" w:fill="auto"/>
      <w:vAlign w:val="center"/>
    </w:tcPr>
    <w:tblStylePr w:type="firstRow">
      <w:rPr>
        <w:caps/>
        <w:color w:val="auto"/>
      </w:rPr>
      <w:tcPr>
        <w:tcBorders>
          <w:top w:val="nil"/>
          <w:left w:val="nil"/>
          <w:bottom w:val="nil"/>
          <w:right w:val="nil"/>
          <w:insideH w:val="nil"/>
          <w:insideV w:val="nil"/>
          <w:tl2br w:val="nil"/>
          <w:tr2bl w:val="nil"/>
        </w:tcBorders>
      </w:tcPr>
    </w:tblStylePr>
  </w:style>
  <w:style w:type="character" w:customStyle="1" w:styleId="1333">
    <w:name w:val="个人答复风格"/>
    <w:qFormat/>
    <w:uiPriority w:val="0"/>
    <w:rPr>
      <w:rFonts w:ascii="Arial" w:hAnsi="Arial" w:eastAsia="宋体" w:cs="Arial"/>
      <w:color w:val="auto"/>
      <w:kern w:val="2"/>
      <w:sz w:val="20"/>
      <w:szCs w:val="24"/>
      <w:lang w:val="en-US" w:eastAsia="zh-CN" w:bidi="ar-SA"/>
    </w:rPr>
  </w:style>
  <w:style w:type="character" w:customStyle="1" w:styleId="1334">
    <w:name w:val="个人撰写风格"/>
    <w:qFormat/>
    <w:uiPriority w:val="0"/>
    <w:rPr>
      <w:rFonts w:ascii="Arial" w:hAnsi="Arial" w:eastAsia="宋体" w:cs="Arial"/>
      <w:color w:val="auto"/>
      <w:kern w:val="2"/>
      <w:sz w:val="20"/>
      <w:szCs w:val="24"/>
      <w:lang w:val="en-US" w:eastAsia="zh-CN" w:bidi="ar-SA"/>
    </w:rPr>
  </w:style>
  <w:style w:type="paragraph" w:customStyle="1" w:styleId="1335">
    <w:name w:val="居中正文"/>
    <w:basedOn w:val="21"/>
    <w:next w:val="21"/>
    <w:qFormat/>
    <w:uiPriority w:val="0"/>
    <w:pPr>
      <w:keepNext w:val="0"/>
      <w:spacing w:line="540" w:lineRule="exact"/>
      <w:ind w:right="-13" w:rightChars="-6" w:firstLine="200" w:firstLineChars="200"/>
    </w:pPr>
    <w:rPr>
      <w:rFonts w:ascii="Times New Roman" w:hAnsi="Times New Roman" w:eastAsia="仿宋_GB2312"/>
      <w:bCs w:val="0"/>
      <w:sz w:val="28"/>
      <w:szCs w:val="20"/>
    </w:rPr>
  </w:style>
  <w:style w:type="table" w:customStyle="1" w:styleId="1336">
    <w:name w:val="普通表格1"/>
    <w:semiHidden/>
    <w:qFormat/>
    <w:uiPriority w:val="0"/>
    <w:rPr>
      <w:rFonts w:eastAsia="Times New Roman"/>
    </w:rPr>
    <w:tblPr>
      <w:tblCellMar>
        <w:top w:w="0" w:type="dxa"/>
        <w:left w:w="108" w:type="dxa"/>
        <w:bottom w:w="0" w:type="dxa"/>
        <w:right w:w="108" w:type="dxa"/>
      </w:tblCellMar>
    </w:tblPr>
  </w:style>
  <w:style w:type="paragraph" w:customStyle="1" w:styleId="1337">
    <w:name w:val="正文（首行式样2）"/>
    <w:basedOn w:val="21"/>
    <w:link w:val="1338"/>
    <w:qFormat/>
    <w:uiPriority w:val="0"/>
    <w:pPr>
      <w:keepNext w:val="0"/>
      <w:snapToGrid w:val="0"/>
      <w:spacing w:line="360" w:lineRule="auto"/>
      <w:ind w:right="-13" w:rightChars="-6" w:firstLine="526" w:firstLineChars="219"/>
      <w:jc w:val="both"/>
    </w:pPr>
    <w:rPr>
      <w:bCs w:val="0"/>
    </w:rPr>
  </w:style>
  <w:style w:type="character" w:customStyle="1" w:styleId="1338">
    <w:name w:val="正文（首行式样2） Char"/>
    <w:link w:val="1337"/>
    <w:qFormat/>
    <w:uiPriority w:val="0"/>
    <w:rPr>
      <w:rFonts w:ascii="宋体" w:hAnsi="宋体"/>
      <w:color w:val="000000"/>
      <w:kern w:val="2"/>
      <w:sz w:val="24"/>
      <w:szCs w:val="24"/>
    </w:rPr>
  </w:style>
  <w:style w:type="paragraph" w:customStyle="1" w:styleId="1339">
    <w:name w:val="正文(首行缩进两字2)"/>
    <w:basedOn w:val="21"/>
    <w:qFormat/>
    <w:uiPriority w:val="0"/>
    <w:pPr>
      <w:keepNext w:val="0"/>
      <w:spacing w:line="480" w:lineRule="exact"/>
      <w:ind w:right="-13" w:rightChars="-6" w:firstLine="200" w:firstLineChars="200"/>
      <w:jc w:val="both"/>
    </w:pPr>
    <w:rPr>
      <w:rFonts w:ascii="Times New Roman" w:hAnsi="Times New Roman" w:eastAsia="仿宋_GB2312"/>
      <w:bCs w:val="0"/>
      <w:sz w:val="28"/>
      <w:szCs w:val="20"/>
    </w:rPr>
  </w:style>
  <w:style w:type="paragraph" w:customStyle="1" w:styleId="1340">
    <w:name w:val="正文表格"/>
    <w:basedOn w:val="1"/>
    <w:link w:val="1341"/>
    <w:qFormat/>
    <w:uiPriority w:val="0"/>
    <w:pPr>
      <w:keepNext/>
      <w:keepLines/>
      <w:jc w:val="center"/>
      <w:textAlignment w:val="bottom"/>
    </w:pPr>
  </w:style>
  <w:style w:type="character" w:customStyle="1" w:styleId="1341">
    <w:name w:val="正文表格 Char Char"/>
    <w:link w:val="1340"/>
    <w:qFormat/>
    <w:uiPriority w:val="0"/>
    <w:rPr>
      <w:kern w:val="2"/>
      <w:sz w:val="21"/>
      <w:szCs w:val="24"/>
    </w:rPr>
  </w:style>
  <w:style w:type="paragraph" w:customStyle="1" w:styleId="1342">
    <w:name w:val="样式 四号2"/>
    <w:basedOn w:val="1"/>
    <w:qFormat/>
    <w:uiPriority w:val="0"/>
    <w:pPr>
      <w:spacing w:line="440" w:lineRule="exact"/>
      <w:ind w:firstLine="200" w:firstLineChars="200"/>
    </w:pPr>
    <w:rPr>
      <w:kern w:val="0"/>
      <w:sz w:val="28"/>
    </w:rPr>
  </w:style>
  <w:style w:type="paragraph" w:customStyle="1" w:styleId="1343">
    <w:name w:val="样式 标题 2 + 段前: 1 行 段后: 0.5 行"/>
    <w:basedOn w:val="6"/>
    <w:qFormat/>
    <w:uiPriority w:val="0"/>
    <w:pPr>
      <w:spacing w:beforeLines="10" w:afterLines="10"/>
      <w:ind w:firstLine="200" w:firstLineChars="200"/>
    </w:pPr>
    <w:rPr>
      <w:rFonts w:ascii="Cambria" w:hAnsi="Cambria" w:eastAsia="宋体"/>
    </w:rPr>
  </w:style>
  <w:style w:type="paragraph" w:customStyle="1" w:styleId="1344">
    <w:name w:val="Char Char Char Char Char Char Char Char Char Char Char Char1 Char"/>
    <w:basedOn w:val="1"/>
    <w:next w:val="1"/>
    <w:qFormat/>
    <w:uiPriority w:val="0"/>
    <w:pPr>
      <w:spacing w:line="360" w:lineRule="auto"/>
      <w:ind w:firstLine="200" w:firstLineChars="200"/>
    </w:pPr>
    <w:rPr>
      <w:rFonts w:ascii="宋体" w:hAnsi="宋体" w:cs="宋体"/>
      <w:sz w:val="24"/>
    </w:rPr>
  </w:style>
  <w:style w:type="paragraph" w:customStyle="1" w:styleId="1345">
    <w:name w:val="样式 正文首行缩进 2 + (符号) 宋体 + (符号) 宋体"/>
    <w:basedOn w:val="1"/>
    <w:link w:val="1346"/>
    <w:qFormat/>
    <w:uiPriority w:val="0"/>
    <w:pPr>
      <w:spacing w:line="360" w:lineRule="auto"/>
      <w:ind w:firstLine="200" w:firstLineChars="200"/>
    </w:pPr>
    <w:rPr>
      <w:rFonts w:ascii="宋体"/>
      <w:sz w:val="24"/>
    </w:rPr>
  </w:style>
  <w:style w:type="character" w:customStyle="1" w:styleId="1346">
    <w:name w:val="样式 正文首行缩进 2 + (符号) 宋体 + (符号) 宋体 Char Char"/>
    <w:link w:val="1345"/>
    <w:qFormat/>
    <w:uiPriority w:val="0"/>
    <w:rPr>
      <w:rFonts w:ascii="宋体"/>
      <w:kern w:val="2"/>
      <w:sz w:val="24"/>
      <w:szCs w:val="24"/>
    </w:rPr>
  </w:style>
  <w:style w:type="paragraph" w:customStyle="1" w:styleId="1347">
    <w:name w:val="Char Char Char Char Char Char Char Char Char1 Char Char Char Char"/>
    <w:basedOn w:val="1"/>
    <w:qFormat/>
    <w:uiPriority w:val="0"/>
    <w:pPr>
      <w:spacing w:line="360" w:lineRule="auto"/>
      <w:ind w:firstLine="200" w:firstLineChars="200"/>
    </w:pPr>
    <w:rPr>
      <w:rFonts w:ascii="宋体" w:hAnsi="宋体" w:cs="宋体"/>
      <w:sz w:val="24"/>
      <w:szCs w:val="26"/>
    </w:rPr>
  </w:style>
  <w:style w:type="paragraph" w:customStyle="1" w:styleId="1348">
    <w:name w:val="样式 5 + 首行缩进:  2 字符"/>
    <w:basedOn w:val="1"/>
    <w:link w:val="1349"/>
    <w:qFormat/>
    <w:uiPriority w:val="0"/>
    <w:pPr>
      <w:ind w:firstLine="592" w:firstLineChars="200"/>
    </w:pPr>
    <w:rPr>
      <w:rFonts w:ascii="楷体_GB2312" w:hAnsi="宋体" w:eastAsia="楷体_GB2312" w:cs="宋体"/>
      <w:color w:val="000000"/>
      <w:spacing w:val="-2"/>
      <w:sz w:val="30"/>
      <w:szCs w:val="30"/>
    </w:rPr>
  </w:style>
  <w:style w:type="character" w:customStyle="1" w:styleId="1349">
    <w:name w:val="样式 5 + 首行缩进:  2 字符 Char"/>
    <w:link w:val="1348"/>
    <w:qFormat/>
    <w:uiPriority w:val="0"/>
    <w:rPr>
      <w:rFonts w:ascii="楷体_GB2312" w:hAnsi="宋体" w:eastAsia="楷体_GB2312" w:cs="宋体"/>
      <w:color w:val="000000"/>
      <w:spacing w:val="-2"/>
      <w:kern w:val="2"/>
      <w:sz w:val="30"/>
      <w:szCs w:val="30"/>
    </w:rPr>
  </w:style>
  <w:style w:type="paragraph" w:customStyle="1" w:styleId="1350">
    <w:name w:val="Char Char Char Char Char Char1 Char"/>
    <w:basedOn w:val="1"/>
    <w:qFormat/>
    <w:uiPriority w:val="0"/>
  </w:style>
  <w:style w:type="paragraph" w:customStyle="1" w:styleId="1351">
    <w:name w:val="样式 标题 2 + 黑色"/>
    <w:basedOn w:val="6"/>
    <w:next w:val="1"/>
    <w:qFormat/>
    <w:uiPriority w:val="0"/>
    <w:pPr>
      <w:spacing w:beforeLines="10" w:afterLines="10"/>
      <w:ind w:firstLine="200" w:firstLineChars="200"/>
    </w:pPr>
    <w:rPr>
      <w:rFonts w:ascii="Cambria" w:hAnsi="Cambria" w:eastAsia="宋体"/>
    </w:rPr>
  </w:style>
  <w:style w:type="paragraph" w:customStyle="1" w:styleId="1352">
    <w:name w:val="公式样式1"/>
    <w:basedOn w:val="1"/>
    <w:qFormat/>
    <w:uiPriority w:val="0"/>
    <w:pPr>
      <w:jc w:val="center"/>
    </w:pPr>
    <w:rPr>
      <w:rFonts w:ascii="宋体" w:hAnsi="宋体"/>
      <w:color w:val="FF0000"/>
    </w:rPr>
  </w:style>
  <w:style w:type="paragraph" w:customStyle="1" w:styleId="1353">
    <w:name w:val="设计文本"/>
    <w:basedOn w:val="1"/>
    <w:qFormat/>
    <w:uiPriority w:val="0"/>
    <w:pPr>
      <w:jc w:val="center"/>
    </w:pPr>
    <w:rPr>
      <w:sz w:val="24"/>
      <w:szCs w:val="20"/>
    </w:rPr>
  </w:style>
  <w:style w:type="paragraph" w:customStyle="1" w:styleId="1354">
    <w:name w:val="a01"/>
    <w:basedOn w:val="1"/>
    <w:qFormat/>
    <w:uiPriority w:val="0"/>
    <w:pPr>
      <w:widowControl/>
      <w:spacing w:beforeAutospacing="1" w:afterAutospacing="1" w:line="345" w:lineRule="atLeast"/>
      <w:jc w:val="left"/>
    </w:pPr>
    <w:rPr>
      <w:rFonts w:ascii="宋体" w:hAnsi="宋体" w:cs="宋体"/>
      <w:color w:val="000000"/>
      <w:kern w:val="0"/>
      <w:sz w:val="23"/>
      <w:szCs w:val="23"/>
    </w:rPr>
  </w:style>
  <w:style w:type="paragraph" w:customStyle="1" w:styleId="1355">
    <w:name w:val="小四表文左齐"/>
    <w:basedOn w:val="1"/>
    <w:qFormat/>
    <w:uiPriority w:val="0"/>
    <w:pPr>
      <w:jc w:val="center"/>
    </w:pPr>
    <w:rPr>
      <w:rFonts w:ascii="宋体" w:hAnsi="宋体"/>
    </w:rPr>
  </w:style>
  <w:style w:type="paragraph" w:customStyle="1" w:styleId="1356">
    <w:name w:val="Char Char Char1 Char Char Char Char Char Char Char Char Char Char Char Char Char Char Char Char Char Char Char"/>
    <w:basedOn w:val="1"/>
    <w:qFormat/>
    <w:uiPriority w:val="0"/>
  </w:style>
  <w:style w:type="paragraph" w:customStyle="1" w:styleId="1357">
    <w:name w:val="插图"/>
    <w:next w:val="1"/>
    <w:qFormat/>
    <w:uiPriority w:val="0"/>
    <w:pPr>
      <w:snapToGrid w:val="0"/>
      <w:spacing w:line="240" w:lineRule="exact"/>
      <w:jc w:val="center"/>
    </w:pPr>
    <w:rPr>
      <w:rFonts w:ascii="宋体" w:hAnsi="Calibri" w:eastAsia="宋体" w:cs="Calibri"/>
      <w:kern w:val="2"/>
      <w:sz w:val="21"/>
      <w:szCs w:val="21"/>
      <w:lang w:val="en-US" w:eastAsia="zh-CN" w:bidi="ar-SA"/>
    </w:rPr>
  </w:style>
  <w:style w:type="paragraph" w:customStyle="1" w:styleId="1358">
    <w:name w:val="报告正文 Char"/>
    <w:basedOn w:val="1"/>
    <w:link w:val="1359"/>
    <w:qFormat/>
    <w:uiPriority w:val="0"/>
    <w:pPr>
      <w:adjustRightInd w:val="0"/>
      <w:snapToGrid w:val="0"/>
      <w:spacing w:line="360" w:lineRule="auto"/>
      <w:ind w:firstLine="200" w:firstLineChars="200"/>
    </w:pPr>
    <w:rPr>
      <w:sz w:val="28"/>
      <w:szCs w:val="28"/>
    </w:rPr>
  </w:style>
  <w:style w:type="character" w:customStyle="1" w:styleId="1359">
    <w:name w:val="报告正文 Char Char"/>
    <w:link w:val="1358"/>
    <w:qFormat/>
    <w:uiPriority w:val="0"/>
    <w:rPr>
      <w:kern w:val="2"/>
      <w:sz w:val="28"/>
      <w:szCs w:val="28"/>
    </w:rPr>
  </w:style>
  <w:style w:type="paragraph" w:customStyle="1" w:styleId="1360">
    <w:name w:val="密级编号"/>
    <w:basedOn w:val="1"/>
    <w:qFormat/>
    <w:uiPriority w:val="0"/>
    <w:pPr>
      <w:adjustRightInd w:val="0"/>
      <w:jc w:val="center"/>
      <w:textAlignment w:val="baseline"/>
    </w:pPr>
    <w:rPr>
      <w:rFonts w:ascii="仿宋_GB2312" w:eastAsia="仿宋_GB2312"/>
      <w:kern w:val="0"/>
      <w:sz w:val="24"/>
      <w:szCs w:val="20"/>
    </w:rPr>
  </w:style>
  <w:style w:type="paragraph" w:customStyle="1" w:styleId="1361">
    <w:name w:val="样式 行距: 1.5 倍行距"/>
    <w:basedOn w:val="1"/>
    <w:qFormat/>
    <w:uiPriority w:val="0"/>
    <w:pPr>
      <w:tabs>
        <w:tab w:val="left" w:pos="630"/>
      </w:tabs>
      <w:spacing w:line="360" w:lineRule="auto"/>
    </w:pPr>
    <w:rPr>
      <w:rFonts w:ascii="宋体" w:hAnsi="宋体"/>
      <w:color w:val="000000"/>
      <w:sz w:val="24"/>
      <w:szCs w:val="20"/>
    </w:rPr>
  </w:style>
  <w:style w:type="paragraph" w:customStyle="1" w:styleId="1362">
    <w:name w:val="样式 表头 + 首行缩进:  2 字符"/>
    <w:basedOn w:val="1"/>
    <w:qFormat/>
    <w:uiPriority w:val="0"/>
    <w:pPr>
      <w:keepNext/>
      <w:tabs>
        <w:tab w:val="left" w:pos="3319"/>
        <w:tab w:val="left" w:pos="3600"/>
      </w:tabs>
      <w:jc w:val="center"/>
    </w:pPr>
    <w:rPr>
      <w:rFonts w:eastAsia="仿宋_GB2312"/>
      <w:b/>
      <w:bCs/>
      <w:color w:val="000000"/>
      <w:sz w:val="24"/>
      <w:szCs w:val="20"/>
    </w:rPr>
  </w:style>
  <w:style w:type="paragraph" w:customStyle="1" w:styleId="1363">
    <w:name w:val="报告节"/>
    <w:basedOn w:val="1358"/>
    <w:next w:val="1"/>
    <w:qFormat/>
    <w:uiPriority w:val="0"/>
    <w:pPr>
      <w:keepNext/>
      <w:widowControl/>
      <w:tabs>
        <w:tab w:val="left" w:pos="3319"/>
        <w:tab w:val="left" w:pos="3600"/>
      </w:tabs>
      <w:adjustRightInd/>
      <w:snapToGrid/>
      <w:spacing w:line="720" w:lineRule="auto"/>
      <w:ind w:firstLine="0" w:firstLineChars="0"/>
      <w:jc w:val="center"/>
      <w:outlineLvl w:val="1"/>
    </w:pPr>
    <w:rPr>
      <w:rFonts w:ascii="仿宋_GB2312" w:eastAsia="仿宋_GB2312"/>
      <w:b/>
      <w:sz w:val="32"/>
      <w:szCs w:val="32"/>
    </w:rPr>
  </w:style>
  <w:style w:type="paragraph" w:customStyle="1" w:styleId="1364">
    <w:name w:val="报告一"/>
    <w:basedOn w:val="1358"/>
    <w:next w:val="1358"/>
    <w:qFormat/>
    <w:uiPriority w:val="0"/>
    <w:pPr>
      <w:keepNext/>
      <w:widowControl/>
      <w:tabs>
        <w:tab w:val="left" w:pos="3319"/>
        <w:tab w:val="left" w:pos="3600"/>
      </w:tabs>
      <w:adjustRightInd/>
      <w:snapToGrid/>
      <w:spacing w:line="240" w:lineRule="auto"/>
      <w:ind w:left="560" w:firstLine="0" w:firstLineChars="0"/>
      <w:outlineLvl w:val="3"/>
    </w:pPr>
    <w:rPr>
      <w:rFonts w:ascii="仿宋_GB2312" w:hAnsi="宋体" w:eastAsia="仿宋_GB2312"/>
      <w:b/>
      <w:bCs/>
    </w:rPr>
  </w:style>
  <w:style w:type="paragraph" w:customStyle="1" w:styleId="1365">
    <w:name w:val="表文字 Char"/>
    <w:basedOn w:val="1"/>
    <w:link w:val="1366"/>
    <w:qFormat/>
    <w:uiPriority w:val="0"/>
    <w:pPr>
      <w:keepNext/>
      <w:widowControl/>
      <w:spacing w:line="240" w:lineRule="exact"/>
    </w:pPr>
    <w:rPr>
      <w:rFonts w:ascii="仿宋_GB2312" w:hAnsi="宋体" w:eastAsia="仿宋_GB2312"/>
      <w:b/>
      <w:bCs/>
      <w:sz w:val="18"/>
      <w:szCs w:val="18"/>
    </w:rPr>
  </w:style>
  <w:style w:type="character" w:customStyle="1" w:styleId="1366">
    <w:name w:val="表文字 Char Char"/>
    <w:link w:val="1365"/>
    <w:qFormat/>
    <w:uiPriority w:val="0"/>
    <w:rPr>
      <w:rFonts w:ascii="仿宋_GB2312" w:hAnsi="宋体" w:eastAsia="仿宋_GB2312"/>
      <w:b/>
      <w:bCs/>
      <w:kern w:val="2"/>
      <w:sz w:val="18"/>
      <w:szCs w:val="18"/>
    </w:rPr>
  </w:style>
  <w:style w:type="paragraph" w:customStyle="1" w:styleId="1367">
    <w:name w:val="正文(首行缩进)宋旭峰"/>
    <w:basedOn w:val="21"/>
    <w:link w:val="1368"/>
    <w:qFormat/>
    <w:uiPriority w:val="0"/>
    <w:pPr>
      <w:keepNext w:val="0"/>
      <w:spacing w:line="360" w:lineRule="auto"/>
      <w:ind w:firstLine="480" w:firstLineChars="200"/>
      <w:contextualSpacing/>
      <w:jc w:val="both"/>
    </w:pPr>
    <w:rPr>
      <w:rFonts w:ascii="Times New Roman" w:hAnsi="Times New Roman" w:cs="TimesNewRomanPSMT"/>
      <w:bCs w:val="0"/>
    </w:rPr>
  </w:style>
  <w:style w:type="character" w:customStyle="1" w:styleId="1368">
    <w:name w:val="正文(首行缩进)宋旭峰 Char Char"/>
    <w:link w:val="1367"/>
    <w:qFormat/>
    <w:uiPriority w:val="0"/>
    <w:rPr>
      <w:rFonts w:cs="TimesNewRomanPSMT"/>
      <w:snapToGrid/>
      <w:sz w:val="24"/>
      <w:szCs w:val="24"/>
    </w:rPr>
  </w:style>
  <w:style w:type="paragraph" w:customStyle="1" w:styleId="1369">
    <w:name w:val="Char Char Char Char Char Char Char Char Char Char Char Char Char Char Char Char Char Char Char Char Char Char Char Char Char Char Char Char Char Char Char Char Char Char Char Char Char Char Char"/>
    <w:basedOn w:val="1"/>
    <w:qFormat/>
    <w:uiPriority w:val="0"/>
  </w:style>
  <w:style w:type="paragraph" w:customStyle="1" w:styleId="1370">
    <w:name w:val="样式 样式 样式 设计正文 + 首行缩进:  2 字符 + 首行缩进:  2 字符 + 首行缩进:  2 字符"/>
    <w:basedOn w:val="1"/>
    <w:qFormat/>
    <w:uiPriority w:val="0"/>
    <w:pPr>
      <w:keepNext/>
      <w:spacing w:line="360" w:lineRule="auto"/>
      <w:ind w:firstLine="538" w:firstLineChars="192"/>
    </w:pPr>
    <w:rPr>
      <w:rFonts w:ascii="仿宋_GB2312" w:eastAsia="仿宋_GB2312" w:cs="宋体"/>
      <w:sz w:val="28"/>
      <w:szCs w:val="20"/>
    </w:rPr>
  </w:style>
  <w:style w:type="paragraph" w:customStyle="1" w:styleId="1371">
    <w:name w:val="正文(首行缩进) Char Char Char"/>
    <w:basedOn w:val="1"/>
    <w:link w:val="1372"/>
    <w:qFormat/>
    <w:uiPriority w:val="0"/>
    <w:pPr>
      <w:spacing w:line="360" w:lineRule="auto"/>
      <w:ind w:firstLine="480" w:firstLineChars="200"/>
    </w:pPr>
    <w:rPr>
      <w:sz w:val="24"/>
    </w:rPr>
  </w:style>
  <w:style w:type="character" w:customStyle="1" w:styleId="1372">
    <w:name w:val="正文(首行缩进) Char Char Char Char"/>
    <w:link w:val="1371"/>
    <w:qFormat/>
    <w:uiPriority w:val="0"/>
    <w:rPr>
      <w:snapToGrid/>
      <w:kern w:val="2"/>
      <w:sz w:val="24"/>
      <w:szCs w:val="24"/>
    </w:rPr>
  </w:style>
  <w:style w:type="paragraph" w:customStyle="1" w:styleId="1373">
    <w:name w:val="表底说明"/>
    <w:basedOn w:val="1"/>
    <w:link w:val="1374"/>
    <w:qFormat/>
    <w:uiPriority w:val="0"/>
    <w:rPr>
      <w:sz w:val="18"/>
    </w:rPr>
  </w:style>
  <w:style w:type="character" w:customStyle="1" w:styleId="1374">
    <w:name w:val="表底说明 Char"/>
    <w:link w:val="1373"/>
    <w:qFormat/>
    <w:uiPriority w:val="0"/>
    <w:rPr>
      <w:kern w:val="2"/>
      <w:sz w:val="18"/>
      <w:szCs w:val="24"/>
    </w:rPr>
  </w:style>
  <w:style w:type="paragraph" w:customStyle="1" w:styleId="1375">
    <w:name w:val="环保专篇"/>
    <w:link w:val="1376"/>
    <w:qFormat/>
    <w:uiPriority w:val="0"/>
    <w:pPr>
      <w:spacing w:line="360" w:lineRule="auto"/>
      <w:ind w:firstLine="200" w:firstLineChars="200"/>
      <w:jc w:val="both"/>
    </w:pPr>
    <w:rPr>
      <w:rFonts w:ascii="Calibri" w:hAnsi="Calibri" w:eastAsia="宋体" w:cs="Calibri"/>
      <w:kern w:val="2"/>
      <w:sz w:val="24"/>
      <w:szCs w:val="24"/>
      <w:lang w:val="en-US" w:eastAsia="zh-CN" w:bidi="ar-SA"/>
    </w:rPr>
  </w:style>
  <w:style w:type="character" w:customStyle="1" w:styleId="1376">
    <w:name w:val="环保专篇 Char"/>
    <w:link w:val="1375"/>
    <w:qFormat/>
    <w:uiPriority w:val="0"/>
    <w:rPr>
      <w:kern w:val="2"/>
      <w:sz w:val="24"/>
      <w:szCs w:val="24"/>
    </w:rPr>
  </w:style>
  <w:style w:type="paragraph" w:customStyle="1" w:styleId="1377">
    <w:name w:val="表格后空行"/>
    <w:basedOn w:val="1"/>
    <w:qFormat/>
    <w:uiPriority w:val="0"/>
    <w:pPr>
      <w:widowControl/>
      <w:spacing w:line="240" w:lineRule="exact"/>
      <w:textAlignment w:val="baseline"/>
    </w:pPr>
    <w:rPr>
      <w:rFonts w:cs="宋体"/>
      <w:color w:val="000000"/>
      <w:kern w:val="0"/>
      <w:szCs w:val="20"/>
      <w:u w:color="000000"/>
    </w:rPr>
  </w:style>
  <w:style w:type="paragraph" w:customStyle="1" w:styleId="1378">
    <w:name w:val="表头标题格式"/>
    <w:basedOn w:val="1"/>
    <w:link w:val="1379"/>
    <w:qFormat/>
    <w:uiPriority w:val="0"/>
    <w:pPr>
      <w:tabs>
        <w:tab w:val="left" w:pos="360"/>
        <w:tab w:val="left" w:pos="1620"/>
      </w:tabs>
      <w:spacing w:line="360" w:lineRule="auto"/>
      <w:jc w:val="center"/>
    </w:pPr>
    <w:rPr>
      <w:rFonts w:ascii="黑体" w:hAnsi="宋体" w:eastAsia="黑体" w:cs="宋体"/>
      <w:b/>
      <w:bCs/>
      <w:sz w:val="24"/>
      <w:szCs w:val="20"/>
    </w:rPr>
  </w:style>
  <w:style w:type="character" w:customStyle="1" w:styleId="1379">
    <w:name w:val="表头标题格式 Char"/>
    <w:link w:val="1378"/>
    <w:qFormat/>
    <w:uiPriority w:val="0"/>
    <w:rPr>
      <w:rFonts w:ascii="黑体" w:hAnsi="宋体" w:eastAsia="黑体" w:cs="宋体"/>
      <w:b/>
      <w:bCs/>
      <w:kern w:val="2"/>
      <w:sz w:val="24"/>
    </w:rPr>
  </w:style>
  <w:style w:type="paragraph" w:customStyle="1" w:styleId="1380">
    <w:name w:val="样式 正文首行缩进 2 + (符号) 宋体"/>
    <w:basedOn w:val="1"/>
    <w:link w:val="1381"/>
    <w:qFormat/>
    <w:uiPriority w:val="0"/>
    <w:pPr>
      <w:spacing w:line="360" w:lineRule="auto"/>
      <w:ind w:firstLine="200" w:firstLineChars="200"/>
    </w:pPr>
    <w:rPr>
      <w:rFonts w:ascii="宋体"/>
      <w:sz w:val="24"/>
    </w:rPr>
  </w:style>
  <w:style w:type="character" w:customStyle="1" w:styleId="1381">
    <w:name w:val="样式 正文首行缩进 2 + (符号) 宋体 Char"/>
    <w:link w:val="1380"/>
    <w:qFormat/>
    <w:uiPriority w:val="0"/>
    <w:rPr>
      <w:rFonts w:ascii="宋体"/>
      <w:kern w:val="2"/>
      <w:sz w:val="24"/>
      <w:szCs w:val="24"/>
    </w:rPr>
  </w:style>
  <w:style w:type="paragraph" w:customStyle="1" w:styleId="1382">
    <w:name w:val="正文标准样式"/>
    <w:basedOn w:val="1"/>
    <w:qFormat/>
    <w:uiPriority w:val="0"/>
    <w:pPr>
      <w:adjustRightInd w:val="0"/>
      <w:spacing w:line="300" w:lineRule="auto"/>
      <w:ind w:firstLine="482"/>
      <w:textAlignment w:val="baseline"/>
    </w:pPr>
    <w:rPr>
      <w:kern w:val="0"/>
      <w:sz w:val="24"/>
      <w:szCs w:val="20"/>
    </w:rPr>
  </w:style>
  <w:style w:type="paragraph" w:customStyle="1" w:styleId="1383">
    <w:name w:val="正文格式"/>
    <w:basedOn w:val="41"/>
    <w:link w:val="1384"/>
    <w:qFormat/>
    <w:uiPriority w:val="0"/>
    <w:pPr>
      <w:spacing w:after="0" w:line="360" w:lineRule="auto"/>
      <w:ind w:firstLine="200" w:firstLineChars="200"/>
    </w:pPr>
    <w:rPr>
      <w:rFonts w:ascii="宋体"/>
      <w:sz w:val="24"/>
      <w:szCs w:val="24"/>
    </w:rPr>
  </w:style>
  <w:style w:type="character" w:customStyle="1" w:styleId="1384">
    <w:name w:val="正文格式 Char"/>
    <w:link w:val="1383"/>
    <w:qFormat/>
    <w:uiPriority w:val="0"/>
    <w:rPr>
      <w:rFonts w:ascii="宋体"/>
      <w:kern w:val="2"/>
      <w:sz w:val="24"/>
      <w:szCs w:val="24"/>
    </w:rPr>
  </w:style>
  <w:style w:type="paragraph" w:customStyle="1" w:styleId="1385">
    <w:name w:val="表后空行格式"/>
    <w:basedOn w:val="1383"/>
    <w:qFormat/>
    <w:uiPriority w:val="0"/>
    <w:pPr>
      <w:spacing w:line="240" w:lineRule="exact"/>
      <w:ind w:firstLine="0" w:firstLineChars="0"/>
    </w:pPr>
    <w:rPr>
      <w:sz w:val="18"/>
    </w:rPr>
  </w:style>
  <w:style w:type="paragraph" w:customStyle="1" w:styleId="1386">
    <w:name w:val="正文 楷体"/>
    <w:basedOn w:val="1"/>
    <w:qFormat/>
    <w:uiPriority w:val="0"/>
    <w:pPr>
      <w:spacing w:line="500" w:lineRule="exact"/>
      <w:ind w:firstLine="200" w:firstLineChars="200"/>
    </w:pPr>
    <w:rPr>
      <w:rFonts w:ascii="楷体_GB2312" w:hAnsi="楷体_GB2312" w:eastAsia="楷体_GB2312" w:cs="宋体"/>
      <w:sz w:val="24"/>
    </w:rPr>
  </w:style>
  <w:style w:type="paragraph" w:customStyle="1" w:styleId="1387">
    <w:name w:val="正文（首行缩进两字） Char Char Char Char1 Char11"/>
    <w:basedOn w:val="1"/>
    <w:next w:val="21"/>
    <w:semiHidden/>
    <w:qFormat/>
    <w:uiPriority w:val="0"/>
    <w:pPr>
      <w:spacing w:line="440" w:lineRule="exact"/>
      <w:ind w:firstLine="200" w:firstLineChars="200"/>
    </w:pPr>
    <w:rPr>
      <w:rFonts w:ascii="Arial" w:hAnsi="Arial"/>
      <w:sz w:val="24"/>
    </w:rPr>
  </w:style>
  <w:style w:type="paragraph" w:customStyle="1" w:styleId="1388">
    <w:name w:val="Char Char Char Char Char2 Char Char Char Char1"/>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1389">
    <w:name w:val="12 Char Char Char Char"/>
    <w:basedOn w:val="1"/>
    <w:qFormat/>
    <w:uiPriority w:val="0"/>
    <w:pPr>
      <w:spacing w:line="360" w:lineRule="auto"/>
      <w:ind w:firstLine="200" w:firstLineChars="200"/>
      <w:jc w:val="left"/>
    </w:pPr>
    <w:rPr>
      <w:rFonts w:ascii="宋体" w:hAnsi="宋体"/>
      <w:position w:val="-6"/>
      <w:sz w:val="28"/>
      <w:szCs w:val="20"/>
      <w:u w:val="single"/>
    </w:rPr>
  </w:style>
  <w:style w:type="character" w:customStyle="1" w:styleId="1390">
    <w:name w:val="正文（首行缩进两字）2 Char"/>
    <w:qFormat/>
    <w:uiPriority w:val="0"/>
    <w:rPr>
      <w:rFonts w:ascii="宋体" w:hAnsi="宋体" w:eastAsia="宋体" w:cs="宋体"/>
      <w:snapToGrid w:val="0"/>
      <w:kern w:val="24"/>
      <w:sz w:val="24"/>
      <w:szCs w:val="24"/>
      <w:lang w:val="en-US" w:eastAsia="zh-CN" w:bidi="ar-SA"/>
    </w:rPr>
  </w:style>
  <w:style w:type="paragraph" w:customStyle="1" w:styleId="1391">
    <w:name w:val="Char Char Char Char11"/>
    <w:basedOn w:val="1"/>
    <w:qFormat/>
    <w:uiPriority w:val="0"/>
    <w:pPr>
      <w:spacing w:line="360" w:lineRule="auto"/>
      <w:ind w:firstLine="200" w:firstLineChars="200"/>
    </w:pPr>
    <w:rPr>
      <w:rFonts w:ascii="宋体" w:hAnsi="宋体" w:cs="宋体"/>
      <w:sz w:val="24"/>
    </w:rPr>
  </w:style>
  <w:style w:type="paragraph" w:customStyle="1" w:styleId="1392">
    <w:name w:val="Char Char Char Char Char Char Char1"/>
    <w:basedOn w:val="1"/>
    <w:qFormat/>
    <w:uiPriority w:val="0"/>
    <w:pPr>
      <w:adjustRightInd w:val="0"/>
      <w:spacing w:line="360" w:lineRule="auto"/>
    </w:pPr>
    <w:rPr>
      <w:kern w:val="0"/>
      <w:sz w:val="24"/>
      <w:szCs w:val="20"/>
    </w:rPr>
  </w:style>
  <w:style w:type="paragraph" w:customStyle="1" w:styleId="1393">
    <w:name w:val="pvc1.1"/>
    <w:basedOn w:val="6"/>
    <w:next w:val="6"/>
    <w:semiHidden/>
    <w:qFormat/>
    <w:uiPriority w:val="0"/>
    <w:pPr>
      <w:spacing w:beforeLines="10" w:afterLines="10"/>
      <w:ind w:firstLine="200" w:firstLineChars="200"/>
    </w:pPr>
    <w:rPr>
      <w:rFonts w:ascii="Cambria" w:hAnsi="Cambria" w:eastAsia="宋体"/>
    </w:rPr>
  </w:style>
  <w:style w:type="paragraph" w:customStyle="1" w:styleId="1394">
    <w:name w:val="TOC 标题111"/>
    <w:basedOn w:val="5"/>
    <w:next w:val="1"/>
    <w:qFormat/>
    <w:uiPriority w:val="0"/>
    <w:pPr>
      <w:keepLines/>
      <w:overflowPunct/>
      <w:snapToGrid/>
      <w:spacing w:before="0" w:beforeLines="10" w:after="0" w:afterLines="10" w:line="578" w:lineRule="auto"/>
      <w:ind w:left="0" w:firstLine="200" w:firstLineChars="200"/>
    </w:pPr>
    <w:rPr>
      <w:rFonts w:eastAsia="宋体"/>
      <w:color w:val="auto"/>
      <w:sz w:val="44"/>
      <w:szCs w:val="44"/>
    </w:rPr>
  </w:style>
  <w:style w:type="character" w:customStyle="1" w:styleId="1395">
    <w:name w:val="标题1.1.1.1.1 Char Char1"/>
    <w:qFormat/>
    <w:uiPriority w:val="0"/>
    <w:rPr>
      <w:rFonts w:ascii="宋体" w:eastAsia="宋体"/>
      <w:b/>
      <w:spacing w:val="6"/>
      <w:kern w:val="2"/>
      <w:sz w:val="26"/>
      <w:szCs w:val="26"/>
      <w:lang w:val="en-US" w:eastAsia="zh-CN" w:bidi="ar-SA"/>
    </w:rPr>
  </w:style>
  <w:style w:type="character" w:customStyle="1" w:styleId="1396">
    <w:name w:val="项标题(1) Char Char1"/>
    <w:qFormat/>
    <w:uiPriority w:val="9"/>
    <w:rPr>
      <w:rFonts w:ascii="宋体" w:eastAsia="宋体"/>
      <w:b/>
      <w:spacing w:val="6"/>
      <w:kern w:val="2"/>
      <w:sz w:val="24"/>
      <w:szCs w:val="26"/>
      <w:lang w:val="en-US" w:eastAsia="zh-CN" w:bidi="ar-SA"/>
    </w:rPr>
  </w:style>
  <w:style w:type="character" w:customStyle="1" w:styleId="1397">
    <w:name w:val="目标题 1) Char Char1"/>
    <w:qFormat/>
    <w:uiPriority w:val="0"/>
    <w:rPr>
      <w:rFonts w:ascii="Arial" w:hAnsi="Arial" w:eastAsia="黑体"/>
      <w:spacing w:val="6"/>
      <w:kern w:val="2"/>
      <w:sz w:val="24"/>
      <w:szCs w:val="26"/>
      <w:lang w:val="en-US" w:eastAsia="zh-CN" w:bidi="ar-SA"/>
    </w:rPr>
  </w:style>
  <w:style w:type="character" w:customStyle="1" w:styleId="1398">
    <w:name w:val="干标题(a) Char Char1"/>
    <w:qFormat/>
    <w:uiPriority w:val="0"/>
    <w:rPr>
      <w:rFonts w:ascii="Arial" w:hAnsi="Arial" w:eastAsia="黑体"/>
      <w:spacing w:val="6"/>
      <w:kern w:val="2"/>
      <w:sz w:val="21"/>
      <w:szCs w:val="26"/>
      <w:lang w:val="en-US" w:eastAsia="zh-CN" w:bidi="ar-SA"/>
    </w:rPr>
  </w:style>
  <w:style w:type="paragraph" w:customStyle="1" w:styleId="1399">
    <w:name w:val="样式 报告正文 + 首行缩进:  2 字符"/>
    <w:basedOn w:val="1"/>
    <w:link w:val="1400"/>
    <w:qFormat/>
    <w:uiPriority w:val="0"/>
    <w:pPr>
      <w:autoSpaceDE w:val="0"/>
      <w:autoSpaceDN w:val="0"/>
      <w:spacing w:line="360" w:lineRule="auto"/>
      <w:ind w:firstLine="200" w:firstLineChars="200"/>
    </w:pPr>
    <w:rPr>
      <w:rFonts w:cs="宋体"/>
      <w:sz w:val="24"/>
      <w:szCs w:val="20"/>
    </w:rPr>
  </w:style>
  <w:style w:type="character" w:customStyle="1" w:styleId="1400">
    <w:name w:val="样式 报告正文 + 首行缩进:  2 字符 Char"/>
    <w:link w:val="1399"/>
    <w:qFormat/>
    <w:uiPriority w:val="0"/>
    <w:rPr>
      <w:rFonts w:cs="宋体"/>
      <w:kern w:val="2"/>
      <w:sz w:val="24"/>
    </w:rPr>
  </w:style>
  <w:style w:type="character" w:customStyle="1" w:styleId="1401">
    <w:name w:val="题注 Char Char Char Char2"/>
    <w:qFormat/>
    <w:uiPriority w:val="0"/>
    <w:rPr>
      <w:rFonts w:ascii="Arial" w:hAnsi="Arial" w:eastAsia="黑体" w:cs="Arial"/>
      <w:kern w:val="2"/>
      <w:sz w:val="21"/>
      <w:lang w:val="en-US" w:eastAsia="zh-CN" w:bidi="ar-SA"/>
    </w:rPr>
  </w:style>
  <w:style w:type="paragraph" w:customStyle="1" w:styleId="1402">
    <w:name w:val="标题22"/>
    <w:basedOn w:val="6"/>
    <w:next w:val="6"/>
    <w:link w:val="1403"/>
    <w:qFormat/>
    <w:uiPriority w:val="0"/>
    <w:pPr>
      <w:spacing w:beforeLines="10" w:afterLines="10"/>
      <w:ind w:firstLine="200" w:firstLineChars="200"/>
    </w:pPr>
    <w:rPr>
      <w:rFonts w:ascii="Cambria" w:hAnsi="Cambria" w:eastAsia="宋体"/>
    </w:rPr>
  </w:style>
  <w:style w:type="character" w:customStyle="1" w:styleId="1403">
    <w:name w:val="标题22 Char"/>
    <w:link w:val="1402"/>
    <w:qFormat/>
    <w:uiPriority w:val="0"/>
    <w:rPr>
      <w:rFonts w:ascii="Cambria" w:hAnsi="Cambria"/>
      <w:b/>
      <w:bCs/>
      <w:kern w:val="2"/>
      <w:sz w:val="32"/>
      <w:szCs w:val="32"/>
    </w:rPr>
  </w:style>
  <w:style w:type="character" w:customStyle="1" w:styleId="1404">
    <w:name w:val="文本条款 Char5"/>
    <w:qFormat/>
    <w:uiPriority w:val="0"/>
    <w:rPr>
      <w:rFonts w:eastAsia="宋体"/>
      <w:kern w:val="2"/>
      <w:sz w:val="21"/>
      <w:lang w:val="en-US" w:eastAsia="zh-CN"/>
    </w:rPr>
  </w:style>
  <w:style w:type="character" w:customStyle="1" w:styleId="1405">
    <w:name w:val="content1"/>
    <w:qFormat/>
    <w:uiPriority w:val="0"/>
    <w:rPr>
      <w:sz w:val="22"/>
      <w:szCs w:val="22"/>
    </w:rPr>
  </w:style>
  <w:style w:type="character" w:customStyle="1" w:styleId="1406">
    <w:name w:val="Char Char17"/>
    <w:qFormat/>
    <w:uiPriority w:val="0"/>
    <w:rPr>
      <w:rFonts w:eastAsia="宋体"/>
      <w:color w:val="000000"/>
      <w:kern w:val="2"/>
      <w:sz w:val="18"/>
      <w:szCs w:val="18"/>
      <w:lang w:val="en-US" w:eastAsia="zh-CN" w:bidi="ar-SA"/>
    </w:rPr>
  </w:style>
  <w:style w:type="character" w:customStyle="1" w:styleId="1407">
    <w:name w:val="todaynews_14pxtitlered1"/>
    <w:qFormat/>
    <w:uiPriority w:val="0"/>
    <w:rPr>
      <w:color w:val="D56453"/>
      <w:sz w:val="21"/>
      <w:szCs w:val="21"/>
      <w:u w:val="none"/>
    </w:rPr>
  </w:style>
  <w:style w:type="paragraph" w:customStyle="1" w:styleId="1408">
    <w:name w:val="直接正文"/>
    <w:qFormat/>
    <w:uiPriority w:val="0"/>
    <w:pPr>
      <w:spacing w:afterLines="50" w:line="480" w:lineRule="exact"/>
      <w:ind w:firstLine="459"/>
    </w:pPr>
    <w:rPr>
      <w:rFonts w:ascii="宋体" w:hAnsi="宋体" w:eastAsia="宋体" w:cs="Calibri"/>
      <w:bCs/>
      <w:spacing w:val="-5"/>
      <w:kern w:val="10"/>
      <w:sz w:val="24"/>
      <w:lang w:val="en-US" w:eastAsia="zh-CN" w:bidi="he-IL"/>
    </w:rPr>
  </w:style>
  <w:style w:type="character" w:customStyle="1" w:styleId="1409">
    <w:name w:val="large"/>
    <w:qFormat/>
    <w:uiPriority w:val="0"/>
  </w:style>
  <w:style w:type="paragraph" w:customStyle="1" w:styleId="1410">
    <w:name w:val="hcr4"/>
    <w:qFormat/>
    <w:uiPriority w:val="0"/>
    <w:pPr>
      <w:ind w:firstLine="200" w:firstLineChars="200"/>
    </w:pPr>
    <w:rPr>
      <w:rFonts w:ascii="仿宋_GB2312" w:hAnsi="Calibri" w:eastAsia="仿宋_GB2312" w:cs="Calibri"/>
      <w:bCs/>
      <w:sz w:val="28"/>
      <w:lang w:val="en-US" w:eastAsia="zh-CN" w:bidi="ar-SA"/>
    </w:rPr>
  </w:style>
  <w:style w:type="character" w:customStyle="1" w:styleId="1411">
    <w:name w:val="f14b1"/>
    <w:qFormat/>
    <w:uiPriority w:val="0"/>
    <w:rPr>
      <w:b/>
      <w:bCs/>
      <w:sz w:val="21"/>
      <w:szCs w:val="21"/>
    </w:rPr>
  </w:style>
  <w:style w:type="paragraph" w:customStyle="1" w:styleId="1412">
    <w:name w:val="正文前面有点"/>
    <w:basedOn w:val="31"/>
    <w:qFormat/>
    <w:uiPriority w:val="0"/>
    <w:pPr>
      <w:widowControl/>
      <w:tabs>
        <w:tab w:val="left" w:pos="3409"/>
      </w:tabs>
      <w:adjustRightInd w:val="0"/>
      <w:snapToGrid w:val="0"/>
      <w:spacing w:after="0" w:line="360" w:lineRule="auto"/>
      <w:ind w:left="3409" w:hanging="420"/>
      <w:jc w:val="left"/>
    </w:pPr>
    <w:rPr>
      <w:rFonts w:ascii="宋体" w:hAnsi="Arial"/>
      <w:kern w:val="10"/>
      <w:sz w:val="24"/>
      <w:szCs w:val="20"/>
      <w:lang w:bidi="he-IL"/>
    </w:rPr>
  </w:style>
  <w:style w:type="paragraph" w:customStyle="1" w:styleId="1413">
    <w:name w:val="条条"/>
    <w:basedOn w:val="21"/>
    <w:qFormat/>
    <w:uiPriority w:val="0"/>
    <w:pPr>
      <w:keepNext w:val="0"/>
      <w:tabs>
        <w:tab w:val="left" w:pos="620"/>
      </w:tabs>
      <w:spacing w:beforeLines="30" w:afterLines="30" w:line="240" w:lineRule="auto"/>
      <w:ind w:left="620" w:hanging="420"/>
      <w:jc w:val="both"/>
    </w:pPr>
    <w:rPr>
      <w:rFonts w:ascii="新宋体" w:hAnsi="Times New Roman" w:eastAsia="新宋体"/>
      <w:bCs w:val="0"/>
      <w:w w:val="90"/>
      <w:sz w:val="22"/>
      <w:szCs w:val="20"/>
    </w:rPr>
  </w:style>
  <w:style w:type="paragraph" w:customStyle="1" w:styleId="1414">
    <w:name w:val="ygs正文"/>
    <w:basedOn w:val="1"/>
    <w:qFormat/>
    <w:uiPriority w:val="0"/>
    <w:pPr>
      <w:spacing w:line="440" w:lineRule="exact"/>
      <w:ind w:firstLine="480" w:firstLineChars="200"/>
    </w:pPr>
    <w:rPr>
      <w:rFonts w:ascii="宋体" w:hAnsi="宋体"/>
      <w:bCs/>
      <w:sz w:val="24"/>
    </w:rPr>
  </w:style>
  <w:style w:type="paragraph" w:customStyle="1" w:styleId="1415">
    <w:name w:val="样式 标题 3 + 加粗"/>
    <w:basedOn w:val="7"/>
    <w:qFormat/>
    <w:uiPriority w:val="0"/>
    <w:pPr>
      <w:widowControl w:val="0"/>
      <w:adjustRightInd/>
      <w:snapToGrid/>
      <w:spacing w:before="120" w:beforeLines="10" w:after="120" w:afterLines="10"/>
      <w:ind w:left="720" w:hanging="432" w:firstLineChars="200"/>
      <w:jc w:val="both"/>
    </w:pPr>
    <w:rPr>
      <w:rFonts w:ascii="Times New Roman" w:hAnsi="Times New Roman"/>
      <w:lang w:val="en-US"/>
    </w:rPr>
  </w:style>
  <w:style w:type="paragraph" w:customStyle="1" w:styleId="1416">
    <w:name w:val="6表格"/>
    <w:basedOn w:val="1"/>
    <w:qFormat/>
    <w:uiPriority w:val="0"/>
    <w:pPr>
      <w:adjustRightInd w:val="0"/>
      <w:snapToGrid w:val="0"/>
      <w:spacing w:line="240" w:lineRule="atLeast"/>
      <w:jc w:val="center"/>
    </w:pPr>
    <w:rPr>
      <w:kern w:val="0"/>
      <w:szCs w:val="20"/>
    </w:rPr>
  </w:style>
  <w:style w:type="paragraph" w:customStyle="1" w:styleId="1417">
    <w:name w:val="大纲正文"/>
    <w:basedOn w:val="1"/>
    <w:link w:val="1418"/>
    <w:qFormat/>
    <w:uiPriority w:val="0"/>
    <w:pPr>
      <w:widowControl/>
      <w:adjustRightInd w:val="0"/>
      <w:snapToGrid w:val="0"/>
      <w:spacing w:afterLines="50" w:line="300" w:lineRule="auto"/>
      <w:ind w:firstLine="480" w:firstLineChars="200"/>
    </w:pPr>
    <w:rPr>
      <w:rFonts w:cs="宋体"/>
      <w:sz w:val="24"/>
      <w:szCs w:val="20"/>
    </w:rPr>
  </w:style>
  <w:style w:type="character" w:customStyle="1" w:styleId="1418">
    <w:name w:val="大纲正文 Char1"/>
    <w:link w:val="1417"/>
    <w:qFormat/>
    <w:uiPriority w:val="0"/>
    <w:rPr>
      <w:rFonts w:cs="宋体"/>
      <w:kern w:val="2"/>
      <w:sz w:val="24"/>
    </w:rPr>
  </w:style>
  <w:style w:type="character" w:customStyle="1" w:styleId="1419">
    <w:name w:val="ht1"/>
    <w:qFormat/>
    <w:uiPriority w:val="0"/>
    <w:rPr>
      <w:rFonts w:ascii="黑体" w:eastAsia="黑体"/>
      <w:b/>
      <w:bCs/>
    </w:rPr>
  </w:style>
  <w:style w:type="character" w:customStyle="1" w:styleId="1420">
    <w:name w:val="txt1"/>
    <w:qFormat/>
    <w:uiPriority w:val="0"/>
    <w:rPr>
      <w:spacing w:val="60"/>
      <w:sz w:val="14"/>
      <w:szCs w:val="14"/>
    </w:rPr>
  </w:style>
  <w:style w:type="character" w:customStyle="1" w:styleId="1421">
    <w:name w:val="f91"/>
    <w:qFormat/>
    <w:uiPriority w:val="0"/>
    <w:rPr>
      <w:rFonts w:hint="default"/>
      <w:sz w:val="18"/>
      <w:szCs w:val="18"/>
    </w:rPr>
  </w:style>
  <w:style w:type="paragraph" w:customStyle="1" w:styleId="1422">
    <w:name w:val="标书标题1"/>
    <w:basedOn w:val="5"/>
    <w:qFormat/>
    <w:uiPriority w:val="0"/>
    <w:pPr>
      <w:keepLines/>
      <w:overflowPunct/>
      <w:snapToGrid/>
      <w:spacing w:before="0" w:beforeLines="10" w:after="0" w:afterLines="10" w:line="578" w:lineRule="auto"/>
      <w:ind w:left="0" w:firstLine="200" w:firstLineChars="200"/>
    </w:pPr>
    <w:rPr>
      <w:rFonts w:eastAsia="宋体"/>
      <w:color w:val="auto"/>
      <w:sz w:val="44"/>
      <w:szCs w:val="44"/>
    </w:rPr>
  </w:style>
  <w:style w:type="paragraph" w:customStyle="1" w:styleId="1423">
    <w:name w:val="标书标题2"/>
    <w:basedOn w:val="6"/>
    <w:qFormat/>
    <w:uiPriority w:val="0"/>
    <w:pPr>
      <w:spacing w:beforeLines="10" w:afterLines="10"/>
      <w:ind w:firstLine="200" w:firstLineChars="200"/>
    </w:pPr>
    <w:rPr>
      <w:rFonts w:ascii="Cambria" w:hAnsi="Cambria" w:eastAsia="宋体"/>
    </w:rPr>
  </w:style>
  <w:style w:type="paragraph" w:customStyle="1" w:styleId="1424">
    <w:name w:val="标书标题3"/>
    <w:basedOn w:val="7"/>
    <w:qFormat/>
    <w:uiPriority w:val="0"/>
    <w:pPr>
      <w:widowControl w:val="0"/>
      <w:adjustRightInd/>
      <w:snapToGrid/>
      <w:spacing w:before="120" w:beforeLines="10" w:after="120" w:afterLines="10"/>
      <w:ind w:left="720" w:hanging="432" w:firstLineChars="200"/>
      <w:jc w:val="both"/>
    </w:pPr>
    <w:rPr>
      <w:rFonts w:ascii="Times New Roman" w:hAnsi="Times New Roman"/>
      <w:lang w:val="en-US"/>
    </w:rPr>
  </w:style>
  <w:style w:type="paragraph" w:customStyle="1" w:styleId="1425">
    <w:name w:val="标书标题4"/>
    <w:basedOn w:val="8"/>
    <w:qFormat/>
    <w:uiPriority w:val="0"/>
    <w:pPr>
      <w:numPr>
        <w:ilvl w:val="0"/>
        <w:numId w:val="0"/>
      </w:numPr>
      <w:spacing w:beforeLines="10" w:afterLines="10"/>
      <w:ind w:left="864" w:hanging="144" w:firstLineChars="200"/>
    </w:pPr>
    <w:rPr>
      <w:rFonts w:ascii="Cambria" w:hAnsi="Cambria" w:eastAsia="宋体"/>
    </w:rPr>
  </w:style>
  <w:style w:type="paragraph" w:customStyle="1" w:styleId="1426">
    <w:name w:val="标题03"/>
    <w:basedOn w:val="1"/>
    <w:next w:val="1"/>
    <w:qFormat/>
    <w:uiPriority w:val="0"/>
    <w:pPr>
      <w:spacing w:line="480" w:lineRule="atLeast"/>
      <w:ind w:firstLine="480"/>
    </w:pPr>
    <w:rPr>
      <w:b/>
      <w:sz w:val="24"/>
      <w:szCs w:val="20"/>
    </w:rPr>
  </w:style>
  <w:style w:type="character" w:customStyle="1" w:styleId="1427">
    <w:name w:val="css-text3"/>
    <w:qFormat/>
    <w:uiPriority w:val="0"/>
  </w:style>
  <w:style w:type="character" w:customStyle="1" w:styleId="1428">
    <w:name w:val="fontcsszw"/>
    <w:qFormat/>
    <w:uiPriority w:val="0"/>
  </w:style>
  <w:style w:type="character" w:customStyle="1" w:styleId="1429">
    <w:name w:val="hei121"/>
    <w:qFormat/>
    <w:uiPriority w:val="0"/>
    <w:rPr>
      <w:sz w:val="18"/>
      <w:szCs w:val="18"/>
      <w:u w:val="none"/>
    </w:rPr>
  </w:style>
  <w:style w:type="paragraph" w:customStyle="1" w:styleId="1430">
    <w:name w:val="序号（1）"/>
    <w:basedOn w:val="1"/>
    <w:qFormat/>
    <w:uiPriority w:val="0"/>
    <w:pPr>
      <w:tabs>
        <w:tab w:val="left" w:pos="0"/>
        <w:tab w:val="left" w:pos="927"/>
      </w:tabs>
      <w:adjustRightInd w:val="0"/>
      <w:snapToGrid w:val="0"/>
      <w:spacing w:line="360" w:lineRule="auto"/>
      <w:ind w:firstLine="567"/>
    </w:pPr>
    <w:rPr>
      <w:sz w:val="28"/>
    </w:rPr>
  </w:style>
  <w:style w:type="paragraph" w:customStyle="1" w:styleId="1431">
    <w:name w:val="新标题样式"/>
    <w:basedOn w:val="1"/>
    <w:qFormat/>
    <w:uiPriority w:val="0"/>
    <w:pPr>
      <w:tabs>
        <w:tab w:val="left" w:pos="567"/>
      </w:tabs>
      <w:spacing w:line="360" w:lineRule="auto"/>
    </w:pPr>
    <w:rPr>
      <w:rFonts w:ascii="黑体" w:eastAsia="黑体"/>
      <w:b/>
      <w:spacing w:val="20"/>
      <w:sz w:val="24"/>
      <w:szCs w:val="20"/>
    </w:rPr>
  </w:style>
  <w:style w:type="paragraph" w:customStyle="1" w:styleId="1432">
    <w:name w:val="列项——"/>
    <w:qFormat/>
    <w:uiPriority w:val="0"/>
    <w:pPr>
      <w:widowControl w:val="0"/>
      <w:tabs>
        <w:tab w:val="left" w:pos="854"/>
      </w:tabs>
      <w:ind w:left="840" w:leftChars="200" w:hanging="420" w:hangingChars="200"/>
      <w:jc w:val="both"/>
    </w:pPr>
    <w:rPr>
      <w:rFonts w:ascii="宋体" w:hAnsi="Calibri" w:eastAsia="宋体" w:cs="Calibri"/>
      <w:sz w:val="21"/>
      <w:lang w:val="en-US" w:eastAsia="zh-CN" w:bidi="ar-SA"/>
    </w:rPr>
  </w:style>
  <w:style w:type="character" w:customStyle="1" w:styleId="1433">
    <w:name w:val="k1"/>
    <w:qFormat/>
    <w:uiPriority w:val="0"/>
    <w:rPr>
      <w:rFonts w:hint="eastAsia" w:ascii="宋体" w:hAnsi="宋体" w:eastAsia="宋体"/>
      <w:b/>
      <w:bCs/>
      <w:color w:val="FF0000"/>
      <w:sz w:val="30"/>
      <w:szCs w:val="30"/>
      <w:u w:val="none"/>
    </w:rPr>
  </w:style>
  <w:style w:type="paragraph" w:customStyle="1" w:styleId="1434">
    <w:name w:val="样式 表 + 加粗"/>
    <w:basedOn w:val="1"/>
    <w:qFormat/>
    <w:uiPriority w:val="0"/>
    <w:pPr>
      <w:autoSpaceDE w:val="0"/>
      <w:autoSpaceDN w:val="0"/>
      <w:spacing w:line="360" w:lineRule="exact"/>
      <w:ind w:firstLine="539"/>
      <w:jc w:val="center"/>
      <w:textAlignment w:val="bottom"/>
      <w:outlineLvl w:val="6"/>
    </w:pPr>
    <w:rPr>
      <w:rFonts w:eastAsia="仿宋_GB2312"/>
      <w:b/>
      <w:bCs/>
      <w:sz w:val="24"/>
      <w:szCs w:val="20"/>
    </w:rPr>
  </w:style>
  <w:style w:type="paragraph" w:customStyle="1" w:styleId="1435">
    <w:name w:val="样式 正文缩进 + 宋体 小四"/>
    <w:basedOn w:val="21"/>
    <w:qFormat/>
    <w:uiPriority w:val="0"/>
    <w:pPr>
      <w:keepNext w:val="0"/>
      <w:spacing w:beforeLines="50" w:afterLines="50" w:line="360" w:lineRule="exact"/>
      <w:ind w:firstLine="200" w:firstLineChars="200"/>
      <w:jc w:val="both"/>
    </w:pPr>
    <w:rPr>
      <w:rFonts w:ascii="Times New Roman" w:hAnsi="Times New Roman" w:eastAsia="仿宋_GB2312"/>
      <w:bCs w:val="0"/>
      <w:szCs w:val="20"/>
    </w:rPr>
  </w:style>
  <w:style w:type="paragraph" w:customStyle="1" w:styleId="1436">
    <w:name w:val="图表名"/>
    <w:basedOn w:val="1"/>
    <w:link w:val="1437"/>
    <w:qFormat/>
    <w:uiPriority w:val="0"/>
    <w:pPr>
      <w:spacing w:line="360" w:lineRule="exact"/>
      <w:ind w:firstLine="482"/>
      <w:jc w:val="center"/>
    </w:pPr>
    <w:rPr>
      <w:rFonts w:eastAsia="仿宋_GB2312"/>
      <w:b/>
      <w:sz w:val="24"/>
      <w:szCs w:val="20"/>
    </w:rPr>
  </w:style>
  <w:style w:type="character" w:customStyle="1" w:styleId="1437">
    <w:name w:val="图表名 Char"/>
    <w:link w:val="1436"/>
    <w:qFormat/>
    <w:uiPriority w:val="0"/>
    <w:rPr>
      <w:rFonts w:eastAsia="仿宋_GB2312"/>
      <w:b/>
      <w:kern w:val="2"/>
      <w:sz w:val="24"/>
    </w:rPr>
  </w:style>
  <w:style w:type="paragraph" w:customStyle="1" w:styleId="1438">
    <w:name w:val="样式 标题 4 + 左侧:  1.48 厘米 首行缩进:  0 厘米"/>
    <w:basedOn w:val="8"/>
    <w:qFormat/>
    <w:uiPriority w:val="0"/>
    <w:pPr>
      <w:numPr>
        <w:ilvl w:val="0"/>
        <w:numId w:val="0"/>
      </w:numPr>
      <w:spacing w:beforeLines="10" w:afterLines="10"/>
      <w:ind w:left="864" w:hanging="144" w:firstLineChars="200"/>
    </w:pPr>
    <w:rPr>
      <w:rFonts w:ascii="Cambria" w:hAnsi="Cambria" w:eastAsia="宋体"/>
    </w:rPr>
  </w:style>
  <w:style w:type="paragraph" w:customStyle="1" w:styleId="1439">
    <w:name w:val="样式 标题 2 + 首行缩进:  2 字符"/>
    <w:basedOn w:val="6"/>
    <w:link w:val="1440"/>
    <w:qFormat/>
    <w:uiPriority w:val="0"/>
    <w:pPr>
      <w:spacing w:beforeLines="10" w:afterLines="10"/>
      <w:ind w:firstLine="200" w:firstLineChars="200"/>
    </w:pPr>
    <w:rPr>
      <w:rFonts w:ascii="Cambria" w:hAnsi="Cambria" w:eastAsia="宋体"/>
    </w:rPr>
  </w:style>
  <w:style w:type="character" w:customStyle="1" w:styleId="1440">
    <w:name w:val="样式 标题 2 + 首行缩进:  2 字符 Char"/>
    <w:link w:val="1439"/>
    <w:qFormat/>
    <w:locked/>
    <w:uiPriority w:val="0"/>
    <w:rPr>
      <w:rFonts w:ascii="Cambria" w:hAnsi="Cambria"/>
      <w:b/>
      <w:bCs/>
      <w:kern w:val="2"/>
      <w:sz w:val="32"/>
      <w:szCs w:val="32"/>
    </w:rPr>
  </w:style>
  <w:style w:type="paragraph" w:customStyle="1" w:styleId="1441">
    <w:name w:val="样式 标题 3 +"/>
    <w:basedOn w:val="7"/>
    <w:qFormat/>
    <w:uiPriority w:val="0"/>
    <w:pPr>
      <w:widowControl w:val="0"/>
      <w:adjustRightInd/>
      <w:snapToGrid/>
      <w:spacing w:before="120" w:beforeLines="10" w:after="120" w:afterLines="10"/>
      <w:ind w:left="720" w:hanging="432" w:firstLineChars="200"/>
      <w:jc w:val="both"/>
    </w:pPr>
    <w:rPr>
      <w:rFonts w:ascii="Times New Roman" w:hAnsi="Times New Roman"/>
      <w:lang w:val="en-US"/>
    </w:rPr>
  </w:style>
  <w:style w:type="paragraph" w:customStyle="1" w:styleId="1442">
    <w:name w:val="样式 右侧:  0.2 厘米 段前: 2.5 磅"/>
    <w:basedOn w:val="1"/>
    <w:qFormat/>
    <w:uiPriority w:val="0"/>
    <w:pPr>
      <w:spacing w:line="360" w:lineRule="exact"/>
      <w:ind w:firstLine="225"/>
    </w:pPr>
    <w:rPr>
      <w:rFonts w:eastAsia="仿宋_GB2312" w:cs="宋体"/>
      <w:sz w:val="24"/>
      <w:szCs w:val="20"/>
    </w:rPr>
  </w:style>
  <w:style w:type="character" w:customStyle="1" w:styleId="1443">
    <w:name w:val="author"/>
    <w:qFormat/>
    <w:uiPriority w:val="0"/>
  </w:style>
  <w:style w:type="character" w:customStyle="1" w:styleId="1444">
    <w:name w:val="newcontentcss1"/>
    <w:qFormat/>
    <w:uiPriority w:val="0"/>
    <w:rPr>
      <w:sz w:val="18"/>
      <w:szCs w:val="18"/>
    </w:rPr>
  </w:style>
  <w:style w:type="paragraph" w:customStyle="1" w:styleId="1445">
    <w:name w:val="样式 表文 + 首行缩进:  2 字符"/>
    <w:basedOn w:val="1"/>
    <w:qFormat/>
    <w:uiPriority w:val="0"/>
    <w:pPr>
      <w:tabs>
        <w:tab w:val="left" w:pos="662"/>
      </w:tabs>
      <w:overflowPunct w:val="0"/>
      <w:jc w:val="center"/>
      <w:textAlignment w:val="baseline"/>
    </w:pPr>
    <w:rPr>
      <w:color w:val="000000"/>
      <w:szCs w:val="20"/>
    </w:rPr>
  </w:style>
  <w:style w:type="paragraph" w:customStyle="1" w:styleId="1446">
    <w:name w:val="空行"/>
    <w:basedOn w:val="1"/>
    <w:qFormat/>
    <w:uiPriority w:val="0"/>
    <w:pPr>
      <w:spacing w:line="300" w:lineRule="exact"/>
      <w:ind w:firstLine="482"/>
    </w:pPr>
    <w:rPr>
      <w:rFonts w:eastAsia="仿宋_GB2312"/>
      <w:sz w:val="24"/>
      <w:szCs w:val="20"/>
    </w:rPr>
  </w:style>
  <w:style w:type="paragraph" w:customStyle="1" w:styleId="1447">
    <w:name w:val="样式 样式4 + 段前: 0.5 行"/>
    <w:basedOn w:val="645"/>
    <w:qFormat/>
    <w:uiPriority w:val="0"/>
    <w:pPr>
      <w:keepNext w:val="0"/>
      <w:keepLines w:val="0"/>
      <w:adjustRightInd w:val="0"/>
      <w:snapToGrid w:val="0"/>
      <w:spacing w:beforeLines="50" w:line="480" w:lineRule="exact"/>
      <w:jc w:val="center"/>
      <w:outlineLvl w:val="4"/>
    </w:pPr>
    <w:rPr>
      <w:rFonts w:ascii="Times New Roman" w:hAnsi="Times New Roman" w:cs="宋体"/>
      <w:bCs w:val="0"/>
      <w:sz w:val="26"/>
      <w:szCs w:val="20"/>
    </w:rPr>
  </w:style>
  <w:style w:type="paragraph" w:customStyle="1" w:styleId="1448">
    <w:name w:val="样式 宋体 四号 行距: 1.5 倍行距"/>
    <w:basedOn w:val="1"/>
    <w:link w:val="1449"/>
    <w:qFormat/>
    <w:uiPriority w:val="0"/>
    <w:pPr>
      <w:spacing w:afterLines="50" w:line="360" w:lineRule="auto"/>
      <w:ind w:firstLine="560" w:firstLineChars="200"/>
    </w:pPr>
    <w:rPr>
      <w:rFonts w:ascii="宋体" w:hAnsi="宋体" w:cs="宋体"/>
      <w:sz w:val="28"/>
    </w:rPr>
  </w:style>
  <w:style w:type="character" w:customStyle="1" w:styleId="1449">
    <w:name w:val="样式 宋体 四号 行距: 1.5 倍行距 Char"/>
    <w:link w:val="1448"/>
    <w:qFormat/>
    <w:uiPriority w:val="0"/>
    <w:rPr>
      <w:rFonts w:ascii="宋体" w:hAnsi="宋体" w:cs="宋体"/>
      <w:kern w:val="2"/>
      <w:sz w:val="28"/>
      <w:szCs w:val="24"/>
    </w:rPr>
  </w:style>
  <w:style w:type="paragraph" w:customStyle="1" w:styleId="1450">
    <w:name w:val="样式 左"/>
    <w:basedOn w:val="1"/>
    <w:link w:val="1451"/>
    <w:qFormat/>
    <w:uiPriority w:val="0"/>
    <w:pPr>
      <w:ind w:firstLine="420" w:firstLineChars="200"/>
      <w:jc w:val="left"/>
    </w:pPr>
    <w:rPr>
      <w:rFonts w:cs="宋体"/>
    </w:rPr>
  </w:style>
  <w:style w:type="character" w:customStyle="1" w:styleId="1451">
    <w:name w:val="样式 左 Char"/>
    <w:link w:val="1450"/>
    <w:qFormat/>
    <w:uiPriority w:val="0"/>
    <w:rPr>
      <w:rFonts w:cs="宋体"/>
      <w:kern w:val="2"/>
      <w:sz w:val="21"/>
      <w:szCs w:val="24"/>
    </w:rPr>
  </w:style>
  <w:style w:type="paragraph" w:customStyle="1" w:styleId="1452">
    <w:name w:val="表格文字居中"/>
    <w:basedOn w:val="1"/>
    <w:next w:val="1"/>
    <w:qFormat/>
    <w:uiPriority w:val="0"/>
    <w:pPr>
      <w:adjustRightInd w:val="0"/>
      <w:snapToGrid w:val="0"/>
      <w:spacing w:line="460" w:lineRule="exact"/>
      <w:ind w:firstLine="200" w:firstLineChars="200"/>
      <w:jc w:val="center"/>
    </w:pPr>
    <w:rPr>
      <w:color w:val="000000"/>
      <w:sz w:val="22"/>
      <w:szCs w:val="22"/>
    </w:rPr>
  </w:style>
  <w:style w:type="paragraph" w:customStyle="1" w:styleId="1453">
    <w:name w:val="样式 13 磅 行距: 固定值 23 磅 首行缩进:  2 字符"/>
    <w:basedOn w:val="1"/>
    <w:link w:val="1454"/>
    <w:qFormat/>
    <w:uiPriority w:val="0"/>
    <w:pPr>
      <w:spacing w:line="460" w:lineRule="exact"/>
      <w:ind w:firstLine="520" w:firstLineChars="200"/>
    </w:pPr>
    <w:rPr>
      <w:rFonts w:cs="宋体"/>
      <w:sz w:val="26"/>
    </w:rPr>
  </w:style>
  <w:style w:type="character" w:customStyle="1" w:styleId="1454">
    <w:name w:val="样式 13 磅 行距: 固定值 23 磅 首行缩进:  2 字符 Char"/>
    <w:link w:val="1453"/>
    <w:qFormat/>
    <w:uiPriority w:val="0"/>
    <w:rPr>
      <w:rFonts w:cs="宋体"/>
      <w:kern w:val="2"/>
      <w:sz w:val="26"/>
      <w:szCs w:val="24"/>
    </w:rPr>
  </w:style>
  <w:style w:type="paragraph" w:customStyle="1" w:styleId="1455">
    <w:name w:val="Char Char Char1"/>
    <w:basedOn w:val="1"/>
    <w:qFormat/>
    <w:uiPriority w:val="0"/>
    <w:rPr>
      <w:sz w:val="24"/>
    </w:rPr>
  </w:style>
  <w:style w:type="character" w:customStyle="1" w:styleId="1456">
    <w:name w:val="正文样式 Char Char"/>
    <w:qFormat/>
    <w:uiPriority w:val="0"/>
    <w:rPr>
      <w:rFonts w:eastAsia="宋体"/>
      <w:color w:val="000000"/>
      <w:kern w:val="2"/>
      <w:sz w:val="26"/>
      <w:szCs w:val="26"/>
      <w:lang w:val="en-US" w:eastAsia="zh-CN" w:bidi="ar-SA"/>
    </w:rPr>
  </w:style>
  <w:style w:type="character" w:customStyle="1" w:styleId="1457">
    <w:name w:val="款标题1.1.1.1 Char Char1"/>
    <w:qFormat/>
    <w:uiPriority w:val="0"/>
    <w:rPr>
      <w:rFonts w:ascii="Cambria" w:hAnsi="Cambria"/>
      <w:iCs/>
      <w:color w:val="000000"/>
      <w:sz w:val="24"/>
      <w:szCs w:val="24"/>
      <w:lang w:eastAsia="en-US" w:bidi="en-US"/>
    </w:rPr>
  </w:style>
  <w:style w:type="paragraph" w:customStyle="1" w:styleId="1458">
    <w:name w:val="Char21"/>
    <w:basedOn w:val="1"/>
    <w:qFormat/>
    <w:uiPriority w:val="0"/>
    <w:pPr>
      <w:widowControl/>
      <w:spacing w:line="240" w:lineRule="exact"/>
      <w:ind w:firstLine="360"/>
      <w:jc w:val="left"/>
    </w:pPr>
    <w:rPr>
      <w:rFonts w:ascii="Verdana" w:hAnsi="Verdana" w:eastAsia="仿宋_GB2312"/>
      <w:kern w:val="0"/>
      <w:sz w:val="24"/>
      <w:szCs w:val="30"/>
      <w:lang w:eastAsia="en-US" w:bidi="en-US"/>
    </w:rPr>
  </w:style>
  <w:style w:type="paragraph" w:customStyle="1" w:styleId="1459">
    <w:name w:val="标题11"/>
    <w:basedOn w:val="1"/>
    <w:link w:val="1460"/>
    <w:qFormat/>
    <w:uiPriority w:val="0"/>
    <w:pPr>
      <w:widowControl/>
      <w:adjustRightInd w:val="0"/>
      <w:snapToGrid w:val="0"/>
      <w:spacing w:beforeLines="50" w:afterLines="50" w:line="360" w:lineRule="auto"/>
      <w:ind w:firstLine="360"/>
      <w:jc w:val="left"/>
      <w:outlineLvl w:val="0"/>
    </w:pPr>
    <w:rPr>
      <w:b/>
      <w:kern w:val="0"/>
      <w:sz w:val="36"/>
      <w:szCs w:val="36"/>
      <w:lang w:eastAsia="en-US" w:bidi="en-US"/>
    </w:rPr>
  </w:style>
  <w:style w:type="character" w:customStyle="1" w:styleId="1460">
    <w:name w:val="标题11 Char"/>
    <w:link w:val="1459"/>
    <w:qFormat/>
    <w:uiPriority w:val="0"/>
    <w:rPr>
      <w:rFonts w:ascii="Calibri" w:hAnsi="Calibri"/>
      <w:b/>
      <w:sz w:val="36"/>
      <w:szCs w:val="36"/>
      <w:lang w:eastAsia="en-US" w:bidi="en-US"/>
    </w:rPr>
  </w:style>
  <w:style w:type="paragraph" w:customStyle="1" w:styleId="1461">
    <w:name w:val="样式 标题 1 + 段后: 7.8 磅"/>
    <w:basedOn w:val="5"/>
    <w:qFormat/>
    <w:uiPriority w:val="0"/>
    <w:pPr>
      <w:keepLines/>
      <w:overflowPunct/>
      <w:snapToGrid/>
      <w:spacing w:before="0" w:beforeLines="10" w:after="0" w:afterLines="10" w:line="578" w:lineRule="auto"/>
      <w:ind w:left="0" w:firstLine="200" w:firstLineChars="200"/>
    </w:pPr>
    <w:rPr>
      <w:rFonts w:eastAsia="宋体"/>
      <w:color w:val="auto"/>
      <w:sz w:val="44"/>
      <w:szCs w:val="44"/>
    </w:rPr>
  </w:style>
  <w:style w:type="paragraph" w:customStyle="1" w:styleId="1462">
    <w:name w:val="居中"/>
    <w:basedOn w:val="1"/>
    <w:qFormat/>
    <w:uiPriority w:val="0"/>
    <w:pPr>
      <w:widowControl/>
      <w:ind w:firstLine="360"/>
      <w:jc w:val="center"/>
    </w:pPr>
    <w:rPr>
      <w:color w:val="000000"/>
      <w:kern w:val="0"/>
      <w:sz w:val="22"/>
      <w:szCs w:val="20"/>
      <w:lang w:eastAsia="en-US" w:bidi="en-US"/>
    </w:rPr>
  </w:style>
  <w:style w:type="paragraph" w:customStyle="1" w:styleId="1463">
    <w:name w:val="样式 标题 3小节名小节小节标题段头SottoparagrafoReh33heading 3- bodyh..."/>
    <w:basedOn w:val="7"/>
    <w:link w:val="1464"/>
    <w:qFormat/>
    <w:uiPriority w:val="0"/>
    <w:pPr>
      <w:widowControl w:val="0"/>
      <w:adjustRightInd/>
      <w:snapToGrid/>
      <w:spacing w:before="120" w:beforeLines="10" w:after="120" w:afterLines="10"/>
      <w:ind w:left="720" w:hanging="432" w:firstLineChars="200"/>
      <w:jc w:val="both"/>
    </w:pPr>
    <w:rPr>
      <w:rFonts w:ascii="Times New Roman" w:hAnsi="Times New Roman"/>
      <w:lang w:val="en-US"/>
    </w:rPr>
  </w:style>
  <w:style w:type="character" w:customStyle="1" w:styleId="1464">
    <w:name w:val="样式 标题 3小节名小节小节标题段头SottoparagrafoReh33heading 3- bodyh... Char"/>
    <w:link w:val="1463"/>
    <w:qFormat/>
    <w:uiPriority w:val="0"/>
    <w:rPr>
      <w:b/>
      <w:bCs/>
      <w:kern w:val="2"/>
      <w:sz w:val="32"/>
      <w:szCs w:val="32"/>
    </w:rPr>
  </w:style>
  <w:style w:type="paragraph" w:customStyle="1" w:styleId="1465">
    <w:name w:val="样式 样式 标题 4项 + 非加粗 段前: 0.5 行 段后: 0.5 行 + 段前: 0.5 行 段后: 0.5 行"/>
    <w:basedOn w:val="1"/>
    <w:qFormat/>
    <w:uiPriority w:val="0"/>
    <w:pPr>
      <w:keepLines/>
      <w:widowControl/>
      <w:adjustRightInd w:val="0"/>
      <w:snapToGrid w:val="0"/>
      <w:spacing w:line="360" w:lineRule="auto"/>
      <w:ind w:firstLine="480" w:firstLineChars="200"/>
      <w:jc w:val="center"/>
    </w:pPr>
    <w:rPr>
      <w:bCs/>
      <w:color w:val="000000"/>
      <w:kern w:val="0"/>
      <w:sz w:val="24"/>
      <w:szCs w:val="22"/>
      <w:lang w:eastAsia="en-US" w:bidi="en-US"/>
    </w:rPr>
  </w:style>
  <w:style w:type="paragraph" w:customStyle="1" w:styleId="1466">
    <w:name w:val="表名 Char Char Char Char"/>
    <w:basedOn w:val="1"/>
    <w:qFormat/>
    <w:uiPriority w:val="0"/>
    <w:pPr>
      <w:widowControl/>
      <w:autoSpaceDE w:val="0"/>
      <w:autoSpaceDN w:val="0"/>
      <w:adjustRightInd w:val="0"/>
      <w:snapToGrid w:val="0"/>
      <w:ind w:firstLine="360"/>
      <w:jc w:val="center"/>
      <w:textAlignment w:val="baseline"/>
    </w:pPr>
    <w:rPr>
      <w:rFonts w:ascii="Arial" w:hAnsi="Arial" w:eastAsia="黑体"/>
      <w:color w:val="000000"/>
      <w:kern w:val="0"/>
      <w:sz w:val="24"/>
      <w:szCs w:val="21"/>
      <w:lang w:eastAsia="en-US" w:bidi="en-US"/>
    </w:rPr>
  </w:style>
  <w:style w:type="paragraph" w:customStyle="1" w:styleId="1467">
    <w:name w:val="样式 样式 样式 样式 标题 3段 + + 段前: 1.5 行 段后: 1.5 行 + 段前: 1.5 行 段后: 1.5 行 ..."/>
    <w:basedOn w:val="1"/>
    <w:qFormat/>
    <w:uiPriority w:val="0"/>
    <w:pPr>
      <w:keepLines/>
      <w:widowControl/>
      <w:spacing w:beforeLines="100" w:afterLines="100"/>
      <w:ind w:firstLine="360"/>
      <w:jc w:val="left"/>
      <w:outlineLvl w:val="2"/>
    </w:pPr>
    <w:rPr>
      <w:rFonts w:eastAsia="黑体" w:cs="宋体"/>
      <w:b/>
      <w:bCs/>
      <w:color w:val="000000"/>
      <w:kern w:val="0"/>
      <w:sz w:val="24"/>
      <w:szCs w:val="20"/>
      <w:lang w:eastAsia="en-US" w:bidi="en-US"/>
    </w:rPr>
  </w:style>
  <w:style w:type="paragraph" w:customStyle="1" w:styleId="1468">
    <w:name w:val="样式 标题 1章 + Times New Roman 二号 非加粗"/>
    <w:basedOn w:val="5"/>
    <w:qFormat/>
    <w:uiPriority w:val="0"/>
    <w:pPr>
      <w:keepLines/>
      <w:overflowPunct/>
      <w:snapToGrid/>
      <w:spacing w:before="0" w:beforeLines="10" w:after="0" w:afterLines="10" w:line="578" w:lineRule="auto"/>
      <w:ind w:left="0" w:firstLine="200" w:firstLineChars="200"/>
    </w:pPr>
    <w:rPr>
      <w:rFonts w:eastAsia="宋体"/>
      <w:color w:val="auto"/>
      <w:sz w:val="44"/>
      <w:szCs w:val="44"/>
    </w:rPr>
  </w:style>
  <w:style w:type="paragraph" w:customStyle="1" w:styleId="1469">
    <w:name w:val="样式 标题 2节 + 段前: 0.5 行 段后: 0.5 行"/>
    <w:basedOn w:val="6"/>
    <w:qFormat/>
    <w:uiPriority w:val="0"/>
    <w:pPr>
      <w:spacing w:beforeLines="10" w:afterLines="10"/>
      <w:ind w:firstLine="200" w:firstLineChars="200"/>
    </w:pPr>
    <w:rPr>
      <w:rFonts w:ascii="Cambria" w:hAnsi="Cambria" w:eastAsia="宋体"/>
    </w:rPr>
  </w:style>
  <w:style w:type="paragraph" w:customStyle="1" w:styleId="1470">
    <w:name w:val="样式 标题 4项 + 非加粗 段前: 0.5 行 段后: 0.5 行"/>
    <w:basedOn w:val="8"/>
    <w:qFormat/>
    <w:uiPriority w:val="0"/>
    <w:pPr>
      <w:numPr>
        <w:ilvl w:val="0"/>
        <w:numId w:val="0"/>
      </w:numPr>
      <w:spacing w:beforeLines="10" w:afterLines="10"/>
      <w:ind w:left="864" w:hanging="144" w:firstLineChars="200"/>
    </w:pPr>
    <w:rPr>
      <w:rFonts w:ascii="Cambria" w:hAnsi="Cambria" w:eastAsia="宋体"/>
    </w:rPr>
  </w:style>
  <w:style w:type="paragraph" w:customStyle="1" w:styleId="1471">
    <w:name w:val="Char Char Char Char Char Char Char Char Char Char Char Char Char Char Char Char Char Char Char Char Char Char Char Char Char Char Char Char Char Char Char"/>
    <w:basedOn w:val="1"/>
    <w:qFormat/>
    <w:uiPriority w:val="0"/>
    <w:pPr>
      <w:widowControl/>
      <w:ind w:firstLine="360"/>
      <w:jc w:val="left"/>
    </w:pPr>
    <w:rPr>
      <w:kern w:val="0"/>
      <w:sz w:val="22"/>
      <w:szCs w:val="22"/>
      <w:lang w:eastAsia="en-US" w:bidi="en-US"/>
    </w:rPr>
  </w:style>
  <w:style w:type="paragraph" w:customStyle="1" w:styleId="1472">
    <w:name w:val="样式 样式3 + 黑色"/>
    <w:basedOn w:val="1"/>
    <w:qFormat/>
    <w:uiPriority w:val="0"/>
    <w:pPr>
      <w:widowControl/>
      <w:ind w:firstLine="480" w:firstLineChars="200"/>
      <w:jc w:val="left"/>
    </w:pPr>
    <w:rPr>
      <w:rFonts w:eastAsia="华文中宋"/>
      <w:color w:val="000000"/>
      <w:kern w:val="0"/>
      <w:sz w:val="24"/>
      <w:szCs w:val="22"/>
      <w:lang w:eastAsia="en-US" w:bidi="en-US"/>
    </w:rPr>
  </w:style>
  <w:style w:type="paragraph" w:customStyle="1" w:styleId="1473">
    <w:name w:val="表单位"/>
    <w:basedOn w:val="1"/>
    <w:link w:val="1474"/>
    <w:qFormat/>
    <w:uiPriority w:val="0"/>
    <w:pPr>
      <w:widowControl/>
      <w:spacing w:line="360" w:lineRule="auto"/>
      <w:ind w:firstLine="200" w:firstLineChars="200"/>
      <w:jc w:val="center"/>
    </w:pPr>
    <w:rPr>
      <w:rFonts w:ascii="宋体"/>
      <w:kern w:val="0"/>
      <w:sz w:val="24"/>
      <w:szCs w:val="22"/>
      <w:lang w:eastAsia="en-US" w:bidi="en-US"/>
    </w:rPr>
  </w:style>
  <w:style w:type="character" w:customStyle="1" w:styleId="1474">
    <w:name w:val="表单位 Char"/>
    <w:link w:val="1473"/>
    <w:qFormat/>
    <w:uiPriority w:val="0"/>
    <w:rPr>
      <w:rFonts w:ascii="宋体" w:hAnsi="Calibri"/>
      <w:sz w:val="24"/>
      <w:szCs w:val="22"/>
      <w:lang w:eastAsia="en-US" w:bidi="en-US"/>
    </w:rPr>
  </w:style>
  <w:style w:type="character" w:customStyle="1" w:styleId="1475">
    <w:name w:val="style71"/>
    <w:qFormat/>
    <w:uiPriority w:val="0"/>
    <w:rPr>
      <w:color w:val="990000"/>
    </w:rPr>
  </w:style>
  <w:style w:type="paragraph" w:customStyle="1" w:styleId="1476">
    <w:name w:val="样式 正文文字 + 首行缩进:  2 字符"/>
    <w:basedOn w:val="1"/>
    <w:qFormat/>
    <w:uiPriority w:val="0"/>
    <w:pPr>
      <w:widowControl/>
      <w:adjustRightInd w:val="0"/>
      <w:snapToGrid w:val="0"/>
      <w:spacing w:line="360" w:lineRule="auto"/>
      <w:jc w:val="center"/>
    </w:pPr>
    <w:rPr>
      <w:rFonts w:ascii="Times" w:hAnsi="Times" w:cs="宋体"/>
      <w:b/>
      <w:color w:val="000000"/>
      <w:kern w:val="0"/>
      <w:szCs w:val="21"/>
      <w:lang w:bidi="en-US"/>
    </w:rPr>
  </w:style>
  <w:style w:type="character" w:customStyle="1" w:styleId="1477">
    <w:name w:val="question-title"/>
    <w:qFormat/>
    <w:uiPriority w:val="0"/>
  </w:style>
  <w:style w:type="paragraph" w:customStyle="1" w:styleId="1478">
    <w:name w:val="明显引用1"/>
    <w:basedOn w:val="1"/>
    <w:next w:val="1"/>
    <w:qFormat/>
    <w:uiPriority w:val="0"/>
    <w:pPr>
      <w:widowControl/>
      <w:pBdr>
        <w:top w:val="single" w:color="B8CCE4" w:sz="12" w:space="10"/>
        <w:left w:val="single" w:color="4F81BD" w:sz="36" w:space="4"/>
        <w:bottom w:val="single" w:color="9BBB59" w:sz="24" w:space="10"/>
        <w:right w:val="single" w:color="4F81BD" w:sz="36" w:space="4"/>
      </w:pBdr>
      <w:shd w:val="clear" w:color="auto" w:fill="4F81BD"/>
      <w:spacing w:line="300" w:lineRule="auto"/>
      <w:ind w:left="1440" w:right="1440" w:firstLine="360"/>
      <w:jc w:val="left"/>
    </w:pPr>
    <w:rPr>
      <w:rFonts w:ascii="Cambria" w:hAnsi="Cambria"/>
      <w:i/>
      <w:iCs/>
      <w:color w:val="FFFFFF"/>
      <w:kern w:val="0"/>
      <w:sz w:val="24"/>
      <w:lang w:val="zh-CN"/>
    </w:rPr>
  </w:style>
  <w:style w:type="character" w:customStyle="1" w:styleId="1479">
    <w:name w:val="明显强调11"/>
    <w:qFormat/>
    <w:uiPriority w:val="0"/>
    <w:rPr>
      <w:b/>
      <w:bCs/>
      <w:i/>
      <w:iCs/>
      <w:color w:val="4F81BD"/>
      <w:sz w:val="22"/>
      <w:szCs w:val="22"/>
    </w:rPr>
  </w:style>
  <w:style w:type="character" w:customStyle="1" w:styleId="1480">
    <w:name w:val="不明显参考11"/>
    <w:qFormat/>
    <w:uiPriority w:val="0"/>
    <w:rPr>
      <w:color w:val="auto"/>
      <w:u w:val="single" w:color="9BBB59"/>
    </w:rPr>
  </w:style>
  <w:style w:type="character" w:customStyle="1" w:styleId="1481">
    <w:name w:val="明显参考111"/>
    <w:qFormat/>
    <w:uiPriority w:val="0"/>
    <w:rPr>
      <w:b/>
      <w:bCs/>
      <w:color w:val="76923C"/>
      <w:u w:val="single" w:color="9BBB59"/>
    </w:rPr>
  </w:style>
  <w:style w:type="character" w:customStyle="1" w:styleId="1482">
    <w:name w:val="书籍标题11"/>
    <w:qFormat/>
    <w:uiPriority w:val="0"/>
    <w:rPr>
      <w:rFonts w:ascii="Cambria" w:hAnsi="Cambria" w:eastAsia="宋体" w:cs="Times New Roman"/>
      <w:b/>
      <w:bCs/>
      <w:i/>
      <w:iCs/>
      <w:color w:val="auto"/>
    </w:rPr>
  </w:style>
  <w:style w:type="character" w:customStyle="1" w:styleId="1483">
    <w:name w:val="正文粗 Char"/>
    <w:qFormat/>
    <w:uiPriority w:val="0"/>
    <w:rPr>
      <w:rFonts w:eastAsia="宋体"/>
      <w:b/>
      <w:sz w:val="24"/>
      <w:lang w:val="en-US" w:eastAsia="zh-CN"/>
    </w:rPr>
  </w:style>
  <w:style w:type="character" w:customStyle="1" w:styleId="1484">
    <w:name w:val="Char Char22"/>
    <w:qFormat/>
    <w:uiPriority w:val="0"/>
    <w:rPr>
      <w:sz w:val="18"/>
      <w:lang w:eastAsia="en-US" w:bidi="en-US"/>
    </w:rPr>
  </w:style>
  <w:style w:type="character" w:customStyle="1" w:styleId="1485">
    <w:name w:val="C样式 Char"/>
    <w:link w:val="1486"/>
    <w:qFormat/>
    <w:uiPriority w:val="0"/>
    <w:rPr>
      <w:rFonts w:ascii="宋体" w:hAnsi="宋体"/>
      <w:kern w:val="24"/>
      <w:sz w:val="24"/>
    </w:rPr>
  </w:style>
  <w:style w:type="paragraph" w:customStyle="1" w:styleId="1486">
    <w:name w:val="C样式"/>
    <w:basedOn w:val="21"/>
    <w:link w:val="1485"/>
    <w:qFormat/>
    <w:uiPriority w:val="0"/>
    <w:pPr>
      <w:keepNext w:val="0"/>
      <w:spacing w:line="440" w:lineRule="exact"/>
      <w:ind w:firstLine="424" w:firstLineChars="200"/>
      <w:jc w:val="both"/>
    </w:pPr>
    <w:rPr>
      <w:bCs w:val="0"/>
      <w:kern w:val="24"/>
      <w:szCs w:val="20"/>
    </w:rPr>
  </w:style>
  <w:style w:type="paragraph" w:customStyle="1" w:styleId="1487">
    <w:name w:val="报告正文"/>
    <w:qFormat/>
    <w:uiPriority w:val="0"/>
    <w:pPr>
      <w:spacing w:line="500" w:lineRule="atLeast"/>
      <w:ind w:firstLine="200" w:firstLineChars="200"/>
      <w:jc w:val="both"/>
    </w:pPr>
    <w:rPr>
      <w:rFonts w:ascii="Calibri" w:hAnsi="Calibri" w:eastAsia="Times New Roman" w:cs="Calibri"/>
      <w:kern w:val="2"/>
      <w:sz w:val="28"/>
      <w:lang w:val="en-US" w:eastAsia="zh-CN" w:bidi="ar-SA"/>
    </w:rPr>
  </w:style>
  <w:style w:type="paragraph" w:customStyle="1" w:styleId="1488">
    <w:name w:val="标准正文格式"/>
    <w:basedOn w:val="1"/>
    <w:qFormat/>
    <w:uiPriority w:val="0"/>
    <w:pPr>
      <w:spacing w:line="360" w:lineRule="auto"/>
      <w:ind w:firstLine="480" w:firstLineChars="200"/>
      <w:jc w:val="left"/>
    </w:pPr>
    <w:rPr>
      <w:rFonts w:ascii="宋体" w:hAnsi="宋体"/>
      <w:color w:val="000000"/>
      <w:kern w:val="0"/>
      <w:sz w:val="24"/>
      <w:szCs w:val="20"/>
    </w:rPr>
  </w:style>
  <w:style w:type="paragraph" w:customStyle="1" w:styleId="1489">
    <w:name w:val="样式 样式 样式 样式 样式4 + 首行缩进:  0.75 字符 + 首行缩进:  2 字符 + 首行缩进:  2 字符 + 首..."/>
    <w:basedOn w:val="1"/>
    <w:qFormat/>
    <w:uiPriority w:val="0"/>
    <w:pPr>
      <w:adjustRightInd w:val="0"/>
      <w:snapToGrid w:val="0"/>
      <w:spacing w:line="480" w:lineRule="exact"/>
      <w:ind w:firstLine="560" w:firstLineChars="200"/>
    </w:pPr>
    <w:rPr>
      <w:rFonts w:ascii="仿宋_GB2312" w:hAnsi="宋体" w:eastAsia="仿宋_GB2312"/>
      <w:kern w:val="0"/>
      <w:sz w:val="28"/>
      <w:szCs w:val="20"/>
    </w:rPr>
  </w:style>
  <w:style w:type="paragraph" w:customStyle="1" w:styleId="1490">
    <w:name w:val="地告正文"/>
    <w:basedOn w:val="1"/>
    <w:qFormat/>
    <w:uiPriority w:val="0"/>
    <w:pPr>
      <w:adjustRightInd w:val="0"/>
      <w:snapToGrid w:val="0"/>
      <w:spacing w:line="620" w:lineRule="atLeast"/>
      <w:ind w:firstLine="200" w:firstLineChars="200"/>
    </w:pPr>
    <w:rPr>
      <w:sz w:val="28"/>
    </w:rPr>
  </w:style>
  <w:style w:type="paragraph" w:customStyle="1" w:styleId="1491">
    <w:name w:val="CM2"/>
    <w:basedOn w:val="1"/>
    <w:next w:val="1"/>
    <w:qFormat/>
    <w:uiPriority w:val="0"/>
    <w:pPr>
      <w:autoSpaceDE w:val="0"/>
      <w:autoSpaceDN w:val="0"/>
      <w:adjustRightInd w:val="0"/>
      <w:spacing w:line="468" w:lineRule="atLeast"/>
      <w:jc w:val="left"/>
    </w:pPr>
    <w:rPr>
      <w:kern w:val="0"/>
      <w:sz w:val="24"/>
    </w:rPr>
  </w:style>
  <w:style w:type="paragraph" w:customStyle="1" w:styleId="1492">
    <w:name w:val="CM3"/>
    <w:basedOn w:val="1"/>
    <w:next w:val="1"/>
    <w:qFormat/>
    <w:uiPriority w:val="0"/>
    <w:pPr>
      <w:autoSpaceDE w:val="0"/>
      <w:autoSpaceDN w:val="0"/>
      <w:adjustRightInd w:val="0"/>
      <w:spacing w:line="468" w:lineRule="atLeast"/>
      <w:jc w:val="left"/>
    </w:pPr>
    <w:rPr>
      <w:kern w:val="0"/>
      <w:sz w:val="24"/>
    </w:rPr>
  </w:style>
  <w:style w:type="paragraph" w:customStyle="1" w:styleId="1493">
    <w:name w:val="CM82"/>
    <w:basedOn w:val="1"/>
    <w:next w:val="1"/>
    <w:qFormat/>
    <w:uiPriority w:val="0"/>
    <w:pPr>
      <w:autoSpaceDE w:val="0"/>
      <w:autoSpaceDN w:val="0"/>
      <w:adjustRightInd w:val="0"/>
      <w:jc w:val="left"/>
    </w:pPr>
    <w:rPr>
      <w:kern w:val="0"/>
      <w:sz w:val="24"/>
    </w:rPr>
  </w:style>
  <w:style w:type="paragraph" w:customStyle="1" w:styleId="1494">
    <w:name w:val="CM11"/>
    <w:basedOn w:val="2"/>
    <w:next w:val="2"/>
    <w:qFormat/>
    <w:uiPriority w:val="0"/>
    <w:pPr>
      <w:suppressAutoHyphens w:val="0"/>
      <w:adjustRightInd w:val="0"/>
      <w:spacing w:line="468" w:lineRule="atLeast"/>
      <w:textAlignment w:val="auto"/>
    </w:pPr>
    <w:rPr>
      <w:rFonts w:ascii="Times New Roman" w:hAnsi="Times New Roman" w:cs="Times New Roman"/>
      <w:color w:val="auto"/>
    </w:rPr>
  </w:style>
  <w:style w:type="paragraph" w:customStyle="1" w:styleId="1495">
    <w:name w:val="CM81"/>
    <w:basedOn w:val="2"/>
    <w:next w:val="2"/>
    <w:qFormat/>
    <w:uiPriority w:val="0"/>
    <w:pPr>
      <w:suppressAutoHyphens w:val="0"/>
      <w:adjustRightInd w:val="0"/>
      <w:spacing w:after="290"/>
      <w:textAlignment w:val="auto"/>
    </w:pPr>
    <w:rPr>
      <w:rFonts w:ascii="Times New Roman" w:hAnsi="Times New Roman" w:cs="Times New Roman"/>
      <w:color w:val="auto"/>
    </w:rPr>
  </w:style>
  <w:style w:type="paragraph" w:customStyle="1" w:styleId="1496">
    <w:name w:val="CM28"/>
    <w:basedOn w:val="2"/>
    <w:next w:val="2"/>
    <w:qFormat/>
    <w:uiPriority w:val="0"/>
    <w:pPr>
      <w:suppressAutoHyphens w:val="0"/>
      <w:adjustRightInd w:val="0"/>
      <w:textAlignment w:val="auto"/>
    </w:pPr>
    <w:rPr>
      <w:rFonts w:ascii="Times New Roman" w:hAnsi="Times New Roman" w:cs="Times New Roman"/>
      <w:color w:val="auto"/>
    </w:rPr>
  </w:style>
  <w:style w:type="paragraph" w:customStyle="1" w:styleId="1497">
    <w:name w:val="CM14"/>
    <w:basedOn w:val="2"/>
    <w:next w:val="2"/>
    <w:qFormat/>
    <w:uiPriority w:val="0"/>
    <w:pPr>
      <w:suppressAutoHyphens w:val="0"/>
      <w:adjustRightInd w:val="0"/>
      <w:spacing w:line="468" w:lineRule="atLeast"/>
      <w:textAlignment w:val="auto"/>
    </w:pPr>
    <w:rPr>
      <w:rFonts w:ascii="Times New Roman" w:hAnsi="Times New Roman" w:cs="Times New Roman"/>
      <w:color w:val="auto"/>
    </w:rPr>
  </w:style>
  <w:style w:type="paragraph" w:customStyle="1" w:styleId="1498">
    <w:name w:val="CM85"/>
    <w:basedOn w:val="2"/>
    <w:next w:val="2"/>
    <w:qFormat/>
    <w:uiPriority w:val="0"/>
    <w:pPr>
      <w:suppressAutoHyphens w:val="0"/>
      <w:adjustRightInd w:val="0"/>
      <w:spacing w:after="165"/>
      <w:textAlignment w:val="auto"/>
    </w:pPr>
    <w:rPr>
      <w:rFonts w:ascii="Times New Roman" w:hAnsi="Times New Roman" w:cs="Times New Roman"/>
      <w:color w:val="auto"/>
    </w:rPr>
  </w:style>
  <w:style w:type="paragraph" w:customStyle="1" w:styleId="1499">
    <w:name w:val="CM86"/>
    <w:basedOn w:val="2"/>
    <w:next w:val="2"/>
    <w:qFormat/>
    <w:uiPriority w:val="0"/>
    <w:pPr>
      <w:suppressAutoHyphens w:val="0"/>
      <w:adjustRightInd w:val="0"/>
      <w:spacing w:after="403"/>
      <w:textAlignment w:val="auto"/>
    </w:pPr>
    <w:rPr>
      <w:rFonts w:ascii="Times New Roman" w:hAnsi="Times New Roman" w:cs="Times New Roman"/>
      <w:color w:val="auto"/>
    </w:rPr>
  </w:style>
  <w:style w:type="paragraph" w:customStyle="1" w:styleId="1500">
    <w:name w:val="CM12"/>
    <w:basedOn w:val="2"/>
    <w:next w:val="2"/>
    <w:qFormat/>
    <w:uiPriority w:val="0"/>
    <w:pPr>
      <w:suppressAutoHyphens w:val="0"/>
      <w:adjustRightInd w:val="0"/>
      <w:spacing w:line="468" w:lineRule="atLeast"/>
      <w:textAlignment w:val="auto"/>
    </w:pPr>
    <w:rPr>
      <w:rFonts w:ascii="Times New Roman" w:hAnsi="Times New Roman" w:cs="Times New Roman"/>
      <w:color w:val="auto"/>
    </w:rPr>
  </w:style>
  <w:style w:type="paragraph" w:customStyle="1" w:styleId="1501">
    <w:name w:val="CM29"/>
    <w:basedOn w:val="2"/>
    <w:next w:val="2"/>
    <w:qFormat/>
    <w:uiPriority w:val="0"/>
    <w:pPr>
      <w:suppressAutoHyphens w:val="0"/>
      <w:adjustRightInd w:val="0"/>
      <w:spacing w:line="468" w:lineRule="atLeast"/>
      <w:textAlignment w:val="auto"/>
    </w:pPr>
    <w:rPr>
      <w:rFonts w:ascii="Times New Roman" w:hAnsi="Times New Roman" w:cs="Times New Roman"/>
      <w:color w:val="auto"/>
    </w:rPr>
  </w:style>
  <w:style w:type="paragraph" w:customStyle="1" w:styleId="1502">
    <w:name w:val="CM4"/>
    <w:basedOn w:val="2"/>
    <w:next w:val="2"/>
    <w:qFormat/>
    <w:uiPriority w:val="0"/>
    <w:pPr>
      <w:suppressAutoHyphens w:val="0"/>
      <w:adjustRightInd w:val="0"/>
      <w:spacing w:line="468" w:lineRule="atLeast"/>
      <w:textAlignment w:val="auto"/>
    </w:pPr>
    <w:rPr>
      <w:rFonts w:ascii="Times New Roman" w:hAnsi="Times New Roman" w:cs="Times New Roman"/>
      <w:color w:val="auto"/>
    </w:rPr>
  </w:style>
  <w:style w:type="paragraph" w:customStyle="1" w:styleId="1503">
    <w:name w:val="CM93"/>
    <w:basedOn w:val="2"/>
    <w:next w:val="2"/>
    <w:qFormat/>
    <w:uiPriority w:val="0"/>
    <w:pPr>
      <w:suppressAutoHyphens w:val="0"/>
      <w:adjustRightInd w:val="0"/>
      <w:spacing w:after="238"/>
      <w:textAlignment w:val="auto"/>
    </w:pPr>
    <w:rPr>
      <w:rFonts w:ascii="Times New Roman" w:hAnsi="Times New Roman" w:cs="Times New Roman"/>
      <w:color w:val="auto"/>
    </w:rPr>
  </w:style>
  <w:style w:type="paragraph" w:customStyle="1" w:styleId="1504">
    <w:name w:val="CM95"/>
    <w:basedOn w:val="2"/>
    <w:next w:val="2"/>
    <w:qFormat/>
    <w:uiPriority w:val="0"/>
    <w:pPr>
      <w:suppressAutoHyphens w:val="0"/>
      <w:adjustRightInd w:val="0"/>
      <w:spacing w:after="528"/>
      <w:textAlignment w:val="auto"/>
    </w:pPr>
    <w:rPr>
      <w:rFonts w:ascii="Times New Roman" w:hAnsi="Times New Roman" w:cs="Times New Roman"/>
      <w:color w:val="auto"/>
    </w:rPr>
  </w:style>
  <w:style w:type="paragraph" w:customStyle="1" w:styleId="1505">
    <w:name w:val="CM45"/>
    <w:basedOn w:val="2"/>
    <w:next w:val="2"/>
    <w:qFormat/>
    <w:uiPriority w:val="0"/>
    <w:pPr>
      <w:suppressAutoHyphens w:val="0"/>
      <w:adjustRightInd w:val="0"/>
      <w:spacing w:line="428" w:lineRule="atLeast"/>
      <w:textAlignment w:val="auto"/>
    </w:pPr>
    <w:rPr>
      <w:rFonts w:ascii="Times New Roman" w:hAnsi="Times New Roman" w:cs="Times New Roman"/>
      <w:color w:val="auto"/>
    </w:rPr>
  </w:style>
  <w:style w:type="paragraph" w:customStyle="1" w:styleId="1506">
    <w:name w:val="CM67"/>
    <w:basedOn w:val="2"/>
    <w:next w:val="2"/>
    <w:qFormat/>
    <w:uiPriority w:val="0"/>
    <w:pPr>
      <w:suppressAutoHyphens w:val="0"/>
      <w:adjustRightInd w:val="0"/>
      <w:spacing w:line="531" w:lineRule="atLeast"/>
      <w:textAlignment w:val="auto"/>
    </w:pPr>
    <w:rPr>
      <w:rFonts w:ascii="Times New Roman" w:hAnsi="Times New Roman" w:cs="Times New Roman"/>
      <w:color w:val="auto"/>
    </w:rPr>
  </w:style>
  <w:style w:type="paragraph" w:customStyle="1" w:styleId="1507">
    <w:name w:val="CM68"/>
    <w:basedOn w:val="2"/>
    <w:next w:val="2"/>
    <w:qFormat/>
    <w:uiPriority w:val="0"/>
    <w:pPr>
      <w:suppressAutoHyphens w:val="0"/>
      <w:adjustRightInd w:val="0"/>
      <w:spacing w:line="533" w:lineRule="atLeast"/>
      <w:textAlignment w:val="auto"/>
    </w:pPr>
    <w:rPr>
      <w:rFonts w:ascii="Times New Roman" w:hAnsi="Times New Roman" w:cs="Times New Roman"/>
      <w:color w:val="auto"/>
    </w:rPr>
  </w:style>
  <w:style w:type="paragraph" w:customStyle="1" w:styleId="1508">
    <w:name w:val="CM69"/>
    <w:basedOn w:val="2"/>
    <w:next w:val="2"/>
    <w:qFormat/>
    <w:uiPriority w:val="0"/>
    <w:pPr>
      <w:suppressAutoHyphens w:val="0"/>
      <w:adjustRightInd w:val="0"/>
      <w:spacing w:line="538" w:lineRule="atLeast"/>
      <w:textAlignment w:val="auto"/>
    </w:pPr>
    <w:rPr>
      <w:rFonts w:ascii="Times New Roman" w:hAnsi="Times New Roman" w:cs="Times New Roman"/>
      <w:color w:val="auto"/>
    </w:rPr>
  </w:style>
  <w:style w:type="paragraph" w:customStyle="1" w:styleId="1509">
    <w:name w:val="CM15"/>
    <w:basedOn w:val="2"/>
    <w:next w:val="2"/>
    <w:qFormat/>
    <w:uiPriority w:val="0"/>
    <w:pPr>
      <w:suppressAutoHyphens w:val="0"/>
      <w:adjustRightInd w:val="0"/>
      <w:spacing w:line="468" w:lineRule="atLeast"/>
      <w:textAlignment w:val="auto"/>
    </w:pPr>
    <w:rPr>
      <w:rFonts w:ascii="Times New Roman" w:hAnsi="Times New Roman" w:cs="Times New Roman"/>
      <w:color w:val="auto"/>
    </w:rPr>
  </w:style>
  <w:style w:type="character" w:customStyle="1" w:styleId="1510">
    <w:name w:val="款标题1.1.1.1 Char Char"/>
    <w:qFormat/>
    <w:uiPriority w:val="0"/>
    <w:rPr>
      <w:rFonts w:ascii="仿宋_GB2312" w:eastAsia="仿宋_GB2312"/>
      <w:kern w:val="2"/>
      <w:sz w:val="28"/>
      <w:lang w:val="en-US" w:eastAsia="zh-CN" w:bidi="ar-SA"/>
    </w:rPr>
  </w:style>
  <w:style w:type="character" w:customStyle="1" w:styleId="1511">
    <w:name w:val="标题1.1.1.1.1 Char Char"/>
    <w:qFormat/>
    <w:uiPriority w:val="0"/>
    <w:rPr>
      <w:rFonts w:ascii="仿宋_GB2312" w:eastAsia="仿宋_GB2312"/>
      <w:b/>
      <w:kern w:val="2"/>
      <w:sz w:val="28"/>
      <w:lang w:val="en-US" w:eastAsia="zh-CN" w:bidi="ar-SA"/>
    </w:rPr>
  </w:style>
  <w:style w:type="character" w:customStyle="1" w:styleId="1512">
    <w:name w:val="项标题(1) Char Char"/>
    <w:qFormat/>
    <w:uiPriority w:val="0"/>
    <w:rPr>
      <w:rFonts w:ascii="仿宋_GB2312" w:eastAsia="仿宋_GB2312"/>
      <w:b/>
      <w:kern w:val="2"/>
      <w:sz w:val="24"/>
      <w:lang w:val="en-US" w:eastAsia="zh-CN" w:bidi="ar-SA"/>
    </w:rPr>
  </w:style>
  <w:style w:type="character" w:customStyle="1" w:styleId="1513">
    <w:name w:val="目标题 1) Char Char"/>
    <w:qFormat/>
    <w:uiPriority w:val="0"/>
    <w:rPr>
      <w:rFonts w:ascii="Arial" w:hAnsi="Arial" w:eastAsia="黑体"/>
      <w:kern w:val="2"/>
      <w:sz w:val="24"/>
      <w:lang w:val="en-US" w:eastAsia="zh-CN" w:bidi="ar-SA"/>
    </w:rPr>
  </w:style>
  <w:style w:type="character" w:customStyle="1" w:styleId="1514">
    <w:name w:val="干标题(a) Char Char"/>
    <w:qFormat/>
    <w:uiPriority w:val="0"/>
    <w:rPr>
      <w:rFonts w:ascii="Arial" w:hAnsi="Arial" w:eastAsia="黑体"/>
      <w:kern w:val="2"/>
      <w:sz w:val="28"/>
      <w:lang w:val="en-US" w:eastAsia="zh-CN" w:bidi="ar-SA"/>
    </w:rPr>
  </w:style>
  <w:style w:type="paragraph" w:customStyle="1" w:styleId="1515">
    <w:name w:val="样式 普通(网站) + 段前: 自动 段后: 自动 行距: 最小值 24 磅"/>
    <w:basedOn w:val="76"/>
    <w:qFormat/>
    <w:uiPriority w:val="0"/>
    <w:pPr>
      <w:spacing w:beforeAutospacing="0" w:afterAutospacing="0" w:line="480" w:lineRule="exact"/>
      <w:ind w:firstLine="200" w:firstLineChars="200"/>
    </w:pPr>
    <w:rPr>
      <w:rFonts w:ascii="Times New Roman" w:hAnsi="Times New Roman"/>
      <w:sz w:val="28"/>
    </w:rPr>
  </w:style>
  <w:style w:type="paragraph" w:customStyle="1" w:styleId="1516">
    <w:name w:val="公司名"/>
    <w:basedOn w:val="1"/>
    <w:qFormat/>
    <w:uiPriority w:val="0"/>
    <w:pPr>
      <w:framePr w:w="3840" w:h="1366" w:wrap="notBeside" w:vAnchor="page" w:hAnchor="margin" w:y="889" w:anchorLock="1"/>
      <w:widowControl/>
      <w:tabs>
        <w:tab w:val="left" w:pos="-145"/>
        <w:tab w:val="left" w:pos="0"/>
        <w:tab w:val="left" w:pos="37"/>
        <w:tab w:val="left" w:pos="580"/>
        <w:tab w:val="left" w:pos="4500"/>
        <w:tab w:val="left" w:pos="5160"/>
      </w:tabs>
      <w:spacing w:line="280" w:lineRule="atLeast"/>
      <w:jc w:val="left"/>
    </w:pPr>
    <w:rPr>
      <w:rFonts w:ascii="宋体" w:hAnsi="宋体"/>
      <w:spacing w:val="-25"/>
      <w:kern w:val="0"/>
      <w:sz w:val="18"/>
      <w:szCs w:val="18"/>
    </w:rPr>
  </w:style>
  <w:style w:type="paragraph" w:customStyle="1" w:styleId="1517">
    <w:name w:val="主题行"/>
    <w:basedOn w:val="1"/>
    <w:next w:val="34"/>
    <w:qFormat/>
    <w:uiPriority w:val="0"/>
    <w:pPr>
      <w:widowControl/>
      <w:tabs>
        <w:tab w:val="left" w:pos="-145"/>
        <w:tab w:val="left" w:pos="0"/>
        <w:tab w:val="left" w:pos="37"/>
        <w:tab w:val="left" w:pos="580"/>
        <w:tab w:val="left" w:pos="4500"/>
        <w:tab w:val="left" w:pos="5160"/>
      </w:tabs>
      <w:spacing w:line="220" w:lineRule="atLeast"/>
      <w:jc w:val="left"/>
    </w:pPr>
    <w:rPr>
      <w:rFonts w:ascii="Arial Black" w:hAnsi="Arial Black"/>
      <w:spacing w:val="-10"/>
      <w:kern w:val="0"/>
      <w:sz w:val="20"/>
      <w:szCs w:val="20"/>
    </w:rPr>
  </w:style>
  <w:style w:type="paragraph" w:customStyle="1" w:styleId="1518">
    <w:name w:val="默认段落字体 Para Char Char Char Char Char Char Char Char Char Char"/>
    <w:basedOn w:val="1"/>
    <w:qFormat/>
    <w:uiPriority w:val="0"/>
    <w:rPr>
      <w:rFonts w:ascii="Arial" w:hAnsi="Arial" w:cs="Arial"/>
      <w:sz w:val="20"/>
      <w:szCs w:val="20"/>
    </w:rPr>
  </w:style>
  <w:style w:type="paragraph" w:customStyle="1" w:styleId="1519">
    <w:name w:val="样式 样式 (西文) ˎ̥ 四号 左 行距: 最小值 16.75 磅 首行缩进:  2 字符 + 首行缩进:  2 字符1"/>
    <w:basedOn w:val="1"/>
    <w:qFormat/>
    <w:uiPriority w:val="0"/>
    <w:pPr>
      <w:spacing w:line="360" w:lineRule="auto"/>
      <w:ind w:firstLine="480" w:firstLineChars="200"/>
      <w:jc w:val="left"/>
    </w:pPr>
    <w:rPr>
      <w:rFonts w:ascii="ˎ̥" w:hAnsi="ˎ̥" w:cs="宋体"/>
      <w:kern w:val="0"/>
      <w:sz w:val="24"/>
      <w:szCs w:val="20"/>
    </w:rPr>
  </w:style>
  <w:style w:type="paragraph" w:customStyle="1" w:styleId="1520">
    <w:name w:val="Paragraphy"/>
    <w:basedOn w:val="1"/>
    <w:qFormat/>
    <w:uiPriority w:val="0"/>
    <w:pPr>
      <w:spacing w:beforeLines="50" w:line="312" w:lineRule="auto"/>
      <w:ind w:firstLine="250" w:firstLineChars="250"/>
    </w:pPr>
    <w:rPr>
      <w:spacing w:val="6"/>
      <w:sz w:val="28"/>
    </w:rPr>
  </w:style>
  <w:style w:type="character" w:customStyle="1" w:styleId="1521">
    <w:name w:val="文本条款 Char2"/>
    <w:qFormat/>
    <w:uiPriority w:val="0"/>
    <w:rPr>
      <w:rFonts w:eastAsia="宋体"/>
      <w:kern w:val="2"/>
      <w:sz w:val="21"/>
      <w:lang w:val="en-US" w:eastAsia="zh-CN"/>
    </w:rPr>
  </w:style>
  <w:style w:type="character" w:customStyle="1" w:styleId="1522">
    <w:name w:val="普通文字 Char Char3"/>
    <w:qFormat/>
    <w:uiPriority w:val="0"/>
    <w:rPr>
      <w:rFonts w:ascii="宋体" w:hAnsi="Courier New" w:eastAsia="宋体"/>
      <w:kern w:val="28"/>
      <w:sz w:val="28"/>
      <w:lang w:val="en-US" w:eastAsia="zh-CN"/>
    </w:rPr>
  </w:style>
  <w:style w:type="character" w:customStyle="1" w:styleId="1523">
    <w:name w:val="文本条款 Char3"/>
    <w:qFormat/>
    <w:uiPriority w:val="0"/>
    <w:rPr>
      <w:rFonts w:eastAsia="宋体"/>
      <w:kern w:val="2"/>
      <w:sz w:val="21"/>
      <w:lang w:val="en-US" w:eastAsia="zh-CN"/>
    </w:rPr>
  </w:style>
  <w:style w:type="character" w:customStyle="1" w:styleId="1524">
    <w:name w:val="普通文字 Char Char5"/>
    <w:qFormat/>
    <w:uiPriority w:val="0"/>
    <w:rPr>
      <w:rFonts w:ascii="宋体" w:hAnsi="Courier New" w:eastAsia="宋体"/>
      <w:kern w:val="28"/>
      <w:sz w:val="28"/>
      <w:lang w:val="en-US" w:eastAsia="zh-CN"/>
    </w:rPr>
  </w:style>
  <w:style w:type="paragraph" w:customStyle="1" w:styleId="1525">
    <w:name w:val="样式 正文缩进 + 首行缩进:  2 字符"/>
    <w:basedOn w:val="21"/>
    <w:link w:val="1526"/>
    <w:qFormat/>
    <w:uiPriority w:val="0"/>
    <w:pPr>
      <w:keepNext w:val="0"/>
      <w:tabs>
        <w:tab w:val="left" w:pos="2820"/>
      </w:tabs>
      <w:snapToGrid w:val="0"/>
      <w:spacing w:line="480" w:lineRule="exact"/>
      <w:ind w:firstLine="200" w:firstLineChars="200"/>
      <w:jc w:val="both"/>
    </w:pPr>
    <w:rPr>
      <w:rFonts w:ascii="Times New Roman" w:hAnsi="Times New Roman"/>
      <w:bCs w:val="0"/>
      <w:color w:val="FF0000"/>
      <w:sz w:val="28"/>
      <w:szCs w:val="28"/>
      <w:lang w:val="zh-CN"/>
    </w:rPr>
  </w:style>
  <w:style w:type="character" w:customStyle="1" w:styleId="1526">
    <w:name w:val="样式 正文缩进 + 首行缩进:  2 字符 Char"/>
    <w:link w:val="1525"/>
    <w:qFormat/>
    <w:uiPriority w:val="0"/>
    <w:rPr>
      <w:color w:val="FF0000"/>
      <w:sz w:val="28"/>
      <w:szCs w:val="28"/>
      <w:lang w:val="zh-CN"/>
    </w:rPr>
  </w:style>
  <w:style w:type="character" w:customStyle="1" w:styleId="1527">
    <w:name w:val="文本条款 Char4"/>
    <w:qFormat/>
    <w:uiPriority w:val="0"/>
    <w:rPr>
      <w:rFonts w:ascii="Times New Roman" w:hAnsi="Times New Roman" w:eastAsia="宋体" w:cs="Times New Roman"/>
      <w:szCs w:val="20"/>
    </w:rPr>
  </w:style>
  <w:style w:type="character" w:customStyle="1" w:styleId="1528">
    <w:name w:val="Char Char21"/>
    <w:qFormat/>
    <w:uiPriority w:val="0"/>
    <w:rPr>
      <w:rFonts w:eastAsia="宋体"/>
      <w:sz w:val="18"/>
    </w:rPr>
  </w:style>
  <w:style w:type="character" w:customStyle="1" w:styleId="1529">
    <w:name w:val="Char Char20"/>
    <w:qFormat/>
    <w:uiPriority w:val="0"/>
    <w:rPr>
      <w:rFonts w:eastAsia="宋体"/>
      <w:sz w:val="18"/>
    </w:rPr>
  </w:style>
  <w:style w:type="character" w:customStyle="1" w:styleId="1530">
    <w:name w:val="普通文字 Char Char7"/>
    <w:qFormat/>
    <w:uiPriority w:val="0"/>
    <w:rPr>
      <w:rFonts w:ascii="宋体" w:hAnsi="Courier New" w:eastAsia="宋体"/>
      <w:kern w:val="28"/>
      <w:sz w:val="28"/>
    </w:rPr>
  </w:style>
  <w:style w:type="character" w:customStyle="1" w:styleId="1531">
    <w:name w:val="Char Char19"/>
    <w:qFormat/>
    <w:uiPriority w:val="0"/>
    <w:rPr>
      <w:rFonts w:ascii="Cambria" w:hAnsi="Cambria" w:eastAsia="宋体"/>
      <w:b/>
      <w:kern w:val="28"/>
      <w:sz w:val="32"/>
    </w:rPr>
  </w:style>
  <w:style w:type="character" w:customStyle="1" w:styleId="1532">
    <w:name w:val="Char Char18"/>
    <w:qFormat/>
    <w:uiPriority w:val="0"/>
    <w:rPr>
      <w:rFonts w:eastAsia="宋体"/>
    </w:rPr>
  </w:style>
  <w:style w:type="character" w:customStyle="1" w:styleId="1533">
    <w:name w:val="textcontents"/>
    <w:qFormat/>
    <w:uiPriority w:val="0"/>
  </w:style>
  <w:style w:type="paragraph" w:customStyle="1" w:styleId="1534">
    <w:name w:val="Char Char Char1 Char Char Char Char Char Char Char"/>
    <w:basedOn w:val="1"/>
    <w:qFormat/>
    <w:uiPriority w:val="0"/>
    <w:rPr>
      <w:rFonts w:eastAsia="仿宋_GB2312"/>
      <w:sz w:val="32"/>
    </w:rPr>
  </w:style>
  <w:style w:type="paragraph" w:customStyle="1" w:styleId="1535">
    <w:name w:val="样式15"/>
    <w:basedOn w:val="1"/>
    <w:link w:val="1536"/>
    <w:qFormat/>
    <w:uiPriority w:val="0"/>
    <w:pPr>
      <w:autoSpaceDE w:val="0"/>
      <w:autoSpaceDN w:val="0"/>
      <w:adjustRightInd w:val="0"/>
      <w:snapToGrid w:val="0"/>
      <w:spacing w:beforeLines="50" w:afterLines="50" w:line="360" w:lineRule="auto"/>
      <w:ind w:firstLine="1300" w:firstLineChars="500"/>
      <w:jc w:val="left"/>
    </w:pPr>
    <w:rPr>
      <w:kern w:val="0"/>
      <w:sz w:val="26"/>
      <w:szCs w:val="26"/>
    </w:rPr>
  </w:style>
  <w:style w:type="character" w:customStyle="1" w:styleId="1536">
    <w:name w:val="样式15 Char"/>
    <w:link w:val="1535"/>
    <w:qFormat/>
    <w:uiPriority w:val="0"/>
    <w:rPr>
      <w:sz w:val="26"/>
      <w:szCs w:val="26"/>
    </w:rPr>
  </w:style>
  <w:style w:type="character" w:customStyle="1" w:styleId="1537">
    <w:name w:val="样式17 Char"/>
    <w:qFormat/>
    <w:uiPriority w:val="0"/>
    <w:rPr>
      <w:rFonts w:ascii="Times New Roman" w:hAnsi="Times New Roman" w:eastAsia="宋体" w:cs="Times New Roman"/>
      <w:kern w:val="0"/>
      <w:sz w:val="26"/>
      <w:szCs w:val="26"/>
    </w:rPr>
  </w:style>
  <w:style w:type="paragraph" w:customStyle="1" w:styleId="1538">
    <w:name w:val="样式 标题 2标题 2 Char Char + 小三"/>
    <w:basedOn w:val="6"/>
    <w:link w:val="1539"/>
    <w:qFormat/>
    <w:uiPriority w:val="0"/>
    <w:pPr>
      <w:spacing w:beforeLines="10" w:afterLines="10"/>
      <w:ind w:firstLine="200" w:firstLineChars="200"/>
    </w:pPr>
    <w:rPr>
      <w:rFonts w:ascii="Cambria" w:hAnsi="Cambria" w:eastAsia="宋体"/>
    </w:rPr>
  </w:style>
  <w:style w:type="character" w:customStyle="1" w:styleId="1539">
    <w:name w:val="样式 标题 2标题 2 Char Char + 小三 Char"/>
    <w:link w:val="1538"/>
    <w:qFormat/>
    <w:uiPriority w:val="0"/>
    <w:rPr>
      <w:rFonts w:ascii="Cambria" w:hAnsi="Cambria"/>
      <w:b/>
      <w:bCs/>
      <w:kern w:val="2"/>
      <w:sz w:val="32"/>
      <w:szCs w:val="32"/>
    </w:rPr>
  </w:style>
  <w:style w:type="paragraph" w:customStyle="1" w:styleId="1540">
    <w:name w:val="默认段落字体 Para Char Char Char Char Char Char Char Char Char Char Char Char Char Char Char Char Char"/>
    <w:basedOn w:val="1"/>
    <w:qFormat/>
    <w:uiPriority w:val="0"/>
    <w:rPr>
      <w:rFonts w:ascii="Tahoma" w:hAnsi="Tahoma"/>
      <w:sz w:val="24"/>
      <w:szCs w:val="20"/>
    </w:rPr>
  </w:style>
  <w:style w:type="paragraph" w:customStyle="1" w:styleId="1541">
    <w:name w:val="Char Char Char Char Char Char Char Char Char Char Char Char Char Char Char Char Char Char Char Char Char Char Char Char Char Char Char Char Char Char Char Char Char"/>
    <w:basedOn w:val="1"/>
    <w:qFormat/>
    <w:uiPriority w:val="0"/>
    <w:pPr>
      <w:widowControl/>
      <w:spacing w:line="240" w:lineRule="exact"/>
      <w:jc w:val="left"/>
    </w:pPr>
    <w:rPr>
      <w:rFonts w:ascii="Verdana" w:hAnsi="Verdana" w:eastAsia="仿宋_GB2312" w:cs="Verdana"/>
      <w:color w:val="000000"/>
      <w:kern w:val="0"/>
      <w:sz w:val="24"/>
      <w:szCs w:val="21"/>
      <w:lang w:eastAsia="en-US"/>
    </w:rPr>
  </w:style>
  <w:style w:type="paragraph" w:customStyle="1" w:styleId="1542">
    <w:name w:val="报告书表头"/>
    <w:basedOn w:val="199"/>
    <w:link w:val="1543"/>
    <w:qFormat/>
    <w:uiPriority w:val="0"/>
    <w:pPr>
      <w:spacing w:line="240" w:lineRule="auto"/>
    </w:pPr>
    <w:rPr>
      <w:rFonts w:ascii="Arial" w:hAnsi="Arial" w:eastAsia="黑体" w:cs="Arial"/>
      <w:color w:val="000000"/>
      <w:spacing w:val="2"/>
      <w:kern w:val="28"/>
      <w:szCs w:val="24"/>
      <w:lang w:val="en-US"/>
    </w:rPr>
  </w:style>
  <w:style w:type="character" w:customStyle="1" w:styleId="1543">
    <w:name w:val="报告书表头 Char"/>
    <w:link w:val="1542"/>
    <w:qFormat/>
    <w:uiPriority w:val="0"/>
    <w:rPr>
      <w:rFonts w:ascii="Arial" w:hAnsi="Arial" w:eastAsia="黑体" w:cs="Arial"/>
      <w:b/>
      <w:color w:val="000000"/>
      <w:spacing w:val="2"/>
      <w:kern w:val="28"/>
      <w:sz w:val="24"/>
      <w:szCs w:val="24"/>
    </w:rPr>
  </w:style>
  <w:style w:type="character" w:customStyle="1" w:styleId="1544">
    <w:name w:val="报告书正文 Char"/>
    <w:qFormat/>
    <w:uiPriority w:val="0"/>
    <w:rPr>
      <w:rFonts w:ascii="Arial" w:hAnsi="Arial" w:eastAsia="宋体" w:cs="Arial"/>
      <w:snapToGrid w:val="0"/>
      <w:color w:val="000000"/>
      <w:kern w:val="0"/>
      <w:sz w:val="24"/>
      <w:szCs w:val="24"/>
    </w:rPr>
  </w:style>
  <w:style w:type="paragraph" w:customStyle="1" w:styleId="1545">
    <w:name w:val="报告表正文"/>
    <w:basedOn w:val="1"/>
    <w:link w:val="1546"/>
    <w:qFormat/>
    <w:uiPriority w:val="0"/>
    <w:pPr>
      <w:adjustRightInd w:val="0"/>
      <w:snapToGrid w:val="0"/>
      <w:jc w:val="center"/>
    </w:pPr>
    <w:rPr>
      <w:rFonts w:ascii="Arial" w:hAnsi="Arial" w:cs="Arial"/>
      <w:color w:val="000000"/>
      <w:kern w:val="0"/>
      <w:szCs w:val="21"/>
    </w:rPr>
  </w:style>
  <w:style w:type="character" w:customStyle="1" w:styleId="1546">
    <w:name w:val="报告表正文 Char"/>
    <w:link w:val="1545"/>
    <w:qFormat/>
    <w:uiPriority w:val="0"/>
    <w:rPr>
      <w:rFonts w:ascii="Arial" w:hAnsi="Arial" w:cs="Arial"/>
      <w:snapToGrid/>
      <w:color w:val="000000"/>
      <w:sz w:val="21"/>
      <w:szCs w:val="21"/>
    </w:rPr>
  </w:style>
  <w:style w:type="paragraph" w:customStyle="1" w:styleId="1547">
    <w:name w:val="标题001"/>
    <w:basedOn w:val="1"/>
    <w:link w:val="1548"/>
    <w:qFormat/>
    <w:uiPriority w:val="0"/>
    <w:pPr>
      <w:spacing w:line="480" w:lineRule="exact"/>
      <w:outlineLvl w:val="0"/>
    </w:pPr>
    <w:rPr>
      <w:b/>
      <w:sz w:val="32"/>
      <w:szCs w:val="20"/>
      <w:lang w:val="zh-CN"/>
    </w:rPr>
  </w:style>
  <w:style w:type="character" w:customStyle="1" w:styleId="1548">
    <w:name w:val="标题001 Char"/>
    <w:link w:val="1547"/>
    <w:qFormat/>
    <w:uiPriority w:val="0"/>
    <w:rPr>
      <w:b/>
      <w:kern w:val="2"/>
      <w:sz w:val="32"/>
      <w:lang w:val="zh-CN"/>
    </w:rPr>
  </w:style>
  <w:style w:type="paragraph" w:customStyle="1" w:styleId="1549">
    <w:name w:val="样式222"/>
    <w:basedOn w:val="372"/>
    <w:qFormat/>
    <w:uiPriority w:val="0"/>
    <w:pPr>
      <w:keepNext/>
      <w:keepLines/>
      <w:widowControl/>
      <w:snapToGrid/>
      <w:spacing w:before="340" w:after="330" w:line="360" w:lineRule="auto"/>
      <w:jc w:val="both"/>
      <w:outlineLvl w:val="1"/>
    </w:pPr>
    <w:rPr>
      <w:rFonts w:ascii="Times New Roman"/>
      <w:sz w:val="30"/>
      <w:szCs w:val="30"/>
    </w:rPr>
  </w:style>
  <w:style w:type="paragraph" w:customStyle="1" w:styleId="1550">
    <w:name w:val="标题02"/>
    <w:basedOn w:val="6"/>
    <w:next w:val="924"/>
    <w:link w:val="1551"/>
    <w:qFormat/>
    <w:uiPriority w:val="0"/>
    <w:pPr>
      <w:spacing w:beforeLines="10" w:afterLines="10"/>
      <w:ind w:firstLine="200" w:firstLineChars="200"/>
    </w:pPr>
    <w:rPr>
      <w:rFonts w:ascii="Cambria" w:hAnsi="Cambria" w:eastAsia="宋体"/>
    </w:rPr>
  </w:style>
  <w:style w:type="character" w:customStyle="1" w:styleId="1551">
    <w:name w:val="标题02 Char"/>
    <w:link w:val="1550"/>
    <w:qFormat/>
    <w:uiPriority w:val="0"/>
    <w:rPr>
      <w:rFonts w:ascii="Cambria" w:hAnsi="Cambria"/>
      <w:b/>
      <w:bCs/>
      <w:kern w:val="2"/>
      <w:sz w:val="32"/>
      <w:szCs w:val="32"/>
    </w:rPr>
  </w:style>
  <w:style w:type="paragraph" w:customStyle="1" w:styleId="1552">
    <w:name w:val="新正文"/>
    <w:basedOn w:val="1"/>
    <w:link w:val="1553"/>
    <w:qFormat/>
    <w:uiPriority w:val="0"/>
    <w:pPr>
      <w:spacing w:line="460" w:lineRule="exact"/>
      <w:ind w:firstLine="200" w:firstLineChars="200"/>
    </w:pPr>
    <w:rPr>
      <w:sz w:val="24"/>
      <w:szCs w:val="20"/>
    </w:rPr>
  </w:style>
  <w:style w:type="character" w:customStyle="1" w:styleId="1553">
    <w:name w:val="新正文 Char"/>
    <w:link w:val="1552"/>
    <w:qFormat/>
    <w:uiPriority w:val="0"/>
    <w:rPr>
      <w:kern w:val="2"/>
      <w:sz w:val="24"/>
    </w:rPr>
  </w:style>
  <w:style w:type="character" w:customStyle="1" w:styleId="1554">
    <w:name w:val="djen2"/>
    <w:qFormat/>
    <w:uiPriority w:val="0"/>
    <w:rPr>
      <w:color w:val="3476CD"/>
    </w:rPr>
  </w:style>
  <w:style w:type="paragraph" w:customStyle="1" w:styleId="1555">
    <w:name w:val="一一一"/>
    <w:basedOn w:val="981"/>
    <w:qFormat/>
    <w:uiPriority w:val="0"/>
    <w:pPr>
      <w:keepNext/>
      <w:widowControl w:val="0"/>
      <w:tabs>
        <w:tab w:val="clear" w:pos="425"/>
        <w:tab w:val="clear" w:pos="9720"/>
      </w:tabs>
      <w:ind w:left="0" w:firstLine="643"/>
      <w:jc w:val="both"/>
      <w:outlineLvl w:val="0"/>
    </w:pPr>
    <w:rPr>
      <w:rFonts w:ascii="宋体" w:hAnsi="宋体"/>
      <w:kern w:val="2"/>
      <w:sz w:val="32"/>
      <w:szCs w:val="24"/>
    </w:rPr>
  </w:style>
  <w:style w:type="paragraph" w:customStyle="1" w:styleId="1556">
    <w:name w:val="二二二"/>
    <w:basedOn w:val="982"/>
    <w:qFormat/>
    <w:uiPriority w:val="0"/>
    <w:pPr>
      <w:keepNext/>
      <w:keepLines/>
      <w:widowControl w:val="0"/>
      <w:autoSpaceDE w:val="0"/>
      <w:autoSpaceDN w:val="0"/>
      <w:adjustRightInd w:val="0"/>
      <w:spacing w:before="260" w:after="260" w:line="416" w:lineRule="auto"/>
      <w:jc w:val="both"/>
      <w:textAlignment w:val="baseline"/>
      <w:outlineLvl w:val="1"/>
    </w:pPr>
    <w:rPr>
      <w:rFonts w:ascii="Arial" w:hAnsi="Arial" w:eastAsia="黑体"/>
      <w:bCs/>
      <w:color w:val="000000"/>
      <w:kern w:val="2"/>
      <w:sz w:val="24"/>
      <w:szCs w:val="32"/>
    </w:rPr>
  </w:style>
  <w:style w:type="paragraph" w:customStyle="1" w:styleId="1557">
    <w:name w:val="2.1"/>
    <w:basedOn w:val="1556"/>
    <w:qFormat/>
    <w:uiPriority w:val="0"/>
    <w:pPr>
      <w:ind w:left="1320" w:hanging="420"/>
    </w:pPr>
  </w:style>
  <w:style w:type="paragraph" w:customStyle="1" w:styleId="1558">
    <w:name w:val="cucd-TB"/>
    <w:link w:val="1559"/>
    <w:qFormat/>
    <w:uiPriority w:val="0"/>
    <w:pPr>
      <w:spacing w:line="360" w:lineRule="auto"/>
      <w:jc w:val="center"/>
    </w:pPr>
    <w:rPr>
      <w:rFonts w:ascii="Calibri" w:hAnsi="Calibri" w:eastAsia="宋体" w:cs="Calibri"/>
      <w:kern w:val="2"/>
      <w:sz w:val="21"/>
      <w:szCs w:val="24"/>
      <w:lang w:val="en-US" w:eastAsia="zh-CN" w:bidi="ar-SA"/>
    </w:rPr>
  </w:style>
  <w:style w:type="character" w:customStyle="1" w:styleId="1559">
    <w:name w:val="cucd-TB Char"/>
    <w:link w:val="1558"/>
    <w:qFormat/>
    <w:uiPriority w:val="0"/>
    <w:rPr>
      <w:kern w:val="2"/>
      <w:sz w:val="21"/>
      <w:szCs w:val="24"/>
    </w:rPr>
  </w:style>
  <w:style w:type="paragraph" w:customStyle="1" w:styleId="1560">
    <w:name w:val="样式 表格文字 Char + 段前: 0.5 行"/>
    <w:basedOn w:val="1"/>
    <w:qFormat/>
    <w:uiPriority w:val="0"/>
    <w:pPr>
      <w:spacing w:beforeLines="50"/>
      <w:jc w:val="center"/>
    </w:pPr>
    <w:rPr>
      <w:sz w:val="24"/>
      <w:szCs w:val="20"/>
    </w:rPr>
  </w:style>
  <w:style w:type="paragraph" w:customStyle="1" w:styleId="1561">
    <w:name w:val="一级"/>
    <w:basedOn w:val="208"/>
    <w:link w:val="1562"/>
    <w:qFormat/>
    <w:uiPriority w:val="0"/>
    <w:pPr>
      <w:tabs>
        <w:tab w:val="left" w:pos="720"/>
      </w:tabs>
      <w:ind w:left="720" w:hanging="720" w:firstLineChars="0"/>
    </w:pPr>
    <w:rPr>
      <w:rFonts w:ascii="楷体_GB2312" w:hAnsi="宋体" w:eastAsia="楷体_GB2312"/>
      <w:b/>
      <w:color w:val="000000"/>
      <w:kern w:val="2"/>
      <w:sz w:val="28"/>
      <w:szCs w:val="28"/>
    </w:rPr>
  </w:style>
  <w:style w:type="character" w:customStyle="1" w:styleId="1562">
    <w:name w:val="一级 Char"/>
    <w:link w:val="1561"/>
    <w:qFormat/>
    <w:uiPriority w:val="0"/>
    <w:rPr>
      <w:rFonts w:ascii="楷体_GB2312" w:hAnsi="宋体" w:eastAsia="楷体_GB2312"/>
      <w:b/>
      <w:color w:val="000000"/>
      <w:kern w:val="2"/>
      <w:sz w:val="28"/>
      <w:szCs w:val="28"/>
    </w:rPr>
  </w:style>
  <w:style w:type="paragraph" w:customStyle="1" w:styleId="1563">
    <w:name w:val="正文+8"/>
    <w:basedOn w:val="1"/>
    <w:next w:val="1"/>
    <w:qFormat/>
    <w:uiPriority w:val="0"/>
    <w:pPr>
      <w:autoSpaceDE w:val="0"/>
      <w:autoSpaceDN w:val="0"/>
      <w:adjustRightInd w:val="0"/>
      <w:jc w:val="left"/>
    </w:pPr>
    <w:rPr>
      <w:rFonts w:ascii="宋体"/>
      <w:kern w:val="0"/>
      <w:sz w:val="24"/>
    </w:rPr>
  </w:style>
  <w:style w:type="paragraph" w:customStyle="1" w:styleId="1564">
    <w:name w:val="一级级"/>
    <w:basedOn w:val="1"/>
    <w:qFormat/>
    <w:uiPriority w:val="0"/>
    <w:pPr>
      <w:tabs>
        <w:tab w:val="left" w:pos="210"/>
      </w:tabs>
      <w:spacing w:line="480" w:lineRule="auto"/>
      <w:jc w:val="center"/>
    </w:pPr>
    <w:rPr>
      <w:rFonts w:ascii="楷体_GB2312" w:hAnsi="宋体" w:eastAsia="楷体_GB2312"/>
      <w:b/>
      <w:sz w:val="44"/>
      <w:szCs w:val="44"/>
    </w:rPr>
  </w:style>
  <w:style w:type="paragraph" w:customStyle="1" w:styleId="1565">
    <w:name w:val="二鸡鸡"/>
    <w:basedOn w:val="5"/>
    <w:qFormat/>
    <w:uiPriority w:val="0"/>
    <w:pPr>
      <w:keepLines/>
      <w:overflowPunct/>
      <w:snapToGrid/>
      <w:spacing w:before="0" w:beforeLines="10" w:after="0" w:afterLines="10" w:line="578" w:lineRule="auto"/>
      <w:ind w:left="0" w:firstLine="200" w:firstLineChars="200"/>
    </w:pPr>
    <w:rPr>
      <w:rFonts w:eastAsia="宋体"/>
      <w:color w:val="auto"/>
      <w:sz w:val="44"/>
      <w:szCs w:val="44"/>
    </w:rPr>
  </w:style>
  <w:style w:type="paragraph" w:customStyle="1" w:styleId="1566">
    <w:name w:val="三鸡鸡"/>
    <w:basedOn w:val="6"/>
    <w:qFormat/>
    <w:uiPriority w:val="0"/>
    <w:pPr>
      <w:spacing w:beforeLines="10" w:afterLines="10"/>
      <w:ind w:firstLine="200" w:firstLineChars="200"/>
    </w:pPr>
    <w:rPr>
      <w:rFonts w:ascii="Cambria" w:hAnsi="Cambria" w:eastAsia="宋体"/>
    </w:rPr>
  </w:style>
  <w:style w:type="paragraph" w:customStyle="1" w:styleId="1567">
    <w:name w:val="一二鸡鸡"/>
    <w:basedOn w:val="1557"/>
    <w:qFormat/>
    <w:uiPriority w:val="0"/>
  </w:style>
  <w:style w:type="paragraph" w:customStyle="1" w:styleId="1568">
    <w:name w:val="二二鸡鸡"/>
    <w:basedOn w:val="5"/>
    <w:qFormat/>
    <w:uiPriority w:val="0"/>
    <w:pPr>
      <w:keepLines/>
      <w:overflowPunct/>
      <w:snapToGrid/>
      <w:spacing w:before="0" w:beforeLines="10" w:after="0" w:afterLines="10" w:line="578" w:lineRule="auto"/>
      <w:ind w:left="0" w:firstLine="200" w:firstLineChars="200"/>
    </w:pPr>
    <w:rPr>
      <w:rFonts w:eastAsia="宋体"/>
      <w:color w:val="auto"/>
      <w:sz w:val="44"/>
      <w:szCs w:val="44"/>
    </w:rPr>
  </w:style>
  <w:style w:type="paragraph" w:customStyle="1" w:styleId="1569">
    <w:name w:val="二三鸡鸡"/>
    <w:basedOn w:val="982"/>
    <w:qFormat/>
    <w:uiPriority w:val="0"/>
    <w:pPr>
      <w:keepNext/>
      <w:keepLines/>
      <w:widowControl w:val="0"/>
      <w:autoSpaceDE w:val="0"/>
      <w:autoSpaceDN w:val="0"/>
      <w:adjustRightInd w:val="0"/>
      <w:spacing w:before="260" w:after="260" w:line="416" w:lineRule="auto"/>
      <w:jc w:val="both"/>
      <w:textAlignment w:val="baseline"/>
      <w:outlineLvl w:val="1"/>
    </w:pPr>
    <w:rPr>
      <w:rFonts w:ascii="楷体_GB2312" w:hAnsi="Arial" w:eastAsia="楷体_GB2312"/>
      <w:bCs/>
      <w:color w:val="000000"/>
      <w:kern w:val="2"/>
      <w:sz w:val="24"/>
      <w:szCs w:val="32"/>
    </w:rPr>
  </w:style>
  <w:style w:type="paragraph" w:customStyle="1" w:styleId="1570">
    <w:name w:val="二二二鸡鸡"/>
    <w:basedOn w:val="372"/>
    <w:qFormat/>
    <w:uiPriority w:val="0"/>
    <w:pPr>
      <w:keepNext/>
      <w:keepLines/>
      <w:tabs>
        <w:tab w:val="left" w:pos="425"/>
      </w:tabs>
      <w:autoSpaceDE w:val="0"/>
      <w:autoSpaceDN w:val="0"/>
      <w:adjustRightInd w:val="0"/>
      <w:snapToGrid/>
      <w:spacing w:before="260" w:after="260" w:line="415" w:lineRule="auto"/>
      <w:ind w:left="425" w:hanging="425"/>
      <w:jc w:val="both"/>
      <w:outlineLvl w:val="1"/>
    </w:pPr>
    <w:rPr>
      <w:rFonts w:ascii="Arial" w:hAnsi="Arial" w:eastAsia="黑体"/>
      <w:b/>
      <w:bCs/>
      <w:color w:val="000000"/>
      <w:sz w:val="24"/>
      <w:szCs w:val="32"/>
    </w:rPr>
  </w:style>
  <w:style w:type="paragraph" w:customStyle="1" w:styleId="1571">
    <w:name w:val="tgt2"/>
    <w:basedOn w:val="1"/>
    <w:qFormat/>
    <w:uiPriority w:val="0"/>
    <w:pPr>
      <w:widowControl/>
      <w:spacing w:line="360" w:lineRule="auto"/>
      <w:jc w:val="left"/>
    </w:pPr>
    <w:rPr>
      <w:rFonts w:ascii="宋体" w:hAnsi="宋体" w:cs="宋体"/>
      <w:b/>
      <w:bCs/>
      <w:kern w:val="0"/>
      <w:sz w:val="36"/>
      <w:szCs w:val="36"/>
    </w:rPr>
  </w:style>
  <w:style w:type="paragraph" w:customStyle="1" w:styleId="1572">
    <w:name w:val="Char Char Char Char Char Char Char Char Char1 Char Char Char Char Char Char Char"/>
    <w:basedOn w:val="26"/>
    <w:qFormat/>
    <w:uiPriority w:val="0"/>
    <w:pPr>
      <w:shd w:val="clear" w:color="auto" w:fill="000080"/>
    </w:pPr>
    <w:rPr>
      <w:rFonts w:hAnsi="Times New Roman"/>
      <w:kern w:val="0"/>
      <w:sz w:val="21"/>
      <w:szCs w:val="20"/>
    </w:rPr>
  </w:style>
  <w:style w:type="paragraph" w:customStyle="1" w:styleId="1573">
    <w:name w:val="Char Char1 Char Char"/>
    <w:basedOn w:val="1"/>
    <w:qFormat/>
    <w:uiPriority w:val="0"/>
  </w:style>
  <w:style w:type="paragraph" w:customStyle="1" w:styleId="1574">
    <w:name w:val="第二节"/>
    <w:basedOn w:val="1"/>
    <w:qFormat/>
    <w:uiPriority w:val="0"/>
    <w:pPr>
      <w:numPr>
        <w:ilvl w:val="0"/>
        <w:numId w:val="7"/>
      </w:numPr>
      <w:autoSpaceDE w:val="0"/>
      <w:autoSpaceDN w:val="0"/>
      <w:adjustRightInd w:val="0"/>
      <w:spacing w:line="360" w:lineRule="auto"/>
      <w:ind w:left="840" w:firstLine="0"/>
      <w:jc w:val="left"/>
      <w:textAlignment w:val="baseline"/>
    </w:pPr>
    <w:rPr>
      <w:rFonts w:ascii="宋体" w:hAnsi="宋体"/>
      <w:color w:val="FF0000"/>
      <w:kern w:val="0"/>
      <w:sz w:val="28"/>
      <w:szCs w:val="28"/>
    </w:rPr>
  </w:style>
  <w:style w:type="character" w:customStyle="1" w:styleId="1575">
    <w:name w:val="t_tag"/>
    <w:qFormat/>
    <w:uiPriority w:val="0"/>
  </w:style>
  <w:style w:type="character" w:customStyle="1" w:styleId="1576">
    <w:name w:val="st1"/>
    <w:qFormat/>
    <w:uiPriority w:val="0"/>
  </w:style>
  <w:style w:type="paragraph" w:customStyle="1" w:styleId="1577">
    <w:name w:val="三级D六"/>
    <w:basedOn w:val="1569"/>
    <w:qFormat/>
    <w:uiPriority w:val="0"/>
    <w:pPr>
      <w:autoSpaceDE/>
      <w:autoSpaceDN/>
      <w:adjustRightInd/>
      <w:spacing w:beforeLines="10" w:afterLines="10" w:line="578" w:lineRule="auto"/>
      <w:ind w:firstLine="200" w:firstLineChars="200"/>
      <w:textAlignment w:val="auto"/>
      <w:outlineLvl w:val="0"/>
    </w:pPr>
    <w:rPr>
      <w:rFonts w:ascii="Times New Roman" w:hAnsi="Times New Roman" w:eastAsia="宋体"/>
      <w:color w:val="auto"/>
      <w:kern w:val="44"/>
      <w:sz w:val="44"/>
      <w:szCs w:val="44"/>
    </w:rPr>
  </w:style>
  <w:style w:type="paragraph" w:customStyle="1" w:styleId="1578">
    <w:name w:val="三级D七"/>
    <w:basedOn w:val="1569"/>
    <w:qFormat/>
    <w:uiPriority w:val="0"/>
    <w:pPr>
      <w:autoSpaceDE/>
      <w:autoSpaceDN/>
      <w:adjustRightInd/>
      <w:spacing w:beforeLines="10" w:afterLines="10" w:line="578" w:lineRule="auto"/>
      <w:ind w:firstLine="200" w:firstLineChars="200"/>
      <w:textAlignment w:val="auto"/>
      <w:outlineLvl w:val="0"/>
    </w:pPr>
    <w:rPr>
      <w:rFonts w:ascii="Times New Roman" w:hAnsi="Times New Roman" w:eastAsia="宋体"/>
      <w:color w:val="auto"/>
      <w:kern w:val="44"/>
      <w:sz w:val="44"/>
      <w:szCs w:val="44"/>
    </w:rPr>
  </w:style>
  <w:style w:type="character" w:customStyle="1" w:styleId="1579">
    <w:name w:val="fontstyle01"/>
    <w:qFormat/>
    <w:uiPriority w:val="0"/>
    <w:rPr>
      <w:rFonts w:hint="eastAsia" w:ascii="宋体" w:hAnsi="宋体" w:eastAsia="宋体"/>
      <w:color w:val="000000"/>
      <w:sz w:val="24"/>
      <w:szCs w:val="24"/>
    </w:rPr>
  </w:style>
  <w:style w:type="paragraph" w:customStyle="1" w:styleId="1580">
    <w:name w:val="样式23"/>
    <w:basedOn w:val="1"/>
    <w:link w:val="1581"/>
    <w:qFormat/>
    <w:uiPriority w:val="0"/>
    <w:pPr>
      <w:spacing w:line="360" w:lineRule="auto"/>
      <w:ind w:firstLine="480" w:firstLineChars="200"/>
      <w:jc w:val="left"/>
    </w:pPr>
    <w:rPr>
      <w:rFonts w:ascii="宋体" w:hAnsi="宋体"/>
      <w:color w:val="000000"/>
      <w:sz w:val="24"/>
      <w:lang w:val="zh-CN"/>
    </w:rPr>
  </w:style>
  <w:style w:type="character" w:customStyle="1" w:styleId="1581">
    <w:name w:val="样式23 Char"/>
    <w:link w:val="1580"/>
    <w:qFormat/>
    <w:uiPriority w:val="0"/>
    <w:rPr>
      <w:rFonts w:ascii="宋体" w:hAnsi="宋体"/>
      <w:color w:val="000000"/>
      <w:kern w:val="2"/>
      <w:sz w:val="24"/>
      <w:szCs w:val="24"/>
      <w:lang w:val="zh-CN"/>
    </w:rPr>
  </w:style>
  <w:style w:type="paragraph" w:customStyle="1" w:styleId="1582">
    <w:name w:val="小四表文居中"/>
    <w:qFormat/>
    <w:uiPriority w:val="0"/>
    <w:pPr>
      <w:widowControl w:val="0"/>
      <w:jc w:val="center"/>
    </w:pPr>
    <w:rPr>
      <w:rFonts w:ascii="仿宋_GB2312" w:hAnsi="Calibri" w:eastAsia="仿宋_GB2312" w:cs="Calibri"/>
      <w:kern w:val="2"/>
      <w:sz w:val="24"/>
      <w:szCs w:val="24"/>
      <w:lang w:val="en-US" w:eastAsia="zh-CN" w:bidi="ar-SA"/>
    </w:rPr>
  </w:style>
  <w:style w:type="paragraph" w:customStyle="1" w:styleId="1583">
    <w:name w:val="标题002"/>
    <w:basedOn w:val="1"/>
    <w:qFormat/>
    <w:uiPriority w:val="0"/>
    <w:pPr>
      <w:spacing w:line="480" w:lineRule="exact"/>
      <w:outlineLvl w:val="1"/>
    </w:pPr>
    <w:rPr>
      <w:b/>
      <w:sz w:val="28"/>
      <w:szCs w:val="20"/>
    </w:rPr>
  </w:style>
  <w:style w:type="paragraph" w:customStyle="1" w:styleId="1584">
    <w:name w:val="样式111"/>
    <w:basedOn w:val="1547"/>
    <w:qFormat/>
    <w:uiPriority w:val="0"/>
    <w:pPr>
      <w:spacing w:beforeLines="100" w:afterLines="100" w:line="360" w:lineRule="auto"/>
      <w:jc w:val="center"/>
    </w:pPr>
    <w:rPr>
      <w:sz w:val="44"/>
      <w:szCs w:val="44"/>
    </w:rPr>
  </w:style>
  <w:style w:type="paragraph" w:customStyle="1" w:styleId="1585">
    <w:name w:val="11"/>
    <w:qFormat/>
    <w:uiPriority w:val="0"/>
    <w:rPr>
      <w:rFonts w:ascii="Calibri" w:hAnsi="Calibri" w:eastAsia="宋体" w:cs="Calibri"/>
      <w:kern w:val="2"/>
      <w:sz w:val="21"/>
      <w:szCs w:val="22"/>
      <w:lang w:val="en-US" w:eastAsia="zh-CN" w:bidi="ar-SA"/>
    </w:rPr>
  </w:style>
  <w:style w:type="paragraph" w:customStyle="1" w:styleId="1586">
    <w:name w:val="zhang正文"/>
    <w:basedOn w:val="35"/>
    <w:qFormat/>
    <w:uiPriority w:val="0"/>
    <w:pPr>
      <w:autoSpaceDE w:val="0"/>
      <w:autoSpaceDN w:val="0"/>
      <w:adjustRightInd w:val="0"/>
      <w:snapToGrid w:val="0"/>
      <w:spacing w:line="500" w:lineRule="exact"/>
      <w:ind w:left="0" w:leftChars="0" w:firstLine="539"/>
      <w:textAlignment w:val="baseline"/>
    </w:pPr>
    <w:rPr>
      <w:rFonts w:eastAsia="楷体_GB2312"/>
      <w:sz w:val="28"/>
    </w:rPr>
  </w:style>
  <w:style w:type="paragraph" w:customStyle="1" w:styleId="1587">
    <w:name w:val="标1"/>
    <w:basedOn w:val="1"/>
    <w:link w:val="1588"/>
    <w:qFormat/>
    <w:uiPriority w:val="0"/>
    <w:pPr>
      <w:spacing w:line="460" w:lineRule="exact"/>
      <w:outlineLvl w:val="0"/>
    </w:pPr>
    <w:rPr>
      <w:b/>
      <w:sz w:val="32"/>
      <w:szCs w:val="20"/>
    </w:rPr>
  </w:style>
  <w:style w:type="character" w:customStyle="1" w:styleId="1588">
    <w:name w:val="标1 Char"/>
    <w:link w:val="1587"/>
    <w:qFormat/>
    <w:uiPriority w:val="0"/>
    <w:rPr>
      <w:b/>
      <w:kern w:val="2"/>
      <w:sz w:val="32"/>
    </w:rPr>
  </w:style>
  <w:style w:type="paragraph" w:customStyle="1" w:styleId="1589">
    <w:name w:val="表内5"/>
    <w:basedOn w:val="1"/>
    <w:qFormat/>
    <w:uiPriority w:val="0"/>
    <w:pPr>
      <w:tabs>
        <w:tab w:val="left" w:pos="4680"/>
      </w:tabs>
      <w:adjustRightInd w:val="0"/>
      <w:snapToGrid w:val="0"/>
      <w:spacing w:line="400" w:lineRule="exact"/>
      <w:jc w:val="center"/>
    </w:pPr>
    <w:rPr>
      <w:color w:val="FF0000"/>
      <w:szCs w:val="21"/>
    </w:rPr>
  </w:style>
  <w:style w:type="paragraph" w:customStyle="1" w:styleId="1590">
    <w:name w:val="样式 (符号) 宋体 小四 首行缩进:  0.85 厘米 行距: 1.5 倍行距"/>
    <w:basedOn w:val="1"/>
    <w:qFormat/>
    <w:uiPriority w:val="0"/>
    <w:pPr>
      <w:spacing w:line="360" w:lineRule="auto"/>
      <w:ind w:firstLine="480"/>
    </w:pPr>
    <w:rPr>
      <w:rFonts w:cs="宋体"/>
      <w:kern w:val="0"/>
      <w:sz w:val="24"/>
      <w:szCs w:val="20"/>
    </w:rPr>
  </w:style>
  <w:style w:type="paragraph" w:customStyle="1" w:styleId="1591">
    <w:name w:val="样式 首行缩进:  0.77 厘米 段前: 7.8 磅 段后: 0.5 行"/>
    <w:basedOn w:val="1"/>
    <w:qFormat/>
    <w:uiPriority w:val="0"/>
    <w:pPr>
      <w:snapToGrid w:val="0"/>
      <w:spacing w:line="480" w:lineRule="exact"/>
      <w:ind w:firstLine="437"/>
    </w:pPr>
    <w:rPr>
      <w:rFonts w:eastAsia="仿宋_GB2312"/>
      <w:sz w:val="28"/>
      <w:szCs w:val="20"/>
    </w:rPr>
  </w:style>
  <w:style w:type="paragraph" w:customStyle="1" w:styleId="1592">
    <w:name w:val="标题04"/>
    <w:basedOn w:val="8"/>
    <w:next w:val="1"/>
    <w:qFormat/>
    <w:uiPriority w:val="0"/>
    <w:pPr>
      <w:numPr>
        <w:ilvl w:val="0"/>
        <w:numId w:val="0"/>
      </w:numPr>
      <w:spacing w:beforeLines="10" w:afterLines="10"/>
      <w:ind w:left="864" w:hanging="144" w:firstLineChars="200"/>
    </w:pPr>
    <w:rPr>
      <w:rFonts w:ascii="Cambria" w:hAnsi="Cambria" w:eastAsia="宋体"/>
    </w:rPr>
  </w:style>
  <w:style w:type="paragraph" w:customStyle="1" w:styleId="1593">
    <w:name w:val="标准-条文1.1.1.1"/>
    <w:basedOn w:val="1594"/>
    <w:qFormat/>
    <w:uiPriority w:val="0"/>
    <w:pPr>
      <w:tabs>
        <w:tab w:val="left" w:pos="4581"/>
      </w:tabs>
      <w:ind w:left="0"/>
      <w:jc w:val="both"/>
      <w:outlineLvl w:val="4"/>
    </w:pPr>
    <w:rPr>
      <w:kern w:val="2"/>
    </w:rPr>
  </w:style>
  <w:style w:type="paragraph" w:customStyle="1" w:styleId="1594">
    <w:name w:val="标准-条文1.1.1"/>
    <w:basedOn w:val="1595"/>
    <w:qFormat/>
    <w:uiPriority w:val="0"/>
    <w:pPr>
      <w:ind w:left="360"/>
      <w:outlineLvl w:val="3"/>
    </w:pPr>
  </w:style>
  <w:style w:type="paragraph" w:customStyle="1" w:styleId="1595">
    <w:name w:val="标准-条文1.1"/>
    <w:next w:val="1"/>
    <w:qFormat/>
    <w:uiPriority w:val="0"/>
    <w:pPr>
      <w:widowControl w:val="0"/>
      <w:adjustRightInd w:val="0"/>
      <w:snapToGrid w:val="0"/>
      <w:spacing w:line="360" w:lineRule="auto"/>
      <w:outlineLvl w:val="2"/>
    </w:pPr>
    <w:rPr>
      <w:rFonts w:ascii="宋体" w:hAnsi="Calibri" w:eastAsia="宋体" w:cs="Calibri"/>
      <w:sz w:val="24"/>
      <w:lang w:val="en-US" w:eastAsia="zh-CN" w:bidi="ar-SA"/>
    </w:rPr>
  </w:style>
  <w:style w:type="paragraph" w:customStyle="1" w:styleId="1596">
    <w:name w:val="标准-章"/>
    <w:next w:val="1595"/>
    <w:qFormat/>
    <w:uiPriority w:val="0"/>
    <w:pPr>
      <w:keepNext/>
      <w:adjustRightInd w:val="0"/>
      <w:snapToGrid w:val="0"/>
      <w:spacing w:beforeLines="50" w:afterLines="50"/>
      <w:outlineLvl w:val="1"/>
    </w:pPr>
    <w:rPr>
      <w:rFonts w:ascii="宋体" w:hAnsi="Calibri" w:eastAsia="宋体" w:cs="Calibri"/>
      <w:b/>
      <w:sz w:val="28"/>
      <w:lang w:val="en-US" w:eastAsia="zh-CN" w:bidi="ar-SA"/>
    </w:rPr>
  </w:style>
  <w:style w:type="paragraph" w:customStyle="1" w:styleId="1597">
    <w:name w:val="Body Text 22"/>
    <w:basedOn w:val="1"/>
    <w:qFormat/>
    <w:uiPriority w:val="0"/>
    <w:pPr>
      <w:adjustRightInd w:val="0"/>
      <w:spacing w:line="440" w:lineRule="atLeast"/>
      <w:ind w:firstLine="480"/>
      <w:textAlignment w:val="baseline"/>
    </w:pPr>
    <w:rPr>
      <w:sz w:val="24"/>
      <w:szCs w:val="20"/>
    </w:rPr>
  </w:style>
  <w:style w:type="paragraph" w:customStyle="1" w:styleId="1598">
    <w:name w:val="样式 报告 + 首行缩进:  2 字符 段前: 0.3 行 段后: 0.3 行"/>
    <w:basedOn w:val="1"/>
    <w:qFormat/>
    <w:uiPriority w:val="0"/>
    <w:pPr>
      <w:spacing w:line="400" w:lineRule="atLeast"/>
      <w:ind w:firstLine="480" w:firstLineChars="200"/>
    </w:pPr>
    <w:rPr>
      <w:sz w:val="24"/>
      <w:szCs w:val="20"/>
    </w:rPr>
  </w:style>
  <w:style w:type="paragraph" w:customStyle="1" w:styleId="1599">
    <w:name w:val="验收报告-条"/>
    <w:qFormat/>
    <w:uiPriority w:val="0"/>
    <w:pPr>
      <w:widowControl w:val="0"/>
      <w:adjustRightInd w:val="0"/>
      <w:snapToGrid w:val="0"/>
      <w:spacing w:line="360" w:lineRule="auto"/>
      <w:ind w:firstLine="227"/>
      <w:outlineLvl w:val="2"/>
    </w:pPr>
    <w:rPr>
      <w:rFonts w:ascii="宋体" w:hAnsi="宋体" w:eastAsia="宋体" w:cs="Calibri"/>
      <w:bCs/>
      <w:sz w:val="28"/>
      <w:szCs w:val="32"/>
      <w:lang w:val="en-US" w:eastAsia="zh-CN" w:bidi="ar-SA"/>
    </w:rPr>
  </w:style>
  <w:style w:type="paragraph" w:customStyle="1" w:styleId="1600">
    <w:name w:val="样式 1"/>
    <w:basedOn w:val="1"/>
    <w:link w:val="1601"/>
    <w:qFormat/>
    <w:uiPriority w:val="0"/>
    <w:pPr>
      <w:spacing w:line="360" w:lineRule="auto"/>
      <w:ind w:firstLine="480" w:firstLineChars="200"/>
    </w:pPr>
    <w:rPr>
      <w:sz w:val="24"/>
      <w:szCs w:val="20"/>
    </w:rPr>
  </w:style>
  <w:style w:type="character" w:customStyle="1" w:styleId="1601">
    <w:name w:val="样式 1 Char"/>
    <w:link w:val="1600"/>
    <w:qFormat/>
    <w:uiPriority w:val="0"/>
    <w:rPr>
      <w:kern w:val="2"/>
      <w:sz w:val="24"/>
    </w:rPr>
  </w:style>
  <w:style w:type="paragraph" w:customStyle="1" w:styleId="1602">
    <w:name w:val="保留正文"/>
    <w:basedOn w:val="1"/>
    <w:qFormat/>
    <w:uiPriority w:val="0"/>
    <w:pPr>
      <w:keepNext/>
      <w:adjustRightInd w:val="0"/>
      <w:spacing w:line="480" w:lineRule="auto"/>
      <w:textAlignment w:val="baseline"/>
    </w:pPr>
    <w:rPr>
      <w:rFonts w:ascii="宋体"/>
      <w:kern w:val="0"/>
      <w:sz w:val="24"/>
    </w:rPr>
  </w:style>
  <w:style w:type="paragraph" w:customStyle="1" w:styleId="1603">
    <w:name w:val="论文正文"/>
    <w:basedOn w:val="21"/>
    <w:qFormat/>
    <w:uiPriority w:val="0"/>
    <w:pPr>
      <w:keepNext w:val="0"/>
      <w:spacing w:line="240" w:lineRule="auto"/>
      <w:ind w:firstLine="480" w:firstLineChars="200"/>
      <w:jc w:val="both"/>
    </w:pPr>
    <w:rPr>
      <w:bCs w:val="0"/>
      <w:sz w:val="28"/>
    </w:rPr>
  </w:style>
  <w:style w:type="paragraph" w:customStyle="1" w:styleId="1604">
    <w:name w:val="(a空格行"/>
    <w:basedOn w:val="45"/>
    <w:qFormat/>
    <w:uiPriority w:val="0"/>
    <w:pPr>
      <w:suppressAutoHyphens w:val="0"/>
      <w:autoSpaceDN/>
      <w:ind w:firstLine="480" w:firstLineChars="200"/>
      <w:textAlignment w:val="auto"/>
    </w:pPr>
    <w:rPr>
      <w:rFonts w:ascii="Times New Roman" w:hAnsi="Times New Roman"/>
      <w:kern w:val="2"/>
      <w:sz w:val="10"/>
      <w:szCs w:val="24"/>
    </w:rPr>
  </w:style>
  <w:style w:type="paragraph" w:customStyle="1" w:styleId="1605">
    <w:name w:val="reader-word-layer reader-word-s2-4"/>
    <w:basedOn w:val="1"/>
    <w:qFormat/>
    <w:uiPriority w:val="0"/>
    <w:pPr>
      <w:widowControl/>
      <w:spacing w:beforeAutospacing="1" w:afterAutospacing="1"/>
      <w:jc w:val="left"/>
    </w:pPr>
    <w:rPr>
      <w:rFonts w:ascii="宋体" w:hAnsi="宋体" w:cs="宋体"/>
      <w:kern w:val="0"/>
      <w:sz w:val="24"/>
    </w:rPr>
  </w:style>
  <w:style w:type="paragraph" w:customStyle="1" w:styleId="1606">
    <w:name w:val="验收报告-款"/>
    <w:qFormat/>
    <w:uiPriority w:val="0"/>
    <w:pPr>
      <w:widowControl w:val="0"/>
      <w:tabs>
        <w:tab w:val="left" w:pos="360"/>
      </w:tabs>
      <w:adjustRightInd w:val="0"/>
      <w:snapToGrid w:val="0"/>
      <w:spacing w:line="360" w:lineRule="auto"/>
      <w:ind w:firstLine="100" w:firstLineChars="100"/>
      <w:outlineLvl w:val="3"/>
    </w:pPr>
    <w:rPr>
      <w:rFonts w:ascii="宋体" w:hAnsi="宋体" w:eastAsia="宋体" w:cs="Calibri"/>
      <w:sz w:val="28"/>
      <w:lang w:val="en-US" w:eastAsia="zh-CN" w:bidi="ar-SA"/>
    </w:rPr>
  </w:style>
  <w:style w:type="paragraph" w:customStyle="1" w:styleId="1607">
    <w:name w:val="验收报告-章"/>
    <w:next w:val="1"/>
    <w:qFormat/>
    <w:uiPriority w:val="0"/>
    <w:pPr>
      <w:keepNext/>
      <w:widowControl w:val="0"/>
      <w:adjustRightInd w:val="0"/>
      <w:snapToGrid w:val="0"/>
      <w:spacing w:beforeLines="150" w:afterLines="200"/>
      <w:jc w:val="both"/>
      <w:outlineLvl w:val="0"/>
    </w:pPr>
    <w:rPr>
      <w:rFonts w:ascii="宋体" w:hAnsi="宋体" w:eastAsia="宋体" w:cs="Calibri"/>
      <w:b/>
      <w:sz w:val="32"/>
      <w:lang w:val="en-US" w:eastAsia="zh-CN" w:bidi="ar-SA"/>
    </w:rPr>
  </w:style>
  <w:style w:type="paragraph" w:customStyle="1" w:styleId="1608">
    <w:name w:val="Plain Text1"/>
    <w:basedOn w:val="1"/>
    <w:qFormat/>
    <w:uiPriority w:val="0"/>
    <w:pPr>
      <w:autoSpaceDE w:val="0"/>
      <w:autoSpaceDN w:val="0"/>
      <w:adjustRightInd w:val="0"/>
      <w:textAlignment w:val="baseline"/>
    </w:pPr>
    <w:rPr>
      <w:rFonts w:ascii="宋体" w:hAnsi="Tms Rmn"/>
      <w:kern w:val="0"/>
      <w:szCs w:val="20"/>
    </w:rPr>
  </w:style>
  <w:style w:type="paragraph" w:customStyle="1" w:styleId="1609">
    <w:name w:val="验收报告-项"/>
    <w:next w:val="1"/>
    <w:qFormat/>
    <w:uiPriority w:val="0"/>
    <w:pPr>
      <w:keepNext/>
      <w:widowControl w:val="0"/>
      <w:tabs>
        <w:tab w:val="left" w:pos="720"/>
      </w:tabs>
      <w:adjustRightInd w:val="0"/>
      <w:snapToGrid w:val="0"/>
      <w:spacing w:beforeLines="200" w:afterLines="100"/>
      <w:outlineLvl w:val="1"/>
    </w:pPr>
    <w:rPr>
      <w:rFonts w:ascii="宋体" w:hAnsi="宋体" w:eastAsia="宋体" w:cs="Calibri"/>
      <w:b/>
      <w:sz w:val="28"/>
      <w:lang w:val="en-US" w:eastAsia="zh-CN" w:bidi="ar-SA"/>
    </w:rPr>
  </w:style>
  <w:style w:type="paragraph" w:customStyle="1" w:styleId="1610">
    <w:name w:val="1文章"/>
    <w:basedOn w:val="1"/>
    <w:qFormat/>
    <w:uiPriority w:val="0"/>
    <w:pPr>
      <w:snapToGrid w:val="0"/>
      <w:jc w:val="center"/>
    </w:pPr>
    <w:rPr>
      <w:color w:val="000000"/>
      <w:szCs w:val="20"/>
    </w:rPr>
  </w:style>
  <w:style w:type="paragraph" w:customStyle="1" w:styleId="1611">
    <w:name w:val="样式 样式1 + 宋体 小四1"/>
    <w:basedOn w:val="372"/>
    <w:qFormat/>
    <w:uiPriority w:val="0"/>
    <w:pPr>
      <w:keepNext/>
      <w:keepLines/>
      <w:widowControl/>
      <w:snapToGrid/>
      <w:spacing w:before="340" w:after="330" w:line="360" w:lineRule="auto"/>
      <w:ind w:firstLine="200" w:firstLineChars="200"/>
      <w:jc w:val="left"/>
      <w:outlineLvl w:val="0"/>
    </w:pPr>
    <w:rPr>
      <w:rFonts w:ascii="Times New Roman"/>
      <w:sz w:val="24"/>
      <w:szCs w:val="30"/>
    </w:rPr>
  </w:style>
  <w:style w:type="paragraph" w:customStyle="1" w:styleId="1612">
    <w:name w:val="正文02"/>
    <w:basedOn w:val="21"/>
    <w:qFormat/>
    <w:uiPriority w:val="0"/>
    <w:pPr>
      <w:keepNext w:val="0"/>
      <w:spacing w:line="460" w:lineRule="exact"/>
      <w:ind w:firstLine="200" w:firstLineChars="200"/>
      <w:jc w:val="both"/>
    </w:pPr>
    <w:rPr>
      <w:rFonts w:ascii="Times New Roman" w:hAnsi="Times New Roman"/>
      <w:bCs w:val="0"/>
    </w:rPr>
  </w:style>
  <w:style w:type="paragraph" w:customStyle="1" w:styleId="1613">
    <w:name w:val="unnamed2 style13"/>
    <w:basedOn w:val="1"/>
    <w:qFormat/>
    <w:uiPriority w:val="0"/>
    <w:pPr>
      <w:widowControl/>
      <w:spacing w:beforeAutospacing="1" w:afterAutospacing="1"/>
      <w:jc w:val="left"/>
    </w:pPr>
    <w:rPr>
      <w:rFonts w:ascii="宋体" w:hAnsi="宋体" w:cs="宋体"/>
      <w:kern w:val="0"/>
      <w:sz w:val="24"/>
    </w:rPr>
  </w:style>
  <w:style w:type="paragraph" w:customStyle="1" w:styleId="1614">
    <w:name w:val="正文首行缩进 2 + Times New Roman"/>
    <w:basedOn w:val="1"/>
    <w:link w:val="1615"/>
    <w:qFormat/>
    <w:uiPriority w:val="0"/>
    <w:pPr>
      <w:tabs>
        <w:tab w:val="left" w:pos="0"/>
        <w:tab w:val="left" w:pos="870"/>
        <w:tab w:val="left" w:pos="3150"/>
      </w:tabs>
      <w:autoSpaceDE w:val="0"/>
      <w:autoSpaceDN w:val="0"/>
      <w:spacing w:line="360" w:lineRule="auto"/>
      <w:ind w:firstLine="480" w:firstLineChars="200"/>
      <w:jc w:val="left"/>
    </w:pPr>
    <w:rPr>
      <w:kern w:val="0"/>
      <w:sz w:val="24"/>
    </w:rPr>
  </w:style>
  <w:style w:type="character" w:customStyle="1" w:styleId="1615">
    <w:name w:val="正文首行缩进 2 + Times New Roman Char1"/>
    <w:link w:val="1614"/>
    <w:qFormat/>
    <w:uiPriority w:val="0"/>
    <w:rPr>
      <w:sz w:val="24"/>
      <w:szCs w:val="24"/>
    </w:rPr>
  </w:style>
  <w:style w:type="paragraph" w:customStyle="1" w:styleId="1616">
    <w:name w:val="样式9"/>
    <w:basedOn w:val="947"/>
    <w:link w:val="1617"/>
    <w:qFormat/>
    <w:uiPriority w:val="0"/>
    <w:pPr>
      <w:numPr>
        <w:ilvl w:val="0"/>
        <w:numId w:val="8"/>
      </w:numPr>
      <w:pBdr>
        <w:top w:val="single" w:color="auto" w:sz="6" w:space="1"/>
      </w:pBdr>
      <w:adjustRightInd/>
      <w:spacing w:beforeLines="0" w:afterLines="0" w:line="240" w:lineRule="auto"/>
      <w:ind w:right="360" w:firstLine="0" w:firstLineChars="0"/>
    </w:pPr>
    <w:rPr>
      <w:rFonts w:ascii="宋体" w:hAnsi="宋体" w:cs="Times New Roman"/>
      <w:sz w:val="18"/>
      <w:szCs w:val="18"/>
    </w:rPr>
  </w:style>
  <w:style w:type="character" w:customStyle="1" w:styleId="1617">
    <w:name w:val="样式9 Char"/>
    <w:link w:val="1616"/>
    <w:qFormat/>
    <w:uiPriority w:val="0"/>
    <w:rPr>
      <w:rFonts w:ascii="宋体" w:hAnsi="宋体"/>
      <w:kern w:val="2"/>
      <w:sz w:val="18"/>
      <w:szCs w:val="18"/>
    </w:rPr>
  </w:style>
  <w:style w:type="paragraph" w:customStyle="1" w:styleId="1618">
    <w:name w:val="表格001"/>
    <w:basedOn w:val="1"/>
    <w:link w:val="1619"/>
    <w:qFormat/>
    <w:uiPriority w:val="0"/>
    <w:pPr>
      <w:jc w:val="center"/>
    </w:pPr>
    <w:rPr>
      <w:szCs w:val="20"/>
    </w:rPr>
  </w:style>
  <w:style w:type="character" w:customStyle="1" w:styleId="1619">
    <w:name w:val="表格001 Char"/>
    <w:link w:val="1618"/>
    <w:qFormat/>
    <w:uiPriority w:val="0"/>
    <w:rPr>
      <w:kern w:val="2"/>
      <w:sz w:val="21"/>
    </w:rPr>
  </w:style>
  <w:style w:type="paragraph" w:customStyle="1" w:styleId="1620">
    <w:name w:val="样式 样式 正文首行缩进 + 首行缩进:  2 字符 + 首行缩进:  2 字符"/>
    <w:basedOn w:val="1"/>
    <w:qFormat/>
    <w:uiPriority w:val="0"/>
    <w:pPr>
      <w:topLinePunct/>
      <w:adjustRightInd w:val="0"/>
      <w:snapToGrid w:val="0"/>
      <w:spacing w:line="360" w:lineRule="auto"/>
      <w:ind w:firstLine="480"/>
      <w:textAlignment w:val="baseline"/>
    </w:pPr>
    <w:rPr>
      <w:rFonts w:hAnsi="宋体" w:eastAsia="Times New Roman"/>
      <w:kern w:val="0"/>
      <w:sz w:val="24"/>
      <w:szCs w:val="20"/>
    </w:rPr>
  </w:style>
  <w:style w:type="paragraph" w:customStyle="1" w:styleId="1621">
    <w:name w:val="td"/>
    <w:basedOn w:val="1"/>
    <w:qFormat/>
    <w:uiPriority w:val="0"/>
    <w:pPr>
      <w:widowControl/>
      <w:spacing w:beforeAutospacing="1" w:afterAutospacing="1"/>
      <w:jc w:val="left"/>
    </w:pPr>
    <w:rPr>
      <w:rFonts w:ascii="Arial Unicode MS" w:hAnsi="Arial Unicode MS" w:eastAsia="Arial Unicode MS" w:cs="Arial Unicode MS"/>
      <w:kern w:val="0"/>
      <w:sz w:val="24"/>
    </w:rPr>
  </w:style>
  <w:style w:type="paragraph" w:customStyle="1" w:styleId="1622">
    <w:name w:val="样式 (符号) 宋体 小四 加粗 居中 行距: 1.5 倍行距"/>
    <w:basedOn w:val="1"/>
    <w:qFormat/>
    <w:uiPriority w:val="0"/>
    <w:pPr>
      <w:spacing w:line="360" w:lineRule="auto"/>
      <w:ind w:firstLine="482" w:firstLineChars="200"/>
      <w:jc w:val="center"/>
    </w:pPr>
    <w:rPr>
      <w:rFonts w:cs="宋体"/>
      <w:bCs/>
      <w:szCs w:val="21"/>
    </w:rPr>
  </w:style>
  <w:style w:type="paragraph" w:customStyle="1" w:styleId="1623">
    <w:name w:val="style6 style23"/>
    <w:basedOn w:val="1"/>
    <w:qFormat/>
    <w:uiPriority w:val="0"/>
    <w:pPr>
      <w:widowControl/>
      <w:spacing w:beforeAutospacing="1" w:afterAutospacing="1"/>
      <w:jc w:val="left"/>
    </w:pPr>
    <w:rPr>
      <w:rFonts w:ascii="宋体" w:hAnsi="宋体" w:cs="宋体"/>
      <w:kern w:val="0"/>
      <w:sz w:val="24"/>
    </w:rPr>
  </w:style>
  <w:style w:type="paragraph" w:customStyle="1" w:styleId="1624">
    <w:name w:val="unnamed2"/>
    <w:basedOn w:val="1"/>
    <w:qFormat/>
    <w:uiPriority w:val="0"/>
    <w:pPr>
      <w:widowControl/>
      <w:spacing w:beforeAutospacing="1" w:afterAutospacing="1" w:line="300" w:lineRule="atLeast"/>
      <w:jc w:val="left"/>
    </w:pPr>
    <w:rPr>
      <w:rFonts w:ascii="宋体" w:hAnsi="宋体" w:cs="宋体"/>
      <w:color w:val="666666"/>
      <w:kern w:val="0"/>
      <w:sz w:val="18"/>
      <w:szCs w:val="18"/>
    </w:rPr>
  </w:style>
  <w:style w:type="paragraph" w:customStyle="1" w:styleId="1625">
    <w:name w:val="1表格"/>
    <w:basedOn w:val="1"/>
    <w:qFormat/>
    <w:uiPriority w:val="0"/>
    <w:pPr>
      <w:snapToGrid w:val="0"/>
      <w:jc w:val="center"/>
      <w:outlineLvl w:val="4"/>
    </w:pPr>
    <w:rPr>
      <w:spacing w:val="4"/>
    </w:rPr>
  </w:style>
  <w:style w:type="paragraph" w:customStyle="1" w:styleId="1626">
    <w:name w:val="列表1"/>
    <w:basedOn w:val="1"/>
    <w:next w:val="64"/>
    <w:qFormat/>
    <w:uiPriority w:val="0"/>
    <w:pPr>
      <w:spacing w:line="240" w:lineRule="exact"/>
      <w:jc w:val="center"/>
    </w:pPr>
    <w:rPr>
      <w:rFonts w:ascii="宋体" w:hAnsi="宋体"/>
      <w:sz w:val="24"/>
      <w:szCs w:val="20"/>
    </w:rPr>
  </w:style>
  <w:style w:type="paragraph" w:customStyle="1" w:styleId="1627">
    <w:name w:val="5文章(治)"/>
    <w:basedOn w:val="1"/>
    <w:qFormat/>
    <w:uiPriority w:val="0"/>
    <w:pPr>
      <w:spacing w:line="360" w:lineRule="auto"/>
      <w:ind w:firstLine="480" w:firstLineChars="200"/>
    </w:pPr>
    <w:rPr>
      <w:sz w:val="24"/>
    </w:rPr>
  </w:style>
  <w:style w:type="paragraph" w:customStyle="1" w:styleId="1628">
    <w:name w:val="Char Char1 Char Char Char Char Char Char Char Char 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1629">
    <w:name w:val="样式 样式 样式 样式1 + 宋体 小四 + 首行缩进:  2 字符 + 宋体"/>
    <w:basedOn w:val="1630"/>
    <w:qFormat/>
    <w:uiPriority w:val="0"/>
  </w:style>
  <w:style w:type="paragraph" w:customStyle="1" w:styleId="1630">
    <w:name w:val="样式 样式 样式1 + 宋体 小四 + 首行缩进:  2 字符"/>
    <w:basedOn w:val="1631"/>
    <w:qFormat/>
    <w:uiPriority w:val="0"/>
    <w:pPr>
      <w:ind w:firstLine="480"/>
    </w:pPr>
    <w:rPr>
      <w:rFonts w:ascii="Times New Roman" w:hAnsi="Times New Roman" w:cs="宋体"/>
      <w:szCs w:val="24"/>
    </w:rPr>
  </w:style>
  <w:style w:type="paragraph" w:customStyle="1" w:styleId="1631">
    <w:name w:val="样式 样式1 + 宋体 小四"/>
    <w:basedOn w:val="372"/>
    <w:qFormat/>
    <w:uiPriority w:val="0"/>
    <w:pPr>
      <w:keepNext/>
      <w:keepLines/>
      <w:widowControl/>
      <w:snapToGrid/>
      <w:spacing w:before="340" w:after="330" w:line="360" w:lineRule="auto"/>
      <w:ind w:firstLine="200" w:firstLineChars="200"/>
      <w:jc w:val="left"/>
      <w:outlineLvl w:val="0"/>
    </w:pPr>
    <w:rPr>
      <w:rFonts w:hAnsi="宋体"/>
      <w:sz w:val="24"/>
      <w:szCs w:val="30"/>
    </w:rPr>
  </w:style>
  <w:style w:type="paragraph" w:customStyle="1" w:styleId="1632">
    <w:name w:val="BG5"/>
    <w:basedOn w:val="1"/>
    <w:qFormat/>
    <w:uiPriority w:val="0"/>
    <w:pPr>
      <w:autoSpaceDE w:val="0"/>
      <w:autoSpaceDN w:val="0"/>
      <w:adjustRightInd w:val="0"/>
      <w:spacing w:line="200" w:lineRule="exact"/>
      <w:jc w:val="center"/>
      <w:textAlignment w:val="baseline"/>
    </w:pPr>
    <w:rPr>
      <w:rFonts w:ascii="@宋体"/>
      <w:kern w:val="0"/>
      <w:szCs w:val="20"/>
    </w:rPr>
  </w:style>
  <w:style w:type="paragraph" w:customStyle="1" w:styleId="1633">
    <w:name w:val="样式 样式1 + 宋体 小四2"/>
    <w:basedOn w:val="372"/>
    <w:link w:val="1634"/>
    <w:qFormat/>
    <w:uiPriority w:val="0"/>
    <w:pPr>
      <w:keepNext/>
      <w:keepLines/>
      <w:widowControl/>
      <w:snapToGrid/>
      <w:spacing w:before="340" w:after="330" w:line="360" w:lineRule="auto"/>
      <w:ind w:firstLine="200" w:firstLineChars="200"/>
      <w:jc w:val="left"/>
      <w:outlineLvl w:val="0"/>
    </w:pPr>
    <w:rPr>
      <w:rFonts w:ascii="Times New Roman"/>
      <w:spacing w:val="-2"/>
      <w:sz w:val="24"/>
      <w:szCs w:val="30"/>
    </w:rPr>
  </w:style>
  <w:style w:type="character" w:customStyle="1" w:styleId="1634">
    <w:name w:val="样式 样式1 + 宋体 小四2 Char"/>
    <w:link w:val="1633"/>
    <w:qFormat/>
    <w:uiPriority w:val="0"/>
    <w:rPr>
      <w:spacing w:val="-2"/>
      <w:sz w:val="24"/>
      <w:szCs w:val="30"/>
    </w:rPr>
  </w:style>
  <w:style w:type="paragraph" w:customStyle="1" w:styleId="1635">
    <w:name w:val="bg"/>
    <w:basedOn w:val="1"/>
    <w:qFormat/>
    <w:uiPriority w:val="0"/>
    <w:pPr>
      <w:widowControl/>
    </w:pPr>
    <w:rPr>
      <w:kern w:val="0"/>
      <w:sz w:val="24"/>
      <w:szCs w:val="20"/>
    </w:rPr>
  </w:style>
  <w:style w:type="paragraph" w:customStyle="1" w:styleId="1636">
    <w:name w:val="a2"/>
    <w:basedOn w:val="1"/>
    <w:qFormat/>
    <w:uiPriority w:val="0"/>
    <w:pPr>
      <w:spacing w:beforeLines="50"/>
      <w:jc w:val="left"/>
      <w:outlineLvl w:val="1"/>
    </w:pPr>
    <w:rPr>
      <w:rFonts w:eastAsia="楷体_GB2312"/>
      <w:b/>
      <w:sz w:val="28"/>
      <w:szCs w:val="28"/>
    </w:rPr>
  </w:style>
  <w:style w:type="paragraph" w:customStyle="1" w:styleId="1637">
    <w:name w:val="样式 样式1 + (西文) Times New Roman (中文) 宋体 小四 非加粗"/>
    <w:basedOn w:val="372"/>
    <w:next w:val="372"/>
    <w:link w:val="1638"/>
    <w:qFormat/>
    <w:uiPriority w:val="0"/>
    <w:pPr>
      <w:keepNext/>
      <w:keepLines/>
      <w:widowControl/>
      <w:snapToGrid/>
      <w:spacing w:before="340" w:after="330" w:line="360" w:lineRule="auto"/>
      <w:ind w:firstLine="200" w:firstLineChars="200"/>
      <w:jc w:val="left"/>
      <w:outlineLvl w:val="0"/>
    </w:pPr>
    <w:rPr>
      <w:rFonts w:ascii="Times New Roman"/>
      <w:b/>
      <w:sz w:val="24"/>
      <w:szCs w:val="24"/>
    </w:rPr>
  </w:style>
  <w:style w:type="character" w:customStyle="1" w:styleId="1638">
    <w:name w:val="样式 样式1 + (西文) Times New Roman (中文) 宋体 小四 非加粗 Char"/>
    <w:link w:val="1637"/>
    <w:qFormat/>
    <w:uiPriority w:val="0"/>
    <w:rPr>
      <w:b/>
      <w:sz w:val="24"/>
      <w:szCs w:val="24"/>
    </w:rPr>
  </w:style>
  <w:style w:type="paragraph" w:customStyle="1" w:styleId="1639">
    <w:name w:val="1级标题"/>
    <w:basedOn w:val="1"/>
    <w:qFormat/>
    <w:uiPriority w:val="0"/>
    <w:pPr>
      <w:spacing w:line="460" w:lineRule="exact"/>
      <w:outlineLvl w:val="0"/>
    </w:pPr>
    <w:rPr>
      <w:rFonts w:ascii="Arial" w:hAnsi="Arial"/>
      <w:b/>
      <w:color w:val="000000"/>
      <w:sz w:val="36"/>
    </w:rPr>
  </w:style>
  <w:style w:type="paragraph" w:customStyle="1" w:styleId="1640">
    <w:name w:val="正文0001"/>
    <w:basedOn w:val="41"/>
    <w:qFormat/>
    <w:uiPriority w:val="0"/>
    <w:pPr>
      <w:spacing w:line="360" w:lineRule="auto"/>
    </w:pPr>
    <w:rPr>
      <w:sz w:val="24"/>
    </w:rPr>
  </w:style>
  <w:style w:type="paragraph" w:customStyle="1" w:styleId="1641">
    <w:name w:val="xz3"/>
    <w:basedOn w:val="1"/>
    <w:qFormat/>
    <w:uiPriority w:val="0"/>
    <w:pPr>
      <w:spacing w:beforeLines="50"/>
      <w:jc w:val="left"/>
      <w:outlineLvl w:val="2"/>
    </w:pPr>
    <w:rPr>
      <w:rFonts w:ascii="楷体_GB2312" w:eastAsia="楷体_GB2312"/>
      <w:b/>
      <w:sz w:val="30"/>
      <w:szCs w:val="32"/>
    </w:rPr>
  </w:style>
  <w:style w:type="paragraph" w:customStyle="1" w:styleId="1642">
    <w:name w:val="无缩进正文"/>
    <w:basedOn w:val="1"/>
    <w:qFormat/>
    <w:uiPriority w:val="0"/>
    <w:pPr>
      <w:adjustRightInd w:val="0"/>
      <w:snapToGrid w:val="0"/>
      <w:spacing w:line="288" w:lineRule="auto"/>
      <w:jc w:val="center"/>
    </w:pPr>
    <w:rPr>
      <w:kern w:val="0"/>
    </w:rPr>
  </w:style>
  <w:style w:type="paragraph" w:customStyle="1" w:styleId="1643">
    <w:name w:val="样式 小四 加粗 居中 行距: 1.5 倍行距"/>
    <w:basedOn w:val="1"/>
    <w:qFormat/>
    <w:uiPriority w:val="0"/>
    <w:pPr>
      <w:spacing w:line="360" w:lineRule="auto"/>
      <w:jc w:val="center"/>
    </w:pPr>
    <w:rPr>
      <w:rFonts w:cs="宋体"/>
      <w:bCs/>
      <w:szCs w:val="21"/>
    </w:rPr>
  </w:style>
  <w:style w:type="paragraph" w:customStyle="1" w:styleId="1644">
    <w:name w:val="a表格"/>
    <w:basedOn w:val="1"/>
    <w:qFormat/>
    <w:uiPriority w:val="0"/>
    <w:pPr>
      <w:snapToGrid w:val="0"/>
      <w:jc w:val="center"/>
      <w:outlineLvl w:val="2"/>
    </w:pPr>
    <w:rPr>
      <w:szCs w:val="30"/>
    </w:rPr>
  </w:style>
  <w:style w:type="paragraph" w:customStyle="1" w:styleId="1645">
    <w:name w:val="Char Char Char Char Char Char1 Char Char Char Char"/>
    <w:basedOn w:val="1"/>
    <w:qFormat/>
    <w:uiPriority w:val="0"/>
    <w:rPr>
      <w:sz w:val="24"/>
    </w:rPr>
  </w:style>
  <w:style w:type="paragraph" w:customStyle="1" w:styleId="1646">
    <w:name w:val="表内"/>
    <w:basedOn w:val="1"/>
    <w:link w:val="1647"/>
    <w:qFormat/>
    <w:uiPriority w:val="0"/>
    <w:pPr>
      <w:jc w:val="center"/>
    </w:pPr>
  </w:style>
  <w:style w:type="character" w:customStyle="1" w:styleId="1647">
    <w:name w:val="表内 Char"/>
    <w:link w:val="1646"/>
    <w:qFormat/>
    <w:uiPriority w:val="0"/>
    <w:rPr>
      <w:kern w:val="2"/>
      <w:sz w:val="21"/>
      <w:szCs w:val="24"/>
    </w:rPr>
  </w:style>
  <w:style w:type="paragraph" w:customStyle="1" w:styleId="1648">
    <w:name w:val="黄小林图题"/>
    <w:basedOn w:val="1"/>
    <w:qFormat/>
    <w:uiPriority w:val="0"/>
    <w:pPr>
      <w:jc w:val="center"/>
      <w:outlineLvl w:val="0"/>
    </w:pPr>
    <w:rPr>
      <w:sz w:val="28"/>
      <w:szCs w:val="20"/>
    </w:rPr>
  </w:style>
  <w:style w:type="paragraph" w:customStyle="1" w:styleId="1649">
    <w:name w:val="编号1"/>
    <w:basedOn w:val="1"/>
    <w:qFormat/>
    <w:uiPriority w:val="0"/>
    <w:pPr>
      <w:tabs>
        <w:tab w:val="left" w:pos="1230"/>
      </w:tabs>
      <w:ind w:left="1230" w:hanging="600"/>
    </w:pPr>
    <w:rPr>
      <w:szCs w:val="20"/>
    </w:rPr>
  </w:style>
  <w:style w:type="paragraph" w:customStyle="1" w:styleId="1650">
    <w:name w:val="样式22"/>
    <w:basedOn w:val="1"/>
    <w:qFormat/>
    <w:uiPriority w:val="0"/>
    <w:pPr>
      <w:pBdr>
        <w:bottom w:val="thinThickSmallGap" w:color="auto" w:sz="18" w:space="1"/>
      </w:pBdr>
      <w:jc w:val="center"/>
    </w:pPr>
    <w:rPr>
      <w:sz w:val="18"/>
      <w:szCs w:val="18"/>
    </w:rPr>
  </w:style>
  <w:style w:type="paragraph" w:customStyle="1" w:styleId="1651">
    <w:name w:val="样式 (中文) 仿宋_GB2312 小四 行距: 1.5 倍行距1"/>
    <w:basedOn w:val="1"/>
    <w:qFormat/>
    <w:uiPriority w:val="0"/>
    <w:pPr>
      <w:spacing w:line="360" w:lineRule="auto"/>
      <w:ind w:firstLine="480" w:firstLineChars="200"/>
    </w:pPr>
    <w:rPr>
      <w:rFonts w:cs="宋体"/>
      <w:sz w:val="24"/>
      <w:szCs w:val="20"/>
    </w:rPr>
  </w:style>
  <w:style w:type="paragraph" w:customStyle="1" w:styleId="1652">
    <w:name w:val="样式 (中文) 仿宋_GB2312 小四 加粗 行距: 1.5 倍行距"/>
    <w:basedOn w:val="1"/>
    <w:qFormat/>
    <w:uiPriority w:val="0"/>
    <w:pPr>
      <w:spacing w:line="360" w:lineRule="auto"/>
      <w:ind w:firstLine="482" w:firstLineChars="200"/>
    </w:pPr>
    <w:rPr>
      <w:rFonts w:cs="宋体"/>
      <w:b/>
      <w:bCs/>
      <w:sz w:val="24"/>
      <w:szCs w:val="20"/>
    </w:rPr>
  </w:style>
  <w:style w:type="paragraph" w:customStyle="1" w:styleId="1653">
    <w:name w:val="样式 正文001 + 首行缩进:  2 字符1"/>
    <w:basedOn w:val="1"/>
    <w:qFormat/>
    <w:uiPriority w:val="0"/>
    <w:pPr>
      <w:spacing w:line="460" w:lineRule="exact"/>
      <w:ind w:firstLine="480" w:firstLineChars="200"/>
    </w:pPr>
    <w:rPr>
      <w:sz w:val="24"/>
      <w:szCs w:val="20"/>
    </w:rPr>
  </w:style>
  <w:style w:type="paragraph" w:customStyle="1" w:styleId="1654">
    <w:name w:val="样式20"/>
    <w:basedOn w:val="750"/>
    <w:link w:val="1655"/>
    <w:qFormat/>
    <w:uiPriority w:val="0"/>
    <w:pPr>
      <w:tabs>
        <w:tab w:val="clear" w:pos="540"/>
      </w:tabs>
      <w:spacing w:line="240" w:lineRule="auto"/>
      <w:ind w:left="0" w:firstLine="0"/>
      <w:jc w:val="center"/>
    </w:pPr>
    <w:rPr>
      <w:rFonts w:eastAsia="仿宋_GB2312"/>
      <w:spacing w:val="0"/>
      <w:kern w:val="0"/>
      <w:sz w:val="21"/>
    </w:rPr>
  </w:style>
  <w:style w:type="character" w:customStyle="1" w:styleId="1655">
    <w:name w:val="样式20 Char Char"/>
    <w:link w:val="1654"/>
    <w:qFormat/>
    <w:uiPriority w:val="0"/>
    <w:rPr>
      <w:rFonts w:eastAsia="仿宋_GB2312"/>
      <w:sz w:val="21"/>
      <w:szCs w:val="24"/>
    </w:rPr>
  </w:style>
  <w:style w:type="paragraph" w:customStyle="1" w:styleId="1656">
    <w:name w:val="(a表格标题"/>
    <w:basedOn w:val="1"/>
    <w:qFormat/>
    <w:uiPriority w:val="0"/>
    <w:pPr>
      <w:jc w:val="center"/>
    </w:pPr>
    <w:rPr>
      <w:rFonts w:eastAsia="黑体"/>
      <w:b/>
      <w:color w:val="000000"/>
      <w:szCs w:val="21"/>
    </w:rPr>
  </w:style>
  <w:style w:type="paragraph" w:customStyle="1" w:styleId="1657">
    <w:name w:val="reader-word-layer reader-word-s2-5"/>
    <w:basedOn w:val="1"/>
    <w:qFormat/>
    <w:uiPriority w:val="0"/>
    <w:pPr>
      <w:widowControl/>
      <w:spacing w:beforeAutospacing="1" w:afterAutospacing="1"/>
      <w:jc w:val="left"/>
    </w:pPr>
    <w:rPr>
      <w:rFonts w:ascii="宋体" w:hAnsi="宋体" w:cs="宋体"/>
      <w:kern w:val="0"/>
      <w:sz w:val="24"/>
    </w:rPr>
  </w:style>
  <w:style w:type="paragraph" w:customStyle="1" w:styleId="1658">
    <w:name w:val="注解"/>
    <w:basedOn w:val="21"/>
    <w:qFormat/>
    <w:uiPriority w:val="0"/>
    <w:pPr>
      <w:keepNext w:val="0"/>
      <w:spacing w:line="360" w:lineRule="exact"/>
      <w:ind w:firstLine="200" w:firstLineChars="200"/>
      <w:jc w:val="both"/>
    </w:pPr>
    <w:rPr>
      <w:rFonts w:ascii="Times New Roman" w:hAnsi="Times New Roman"/>
      <w:bCs w:val="0"/>
      <w:sz w:val="21"/>
    </w:rPr>
  </w:style>
  <w:style w:type="paragraph" w:customStyle="1" w:styleId="1659">
    <w:name w:val="内容小标题"/>
    <w:basedOn w:val="1"/>
    <w:link w:val="1660"/>
    <w:qFormat/>
    <w:uiPriority w:val="0"/>
    <w:pPr>
      <w:spacing w:line="360" w:lineRule="auto"/>
      <w:jc w:val="left"/>
    </w:pPr>
    <w:rPr>
      <w:b/>
      <w:sz w:val="24"/>
    </w:rPr>
  </w:style>
  <w:style w:type="character" w:customStyle="1" w:styleId="1660">
    <w:name w:val="内容小标题 Char"/>
    <w:link w:val="1659"/>
    <w:qFormat/>
    <w:uiPriority w:val="0"/>
    <w:rPr>
      <w:b/>
      <w:kern w:val="2"/>
      <w:sz w:val="24"/>
      <w:szCs w:val="24"/>
    </w:rPr>
  </w:style>
  <w:style w:type="paragraph" w:customStyle="1" w:styleId="1661">
    <w:name w:val="Char Char Char2 Char"/>
    <w:basedOn w:val="1"/>
    <w:qFormat/>
    <w:uiPriority w:val="0"/>
    <w:pPr>
      <w:tabs>
        <w:tab w:val="left" w:pos="1230"/>
      </w:tabs>
      <w:ind w:left="1230" w:hanging="600"/>
    </w:pPr>
  </w:style>
  <w:style w:type="paragraph" w:customStyle="1" w:styleId="1662">
    <w:name w:val="2级标题"/>
    <w:basedOn w:val="1"/>
    <w:link w:val="1663"/>
    <w:qFormat/>
    <w:uiPriority w:val="0"/>
    <w:pPr>
      <w:spacing w:line="360" w:lineRule="auto"/>
      <w:outlineLvl w:val="1"/>
    </w:pPr>
    <w:rPr>
      <w:rFonts w:ascii="Arial" w:hAnsi="Arial"/>
      <w:b/>
      <w:color w:val="000000"/>
      <w:sz w:val="30"/>
    </w:rPr>
  </w:style>
  <w:style w:type="character" w:customStyle="1" w:styleId="1663">
    <w:name w:val="2级标题 Char Char"/>
    <w:link w:val="1662"/>
    <w:qFormat/>
    <w:uiPriority w:val="0"/>
    <w:rPr>
      <w:rFonts w:ascii="Arial" w:hAnsi="Arial"/>
      <w:b/>
      <w:color w:val="000000"/>
      <w:kern w:val="2"/>
      <w:sz w:val="30"/>
      <w:szCs w:val="24"/>
    </w:rPr>
  </w:style>
  <w:style w:type="paragraph" w:customStyle="1" w:styleId="1664">
    <w:name w:val="reader-word-layer reader-word-s1-13"/>
    <w:basedOn w:val="1"/>
    <w:qFormat/>
    <w:uiPriority w:val="0"/>
    <w:pPr>
      <w:widowControl/>
      <w:spacing w:beforeAutospacing="1" w:afterAutospacing="1"/>
      <w:jc w:val="left"/>
    </w:pPr>
    <w:rPr>
      <w:rFonts w:ascii="宋体" w:hAnsi="宋体" w:cs="宋体"/>
      <w:kern w:val="0"/>
      <w:sz w:val="24"/>
    </w:rPr>
  </w:style>
  <w:style w:type="paragraph" w:customStyle="1" w:styleId="1665">
    <w:name w:val="zzzzzzz"/>
    <w:basedOn w:val="1"/>
    <w:next w:val="1"/>
    <w:link w:val="1666"/>
    <w:qFormat/>
    <w:uiPriority w:val="0"/>
    <w:pPr>
      <w:spacing w:after="120" w:line="360" w:lineRule="auto"/>
      <w:ind w:firstLine="200" w:firstLineChars="200"/>
    </w:pPr>
    <w:rPr>
      <w:sz w:val="24"/>
      <w:szCs w:val="20"/>
    </w:rPr>
  </w:style>
  <w:style w:type="character" w:customStyle="1" w:styleId="1666">
    <w:name w:val="zzzzzzz Char"/>
    <w:link w:val="1665"/>
    <w:qFormat/>
    <w:uiPriority w:val="0"/>
    <w:rPr>
      <w:kern w:val="2"/>
      <w:sz w:val="24"/>
    </w:rPr>
  </w:style>
  <w:style w:type="paragraph" w:customStyle="1" w:styleId="1667">
    <w:name w:val="样式 正文缩进 + 仿宋_GB2312 首行缩进:  0.99 厘米 行距: 固定值 25 磅"/>
    <w:basedOn w:val="21"/>
    <w:qFormat/>
    <w:uiPriority w:val="0"/>
    <w:pPr>
      <w:keepNext w:val="0"/>
      <w:spacing w:line="240" w:lineRule="auto"/>
      <w:ind w:firstLine="200" w:firstLineChars="200"/>
      <w:jc w:val="both"/>
    </w:pPr>
    <w:rPr>
      <w:rFonts w:ascii="仿宋_GB2312" w:hAnsi="Times New Roman" w:eastAsia="仿宋_GB2312"/>
      <w:bCs w:val="0"/>
      <w:sz w:val="28"/>
      <w:szCs w:val="20"/>
    </w:rPr>
  </w:style>
  <w:style w:type="paragraph" w:customStyle="1" w:styleId="1668">
    <w:name w:val="样式 标题 1 + Times New Roman"/>
    <w:basedOn w:val="5"/>
    <w:qFormat/>
    <w:uiPriority w:val="0"/>
    <w:pPr>
      <w:keepLines/>
      <w:overflowPunct/>
      <w:snapToGrid/>
      <w:spacing w:before="0" w:beforeLines="10" w:after="0" w:afterLines="10" w:line="578" w:lineRule="auto"/>
      <w:ind w:left="0" w:firstLine="200" w:firstLineChars="200"/>
    </w:pPr>
    <w:rPr>
      <w:rFonts w:eastAsia="宋体"/>
      <w:color w:val="auto"/>
      <w:sz w:val="44"/>
      <w:szCs w:val="44"/>
    </w:rPr>
  </w:style>
  <w:style w:type="paragraph" w:customStyle="1" w:styleId="1669">
    <w:name w:val="金光华文本正文"/>
    <w:basedOn w:val="1"/>
    <w:qFormat/>
    <w:uiPriority w:val="0"/>
    <w:pPr>
      <w:widowControl/>
      <w:tabs>
        <w:tab w:val="left" w:pos="6840"/>
      </w:tabs>
      <w:spacing w:line="360" w:lineRule="auto"/>
      <w:ind w:firstLine="510"/>
      <w:jc w:val="left"/>
    </w:pPr>
    <w:rPr>
      <w:rFonts w:ascii="宋体" w:hAnsi="宋体"/>
      <w:sz w:val="24"/>
    </w:rPr>
  </w:style>
  <w:style w:type="paragraph" w:customStyle="1" w:styleId="1670">
    <w:name w:val="标准-(1)"/>
    <w:basedOn w:val="1"/>
    <w:qFormat/>
    <w:uiPriority w:val="0"/>
    <w:pPr>
      <w:widowControl/>
      <w:tabs>
        <w:tab w:val="left" w:pos="5325"/>
      </w:tabs>
      <w:adjustRightInd w:val="0"/>
      <w:snapToGrid w:val="0"/>
      <w:spacing w:line="360" w:lineRule="auto"/>
      <w:ind w:firstLine="397"/>
      <w:jc w:val="left"/>
      <w:outlineLvl w:val="5"/>
    </w:pPr>
    <w:rPr>
      <w:rFonts w:ascii="宋体" w:hAnsi="宋体"/>
      <w:kern w:val="0"/>
      <w:sz w:val="24"/>
      <w:szCs w:val="20"/>
    </w:rPr>
  </w:style>
  <w:style w:type="paragraph" w:customStyle="1" w:styleId="1671">
    <w:name w:val="小四宋居中1.0"/>
    <w:basedOn w:val="1"/>
    <w:next w:val="1"/>
    <w:qFormat/>
    <w:uiPriority w:val="0"/>
    <w:pPr>
      <w:spacing w:line="400" w:lineRule="exact"/>
      <w:jc w:val="center"/>
    </w:pPr>
    <w:rPr>
      <w:rFonts w:ascii="楷体_GB2312" w:eastAsia="楷体_GB2312"/>
      <w:sz w:val="24"/>
    </w:rPr>
  </w:style>
  <w:style w:type="paragraph" w:customStyle="1" w:styleId="1672">
    <w:name w:val="表格下方正文"/>
    <w:basedOn w:val="21"/>
    <w:qFormat/>
    <w:uiPriority w:val="0"/>
    <w:pPr>
      <w:keepNext w:val="0"/>
      <w:spacing w:line="460" w:lineRule="exact"/>
      <w:ind w:firstLine="200" w:firstLineChars="200"/>
      <w:jc w:val="both"/>
    </w:pPr>
    <w:rPr>
      <w:rFonts w:ascii="Times New Roman" w:hAnsi="Times New Roman"/>
      <w:bCs w:val="0"/>
    </w:rPr>
  </w:style>
  <w:style w:type="paragraph" w:customStyle="1" w:styleId="1673">
    <w:name w:val="默认段落字体 Para Char Char Char Char Char Char Char"/>
    <w:basedOn w:val="1"/>
    <w:qFormat/>
    <w:uiPriority w:val="0"/>
    <w:pPr>
      <w:adjustRightInd w:val="0"/>
      <w:spacing w:line="360" w:lineRule="auto"/>
      <w:ind w:left="200" w:hanging="200" w:hangingChars="200"/>
      <w:textAlignment w:val="baseline"/>
    </w:pPr>
    <w:rPr>
      <w:kern w:val="0"/>
      <w:sz w:val="24"/>
      <w:szCs w:val="20"/>
    </w:rPr>
  </w:style>
  <w:style w:type="paragraph" w:customStyle="1" w:styleId="1674">
    <w:name w:val="3级标题"/>
    <w:basedOn w:val="1"/>
    <w:link w:val="1675"/>
    <w:qFormat/>
    <w:uiPriority w:val="0"/>
    <w:pPr>
      <w:spacing w:line="360" w:lineRule="auto"/>
      <w:outlineLvl w:val="2"/>
    </w:pPr>
    <w:rPr>
      <w:rFonts w:ascii="Arial" w:hAnsi="Arial"/>
      <w:b/>
      <w:color w:val="000000"/>
      <w:sz w:val="28"/>
    </w:rPr>
  </w:style>
  <w:style w:type="character" w:customStyle="1" w:styleId="1675">
    <w:name w:val="3级标题 Char Char"/>
    <w:link w:val="1674"/>
    <w:qFormat/>
    <w:uiPriority w:val="0"/>
    <w:rPr>
      <w:rFonts w:ascii="Arial" w:hAnsi="Arial"/>
      <w:b/>
      <w:color w:val="000000"/>
      <w:kern w:val="2"/>
      <w:sz w:val="28"/>
      <w:szCs w:val="24"/>
    </w:rPr>
  </w:style>
  <w:style w:type="paragraph" w:customStyle="1" w:styleId="1676">
    <w:name w:val="a2-l style231"/>
    <w:basedOn w:val="1"/>
    <w:qFormat/>
    <w:uiPriority w:val="0"/>
    <w:pPr>
      <w:widowControl/>
      <w:spacing w:beforeAutospacing="1" w:afterAutospacing="1"/>
      <w:jc w:val="left"/>
    </w:pPr>
    <w:rPr>
      <w:rFonts w:ascii="宋体" w:hAnsi="宋体" w:cs="宋体"/>
      <w:kern w:val="0"/>
      <w:sz w:val="24"/>
    </w:rPr>
  </w:style>
  <w:style w:type="paragraph" w:customStyle="1" w:styleId="1677">
    <w:name w:val="缩絖"/>
    <w:basedOn w:val="34"/>
    <w:qFormat/>
    <w:uiPriority w:val="0"/>
  </w:style>
  <w:style w:type="paragraph" w:customStyle="1" w:styleId="1678">
    <w:name w:val="样式 样式 仿宋_GB2312 四号 黑色 首行缩进:  0.99 厘米 行距: 1.5 倍行距 + 首行缩进:  2 字符 Char"/>
    <w:basedOn w:val="1"/>
    <w:qFormat/>
    <w:uiPriority w:val="0"/>
    <w:pPr>
      <w:spacing w:line="360" w:lineRule="auto"/>
      <w:ind w:firstLine="480" w:firstLineChars="200"/>
      <w:jc w:val="center"/>
    </w:pPr>
    <w:rPr>
      <w:rFonts w:ascii="宋体" w:hAnsi="宋体"/>
      <w:sz w:val="24"/>
    </w:rPr>
  </w:style>
  <w:style w:type="paragraph" w:customStyle="1" w:styleId="1679">
    <w:name w:val="表图题"/>
    <w:basedOn w:val="1"/>
    <w:qFormat/>
    <w:uiPriority w:val="0"/>
    <w:pPr>
      <w:spacing w:line="440" w:lineRule="exact"/>
      <w:jc w:val="center"/>
    </w:pPr>
    <w:rPr>
      <w:rFonts w:eastAsia="华文细黑"/>
      <w:b/>
      <w:szCs w:val="28"/>
    </w:rPr>
  </w:style>
  <w:style w:type="paragraph" w:customStyle="1" w:styleId="1680">
    <w:name w:val="标题01"/>
    <w:basedOn w:val="5"/>
    <w:next w:val="1"/>
    <w:qFormat/>
    <w:uiPriority w:val="0"/>
    <w:pPr>
      <w:keepLines/>
      <w:overflowPunct/>
      <w:snapToGrid/>
      <w:spacing w:before="0" w:beforeLines="10" w:after="0" w:afterLines="10" w:line="578" w:lineRule="auto"/>
      <w:ind w:left="0" w:firstLine="200" w:firstLineChars="200"/>
    </w:pPr>
    <w:rPr>
      <w:rFonts w:eastAsia="宋体"/>
      <w:color w:val="auto"/>
      <w:sz w:val="44"/>
      <w:szCs w:val="44"/>
    </w:rPr>
  </w:style>
  <w:style w:type="paragraph" w:customStyle="1" w:styleId="1681">
    <w:name w:val="bt3"/>
    <w:basedOn w:val="7"/>
    <w:qFormat/>
    <w:uiPriority w:val="0"/>
    <w:pPr>
      <w:widowControl w:val="0"/>
      <w:adjustRightInd/>
      <w:snapToGrid/>
      <w:spacing w:before="120" w:beforeLines="10" w:after="120" w:afterLines="10"/>
      <w:ind w:left="720" w:hanging="432" w:firstLineChars="200"/>
      <w:jc w:val="both"/>
    </w:pPr>
    <w:rPr>
      <w:rFonts w:ascii="Times New Roman" w:hAnsi="Times New Roman"/>
      <w:lang w:val="en-US"/>
    </w:rPr>
  </w:style>
  <w:style w:type="paragraph" w:customStyle="1" w:styleId="1682">
    <w:name w:val="项目编号"/>
    <w:basedOn w:val="1"/>
    <w:next w:val="1"/>
    <w:qFormat/>
    <w:uiPriority w:val="0"/>
    <w:pPr>
      <w:spacing w:line="360" w:lineRule="auto"/>
    </w:pPr>
    <w:rPr>
      <w:sz w:val="24"/>
      <w:szCs w:val="20"/>
    </w:rPr>
  </w:style>
  <w:style w:type="paragraph" w:customStyle="1" w:styleId="1683">
    <w:name w:val="样式18"/>
    <w:basedOn w:val="841"/>
    <w:qFormat/>
    <w:uiPriority w:val="0"/>
    <w:pPr>
      <w:spacing w:line="460" w:lineRule="exact"/>
      <w:ind w:firstLine="480"/>
    </w:pPr>
    <w:rPr>
      <w:color w:val="000000"/>
      <w:spacing w:val="0"/>
      <w:szCs w:val="24"/>
    </w:rPr>
  </w:style>
  <w:style w:type="paragraph" w:customStyle="1" w:styleId="1684">
    <w:name w:val="标题003"/>
    <w:basedOn w:val="1"/>
    <w:qFormat/>
    <w:uiPriority w:val="0"/>
    <w:pPr>
      <w:spacing w:beforeLines="100"/>
      <w:outlineLvl w:val="2"/>
    </w:pPr>
    <w:rPr>
      <w:rFonts w:ascii="宋体" w:hAnsi="宋体"/>
      <w:b/>
      <w:sz w:val="28"/>
      <w:szCs w:val="28"/>
    </w:rPr>
  </w:style>
  <w:style w:type="paragraph" w:customStyle="1" w:styleId="1685">
    <w:name w:val="样式 内容 + 首行缩进:  2 字符"/>
    <w:basedOn w:val="1"/>
    <w:link w:val="1686"/>
    <w:qFormat/>
    <w:uiPriority w:val="0"/>
    <w:pPr>
      <w:spacing w:line="360" w:lineRule="auto"/>
      <w:ind w:firstLine="480" w:firstLineChars="200"/>
      <w:jc w:val="left"/>
    </w:pPr>
    <w:rPr>
      <w:rFonts w:cs="宋体"/>
      <w:sz w:val="24"/>
      <w:szCs w:val="20"/>
    </w:rPr>
  </w:style>
  <w:style w:type="character" w:customStyle="1" w:styleId="1686">
    <w:name w:val="样式 内容 + 首行缩进:  2 字符 Char"/>
    <w:link w:val="1685"/>
    <w:qFormat/>
    <w:uiPriority w:val="0"/>
    <w:rPr>
      <w:rFonts w:cs="宋体"/>
      <w:kern w:val="2"/>
      <w:sz w:val="24"/>
    </w:rPr>
  </w:style>
  <w:style w:type="paragraph" w:customStyle="1" w:styleId="1687">
    <w:name w:val="报告表格"/>
    <w:basedOn w:val="1"/>
    <w:link w:val="1688"/>
    <w:qFormat/>
    <w:uiPriority w:val="0"/>
    <w:pPr>
      <w:autoSpaceDE w:val="0"/>
      <w:autoSpaceDN w:val="0"/>
      <w:adjustRightInd w:val="0"/>
      <w:jc w:val="center"/>
      <w:textAlignment w:val="baseline"/>
    </w:pPr>
    <w:rPr>
      <w:kern w:val="0"/>
      <w:szCs w:val="20"/>
    </w:rPr>
  </w:style>
  <w:style w:type="character" w:customStyle="1" w:styleId="1688">
    <w:name w:val="报告表格 Char Char"/>
    <w:link w:val="1687"/>
    <w:qFormat/>
    <w:uiPriority w:val="0"/>
    <w:rPr>
      <w:sz w:val="21"/>
    </w:rPr>
  </w:style>
  <w:style w:type="paragraph" w:customStyle="1" w:styleId="1689">
    <w:name w:val="xz2"/>
    <w:basedOn w:val="1"/>
    <w:qFormat/>
    <w:uiPriority w:val="0"/>
    <w:pPr>
      <w:spacing w:beforeLines="50"/>
      <w:jc w:val="left"/>
      <w:outlineLvl w:val="1"/>
    </w:pPr>
    <w:rPr>
      <w:rFonts w:ascii="楷体_GB2312" w:eastAsia="楷体_GB2312"/>
      <w:b/>
      <w:sz w:val="32"/>
      <w:szCs w:val="30"/>
    </w:rPr>
  </w:style>
  <w:style w:type="paragraph" w:customStyle="1" w:styleId="1690">
    <w:name w:val="图文框"/>
    <w:basedOn w:val="1"/>
    <w:qFormat/>
    <w:uiPriority w:val="0"/>
    <w:pPr>
      <w:autoSpaceDE w:val="0"/>
      <w:autoSpaceDN w:val="0"/>
      <w:adjustRightInd w:val="0"/>
      <w:snapToGrid w:val="0"/>
      <w:spacing w:line="320" w:lineRule="exact"/>
      <w:jc w:val="center"/>
      <w:textAlignment w:val="baseline"/>
    </w:pPr>
    <w:rPr>
      <w:rFonts w:eastAsia="仿宋_GB2312"/>
      <w:kern w:val="0"/>
      <w:szCs w:val="20"/>
    </w:rPr>
  </w:style>
  <w:style w:type="paragraph" w:customStyle="1" w:styleId="1691">
    <w:name w:val="样式 标题 2标题节标题节 Char标题节 Char Char标题 2 Char Char Char节标题 1.1标..."/>
    <w:basedOn w:val="6"/>
    <w:link w:val="1692"/>
    <w:qFormat/>
    <w:uiPriority w:val="0"/>
    <w:pPr>
      <w:spacing w:beforeLines="10" w:afterLines="10"/>
      <w:ind w:firstLine="200" w:firstLineChars="200"/>
    </w:pPr>
    <w:rPr>
      <w:rFonts w:ascii="Cambria" w:hAnsi="Cambria" w:eastAsia="宋体"/>
    </w:rPr>
  </w:style>
  <w:style w:type="character" w:customStyle="1" w:styleId="1692">
    <w:name w:val="样式 标题 2标题节标题节 Char标题节 Char Char标题 2 Char Char Char节标题 1.1标... Char"/>
    <w:link w:val="1691"/>
    <w:qFormat/>
    <w:uiPriority w:val="0"/>
    <w:rPr>
      <w:rFonts w:ascii="Cambria" w:hAnsi="Cambria"/>
      <w:b/>
      <w:bCs/>
      <w:kern w:val="2"/>
      <w:sz w:val="32"/>
      <w:szCs w:val="32"/>
    </w:rPr>
  </w:style>
  <w:style w:type="paragraph" w:customStyle="1" w:styleId="1693">
    <w:name w:val="样式 宋体 小四 首行缩进:  0.85 厘米 行距: 1.5 倍行距"/>
    <w:basedOn w:val="1"/>
    <w:qFormat/>
    <w:uiPriority w:val="0"/>
    <w:pPr>
      <w:spacing w:line="360" w:lineRule="auto"/>
      <w:ind w:firstLine="480"/>
    </w:pPr>
    <w:rPr>
      <w:rFonts w:cs="宋体"/>
      <w:sz w:val="24"/>
      <w:szCs w:val="20"/>
    </w:rPr>
  </w:style>
  <w:style w:type="paragraph" w:customStyle="1" w:styleId="1694">
    <w:name w:val="自定义正文"/>
    <w:qFormat/>
    <w:uiPriority w:val="0"/>
    <w:pPr>
      <w:widowControl w:val="0"/>
      <w:adjustRightInd w:val="0"/>
      <w:snapToGrid w:val="0"/>
      <w:spacing w:line="360" w:lineRule="auto"/>
      <w:ind w:firstLine="510"/>
      <w:jc w:val="both"/>
    </w:pPr>
    <w:rPr>
      <w:rFonts w:ascii="Calibri" w:hAnsi="Calibri" w:eastAsia="宋体" w:cs="Calibri"/>
      <w:spacing w:val="-2"/>
      <w:kern w:val="2"/>
      <w:sz w:val="28"/>
      <w:szCs w:val="24"/>
      <w:lang w:val="en-US" w:eastAsia="zh-CN" w:bidi="ar-SA"/>
    </w:rPr>
  </w:style>
  <w:style w:type="paragraph" w:customStyle="1" w:styleId="1695">
    <w:name w:val="unnamed2 style11"/>
    <w:basedOn w:val="1"/>
    <w:qFormat/>
    <w:uiPriority w:val="0"/>
    <w:pPr>
      <w:widowControl/>
      <w:spacing w:beforeAutospacing="1" w:afterAutospacing="1"/>
      <w:jc w:val="left"/>
    </w:pPr>
    <w:rPr>
      <w:rFonts w:ascii="宋体" w:hAnsi="宋体" w:cs="宋体"/>
      <w:kern w:val="0"/>
      <w:sz w:val="24"/>
    </w:rPr>
  </w:style>
  <w:style w:type="paragraph" w:customStyle="1" w:styleId="1696">
    <w:name w:val="Char Char Char Char Char Char1 Char Char Char Char Char Char Char Char Char Char Char Char1 Char Char Char Char Char Char Char Char Char Char Char Char Char"/>
    <w:basedOn w:val="1"/>
    <w:qFormat/>
    <w:uiPriority w:val="0"/>
    <w:rPr>
      <w:sz w:val="24"/>
    </w:rPr>
  </w:style>
  <w:style w:type="paragraph" w:customStyle="1" w:styleId="1697">
    <w:name w:val="块引用"/>
    <w:basedOn w:val="1"/>
    <w:qFormat/>
    <w:uiPriority w:val="0"/>
    <w:pPr>
      <w:widowControl/>
      <w:pBdr>
        <w:top w:val="single" w:color="auto" w:sz="6" w:space="14"/>
        <w:left w:val="single" w:color="auto" w:sz="6" w:space="10"/>
        <w:bottom w:val="single" w:color="auto" w:sz="6" w:space="14"/>
        <w:right w:val="single" w:color="auto" w:sz="6" w:space="10"/>
      </w:pBdr>
      <w:spacing w:beforeAutospacing="1" w:afterAutospacing="1" w:line="360" w:lineRule="auto"/>
      <w:ind w:left="210" w:leftChars="100" w:right="210" w:rightChars="100" w:firstLine="480" w:firstLineChars="200"/>
    </w:pPr>
    <w:rPr>
      <w:rFonts w:ascii="Garamond" w:hAnsi="Garamond"/>
      <w:kern w:val="0"/>
      <w:sz w:val="24"/>
      <w:szCs w:val="20"/>
    </w:rPr>
  </w:style>
  <w:style w:type="paragraph" w:customStyle="1" w:styleId="1698">
    <w:name w:val="样式 纯文本 + (符号) 宋体 13 磅 首行缩进:  0.92 厘米 行距: 固定值 27 磅"/>
    <w:basedOn w:val="1"/>
    <w:link w:val="1699"/>
    <w:qFormat/>
    <w:uiPriority w:val="0"/>
    <w:pPr>
      <w:topLinePunct/>
      <w:spacing w:line="540" w:lineRule="exact"/>
      <w:ind w:firstLine="522"/>
    </w:pPr>
    <w:rPr>
      <w:rFonts w:ascii="宋体" w:hAnsi="宋体" w:cs="宋体"/>
      <w:sz w:val="26"/>
      <w:szCs w:val="20"/>
    </w:rPr>
  </w:style>
  <w:style w:type="character" w:customStyle="1" w:styleId="1699">
    <w:name w:val="样式 纯文本 + (符号) 宋体 13 磅 首行缩进:  0.92 厘米 行距: 固定值 27 磅 Char1"/>
    <w:link w:val="1698"/>
    <w:qFormat/>
    <w:uiPriority w:val="0"/>
    <w:rPr>
      <w:rFonts w:ascii="宋体" w:hAnsi="宋体" w:cs="宋体"/>
      <w:kern w:val="2"/>
      <w:sz w:val="26"/>
    </w:rPr>
  </w:style>
  <w:style w:type="paragraph" w:customStyle="1" w:styleId="1700">
    <w:name w:val="样式 (中文) 仿宋_GB2312 小四 行距: 1.5 倍行距"/>
    <w:basedOn w:val="1"/>
    <w:link w:val="1701"/>
    <w:qFormat/>
    <w:uiPriority w:val="0"/>
    <w:pPr>
      <w:spacing w:line="360" w:lineRule="auto"/>
      <w:ind w:firstLine="200" w:firstLineChars="200"/>
    </w:pPr>
    <w:rPr>
      <w:rFonts w:cs="宋体"/>
      <w:sz w:val="24"/>
      <w:szCs w:val="20"/>
    </w:rPr>
  </w:style>
  <w:style w:type="character" w:customStyle="1" w:styleId="1701">
    <w:name w:val="样式 (中文) 仿宋_GB2312 小四 行距: 1.5 倍行距 Char Char"/>
    <w:link w:val="1700"/>
    <w:qFormat/>
    <w:uiPriority w:val="0"/>
    <w:rPr>
      <w:rFonts w:cs="宋体"/>
      <w:kern w:val="2"/>
      <w:sz w:val="24"/>
    </w:rPr>
  </w:style>
  <w:style w:type="paragraph" w:customStyle="1" w:styleId="1702">
    <w:name w:val="(a正文"/>
    <w:basedOn w:val="1"/>
    <w:link w:val="1703"/>
    <w:qFormat/>
    <w:uiPriority w:val="0"/>
    <w:pPr>
      <w:spacing w:line="440" w:lineRule="exact"/>
      <w:ind w:firstLine="200" w:firstLineChars="200"/>
    </w:pPr>
    <w:rPr>
      <w:rFonts w:eastAsia="仿宋_GB2312"/>
      <w:color w:val="000000"/>
      <w:sz w:val="24"/>
    </w:rPr>
  </w:style>
  <w:style w:type="character" w:customStyle="1" w:styleId="1703">
    <w:name w:val="(a正文 Char"/>
    <w:link w:val="1702"/>
    <w:qFormat/>
    <w:uiPriority w:val="0"/>
    <w:rPr>
      <w:rFonts w:eastAsia="仿宋_GB2312"/>
      <w:color w:val="000000"/>
      <w:kern w:val="2"/>
      <w:sz w:val="24"/>
      <w:szCs w:val="24"/>
    </w:rPr>
  </w:style>
  <w:style w:type="paragraph" w:customStyle="1" w:styleId="1704">
    <w:name w:val="Char Char Char Char Char Char3 Char Char Char Char Char Char Char"/>
    <w:basedOn w:val="1"/>
    <w:next w:val="1"/>
    <w:qFormat/>
    <w:uiPriority w:val="0"/>
    <w:rPr>
      <w:rFonts w:eastAsia="黑体"/>
      <w:sz w:val="28"/>
    </w:rPr>
  </w:style>
  <w:style w:type="paragraph" w:customStyle="1" w:styleId="1705">
    <w:name w:val="T正文"/>
    <w:qFormat/>
    <w:uiPriority w:val="0"/>
    <w:pPr>
      <w:widowControl w:val="0"/>
      <w:adjustRightInd w:val="0"/>
      <w:snapToGrid w:val="0"/>
      <w:spacing w:line="360" w:lineRule="auto"/>
      <w:ind w:firstLine="200" w:firstLineChars="200"/>
      <w:jc w:val="both"/>
    </w:pPr>
    <w:rPr>
      <w:rFonts w:ascii="Calibri" w:hAnsi="Calibri" w:eastAsia="楷体_GB2312" w:cs="Calibri"/>
      <w:sz w:val="28"/>
      <w:lang w:val="en-US" w:eastAsia="zh-CN" w:bidi="ar-SA"/>
    </w:rPr>
  </w:style>
  <w:style w:type="paragraph" w:customStyle="1" w:styleId="1706">
    <w:name w:val="验收报告-正文列表1."/>
    <w:basedOn w:val="1"/>
    <w:qFormat/>
    <w:uiPriority w:val="0"/>
    <w:pPr>
      <w:tabs>
        <w:tab w:val="left" w:pos="814"/>
      </w:tabs>
      <w:adjustRightInd w:val="0"/>
      <w:snapToGrid w:val="0"/>
      <w:spacing w:line="360" w:lineRule="auto"/>
      <w:ind w:firstLine="454"/>
      <w:jc w:val="left"/>
      <w:outlineLvl w:val="8"/>
    </w:pPr>
    <w:rPr>
      <w:rFonts w:hint="eastAsia" w:ascii="宋体" w:hAnsi="宋体"/>
      <w:kern w:val="0"/>
      <w:sz w:val="28"/>
    </w:rPr>
  </w:style>
  <w:style w:type="paragraph" w:customStyle="1" w:styleId="1707">
    <w:name w:val="表001"/>
    <w:basedOn w:val="372"/>
    <w:qFormat/>
    <w:uiPriority w:val="0"/>
    <w:pPr>
      <w:keepNext/>
      <w:keepLines/>
      <w:snapToGrid/>
      <w:spacing w:before="340" w:after="330" w:line="360" w:lineRule="auto"/>
      <w:outlineLvl w:val="0"/>
    </w:pPr>
    <w:rPr>
      <w:rFonts w:ascii="Times New Roman"/>
      <w:sz w:val="24"/>
    </w:rPr>
  </w:style>
  <w:style w:type="paragraph" w:customStyle="1" w:styleId="1708">
    <w:name w:val="样式 样式 样式 左  0 字符 首行缩进:  2 字符 + 首行缩进:  0 字符 + 首行缩进:  4 字符"/>
    <w:basedOn w:val="1"/>
    <w:qFormat/>
    <w:uiPriority w:val="0"/>
    <w:pPr>
      <w:spacing w:line="360" w:lineRule="auto"/>
      <w:ind w:firstLine="488"/>
    </w:pPr>
    <w:rPr>
      <w:color w:val="FF0000"/>
      <w:sz w:val="24"/>
    </w:rPr>
  </w:style>
  <w:style w:type="paragraph" w:customStyle="1" w:styleId="1709">
    <w:name w:val="样式 (符号) 宋体 小四 加粗 居中 行距: 1.5 倍行距1"/>
    <w:basedOn w:val="1"/>
    <w:qFormat/>
    <w:uiPriority w:val="0"/>
    <w:pPr>
      <w:spacing w:line="360" w:lineRule="auto"/>
      <w:jc w:val="center"/>
    </w:pPr>
    <w:rPr>
      <w:rFonts w:cs="宋体"/>
      <w:bCs/>
      <w:szCs w:val="21"/>
    </w:rPr>
  </w:style>
  <w:style w:type="paragraph" w:customStyle="1" w:styleId="1710">
    <w:name w:val="reader-word-layer reader-word-s1-12"/>
    <w:basedOn w:val="1"/>
    <w:qFormat/>
    <w:uiPriority w:val="0"/>
    <w:pPr>
      <w:widowControl/>
      <w:spacing w:beforeAutospacing="1" w:afterAutospacing="1"/>
      <w:jc w:val="left"/>
    </w:pPr>
    <w:rPr>
      <w:rFonts w:ascii="宋体" w:hAnsi="宋体" w:cs="宋体"/>
      <w:kern w:val="0"/>
      <w:sz w:val="24"/>
    </w:rPr>
  </w:style>
  <w:style w:type="paragraph" w:customStyle="1" w:styleId="1711">
    <w:name w:val="段落"/>
    <w:basedOn w:val="1"/>
    <w:link w:val="1712"/>
    <w:qFormat/>
    <w:uiPriority w:val="0"/>
    <w:pPr>
      <w:tabs>
        <w:tab w:val="left" w:pos="1021"/>
      </w:tabs>
      <w:adjustRightInd w:val="0"/>
      <w:spacing w:line="300" w:lineRule="auto"/>
      <w:ind w:firstLine="480" w:firstLineChars="200"/>
    </w:pPr>
    <w:rPr>
      <w:kern w:val="24"/>
      <w:sz w:val="24"/>
    </w:rPr>
  </w:style>
  <w:style w:type="character" w:customStyle="1" w:styleId="1712">
    <w:name w:val="段落 Char Char"/>
    <w:link w:val="1711"/>
    <w:qFormat/>
    <w:locked/>
    <w:uiPriority w:val="0"/>
    <w:rPr>
      <w:kern w:val="24"/>
      <w:sz w:val="24"/>
      <w:szCs w:val="24"/>
    </w:rPr>
  </w:style>
  <w:style w:type="paragraph" w:customStyle="1" w:styleId="1713">
    <w:name w:val="xz4"/>
    <w:basedOn w:val="1"/>
    <w:qFormat/>
    <w:uiPriority w:val="0"/>
    <w:pPr>
      <w:spacing w:beforeLines="50"/>
      <w:jc w:val="left"/>
      <w:outlineLvl w:val="3"/>
    </w:pPr>
    <w:rPr>
      <w:rFonts w:eastAsia="楷体_GB2312"/>
      <w:b/>
      <w:sz w:val="28"/>
    </w:rPr>
  </w:style>
  <w:style w:type="paragraph" w:customStyle="1" w:styleId="1714">
    <w:name w:val="xzz"/>
    <w:basedOn w:val="1"/>
    <w:qFormat/>
    <w:uiPriority w:val="0"/>
    <w:pPr>
      <w:ind w:firstLine="480" w:firstLineChars="200"/>
    </w:pPr>
    <w:rPr>
      <w:sz w:val="24"/>
    </w:rPr>
  </w:style>
  <w:style w:type="paragraph" w:customStyle="1" w:styleId="1715">
    <w:name w:val="az"/>
    <w:basedOn w:val="1"/>
    <w:qFormat/>
    <w:uiPriority w:val="0"/>
    <w:pPr>
      <w:spacing w:beforeLines="50" w:line="360" w:lineRule="auto"/>
      <w:ind w:firstLine="480" w:firstLineChars="200"/>
    </w:pPr>
    <w:rPr>
      <w:kern w:val="0"/>
      <w:sz w:val="24"/>
    </w:rPr>
  </w:style>
  <w:style w:type="paragraph" w:customStyle="1" w:styleId="1716">
    <w:name w:val="表格 32"/>
    <w:basedOn w:val="1"/>
    <w:qFormat/>
    <w:uiPriority w:val="0"/>
    <w:pPr>
      <w:autoSpaceDE w:val="0"/>
      <w:autoSpaceDN w:val="0"/>
      <w:adjustRightInd w:val="0"/>
      <w:jc w:val="center"/>
      <w:textAlignment w:val="baseline"/>
    </w:pPr>
    <w:rPr>
      <w:rFonts w:eastAsia="仿宋_GB2312"/>
      <w:kern w:val="0"/>
      <w:sz w:val="24"/>
      <w:szCs w:val="20"/>
    </w:rPr>
  </w:style>
  <w:style w:type="paragraph" w:customStyle="1" w:styleId="1717">
    <w:name w:val="表格（5号）"/>
    <w:basedOn w:val="1"/>
    <w:qFormat/>
    <w:uiPriority w:val="0"/>
    <w:pPr>
      <w:widowControl/>
      <w:spacing w:line="360" w:lineRule="auto"/>
      <w:jc w:val="center"/>
    </w:pPr>
    <w:rPr>
      <w:color w:val="FF0000"/>
      <w:kern w:val="0"/>
      <w:sz w:val="24"/>
      <w:szCs w:val="21"/>
      <w:lang w:eastAsia="en-US" w:bidi="en-US"/>
    </w:rPr>
  </w:style>
  <w:style w:type="paragraph" w:customStyle="1" w:styleId="1718">
    <w:name w:val="bt4"/>
    <w:basedOn w:val="1"/>
    <w:qFormat/>
    <w:uiPriority w:val="0"/>
    <w:pPr>
      <w:autoSpaceDE w:val="0"/>
      <w:autoSpaceDN w:val="0"/>
      <w:adjustRightInd w:val="0"/>
      <w:snapToGrid w:val="0"/>
      <w:spacing w:line="360" w:lineRule="auto"/>
      <w:textAlignment w:val="baseline"/>
      <w:outlineLvl w:val="3"/>
    </w:pPr>
    <w:rPr>
      <w:rFonts w:ascii="Arial" w:hAnsi="Arial"/>
      <w:kern w:val="0"/>
      <w:sz w:val="24"/>
    </w:rPr>
  </w:style>
  <w:style w:type="paragraph" w:customStyle="1" w:styleId="1719">
    <w:name w:val="a表头"/>
    <w:basedOn w:val="1"/>
    <w:qFormat/>
    <w:uiPriority w:val="0"/>
    <w:pPr>
      <w:jc w:val="center"/>
    </w:pPr>
    <w:rPr>
      <w:rFonts w:eastAsia="楷体_GB2312"/>
      <w:b/>
      <w:sz w:val="24"/>
    </w:rPr>
  </w:style>
  <w:style w:type="paragraph" w:customStyle="1" w:styleId="1720">
    <w:name w:val="样式21"/>
    <w:basedOn w:val="1683"/>
    <w:qFormat/>
    <w:uiPriority w:val="0"/>
  </w:style>
  <w:style w:type="paragraph" w:customStyle="1" w:styleId="1721">
    <w:name w:val="reader-word-layer reader-word-s7-4"/>
    <w:basedOn w:val="1"/>
    <w:qFormat/>
    <w:uiPriority w:val="0"/>
    <w:pPr>
      <w:widowControl/>
      <w:spacing w:beforeAutospacing="1" w:afterAutospacing="1"/>
      <w:jc w:val="left"/>
    </w:pPr>
    <w:rPr>
      <w:rFonts w:ascii="宋体" w:hAnsi="宋体" w:cs="宋体"/>
      <w:kern w:val="0"/>
      <w:sz w:val="24"/>
    </w:rPr>
  </w:style>
  <w:style w:type="paragraph" w:customStyle="1" w:styleId="1722">
    <w:name w:val="样式 样式1 + (西文) Times New Roman (中文) 宋体 小四 首行缩进:  2 字符"/>
    <w:basedOn w:val="372"/>
    <w:qFormat/>
    <w:uiPriority w:val="0"/>
    <w:pPr>
      <w:keepNext/>
      <w:keepLines/>
      <w:widowControl/>
      <w:snapToGrid/>
      <w:spacing w:before="340" w:after="330" w:line="360" w:lineRule="auto"/>
      <w:ind w:firstLine="200" w:firstLineChars="200"/>
      <w:jc w:val="both"/>
      <w:outlineLvl w:val="0"/>
    </w:pPr>
    <w:rPr>
      <w:rFonts w:ascii="Times New Roman" w:cs="宋体"/>
      <w:sz w:val="24"/>
    </w:rPr>
  </w:style>
  <w:style w:type="character" w:customStyle="1" w:styleId="1723">
    <w:name w:val="red1"/>
    <w:qFormat/>
    <w:uiPriority w:val="0"/>
    <w:rPr>
      <w:color w:val="976E44"/>
      <w:sz w:val="18"/>
      <w:szCs w:val="18"/>
    </w:rPr>
  </w:style>
  <w:style w:type="character" w:customStyle="1" w:styleId="1724">
    <w:name w:val="inner"/>
    <w:qFormat/>
    <w:uiPriority w:val="0"/>
  </w:style>
  <w:style w:type="character" w:customStyle="1" w:styleId="1725">
    <w:name w:val="自定义正文 Char1"/>
    <w:qFormat/>
    <w:uiPriority w:val="0"/>
    <w:rPr>
      <w:b/>
      <w:position w:val="-28"/>
      <w:sz w:val="28"/>
    </w:rPr>
  </w:style>
  <w:style w:type="character" w:customStyle="1" w:styleId="1726">
    <w:name w:val="君邦正文 Char4"/>
    <w:qFormat/>
    <w:uiPriority w:val="0"/>
    <w:rPr>
      <w:rFonts w:ascii="宋体" w:hAnsi="宋体" w:eastAsia="宋体" w:cs="Times New Roman"/>
      <w:sz w:val="24"/>
      <w:szCs w:val="20"/>
    </w:rPr>
  </w:style>
  <w:style w:type="character" w:customStyle="1" w:styleId="1727">
    <w:name w:val="正文01 Char Char"/>
    <w:qFormat/>
    <w:uiPriority w:val="0"/>
    <w:rPr>
      <w:rFonts w:eastAsia="宋体"/>
      <w:kern w:val="2"/>
      <w:sz w:val="24"/>
      <w:lang w:val="en-US" w:eastAsia="zh-CN" w:bidi="ar-SA"/>
    </w:rPr>
  </w:style>
  <w:style w:type="character" w:customStyle="1" w:styleId="1728">
    <w:name w:val="text1"/>
    <w:qFormat/>
    <w:uiPriority w:val="0"/>
  </w:style>
  <w:style w:type="character" w:customStyle="1" w:styleId="1729">
    <w:name w:val="正文规定 Char Char"/>
    <w:qFormat/>
    <w:uiPriority w:val="0"/>
    <w:rPr>
      <w:rFonts w:ascii="Arial" w:hAnsi="Arial"/>
      <w:b/>
      <w:sz w:val="24"/>
    </w:rPr>
  </w:style>
  <w:style w:type="character" w:customStyle="1" w:styleId="1730">
    <w:name w:val="cdred1"/>
    <w:qFormat/>
    <w:uiPriority w:val="0"/>
    <w:rPr>
      <w:color w:val="BC2931"/>
    </w:rPr>
  </w:style>
  <w:style w:type="character" w:customStyle="1" w:styleId="1731">
    <w:name w:val="t131"/>
    <w:qFormat/>
    <w:uiPriority w:val="0"/>
    <w:rPr>
      <w:rFonts w:ascii="Arial" w:hAnsi="Arial" w:eastAsia="宋体" w:cs="Verdana"/>
      <w:b/>
      <w:color w:val="333333"/>
      <w:kern w:val="2"/>
      <w:sz w:val="18"/>
      <w:szCs w:val="18"/>
      <w:u w:val="none"/>
      <w:lang w:val="en-US" w:eastAsia="en-US" w:bidi="ar-SA"/>
    </w:rPr>
  </w:style>
  <w:style w:type="character" w:customStyle="1" w:styleId="1732">
    <w:name w:val="style301"/>
    <w:qFormat/>
    <w:uiPriority w:val="0"/>
    <w:rPr>
      <w:rFonts w:hint="default" w:ascii="Arial" w:hAnsi="Arial" w:cs="Arial"/>
    </w:rPr>
  </w:style>
  <w:style w:type="character" w:customStyle="1" w:styleId="1733">
    <w:name w:val="headline-content2"/>
    <w:qFormat/>
    <w:uiPriority w:val="0"/>
  </w:style>
  <w:style w:type="character" w:customStyle="1" w:styleId="1734">
    <w:name w:val="标题7"/>
    <w:qFormat/>
    <w:uiPriority w:val="0"/>
  </w:style>
  <w:style w:type="character" w:customStyle="1" w:styleId="1735">
    <w:name w:val="ddd"/>
    <w:qFormat/>
    <w:uiPriority w:val="0"/>
    <w:rPr>
      <w:rFonts w:ascii="Arial" w:hAnsi="Arial" w:eastAsia="宋体" w:cs="Verdana"/>
      <w:b/>
      <w:kern w:val="2"/>
      <w:sz w:val="24"/>
      <w:szCs w:val="24"/>
      <w:lang w:val="en-US" w:eastAsia="en-US" w:bidi="ar-SA"/>
    </w:rPr>
  </w:style>
  <w:style w:type="character" w:customStyle="1" w:styleId="1736">
    <w:name w:val="a2-l style23"/>
    <w:qFormat/>
    <w:uiPriority w:val="0"/>
  </w:style>
  <w:style w:type="character" w:customStyle="1" w:styleId="1737">
    <w:name w:val="正文001 Char Char"/>
    <w:qFormat/>
    <w:uiPriority w:val="0"/>
    <w:rPr>
      <w:rFonts w:eastAsia="宋体"/>
      <w:kern w:val="2"/>
      <w:sz w:val="24"/>
      <w:lang w:val="en-US" w:eastAsia="zh-CN" w:bidi="ar-SA"/>
    </w:rPr>
  </w:style>
  <w:style w:type="character" w:customStyle="1" w:styleId="1738">
    <w:name w:val="样式 (中文) 仿宋_GB2312"/>
    <w:qFormat/>
    <w:uiPriority w:val="0"/>
    <w:rPr>
      <w:rFonts w:ascii="Arial" w:hAnsi="Arial" w:eastAsia="宋体" w:cs="Verdana"/>
      <w:b/>
      <w:spacing w:val="-12"/>
      <w:kern w:val="2"/>
      <w:sz w:val="24"/>
      <w:szCs w:val="24"/>
      <w:lang w:val="en-US" w:eastAsia="en-US" w:bidi="ar-SA"/>
    </w:rPr>
  </w:style>
  <w:style w:type="character" w:customStyle="1" w:styleId="1739">
    <w:name w:val="样式 正文首行缩进 + (西文) MS Mincho (中文) MS Mincho Char"/>
    <w:qFormat/>
    <w:uiPriority w:val="0"/>
    <w:rPr>
      <w:rFonts w:ascii="MS Mincho" w:hAnsi="MS Mincho" w:eastAsia="MS Mincho"/>
      <w:kern w:val="54"/>
      <w:sz w:val="26"/>
      <w:szCs w:val="26"/>
    </w:rPr>
  </w:style>
  <w:style w:type="character" w:customStyle="1" w:styleId="1740">
    <w:name w:val="样式 (中文) 仿宋_GB23121"/>
    <w:qFormat/>
    <w:uiPriority w:val="0"/>
    <w:rPr>
      <w:rFonts w:ascii="Arial" w:hAnsi="Arial" w:eastAsia="宋体" w:cs="Verdana"/>
      <w:b/>
      <w:kern w:val="0"/>
      <w:sz w:val="24"/>
      <w:szCs w:val="24"/>
      <w:lang w:val="en-US" w:eastAsia="en-US" w:bidi="ar-SA"/>
    </w:rPr>
  </w:style>
  <w:style w:type="character" w:customStyle="1" w:styleId="1741">
    <w:name w:val="p101"/>
    <w:qFormat/>
    <w:uiPriority w:val="0"/>
    <w:rPr>
      <w:rFonts w:hint="default" w:ascii="ˎ̥" w:hAnsi="ˎ̥"/>
      <w:sz w:val="21"/>
      <w:szCs w:val="21"/>
    </w:rPr>
  </w:style>
  <w:style w:type="character" w:customStyle="1" w:styleId="1742">
    <w:name w:val="标1 Char Char"/>
    <w:qFormat/>
    <w:uiPriority w:val="0"/>
    <w:rPr>
      <w:rFonts w:eastAsia="宋体"/>
      <w:b/>
      <w:kern w:val="2"/>
      <w:sz w:val="32"/>
      <w:lang w:val="en-US" w:eastAsia="zh-CN" w:bidi="ar-SA"/>
    </w:rPr>
  </w:style>
  <w:style w:type="character" w:customStyle="1" w:styleId="1743">
    <w:name w:val="12heiwuxian"/>
    <w:qFormat/>
    <w:uiPriority w:val="0"/>
  </w:style>
  <w:style w:type="character" w:customStyle="1" w:styleId="1744">
    <w:name w:val="tpc_content1"/>
    <w:qFormat/>
    <w:uiPriority w:val="0"/>
    <w:rPr>
      <w:sz w:val="20"/>
      <w:szCs w:val="20"/>
    </w:rPr>
  </w:style>
  <w:style w:type="character" w:customStyle="1" w:styleId="1745">
    <w:name w:val="表格正文 Char"/>
    <w:qFormat/>
    <w:uiPriority w:val="0"/>
    <w:rPr>
      <w:rFonts w:eastAsia="宋体"/>
      <w:kern w:val="2"/>
      <w:sz w:val="21"/>
      <w:szCs w:val="24"/>
      <w:lang w:val="en-US" w:eastAsia="zh-CN" w:bidi="ar-SA"/>
    </w:rPr>
  </w:style>
  <w:style w:type="character" w:customStyle="1" w:styleId="1746">
    <w:name w:val="Char Char31"/>
    <w:qFormat/>
    <w:locked/>
    <w:uiPriority w:val="0"/>
    <w:rPr>
      <w:rFonts w:ascii="宋体" w:hAnsi="宋体" w:eastAsia="宋体"/>
      <w:kern w:val="2"/>
      <w:sz w:val="21"/>
      <w:lang w:val="en-US" w:eastAsia="zh-CN" w:bidi="ar-SA"/>
    </w:rPr>
  </w:style>
  <w:style w:type="character" w:customStyle="1" w:styleId="1747">
    <w:name w:val="style9"/>
    <w:qFormat/>
    <w:uiPriority w:val="0"/>
  </w:style>
  <w:style w:type="character" w:customStyle="1" w:styleId="1748">
    <w:name w:val="正文01 Char1"/>
    <w:qFormat/>
    <w:uiPriority w:val="0"/>
    <w:rPr>
      <w:rFonts w:eastAsia="宋体"/>
      <w:kern w:val="2"/>
      <w:sz w:val="24"/>
      <w:szCs w:val="24"/>
      <w:lang w:val="en-US" w:eastAsia="zh-CN" w:bidi="ar-SA"/>
    </w:rPr>
  </w:style>
  <w:style w:type="character" w:customStyle="1" w:styleId="1749">
    <w:name w:val="hangju"/>
    <w:qFormat/>
    <w:uiPriority w:val="0"/>
    <w:rPr>
      <w:rFonts w:ascii="Arial" w:hAnsi="Arial" w:eastAsia="宋体" w:cs="Verdana"/>
      <w:b/>
      <w:kern w:val="2"/>
      <w:sz w:val="24"/>
      <w:szCs w:val="24"/>
      <w:lang w:val="en-US" w:eastAsia="en-US" w:bidi="ar-SA"/>
    </w:rPr>
  </w:style>
  <w:style w:type="character" w:customStyle="1" w:styleId="1750">
    <w:name w:val="font_11"/>
    <w:qFormat/>
    <w:uiPriority w:val="0"/>
    <w:rPr>
      <w:sz w:val="21"/>
      <w:szCs w:val="21"/>
    </w:rPr>
  </w:style>
  <w:style w:type="character" w:customStyle="1" w:styleId="1751">
    <w:name w:val="style101"/>
    <w:qFormat/>
    <w:uiPriority w:val="0"/>
    <w:rPr>
      <w:b/>
      <w:bCs/>
      <w:color w:val="FF0000"/>
    </w:rPr>
  </w:style>
  <w:style w:type="character" w:customStyle="1" w:styleId="1752">
    <w:name w:val="buysell"/>
    <w:qFormat/>
    <w:uiPriority w:val="0"/>
  </w:style>
  <w:style w:type="character" w:customStyle="1" w:styleId="1753">
    <w:name w:val="样式 样式 仿宋_GB2312 四号 黑色 首行缩进:  0.99 厘米 行距: 1.5 倍行距 + 首行缩进:  2 字符 Char Char"/>
    <w:qFormat/>
    <w:uiPriority w:val="0"/>
    <w:rPr>
      <w:rFonts w:ascii="仿宋_GB2312" w:hAnsi="Arial" w:eastAsia="仿宋_GB2312" w:cs="宋体"/>
      <w:b/>
      <w:color w:val="000000"/>
      <w:kern w:val="2"/>
      <w:sz w:val="24"/>
      <w:szCs w:val="24"/>
      <w:lang w:val="en-US" w:eastAsia="zh-CN" w:bidi="ar-SA"/>
    </w:rPr>
  </w:style>
  <w:style w:type="character" w:customStyle="1" w:styleId="1754">
    <w:name w:val="test1"/>
    <w:qFormat/>
    <w:uiPriority w:val="0"/>
    <w:rPr>
      <w:rFonts w:hint="default" w:ascii="ˎ̥" w:hAnsi="ˎ̥"/>
      <w:color w:val="000000"/>
      <w:sz w:val="23"/>
      <w:szCs w:val="23"/>
      <w:u w:val="none"/>
    </w:rPr>
  </w:style>
  <w:style w:type="paragraph" w:customStyle="1" w:styleId="1755">
    <w:name w:val="正文2 Char Char Char Char Char Char Char Char Char Char Char Char1 Char Char Char Char Char Char Char Char1 Char Char Char Char Char Char"/>
    <w:basedOn w:val="1"/>
    <w:qFormat/>
    <w:uiPriority w:val="0"/>
    <w:pPr>
      <w:widowControl/>
      <w:spacing w:line="400" w:lineRule="exact"/>
      <w:jc w:val="center"/>
    </w:pPr>
    <w:rPr>
      <w:rFonts w:ascii="Verdana" w:hAnsi="Verdana"/>
      <w:kern w:val="0"/>
      <w:szCs w:val="20"/>
      <w:lang w:eastAsia="en-US"/>
    </w:rPr>
  </w:style>
  <w:style w:type="character" w:customStyle="1" w:styleId="1756">
    <w:name w:val="75pt"/>
    <w:qFormat/>
    <w:uiPriority w:val="0"/>
  </w:style>
  <w:style w:type="paragraph" w:customStyle="1" w:styleId="1757">
    <w:name w:val="Char Char Char Char Char Char Char Char Char Char Char Char3"/>
    <w:basedOn w:val="1"/>
    <w:semiHidden/>
    <w:qFormat/>
    <w:uiPriority w:val="0"/>
    <w:pPr>
      <w:widowControl/>
      <w:tabs>
        <w:tab w:val="left" w:pos="540"/>
        <w:tab w:val="left" w:pos="1800"/>
      </w:tabs>
      <w:adjustRightInd w:val="0"/>
      <w:snapToGrid w:val="0"/>
      <w:spacing w:line="240" w:lineRule="exact"/>
      <w:ind w:firstLine="480" w:firstLineChars="200"/>
      <w:jc w:val="left"/>
    </w:pPr>
    <w:rPr>
      <w:sz w:val="24"/>
      <w:szCs w:val="22"/>
    </w:rPr>
  </w:style>
  <w:style w:type="paragraph" w:customStyle="1" w:styleId="1758">
    <w:name w:val="Char Char Char Char Char Char Char Char Char Char Char Char2"/>
    <w:basedOn w:val="1"/>
    <w:semiHidden/>
    <w:qFormat/>
    <w:uiPriority w:val="0"/>
    <w:pPr>
      <w:widowControl/>
      <w:tabs>
        <w:tab w:val="left" w:pos="540"/>
        <w:tab w:val="left" w:pos="1800"/>
      </w:tabs>
      <w:adjustRightInd w:val="0"/>
      <w:snapToGrid w:val="0"/>
      <w:spacing w:line="240" w:lineRule="exact"/>
      <w:ind w:firstLine="480" w:firstLineChars="200"/>
      <w:jc w:val="left"/>
    </w:pPr>
    <w:rPr>
      <w:sz w:val="24"/>
      <w:szCs w:val="22"/>
    </w:rPr>
  </w:style>
  <w:style w:type="paragraph" w:customStyle="1" w:styleId="1759">
    <w:name w:val="正文6"/>
    <w:qFormat/>
    <w:uiPriority w:val="0"/>
    <w:pPr>
      <w:jc w:val="both"/>
    </w:pPr>
    <w:rPr>
      <w:rFonts w:ascii="Calibri" w:hAnsi="Calibri" w:eastAsia="宋体" w:cs="Calibri"/>
      <w:kern w:val="2"/>
      <w:sz w:val="21"/>
      <w:szCs w:val="21"/>
      <w:lang w:val="en-US" w:eastAsia="zh-CN" w:bidi="ar-SA"/>
    </w:rPr>
  </w:style>
  <w:style w:type="character" w:customStyle="1" w:styleId="1760">
    <w:name w:val="f_codeexample"/>
    <w:qFormat/>
    <w:uiPriority w:val="0"/>
    <w:rPr>
      <w:rFonts w:ascii="Courier New" w:hAnsi="Courier New" w:cs="Courier New"/>
      <w:color w:val="000000"/>
      <w:sz w:val="16"/>
      <w:szCs w:val="16"/>
    </w:rPr>
  </w:style>
  <w:style w:type="character" w:customStyle="1" w:styleId="1761">
    <w:name w:val="f_imagecaption"/>
    <w:qFormat/>
    <w:uiPriority w:val="0"/>
    <w:rPr>
      <w:b/>
      <w:sz w:val="16"/>
      <w:szCs w:val="16"/>
    </w:rPr>
  </w:style>
  <w:style w:type="character" w:customStyle="1" w:styleId="1762">
    <w:name w:val="f_heading1"/>
    <w:qFormat/>
    <w:uiPriority w:val="0"/>
    <w:rPr>
      <w:b/>
      <w:color w:val="FFFFFF"/>
      <w:sz w:val="28"/>
      <w:szCs w:val="28"/>
    </w:rPr>
  </w:style>
  <w:style w:type="character" w:customStyle="1" w:styleId="1763">
    <w:name w:val="subtitle1"/>
    <w:qFormat/>
    <w:uiPriority w:val="0"/>
    <w:rPr>
      <w:rFonts w:hint="eastAsia" w:ascii="宋体" w:hAnsi="宋体" w:eastAsia="宋体"/>
      <w:color w:val="000000"/>
      <w:sz w:val="14"/>
      <w:szCs w:val="14"/>
    </w:rPr>
  </w:style>
  <w:style w:type="character" w:customStyle="1" w:styleId="1764">
    <w:name w:val="f_courierfixed"/>
    <w:qFormat/>
    <w:uiPriority w:val="0"/>
    <w:rPr>
      <w:rFonts w:ascii="Courier New" w:hAnsi="Courier New" w:cs="Courier New"/>
      <w:color w:val="000000"/>
      <w:sz w:val="18"/>
      <w:szCs w:val="18"/>
    </w:rPr>
  </w:style>
  <w:style w:type="paragraph" w:customStyle="1" w:styleId="1765">
    <w:name w:val="正文字体"/>
    <w:basedOn w:val="1"/>
    <w:semiHidden/>
    <w:qFormat/>
    <w:uiPriority w:val="0"/>
    <w:pPr>
      <w:adjustRightInd w:val="0"/>
      <w:snapToGrid w:val="0"/>
      <w:spacing w:line="440" w:lineRule="atLeast"/>
      <w:ind w:firstLine="200" w:firstLineChars="200"/>
    </w:pPr>
    <w:rPr>
      <w:b/>
      <w:bCs/>
      <w:color w:val="000000"/>
      <w:sz w:val="24"/>
      <w:szCs w:val="20"/>
    </w:rPr>
  </w:style>
  <w:style w:type="paragraph" w:customStyle="1" w:styleId="1766">
    <w:name w:val="大表文左对"/>
    <w:basedOn w:val="1767"/>
    <w:qFormat/>
    <w:uiPriority w:val="0"/>
    <w:pPr>
      <w:tabs>
        <w:tab w:val="left" w:pos="1701"/>
      </w:tabs>
      <w:jc w:val="left"/>
    </w:pPr>
  </w:style>
  <w:style w:type="paragraph" w:customStyle="1" w:styleId="1767">
    <w:name w:val="大表格文字"/>
    <w:basedOn w:val="1"/>
    <w:qFormat/>
    <w:uiPriority w:val="0"/>
    <w:pPr>
      <w:tabs>
        <w:tab w:val="left" w:pos="1701"/>
      </w:tabs>
      <w:adjustRightInd w:val="0"/>
      <w:snapToGrid w:val="0"/>
      <w:spacing w:line="300" w:lineRule="auto"/>
      <w:ind w:firstLine="200" w:firstLineChars="200"/>
      <w:jc w:val="center"/>
    </w:pPr>
    <w:rPr>
      <w:rFonts w:cs="宋体"/>
      <w:color w:val="000000"/>
      <w:sz w:val="18"/>
      <w:szCs w:val="20"/>
    </w:rPr>
  </w:style>
  <w:style w:type="paragraph" w:customStyle="1" w:styleId="1768">
    <w:name w:val="ReMinD正文"/>
    <w:qFormat/>
    <w:uiPriority w:val="0"/>
    <w:pPr>
      <w:spacing w:line="440" w:lineRule="exact"/>
      <w:ind w:firstLine="200" w:firstLineChars="200"/>
    </w:pPr>
    <w:rPr>
      <w:rFonts w:ascii="Calibri" w:hAnsi="Calibri" w:eastAsia="宋体" w:cs="Calibri"/>
      <w:b/>
      <w:kern w:val="2"/>
      <w:sz w:val="24"/>
      <w:szCs w:val="24"/>
      <w:lang w:val="en-US" w:eastAsia="zh-CN" w:bidi="ar-SA"/>
    </w:rPr>
  </w:style>
  <w:style w:type="paragraph" w:customStyle="1" w:styleId="1769">
    <w:name w:val="样式 样式4 + 首行缩进:  1.92 字符"/>
    <w:basedOn w:val="645"/>
    <w:link w:val="1770"/>
    <w:qFormat/>
    <w:uiPriority w:val="0"/>
    <w:pPr>
      <w:keepNext w:val="0"/>
      <w:keepLines w:val="0"/>
      <w:snapToGrid w:val="0"/>
      <w:spacing w:line="300" w:lineRule="auto"/>
      <w:ind w:firstLine="538" w:firstLineChars="192"/>
      <w:outlineLvl w:val="9"/>
    </w:pPr>
    <w:rPr>
      <w:rFonts w:ascii="Times New Roman" w:hAnsi="Times New Roman"/>
      <w:bCs w:val="0"/>
      <w:sz w:val="28"/>
      <w:szCs w:val="22"/>
    </w:rPr>
  </w:style>
  <w:style w:type="character" w:customStyle="1" w:styleId="1770">
    <w:name w:val="样式 样式4 + 首行缩进:  1.92 字符 Char Char"/>
    <w:link w:val="1769"/>
    <w:qFormat/>
    <w:uiPriority w:val="0"/>
    <w:rPr>
      <w:kern w:val="2"/>
      <w:sz w:val="28"/>
      <w:szCs w:val="22"/>
    </w:rPr>
  </w:style>
  <w:style w:type="paragraph" w:customStyle="1" w:styleId="1771">
    <w:name w:val="列出段落11"/>
    <w:basedOn w:val="1"/>
    <w:qFormat/>
    <w:uiPriority w:val="0"/>
    <w:pPr>
      <w:spacing w:line="440" w:lineRule="exact"/>
      <w:ind w:firstLine="420" w:firstLineChars="200"/>
    </w:pPr>
    <w:rPr>
      <w:sz w:val="24"/>
      <w:szCs w:val="22"/>
    </w:rPr>
  </w:style>
  <w:style w:type="paragraph" w:customStyle="1" w:styleId="1772">
    <w:name w:val="新格式表"/>
    <w:basedOn w:val="1"/>
    <w:link w:val="1773"/>
    <w:qFormat/>
    <w:uiPriority w:val="0"/>
    <w:pPr>
      <w:spacing w:line="360" w:lineRule="exact"/>
      <w:ind w:firstLine="200" w:firstLineChars="200"/>
      <w:jc w:val="center"/>
    </w:pPr>
    <w:rPr>
      <w:rFonts w:ascii="ˎ̥" w:hAnsi="ˎ̥"/>
      <w:b/>
      <w:color w:val="000000"/>
      <w:sz w:val="24"/>
    </w:rPr>
  </w:style>
  <w:style w:type="character" w:customStyle="1" w:styleId="1773">
    <w:name w:val="新格式表 Char"/>
    <w:link w:val="1772"/>
    <w:qFormat/>
    <w:uiPriority w:val="0"/>
    <w:rPr>
      <w:rFonts w:ascii="ˎ̥" w:hAnsi="ˎ̥"/>
      <w:b/>
      <w:snapToGrid/>
      <w:color w:val="000000"/>
      <w:kern w:val="2"/>
      <w:sz w:val="24"/>
      <w:szCs w:val="24"/>
    </w:rPr>
  </w:style>
  <w:style w:type="paragraph" w:customStyle="1" w:styleId="1774">
    <w:name w:val="样式 表头 + 加粗"/>
    <w:basedOn w:val="199"/>
    <w:qFormat/>
    <w:uiPriority w:val="0"/>
    <w:pPr>
      <w:keepNext/>
      <w:adjustRightInd/>
      <w:spacing w:after="60" w:line="360" w:lineRule="exact"/>
      <w:ind w:firstLine="200" w:firstLineChars="200"/>
    </w:pPr>
    <w:rPr>
      <w:rFonts w:ascii="黑体" w:eastAsia="黑体"/>
      <w:spacing w:val="10"/>
      <w:kern w:val="21"/>
      <w:szCs w:val="22"/>
      <w:lang w:val="en-US"/>
    </w:rPr>
  </w:style>
  <w:style w:type="paragraph" w:customStyle="1" w:styleId="1775">
    <w:name w:val="正文7"/>
    <w:basedOn w:val="1"/>
    <w:link w:val="1776"/>
    <w:qFormat/>
    <w:uiPriority w:val="0"/>
    <w:pPr>
      <w:adjustRightInd w:val="0"/>
      <w:spacing w:line="315" w:lineRule="atLeast"/>
      <w:jc w:val="left"/>
      <w:textAlignment w:val="baseline"/>
    </w:pPr>
    <w:rPr>
      <w:rFonts w:ascii="宋体"/>
      <w:kern w:val="0"/>
      <w:sz w:val="24"/>
      <w:szCs w:val="20"/>
    </w:rPr>
  </w:style>
  <w:style w:type="character" w:customStyle="1" w:styleId="1776">
    <w:name w:val="正文 Char2"/>
    <w:link w:val="1775"/>
    <w:qFormat/>
    <w:uiPriority w:val="0"/>
    <w:rPr>
      <w:rFonts w:ascii="宋体"/>
      <w:sz w:val="24"/>
    </w:rPr>
  </w:style>
  <w:style w:type="paragraph" w:customStyle="1" w:styleId="1777">
    <w:name w:val="Char Char Char Char Char Char Char Char Char2"/>
    <w:basedOn w:val="1"/>
    <w:qFormat/>
    <w:uiPriority w:val="0"/>
  </w:style>
  <w:style w:type="paragraph" w:customStyle="1" w:styleId="1778">
    <w:name w:val="Char Char Char Char Char Char Char Char Char Char Char Char1 Char Char Char Char Char Char Char Char Char Char Char Char Char Char Char Char Char Char Char1"/>
    <w:basedOn w:val="1"/>
    <w:qFormat/>
    <w:uiPriority w:val="0"/>
    <w:pPr>
      <w:spacing w:line="360" w:lineRule="auto"/>
      <w:ind w:firstLine="200" w:firstLineChars="200"/>
    </w:pPr>
    <w:rPr>
      <w:rFonts w:ascii="宋体" w:hAnsi="宋体" w:cs="宋体"/>
      <w:sz w:val="24"/>
      <w:szCs w:val="26"/>
    </w:rPr>
  </w:style>
  <w:style w:type="paragraph" w:customStyle="1" w:styleId="1779">
    <w:name w:val="Char Char Char Char Char Char Char2"/>
    <w:basedOn w:val="1"/>
    <w:link w:val="1780"/>
    <w:qFormat/>
    <w:uiPriority w:val="0"/>
  </w:style>
  <w:style w:type="character" w:customStyle="1" w:styleId="1780">
    <w:name w:val="Char Char Char Char Char Char Char Char1"/>
    <w:link w:val="1779"/>
    <w:qFormat/>
    <w:uiPriority w:val="0"/>
    <w:rPr>
      <w:kern w:val="2"/>
      <w:sz w:val="21"/>
      <w:szCs w:val="24"/>
    </w:rPr>
  </w:style>
  <w:style w:type="paragraph" w:customStyle="1" w:styleId="1781">
    <w:name w:val="Char Char1 Char Char Char Char1"/>
    <w:basedOn w:val="1"/>
    <w:qFormat/>
    <w:uiPriority w:val="0"/>
    <w:rPr>
      <w:sz w:val="24"/>
    </w:rPr>
  </w:style>
  <w:style w:type="paragraph" w:customStyle="1" w:styleId="1782">
    <w:name w:val="Char2 Char Char Char Char Char Char1"/>
    <w:basedOn w:val="1"/>
    <w:qFormat/>
    <w:uiPriority w:val="0"/>
  </w:style>
  <w:style w:type="paragraph" w:customStyle="1" w:styleId="1783">
    <w:name w:val="Char Char Char Char12"/>
    <w:basedOn w:val="1"/>
    <w:qFormat/>
    <w:uiPriority w:val="0"/>
    <w:pPr>
      <w:spacing w:line="360" w:lineRule="auto"/>
      <w:ind w:firstLine="200" w:firstLineChars="200"/>
    </w:pPr>
    <w:rPr>
      <w:rFonts w:ascii="宋体" w:hAnsi="宋体" w:cs="宋体"/>
      <w:sz w:val="24"/>
    </w:rPr>
  </w:style>
  <w:style w:type="paragraph" w:customStyle="1" w:styleId="1784">
    <w:name w:val="Char22"/>
    <w:basedOn w:val="1"/>
    <w:qFormat/>
    <w:uiPriority w:val="0"/>
    <w:rPr>
      <w:szCs w:val="21"/>
    </w:rPr>
  </w:style>
  <w:style w:type="paragraph" w:customStyle="1" w:styleId="1785">
    <w:name w:val="Char Char Char Char Char Char2"/>
    <w:basedOn w:val="1"/>
    <w:qFormat/>
    <w:uiPriority w:val="0"/>
    <w:rPr>
      <w:rFonts w:ascii="宋体" w:hAnsi="宋体"/>
      <w:sz w:val="24"/>
    </w:rPr>
  </w:style>
  <w:style w:type="paragraph" w:customStyle="1" w:styleId="1786">
    <w:name w:val="Char Char1 Char1"/>
    <w:basedOn w:val="1"/>
    <w:qFormat/>
    <w:uiPriority w:val="0"/>
  </w:style>
  <w:style w:type="paragraph" w:customStyle="1" w:styleId="1787">
    <w:name w:val="批注框文本3"/>
    <w:basedOn w:val="1"/>
    <w:semiHidden/>
    <w:qFormat/>
    <w:uiPriority w:val="0"/>
    <w:pPr>
      <w:widowControl/>
      <w:autoSpaceDE w:val="0"/>
      <w:autoSpaceDN w:val="0"/>
      <w:jc w:val="left"/>
    </w:pPr>
    <w:rPr>
      <w:rFonts w:ascii="Tahoma" w:hAnsi="Tahoma" w:cs="幼圆"/>
      <w:kern w:val="0"/>
      <w:sz w:val="16"/>
      <w:szCs w:val="16"/>
      <w:lang w:val="en-GB" w:eastAsia="en-GB"/>
    </w:rPr>
  </w:style>
  <w:style w:type="paragraph" w:customStyle="1" w:styleId="1788">
    <w:name w:val="正文8"/>
    <w:qFormat/>
    <w:uiPriority w:val="0"/>
    <w:pPr>
      <w:widowControl w:val="0"/>
      <w:adjustRightInd w:val="0"/>
      <w:spacing w:line="312" w:lineRule="atLeast"/>
      <w:jc w:val="both"/>
      <w:textAlignment w:val="baseline"/>
    </w:pPr>
    <w:rPr>
      <w:rFonts w:ascii="宋体" w:hAnsi="Calibri" w:eastAsia="宋体" w:cs="Calibri"/>
      <w:sz w:val="34"/>
      <w:lang w:val="en-US" w:eastAsia="zh-CN" w:bidi="ar-SA"/>
    </w:rPr>
  </w:style>
  <w:style w:type="character" w:customStyle="1" w:styleId="1789">
    <w:name w:val="Char1 Char Char Char Char Char Char Char Char Char Char Char Char Char Char Char Char Char1"/>
    <w:qFormat/>
    <w:uiPriority w:val="0"/>
    <w:rPr>
      <w:rFonts w:ascii="Arial Narrow" w:hAnsi="Arial Narrow" w:eastAsia="仿宋_GB2312"/>
      <w:sz w:val="24"/>
      <w:szCs w:val="28"/>
      <w:lang w:val="en-US" w:eastAsia="zh-CN" w:bidi="ar-SA"/>
    </w:rPr>
  </w:style>
  <w:style w:type="paragraph" w:customStyle="1" w:styleId="1790">
    <w:name w:val="Char Char3 Char Char Char Char2"/>
    <w:basedOn w:val="1"/>
    <w:qFormat/>
    <w:uiPriority w:val="0"/>
    <w:pPr>
      <w:widowControl/>
      <w:spacing w:line="240" w:lineRule="exact"/>
      <w:jc w:val="left"/>
    </w:pPr>
    <w:rPr>
      <w:rFonts w:ascii="Verdana" w:hAnsi="Verdana"/>
      <w:kern w:val="0"/>
      <w:sz w:val="20"/>
      <w:szCs w:val="20"/>
      <w:lang w:eastAsia="en-US"/>
    </w:rPr>
  </w:style>
  <w:style w:type="paragraph" w:customStyle="1" w:styleId="1791">
    <w:name w:val="Char Char Char Char Char Char Char Char Char Char Char Char Char Char Char Char Char Char Char1"/>
    <w:basedOn w:val="1"/>
    <w:qFormat/>
    <w:uiPriority w:val="0"/>
    <w:rPr>
      <w:rFonts w:eastAsia="Times New Roman"/>
      <w:kern w:val="0"/>
      <w:sz w:val="20"/>
      <w:szCs w:val="20"/>
    </w:rPr>
  </w:style>
  <w:style w:type="character" w:customStyle="1" w:styleId="1792">
    <w:name w:val="Char Char101"/>
    <w:qFormat/>
    <w:uiPriority w:val="0"/>
    <w:rPr>
      <w:rFonts w:eastAsia="宋体"/>
      <w:sz w:val="18"/>
      <w:szCs w:val="18"/>
      <w:lang w:val="zh-CN" w:eastAsia="zh-CN" w:bidi="ar-SA"/>
    </w:rPr>
  </w:style>
  <w:style w:type="paragraph" w:customStyle="1" w:styleId="1793">
    <w:name w:val="Char Char Char Char Char2 Char Char Char Char2"/>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1794">
    <w:name w:val="Char Char Char Char Char Char Char Char Char Char Char Char Char Char Char Char Char Char1"/>
    <w:basedOn w:val="1"/>
    <w:qFormat/>
    <w:uiPriority w:val="0"/>
  </w:style>
  <w:style w:type="paragraph" w:customStyle="1" w:styleId="1795">
    <w:name w:val="Char Char Char Char Char Char Char Char Char Char1"/>
    <w:basedOn w:val="1"/>
    <w:next w:val="1"/>
    <w:qFormat/>
    <w:uiPriority w:val="0"/>
    <w:pPr>
      <w:spacing w:line="360" w:lineRule="auto"/>
      <w:ind w:firstLine="200" w:firstLineChars="200"/>
    </w:pPr>
    <w:rPr>
      <w:rFonts w:ascii="宋体" w:hAnsi="宋体" w:cs="宋体"/>
      <w:sz w:val="24"/>
    </w:rPr>
  </w:style>
  <w:style w:type="paragraph" w:customStyle="1" w:styleId="1796">
    <w:name w:val="Char Char Char Char Char Char Char Char Char Char Char Char1"/>
    <w:basedOn w:val="1"/>
    <w:next w:val="1"/>
    <w:qFormat/>
    <w:uiPriority w:val="0"/>
    <w:pPr>
      <w:spacing w:line="360" w:lineRule="auto"/>
      <w:ind w:firstLine="200" w:firstLineChars="200"/>
    </w:pPr>
    <w:rPr>
      <w:rFonts w:ascii="宋体" w:hAnsi="宋体" w:cs="宋体"/>
      <w:sz w:val="24"/>
    </w:rPr>
  </w:style>
  <w:style w:type="paragraph" w:customStyle="1" w:styleId="1797">
    <w:name w:val="Char Char Char Char Char Char Char Char Char Char Char Char1 Char1"/>
    <w:basedOn w:val="1"/>
    <w:next w:val="1"/>
    <w:qFormat/>
    <w:uiPriority w:val="0"/>
    <w:pPr>
      <w:spacing w:line="360" w:lineRule="auto"/>
      <w:ind w:firstLine="200" w:firstLineChars="200"/>
    </w:pPr>
    <w:rPr>
      <w:rFonts w:ascii="宋体" w:hAnsi="宋体" w:cs="宋体"/>
      <w:sz w:val="24"/>
    </w:rPr>
  </w:style>
  <w:style w:type="paragraph" w:customStyle="1" w:styleId="1798">
    <w:name w:val="Char Char Char Char Char Char1 Char1"/>
    <w:basedOn w:val="1"/>
    <w:qFormat/>
    <w:uiPriority w:val="0"/>
  </w:style>
  <w:style w:type="paragraph" w:customStyle="1" w:styleId="1799">
    <w:name w:val="Char Char Char Char Char Char Char Char Char Char Char Char Char Char Char Char2"/>
    <w:basedOn w:val="1"/>
    <w:qFormat/>
    <w:uiPriority w:val="0"/>
  </w:style>
  <w:style w:type="paragraph" w:customStyle="1" w:styleId="1800">
    <w:name w:val="Char Char Char1 Char Char Char Char Char Char Char Char Char Char Char Char Char Char Char Char Char Char Char1"/>
    <w:basedOn w:val="1"/>
    <w:qFormat/>
    <w:uiPriority w:val="0"/>
  </w:style>
  <w:style w:type="paragraph" w:customStyle="1" w:styleId="1801">
    <w:name w:val="Char Char Char Char Char Char Char Char Char Char Char Char Char Char Char Char Char Char Char Char Char Char Char Char Char Char Char Char Char Char Char Char Char Char Char Char Char Char Char1"/>
    <w:basedOn w:val="1"/>
    <w:qFormat/>
    <w:uiPriority w:val="0"/>
  </w:style>
  <w:style w:type="character" w:customStyle="1" w:styleId="1802">
    <w:name w:val="Char Char171"/>
    <w:qFormat/>
    <w:uiPriority w:val="0"/>
    <w:rPr>
      <w:rFonts w:eastAsia="宋体"/>
      <w:color w:val="000000"/>
      <w:kern w:val="2"/>
      <w:sz w:val="18"/>
      <w:szCs w:val="18"/>
      <w:lang w:val="en-US" w:eastAsia="zh-CN" w:bidi="ar-SA"/>
    </w:rPr>
  </w:style>
  <w:style w:type="paragraph" w:customStyle="1" w:styleId="1803">
    <w:name w:val="Char Char Char2"/>
    <w:basedOn w:val="1"/>
    <w:qFormat/>
    <w:uiPriority w:val="0"/>
    <w:rPr>
      <w:sz w:val="24"/>
    </w:rPr>
  </w:style>
  <w:style w:type="character" w:customStyle="1" w:styleId="1804">
    <w:name w:val="Char Char221"/>
    <w:qFormat/>
    <w:uiPriority w:val="0"/>
    <w:rPr>
      <w:sz w:val="18"/>
      <w:lang w:eastAsia="en-US" w:bidi="en-US"/>
    </w:rPr>
  </w:style>
  <w:style w:type="character" w:customStyle="1" w:styleId="1805">
    <w:name w:val="Char Char211"/>
    <w:qFormat/>
    <w:uiPriority w:val="0"/>
    <w:rPr>
      <w:rFonts w:eastAsia="宋体"/>
      <w:sz w:val="18"/>
    </w:rPr>
  </w:style>
  <w:style w:type="character" w:customStyle="1" w:styleId="1806">
    <w:name w:val="Char Char201"/>
    <w:qFormat/>
    <w:uiPriority w:val="0"/>
    <w:rPr>
      <w:rFonts w:eastAsia="宋体"/>
      <w:sz w:val="18"/>
    </w:rPr>
  </w:style>
  <w:style w:type="character" w:customStyle="1" w:styleId="1807">
    <w:name w:val="Char Char191"/>
    <w:qFormat/>
    <w:uiPriority w:val="0"/>
    <w:rPr>
      <w:rFonts w:ascii="Cambria" w:hAnsi="Cambria" w:eastAsia="宋体"/>
      <w:b/>
      <w:kern w:val="28"/>
      <w:sz w:val="32"/>
    </w:rPr>
  </w:style>
  <w:style w:type="character" w:customStyle="1" w:styleId="1808">
    <w:name w:val="Char Char181"/>
    <w:qFormat/>
    <w:uiPriority w:val="0"/>
    <w:rPr>
      <w:rFonts w:eastAsia="宋体"/>
    </w:rPr>
  </w:style>
  <w:style w:type="character" w:customStyle="1" w:styleId="1809">
    <w:name w:val="Char Char25"/>
    <w:qFormat/>
    <w:uiPriority w:val="0"/>
    <w:rPr>
      <w:rFonts w:ascii="Times New Roman" w:hAnsi="Times New Roman" w:eastAsia="宋体" w:cs="Times New Roman"/>
      <w:szCs w:val="24"/>
    </w:rPr>
  </w:style>
  <w:style w:type="paragraph" w:customStyle="1" w:styleId="1810">
    <w:name w:val="Char Char Char1 Char"/>
    <w:basedOn w:val="1"/>
    <w:qFormat/>
    <w:uiPriority w:val="0"/>
    <w:rPr>
      <w:rFonts w:ascii="宋体" w:hAnsi="Tahoma" w:cs="Tahoma"/>
      <w:sz w:val="20"/>
      <w:szCs w:val="21"/>
    </w:rPr>
  </w:style>
  <w:style w:type="paragraph" w:customStyle="1" w:styleId="1811">
    <w:name w:val="表小5"/>
    <w:basedOn w:val="1"/>
    <w:qFormat/>
    <w:uiPriority w:val="0"/>
    <w:pPr>
      <w:tabs>
        <w:tab w:val="left" w:pos="0"/>
        <w:tab w:val="left" w:pos="2619"/>
      </w:tabs>
      <w:snapToGrid w:val="0"/>
      <w:jc w:val="center"/>
    </w:pPr>
    <w:rPr>
      <w:rFonts w:hAnsi="宋体"/>
      <w:spacing w:val="6"/>
      <w:szCs w:val="20"/>
    </w:rPr>
  </w:style>
  <w:style w:type="paragraph" w:customStyle="1" w:styleId="1812">
    <w:name w:val="样式 小四 行距: 1.5 倍行距"/>
    <w:basedOn w:val="1"/>
    <w:qFormat/>
    <w:uiPriority w:val="0"/>
    <w:pPr>
      <w:spacing w:line="360" w:lineRule="auto"/>
      <w:ind w:firstLine="480" w:firstLineChars="200"/>
    </w:pPr>
    <w:rPr>
      <w:kern w:val="0"/>
      <w:sz w:val="28"/>
      <w:szCs w:val="20"/>
    </w:rPr>
  </w:style>
  <w:style w:type="character" w:customStyle="1" w:styleId="1813">
    <w:name w:val="Date Char"/>
    <w:semiHidden/>
    <w:qFormat/>
    <w:locked/>
    <w:uiPriority w:val="0"/>
    <w:rPr>
      <w:rFonts w:eastAsia="宋体"/>
      <w:kern w:val="2"/>
      <w:sz w:val="21"/>
      <w:szCs w:val="24"/>
      <w:lang w:val="en-US" w:eastAsia="zh-CN" w:bidi="ar-SA"/>
    </w:rPr>
  </w:style>
  <w:style w:type="paragraph" w:customStyle="1" w:styleId="1814">
    <w:name w:val="二级标题 Char Char Char"/>
    <w:basedOn w:val="1"/>
    <w:next w:val="1"/>
    <w:qFormat/>
    <w:uiPriority w:val="0"/>
    <w:pPr>
      <w:spacing w:line="529" w:lineRule="exact"/>
      <w:ind w:firstLine="200" w:firstLineChars="200"/>
    </w:pPr>
    <w:rPr>
      <w:rFonts w:ascii="宋体" w:hAnsi="宋体" w:cs="宋体"/>
      <w:sz w:val="24"/>
    </w:rPr>
  </w:style>
  <w:style w:type="character" w:customStyle="1" w:styleId="1815">
    <w:name w:val="标题 3 Char1 Char Char1"/>
    <w:qFormat/>
    <w:uiPriority w:val="0"/>
    <w:rPr>
      <w:rFonts w:eastAsia="宋体"/>
      <w:b/>
      <w:bCs/>
      <w:kern w:val="2"/>
      <w:sz w:val="32"/>
      <w:szCs w:val="32"/>
      <w:lang w:val="en-US" w:eastAsia="zh-CN" w:bidi="ar-SA"/>
    </w:rPr>
  </w:style>
  <w:style w:type="character" w:customStyle="1" w:styleId="1816">
    <w:name w:val="c1"/>
    <w:qFormat/>
    <w:uiPriority w:val="0"/>
    <w:rPr>
      <w:rFonts w:hint="default" w:ascii="ˎ̥" w:hAnsi="ˎ̥"/>
      <w:color w:val="000000"/>
      <w:sz w:val="21"/>
      <w:szCs w:val="21"/>
      <w:u w:val="none"/>
    </w:rPr>
  </w:style>
  <w:style w:type="paragraph" w:customStyle="1" w:styleId="1817">
    <w:name w:val="正文排版"/>
    <w:basedOn w:val="1"/>
    <w:qFormat/>
    <w:uiPriority w:val="0"/>
    <w:pPr>
      <w:spacing w:line="500" w:lineRule="exact"/>
      <w:ind w:firstLine="560" w:firstLineChars="200"/>
    </w:pPr>
    <w:rPr>
      <w:rFonts w:ascii="宋体" w:hAnsi="宋体"/>
      <w:color w:val="000000"/>
      <w:sz w:val="28"/>
      <w:szCs w:val="28"/>
    </w:rPr>
  </w:style>
  <w:style w:type="paragraph" w:customStyle="1" w:styleId="1818">
    <w:name w:val="Char Char Char Char Char Char Char Char Char Char Char Char Char"/>
    <w:basedOn w:val="1"/>
    <w:qFormat/>
    <w:uiPriority w:val="0"/>
    <w:pPr>
      <w:spacing w:line="360" w:lineRule="auto"/>
      <w:ind w:firstLine="200" w:firstLineChars="200"/>
    </w:pPr>
    <w:rPr>
      <w:rFonts w:ascii="宋体" w:hAnsi="宋体" w:cs="宋体"/>
      <w:sz w:val="24"/>
    </w:rPr>
  </w:style>
  <w:style w:type="character" w:customStyle="1" w:styleId="1819">
    <w:name w:val="wbz2"/>
    <w:qFormat/>
    <w:uiPriority w:val="0"/>
    <w:rPr>
      <w:rFonts w:hint="default"/>
      <w:color w:val="000000"/>
      <w:spacing w:val="0"/>
      <w:sz w:val="18"/>
      <w:szCs w:val="18"/>
      <w:u w:val="none"/>
    </w:rPr>
  </w:style>
  <w:style w:type="character" w:customStyle="1" w:styleId="1820">
    <w:name w:val="ft42"/>
    <w:qFormat/>
    <w:uiPriority w:val="0"/>
    <w:rPr>
      <w:rFonts w:hint="default" w:ascii="Times" w:hAnsi="Times" w:cs="Times"/>
      <w:color w:val="000000"/>
      <w:sz w:val="27"/>
      <w:szCs w:val="27"/>
    </w:rPr>
  </w:style>
  <w:style w:type="character" w:customStyle="1" w:styleId="1821">
    <w:name w:val="ft44"/>
    <w:qFormat/>
    <w:uiPriority w:val="0"/>
    <w:rPr>
      <w:rFonts w:hint="default" w:ascii="Times" w:hAnsi="Times" w:cs="Times"/>
      <w:color w:val="000000"/>
      <w:sz w:val="11"/>
      <w:szCs w:val="11"/>
    </w:rPr>
  </w:style>
  <w:style w:type="character" w:customStyle="1" w:styleId="1822">
    <w:name w:val="ft610"/>
    <w:qFormat/>
    <w:uiPriority w:val="0"/>
    <w:rPr>
      <w:rFonts w:hint="default" w:ascii="Times" w:hAnsi="Times" w:cs="Times"/>
      <w:color w:val="000000"/>
      <w:sz w:val="24"/>
      <w:szCs w:val="24"/>
    </w:rPr>
  </w:style>
  <w:style w:type="character" w:customStyle="1" w:styleId="1823">
    <w:name w:val="ft183"/>
    <w:qFormat/>
    <w:uiPriority w:val="0"/>
    <w:rPr>
      <w:rFonts w:hint="default" w:ascii="Times" w:hAnsi="Times" w:cs="Times"/>
      <w:color w:val="000000"/>
      <w:sz w:val="24"/>
      <w:szCs w:val="24"/>
    </w:rPr>
  </w:style>
  <w:style w:type="character" w:customStyle="1" w:styleId="1824">
    <w:name w:val="jj1"/>
    <w:qFormat/>
    <w:uiPriority w:val="0"/>
  </w:style>
  <w:style w:type="character" w:customStyle="1" w:styleId="1825">
    <w:name w:val="wangyong1"/>
    <w:qFormat/>
    <w:uiPriority w:val="0"/>
    <w:rPr>
      <w:rFonts w:hint="default"/>
      <w:color w:val="000000"/>
      <w:sz w:val="18"/>
      <w:szCs w:val="18"/>
      <w:u w:val="none"/>
    </w:rPr>
  </w:style>
  <w:style w:type="character" w:customStyle="1" w:styleId="1826">
    <w:name w:val="第四层条 Char Char"/>
    <w:qFormat/>
    <w:uiPriority w:val="0"/>
    <w:rPr>
      <w:rFonts w:eastAsia="宋体"/>
      <w:b/>
      <w:kern w:val="2"/>
      <w:sz w:val="28"/>
      <w:lang w:val="en-US" w:eastAsia="zh-CN" w:bidi="ar-SA"/>
    </w:rPr>
  </w:style>
  <w:style w:type="character" w:customStyle="1" w:styleId="1827">
    <w:name w:val="第五层条 Char Char"/>
    <w:qFormat/>
    <w:uiPriority w:val="0"/>
    <w:rPr>
      <w:rFonts w:ascii="Arial" w:hAnsi="Arial" w:eastAsia="黑体"/>
      <w:b/>
      <w:bCs/>
      <w:kern w:val="2"/>
      <w:sz w:val="24"/>
      <w:szCs w:val="24"/>
      <w:lang w:val="en-US" w:eastAsia="zh-CN" w:bidi="ar-SA"/>
    </w:rPr>
  </w:style>
  <w:style w:type="character" w:customStyle="1" w:styleId="1828">
    <w:name w:val="表中文字 Char Char"/>
    <w:qFormat/>
    <w:uiPriority w:val="0"/>
    <w:rPr>
      <w:rFonts w:ascii="宋体" w:hAnsi="宋体" w:eastAsia="宋体"/>
      <w:kern w:val="2"/>
      <w:sz w:val="24"/>
      <w:szCs w:val="24"/>
      <w:lang w:val="en-US" w:eastAsia="zh-CN" w:bidi="ar-SA"/>
    </w:rPr>
  </w:style>
  <w:style w:type="character" w:customStyle="1" w:styleId="1829">
    <w:name w:val="14red1"/>
    <w:qFormat/>
    <w:uiPriority w:val="0"/>
    <w:rPr>
      <w:color w:val="FF0000"/>
      <w:sz w:val="21"/>
      <w:szCs w:val="21"/>
      <w:u w:val="none"/>
    </w:rPr>
  </w:style>
  <w:style w:type="paragraph" w:customStyle="1" w:styleId="1830">
    <w:name w:val="样式 标题 1 + 小四"/>
    <w:basedOn w:val="5"/>
    <w:qFormat/>
    <w:uiPriority w:val="0"/>
    <w:pPr>
      <w:keepLines/>
      <w:overflowPunct/>
      <w:snapToGrid/>
      <w:spacing w:before="0" w:beforeLines="10" w:after="0" w:afterLines="10" w:line="578" w:lineRule="auto"/>
      <w:ind w:left="0" w:firstLine="200" w:firstLineChars="200"/>
    </w:pPr>
    <w:rPr>
      <w:rFonts w:eastAsia="宋体"/>
      <w:color w:val="auto"/>
      <w:sz w:val="44"/>
      <w:szCs w:val="44"/>
    </w:rPr>
  </w:style>
  <w:style w:type="character" w:customStyle="1" w:styleId="1831">
    <w:name w:val="smessage_content"/>
    <w:qFormat/>
    <w:uiPriority w:val="0"/>
  </w:style>
  <w:style w:type="character" w:customStyle="1" w:styleId="1832">
    <w:name w:val="表头 Char Char"/>
    <w:qFormat/>
    <w:uiPriority w:val="0"/>
    <w:rPr>
      <w:rFonts w:ascii="黑体" w:eastAsia="黑体"/>
      <w:kern w:val="2"/>
      <w:sz w:val="21"/>
      <w:lang w:val="en-US" w:eastAsia="zh-CN" w:bidi="ar-SA"/>
    </w:rPr>
  </w:style>
  <w:style w:type="paragraph" w:customStyle="1" w:styleId="1833">
    <w:name w:val="表格字"/>
    <w:basedOn w:val="64"/>
    <w:qFormat/>
    <w:uiPriority w:val="0"/>
    <w:pPr>
      <w:spacing w:line="380" w:lineRule="exact"/>
      <w:ind w:left="0" w:firstLine="0" w:firstLineChars="0"/>
      <w:jc w:val="center"/>
    </w:pPr>
    <w:rPr>
      <w:szCs w:val="21"/>
    </w:rPr>
  </w:style>
  <w:style w:type="paragraph" w:customStyle="1" w:styleId="1834">
    <w:name w:val="正文1 Char Char Char"/>
    <w:basedOn w:val="1"/>
    <w:qFormat/>
    <w:uiPriority w:val="0"/>
    <w:pPr>
      <w:spacing w:line="560" w:lineRule="exact"/>
      <w:ind w:firstLine="200" w:firstLineChars="200"/>
    </w:pPr>
    <w:rPr>
      <w:rFonts w:ascii="宋体" w:hAnsi="宋体" w:cs="宋体"/>
      <w:sz w:val="24"/>
    </w:rPr>
  </w:style>
  <w:style w:type="paragraph" w:customStyle="1" w:styleId="1835">
    <w:name w:val="样式12q"/>
    <w:basedOn w:val="1"/>
    <w:link w:val="1836"/>
    <w:qFormat/>
    <w:uiPriority w:val="0"/>
    <w:pPr>
      <w:spacing w:line="360" w:lineRule="auto"/>
      <w:ind w:firstLine="560" w:firstLineChars="200"/>
    </w:pPr>
    <w:rPr>
      <w:sz w:val="28"/>
      <w:szCs w:val="28"/>
    </w:rPr>
  </w:style>
  <w:style w:type="character" w:customStyle="1" w:styleId="1836">
    <w:name w:val="样式12q Char"/>
    <w:link w:val="1835"/>
    <w:qFormat/>
    <w:uiPriority w:val="0"/>
    <w:rPr>
      <w:kern w:val="2"/>
      <w:sz w:val="28"/>
      <w:szCs w:val="28"/>
    </w:rPr>
  </w:style>
  <w:style w:type="paragraph" w:customStyle="1" w:styleId="1837">
    <w:name w:val="标题 3，BSH-3条标题1.1.1"/>
    <w:basedOn w:val="7"/>
    <w:link w:val="1838"/>
    <w:qFormat/>
    <w:uiPriority w:val="0"/>
    <w:pPr>
      <w:widowControl w:val="0"/>
      <w:adjustRightInd/>
      <w:snapToGrid/>
      <w:spacing w:before="120" w:beforeLines="10" w:after="120" w:afterLines="10"/>
      <w:ind w:left="720" w:hanging="432" w:firstLineChars="200"/>
      <w:jc w:val="both"/>
    </w:pPr>
    <w:rPr>
      <w:rFonts w:ascii="Times New Roman" w:hAnsi="Times New Roman"/>
      <w:lang w:val="en-US"/>
    </w:rPr>
  </w:style>
  <w:style w:type="character" w:customStyle="1" w:styleId="1838">
    <w:name w:val="标题 3，BSH-3条标题1.1.1 Char Char"/>
    <w:link w:val="1837"/>
    <w:qFormat/>
    <w:uiPriority w:val="0"/>
    <w:rPr>
      <w:b/>
      <w:bCs/>
      <w:kern w:val="2"/>
      <w:sz w:val="32"/>
      <w:szCs w:val="32"/>
    </w:rPr>
  </w:style>
  <w:style w:type="paragraph" w:customStyle="1" w:styleId="1839">
    <w:name w:val="样式 标题 2节标题 1.11.1标题2SeBSH-2h2l22nd levelTitre22Header ..."/>
    <w:basedOn w:val="6"/>
    <w:link w:val="1840"/>
    <w:qFormat/>
    <w:uiPriority w:val="0"/>
    <w:pPr>
      <w:spacing w:beforeLines="10" w:afterLines="10"/>
      <w:ind w:firstLine="200" w:firstLineChars="200"/>
    </w:pPr>
    <w:rPr>
      <w:rFonts w:ascii="Cambria" w:hAnsi="Cambria" w:eastAsia="宋体"/>
    </w:rPr>
  </w:style>
  <w:style w:type="character" w:customStyle="1" w:styleId="1840">
    <w:name w:val="样式 标题 2节标题 1.11.1标题2SeBSH-2h2l22nd levelTitre22Header ... Char"/>
    <w:link w:val="1839"/>
    <w:qFormat/>
    <w:uiPriority w:val="0"/>
    <w:rPr>
      <w:rFonts w:ascii="Cambria" w:hAnsi="Cambria"/>
      <w:b/>
      <w:bCs/>
      <w:kern w:val="2"/>
      <w:sz w:val="32"/>
      <w:szCs w:val="32"/>
    </w:rPr>
  </w:style>
  <w:style w:type="paragraph" w:customStyle="1" w:styleId="1841">
    <w:name w:val="正文：段落格式"/>
    <w:basedOn w:val="1"/>
    <w:link w:val="1842"/>
    <w:qFormat/>
    <w:uiPriority w:val="0"/>
    <w:pPr>
      <w:tabs>
        <w:tab w:val="left" w:pos="1440"/>
      </w:tabs>
      <w:adjustRightInd w:val="0"/>
      <w:snapToGrid w:val="0"/>
      <w:spacing w:line="440" w:lineRule="atLeast"/>
      <w:ind w:left="1440" w:hanging="360"/>
    </w:pPr>
    <w:rPr>
      <w:rFonts w:ascii="宋体" w:hAnsi="宋体"/>
      <w:color w:val="000000"/>
      <w:kern w:val="15"/>
      <w:sz w:val="24"/>
    </w:rPr>
  </w:style>
  <w:style w:type="character" w:customStyle="1" w:styleId="1842">
    <w:name w:val="正文：段落格式 Char"/>
    <w:link w:val="1841"/>
    <w:qFormat/>
    <w:uiPriority w:val="0"/>
    <w:rPr>
      <w:rFonts w:ascii="宋体" w:hAnsi="宋体"/>
      <w:color w:val="000000"/>
      <w:kern w:val="15"/>
      <w:sz w:val="24"/>
      <w:szCs w:val="24"/>
    </w:rPr>
  </w:style>
  <w:style w:type="paragraph" w:customStyle="1" w:styleId="1843">
    <w:name w:val="样式 样式 正文缩进s4 + 首行缩进:  2 字符 + 首行缩进:  2 字符"/>
    <w:basedOn w:val="1"/>
    <w:qFormat/>
    <w:uiPriority w:val="0"/>
    <w:pPr>
      <w:adjustRightInd w:val="0"/>
      <w:snapToGrid w:val="0"/>
      <w:spacing w:line="336" w:lineRule="auto"/>
      <w:ind w:firstLine="545" w:firstLineChars="227"/>
    </w:pPr>
    <w:rPr>
      <w:rFonts w:ascii="宋体" w:hAnsi="宋体"/>
      <w:color w:val="000000"/>
      <w:sz w:val="28"/>
      <w:szCs w:val="20"/>
    </w:rPr>
  </w:style>
  <w:style w:type="paragraph" w:customStyle="1" w:styleId="1844">
    <w:name w:val="正文文本最新 Char Char Char Char1 Char"/>
    <w:basedOn w:val="1"/>
    <w:link w:val="1845"/>
    <w:qFormat/>
    <w:uiPriority w:val="0"/>
    <w:pPr>
      <w:spacing w:line="360" w:lineRule="auto"/>
      <w:ind w:firstLine="200" w:firstLineChars="200"/>
    </w:pPr>
    <w:rPr>
      <w:bCs/>
      <w:sz w:val="28"/>
    </w:rPr>
  </w:style>
  <w:style w:type="character" w:customStyle="1" w:styleId="1845">
    <w:name w:val="正文文本最新 Char Char Char Char1 Char Char"/>
    <w:link w:val="1844"/>
    <w:qFormat/>
    <w:uiPriority w:val="0"/>
    <w:rPr>
      <w:bCs/>
      <w:kern w:val="2"/>
      <w:sz w:val="28"/>
      <w:szCs w:val="24"/>
    </w:rPr>
  </w:style>
  <w:style w:type="paragraph" w:customStyle="1" w:styleId="1846">
    <w:name w:val="标题1q"/>
    <w:basedOn w:val="1"/>
    <w:next w:val="1"/>
    <w:qFormat/>
    <w:uiPriority w:val="0"/>
    <w:pPr>
      <w:spacing w:line="360" w:lineRule="auto"/>
      <w:ind w:left="431" w:firstLine="200" w:firstLineChars="200"/>
      <w:jc w:val="center"/>
    </w:pPr>
    <w:rPr>
      <w:szCs w:val="20"/>
    </w:rPr>
  </w:style>
  <w:style w:type="character" w:customStyle="1" w:styleId="1847">
    <w:name w:val="正文 宋体 小四 Char"/>
    <w:link w:val="1848"/>
    <w:qFormat/>
    <w:uiPriority w:val="0"/>
    <w:rPr>
      <w:rFonts w:ascii="宋体" w:hAnsi="宋体"/>
      <w:sz w:val="24"/>
    </w:rPr>
  </w:style>
  <w:style w:type="paragraph" w:customStyle="1" w:styleId="1848">
    <w:name w:val="正文 宋体 小四"/>
    <w:basedOn w:val="1"/>
    <w:link w:val="1847"/>
    <w:qFormat/>
    <w:uiPriority w:val="0"/>
    <w:pPr>
      <w:spacing w:line="360" w:lineRule="auto"/>
      <w:ind w:firstLine="480"/>
    </w:pPr>
    <w:rPr>
      <w:rFonts w:ascii="宋体" w:hAnsi="宋体"/>
      <w:kern w:val="0"/>
      <w:sz w:val="24"/>
      <w:szCs w:val="20"/>
    </w:rPr>
  </w:style>
  <w:style w:type="character" w:customStyle="1" w:styleId="1849">
    <w:name w:val="四号仿宋左空1格行距1倍 Char Char"/>
    <w:qFormat/>
    <w:locked/>
    <w:uiPriority w:val="0"/>
    <w:rPr>
      <w:rFonts w:ascii="Arial" w:hAnsi="Arial" w:eastAsia="黑体"/>
      <w:b/>
      <w:kern w:val="2"/>
      <w:sz w:val="28"/>
      <w:lang w:val="en-US" w:eastAsia="zh-CN" w:bidi="ar-SA"/>
    </w:rPr>
  </w:style>
  <w:style w:type="paragraph" w:customStyle="1" w:styleId="1850">
    <w:name w:val="L正文"/>
    <w:basedOn w:val="1"/>
    <w:link w:val="1851"/>
    <w:qFormat/>
    <w:uiPriority w:val="0"/>
    <w:pPr>
      <w:autoSpaceDE w:val="0"/>
      <w:autoSpaceDN w:val="0"/>
      <w:adjustRightInd w:val="0"/>
      <w:snapToGrid w:val="0"/>
      <w:spacing w:line="360" w:lineRule="auto"/>
      <w:ind w:firstLine="200" w:firstLineChars="200"/>
    </w:pPr>
    <w:rPr>
      <w:rFonts w:cs="宋体"/>
      <w:bCs/>
      <w:kern w:val="0"/>
      <w:sz w:val="26"/>
      <w:szCs w:val="26"/>
    </w:rPr>
  </w:style>
  <w:style w:type="character" w:customStyle="1" w:styleId="1851">
    <w:name w:val="L正文 Char"/>
    <w:link w:val="1850"/>
    <w:qFormat/>
    <w:uiPriority w:val="0"/>
    <w:rPr>
      <w:rFonts w:cs="宋体"/>
      <w:bCs/>
      <w:snapToGrid/>
      <w:sz w:val="26"/>
      <w:szCs w:val="26"/>
    </w:rPr>
  </w:style>
  <w:style w:type="character" w:customStyle="1" w:styleId="1852">
    <w:name w:val="图表名 Char1"/>
    <w:qFormat/>
    <w:uiPriority w:val="0"/>
    <w:rPr>
      <w:rFonts w:eastAsia="黑体"/>
      <w:sz w:val="28"/>
      <w:szCs w:val="28"/>
      <w:lang w:val="en-US" w:eastAsia="zh-CN" w:bidi="ar-SA"/>
    </w:rPr>
  </w:style>
  <w:style w:type="character" w:customStyle="1" w:styleId="1853">
    <w:name w:val="电脑标志 Char Char"/>
    <w:qFormat/>
    <w:uiPriority w:val="0"/>
    <w:rPr>
      <w:rFonts w:ascii="Arial" w:hAnsi="Arial" w:eastAsia="黑体"/>
      <w:b/>
      <w:bCs/>
      <w:kern w:val="2"/>
      <w:sz w:val="32"/>
      <w:szCs w:val="32"/>
      <w:lang w:val="en-US" w:eastAsia="zh-CN" w:bidi="ar-SA"/>
    </w:rPr>
  </w:style>
  <w:style w:type="paragraph" w:customStyle="1" w:styleId="1854">
    <w:name w:val="表格文字5号"/>
    <w:basedOn w:val="1"/>
    <w:qFormat/>
    <w:uiPriority w:val="0"/>
    <w:pPr>
      <w:spacing w:line="280" w:lineRule="exact"/>
      <w:ind w:firstLine="200" w:firstLineChars="200"/>
      <w:jc w:val="center"/>
    </w:pPr>
    <w:rPr>
      <w:rFonts w:ascii="仿宋_GB2312" w:eastAsia="仿宋_GB2312"/>
    </w:rPr>
  </w:style>
  <w:style w:type="paragraph" w:customStyle="1" w:styleId="1855">
    <w:name w:val="表格文字小四号"/>
    <w:qFormat/>
    <w:uiPriority w:val="0"/>
    <w:pPr>
      <w:widowControl w:val="0"/>
      <w:spacing w:line="480" w:lineRule="exact"/>
      <w:jc w:val="center"/>
    </w:pPr>
    <w:rPr>
      <w:rFonts w:ascii="宋体" w:hAnsi="Calibri" w:eastAsia="宋体" w:cs="Calibri"/>
      <w:sz w:val="28"/>
      <w:szCs w:val="24"/>
      <w:lang w:val="en-US" w:eastAsia="zh-CN" w:bidi="ar-SA"/>
    </w:rPr>
  </w:style>
  <w:style w:type="paragraph" w:customStyle="1" w:styleId="1856">
    <w:name w:val="表格文字：灌溉制度"/>
    <w:basedOn w:val="45"/>
    <w:qFormat/>
    <w:uiPriority w:val="0"/>
    <w:pPr>
      <w:suppressAutoHyphens w:val="0"/>
      <w:autoSpaceDN/>
      <w:spacing w:line="240" w:lineRule="exact"/>
      <w:jc w:val="center"/>
      <w:textAlignment w:val="auto"/>
    </w:pPr>
    <w:rPr>
      <w:rFonts w:ascii="仿宋_GB2312" w:eastAsia="仿宋_GB2312"/>
      <w:kern w:val="2"/>
      <w:sz w:val="24"/>
      <w:szCs w:val="24"/>
    </w:rPr>
  </w:style>
  <w:style w:type="paragraph" w:customStyle="1" w:styleId="1857">
    <w:name w:val="样式 首行缩进:  2 字符1"/>
    <w:basedOn w:val="1"/>
    <w:qFormat/>
    <w:uiPriority w:val="0"/>
    <w:pPr>
      <w:spacing w:line="560" w:lineRule="exact"/>
      <w:ind w:right="272" w:firstLine="480" w:firstLineChars="200"/>
    </w:pPr>
    <w:rPr>
      <w:rFonts w:ascii="仿宋_GB2312" w:eastAsia="仿宋_GB2312" w:cs="宋体"/>
      <w:kern w:val="0"/>
      <w:sz w:val="24"/>
      <w:szCs w:val="20"/>
    </w:rPr>
  </w:style>
  <w:style w:type="character" w:customStyle="1" w:styleId="1858">
    <w:name w:val="样式 自动设置"/>
    <w:qFormat/>
    <w:uiPriority w:val="0"/>
    <w:rPr>
      <w:color w:val="auto"/>
    </w:rPr>
  </w:style>
  <w:style w:type="paragraph" w:customStyle="1" w:styleId="1859">
    <w:name w:val="line20"/>
    <w:basedOn w:val="1"/>
    <w:qFormat/>
    <w:uiPriority w:val="0"/>
    <w:pPr>
      <w:widowControl/>
      <w:spacing w:beforeAutospacing="1" w:afterAutospacing="1" w:line="315" w:lineRule="atLeast"/>
      <w:ind w:firstLine="200" w:firstLineChars="200"/>
      <w:jc w:val="left"/>
    </w:pPr>
    <w:rPr>
      <w:rFonts w:ascii="仿宋_GB2312" w:hAnsi="宋体" w:eastAsia="仿宋_GB2312" w:cs="宋体"/>
      <w:kern w:val="0"/>
      <w:sz w:val="24"/>
    </w:rPr>
  </w:style>
  <w:style w:type="character" w:customStyle="1" w:styleId="1860">
    <w:name w:val="content21"/>
    <w:qFormat/>
    <w:uiPriority w:val="0"/>
    <w:rPr>
      <w:color w:val="000000"/>
      <w:sz w:val="18"/>
      <w:szCs w:val="18"/>
    </w:rPr>
  </w:style>
  <w:style w:type="paragraph" w:customStyle="1" w:styleId="1861">
    <w:name w:val="表格文字小5号"/>
    <w:qFormat/>
    <w:uiPriority w:val="0"/>
    <w:pPr>
      <w:widowControl w:val="0"/>
      <w:spacing w:line="240" w:lineRule="exact"/>
      <w:jc w:val="center"/>
    </w:pPr>
    <w:rPr>
      <w:rFonts w:ascii="宋体" w:hAnsi="宋体" w:eastAsia="宋体" w:cs="Calibri"/>
      <w:kern w:val="2"/>
      <w:sz w:val="18"/>
      <w:szCs w:val="18"/>
      <w:lang w:val="en-US" w:eastAsia="zh-CN" w:bidi="ar-SA"/>
    </w:rPr>
  </w:style>
  <w:style w:type="character" w:customStyle="1" w:styleId="1862">
    <w:name w:val="14hei1"/>
    <w:qFormat/>
    <w:uiPriority w:val="0"/>
    <w:rPr>
      <w:color w:val="000000"/>
      <w:sz w:val="28"/>
      <w:szCs w:val="28"/>
      <w:u w:val="none"/>
    </w:rPr>
  </w:style>
  <w:style w:type="paragraph" w:customStyle="1" w:styleId="1863">
    <w:name w:val="扉页文字"/>
    <w:next w:val="1"/>
    <w:qFormat/>
    <w:uiPriority w:val="0"/>
    <w:pPr>
      <w:widowControl w:val="0"/>
      <w:spacing w:line="760" w:lineRule="exact"/>
      <w:ind w:firstLine="400" w:firstLineChars="400"/>
    </w:pPr>
    <w:rPr>
      <w:rFonts w:ascii="宋体" w:hAnsi="Calibri" w:eastAsia="宋体" w:cs="Calibri"/>
      <w:kern w:val="2"/>
      <w:sz w:val="28"/>
      <w:szCs w:val="32"/>
      <w:lang w:val="en-US" w:eastAsia="zh-CN" w:bidi="ar-SA"/>
    </w:rPr>
  </w:style>
  <w:style w:type="paragraph" w:customStyle="1" w:styleId="1864">
    <w:name w:val="表头+单位"/>
    <w:basedOn w:val="64"/>
    <w:qFormat/>
    <w:uiPriority w:val="0"/>
    <w:pPr>
      <w:keepNext/>
      <w:ind w:left="0" w:firstLine="0" w:firstLineChars="0"/>
      <w:jc w:val="right"/>
    </w:pPr>
    <w:rPr>
      <w:rFonts w:ascii="黑体" w:eastAsia="黑体"/>
      <w:sz w:val="28"/>
    </w:rPr>
  </w:style>
  <w:style w:type="paragraph" w:customStyle="1" w:styleId="1865">
    <w:name w:val="样式 表格文字 + (符号) 宋体 五号 首行缩进:  0.74 厘米"/>
    <w:basedOn w:val="45"/>
    <w:qFormat/>
    <w:uiPriority w:val="0"/>
    <w:pPr>
      <w:widowControl/>
      <w:suppressAutoHyphens w:val="0"/>
      <w:autoSpaceDN/>
      <w:spacing w:line="340" w:lineRule="exact"/>
      <w:jc w:val="center"/>
      <w:textAlignment w:val="auto"/>
    </w:pPr>
    <w:rPr>
      <w:rFonts w:ascii="仿宋_GB2312" w:eastAsia="仿宋_GB2312" w:cs="宋体"/>
      <w:kern w:val="0"/>
    </w:rPr>
  </w:style>
  <w:style w:type="paragraph" w:customStyle="1" w:styleId="1866">
    <w:name w:val="表格单位"/>
    <w:basedOn w:val="1"/>
    <w:qFormat/>
    <w:uiPriority w:val="0"/>
    <w:pPr>
      <w:spacing w:line="320" w:lineRule="exact"/>
      <w:ind w:firstLine="200" w:firstLineChars="200"/>
      <w:jc w:val="right"/>
    </w:pPr>
    <w:rPr>
      <w:rFonts w:ascii="仿宋_GB2312" w:eastAsia="仿宋_GB2312"/>
      <w:sz w:val="24"/>
    </w:rPr>
  </w:style>
  <w:style w:type="paragraph" w:customStyle="1" w:styleId="1867">
    <w:name w:val="样式 表头 + 首行缩进:  0.97 厘米"/>
    <w:basedOn w:val="64"/>
    <w:qFormat/>
    <w:uiPriority w:val="0"/>
    <w:pPr>
      <w:keepNext/>
      <w:ind w:left="0" w:firstLine="0" w:firstLineChars="0"/>
      <w:jc w:val="center"/>
    </w:pPr>
    <w:rPr>
      <w:rFonts w:ascii="黑体" w:eastAsia="黑体" w:cs="宋体"/>
      <w:sz w:val="28"/>
      <w:szCs w:val="20"/>
    </w:rPr>
  </w:style>
  <w:style w:type="paragraph" w:customStyle="1" w:styleId="1868">
    <w:name w:val="样式 表头 + 首行缩进:  0.97 厘米1"/>
    <w:basedOn w:val="64"/>
    <w:qFormat/>
    <w:uiPriority w:val="0"/>
    <w:pPr>
      <w:keepNext/>
      <w:ind w:left="0" w:firstLine="0" w:firstLineChars="0"/>
      <w:jc w:val="center"/>
    </w:pPr>
    <w:rPr>
      <w:rFonts w:ascii="黑体" w:eastAsia="黑体" w:cs="宋体"/>
      <w:sz w:val="28"/>
      <w:szCs w:val="20"/>
    </w:rPr>
  </w:style>
  <w:style w:type="paragraph" w:customStyle="1" w:styleId="1869">
    <w:name w:val="样式 表头 + 首行缩进:  0.99 厘米"/>
    <w:basedOn w:val="64"/>
    <w:qFormat/>
    <w:uiPriority w:val="0"/>
    <w:pPr>
      <w:keepNext/>
      <w:ind w:left="0" w:firstLine="0" w:firstLineChars="0"/>
      <w:jc w:val="center"/>
    </w:pPr>
    <w:rPr>
      <w:rFonts w:ascii="黑体" w:eastAsia="黑体" w:cs="宋体"/>
      <w:sz w:val="28"/>
      <w:szCs w:val="20"/>
    </w:rPr>
  </w:style>
  <w:style w:type="paragraph" w:customStyle="1" w:styleId="1870">
    <w:name w:val="样式 表头 + 五号"/>
    <w:basedOn w:val="64"/>
    <w:link w:val="1871"/>
    <w:qFormat/>
    <w:uiPriority w:val="0"/>
    <w:pPr>
      <w:keepNext/>
      <w:ind w:left="0" w:firstLine="0" w:firstLineChars="0"/>
      <w:jc w:val="center"/>
    </w:pPr>
    <w:rPr>
      <w:rFonts w:ascii="黑体" w:eastAsia="黑体"/>
      <w:sz w:val="24"/>
    </w:rPr>
  </w:style>
  <w:style w:type="character" w:customStyle="1" w:styleId="1871">
    <w:name w:val="样式 表头 + 五号 Char"/>
    <w:link w:val="1870"/>
    <w:qFormat/>
    <w:uiPriority w:val="0"/>
    <w:rPr>
      <w:rFonts w:ascii="黑体" w:eastAsia="黑体"/>
      <w:kern w:val="2"/>
      <w:sz w:val="24"/>
      <w:szCs w:val="24"/>
    </w:rPr>
  </w:style>
  <w:style w:type="paragraph" w:customStyle="1" w:styleId="1872">
    <w:name w:val="4表中文字"/>
    <w:basedOn w:val="1"/>
    <w:qFormat/>
    <w:uiPriority w:val="0"/>
    <w:pPr>
      <w:tabs>
        <w:tab w:val="left" w:pos="6195"/>
      </w:tabs>
      <w:autoSpaceDE w:val="0"/>
      <w:autoSpaceDN w:val="0"/>
      <w:adjustRightInd w:val="0"/>
      <w:ind w:firstLine="200" w:firstLineChars="200"/>
      <w:jc w:val="center"/>
    </w:pPr>
    <w:rPr>
      <w:rFonts w:ascii="仿宋_GB2312" w:eastAsia="仿宋_GB2312"/>
      <w:kern w:val="0"/>
      <w:sz w:val="24"/>
    </w:rPr>
  </w:style>
  <w:style w:type="paragraph" w:customStyle="1" w:styleId="1873">
    <w:name w:val="参考文献"/>
    <w:basedOn w:val="1"/>
    <w:qFormat/>
    <w:uiPriority w:val="0"/>
    <w:pPr>
      <w:widowControl/>
      <w:autoSpaceDE w:val="0"/>
      <w:autoSpaceDN w:val="0"/>
      <w:adjustRightInd w:val="0"/>
      <w:spacing w:line="318" w:lineRule="atLeast"/>
      <w:ind w:firstLine="200" w:firstLineChars="200"/>
      <w:textAlignment w:val="bottom"/>
    </w:pPr>
    <w:rPr>
      <w:rFonts w:eastAsia="仿宋_GB2312"/>
      <w:kern w:val="0"/>
      <w:szCs w:val="20"/>
    </w:rPr>
  </w:style>
  <w:style w:type="paragraph" w:customStyle="1" w:styleId="1874">
    <w:name w:val="附件名"/>
    <w:qFormat/>
    <w:uiPriority w:val="0"/>
    <w:pPr>
      <w:jc w:val="center"/>
    </w:pPr>
    <w:rPr>
      <w:rFonts w:ascii="Calibri" w:hAnsi="Calibri" w:eastAsia="黑体" w:cs="Calibri"/>
      <w:sz w:val="36"/>
      <w:lang w:val="en-US" w:eastAsia="zh-CN" w:bidi="ar-SA"/>
    </w:rPr>
  </w:style>
  <w:style w:type="paragraph" w:customStyle="1" w:styleId="1875">
    <w:name w:val="样式 首行缩进:  0.85 厘米"/>
    <w:basedOn w:val="1"/>
    <w:link w:val="1876"/>
    <w:qFormat/>
    <w:uiPriority w:val="0"/>
    <w:pPr>
      <w:autoSpaceDE w:val="0"/>
      <w:adjustRightInd w:val="0"/>
      <w:snapToGrid w:val="0"/>
      <w:ind w:firstLine="482" w:firstLineChars="200"/>
    </w:pPr>
    <w:rPr>
      <w:sz w:val="28"/>
      <w:szCs w:val="20"/>
    </w:rPr>
  </w:style>
  <w:style w:type="character" w:customStyle="1" w:styleId="1876">
    <w:name w:val="样式 首行缩进:  0.85 厘米 Char Char"/>
    <w:link w:val="1875"/>
    <w:qFormat/>
    <w:uiPriority w:val="0"/>
    <w:rPr>
      <w:kern w:val="2"/>
      <w:sz w:val="28"/>
    </w:rPr>
  </w:style>
  <w:style w:type="paragraph" w:customStyle="1" w:styleId="1877">
    <w:name w:val="样式 正文 小四 行距: 1.5 倍行距 + 宋体 五号 首行缩进:  2 字符"/>
    <w:basedOn w:val="1"/>
    <w:qFormat/>
    <w:uiPriority w:val="0"/>
    <w:pPr>
      <w:widowControl/>
      <w:ind w:firstLine="200" w:firstLineChars="200"/>
      <w:jc w:val="center"/>
    </w:pPr>
    <w:rPr>
      <w:rFonts w:ascii="宋体" w:hAnsi="宋体" w:cs="宋体"/>
      <w:kern w:val="0"/>
      <w:szCs w:val="20"/>
    </w:rPr>
  </w:style>
  <w:style w:type="paragraph" w:customStyle="1" w:styleId="1878">
    <w:name w:val="样式 样式 正文 小四 行距: 1.5 倍行距 + 宋体 五号 首行缩进:  2 字符 + 首行缩进:  2 字符"/>
    <w:basedOn w:val="1877"/>
    <w:qFormat/>
    <w:uiPriority w:val="0"/>
    <w:pPr>
      <w:ind w:firstLine="0" w:firstLineChars="0"/>
    </w:pPr>
  </w:style>
  <w:style w:type="paragraph" w:customStyle="1" w:styleId="1879">
    <w:name w:val="样式 正文 + 宋体 五号 首行缩进:  2 字符"/>
    <w:basedOn w:val="1"/>
    <w:qFormat/>
    <w:uiPriority w:val="0"/>
    <w:pPr>
      <w:ind w:firstLine="200" w:firstLineChars="200"/>
      <w:jc w:val="center"/>
    </w:pPr>
    <w:rPr>
      <w:rFonts w:ascii="宋体" w:hAnsi="宋体" w:cs="宋体"/>
      <w:kern w:val="0"/>
      <w:sz w:val="18"/>
      <w:szCs w:val="20"/>
    </w:rPr>
  </w:style>
  <w:style w:type="character" w:customStyle="1" w:styleId="1880">
    <w:name w:val="样式 正文表文字00 +"/>
    <w:qFormat/>
    <w:uiPriority w:val="0"/>
    <w:rPr>
      <w:rFonts w:eastAsia="宋体"/>
      <w:kern w:val="0"/>
      <w:sz w:val="21"/>
    </w:rPr>
  </w:style>
  <w:style w:type="paragraph" w:customStyle="1" w:styleId="1881">
    <w:name w:val="样式 正文00 + 首行缩进:  2 字符"/>
    <w:basedOn w:val="1"/>
    <w:qFormat/>
    <w:uiPriority w:val="0"/>
    <w:pPr>
      <w:ind w:firstLine="200" w:firstLineChars="200"/>
      <w:jc w:val="left"/>
    </w:pPr>
    <w:rPr>
      <w:rFonts w:ascii="宋体" w:hAnsi="宋体" w:cs="宋体"/>
      <w:szCs w:val="20"/>
    </w:rPr>
  </w:style>
  <w:style w:type="paragraph" w:customStyle="1" w:styleId="1882">
    <w:name w:val="段落1"/>
    <w:basedOn w:val="1"/>
    <w:link w:val="1883"/>
    <w:qFormat/>
    <w:uiPriority w:val="0"/>
    <w:pPr>
      <w:adjustRightInd w:val="0"/>
      <w:spacing w:line="360" w:lineRule="auto"/>
      <w:ind w:right="210" w:rightChars="100" w:firstLine="480" w:firstLineChars="200"/>
      <w:textAlignment w:val="baseline"/>
    </w:pPr>
    <w:rPr>
      <w:rFonts w:ascii="宋体" w:hAnsi="宋体"/>
      <w:sz w:val="24"/>
      <w:lang w:val="en-AU"/>
    </w:rPr>
  </w:style>
  <w:style w:type="character" w:customStyle="1" w:styleId="1883">
    <w:name w:val="段落1 Char1"/>
    <w:link w:val="1882"/>
    <w:qFormat/>
    <w:uiPriority w:val="0"/>
    <w:rPr>
      <w:rFonts w:ascii="宋体" w:hAnsi="宋体"/>
      <w:kern w:val="2"/>
      <w:sz w:val="24"/>
      <w:szCs w:val="24"/>
      <w:lang w:val="en-AU"/>
    </w:rPr>
  </w:style>
  <w:style w:type="paragraph" w:customStyle="1" w:styleId="1884">
    <w:name w:val="样式 左侧:  0 厘米 首行缩进:  0.85 厘米"/>
    <w:basedOn w:val="1"/>
    <w:qFormat/>
    <w:uiPriority w:val="0"/>
    <w:pPr>
      <w:ind w:firstLine="480" w:firstLineChars="200"/>
    </w:pPr>
    <w:rPr>
      <w:rFonts w:eastAsia="仿宋_GB2312"/>
      <w:sz w:val="24"/>
      <w:szCs w:val="20"/>
    </w:rPr>
  </w:style>
  <w:style w:type="paragraph" w:customStyle="1" w:styleId="1885">
    <w:name w:val="样式 标题 2电脑标志 + 首行缩进:  2 字符"/>
    <w:basedOn w:val="6"/>
    <w:qFormat/>
    <w:uiPriority w:val="0"/>
    <w:pPr>
      <w:spacing w:beforeLines="10" w:afterLines="10"/>
      <w:ind w:firstLine="200" w:firstLineChars="200"/>
    </w:pPr>
    <w:rPr>
      <w:rFonts w:ascii="Cambria" w:hAnsi="Cambria" w:eastAsia="宋体"/>
    </w:rPr>
  </w:style>
  <w:style w:type="paragraph" w:customStyle="1" w:styleId="1886">
    <w:name w:val="样式 标题 2电脑标志 + 首行缩进:  2 字符1"/>
    <w:basedOn w:val="6"/>
    <w:qFormat/>
    <w:uiPriority w:val="0"/>
    <w:pPr>
      <w:spacing w:beforeLines="10" w:afterLines="10"/>
      <w:ind w:firstLine="200" w:firstLineChars="200"/>
    </w:pPr>
    <w:rPr>
      <w:rFonts w:ascii="Cambria" w:hAnsi="Cambria" w:eastAsia="宋体"/>
    </w:rPr>
  </w:style>
  <w:style w:type="paragraph" w:customStyle="1" w:styleId="1887">
    <w:name w:val="样式 标题 4 + 首行缩进:  2 字符"/>
    <w:basedOn w:val="8"/>
    <w:qFormat/>
    <w:uiPriority w:val="0"/>
    <w:pPr>
      <w:numPr>
        <w:ilvl w:val="0"/>
        <w:numId w:val="0"/>
      </w:numPr>
      <w:spacing w:beforeLines="10" w:afterLines="10"/>
      <w:ind w:left="864" w:hanging="144" w:firstLineChars="200"/>
    </w:pPr>
    <w:rPr>
      <w:rFonts w:ascii="Cambria" w:hAnsi="Cambria" w:eastAsia="宋体"/>
    </w:rPr>
  </w:style>
  <w:style w:type="paragraph" w:customStyle="1" w:styleId="1888">
    <w:name w:val="样式 标题 4 + 首行缩进:  28 磅"/>
    <w:basedOn w:val="8"/>
    <w:qFormat/>
    <w:uiPriority w:val="0"/>
    <w:pPr>
      <w:numPr>
        <w:ilvl w:val="0"/>
        <w:numId w:val="0"/>
      </w:numPr>
      <w:spacing w:beforeLines="10" w:afterLines="10"/>
      <w:ind w:left="864" w:hanging="144" w:firstLineChars="200"/>
    </w:pPr>
    <w:rPr>
      <w:rFonts w:ascii="Cambria" w:hAnsi="Cambria" w:eastAsia="宋体"/>
    </w:rPr>
  </w:style>
  <w:style w:type="paragraph" w:customStyle="1" w:styleId="1889">
    <w:name w:val="样式 表格 + 居中"/>
    <w:basedOn w:val="1"/>
    <w:qFormat/>
    <w:uiPriority w:val="0"/>
    <w:pPr>
      <w:kinsoku w:val="0"/>
      <w:overflowPunct w:val="0"/>
      <w:adjustRightInd w:val="0"/>
      <w:snapToGrid w:val="0"/>
      <w:ind w:firstLine="200" w:firstLineChars="200"/>
      <w:jc w:val="center"/>
    </w:pPr>
    <w:rPr>
      <w:kern w:val="0"/>
      <w:sz w:val="24"/>
      <w:szCs w:val="28"/>
    </w:rPr>
  </w:style>
  <w:style w:type="paragraph" w:customStyle="1" w:styleId="1890">
    <w:name w:val="样式 样式 表格 + 居中 + 两端对齐 首行缩进:  2 字符"/>
    <w:basedOn w:val="1889"/>
    <w:qFormat/>
    <w:uiPriority w:val="0"/>
    <w:pPr>
      <w:keepNext/>
      <w:keepLines/>
      <w:kinsoku/>
      <w:overflowPunct/>
      <w:adjustRightInd/>
      <w:snapToGrid/>
      <w:spacing w:beforeLines="10" w:afterLines="10" w:line="376" w:lineRule="auto"/>
      <w:ind w:left="864" w:hanging="144"/>
      <w:jc w:val="both"/>
      <w:outlineLvl w:val="3"/>
    </w:pPr>
    <w:rPr>
      <w:rFonts w:ascii="Cambria" w:hAnsi="Cambria"/>
      <w:b/>
      <w:bCs/>
      <w:kern w:val="2"/>
      <w:sz w:val="28"/>
    </w:rPr>
  </w:style>
  <w:style w:type="paragraph" w:customStyle="1" w:styleId="1891">
    <w:name w:val="样式 样式 表格 + 居中 + 首行缩进:  2 字符"/>
    <w:basedOn w:val="1889"/>
    <w:qFormat/>
    <w:uiPriority w:val="0"/>
    <w:pPr>
      <w:keepNext/>
      <w:keepLines/>
      <w:kinsoku/>
      <w:overflowPunct/>
      <w:adjustRightInd/>
      <w:snapToGrid/>
      <w:spacing w:beforeLines="10" w:afterLines="10" w:line="376" w:lineRule="auto"/>
      <w:ind w:left="864" w:hanging="144"/>
      <w:jc w:val="both"/>
      <w:outlineLvl w:val="3"/>
    </w:pPr>
    <w:rPr>
      <w:rFonts w:ascii="Cambria" w:hAnsi="Cambria"/>
      <w:b/>
      <w:bCs/>
      <w:kern w:val="2"/>
      <w:sz w:val="28"/>
    </w:rPr>
  </w:style>
  <w:style w:type="paragraph" w:customStyle="1" w:styleId="1892">
    <w:name w:val="Char1 Char Char Char Char Char Char"/>
    <w:basedOn w:val="1"/>
    <w:qFormat/>
    <w:uiPriority w:val="0"/>
    <w:pPr>
      <w:keepNext/>
      <w:keepLines/>
      <w:spacing w:line="240" w:lineRule="exact"/>
      <w:jc w:val="left"/>
    </w:pPr>
    <w:rPr>
      <w:rFonts w:ascii="宋体" w:hAnsi="宋体"/>
      <w:b/>
      <w:kern w:val="0"/>
      <w:sz w:val="44"/>
      <w:szCs w:val="44"/>
      <w:lang w:eastAsia="en-US"/>
    </w:rPr>
  </w:style>
  <w:style w:type="character" w:customStyle="1" w:styleId="1893">
    <w:name w:val="p11"/>
    <w:qFormat/>
    <w:uiPriority w:val="0"/>
    <w:rPr>
      <w:rFonts w:hint="default"/>
      <w:sz w:val="18"/>
      <w:szCs w:val="18"/>
    </w:rPr>
  </w:style>
  <w:style w:type="paragraph" w:customStyle="1" w:styleId="1894">
    <w:name w:val="表号文字"/>
    <w:basedOn w:val="1"/>
    <w:qFormat/>
    <w:uiPriority w:val="0"/>
    <w:pPr>
      <w:adjustRightInd w:val="0"/>
      <w:snapToGrid w:val="0"/>
      <w:spacing w:line="300" w:lineRule="auto"/>
      <w:jc w:val="left"/>
    </w:pPr>
    <w:rPr>
      <w:rFonts w:eastAsia="黑体"/>
    </w:rPr>
  </w:style>
  <w:style w:type="character" w:customStyle="1" w:styleId="1895">
    <w:name w:val="三号宋体居中行距2倍距 Char"/>
    <w:qFormat/>
    <w:locked/>
    <w:uiPriority w:val="0"/>
    <w:rPr>
      <w:rFonts w:ascii="Arial" w:hAnsi="Arial" w:eastAsia="黑体"/>
      <w:b/>
      <w:bCs/>
      <w:kern w:val="2"/>
      <w:sz w:val="32"/>
      <w:szCs w:val="32"/>
      <w:lang w:val="en-US" w:eastAsia="zh-CN" w:bidi="ar-SA"/>
    </w:rPr>
  </w:style>
  <w:style w:type="character" w:customStyle="1" w:styleId="1896">
    <w:name w:val="正文文字1 Char Char"/>
    <w:qFormat/>
    <w:uiPriority w:val="0"/>
    <w:rPr>
      <w:rFonts w:eastAsia="宋体"/>
      <w:kern w:val="2"/>
      <w:sz w:val="21"/>
      <w:szCs w:val="24"/>
      <w:lang w:val="en-US" w:eastAsia="zh-CN" w:bidi="ar-SA"/>
    </w:rPr>
  </w:style>
  <w:style w:type="paragraph" w:customStyle="1" w:styleId="1897">
    <w:name w:val="标题  3"/>
    <w:basedOn w:val="7"/>
    <w:qFormat/>
    <w:uiPriority w:val="0"/>
    <w:pPr>
      <w:widowControl w:val="0"/>
      <w:adjustRightInd/>
      <w:snapToGrid/>
      <w:spacing w:before="120" w:beforeLines="10" w:after="120" w:afterLines="10"/>
      <w:ind w:left="720" w:hanging="432" w:firstLineChars="200"/>
      <w:jc w:val="both"/>
    </w:pPr>
    <w:rPr>
      <w:rFonts w:ascii="Times New Roman" w:hAnsi="Times New Roman"/>
      <w:lang w:val="en-US"/>
    </w:rPr>
  </w:style>
  <w:style w:type="paragraph" w:customStyle="1" w:styleId="1898">
    <w:name w:val="正文（唐）"/>
    <w:basedOn w:val="1"/>
    <w:semiHidden/>
    <w:qFormat/>
    <w:uiPriority w:val="0"/>
    <w:pPr>
      <w:autoSpaceDE w:val="0"/>
      <w:autoSpaceDN w:val="0"/>
      <w:adjustRightInd w:val="0"/>
      <w:spacing w:line="460" w:lineRule="exact"/>
      <w:ind w:left="-45" w:firstLine="480" w:firstLineChars="200"/>
    </w:pPr>
    <w:rPr>
      <w:rFonts w:ascii="宋体" w:hAnsi="宋体" w:eastAsia="Times New Roman" w:cs="宋体"/>
      <w:b/>
      <w:sz w:val="24"/>
    </w:rPr>
  </w:style>
  <w:style w:type="character" w:customStyle="1" w:styleId="1899">
    <w:name w:val="页眉小5号 Char Char"/>
    <w:qFormat/>
    <w:uiPriority w:val="0"/>
    <w:rPr>
      <w:rFonts w:eastAsia="宋体"/>
      <w:kern w:val="2"/>
      <w:sz w:val="18"/>
      <w:szCs w:val="18"/>
      <w:lang w:val="en-US" w:eastAsia="zh-CN" w:bidi="ar-SA"/>
    </w:rPr>
  </w:style>
  <w:style w:type="paragraph" w:customStyle="1" w:styleId="1900">
    <w:name w:val="1 Char Char Char Char Char Char Char"/>
    <w:basedOn w:val="1"/>
    <w:qFormat/>
    <w:uiPriority w:val="0"/>
  </w:style>
  <w:style w:type="character" w:customStyle="1" w:styleId="1901">
    <w:name w:val="四号宋体左齐行距1.5倍 Char"/>
    <w:qFormat/>
    <w:locked/>
    <w:uiPriority w:val="0"/>
    <w:rPr>
      <w:rFonts w:eastAsia="宋体"/>
      <w:b/>
      <w:bCs/>
      <w:kern w:val="2"/>
      <w:sz w:val="32"/>
      <w:szCs w:val="32"/>
      <w:lang w:val="en-US" w:eastAsia="zh-CN" w:bidi="ar-SA"/>
    </w:rPr>
  </w:style>
  <w:style w:type="paragraph" w:customStyle="1" w:styleId="1902">
    <w:name w:val="新"/>
    <w:basedOn w:val="9"/>
    <w:qFormat/>
    <w:uiPriority w:val="0"/>
    <w:pPr>
      <w:numPr>
        <w:ilvl w:val="0"/>
        <w:numId w:val="0"/>
      </w:numPr>
      <w:snapToGrid/>
      <w:spacing w:line="376" w:lineRule="auto"/>
      <w:ind w:left="1008" w:hanging="432"/>
    </w:pPr>
    <w:rPr>
      <w:rFonts w:ascii="宋体"/>
      <w:b/>
      <w:bCs w:val="0"/>
      <w:spacing w:val="6"/>
      <w:kern w:val="2"/>
      <w:sz w:val="26"/>
      <w:szCs w:val="26"/>
    </w:rPr>
  </w:style>
  <w:style w:type="character" w:customStyle="1" w:styleId="1903">
    <w:name w:val="页眉小5号 Char Char1"/>
    <w:qFormat/>
    <w:uiPriority w:val="0"/>
    <w:rPr>
      <w:rFonts w:eastAsia="宋体"/>
      <w:kern w:val="2"/>
      <w:sz w:val="18"/>
      <w:szCs w:val="18"/>
      <w:lang w:val="en-US" w:eastAsia="zh-CN" w:bidi="ar-SA"/>
    </w:rPr>
  </w:style>
  <w:style w:type="character" w:customStyle="1" w:styleId="1904">
    <w:name w:val="链接"/>
    <w:qFormat/>
    <w:uiPriority w:val="0"/>
    <w:rPr>
      <w:rFonts w:ascii="Times New Roman" w:eastAsia="宋体"/>
      <w:color w:val="0000FF"/>
      <w:sz w:val="21"/>
      <w:u w:val="single" w:color="0000FF"/>
      <w:vertAlign w:val="baseline"/>
      <w:lang w:val="en-US" w:eastAsia="zh-CN"/>
    </w:rPr>
  </w:style>
  <w:style w:type="paragraph" w:customStyle="1" w:styleId="1905">
    <w:name w:val="目录标题"/>
    <w:basedOn w:val="1"/>
    <w:next w:val="1"/>
    <w:qFormat/>
    <w:uiPriority w:val="0"/>
    <w:pPr>
      <w:widowControl/>
      <w:spacing w:line="566" w:lineRule="atLeast"/>
      <w:ind w:firstLine="419"/>
      <w:jc w:val="center"/>
      <w:textAlignment w:val="baseline"/>
    </w:pPr>
    <w:rPr>
      <w:rFonts w:ascii="Arial" w:eastAsia="黑体"/>
      <w:color w:val="000000"/>
      <w:spacing w:val="566"/>
      <w:kern w:val="0"/>
      <w:sz w:val="54"/>
      <w:szCs w:val="20"/>
      <w:u w:color="000000"/>
    </w:rPr>
  </w:style>
  <w:style w:type="paragraph" w:customStyle="1" w:styleId="1906">
    <w:name w:val="文章总标题"/>
    <w:basedOn w:val="1"/>
    <w:next w:val="1907"/>
    <w:qFormat/>
    <w:uiPriority w:val="0"/>
    <w:pPr>
      <w:widowControl/>
      <w:spacing w:line="566" w:lineRule="atLeast"/>
      <w:jc w:val="center"/>
      <w:textAlignment w:val="baseline"/>
    </w:pPr>
    <w:rPr>
      <w:rFonts w:ascii="Arial" w:eastAsia="黑体"/>
      <w:color w:val="000000"/>
      <w:kern w:val="0"/>
      <w:sz w:val="54"/>
      <w:szCs w:val="20"/>
      <w:u w:color="000000"/>
    </w:rPr>
  </w:style>
  <w:style w:type="paragraph" w:customStyle="1" w:styleId="1907">
    <w:name w:val="文章附标题"/>
    <w:basedOn w:val="1"/>
    <w:next w:val="701"/>
    <w:qFormat/>
    <w:uiPriority w:val="0"/>
    <w:pPr>
      <w:widowControl/>
      <w:spacing w:line="374" w:lineRule="atLeast"/>
      <w:jc w:val="center"/>
      <w:textAlignment w:val="baseline"/>
    </w:pPr>
    <w:rPr>
      <w:color w:val="000000"/>
      <w:kern w:val="0"/>
      <w:sz w:val="36"/>
      <w:szCs w:val="20"/>
      <w:u w:color="000000"/>
    </w:rPr>
  </w:style>
  <w:style w:type="paragraph" w:customStyle="1" w:styleId="1908">
    <w:name w:val="目录3"/>
    <w:basedOn w:val="1"/>
    <w:next w:val="1"/>
    <w:qFormat/>
    <w:uiPriority w:val="0"/>
    <w:pPr>
      <w:widowControl/>
      <w:tabs>
        <w:tab w:val="left" w:leader="dot" w:pos="8503"/>
      </w:tabs>
      <w:spacing w:line="317" w:lineRule="atLeast"/>
      <w:ind w:firstLine="419"/>
      <w:textAlignment w:val="baseline"/>
    </w:pPr>
    <w:rPr>
      <w:color w:val="000000"/>
      <w:kern w:val="0"/>
      <w:szCs w:val="20"/>
      <w:u w:color="000000"/>
    </w:rPr>
  </w:style>
  <w:style w:type="paragraph" w:customStyle="1" w:styleId="1909">
    <w:name w:val="目录4"/>
    <w:basedOn w:val="1"/>
    <w:next w:val="1"/>
    <w:qFormat/>
    <w:uiPriority w:val="0"/>
    <w:pPr>
      <w:widowControl/>
      <w:tabs>
        <w:tab w:val="left" w:leader="dot" w:pos="8503"/>
      </w:tabs>
      <w:spacing w:line="317" w:lineRule="atLeast"/>
      <w:ind w:firstLine="629"/>
      <w:textAlignment w:val="baseline"/>
    </w:pPr>
    <w:rPr>
      <w:color w:val="000000"/>
      <w:kern w:val="0"/>
      <w:szCs w:val="20"/>
      <w:u w:color="000000"/>
    </w:rPr>
  </w:style>
  <w:style w:type="paragraph" w:customStyle="1" w:styleId="1910">
    <w:name w:val="0005左缩2"/>
    <w:basedOn w:val="1"/>
    <w:qFormat/>
    <w:uiPriority w:val="0"/>
    <w:pPr>
      <w:widowControl/>
      <w:autoSpaceDE w:val="0"/>
      <w:autoSpaceDN w:val="0"/>
      <w:adjustRightInd w:val="0"/>
      <w:spacing w:afterLines="30" w:line="500" w:lineRule="exact"/>
      <w:ind w:firstLine="200" w:firstLineChars="200"/>
    </w:pPr>
    <w:rPr>
      <w:rFonts w:ascii="宋体" w:hAnsi="宋体"/>
      <w:sz w:val="28"/>
      <w:szCs w:val="28"/>
    </w:rPr>
  </w:style>
  <w:style w:type="paragraph" w:customStyle="1" w:styleId="1911">
    <w:name w:val="正"/>
    <w:basedOn w:val="21"/>
    <w:link w:val="1912"/>
    <w:qFormat/>
    <w:uiPriority w:val="0"/>
    <w:pPr>
      <w:keepNext w:val="0"/>
      <w:topLinePunct/>
      <w:adjustRightInd w:val="0"/>
      <w:snapToGrid w:val="0"/>
      <w:spacing w:line="500" w:lineRule="exact"/>
      <w:ind w:firstLine="200" w:firstLineChars="200"/>
      <w:jc w:val="both"/>
    </w:pPr>
    <w:rPr>
      <w:bCs w:val="0"/>
      <w:sz w:val="28"/>
      <w:szCs w:val="28"/>
      <w:lang w:val="zh-CN"/>
    </w:rPr>
  </w:style>
  <w:style w:type="character" w:customStyle="1" w:styleId="1912">
    <w:name w:val="正 Char1"/>
    <w:link w:val="1911"/>
    <w:qFormat/>
    <w:uiPriority w:val="0"/>
    <w:rPr>
      <w:rFonts w:ascii="宋体" w:hAnsi="宋体"/>
      <w:kern w:val="2"/>
      <w:sz w:val="28"/>
      <w:szCs w:val="28"/>
      <w:lang w:val="zh-CN"/>
    </w:rPr>
  </w:style>
  <w:style w:type="paragraph" w:customStyle="1" w:styleId="1913">
    <w:name w:val="标题符"/>
    <w:basedOn w:val="1"/>
    <w:qFormat/>
    <w:uiPriority w:val="0"/>
    <w:pPr>
      <w:tabs>
        <w:tab w:val="left" w:pos="360"/>
      </w:tabs>
      <w:overflowPunct w:val="0"/>
      <w:snapToGrid w:val="0"/>
      <w:spacing w:line="480" w:lineRule="exact"/>
      <w:ind w:firstLine="560" w:firstLineChars="200"/>
    </w:pPr>
    <w:rPr>
      <w:rFonts w:ascii="Arial" w:hAnsi="Arial" w:eastAsia="仿宋_GB2312"/>
      <w:sz w:val="28"/>
      <w:szCs w:val="20"/>
    </w:rPr>
  </w:style>
  <w:style w:type="paragraph" w:customStyle="1" w:styleId="1914">
    <w:name w:val="蒲标题2"/>
    <w:basedOn w:val="6"/>
    <w:qFormat/>
    <w:uiPriority w:val="0"/>
    <w:pPr>
      <w:spacing w:beforeLines="10" w:afterLines="10"/>
      <w:ind w:firstLine="200" w:firstLineChars="200"/>
    </w:pPr>
    <w:rPr>
      <w:rFonts w:ascii="Cambria" w:hAnsi="Cambria" w:eastAsia="宋体"/>
    </w:rPr>
  </w:style>
  <w:style w:type="paragraph" w:customStyle="1" w:styleId="1915">
    <w:name w:val="0002"/>
    <w:basedOn w:val="6"/>
    <w:qFormat/>
    <w:uiPriority w:val="0"/>
    <w:pPr>
      <w:spacing w:beforeLines="10" w:afterLines="10"/>
      <w:ind w:firstLine="200" w:firstLineChars="200"/>
    </w:pPr>
    <w:rPr>
      <w:rFonts w:ascii="Cambria" w:hAnsi="Cambria" w:eastAsia="宋体"/>
    </w:rPr>
  </w:style>
  <w:style w:type="character" w:customStyle="1" w:styleId="1916">
    <w:name w:val="hui141"/>
    <w:qFormat/>
    <w:uiPriority w:val="0"/>
    <w:rPr>
      <w:b/>
      <w:bCs/>
      <w:color w:val="333333"/>
      <w:sz w:val="21"/>
      <w:szCs w:val="21"/>
    </w:rPr>
  </w:style>
  <w:style w:type="character" w:customStyle="1" w:styleId="1917">
    <w:name w:val="小2号宋体居中行距2倍 Char"/>
    <w:qFormat/>
    <w:locked/>
    <w:uiPriority w:val="0"/>
    <w:rPr>
      <w:rFonts w:eastAsia="宋体"/>
      <w:b/>
      <w:bCs/>
      <w:kern w:val="44"/>
      <w:sz w:val="44"/>
      <w:szCs w:val="44"/>
      <w:lang w:val="en-US" w:eastAsia="zh-CN" w:bidi="ar-SA"/>
    </w:rPr>
  </w:style>
  <w:style w:type="character" w:customStyle="1" w:styleId="1918">
    <w:name w:val="Char Char12"/>
    <w:qFormat/>
    <w:locked/>
    <w:uiPriority w:val="0"/>
    <w:rPr>
      <w:rFonts w:ascii="Arial" w:hAnsi="Arial" w:eastAsia="黑体"/>
      <w:b/>
      <w:bCs/>
      <w:kern w:val="2"/>
      <w:sz w:val="24"/>
      <w:szCs w:val="24"/>
      <w:lang w:val="en-US" w:eastAsia="zh-CN" w:bidi="ar-SA"/>
    </w:rPr>
  </w:style>
  <w:style w:type="character" w:customStyle="1" w:styleId="1919">
    <w:name w:val="5号宋体居中 Char Char"/>
    <w:qFormat/>
    <w:locked/>
    <w:uiPriority w:val="0"/>
    <w:rPr>
      <w:rFonts w:ascii="Arial" w:hAnsi="Arial" w:eastAsia="黑体"/>
      <w:kern w:val="2"/>
      <w:sz w:val="21"/>
      <w:lang w:val="en-US" w:eastAsia="zh-CN" w:bidi="ar-SA"/>
    </w:rPr>
  </w:style>
  <w:style w:type="paragraph" w:customStyle="1" w:styleId="1920">
    <w:name w:val="样式 图格式"/>
    <w:basedOn w:val="6"/>
    <w:semiHidden/>
    <w:qFormat/>
    <w:uiPriority w:val="0"/>
    <w:pPr>
      <w:spacing w:beforeLines="10" w:afterLines="10"/>
      <w:ind w:firstLine="200" w:firstLineChars="200"/>
    </w:pPr>
    <w:rPr>
      <w:rFonts w:ascii="Cambria" w:hAnsi="Cambria" w:eastAsia="宋体"/>
    </w:rPr>
  </w:style>
  <w:style w:type="paragraph" w:customStyle="1" w:styleId="1921">
    <w:name w:val="样式 5号表"/>
    <w:basedOn w:val="1"/>
    <w:qFormat/>
    <w:uiPriority w:val="0"/>
    <w:pPr>
      <w:shd w:val="clear" w:color="auto" w:fill="FFFFFF"/>
      <w:kinsoku w:val="0"/>
      <w:overflowPunct w:val="0"/>
      <w:autoSpaceDE w:val="0"/>
      <w:autoSpaceDN w:val="0"/>
      <w:snapToGrid w:val="0"/>
      <w:spacing w:line="300" w:lineRule="exact"/>
    </w:pPr>
    <w:rPr>
      <w:rFonts w:ascii="宋体" w:hAnsi="宋体" w:cs="宋体"/>
      <w:bCs/>
      <w:szCs w:val="20"/>
    </w:rPr>
  </w:style>
  <w:style w:type="paragraph" w:customStyle="1" w:styleId="1922">
    <w:name w:val="样式 标题 1 + 宋体 四号 居中"/>
    <w:basedOn w:val="5"/>
    <w:qFormat/>
    <w:uiPriority w:val="0"/>
    <w:pPr>
      <w:keepLines/>
      <w:overflowPunct/>
      <w:snapToGrid/>
      <w:spacing w:before="0" w:beforeLines="10" w:after="0" w:afterLines="10" w:line="578" w:lineRule="auto"/>
      <w:ind w:left="0" w:firstLine="200" w:firstLineChars="200"/>
    </w:pPr>
    <w:rPr>
      <w:rFonts w:eastAsia="宋体"/>
      <w:color w:val="auto"/>
      <w:sz w:val="44"/>
      <w:szCs w:val="44"/>
    </w:rPr>
  </w:style>
  <w:style w:type="paragraph" w:customStyle="1" w:styleId="1923">
    <w:name w:val="样式 标题 1 + 首行缩进:  2 字符"/>
    <w:basedOn w:val="5"/>
    <w:qFormat/>
    <w:uiPriority w:val="0"/>
    <w:pPr>
      <w:keepLines/>
      <w:overflowPunct/>
      <w:snapToGrid/>
      <w:spacing w:before="0" w:beforeLines="10" w:after="0" w:afterLines="10" w:line="578" w:lineRule="auto"/>
      <w:ind w:left="0" w:firstLine="200" w:firstLineChars="200"/>
    </w:pPr>
    <w:rPr>
      <w:rFonts w:eastAsia="宋体"/>
      <w:color w:val="auto"/>
      <w:sz w:val="44"/>
      <w:szCs w:val="44"/>
    </w:rPr>
  </w:style>
  <w:style w:type="paragraph" w:customStyle="1" w:styleId="1924">
    <w:name w:val="样式 样式 标题 2 + 宋体 小二 首行缩进:  2 字符 + 段前: 0.5 行 段后: 0.5 行"/>
    <w:basedOn w:val="1"/>
    <w:qFormat/>
    <w:uiPriority w:val="0"/>
    <w:pPr>
      <w:keepNext/>
      <w:keepLines/>
      <w:spacing w:beforeLines="50"/>
      <w:outlineLvl w:val="1"/>
    </w:pPr>
    <w:rPr>
      <w:rFonts w:ascii="宋体" w:hAnsi="宋体" w:cs="宋体"/>
      <w:b/>
      <w:bCs/>
      <w:sz w:val="32"/>
      <w:szCs w:val="20"/>
    </w:rPr>
  </w:style>
  <w:style w:type="character" w:customStyle="1" w:styleId="1925">
    <w:name w:val="样式 标题 2 + 宋体 小二 首行缩进:  2 字符 Char"/>
    <w:link w:val="1926"/>
    <w:qFormat/>
    <w:locked/>
    <w:uiPriority w:val="0"/>
    <w:rPr>
      <w:rFonts w:ascii="宋体" w:hAnsi="宋体" w:cs="宋体"/>
      <w:b/>
      <w:bCs/>
      <w:sz w:val="32"/>
    </w:rPr>
  </w:style>
  <w:style w:type="paragraph" w:customStyle="1" w:styleId="1926">
    <w:name w:val="样式 标题 2 + 宋体 小二 首行缩进:  2 字符"/>
    <w:basedOn w:val="6"/>
    <w:link w:val="1925"/>
    <w:qFormat/>
    <w:uiPriority w:val="0"/>
    <w:pPr>
      <w:spacing w:beforeLines="10" w:afterLines="10"/>
      <w:ind w:firstLine="200" w:firstLineChars="200"/>
    </w:pPr>
    <w:rPr>
      <w:rFonts w:ascii="宋体" w:hAnsi="宋体" w:eastAsia="宋体" w:cs="宋体"/>
      <w:kern w:val="0"/>
      <w:szCs w:val="20"/>
    </w:rPr>
  </w:style>
  <w:style w:type="paragraph" w:customStyle="1" w:styleId="1927">
    <w:name w:val="样式 标题 3 + 段前: 0.5 行 段后: 0.5 行"/>
    <w:basedOn w:val="7"/>
    <w:qFormat/>
    <w:uiPriority w:val="0"/>
    <w:pPr>
      <w:widowControl w:val="0"/>
      <w:adjustRightInd/>
      <w:snapToGrid/>
      <w:spacing w:before="120" w:beforeLines="10" w:after="120" w:afterLines="10"/>
      <w:ind w:left="720" w:hanging="432" w:firstLineChars="200"/>
      <w:jc w:val="both"/>
    </w:pPr>
    <w:rPr>
      <w:rFonts w:ascii="Times New Roman" w:hAnsi="Times New Roman"/>
      <w:lang w:val="en-US"/>
    </w:rPr>
  </w:style>
  <w:style w:type="paragraph" w:customStyle="1" w:styleId="1928">
    <w:name w:val="小标题"/>
    <w:basedOn w:val="1"/>
    <w:qFormat/>
    <w:uiPriority w:val="0"/>
    <w:pPr>
      <w:spacing w:line="500" w:lineRule="exact"/>
      <w:ind w:firstLine="567"/>
    </w:pPr>
    <w:rPr>
      <w:sz w:val="28"/>
      <w:szCs w:val="28"/>
    </w:rPr>
  </w:style>
  <w:style w:type="paragraph" w:customStyle="1" w:styleId="1929">
    <w:name w:val="大标题"/>
    <w:basedOn w:val="1"/>
    <w:qFormat/>
    <w:uiPriority w:val="0"/>
    <w:pPr>
      <w:spacing w:line="500" w:lineRule="exact"/>
      <w:jc w:val="left"/>
    </w:pPr>
    <w:rPr>
      <w:sz w:val="28"/>
      <w:szCs w:val="28"/>
    </w:rPr>
  </w:style>
  <w:style w:type="paragraph" w:customStyle="1" w:styleId="1930">
    <w:name w:val="样式 样式 首行缩进:  2 字符 + 居中"/>
    <w:basedOn w:val="521"/>
    <w:qFormat/>
    <w:uiPriority w:val="0"/>
    <w:pPr>
      <w:keepNext/>
      <w:keepLines/>
      <w:spacing w:beforeLines="10" w:afterLines="10" w:line="416" w:lineRule="auto"/>
      <w:ind w:firstLine="0" w:firstLineChars="200"/>
      <w:outlineLvl w:val="1"/>
    </w:pPr>
    <w:rPr>
      <w:rFonts w:ascii="Cambria" w:hAnsi="Cambria"/>
      <w:b/>
      <w:bCs/>
      <w:sz w:val="32"/>
      <w:szCs w:val="32"/>
    </w:rPr>
  </w:style>
  <w:style w:type="paragraph" w:customStyle="1" w:styleId="1931">
    <w:name w:val="样式 样式 首行缩进:  2 字符 + 居中1"/>
    <w:basedOn w:val="521"/>
    <w:qFormat/>
    <w:uiPriority w:val="0"/>
    <w:pPr>
      <w:keepNext/>
      <w:keepLines/>
      <w:spacing w:beforeLines="10" w:afterLines="10" w:line="416" w:lineRule="auto"/>
      <w:ind w:firstLine="0" w:firstLineChars="200"/>
      <w:outlineLvl w:val="1"/>
    </w:pPr>
    <w:rPr>
      <w:rFonts w:ascii="Cambria" w:hAnsi="Cambria"/>
      <w:b/>
      <w:bCs/>
      <w:sz w:val="32"/>
      <w:szCs w:val="32"/>
    </w:rPr>
  </w:style>
  <w:style w:type="paragraph" w:customStyle="1" w:styleId="1932">
    <w:name w:val="3字符"/>
    <w:basedOn w:val="1"/>
    <w:qFormat/>
    <w:uiPriority w:val="0"/>
    <w:pPr>
      <w:spacing w:line="500" w:lineRule="exact"/>
      <w:ind w:left="561" w:firstLine="100" w:firstLineChars="100"/>
    </w:pPr>
    <w:rPr>
      <w:sz w:val="28"/>
      <w:szCs w:val="28"/>
    </w:rPr>
  </w:style>
  <w:style w:type="paragraph" w:customStyle="1" w:styleId="1933">
    <w:name w:val="征文"/>
    <w:basedOn w:val="1"/>
    <w:qFormat/>
    <w:uiPriority w:val="0"/>
    <w:pPr>
      <w:spacing w:line="400" w:lineRule="exact"/>
      <w:ind w:firstLine="480"/>
    </w:pPr>
    <w:rPr>
      <w:rFonts w:cs="宋体"/>
      <w:sz w:val="24"/>
      <w:szCs w:val="20"/>
    </w:rPr>
  </w:style>
  <w:style w:type="paragraph" w:customStyle="1" w:styleId="1934">
    <w:name w:val="样式 3字符 + 首行缩进:  1 字符"/>
    <w:basedOn w:val="1932"/>
    <w:qFormat/>
    <w:uiPriority w:val="0"/>
    <w:pPr>
      <w:keepNext/>
      <w:keepLines/>
      <w:spacing w:beforeLines="10" w:afterLines="10" w:line="416" w:lineRule="auto"/>
      <w:ind w:left="0" w:firstLine="0" w:firstLineChars="200"/>
      <w:outlineLvl w:val="1"/>
    </w:pPr>
    <w:rPr>
      <w:rFonts w:ascii="Cambria" w:hAnsi="Cambria"/>
      <w:b/>
      <w:bCs/>
      <w:sz w:val="32"/>
      <w:szCs w:val="32"/>
    </w:rPr>
  </w:style>
  <w:style w:type="paragraph" w:customStyle="1" w:styleId="1935">
    <w:name w:val="5号字表"/>
    <w:basedOn w:val="1"/>
    <w:qFormat/>
    <w:uiPriority w:val="0"/>
    <w:pPr>
      <w:tabs>
        <w:tab w:val="left" w:pos="210"/>
      </w:tabs>
      <w:spacing w:line="500" w:lineRule="exact"/>
      <w:ind w:firstLine="200" w:firstLineChars="200"/>
      <w:jc w:val="left"/>
    </w:pPr>
    <w:rPr>
      <w:rFonts w:ascii="宋体" w:hAnsi="宋体" w:cs="宋体"/>
      <w:bCs/>
      <w:sz w:val="28"/>
      <w:szCs w:val="20"/>
    </w:rPr>
  </w:style>
  <w:style w:type="paragraph" w:customStyle="1" w:styleId="1936">
    <w:name w:val="样式 目录 1 级别1"/>
    <w:basedOn w:val="1"/>
    <w:next w:val="1"/>
    <w:qFormat/>
    <w:uiPriority w:val="0"/>
    <w:pPr>
      <w:shd w:val="clear" w:color="auto" w:fill="FFFFFF"/>
      <w:tabs>
        <w:tab w:val="left" w:pos="210"/>
      </w:tabs>
      <w:kinsoku w:val="0"/>
      <w:overflowPunct w:val="0"/>
      <w:autoSpaceDE w:val="0"/>
      <w:autoSpaceDN w:val="0"/>
      <w:adjustRightInd w:val="0"/>
      <w:snapToGrid w:val="0"/>
      <w:spacing w:line="400" w:lineRule="exact"/>
      <w:ind w:firstLine="200" w:firstLineChars="200"/>
      <w:jc w:val="left"/>
    </w:pPr>
    <w:rPr>
      <w:rFonts w:ascii="宋体" w:hAnsi="宋体" w:cs="宋体"/>
      <w:b/>
      <w:bCs/>
      <w:sz w:val="24"/>
      <w:szCs w:val="28"/>
    </w:rPr>
  </w:style>
  <w:style w:type="paragraph" w:customStyle="1" w:styleId="1937">
    <w:name w:val="设计封面"/>
    <w:basedOn w:val="6"/>
    <w:qFormat/>
    <w:uiPriority w:val="0"/>
    <w:pPr>
      <w:spacing w:beforeLines="10" w:afterLines="10"/>
      <w:ind w:firstLine="200" w:firstLineChars="200"/>
    </w:pPr>
    <w:rPr>
      <w:rFonts w:ascii="Cambria" w:hAnsi="Cambria" w:eastAsia="宋体"/>
    </w:rPr>
  </w:style>
  <w:style w:type="paragraph" w:customStyle="1" w:styleId="1938">
    <w:name w:val="设计封面矿名魏体1"/>
    <w:basedOn w:val="1"/>
    <w:qFormat/>
    <w:uiPriority w:val="0"/>
    <w:pPr>
      <w:tabs>
        <w:tab w:val="left" w:pos="210"/>
      </w:tabs>
      <w:autoSpaceDE w:val="0"/>
      <w:autoSpaceDN w:val="0"/>
      <w:spacing w:line="500" w:lineRule="exact"/>
      <w:jc w:val="center"/>
    </w:pPr>
    <w:rPr>
      <w:rFonts w:eastAsia="华文新魏"/>
      <w:bCs/>
      <w:sz w:val="52"/>
      <w:szCs w:val="28"/>
    </w:rPr>
  </w:style>
  <w:style w:type="paragraph" w:customStyle="1" w:styleId="1939">
    <w:name w:val="设计封面日期中宋2"/>
    <w:basedOn w:val="1"/>
    <w:next w:val="1"/>
    <w:qFormat/>
    <w:uiPriority w:val="0"/>
    <w:pPr>
      <w:tabs>
        <w:tab w:val="left" w:pos="210"/>
      </w:tabs>
      <w:snapToGrid w:val="0"/>
      <w:spacing w:line="360" w:lineRule="auto"/>
      <w:jc w:val="center"/>
    </w:pPr>
    <w:rPr>
      <w:rFonts w:ascii="宋体" w:hAnsi="宋体"/>
      <w:b/>
      <w:bCs/>
      <w:spacing w:val="60"/>
      <w:sz w:val="44"/>
      <w:szCs w:val="28"/>
    </w:rPr>
  </w:style>
  <w:style w:type="paragraph" w:customStyle="1" w:styleId="1940">
    <w:name w:val="设计著录宋2"/>
    <w:basedOn w:val="1939"/>
    <w:next w:val="1"/>
    <w:qFormat/>
    <w:uiPriority w:val="0"/>
    <w:pPr>
      <w:adjustRightInd w:val="0"/>
      <w:ind w:firstLine="300" w:firstLineChars="300"/>
      <w:jc w:val="both"/>
    </w:pPr>
    <w:rPr>
      <w:rFonts w:ascii="Times New Roman" w:hAnsi="Times New Roman" w:eastAsia="华文中宋"/>
      <w:kern w:val="4"/>
    </w:rPr>
  </w:style>
  <w:style w:type="paragraph" w:customStyle="1" w:styleId="1941">
    <w:name w:val="样式 标题 2 + 宋体 四号 首行缩进:  0.99 厘米"/>
    <w:basedOn w:val="6"/>
    <w:next w:val="1"/>
    <w:semiHidden/>
    <w:qFormat/>
    <w:uiPriority w:val="0"/>
    <w:pPr>
      <w:spacing w:beforeLines="10" w:afterLines="10"/>
      <w:ind w:firstLine="200" w:firstLineChars="200"/>
    </w:pPr>
    <w:rPr>
      <w:rFonts w:ascii="Cambria" w:hAnsi="Cambria" w:eastAsia="宋体"/>
    </w:rPr>
  </w:style>
  <w:style w:type="paragraph" w:customStyle="1" w:styleId="1942">
    <w:name w:val="样式 目录 1 + 首行缩进:  2 字符"/>
    <w:basedOn w:val="1"/>
    <w:next w:val="1"/>
    <w:qFormat/>
    <w:uiPriority w:val="0"/>
    <w:pPr>
      <w:tabs>
        <w:tab w:val="left" w:pos="210"/>
      </w:tabs>
      <w:adjustRightInd w:val="0"/>
      <w:spacing w:line="360" w:lineRule="exact"/>
      <w:ind w:firstLine="200" w:firstLineChars="200"/>
      <w:jc w:val="left"/>
    </w:pPr>
    <w:rPr>
      <w:rFonts w:ascii="宋体" w:hAnsi="宋体" w:cs="宋体"/>
      <w:b/>
      <w:bCs/>
      <w:sz w:val="24"/>
      <w:szCs w:val="28"/>
    </w:rPr>
  </w:style>
  <w:style w:type="paragraph" w:customStyle="1" w:styleId="1943">
    <w:name w:val="样式 标题 1 + 首行缩进:  2.7 厘米"/>
    <w:basedOn w:val="5"/>
    <w:qFormat/>
    <w:uiPriority w:val="0"/>
    <w:pPr>
      <w:keepLines/>
      <w:overflowPunct/>
      <w:snapToGrid/>
      <w:spacing w:before="0" w:beforeLines="10" w:after="0" w:afterLines="10" w:line="578" w:lineRule="auto"/>
      <w:ind w:left="0" w:firstLine="200" w:firstLineChars="200"/>
    </w:pPr>
    <w:rPr>
      <w:rFonts w:eastAsia="宋体"/>
      <w:color w:val="auto"/>
      <w:sz w:val="44"/>
      <w:szCs w:val="44"/>
    </w:rPr>
  </w:style>
  <w:style w:type="paragraph" w:customStyle="1" w:styleId="1944">
    <w:name w:val="标题 1红4号"/>
    <w:basedOn w:val="5"/>
    <w:qFormat/>
    <w:uiPriority w:val="0"/>
    <w:pPr>
      <w:keepLines/>
      <w:overflowPunct/>
      <w:snapToGrid/>
      <w:spacing w:before="0" w:beforeLines="10" w:after="0" w:afterLines="10" w:line="578" w:lineRule="auto"/>
      <w:ind w:left="0" w:firstLine="200" w:firstLineChars="200"/>
    </w:pPr>
    <w:rPr>
      <w:rFonts w:eastAsia="宋体"/>
      <w:color w:val="auto"/>
      <w:sz w:val="44"/>
      <w:szCs w:val="44"/>
    </w:rPr>
  </w:style>
  <w:style w:type="paragraph" w:customStyle="1" w:styleId="1945">
    <w:name w:val="标题 2 蓝四号"/>
    <w:basedOn w:val="6"/>
    <w:next w:val="1"/>
    <w:semiHidden/>
    <w:qFormat/>
    <w:uiPriority w:val="0"/>
    <w:pPr>
      <w:spacing w:beforeLines="10" w:afterLines="10"/>
      <w:ind w:firstLine="200" w:firstLineChars="200"/>
    </w:pPr>
    <w:rPr>
      <w:rFonts w:ascii="Cambria" w:hAnsi="Cambria" w:eastAsia="宋体"/>
    </w:rPr>
  </w:style>
  <w:style w:type="paragraph" w:customStyle="1" w:styleId="1946">
    <w:name w:val="样式 居中 首行缩进:  0 厘米"/>
    <w:basedOn w:val="1"/>
    <w:qFormat/>
    <w:uiPriority w:val="0"/>
    <w:pPr>
      <w:adjustRightInd w:val="0"/>
      <w:snapToGrid w:val="0"/>
      <w:spacing w:line="500" w:lineRule="exact"/>
      <w:jc w:val="center"/>
    </w:pPr>
    <w:rPr>
      <w:rFonts w:ascii="宋体" w:hAnsi="宋体" w:cs="宋体"/>
      <w:sz w:val="28"/>
      <w:szCs w:val="20"/>
    </w:rPr>
  </w:style>
  <w:style w:type="paragraph" w:customStyle="1" w:styleId="1947">
    <w:name w:val="样式 样式 标题 2 + 首行缩进:  2 字符 + 首行缩进:  2 字符"/>
    <w:basedOn w:val="1439"/>
    <w:qFormat/>
    <w:uiPriority w:val="0"/>
    <w:pPr>
      <w:spacing w:before="280" w:after="290" w:line="376" w:lineRule="auto"/>
      <w:ind w:left="864" w:hanging="144"/>
      <w:outlineLvl w:val="3"/>
    </w:pPr>
    <w:rPr>
      <w:sz w:val="28"/>
      <w:szCs w:val="28"/>
    </w:rPr>
  </w:style>
  <w:style w:type="paragraph" w:customStyle="1" w:styleId="1948">
    <w:name w:val="样式 样式 标题 2 + 首行缩进:  2 字符 + 段前: 0 磅 段后: 0 磅"/>
    <w:basedOn w:val="1439"/>
    <w:qFormat/>
    <w:uiPriority w:val="0"/>
    <w:pPr>
      <w:spacing w:before="280" w:after="290" w:line="376" w:lineRule="auto"/>
      <w:ind w:left="864" w:hanging="144"/>
      <w:outlineLvl w:val="3"/>
    </w:pPr>
    <w:rPr>
      <w:sz w:val="28"/>
      <w:szCs w:val="28"/>
    </w:rPr>
  </w:style>
  <w:style w:type="paragraph" w:customStyle="1" w:styleId="1949">
    <w:name w:val="0001"/>
    <w:basedOn w:val="5"/>
    <w:qFormat/>
    <w:uiPriority w:val="0"/>
    <w:pPr>
      <w:keepLines/>
      <w:overflowPunct/>
      <w:snapToGrid/>
      <w:spacing w:before="0" w:beforeLines="10" w:after="0" w:afterLines="10" w:line="578" w:lineRule="auto"/>
      <w:ind w:left="0" w:firstLine="200" w:firstLineChars="200"/>
    </w:pPr>
    <w:rPr>
      <w:rFonts w:eastAsia="宋体"/>
      <w:color w:val="auto"/>
      <w:sz w:val="44"/>
      <w:szCs w:val="44"/>
    </w:rPr>
  </w:style>
  <w:style w:type="paragraph" w:customStyle="1" w:styleId="1950">
    <w:name w:val="0003"/>
    <w:basedOn w:val="7"/>
    <w:qFormat/>
    <w:uiPriority w:val="0"/>
    <w:pPr>
      <w:widowControl w:val="0"/>
      <w:adjustRightInd/>
      <w:snapToGrid/>
      <w:spacing w:before="120" w:beforeLines="10" w:after="120" w:afterLines="10"/>
      <w:ind w:left="720" w:hanging="432" w:firstLineChars="200"/>
      <w:jc w:val="both"/>
    </w:pPr>
    <w:rPr>
      <w:rFonts w:ascii="Times New Roman" w:hAnsi="Times New Roman"/>
      <w:lang w:val="en-US"/>
    </w:rPr>
  </w:style>
  <w:style w:type="paragraph" w:customStyle="1" w:styleId="1951">
    <w:name w:val="0004正文"/>
    <w:basedOn w:val="1"/>
    <w:qFormat/>
    <w:uiPriority w:val="0"/>
    <w:pPr>
      <w:widowControl/>
      <w:autoSpaceDE w:val="0"/>
      <w:autoSpaceDN w:val="0"/>
      <w:adjustRightInd w:val="0"/>
      <w:spacing w:line="500" w:lineRule="exact"/>
    </w:pPr>
    <w:rPr>
      <w:rFonts w:ascii="宋体" w:hAnsi="宋体"/>
      <w:sz w:val="28"/>
      <w:szCs w:val="28"/>
    </w:rPr>
  </w:style>
  <w:style w:type="paragraph" w:customStyle="1" w:styleId="1952">
    <w:name w:val="样式 0004正文 + 首行缩进:  2 字符"/>
    <w:basedOn w:val="1951"/>
    <w:qFormat/>
    <w:uiPriority w:val="0"/>
    <w:pPr>
      <w:keepNext/>
      <w:keepLines/>
      <w:widowControl w:val="0"/>
      <w:autoSpaceDE/>
      <w:autoSpaceDN/>
      <w:adjustRightInd/>
      <w:spacing w:beforeLines="10" w:afterLines="10" w:line="416" w:lineRule="auto"/>
      <w:ind w:left="720" w:hanging="432" w:firstLineChars="200"/>
      <w:outlineLvl w:val="2"/>
    </w:pPr>
    <w:rPr>
      <w:rFonts w:ascii="Times New Roman" w:hAnsi="Times New Roman"/>
      <w:b/>
      <w:bCs/>
      <w:sz w:val="32"/>
      <w:szCs w:val="32"/>
    </w:rPr>
  </w:style>
  <w:style w:type="paragraph" w:customStyle="1" w:styleId="1953">
    <w:name w:val="样式 0005左缩2 + 首行缩进:  2 字符 段后: 0.3 行"/>
    <w:basedOn w:val="1910"/>
    <w:qFormat/>
    <w:uiPriority w:val="0"/>
    <w:pPr>
      <w:ind w:firstLine="560"/>
    </w:pPr>
    <w:rPr>
      <w:rFonts w:cs="宋体"/>
      <w:szCs w:val="20"/>
    </w:rPr>
  </w:style>
  <w:style w:type="paragraph" w:customStyle="1" w:styleId="1954">
    <w:name w:val="0006"/>
    <w:basedOn w:val="1951"/>
    <w:qFormat/>
    <w:uiPriority w:val="0"/>
    <w:pPr>
      <w:keepNext/>
      <w:keepLines/>
      <w:widowControl w:val="0"/>
      <w:autoSpaceDE/>
      <w:autoSpaceDN/>
      <w:adjustRightInd/>
      <w:spacing w:beforeLines="10" w:afterLines="10" w:line="416" w:lineRule="auto"/>
      <w:ind w:left="720" w:hanging="432" w:firstLineChars="200"/>
      <w:outlineLvl w:val="2"/>
    </w:pPr>
    <w:rPr>
      <w:rFonts w:ascii="Times New Roman" w:hAnsi="Times New Roman"/>
      <w:b/>
      <w:bCs/>
      <w:sz w:val="32"/>
      <w:szCs w:val="32"/>
    </w:rPr>
  </w:style>
  <w:style w:type="paragraph" w:customStyle="1" w:styleId="1955">
    <w:name w:val="0007小四 居中"/>
    <w:basedOn w:val="1951"/>
    <w:qFormat/>
    <w:uiPriority w:val="0"/>
    <w:pPr>
      <w:keepNext/>
      <w:keepLines/>
      <w:widowControl w:val="0"/>
      <w:autoSpaceDE/>
      <w:autoSpaceDN/>
      <w:adjustRightInd/>
      <w:spacing w:beforeLines="10" w:afterLines="10" w:line="416" w:lineRule="auto"/>
      <w:ind w:left="720" w:hanging="432" w:firstLineChars="200"/>
      <w:outlineLvl w:val="2"/>
    </w:pPr>
    <w:rPr>
      <w:rFonts w:ascii="Times New Roman" w:hAnsi="Times New Roman"/>
      <w:b/>
      <w:bCs/>
      <w:sz w:val="32"/>
      <w:szCs w:val="32"/>
    </w:rPr>
  </w:style>
  <w:style w:type="character" w:customStyle="1" w:styleId="1956">
    <w:name w:val="左2 Char"/>
    <w:link w:val="1957"/>
    <w:qFormat/>
    <w:locked/>
    <w:uiPriority w:val="0"/>
    <w:rPr>
      <w:rFonts w:ascii="宋体" w:hAnsi="宋体"/>
      <w:sz w:val="28"/>
      <w:szCs w:val="28"/>
    </w:rPr>
  </w:style>
  <w:style w:type="paragraph" w:customStyle="1" w:styleId="1957">
    <w:name w:val="左2"/>
    <w:basedOn w:val="1"/>
    <w:next w:val="1"/>
    <w:link w:val="1956"/>
    <w:qFormat/>
    <w:uiPriority w:val="0"/>
    <w:pPr>
      <w:spacing w:line="500" w:lineRule="exact"/>
      <w:ind w:firstLine="560" w:firstLineChars="200"/>
    </w:pPr>
    <w:rPr>
      <w:rFonts w:ascii="宋体" w:hAnsi="宋体"/>
      <w:kern w:val="0"/>
      <w:sz w:val="28"/>
      <w:szCs w:val="28"/>
    </w:rPr>
  </w:style>
  <w:style w:type="paragraph" w:customStyle="1" w:styleId="1958">
    <w:name w:val="正文小四缩"/>
    <w:basedOn w:val="1"/>
    <w:qFormat/>
    <w:uiPriority w:val="0"/>
    <w:pPr>
      <w:widowControl/>
      <w:adjustRightInd w:val="0"/>
      <w:spacing w:line="420" w:lineRule="atLeast"/>
      <w:ind w:firstLine="510"/>
      <w:jc w:val="left"/>
    </w:pPr>
    <w:rPr>
      <w:rFonts w:ascii="宋体"/>
      <w:bCs/>
      <w:kern w:val="0"/>
      <w:sz w:val="24"/>
      <w:szCs w:val="20"/>
      <w:lang w:eastAsia="en-US" w:bidi="en-US"/>
    </w:rPr>
  </w:style>
  <w:style w:type="paragraph" w:customStyle="1" w:styleId="1959">
    <w:name w:val="样式 加粗 左侧:  0.32 厘米"/>
    <w:basedOn w:val="1"/>
    <w:qFormat/>
    <w:uiPriority w:val="0"/>
    <w:pPr>
      <w:spacing w:line="500" w:lineRule="exact"/>
      <w:ind w:left="180"/>
    </w:pPr>
    <w:rPr>
      <w:rFonts w:cs="宋体"/>
      <w:b/>
      <w:bCs/>
      <w:sz w:val="28"/>
      <w:szCs w:val="20"/>
    </w:rPr>
  </w:style>
  <w:style w:type="paragraph" w:customStyle="1" w:styleId="1960">
    <w:name w:val="缩2"/>
    <w:basedOn w:val="1"/>
    <w:qFormat/>
    <w:uiPriority w:val="0"/>
    <w:pPr>
      <w:spacing w:line="500" w:lineRule="exact"/>
      <w:ind w:firstLine="560" w:firstLineChars="200"/>
    </w:pPr>
    <w:rPr>
      <w:sz w:val="28"/>
    </w:rPr>
  </w:style>
  <w:style w:type="paragraph" w:customStyle="1" w:styleId="1961">
    <w:name w:val="样式 标题 21.1标题 2 + 首行缩进:  2 字符"/>
    <w:basedOn w:val="6"/>
    <w:qFormat/>
    <w:uiPriority w:val="0"/>
    <w:pPr>
      <w:spacing w:beforeLines="10" w:afterLines="10"/>
      <w:ind w:firstLine="200" w:firstLineChars="200"/>
    </w:pPr>
    <w:rPr>
      <w:rFonts w:ascii="Cambria" w:hAnsi="Cambria" w:eastAsia="宋体"/>
    </w:rPr>
  </w:style>
  <w:style w:type="paragraph" w:customStyle="1" w:styleId="1962">
    <w:name w:val="样式6 正文"/>
    <w:qFormat/>
    <w:uiPriority w:val="0"/>
    <w:pPr>
      <w:widowControl w:val="0"/>
      <w:spacing w:beforeLines="50" w:line="500" w:lineRule="exact"/>
      <w:ind w:firstLine="560" w:firstLineChars="200"/>
      <w:jc w:val="both"/>
    </w:pPr>
    <w:rPr>
      <w:rFonts w:ascii="仿宋_GB2312" w:hAnsi="Calibri" w:eastAsia="仿宋_GB2312" w:cs="Calibri"/>
      <w:sz w:val="28"/>
      <w:szCs w:val="28"/>
      <w:lang w:val="en-US" w:eastAsia="zh-CN" w:bidi="ar-SA"/>
    </w:rPr>
  </w:style>
  <w:style w:type="character" w:customStyle="1" w:styleId="1963">
    <w:name w:val="标题 11 Char"/>
    <w:qFormat/>
    <w:uiPriority w:val="0"/>
    <w:rPr>
      <w:rFonts w:hint="eastAsia" w:ascii="宋体" w:hAnsi="宋体" w:eastAsia="宋体" w:cs="Times New Roman"/>
      <w:kern w:val="44"/>
      <w:sz w:val="32"/>
      <w:szCs w:val="32"/>
    </w:rPr>
  </w:style>
  <w:style w:type="character" w:customStyle="1" w:styleId="1964">
    <w:name w:val="1.1.1标题 3 Char Char"/>
    <w:qFormat/>
    <w:uiPriority w:val="0"/>
    <w:rPr>
      <w:rFonts w:hint="default" w:ascii="Arial" w:hAnsi="Arial" w:eastAsia="宋体" w:cs="Times New Roman"/>
      <w:b/>
      <w:kern w:val="44"/>
      <w:sz w:val="30"/>
      <w:szCs w:val="20"/>
    </w:rPr>
  </w:style>
  <w:style w:type="character" w:customStyle="1" w:styleId="1965">
    <w:name w:val="1.1标题 2 Char Char"/>
    <w:qFormat/>
    <w:uiPriority w:val="0"/>
    <w:rPr>
      <w:rFonts w:hint="default" w:ascii="Arial" w:hAnsi="Arial" w:eastAsia="宋体" w:cs="Times New Roman"/>
      <w:b/>
      <w:kern w:val="44"/>
      <w:sz w:val="28"/>
      <w:szCs w:val="20"/>
    </w:rPr>
  </w:style>
  <w:style w:type="paragraph" w:customStyle="1" w:styleId="1966">
    <w:name w:val="设计封面编号宋2"/>
    <w:basedOn w:val="1938"/>
    <w:next w:val="1937"/>
    <w:qFormat/>
    <w:uiPriority w:val="0"/>
    <w:pPr>
      <w:keepNext/>
      <w:keepLines/>
      <w:tabs>
        <w:tab w:val="clear" w:pos="210"/>
      </w:tabs>
      <w:autoSpaceDE/>
      <w:autoSpaceDN/>
      <w:spacing w:beforeLines="10" w:afterLines="10" w:line="416" w:lineRule="auto"/>
      <w:ind w:firstLine="200" w:firstLineChars="200"/>
      <w:jc w:val="both"/>
      <w:outlineLvl w:val="1"/>
    </w:pPr>
    <w:rPr>
      <w:rFonts w:ascii="Cambria" w:hAnsi="Cambria" w:eastAsia="宋体"/>
      <w:b/>
      <w:sz w:val="32"/>
      <w:szCs w:val="32"/>
    </w:rPr>
  </w:style>
  <w:style w:type="paragraph" w:customStyle="1" w:styleId="1967">
    <w:name w:val="标题 1红4号1"/>
    <w:basedOn w:val="5"/>
    <w:qFormat/>
    <w:uiPriority w:val="0"/>
    <w:pPr>
      <w:keepLines/>
      <w:overflowPunct/>
      <w:snapToGrid/>
      <w:spacing w:before="0" w:beforeLines="10" w:after="0" w:afterLines="10" w:line="578" w:lineRule="auto"/>
      <w:ind w:left="0" w:firstLine="200" w:firstLineChars="200"/>
    </w:pPr>
    <w:rPr>
      <w:rFonts w:eastAsia="宋体"/>
      <w:color w:val="auto"/>
      <w:sz w:val="44"/>
      <w:szCs w:val="44"/>
    </w:rPr>
  </w:style>
  <w:style w:type="paragraph" w:customStyle="1" w:styleId="1968">
    <w:name w:val="标题 2 蓝四号1"/>
    <w:basedOn w:val="6"/>
    <w:next w:val="1"/>
    <w:semiHidden/>
    <w:qFormat/>
    <w:uiPriority w:val="0"/>
    <w:pPr>
      <w:spacing w:beforeLines="10" w:afterLines="10"/>
      <w:ind w:firstLine="200" w:firstLineChars="200"/>
    </w:pPr>
    <w:rPr>
      <w:rFonts w:ascii="Cambria" w:hAnsi="Cambria" w:eastAsia="宋体"/>
    </w:rPr>
  </w:style>
  <w:style w:type="character" w:customStyle="1" w:styleId="1969">
    <w:name w:val="bold121"/>
    <w:qFormat/>
    <w:uiPriority w:val="0"/>
    <w:rPr>
      <w:b/>
      <w:bCs/>
      <w:sz w:val="18"/>
      <w:szCs w:val="18"/>
    </w:rPr>
  </w:style>
  <w:style w:type="paragraph" w:customStyle="1" w:styleId="1970">
    <w:name w:val="报告书"/>
    <w:basedOn w:val="1"/>
    <w:qFormat/>
    <w:uiPriority w:val="0"/>
    <w:pPr>
      <w:autoSpaceDE w:val="0"/>
      <w:autoSpaceDN w:val="0"/>
      <w:adjustRightInd w:val="0"/>
      <w:spacing w:line="360" w:lineRule="auto"/>
      <w:ind w:firstLine="505"/>
      <w:jc w:val="left"/>
      <w:textAlignment w:val="bottom"/>
    </w:pPr>
    <w:rPr>
      <w:kern w:val="0"/>
      <w:sz w:val="24"/>
      <w:szCs w:val="20"/>
    </w:rPr>
  </w:style>
  <w:style w:type="character" w:customStyle="1" w:styleId="1971">
    <w:name w:val="上标"/>
    <w:qFormat/>
    <w:uiPriority w:val="0"/>
    <w:rPr>
      <w:vertAlign w:val="superscript"/>
    </w:rPr>
  </w:style>
  <w:style w:type="paragraph" w:customStyle="1" w:styleId="1972">
    <w:name w:val="样式 标题 3标题3小标题1.1.1标题 3 + 段后: 4 磅"/>
    <w:basedOn w:val="7"/>
    <w:qFormat/>
    <w:uiPriority w:val="0"/>
    <w:pPr>
      <w:widowControl w:val="0"/>
      <w:adjustRightInd/>
      <w:snapToGrid/>
      <w:spacing w:before="120" w:beforeLines="10" w:after="120" w:afterLines="10"/>
      <w:ind w:left="720" w:hanging="432" w:firstLineChars="200"/>
      <w:jc w:val="both"/>
    </w:pPr>
    <w:rPr>
      <w:rFonts w:ascii="Times New Roman" w:hAnsi="Times New Roman"/>
      <w:lang w:val="en-US"/>
    </w:rPr>
  </w:style>
  <w:style w:type="paragraph" w:customStyle="1" w:styleId="1973">
    <w:name w:val="蒲表头"/>
    <w:basedOn w:val="1"/>
    <w:qFormat/>
    <w:uiPriority w:val="0"/>
    <w:pPr>
      <w:adjustRightInd w:val="0"/>
      <w:snapToGrid w:val="0"/>
      <w:jc w:val="center"/>
    </w:pPr>
    <w:rPr>
      <w:color w:val="0000FF"/>
      <w:szCs w:val="21"/>
    </w:rPr>
  </w:style>
  <w:style w:type="paragraph" w:customStyle="1" w:styleId="1974">
    <w:name w:val="样式 首行缩进:  1.01 厘米"/>
    <w:basedOn w:val="1"/>
    <w:qFormat/>
    <w:uiPriority w:val="0"/>
    <w:pPr>
      <w:spacing w:line="500" w:lineRule="exact"/>
      <w:ind w:firstLine="570"/>
    </w:pPr>
    <w:rPr>
      <w:rFonts w:cs="宋体"/>
      <w:kern w:val="28"/>
      <w:sz w:val="28"/>
      <w:szCs w:val="20"/>
    </w:rPr>
  </w:style>
  <w:style w:type="paragraph" w:customStyle="1" w:styleId="1975">
    <w:name w:val="3标题(治)"/>
    <w:basedOn w:val="7"/>
    <w:link w:val="1976"/>
    <w:qFormat/>
    <w:uiPriority w:val="0"/>
    <w:pPr>
      <w:widowControl w:val="0"/>
      <w:adjustRightInd/>
      <w:snapToGrid/>
      <w:spacing w:before="120" w:beforeLines="10" w:after="120" w:afterLines="10"/>
      <w:ind w:left="720" w:hanging="432" w:firstLineChars="200"/>
      <w:jc w:val="both"/>
    </w:pPr>
    <w:rPr>
      <w:rFonts w:ascii="Times New Roman" w:hAnsi="Times New Roman"/>
      <w:lang w:val="en-US"/>
    </w:rPr>
  </w:style>
  <w:style w:type="character" w:customStyle="1" w:styleId="1976">
    <w:name w:val="3标题(治) Char"/>
    <w:link w:val="1975"/>
    <w:qFormat/>
    <w:uiPriority w:val="0"/>
    <w:rPr>
      <w:b/>
      <w:bCs/>
      <w:kern w:val="2"/>
      <w:sz w:val="32"/>
      <w:szCs w:val="32"/>
    </w:rPr>
  </w:style>
  <w:style w:type="paragraph" w:customStyle="1" w:styleId="1977">
    <w:name w:val="蒲标题1"/>
    <w:basedOn w:val="5"/>
    <w:qFormat/>
    <w:uiPriority w:val="0"/>
    <w:pPr>
      <w:keepLines/>
      <w:overflowPunct/>
      <w:snapToGrid/>
      <w:spacing w:before="0" w:beforeLines="10" w:after="0" w:afterLines="10" w:line="578" w:lineRule="auto"/>
      <w:ind w:left="0" w:firstLine="200" w:firstLineChars="200"/>
    </w:pPr>
    <w:rPr>
      <w:rFonts w:eastAsia="宋体"/>
      <w:color w:val="auto"/>
      <w:sz w:val="44"/>
      <w:szCs w:val="44"/>
    </w:rPr>
  </w:style>
  <w:style w:type="paragraph" w:customStyle="1" w:styleId="1978">
    <w:name w:val="蒲标题3"/>
    <w:basedOn w:val="7"/>
    <w:link w:val="1979"/>
    <w:qFormat/>
    <w:uiPriority w:val="0"/>
    <w:pPr>
      <w:widowControl w:val="0"/>
      <w:adjustRightInd/>
      <w:snapToGrid/>
      <w:spacing w:before="120" w:beforeLines="10" w:after="120" w:afterLines="10"/>
      <w:ind w:left="720" w:hanging="432" w:firstLineChars="200"/>
      <w:jc w:val="both"/>
    </w:pPr>
    <w:rPr>
      <w:rFonts w:ascii="Times New Roman" w:hAnsi="Times New Roman"/>
      <w:lang w:val="en-US"/>
    </w:rPr>
  </w:style>
  <w:style w:type="character" w:customStyle="1" w:styleId="1979">
    <w:name w:val="蒲标题3 Char"/>
    <w:link w:val="1978"/>
    <w:qFormat/>
    <w:uiPriority w:val="0"/>
    <w:rPr>
      <w:b/>
      <w:bCs/>
      <w:kern w:val="2"/>
      <w:sz w:val="32"/>
      <w:szCs w:val="32"/>
    </w:rPr>
  </w:style>
  <w:style w:type="paragraph" w:customStyle="1" w:styleId="1980">
    <w:name w:val="7表格(治)"/>
    <w:qFormat/>
    <w:uiPriority w:val="0"/>
    <w:pPr>
      <w:jc w:val="center"/>
    </w:pPr>
    <w:rPr>
      <w:rFonts w:ascii="宋体" w:hAnsi="宋体" w:eastAsia="宋体" w:cs="Calibri"/>
      <w:color w:val="0000FF"/>
      <w:sz w:val="21"/>
      <w:lang w:val="en-US" w:eastAsia="zh-CN" w:bidi="ar-SA"/>
    </w:rPr>
  </w:style>
  <w:style w:type="paragraph" w:customStyle="1" w:styleId="1981">
    <w:name w:val="6表(图)头(治)"/>
    <w:next w:val="1"/>
    <w:qFormat/>
    <w:uiPriority w:val="0"/>
    <w:pPr>
      <w:widowControl w:val="0"/>
      <w:adjustRightInd w:val="0"/>
      <w:snapToGrid w:val="0"/>
      <w:jc w:val="center"/>
    </w:pPr>
    <w:rPr>
      <w:rFonts w:ascii="Calibri" w:hAnsi="宋体" w:eastAsia="宋体" w:cs="Calibri"/>
      <w:sz w:val="21"/>
      <w:szCs w:val="21"/>
      <w:lang w:val="en-US" w:eastAsia="zh-CN" w:bidi="ar-SA"/>
    </w:rPr>
  </w:style>
  <w:style w:type="paragraph" w:customStyle="1" w:styleId="1982">
    <w:name w:val="1表格头"/>
    <w:basedOn w:val="1625"/>
    <w:qFormat/>
    <w:uiPriority w:val="0"/>
    <w:pPr>
      <w:spacing w:line="160" w:lineRule="atLeast"/>
      <w:jc w:val="both"/>
      <w:outlineLvl w:val="9"/>
    </w:pPr>
    <w:rPr>
      <w:b/>
      <w:color w:val="000000"/>
      <w:spacing w:val="0"/>
      <w:sz w:val="24"/>
    </w:rPr>
  </w:style>
  <w:style w:type="paragraph" w:customStyle="1" w:styleId="1983">
    <w:name w:val="a9"/>
    <w:basedOn w:val="1"/>
    <w:qFormat/>
    <w:uiPriority w:val="0"/>
    <w:pPr>
      <w:widowControl/>
      <w:adjustRightInd w:val="0"/>
      <w:spacing w:beforeAutospacing="1" w:afterAutospacing="1" w:line="360" w:lineRule="atLeast"/>
      <w:jc w:val="left"/>
      <w:textAlignment w:val="baseline"/>
    </w:pPr>
    <w:rPr>
      <w:rFonts w:ascii="宋体" w:hAnsi="宋体"/>
      <w:color w:val="000000"/>
      <w:kern w:val="0"/>
      <w:sz w:val="24"/>
      <w:szCs w:val="20"/>
    </w:rPr>
  </w:style>
  <w:style w:type="character" w:customStyle="1" w:styleId="1984">
    <w:name w:val="infodetail"/>
    <w:qFormat/>
    <w:uiPriority w:val="0"/>
  </w:style>
  <w:style w:type="paragraph" w:customStyle="1" w:styleId="1985">
    <w:name w:val="四级标题"/>
    <w:basedOn w:val="1"/>
    <w:qFormat/>
    <w:uiPriority w:val="0"/>
    <w:pPr>
      <w:adjustRightInd w:val="0"/>
      <w:snapToGrid w:val="0"/>
      <w:spacing w:line="300" w:lineRule="auto"/>
      <w:outlineLvl w:val="3"/>
    </w:pPr>
    <w:rPr>
      <w:rFonts w:eastAsia="华文中宋"/>
      <w:sz w:val="28"/>
    </w:rPr>
  </w:style>
  <w:style w:type="paragraph" w:customStyle="1" w:styleId="1986">
    <w:name w:val="样式 样式 黑色 首行缩进:  2 字符 行距: 固定值 25 磅 + Times New Roman 首行缩进:  2 字符"/>
    <w:basedOn w:val="1"/>
    <w:qFormat/>
    <w:uiPriority w:val="0"/>
    <w:pPr>
      <w:spacing w:line="580" w:lineRule="exact"/>
      <w:ind w:firstLine="200" w:firstLineChars="200"/>
    </w:pPr>
    <w:rPr>
      <w:rFonts w:eastAsia="仿宋_GB2312" w:cs="宋体"/>
      <w:b/>
      <w:bCs/>
      <w:color w:val="000000"/>
      <w:sz w:val="28"/>
      <w:szCs w:val="20"/>
    </w:rPr>
  </w:style>
  <w:style w:type="paragraph" w:customStyle="1" w:styleId="1987">
    <w:name w:val="样式 标题 4 + 黑色 首行缩进:  2 字符 段前: 7.5 磅 行距: 固定值 23 磅1"/>
    <w:basedOn w:val="8"/>
    <w:qFormat/>
    <w:uiPriority w:val="0"/>
    <w:pPr>
      <w:numPr>
        <w:ilvl w:val="0"/>
        <w:numId w:val="0"/>
      </w:numPr>
      <w:spacing w:beforeLines="10" w:afterLines="10"/>
      <w:ind w:left="864" w:hanging="144" w:firstLineChars="200"/>
    </w:pPr>
    <w:rPr>
      <w:rFonts w:ascii="Cambria" w:hAnsi="Cambria" w:eastAsia="宋体"/>
    </w:rPr>
  </w:style>
  <w:style w:type="character" w:customStyle="1" w:styleId="1988">
    <w:name w:val="1.1标题2 Char Char"/>
    <w:qFormat/>
    <w:uiPriority w:val="0"/>
    <w:rPr>
      <w:rFonts w:ascii="Arial" w:hAnsi="Arial" w:eastAsia="黑体"/>
      <w:b/>
      <w:bCs/>
      <w:kern w:val="2"/>
      <w:sz w:val="32"/>
      <w:szCs w:val="32"/>
      <w:lang w:val="en-US" w:eastAsia="zh-CN" w:bidi="ar-SA"/>
    </w:rPr>
  </w:style>
  <w:style w:type="character" w:customStyle="1" w:styleId="1989">
    <w:name w:val="keywords"/>
    <w:qFormat/>
    <w:uiPriority w:val="0"/>
    <w:rPr>
      <w:b/>
      <w:bCs/>
      <w:color w:val="EE0033"/>
    </w:rPr>
  </w:style>
  <w:style w:type="character" w:customStyle="1" w:styleId="1990">
    <w:name w:val="copyright1"/>
    <w:qFormat/>
    <w:uiPriority w:val="0"/>
    <w:rPr>
      <w:rFonts w:hint="default"/>
      <w:color w:val="000000"/>
    </w:rPr>
  </w:style>
  <w:style w:type="paragraph" w:customStyle="1" w:styleId="1991">
    <w:name w:val="分目录2"/>
    <w:basedOn w:val="1"/>
    <w:qFormat/>
    <w:uiPriority w:val="0"/>
    <w:pPr>
      <w:tabs>
        <w:tab w:val="right" w:leader="dot" w:pos="8304"/>
      </w:tabs>
      <w:adjustRightInd w:val="0"/>
      <w:snapToGrid w:val="0"/>
      <w:spacing w:line="360" w:lineRule="auto"/>
      <w:ind w:firstLine="560" w:firstLineChars="200"/>
    </w:pPr>
    <w:rPr>
      <w:kern w:val="0"/>
      <w:sz w:val="28"/>
      <w:szCs w:val="28"/>
    </w:rPr>
  </w:style>
  <w:style w:type="character" w:customStyle="1" w:styleId="1992">
    <w:name w:val="Char Char23"/>
    <w:qFormat/>
    <w:uiPriority w:val="0"/>
    <w:rPr>
      <w:rFonts w:ascii="Arial Narrow" w:hAnsi="Arial Narrow" w:eastAsia="仿宋_GB2312"/>
      <w:kern w:val="2"/>
      <w:sz w:val="24"/>
      <w:szCs w:val="24"/>
      <w:lang w:val="en-US" w:eastAsia="zh-CN" w:bidi="ar-SA"/>
    </w:rPr>
  </w:style>
  <w:style w:type="character" w:customStyle="1" w:styleId="1993">
    <w:name w:val="Char Char27"/>
    <w:qFormat/>
    <w:uiPriority w:val="0"/>
    <w:rPr>
      <w:rFonts w:eastAsia="宋体"/>
      <w:bCs/>
      <w:color w:val="000000"/>
      <w:sz w:val="24"/>
      <w:szCs w:val="19"/>
      <w:lang w:val="en-US" w:eastAsia="zh-CN" w:bidi="ar-SA"/>
    </w:rPr>
  </w:style>
  <w:style w:type="character" w:customStyle="1" w:styleId="1994">
    <w:name w:val="Char Char32"/>
    <w:qFormat/>
    <w:uiPriority w:val="0"/>
    <w:rPr>
      <w:rFonts w:eastAsia="宋体"/>
      <w:color w:val="000000"/>
      <w:kern w:val="2"/>
      <w:sz w:val="24"/>
      <w:szCs w:val="24"/>
      <w:lang w:val="en-US" w:eastAsia="zh-CN" w:bidi="ar-SA"/>
    </w:rPr>
  </w:style>
  <w:style w:type="character" w:customStyle="1" w:styleId="1995">
    <w:name w:val="正文-ls Char Char"/>
    <w:qFormat/>
    <w:uiPriority w:val="0"/>
    <w:rPr>
      <w:rFonts w:hAnsi="宋体" w:eastAsia="宋体" w:cs="宋体"/>
      <w:kern w:val="2"/>
      <w:sz w:val="24"/>
      <w:lang w:val="en-US" w:eastAsia="zh-CN" w:bidi="ar-SA"/>
    </w:rPr>
  </w:style>
  <w:style w:type="character" w:customStyle="1" w:styleId="1996">
    <w:name w:val="Char Char34"/>
    <w:qFormat/>
    <w:uiPriority w:val="0"/>
    <w:rPr>
      <w:rFonts w:eastAsia="宋体"/>
      <w:kern w:val="2"/>
      <w:sz w:val="21"/>
      <w:szCs w:val="24"/>
      <w:lang w:val="en-US" w:eastAsia="zh-CN" w:bidi="ar-SA"/>
    </w:rPr>
  </w:style>
  <w:style w:type="paragraph" w:customStyle="1" w:styleId="1997">
    <w:name w:val="谢谢谢谢谢"/>
    <w:basedOn w:val="1"/>
    <w:link w:val="1998"/>
    <w:qFormat/>
    <w:uiPriority w:val="0"/>
    <w:pPr>
      <w:spacing w:line="440" w:lineRule="exact"/>
      <w:ind w:firstLine="200" w:firstLineChars="200"/>
      <w:jc w:val="left"/>
    </w:pPr>
    <w:rPr>
      <w:sz w:val="24"/>
    </w:rPr>
  </w:style>
  <w:style w:type="character" w:customStyle="1" w:styleId="1998">
    <w:name w:val="谢谢谢谢谢 Char"/>
    <w:link w:val="1997"/>
    <w:qFormat/>
    <w:uiPriority w:val="0"/>
    <w:rPr>
      <w:kern w:val="2"/>
      <w:sz w:val="24"/>
      <w:szCs w:val="24"/>
    </w:rPr>
  </w:style>
  <w:style w:type="paragraph" w:customStyle="1" w:styleId="1999">
    <w:name w:val="正文9"/>
    <w:basedOn w:val="1"/>
    <w:link w:val="2000"/>
    <w:qFormat/>
    <w:uiPriority w:val="0"/>
    <w:pPr>
      <w:adjustRightInd w:val="0"/>
      <w:spacing w:line="315" w:lineRule="atLeast"/>
      <w:jc w:val="left"/>
      <w:textAlignment w:val="baseline"/>
    </w:pPr>
    <w:rPr>
      <w:rFonts w:ascii="宋体"/>
      <w:kern w:val="0"/>
      <w:sz w:val="24"/>
      <w:szCs w:val="20"/>
    </w:rPr>
  </w:style>
  <w:style w:type="character" w:customStyle="1" w:styleId="2000">
    <w:name w:val="正文 Char4"/>
    <w:link w:val="1999"/>
    <w:qFormat/>
    <w:uiPriority w:val="0"/>
    <w:rPr>
      <w:rFonts w:ascii="宋体"/>
      <w:sz w:val="24"/>
    </w:rPr>
  </w:style>
  <w:style w:type="paragraph" w:customStyle="1" w:styleId="2001">
    <w:name w:val="13"/>
    <w:qFormat/>
    <w:uiPriority w:val="0"/>
    <w:pPr>
      <w:widowControl w:val="0"/>
      <w:jc w:val="both"/>
    </w:pPr>
    <w:rPr>
      <w:rFonts w:ascii="Calibri" w:hAnsi="Calibri" w:eastAsia="宋体" w:cs="Calibri"/>
      <w:color w:val="000000"/>
      <w:kern w:val="2"/>
      <w:sz w:val="24"/>
      <w:szCs w:val="24"/>
      <w:lang w:val="en-US" w:eastAsia="zh-CN" w:bidi="ar-SA"/>
    </w:rPr>
  </w:style>
  <w:style w:type="paragraph" w:customStyle="1" w:styleId="2002">
    <w:name w:val="Char Char Char Char Char Char Char Char Char4"/>
    <w:basedOn w:val="1"/>
    <w:qFormat/>
    <w:uiPriority w:val="0"/>
  </w:style>
  <w:style w:type="paragraph" w:customStyle="1" w:styleId="2003">
    <w:name w:val="Char Char Char Char5"/>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2004">
    <w:name w:val="Char Char Char Char Char Char Char Char Char Char Char Char1 Char Char Char Char Char Char Char Char Char Char Char Char Char Char Char Char Char Char Char3"/>
    <w:basedOn w:val="1"/>
    <w:semiHidden/>
    <w:qFormat/>
    <w:uiPriority w:val="0"/>
    <w:pPr>
      <w:spacing w:line="360" w:lineRule="auto"/>
      <w:ind w:firstLine="200" w:firstLineChars="200"/>
    </w:pPr>
    <w:rPr>
      <w:rFonts w:ascii="宋体" w:hAnsi="宋体" w:cs="宋体"/>
      <w:sz w:val="24"/>
      <w:szCs w:val="26"/>
    </w:rPr>
  </w:style>
  <w:style w:type="paragraph" w:customStyle="1" w:styleId="2005">
    <w:name w:val="Char Char Char Char Char Char Char4"/>
    <w:basedOn w:val="1"/>
    <w:link w:val="2006"/>
    <w:qFormat/>
    <w:uiPriority w:val="0"/>
  </w:style>
  <w:style w:type="character" w:customStyle="1" w:styleId="2006">
    <w:name w:val="Char Char Char Char Char Char Char Char3"/>
    <w:link w:val="2005"/>
    <w:qFormat/>
    <w:uiPriority w:val="0"/>
    <w:rPr>
      <w:kern w:val="2"/>
      <w:sz w:val="21"/>
      <w:szCs w:val="24"/>
    </w:rPr>
  </w:style>
  <w:style w:type="paragraph" w:customStyle="1" w:styleId="2007">
    <w:name w:val="Char Char1 Char Char Char Char3"/>
    <w:basedOn w:val="1"/>
    <w:qFormat/>
    <w:uiPriority w:val="0"/>
    <w:rPr>
      <w:sz w:val="24"/>
    </w:rPr>
  </w:style>
  <w:style w:type="paragraph" w:customStyle="1" w:styleId="2008">
    <w:name w:val="Char2 Char Char Char Char Char Char3"/>
    <w:basedOn w:val="1"/>
    <w:qFormat/>
    <w:uiPriority w:val="0"/>
  </w:style>
  <w:style w:type="paragraph" w:customStyle="1" w:styleId="2009">
    <w:name w:val="Char Char Char Char14"/>
    <w:basedOn w:val="1"/>
    <w:qFormat/>
    <w:uiPriority w:val="0"/>
    <w:pPr>
      <w:spacing w:line="360" w:lineRule="auto"/>
      <w:ind w:firstLine="200" w:firstLineChars="200"/>
    </w:pPr>
    <w:rPr>
      <w:rFonts w:ascii="宋体" w:hAnsi="宋体" w:cs="宋体"/>
      <w:sz w:val="24"/>
    </w:rPr>
  </w:style>
  <w:style w:type="paragraph" w:customStyle="1" w:styleId="2010">
    <w:name w:val="Char25"/>
    <w:basedOn w:val="1"/>
    <w:qFormat/>
    <w:uiPriority w:val="0"/>
    <w:rPr>
      <w:szCs w:val="21"/>
    </w:rPr>
  </w:style>
  <w:style w:type="paragraph" w:customStyle="1" w:styleId="2011">
    <w:name w:val="Char Char Char Char Char Char4"/>
    <w:basedOn w:val="1"/>
    <w:qFormat/>
    <w:uiPriority w:val="0"/>
    <w:rPr>
      <w:rFonts w:ascii="宋体" w:hAnsi="宋体"/>
      <w:sz w:val="24"/>
    </w:rPr>
  </w:style>
  <w:style w:type="character" w:customStyle="1" w:styleId="2012">
    <w:name w:val="Char Char74"/>
    <w:qFormat/>
    <w:uiPriority w:val="0"/>
    <w:rPr>
      <w:rFonts w:eastAsia="宋体"/>
      <w:b/>
      <w:bCs/>
      <w:kern w:val="44"/>
      <w:sz w:val="44"/>
      <w:szCs w:val="44"/>
      <w:lang w:val="en-US" w:eastAsia="zh-CN" w:bidi="ar-SA"/>
    </w:rPr>
  </w:style>
  <w:style w:type="paragraph" w:customStyle="1" w:styleId="2013">
    <w:name w:val="Char Char1 Char3"/>
    <w:basedOn w:val="1"/>
    <w:qFormat/>
    <w:uiPriority w:val="0"/>
  </w:style>
  <w:style w:type="paragraph" w:customStyle="1" w:styleId="2014">
    <w:name w:val="纯文本3"/>
    <w:basedOn w:val="1"/>
    <w:qFormat/>
    <w:uiPriority w:val="0"/>
    <w:pPr>
      <w:adjustRightInd w:val="0"/>
      <w:textAlignment w:val="baseline"/>
    </w:pPr>
    <w:rPr>
      <w:rFonts w:ascii="宋体" w:hAnsi="Courier New"/>
    </w:rPr>
  </w:style>
  <w:style w:type="paragraph" w:customStyle="1" w:styleId="2015">
    <w:name w:val="批注框文本4"/>
    <w:basedOn w:val="1"/>
    <w:semiHidden/>
    <w:qFormat/>
    <w:uiPriority w:val="0"/>
    <w:pPr>
      <w:widowControl/>
      <w:autoSpaceDE w:val="0"/>
      <w:autoSpaceDN w:val="0"/>
      <w:jc w:val="left"/>
    </w:pPr>
    <w:rPr>
      <w:rFonts w:ascii="Tahoma" w:hAnsi="Tahoma" w:cs="幼圆"/>
      <w:kern w:val="0"/>
      <w:sz w:val="16"/>
      <w:szCs w:val="16"/>
      <w:lang w:val="en-GB" w:eastAsia="en-GB"/>
    </w:rPr>
  </w:style>
  <w:style w:type="paragraph" w:customStyle="1" w:styleId="2016">
    <w:name w:val="正文10"/>
    <w:qFormat/>
    <w:uiPriority w:val="0"/>
    <w:pPr>
      <w:widowControl w:val="0"/>
      <w:adjustRightInd w:val="0"/>
      <w:spacing w:line="312" w:lineRule="atLeast"/>
      <w:jc w:val="both"/>
      <w:textAlignment w:val="baseline"/>
    </w:pPr>
    <w:rPr>
      <w:rFonts w:ascii="宋体" w:hAnsi="Calibri" w:eastAsia="宋体" w:cs="Calibri"/>
      <w:sz w:val="34"/>
      <w:lang w:val="en-US" w:eastAsia="zh-CN" w:bidi="ar-SA"/>
    </w:rPr>
  </w:style>
  <w:style w:type="paragraph" w:customStyle="1" w:styleId="2017">
    <w:name w:val="普通(网站)3"/>
    <w:basedOn w:val="1"/>
    <w:qFormat/>
    <w:uiPriority w:val="0"/>
    <w:rPr>
      <w:sz w:val="24"/>
    </w:rPr>
  </w:style>
  <w:style w:type="character" w:customStyle="1" w:styleId="2018">
    <w:name w:val="Char1 Char Char Char Char Char Char Char Char Char Char Char Char Char Char Char Char Char3"/>
    <w:qFormat/>
    <w:uiPriority w:val="0"/>
    <w:rPr>
      <w:rFonts w:ascii="Arial Narrow" w:hAnsi="Arial Narrow" w:eastAsia="仿宋_GB2312"/>
      <w:sz w:val="24"/>
      <w:szCs w:val="28"/>
      <w:lang w:val="en-US" w:eastAsia="zh-CN" w:bidi="ar-SA"/>
    </w:rPr>
  </w:style>
  <w:style w:type="paragraph" w:customStyle="1" w:styleId="2019">
    <w:name w:val="Char Char3 Char Char Char Char4"/>
    <w:basedOn w:val="1"/>
    <w:qFormat/>
    <w:uiPriority w:val="0"/>
    <w:pPr>
      <w:widowControl/>
      <w:spacing w:line="240" w:lineRule="exact"/>
      <w:jc w:val="left"/>
    </w:pPr>
    <w:rPr>
      <w:rFonts w:ascii="Verdana" w:hAnsi="Verdana"/>
      <w:kern w:val="0"/>
      <w:sz w:val="20"/>
      <w:szCs w:val="20"/>
      <w:lang w:eastAsia="en-US"/>
    </w:rPr>
  </w:style>
  <w:style w:type="character" w:customStyle="1" w:styleId="2020">
    <w:name w:val="Char Char163"/>
    <w:qFormat/>
    <w:uiPriority w:val="0"/>
    <w:rPr>
      <w:rFonts w:ascii="Book Antiqua" w:hAnsi="Book Antiqua" w:eastAsia="宋体"/>
      <w:i/>
      <w:sz w:val="22"/>
      <w:lang w:val="en-GB" w:eastAsia="zh-CN" w:bidi="ar-SA"/>
    </w:rPr>
  </w:style>
  <w:style w:type="character" w:customStyle="1" w:styleId="2021">
    <w:name w:val="Char Char133"/>
    <w:qFormat/>
    <w:uiPriority w:val="0"/>
    <w:rPr>
      <w:rFonts w:ascii="宋体" w:eastAsia="宋体"/>
      <w:b/>
      <w:spacing w:val="6"/>
      <w:kern w:val="2"/>
      <w:sz w:val="24"/>
      <w:szCs w:val="26"/>
      <w:lang w:val="en-US" w:eastAsia="zh-CN" w:bidi="ar-SA"/>
    </w:rPr>
  </w:style>
  <w:style w:type="paragraph" w:customStyle="1" w:styleId="2022">
    <w:name w:val="Char Char Char Char Char Char Char Char Char Char Char Char Char Char Char Char Char Char Char3"/>
    <w:basedOn w:val="1"/>
    <w:qFormat/>
    <w:uiPriority w:val="0"/>
    <w:rPr>
      <w:rFonts w:eastAsia="Times New Roman"/>
      <w:kern w:val="0"/>
      <w:sz w:val="20"/>
      <w:szCs w:val="20"/>
    </w:rPr>
  </w:style>
  <w:style w:type="character" w:customStyle="1" w:styleId="2023">
    <w:name w:val="Char Char103"/>
    <w:qFormat/>
    <w:uiPriority w:val="0"/>
    <w:rPr>
      <w:rFonts w:eastAsia="宋体"/>
      <w:sz w:val="18"/>
      <w:szCs w:val="18"/>
      <w:lang w:val="zh-CN" w:eastAsia="zh-CN" w:bidi="ar-SA"/>
    </w:rPr>
  </w:style>
  <w:style w:type="character" w:customStyle="1" w:styleId="2024">
    <w:name w:val="Char Char83"/>
    <w:qFormat/>
    <w:uiPriority w:val="0"/>
    <w:rPr>
      <w:rFonts w:ascii="宋体" w:hAnsi="宋体" w:eastAsia="宋体"/>
      <w:sz w:val="24"/>
      <w:szCs w:val="24"/>
      <w:lang w:val="zh-CN" w:eastAsia="zh-CN" w:bidi="ar-SA"/>
    </w:rPr>
  </w:style>
  <w:style w:type="paragraph" w:customStyle="1" w:styleId="2025">
    <w:name w:val="Char Char Char Char Char2 Char Char Char Char4"/>
    <w:basedOn w:val="1"/>
    <w:semiHidden/>
    <w:qFormat/>
    <w:uiPriority w:val="0"/>
    <w:pPr>
      <w:adjustRightInd w:val="0"/>
      <w:snapToGrid w:val="0"/>
      <w:spacing w:line="360" w:lineRule="auto"/>
      <w:ind w:firstLine="200" w:firstLineChars="200"/>
    </w:pPr>
    <w:rPr>
      <w:rFonts w:ascii="宋体" w:hAnsi="宋体" w:cs="宋体"/>
      <w:sz w:val="24"/>
      <w:szCs w:val="26"/>
    </w:rPr>
  </w:style>
  <w:style w:type="character" w:customStyle="1" w:styleId="2026">
    <w:name w:val="标题10"/>
    <w:qFormat/>
    <w:uiPriority w:val="0"/>
  </w:style>
  <w:style w:type="paragraph" w:customStyle="1" w:styleId="2027">
    <w:name w:val="Char Char Char Char Char Char Char Char Char Char Char Char Char Char Char Char Char Char3"/>
    <w:basedOn w:val="1"/>
    <w:qFormat/>
    <w:uiPriority w:val="0"/>
  </w:style>
  <w:style w:type="paragraph" w:customStyle="1" w:styleId="2028">
    <w:name w:val="Char Char Char Char Char Char Char Char Char Char3"/>
    <w:basedOn w:val="1"/>
    <w:next w:val="1"/>
    <w:qFormat/>
    <w:uiPriority w:val="0"/>
    <w:pPr>
      <w:spacing w:line="360" w:lineRule="auto"/>
      <w:ind w:firstLine="200" w:firstLineChars="200"/>
    </w:pPr>
    <w:rPr>
      <w:rFonts w:ascii="宋体" w:hAnsi="宋体" w:cs="宋体"/>
      <w:sz w:val="24"/>
    </w:rPr>
  </w:style>
  <w:style w:type="paragraph" w:customStyle="1" w:styleId="2029">
    <w:name w:val="Char Char Char Char Char Char Char Char Char Char Char Char6"/>
    <w:basedOn w:val="1"/>
    <w:next w:val="1"/>
    <w:qFormat/>
    <w:uiPriority w:val="0"/>
    <w:pPr>
      <w:spacing w:line="360" w:lineRule="auto"/>
      <w:ind w:firstLine="200" w:firstLineChars="200"/>
    </w:pPr>
    <w:rPr>
      <w:rFonts w:ascii="宋体" w:hAnsi="宋体" w:cs="宋体"/>
      <w:sz w:val="24"/>
    </w:rPr>
  </w:style>
  <w:style w:type="paragraph" w:customStyle="1" w:styleId="2030">
    <w:name w:val="Char Char Char Char Char Char Char Char Char Char Char Char1 Char3"/>
    <w:basedOn w:val="1"/>
    <w:next w:val="1"/>
    <w:qFormat/>
    <w:uiPriority w:val="0"/>
    <w:pPr>
      <w:spacing w:line="360" w:lineRule="auto"/>
      <w:ind w:firstLine="200" w:firstLineChars="200"/>
    </w:pPr>
    <w:rPr>
      <w:rFonts w:ascii="宋体" w:hAnsi="宋体" w:cs="宋体"/>
      <w:sz w:val="24"/>
    </w:rPr>
  </w:style>
  <w:style w:type="paragraph" w:customStyle="1" w:styleId="2031">
    <w:name w:val="Char Char Char Char Char Char1 Char3"/>
    <w:basedOn w:val="1"/>
    <w:qFormat/>
    <w:uiPriority w:val="0"/>
  </w:style>
  <w:style w:type="paragraph" w:customStyle="1" w:styleId="2032">
    <w:name w:val="Char Char Char Char Char Char Char Char Char Char Char Char Char Char Char Char4"/>
    <w:basedOn w:val="1"/>
    <w:qFormat/>
    <w:uiPriority w:val="0"/>
  </w:style>
  <w:style w:type="paragraph" w:customStyle="1" w:styleId="2033">
    <w:name w:val="Char Char Char1 Char Char Char Char Char Char Char Char Char Char Char Char Char Char Char Char Char Char Char3"/>
    <w:basedOn w:val="1"/>
    <w:qFormat/>
    <w:uiPriority w:val="0"/>
  </w:style>
  <w:style w:type="paragraph" w:customStyle="1" w:styleId="2034">
    <w:name w:val="Char Char Char Char Char Char Char Char Char Char Char Char Char Char Char Char Char Char Char Char Char Char Char Char Char Char Char Char Char Char Char Char Char Char Char Char Char Char Char3"/>
    <w:basedOn w:val="1"/>
    <w:qFormat/>
    <w:uiPriority w:val="0"/>
  </w:style>
  <w:style w:type="paragraph" w:customStyle="1" w:styleId="2035">
    <w:name w:val="Char Char Char Char Char Char Char Char Char Char Char3"/>
    <w:basedOn w:val="1"/>
    <w:qFormat/>
    <w:uiPriority w:val="0"/>
    <w:pPr>
      <w:adjustRightInd w:val="0"/>
      <w:spacing w:line="360" w:lineRule="auto"/>
    </w:pPr>
    <w:rPr>
      <w:kern w:val="0"/>
      <w:sz w:val="24"/>
      <w:szCs w:val="20"/>
    </w:rPr>
  </w:style>
  <w:style w:type="character" w:customStyle="1" w:styleId="2036">
    <w:name w:val="Char Char173"/>
    <w:qFormat/>
    <w:uiPriority w:val="0"/>
    <w:rPr>
      <w:rFonts w:eastAsia="宋体"/>
      <w:color w:val="000000"/>
      <w:kern w:val="2"/>
      <w:sz w:val="18"/>
      <w:szCs w:val="18"/>
      <w:lang w:val="en-US" w:eastAsia="zh-CN" w:bidi="ar-SA"/>
    </w:rPr>
  </w:style>
  <w:style w:type="paragraph" w:customStyle="1" w:styleId="2037">
    <w:name w:val="Char Char Char4"/>
    <w:basedOn w:val="1"/>
    <w:qFormat/>
    <w:uiPriority w:val="0"/>
    <w:rPr>
      <w:sz w:val="24"/>
    </w:rPr>
  </w:style>
  <w:style w:type="character" w:customStyle="1" w:styleId="2038">
    <w:name w:val="Char Char223"/>
    <w:qFormat/>
    <w:uiPriority w:val="0"/>
    <w:rPr>
      <w:sz w:val="18"/>
      <w:lang w:eastAsia="en-US" w:bidi="en-US"/>
    </w:rPr>
  </w:style>
  <w:style w:type="character" w:customStyle="1" w:styleId="2039">
    <w:name w:val="Char Char213"/>
    <w:qFormat/>
    <w:uiPriority w:val="0"/>
    <w:rPr>
      <w:rFonts w:eastAsia="宋体"/>
      <w:sz w:val="18"/>
    </w:rPr>
  </w:style>
  <w:style w:type="character" w:customStyle="1" w:styleId="2040">
    <w:name w:val="Char Char203"/>
    <w:qFormat/>
    <w:uiPriority w:val="0"/>
    <w:rPr>
      <w:rFonts w:eastAsia="宋体"/>
      <w:sz w:val="18"/>
    </w:rPr>
  </w:style>
  <w:style w:type="character" w:customStyle="1" w:styleId="2041">
    <w:name w:val="Char Char193"/>
    <w:qFormat/>
    <w:uiPriority w:val="0"/>
    <w:rPr>
      <w:rFonts w:ascii="Cambria" w:hAnsi="Cambria" w:eastAsia="宋体"/>
      <w:b/>
      <w:kern w:val="28"/>
      <w:sz w:val="32"/>
    </w:rPr>
  </w:style>
  <w:style w:type="character" w:customStyle="1" w:styleId="2042">
    <w:name w:val="Char Char183"/>
    <w:qFormat/>
    <w:uiPriority w:val="0"/>
    <w:rPr>
      <w:rFonts w:eastAsia="宋体"/>
    </w:rPr>
  </w:style>
  <w:style w:type="character" w:customStyle="1" w:styleId="2043">
    <w:name w:val="Char Char252"/>
    <w:qFormat/>
    <w:uiPriority w:val="0"/>
    <w:rPr>
      <w:rFonts w:ascii="Times New Roman" w:hAnsi="Times New Roman" w:eastAsia="宋体" w:cs="Times New Roman"/>
      <w:szCs w:val="24"/>
    </w:rPr>
  </w:style>
  <w:style w:type="paragraph" w:customStyle="1" w:styleId="2044">
    <w:name w:val="Char Char Char1 Char2"/>
    <w:basedOn w:val="1"/>
    <w:qFormat/>
    <w:uiPriority w:val="0"/>
    <w:rPr>
      <w:rFonts w:ascii="宋体" w:hAnsi="Tahoma" w:cs="Tahoma"/>
      <w:sz w:val="20"/>
      <w:szCs w:val="21"/>
    </w:rPr>
  </w:style>
  <w:style w:type="paragraph" w:customStyle="1" w:styleId="2045">
    <w:name w:val="Char Char Char Char Char2"/>
    <w:basedOn w:val="1"/>
    <w:qFormat/>
    <w:uiPriority w:val="0"/>
  </w:style>
  <w:style w:type="paragraph" w:customStyle="1" w:styleId="2046">
    <w:name w:val="Char Char Char Char Char Char Char Char Char Char Char Char Char2"/>
    <w:basedOn w:val="1"/>
    <w:qFormat/>
    <w:uiPriority w:val="0"/>
    <w:pPr>
      <w:spacing w:line="360" w:lineRule="auto"/>
      <w:ind w:firstLine="200" w:firstLineChars="200"/>
    </w:pPr>
    <w:rPr>
      <w:rFonts w:ascii="宋体" w:hAnsi="宋体" w:cs="宋体"/>
      <w:sz w:val="24"/>
    </w:rPr>
  </w:style>
  <w:style w:type="paragraph" w:customStyle="1" w:styleId="2047">
    <w:name w:val="Char1 Char Char Char Char Char Char2"/>
    <w:basedOn w:val="1"/>
    <w:qFormat/>
    <w:uiPriority w:val="0"/>
    <w:pPr>
      <w:keepNext/>
      <w:keepLines/>
      <w:spacing w:line="240" w:lineRule="exact"/>
      <w:jc w:val="left"/>
    </w:pPr>
    <w:rPr>
      <w:rFonts w:ascii="宋体" w:hAnsi="宋体"/>
      <w:b/>
      <w:kern w:val="0"/>
      <w:sz w:val="44"/>
      <w:szCs w:val="44"/>
      <w:lang w:eastAsia="en-US"/>
    </w:rPr>
  </w:style>
  <w:style w:type="paragraph" w:customStyle="1" w:styleId="2048">
    <w:name w:val="标题 1红4号3"/>
    <w:basedOn w:val="5"/>
    <w:qFormat/>
    <w:uiPriority w:val="0"/>
    <w:pPr>
      <w:keepLines/>
      <w:overflowPunct/>
      <w:snapToGrid/>
      <w:spacing w:before="0" w:beforeLines="10" w:after="0" w:afterLines="10" w:line="578" w:lineRule="auto"/>
      <w:ind w:left="0" w:firstLine="200" w:firstLineChars="200"/>
    </w:pPr>
    <w:rPr>
      <w:rFonts w:eastAsia="宋体"/>
      <w:color w:val="auto"/>
      <w:sz w:val="44"/>
      <w:szCs w:val="44"/>
    </w:rPr>
  </w:style>
  <w:style w:type="paragraph" w:customStyle="1" w:styleId="2049">
    <w:name w:val="标题 2 蓝四号3"/>
    <w:basedOn w:val="6"/>
    <w:next w:val="1"/>
    <w:semiHidden/>
    <w:qFormat/>
    <w:uiPriority w:val="0"/>
    <w:pPr>
      <w:spacing w:beforeLines="10" w:afterLines="10"/>
      <w:ind w:firstLine="200" w:firstLineChars="200"/>
    </w:pPr>
    <w:rPr>
      <w:rFonts w:ascii="Cambria" w:hAnsi="Cambria" w:eastAsia="宋体"/>
    </w:rPr>
  </w:style>
  <w:style w:type="character" w:customStyle="1" w:styleId="2050">
    <w:name w:val="Char Char232"/>
    <w:qFormat/>
    <w:uiPriority w:val="0"/>
    <w:rPr>
      <w:rFonts w:ascii="Arial Narrow" w:hAnsi="Arial Narrow" w:eastAsia="仿宋_GB2312"/>
      <w:kern w:val="2"/>
      <w:sz w:val="24"/>
      <w:szCs w:val="24"/>
      <w:lang w:val="en-US" w:eastAsia="zh-CN" w:bidi="ar-SA"/>
    </w:rPr>
  </w:style>
  <w:style w:type="character" w:customStyle="1" w:styleId="2051">
    <w:name w:val="Char Char272"/>
    <w:qFormat/>
    <w:uiPriority w:val="0"/>
    <w:rPr>
      <w:rFonts w:eastAsia="宋体"/>
      <w:bCs/>
      <w:color w:val="000000"/>
      <w:sz w:val="24"/>
      <w:szCs w:val="19"/>
      <w:lang w:val="en-US" w:eastAsia="zh-CN" w:bidi="ar-SA"/>
    </w:rPr>
  </w:style>
  <w:style w:type="character" w:customStyle="1" w:styleId="2052">
    <w:name w:val="Char Char322"/>
    <w:qFormat/>
    <w:uiPriority w:val="0"/>
    <w:rPr>
      <w:rFonts w:eastAsia="宋体"/>
      <w:color w:val="000000"/>
      <w:kern w:val="2"/>
      <w:sz w:val="24"/>
      <w:szCs w:val="24"/>
      <w:lang w:val="en-US" w:eastAsia="zh-CN" w:bidi="ar-SA"/>
    </w:rPr>
  </w:style>
  <w:style w:type="character" w:customStyle="1" w:styleId="2053">
    <w:name w:val="Char Char342"/>
    <w:qFormat/>
    <w:uiPriority w:val="0"/>
    <w:rPr>
      <w:rFonts w:eastAsia="宋体"/>
      <w:kern w:val="2"/>
      <w:sz w:val="21"/>
      <w:szCs w:val="24"/>
      <w:lang w:val="en-US" w:eastAsia="zh-CN" w:bidi="ar-SA"/>
    </w:rPr>
  </w:style>
  <w:style w:type="character" w:customStyle="1" w:styleId="2054">
    <w:name w:val="fontstyle11"/>
    <w:qFormat/>
    <w:uiPriority w:val="0"/>
    <w:rPr>
      <w:rFonts w:hint="default" w:ascii="TimesNewRoman" w:hAnsi="TimesNewRoman"/>
      <w:color w:val="000000"/>
      <w:sz w:val="24"/>
      <w:szCs w:val="24"/>
    </w:rPr>
  </w:style>
  <w:style w:type="paragraph" w:customStyle="1" w:styleId="2055">
    <w:name w:val="正文12"/>
    <w:basedOn w:val="1"/>
    <w:link w:val="2056"/>
    <w:qFormat/>
    <w:uiPriority w:val="0"/>
    <w:pPr>
      <w:adjustRightInd w:val="0"/>
      <w:spacing w:line="315" w:lineRule="atLeast"/>
      <w:jc w:val="left"/>
      <w:textAlignment w:val="baseline"/>
    </w:pPr>
    <w:rPr>
      <w:rFonts w:ascii="宋体"/>
      <w:kern w:val="0"/>
      <w:sz w:val="24"/>
      <w:szCs w:val="20"/>
    </w:rPr>
  </w:style>
  <w:style w:type="character" w:customStyle="1" w:styleId="2056">
    <w:name w:val="正文 Char3"/>
    <w:link w:val="2055"/>
    <w:qFormat/>
    <w:uiPriority w:val="0"/>
    <w:rPr>
      <w:rFonts w:ascii="宋体"/>
      <w:sz w:val="24"/>
    </w:rPr>
  </w:style>
  <w:style w:type="paragraph" w:customStyle="1" w:styleId="2057">
    <w:name w:val="12"/>
    <w:qFormat/>
    <w:uiPriority w:val="0"/>
    <w:pPr>
      <w:widowControl w:val="0"/>
      <w:jc w:val="both"/>
    </w:pPr>
    <w:rPr>
      <w:rFonts w:ascii="Calibri" w:hAnsi="Calibri" w:eastAsia="宋体" w:cs="Calibri"/>
      <w:color w:val="000000"/>
      <w:kern w:val="2"/>
      <w:sz w:val="24"/>
      <w:szCs w:val="24"/>
      <w:lang w:val="en-US" w:eastAsia="zh-CN" w:bidi="ar-SA"/>
    </w:rPr>
  </w:style>
  <w:style w:type="paragraph" w:customStyle="1" w:styleId="2058">
    <w:name w:val="Char Char Char Char Char Char Char Char Char3"/>
    <w:basedOn w:val="1"/>
    <w:qFormat/>
    <w:uiPriority w:val="0"/>
  </w:style>
  <w:style w:type="paragraph" w:customStyle="1" w:styleId="2059">
    <w:name w:val="Char Char Char Char Char Char Char Char Char Char Char Char1 Char Char Char Char Char Char Char Char Char Char Char Char Char Char Char Char Char Char Char2"/>
    <w:basedOn w:val="1"/>
    <w:semiHidden/>
    <w:qFormat/>
    <w:uiPriority w:val="0"/>
    <w:pPr>
      <w:spacing w:line="360" w:lineRule="auto"/>
      <w:ind w:firstLine="200" w:firstLineChars="200"/>
    </w:pPr>
    <w:rPr>
      <w:rFonts w:ascii="宋体" w:hAnsi="宋体" w:cs="宋体"/>
      <w:sz w:val="24"/>
      <w:szCs w:val="26"/>
    </w:rPr>
  </w:style>
  <w:style w:type="paragraph" w:customStyle="1" w:styleId="2060">
    <w:name w:val="Char Char Char Char Char Char Char3"/>
    <w:basedOn w:val="1"/>
    <w:link w:val="2061"/>
    <w:qFormat/>
    <w:uiPriority w:val="0"/>
  </w:style>
  <w:style w:type="character" w:customStyle="1" w:styleId="2061">
    <w:name w:val="Char Char Char Char Char Char Char Char2"/>
    <w:link w:val="2060"/>
    <w:qFormat/>
    <w:uiPriority w:val="0"/>
    <w:rPr>
      <w:kern w:val="2"/>
      <w:sz w:val="21"/>
      <w:szCs w:val="24"/>
    </w:rPr>
  </w:style>
  <w:style w:type="paragraph" w:customStyle="1" w:styleId="2062">
    <w:name w:val="Char Char1 Char Char Char Char2"/>
    <w:basedOn w:val="1"/>
    <w:qFormat/>
    <w:uiPriority w:val="0"/>
    <w:rPr>
      <w:sz w:val="24"/>
    </w:rPr>
  </w:style>
  <w:style w:type="paragraph" w:customStyle="1" w:styleId="2063">
    <w:name w:val="Char2 Char Char Char Char Char Char2"/>
    <w:basedOn w:val="1"/>
    <w:qFormat/>
    <w:uiPriority w:val="0"/>
  </w:style>
  <w:style w:type="paragraph" w:customStyle="1" w:styleId="2064">
    <w:name w:val="Char Char Char Char13"/>
    <w:basedOn w:val="1"/>
    <w:qFormat/>
    <w:uiPriority w:val="0"/>
    <w:pPr>
      <w:spacing w:line="360" w:lineRule="auto"/>
      <w:ind w:firstLine="200" w:firstLineChars="200"/>
    </w:pPr>
    <w:rPr>
      <w:rFonts w:ascii="宋体" w:hAnsi="宋体" w:cs="宋体"/>
      <w:sz w:val="24"/>
    </w:rPr>
  </w:style>
  <w:style w:type="paragraph" w:customStyle="1" w:styleId="2065">
    <w:name w:val="Char24"/>
    <w:basedOn w:val="1"/>
    <w:qFormat/>
    <w:uiPriority w:val="0"/>
    <w:rPr>
      <w:szCs w:val="21"/>
    </w:rPr>
  </w:style>
  <w:style w:type="paragraph" w:customStyle="1" w:styleId="2066">
    <w:name w:val="Char Char Char Char Char Char3"/>
    <w:basedOn w:val="1"/>
    <w:qFormat/>
    <w:uiPriority w:val="0"/>
    <w:rPr>
      <w:rFonts w:ascii="宋体" w:hAnsi="宋体"/>
      <w:sz w:val="24"/>
    </w:rPr>
  </w:style>
  <w:style w:type="paragraph" w:customStyle="1" w:styleId="2067">
    <w:name w:val="日期4"/>
    <w:basedOn w:val="1"/>
    <w:next w:val="1"/>
    <w:qFormat/>
    <w:uiPriority w:val="0"/>
    <w:pPr>
      <w:adjustRightInd w:val="0"/>
      <w:textAlignment w:val="baseline"/>
    </w:pPr>
    <w:rPr>
      <w:szCs w:val="20"/>
    </w:rPr>
  </w:style>
  <w:style w:type="character" w:customStyle="1" w:styleId="2068">
    <w:name w:val="Char Char73"/>
    <w:qFormat/>
    <w:uiPriority w:val="0"/>
    <w:rPr>
      <w:rFonts w:eastAsia="宋体"/>
      <w:b/>
      <w:bCs/>
      <w:kern w:val="44"/>
      <w:sz w:val="44"/>
      <w:szCs w:val="44"/>
      <w:lang w:val="en-US" w:eastAsia="zh-CN" w:bidi="ar-SA"/>
    </w:rPr>
  </w:style>
  <w:style w:type="paragraph" w:customStyle="1" w:styleId="2069">
    <w:name w:val="Char Char1 Char2"/>
    <w:basedOn w:val="1"/>
    <w:qFormat/>
    <w:uiPriority w:val="0"/>
  </w:style>
  <w:style w:type="paragraph" w:customStyle="1" w:styleId="2070">
    <w:name w:val="纯文本4"/>
    <w:basedOn w:val="1"/>
    <w:qFormat/>
    <w:uiPriority w:val="0"/>
    <w:pPr>
      <w:adjustRightInd w:val="0"/>
      <w:textAlignment w:val="baseline"/>
    </w:pPr>
    <w:rPr>
      <w:rFonts w:ascii="宋体" w:hAnsi="Courier New"/>
    </w:rPr>
  </w:style>
  <w:style w:type="paragraph" w:customStyle="1" w:styleId="2071">
    <w:name w:val="批注框文本5"/>
    <w:basedOn w:val="1"/>
    <w:semiHidden/>
    <w:qFormat/>
    <w:uiPriority w:val="0"/>
    <w:pPr>
      <w:widowControl/>
      <w:autoSpaceDE w:val="0"/>
      <w:autoSpaceDN w:val="0"/>
      <w:jc w:val="left"/>
    </w:pPr>
    <w:rPr>
      <w:rFonts w:ascii="Tahoma" w:hAnsi="Tahoma" w:cs="幼圆"/>
      <w:kern w:val="0"/>
      <w:sz w:val="16"/>
      <w:szCs w:val="16"/>
      <w:lang w:val="en-GB" w:eastAsia="en-GB"/>
    </w:rPr>
  </w:style>
  <w:style w:type="paragraph" w:customStyle="1" w:styleId="2072">
    <w:name w:val="正文13"/>
    <w:qFormat/>
    <w:uiPriority w:val="0"/>
    <w:pPr>
      <w:widowControl w:val="0"/>
      <w:adjustRightInd w:val="0"/>
      <w:spacing w:line="312" w:lineRule="atLeast"/>
      <w:jc w:val="both"/>
      <w:textAlignment w:val="baseline"/>
    </w:pPr>
    <w:rPr>
      <w:rFonts w:ascii="宋体" w:hAnsi="Calibri" w:eastAsia="宋体" w:cs="Calibri"/>
      <w:sz w:val="34"/>
      <w:lang w:val="en-US" w:eastAsia="zh-CN" w:bidi="ar-SA"/>
    </w:rPr>
  </w:style>
  <w:style w:type="paragraph" w:customStyle="1" w:styleId="2073">
    <w:name w:val="普通(网站)4"/>
    <w:basedOn w:val="1"/>
    <w:qFormat/>
    <w:uiPriority w:val="0"/>
    <w:rPr>
      <w:sz w:val="24"/>
    </w:rPr>
  </w:style>
  <w:style w:type="character" w:customStyle="1" w:styleId="2074">
    <w:name w:val="Char1 Char Char Char Char Char Char Char Char Char Char Char Char Char Char Char Char Char2"/>
    <w:qFormat/>
    <w:uiPriority w:val="0"/>
    <w:rPr>
      <w:rFonts w:ascii="Arial Narrow" w:hAnsi="Arial Narrow" w:eastAsia="仿宋_GB2312"/>
      <w:sz w:val="24"/>
      <w:szCs w:val="28"/>
      <w:lang w:val="en-US" w:eastAsia="zh-CN" w:bidi="ar-SA"/>
    </w:rPr>
  </w:style>
  <w:style w:type="paragraph" w:customStyle="1" w:styleId="2075">
    <w:name w:val="Char Char3 Char Char Char Char3"/>
    <w:basedOn w:val="1"/>
    <w:qFormat/>
    <w:uiPriority w:val="0"/>
    <w:pPr>
      <w:widowControl/>
      <w:spacing w:line="240" w:lineRule="exact"/>
      <w:jc w:val="left"/>
    </w:pPr>
    <w:rPr>
      <w:rFonts w:ascii="Verdana" w:hAnsi="Verdana"/>
      <w:kern w:val="0"/>
      <w:sz w:val="20"/>
      <w:szCs w:val="20"/>
      <w:lang w:eastAsia="en-US"/>
    </w:rPr>
  </w:style>
  <w:style w:type="character" w:customStyle="1" w:styleId="2076">
    <w:name w:val="Char Char162"/>
    <w:qFormat/>
    <w:uiPriority w:val="0"/>
    <w:rPr>
      <w:rFonts w:ascii="Book Antiqua" w:hAnsi="Book Antiqua" w:eastAsia="宋体"/>
      <w:i/>
      <w:sz w:val="22"/>
      <w:lang w:val="en-GB" w:eastAsia="zh-CN" w:bidi="ar-SA"/>
    </w:rPr>
  </w:style>
  <w:style w:type="paragraph" w:customStyle="1" w:styleId="2077">
    <w:name w:val="Char Char Char Char Char Char Char Char Char Char Char Char Char Char Char Char Char Char Char2"/>
    <w:basedOn w:val="1"/>
    <w:qFormat/>
    <w:uiPriority w:val="0"/>
    <w:rPr>
      <w:rFonts w:eastAsia="Times New Roman"/>
      <w:kern w:val="0"/>
      <w:sz w:val="20"/>
      <w:szCs w:val="20"/>
    </w:rPr>
  </w:style>
  <w:style w:type="character" w:customStyle="1" w:styleId="2078">
    <w:name w:val="Char Char102"/>
    <w:qFormat/>
    <w:uiPriority w:val="0"/>
    <w:rPr>
      <w:rFonts w:eastAsia="宋体"/>
      <w:sz w:val="18"/>
      <w:szCs w:val="18"/>
      <w:lang w:val="zh-CN" w:eastAsia="zh-CN" w:bidi="ar-SA"/>
    </w:rPr>
  </w:style>
  <w:style w:type="paragraph" w:customStyle="1" w:styleId="2079">
    <w:name w:val="Char Char Char Char Char2 Char Char Char Char3"/>
    <w:basedOn w:val="1"/>
    <w:semiHidden/>
    <w:qFormat/>
    <w:uiPriority w:val="0"/>
    <w:pPr>
      <w:adjustRightInd w:val="0"/>
      <w:snapToGrid w:val="0"/>
      <w:spacing w:line="360" w:lineRule="auto"/>
      <w:ind w:firstLine="200" w:firstLineChars="200"/>
    </w:pPr>
    <w:rPr>
      <w:rFonts w:ascii="宋体" w:hAnsi="宋体" w:cs="宋体"/>
      <w:sz w:val="24"/>
      <w:szCs w:val="26"/>
    </w:rPr>
  </w:style>
  <w:style w:type="character" w:customStyle="1" w:styleId="2080">
    <w:name w:val="标题12"/>
    <w:qFormat/>
    <w:uiPriority w:val="0"/>
  </w:style>
  <w:style w:type="paragraph" w:customStyle="1" w:styleId="2081">
    <w:name w:val="Char Char Char Char Char Char Char Char Char Char Char Char Char Char Char Char Char Char2"/>
    <w:basedOn w:val="1"/>
    <w:qFormat/>
    <w:uiPriority w:val="0"/>
  </w:style>
  <w:style w:type="paragraph" w:customStyle="1" w:styleId="2082">
    <w:name w:val="Char Char Char Char Char Char Char Char Char Char2"/>
    <w:basedOn w:val="1"/>
    <w:next w:val="1"/>
    <w:qFormat/>
    <w:uiPriority w:val="0"/>
    <w:pPr>
      <w:spacing w:line="360" w:lineRule="auto"/>
      <w:ind w:firstLine="200" w:firstLineChars="200"/>
    </w:pPr>
    <w:rPr>
      <w:rFonts w:ascii="宋体" w:hAnsi="宋体" w:cs="宋体"/>
      <w:sz w:val="24"/>
    </w:rPr>
  </w:style>
  <w:style w:type="paragraph" w:customStyle="1" w:styleId="2083">
    <w:name w:val="Char Char Char Char Char Char Char Char Char Char Char Char5"/>
    <w:basedOn w:val="1"/>
    <w:next w:val="1"/>
    <w:qFormat/>
    <w:uiPriority w:val="0"/>
    <w:pPr>
      <w:spacing w:line="360" w:lineRule="auto"/>
      <w:ind w:firstLine="200" w:firstLineChars="200"/>
    </w:pPr>
    <w:rPr>
      <w:rFonts w:ascii="宋体" w:hAnsi="宋体" w:cs="宋体"/>
      <w:sz w:val="24"/>
    </w:rPr>
  </w:style>
  <w:style w:type="paragraph" w:customStyle="1" w:styleId="2084">
    <w:name w:val="Char Char Char Char Char Char Char Char Char Char Char Char1 Char2"/>
    <w:basedOn w:val="1"/>
    <w:next w:val="1"/>
    <w:qFormat/>
    <w:uiPriority w:val="0"/>
    <w:pPr>
      <w:spacing w:line="360" w:lineRule="auto"/>
      <w:ind w:firstLine="200" w:firstLineChars="200"/>
    </w:pPr>
    <w:rPr>
      <w:rFonts w:ascii="宋体" w:hAnsi="宋体" w:cs="宋体"/>
      <w:sz w:val="24"/>
    </w:rPr>
  </w:style>
  <w:style w:type="paragraph" w:customStyle="1" w:styleId="2085">
    <w:name w:val="Char Char Char Char Char Char1 Char2"/>
    <w:basedOn w:val="1"/>
    <w:qFormat/>
    <w:uiPriority w:val="0"/>
  </w:style>
  <w:style w:type="paragraph" w:customStyle="1" w:styleId="2086">
    <w:name w:val="Char Char Char Char Char Char Char Char Char Char Char Char Char Char Char Char3"/>
    <w:basedOn w:val="1"/>
    <w:qFormat/>
    <w:uiPriority w:val="0"/>
  </w:style>
  <w:style w:type="paragraph" w:customStyle="1" w:styleId="2087">
    <w:name w:val="Char Char Char1 Char Char Char Char Char Char Char Char Char Char Char Char Char Char Char Char Char Char Char2"/>
    <w:basedOn w:val="1"/>
    <w:qFormat/>
    <w:uiPriority w:val="0"/>
  </w:style>
  <w:style w:type="paragraph" w:customStyle="1" w:styleId="2088">
    <w:name w:val="Char Char Char Char Char Char Char Char Char Char Char Char Char Char Char Char Char Char Char Char Char Char Char Char Char Char Char Char Char Char Char Char Char Char Char Char Char Char Char2"/>
    <w:basedOn w:val="1"/>
    <w:qFormat/>
    <w:uiPriority w:val="0"/>
  </w:style>
  <w:style w:type="paragraph" w:customStyle="1" w:styleId="2089">
    <w:name w:val="Char Char Char Char Char Char Char Char Char Char Char2"/>
    <w:basedOn w:val="1"/>
    <w:qFormat/>
    <w:uiPriority w:val="0"/>
    <w:pPr>
      <w:adjustRightInd w:val="0"/>
      <w:spacing w:line="360" w:lineRule="auto"/>
    </w:pPr>
    <w:rPr>
      <w:kern w:val="0"/>
      <w:sz w:val="24"/>
      <w:szCs w:val="20"/>
    </w:rPr>
  </w:style>
  <w:style w:type="character" w:customStyle="1" w:styleId="2090">
    <w:name w:val="Char Char172"/>
    <w:qFormat/>
    <w:uiPriority w:val="0"/>
    <w:rPr>
      <w:rFonts w:eastAsia="宋体"/>
      <w:color w:val="000000"/>
      <w:kern w:val="2"/>
      <w:sz w:val="18"/>
      <w:szCs w:val="18"/>
      <w:lang w:val="en-US" w:eastAsia="zh-CN" w:bidi="ar-SA"/>
    </w:rPr>
  </w:style>
  <w:style w:type="paragraph" w:customStyle="1" w:styleId="2091">
    <w:name w:val="Char Char Char3"/>
    <w:basedOn w:val="1"/>
    <w:qFormat/>
    <w:uiPriority w:val="0"/>
    <w:rPr>
      <w:sz w:val="24"/>
    </w:rPr>
  </w:style>
  <w:style w:type="character" w:customStyle="1" w:styleId="2092">
    <w:name w:val="Char Char222"/>
    <w:qFormat/>
    <w:uiPriority w:val="0"/>
    <w:rPr>
      <w:sz w:val="18"/>
      <w:lang w:eastAsia="en-US" w:bidi="en-US"/>
    </w:rPr>
  </w:style>
  <w:style w:type="character" w:customStyle="1" w:styleId="2093">
    <w:name w:val="Char Char212"/>
    <w:qFormat/>
    <w:uiPriority w:val="0"/>
    <w:rPr>
      <w:rFonts w:eastAsia="宋体"/>
      <w:sz w:val="18"/>
    </w:rPr>
  </w:style>
  <w:style w:type="character" w:customStyle="1" w:styleId="2094">
    <w:name w:val="Char Char202"/>
    <w:qFormat/>
    <w:uiPriority w:val="0"/>
    <w:rPr>
      <w:rFonts w:eastAsia="宋体"/>
      <w:sz w:val="18"/>
    </w:rPr>
  </w:style>
  <w:style w:type="character" w:customStyle="1" w:styleId="2095">
    <w:name w:val="Char Char192"/>
    <w:qFormat/>
    <w:uiPriority w:val="0"/>
    <w:rPr>
      <w:rFonts w:ascii="Cambria" w:hAnsi="Cambria" w:eastAsia="宋体"/>
      <w:b/>
      <w:kern w:val="28"/>
      <w:sz w:val="32"/>
    </w:rPr>
  </w:style>
  <w:style w:type="character" w:customStyle="1" w:styleId="2096">
    <w:name w:val="Char Char182"/>
    <w:qFormat/>
    <w:uiPriority w:val="0"/>
    <w:rPr>
      <w:rFonts w:eastAsia="宋体"/>
    </w:rPr>
  </w:style>
  <w:style w:type="character" w:customStyle="1" w:styleId="2097">
    <w:name w:val="Char Char251"/>
    <w:qFormat/>
    <w:uiPriority w:val="0"/>
    <w:rPr>
      <w:rFonts w:ascii="Times New Roman" w:hAnsi="Times New Roman" w:eastAsia="宋体" w:cs="Times New Roman"/>
      <w:szCs w:val="24"/>
    </w:rPr>
  </w:style>
  <w:style w:type="paragraph" w:customStyle="1" w:styleId="2098">
    <w:name w:val="Char Char Char1 Char1"/>
    <w:basedOn w:val="1"/>
    <w:qFormat/>
    <w:uiPriority w:val="0"/>
    <w:rPr>
      <w:rFonts w:ascii="宋体" w:hAnsi="Tahoma" w:cs="Tahoma"/>
      <w:sz w:val="20"/>
      <w:szCs w:val="21"/>
    </w:rPr>
  </w:style>
  <w:style w:type="paragraph" w:customStyle="1" w:styleId="2099">
    <w:name w:val="Char Char Char Char Char1"/>
    <w:basedOn w:val="1"/>
    <w:qFormat/>
    <w:uiPriority w:val="0"/>
  </w:style>
  <w:style w:type="paragraph" w:customStyle="1" w:styleId="2100">
    <w:name w:val="Char Char Char Char Char Char Char Char Char Char Char Char Char1"/>
    <w:basedOn w:val="1"/>
    <w:qFormat/>
    <w:uiPriority w:val="0"/>
    <w:pPr>
      <w:spacing w:line="360" w:lineRule="auto"/>
      <w:ind w:firstLine="200" w:firstLineChars="200"/>
    </w:pPr>
    <w:rPr>
      <w:rFonts w:ascii="宋体" w:hAnsi="宋体" w:cs="宋体"/>
      <w:sz w:val="24"/>
    </w:rPr>
  </w:style>
  <w:style w:type="paragraph" w:customStyle="1" w:styleId="2101">
    <w:name w:val="Char1 Char Char Char Char Char Char1"/>
    <w:basedOn w:val="1"/>
    <w:qFormat/>
    <w:uiPriority w:val="0"/>
    <w:pPr>
      <w:keepNext/>
      <w:keepLines/>
      <w:spacing w:line="240" w:lineRule="exact"/>
      <w:jc w:val="left"/>
    </w:pPr>
    <w:rPr>
      <w:rFonts w:ascii="宋体" w:hAnsi="宋体"/>
      <w:b/>
      <w:kern w:val="0"/>
      <w:sz w:val="44"/>
      <w:szCs w:val="44"/>
      <w:lang w:eastAsia="en-US"/>
    </w:rPr>
  </w:style>
  <w:style w:type="paragraph" w:customStyle="1" w:styleId="2102">
    <w:name w:val="标题 1红4号2"/>
    <w:basedOn w:val="5"/>
    <w:qFormat/>
    <w:uiPriority w:val="0"/>
    <w:pPr>
      <w:keepLines/>
      <w:overflowPunct/>
      <w:snapToGrid/>
      <w:spacing w:before="0" w:beforeLines="10" w:after="0" w:afterLines="10" w:line="578" w:lineRule="auto"/>
      <w:ind w:left="0" w:firstLine="200" w:firstLineChars="200"/>
    </w:pPr>
    <w:rPr>
      <w:rFonts w:eastAsia="宋体"/>
      <w:color w:val="auto"/>
      <w:sz w:val="44"/>
      <w:szCs w:val="44"/>
    </w:rPr>
  </w:style>
  <w:style w:type="paragraph" w:customStyle="1" w:styleId="2103">
    <w:name w:val="标题 2 蓝四号2"/>
    <w:basedOn w:val="6"/>
    <w:next w:val="1"/>
    <w:semiHidden/>
    <w:qFormat/>
    <w:uiPriority w:val="0"/>
    <w:pPr>
      <w:spacing w:beforeLines="10" w:afterLines="10"/>
      <w:ind w:firstLine="200" w:firstLineChars="200"/>
    </w:pPr>
    <w:rPr>
      <w:rFonts w:ascii="Cambria" w:hAnsi="Cambria" w:eastAsia="宋体"/>
    </w:rPr>
  </w:style>
  <w:style w:type="character" w:customStyle="1" w:styleId="2104">
    <w:name w:val="Char Char231"/>
    <w:qFormat/>
    <w:uiPriority w:val="0"/>
    <w:rPr>
      <w:rFonts w:ascii="Arial Narrow" w:hAnsi="Arial Narrow" w:eastAsia="仿宋_GB2312"/>
      <w:kern w:val="2"/>
      <w:sz w:val="24"/>
      <w:szCs w:val="24"/>
      <w:lang w:val="en-US" w:eastAsia="zh-CN" w:bidi="ar-SA"/>
    </w:rPr>
  </w:style>
  <w:style w:type="character" w:customStyle="1" w:styleId="2105">
    <w:name w:val="Char Char271"/>
    <w:qFormat/>
    <w:uiPriority w:val="0"/>
    <w:rPr>
      <w:rFonts w:eastAsia="宋体"/>
      <w:bCs/>
      <w:color w:val="000000"/>
      <w:sz w:val="24"/>
      <w:szCs w:val="19"/>
      <w:lang w:val="en-US" w:eastAsia="zh-CN" w:bidi="ar-SA"/>
    </w:rPr>
  </w:style>
  <w:style w:type="character" w:customStyle="1" w:styleId="2106">
    <w:name w:val="Char Char321"/>
    <w:qFormat/>
    <w:uiPriority w:val="0"/>
    <w:rPr>
      <w:rFonts w:eastAsia="宋体"/>
      <w:color w:val="000000"/>
      <w:kern w:val="2"/>
      <w:sz w:val="24"/>
      <w:szCs w:val="24"/>
      <w:lang w:val="en-US" w:eastAsia="zh-CN" w:bidi="ar-SA"/>
    </w:rPr>
  </w:style>
  <w:style w:type="character" w:customStyle="1" w:styleId="2107">
    <w:name w:val="Char Char341"/>
    <w:qFormat/>
    <w:uiPriority w:val="0"/>
    <w:rPr>
      <w:rFonts w:eastAsia="宋体"/>
      <w:kern w:val="2"/>
      <w:sz w:val="21"/>
      <w:szCs w:val="24"/>
      <w:lang w:val="en-US" w:eastAsia="zh-CN" w:bidi="ar-SA"/>
    </w:rPr>
  </w:style>
  <w:style w:type="paragraph" w:customStyle="1" w:styleId="2108">
    <w:name w:val="1、表内字"/>
    <w:basedOn w:val="1"/>
    <w:qFormat/>
    <w:uiPriority w:val="0"/>
    <w:pPr>
      <w:jc w:val="center"/>
    </w:pPr>
    <w:rPr>
      <w:szCs w:val="21"/>
    </w:rPr>
  </w:style>
  <w:style w:type="paragraph" w:customStyle="1" w:styleId="2109">
    <w:name w:val="1、正文"/>
    <w:basedOn w:val="1"/>
    <w:qFormat/>
    <w:uiPriority w:val="99"/>
    <w:pPr>
      <w:spacing w:line="360" w:lineRule="auto"/>
      <w:ind w:firstLine="480" w:firstLineChars="200"/>
    </w:pPr>
    <w:rPr>
      <w:sz w:val="24"/>
    </w:rPr>
  </w:style>
  <w:style w:type="character" w:customStyle="1" w:styleId="2110">
    <w:name w:val="sb1"/>
    <w:qFormat/>
    <w:uiPriority w:val="0"/>
    <w:rPr>
      <w:sz w:val="20"/>
      <w:szCs w:val="20"/>
    </w:rPr>
  </w:style>
  <w:style w:type="character" w:customStyle="1" w:styleId="2111">
    <w:name w:val="排版正文 Char Char"/>
    <w:qFormat/>
    <w:uiPriority w:val="0"/>
    <w:rPr>
      <w:rFonts w:eastAsia="宋体"/>
      <w:color w:val="000000"/>
      <w:kern w:val="2"/>
      <w:sz w:val="26"/>
      <w:szCs w:val="26"/>
      <w:lang w:val="en-US" w:eastAsia="zh-CN" w:bidi="ar-SA"/>
    </w:rPr>
  </w:style>
  <w:style w:type="character" w:customStyle="1" w:styleId="2112">
    <w:name w:val="样式 小四"/>
    <w:qFormat/>
    <w:uiPriority w:val="0"/>
    <w:rPr>
      <w:sz w:val="24"/>
    </w:rPr>
  </w:style>
  <w:style w:type="paragraph" w:customStyle="1" w:styleId="2113">
    <w:name w:val="表样式1"/>
    <w:basedOn w:val="1"/>
    <w:qFormat/>
    <w:uiPriority w:val="0"/>
    <w:pPr>
      <w:snapToGrid w:val="0"/>
      <w:spacing w:line="360" w:lineRule="auto"/>
      <w:ind w:left="-21" w:right="-21"/>
      <w:jc w:val="center"/>
    </w:pPr>
    <w:rPr>
      <w:bCs/>
      <w:color w:val="000000"/>
      <w:szCs w:val="21"/>
    </w:rPr>
  </w:style>
  <w:style w:type="paragraph" w:customStyle="1" w:styleId="2114">
    <w:name w:val="样式 表名 + 首行缩进:  0.74 厘米"/>
    <w:basedOn w:val="1"/>
    <w:qFormat/>
    <w:uiPriority w:val="0"/>
    <w:pPr>
      <w:overflowPunct w:val="0"/>
      <w:spacing w:line="360" w:lineRule="auto"/>
      <w:jc w:val="center"/>
      <w:textAlignment w:val="baseline"/>
    </w:pPr>
    <w:rPr>
      <w:rFonts w:ascii="Arial" w:hAnsi="Arial" w:eastAsia="黑体"/>
      <w:color w:val="000000"/>
      <w:szCs w:val="20"/>
    </w:rPr>
  </w:style>
  <w:style w:type="paragraph" w:customStyle="1" w:styleId="2115">
    <w:name w:val="环正文"/>
    <w:basedOn w:val="1"/>
    <w:qFormat/>
    <w:uiPriority w:val="0"/>
    <w:pPr>
      <w:widowControl/>
      <w:suppressAutoHyphens/>
      <w:adjustRightInd w:val="0"/>
      <w:spacing w:line="312" w:lineRule="atLeast"/>
      <w:ind w:firstLine="549" w:firstLineChars="200"/>
      <w:textAlignment w:val="baseline"/>
    </w:pPr>
    <w:rPr>
      <w:rFonts w:ascii="宋体" w:hAnsi="宋体"/>
      <w:kern w:val="0"/>
      <w:sz w:val="24"/>
      <w:szCs w:val="20"/>
    </w:rPr>
  </w:style>
  <w:style w:type="paragraph" w:customStyle="1" w:styleId="2116">
    <w:name w:val="册除格式 Char Char"/>
    <w:qFormat/>
    <w:uiPriority w:val="0"/>
    <w:pPr>
      <w:spacing w:line="360" w:lineRule="auto"/>
      <w:ind w:firstLine="482"/>
    </w:pPr>
    <w:rPr>
      <w:rFonts w:ascii="黑体" w:hAnsi="Arial" w:eastAsia="宋体" w:cs="Arial"/>
      <w:snapToGrid w:val="0"/>
      <w:spacing w:val="4"/>
      <w:kern w:val="18"/>
      <w:sz w:val="24"/>
      <w:szCs w:val="28"/>
      <w:lang w:val="en-US" w:eastAsia="zh-CN" w:bidi="ar-SA"/>
    </w:rPr>
  </w:style>
  <w:style w:type="paragraph" w:customStyle="1" w:styleId="2117">
    <w:name w:val="文本框内文字"/>
    <w:basedOn w:val="1"/>
    <w:qFormat/>
    <w:uiPriority w:val="0"/>
    <w:pPr>
      <w:spacing w:line="240" w:lineRule="exact"/>
      <w:ind w:left="-120" w:leftChars="-50" w:right="-120" w:rightChars="-50"/>
      <w:jc w:val="center"/>
    </w:pPr>
    <w:rPr>
      <w:rFonts w:ascii="仿宋_GB2312" w:eastAsia="仿宋_GB2312"/>
      <w:sz w:val="24"/>
    </w:rPr>
  </w:style>
  <w:style w:type="paragraph" w:customStyle="1" w:styleId="2118">
    <w:name w:val="段标"/>
    <w:basedOn w:val="1"/>
    <w:qFormat/>
    <w:uiPriority w:val="0"/>
    <w:pPr>
      <w:adjustRightInd w:val="0"/>
      <w:spacing w:line="360" w:lineRule="auto"/>
      <w:ind w:firstLine="567"/>
      <w:jc w:val="left"/>
      <w:textAlignment w:val="baseline"/>
    </w:pPr>
    <w:rPr>
      <w:kern w:val="0"/>
      <w:sz w:val="28"/>
      <w:szCs w:val="20"/>
    </w:rPr>
  </w:style>
  <w:style w:type="paragraph" w:customStyle="1" w:styleId="2119">
    <w:name w:val="环评标题三级"/>
    <w:basedOn w:val="6"/>
    <w:qFormat/>
    <w:uiPriority w:val="0"/>
    <w:pPr>
      <w:spacing w:beforeLines="10" w:afterLines="10"/>
      <w:ind w:firstLine="200" w:firstLineChars="200"/>
    </w:pPr>
    <w:rPr>
      <w:rFonts w:ascii="Cambria" w:hAnsi="Cambria" w:eastAsia="宋体"/>
    </w:rPr>
  </w:style>
  <w:style w:type="paragraph" w:customStyle="1" w:styleId="2120">
    <w:name w:val="td1"/>
    <w:basedOn w:val="1"/>
    <w:qFormat/>
    <w:uiPriority w:val="0"/>
    <w:pPr>
      <w:widowControl/>
      <w:spacing w:beforeAutospacing="1" w:afterAutospacing="1" w:line="300" w:lineRule="atLeast"/>
      <w:jc w:val="left"/>
    </w:pPr>
    <w:rPr>
      <w:color w:val="000000"/>
      <w:kern w:val="0"/>
      <w:sz w:val="18"/>
      <w:szCs w:val="18"/>
    </w:rPr>
  </w:style>
  <w:style w:type="paragraph" w:customStyle="1" w:styleId="2121">
    <w:name w:val="样式1."/>
    <w:basedOn w:val="1"/>
    <w:qFormat/>
    <w:uiPriority w:val="0"/>
    <w:pPr>
      <w:adjustRightInd w:val="0"/>
      <w:snapToGrid w:val="0"/>
      <w:spacing w:line="460" w:lineRule="exact"/>
    </w:pPr>
    <w:rPr>
      <w:rFonts w:ascii="黑体" w:eastAsia="黑体"/>
      <w:b/>
      <w:sz w:val="30"/>
      <w:szCs w:val="20"/>
    </w:rPr>
  </w:style>
  <w:style w:type="paragraph" w:customStyle="1" w:styleId="2122">
    <w:name w:val="正1"/>
    <w:basedOn w:val="1"/>
    <w:qFormat/>
    <w:uiPriority w:val="0"/>
    <w:pPr>
      <w:spacing w:line="400" w:lineRule="exact"/>
      <w:ind w:right="32" w:firstLine="612"/>
    </w:pPr>
    <w:rPr>
      <w:rFonts w:ascii="宋体"/>
      <w:sz w:val="28"/>
      <w:szCs w:val="20"/>
    </w:rPr>
  </w:style>
  <w:style w:type="paragraph" w:customStyle="1" w:styleId="2123">
    <w:name w:val="环表头"/>
    <w:basedOn w:val="1"/>
    <w:next w:val="1"/>
    <w:qFormat/>
    <w:uiPriority w:val="0"/>
    <w:pPr>
      <w:widowControl/>
      <w:suppressAutoHyphens/>
      <w:adjustRightInd w:val="0"/>
      <w:spacing w:line="312" w:lineRule="atLeast"/>
      <w:ind w:right="28"/>
      <w:jc w:val="center"/>
      <w:textAlignment w:val="baseline"/>
    </w:pPr>
    <w:rPr>
      <w:rFonts w:ascii="黑体" w:hAnsi="宋体" w:eastAsia="黑体"/>
      <w:kern w:val="0"/>
      <w:sz w:val="24"/>
      <w:szCs w:val="20"/>
    </w:rPr>
  </w:style>
  <w:style w:type="paragraph" w:customStyle="1" w:styleId="2124">
    <w:name w:val="表格后正文"/>
    <w:basedOn w:val="1"/>
    <w:qFormat/>
    <w:uiPriority w:val="0"/>
    <w:pPr>
      <w:tabs>
        <w:tab w:val="left" w:pos="567"/>
      </w:tabs>
      <w:spacing w:line="360" w:lineRule="auto"/>
      <w:ind w:firstLine="567"/>
    </w:pPr>
    <w:rPr>
      <w:spacing w:val="20"/>
      <w:sz w:val="24"/>
      <w:szCs w:val="20"/>
    </w:rPr>
  </w:style>
  <w:style w:type="paragraph" w:customStyle="1" w:styleId="2125">
    <w:name w:val="样式1.1.1"/>
    <w:basedOn w:val="1"/>
    <w:qFormat/>
    <w:uiPriority w:val="0"/>
    <w:pPr>
      <w:spacing w:line="360" w:lineRule="auto"/>
    </w:pPr>
    <w:rPr>
      <w:rFonts w:hAnsi="宋体"/>
      <w:b/>
      <w:sz w:val="28"/>
      <w:szCs w:val="20"/>
    </w:rPr>
  </w:style>
  <w:style w:type="paragraph" w:customStyle="1" w:styleId="2126">
    <w:name w:val="环评标题一级"/>
    <w:basedOn w:val="5"/>
    <w:qFormat/>
    <w:uiPriority w:val="0"/>
    <w:pPr>
      <w:keepLines/>
      <w:overflowPunct/>
      <w:snapToGrid/>
      <w:spacing w:before="0" w:beforeLines="10" w:after="0" w:afterLines="10" w:line="578" w:lineRule="auto"/>
      <w:ind w:left="0" w:firstLine="200" w:firstLineChars="200"/>
    </w:pPr>
    <w:rPr>
      <w:rFonts w:eastAsia="宋体"/>
      <w:color w:val="auto"/>
      <w:sz w:val="44"/>
      <w:szCs w:val="44"/>
    </w:rPr>
  </w:style>
  <w:style w:type="paragraph" w:customStyle="1" w:styleId="2127">
    <w:name w:val="black12"/>
    <w:basedOn w:val="1"/>
    <w:qFormat/>
    <w:uiPriority w:val="0"/>
    <w:pPr>
      <w:widowControl/>
      <w:spacing w:beforeAutospacing="1" w:afterAutospacing="1" w:line="240" w:lineRule="atLeast"/>
      <w:jc w:val="left"/>
    </w:pPr>
    <w:rPr>
      <w:rFonts w:ascii="ˎ̥" w:hAnsi="ˎ̥" w:cs="宋体"/>
      <w:color w:val="333333"/>
      <w:kern w:val="0"/>
      <w:sz w:val="18"/>
      <w:szCs w:val="18"/>
    </w:rPr>
  </w:style>
  <w:style w:type="paragraph" w:customStyle="1" w:styleId="2128">
    <w:name w:val="环评标题二级"/>
    <w:basedOn w:val="5"/>
    <w:qFormat/>
    <w:uiPriority w:val="0"/>
    <w:pPr>
      <w:keepLines/>
      <w:overflowPunct/>
      <w:snapToGrid/>
      <w:spacing w:before="0" w:beforeLines="10" w:after="0" w:afterLines="10" w:line="578" w:lineRule="auto"/>
      <w:ind w:left="0" w:firstLine="200" w:firstLineChars="200"/>
    </w:pPr>
    <w:rPr>
      <w:rFonts w:eastAsia="宋体"/>
      <w:color w:val="auto"/>
      <w:sz w:val="44"/>
      <w:szCs w:val="44"/>
    </w:rPr>
  </w:style>
  <w:style w:type="paragraph" w:customStyle="1" w:styleId="2129">
    <w:name w:val="表下注释"/>
    <w:basedOn w:val="338"/>
    <w:qFormat/>
    <w:uiPriority w:val="0"/>
    <w:pPr>
      <w:keepNext/>
      <w:keepLines/>
      <w:spacing w:line="240" w:lineRule="exact"/>
      <w:ind w:firstLine="0" w:firstLineChars="0"/>
      <w:jc w:val="center"/>
    </w:pPr>
    <w:rPr>
      <w:bCs/>
      <w:kern w:val="44"/>
      <w:sz w:val="21"/>
      <w:szCs w:val="44"/>
    </w:rPr>
  </w:style>
  <w:style w:type="paragraph" w:customStyle="1" w:styleId="2130">
    <w:name w:val="aa"/>
    <w:basedOn w:val="1"/>
    <w:qFormat/>
    <w:uiPriority w:val="0"/>
    <w:pPr>
      <w:adjustRightInd w:val="0"/>
      <w:spacing w:line="315" w:lineRule="atLeast"/>
      <w:jc w:val="left"/>
      <w:textAlignment w:val="baseline"/>
    </w:pPr>
    <w:rPr>
      <w:rFonts w:ascii="宋体"/>
      <w:kern w:val="0"/>
      <w:sz w:val="28"/>
      <w:szCs w:val="28"/>
    </w:rPr>
  </w:style>
  <w:style w:type="paragraph" w:customStyle="1" w:styleId="2131">
    <w:name w:val="标题3.5"/>
    <w:basedOn w:val="1"/>
    <w:qFormat/>
    <w:uiPriority w:val="0"/>
    <w:rPr>
      <w:rFonts w:eastAsia="仿宋_GB2312"/>
      <w:sz w:val="24"/>
    </w:rPr>
  </w:style>
  <w:style w:type="paragraph" w:customStyle="1" w:styleId="2132">
    <w:name w:val="环标3"/>
    <w:basedOn w:val="7"/>
    <w:qFormat/>
    <w:uiPriority w:val="0"/>
    <w:pPr>
      <w:widowControl w:val="0"/>
      <w:adjustRightInd/>
      <w:snapToGrid/>
      <w:spacing w:before="120" w:beforeLines="10" w:after="120" w:afterLines="10"/>
      <w:ind w:left="720" w:hanging="432" w:firstLineChars="200"/>
      <w:jc w:val="both"/>
    </w:pPr>
    <w:rPr>
      <w:rFonts w:ascii="Times New Roman" w:hAnsi="Times New Roman"/>
      <w:lang w:val="en-US"/>
    </w:rPr>
  </w:style>
  <w:style w:type="paragraph" w:customStyle="1" w:styleId="2133">
    <w:name w:val="tt"/>
    <w:basedOn w:val="1"/>
    <w:qFormat/>
    <w:uiPriority w:val="0"/>
    <w:pPr>
      <w:spacing w:line="460" w:lineRule="atLeast"/>
      <w:ind w:firstLine="200" w:firstLineChars="200"/>
    </w:pPr>
    <w:rPr>
      <w:rFonts w:ascii="Arial" w:hAnsi="Arial"/>
      <w:sz w:val="24"/>
      <w:lang w:eastAsia="en-US"/>
    </w:rPr>
  </w:style>
  <w:style w:type="character" w:customStyle="1" w:styleId="2134">
    <w:name w:val="表格备注 Char"/>
    <w:link w:val="2135"/>
    <w:qFormat/>
    <w:uiPriority w:val="0"/>
    <w:rPr>
      <w:rFonts w:eastAsia="仿宋_GB2312"/>
    </w:rPr>
  </w:style>
  <w:style w:type="paragraph" w:customStyle="1" w:styleId="2135">
    <w:name w:val="表格备注"/>
    <w:basedOn w:val="1"/>
    <w:link w:val="2134"/>
    <w:qFormat/>
    <w:uiPriority w:val="0"/>
    <w:pPr>
      <w:adjustRightInd w:val="0"/>
      <w:snapToGrid w:val="0"/>
      <w:ind w:firstLine="200" w:firstLineChars="200"/>
    </w:pPr>
    <w:rPr>
      <w:rFonts w:eastAsia="仿宋_GB2312"/>
      <w:kern w:val="0"/>
      <w:sz w:val="20"/>
      <w:szCs w:val="20"/>
    </w:rPr>
  </w:style>
  <w:style w:type="character" w:customStyle="1" w:styleId="2136">
    <w:name w:val="公式 Char"/>
    <w:link w:val="2137"/>
    <w:qFormat/>
    <w:uiPriority w:val="0"/>
    <w:rPr>
      <w:sz w:val="28"/>
      <w:szCs w:val="28"/>
    </w:rPr>
  </w:style>
  <w:style w:type="paragraph" w:customStyle="1" w:styleId="2137">
    <w:name w:val="公式"/>
    <w:basedOn w:val="1"/>
    <w:link w:val="2136"/>
    <w:qFormat/>
    <w:uiPriority w:val="0"/>
    <w:pPr>
      <w:spacing w:line="360" w:lineRule="auto"/>
      <w:jc w:val="center"/>
    </w:pPr>
    <w:rPr>
      <w:kern w:val="0"/>
      <w:sz w:val="28"/>
      <w:szCs w:val="28"/>
    </w:rPr>
  </w:style>
  <w:style w:type="character" w:customStyle="1" w:styleId="2138">
    <w:name w:val="公式说明 Char"/>
    <w:link w:val="2139"/>
    <w:qFormat/>
    <w:uiPriority w:val="0"/>
    <w:rPr>
      <w:rFonts w:eastAsia="仿宋_GB2312"/>
      <w:sz w:val="32"/>
    </w:rPr>
  </w:style>
  <w:style w:type="paragraph" w:customStyle="1" w:styleId="2139">
    <w:name w:val="公式说明"/>
    <w:basedOn w:val="1"/>
    <w:link w:val="2138"/>
    <w:qFormat/>
    <w:uiPriority w:val="0"/>
    <w:pPr>
      <w:tabs>
        <w:tab w:val="left" w:pos="1920"/>
      </w:tabs>
      <w:adjustRightInd w:val="0"/>
      <w:snapToGrid w:val="0"/>
      <w:spacing w:line="620" w:lineRule="exact"/>
      <w:ind w:firstLine="200" w:firstLineChars="200"/>
    </w:pPr>
    <w:rPr>
      <w:rFonts w:eastAsia="仿宋_GB2312"/>
      <w:kern w:val="0"/>
      <w:sz w:val="32"/>
      <w:szCs w:val="20"/>
    </w:rPr>
  </w:style>
  <w:style w:type="paragraph" w:customStyle="1" w:styleId="2140">
    <w:name w:val="1环评正文"/>
    <w:basedOn w:val="1"/>
    <w:qFormat/>
    <w:uiPriority w:val="0"/>
    <w:pPr>
      <w:widowControl/>
      <w:spacing w:line="360" w:lineRule="auto"/>
      <w:ind w:firstLine="200" w:firstLineChars="200"/>
    </w:pPr>
    <w:rPr>
      <w:rFonts w:cs="宋体"/>
      <w:kern w:val="0"/>
      <w:sz w:val="24"/>
      <w:szCs w:val="20"/>
    </w:rPr>
  </w:style>
  <w:style w:type="paragraph" w:customStyle="1" w:styleId="2141">
    <w:name w:val="3对 标题3"/>
    <w:basedOn w:val="1"/>
    <w:qFormat/>
    <w:uiPriority w:val="99"/>
    <w:pPr>
      <w:spacing w:line="384" w:lineRule="auto"/>
      <w:ind w:firstLine="200" w:firstLineChars="200"/>
      <w:jc w:val="left"/>
      <w:outlineLvl w:val="2"/>
    </w:pPr>
    <w:rPr>
      <w:b/>
      <w:sz w:val="24"/>
      <w:szCs w:val="22"/>
    </w:rPr>
  </w:style>
  <w:style w:type="character" w:customStyle="1" w:styleId="2142">
    <w:name w:val="标4lcc Char"/>
    <w:link w:val="2143"/>
    <w:qFormat/>
    <w:uiPriority w:val="0"/>
    <w:rPr>
      <w:b/>
      <w:bCs/>
      <w:sz w:val="24"/>
      <w:szCs w:val="28"/>
    </w:rPr>
  </w:style>
  <w:style w:type="paragraph" w:customStyle="1" w:styleId="2143">
    <w:name w:val="标4lcc"/>
    <w:basedOn w:val="8"/>
    <w:next w:val="8"/>
    <w:link w:val="2142"/>
    <w:qFormat/>
    <w:uiPriority w:val="0"/>
    <w:pPr>
      <w:numPr>
        <w:ilvl w:val="0"/>
        <w:numId w:val="0"/>
      </w:numPr>
      <w:spacing w:beforeLines="10" w:afterLines="10"/>
      <w:ind w:left="864" w:hanging="144" w:firstLineChars="200"/>
    </w:pPr>
    <w:rPr>
      <w:rFonts w:ascii="Times New Roman" w:hAnsi="Times New Roman" w:eastAsia="宋体"/>
      <w:kern w:val="0"/>
      <w:sz w:val="24"/>
    </w:rPr>
  </w:style>
  <w:style w:type="character" w:customStyle="1" w:styleId="2144">
    <w:name w:val="四级 Char"/>
    <w:link w:val="2145"/>
    <w:qFormat/>
    <w:uiPriority w:val="0"/>
    <w:rPr>
      <w:rFonts w:eastAsia="黑体"/>
      <w:sz w:val="24"/>
      <w:szCs w:val="24"/>
    </w:rPr>
  </w:style>
  <w:style w:type="paragraph" w:customStyle="1" w:styleId="2145">
    <w:name w:val="四级"/>
    <w:basedOn w:val="1"/>
    <w:link w:val="2144"/>
    <w:qFormat/>
    <w:uiPriority w:val="0"/>
    <w:pPr>
      <w:adjustRightInd w:val="0"/>
      <w:snapToGrid w:val="0"/>
      <w:spacing w:line="360" w:lineRule="auto"/>
      <w:jc w:val="left"/>
      <w:outlineLvl w:val="3"/>
    </w:pPr>
    <w:rPr>
      <w:rFonts w:eastAsia="黑体"/>
      <w:kern w:val="0"/>
      <w:sz w:val="24"/>
    </w:rPr>
  </w:style>
  <w:style w:type="paragraph" w:customStyle="1" w:styleId="2146">
    <w:name w:val="二级"/>
    <w:basedOn w:val="7"/>
    <w:link w:val="2147"/>
    <w:qFormat/>
    <w:uiPriority w:val="0"/>
    <w:pPr>
      <w:widowControl w:val="0"/>
      <w:adjustRightInd/>
      <w:snapToGrid/>
      <w:spacing w:before="120" w:beforeLines="10" w:after="120" w:afterLines="10"/>
      <w:ind w:left="720" w:hanging="432" w:firstLineChars="200"/>
      <w:jc w:val="both"/>
    </w:pPr>
    <w:rPr>
      <w:rFonts w:ascii="Times New Roman" w:hAnsi="Times New Roman"/>
      <w:lang w:val="en-US"/>
    </w:rPr>
  </w:style>
  <w:style w:type="character" w:customStyle="1" w:styleId="2147">
    <w:name w:val="二级 Char"/>
    <w:link w:val="2146"/>
    <w:qFormat/>
    <w:uiPriority w:val="0"/>
    <w:rPr>
      <w:b/>
      <w:bCs/>
      <w:kern w:val="2"/>
      <w:sz w:val="32"/>
      <w:szCs w:val="32"/>
    </w:rPr>
  </w:style>
  <w:style w:type="paragraph" w:customStyle="1" w:styleId="2148">
    <w:name w:val="三级"/>
    <w:basedOn w:val="6"/>
    <w:link w:val="2149"/>
    <w:qFormat/>
    <w:uiPriority w:val="0"/>
    <w:pPr>
      <w:spacing w:beforeLines="10" w:afterLines="10"/>
      <w:ind w:firstLine="200" w:firstLineChars="200"/>
    </w:pPr>
    <w:rPr>
      <w:rFonts w:ascii="Cambria" w:hAnsi="Cambria" w:eastAsia="宋体"/>
    </w:rPr>
  </w:style>
  <w:style w:type="character" w:customStyle="1" w:styleId="2149">
    <w:name w:val="三级 Char"/>
    <w:link w:val="2148"/>
    <w:qFormat/>
    <w:uiPriority w:val="0"/>
    <w:rPr>
      <w:rFonts w:ascii="Cambria" w:hAnsi="Cambria"/>
      <w:b/>
      <w:bCs/>
      <w:kern w:val="2"/>
      <w:sz w:val="32"/>
      <w:szCs w:val="32"/>
    </w:rPr>
  </w:style>
  <w:style w:type="paragraph" w:customStyle="1" w:styleId="2150">
    <w:name w:val="龚艺正文加粗"/>
    <w:basedOn w:val="1"/>
    <w:link w:val="2151"/>
    <w:qFormat/>
    <w:uiPriority w:val="0"/>
    <w:pPr>
      <w:tabs>
        <w:tab w:val="left" w:pos="8789"/>
      </w:tabs>
      <w:wordWrap w:val="0"/>
      <w:spacing w:line="360" w:lineRule="auto"/>
      <w:ind w:firstLine="200" w:firstLineChars="200"/>
    </w:pPr>
    <w:rPr>
      <w:rFonts w:hAnsi="宋体" w:cs="宋体"/>
      <w:color w:val="000000"/>
      <w:sz w:val="24"/>
    </w:rPr>
  </w:style>
  <w:style w:type="character" w:customStyle="1" w:styleId="2151">
    <w:name w:val="龚艺正文加粗 Char"/>
    <w:link w:val="2150"/>
    <w:qFormat/>
    <w:uiPriority w:val="0"/>
    <w:rPr>
      <w:rFonts w:hAnsi="宋体" w:cs="宋体"/>
      <w:color w:val="000000"/>
      <w:kern w:val="2"/>
      <w:sz w:val="24"/>
      <w:szCs w:val="24"/>
    </w:rPr>
  </w:style>
  <w:style w:type="paragraph" w:customStyle="1" w:styleId="2152">
    <w:name w:val="正文加粗"/>
    <w:basedOn w:val="67"/>
    <w:link w:val="2153"/>
    <w:qFormat/>
    <w:uiPriority w:val="0"/>
    <w:pPr>
      <w:spacing w:beforeLines="50" w:line="360" w:lineRule="auto"/>
      <w:ind w:left="0" w:leftChars="0" w:firstLine="482" w:firstLineChars="200"/>
    </w:pPr>
    <w:rPr>
      <w:rFonts w:ascii="Times New Roman" w:hAnsi="宋体"/>
      <w:b/>
      <w:color w:val="000000"/>
      <w:sz w:val="24"/>
      <w:szCs w:val="20"/>
    </w:rPr>
  </w:style>
  <w:style w:type="character" w:customStyle="1" w:styleId="2153">
    <w:name w:val="正文加粗 Char"/>
    <w:link w:val="2152"/>
    <w:qFormat/>
    <w:uiPriority w:val="0"/>
    <w:rPr>
      <w:rFonts w:hAnsi="宋体"/>
      <w:b/>
      <w:color w:val="000000"/>
      <w:kern w:val="2"/>
      <w:sz w:val="24"/>
    </w:rPr>
  </w:style>
  <w:style w:type="paragraph" w:customStyle="1" w:styleId="2154">
    <w:name w:val="龚艺表名"/>
    <w:basedOn w:val="1"/>
    <w:link w:val="2155"/>
    <w:qFormat/>
    <w:uiPriority w:val="0"/>
    <w:pPr>
      <w:spacing w:beforeLines="20" w:line="360" w:lineRule="auto"/>
      <w:ind w:firstLine="200" w:firstLineChars="200"/>
      <w:jc w:val="center"/>
    </w:pPr>
    <w:rPr>
      <w:b/>
      <w:sz w:val="24"/>
      <w:szCs w:val="21"/>
    </w:rPr>
  </w:style>
  <w:style w:type="character" w:customStyle="1" w:styleId="2155">
    <w:name w:val="龚艺表名 Char"/>
    <w:link w:val="2154"/>
    <w:qFormat/>
    <w:uiPriority w:val="0"/>
    <w:rPr>
      <w:b/>
      <w:kern w:val="2"/>
      <w:sz w:val="24"/>
      <w:szCs w:val="21"/>
    </w:rPr>
  </w:style>
  <w:style w:type="character" w:customStyle="1" w:styleId="2156">
    <w:name w:val="龚艺表名 Char Char"/>
    <w:qFormat/>
    <w:uiPriority w:val="0"/>
    <w:rPr>
      <w:rFonts w:ascii="Times New Roman" w:hAnsi="Times New Roman" w:eastAsia="宋体" w:cs="Times New Roman"/>
      <w:b/>
    </w:rPr>
  </w:style>
  <w:style w:type="paragraph" w:customStyle="1" w:styleId="2157">
    <w:name w:val="标题1级"/>
    <w:basedOn w:val="1"/>
    <w:link w:val="2158"/>
    <w:qFormat/>
    <w:uiPriority w:val="0"/>
    <w:pPr>
      <w:spacing w:beforeLines="50" w:afterLines="50" w:line="360" w:lineRule="auto"/>
      <w:jc w:val="left"/>
      <w:outlineLvl w:val="0"/>
    </w:pPr>
    <w:rPr>
      <w:b/>
      <w:kern w:val="0"/>
      <w:sz w:val="32"/>
      <w:szCs w:val="20"/>
    </w:rPr>
  </w:style>
  <w:style w:type="character" w:customStyle="1" w:styleId="2158">
    <w:name w:val="标题1级 Char"/>
    <w:link w:val="2157"/>
    <w:qFormat/>
    <w:uiPriority w:val="0"/>
    <w:rPr>
      <w:b/>
      <w:sz w:val="32"/>
    </w:rPr>
  </w:style>
  <w:style w:type="paragraph" w:customStyle="1" w:styleId="2159">
    <w:name w:val="标题2.2级"/>
    <w:basedOn w:val="1"/>
    <w:link w:val="2160"/>
    <w:qFormat/>
    <w:uiPriority w:val="0"/>
    <w:pPr>
      <w:spacing w:beforeLines="30" w:afterLines="30" w:line="360" w:lineRule="auto"/>
      <w:jc w:val="left"/>
      <w:outlineLvl w:val="1"/>
    </w:pPr>
    <w:rPr>
      <w:b/>
      <w:kern w:val="0"/>
      <w:sz w:val="28"/>
      <w:szCs w:val="20"/>
    </w:rPr>
  </w:style>
  <w:style w:type="character" w:customStyle="1" w:styleId="2160">
    <w:name w:val="标题2.2级 Char"/>
    <w:link w:val="2159"/>
    <w:qFormat/>
    <w:uiPriority w:val="0"/>
    <w:rPr>
      <w:b/>
      <w:sz w:val="28"/>
    </w:rPr>
  </w:style>
  <w:style w:type="paragraph" w:customStyle="1" w:styleId="2161">
    <w:name w:val="标题3.3.3级"/>
    <w:basedOn w:val="1"/>
    <w:link w:val="2162"/>
    <w:qFormat/>
    <w:uiPriority w:val="0"/>
    <w:pPr>
      <w:spacing w:beforeLines="50" w:afterLines="50" w:line="360" w:lineRule="auto"/>
      <w:jc w:val="left"/>
      <w:outlineLvl w:val="2"/>
    </w:pPr>
    <w:rPr>
      <w:b/>
      <w:kern w:val="0"/>
      <w:sz w:val="24"/>
    </w:rPr>
  </w:style>
  <w:style w:type="character" w:customStyle="1" w:styleId="2162">
    <w:name w:val="标题3.3.3级 Char"/>
    <w:link w:val="2161"/>
    <w:qFormat/>
    <w:uiPriority w:val="0"/>
    <w:rPr>
      <w:b/>
      <w:sz w:val="24"/>
      <w:szCs w:val="24"/>
    </w:rPr>
  </w:style>
  <w:style w:type="paragraph" w:customStyle="1" w:styleId="2163">
    <w:name w:val="标题4.4.4.4级"/>
    <w:basedOn w:val="1"/>
    <w:link w:val="2164"/>
    <w:qFormat/>
    <w:uiPriority w:val="0"/>
    <w:pPr>
      <w:spacing w:line="360" w:lineRule="auto"/>
      <w:jc w:val="left"/>
      <w:outlineLvl w:val="3"/>
    </w:pPr>
    <w:rPr>
      <w:b/>
      <w:kern w:val="0"/>
      <w:sz w:val="24"/>
    </w:rPr>
  </w:style>
  <w:style w:type="character" w:customStyle="1" w:styleId="2164">
    <w:name w:val="标题4.4.4.4级 Char"/>
    <w:link w:val="2163"/>
    <w:qFormat/>
    <w:uiPriority w:val="0"/>
    <w:rPr>
      <w:b/>
      <w:sz w:val="24"/>
      <w:szCs w:val="24"/>
    </w:rPr>
  </w:style>
  <w:style w:type="character" w:customStyle="1" w:styleId="2165">
    <w:name w:val="正文(首行缩进) Char1"/>
    <w:qFormat/>
    <w:uiPriority w:val="0"/>
    <w:rPr>
      <w:rFonts w:ascii="Times New Roman" w:hAnsi="Times New Roman" w:eastAsia="宋体" w:cs="Times New Roman"/>
      <w:snapToGrid w:val="0"/>
      <w:color w:val="000000"/>
      <w:kern w:val="0"/>
      <w:sz w:val="24"/>
      <w:szCs w:val="24"/>
    </w:rPr>
  </w:style>
  <w:style w:type="paragraph" w:customStyle="1" w:styleId="2166">
    <w:name w:val="方程"/>
    <w:basedOn w:val="1"/>
    <w:qFormat/>
    <w:uiPriority w:val="0"/>
    <w:pPr>
      <w:widowControl/>
      <w:overflowPunct w:val="0"/>
      <w:adjustRightInd w:val="0"/>
      <w:spacing w:line="440" w:lineRule="atLeast"/>
      <w:ind w:firstLine="482" w:firstLineChars="200"/>
      <w:jc w:val="center"/>
      <w:textAlignment w:val="bottom"/>
    </w:pPr>
    <w:rPr>
      <w:rFonts w:ascii="CG Times (W1)" w:hAnsi="CG Times (W1)"/>
      <w:kern w:val="0"/>
      <w:sz w:val="24"/>
      <w:szCs w:val="20"/>
    </w:rPr>
  </w:style>
  <w:style w:type="paragraph" w:customStyle="1" w:styleId="2167">
    <w:name w:val="应填表格"/>
    <w:basedOn w:val="1"/>
    <w:qFormat/>
    <w:uiPriority w:val="0"/>
    <w:pPr>
      <w:adjustRightInd w:val="0"/>
      <w:spacing w:line="360" w:lineRule="auto"/>
      <w:ind w:firstLine="200" w:firstLineChars="200"/>
      <w:jc w:val="left"/>
      <w:textAlignment w:val="baseline"/>
    </w:pPr>
    <w:rPr>
      <w:kern w:val="0"/>
      <w:sz w:val="24"/>
      <w:szCs w:val="20"/>
    </w:rPr>
  </w:style>
  <w:style w:type="paragraph" w:customStyle="1" w:styleId="2168">
    <w:name w:val="已有表格"/>
    <w:basedOn w:val="1"/>
    <w:qFormat/>
    <w:uiPriority w:val="0"/>
    <w:pPr>
      <w:adjustRightInd w:val="0"/>
      <w:spacing w:line="360" w:lineRule="auto"/>
      <w:ind w:firstLine="200" w:firstLineChars="200"/>
      <w:jc w:val="center"/>
      <w:textAlignment w:val="baseline"/>
    </w:pPr>
    <w:rPr>
      <w:b/>
      <w:kern w:val="0"/>
      <w:sz w:val="24"/>
      <w:szCs w:val="20"/>
    </w:rPr>
  </w:style>
  <w:style w:type="paragraph" w:customStyle="1" w:styleId="2169">
    <w:name w:val="样式 标题 3 + 四号 段前: 0 磅 段后: 0 磅 行距: 单倍行距"/>
    <w:basedOn w:val="7"/>
    <w:qFormat/>
    <w:uiPriority w:val="0"/>
    <w:pPr>
      <w:widowControl w:val="0"/>
      <w:adjustRightInd/>
      <w:snapToGrid/>
      <w:spacing w:before="120" w:beforeLines="10" w:after="120" w:afterLines="10"/>
      <w:ind w:left="720" w:hanging="432" w:firstLineChars="200"/>
      <w:jc w:val="both"/>
    </w:pPr>
    <w:rPr>
      <w:rFonts w:ascii="Times New Roman" w:hAnsi="Times New Roman"/>
      <w:lang w:val="en-US"/>
    </w:rPr>
  </w:style>
  <w:style w:type="paragraph" w:customStyle="1" w:styleId="2170">
    <w:name w:val="样式 样式 左侧:  2 字符 段后: 0.5 行 + 首行缩进:  2 字符 段后: 0.5 行"/>
    <w:basedOn w:val="1"/>
    <w:qFormat/>
    <w:uiPriority w:val="0"/>
    <w:pPr>
      <w:spacing w:line="360" w:lineRule="auto"/>
      <w:ind w:firstLine="480" w:firstLineChars="200"/>
      <w:jc w:val="left"/>
    </w:pPr>
    <w:rPr>
      <w:rFonts w:eastAsia="仿宋_GB2312"/>
      <w:sz w:val="24"/>
      <w:szCs w:val="20"/>
    </w:rPr>
  </w:style>
  <w:style w:type="paragraph" w:customStyle="1" w:styleId="2171">
    <w:name w:val="Char Char1 Char Char Char Char Char Char Char Char Char Char Char Char Char Char"/>
    <w:basedOn w:val="1"/>
    <w:qFormat/>
    <w:uiPriority w:val="0"/>
    <w:pPr>
      <w:widowControl/>
      <w:spacing w:beforeLines="100" w:line="240" w:lineRule="exact"/>
      <w:ind w:firstLine="200" w:firstLineChars="200"/>
      <w:jc w:val="left"/>
    </w:pPr>
    <w:rPr>
      <w:rFonts w:ascii="Verdana" w:hAnsi="Verdana"/>
      <w:kern w:val="0"/>
      <w:sz w:val="32"/>
      <w:szCs w:val="32"/>
      <w:lang w:eastAsia="en-US"/>
    </w:rPr>
  </w:style>
  <w:style w:type="paragraph" w:customStyle="1" w:styleId="2172">
    <w:name w:val="Char Char2"/>
    <w:basedOn w:val="1"/>
    <w:qFormat/>
    <w:uiPriority w:val="0"/>
    <w:pPr>
      <w:widowControl/>
      <w:spacing w:line="240" w:lineRule="exact"/>
      <w:ind w:firstLine="200" w:firstLineChars="200"/>
      <w:jc w:val="left"/>
    </w:pPr>
    <w:rPr>
      <w:rFonts w:ascii="Verdana" w:hAnsi="Verdana" w:eastAsia="仿宋_GB2312"/>
      <w:kern w:val="0"/>
      <w:sz w:val="24"/>
      <w:szCs w:val="20"/>
      <w:lang w:eastAsia="en-US"/>
    </w:rPr>
  </w:style>
  <w:style w:type="paragraph" w:customStyle="1" w:styleId="2173">
    <w:name w:val="textfont"/>
    <w:basedOn w:val="1"/>
    <w:qFormat/>
    <w:uiPriority w:val="0"/>
    <w:pPr>
      <w:widowControl/>
      <w:spacing w:beforeAutospacing="1" w:afterAutospacing="1" w:line="360" w:lineRule="auto"/>
      <w:ind w:firstLine="200" w:firstLineChars="200"/>
      <w:jc w:val="left"/>
    </w:pPr>
    <w:rPr>
      <w:rFonts w:ascii="宋体" w:hAnsi="宋体"/>
      <w:kern w:val="0"/>
      <w:sz w:val="24"/>
    </w:rPr>
  </w:style>
  <w:style w:type="paragraph" w:customStyle="1" w:styleId="2174">
    <w:name w:val="8--"/>
    <w:basedOn w:val="1"/>
    <w:qFormat/>
    <w:uiPriority w:val="0"/>
    <w:pPr>
      <w:adjustRightInd w:val="0"/>
      <w:spacing w:line="360" w:lineRule="atLeast"/>
      <w:ind w:firstLine="200" w:firstLineChars="200"/>
      <w:jc w:val="left"/>
      <w:textAlignment w:val="baseline"/>
    </w:pPr>
    <w:rPr>
      <w:kern w:val="0"/>
      <w:sz w:val="24"/>
      <w:szCs w:val="20"/>
    </w:rPr>
  </w:style>
  <w:style w:type="paragraph" w:customStyle="1" w:styleId="2175">
    <w:name w:val="Char4 Char Char Char Char Char Char1"/>
    <w:basedOn w:val="1"/>
    <w:qFormat/>
    <w:uiPriority w:val="0"/>
    <w:pPr>
      <w:spacing w:line="360" w:lineRule="auto"/>
      <w:ind w:firstLine="480" w:firstLineChars="200"/>
      <w:jc w:val="left"/>
    </w:pPr>
    <w:rPr>
      <w:rFonts w:ascii="宋体" w:hAnsi="宋体" w:cs="宋体"/>
      <w:sz w:val="24"/>
    </w:rPr>
  </w:style>
  <w:style w:type="paragraph" w:customStyle="1" w:styleId="2176">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2177">
    <w:name w:val="Char1 Char Char"/>
    <w:basedOn w:val="1"/>
    <w:qFormat/>
    <w:uiPriority w:val="0"/>
    <w:pPr>
      <w:spacing w:line="360" w:lineRule="auto"/>
      <w:ind w:firstLine="200" w:firstLineChars="200"/>
      <w:jc w:val="left"/>
    </w:pPr>
  </w:style>
  <w:style w:type="paragraph" w:customStyle="1" w:styleId="2178">
    <w:name w:val="小表文居中"/>
    <w:basedOn w:val="1"/>
    <w:qFormat/>
    <w:uiPriority w:val="0"/>
    <w:pPr>
      <w:autoSpaceDE w:val="0"/>
      <w:autoSpaceDN w:val="0"/>
      <w:adjustRightInd w:val="0"/>
      <w:spacing w:line="360" w:lineRule="auto"/>
      <w:ind w:firstLine="200" w:firstLineChars="200"/>
      <w:jc w:val="center"/>
      <w:textAlignment w:val="baseline"/>
    </w:pPr>
    <w:rPr>
      <w:kern w:val="0"/>
      <w:sz w:val="18"/>
      <w:szCs w:val="20"/>
    </w:rPr>
  </w:style>
  <w:style w:type="paragraph" w:customStyle="1" w:styleId="2179">
    <w:name w:val="框图文字1"/>
    <w:basedOn w:val="1"/>
    <w:qFormat/>
    <w:uiPriority w:val="0"/>
    <w:pPr>
      <w:adjustRightInd w:val="0"/>
      <w:snapToGrid w:val="0"/>
      <w:spacing w:line="360" w:lineRule="auto"/>
      <w:ind w:firstLine="200" w:firstLineChars="200"/>
      <w:jc w:val="center"/>
    </w:pPr>
    <w:rPr>
      <w:sz w:val="18"/>
      <w:szCs w:val="20"/>
    </w:rPr>
  </w:style>
  <w:style w:type="paragraph" w:customStyle="1" w:styleId="2180">
    <w:name w:val="正文-第几条"/>
    <w:basedOn w:val="1"/>
    <w:qFormat/>
    <w:uiPriority w:val="0"/>
    <w:pPr>
      <w:tabs>
        <w:tab w:val="left" w:pos="1200"/>
      </w:tabs>
      <w:spacing w:line="360" w:lineRule="auto"/>
      <w:ind w:left="1200" w:leftChars="400" w:hanging="360" w:hangingChars="200"/>
      <w:jc w:val="left"/>
    </w:pPr>
    <w:rPr>
      <w:sz w:val="24"/>
    </w:rPr>
  </w:style>
  <w:style w:type="paragraph" w:customStyle="1" w:styleId="2181">
    <w:name w:val="附录二级条标题"/>
    <w:basedOn w:val="2182"/>
    <w:next w:val="1"/>
    <w:qFormat/>
    <w:uiPriority w:val="0"/>
    <w:pPr>
      <w:tabs>
        <w:tab w:val="left" w:pos="360"/>
        <w:tab w:val="left" w:pos="828"/>
        <w:tab w:val="left" w:pos="840"/>
        <w:tab w:val="left" w:pos="1260"/>
        <w:tab w:val="left" w:pos="1680"/>
      </w:tabs>
      <w:ind w:left="360" w:hanging="360"/>
      <w:outlineLvl w:val="3"/>
    </w:pPr>
  </w:style>
  <w:style w:type="paragraph" w:customStyle="1" w:styleId="2182">
    <w:name w:val="附录一级条标题"/>
    <w:basedOn w:val="2183"/>
    <w:next w:val="1"/>
    <w:qFormat/>
    <w:uiPriority w:val="0"/>
    <w:pPr>
      <w:tabs>
        <w:tab w:val="left" w:pos="828"/>
        <w:tab w:val="left" w:pos="840"/>
        <w:tab w:val="left" w:pos="1260"/>
      </w:tabs>
      <w:autoSpaceDN w:val="0"/>
      <w:spacing w:beforeLines="0" w:afterLines="0"/>
      <w:ind w:left="828" w:hanging="240"/>
      <w:outlineLvl w:val="2"/>
    </w:pPr>
  </w:style>
  <w:style w:type="paragraph" w:customStyle="1" w:styleId="2183">
    <w:name w:val="附录章标题"/>
    <w:next w:val="1"/>
    <w:qFormat/>
    <w:uiPriority w:val="0"/>
    <w:pPr>
      <w:tabs>
        <w:tab w:val="left" w:pos="840"/>
      </w:tabs>
      <w:wordWrap w:val="0"/>
      <w:overflowPunct w:val="0"/>
      <w:autoSpaceDE w:val="0"/>
      <w:spacing w:beforeLines="50" w:afterLines="50"/>
      <w:ind w:left="840" w:hanging="420"/>
      <w:textAlignment w:val="baseline"/>
      <w:outlineLvl w:val="1"/>
    </w:pPr>
    <w:rPr>
      <w:rFonts w:ascii="黑体" w:hAnsi="Calibri" w:eastAsia="黑体" w:cs="Calibri"/>
      <w:kern w:val="21"/>
      <w:sz w:val="21"/>
      <w:lang w:val="en-US" w:eastAsia="zh-CN" w:bidi="ar-SA"/>
    </w:rPr>
  </w:style>
  <w:style w:type="paragraph" w:customStyle="1" w:styleId="2184">
    <w:name w:val="附录三级条标题"/>
    <w:basedOn w:val="2181"/>
    <w:next w:val="1"/>
    <w:qFormat/>
    <w:uiPriority w:val="0"/>
    <w:pPr>
      <w:tabs>
        <w:tab w:val="left" w:pos="1068"/>
        <w:tab w:val="left" w:pos="2100"/>
        <w:tab w:val="clear" w:pos="360"/>
        <w:tab w:val="clear" w:pos="1680"/>
      </w:tabs>
      <w:ind w:left="1068"/>
      <w:outlineLvl w:val="4"/>
    </w:pPr>
  </w:style>
  <w:style w:type="paragraph" w:customStyle="1" w:styleId="2185">
    <w:name w:val="附录四级条标题"/>
    <w:basedOn w:val="2184"/>
    <w:next w:val="1"/>
    <w:qFormat/>
    <w:uiPriority w:val="0"/>
    <w:pPr>
      <w:tabs>
        <w:tab w:val="left" w:pos="960"/>
        <w:tab w:val="left" w:pos="2520"/>
        <w:tab w:val="clear" w:pos="1068"/>
        <w:tab w:val="clear" w:pos="2100"/>
      </w:tabs>
      <w:ind w:left="960"/>
      <w:outlineLvl w:val="5"/>
    </w:pPr>
  </w:style>
  <w:style w:type="paragraph" w:customStyle="1" w:styleId="2186">
    <w:name w:val="附录五级条标题"/>
    <w:basedOn w:val="2185"/>
    <w:next w:val="1"/>
    <w:qFormat/>
    <w:uiPriority w:val="0"/>
    <w:pPr>
      <w:tabs>
        <w:tab w:val="left" w:pos="435"/>
        <w:tab w:val="left" w:pos="2940"/>
        <w:tab w:val="clear" w:pos="960"/>
        <w:tab w:val="clear" w:pos="2520"/>
      </w:tabs>
      <w:ind w:left="435" w:hanging="165"/>
      <w:outlineLvl w:val="6"/>
    </w:pPr>
  </w:style>
  <w:style w:type="paragraph" w:customStyle="1" w:styleId="2187">
    <w:name w:val="附录标识"/>
    <w:basedOn w:val="644"/>
    <w:qFormat/>
    <w:uiPriority w:val="0"/>
    <w:pPr>
      <w:tabs>
        <w:tab w:val="left" w:pos="6405"/>
        <w:tab w:val="clear" w:pos="903"/>
      </w:tabs>
      <w:spacing w:after="200"/>
      <w:ind w:left="0" w:firstLine="0"/>
    </w:pPr>
    <w:rPr>
      <w:sz w:val="21"/>
    </w:rPr>
  </w:style>
  <w:style w:type="paragraph" w:customStyle="1" w:styleId="2188">
    <w:name w:val="列项·"/>
    <w:qFormat/>
    <w:uiPriority w:val="0"/>
    <w:pPr>
      <w:tabs>
        <w:tab w:val="left" w:pos="840"/>
      </w:tabs>
      <w:ind w:left="840" w:leftChars="200" w:hanging="420" w:hangingChars="200"/>
    </w:pPr>
    <w:rPr>
      <w:rFonts w:ascii="宋体" w:hAnsi="Calibri" w:eastAsia="宋体" w:cs="Calibri"/>
      <w:sz w:val="21"/>
      <w:lang w:val="en-US" w:eastAsia="zh-CN" w:bidi="ar-SA"/>
    </w:rPr>
  </w:style>
  <w:style w:type="paragraph" w:customStyle="1" w:styleId="2189">
    <w:name w:val="正文-叶"/>
    <w:basedOn w:val="1"/>
    <w:qFormat/>
    <w:uiPriority w:val="0"/>
    <w:pPr>
      <w:topLinePunct/>
      <w:spacing w:line="312" w:lineRule="auto"/>
      <w:ind w:firstLine="465" w:firstLineChars="200"/>
      <w:jc w:val="left"/>
    </w:pPr>
    <w:rPr>
      <w:sz w:val="24"/>
      <w:szCs w:val="20"/>
    </w:rPr>
  </w:style>
  <w:style w:type="paragraph" w:customStyle="1" w:styleId="2190">
    <w:name w:val="Item1"/>
    <w:basedOn w:val="1"/>
    <w:qFormat/>
    <w:uiPriority w:val="0"/>
    <w:pPr>
      <w:spacing w:line="360" w:lineRule="auto"/>
      <w:ind w:firstLine="200" w:firstLineChars="200"/>
      <w:jc w:val="left"/>
    </w:pPr>
  </w:style>
  <w:style w:type="paragraph" w:customStyle="1" w:styleId="2191">
    <w:name w:val="ourfont3"/>
    <w:basedOn w:val="1"/>
    <w:qFormat/>
    <w:uiPriority w:val="0"/>
    <w:pPr>
      <w:widowControl/>
      <w:spacing w:beforeAutospacing="1" w:afterAutospacing="1" w:line="360" w:lineRule="auto"/>
      <w:ind w:firstLine="200" w:firstLineChars="200"/>
      <w:jc w:val="left"/>
    </w:pPr>
    <w:rPr>
      <w:rFonts w:ascii="宋体" w:hAnsi="宋体" w:cs="宋体"/>
      <w:kern w:val="0"/>
      <w:sz w:val="24"/>
    </w:rPr>
  </w:style>
  <w:style w:type="paragraph" w:customStyle="1" w:styleId="2192">
    <w:name w:val="indent"/>
    <w:basedOn w:val="1"/>
    <w:qFormat/>
    <w:uiPriority w:val="0"/>
    <w:pPr>
      <w:widowControl/>
      <w:spacing w:beforeAutospacing="1" w:afterAutospacing="1" w:line="360" w:lineRule="auto"/>
      <w:ind w:firstLine="525" w:firstLineChars="200"/>
      <w:jc w:val="left"/>
    </w:pPr>
    <w:rPr>
      <w:rFonts w:ascii="宋体" w:hAnsi="宋体" w:cs="宋体"/>
      <w:kern w:val="0"/>
      <w:sz w:val="24"/>
    </w:rPr>
  </w:style>
  <w:style w:type="paragraph" w:customStyle="1" w:styleId="2193">
    <w:name w:val="文-7"/>
    <w:basedOn w:val="1"/>
    <w:qFormat/>
    <w:uiPriority w:val="0"/>
    <w:pPr>
      <w:tabs>
        <w:tab w:val="right" w:leader="dot" w:pos="8789"/>
      </w:tabs>
      <w:spacing w:line="360" w:lineRule="auto"/>
      <w:ind w:left="1701" w:firstLine="482" w:firstLineChars="200"/>
      <w:jc w:val="left"/>
    </w:pPr>
    <w:rPr>
      <w:sz w:val="24"/>
    </w:rPr>
  </w:style>
  <w:style w:type="paragraph" w:customStyle="1" w:styleId="2194">
    <w:name w:val="MTDisplayEquation"/>
    <w:basedOn w:val="1"/>
    <w:next w:val="1"/>
    <w:qFormat/>
    <w:uiPriority w:val="0"/>
    <w:pPr>
      <w:tabs>
        <w:tab w:val="center" w:pos="4160"/>
        <w:tab w:val="right" w:pos="8300"/>
      </w:tabs>
      <w:spacing w:line="500" w:lineRule="exact"/>
      <w:ind w:firstLine="538" w:firstLineChars="192"/>
      <w:jc w:val="left"/>
    </w:pPr>
    <w:rPr>
      <w:rFonts w:ascii="黑体" w:eastAsia="黑体"/>
      <w:sz w:val="24"/>
    </w:rPr>
  </w:style>
  <w:style w:type="paragraph" w:customStyle="1" w:styleId="2195">
    <w:name w:val="样式 样式 首行缩进:  2 字符 + 首行缩进:  2 字符"/>
    <w:basedOn w:val="1"/>
    <w:qFormat/>
    <w:uiPriority w:val="0"/>
    <w:pPr>
      <w:spacing w:line="360" w:lineRule="auto"/>
      <w:ind w:firstLine="480" w:firstLineChars="200"/>
      <w:jc w:val="left"/>
    </w:pPr>
    <w:rPr>
      <w:rFonts w:cs="宋体"/>
      <w:szCs w:val="20"/>
    </w:rPr>
  </w:style>
  <w:style w:type="paragraph" w:customStyle="1" w:styleId="2196">
    <w:name w:val="Char Char1 Char Char Char Char Char Char Char Char Char Char Char Char Char Char1"/>
    <w:basedOn w:val="1"/>
    <w:qFormat/>
    <w:uiPriority w:val="0"/>
    <w:pPr>
      <w:widowControl/>
      <w:spacing w:beforeLines="100" w:line="240" w:lineRule="exact"/>
      <w:ind w:firstLine="200" w:firstLineChars="200"/>
      <w:jc w:val="left"/>
    </w:pPr>
    <w:rPr>
      <w:rFonts w:ascii="Verdana" w:hAnsi="Verdana"/>
      <w:kern w:val="0"/>
      <w:sz w:val="32"/>
      <w:szCs w:val="32"/>
      <w:lang w:eastAsia="en-US"/>
    </w:rPr>
  </w:style>
  <w:style w:type="paragraph" w:customStyle="1" w:styleId="2197">
    <w:name w:val="样式 宋体 小四 首行缩进:  0.85 厘米 行距: 多倍行距 1.75 字行"/>
    <w:basedOn w:val="1"/>
    <w:qFormat/>
    <w:uiPriority w:val="0"/>
    <w:pPr>
      <w:adjustRightInd w:val="0"/>
      <w:spacing w:line="360" w:lineRule="auto"/>
      <w:ind w:firstLine="340" w:firstLineChars="200"/>
      <w:jc w:val="left"/>
    </w:pPr>
    <w:rPr>
      <w:rFonts w:ascii="宋体" w:hAnsi="宋体"/>
      <w:sz w:val="24"/>
      <w:szCs w:val="20"/>
    </w:rPr>
  </w:style>
  <w:style w:type="paragraph" w:customStyle="1" w:styleId="2198">
    <w:name w:val="Char Char2 Char Char"/>
    <w:basedOn w:val="1"/>
    <w:qFormat/>
    <w:uiPriority w:val="0"/>
    <w:pPr>
      <w:widowControl/>
      <w:spacing w:line="240" w:lineRule="exact"/>
      <w:ind w:firstLine="200" w:firstLineChars="200"/>
      <w:jc w:val="left"/>
    </w:pPr>
    <w:rPr>
      <w:rFonts w:ascii="Verdana" w:hAnsi="Verdana" w:eastAsia="仿宋_GB2312"/>
      <w:kern w:val="0"/>
      <w:sz w:val="24"/>
      <w:szCs w:val="20"/>
      <w:lang w:eastAsia="en-US"/>
    </w:rPr>
  </w:style>
  <w:style w:type="paragraph" w:customStyle="1" w:styleId="2199">
    <w:name w:val="Char Char2 Char Char Char Char"/>
    <w:basedOn w:val="1"/>
    <w:qFormat/>
    <w:uiPriority w:val="0"/>
    <w:pPr>
      <w:widowControl/>
      <w:spacing w:line="240" w:lineRule="exact"/>
      <w:ind w:firstLine="200" w:firstLineChars="200"/>
      <w:jc w:val="left"/>
    </w:pPr>
    <w:rPr>
      <w:rFonts w:ascii="Verdana" w:hAnsi="Verdana" w:eastAsia="仿宋_GB2312"/>
      <w:kern w:val="0"/>
      <w:sz w:val="24"/>
      <w:szCs w:val="20"/>
      <w:lang w:eastAsia="en-US"/>
    </w:rPr>
  </w:style>
  <w:style w:type="paragraph" w:customStyle="1" w:styleId="2200">
    <w:name w:val="WPS Plain"/>
    <w:qFormat/>
    <w:uiPriority w:val="0"/>
    <w:rPr>
      <w:rFonts w:ascii="Calibri" w:hAnsi="Calibri" w:eastAsia="宋体" w:cs="Calibri"/>
      <w:lang w:val="en-US" w:eastAsia="zh-CN" w:bidi="ar-SA"/>
    </w:rPr>
  </w:style>
  <w:style w:type="paragraph" w:customStyle="1" w:styleId="2201">
    <w:name w:val="20100519正文"/>
    <w:link w:val="2202"/>
    <w:qFormat/>
    <w:uiPriority w:val="0"/>
    <w:pPr>
      <w:spacing w:line="480" w:lineRule="exact"/>
    </w:pPr>
    <w:rPr>
      <w:rFonts w:ascii="Calibri" w:hAnsi="Calibri" w:eastAsia="宋体" w:cs="Calibri"/>
      <w:szCs w:val="28"/>
      <w:lang w:val="en-US" w:eastAsia="zh-CN" w:bidi="ar-SA"/>
    </w:rPr>
  </w:style>
  <w:style w:type="character" w:customStyle="1" w:styleId="2202">
    <w:name w:val="20100519正文 Char Char"/>
    <w:link w:val="2201"/>
    <w:qFormat/>
    <w:uiPriority w:val="0"/>
    <w:rPr>
      <w:szCs w:val="28"/>
    </w:rPr>
  </w:style>
  <w:style w:type="paragraph" w:customStyle="1" w:styleId="2203">
    <w:name w:val="04表格标注"/>
    <w:basedOn w:val="1"/>
    <w:qFormat/>
    <w:uiPriority w:val="0"/>
    <w:pPr>
      <w:snapToGrid w:val="0"/>
      <w:spacing w:line="360" w:lineRule="auto"/>
      <w:ind w:firstLine="480" w:firstLineChars="200"/>
      <w:jc w:val="left"/>
    </w:pPr>
    <w:rPr>
      <w:kern w:val="0"/>
      <w:szCs w:val="21"/>
    </w:rPr>
  </w:style>
  <w:style w:type="paragraph" w:customStyle="1" w:styleId="2204">
    <w:name w:val="05土标题"/>
    <w:basedOn w:val="929"/>
    <w:qFormat/>
    <w:uiPriority w:val="0"/>
    <w:pPr>
      <w:spacing w:beforeLines="0" w:afterLines="50"/>
      <w:ind w:firstLine="200" w:firstLineChars="200"/>
    </w:pPr>
  </w:style>
  <w:style w:type="paragraph" w:customStyle="1" w:styleId="2205">
    <w:name w:val="TOC 标题11"/>
    <w:basedOn w:val="5"/>
    <w:next w:val="1"/>
    <w:qFormat/>
    <w:uiPriority w:val="39"/>
    <w:pPr>
      <w:keepLines/>
      <w:overflowPunct/>
      <w:snapToGrid/>
      <w:spacing w:before="0" w:beforeLines="10" w:after="0" w:afterLines="10" w:line="578" w:lineRule="auto"/>
      <w:ind w:left="0" w:firstLine="200" w:firstLineChars="200"/>
    </w:pPr>
    <w:rPr>
      <w:rFonts w:eastAsia="宋体"/>
      <w:color w:val="auto"/>
      <w:sz w:val="44"/>
      <w:szCs w:val="44"/>
    </w:rPr>
  </w:style>
  <w:style w:type="paragraph" w:customStyle="1" w:styleId="2206">
    <w:name w:val="样式 首行缩进:  2.57 字符"/>
    <w:basedOn w:val="1"/>
    <w:qFormat/>
    <w:uiPriority w:val="0"/>
    <w:pPr>
      <w:spacing w:line="480" w:lineRule="exact"/>
      <w:ind w:firstLine="720" w:firstLineChars="257"/>
      <w:jc w:val="left"/>
    </w:pPr>
    <w:rPr>
      <w:rFonts w:cs="宋体"/>
      <w:sz w:val="24"/>
      <w:szCs w:val="20"/>
    </w:rPr>
  </w:style>
  <w:style w:type="paragraph" w:customStyle="1" w:styleId="2207">
    <w:name w:val="标3lcc"/>
    <w:basedOn w:val="45"/>
    <w:link w:val="2208"/>
    <w:qFormat/>
    <w:uiPriority w:val="0"/>
    <w:pPr>
      <w:suppressAutoHyphens w:val="0"/>
      <w:autoSpaceDN/>
      <w:spacing w:beforeLines="50" w:afterLines="50"/>
      <w:textAlignment w:val="auto"/>
      <w:outlineLvl w:val="2"/>
    </w:pPr>
    <w:rPr>
      <w:rFonts w:ascii="Times New Roman" w:hAnsi="Times New Roman"/>
      <w:b/>
      <w:color w:val="000000"/>
      <w:kern w:val="0"/>
      <w:szCs w:val="24"/>
    </w:rPr>
  </w:style>
  <w:style w:type="character" w:customStyle="1" w:styleId="2208">
    <w:name w:val="标3lcc Char"/>
    <w:link w:val="2207"/>
    <w:qFormat/>
    <w:uiPriority w:val="0"/>
    <w:rPr>
      <w:b/>
      <w:color w:val="000000"/>
      <w:sz w:val="21"/>
      <w:szCs w:val="24"/>
    </w:rPr>
  </w:style>
  <w:style w:type="paragraph" w:customStyle="1" w:styleId="2209">
    <w:name w:val="2010可研正文"/>
    <w:link w:val="2210"/>
    <w:qFormat/>
    <w:uiPriority w:val="0"/>
    <w:pPr>
      <w:spacing w:line="480" w:lineRule="exact"/>
      <w:ind w:firstLine="200" w:firstLineChars="200"/>
      <w:jc w:val="both"/>
    </w:pPr>
    <w:rPr>
      <w:rFonts w:ascii="Calibri" w:hAnsi="Calibri" w:eastAsia="宋体" w:cs="宋体"/>
      <w:lang w:val="en-US" w:eastAsia="zh-CN" w:bidi="ar-SA"/>
    </w:rPr>
  </w:style>
  <w:style w:type="character" w:customStyle="1" w:styleId="2210">
    <w:name w:val="2010可研正文 Char1"/>
    <w:link w:val="2209"/>
    <w:qFormat/>
    <w:uiPriority w:val="0"/>
    <w:rPr>
      <w:rFonts w:cs="宋体"/>
    </w:rPr>
  </w:style>
  <w:style w:type="paragraph" w:customStyle="1" w:styleId="2211">
    <w:name w:val="标2lcc"/>
    <w:basedOn w:val="45"/>
    <w:link w:val="2212"/>
    <w:qFormat/>
    <w:uiPriority w:val="0"/>
    <w:pPr>
      <w:suppressAutoHyphens w:val="0"/>
      <w:autoSpaceDN/>
      <w:spacing w:line="360" w:lineRule="auto"/>
      <w:textAlignment w:val="auto"/>
      <w:outlineLvl w:val="1"/>
    </w:pPr>
    <w:rPr>
      <w:rFonts w:ascii="Times New Roman" w:hAnsi="Times New Roman"/>
      <w:b/>
      <w:color w:val="000000"/>
      <w:kern w:val="0"/>
      <w:sz w:val="20"/>
    </w:rPr>
  </w:style>
  <w:style w:type="character" w:customStyle="1" w:styleId="2212">
    <w:name w:val="标2lcc Char"/>
    <w:link w:val="2211"/>
    <w:qFormat/>
    <w:uiPriority w:val="0"/>
    <w:rPr>
      <w:b/>
      <w:color w:val="000000"/>
    </w:rPr>
  </w:style>
  <w:style w:type="paragraph" w:customStyle="1" w:styleId="2213">
    <w:name w:val="正文lcc"/>
    <w:basedOn w:val="1"/>
    <w:link w:val="2214"/>
    <w:qFormat/>
    <w:uiPriority w:val="0"/>
    <w:pPr>
      <w:adjustRightInd w:val="0"/>
      <w:snapToGrid w:val="0"/>
      <w:spacing w:line="360" w:lineRule="auto"/>
      <w:ind w:firstLine="200" w:firstLineChars="200"/>
    </w:pPr>
    <w:rPr>
      <w:rFonts w:eastAsia="Times New Roman"/>
      <w:kern w:val="0"/>
      <w:sz w:val="24"/>
    </w:rPr>
  </w:style>
  <w:style w:type="character" w:customStyle="1" w:styleId="2214">
    <w:name w:val="正文lcc Char"/>
    <w:link w:val="2213"/>
    <w:qFormat/>
    <w:uiPriority w:val="0"/>
    <w:rPr>
      <w:rFonts w:eastAsia="Times New Roman"/>
      <w:sz w:val="24"/>
      <w:szCs w:val="24"/>
    </w:rPr>
  </w:style>
  <w:style w:type="paragraph" w:customStyle="1" w:styleId="2215">
    <w:name w:val="表格-lcc"/>
    <w:basedOn w:val="1"/>
    <w:next w:val="1"/>
    <w:link w:val="2216"/>
    <w:qFormat/>
    <w:uiPriority w:val="0"/>
    <w:pPr>
      <w:snapToGrid w:val="0"/>
      <w:jc w:val="center"/>
    </w:pPr>
    <w:rPr>
      <w:b/>
      <w:kern w:val="0"/>
      <w:szCs w:val="21"/>
    </w:rPr>
  </w:style>
  <w:style w:type="character" w:customStyle="1" w:styleId="2216">
    <w:name w:val="表格-lcc Char"/>
    <w:link w:val="2215"/>
    <w:qFormat/>
    <w:uiPriority w:val="0"/>
    <w:rPr>
      <w:b/>
      <w:sz w:val="21"/>
      <w:szCs w:val="21"/>
    </w:rPr>
  </w:style>
  <w:style w:type="paragraph" w:customStyle="1" w:styleId="2217">
    <w:name w:val="标4"/>
    <w:basedOn w:val="1"/>
    <w:next w:val="2213"/>
    <w:link w:val="2218"/>
    <w:qFormat/>
    <w:uiPriority w:val="0"/>
    <w:pPr>
      <w:spacing w:line="360" w:lineRule="auto"/>
      <w:ind w:firstLine="200" w:firstLineChars="200"/>
      <w:outlineLvl w:val="4"/>
    </w:pPr>
    <w:rPr>
      <w:b/>
      <w:color w:val="000000"/>
      <w:kern w:val="0"/>
      <w:sz w:val="24"/>
    </w:rPr>
  </w:style>
  <w:style w:type="character" w:customStyle="1" w:styleId="2218">
    <w:name w:val="标4 Char"/>
    <w:link w:val="2217"/>
    <w:qFormat/>
    <w:uiPriority w:val="0"/>
    <w:rPr>
      <w:b/>
      <w:color w:val="000000"/>
      <w:sz w:val="24"/>
      <w:szCs w:val="24"/>
    </w:rPr>
  </w:style>
  <w:style w:type="paragraph" w:customStyle="1" w:styleId="2219">
    <w:name w:val="表文lcc"/>
    <w:basedOn w:val="1"/>
    <w:next w:val="1"/>
    <w:link w:val="2220"/>
    <w:qFormat/>
    <w:uiPriority w:val="0"/>
    <w:pPr>
      <w:jc w:val="center"/>
    </w:pPr>
    <w:rPr>
      <w:kern w:val="0"/>
      <w:szCs w:val="18"/>
    </w:rPr>
  </w:style>
  <w:style w:type="character" w:customStyle="1" w:styleId="2220">
    <w:name w:val="表文lcc Char"/>
    <w:link w:val="2219"/>
    <w:qFormat/>
    <w:uiPriority w:val="0"/>
    <w:rPr>
      <w:sz w:val="21"/>
      <w:szCs w:val="18"/>
    </w:rPr>
  </w:style>
  <w:style w:type="paragraph" w:customStyle="1" w:styleId="2221">
    <w:name w:val="表内居中"/>
    <w:basedOn w:val="2222"/>
    <w:link w:val="2224"/>
    <w:qFormat/>
    <w:uiPriority w:val="0"/>
    <w:rPr>
      <w:rFonts w:ascii="Times New Roman" w:hAnsi="Times New Roman"/>
    </w:rPr>
  </w:style>
  <w:style w:type="paragraph" w:customStyle="1" w:styleId="2222">
    <w:name w:val="表内容5号"/>
    <w:basedOn w:val="1"/>
    <w:link w:val="2223"/>
    <w:qFormat/>
    <w:uiPriority w:val="0"/>
    <w:pPr>
      <w:overflowPunct w:val="0"/>
      <w:jc w:val="center"/>
    </w:pPr>
    <w:rPr>
      <w:kern w:val="0"/>
      <w:szCs w:val="21"/>
    </w:rPr>
  </w:style>
  <w:style w:type="character" w:customStyle="1" w:styleId="2223">
    <w:name w:val="表内容5号 Char Char"/>
    <w:link w:val="2222"/>
    <w:qFormat/>
    <w:uiPriority w:val="0"/>
    <w:rPr>
      <w:rFonts w:ascii="Calibri" w:hAnsi="Calibri"/>
      <w:sz w:val="21"/>
      <w:szCs w:val="21"/>
    </w:rPr>
  </w:style>
  <w:style w:type="character" w:customStyle="1" w:styleId="2224">
    <w:name w:val="表内居中 Char"/>
    <w:link w:val="2221"/>
    <w:qFormat/>
    <w:uiPriority w:val="0"/>
    <w:rPr>
      <w:sz w:val="21"/>
      <w:szCs w:val="21"/>
    </w:rPr>
  </w:style>
  <w:style w:type="paragraph" w:customStyle="1" w:styleId="2225">
    <w:name w:val="龚正文"/>
    <w:basedOn w:val="1"/>
    <w:link w:val="2226"/>
    <w:qFormat/>
    <w:uiPriority w:val="0"/>
    <w:pPr>
      <w:overflowPunct w:val="0"/>
      <w:spacing w:line="360" w:lineRule="auto"/>
      <w:ind w:firstLine="480" w:firstLineChars="200"/>
    </w:pPr>
    <w:rPr>
      <w:rFonts w:hAnsi="宋体"/>
      <w:kern w:val="0"/>
      <w:sz w:val="24"/>
      <w:szCs w:val="20"/>
    </w:rPr>
  </w:style>
  <w:style w:type="character" w:customStyle="1" w:styleId="2226">
    <w:name w:val="龚正文 Char Char"/>
    <w:link w:val="2225"/>
    <w:qFormat/>
    <w:uiPriority w:val="0"/>
    <w:rPr>
      <w:rFonts w:ascii="Calibri" w:hAnsi="宋体"/>
      <w:sz w:val="24"/>
    </w:rPr>
  </w:style>
  <w:style w:type="paragraph" w:customStyle="1" w:styleId="2227">
    <w:name w:val="表题1"/>
    <w:basedOn w:val="1"/>
    <w:link w:val="2228"/>
    <w:qFormat/>
    <w:uiPriority w:val="0"/>
    <w:pPr>
      <w:tabs>
        <w:tab w:val="left" w:pos="2800"/>
        <w:tab w:val="left" w:pos="5700"/>
      </w:tabs>
      <w:overflowPunct w:val="0"/>
      <w:spacing w:beforeLines="50" w:line="360" w:lineRule="auto"/>
      <w:jc w:val="center"/>
    </w:pPr>
    <w:rPr>
      <w:b/>
      <w:kern w:val="0"/>
      <w:szCs w:val="21"/>
    </w:rPr>
  </w:style>
  <w:style w:type="character" w:customStyle="1" w:styleId="2228">
    <w:name w:val="表题1 Char Char"/>
    <w:link w:val="2227"/>
    <w:qFormat/>
    <w:uiPriority w:val="0"/>
    <w:rPr>
      <w:rFonts w:ascii="Calibri" w:hAnsi="Calibri"/>
      <w:b/>
      <w:sz w:val="21"/>
      <w:szCs w:val="21"/>
    </w:rPr>
  </w:style>
  <w:style w:type="paragraph" w:customStyle="1" w:styleId="2229">
    <w:name w:val="y正文"/>
    <w:qFormat/>
    <w:uiPriority w:val="0"/>
    <w:pPr>
      <w:spacing w:line="360" w:lineRule="auto"/>
      <w:ind w:firstLine="420" w:firstLineChars="200"/>
      <w:jc w:val="both"/>
    </w:pPr>
    <w:rPr>
      <w:rFonts w:ascii="Calibri" w:hAnsi="Calibri" w:eastAsia="宋体" w:cs="Calibri"/>
      <w:kern w:val="2"/>
      <w:sz w:val="21"/>
      <w:szCs w:val="21"/>
      <w:lang w:val="en-US" w:eastAsia="zh-CN" w:bidi="ar-SA"/>
    </w:rPr>
  </w:style>
  <w:style w:type="paragraph" w:customStyle="1" w:styleId="2230">
    <w:name w:val="样式 自动A +"/>
    <w:basedOn w:val="1"/>
    <w:link w:val="2231"/>
    <w:qFormat/>
    <w:uiPriority w:val="0"/>
    <w:pPr>
      <w:overflowPunct w:val="0"/>
      <w:spacing w:beforeLines="50" w:afterLines="50" w:line="360" w:lineRule="auto"/>
      <w:ind w:firstLine="480" w:firstLineChars="200"/>
    </w:pPr>
    <w:rPr>
      <w:color w:val="000000"/>
      <w:kern w:val="0"/>
      <w:sz w:val="24"/>
      <w:szCs w:val="20"/>
    </w:rPr>
  </w:style>
  <w:style w:type="character" w:customStyle="1" w:styleId="2231">
    <w:name w:val="样式 自动A + Char Char"/>
    <w:link w:val="2230"/>
    <w:qFormat/>
    <w:uiPriority w:val="0"/>
    <w:rPr>
      <w:rFonts w:ascii="Calibri" w:hAnsi="Calibri"/>
      <w:color w:val="000000"/>
      <w:sz w:val="24"/>
    </w:rPr>
  </w:style>
  <w:style w:type="paragraph" w:customStyle="1" w:styleId="2232">
    <w:name w:val="龚表名。"/>
    <w:basedOn w:val="1"/>
    <w:link w:val="2233"/>
    <w:qFormat/>
    <w:uiPriority w:val="0"/>
    <w:pPr>
      <w:overflowPunct w:val="0"/>
      <w:spacing w:line="360" w:lineRule="auto"/>
      <w:ind w:firstLine="200" w:firstLineChars="200"/>
      <w:jc w:val="center"/>
    </w:pPr>
    <w:rPr>
      <w:b/>
      <w:kern w:val="0"/>
      <w:szCs w:val="20"/>
    </w:rPr>
  </w:style>
  <w:style w:type="character" w:customStyle="1" w:styleId="2233">
    <w:name w:val="龚表名。 Char Char"/>
    <w:link w:val="2232"/>
    <w:qFormat/>
    <w:uiPriority w:val="0"/>
    <w:rPr>
      <w:rFonts w:ascii="Calibri" w:hAnsi="Calibri"/>
      <w:b/>
      <w:sz w:val="21"/>
    </w:rPr>
  </w:style>
  <w:style w:type="paragraph" w:customStyle="1" w:styleId="2234">
    <w:name w:val="正文（首行缩进）"/>
    <w:basedOn w:val="1"/>
    <w:link w:val="2235"/>
    <w:qFormat/>
    <w:uiPriority w:val="0"/>
    <w:pPr>
      <w:widowControl/>
      <w:overflowPunct w:val="0"/>
      <w:spacing w:line="360" w:lineRule="auto"/>
      <w:ind w:firstLine="200" w:firstLineChars="200"/>
      <w:jc w:val="left"/>
    </w:pPr>
    <w:rPr>
      <w:rFonts w:ascii="宋体" w:hAnsi="宋体"/>
      <w:color w:val="000000"/>
      <w:sz w:val="24"/>
      <w:szCs w:val="20"/>
    </w:rPr>
  </w:style>
  <w:style w:type="character" w:customStyle="1" w:styleId="2235">
    <w:name w:val="正文（首行缩进） Char1"/>
    <w:link w:val="2234"/>
    <w:qFormat/>
    <w:locked/>
    <w:uiPriority w:val="0"/>
    <w:rPr>
      <w:rFonts w:ascii="宋体" w:hAnsi="宋体" w:cs="Calibri"/>
      <w:snapToGrid/>
      <w:color w:val="000000"/>
      <w:kern w:val="2"/>
      <w:sz w:val="24"/>
    </w:rPr>
  </w:style>
  <w:style w:type="paragraph" w:customStyle="1" w:styleId="2236">
    <w:name w:val="样式 报告书正文 + 首行缩进:  2 字符"/>
    <w:basedOn w:val="1"/>
    <w:link w:val="2237"/>
    <w:qFormat/>
    <w:uiPriority w:val="0"/>
    <w:pPr>
      <w:tabs>
        <w:tab w:val="left" w:pos="6300"/>
      </w:tabs>
      <w:spacing w:line="360" w:lineRule="auto"/>
      <w:ind w:firstLine="482" w:firstLineChars="200"/>
    </w:pPr>
    <w:rPr>
      <w:color w:val="000000"/>
      <w:kern w:val="0"/>
      <w:sz w:val="24"/>
    </w:rPr>
  </w:style>
  <w:style w:type="character" w:customStyle="1" w:styleId="2237">
    <w:name w:val="样式 报告书正文 + 首行缩进:  2 字符 Char1"/>
    <w:link w:val="2236"/>
    <w:qFormat/>
    <w:uiPriority w:val="0"/>
    <w:rPr>
      <w:color w:val="000000"/>
      <w:sz w:val="24"/>
      <w:szCs w:val="24"/>
    </w:rPr>
  </w:style>
  <w:style w:type="paragraph" w:customStyle="1" w:styleId="2238">
    <w:name w:val="龚艺正文"/>
    <w:basedOn w:val="1"/>
    <w:link w:val="2239"/>
    <w:qFormat/>
    <w:uiPriority w:val="0"/>
    <w:pPr>
      <w:wordWrap w:val="0"/>
      <w:spacing w:line="360" w:lineRule="auto"/>
      <w:ind w:firstLine="480" w:firstLineChars="200"/>
      <w:jc w:val="left"/>
    </w:pPr>
    <w:rPr>
      <w:color w:val="000000"/>
      <w:kern w:val="0"/>
      <w:sz w:val="24"/>
      <w:szCs w:val="20"/>
    </w:rPr>
  </w:style>
  <w:style w:type="character" w:customStyle="1" w:styleId="2239">
    <w:name w:val="龚艺正文 Char"/>
    <w:link w:val="2238"/>
    <w:qFormat/>
    <w:uiPriority w:val="0"/>
    <w:rPr>
      <w:color w:val="000000"/>
      <w:sz w:val="24"/>
    </w:rPr>
  </w:style>
  <w:style w:type="paragraph" w:customStyle="1" w:styleId="2240">
    <w:name w:val="修订11"/>
    <w:unhideWhenUsed/>
    <w:qFormat/>
    <w:uiPriority w:val="99"/>
    <w:rPr>
      <w:rFonts w:ascii="Calibri" w:hAnsi="Calibri" w:eastAsia="宋体" w:cs="Calibri"/>
      <w:kern w:val="2"/>
      <w:sz w:val="24"/>
      <w:szCs w:val="24"/>
      <w:lang w:val="en-US" w:eastAsia="zh-CN" w:bidi="ar-SA"/>
    </w:rPr>
  </w:style>
  <w:style w:type="paragraph" w:customStyle="1" w:styleId="2241">
    <w:name w:val="龚艺标题4"/>
    <w:basedOn w:val="1"/>
    <w:link w:val="2242"/>
    <w:qFormat/>
    <w:uiPriority w:val="0"/>
    <w:pPr>
      <w:overflowPunct w:val="0"/>
      <w:spacing w:beforeLines="50" w:line="360" w:lineRule="auto"/>
      <w:ind w:firstLine="200" w:firstLineChars="200"/>
      <w:outlineLvl w:val="3"/>
    </w:pPr>
    <w:rPr>
      <w:rFonts w:hAnsi="宋体"/>
      <w:color w:val="000000"/>
      <w:kern w:val="0"/>
      <w:sz w:val="24"/>
      <w:szCs w:val="28"/>
    </w:rPr>
  </w:style>
  <w:style w:type="character" w:customStyle="1" w:styleId="2242">
    <w:name w:val="龚艺标题4 Char Char"/>
    <w:link w:val="2241"/>
    <w:qFormat/>
    <w:uiPriority w:val="0"/>
    <w:rPr>
      <w:rFonts w:ascii="Calibri" w:hAnsi="宋体"/>
      <w:color w:val="000000"/>
      <w:sz w:val="24"/>
      <w:szCs w:val="28"/>
    </w:rPr>
  </w:style>
  <w:style w:type="character" w:customStyle="1" w:styleId="2243">
    <w:name w:val="hongse381"/>
    <w:qFormat/>
    <w:uiPriority w:val="0"/>
    <w:rPr>
      <w:sz w:val="19"/>
      <w:szCs w:val="19"/>
    </w:rPr>
  </w:style>
  <w:style w:type="character" w:customStyle="1" w:styleId="2244">
    <w:name w:val="tt41"/>
    <w:qFormat/>
    <w:uiPriority w:val="0"/>
  </w:style>
  <w:style w:type="character" w:customStyle="1" w:styleId="2245">
    <w:name w:val="p141"/>
    <w:qFormat/>
    <w:uiPriority w:val="0"/>
    <w:rPr>
      <w:color w:val="000000"/>
      <w:sz w:val="21"/>
      <w:szCs w:val="21"/>
      <w:u w:val="none"/>
    </w:rPr>
  </w:style>
  <w:style w:type="character" w:customStyle="1" w:styleId="2246">
    <w:name w:val="duanluo2"/>
    <w:qFormat/>
    <w:uiPriority w:val="0"/>
    <w:rPr>
      <w:rFonts w:hint="default" w:ascii="_GB2312" w:hAnsi="_GB2312"/>
      <w:color w:val="000000"/>
      <w:spacing w:val="432"/>
      <w:sz w:val="21"/>
      <w:szCs w:val="21"/>
    </w:rPr>
  </w:style>
  <w:style w:type="character" w:customStyle="1" w:styleId="2247">
    <w:name w:val="11p1"/>
    <w:qFormat/>
    <w:uiPriority w:val="0"/>
    <w:rPr>
      <w:sz w:val="23"/>
      <w:szCs w:val="23"/>
    </w:rPr>
  </w:style>
  <w:style w:type="character" w:customStyle="1" w:styleId="2248">
    <w:name w:val="css1"/>
    <w:qFormat/>
    <w:uiPriority w:val="0"/>
    <w:rPr>
      <w:sz w:val="20"/>
      <w:szCs w:val="20"/>
      <w:u w:val="none"/>
    </w:rPr>
  </w:style>
  <w:style w:type="character" w:customStyle="1" w:styleId="2249">
    <w:name w:val="white"/>
    <w:qFormat/>
    <w:uiPriority w:val="0"/>
  </w:style>
  <w:style w:type="character" w:customStyle="1" w:styleId="2250">
    <w:name w:val="postbody1"/>
    <w:qFormat/>
    <w:uiPriority w:val="0"/>
    <w:rPr>
      <w:sz w:val="21"/>
      <w:szCs w:val="21"/>
    </w:rPr>
  </w:style>
  <w:style w:type="character" w:customStyle="1" w:styleId="2251">
    <w:name w:val="u150"/>
    <w:qFormat/>
    <w:uiPriority w:val="0"/>
  </w:style>
  <w:style w:type="character" w:customStyle="1" w:styleId="2252">
    <w:name w:val="titlefront1"/>
    <w:qFormat/>
    <w:uiPriority w:val="0"/>
    <w:rPr>
      <w:sz w:val="19"/>
      <w:szCs w:val="19"/>
    </w:rPr>
  </w:style>
  <w:style w:type="character" w:customStyle="1" w:styleId="2253">
    <w:name w:val="style441"/>
    <w:qFormat/>
    <w:uiPriority w:val="0"/>
    <w:rPr>
      <w:sz w:val="18"/>
      <w:szCs w:val="18"/>
    </w:rPr>
  </w:style>
  <w:style w:type="character" w:customStyle="1" w:styleId="2254">
    <w:name w:val="小标题样式"/>
    <w:qFormat/>
    <w:uiPriority w:val="0"/>
    <w:rPr>
      <w:rFonts w:ascii="Times New Roman" w:hAnsi="Times New Roman" w:eastAsia="宋体"/>
      <w:kern w:val="2"/>
      <w:sz w:val="28"/>
      <w:szCs w:val="28"/>
      <w:lang w:val="en-US" w:eastAsia="zh-CN" w:bidi="ar-SA"/>
    </w:rPr>
  </w:style>
  <w:style w:type="character" w:customStyle="1" w:styleId="2255">
    <w:name w:val="t1"/>
    <w:qFormat/>
    <w:uiPriority w:val="0"/>
    <w:rPr>
      <w:rFonts w:eastAsia="宋体" w:cs="宋体"/>
      <w:kern w:val="2"/>
      <w:sz w:val="22"/>
      <w:szCs w:val="22"/>
      <w:lang w:val="en-US" w:eastAsia="zh-CN" w:bidi="ar-SA"/>
    </w:rPr>
  </w:style>
  <w:style w:type="character" w:customStyle="1" w:styleId="2256">
    <w:name w:val="明显参考11"/>
    <w:qFormat/>
    <w:uiPriority w:val="32"/>
    <w:rPr>
      <w:b/>
      <w:bCs/>
      <w:smallCaps/>
      <w:color w:val="C0504D"/>
      <w:spacing w:val="5"/>
      <w:u w:val="single"/>
    </w:rPr>
  </w:style>
  <w:style w:type="character" w:customStyle="1" w:styleId="2257">
    <w:name w:val="报告 Char Char"/>
    <w:qFormat/>
    <w:uiPriority w:val="0"/>
    <w:rPr>
      <w:rFonts w:ascii="TimesNewRoman" w:hAnsi="TimesNewRoman" w:eastAsia="宋体" w:cs="Times New Roman"/>
      <w:kern w:val="0"/>
      <w:sz w:val="24"/>
      <w:szCs w:val="20"/>
    </w:rPr>
  </w:style>
  <w:style w:type="character" w:customStyle="1" w:styleId="2258">
    <w:name w:val="报告表正文 Char Char"/>
    <w:qFormat/>
    <w:uiPriority w:val="0"/>
    <w:rPr>
      <w:rFonts w:ascii="Times New Roman" w:hAnsi="Times New Roman" w:eastAsia="宋体" w:cs="Times New Roman"/>
      <w:kern w:val="0"/>
      <w:sz w:val="24"/>
      <w:szCs w:val="20"/>
    </w:rPr>
  </w:style>
  <w:style w:type="character" w:customStyle="1" w:styleId="2259">
    <w:name w:val="正文0 Char"/>
    <w:link w:val="2260"/>
    <w:qFormat/>
    <w:uiPriority w:val="0"/>
    <w:rPr>
      <w:rFonts w:hAnsi="宋体"/>
      <w:sz w:val="24"/>
      <w:szCs w:val="24"/>
    </w:rPr>
  </w:style>
  <w:style w:type="paragraph" w:customStyle="1" w:styleId="2260">
    <w:name w:val="正文0"/>
    <w:basedOn w:val="1"/>
    <w:next w:val="1"/>
    <w:link w:val="2259"/>
    <w:qFormat/>
    <w:uiPriority w:val="0"/>
    <w:pPr>
      <w:adjustRightInd w:val="0"/>
      <w:snapToGrid w:val="0"/>
      <w:spacing w:line="480" w:lineRule="exact"/>
      <w:ind w:firstLine="480" w:firstLineChars="200"/>
    </w:pPr>
    <w:rPr>
      <w:rFonts w:hAnsi="宋体"/>
      <w:kern w:val="0"/>
      <w:sz w:val="24"/>
    </w:rPr>
  </w:style>
  <w:style w:type="character" w:customStyle="1" w:styleId="2261">
    <w:name w:val="style391"/>
    <w:qFormat/>
    <w:uiPriority w:val="0"/>
    <w:rPr>
      <w:b/>
      <w:bCs/>
      <w:color w:val="287D3C"/>
      <w:sz w:val="21"/>
      <w:szCs w:val="21"/>
    </w:rPr>
  </w:style>
  <w:style w:type="character" w:customStyle="1" w:styleId="2262">
    <w:name w:val="style421"/>
    <w:qFormat/>
    <w:uiPriority w:val="0"/>
    <w:rPr>
      <w:color w:val="287D3C"/>
      <w:sz w:val="21"/>
      <w:szCs w:val="21"/>
    </w:rPr>
  </w:style>
  <w:style w:type="character" w:customStyle="1" w:styleId="2263">
    <w:name w:val="标题3l Char"/>
    <w:link w:val="2264"/>
    <w:qFormat/>
    <w:uiPriority w:val="0"/>
    <w:rPr>
      <w:b/>
      <w:color w:val="000000"/>
      <w:sz w:val="24"/>
    </w:rPr>
  </w:style>
  <w:style w:type="paragraph" w:customStyle="1" w:styleId="2264">
    <w:name w:val="标题3l"/>
    <w:basedOn w:val="1"/>
    <w:link w:val="2263"/>
    <w:qFormat/>
    <w:uiPriority w:val="0"/>
    <w:pPr>
      <w:adjustRightInd w:val="0"/>
      <w:snapToGrid w:val="0"/>
      <w:spacing w:line="360" w:lineRule="auto"/>
      <w:outlineLvl w:val="2"/>
    </w:pPr>
    <w:rPr>
      <w:b/>
      <w:color w:val="000000"/>
      <w:kern w:val="0"/>
      <w:sz w:val="24"/>
      <w:szCs w:val="20"/>
    </w:rPr>
  </w:style>
  <w:style w:type="character" w:customStyle="1" w:styleId="2265">
    <w:name w:val="p31"/>
    <w:qFormat/>
    <w:uiPriority w:val="0"/>
    <w:rPr>
      <w:rFonts w:hint="default"/>
      <w:spacing w:val="360"/>
      <w:sz w:val="18"/>
      <w:szCs w:val="18"/>
    </w:rPr>
  </w:style>
  <w:style w:type="character" w:customStyle="1" w:styleId="2266">
    <w:name w:val="【表中文字】 Char"/>
    <w:link w:val="2267"/>
    <w:qFormat/>
    <w:uiPriority w:val="0"/>
    <w:rPr>
      <w:rFonts w:ascii="Calibri" w:hAnsi="Calibri"/>
      <w:sz w:val="24"/>
    </w:rPr>
  </w:style>
  <w:style w:type="paragraph" w:customStyle="1" w:styleId="2267">
    <w:name w:val="【表中文字】"/>
    <w:basedOn w:val="1"/>
    <w:link w:val="2266"/>
    <w:qFormat/>
    <w:uiPriority w:val="0"/>
    <w:pPr>
      <w:spacing w:line="360" w:lineRule="auto"/>
      <w:ind w:firstLine="200" w:firstLineChars="200"/>
      <w:jc w:val="center"/>
    </w:pPr>
    <w:rPr>
      <w:kern w:val="0"/>
      <w:sz w:val="24"/>
      <w:szCs w:val="20"/>
    </w:rPr>
  </w:style>
  <w:style w:type="character" w:customStyle="1" w:styleId="2268">
    <w:name w:val="标题1l Char"/>
    <w:link w:val="2269"/>
    <w:qFormat/>
    <w:uiPriority w:val="0"/>
    <w:rPr>
      <w:b/>
      <w:color w:val="000000"/>
      <w:sz w:val="30"/>
      <w:szCs w:val="30"/>
    </w:rPr>
  </w:style>
  <w:style w:type="paragraph" w:customStyle="1" w:styleId="2269">
    <w:name w:val="标题1l"/>
    <w:basedOn w:val="1"/>
    <w:link w:val="2268"/>
    <w:qFormat/>
    <w:uiPriority w:val="0"/>
    <w:pPr>
      <w:spacing w:line="360" w:lineRule="auto"/>
      <w:jc w:val="left"/>
      <w:outlineLvl w:val="0"/>
    </w:pPr>
    <w:rPr>
      <w:b/>
      <w:color w:val="000000"/>
      <w:kern w:val="0"/>
      <w:sz w:val="30"/>
      <w:szCs w:val="30"/>
    </w:rPr>
  </w:style>
  <w:style w:type="character" w:customStyle="1" w:styleId="2270">
    <w:name w:val="样式44 Char"/>
    <w:link w:val="2271"/>
    <w:qFormat/>
    <w:uiPriority w:val="0"/>
    <w:rPr>
      <w:color w:val="000000"/>
      <w:sz w:val="24"/>
    </w:rPr>
  </w:style>
  <w:style w:type="paragraph" w:customStyle="1" w:styleId="2271">
    <w:name w:val="样式44"/>
    <w:basedOn w:val="1"/>
    <w:link w:val="2270"/>
    <w:qFormat/>
    <w:uiPriority w:val="0"/>
    <w:pPr>
      <w:spacing w:line="360" w:lineRule="auto"/>
      <w:ind w:firstLine="480" w:firstLineChars="200"/>
    </w:pPr>
    <w:rPr>
      <w:color w:val="000000"/>
      <w:kern w:val="0"/>
      <w:sz w:val="24"/>
      <w:szCs w:val="20"/>
    </w:rPr>
  </w:style>
  <w:style w:type="character" w:customStyle="1" w:styleId="2272">
    <w:name w:val="标题1lcc Char"/>
    <w:link w:val="2273"/>
    <w:qFormat/>
    <w:uiPriority w:val="0"/>
    <w:rPr>
      <w:b/>
      <w:bCs/>
      <w:kern w:val="44"/>
      <w:sz w:val="32"/>
      <w:szCs w:val="24"/>
    </w:rPr>
  </w:style>
  <w:style w:type="paragraph" w:customStyle="1" w:styleId="2273">
    <w:name w:val="标题1lcc"/>
    <w:basedOn w:val="5"/>
    <w:link w:val="2272"/>
    <w:qFormat/>
    <w:uiPriority w:val="0"/>
    <w:pPr>
      <w:keepLines/>
      <w:overflowPunct/>
      <w:snapToGrid/>
      <w:spacing w:before="0" w:beforeLines="10" w:after="0" w:afterLines="10" w:line="578" w:lineRule="auto"/>
      <w:ind w:left="0" w:firstLine="200" w:firstLineChars="200"/>
    </w:pPr>
    <w:rPr>
      <w:rFonts w:eastAsia="宋体"/>
      <w:color w:val="auto"/>
      <w:sz w:val="32"/>
      <w:szCs w:val="24"/>
    </w:rPr>
  </w:style>
  <w:style w:type="paragraph" w:customStyle="1" w:styleId="2274">
    <w:name w:val="style44"/>
    <w:basedOn w:val="1"/>
    <w:qFormat/>
    <w:uiPriority w:val="0"/>
    <w:pPr>
      <w:widowControl/>
      <w:spacing w:beforeAutospacing="1" w:afterAutospacing="1"/>
      <w:jc w:val="left"/>
    </w:pPr>
    <w:rPr>
      <w:rFonts w:ascii="宋体" w:hAnsi="宋体" w:cs="宋体"/>
      <w:kern w:val="0"/>
      <w:sz w:val="18"/>
      <w:szCs w:val="18"/>
    </w:rPr>
  </w:style>
  <w:style w:type="paragraph" w:customStyle="1" w:styleId="2275">
    <w:name w:val="Char23"/>
    <w:basedOn w:val="1"/>
    <w:qFormat/>
    <w:uiPriority w:val="0"/>
    <w:rPr>
      <w:szCs w:val="20"/>
    </w:rPr>
  </w:style>
  <w:style w:type="paragraph" w:customStyle="1" w:styleId="2276">
    <w:name w:val="1 Char Char Char Char Char Char Char Char Char Char Char Char Char"/>
    <w:basedOn w:val="1"/>
    <w:semiHidden/>
    <w:qFormat/>
    <w:uiPriority w:val="0"/>
  </w:style>
  <w:style w:type="paragraph" w:customStyle="1" w:styleId="2277">
    <w:name w:val="p16"/>
    <w:basedOn w:val="1"/>
    <w:qFormat/>
    <w:uiPriority w:val="0"/>
    <w:pPr>
      <w:widowControl/>
    </w:pPr>
    <w:rPr>
      <w:kern w:val="0"/>
      <w:szCs w:val="21"/>
    </w:rPr>
  </w:style>
  <w:style w:type="paragraph" w:customStyle="1" w:styleId="2278">
    <w:name w:val="正文样式1"/>
    <w:basedOn w:val="1"/>
    <w:qFormat/>
    <w:uiPriority w:val="0"/>
    <w:pPr>
      <w:adjustRightInd w:val="0"/>
      <w:spacing w:beforeLines="10" w:afterLines="10" w:line="264" w:lineRule="auto"/>
      <w:ind w:firstLine="454"/>
      <w:textAlignment w:val="baseline"/>
    </w:pPr>
    <w:rPr>
      <w:kern w:val="0"/>
      <w:position w:val="-12"/>
      <w:sz w:val="24"/>
      <w:szCs w:val="20"/>
    </w:rPr>
  </w:style>
  <w:style w:type="table" w:customStyle="1" w:styleId="2279">
    <w:name w:val="AAA"/>
    <w:basedOn w:val="82"/>
    <w:qFormat/>
    <w:uiPriority w:val="0"/>
  </w:style>
  <w:style w:type="paragraph" w:customStyle="1" w:styleId="2280">
    <w:name w:val="三级标题0"/>
    <w:basedOn w:val="7"/>
    <w:next w:val="1"/>
    <w:link w:val="2281"/>
    <w:qFormat/>
    <w:uiPriority w:val="0"/>
    <w:pPr>
      <w:widowControl w:val="0"/>
      <w:adjustRightInd/>
      <w:snapToGrid/>
      <w:spacing w:before="120" w:beforeLines="10" w:after="120" w:afterLines="10"/>
      <w:ind w:left="720" w:hanging="432" w:firstLineChars="200"/>
      <w:jc w:val="both"/>
    </w:pPr>
    <w:rPr>
      <w:rFonts w:ascii="Times New Roman" w:hAnsi="Times New Roman"/>
      <w:lang w:val="en-US"/>
    </w:rPr>
  </w:style>
  <w:style w:type="character" w:customStyle="1" w:styleId="2281">
    <w:name w:val="三级标题0 Char"/>
    <w:link w:val="2280"/>
    <w:qFormat/>
    <w:uiPriority w:val="0"/>
    <w:rPr>
      <w:b/>
      <w:bCs/>
      <w:kern w:val="2"/>
      <w:sz w:val="32"/>
      <w:szCs w:val="32"/>
    </w:rPr>
  </w:style>
  <w:style w:type="paragraph" w:customStyle="1" w:styleId="2282">
    <w:name w:val="11表名"/>
    <w:basedOn w:val="72"/>
    <w:qFormat/>
    <w:uiPriority w:val="0"/>
    <w:pPr>
      <w:adjustRightInd w:val="0"/>
      <w:ind w:left="0" w:leftChars="0" w:firstLine="0" w:firstLineChars="0"/>
      <w:jc w:val="center"/>
      <w:textAlignment w:val="baseline"/>
    </w:pPr>
    <w:rPr>
      <w:b/>
      <w:kern w:val="0"/>
    </w:rPr>
  </w:style>
  <w:style w:type="paragraph" w:customStyle="1" w:styleId="2283">
    <w:name w:val="11表内字"/>
    <w:basedOn w:val="1"/>
    <w:qFormat/>
    <w:uiPriority w:val="0"/>
    <w:pPr>
      <w:autoSpaceDE w:val="0"/>
      <w:autoSpaceDN w:val="0"/>
      <w:jc w:val="center"/>
    </w:pPr>
    <w:rPr>
      <w:szCs w:val="20"/>
    </w:rPr>
  </w:style>
  <w:style w:type="paragraph" w:customStyle="1" w:styleId="2284">
    <w:name w:val="表名、图名"/>
    <w:basedOn w:val="1"/>
    <w:qFormat/>
    <w:uiPriority w:val="0"/>
    <w:pPr>
      <w:jc w:val="center"/>
    </w:pPr>
    <w:rPr>
      <w:b/>
      <w:bCs/>
      <w:szCs w:val="18"/>
    </w:rPr>
  </w:style>
  <w:style w:type="paragraph" w:customStyle="1" w:styleId="2285">
    <w:name w:val="龚4级标题"/>
    <w:basedOn w:val="1"/>
    <w:link w:val="2286"/>
    <w:qFormat/>
    <w:uiPriority w:val="0"/>
    <w:pPr>
      <w:spacing w:beforeLines="50" w:line="360" w:lineRule="auto"/>
      <w:outlineLvl w:val="3"/>
    </w:pPr>
    <w:rPr>
      <w:b/>
      <w:kern w:val="0"/>
      <w:sz w:val="24"/>
    </w:rPr>
  </w:style>
  <w:style w:type="character" w:customStyle="1" w:styleId="2286">
    <w:name w:val="龚4级标题 Char"/>
    <w:link w:val="2285"/>
    <w:qFormat/>
    <w:locked/>
    <w:uiPriority w:val="0"/>
    <w:rPr>
      <w:b/>
      <w:sz w:val="24"/>
      <w:szCs w:val="24"/>
    </w:rPr>
  </w:style>
  <w:style w:type="paragraph" w:customStyle="1" w:styleId="2287">
    <w:name w:val="正文l"/>
    <w:basedOn w:val="1"/>
    <w:link w:val="2288"/>
    <w:qFormat/>
    <w:uiPriority w:val="0"/>
    <w:pPr>
      <w:autoSpaceDE w:val="0"/>
      <w:autoSpaceDN w:val="0"/>
      <w:adjustRightInd w:val="0"/>
      <w:spacing w:line="360" w:lineRule="auto"/>
      <w:ind w:firstLine="200" w:firstLineChars="200"/>
    </w:pPr>
    <w:rPr>
      <w:rFonts w:eastAsia="Times New Roman"/>
      <w:kern w:val="0"/>
      <w:sz w:val="24"/>
    </w:rPr>
  </w:style>
  <w:style w:type="character" w:customStyle="1" w:styleId="2288">
    <w:name w:val="正文l Char"/>
    <w:link w:val="2287"/>
    <w:qFormat/>
    <w:uiPriority w:val="0"/>
    <w:rPr>
      <w:rFonts w:eastAsia="Times New Roman"/>
      <w:sz w:val="24"/>
      <w:szCs w:val="24"/>
    </w:rPr>
  </w:style>
  <w:style w:type="paragraph" w:customStyle="1" w:styleId="2289">
    <w:name w:val="小四+首行缩进"/>
    <w:basedOn w:val="1"/>
    <w:link w:val="2290"/>
    <w:qFormat/>
    <w:uiPriority w:val="0"/>
    <w:pPr>
      <w:spacing w:line="360" w:lineRule="auto"/>
      <w:ind w:firstLine="482"/>
    </w:pPr>
    <w:rPr>
      <w:rFonts w:ascii="宋体" w:hAnsi="宋体"/>
      <w:kern w:val="0"/>
      <w:sz w:val="24"/>
      <w:szCs w:val="20"/>
    </w:rPr>
  </w:style>
  <w:style w:type="character" w:customStyle="1" w:styleId="2290">
    <w:name w:val="小四+首行缩进 Char2"/>
    <w:link w:val="2289"/>
    <w:qFormat/>
    <w:uiPriority w:val="0"/>
    <w:rPr>
      <w:rFonts w:ascii="宋体" w:hAnsi="宋体"/>
      <w:sz w:val="24"/>
    </w:rPr>
  </w:style>
  <w:style w:type="character" w:customStyle="1" w:styleId="2291">
    <w:name w:val="MTEquationSection"/>
    <w:qFormat/>
    <w:uiPriority w:val="0"/>
    <w:rPr>
      <w:rFonts w:ascii="Tahoma" w:hAnsi="Tahoma" w:eastAsia="微软雅黑"/>
      <w:b/>
      <w:vanish/>
      <w:color w:val="FF0000"/>
      <w:kern w:val="0"/>
      <w:sz w:val="22"/>
      <w:szCs w:val="24"/>
    </w:rPr>
  </w:style>
  <w:style w:type="paragraph" w:customStyle="1" w:styleId="2292">
    <w:name w:val="xl103"/>
    <w:basedOn w:val="1"/>
    <w:qFormat/>
    <w:uiPriority w:val="0"/>
    <w:pPr>
      <w:widowControl/>
      <w:pBdr>
        <w:left w:val="single" w:color="auto" w:sz="4" w:space="0"/>
        <w:bottom w:val="single" w:color="auto" w:sz="4" w:space="0"/>
        <w:right w:val="single" w:color="auto" w:sz="4" w:space="0"/>
      </w:pBdr>
      <w:spacing w:beforeAutospacing="1" w:afterAutospacing="1"/>
      <w:jc w:val="left"/>
    </w:pPr>
    <w:rPr>
      <w:rFonts w:ascii="宋体" w:hAnsi="宋体" w:cs="宋体"/>
      <w:kern w:val="0"/>
      <w:sz w:val="22"/>
      <w:szCs w:val="22"/>
    </w:rPr>
  </w:style>
  <w:style w:type="paragraph" w:customStyle="1" w:styleId="2293">
    <w:name w:val="xl104"/>
    <w:basedOn w:val="1"/>
    <w:qFormat/>
    <w:uiPriority w:val="0"/>
    <w:pPr>
      <w:widowControl/>
      <w:pBdr>
        <w:left w:val="single" w:color="auto" w:sz="4" w:space="0"/>
        <w:bottom w:val="single" w:color="auto" w:sz="4" w:space="0"/>
        <w:right w:val="single" w:color="auto" w:sz="4" w:space="0"/>
      </w:pBdr>
      <w:spacing w:beforeAutospacing="1" w:afterAutospacing="1"/>
      <w:jc w:val="left"/>
    </w:pPr>
    <w:rPr>
      <w:kern w:val="0"/>
      <w:sz w:val="22"/>
      <w:szCs w:val="22"/>
    </w:rPr>
  </w:style>
  <w:style w:type="paragraph" w:customStyle="1" w:styleId="2294">
    <w:name w:val="xl105"/>
    <w:basedOn w:val="1"/>
    <w:qFormat/>
    <w:uiPriority w:val="0"/>
    <w:pPr>
      <w:widowControl/>
      <w:pBdr>
        <w:top w:val="single" w:color="auto" w:sz="4" w:space="0"/>
        <w:bottom w:val="single" w:color="auto" w:sz="4" w:space="0"/>
      </w:pBdr>
      <w:spacing w:beforeAutospacing="1" w:afterAutospacing="1"/>
      <w:jc w:val="left"/>
    </w:pPr>
    <w:rPr>
      <w:rFonts w:ascii="宋体" w:hAnsi="宋体" w:cs="宋体"/>
      <w:kern w:val="0"/>
      <w:sz w:val="22"/>
      <w:szCs w:val="22"/>
    </w:rPr>
  </w:style>
  <w:style w:type="paragraph" w:customStyle="1" w:styleId="2295">
    <w:name w:val="xl106"/>
    <w:basedOn w:val="1"/>
    <w:qFormat/>
    <w:uiPriority w:val="0"/>
    <w:pPr>
      <w:widowControl/>
      <w:pBdr>
        <w:left w:val="single" w:color="auto" w:sz="8" w:space="0"/>
        <w:bottom w:val="single" w:color="auto" w:sz="4" w:space="0"/>
        <w:right w:val="single" w:color="auto" w:sz="4" w:space="0"/>
      </w:pBdr>
      <w:spacing w:beforeAutospacing="1" w:afterAutospacing="1"/>
      <w:jc w:val="left"/>
    </w:pPr>
    <w:rPr>
      <w:rFonts w:ascii="宋体" w:hAnsi="宋体" w:cs="宋体"/>
      <w:kern w:val="0"/>
      <w:sz w:val="22"/>
      <w:szCs w:val="22"/>
    </w:rPr>
  </w:style>
  <w:style w:type="paragraph" w:customStyle="1" w:styleId="2296">
    <w:name w:val="xl107"/>
    <w:basedOn w:val="1"/>
    <w:qFormat/>
    <w:uiPriority w:val="0"/>
    <w:pPr>
      <w:widowControl/>
      <w:pBdr>
        <w:left w:val="single" w:color="auto" w:sz="4" w:space="0"/>
      </w:pBdr>
      <w:spacing w:beforeAutospacing="1" w:afterAutospacing="1"/>
      <w:jc w:val="left"/>
    </w:pPr>
    <w:rPr>
      <w:rFonts w:ascii="宋体" w:hAnsi="宋体" w:cs="宋体"/>
      <w:kern w:val="0"/>
      <w:sz w:val="22"/>
      <w:szCs w:val="22"/>
    </w:rPr>
  </w:style>
  <w:style w:type="paragraph" w:customStyle="1" w:styleId="2297">
    <w:name w:val="xl108"/>
    <w:basedOn w:val="1"/>
    <w:qFormat/>
    <w:uiPriority w:val="0"/>
    <w:pPr>
      <w:widowControl/>
      <w:pBdr>
        <w:top w:val="single" w:color="auto" w:sz="4" w:space="0"/>
        <w:bottom w:val="single" w:color="auto" w:sz="4" w:space="0"/>
        <w:right w:val="single" w:color="auto" w:sz="4" w:space="0"/>
      </w:pBdr>
      <w:spacing w:beforeAutospacing="1" w:afterAutospacing="1"/>
      <w:jc w:val="left"/>
    </w:pPr>
    <w:rPr>
      <w:rFonts w:ascii="宋体" w:hAnsi="宋体" w:cs="宋体"/>
      <w:kern w:val="0"/>
      <w:sz w:val="22"/>
      <w:szCs w:val="22"/>
    </w:rPr>
  </w:style>
  <w:style w:type="paragraph" w:customStyle="1" w:styleId="2298">
    <w:name w:val="xl109"/>
    <w:basedOn w:val="1"/>
    <w:qFormat/>
    <w:uiPriority w:val="0"/>
    <w:pPr>
      <w:widowControl/>
      <w:pBdr>
        <w:left w:val="single" w:color="auto" w:sz="8" w:space="0"/>
        <w:right w:val="single" w:color="auto" w:sz="4" w:space="0"/>
      </w:pBdr>
      <w:spacing w:beforeAutospacing="1" w:afterAutospacing="1"/>
      <w:jc w:val="left"/>
    </w:pPr>
    <w:rPr>
      <w:kern w:val="0"/>
      <w:sz w:val="22"/>
      <w:szCs w:val="22"/>
    </w:rPr>
  </w:style>
  <w:style w:type="paragraph" w:customStyle="1" w:styleId="2299">
    <w:name w:val="xl110"/>
    <w:basedOn w:val="1"/>
    <w:qFormat/>
    <w:uiPriority w:val="0"/>
    <w:pPr>
      <w:widowControl/>
      <w:pBdr>
        <w:top w:val="single" w:color="auto" w:sz="4" w:space="0"/>
        <w:left w:val="single" w:color="auto" w:sz="4" w:space="0"/>
        <w:right w:val="single" w:color="auto" w:sz="4" w:space="0"/>
      </w:pBdr>
      <w:spacing w:beforeAutospacing="1" w:afterAutospacing="1"/>
      <w:jc w:val="left"/>
    </w:pPr>
    <w:rPr>
      <w:rFonts w:ascii="宋体" w:hAnsi="宋体" w:cs="宋体"/>
      <w:kern w:val="0"/>
      <w:sz w:val="22"/>
      <w:szCs w:val="22"/>
    </w:rPr>
  </w:style>
  <w:style w:type="paragraph" w:customStyle="1" w:styleId="2300">
    <w:name w:val="xl111"/>
    <w:basedOn w:val="1"/>
    <w:qFormat/>
    <w:uiPriority w:val="0"/>
    <w:pPr>
      <w:widowControl/>
      <w:pBdr>
        <w:right w:val="single" w:color="auto" w:sz="4" w:space="0"/>
      </w:pBdr>
      <w:spacing w:beforeAutospacing="1" w:afterAutospacing="1"/>
      <w:jc w:val="left"/>
    </w:pPr>
    <w:rPr>
      <w:kern w:val="0"/>
      <w:sz w:val="22"/>
      <w:szCs w:val="22"/>
    </w:rPr>
  </w:style>
  <w:style w:type="paragraph" w:customStyle="1" w:styleId="2301">
    <w:name w:val="xl112"/>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kern w:val="0"/>
      <w:sz w:val="22"/>
      <w:szCs w:val="22"/>
    </w:rPr>
  </w:style>
  <w:style w:type="paragraph" w:customStyle="1" w:styleId="2302">
    <w:name w:val="xl113"/>
    <w:basedOn w:val="1"/>
    <w:qFormat/>
    <w:uiPriority w:val="0"/>
    <w:pPr>
      <w:widowControl/>
      <w:pBdr>
        <w:top w:val="single" w:color="auto" w:sz="4" w:space="0"/>
      </w:pBdr>
      <w:spacing w:beforeAutospacing="1" w:afterAutospacing="1"/>
      <w:jc w:val="left"/>
    </w:pPr>
    <w:rPr>
      <w:rFonts w:ascii="宋体" w:hAnsi="宋体" w:cs="宋体"/>
      <w:kern w:val="0"/>
      <w:sz w:val="22"/>
      <w:szCs w:val="22"/>
    </w:rPr>
  </w:style>
  <w:style w:type="paragraph" w:customStyle="1" w:styleId="2303">
    <w:name w:val="xl114"/>
    <w:basedOn w:val="1"/>
    <w:qFormat/>
    <w:uiPriority w:val="0"/>
    <w:pPr>
      <w:widowControl/>
      <w:pBdr>
        <w:top w:val="single" w:color="auto" w:sz="4" w:space="0"/>
        <w:bottom w:val="single" w:color="auto" w:sz="4" w:space="0"/>
        <w:right w:val="single" w:color="auto" w:sz="4" w:space="0"/>
      </w:pBdr>
      <w:spacing w:beforeAutospacing="1" w:afterAutospacing="1"/>
      <w:jc w:val="left"/>
    </w:pPr>
    <w:rPr>
      <w:b/>
      <w:bCs/>
      <w:kern w:val="0"/>
      <w:sz w:val="22"/>
      <w:szCs w:val="22"/>
    </w:rPr>
  </w:style>
  <w:style w:type="paragraph" w:customStyle="1" w:styleId="2304">
    <w:name w:val="xl115"/>
    <w:basedOn w:val="1"/>
    <w:qFormat/>
    <w:uiPriority w:val="0"/>
    <w:pPr>
      <w:widowControl/>
      <w:pBdr>
        <w:left w:val="single" w:color="auto" w:sz="4" w:space="0"/>
      </w:pBdr>
      <w:spacing w:beforeAutospacing="1" w:afterAutospacing="1"/>
      <w:jc w:val="left"/>
    </w:pPr>
    <w:rPr>
      <w:rFonts w:ascii="宋体" w:hAnsi="宋体" w:cs="宋体"/>
      <w:b/>
      <w:bCs/>
      <w:kern w:val="0"/>
      <w:sz w:val="22"/>
      <w:szCs w:val="22"/>
    </w:rPr>
  </w:style>
  <w:style w:type="paragraph" w:customStyle="1" w:styleId="2305">
    <w:name w:val="xl116"/>
    <w:basedOn w:val="1"/>
    <w:qFormat/>
    <w:uiPriority w:val="0"/>
    <w:pPr>
      <w:widowControl/>
      <w:pBdr>
        <w:right w:val="single" w:color="auto" w:sz="4" w:space="0"/>
      </w:pBdr>
      <w:spacing w:beforeAutospacing="1" w:afterAutospacing="1"/>
      <w:jc w:val="left"/>
    </w:pPr>
    <w:rPr>
      <w:b/>
      <w:bCs/>
      <w:kern w:val="0"/>
      <w:sz w:val="22"/>
      <w:szCs w:val="22"/>
    </w:rPr>
  </w:style>
  <w:style w:type="paragraph" w:customStyle="1" w:styleId="2306">
    <w:name w:val="xl117"/>
    <w:basedOn w:val="1"/>
    <w:qFormat/>
    <w:uiPriority w:val="0"/>
    <w:pPr>
      <w:widowControl/>
      <w:pBdr>
        <w:top w:val="single" w:color="auto" w:sz="4" w:space="0"/>
        <w:bottom w:val="single" w:color="auto" w:sz="4" w:space="0"/>
        <w:right w:val="single" w:color="auto" w:sz="4" w:space="0"/>
      </w:pBdr>
      <w:spacing w:beforeAutospacing="1" w:afterAutospacing="1"/>
      <w:jc w:val="left"/>
    </w:pPr>
    <w:rPr>
      <w:rFonts w:ascii="宋体" w:hAnsi="宋体" w:cs="宋体"/>
      <w:b/>
      <w:bCs/>
      <w:kern w:val="0"/>
      <w:sz w:val="22"/>
      <w:szCs w:val="22"/>
    </w:rPr>
  </w:style>
  <w:style w:type="paragraph" w:customStyle="1" w:styleId="2307">
    <w:name w:val="xl118"/>
    <w:basedOn w:val="1"/>
    <w:qFormat/>
    <w:uiPriority w:val="0"/>
    <w:pPr>
      <w:widowControl/>
      <w:pBdr>
        <w:bottom w:val="single" w:color="auto" w:sz="4" w:space="0"/>
      </w:pBdr>
      <w:spacing w:beforeAutospacing="1" w:afterAutospacing="1"/>
      <w:jc w:val="left"/>
    </w:pPr>
    <w:rPr>
      <w:rFonts w:ascii="宋体" w:hAnsi="宋体" w:cs="宋体"/>
      <w:b/>
      <w:bCs/>
      <w:kern w:val="0"/>
      <w:sz w:val="22"/>
      <w:szCs w:val="22"/>
    </w:rPr>
  </w:style>
  <w:style w:type="paragraph" w:customStyle="1" w:styleId="2308">
    <w:name w:val="xl119"/>
    <w:basedOn w:val="1"/>
    <w:qFormat/>
    <w:uiPriority w:val="0"/>
    <w:pPr>
      <w:widowControl/>
      <w:pBdr>
        <w:left w:val="single" w:color="auto" w:sz="4" w:space="0"/>
        <w:bottom w:val="single" w:color="auto" w:sz="4" w:space="0"/>
      </w:pBdr>
      <w:spacing w:beforeAutospacing="1" w:afterAutospacing="1"/>
      <w:jc w:val="left"/>
    </w:pPr>
    <w:rPr>
      <w:rFonts w:ascii="宋体" w:hAnsi="宋体" w:cs="宋体"/>
      <w:kern w:val="0"/>
      <w:sz w:val="22"/>
      <w:szCs w:val="22"/>
    </w:rPr>
  </w:style>
  <w:style w:type="paragraph" w:customStyle="1" w:styleId="2309">
    <w:name w:val="xl120"/>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color w:val="333333"/>
      <w:kern w:val="0"/>
      <w:sz w:val="22"/>
      <w:szCs w:val="22"/>
    </w:rPr>
  </w:style>
  <w:style w:type="paragraph" w:customStyle="1" w:styleId="2310">
    <w:name w:val="表内l"/>
    <w:basedOn w:val="1"/>
    <w:link w:val="2311"/>
    <w:qFormat/>
    <w:uiPriority w:val="0"/>
    <w:pPr>
      <w:jc w:val="center"/>
    </w:pPr>
    <w:rPr>
      <w:bCs/>
      <w:szCs w:val="21"/>
    </w:rPr>
  </w:style>
  <w:style w:type="character" w:customStyle="1" w:styleId="2311">
    <w:name w:val="表内l Char"/>
    <w:link w:val="2310"/>
    <w:qFormat/>
    <w:uiPriority w:val="0"/>
    <w:rPr>
      <w:bCs/>
      <w:kern w:val="2"/>
      <w:sz w:val="21"/>
      <w:szCs w:val="21"/>
    </w:rPr>
  </w:style>
  <w:style w:type="paragraph" w:customStyle="1" w:styleId="2312">
    <w:name w:val="biao 2"/>
    <w:basedOn w:val="1"/>
    <w:link w:val="2313"/>
    <w:qFormat/>
    <w:uiPriority w:val="0"/>
    <w:pPr>
      <w:keepNext/>
      <w:keepLines/>
      <w:adjustRightInd w:val="0"/>
      <w:snapToGrid w:val="0"/>
      <w:spacing w:line="360" w:lineRule="auto"/>
      <w:outlineLvl w:val="1"/>
    </w:pPr>
    <w:rPr>
      <w:b/>
      <w:bCs/>
      <w:color w:val="000000"/>
      <w:sz w:val="28"/>
      <w:szCs w:val="28"/>
      <w:lang w:val="zh-CN"/>
    </w:rPr>
  </w:style>
  <w:style w:type="character" w:customStyle="1" w:styleId="2313">
    <w:name w:val="biao 2 Char"/>
    <w:link w:val="2312"/>
    <w:qFormat/>
    <w:uiPriority w:val="0"/>
    <w:rPr>
      <w:b/>
      <w:bCs/>
      <w:color w:val="000000"/>
      <w:kern w:val="2"/>
      <w:sz w:val="28"/>
      <w:szCs w:val="28"/>
      <w:lang w:val="zh-CN"/>
    </w:rPr>
  </w:style>
  <w:style w:type="character" w:customStyle="1" w:styleId="2314">
    <w:name w:val="图表内容 Char"/>
    <w:link w:val="2315"/>
    <w:qFormat/>
    <w:uiPriority w:val="0"/>
    <w:rPr>
      <w:rFonts w:eastAsia="仿宋_GB2312"/>
    </w:rPr>
  </w:style>
  <w:style w:type="paragraph" w:customStyle="1" w:styleId="2315">
    <w:name w:val="图表内容"/>
    <w:basedOn w:val="1"/>
    <w:link w:val="2314"/>
    <w:qFormat/>
    <w:uiPriority w:val="0"/>
    <w:pPr>
      <w:adjustRightInd w:val="0"/>
      <w:snapToGrid w:val="0"/>
      <w:jc w:val="center"/>
    </w:pPr>
    <w:rPr>
      <w:rFonts w:eastAsia="仿宋_GB2312"/>
      <w:kern w:val="0"/>
      <w:sz w:val="20"/>
      <w:szCs w:val="20"/>
    </w:rPr>
  </w:style>
  <w:style w:type="character" w:customStyle="1" w:styleId="2316">
    <w:name w:val="样式 (西文) 仿宋_GB2312 (中文) 仿宋_GB2312 Char"/>
    <w:link w:val="2317"/>
    <w:qFormat/>
    <w:uiPriority w:val="0"/>
    <w:rPr>
      <w:rFonts w:ascii="仿宋_GB2312" w:eastAsia="仿宋_GB2312"/>
      <w:sz w:val="28"/>
      <w:szCs w:val="30"/>
    </w:rPr>
  </w:style>
  <w:style w:type="paragraph" w:customStyle="1" w:styleId="2317">
    <w:name w:val="样式 (西文) 仿宋_GB2312 (中文) 仿宋_GB2312"/>
    <w:basedOn w:val="1"/>
    <w:link w:val="2316"/>
    <w:qFormat/>
    <w:uiPriority w:val="0"/>
    <w:pPr>
      <w:adjustRightInd w:val="0"/>
      <w:snapToGrid w:val="0"/>
      <w:spacing w:afterLines="100" w:line="300" w:lineRule="auto"/>
      <w:ind w:firstLine="200" w:firstLineChars="200"/>
      <w:contextualSpacing/>
    </w:pPr>
    <w:rPr>
      <w:rFonts w:ascii="仿宋_GB2312" w:eastAsia="仿宋_GB2312"/>
      <w:kern w:val="0"/>
      <w:sz w:val="28"/>
      <w:szCs w:val="30"/>
    </w:rPr>
  </w:style>
  <w:style w:type="character" w:customStyle="1" w:styleId="2318">
    <w:name w:val="ask-title"/>
    <w:qFormat/>
    <w:uiPriority w:val="0"/>
  </w:style>
  <w:style w:type="character" w:customStyle="1" w:styleId="2319">
    <w:name w:val="表注 Char"/>
    <w:link w:val="2320"/>
    <w:qFormat/>
    <w:uiPriority w:val="0"/>
    <w:rPr>
      <w:rFonts w:eastAsia="仿宋"/>
      <w:color w:val="000000"/>
      <w:kern w:val="16"/>
      <w:sz w:val="16"/>
      <w:szCs w:val="16"/>
    </w:rPr>
  </w:style>
  <w:style w:type="paragraph" w:customStyle="1" w:styleId="2320">
    <w:name w:val="表注"/>
    <w:link w:val="2319"/>
    <w:qFormat/>
    <w:uiPriority w:val="0"/>
    <w:pPr>
      <w:widowControl w:val="0"/>
      <w:topLinePunct/>
      <w:adjustRightInd w:val="0"/>
      <w:spacing w:line="240" w:lineRule="exact"/>
      <w:jc w:val="both"/>
    </w:pPr>
    <w:rPr>
      <w:rFonts w:ascii="Calibri" w:hAnsi="Calibri" w:eastAsia="仿宋" w:cs="Calibri"/>
      <w:color w:val="000000"/>
      <w:kern w:val="16"/>
      <w:sz w:val="16"/>
      <w:szCs w:val="16"/>
      <w:lang w:val="en-US" w:eastAsia="zh-CN" w:bidi="ar-SA"/>
    </w:rPr>
  </w:style>
  <w:style w:type="paragraph" w:customStyle="1" w:styleId="2321">
    <w:name w:val="zhang"/>
    <w:basedOn w:val="1"/>
    <w:qFormat/>
    <w:uiPriority w:val="99"/>
    <w:pPr>
      <w:widowControl/>
      <w:spacing w:beforeAutospacing="1" w:afterAutospacing="1"/>
      <w:jc w:val="left"/>
    </w:pPr>
    <w:rPr>
      <w:rFonts w:ascii="宋体" w:hAnsi="宋体" w:cs="宋体"/>
      <w:color w:val="000000"/>
      <w:kern w:val="0"/>
      <w:sz w:val="24"/>
    </w:rPr>
  </w:style>
  <w:style w:type="paragraph" w:customStyle="1" w:styleId="2322">
    <w:name w:val="S-正文"/>
    <w:basedOn w:val="1"/>
    <w:qFormat/>
    <w:uiPriority w:val="0"/>
    <w:pPr>
      <w:widowControl/>
      <w:spacing w:line="360" w:lineRule="auto"/>
      <w:ind w:firstLine="200" w:firstLineChars="200"/>
      <w:jc w:val="left"/>
    </w:pPr>
    <w:rPr>
      <w:rFonts w:ascii="仿宋_GB2312" w:eastAsia="仿宋_GB2312" w:cs="仿宋_GB2312"/>
      <w:sz w:val="28"/>
    </w:rPr>
  </w:style>
  <w:style w:type="paragraph" w:customStyle="1" w:styleId="2323">
    <w:name w:val="CM7"/>
    <w:basedOn w:val="1"/>
    <w:next w:val="1"/>
    <w:qFormat/>
    <w:uiPriority w:val="99"/>
    <w:pPr>
      <w:autoSpaceDE w:val="0"/>
      <w:autoSpaceDN w:val="0"/>
      <w:adjustRightInd w:val="0"/>
      <w:spacing w:line="591" w:lineRule="atLeast"/>
      <w:jc w:val="left"/>
    </w:pPr>
    <w:rPr>
      <w:rFonts w:ascii="黑体" w:eastAsia="黑体"/>
      <w:kern w:val="0"/>
      <w:sz w:val="24"/>
    </w:rPr>
  </w:style>
  <w:style w:type="paragraph" w:customStyle="1" w:styleId="2324">
    <w:name w:val="标题 4　1.1.1"/>
    <w:basedOn w:val="8"/>
    <w:qFormat/>
    <w:uiPriority w:val="0"/>
    <w:pPr>
      <w:numPr>
        <w:ilvl w:val="0"/>
        <w:numId w:val="0"/>
      </w:numPr>
      <w:spacing w:beforeLines="10" w:afterLines="10"/>
      <w:ind w:left="864" w:hanging="144" w:firstLineChars="200"/>
    </w:pPr>
    <w:rPr>
      <w:rFonts w:ascii="Cambria" w:hAnsi="Cambria" w:eastAsia="宋体"/>
    </w:rPr>
  </w:style>
  <w:style w:type="paragraph" w:customStyle="1" w:styleId="2325">
    <w:name w:val="图号"/>
    <w:basedOn w:val="1"/>
    <w:qFormat/>
    <w:uiPriority w:val="0"/>
    <w:pPr>
      <w:autoSpaceDE w:val="0"/>
      <w:autoSpaceDN w:val="0"/>
      <w:adjustRightInd w:val="0"/>
      <w:snapToGrid w:val="0"/>
      <w:spacing w:line="360" w:lineRule="auto"/>
      <w:jc w:val="center"/>
    </w:pPr>
    <w:rPr>
      <w:rFonts w:ascii="宋体" w:hAnsi="宋体"/>
      <w:b/>
      <w:bCs/>
      <w:szCs w:val="21"/>
      <w:lang w:val="zh-CN"/>
    </w:rPr>
  </w:style>
  <w:style w:type="paragraph" w:customStyle="1" w:styleId="2326">
    <w:name w:val="jb仿宋_GB2312"/>
    <w:basedOn w:val="1"/>
    <w:qFormat/>
    <w:uiPriority w:val="0"/>
    <w:pPr>
      <w:tabs>
        <w:tab w:val="left" w:pos="446"/>
      </w:tabs>
      <w:spacing w:line="360" w:lineRule="auto"/>
      <w:ind w:firstLine="480" w:firstLineChars="200"/>
    </w:pPr>
    <w:rPr>
      <w:rFonts w:ascii="宋体" w:hAnsi="宋体"/>
      <w:sz w:val="24"/>
    </w:rPr>
  </w:style>
  <w:style w:type="paragraph" w:customStyle="1" w:styleId="2327">
    <w:name w:val="标题 2标题 1.1"/>
    <w:basedOn w:val="6"/>
    <w:qFormat/>
    <w:uiPriority w:val="0"/>
    <w:pPr>
      <w:spacing w:beforeLines="10" w:afterLines="10"/>
      <w:ind w:firstLine="200" w:firstLineChars="200"/>
    </w:pPr>
    <w:rPr>
      <w:rFonts w:ascii="Cambria" w:hAnsi="Cambria" w:eastAsia="宋体"/>
    </w:rPr>
  </w:style>
  <w:style w:type="character" w:customStyle="1" w:styleId="2328">
    <w:name w:val="jb仿宋_GB2312 Char"/>
    <w:qFormat/>
    <w:uiPriority w:val="0"/>
    <w:rPr>
      <w:rFonts w:hAnsi="仿宋_GB2312" w:eastAsia="仿宋_GB2312"/>
      <w:kern w:val="2"/>
      <w:sz w:val="28"/>
      <w:lang w:val="en-US" w:eastAsia="zh-CN" w:bidi="ar-SA"/>
    </w:rPr>
  </w:style>
  <w:style w:type="paragraph" w:customStyle="1" w:styleId="2329">
    <w:name w:val="样式 王向东正文 + 首行缩进:  2 字符"/>
    <w:basedOn w:val="990"/>
    <w:qFormat/>
    <w:uiPriority w:val="0"/>
    <w:pPr>
      <w:spacing w:line="360" w:lineRule="auto"/>
      <w:ind w:right="0" w:rightChars="0" w:firstLine="560"/>
      <w:jc w:val="both"/>
    </w:pPr>
    <w:rPr>
      <w:rFonts w:ascii="Times New Roman" w:hAnsi="Times New Roman" w:eastAsia="仿宋_GB2312" w:cs="Times New Roman"/>
      <w:sz w:val="28"/>
      <w:szCs w:val="20"/>
    </w:rPr>
  </w:style>
  <w:style w:type="paragraph" w:customStyle="1" w:styleId="2330">
    <w:name w:val="样式 正文文本 + 首行缩进:  2 字符4"/>
    <w:basedOn w:val="34"/>
    <w:qFormat/>
    <w:uiPriority w:val="0"/>
  </w:style>
  <w:style w:type="paragraph" w:customStyle="1" w:styleId="2331">
    <w:name w:val="样式 标题 4 + 段前: 7.8 磅"/>
    <w:basedOn w:val="8"/>
    <w:qFormat/>
    <w:uiPriority w:val="0"/>
    <w:pPr>
      <w:numPr>
        <w:ilvl w:val="0"/>
        <w:numId w:val="0"/>
      </w:numPr>
      <w:spacing w:beforeLines="10" w:afterLines="10"/>
      <w:ind w:left="864" w:hanging="144" w:firstLineChars="200"/>
    </w:pPr>
    <w:rPr>
      <w:rFonts w:ascii="Cambria" w:hAnsi="Cambria" w:eastAsia="宋体"/>
    </w:rPr>
  </w:style>
  <w:style w:type="paragraph" w:customStyle="1" w:styleId="2332">
    <w:name w:val="正文表格文字"/>
    <w:basedOn w:val="1"/>
    <w:qFormat/>
    <w:uiPriority w:val="0"/>
    <w:pPr>
      <w:widowControl/>
      <w:spacing w:line="400" w:lineRule="exact"/>
      <w:jc w:val="left"/>
    </w:pPr>
    <w:rPr>
      <w:kern w:val="0"/>
      <w:szCs w:val="20"/>
    </w:rPr>
  </w:style>
  <w:style w:type="character" w:customStyle="1" w:styleId="2333">
    <w:name w:val="z1"/>
    <w:qFormat/>
    <w:uiPriority w:val="0"/>
    <w:rPr>
      <w:spacing w:val="400"/>
      <w:sz w:val="18"/>
      <w:szCs w:val="18"/>
    </w:rPr>
  </w:style>
  <w:style w:type="paragraph" w:customStyle="1" w:styleId="2334">
    <w:name w:val="正文条目a"/>
    <w:basedOn w:val="1"/>
    <w:qFormat/>
    <w:uiPriority w:val="0"/>
    <w:pPr>
      <w:ind w:left="400" w:leftChars="300" w:hanging="100" w:hangingChars="100"/>
    </w:pPr>
    <w:rPr>
      <w:rFonts w:ascii="宋体"/>
      <w:sz w:val="24"/>
    </w:rPr>
  </w:style>
  <w:style w:type="table" w:customStyle="1" w:styleId="2335">
    <w:name w:val="网格型11111"/>
    <w:basedOn w:val="8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336">
    <w:name w:val="样式 标题 3 + (西文)粗体"/>
    <w:basedOn w:val="7"/>
    <w:qFormat/>
    <w:uiPriority w:val="0"/>
    <w:pPr>
      <w:widowControl w:val="0"/>
      <w:adjustRightInd/>
      <w:snapToGrid/>
      <w:spacing w:before="120" w:beforeLines="10" w:after="120" w:afterLines="10"/>
      <w:ind w:left="720" w:hanging="432" w:firstLineChars="200"/>
      <w:jc w:val="both"/>
    </w:pPr>
    <w:rPr>
      <w:rFonts w:ascii="Times New Roman" w:hAnsi="Times New Roman"/>
      <w:lang w:val="en-US"/>
    </w:rPr>
  </w:style>
  <w:style w:type="paragraph" w:customStyle="1" w:styleId="2337">
    <w:name w:val="海港表格文字"/>
    <w:basedOn w:val="357"/>
    <w:qFormat/>
    <w:uiPriority w:val="0"/>
    <w:pPr>
      <w:adjustRightInd w:val="0"/>
      <w:spacing w:line="300" w:lineRule="exact"/>
      <w:ind w:left="-56" w:leftChars="-30" w:right="-56" w:rightChars="-30" w:firstLine="19"/>
      <w:textAlignment w:val="baseline"/>
    </w:pPr>
    <w:rPr>
      <w:rFonts w:ascii="宋体" w:hAnsi="宋体"/>
      <w:color w:val="FF0000"/>
      <w:spacing w:val="0"/>
      <w:kern w:val="21"/>
      <w:sz w:val="18"/>
    </w:rPr>
  </w:style>
  <w:style w:type="character" w:customStyle="1" w:styleId="2338">
    <w:name w:val="cucd-0 Char"/>
    <w:link w:val="2339"/>
    <w:qFormat/>
    <w:uiPriority w:val="0"/>
    <w:rPr>
      <w:sz w:val="24"/>
    </w:rPr>
  </w:style>
  <w:style w:type="paragraph" w:customStyle="1" w:styleId="2339">
    <w:name w:val="cucd-0"/>
    <w:link w:val="2338"/>
    <w:qFormat/>
    <w:uiPriority w:val="0"/>
    <w:pPr>
      <w:spacing w:line="360" w:lineRule="auto"/>
      <w:ind w:firstLine="480" w:firstLineChars="200"/>
    </w:pPr>
    <w:rPr>
      <w:rFonts w:ascii="Calibri" w:hAnsi="Calibri" w:eastAsia="宋体" w:cs="Calibri"/>
      <w:sz w:val="24"/>
      <w:lang w:val="en-US" w:eastAsia="zh-CN" w:bidi="ar-SA"/>
    </w:rPr>
  </w:style>
  <w:style w:type="paragraph" w:customStyle="1" w:styleId="2340">
    <w:name w:val="cucd-TB-Head"/>
    <w:basedOn w:val="1"/>
    <w:next w:val="2339"/>
    <w:link w:val="2341"/>
    <w:qFormat/>
    <w:uiPriority w:val="0"/>
    <w:pPr>
      <w:spacing w:beforeLines="50" w:line="360" w:lineRule="auto"/>
      <w:jc w:val="center"/>
    </w:pPr>
    <w:rPr>
      <w:rFonts w:eastAsia="黑体"/>
      <w:color w:val="0000FF"/>
      <w:sz w:val="24"/>
    </w:rPr>
  </w:style>
  <w:style w:type="character" w:customStyle="1" w:styleId="2341">
    <w:name w:val="cucd-TB-Head Char"/>
    <w:link w:val="2340"/>
    <w:qFormat/>
    <w:uiPriority w:val="0"/>
    <w:rPr>
      <w:rFonts w:eastAsia="黑体"/>
      <w:color w:val="0000FF"/>
      <w:kern w:val="2"/>
      <w:sz w:val="24"/>
      <w:szCs w:val="24"/>
    </w:rPr>
  </w:style>
  <w:style w:type="table" w:customStyle="1" w:styleId="2342">
    <w:name w:val="cucd-table"/>
    <w:basedOn w:val="81"/>
    <w:qFormat/>
    <w:uiPriority w:val="0"/>
    <w:pPr>
      <w:jc w:val="center"/>
    </w:pPr>
    <w:tblP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Pr>
    <w:tcPr>
      <w:vAlign w:val="center"/>
    </w:tcPr>
    <w:tblStylePr w:type="firstRow">
      <w:rPr>
        <w:b/>
        <w:i w:val="0"/>
      </w:rPr>
      <w:tcPr>
        <w:tcBorders>
          <w:top w:val="thinThickSmallGap" w:color="auto" w:sz="12" w:space="0"/>
          <w:left w:val="single" w:color="auto" w:sz="4" w:space="0"/>
          <w:bottom w:val="thinThickSmallGap" w:color="auto" w:sz="12" w:space="0"/>
          <w:right w:val="thickThinSmallGap" w:color="auto" w:sz="12" w:space="0"/>
          <w:insideH w:val="single" w:sz="6" w:space="0"/>
          <w:insideV w:val="single" w:sz="6" w:space="0"/>
          <w:tl2br w:val="nil"/>
          <w:tr2bl w:val="nil"/>
        </w:tcBorders>
        <w:shd w:val="clear" w:color="auto" w:fill="D9D9D9"/>
      </w:tcPr>
    </w:tblStylePr>
  </w:style>
  <w:style w:type="paragraph" w:customStyle="1" w:styleId="2343">
    <w:name w:val="cucd-2"/>
    <w:next w:val="2344"/>
    <w:qFormat/>
    <w:uiPriority w:val="0"/>
    <w:pPr>
      <w:tabs>
        <w:tab w:val="left" w:pos="567"/>
      </w:tabs>
      <w:spacing w:line="360" w:lineRule="auto"/>
      <w:ind w:left="567" w:hanging="567"/>
      <w:outlineLvl w:val="1"/>
    </w:pPr>
    <w:rPr>
      <w:rFonts w:ascii="Calibri" w:hAnsi="Calibri" w:eastAsia="黑体" w:cs="Calibri"/>
      <w:b/>
      <w:kern w:val="2"/>
      <w:sz w:val="30"/>
      <w:szCs w:val="24"/>
      <w:lang w:val="en-US" w:eastAsia="zh-CN" w:bidi="ar-SA"/>
    </w:rPr>
  </w:style>
  <w:style w:type="paragraph" w:customStyle="1" w:styleId="2344">
    <w:name w:val="cucd-3"/>
    <w:next w:val="2345"/>
    <w:link w:val="2346"/>
    <w:qFormat/>
    <w:uiPriority w:val="0"/>
    <w:pPr>
      <w:tabs>
        <w:tab w:val="left" w:pos="709"/>
      </w:tabs>
      <w:spacing w:line="360" w:lineRule="auto"/>
      <w:ind w:left="709" w:hanging="709"/>
      <w:outlineLvl w:val="2"/>
    </w:pPr>
    <w:rPr>
      <w:rFonts w:ascii="Calibri" w:hAnsi="Calibri" w:eastAsia="宋体" w:cs="Calibri"/>
      <w:b/>
      <w:kern w:val="2"/>
      <w:sz w:val="28"/>
      <w:szCs w:val="24"/>
      <w:lang w:val="en-US" w:eastAsia="zh-CN" w:bidi="ar-SA"/>
    </w:rPr>
  </w:style>
  <w:style w:type="paragraph" w:customStyle="1" w:styleId="2345">
    <w:name w:val="cucd-4"/>
    <w:next w:val="2339"/>
    <w:qFormat/>
    <w:uiPriority w:val="0"/>
    <w:pPr>
      <w:tabs>
        <w:tab w:val="left" w:pos="851"/>
      </w:tabs>
      <w:spacing w:line="360" w:lineRule="auto"/>
      <w:ind w:left="851" w:hanging="851"/>
      <w:outlineLvl w:val="3"/>
    </w:pPr>
    <w:rPr>
      <w:rFonts w:ascii="Calibri" w:hAnsi="Calibri" w:eastAsia="宋体" w:cs="Calibri"/>
      <w:b/>
      <w:kern w:val="2"/>
      <w:sz w:val="24"/>
      <w:szCs w:val="24"/>
      <w:lang w:val="en-US" w:eastAsia="zh-CN" w:bidi="ar-SA"/>
    </w:rPr>
  </w:style>
  <w:style w:type="character" w:customStyle="1" w:styleId="2346">
    <w:name w:val="cucd-3 Char"/>
    <w:link w:val="2344"/>
    <w:qFormat/>
    <w:uiPriority w:val="0"/>
    <w:rPr>
      <w:b/>
      <w:kern w:val="2"/>
      <w:sz w:val="28"/>
      <w:szCs w:val="24"/>
    </w:rPr>
  </w:style>
  <w:style w:type="paragraph" w:customStyle="1" w:styleId="2347">
    <w:name w:val="CM71"/>
    <w:basedOn w:val="1"/>
    <w:next w:val="1"/>
    <w:qFormat/>
    <w:uiPriority w:val="0"/>
    <w:pPr>
      <w:autoSpaceDE w:val="0"/>
      <w:autoSpaceDN w:val="0"/>
      <w:adjustRightInd w:val="0"/>
      <w:jc w:val="left"/>
    </w:pPr>
    <w:rPr>
      <w:rFonts w:ascii="宋体"/>
      <w:kern w:val="0"/>
      <w:sz w:val="24"/>
    </w:rPr>
  </w:style>
  <w:style w:type="paragraph" w:customStyle="1" w:styleId="2348">
    <w:name w:val="CM19"/>
    <w:basedOn w:val="2"/>
    <w:next w:val="2"/>
    <w:qFormat/>
    <w:uiPriority w:val="0"/>
    <w:pPr>
      <w:suppressAutoHyphens w:val="0"/>
      <w:adjustRightInd w:val="0"/>
      <w:textAlignment w:val="auto"/>
    </w:pPr>
    <w:rPr>
      <w:rFonts w:hAnsi="Times New Roman" w:cs="Times New Roman"/>
      <w:color w:val="auto"/>
    </w:rPr>
  </w:style>
  <w:style w:type="character" w:customStyle="1" w:styleId="2349">
    <w:name w:val="样式 样式1 + 首行缩进:  2 字符 Char"/>
    <w:qFormat/>
    <w:uiPriority w:val="0"/>
    <w:rPr>
      <w:rFonts w:eastAsia="宋体" w:cs="宋体"/>
      <w:bCs/>
      <w:kern w:val="2"/>
      <w:sz w:val="24"/>
      <w:lang w:val="en-US" w:eastAsia="zh-CN" w:bidi="ar-SA"/>
    </w:rPr>
  </w:style>
  <w:style w:type="paragraph" w:customStyle="1" w:styleId="2350">
    <w:name w:val="bw1"/>
    <w:basedOn w:val="1"/>
    <w:qFormat/>
    <w:uiPriority w:val="0"/>
    <w:pPr>
      <w:adjustRightInd w:val="0"/>
      <w:snapToGrid w:val="0"/>
      <w:spacing w:line="240" w:lineRule="atLeast"/>
      <w:ind w:left="-57" w:right="-57"/>
      <w:jc w:val="center"/>
    </w:pPr>
    <w:rPr>
      <w:rFonts w:ascii="Arial Narrow" w:hAnsi="Arial Narrow" w:eastAsia="楷体_GB2312"/>
      <w:w w:val="90"/>
      <w:sz w:val="18"/>
      <w:szCs w:val="20"/>
    </w:rPr>
  </w:style>
  <w:style w:type="paragraph" w:customStyle="1" w:styleId="2351">
    <w:name w:val="样式 样式 样式1 + 首行缩进:  2 字符 + 首行缩进:  2 字符"/>
    <w:basedOn w:val="696"/>
    <w:qFormat/>
    <w:uiPriority w:val="0"/>
  </w:style>
  <w:style w:type="paragraph" w:customStyle="1" w:styleId="2352">
    <w:name w:val="3 Char Char Char Char Char Char Char Char Char1 Char Char Char Char"/>
    <w:basedOn w:val="1"/>
    <w:qFormat/>
    <w:uiPriority w:val="0"/>
    <w:pPr>
      <w:snapToGrid w:val="0"/>
      <w:spacing w:line="360" w:lineRule="auto"/>
      <w:ind w:firstLine="200" w:firstLineChars="200"/>
    </w:pPr>
    <w:rPr>
      <w:rFonts w:eastAsia="仿宋_GB2312"/>
      <w:sz w:val="24"/>
    </w:rPr>
  </w:style>
  <w:style w:type="paragraph" w:customStyle="1" w:styleId="2353">
    <w:name w:val="标题2编号"/>
    <w:basedOn w:val="6"/>
    <w:next w:val="1"/>
    <w:qFormat/>
    <w:uiPriority w:val="0"/>
    <w:pPr>
      <w:spacing w:beforeLines="10" w:afterLines="10"/>
      <w:ind w:firstLine="200" w:firstLineChars="200"/>
    </w:pPr>
    <w:rPr>
      <w:rFonts w:ascii="Cambria" w:hAnsi="Cambria" w:eastAsia="宋体"/>
    </w:rPr>
  </w:style>
  <w:style w:type="paragraph" w:customStyle="1" w:styleId="2354">
    <w:name w:val="纯咖啡正文"/>
    <w:qFormat/>
    <w:uiPriority w:val="0"/>
    <w:pPr>
      <w:spacing w:line="360" w:lineRule="auto"/>
      <w:ind w:firstLine="200" w:firstLineChars="200"/>
    </w:pPr>
    <w:rPr>
      <w:rFonts w:ascii="宋体" w:hAnsi="Calibri" w:eastAsia="宋体" w:cs="Calibri"/>
      <w:bCs/>
      <w:sz w:val="24"/>
      <w:szCs w:val="24"/>
      <w:lang w:val="en-US" w:eastAsia="zh-CN" w:bidi="ar-SA"/>
    </w:rPr>
  </w:style>
  <w:style w:type="paragraph" w:customStyle="1" w:styleId="2355">
    <w:name w:val="正式"/>
    <w:basedOn w:val="1"/>
    <w:qFormat/>
    <w:uiPriority w:val="0"/>
    <w:pPr>
      <w:spacing w:beforeLines="50" w:afterLines="50" w:line="360" w:lineRule="auto"/>
      <w:ind w:firstLine="200" w:firstLineChars="200"/>
      <w:jc w:val="left"/>
    </w:pPr>
    <w:rPr>
      <w:rFonts w:hAnsi="宋体"/>
      <w:kern w:val="0"/>
      <w:sz w:val="24"/>
      <w:szCs w:val="21"/>
    </w:rPr>
  </w:style>
  <w:style w:type="paragraph" w:customStyle="1" w:styleId="2356">
    <w:name w:val="BG"/>
    <w:basedOn w:val="1"/>
    <w:qFormat/>
    <w:uiPriority w:val="0"/>
    <w:pPr>
      <w:jc w:val="center"/>
    </w:pPr>
    <w:rPr>
      <w:szCs w:val="21"/>
    </w:rPr>
  </w:style>
  <w:style w:type="paragraph" w:customStyle="1" w:styleId="2357">
    <w:name w:val="标题51"/>
    <w:basedOn w:val="21"/>
    <w:qFormat/>
    <w:uiPriority w:val="0"/>
    <w:pPr>
      <w:keepNext w:val="0"/>
      <w:tabs>
        <w:tab w:val="left" w:pos="900"/>
      </w:tabs>
      <w:spacing w:line="240" w:lineRule="auto"/>
      <w:ind w:left="900" w:hanging="900"/>
      <w:jc w:val="both"/>
    </w:pPr>
    <w:rPr>
      <w:rFonts w:ascii="Times New Roman" w:hAnsi="Times New Roman"/>
      <w:b/>
      <w:bCs w:val="0"/>
      <w:spacing w:val="10"/>
      <w:sz w:val="28"/>
      <w:szCs w:val="20"/>
    </w:rPr>
  </w:style>
  <w:style w:type="paragraph" w:customStyle="1" w:styleId="2358">
    <w:name w:val="a)"/>
    <w:basedOn w:val="1"/>
    <w:qFormat/>
    <w:uiPriority w:val="0"/>
    <w:pPr>
      <w:adjustRightInd w:val="0"/>
      <w:spacing w:line="360" w:lineRule="auto"/>
      <w:ind w:firstLine="567"/>
      <w:textAlignment w:val="baseline"/>
    </w:pPr>
    <w:rPr>
      <w:kern w:val="0"/>
      <w:sz w:val="28"/>
      <w:szCs w:val="20"/>
    </w:rPr>
  </w:style>
  <w:style w:type="paragraph" w:customStyle="1" w:styleId="2359">
    <w:name w:val="表样式2"/>
    <w:basedOn w:val="1"/>
    <w:qFormat/>
    <w:uiPriority w:val="0"/>
    <w:pPr>
      <w:jc w:val="center"/>
    </w:pPr>
    <w:rPr>
      <w:rFonts w:ascii="宋体" w:hAnsi="宋体"/>
      <w:bCs/>
    </w:rPr>
  </w:style>
  <w:style w:type="character" w:customStyle="1" w:styleId="2360">
    <w:name w:val="样式 宋体 四号"/>
    <w:qFormat/>
    <w:uiPriority w:val="0"/>
    <w:rPr>
      <w:rFonts w:ascii="宋体" w:hAnsi="宋体"/>
      <w:sz w:val="24"/>
    </w:rPr>
  </w:style>
  <w:style w:type="character" w:customStyle="1" w:styleId="2361">
    <w:name w:val="tit2"/>
    <w:qFormat/>
    <w:uiPriority w:val="0"/>
    <w:rPr>
      <w:rFonts w:hint="default"/>
      <w:b/>
      <w:bCs/>
      <w:spacing w:val="432"/>
      <w:sz w:val="48"/>
      <w:szCs w:val="48"/>
    </w:rPr>
  </w:style>
  <w:style w:type="paragraph" w:customStyle="1" w:styleId="2362">
    <w:name w:val="正文样式"/>
    <w:basedOn w:val="1"/>
    <w:link w:val="2363"/>
    <w:qFormat/>
    <w:uiPriority w:val="0"/>
    <w:pPr>
      <w:spacing w:line="360" w:lineRule="auto"/>
      <w:ind w:firstLine="480" w:firstLineChars="200"/>
    </w:pPr>
    <w:rPr>
      <w:rFonts w:ascii="宋体" w:hAnsi="宋体"/>
      <w:color w:val="000000"/>
      <w:sz w:val="24"/>
    </w:rPr>
  </w:style>
  <w:style w:type="character" w:customStyle="1" w:styleId="2363">
    <w:name w:val="正文样式 Char1"/>
    <w:link w:val="2362"/>
    <w:qFormat/>
    <w:uiPriority w:val="0"/>
    <w:rPr>
      <w:rFonts w:ascii="宋体" w:hAnsi="宋体"/>
      <w:color w:val="000000"/>
      <w:kern w:val="2"/>
      <w:sz w:val="24"/>
      <w:szCs w:val="24"/>
    </w:rPr>
  </w:style>
  <w:style w:type="paragraph" w:customStyle="1" w:styleId="2364">
    <w:name w:val="PSPSPSPS"/>
    <w:basedOn w:val="1"/>
    <w:qFormat/>
    <w:uiPriority w:val="0"/>
    <w:pPr>
      <w:adjustRightInd w:val="0"/>
      <w:spacing w:line="600" w:lineRule="atLeast"/>
      <w:textAlignment w:val="baseline"/>
    </w:pPr>
    <w:rPr>
      <w:kern w:val="0"/>
      <w:sz w:val="28"/>
      <w:szCs w:val="20"/>
    </w:rPr>
  </w:style>
  <w:style w:type="paragraph" w:customStyle="1" w:styleId="2365">
    <w:name w:val="样式 样式 样式 样式1 + 首行缩进:  2 字符 + 首行缩进:  2 字符 + 四号 首行缩进:  2 字符"/>
    <w:basedOn w:val="2351"/>
    <w:qFormat/>
    <w:uiPriority w:val="0"/>
    <w:pPr>
      <w:ind w:firstLine="560"/>
    </w:pPr>
    <w:rPr>
      <w:sz w:val="28"/>
    </w:rPr>
  </w:style>
  <w:style w:type="character" w:customStyle="1" w:styleId="2366">
    <w:name w:val="style6"/>
    <w:qFormat/>
    <w:uiPriority w:val="0"/>
  </w:style>
  <w:style w:type="character" w:customStyle="1" w:styleId="2367">
    <w:name w:val="样式 样式 样式1 + 首行缩进:  2 字符 + 首行缩进:  2 字符 Char"/>
    <w:qFormat/>
    <w:uiPriority w:val="0"/>
    <w:rPr>
      <w:rFonts w:eastAsia="宋体" w:cs="宋体"/>
      <w:bCs/>
      <w:kern w:val="2"/>
      <w:sz w:val="24"/>
      <w:lang w:val="en-US" w:eastAsia="zh-CN" w:bidi="ar-SA"/>
    </w:rPr>
  </w:style>
  <w:style w:type="paragraph" w:customStyle="1" w:styleId="2368">
    <w:name w:val="bt1"/>
    <w:basedOn w:val="1"/>
    <w:qFormat/>
    <w:uiPriority w:val="0"/>
    <w:pPr>
      <w:adjustRightInd w:val="0"/>
      <w:snapToGrid w:val="0"/>
      <w:spacing w:beforeLines="75" w:line="500" w:lineRule="exact"/>
      <w:jc w:val="center"/>
    </w:pPr>
    <w:rPr>
      <w:rFonts w:ascii="Arial Narrow" w:hAnsi="Arial Narrow" w:eastAsia="黑体" w:cs="Arial Narrow"/>
      <w:color w:val="000000"/>
      <w:kern w:val="27"/>
      <w:sz w:val="26"/>
      <w:szCs w:val="26"/>
    </w:rPr>
  </w:style>
  <w:style w:type="character" w:customStyle="1" w:styleId="2369">
    <w:name w:val="样式 样式1 + 首行缩进:  2 字符 Char2"/>
    <w:qFormat/>
    <w:uiPriority w:val="0"/>
    <w:rPr>
      <w:rFonts w:eastAsia="宋体" w:cs="宋体"/>
      <w:bCs/>
      <w:kern w:val="2"/>
      <w:sz w:val="24"/>
      <w:lang w:val="en-US" w:eastAsia="zh-CN" w:bidi="ar-SA"/>
    </w:rPr>
  </w:style>
  <w:style w:type="paragraph" w:customStyle="1" w:styleId="2370">
    <w:name w:val="表图标题"/>
    <w:basedOn w:val="1"/>
    <w:qFormat/>
    <w:uiPriority w:val="0"/>
    <w:pPr>
      <w:spacing w:line="240" w:lineRule="exact"/>
      <w:jc w:val="center"/>
    </w:pPr>
    <w:rPr>
      <w:sz w:val="18"/>
      <w:szCs w:val="18"/>
    </w:rPr>
  </w:style>
  <w:style w:type="paragraph" w:customStyle="1" w:styleId="2371">
    <w:name w:val="style0"/>
    <w:basedOn w:val="1"/>
    <w:qFormat/>
    <w:uiPriority w:val="0"/>
    <w:pPr>
      <w:widowControl/>
      <w:spacing w:beforeAutospacing="1" w:afterAutospacing="1"/>
      <w:jc w:val="left"/>
      <w:textAlignment w:val="bottom"/>
    </w:pPr>
    <w:rPr>
      <w:kern w:val="0"/>
      <w:sz w:val="24"/>
    </w:rPr>
  </w:style>
  <w:style w:type="character" w:customStyle="1" w:styleId="2372">
    <w:name w:val="hei1"/>
    <w:qFormat/>
    <w:uiPriority w:val="0"/>
    <w:rPr>
      <w:spacing w:val="405"/>
      <w:sz w:val="20"/>
      <w:szCs w:val="20"/>
    </w:rPr>
  </w:style>
  <w:style w:type="paragraph" w:customStyle="1" w:styleId="2373">
    <w:name w:val="表号1"/>
    <w:basedOn w:val="1"/>
    <w:qFormat/>
    <w:uiPriority w:val="0"/>
    <w:pPr>
      <w:jc w:val="left"/>
    </w:pPr>
    <w:rPr>
      <w:color w:val="000000"/>
      <w:szCs w:val="20"/>
    </w:rPr>
  </w:style>
  <w:style w:type="paragraph" w:customStyle="1" w:styleId="2374">
    <w:name w:val="表格左对齐"/>
    <w:basedOn w:val="35"/>
    <w:qFormat/>
    <w:uiPriority w:val="0"/>
    <w:pPr>
      <w:adjustRightInd w:val="0"/>
      <w:ind w:left="0" w:leftChars="0"/>
      <w:jc w:val="left"/>
      <w:textAlignment w:val="baseline"/>
    </w:pPr>
    <w:rPr>
      <w:sz w:val="21"/>
    </w:rPr>
  </w:style>
  <w:style w:type="paragraph" w:customStyle="1" w:styleId="2375">
    <w:name w:val="表头编号"/>
    <w:basedOn w:val="1"/>
    <w:qFormat/>
    <w:uiPriority w:val="0"/>
    <w:pPr>
      <w:tabs>
        <w:tab w:val="left" w:pos="8610"/>
        <w:tab w:val="left" w:pos="8820"/>
      </w:tabs>
      <w:spacing w:line="240" w:lineRule="atLeast"/>
      <w:ind w:right="3"/>
      <w:jc w:val="center"/>
    </w:pPr>
    <w:rPr>
      <w:b/>
      <w:sz w:val="24"/>
      <w:szCs w:val="20"/>
    </w:rPr>
  </w:style>
  <w:style w:type="paragraph" w:customStyle="1" w:styleId="2376">
    <w:name w:val="多文字表"/>
    <w:basedOn w:val="569"/>
    <w:qFormat/>
    <w:uiPriority w:val="0"/>
    <w:pPr>
      <w:spacing w:line="360" w:lineRule="auto"/>
      <w:ind w:firstLine="200"/>
      <w:jc w:val="both"/>
    </w:pPr>
    <w:rPr>
      <w:sz w:val="18"/>
      <w:szCs w:val="20"/>
    </w:rPr>
  </w:style>
  <w:style w:type="paragraph" w:customStyle="1" w:styleId="2377">
    <w:name w:val="黑宋体"/>
    <w:basedOn w:val="8"/>
    <w:qFormat/>
    <w:uiPriority w:val="0"/>
    <w:pPr>
      <w:numPr>
        <w:ilvl w:val="0"/>
        <w:numId w:val="0"/>
      </w:numPr>
      <w:spacing w:beforeLines="10" w:afterLines="10"/>
      <w:ind w:left="864" w:hanging="144" w:firstLineChars="200"/>
    </w:pPr>
    <w:rPr>
      <w:rFonts w:ascii="Cambria" w:hAnsi="Cambria" w:eastAsia="宋体"/>
    </w:rPr>
  </w:style>
  <w:style w:type="paragraph" w:customStyle="1" w:styleId="2378">
    <w:name w:val="数字表格"/>
    <w:basedOn w:val="187"/>
    <w:qFormat/>
    <w:uiPriority w:val="0"/>
    <w:pPr>
      <w:adjustRightInd/>
      <w:snapToGrid/>
      <w:spacing w:beforeLines="0" w:afterLines="0" w:line="240" w:lineRule="auto"/>
      <w:jc w:val="both"/>
    </w:pPr>
    <w:rPr>
      <w:rFonts w:ascii="Calibri"/>
      <w:sz w:val="20"/>
    </w:rPr>
  </w:style>
  <w:style w:type="paragraph" w:customStyle="1" w:styleId="2379">
    <w:name w:val="图文1"/>
    <w:basedOn w:val="199"/>
    <w:qFormat/>
    <w:uiPriority w:val="0"/>
    <w:pPr>
      <w:spacing w:line="440" w:lineRule="exact"/>
    </w:pPr>
    <w:rPr>
      <w:rFonts w:ascii="黑体" w:eastAsia="黑体"/>
      <w:b w:val="0"/>
      <w:spacing w:val="8"/>
      <w:sz w:val="28"/>
      <w:szCs w:val="21"/>
      <w:lang w:val="en-US"/>
    </w:rPr>
  </w:style>
  <w:style w:type="paragraph" w:customStyle="1" w:styleId="2380">
    <w:name w:val="正文2000"/>
    <w:basedOn w:val="1"/>
    <w:qFormat/>
    <w:uiPriority w:val="0"/>
    <w:pPr>
      <w:spacing w:line="360" w:lineRule="auto"/>
    </w:pPr>
    <w:rPr>
      <w:rFonts w:ascii="宋体" w:hAnsi="宋体"/>
      <w:b/>
      <w:sz w:val="24"/>
      <w:szCs w:val="20"/>
    </w:rPr>
  </w:style>
  <w:style w:type="paragraph" w:customStyle="1" w:styleId="2381">
    <w:name w:val="表框1"/>
    <w:basedOn w:val="1"/>
    <w:qFormat/>
    <w:uiPriority w:val="0"/>
    <w:pPr>
      <w:pBdr>
        <w:top w:val="single" w:color="auto" w:sz="12" w:space="1"/>
        <w:left w:val="single" w:color="auto" w:sz="12" w:space="1"/>
        <w:bottom w:val="single" w:color="auto" w:sz="12" w:space="1"/>
        <w:right w:val="single" w:color="auto" w:sz="12" w:space="1"/>
      </w:pBdr>
      <w:spacing w:line="360" w:lineRule="auto"/>
      <w:jc w:val="left"/>
    </w:pPr>
    <w:rPr>
      <w:sz w:val="24"/>
      <w:szCs w:val="20"/>
    </w:rPr>
  </w:style>
  <w:style w:type="paragraph" w:customStyle="1" w:styleId="2382">
    <w:name w:val="表框2"/>
    <w:basedOn w:val="1"/>
    <w:qFormat/>
    <w:uiPriority w:val="0"/>
    <w:pPr>
      <w:framePr w:hSpace="181" w:vSpace="181" w:wrap="notBeside" w:vAnchor="text" w:hAnchor="text" w:y="1"/>
      <w:pBdr>
        <w:top w:val="single" w:color="auto" w:sz="4" w:space="1"/>
        <w:left w:val="single" w:color="auto" w:sz="4" w:space="4"/>
        <w:bottom w:val="single" w:color="auto" w:sz="4" w:space="1"/>
        <w:right w:val="single" w:color="auto" w:sz="4" w:space="4"/>
      </w:pBdr>
      <w:spacing w:line="360" w:lineRule="auto"/>
      <w:jc w:val="left"/>
    </w:pPr>
    <w:rPr>
      <w:sz w:val="24"/>
      <w:szCs w:val="20"/>
    </w:rPr>
  </w:style>
  <w:style w:type="paragraph" w:customStyle="1" w:styleId="2383">
    <w:name w:val="PP 行"/>
    <w:basedOn w:val="57"/>
    <w:qFormat/>
    <w:uiPriority w:val="0"/>
    <w:pPr>
      <w:spacing w:line="360" w:lineRule="auto"/>
      <w:ind w:left="0" w:leftChars="0" w:firstLine="200"/>
      <w:jc w:val="left"/>
    </w:pPr>
    <w:rPr>
      <w:sz w:val="24"/>
      <w:szCs w:val="20"/>
    </w:rPr>
  </w:style>
  <w:style w:type="paragraph" w:customStyle="1" w:styleId="2384">
    <w:name w:val="样式 标题 3 + 浅蓝1"/>
    <w:basedOn w:val="7"/>
    <w:qFormat/>
    <w:uiPriority w:val="0"/>
    <w:pPr>
      <w:widowControl w:val="0"/>
      <w:adjustRightInd/>
      <w:snapToGrid/>
      <w:spacing w:before="120" w:beforeLines="10" w:after="120" w:afterLines="10"/>
      <w:ind w:left="720" w:hanging="432" w:firstLineChars="200"/>
      <w:jc w:val="both"/>
    </w:pPr>
    <w:rPr>
      <w:rFonts w:ascii="Times New Roman" w:hAnsi="Times New Roman"/>
      <w:lang w:val="en-US"/>
    </w:rPr>
  </w:style>
  <w:style w:type="paragraph" w:customStyle="1" w:styleId="2385">
    <w:name w:val="表biao"/>
    <w:basedOn w:val="1"/>
    <w:qFormat/>
    <w:uiPriority w:val="0"/>
    <w:pPr>
      <w:spacing w:line="280" w:lineRule="exact"/>
      <w:jc w:val="center"/>
    </w:pPr>
    <w:rPr>
      <w:szCs w:val="21"/>
    </w:rPr>
  </w:style>
  <w:style w:type="paragraph" w:customStyle="1" w:styleId="2386">
    <w:name w:val="!正文(alt+c)"/>
    <w:link w:val="2387"/>
    <w:qFormat/>
    <w:uiPriority w:val="0"/>
    <w:pPr>
      <w:spacing w:line="420" w:lineRule="exact"/>
      <w:ind w:firstLine="480" w:firstLineChars="200"/>
    </w:pPr>
    <w:rPr>
      <w:rFonts w:ascii="Calibri" w:hAnsi="Calibri" w:eastAsia="宋体" w:cs="Calibri"/>
      <w:sz w:val="24"/>
      <w:szCs w:val="24"/>
      <w:lang w:val="en-US" w:eastAsia="zh-CN" w:bidi="ar-SA"/>
    </w:rPr>
  </w:style>
  <w:style w:type="character" w:customStyle="1" w:styleId="2387">
    <w:name w:val="!正文(alt+c) Char Char"/>
    <w:link w:val="2386"/>
    <w:qFormat/>
    <w:uiPriority w:val="0"/>
    <w:rPr>
      <w:sz w:val="24"/>
      <w:szCs w:val="24"/>
    </w:rPr>
  </w:style>
  <w:style w:type="paragraph" w:customStyle="1" w:styleId="2388">
    <w:name w:val="!表格(alt+t)"/>
    <w:next w:val="2386"/>
    <w:qFormat/>
    <w:uiPriority w:val="0"/>
    <w:pPr>
      <w:adjustRightInd w:val="0"/>
      <w:spacing w:line="360" w:lineRule="exact"/>
      <w:jc w:val="center"/>
      <w:textAlignment w:val="center"/>
    </w:pPr>
    <w:rPr>
      <w:rFonts w:ascii="Calibri" w:hAnsi="Calibri" w:eastAsia="宋体" w:cs="Calibri"/>
      <w:sz w:val="21"/>
      <w:szCs w:val="18"/>
      <w:lang w:val="en-US" w:eastAsia="zh-CN" w:bidi="ar-SA"/>
    </w:rPr>
  </w:style>
  <w:style w:type="paragraph" w:customStyle="1" w:styleId="2389">
    <w:name w:val="!章名(alt+m)"/>
    <w:next w:val="1"/>
    <w:qFormat/>
    <w:uiPriority w:val="0"/>
    <w:pPr>
      <w:spacing w:line="500" w:lineRule="exact"/>
      <w:jc w:val="center"/>
      <w:outlineLvl w:val="0"/>
    </w:pPr>
    <w:rPr>
      <w:rFonts w:ascii="Arial" w:hAnsi="Arial" w:eastAsia="黑体" w:cs="Calibri"/>
      <w:spacing w:val="-5"/>
      <w:sz w:val="32"/>
      <w:szCs w:val="32"/>
      <w:lang w:val="en-US" w:eastAsia="zh-CN" w:bidi="ar-SA"/>
    </w:rPr>
  </w:style>
  <w:style w:type="paragraph" w:customStyle="1" w:styleId="2390">
    <w:name w:val="文章副标题"/>
    <w:basedOn w:val="1"/>
    <w:next w:val="5"/>
    <w:qFormat/>
    <w:uiPriority w:val="0"/>
    <w:pPr>
      <w:widowControl/>
      <w:spacing w:line="374" w:lineRule="atLeast"/>
      <w:jc w:val="center"/>
      <w:textAlignment w:val="baseline"/>
    </w:pPr>
    <w:rPr>
      <w:color w:val="000000"/>
      <w:kern w:val="0"/>
      <w:sz w:val="36"/>
      <w:szCs w:val="20"/>
      <w:u w:color="000000"/>
    </w:rPr>
  </w:style>
  <w:style w:type="paragraph" w:customStyle="1" w:styleId="2391">
    <w:name w:val="标题 12"/>
    <w:basedOn w:val="1"/>
    <w:next w:val="2392"/>
    <w:qFormat/>
    <w:uiPriority w:val="0"/>
    <w:pPr>
      <w:widowControl/>
      <w:spacing w:line="788" w:lineRule="atLeast"/>
      <w:jc w:val="center"/>
      <w:textAlignment w:val="baseline"/>
    </w:pPr>
    <w:rPr>
      <w:rFonts w:ascii="Arial" w:eastAsia="黑体"/>
      <w:color w:val="000000"/>
      <w:kern w:val="0"/>
      <w:sz w:val="31"/>
      <w:szCs w:val="20"/>
      <w:u w:color="000000"/>
    </w:rPr>
  </w:style>
  <w:style w:type="paragraph" w:customStyle="1" w:styleId="2392">
    <w:name w:val="标题 22"/>
    <w:basedOn w:val="1"/>
    <w:next w:val="1"/>
    <w:qFormat/>
    <w:uiPriority w:val="0"/>
    <w:pPr>
      <w:widowControl/>
      <w:spacing w:line="1054" w:lineRule="atLeast"/>
      <w:ind w:firstLine="419"/>
      <w:textAlignment w:val="baseline"/>
    </w:pPr>
    <w:rPr>
      <w:rFonts w:ascii="Arial" w:eastAsia="黑体"/>
      <w:color w:val="000000"/>
      <w:kern w:val="0"/>
      <w:sz w:val="30"/>
      <w:szCs w:val="20"/>
      <w:u w:color="000000"/>
    </w:rPr>
  </w:style>
  <w:style w:type="paragraph" w:customStyle="1" w:styleId="2393">
    <w:name w:val="标题 32"/>
    <w:basedOn w:val="1"/>
    <w:qFormat/>
    <w:uiPriority w:val="0"/>
    <w:pPr>
      <w:widowControl/>
      <w:spacing w:line="640" w:lineRule="atLeast"/>
      <w:ind w:firstLine="419"/>
      <w:textAlignment w:val="baseline"/>
    </w:pPr>
    <w:rPr>
      <w:color w:val="000000"/>
      <w:kern w:val="0"/>
      <w:sz w:val="28"/>
      <w:szCs w:val="20"/>
      <w:u w:color="000000"/>
    </w:rPr>
  </w:style>
  <w:style w:type="paragraph" w:customStyle="1" w:styleId="2394">
    <w:name w:val="标题 61"/>
    <w:basedOn w:val="1"/>
    <w:next w:val="1"/>
    <w:qFormat/>
    <w:uiPriority w:val="0"/>
    <w:pPr>
      <w:widowControl/>
      <w:spacing w:line="606" w:lineRule="atLeast"/>
      <w:ind w:firstLine="419"/>
      <w:textAlignment w:val="baseline"/>
    </w:pPr>
    <w:rPr>
      <w:color w:val="000000"/>
      <w:kern w:val="0"/>
      <w:sz w:val="24"/>
      <w:szCs w:val="20"/>
      <w:u w:color="000000"/>
    </w:rPr>
  </w:style>
  <w:style w:type="paragraph" w:customStyle="1" w:styleId="2395">
    <w:name w:val="标题 71"/>
    <w:basedOn w:val="1"/>
    <w:next w:val="1"/>
    <w:qFormat/>
    <w:uiPriority w:val="0"/>
    <w:pPr>
      <w:widowControl/>
      <w:spacing w:line="606" w:lineRule="atLeast"/>
      <w:ind w:firstLine="419"/>
      <w:textAlignment w:val="baseline"/>
    </w:pPr>
    <w:rPr>
      <w:color w:val="000000"/>
      <w:kern w:val="0"/>
      <w:sz w:val="24"/>
      <w:szCs w:val="20"/>
      <w:u w:color="000000"/>
    </w:rPr>
  </w:style>
  <w:style w:type="paragraph" w:customStyle="1" w:styleId="2396">
    <w:name w:val="标题 81"/>
    <w:basedOn w:val="1"/>
    <w:next w:val="1"/>
    <w:qFormat/>
    <w:uiPriority w:val="0"/>
    <w:pPr>
      <w:widowControl/>
      <w:spacing w:line="606" w:lineRule="atLeast"/>
      <w:ind w:firstLine="419"/>
      <w:textAlignment w:val="baseline"/>
    </w:pPr>
    <w:rPr>
      <w:color w:val="000000"/>
      <w:kern w:val="0"/>
      <w:sz w:val="24"/>
      <w:szCs w:val="20"/>
      <w:u w:color="000000"/>
    </w:rPr>
  </w:style>
  <w:style w:type="paragraph" w:customStyle="1" w:styleId="2397">
    <w:name w:val="标题 91"/>
    <w:basedOn w:val="1"/>
    <w:next w:val="1"/>
    <w:qFormat/>
    <w:uiPriority w:val="0"/>
    <w:pPr>
      <w:widowControl/>
      <w:spacing w:line="606" w:lineRule="atLeast"/>
      <w:ind w:firstLine="419"/>
      <w:textAlignment w:val="baseline"/>
    </w:pPr>
    <w:rPr>
      <w:color w:val="000000"/>
      <w:kern w:val="0"/>
      <w:sz w:val="24"/>
      <w:szCs w:val="20"/>
      <w:u w:color="000000"/>
    </w:rPr>
  </w:style>
  <w:style w:type="character" w:customStyle="1" w:styleId="2398">
    <w:name w:val="默认段落字体1"/>
    <w:semiHidden/>
    <w:qFormat/>
    <w:uiPriority w:val="0"/>
    <w:rPr>
      <w:rFonts w:ascii="Times New Roman" w:eastAsia="宋体"/>
      <w:color w:val="000000"/>
      <w:spacing w:val="0"/>
      <w:w w:val="100"/>
      <w:sz w:val="21"/>
      <w:u w:val="none" w:color="000000"/>
      <w:vertAlign w:val="baseline"/>
      <w:lang w:val="en-US" w:eastAsia="zh-CN"/>
    </w:rPr>
  </w:style>
  <w:style w:type="paragraph" w:customStyle="1" w:styleId="2399">
    <w:name w:val="图形中文字"/>
    <w:basedOn w:val="1"/>
    <w:qFormat/>
    <w:uiPriority w:val="0"/>
    <w:pPr>
      <w:widowControl/>
      <w:spacing w:line="606" w:lineRule="atLeast"/>
      <w:ind w:firstLine="419"/>
      <w:jc w:val="center"/>
      <w:textAlignment w:val="baseline"/>
    </w:pPr>
    <w:rPr>
      <w:rFonts w:ascii="宋体"/>
      <w:color w:val="000000"/>
      <w:kern w:val="0"/>
      <w:sz w:val="24"/>
      <w:szCs w:val="20"/>
      <w:u w:color="000000"/>
    </w:rPr>
  </w:style>
  <w:style w:type="paragraph" w:customStyle="1" w:styleId="2400">
    <w:name w:val="图表头"/>
    <w:basedOn w:val="1"/>
    <w:next w:val="1"/>
    <w:qFormat/>
    <w:uiPriority w:val="0"/>
    <w:pPr>
      <w:widowControl/>
      <w:spacing w:line="708" w:lineRule="atLeast"/>
      <w:ind w:firstLine="419"/>
      <w:jc w:val="center"/>
      <w:textAlignment w:val="baseline"/>
    </w:pPr>
    <w:rPr>
      <w:rFonts w:ascii="宋体"/>
      <w:b/>
      <w:color w:val="000000"/>
      <w:kern w:val="0"/>
      <w:sz w:val="24"/>
      <w:szCs w:val="20"/>
      <w:u w:color="000000"/>
    </w:rPr>
  </w:style>
  <w:style w:type="paragraph" w:customStyle="1" w:styleId="2401">
    <w:name w:val="表格_dg"/>
    <w:basedOn w:val="1"/>
    <w:qFormat/>
    <w:uiPriority w:val="0"/>
    <w:pPr>
      <w:widowControl/>
      <w:spacing w:line="572" w:lineRule="atLeast"/>
      <w:ind w:firstLine="419"/>
      <w:jc w:val="center"/>
      <w:textAlignment w:val="center"/>
    </w:pPr>
    <w:rPr>
      <w:rFonts w:ascii="宋体"/>
      <w:color w:val="000000"/>
      <w:kern w:val="0"/>
      <w:szCs w:val="20"/>
      <w:u w:color="000000"/>
    </w:rPr>
  </w:style>
  <w:style w:type="paragraph" w:customStyle="1" w:styleId="2402">
    <w:name w:val="!标题1(alt+1)"/>
    <w:basedOn w:val="2389"/>
    <w:next w:val="1"/>
    <w:qFormat/>
    <w:uiPriority w:val="0"/>
    <w:pPr>
      <w:spacing w:line="440" w:lineRule="exact"/>
      <w:jc w:val="both"/>
      <w:outlineLvl w:val="9"/>
    </w:pPr>
    <w:rPr>
      <w:rFonts w:ascii="Times New Roman" w:hAnsi="Times New Roman" w:eastAsia="宋体"/>
      <w:b/>
      <w:sz w:val="24"/>
    </w:rPr>
  </w:style>
  <w:style w:type="paragraph" w:customStyle="1" w:styleId="2403">
    <w:name w:val="!标题2(alt+2)"/>
    <w:next w:val="1"/>
    <w:qFormat/>
    <w:uiPriority w:val="0"/>
    <w:pPr>
      <w:jc w:val="both"/>
    </w:pPr>
    <w:rPr>
      <w:rFonts w:ascii="Calibri" w:hAnsi="Calibri" w:eastAsia="宋体" w:cs="Calibri"/>
      <w:b/>
      <w:bCs/>
      <w:color w:val="000000"/>
      <w:sz w:val="24"/>
      <w:szCs w:val="24"/>
      <w:lang w:val="en-US" w:eastAsia="zh-CN" w:bidi="ar-SA"/>
    </w:rPr>
  </w:style>
  <w:style w:type="character" w:customStyle="1" w:styleId="2404">
    <w:name w:val="!标题2(alt+2) Char Char"/>
    <w:qFormat/>
    <w:uiPriority w:val="0"/>
    <w:rPr>
      <w:rFonts w:eastAsia="宋体"/>
      <w:kern w:val="2"/>
      <w:sz w:val="30"/>
      <w:szCs w:val="30"/>
      <w:lang w:val="en-US" w:eastAsia="zh-CN" w:bidi="ar-SA"/>
    </w:rPr>
  </w:style>
  <w:style w:type="paragraph" w:customStyle="1" w:styleId="2405">
    <w:name w:val="!标题3(alt+3)"/>
    <w:next w:val="1"/>
    <w:qFormat/>
    <w:uiPriority w:val="0"/>
    <w:pPr>
      <w:spacing w:before="120" w:after="80" w:line="500" w:lineRule="exact"/>
      <w:outlineLvl w:val="2"/>
    </w:pPr>
    <w:rPr>
      <w:rFonts w:ascii="Calibri" w:hAnsi="Calibri" w:eastAsia="黑体" w:cs="Calibri"/>
      <w:kern w:val="2"/>
      <w:sz w:val="24"/>
      <w:szCs w:val="24"/>
      <w:lang w:val="en-US" w:eastAsia="zh-CN" w:bidi="ar-SA"/>
    </w:rPr>
  </w:style>
  <w:style w:type="character" w:customStyle="1" w:styleId="2406">
    <w:name w:val="!标题3(alt+3) Char Char"/>
    <w:qFormat/>
    <w:uiPriority w:val="0"/>
    <w:rPr>
      <w:rFonts w:eastAsia="黑体"/>
      <w:kern w:val="2"/>
      <w:sz w:val="24"/>
      <w:szCs w:val="24"/>
      <w:lang w:val="en-US" w:eastAsia="zh-CN" w:bidi="ar-SA"/>
    </w:rPr>
  </w:style>
  <w:style w:type="paragraph" w:customStyle="1" w:styleId="2407">
    <w:name w:val="!标题4(alt+4)"/>
    <w:basedOn w:val="1"/>
    <w:qFormat/>
    <w:uiPriority w:val="0"/>
    <w:pPr>
      <w:tabs>
        <w:tab w:val="left" w:pos="1825"/>
      </w:tabs>
      <w:spacing w:line="420" w:lineRule="exact"/>
      <w:ind w:left="1825" w:hanging="420"/>
      <w:outlineLvl w:val="3"/>
    </w:pPr>
    <w:rPr>
      <w:sz w:val="24"/>
    </w:rPr>
  </w:style>
  <w:style w:type="paragraph" w:customStyle="1" w:styleId="2408">
    <w:name w:val="!表标题(alt+h)"/>
    <w:next w:val="1"/>
    <w:qFormat/>
    <w:uiPriority w:val="0"/>
    <w:pPr>
      <w:spacing w:after="78" w:line="440" w:lineRule="exact"/>
      <w:ind w:firstLine="480" w:firstLineChars="200"/>
      <w:jc w:val="center"/>
    </w:pPr>
    <w:rPr>
      <w:rFonts w:ascii="黑体" w:hAnsi="黑体" w:eastAsia="黑体" w:cs="Calibri"/>
      <w:bCs/>
      <w:sz w:val="24"/>
      <w:szCs w:val="28"/>
      <w:lang w:val="en-US" w:eastAsia="zh-CN" w:bidi="ar-SA"/>
    </w:rPr>
  </w:style>
  <w:style w:type="character" w:customStyle="1" w:styleId="2409">
    <w:name w:val="!表标题(alt+h) Char"/>
    <w:qFormat/>
    <w:uiPriority w:val="0"/>
    <w:rPr>
      <w:rFonts w:eastAsia="黑体"/>
      <w:sz w:val="24"/>
      <w:szCs w:val="24"/>
      <w:lang w:val="en-US" w:eastAsia="zh-CN" w:bidi="ar-SA"/>
    </w:rPr>
  </w:style>
  <w:style w:type="character" w:customStyle="1" w:styleId="2410">
    <w:name w:val="!表格(alt+t) Char"/>
    <w:qFormat/>
    <w:uiPriority w:val="0"/>
    <w:rPr>
      <w:rFonts w:eastAsia="宋体"/>
      <w:sz w:val="21"/>
      <w:szCs w:val="21"/>
      <w:lang w:val="en-US" w:eastAsia="zh-CN" w:bidi="ar-SA"/>
    </w:rPr>
  </w:style>
  <w:style w:type="character" w:customStyle="1" w:styleId="2411">
    <w:name w:val="!正文(alt+c) Char"/>
    <w:qFormat/>
    <w:uiPriority w:val="0"/>
    <w:rPr>
      <w:rFonts w:eastAsia="宋体"/>
      <w:sz w:val="24"/>
      <w:szCs w:val="24"/>
      <w:lang w:val="en-US" w:eastAsia="zh-CN" w:bidi="ar-SA"/>
    </w:rPr>
  </w:style>
  <w:style w:type="character" w:customStyle="1" w:styleId="2412">
    <w:name w:val="!注_字符(alt+p)"/>
    <w:qFormat/>
    <w:uiPriority w:val="0"/>
    <w:rPr>
      <w:rFonts w:eastAsia="宋体"/>
      <w:sz w:val="21"/>
    </w:rPr>
  </w:style>
  <w:style w:type="paragraph" w:customStyle="1" w:styleId="2413">
    <w:name w:val="gg_body"/>
    <w:basedOn w:val="1"/>
    <w:qFormat/>
    <w:uiPriority w:val="0"/>
    <w:pPr>
      <w:spacing w:line="460" w:lineRule="exact"/>
      <w:ind w:firstLine="200" w:firstLineChars="200"/>
    </w:pPr>
    <w:rPr>
      <w:rFonts w:ascii="宋体" w:hAnsi="宋体"/>
      <w:sz w:val="24"/>
    </w:rPr>
  </w:style>
  <w:style w:type="character" w:customStyle="1" w:styleId="2414">
    <w:name w:val="!正文(alt+c) Char1"/>
    <w:qFormat/>
    <w:uiPriority w:val="0"/>
    <w:rPr>
      <w:rFonts w:eastAsia="宋体"/>
      <w:sz w:val="24"/>
      <w:szCs w:val="24"/>
      <w:lang w:val="en-US" w:eastAsia="zh-CN" w:bidi="ar-SA"/>
    </w:rPr>
  </w:style>
  <w:style w:type="character" w:customStyle="1" w:styleId="2415">
    <w:name w:val="!表标题(alt+h) Char2"/>
    <w:qFormat/>
    <w:uiPriority w:val="0"/>
    <w:rPr>
      <w:rFonts w:hint="eastAsia" w:ascii="黑体" w:eastAsia="黑体"/>
      <w:color w:val="000000"/>
      <w:sz w:val="24"/>
      <w:szCs w:val="24"/>
      <w:lang w:val="en-US" w:eastAsia="zh-CN" w:bidi="ar-SA"/>
    </w:rPr>
  </w:style>
  <w:style w:type="character" w:customStyle="1" w:styleId="2416">
    <w:name w:val="!表标题(alt+h) Char1"/>
    <w:qFormat/>
    <w:uiPriority w:val="0"/>
    <w:rPr>
      <w:rFonts w:eastAsia="黑体"/>
      <w:sz w:val="24"/>
      <w:szCs w:val="24"/>
      <w:lang w:val="en-US" w:eastAsia="zh-CN" w:bidi="ar-SA"/>
    </w:rPr>
  </w:style>
  <w:style w:type="paragraph" w:customStyle="1" w:styleId="2417">
    <w:name w:val="样式 !正文(alt+c) + 首行缩进:  2 字符"/>
    <w:basedOn w:val="2386"/>
    <w:qFormat/>
    <w:uiPriority w:val="0"/>
    <w:pPr>
      <w:spacing w:line="440" w:lineRule="exact"/>
    </w:pPr>
    <w:rPr>
      <w:color w:val="000000"/>
      <w:szCs w:val="20"/>
    </w:rPr>
  </w:style>
  <w:style w:type="paragraph" w:customStyle="1" w:styleId="2418">
    <w:name w:val="表5号字"/>
    <w:qFormat/>
    <w:uiPriority w:val="0"/>
    <w:pPr>
      <w:keepNext/>
      <w:widowControl w:val="0"/>
      <w:adjustRightInd w:val="0"/>
      <w:spacing w:before="120" w:line="60" w:lineRule="atLeast"/>
      <w:jc w:val="center"/>
      <w:textAlignment w:val="baseline"/>
    </w:pPr>
    <w:rPr>
      <w:rFonts w:ascii="Calibri" w:hAnsi="Calibri" w:eastAsia="宋体" w:cs="Calibri"/>
      <w:sz w:val="21"/>
      <w:lang w:val="en-US" w:eastAsia="zh-CN" w:bidi="ar-SA"/>
    </w:rPr>
  </w:style>
  <w:style w:type="character" w:customStyle="1" w:styleId="2419">
    <w:name w:val="正文4号 Char Char"/>
    <w:qFormat/>
    <w:uiPriority w:val="0"/>
    <w:rPr>
      <w:rFonts w:eastAsia="宋体"/>
      <w:kern w:val="2"/>
      <w:sz w:val="24"/>
      <w:lang w:val="en-US" w:eastAsia="zh-CN" w:bidi="ar-SA"/>
    </w:rPr>
  </w:style>
  <w:style w:type="paragraph" w:customStyle="1" w:styleId="2420">
    <w:name w:val="pa-4"/>
    <w:basedOn w:val="1"/>
    <w:qFormat/>
    <w:uiPriority w:val="0"/>
    <w:pPr>
      <w:widowControl/>
      <w:spacing w:beforeAutospacing="1" w:afterAutospacing="1"/>
      <w:jc w:val="left"/>
    </w:pPr>
    <w:rPr>
      <w:rFonts w:ascii="宋体" w:hAnsi="宋体" w:cs="宋体"/>
      <w:kern w:val="0"/>
      <w:sz w:val="24"/>
    </w:rPr>
  </w:style>
  <w:style w:type="character" w:customStyle="1" w:styleId="2421">
    <w:name w:val="ca-51"/>
    <w:qFormat/>
    <w:uiPriority w:val="0"/>
  </w:style>
  <w:style w:type="paragraph" w:customStyle="1" w:styleId="2422">
    <w:name w:val="样式 行距: 固定值 18 磅 首行缩进:  2 字符"/>
    <w:basedOn w:val="1"/>
    <w:qFormat/>
    <w:uiPriority w:val="0"/>
    <w:pPr>
      <w:spacing w:line="360" w:lineRule="auto"/>
      <w:ind w:firstLine="420" w:firstLineChars="200"/>
    </w:pPr>
    <w:rPr>
      <w:rFonts w:cs="宋体"/>
      <w:sz w:val="24"/>
      <w:szCs w:val="20"/>
    </w:rPr>
  </w:style>
  <w:style w:type="paragraph" w:customStyle="1" w:styleId="2423">
    <w:name w:val="Char Char Char1 Char Char Char Char"/>
    <w:basedOn w:val="1"/>
    <w:qFormat/>
    <w:uiPriority w:val="0"/>
    <w:pPr>
      <w:adjustRightInd w:val="0"/>
      <w:snapToGrid w:val="0"/>
      <w:spacing w:line="360" w:lineRule="auto"/>
      <w:ind w:firstLine="200" w:firstLineChars="200"/>
    </w:pPr>
    <w:rPr>
      <w:rFonts w:ascii="宋体" w:hAnsi="宋体" w:cs="宋体"/>
      <w:sz w:val="24"/>
      <w:szCs w:val="26"/>
    </w:rPr>
  </w:style>
  <w:style w:type="character" w:customStyle="1" w:styleId="2424">
    <w:name w:val="question-title2"/>
    <w:qFormat/>
    <w:uiPriority w:val="0"/>
  </w:style>
  <w:style w:type="paragraph" w:customStyle="1" w:styleId="2425">
    <w:name w:val="cucd-1"/>
    <w:next w:val="2343"/>
    <w:qFormat/>
    <w:uiPriority w:val="0"/>
    <w:pPr>
      <w:pageBreakBefore/>
      <w:tabs>
        <w:tab w:val="left" w:pos="425"/>
      </w:tabs>
      <w:spacing w:beforeLines="100" w:afterLines="50" w:line="360" w:lineRule="auto"/>
      <w:ind w:left="425" w:hanging="425"/>
      <w:jc w:val="center"/>
      <w:outlineLvl w:val="0"/>
    </w:pPr>
    <w:rPr>
      <w:rFonts w:ascii="Calibri" w:hAnsi="Calibri" w:eastAsia="黑体" w:cs="Calibri"/>
      <w:b/>
      <w:kern w:val="2"/>
      <w:sz w:val="36"/>
      <w:szCs w:val="24"/>
      <w:lang w:val="en-US" w:eastAsia="zh-CN" w:bidi="ar-SA"/>
    </w:rPr>
  </w:style>
  <w:style w:type="character" w:customStyle="1" w:styleId="2426">
    <w:name w:val="cucd-3 Char1"/>
    <w:qFormat/>
    <w:uiPriority w:val="0"/>
    <w:rPr>
      <w:rFonts w:eastAsia="宋体"/>
      <w:b/>
      <w:kern w:val="2"/>
      <w:sz w:val="28"/>
      <w:szCs w:val="24"/>
      <w:lang w:val="en-US" w:eastAsia="zh-CN" w:bidi="ar-SA"/>
    </w:rPr>
  </w:style>
  <w:style w:type="paragraph" w:customStyle="1" w:styleId="2427">
    <w:name w:val="样式 标题 3 + 段后: 0.5 行"/>
    <w:basedOn w:val="7"/>
    <w:qFormat/>
    <w:uiPriority w:val="0"/>
    <w:pPr>
      <w:widowControl w:val="0"/>
      <w:adjustRightInd/>
      <w:snapToGrid/>
      <w:spacing w:before="120" w:beforeLines="10" w:after="120" w:afterLines="10"/>
      <w:ind w:left="720" w:hanging="432" w:firstLineChars="200"/>
      <w:jc w:val="both"/>
    </w:pPr>
    <w:rPr>
      <w:rFonts w:ascii="Times New Roman" w:hAnsi="Times New Roman"/>
      <w:lang w:val="en-US"/>
    </w:rPr>
  </w:style>
  <w:style w:type="paragraph" w:customStyle="1" w:styleId="2428">
    <w:name w:val="样式 cucd-0 + 宋体"/>
    <w:basedOn w:val="1"/>
    <w:qFormat/>
    <w:uiPriority w:val="0"/>
    <w:pPr>
      <w:widowControl/>
      <w:spacing w:line="360" w:lineRule="auto"/>
      <w:ind w:firstLine="480" w:firstLineChars="200"/>
      <w:jc w:val="left"/>
    </w:pPr>
    <w:rPr>
      <w:rFonts w:ascii="宋体" w:hAnsi="宋体"/>
      <w:sz w:val="24"/>
    </w:rPr>
  </w:style>
  <w:style w:type="paragraph" w:customStyle="1" w:styleId="2429">
    <w:name w:val="reader-word-layer reader-word-s1-8"/>
    <w:basedOn w:val="1"/>
    <w:qFormat/>
    <w:uiPriority w:val="0"/>
    <w:pPr>
      <w:widowControl/>
      <w:spacing w:beforeAutospacing="1" w:afterAutospacing="1"/>
      <w:jc w:val="left"/>
    </w:pPr>
    <w:rPr>
      <w:rFonts w:ascii="宋体" w:hAnsi="宋体" w:cs="宋体"/>
      <w:kern w:val="0"/>
      <w:sz w:val="24"/>
    </w:rPr>
  </w:style>
  <w:style w:type="paragraph" w:customStyle="1" w:styleId="2430">
    <w:name w:val="CM23"/>
    <w:basedOn w:val="2"/>
    <w:next w:val="2"/>
    <w:qFormat/>
    <w:uiPriority w:val="0"/>
    <w:pPr>
      <w:suppressAutoHyphens w:val="0"/>
      <w:adjustRightInd w:val="0"/>
      <w:spacing w:line="573" w:lineRule="atLeast"/>
      <w:textAlignment w:val="auto"/>
    </w:pPr>
    <w:rPr>
      <w:rFonts w:ascii="黑体" w:hAnsi="Times New Roman" w:eastAsia="黑体" w:cs="Times New Roman"/>
      <w:color w:val="auto"/>
      <w:sz w:val="20"/>
    </w:rPr>
  </w:style>
  <w:style w:type="character" w:customStyle="1" w:styleId="2431">
    <w:name w:val="Body Text Indent Char"/>
    <w:semiHidden/>
    <w:qFormat/>
    <w:locked/>
    <w:uiPriority w:val="0"/>
    <w:rPr>
      <w:rFonts w:ascii="Times New Roman" w:hAnsi="Times New Roman" w:eastAsia="宋体" w:cs="Times New Roman"/>
      <w:color w:val="FF0000"/>
      <w:sz w:val="20"/>
      <w:szCs w:val="20"/>
    </w:rPr>
  </w:style>
  <w:style w:type="paragraph" w:customStyle="1" w:styleId="2432">
    <w:name w:val="三亚标3"/>
    <w:basedOn w:val="1"/>
    <w:qFormat/>
    <w:uiPriority w:val="0"/>
    <w:pPr>
      <w:keepNext/>
      <w:keepLines/>
      <w:spacing w:line="413" w:lineRule="auto"/>
      <w:jc w:val="left"/>
      <w:outlineLvl w:val="1"/>
    </w:pPr>
    <w:rPr>
      <w:b/>
      <w:bCs/>
      <w:kern w:val="0"/>
      <w:sz w:val="24"/>
      <w:szCs w:val="32"/>
    </w:rPr>
  </w:style>
  <w:style w:type="paragraph" w:customStyle="1" w:styleId="2433">
    <w:name w:val="CM80"/>
    <w:basedOn w:val="2"/>
    <w:next w:val="2"/>
    <w:qFormat/>
    <w:uiPriority w:val="0"/>
    <w:pPr>
      <w:suppressAutoHyphens w:val="0"/>
      <w:adjustRightInd w:val="0"/>
      <w:spacing w:after="68"/>
      <w:textAlignment w:val="auto"/>
    </w:pPr>
    <w:rPr>
      <w:rFonts w:hAnsi="Times New Roman" w:cs="Times New Roman"/>
      <w:color w:val="auto"/>
    </w:rPr>
  </w:style>
  <w:style w:type="character" w:customStyle="1" w:styleId="2434">
    <w:name w:val="cucd-0 Char Char"/>
    <w:qFormat/>
    <w:locked/>
    <w:uiPriority w:val="0"/>
    <w:rPr>
      <w:kern w:val="2"/>
      <w:sz w:val="24"/>
      <w:szCs w:val="24"/>
    </w:rPr>
  </w:style>
  <w:style w:type="character" w:customStyle="1" w:styleId="2435">
    <w:name w:val="标准样式 Char Char"/>
    <w:link w:val="2436"/>
    <w:qFormat/>
    <w:uiPriority w:val="0"/>
    <w:rPr>
      <w:rFonts w:eastAsia="仿宋_GB2312"/>
      <w:kern w:val="28"/>
      <w:sz w:val="28"/>
      <w:szCs w:val="28"/>
    </w:rPr>
  </w:style>
  <w:style w:type="paragraph" w:customStyle="1" w:styleId="2436">
    <w:name w:val="标准样式"/>
    <w:basedOn w:val="1"/>
    <w:link w:val="2435"/>
    <w:qFormat/>
    <w:uiPriority w:val="0"/>
    <w:pPr>
      <w:topLinePunct/>
      <w:spacing w:line="360" w:lineRule="auto"/>
      <w:ind w:firstLine="560" w:firstLineChars="200"/>
      <w:jc w:val="left"/>
    </w:pPr>
    <w:rPr>
      <w:rFonts w:eastAsia="仿宋_GB2312"/>
      <w:kern w:val="28"/>
      <w:sz w:val="28"/>
      <w:szCs w:val="28"/>
    </w:rPr>
  </w:style>
  <w:style w:type="character" w:customStyle="1" w:styleId="2437">
    <w:name w:val="公正文 Char"/>
    <w:link w:val="2438"/>
    <w:qFormat/>
    <w:locked/>
    <w:uiPriority w:val="0"/>
    <w:rPr>
      <w:rFonts w:ascii="宋体" w:hAnsi="宋体" w:eastAsia="仿宋_GB2312"/>
      <w:sz w:val="28"/>
      <w:szCs w:val="24"/>
    </w:rPr>
  </w:style>
  <w:style w:type="paragraph" w:customStyle="1" w:styleId="2438">
    <w:name w:val="公正文"/>
    <w:basedOn w:val="21"/>
    <w:link w:val="2437"/>
    <w:qFormat/>
    <w:uiPriority w:val="0"/>
    <w:pPr>
      <w:keepNext w:val="0"/>
      <w:adjustRightInd w:val="0"/>
      <w:snapToGrid w:val="0"/>
      <w:spacing w:line="355" w:lineRule="auto"/>
      <w:ind w:firstLine="200" w:firstLineChars="200"/>
      <w:jc w:val="both"/>
    </w:pPr>
    <w:rPr>
      <w:rFonts w:eastAsia="仿宋_GB2312"/>
      <w:bCs w:val="0"/>
      <w:sz w:val="28"/>
    </w:rPr>
  </w:style>
  <w:style w:type="paragraph" w:customStyle="1" w:styleId="2439">
    <w:name w:val="正文文本缩进 31"/>
    <w:basedOn w:val="1"/>
    <w:qFormat/>
    <w:uiPriority w:val="0"/>
    <w:pPr>
      <w:ind w:left="420" w:leftChars="200"/>
    </w:pPr>
    <w:rPr>
      <w:sz w:val="16"/>
      <w:szCs w:val="16"/>
    </w:rPr>
  </w:style>
  <w:style w:type="paragraph" w:customStyle="1" w:styleId="2440">
    <w:name w:val="修订2"/>
    <w:semiHidden/>
    <w:qFormat/>
    <w:uiPriority w:val="99"/>
    <w:rPr>
      <w:rFonts w:ascii="Calibri" w:hAnsi="Calibri" w:eastAsia="宋体" w:cs="Calibri"/>
      <w:kern w:val="2"/>
      <w:sz w:val="21"/>
      <w:szCs w:val="24"/>
      <w:lang w:val="en-US" w:eastAsia="zh-CN" w:bidi="ar-SA"/>
    </w:rPr>
  </w:style>
  <w:style w:type="character" w:customStyle="1" w:styleId="2441">
    <w:name w:val="description6"/>
    <w:qFormat/>
    <w:uiPriority w:val="0"/>
  </w:style>
  <w:style w:type="paragraph" w:customStyle="1" w:styleId="2442">
    <w:name w:val="_Style 4"/>
    <w:basedOn w:val="1"/>
    <w:qFormat/>
    <w:uiPriority w:val="0"/>
    <w:pPr>
      <w:widowControl/>
      <w:spacing w:line="240" w:lineRule="exact"/>
      <w:jc w:val="left"/>
    </w:pPr>
    <w:rPr>
      <w:color w:val="000000"/>
      <w:sz w:val="24"/>
    </w:rPr>
  </w:style>
  <w:style w:type="character" w:customStyle="1" w:styleId="2443">
    <w:name w:val="环评正文2 Char Char"/>
    <w:link w:val="2444"/>
    <w:qFormat/>
    <w:uiPriority w:val="0"/>
    <w:rPr>
      <w:rFonts w:ascii="宋体" w:hAnsi="宋体" w:eastAsia="仿宋_GB2312"/>
      <w:color w:val="000000"/>
      <w:kern w:val="16"/>
      <w:sz w:val="24"/>
      <w:szCs w:val="24"/>
    </w:rPr>
  </w:style>
  <w:style w:type="paragraph" w:customStyle="1" w:styleId="2444">
    <w:name w:val="环评正文2"/>
    <w:basedOn w:val="1"/>
    <w:link w:val="2443"/>
    <w:qFormat/>
    <w:uiPriority w:val="0"/>
    <w:pPr>
      <w:spacing w:line="360" w:lineRule="auto"/>
      <w:ind w:firstLine="200" w:firstLineChars="200"/>
    </w:pPr>
    <w:rPr>
      <w:rFonts w:ascii="宋体" w:hAnsi="宋体" w:eastAsia="仿宋_GB2312"/>
      <w:color w:val="000000"/>
      <w:kern w:val="16"/>
      <w:sz w:val="24"/>
    </w:rPr>
  </w:style>
  <w:style w:type="paragraph" w:customStyle="1" w:styleId="2445">
    <w:name w:val="表格字2"/>
    <w:basedOn w:val="1"/>
    <w:qFormat/>
    <w:uiPriority w:val="0"/>
    <w:rPr>
      <w:rFonts w:ascii="宋体" w:hAnsi="宋体"/>
      <w:color w:val="000000"/>
      <w:kern w:val="16"/>
      <w:szCs w:val="21"/>
    </w:rPr>
  </w:style>
  <w:style w:type="character" w:customStyle="1" w:styleId="2446">
    <w:name w:val="fontstyle21"/>
    <w:qFormat/>
    <w:uiPriority w:val="0"/>
    <w:rPr>
      <w:rFonts w:hint="default" w:ascii="TimesNewRoman" w:hAnsi="TimesNewRoman"/>
      <w:color w:val="000000"/>
      <w:sz w:val="24"/>
      <w:szCs w:val="24"/>
    </w:rPr>
  </w:style>
  <w:style w:type="character" w:customStyle="1" w:styleId="2447">
    <w:name w:val="fontstyle31"/>
    <w:qFormat/>
    <w:uiPriority w:val="0"/>
    <w:rPr>
      <w:rFonts w:hint="default" w:ascii="TimesNewRoman" w:hAnsi="TimesNewRoman"/>
      <w:b/>
      <w:bCs/>
      <w:color w:val="000000"/>
      <w:sz w:val="24"/>
      <w:szCs w:val="24"/>
    </w:rPr>
  </w:style>
  <w:style w:type="character" w:customStyle="1" w:styleId="2448">
    <w:name w:val="二级条标题 Char Char"/>
    <w:qFormat/>
    <w:uiPriority w:val="0"/>
    <w:rPr>
      <w:rFonts w:ascii="黑体" w:eastAsia="黑体"/>
      <w:sz w:val="21"/>
      <w:lang w:val="en-US" w:eastAsia="zh-CN" w:bidi="ar-SA"/>
    </w:rPr>
  </w:style>
  <w:style w:type="paragraph" w:customStyle="1" w:styleId="2449">
    <w:name w:val="Char Char Char Char Char Char Char Char Char Char Char Char4"/>
    <w:basedOn w:val="1"/>
    <w:qFormat/>
    <w:uiPriority w:val="0"/>
    <w:pPr>
      <w:widowControl/>
      <w:tabs>
        <w:tab w:val="left" w:pos="540"/>
        <w:tab w:val="left" w:pos="1800"/>
      </w:tabs>
      <w:adjustRightInd w:val="0"/>
      <w:snapToGrid w:val="0"/>
      <w:spacing w:line="240" w:lineRule="exact"/>
      <w:ind w:firstLine="480" w:firstLineChars="200"/>
      <w:jc w:val="left"/>
    </w:pPr>
    <w:rPr>
      <w:sz w:val="24"/>
      <w:szCs w:val="22"/>
    </w:rPr>
  </w:style>
  <w:style w:type="paragraph" w:customStyle="1" w:styleId="2450">
    <w:name w:val="正文14"/>
    <w:qFormat/>
    <w:uiPriority w:val="0"/>
    <w:pPr>
      <w:jc w:val="both"/>
    </w:pPr>
    <w:rPr>
      <w:rFonts w:ascii="Calibri" w:hAnsi="Calibri" w:eastAsia="宋体" w:cs="Calibri"/>
      <w:kern w:val="2"/>
      <w:sz w:val="21"/>
      <w:szCs w:val="21"/>
      <w:lang w:val="en-US" w:eastAsia="zh-CN" w:bidi="ar-SA"/>
    </w:rPr>
  </w:style>
  <w:style w:type="paragraph" w:customStyle="1" w:styleId="2451">
    <w:name w:val="Char Char Char Char Char Char Char Char Char Char Char Char7"/>
    <w:basedOn w:val="1"/>
    <w:qFormat/>
    <w:uiPriority w:val="0"/>
    <w:pPr>
      <w:widowControl/>
      <w:tabs>
        <w:tab w:val="left" w:pos="540"/>
        <w:tab w:val="left" w:pos="1800"/>
      </w:tabs>
      <w:adjustRightInd w:val="0"/>
      <w:snapToGrid w:val="0"/>
      <w:spacing w:line="240" w:lineRule="exact"/>
      <w:ind w:firstLine="480" w:firstLineChars="200"/>
      <w:jc w:val="left"/>
    </w:pPr>
    <w:rPr>
      <w:sz w:val="24"/>
      <w:szCs w:val="22"/>
    </w:rPr>
  </w:style>
  <w:style w:type="paragraph" w:customStyle="1" w:styleId="2452">
    <w:name w:val="表格内字体"/>
    <w:basedOn w:val="1"/>
    <w:link w:val="2453"/>
    <w:qFormat/>
    <w:uiPriority w:val="0"/>
    <w:pPr>
      <w:jc w:val="center"/>
    </w:pPr>
    <w:rPr>
      <w:szCs w:val="18"/>
    </w:rPr>
  </w:style>
  <w:style w:type="character" w:customStyle="1" w:styleId="2453">
    <w:name w:val="表格内字体 Char"/>
    <w:link w:val="2452"/>
    <w:qFormat/>
    <w:uiPriority w:val="0"/>
    <w:rPr>
      <w:kern w:val="2"/>
      <w:sz w:val="21"/>
      <w:szCs w:val="18"/>
    </w:rPr>
  </w:style>
  <w:style w:type="paragraph" w:customStyle="1" w:styleId="2454">
    <w:name w:val="标题44"/>
    <w:basedOn w:val="1"/>
    <w:link w:val="2455"/>
    <w:qFormat/>
    <w:uiPriority w:val="0"/>
    <w:pPr>
      <w:spacing w:line="360" w:lineRule="auto"/>
      <w:jc w:val="left"/>
      <w:outlineLvl w:val="3"/>
    </w:pPr>
    <w:rPr>
      <w:b/>
      <w:sz w:val="24"/>
    </w:rPr>
  </w:style>
  <w:style w:type="character" w:customStyle="1" w:styleId="2455">
    <w:name w:val="标题44 Char"/>
    <w:link w:val="2454"/>
    <w:qFormat/>
    <w:uiPriority w:val="0"/>
    <w:rPr>
      <w:b/>
      <w:kern w:val="2"/>
      <w:sz w:val="24"/>
      <w:szCs w:val="24"/>
    </w:rPr>
  </w:style>
  <w:style w:type="table" w:customStyle="1" w:styleId="2456">
    <w:name w:val="专业网格3"/>
    <w:basedOn w:val="8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457">
    <w:name w:val="WJ表格 Char"/>
    <w:link w:val="2458"/>
    <w:qFormat/>
    <w:uiPriority w:val="0"/>
    <w:rPr>
      <w:rFonts w:ascii="宋体" w:hAnsi="宋体"/>
      <w:color w:val="000000"/>
      <w:szCs w:val="24"/>
    </w:rPr>
  </w:style>
  <w:style w:type="paragraph" w:customStyle="1" w:styleId="2458">
    <w:name w:val="WJ表格"/>
    <w:basedOn w:val="1"/>
    <w:next w:val="1"/>
    <w:link w:val="2457"/>
    <w:qFormat/>
    <w:uiPriority w:val="0"/>
    <w:pPr>
      <w:tabs>
        <w:tab w:val="left" w:pos="600"/>
      </w:tabs>
      <w:jc w:val="center"/>
    </w:pPr>
    <w:rPr>
      <w:rFonts w:ascii="宋体" w:hAnsi="宋体"/>
      <w:color w:val="000000"/>
      <w:kern w:val="0"/>
      <w:sz w:val="20"/>
    </w:rPr>
  </w:style>
  <w:style w:type="character" w:customStyle="1" w:styleId="2459">
    <w:name w:val="WJ标题3 Char"/>
    <w:link w:val="2460"/>
    <w:qFormat/>
    <w:uiPriority w:val="0"/>
    <w:rPr>
      <w:rFonts w:ascii="宋体" w:hAnsi="宋体"/>
      <w:color w:val="000000"/>
      <w:sz w:val="24"/>
      <w:szCs w:val="24"/>
    </w:rPr>
  </w:style>
  <w:style w:type="paragraph" w:customStyle="1" w:styleId="2460">
    <w:name w:val="WJ标题3"/>
    <w:basedOn w:val="6"/>
    <w:link w:val="2459"/>
    <w:qFormat/>
    <w:uiPriority w:val="0"/>
    <w:pPr>
      <w:spacing w:beforeLines="10" w:afterLines="10"/>
      <w:ind w:firstLine="200" w:firstLineChars="200"/>
    </w:pPr>
    <w:rPr>
      <w:rFonts w:ascii="宋体" w:hAnsi="宋体" w:eastAsia="宋体"/>
      <w:b w:val="0"/>
      <w:bCs w:val="0"/>
      <w:color w:val="000000"/>
      <w:kern w:val="0"/>
      <w:sz w:val="24"/>
      <w:szCs w:val="24"/>
    </w:rPr>
  </w:style>
  <w:style w:type="character" w:customStyle="1" w:styleId="2461">
    <w:name w:val="WJ正文 Char"/>
    <w:link w:val="2462"/>
    <w:qFormat/>
    <w:uiPriority w:val="0"/>
    <w:rPr>
      <w:rFonts w:ascii="宋体" w:hAnsi="宋体"/>
      <w:color w:val="000000"/>
      <w:sz w:val="24"/>
      <w:szCs w:val="24"/>
    </w:rPr>
  </w:style>
  <w:style w:type="paragraph" w:customStyle="1" w:styleId="2462">
    <w:name w:val="WJ正文"/>
    <w:basedOn w:val="1"/>
    <w:next w:val="1"/>
    <w:link w:val="2461"/>
    <w:qFormat/>
    <w:uiPriority w:val="0"/>
    <w:pPr>
      <w:tabs>
        <w:tab w:val="left" w:pos="600"/>
      </w:tabs>
      <w:spacing w:line="360" w:lineRule="auto"/>
      <w:ind w:firstLine="200" w:firstLineChars="200"/>
    </w:pPr>
    <w:rPr>
      <w:rFonts w:ascii="宋体" w:hAnsi="宋体"/>
      <w:color w:val="000000"/>
      <w:kern w:val="0"/>
      <w:sz w:val="24"/>
    </w:rPr>
  </w:style>
  <w:style w:type="paragraph" w:customStyle="1" w:styleId="2463">
    <w:name w:val="纯文本5"/>
    <w:basedOn w:val="1"/>
    <w:qFormat/>
    <w:uiPriority w:val="0"/>
    <w:pPr>
      <w:adjustRightInd w:val="0"/>
      <w:textAlignment w:val="baseline"/>
    </w:pPr>
    <w:rPr>
      <w:rFonts w:ascii="宋体" w:hAnsi="Courier New"/>
      <w:szCs w:val="20"/>
    </w:rPr>
  </w:style>
  <w:style w:type="paragraph" w:customStyle="1" w:styleId="2464">
    <w:name w:val="默认段落字体 Para Char Char Char Char Char Char Char Char Char Char Char Char Char"/>
    <w:basedOn w:val="1"/>
    <w:qFormat/>
    <w:uiPriority w:val="0"/>
  </w:style>
  <w:style w:type="paragraph" w:customStyle="1" w:styleId="2465">
    <w:name w:val="basic eng. doc."/>
    <w:basedOn w:val="1"/>
    <w:qFormat/>
    <w:uiPriority w:val="0"/>
    <w:pPr>
      <w:adjustRightInd w:val="0"/>
      <w:snapToGrid w:val="0"/>
      <w:ind w:left="200" w:leftChars="200"/>
    </w:pPr>
    <w:rPr>
      <w:rFonts w:hint="eastAsia" w:ascii="宋体" w:hAnsi="宋体"/>
      <w:kern w:val="0"/>
      <w:szCs w:val="32"/>
    </w:rPr>
  </w:style>
  <w:style w:type="paragraph" w:customStyle="1" w:styleId="2466">
    <w:name w:val="默认段落字体 Char Char Char"/>
    <w:basedOn w:val="1"/>
    <w:qFormat/>
    <w:uiPriority w:val="0"/>
    <w:rPr>
      <w:sz w:val="24"/>
    </w:rPr>
  </w:style>
  <w:style w:type="paragraph" w:customStyle="1" w:styleId="2467">
    <w:name w:val="日期5"/>
    <w:basedOn w:val="1"/>
    <w:next w:val="1"/>
    <w:qFormat/>
    <w:uiPriority w:val="0"/>
    <w:pPr>
      <w:adjustRightInd w:val="0"/>
      <w:jc w:val="left"/>
      <w:textAlignment w:val="baseline"/>
    </w:pPr>
    <w:rPr>
      <w:rFonts w:ascii="宋体"/>
      <w:spacing w:val="24"/>
      <w:kern w:val="24"/>
      <w:sz w:val="24"/>
      <w:szCs w:val="20"/>
    </w:rPr>
  </w:style>
  <w:style w:type="character" w:customStyle="1" w:styleId="2468">
    <w:name w:val="标题 1 Char Char Char Char1"/>
    <w:qFormat/>
    <w:uiPriority w:val="0"/>
    <w:rPr>
      <w:rFonts w:eastAsia="宋体"/>
      <w:b/>
      <w:bCs/>
      <w:kern w:val="44"/>
      <w:sz w:val="44"/>
      <w:szCs w:val="44"/>
      <w:lang w:val="en-US" w:eastAsia="zh-CN" w:bidi="ar-SA"/>
    </w:rPr>
  </w:style>
  <w:style w:type="paragraph" w:customStyle="1" w:styleId="2469">
    <w:name w:val="puce"/>
    <w:basedOn w:val="1"/>
    <w:qFormat/>
    <w:uiPriority w:val="0"/>
    <w:pPr>
      <w:widowControl/>
      <w:tabs>
        <w:tab w:val="left" w:pos="1040"/>
      </w:tabs>
      <w:adjustRightInd w:val="0"/>
      <w:snapToGrid w:val="0"/>
      <w:ind w:left="1020" w:hanging="340"/>
    </w:pPr>
    <w:rPr>
      <w:rFonts w:ascii="Arial" w:hAnsi="Arial"/>
      <w:kern w:val="0"/>
      <w:sz w:val="24"/>
      <w:szCs w:val="20"/>
    </w:rPr>
  </w:style>
  <w:style w:type="paragraph" w:customStyle="1" w:styleId="2470">
    <w:name w:val="ENUM"/>
    <w:basedOn w:val="1"/>
    <w:qFormat/>
    <w:uiPriority w:val="0"/>
    <w:pPr>
      <w:widowControl/>
      <w:tabs>
        <w:tab w:val="left" w:pos="1418"/>
      </w:tabs>
      <w:ind w:left="1418" w:hanging="284" w:firstLineChars="200"/>
    </w:pPr>
    <w:rPr>
      <w:rFonts w:ascii="Arial" w:hAnsi="Arial"/>
      <w:kern w:val="0"/>
      <w:sz w:val="22"/>
      <w:szCs w:val="20"/>
      <w:lang w:val="en-GB"/>
    </w:rPr>
  </w:style>
  <w:style w:type="character" w:customStyle="1" w:styleId="2471">
    <w:name w:val="style81"/>
    <w:qFormat/>
    <w:uiPriority w:val="0"/>
    <w:rPr>
      <w:sz w:val="24"/>
      <w:szCs w:val="24"/>
    </w:rPr>
  </w:style>
  <w:style w:type="paragraph" w:customStyle="1" w:styleId="2472">
    <w:name w:val="插图标题"/>
    <w:basedOn w:val="1"/>
    <w:qFormat/>
    <w:uiPriority w:val="0"/>
    <w:pPr>
      <w:tabs>
        <w:tab w:val="left" w:pos="1134"/>
        <w:tab w:val="right" w:pos="7371"/>
      </w:tabs>
      <w:overflowPunct w:val="0"/>
      <w:adjustRightInd w:val="0"/>
      <w:ind w:firstLine="567"/>
      <w:jc w:val="center"/>
      <w:textAlignment w:val="baseline"/>
    </w:pPr>
    <w:rPr>
      <w:rFonts w:ascii="黑体" w:eastAsia="黑体"/>
      <w:kern w:val="0"/>
      <w:sz w:val="28"/>
      <w:szCs w:val="20"/>
    </w:rPr>
  </w:style>
  <w:style w:type="paragraph" w:customStyle="1" w:styleId="2473">
    <w:name w:val="小标题2"/>
    <w:basedOn w:val="1"/>
    <w:qFormat/>
    <w:uiPriority w:val="0"/>
    <w:pPr>
      <w:spacing w:line="336" w:lineRule="auto"/>
    </w:pPr>
    <w:rPr>
      <w:b/>
      <w:bCs/>
      <w:sz w:val="24"/>
    </w:rPr>
  </w:style>
  <w:style w:type="paragraph" w:customStyle="1" w:styleId="2474">
    <w:name w:val="表格名称"/>
    <w:basedOn w:val="1"/>
    <w:next w:val="1"/>
    <w:qFormat/>
    <w:uiPriority w:val="0"/>
    <w:pPr>
      <w:spacing w:line="300" w:lineRule="auto"/>
      <w:jc w:val="center"/>
    </w:pPr>
    <w:rPr>
      <w:rFonts w:eastAsia="黑体"/>
      <w:bCs/>
      <w:sz w:val="24"/>
    </w:rPr>
  </w:style>
  <w:style w:type="paragraph" w:customStyle="1" w:styleId="2475">
    <w:name w:val="图标字体"/>
    <w:basedOn w:val="1"/>
    <w:link w:val="2476"/>
    <w:qFormat/>
    <w:uiPriority w:val="0"/>
    <w:pPr>
      <w:tabs>
        <w:tab w:val="left" w:pos="660"/>
      </w:tabs>
      <w:adjustRightInd w:val="0"/>
      <w:snapToGrid w:val="0"/>
      <w:spacing w:afterLines="50"/>
      <w:jc w:val="center"/>
    </w:pPr>
    <w:rPr>
      <w:b/>
      <w:sz w:val="24"/>
      <w:szCs w:val="26"/>
    </w:rPr>
  </w:style>
  <w:style w:type="character" w:customStyle="1" w:styleId="2476">
    <w:name w:val="图标字体 Char"/>
    <w:link w:val="2475"/>
    <w:qFormat/>
    <w:uiPriority w:val="0"/>
    <w:rPr>
      <w:b/>
      <w:kern w:val="2"/>
      <w:sz w:val="24"/>
      <w:szCs w:val="26"/>
    </w:rPr>
  </w:style>
  <w:style w:type="character" w:customStyle="1" w:styleId="2477">
    <w:name w:val="表头 Char1"/>
    <w:qFormat/>
    <w:uiPriority w:val="0"/>
    <w:rPr>
      <w:rFonts w:eastAsia="黑体"/>
      <w:b/>
      <w:kern w:val="2"/>
      <w:sz w:val="24"/>
      <w:szCs w:val="24"/>
      <w:lang w:val="en-US" w:eastAsia="zh-CN" w:bidi="ar-SA"/>
    </w:rPr>
  </w:style>
  <w:style w:type="paragraph" w:customStyle="1" w:styleId="2478">
    <w:name w:val="表 头"/>
    <w:basedOn w:val="1"/>
    <w:qFormat/>
    <w:uiPriority w:val="0"/>
    <w:pPr>
      <w:adjustRightInd w:val="0"/>
      <w:spacing w:line="360" w:lineRule="atLeast"/>
      <w:jc w:val="center"/>
    </w:pPr>
    <w:rPr>
      <w:rFonts w:eastAsia="黑体"/>
      <w:spacing w:val="10"/>
      <w:kern w:val="0"/>
      <w:sz w:val="24"/>
      <w:szCs w:val="20"/>
    </w:rPr>
  </w:style>
  <w:style w:type="character" w:customStyle="1" w:styleId="2479">
    <w:name w:val="neirong1"/>
    <w:qFormat/>
    <w:uiPriority w:val="0"/>
    <w:rPr>
      <w:sz w:val="21"/>
      <w:szCs w:val="21"/>
    </w:rPr>
  </w:style>
  <w:style w:type="paragraph" w:customStyle="1" w:styleId="2480">
    <w:name w:val="表格居中"/>
    <w:qFormat/>
    <w:uiPriority w:val="0"/>
    <w:pPr>
      <w:widowControl w:val="0"/>
      <w:jc w:val="center"/>
    </w:pPr>
    <w:rPr>
      <w:rFonts w:hint="eastAsia" w:ascii="宋体" w:hAnsi="Arial" w:eastAsia="宋体" w:cs="Calibri"/>
      <w:kern w:val="2"/>
      <w:sz w:val="21"/>
      <w:lang w:val="en-US" w:eastAsia="zh-CN" w:bidi="ar-SA"/>
    </w:rPr>
  </w:style>
  <w:style w:type="paragraph" w:customStyle="1" w:styleId="2481">
    <w:name w:val="AFTERTITLE"/>
    <w:basedOn w:val="1"/>
    <w:qFormat/>
    <w:uiPriority w:val="0"/>
    <w:pPr>
      <w:widowControl/>
      <w:spacing w:afterLines="25" w:line="360" w:lineRule="atLeast"/>
      <w:ind w:firstLine="200" w:firstLineChars="200"/>
      <w:jc w:val="center"/>
    </w:pPr>
    <w:rPr>
      <w:b/>
      <w:caps/>
      <w:kern w:val="0"/>
      <w:sz w:val="24"/>
      <w:szCs w:val="20"/>
      <w:lang w:val="fr-FR"/>
    </w:rPr>
  </w:style>
  <w:style w:type="paragraph" w:customStyle="1" w:styleId="2482">
    <w:name w:val="正文图"/>
    <w:basedOn w:val="1"/>
    <w:qFormat/>
    <w:uiPriority w:val="0"/>
    <w:pPr>
      <w:adjustRightInd w:val="0"/>
      <w:snapToGrid w:val="0"/>
      <w:jc w:val="center"/>
      <w:textAlignment w:val="baseline"/>
    </w:pPr>
    <w:rPr>
      <w:rFonts w:ascii="宋体"/>
      <w:kern w:val="0"/>
      <w:sz w:val="24"/>
      <w:szCs w:val="20"/>
    </w:rPr>
  </w:style>
  <w:style w:type="paragraph" w:customStyle="1" w:styleId="2483">
    <w:name w:val="正文图五"/>
    <w:basedOn w:val="1"/>
    <w:qFormat/>
    <w:uiPriority w:val="0"/>
    <w:pPr>
      <w:adjustRightInd w:val="0"/>
      <w:snapToGrid w:val="0"/>
      <w:jc w:val="center"/>
    </w:pPr>
    <w:rPr>
      <w:rFonts w:ascii="仿宋_GB2312" w:hAnsi="华文宋体" w:eastAsia="仿宋_GB2312"/>
      <w:spacing w:val="6"/>
      <w:sz w:val="18"/>
      <w:szCs w:val="18"/>
    </w:rPr>
  </w:style>
  <w:style w:type="paragraph" w:customStyle="1" w:styleId="2484">
    <w:name w:val="样式 标题 2 + 宋体 小四"/>
    <w:basedOn w:val="6"/>
    <w:qFormat/>
    <w:uiPriority w:val="0"/>
    <w:pPr>
      <w:spacing w:beforeLines="10" w:afterLines="10"/>
      <w:ind w:firstLine="200" w:firstLineChars="200"/>
    </w:pPr>
    <w:rPr>
      <w:rFonts w:ascii="Cambria" w:hAnsi="Cambria" w:eastAsia="宋体"/>
    </w:rPr>
  </w:style>
  <w:style w:type="paragraph" w:customStyle="1" w:styleId="2485">
    <w:name w:val="样式 小四 首行缩进:  2.5 字符"/>
    <w:basedOn w:val="1"/>
    <w:qFormat/>
    <w:uiPriority w:val="0"/>
    <w:pPr>
      <w:spacing w:afterLines="25"/>
      <w:ind w:firstLine="200" w:firstLineChars="200"/>
    </w:pPr>
    <w:rPr>
      <w:sz w:val="24"/>
      <w:szCs w:val="20"/>
    </w:rPr>
  </w:style>
  <w:style w:type="paragraph" w:customStyle="1" w:styleId="2486">
    <w:name w:val="正文图五左"/>
    <w:basedOn w:val="2483"/>
    <w:qFormat/>
    <w:uiPriority w:val="0"/>
  </w:style>
  <w:style w:type="paragraph" w:customStyle="1" w:styleId="2487">
    <w:name w:val="生物附录"/>
    <w:qFormat/>
    <w:uiPriority w:val="0"/>
    <w:pPr>
      <w:jc w:val="both"/>
    </w:pPr>
    <w:rPr>
      <w:rFonts w:ascii="Calibri" w:hAnsi="Calibri" w:eastAsia="宋体" w:cs="Calibri"/>
      <w:b/>
      <w:spacing w:val="20"/>
      <w:sz w:val="28"/>
      <w:lang w:val="en-US" w:eastAsia="zh-CN" w:bidi="ar-SA"/>
    </w:rPr>
  </w:style>
  <w:style w:type="character" w:customStyle="1" w:styleId="2488">
    <w:name w:val="样式 标题 1 + 黑体 四号 非加粗 Char"/>
    <w:qFormat/>
    <w:uiPriority w:val="0"/>
    <w:rPr>
      <w:rFonts w:eastAsia="黑体"/>
      <w:bCs/>
      <w:kern w:val="44"/>
      <w:sz w:val="28"/>
      <w:szCs w:val="28"/>
      <w:lang w:val="en-US" w:eastAsia="zh-CN" w:bidi="ar-SA"/>
    </w:rPr>
  </w:style>
  <w:style w:type="character" w:customStyle="1" w:styleId="2489">
    <w:name w:val="样式 标题 2 + 仿宋_GB2312 四号 非加粗 Char"/>
    <w:qFormat/>
    <w:uiPriority w:val="0"/>
    <w:rPr>
      <w:rFonts w:eastAsia="仿宋_GB2312"/>
      <w:bCs/>
      <w:kern w:val="2"/>
      <w:sz w:val="28"/>
      <w:szCs w:val="28"/>
      <w:lang w:val="en-US" w:eastAsia="zh-CN" w:bidi="ar-SA"/>
    </w:rPr>
  </w:style>
  <w:style w:type="paragraph" w:customStyle="1" w:styleId="2490">
    <w:name w:val="样式 正文文本缩进特点标题表内左齐 + 首行缩进:  2 字符"/>
    <w:basedOn w:val="35"/>
    <w:qFormat/>
    <w:uiPriority w:val="0"/>
    <w:pPr>
      <w:spacing w:line="360" w:lineRule="auto"/>
      <w:ind w:left="0" w:leftChars="0" w:firstLine="200" w:firstLineChars="200"/>
    </w:pPr>
    <w:rPr>
      <w:rFonts w:eastAsia="仿宋_GB2312"/>
      <w:color w:val="000000"/>
      <w:spacing w:val="4"/>
      <w:szCs w:val="24"/>
    </w:rPr>
  </w:style>
  <w:style w:type="character" w:customStyle="1" w:styleId="2491">
    <w:name w:val="样式 标题 3 + 小四 非加粗 Char"/>
    <w:qFormat/>
    <w:uiPriority w:val="0"/>
    <w:rPr>
      <w:rFonts w:eastAsia="仿宋_GB2312"/>
      <w:b/>
      <w:bCs/>
      <w:kern w:val="2"/>
      <w:sz w:val="24"/>
      <w:szCs w:val="24"/>
      <w:lang w:val="en-US" w:eastAsia="zh-CN" w:bidi="ar-SA"/>
    </w:rPr>
  </w:style>
  <w:style w:type="character" w:customStyle="1" w:styleId="2492">
    <w:name w:val="样式 标题 2 + (西文) Times New Roman (中文) 仿宋_GB2312 四号 非加粗 Char"/>
    <w:qFormat/>
    <w:uiPriority w:val="0"/>
    <w:rPr>
      <w:rFonts w:eastAsia="仿宋_GB2312"/>
      <w:bCs/>
      <w:kern w:val="2"/>
      <w:sz w:val="28"/>
      <w:szCs w:val="28"/>
      <w:lang w:val="en-US" w:eastAsia="zh-CN" w:bidi="ar-SA"/>
    </w:rPr>
  </w:style>
  <w:style w:type="character" w:customStyle="1" w:styleId="2493">
    <w:name w:val="样式 样式 样式 标题 2 + (西文) Times New Roman (中文) 仿宋_GB2312 四号 非加粗 + Ari... Char"/>
    <w:qFormat/>
    <w:uiPriority w:val="0"/>
    <w:rPr>
      <w:rFonts w:eastAsia="仿宋_GB2312"/>
      <w:bCs/>
      <w:kern w:val="2"/>
      <w:sz w:val="28"/>
      <w:szCs w:val="28"/>
      <w:lang w:val="en-US" w:eastAsia="zh-CN" w:bidi="ar-SA"/>
    </w:rPr>
  </w:style>
  <w:style w:type="paragraph" w:customStyle="1" w:styleId="2494">
    <w:name w:val="样式 标题 2 + 加粗 行距: 1.5 倍行距"/>
    <w:basedOn w:val="6"/>
    <w:qFormat/>
    <w:uiPriority w:val="0"/>
    <w:pPr>
      <w:spacing w:beforeLines="10" w:afterLines="10"/>
      <w:ind w:firstLine="200" w:firstLineChars="200"/>
    </w:pPr>
    <w:rPr>
      <w:rFonts w:ascii="Cambria" w:hAnsi="Cambria" w:eastAsia="宋体"/>
    </w:rPr>
  </w:style>
  <w:style w:type="character" w:customStyle="1" w:styleId="2495">
    <w:name w:val="样式 样式 标题 3 + 小四 非加粗 + Char"/>
    <w:qFormat/>
    <w:uiPriority w:val="0"/>
  </w:style>
  <w:style w:type="character" w:customStyle="1" w:styleId="2496">
    <w:name w:val="样式 样式 样式 标题 3 + 小四 非加粗 + + Char"/>
    <w:qFormat/>
    <w:uiPriority w:val="0"/>
  </w:style>
  <w:style w:type="character" w:customStyle="1" w:styleId="2497">
    <w:name w:val="f9"/>
    <w:qFormat/>
    <w:uiPriority w:val="0"/>
    <w:rPr>
      <w:rFonts w:ascii="Times New Roman" w:hAnsi="Times New Roman" w:eastAsia="仿宋_GB2312"/>
      <w:sz w:val="24"/>
    </w:rPr>
  </w:style>
  <w:style w:type="paragraph" w:customStyle="1" w:styleId="2498">
    <w:name w:val="框图sq"/>
    <w:basedOn w:val="1"/>
    <w:qFormat/>
    <w:uiPriority w:val="0"/>
    <w:pPr>
      <w:adjustRightInd w:val="0"/>
      <w:spacing w:line="0" w:lineRule="atLeast"/>
      <w:textAlignment w:val="baseline"/>
    </w:pPr>
    <w:rPr>
      <w:rFonts w:ascii="宋体"/>
      <w:kern w:val="0"/>
      <w:szCs w:val="20"/>
    </w:rPr>
  </w:style>
  <w:style w:type="character" w:customStyle="1" w:styleId="2499">
    <w:name w:val="style1"/>
    <w:qFormat/>
    <w:uiPriority w:val="0"/>
  </w:style>
  <w:style w:type="paragraph" w:customStyle="1" w:styleId="2500">
    <w:name w:val="样式 正文文本缩进正文文字缩进特点标题表内左齐 + (中文) 仿宋_GB2312 11 磅 两端对齐 行距: 1.5..."/>
    <w:basedOn w:val="35"/>
    <w:qFormat/>
    <w:uiPriority w:val="0"/>
    <w:pPr>
      <w:autoSpaceDE w:val="0"/>
      <w:autoSpaceDN w:val="0"/>
      <w:snapToGrid w:val="0"/>
      <w:spacing w:line="360" w:lineRule="auto"/>
      <w:ind w:left="0" w:leftChars="0" w:firstLine="440" w:firstLineChars="200"/>
    </w:pPr>
    <w:rPr>
      <w:rFonts w:eastAsia="仿宋_GB2312"/>
      <w:sz w:val="22"/>
      <w:szCs w:val="24"/>
    </w:rPr>
  </w:style>
  <w:style w:type="paragraph" w:customStyle="1" w:styleId="2501">
    <w:name w:val="样式 正文文本缩进正文文字缩进特点标题表内左齐 + (中文) 仿宋_GB2312 11 磅 两端对齐 行距: 1.5...1"/>
    <w:basedOn w:val="35"/>
    <w:qFormat/>
    <w:uiPriority w:val="0"/>
    <w:pPr>
      <w:autoSpaceDE w:val="0"/>
      <w:autoSpaceDN w:val="0"/>
      <w:snapToGrid w:val="0"/>
      <w:spacing w:line="360" w:lineRule="auto"/>
      <w:ind w:left="0" w:leftChars="0" w:firstLine="440" w:firstLineChars="200"/>
    </w:pPr>
    <w:rPr>
      <w:rFonts w:eastAsia="仿宋_GB2312"/>
      <w:sz w:val="22"/>
      <w:szCs w:val="24"/>
    </w:rPr>
  </w:style>
  <w:style w:type="paragraph" w:customStyle="1" w:styleId="2502">
    <w:name w:val="样式 正文文字缩进 3 + (西文) Times New Roman (中文) 仿宋_GB2312 11 磅"/>
    <w:basedOn w:val="1"/>
    <w:next w:val="2501"/>
    <w:qFormat/>
    <w:uiPriority w:val="0"/>
    <w:pPr>
      <w:snapToGrid w:val="0"/>
      <w:spacing w:line="312" w:lineRule="auto"/>
      <w:ind w:firstLine="330" w:firstLineChars="150"/>
      <w:textAlignment w:val="baseline"/>
    </w:pPr>
    <w:rPr>
      <w:rFonts w:hAnsi="Arial" w:eastAsia="仿宋_GB2312"/>
      <w:spacing w:val="6"/>
      <w:kern w:val="0"/>
      <w:sz w:val="22"/>
    </w:rPr>
  </w:style>
  <w:style w:type="paragraph" w:customStyle="1" w:styleId="2503">
    <w:name w:val="样式 正文文本缩进正文文字缩进特点标题表内左齐 + (中文) 仿宋_GB2312 11.5 磅 两端对齐 行距: 1..."/>
    <w:basedOn w:val="50"/>
    <w:qFormat/>
    <w:uiPriority w:val="0"/>
    <w:pPr>
      <w:spacing w:after="0" w:line="240" w:lineRule="auto"/>
      <w:ind w:left="0" w:leftChars="0"/>
    </w:pPr>
    <w:rPr>
      <w:szCs w:val="22"/>
    </w:rPr>
  </w:style>
  <w:style w:type="paragraph" w:customStyle="1" w:styleId="2504">
    <w:name w:val="标题正文"/>
    <w:basedOn w:val="1"/>
    <w:qFormat/>
    <w:uiPriority w:val="0"/>
    <w:pPr>
      <w:spacing w:line="360" w:lineRule="auto"/>
      <w:ind w:firstLine="480" w:firstLineChars="200"/>
    </w:pPr>
    <w:rPr>
      <w:rFonts w:eastAsia="仿宋_GB2312"/>
      <w:sz w:val="24"/>
      <w:szCs w:val="20"/>
    </w:rPr>
  </w:style>
  <w:style w:type="paragraph" w:customStyle="1" w:styleId="2505">
    <w:name w:val="文本正文"/>
    <w:basedOn w:val="1"/>
    <w:link w:val="2506"/>
    <w:qFormat/>
    <w:uiPriority w:val="0"/>
    <w:pPr>
      <w:spacing w:line="360" w:lineRule="auto"/>
      <w:ind w:firstLine="480" w:firstLineChars="200"/>
    </w:pPr>
    <w:rPr>
      <w:rFonts w:eastAsia="仿宋_GB2312"/>
      <w:sz w:val="24"/>
    </w:rPr>
  </w:style>
  <w:style w:type="character" w:customStyle="1" w:styleId="2506">
    <w:name w:val="文本正文 Char"/>
    <w:link w:val="2505"/>
    <w:qFormat/>
    <w:uiPriority w:val="0"/>
    <w:rPr>
      <w:rFonts w:eastAsia="仿宋_GB2312"/>
      <w:kern w:val="2"/>
      <w:sz w:val="24"/>
      <w:szCs w:val="24"/>
    </w:rPr>
  </w:style>
  <w:style w:type="character" w:customStyle="1" w:styleId="2507">
    <w:name w:val="表头字体 Char"/>
    <w:qFormat/>
    <w:uiPriority w:val="0"/>
    <w:rPr>
      <w:rFonts w:ascii="Times New Roman" w:hAnsi="Times New Roman" w:eastAsia="宋体" w:cs="Times New Roman"/>
      <w:b/>
      <w:sz w:val="24"/>
      <w:szCs w:val="24"/>
    </w:rPr>
  </w:style>
  <w:style w:type="paragraph" w:customStyle="1" w:styleId="2508">
    <w:name w:val="样式 表头 + 两端对齐"/>
    <w:basedOn w:val="199"/>
    <w:qFormat/>
    <w:uiPriority w:val="0"/>
    <w:pPr>
      <w:keepNext/>
      <w:keepLines/>
      <w:spacing w:before="60" w:line="360" w:lineRule="auto"/>
      <w:ind w:firstLine="200" w:firstLineChars="200"/>
      <w:jc w:val="both"/>
    </w:pPr>
    <w:rPr>
      <w:rFonts w:eastAsia="仿宋_GB2312"/>
      <w:b w:val="0"/>
      <w:kern w:val="0"/>
      <w:lang w:val="en-US"/>
    </w:rPr>
  </w:style>
  <w:style w:type="character" w:customStyle="1" w:styleId="2509">
    <w:name w:val="unnamed1"/>
    <w:qFormat/>
    <w:uiPriority w:val="0"/>
  </w:style>
  <w:style w:type="paragraph" w:customStyle="1" w:styleId="2510">
    <w:name w:val="样式 表格文字 + 五号 黑色"/>
    <w:basedOn w:val="45"/>
    <w:qFormat/>
    <w:uiPriority w:val="0"/>
    <w:pPr>
      <w:suppressAutoHyphens w:val="0"/>
      <w:autoSpaceDN/>
      <w:adjustRightInd w:val="0"/>
      <w:snapToGrid w:val="0"/>
      <w:spacing w:beforeLines="20" w:line="240" w:lineRule="atLeast"/>
      <w:jc w:val="center"/>
    </w:pPr>
    <w:rPr>
      <w:rFonts w:ascii="Times New Roman" w:hAnsi="Times New Roman"/>
      <w:color w:val="000000"/>
      <w:kern w:val="0"/>
      <w:szCs w:val="21"/>
    </w:rPr>
  </w:style>
  <w:style w:type="paragraph" w:customStyle="1" w:styleId="2511">
    <w:name w:val="样式 表标题 + 段前: 0.5 行"/>
    <w:basedOn w:val="1023"/>
    <w:qFormat/>
    <w:uiPriority w:val="0"/>
    <w:pPr>
      <w:keepNext/>
      <w:keepLines/>
      <w:widowControl w:val="0"/>
      <w:adjustRightInd w:val="0"/>
      <w:snapToGrid w:val="0"/>
      <w:spacing w:line="348" w:lineRule="auto"/>
    </w:pPr>
    <w:rPr>
      <w:rFonts w:ascii="Times New Roman" w:hAnsi="Times New Roman" w:eastAsia="宋体"/>
      <w:b w:val="0"/>
      <w:bCs w:val="0"/>
      <w:spacing w:val="0"/>
    </w:rPr>
  </w:style>
  <w:style w:type="character" w:customStyle="1" w:styleId="2512">
    <w:name w:val="标题 4 Char Char Char Char Char Char Char Char Char Char Char Char Char Char Char Char Char Char Char"/>
    <w:qFormat/>
    <w:uiPriority w:val="0"/>
    <w:rPr>
      <w:rFonts w:ascii="Arial" w:hAnsi="Arial" w:eastAsia="黑体"/>
      <w:b/>
      <w:bCs/>
      <w:snapToGrid w:val="0"/>
      <w:sz w:val="24"/>
      <w:szCs w:val="28"/>
      <w:lang w:val="en-US" w:eastAsia="zh-CN" w:bidi="ar-SA"/>
    </w:rPr>
  </w:style>
  <w:style w:type="paragraph" w:customStyle="1" w:styleId="2513">
    <w:name w:val="样式 标题 1 + 仿宋_GB2312 加粗 首行缩进:  2 字符"/>
    <w:basedOn w:val="5"/>
    <w:qFormat/>
    <w:uiPriority w:val="0"/>
    <w:pPr>
      <w:keepLines/>
      <w:overflowPunct/>
      <w:snapToGrid/>
      <w:spacing w:before="0" w:beforeLines="10" w:after="0" w:afterLines="10" w:line="578" w:lineRule="auto"/>
      <w:ind w:left="0" w:firstLine="200" w:firstLineChars="200"/>
    </w:pPr>
    <w:rPr>
      <w:rFonts w:eastAsia="宋体"/>
      <w:color w:val="auto"/>
      <w:sz w:val="44"/>
      <w:szCs w:val="44"/>
    </w:rPr>
  </w:style>
  <w:style w:type="paragraph" w:customStyle="1" w:styleId="2514">
    <w:name w:val="文本框五号 Char"/>
    <w:qFormat/>
    <w:uiPriority w:val="0"/>
    <w:pPr>
      <w:jc w:val="center"/>
    </w:pPr>
    <w:rPr>
      <w:rFonts w:ascii="Calibri" w:hAnsi="Calibri" w:eastAsia="仿宋_GB2312" w:cs="Calibri"/>
      <w:kern w:val="2"/>
      <w:sz w:val="21"/>
      <w:szCs w:val="21"/>
      <w:lang w:val="en-US" w:eastAsia="zh-CN" w:bidi="ar-SA"/>
    </w:rPr>
  </w:style>
  <w:style w:type="character" w:customStyle="1" w:styleId="2515">
    <w:name w:val="文本框五号 Char Char"/>
    <w:qFormat/>
    <w:uiPriority w:val="0"/>
    <w:rPr>
      <w:rFonts w:eastAsia="仿宋_GB2312"/>
      <w:kern w:val="2"/>
      <w:sz w:val="21"/>
      <w:szCs w:val="21"/>
      <w:lang w:val="en-US" w:eastAsia="zh-CN" w:bidi="ar-SA"/>
    </w:rPr>
  </w:style>
  <w:style w:type="paragraph" w:customStyle="1" w:styleId="2516">
    <w:name w:val="文本框5号两端齐"/>
    <w:basedOn w:val="2514"/>
    <w:qFormat/>
    <w:uiPriority w:val="0"/>
    <w:pPr>
      <w:keepNext/>
      <w:keepLines/>
      <w:widowControl w:val="0"/>
      <w:spacing w:beforeLines="10" w:afterLines="10" w:line="578" w:lineRule="auto"/>
      <w:ind w:firstLine="200" w:firstLineChars="200"/>
      <w:jc w:val="both"/>
      <w:outlineLvl w:val="0"/>
    </w:pPr>
    <w:rPr>
      <w:rFonts w:eastAsia="宋体"/>
      <w:b/>
      <w:bCs/>
      <w:kern w:val="44"/>
      <w:sz w:val="44"/>
      <w:szCs w:val="44"/>
    </w:rPr>
  </w:style>
  <w:style w:type="paragraph" w:customStyle="1" w:styleId="2517">
    <w:name w:val="码头表"/>
    <w:basedOn w:val="1"/>
    <w:qFormat/>
    <w:uiPriority w:val="0"/>
    <w:pPr>
      <w:jc w:val="center"/>
    </w:pPr>
    <w:rPr>
      <w:rFonts w:eastAsia="仿宋_GB2312"/>
      <w:color w:val="FF6600"/>
    </w:rPr>
  </w:style>
  <w:style w:type="character" w:customStyle="1" w:styleId="2518">
    <w:name w:val="文本框五号 Char Char Char"/>
    <w:qFormat/>
    <w:uiPriority w:val="0"/>
    <w:rPr>
      <w:rFonts w:eastAsia="仿宋_GB2312"/>
      <w:kern w:val="2"/>
      <w:sz w:val="21"/>
      <w:szCs w:val="21"/>
      <w:lang w:val="en-US" w:eastAsia="zh-CN" w:bidi="ar-SA"/>
    </w:rPr>
  </w:style>
  <w:style w:type="paragraph" w:customStyle="1" w:styleId="2519">
    <w:name w:val="文本框五号1.5倍行距"/>
    <w:basedOn w:val="2514"/>
    <w:qFormat/>
    <w:uiPriority w:val="0"/>
    <w:pPr>
      <w:keepNext/>
      <w:keepLines/>
      <w:widowControl w:val="0"/>
      <w:spacing w:beforeLines="10" w:afterLines="10" w:line="578" w:lineRule="auto"/>
      <w:ind w:firstLine="200" w:firstLineChars="200"/>
      <w:jc w:val="both"/>
      <w:outlineLvl w:val="0"/>
    </w:pPr>
    <w:rPr>
      <w:rFonts w:eastAsia="宋体"/>
      <w:b/>
      <w:bCs/>
      <w:kern w:val="44"/>
      <w:sz w:val="44"/>
      <w:szCs w:val="44"/>
    </w:rPr>
  </w:style>
  <w:style w:type="character" w:customStyle="1" w:styleId="2520">
    <w:name w:val="文本框五号1.5倍行距 Char"/>
    <w:qFormat/>
    <w:uiPriority w:val="0"/>
  </w:style>
  <w:style w:type="character" w:customStyle="1" w:styleId="2521">
    <w:name w:val="文本框五号 Char Char Char Char"/>
    <w:qFormat/>
    <w:uiPriority w:val="0"/>
    <w:rPr>
      <w:rFonts w:eastAsia="仿宋_GB2312"/>
      <w:kern w:val="2"/>
      <w:sz w:val="21"/>
      <w:szCs w:val="21"/>
      <w:lang w:val="en-US" w:eastAsia="zh-CN" w:bidi="ar-SA"/>
    </w:rPr>
  </w:style>
  <w:style w:type="character" w:customStyle="1" w:styleId="2522">
    <w:name w:val="文本框五号1.5倍行距 Char Char"/>
    <w:qFormat/>
    <w:uiPriority w:val="0"/>
    <w:rPr>
      <w:rFonts w:eastAsia="仿宋_GB2312"/>
      <w:kern w:val="2"/>
      <w:sz w:val="21"/>
      <w:szCs w:val="21"/>
      <w:lang w:val="en-US" w:eastAsia="zh-CN" w:bidi="ar-SA"/>
    </w:rPr>
  </w:style>
  <w:style w:type="paragraph" w:customStyle="1" w:styleId="2523">
    <w:name w:val="表格文字五"/>
    <w:basedOn w:val="1"/>
    <w:qFormat/>
    <w:uiPriority w:val="0"/>
    <w:pPr>
      <w:adjustRightInd w:val="0"/>
      <w:snapToGrid w:val="0"/>
      <w:spacing w:beforeLines="20" w:afterLines="20" w:line="312" w:lineRule="auto"/>
    </w:pPr>
    <w:rPr>
      <w:rFonts w:eastAsia="仿宋_GB2312"/>
      <w:szCs w:val="21"/>
    </w:rPr>
  </w:style>
  <w:style w:type="character" w:customStyle="1" w:styleId="2524">
    <w:name w:val="contenttext1"/>
    <w:qFormat/>
    <w:uiPriority w:val="0"/>
  </w:style>
  <w:style w:type="paragraph" w:customStyle="1" w:styleId="2525">
    <w:name w:val="表名称"/>
    <w:basedOn w:val="1"/>
    <w:qFormat/>
    <w:uiPriority w:val="0"/>
    <w:pPr>
      <w:tabs>
        <w:tab w:val="left" w:pos="-120"/>
      </w:tabs>
      <w:overflowPunct w:val="0"/>
      <w:topLinePunct/>
      <w:autoSpaceDE w:val="0"/>
      <w:adjustRightInd w:val="0"/>
      <w:snapToGrid w:val="0"/>
      <w:spacing w:line="240" w:lineRule="atLeast"/>
      <w:jc w:val="left"/>
      <w:textAlignment w:val="baseline"/>
    </w:pPr>
    <w:rPr>
      <w:rFonts w:eastAsia="仿宋_GB2312"/>
      <w:spacing w:val="16"/>
      <w:kern w:val="0"/>
      <w:sz w:val="24"/>
    </w:rPr>
  </w:style>
  <w:style w:type="paragraph" w:customStyle="1" w:styleId="2526">
    <w:name w:val="样式 样式4 + 字距调整小四"/>
    <w:basedOn w:val="1"/>
    <w:qFormat/>
    <w:uiPriority w:val="0"/>
    <w:rPr>
      <w:rFonts w:ascii="Arial" w:hAnsi="Arial" w:eastAsia="楷体_GB2312" w:cs="Arial"/>
      <w:kern w:val="24"/>
      <w:sz w:val="24"/>
    </w:rPr>
  </w:style>
  <w:style w:type="paragraph" w:customStyle="1" w:styleId="2527">
    <w:name w:val="表格五中"/>
    <w:qFormat/>
    <w:uiPriority w:val="0"/>
    <w:pPr>
      <w:adjustRightInd w:val="0"/>
      <w:snapToGrid w:val="0"/>
      <w:spacing w:line="240" w:lineRule="atLeast"/>
      <w:jc w:val="center"/>
    </w:pPr>
    <w:rPr>
      <w:rFonts w:ascii="Calibri" w:hAnsi="Calibri" w:eastAsia="宋体" w:cs="Calibri"/>
      <w:sz w:val="21"/>
      <w:lang w:val="en-US" w:eastAsia="zh-CN" w:bidi="ar-SA"/>
    </w:rPr>
  </w:style>
  <w:style w:type="paragraph" w:customStyle="1" w:styleId="2528">
    <w:name w:val="lff"/>
    <w:basedOn w:val="41"/>
    <w:link w:val="2529"/>
    <w:qFormat/>
    <w:uiPriority w:val="0"/>
    <w:pPr>
      <w:adjustRightInd w:val="0"/>
      <w:snapToGrid w:val="0"/>
      <w:spacing w:after="0" w:line="360" w:lineRule="auto"/>
      <w:ind w:firstLine="200" w:firstLineChars="200"/>
    </w:pPr>
    <w:rPr>
      <w:rFonts w:eastAsia="仿宋_GB2312"/>
      <w:color w:val="000000"/>
      <w:szCs w:val="21"/>
    </w:rPr>
  </w:style>
  <w:style w:type="character" w:customStyle="1" w:styleId="2529">
    <w:name w:val="lff Char Char"/>
    <w:link w:val="2528"/>
    <w:qFormat/>
    <w:uiPriority w:val="0"/>
    <w:rPr>
      <w:rFonts w:eastAsia="仿宋_GB2312"/>
      <w:color w:val="000000"/>
      <w:kern w:val="2"/>
      <w:sz w:val="21"/>
      <w:szCs w:val="21"/>
    </w:rPr>
  </w:style>
  <w:style w:type="character" w:customStyle="1" w:styleId="2530">
    <w:name w:val="lff Char"/>
    <w:qFormat/>
    <w:uiPriority w:val="0"/>
    <w:rPr>
      <w:rFonts w:eastAsia="仿宋_GB2312"/>
      <w:color w:val="000000"/>
      <w:kern w:val="2"/>
      <w:sz w:val="21"/>
      <w:szCs w:val="21"/>
      <w:lang w:val="en-US" w:eastAsia="zh-CN" w:bidi="ar-SA"/>
    </w:rPr>
  </w:style>
  <w:style w:type="paragraph" w:customStyle="1" w:styleId="2531">
    <w:name w:val="编号4号"/>
    <w:basedOn w:val="1"/>
    <w:qFormat/>
    <w:uiPriority w:val="0"/>
    <w:pPr>
      <w:widowControl/>
      <w:snapToGrid w:val="0"/>
      <w:spacing w:line="312" w:lineRule="auto"/>
    </w:pPr>
    <w:rPr>
      <w:rFonts w:ascii="Arial" w:hAnsi="Arial" w:cs="Arial"/>
    </w:rPr>
  </w:style>
  <w:style w:type="character" w:customStyle="1" w:styleId="2532">
    <w:name w:val="td11"/>
    <w:qFormat/>
    <w:uiPriority w:val="0"/>
    <w:rPr>
      <w:rFonts w:hint="default" w:ascii="ˎ̥" w:hAnsi="ˎ̥"/>
      <w:color w:val="000000"/>
      <w:sz w:val="18"/>
      <w:szCs w:val="18"/>
    </w:rPr>
  </w:style>
  <w:style w:type="paragraph" w:customStyle="1" w:styleId="2533">
    <w:name w:val="tit"/>
    <w:basedOn w:val="1"/>
    <w:qFormat/>
    <w:uiPriority w:val="0"/>
    <w:pPr>
      <w:adjustRightInd w:val="0"/>
      <w:snapToGrid w:val="0"/>
      <w:jc w:val="center"/>
      <w:textAlignment w:val="baseline"/>
    </w:pPr>
    <w:rPr>
      <w:kern w:val="0"/>
      <w:szCs w:val="20"/>
    </w:rPr>
  </w:style>
  <w:style w:type="paragraph" w:customStyle="1" w:styleId="2534">
    <w:name w:val="样式 标题 2节标题 1.1b21.1标题2h2l22nd levelTitre2Header 2标题2b2..."/>
    <w:basedOn w:val="6"/>
    <w:qFormat/>
    <w:uiPriority w:val="0"/>
    <w:pPr>
      <w:spacing w:beforeLines="10" w:afterLines="10"/>
      <w:ind w:firstLine="200" w:firstLineChars="200"/>
    </w:pPr>
    <w:rPr>
      <w:rFonts w:ascii="Cambria" w:hAnsi="Cambria" w:eastAsia="宋体"/>
    </w:rPr>
  </w:style>
  <w:style w:type="paragraph" w:customStyle="1" w:styleId="2535">
    <w:name w:val="样式 样式 正文 楷体_GB2312 四号 行距: 固定值 30 磅 + 首行缩进:  2 字符1 + 首行缩进:  2 字符"/>
    <w:basedOn w:val="1"/>
    <w:qFormat/>
    <w:uiPriority w:val="0"/>
    <w:pPr>
      <w:adjustRightInd w:val="0"/>
      <w:snapToGrid w:val="0"/>
      <w:spacing w:line="348" w:lineRule="auto"/>
      <w:ind w:firstLine="560" w:firstLineChars="200"/>
      <w:jc w:val="center"/>
    </w:pPr>
    <w:rPr>
      <w:rFonts w:hAnsi="宋体"/>
      <w:color w:val="000000"/>
      <w:kern w:val="0"/>
      <w:sz w:val="28"/>
      <w:szCs w:val="20"/>
    </w:rPr>
  </w:style>
  <w:style w:type="character" w:customStyle="1" w:styleId="2536">
    <w:name w:val="highlight1"/>
    <w:qFormat/>
    <w:uiPriority w:val="0"/>
    <w:rPr>
      <w:sz w:val="21"/>
      <w:szCs w:val="21"/>
    </w:rPr>
  </w:style>
  <w:style w:type="paragraph" w:customStyle="1" w:styleId="2537">
    <w:name w:val="Char Char Char1 Char Char Char Char Char Char Char Char Char Char"/>
    <w:basedOn w:val="1"/>
    <w:qFormat/>
    <w:uiPriority w:val="0"/>
    <w:pPr>
      <w:adjustRightInd w:val="0"/>
      <w:snapToGrid w:val="0"/>
      <w:spacing w:line="360" w:lineRule="auto"/>
      <w:ind w:firstLine="200" w:firstLineChars="200"/>
    </w:pPr>
    <w:rPr>
      <w:rFonts w:ascii="宋体" w:hAnsi="宋体" w:cs="宋体"/>
      <w:sz w:val="24"/>
      <w:szCs w:val="26"/>
    </w:rPr>
  </w:style>
  <w:style w:type="table" w:customStyle="1" w:styleId="2538">
    <w:name w:val="网格型12"/>
    <w:basedOn w:val="8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39">
    <w:name w:val="正文首行缩进2"/>
    <w:basedOn w:val="34"/>
    <w:qFormat/>
    <w:uiPriority w:val="0"/>
  </w:style>
  <w:style w:type="paragraph" w:customStyle="1" w:styleId="2540">
    <w:name w:val="Body Text First Indent2"/>
    <w:basedOn w:val="34"/>
    <w:qFormat/>
    <w:uiPriority w:val="0"/>
  </w:style>
  <w:style w:type="paragraph" w:customStyle="1" w:styleId="2541">
    <w:name w:val="Body Text First Indent1"/>
    <w:basedOn w:val="34"/>
    <w:qFormat/>
    <w:uiPriority w:val="0"/>
  </w:style>
  <w:style w:type="paragraph" w:customStyle="1" w:styleId="2542">
    <w:name w:val="正文文本缩进 21"/>
    <w:basedOn w:val="1"/>
    <w:qFormat/>
    <w:uiPriority w:val="0"/>
    <w:pPr>
      <w:adjustRightInd w:val="0"/>
      <w:spacing w:line="348" w:lineRule="auto"/>
      <w:ind w:firstLine="573"/>
      <w:textAlignment w:val="baseline"/>
    </w:pPr>
    <w:rPr>
      <w:rFonts w:eastAsia="Wingdings"/>
      <w:sz w:val="28"/>
      <w:szCs w:val="20"/>
    </w:rPr>
  </w:style>
  <w:style w:type="paragraph" w:customStyle="1" w:styleId="2543">
    <w:name w:val="标题样式"/>
    <w:basedOn w:val="2362"/>
    <w:qFormat/>
    <w:uiPriority w:val="0"/>
    <w:pPr>
      <w:spacing w:line="240" w:lineRule="auto"/>
      <w:ind w:firstLine="0" w:firstLineChars="0"/>
    </w:pPr>
    <w:rPr>
      <w:rFonts w:ascii="Times New Roman" w:hAnsi="Times New Roman"/>
    </w:rPr>
  </w:style>
  <w:style w:type="paragraph" w:customStyle="1" w:styleId="2544">
    <w:name w:val="文档结构图1"/>
    <w:basedOn w:val="1"/>
    <w:qFormat/>
    <w:uiPriority w:val="0"/>
    <w:pPr>
      <w:shd w:val="clear" w:color="auto" w:fill="000080"/>
      <w:adjustRightInd w:val="0"/>
      <w:spacing w:line="360" w:lineRule="atLeast"/>
      <w:jc w:val="left"/>
      <w:textAlignment w:val="baseline"/>
    </w:pPr>
    <w:rPr>
      <w:rFonts w:eastAsia="Wingdings"/>
      <w:kern w:val="0"/>
      <w:sz w:val="24"/>
      <w:szCs w:val="20"/>
    </w:rPr>
  </w:style>
  <w:style w:type="paragraph" w:customStyle="1" w:styleId="2545">
    <w:name w:val="样式 正文文本1 + 首行缩进:  2 字符2"/>
    <w:basedOn w:val="1"/>
    <w:qFormat/>
    <w:uiPriority w:val="0"/>
    <w:pPr>
      <w:adjustRightInd w:val="0"/>
      <w:snapToGrid w:val="0"/>
      <w:spacing w:line="348" w:lineRule="auto"/>
    </w:pPr>
    <w:rPr>
      <w:sz w:val="28"/>
      <w:szCs w:val="20"/>
    </w:rPr>
  </w:style>
  <w:style w:type="paragraph" w:customStyle="1" w:styleId="2546">
    <w:name w:val="正文 楷体_GB2312 四号 行距: 固定值 30 磅"/>
    <w:basedOn w:val="1"/>
    <w:qFormat/>
    <w:uiPriority w:val="0"/>
    <w:pPr>
      <w:spacing w:line="400" w:lineRule="exact"/>
      <w:jc w:val="center"/>
    </w:pPr>
    <w:rPr>
      <w:rFonts w:ascii="Arial" w:hAnsi="Arial" w:cs="Arial"/>
      <w:szCs w:val="21"/>
    </w:rPr>
  </w:style>
  <w:style w:type="paragraph" w:customStyle="1" w:styleId="2547">
    <w:name w:val="正文文本1"/>
    <w:basedOn w:val="1"/>
    <w:qFormat/>
    <w:uiPriority w:val="0"/>
    <w:pPr>
      <w:adjustRightInd w:val="0"/>
      <w:snapToGrid w:val="0"/>
      <w:spacing w:line="348" w:lineRule="auto"/>
      <w:ind w:firstLine="560" w:firstLineChars="200"/>
      <w:jc w:val="center"/>
    </w:pPr>
    <w:rPr>
      <w:rFonts w:ascii="宋体" w:hAnsi="华文宋体" w:cs="宋体"/>
      <w:w w:val="80"/>
      <w:sz w:val="28"/>
      <w:szCs w:val="20"/>
    </w:rPr>
  </w:style>
  <w:style w:type="character" w:customStyle="1" w:styleId="2548">
    <w:name w:val="正文文本1 Char"/>
    <w:qFormat/>
    <w:uiPriority w:val="0"/>
    <w:rPr>
      <w:rFonts w:ascii="宋体" w:hAnsi="华文宋体" w:eastAsia="宋体" w:cs="宋体"/>
      <w:w w:val="80"/>
      <w:kern w:val="2"/>
      <w:sz w:val="28"/>
      <w:lang w:val="en-US" w:eastAsia="zh-CN" w:bidi="ar-SA"/>
    </w:rPr>
  </w:style>
  <w:style w:type="character" w:customStyle="1" w:styleId="2549">
    <w:name w:val="da"/>
    <w:qFormat/>
    <w:uiPriority w:val="0"/>
  </w:style>
  <w:style w:type="paragraph" w:customStyle="1" w:styleId="2550">
    <w:name w:val="样式 正文首行缩进 + 段后: 0 磅"/>
    <w:basedOn w:val="41"/>
    <w:qFormat/>
    <w:uiPriority w:val="0"/>
    <w:pPr>
      <w:adjustRightInd w:val="0"/>
      <w:snapToGrid w:val="0"/>
      <w:spacing w:after="0" w:line="348" w:lineRule="auto"/>
      <w:ind w:firstLine="200" w:firstLineChars="200"/>
      <w:jc w:val="left"/>
      <w:textAlignment w:val="baseline"/>
    </w:pPr>
    <w:rPr>
      <w:rFonts w:cs="宋体"/>
      <w:kern w:val="0"/>
      <w:sz w:val="28"/>
    </w:rPr>
  </w:style>
  <w:style w:type="paragraph" w:customStyle="1" w:styleId="2551">
    <w:name w:val="样式 样式 正文文字 + 首行缩进:  2 字符 + 首行缩进:  2 字符"/>
    <w:basedOn w:val="1476"/>
    <w:qFormat/>
    <w:uiPriority w:val="0"/>
    <w:pPr>
      <w:widowControl w:val="0"/>
      <w:adjustRightInd/>
      <w:spacing w:line="348" w:lineRule="auto"/>
      <w:ind w:firstLine="200" w:firstLineChars="200"/>
      <w:jc w:val="both"/>
    </w:pPr>
    <w:rPr>
      <w:rFonts w:ascii="Times New Roman" w:hAnsi="Times New Roman"/>
      <w:b w:val="0"/>
      <w:sz w:val="28"/>
      <w:szCs w:val="28"/>
      <w:lang w:bidi="ar-SA"/>
    </w:rPr>
  </w:style>
  <w:style w:type="paragraph" w:customStyle="1" w:styleId="2552">
    <w:name w:val="正文缩进（首行缩进两字）"/>
    <w:basedOn w:val="1"/>
    <w:qFormat/>
    <w:uiPriority w:val="0"/>
    <w:pPr>
      <w:adjustRightInd w:val="0"/>
      <w:snapToGrid w:val="0"/>
      <w:spacing w:line="348" w:lineRule="auto"/>
      <w:ind w:firstLine="560" w:firstLineChars="200"/>
      <w:textAlignment w:val="baseline"/>
    </w:pPr>
    <w:rPr>
      <w:rFonts w:cs="宋体"/>
      <w:color w:val="000000"/>
      <w:kern w:val="16"/>
      <w:sz w:val="28"/>
      <w:szCs w:val="20"/>
    </w:rPr>
  </w:style>
  <w:style w:type="paragraph" w:customStyle="1" w:styleId="2553">
    <w:name w:val="样式 正文缩进正文（首行缩进两字）."/>
    <w:basedOn w:val="21"/>
    <w:qFormat/>
    <w:uiPriority w:val="0"/>
    <w:pPr>
      <w:keepNext w:val="0"/>
      <w:adjustRightInd w:val="0"/>
      <w:snapToGrid w:val="0"/>
      <w:spacing w:line="348" w:lineRule="auto"/>
      <w:ind w:firstLine="200" w:firstLineChars="200"/>
      <w:jc w:val="both"/>
    </w:pPr>
    <w:rPr>
      <w:rFonts w:ascii="Times New Roman" w:hAnsi="Times New Roman"/>
      <w:bCs w:val="0"/>
      <w:sz w:val="28"/>
      <w:szCs w:val="28"/>
    </w:rPr>
  </w:style>
  <w:style w:type="paragraph" w:customStyle="1" w:styleId="2554">
    <w:name w:val="样式 正文文字 + 宋体"/>
    <w:basedOn w:val="986"/>
    <w:qFormat/>
    <w:uiPriority w:val="0"/>
    <w:pPr>
      <w:spacing w:beforeLines="0" w:line="348" w:lineRule="auto"/>
      <w:ind w:firstLine="200" w:firstLineChars="200"/>
    </w:pPr>
    <w:rPr>
      <w:rFonts w:ascii="Times New Roman" w:hAnsi="Times New Roman" w:eastAsia="宋体" w:cs="Times New Roman"/>
      <w:bCs w:val="0"/>
      <w:color w:val="000000"/>
      <w:sz w:val="28"/>
      <w:szCs w:val="28"/>
      <w:lang w:val="en-US"/>
    </w:rPr>
  </w:style>
  <w:style w:type="paragraph" w:customStyle="1" w:styleId="2555">
    <w:name w:val="样式 正文文字 + 宋体 首行缩进:  2 字符"/>
    <w:basedOn w:val="986"/>
    <w:qFormat/>
    <w:uiPriority w:val="0"/>
    <w:pPr>
      <w:spacing w:beforeLines="0" w:line="348" w:lineRule="auto"/>
      <w:ind w:firstLine="560" w:firstLineChars="200"/>
    </w:pPr>
    <w:rPr>
      <w:rFonts w:ascii="Times New Roman" w:hAnsi="Times New Roman" w:eastAsia="宋体" w:cs="宋体"/>
      <w:bCs w:val="0"/>
      <w:color w:val="000000"/>
      <w:sz w:val="28"/>
      <w:szCs w:val="28"/>
      <w:lang w:val="en-US"/>
    </w:rPr>
  </w:style>
  <w:style w:type="paragraph" w:customStyle="1" w:styleId="2556">
    <w:name w:val="样式 正文首行缩进 + 首行缩进:  0.99 厘米"/>
    <w:basedOn w:val="41"/>
    <w:qFormat/>
    <w:uiPriority w:val="0"/>
    <w:pPr>
      <w:adjustRightInd w:val="0"/>
      <w:snapToGrid w:val="0"/>
      <w:spacing w:after="0" w:line="348" w:lineRule="auto"/>
      <w:ind w:firstLine="200" w:firstLineChars="200"/>
      <w:jc w:val="left"/>
      <w:textAlignment w:val="baseline"/>
    </w:pPr>
    <w:rPr>
      <w:rFonts w:cs="宋体"/>
      <w:kern w:val="0"/>
      <w:sz w:val="28"/>
      <w:szCs w:val="28"/>
    </w:rPr>
  </w:style>
  <w:style w:type="paragraph" w:customStyle="1" w:styleId="2557">
    <w:name w:val="样式 标题 3"/>
    <w:basedOn w:val="7"/>
    <w:link w:val="2558"/>
    <w:qFormat/>
    <w:uiPriority w:val="0"/>
    <w:pPr>
      <w:widowControl w:val="0"/>
      <w:numPr>
        <w:ilvl w:val="0"/>
        <w:numId w:val="9"/>
      </w:numPr>
      <w:tabs>
        <w:tab w:val="clear" w:pos="425"/>
      </w:tabs>
      <w:adjustRightInd/>
      <w:snapToGrid/>
      <w:spacing w:before="120" w:beforeLines="10" w:after="120" w:afterLines="10"/>
      <w:ind w:left="720" w:hanging="432" w:firstLineChars="200"/>
      <w:jc w:val="both"/>
    </w:pPr>
    <w:rPr>
      <w:rFonts w:ascii="Times New Roman" w:hAnsi="Times New Roman"/>
      <w:lang w:val="en-US"/>
    </w:rPr>
  </w:style>
  <w:style w:type="character" w:customStyle="1" w:styleId="2558">
    <w:name w:val="样式 标题 3 Char"/>
    <w:link w:val="2557"/>
    <w:qFormat/>
    <w:uiPriority w:val="0"/>
    <w:rPr>
      <w:b/>
      <w:bCs/>
      <w:kern w:val="2"/>
      <w:sz w:val="32"/>
      <w:szCs w:val="32"/>
    </w:rPr>
  </w:style>
  <w:style w:type="paragraph" w:customStyle="1" w:styleId="2559">
    <w:name w:val="初设段落"/>
    <w:basedOn w:val="1"/>
    <w:qFormat/>
    <w:uiPriority w:val="0"/>
    <w:pPr>
      <w:adjustRightInd w:val="0"/>
      <w:snapToGrid w:val="0"/>
      <w:spacing w:line="348" w:lineRule="auto"/>
    </w:pPr>
    <w:rPr>
      <w:sz w:val="28"/>
    </w:rPr>
  </w:style>
  <w:style w:type="paragraph" w:customStyle="1" w:styleId="2560">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Calibri" w:eastAsia="黑体" w:cs="Calibri"/>
      <w:sz w:val="52"/>
      <w:lang w:val="en-US" w:eastAsia="zh-CN" w:bidi="ar-SA"/>
    </w:rPr>
  </w:style>
  <w:style w:type="paragraph" w:customStyle="1" w:styleId="2561">
    <w:name w:val="小标题a)"/>
    <w:basedOn w:val="1"/>
    <w:qFormat/>
    <w:uiPriority w:val="0"/>
    <w:pPr>
      <w:overflowPunct w:val="0"/>
      <w:topLinePunct/>
      <w:spacing w:line="348" w:lineRule="auto"/>
    </w:pPr>
    <w:rPr>
      <w:kern w:val="0"/>
      <w:sz w:val="28"/>
      <w:szCs w:val="20"/>
    </w:rPr>
  </w:style>
  <w:style w:type="paragraph" w:customStyle="1" w:styleId="2562">
    <w:name w:val="样式 四号 行距: 多倍行距 1.45 字行1"/>
    <w:basedOn w:val="1"/>
    <w:qFormat/>
    <w:uiPriority w:val="0"/>
    <w:pPr>
      <w:snapToGrid w:val="0"/>
      <w:spacing w:line="348" w:lineRule="auto"/>
    </w:pPr>
    <w:rPr>
      <w:rFonts w:cs="宋体"/>
      <w:sz w:val="28"/>
      <w:szCs w:val="20"/>
    </w:rPr>
  </w:style>
  <w:style w:type="paragraph" w:customStyle="1" w:styleId="2563">
    <w:name w:val="样式 四号 行距: 多倍行距 1.45 字行"/>
    <w:basedOn w:val="1"/>
    <w:qFormat/>
    <w:uiPriority w:val="0"/>
    <w:pPr>
      <w:snapToGrid w:val="0"/>
      <w:spacing w:line="348" w:lineRule="auto"/>
    </w:pPr>
    <w:rPr>
      <w:rFonts w:cs="宋体"/>
      <w:sz w:val="28"/>
      <w:szCs w:val="20"/>
    </w:rPr>
  </w:style>
  <w:style w:type="table" w:customStyle="1" w:styleId="2564">
    <w:name w:val="列表型 51"/>
    <w:basedOn w:val="81"/>
    <w:qFormat/>
    <w:uiPriority w:val="0"/>
    <w:pPr>
      <w:widowControl w:val="0"/>
      <w:adjustRightInd w:val="0"/>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single" w:color="000000" w:sz="12" w:space="0"/>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565">
    <w:name w:val="网格型21"/>
    <w:basedOn w:val="81"/>
    <w:qFormat/>
    <w:uiPriority w:val="59"/>
    <w:pPr>
      <w:widowControl w:val="0"/>
      <w:adjustRightInd w:val="0"/>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66">
    <w:name w:val="haha"/>
    <w:basedOn w:val="41"/>
    <w:link w:val="2567"/>
    <w:qFormat/>
    <w:uiPriority w:val="0"/>
    <w:pPr>
      <w:spacing w:after="0" w:line="360" w:lineRule="auto"/>
      <w:ind w:firstLine="480" w:firstLineChars="200"/>
    </w:pPr>
    <w:rPr>
      <w:rFonts w:eastAsia="仿宋_GB2312"/>
      <w:sz w:val="24"/>
      <w:szCs w:val="24"/>
    </w:rPr>
  </w:style>
  <w:style w:type="character" w:customStyle="1" w:styleId="2567">
    <w:name w:val="haha Char"/>
    <w:link w:val="2566"/>
    <w:qFormat/>
    <w:uiPriority w:val="0"/>
    <w:rPr>
      <w:rFonts w:eastAsia="仿宋_GB2312"/>
      <w:kern w:val="2"/>
      <w:sz w:val="24"/>
      <w:szCs w:val="24"/>
    </w:rPr>
  </w:style>
  <w:style w:type="paragraph" w:customStyle="1" w:styleId="2568">
    <w:name w:val="new"/>
    <w:basedOn w:val="1"/>
    <w:qFormat/>
    <w:uiPriority w:val="0"/>
    <w:pPr>
      <w:snapToGrid w:val="0"/>
      <w:spacing w:line="360" w:lineRule="auto"/>
      <w:ind w:firstLine="480" w:firstLineChars="200"/>
    </w:pPr>
    <w:rPr>
      <w:rFonts w:eastAsia="仿宋_GB2312"/>
      <w:sz w:val="24"/>
    </w:rPr>
  </w:style>
  <w:style w:type="paragraph" w:customStyle="1" w:styleId="2569">
    <w:name w:val="湛江钢铁表"/>
    <w:basedOn w:val="187"/>
    <w:link w:val="2570"/>
    <w:qFormat/>
    <w:uiPriority w:val="0"/>
    <w:pPr>
      <w:adjustRightInd/>
      <w:snapToGrid/>
      <w:spacing w:beforeLines="0" w:afterLines="0" w:line="240" w:lineRule="auto"/>
      <w:jc w:val="both"/>
    </w:pPr>
    <w:rPr>
      <w:rFonts w:ascii="Calibri"/>
      <w:sz w:val="20"/>
    </w:rPr>
  </w:style>
  <w:style w:type="character" w:customStyle="1" w:styleId="2570">
    <w:name w:val="湛江钢铁表 Char"/>
    <w:link w:val="2569"/>
    <w:qFormat/>
    <w:uiPriority w:val="0"/>
    <w:rPr>
      <w:rFonts w:ascii="Calibri" w:hAnsi="Calibri"/>
    </w:rPr>
  </w:style>
  <w:style w:type="character" w:customStyle="1" w:styleId="2571">
    <w:name w:val="标题 3 Char Char Char Char Char Char Char Char Char Char Char Char Char Char Char Char"/>
    <w:qFormat/>
    <w:uiPriority w:val="0"/>
    <w:rPr>
      <w:rFonts w:ascii="Times New Roman" w:hAnsi="Times New Roman" w:eastAsia="仿宋_GB2312"/>
      <w:sz w:val="24"/>
      <w:szCs w:val="32"/>
    </w:rPr>
  </w:style>
  <w:style w:type="paragraph" w:customStyle="1" w:styleId="2572">
    <w:name w:val="样式 湛江钢铁正文 +"/>
    <w:basedOn w:val="1"/>
    <w:qFormat/>
    <w:uiPriority w:val="0"/>
    <w:pPr>
      <w:adjustRightInd w:val="0"/>
      <w:snapToGrid w:val="0"/>
      <w:spacing w:afterLines="25" w:line="360" w:lineRule="auto"/>
      <w:ind w:firstLine="480" w:firstLineChars="200"/>
      <w:jc w:val="left"/>
      <w:textAlignment w:val="baseline"/>
    </w:pPr>
    <w:rPr>
      <w:rFonts w:eastAsia="仿宋_GB2312"/>
      <w:color w:val="000000"/>
      <w:kern w:val="0"/>
      <w:sz w:val="24"/>
    </w:rPr>
  </w:style>
  <w:style w:type="paragraph" w:customStyle="1" w:styleId="2573">
    <w:name w:val="样式 湛江钢铁表 +"/>
    <w:basedOn w:val="2569"/>
    <w:next w:val="2569"/>
    <w:link w:val="2574"/>
    <w:qFormat/>
    <w:uiPriority w:val="0"/>
    <w:pPr>
      <w:adjustRightInd w:val="0"/>
      <w:snapToGrid w:val="0"/>
      <w:spacing w:beforeLines="20" w:afterLines="20" w:line="348" w:lineRule="auto"/>
      <w:jc w:val="center"/>
      <w:textAlignment w:val="baseline"/>
    </w:pPr>
    <w:rPr>
      <w:rFonts w:ascii="Times New Roman" w:hAnsi="Times New Roman" w:eastAsia="仿宋_GB2312"/>
      <w:szCs w:val="21"/>
    </w:rPr>
  </w:style>
  <w:style w:type="character" w:customStyle="1" w:styleId="2574">
    <w:name w:val="样式 湛江钢铁表 + Char"/>
    <w:link w:val="2573"/>
    <w:qFormat/>
    <w:uiPriority w:val="0"/>
    <w:rPr>
      <w:rFonts w:eastAsia="仿宋_GB2312"/>
      <w:snapToGrid/>
      <w:szCs w:val="21"/>
    </w:rPr>
  </w:style>
  <w:style w:type="paragraph" w:customStyle="1" w:styleId="2575">
    <w:name w:val="大表内容"/>
    <w:qFormat/>
    <w:uiPriority w:val="0"/>
    <w:pPr>
      <w:snapToGrid w:val="0"/>
      <w:jc w:val="center"/>
    </w:pPr>
    <w:rPr>
      <w:rFonts w:ascii="Calibri" w:hAnsi="Calibri" w:eastAsia="宋体" w:cs="Calibri"/>
      <w:sz w:val="21"/>
      <w:lang w:val="en-US" w:eastAsia="zh-CN" w:bidi="ar-SA"/>
    </w:rPr>
  </w:style>
  <w:style w:type="paragraph" w:customStyle="1" w:styleId="2576">
    <w:name w:val="佛表"/>
    <w:basedOn w:val="64"/>
    <w:qFormat/>
    <w:uiPriority w:val="0"/>
    <w:pPr>
      <w:adjustRightInd w:val="0"/>
      <w:snapToGrid w:val="0"/>
      <w:spacing w:line="348" w:lineRule="auto"/>
      <w:ind w:left="0" w:firstLine="0" w:firstLineChars="0"/>
      <w:jc w:val="center"/>
    </w:pPr>
    <w:rPr>
      <w:color w:val="000000"/>
      <w:sz w:val="28"/>
    </w:rPr>
  </w:style>
  <w:style w:type="paragraph" w:customStyle="1" w:styleId="2577">
    <w:name w:val="湛江钢铁正文"/>
    <w:basedOn w:val="1"/>
    <w:qFormat/>
    <w:uiPriority w:val="0"/>
    <w:pPr>
      <w:adjustRightInd w:val="0"/>
      <w:snapToGrid w:val="0"/>
      <w:spacing w:line="360" w:lineRule="auto"/>
      <w:ind w:firstLine="420" w:firstLineChars="200"/>
      <w:jc w:val="left"/>
      <w:textAlignment w:val="baseline"/>
    </w:pPr>
    <w:rPr>
      <w:rFonts w:eastAsia="仿宋_GB2312"/>
      <w:color w:val="000000"/>
      <w:kern w:val="0"/>
      <w:sz w:val="28"/>
      <w:szCs w:val="21"/>
    </w:rPr>
  </w:style>
  <w:style w:type="paragraph" w:customStyle="1" w:styleId="2578">
    <w:name w:val="样式 湛江钢铁表 + 段前: 0.2 行 段后: 0.2 行"/>
    <w:basedOn w:val="2569"/>
    <w:qFormat/>
    <w:uiPriority w:val="0"/>
    <w:pPr>
      <w:adjustRightInd w:val="0"/>
      <w:snapToGrid w:val="0"/>
      <w:spacing w:beforeLines="20" w:afterLines="20" w:line="348" w:lineRule="auto"/>
      <w:jc w:val="center"/>
      <w:textAlignment w:val="baseline"/>
    </w:pPr>
    <w:rPr>
      <w:rFonts w:ascii="Times New Roman" w:hAnsi="Times New Roman" w:eastAsia="仿宋_GB2312" w:cs="宋体"/>
      <w:szCs w:val="21"/>
    </w:rPr>
  </w:style>
  <w:style w:type="character" w:customStyle="1" w:styleId="2579">
    <w:name w:val="wenzi"/>
    <w:qFormat/>
    <w:uiPriority w:val="0"/>
  </w:style>
  <w:style w:type="paragraph" w:customStyle="1" w:styleId="2580">
    <w:name w:val="湛江沥青表"/>
    <w:basedOn w:val="1"/>
    <w:qFormat/>
    <w:uiPriority w:val="0"/>
    <w:pPr>
      <w:framePr w:hSpace="180" w:wrap="around" w:vAnchor="text" w:hAnchor="margin" w:y="524"/>
      <w:autoSpaceDE w:val="0"/>
      <w:autoSpaceDN w:val="0"/>
      <w:snapToGrid w:val="0"/>
      <w:spacing w:line="0" w:lineRule="atLeast"/>
      <w:ind w:left="102" w:hanging="102"/>
      <w:jc w:val="center"/>
    </w:pPr>
    <w:rPr>
      <w:bCs/>
      <w:sz w:val="28"/>
      <w:szCs w:val="21"/>
      <w:u w:color="000000"/>
    </w:rPr>
  </w:style>
  <w:style w:type="paragraph" w:customStyle="1" w:styleId="2581">
    <w:name w:val="湛江钢铁表标题"/>
    <w:basedOn w:val="1"/>
    <w:qFormat/>
    <w:uiPriority w:val="0"/>
    <w:pPr>
      <w:snapToGrid w:val="0"/>
      <w:spacing w:line="360" w:lineRule="auto"/>
      <w:ind w:firstLine="480" w:firstLineChars="200"/>
      <w:jc w:val="center"/>
    </w:pPr>
    <w:rPr>
      <w:rFonts w:eastAsia="仿宋_GB2312"/>
      <w:color w:val="000000"/>
      <w:kern w:val="0"/>
      <w:sz w:val="24"/>
    </w:rPr>
  </w:style>
  <w:style w:type="paragraph" w:customStyle="1" w:styleId="2582">
    <w:name w:val="图标题"/>
    <w:basedOn w:val="1"/>
    <w:next w:val="1"/>
    <w:qFormat/>
    <w:uiPriority w:val="0"/>
    <w:pPr>
      <w:autoSpaceDE w:val="0"/>
      <w:autoSpaceDN w:val="0"/>
      <w:adjustRightInd w:val="0"/>
      <w:snapToGrid w:val="0"/>
      <w:spacing w:line="400" w:lineRule="atLeast"/>
      <w:jc w:val="center"/>
      <w:textAlignment w:val="baseline"/>
    </w:pPr>
    <w:rPr>
      <w:rFonts w:eastAsia="仿宋_GB2312"/>
      <w:b/>
      <w:spacing w:val="2"/>
      <w:kern w:val="0"/>
      <w:sz w:val="24"/>
      <w:szCs w:val="20"/>
    </w:rPr>
  </w:style>
  <w:style w:type="paragraph" w:customStyle="1" w:styleId="2583">
    <w:name w:val="表头王"/>
    <w:basedOn w:val="1"/>
    <w:qFormat/>
    <w:uiPriority w:val="0"/>
    <w:pPr>
      <w:adjustRightInd w:val="0"/>
      <w:snapToGrid w:val="0"/>
      <w:spacing w:line="360" w:lineRule="auto"/>
      <w:jc w:val="center"/>
    </w:pPr>
    <w:rPr>
      <w:rFonts w:ascii="黑体" w:eastAsia="黑体"/>
      <w:b/>
      <w:bCs/>
      <w:color w:val="000000"/>
      <w:sz w:val="24"/>
    </w:rPr>
  </w:style>
  <w:style w:type="paragraph" w:customStyle="1" w:styleId="2584">
    <w:name w:val="表格文字独行"/>
    <w:next w:val="1"/>
    <w:qFormat/>
    <w:uiPriority w:val="0"/>
    <w:pPr>
      <w:spacing w:beforeLines="20" w:afterLines="20" w:line="264" w:lineRule="auto"/>
      <w:jc w:val="center"/>
    </w:pPr>
    <w:rPr>
      <w:rFonts w:ascii="Calibri" w:hAnsi="Calibri" w:eastAsia="仿宋_GB2312" w:cs="Calibri"/>
      <w:sz w:val="21"/>
      <w:szCs w:val="24"/>
      <w:lang w:val="en-US" w:eastAsia="zh-CN" w:bidi="ar-SA"/>
    </w:rPr>
  </w:style>
  <w:style w:type="table" w:customStyle="1" w:styleId="2585">
    <w:name w:val="网格型5"/>
    <w:basedOn w:val="81"/>
    <w:qFormat/>
    <w:uiPriority w:val="59"/>
    <w:pPr>
      <w:widowControl w:val="0"/>
      <w:adjustRightInd w:val="0"/>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86">
    <w:name w:val="样式 (符号) 宋体"/>
    <w:basedOn w:val="1"/>
    <w:qFormat/>
    <w:uiPriority w:val="0"/>
    <w:pPr>
      <w:snapToGrid w:val="0"/>
      <w:spacing w:line="348" w:lineRule="auto"/>
      <w:ind w:firstLine="560" w:firstLineChars="200"/>
    </w:pPr>
    <w:rPr>
      <w:rFonts w:hAnsi="宋体" w:eastAsia="Times New Roman" w:cs="宋体"/>
      <w:sz w:val="28"/>
      <w:szCs w:val="20"/>
    </w:rPr>
  </w:style>
  <w:style w:type="table" w:customStyle="1" w:styleId="2587">
    <w:name w:val="网格型6"/>
    <w:basedOn w:val="81"/>
    <w:qFormat/>
    <w:uiPriority w:val="59"/>
    <w:pPr>
      <w:widowControl w:val="0"/>
      <w:adjustRightInd w:val="0"/>
      <w:snapToGrid w:val="0"/>
      <w:spacing w:line="348"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8">
    <w:name w:val="网格型 71"/>
    <w:basedOn w:val="81"/>
    <w:qFormat/>
    <w:uiPriority w:val="0"/>
    <w:pPr>
      <w:widowControl w:val="0"/>
      <w:snapToGrid w:val="0"/>
      <w:spacing w:line="348" w:lineRule="auto"/>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paragraph" w:customStyle="1" w:styleId="2589">
    <w:name w:val="news"/>
    <w:basedOn w:val="1"/>
    <w:qFormat/>
    <w:uiPriority w:val="0"/>
    <w:pPr>
      <w:widowControl/>
      <w:spacing w:beforeAutospacing="1" w:afterAutospacing="1"/>
      <w:jc w:val="left"/>
    </w:pPr>
    <w:rPr>
      <w:rFonts w:hint="eastAsia" w:ascii="宋体" w:hAnsi="宋体"/>
      <w:kern w:val="0"/>
      <w:sz w:val="20"/>
      <w:szCs w:val="20"/>
    </w:rPr>
  </w:style>
  <w:style w:type="paragraph" w:customStyle="1" w:styleId="2590">
    <w:name w:val="水平衡"/>
    <w:basedOn w:val="45"/>
    <w:qFormat/>
    <w:uiPriority w:val="0"/>
    <w:pPr>
      <w:suppressAutoHyphens w:val="0"/>
      <w:autoSpaceDE w:val="0"/>
      <w:adjustRightInd w:val="0"/>
      <w:snapToGrid w:val="0"/>
    </w:pPr>
    <w:rPr>
      <w:rFonts w:ascii="Arial" w:hAnsi="Arial" w:cs="Arial"/>
      <w:spacing w:val="-10"/>
      <w:kern w:val="2"/>
    </w:rPr>
  </w:style>
  <w:style w:type="paragraph" w:customStyle="1" w:styleId="2591">
    <w:name w:val="表格五号"/>
    <w:basedOn w:val="1"/>
    <w:qFormat/>
    <w:uiPriority w:val="0"/>
    <w:pPr>
      <w:autoSpaceDE w:val="0"/>
      <w:autoSpaceDN w:val="0"/>
      <w:adjustRightInd w:val="0"/>
      <w:snapToGrid w:val="0"/>
      <w:spacing w:beforeLines="20" w:afterLines="20"/>
      <w:jc w:val="center"/>
    </w:pPr>
    <w:rPr>
      <w:rFonts w:ascii="Arial" w:hAnsi="Arial" w:cs="Arial"/>
      <w:bCs/>
      <w:kern w:val="0"/>
      <w:sz w:val="18"/>
      <w:szCs w:val="21"/>
      <w:lang w:val="zh-CN"/>
    </w:rPr>
  </w:style>
  <w:style w:type="paragraph" w:customStyle="1" w:styleId="2592">
    <w:name w:val="表格下五号"/>
    <w:basedOn w:val="2591"/>
    <w:qFormat/>
    <w:uiPriority w:val="0"/>
    <w:pPr>
      <w:keepNext/>
      <w:keepLines/>
      <w:tabs>
        <w:tab w:val="left" w:pos="1260"/>
      </w:tabs>
      <w:autoSpaceDE/>
      <w:autoSpaceDN/>
      <w:adjustRightInd/>
      <w:snapToGrid/>
      <w:spacing w:beforeLines="0" w:afterLines="0" w:line="416" w:lineRule="auto"/>
      <w:ind w:left="720" w:hanging="432"/>
      <w:jc w:val="both"/>
      <w:outlineLvl w:val="2"/>
    </w:pPr>
    <w:rPr>
      <w:rFonts w:ascii="Times New Roman" w:hAnsi="Times New Roman" w:cs="Times New Roman"/>
      <w:b/>
      <w:kern w:val="2"/>
      <w:sz w:val="32"/>
      <w:szCs w:val="32"/>
      <w:lang w:val="en-US"/>
    </w:rPr>
  </w:style>
  <w:style w:type="paragraph" w:customStyle="1" w:styleId="2593">
    <w:name w:val="表格下文字5号"/>
    <w:basedOn w:val="1"/>
    <w:qFormat/>
    <w:uiPriority w:val="0"/>
    <w:pPr>
      <w:adjustRightInd w:val="0"/>
      <w:snapToGrid w:val="0"/>
      <w:spacing w:beforeLines="50" w:line="264" w:lineRule="auto"/>
      <w:ind w:left="938" w:leftChars="200" w:hanging="378" w:hangingChars="180"/>
      <w:textAlignment w:val="baseline"/>
    </w:pPr>
    <w:rPr>
      <w:rFonts w:ascii="Arial" w:hAnsi="Arial" w:cs="Arial"/>
      <w:kern w:val="0"/>
      <w:szCs w:val="20"/>
    </w:rPr>
  </w:style>
  <w:style w:type="paragraph" w:customStyle="1" w:styleId="2594">
    <w:name w:val="正文图小五"/>
    <w:basedOn w:val="1"/>
    <w:qFormat/>
    <w:uiPriority w:val="0"/>
    <w:pPr>
      <w:snapToGrid w:val="0"/>
      <w:spacing w:line="240" w:lineRule="atLeast"/>
      <w:jc w:val="center"/>
    </w:pPr>
    <w:rPr>
      <w:rFonts w:ascii="Arial" w:hAnsi="Arial" w:cs="Arial"/>
      <w:spacing w:val="6"/>
      <w:sz w:val="18"/>
      <w:szCs w:val="20"/>
    </w:rPr>
  </w:style>
  <w:style w:type="paragraph" w:customStyle="1" w:styleId="2595">
    <w:name w:val="表格文字小四"/>
    <w:basedOn w:val="1"/>
    <w:qFormat/>
    <w:uiPriority w:val="0"/>
    <w:pPr>
      <w:adjustRightInd w:val="0"/>
      <w:snapToGrid w:val="0"/>
      <w:spacing w:beforeLines="20" w:afterLines="20"/>
      <w:jc w:val="center"/>
    </w:pPr>
    <w:rPr>
      <w:rFonts w:ascii="Arial" w:hAnsi="Arial" w:cs="Arial"/>
      <w:color w:val="000000"/>
      <w:kern w:val="0"/>
      <w:sz w:val="24"/>
    </w:rPr>
  </w:style>
  <w:style w:type="paragraph" w:customStyle="1" w:styleId="2596">
    <w:name w:val="正文图废z"/>
    <w:basedOn w:val="2482"/>
    <w:qFormat/>
    <w:uiPriority w:val="0"/>
    <w:pPr>
      <w:jc w:val="left"/>
    </w:pPr>
    <w:rPr>
      <w:rFonts w:ascii="Arial" w:hAnsi="Arial" w:cs="Arial"/>
      <w:sz w:val="21"/>
    </w:rPr>
  </w:style>
  <w:style w:type="paragraph" w:customStyle="1" w:styleId="2597">
    <w:name w:val="表格文字小五号"/>
    <w:basedOn w:val="2598"/>
    <w:qFormat/>
    <w:uiPriority w:val="0"/>
    <w:rPr>
      <w:rFonts w:ascii="宋体" w:hAnsi="宋体"/>
      <w:bCs w:val="0"/>
    </w:rPr>
  </w:style>
  <w:style w:type="paragraph" w:customStyle="1" w:styleId="2598">
    <w:name w:val="表格文字五号"/>
    <w:basedOn w:val="45"/>
    <w:qFormat/>
    <w:uiPriority w:val="0"/>
    <w:pPr>
      <w:suppressAutoHyphens w:val="0"/>
      <w:autoSpaceDE w:val="0"/>
      <w:adjustRightInd w:val="0"/>
      <w:snapToGrid w:val="0"/>
      <w:spacing w:beforeLines="20" w:afterLines="20"/>
      <w:jc w:val="left"/>
      <w:textAlignment w:val="auto"/>
    </w:pPr>
    <w:rPr>
      <w:rFonts w:ascii="Arial" w:hAnsi="Arial" w:cs="Arial"/>
      <w:bCs/>
      <w:color w:val="000000"/>
      <w:kern w:val="0"/>
    </w:rPr>
  </w:style>
  <w:style w:type="paragraph" w:customStyle="1" w:styleId="2599">
    <w:name w:val="表格文字1左"/>
    <w:basedOn w:val="45"/>
    <w:qFormat/>
    <w:uiPriority w:val="0"/>
    <w:pPr>
      <w:suppressAutoHyphens w:val="0"/>
      <w:autoSpaceDE w:val="0"/>
      <w:adjustRightInd w:val="0"/>
      <w:snapToGrid w:val="0"/>
      <w:spacing w:beforeLines="20" w:afterLines="20"/>
      <w:ind w:firstLine="470" w:firstLineChars="224"/>
      <w:jc w:val="left"/>
      <w:textAlignment w:val="auto"/>
    </w:pPr>
    <w:rPr>
      <w:rFonts w:ascii="Arial" w:hAnsi="Arial" w:cs="Arial"/>
      <w:bCs/>
      <w:color w:val="000000"/>
      <w:kern w:val="0"/>
    </w:rPr>
  </w:style>
  <w:style w:type="paragraph" w:customStyle="1" w:styleId="2600">
    <w:name w:val="正文图四"/>
    <w:basedOn w:val="2482"/>
    <w:qFormat/>
    <w:uiPriority w:val="0"/>
    <w:pPr>
      <w:spacing w:beforeLines="20"/>
    </w:pPr>
    <w:rPr>
      <w:sz w:val="28"/>
    </w:rPr>
  </w:style>
  <w:style w:type="paragraph" w:customStyle="1" w:styleId="2601">
    <w:name w:val="表格文字小四宽"/>
    <w:basedOn w:val="2595"/>
    <w:qFormat/>
    <w:uiPriority w:val="0"/>
    <w:pPr>
      <w:spacing w:beforeLines="10" w:afterLines="10"/>
    </w:pPr>
    <w:rPr>
      <w:rFonts w:cs="Times New Roman"/>
      <w:color w:val="auto"/>
      <w:spacing w:val="-6"/>
    </w:rPr>
  </w:style>
  <w:style w:type="paragraph" w:customStyle="1" w:styleId="2602">
    <w:name w:val="表格文字小四左"/>
    <w:basedOn w:val="2595"/>
    <w:qFormat/>
    <w:uiPriority w:val="0"/>
    <w:pPr>
      <w:spacing w:beforeLines="0" w:afterLines="0"/>
      <w:jc w:val="left"/>
    </w:pPr>
    <w:rPr>
      <w:color w:val="auto"/>
      <w:szCs w:val="20"/>
    </w:rPr>
  </w:style>
  <w:style w:type="character" w:customStyle="1" w:styleId="2603">
    <w:name w:val="1首行缩进 Char"/>
    <w:qFormat/>
    <w:uiPriority w:val="0"/>
    <w:rPr>
      <w:rFonts w:ascii="Arial" w:hAnsi="Arial" w:eastAsia="宋体"/>
      <w:snapToGrid w:val="0"/>
      <w:sz w:val="28"/>
      <w:szCs w:val="28"/>
      <w:lang w:val="en-US" w:eastAsia="zh-CN" w:bidi="ar-SA"/>
    </w:rPr>
  </w:style>
  <w:style w:type="paragraph" w:customStyle="1" w:styleId="2604">
    <w:name w:val="表格下文字5号-1"/>
    <w:basedOn w:val="2593"/>
    <w:qFormat/>
    <w:uiPriority w:val="0"/>
    <w:pPr>
      <w:spacing w:before="156"/>
      <w:ind w:left="798"/>
    </w:pPr>
  </w:style>
  <w:style w:type="paragraph" w:customStyle="1" w:styleId="2605">
    <w:name w:val="leedl"/>
    <w:basedOn w:val="1"/>
    <w:qFormat/>
    <w:uiPriority w:val="0"/>
    <w:pPr>
      <w:spacing w:line="348" w:lineRule="auto"/>
      <w:ind w:firstLine="200" w:firstLineChars="200"/>
    </w:pPr>
    <w:rPr>
      <w:spacing w:val="10"/>
      <w:sz w:val="28"/>
      <w:szCs w:val="28"/>
    </w:rPr>
  </w:style>
  <w:style w:type="table" w:customStyle="1" w:styleId="2606">
    <w:name w:val="网格型7"/>
    <w:basedOn w:val="81"/>
    <w:qFormat/>
    <w:uiPriority w:val="0"/>
    <w:pPr>
      <w:widowControl w:val="0"/>
      <w:adjustRightInd w:val="0"/>
      <w:snapToGrid w:val="0"/>
      <w:spacing w:line="348" w:lineRule="auto"/>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607">
    <w:name w:val="标题 2 Char Char"/>
    <w:qFormat/>
    <w:uiPriority w:val="0"/>
    <w:rPr>
      <w:rFonts w:ascii="Arial" w:hAnsi="Arial" w:eastAsia="黑体"/>
      <w:b/>
      <w:bCs/>
      <w:kern w:val="2"/>
      <w:sz w:val="32"/>
      <w:szCs w:val="32"/>
      <w:lang w:val="en-US" w:eastAsia="zh-CN" w:bidi="ar-SA"/>
    </w:rPr>
  </w:style>
  <w:style w:type="character" w:customStyle="1" w:styleId="2608">
    <w:name w:val="样式 样式2 + 非加粗 Char"/>
    <w:qFormat/>
    <w:uiPriority w:val="0"/>
    <w:rPr>
      <w:rFonts w:eastAsia="宋体"/>
      <w:color w:val="000000"/>
      <w:kern w:val="2"/>
      <w:sz w:val="24"/>
      <w:szCs w:val="24"/>
      <w:lang w:val="en-US" w:eastAsia="zh-CN" w:bidi="ar-SA"/>
    </w:rPr>
  </w:style>
  <w:style w:type="paragraph" w:customStyle="1" w:styleId="2609">
    <w:name w:val="Char Char Char 字元 字元"/>
    <w:basedOn w:val="1"/>
    <w:semiHidden/>
    <w:qFormat/>
    <w:uiPriority w:val="0"/>
    <w:pPr>
      <w:snapToGrid w:val="0"/>
      <w:spacing w:line="360" w:lineRule="auto"/>
    </w:pPr>
    <w:rPr>
      <w:sz w:val="24"/>
    </w:rPr>
  </w:style>
  <w:style w:type="paragraph" w:customStyle="1" w:styleId="2610">
    <w:name w:val="1 Char Char Char Char Char Char Char Char Char Char Char Char Char Char Char Char"/>
    <w:basedOn w:val="1"/>
    <w:qFormat/>
    <w:uiPriority w:val="0"/>
  </w:style>
  <w:style w:type="character" w:customStyle="1" w:styleId="2611">
    <w:name w:val="Normal Char"/>
    <w:link w:val="2612"/>
    <w:qFormat/>
    <w:uiPriority w:val="0"/>
    <w:rPr>
      <w:rFonts w:ascii="宋体"/>
      <w:sz w:val="24"/>
    </w:rPr>
  </w:style>
  <w:style w:type="paragraph" w:customStyle="1" w:styleId="2612">
    <w:name w:val="正文15"/>
    <w:link w:val="2611"/>
    <w:qFormat/>
    <w:uiPriority w:val="0"/>
    <w:pPr>
      <w:widowControl w:val="0"/>
      <w:adjustRightInd w:val="0"/>
      <w:spacing w:line="315" w:lineRule="atLeast"/>
      <w:textAlignment w:val="baseline"/>
    </w:pPr>
    <w:rPr>
      <w:rFonts w:ascii="宋体" w:hAnsi="Calibri" w:eastAsia="宋体" w:cs="Calibri"/>
      <w:sz w:val="24"/>
      <w:lang w:val="en-US" w:eastAsia="zh-CN" w:bidi="ar-SA"/>
    </w:rPr>
  </w:style>
  <w:style w:type="paragraph" w:customStyle="1" w:styleId="2613">
    <w:name w:val="Normal1"/>
    <w:qFormat/>
    <w:uiPriority w:val="0"/>
    <w:pPr>
      <w:widowControl w:val="0"/>
      <w:adjustRightInd w:val="0"/>
      <w:spacing w:line="315" w:lineRule="atLeast"/>
      <w:textAlignment w:val="baseline"/>
    </w:pPr>
    <w:rPr>
      <w:rFonts w:ascii="宋体" w:hAnsi="Calibri" w:eastAsia="宋体" w:cs="Calibri"/>
      <w:sz w:val="24"/>
      <w:lang w:val="en-US" w:eastAsia="zh-CN" w:bidi="ar-SA"/>
    </w:rPr>
  </w:style>
  <w:style w:type="character" w:customStyle="1" w:styleId="2614">
    <w:name w:val="标准样式 Char"/>
    <w:qFormat/>
    <w:uiPriority w:val="0"/>
    <w:rPr>
      <w:rFonts w:ascii="宋体"/>
      <w:sz w:val="28"/>
      <w:lang w:val="en-US" w:eastAsia="zh-CN" w:bidi="ar-SA"/>
    </w:rPr>
  </w:style>
  <w:style w:type="paragraph" w:customStyle="1" w:styleId="2615">
    <w:name w:val="正文常用"/>
    <w:basedOn w:val="1"/>
    <w:qFormat/>
    <w:uiPriority w:val="0"/>
    <w:pPr>
      <w:spacing w:line="520" w:lineRule="exact"/>
      <w:ind w:firstLine="200" w:firstLineChars="200"/>
    </w:pPr>
    <w:rPr>
      <w:sz w:val="28"/>
      <w:szCs w:val="28"/>
    </w:rPr>
  </w:style>
  <w:style w:type="paragraph" w:customStyle="1" w:styleId="2616">
    <w:name w:val="album-div"/>
    <w:basedOn w:val="1"/>
    <w:qFormat/>
    <w:uiPriority w:val="0"/>
    <w:pPr>
      <w:widowControl/>
      <w:spacing w:beforeAutospacing="1" w:afterAutospacing="1"/>
      <w:jc w:val="left"/>
    </w:pPr>
    <w:rPr>
      <w:rFonts w:ascii="宋体" w:hAnsi="宋体" w:cs="宋体"/>
      <w:kern w:val="0"/>
      <w:sz w:val="24"/>
    </w:rPr>
  </w:style>
  <w:style w:type="character" w:customStyle="1" w:styleId="2617">
    <w:name w:val="title9"/>
    <w:qFormat/>
    <w:uiPriority w:val="0"/>
  </w:style>
  <w:style w:type="character" w:customStyle="1" w:styleId="2618">
    <w:name w:val="count3"/>
    <w:qFormat/>
    <w:uiPriority w:val="0"/>
  </w:style>
  <w:style w:type="paragraph" w:customStyle="1" w:styleId="2619">
    <w:name w:val="标题33"/>
    <w:basedOn w:val="1"/>
    <w:link w:val="2620"/>
    <w:qFormat/>
    <w:uiPriority w:val="0"/>
    <w:pPr>
      <w:spacing w:line="360" w:lineRule="auto"/>
      <w:jc w:val="left"/>
      <w:outlineLvl w:val="2"/>
    </w:pPr>
    <w:rPr>
      <w:b/>
      <w:sz w:val="24"/>
    </w:rPr>
  </w:style>
  <w:style w:type="character" w:customStyle="1" w:styleId="2620">
    <w:name w:val="标题33 Char"/>
    <w:link w:val="2619"/>
    <w:qFormat/>
    <w:uiPriority w:val="0"/>
    <w:rPr>
      <w:b/>
      <w:kern w:val="2"/>
      <w:sz w:val="24"/>
      <w:szCs w:val="24"/>
    </w:rPr>
  </w:style>
  <w:style w:type="paragraph" w:customStyle="1" w:styleId="2621">
    <w:name w:val="图名"/>
    <w:basedOn w:val="1"/>
    <w:link w:val="2622"/>
    <w:qFormat/>
    <w:uiPriority w:val="0"/>
    <w:pPr>
      <w:adjustRightInd w:val="0"/>
      <w:snapToGrid w:val="0"/>
      <w:spacing w:beforeLines="50"/>
      <w:jc w:val="center"/>
    </w:pPr>
    <w:rPr>
      <w:sz w:val="24"/>
      <w:szCs w:val="21"/>
    </w:rPr>
  </w:style>
  <w:style w:type="character" w:customStyle="1" w:styleId="2622">
    <w:name w:val="图名 Char Char"/>
    <w:link w:val="2621"/>
    <w:qFormat/>
    <w:uiPriority w:val="0"/>
    <w:rPr>
      <w:kern w:val="2"/>
      <w:sz w:val="24"/>
      <w:szCs w:val="21"/>
    </w:rPr>
  </w:style>
  <w:style w:type="paragraph" w:customStyle="1" w:styleId="2623">
    <w:name w:val="标题 3 + 首行缩进:  2 字符"/>
    <w:basedOn w:val="7"/>
    <w:qFormat/>
    <w:uiPriority w:val="0"/>
    <w:pPr>
      <w:widowControl w:val="0"/>
      <w:spacing w:after="120" w:afterLines="50" w:line="480" w:lineRule="exact"/>
      <w:ind w:firstLine="480" w:firstLineChars="200"/>
      <w:jc w:val="both"/>
    </w:pPr>
    <w:rPr>
      <w:rFonts w:ascii="Times New Roman" w:hAnsi="Times New Roman" w:cs="宋体"/>
      <w:bCs w:val="0"/>
      <w:sz w:val="24"/>
      <w:szCs w:val="20"/>
      <w:lang w:val="en-US"/>
    </w:rPr>
  </w:style>
  <w:style w:type="table" w:customStyle="1" w:styleId="2624">
    <w:name w:val="表格样式11"/>
    <w:basedOn w:val="81"/>
    <w:qFormat/>
    <w:uiPriority w:val="0"/>
    <w:pPr>
      <w:snapToGrid w:val="0"/>
      <w:jc w:val="center"/>
      <w:textAlignment w:val="center"/>
    </w:pPr>
    <w:rPr>
      <w:rFonts w:eastAsia="仿宋_GB2312"/>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bottom w:w="57" w:type="dxa"/>
      </w:tblCellMar>
    </w:tblPr>
    <w:trPr>
      <w:jc w:val="center"/>
    </w:trPr>
    <w:tcPr>
      <w:vAlign w:val="center"/>
    </w:tcPr>
  </w:style>
  <w:style w:type="paragraph" w:customStyle="1" w:styleId="2625">
    <w:name w:val="图片文字"/>
    <w:basedOn w:val="9"/>
    <w:qFormat/>
    <w:uiPriority w:val="0"/>
    <w:pPr>
      <w:keepNext w:val="0"/>
      <w:keepLines w:val="0"/>
      <w:numPr>
        <w:ilvl w:val="0"/>
        <w:numId w:val="0"/>
      </w:numPr>
      <w:tabs>
        <w:tab w:val="clear" w:pos="1800"/>
      </w:tabs>
      <w:adjustRightInd w:val="0"/>
      <w:spacing w:line="240" w:lineRule="auto"/>
      <w:outlineLvl w:val="9"/>
    </w:pPr>
    <w:rPr>
      <w:bCs w:val="0"/>
      <w:kern w:val="2"/>
      <w:sz w:val="21"/>
      <w:szCs w:val="21"/>
    </w:rPr>
  </w:style>
  <w:style w:type="paragraph" w:customStyle="1" w:styleId="2626">
    <w:name w:val="样式 方正魏碑简体 50 磅 居中 行距: 多倍行距 1.25 字行"/>
    <w:basedOn w:val="1"/>
    <w:qFormat/>
    <w:uiPriority w:val="0"/>
    <w:pPr>
      <w:adjustRightInd w:val="0"/>
      <w:snapToGrid w:val="0"/>
      <w:spacing w:line="300" w:lineRule="auto"/>
      <w:jc w:val="center"/>
    </w:pPr>
    <w:rPr>
      <w:rFonts w:ascii="方正魏碑简体" w:eastAsia="方正魏碑简体" w:cs="宋体"/>
      <w:spacing w:val="40"/>
      <w:sz w:val="100"/>
      <w:szCs w:val="20"/>
    </w:rPr>
  </w:style>
  <w:style w:type="paragraph" w:customStyle="1" w:styleId="2627">
    <w:name w:val="格式正"/>
    <w:basedOn w:val="34"/>
    <w:qFormat/>
    <w:uiPriority w:val="0"/>
  </w:style>
  <w:style w:type="paragraph" w:customStyle="1" w:styleId="2628">
    <w:name w:val="文本框五号"/>
    <w:basedOn w:val="1"/>
    <w:qFormat/>
    <w:uiPriority w:val="0"/>
    <w:pPr>
      <w:adjustRightInd w:val="0"/>
      <w:snapToGrid w:val="0"/>
      <w:ind w:firstLine="200" w:firstLineChars="200"/>
      <w:jc w:val="center"/>
    </w:pPr>
    <w:rPr>
      <w:szCs w:val="21"/>
    </w:rPr>
  </w:style>
  <w:style w:type="paragraph" w:customStyle="1" w:styleId="2629">
    <w:name w:val="xl155"/>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kern w:val="0"/>
      <w:szCs w:val="21"/>
    </w:rPr>
  </w:style>
  <w:style w:type="paragraph" w:customStyle="1" w:styleId="2630">
    <w:name w:val="xl156"/>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仿宋_GB2312" w:hAnsi="宋体" w:cs="宋体"/>
      <w:kern w:val="0"/>
      <w:szCs w:val="21"/>
    </w:rPr>
  </w:style>
  <w:style w:type="paragraph" w:customStyle="1" w:styleId="2631">
    <w:name w:val="xl157"/>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kern w:val="0"/>
      <w:szCs w:val="21"/>
    </w:rPr>
  </w:style>
  <w:style w:type="paragraph" w:customStyle="1" w:styleId="2632">
    <w:name w:val="xl158"/>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kern w:val="0"/>
      <w:szCs w:val="21"/>
    </w:rPr>
  </w:style>
  <w:style w:type="paragraph" w:customStyle="1" w:styleId="2633">
    <w:name w:val="xl159"/>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kern w:val="0"/>
      <w:szCs w:val="21"/>
    </w:rPr>
  </w:style>
  <w:style w:type="paragraph" w:customStyle="1" w:styleId="2634">
    <w:name w:val="xl160"/>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仿宋_GB2312" w:hAnsi="宋体" w:cs="宋体"/>
      <w:kern w:val="0"/>
      <w:szCs w:val="21"/>
    </w:rPr>
  </w:style>
  <w:style w:type="paragraph" w:customStyle="1" w:styleId="2635">
    <w:name w:val="xl161"/>
    <w:basedOn w:val="1"/>
    <w:qFormat/>
    <w:uiPriority w:val="0"/>
    <w:pPr>
      <w:widowControl/>
      <w:spacing w:beforeAutospacing="1" w:afterAutospacing="1"/>
      <w:jc w:val="center"/>
      <w:textAlignment w:val="center"/>
    </w:pPr>
    <w:rPr>
      <w:color w:val="000000"/>
      <w:kern w:val="0"/>
      <w:sz w:val="22"/>
      <w:szCs w:val="20"/>
    </w:rPr>
  </w:style>
  <w:style w:type="paragraph" w:customStyle="1" w:styleId="2636">
    <w:name w:val="xl162"/>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kern w:val="0"/>
      <w:szCs w:val="21"/>
    </w:rPr>
  </w:style>
  <w:style w:type="paragraph" w:customStyle="1" w:styleId="2637">
    <w:name w:val="xl163"/>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kern w:val="0"/>
      <w:szCs w:val="21"/>
    </w:rPr>
  </w:style>
  <w:style w:type="paragraph" w:customStyle="1" w:styleId="2638">
    <w:name w:val="xl164"/>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仿宋_GB2312" w:hAnsi="宋体" w:cs="宋体"/>
      <w:kern w:val="0"/>
      <w:szCs w:val="21"/>
    </w:rPr>
  </w:style>
  <w:style w:type="paragraph" w:customStyle="1" w:styleId="2639">
    <w:name w:val="xl165"/>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color w:val="000000"/>
      <w:kern w:val="0"/>
      <w:szCs w:val="21"/>
    </w:rPr>
  </w:style>
  <w:style w:type="paragraph" w:customStyle="1" w:styleId="2640">
    <w:name w:val="xl166"/>
    <w:basedOn w:val="1"/>
    <w:qFormat/>
    <w:uiPriority w:val="0"/>
    <w:pPr>
      <w:widowControl/>
      <w:spacing w:beforeAutospacing="1" w:afterAutospacing="1"/>
      <w:jc w:val="center"/>
      <w:textAlignment w:val="center"/>
    </w:pPr>
    <w:rPr>
      <w:color w:val="000000"/>
      <w:kern w:val="0"/>
      <w:sz w:val="22"/>
      <w:szCs w:val="20"/>
    </w:rPr>
  </w:style>
  <w:style w:type="paragraph" w:customStyle="1" w:styleId="2641">
    <w:name w:val="xl167"/>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kern w:val="0"/>
      <w:sz w:val="24"/>
    </w:rPr>
  </w:style>
  <w:style w:type="paragraph" w:customStyle="1" w:styleId="2642">
    <w:name w:val="xl168"/>
    <w:basedOn w:val="1"/>
    <w:qFormat/>
    <w:uiPriority w:val="0"/>
    <w:pPr>
      <w:widowControl/>
      <w:spacing w:beforeAutospacing="1" w:afterAutospacing="1"/>
      <w:jc w:val="center"/>
      <w:textAlignment w:val="center"/>
    </w:pPr>
    <w:rPr>
      <w:color w:val="0000CC"/>
      <w:kern w:val="0"/>
      <w:sz w:val="22"/>
      <w:szCs w:val="20"/>
    </w:rPr>
  </w:style>
  <w:style w:type="paragraph" w:customStyle="1" w:styleId="2643">
    <w:name w:val="xl169"/>
    <w:basedOn w:val="1"/>
    <w:qFormat/>
    <w:uiPriority w:val="0"/>
    <w:pPr>
      <w:widowControl/>
      <w:spacing w:beforeAutospacing="1" w:afterAutospacing="1"/>
      <w:jc w:val="center"/>
      <w:textAlignment w:val="center"/>
    </w:pPr>
    <w:rPr>
      <w:kern w:val="0"/>
      <w:szCs w:val="21"/>
    </w:rPr>
  </w:style>
  <w:style w:type="paragraph" w:customStyle="1" w:styleId="2644">
    <w:name w:val="xl170"/>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color w:val="000000"/>
      <w:kern w:val="0"/>
      <w:szCs w:val="21"/>
    </w:rPr>
  </w:style>
  <w:style w:type="paragraph" w:customStyle="1" w:styleId="2645">
    <w:name w:val="xl171"/>
    <w:basedOn w:val="1"/>
    <w:qFormat/>
    <w:uiPriority w:val="0"/>
    <w:pPr>
      <w:widowControl/>
      <w:pBdr>
        <w:top w:val="single" w:color="auto" w:sz="4" w:space="0"/>
        <w:bottom w:val="single" w:color="auto" w:sz="4" w:space="0"/>
      </w:pBdr>
      <w:spacing w:beforeAutospacing="1" w:afterAutospacing="1"/>
      <w:jc w:val="center"/>
      <w:textAlignment w:val="center"/>
    </w:pPr>
    <w:rPr>
      <w:kern w:val="0"/>
      <w:szCs w:val="21"/>
    </w:rPr>
  </w:style>
  <w:style w:type="paragraph" w:customStyle="1" w:styleId="2646">
    <w:name w:val="xl172"/>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color w:val="000000"/>
      <w:kern w:val="0"/>
      <w:sz w:val="22"/>
      <w:szCs w:val="20"/>
    </w:rPr>
  </w:style>
  <w:style w:type="paragraph" w:customStyle="1" w:styleId="2647">
    <w:name w:val="xl173"/>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color w:val="000000"/>
      <w:kern w:val="0"/>
      <w:szCs w:val="21"/>
    </w:rPr>
  </w:style>
  <w:style w:type="paragraph" w:customStyle="1" w:styleId="2648">
    <w:name w:val="xl174"/>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color w:val="000000"/>
      <w:kern w:val="0"/>
      <w:sz w:val="22"/>
      <w:szCs w:val="20"/>
    </w:rPr>
  </w:style>
  <w:style w:type="paragraph" w:customStyle="1" w:styleId="2649">
    <w:name w:val="xl175"/>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kern w:val="0"/>
      <w:szCs w:val="21"/>
    </w:rPr>
  </w:style>
  <w:style w:type="paragraph" w:customStyle="1" w:styleId="2650">
    <w:name w:val="xl176"/>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color w:val="000000"/>
      <w:kern w:val="0"/>
      <w:sz w:val="22"/>
      <w:szCs w:val="20"/>
    </w:rPr>
  </w:style>
  <w:style w:type="paragraph" w:customStyle="1" w:styleId="2651">
    <w:name w:val="xl177"/>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kern w:val="0"/>
      <w:szCs w:val="21"/>
    </w:rPr>
  </w:style>
  <w:style w:type="paragraph" w:customStyle="1" w:styleId="2652">
    <w:name w:val="xl178"/>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color w:val="000000"/>
      <w:kern w:val="0"/>
      <w:szCs w:val="21"/>
    </w:rPr>
  </w:style>
  <w:style w:type="paragraph" w:customStyle="1" w:styleId="2653">
    <w:name w:val="xl179"/>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仿宋_GB2312" w:hAnsi="宋体" w:cs="宋体"/>
      <w:color w:val="000000"/>
      <w:kern w:val="0"/>
      <w:szCs w:val="21"/>
    </w:rPr>
  </w:style>
  <w:style w:type="paragraph" w:customStyle="1" w:styleId="2654">
    <w:name w:val="xl180"/>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color w:val="0000CC"/>
      <w:kern w:val="0"/>
      <w:sz w:val="22"/>
      <w:szCs w:val="20"/>
    </w:rPr>
  </w:style>
  <w:style w:type="paragraph" w:customStyle="1" w:styleId="2655">
    <w:name w:val="xl181"/>
    <w:basedOn w:val="1"/>
    <w:qFormat/>
    <w:uiPriority w:val="0"/>
    <w:pPr>
      <w:widowControl/>
      <w:pBdr>
        <w:top w:val="single" w:color="auto" w:sz="4" w:space="0"/>
        <w:bottom w:val="single" w:color="auto" w:sz="4" w:space="0"/>
      </w:pBdr>
      <w:spacing w:beforeAutospacing="1" w:afterAutospacing="1"/>
      <w:jc w:val="center"/>
    </w:pPr>
    <w:rPr>
      <w:kern w:val="0"/>
      <w:szCs w:val="21"/>
    </w:rPr>
  </w:style>
  <w:style w:type="paragraph" w:customStyle="1" w:styleId="2656">
    <w:name w:val="xl182"/>
    <w:basedOn w:val="1"/>
    <w:qFormat/>
    <w:uiPriority w:val="0"/>
    <w:pPr>
      <w:widowControl/>
      <w:pBdr>
        <w:top w:val="single" w:color="auto" w:sz="4" w:space="0"/>
        <w:left w:val="single" w:color="auto" w:sz="4" w:space="0"/>
        <w:bottom w:val="single" w:color="auto" w:sz="4" w:space="0"/>
      </w:pBdr>
      <w:spacing w:beforeAutospacing="1" w:afterAutospacing="1"/>
      <w:jc w:val="center"/>
    </w:pPr>
    <w:rPr>
      <w:rFonts w:ascii="宋体" w:hAnsi="宋体" w:cs="宋体"/>
      <w:kern w:val="0"/>
      <w:szCs w:val="21"/>
    </w:rPr>
  </w:style>
  <w:style w:type="paragraph" w:customStyle="1" w:styleId="2657">
    <w:name w:val="xl183"/>
    <w:basedOn w:val="1"/>
    <w:qFormat/>
    <w:uiPriority w:val="0"/>
    <w:pPr>
      <w:widowControl/>
      <w:pBdr>
        <w:top w:val="single" w:color="auto" w:sz="4" w:space="0"/>
        <w:bottom w:val="single" w:color="auto" w:sz="4" w:space="0"/>
      </w:pBdr>
      <w:spacing w:beforeAutospacing="1" w:afterAutospacing="1"/>
      <w:jc w:val="center"/>
      <w:textAlignment w:val="center"/>
    </w:pPr>
    <w:rPr>
      <w:color w:val="000000"/>
      <w:kern w:val="0"/>
      <w:sz w:val="22"/>
      <w:szCs w:val="20"/>
    </w:rPr>
  </w:style>
  <w:style w:type="paragraph" w:customStyle="1" w:styleId="2658">
    <w:name w:val="xl184"/>
    <w:basedOn w:val="1"/>
    <w:qFormat/>
    <w:uiPriority w:val="0"/>
    <w:pPr>
      <w:widowControl/>
      <w:pBdr>
        <w:top w:val="single" w:color="auto" w:sz="4" w:space="0"/>
        <w:bottom w:val="single" w:color="auto" w:sz="4" w:space="0"/>
        <w:right w:val="single" w:color="auto" w:sz="4" w:space="0"/>
      </w:pBdr>
      <w:spacing w:beforeAutospacing="1" w:afterAutospacing="1"/>
      <w:jc w:val="center"/>
      <w:textAlignment w:val="center"/>
    </w:pPr>
    <w:rPr>
      <w:color w:val="000000"/>
      <w:kern w:val="0"/>
      <w:sz w:val="22"/>
      <w:szCs w:val="20"/>
    </w:rPr>
  </w:style>
  <w:style w:type="paragraph" w:customStyle="1" w:styleId="2659">
    <w:name w:val="xl185"/>
    <w:basedOn w:val="1"/>
    <w:qFormat/>
    <w:uiPriority w:val="0"/>
    <w:pPr>
      <w:widowControl/>
      <w:pBdr>
        <w:top w:val="single" w:color="auto" w:sz="4" w:space="0"/>
        <w:bottom w:val="single" w:color="auto" w:sz="4" w:space="0"/>
      </w:pBdr>
      <w:spacing w:beforeAutospacing="1" w:afterAutospacing="1"/>
      <w:jc w:val="center"/>
    </w:pPr>
    <w:rPr>
      <w:color w:val="000000"/>
      <w:kern w:val="0"/>
      <w:szCs w:val="21"/>
    </w:rPr>
  </w:style>
  <w:style w:type="paragraph" w:customStyle="1" w:styleId="2660">
    <w:name w:val="xl186"/>
    <w:basedOn w:val="1"/>
    <w:qFormat/>
    <w:uiPriority w:val="0"/>
    <w:pPr>
      <w:widowControl/>
      <w:pBdr>
        <w:top w:val="single" w:color="auto" w:sz="4" w:space="0"/>
        <w:bottom w:val="single" w:color="auto" w:sz="4" w:space="0"/>
      </w:pBdr>
      <w:spacing w:beforeAutospacing="1" w:afterAutospacing="1"/>
      <w:jc w:val="center"/>
      <w:textAlignment w:val="center"/>
    </w:pPr>
    <w:rPr>
      <w:color w:val="0000CC"/>
      <w:kern w:val="0"/>
      <w:sz w:val="22"/>
      <w:szCs w:val="20"/>
    </w:rPr>
  </w:style>
  <w:style w:type="paragraph" w:customStyle="1" w:styleId="2661">
    <w:name w:val="xl187"/>
    <w:basedOn w:val="1"/>
    <w:qFormat/>
    <w:uiPriority w:val="0"/>
    <w:pPr>
      <w:widowControl/>
      <w:pBdr>
        <w:top w:val="single" w:color="auto" w:sz="4" w:space="0"/>
        <w:bottom w:val="single" w:color="auto" w:sz="4" w:space="0"/>
        <w:right w:val="single" w:color="auto" w:sz="4" w:space="0"/>
      </w:pBdr>
      <w:spacing w:beforeAutospacing="1" w:afterAutospacing="1"/>
      <w:jc w:val="center"/>
      <w:textAlignment w:val="center"/>
    </w:pPr>
    <w:rPr>
      <w:color w:val="0000CC"/>
      <w:kern w:val="0"/>
      <w:sz w:val="22"/>
      <w:szCs w:val="20"/>
    </w:rPr>
  </w:style>
  <w:style w:type="paragraph" w:customStyle="1" w:styleId="2662">
    <w:name w:val="xl188"/>
    <w:basedOn w:val="1"/>
    <w:qFormat/>
    <w:uiPriority w:val="0"/>
    <w:pPr>
      <w:widowControl/>
      <w:pBdr>
        <w:top w:val="single" w:color="auto" w:sz="4" w:space="0"/>
        <w:left w:val="single" w:color="auto" w:sz="4" w:space="0"/>
        <w:bottom w:val="single" w:color="auto" w:sz="4" w:space="0"/>
      </w:pBdr>
      <w:spacing w:beforeAutospacing="1" w:afterAutospacing="1"/>
      <w:jc w:val="center"/>
    </w:pPr>
    <w:rPr>
      <w:rFonts w:ascii="仿宋_GB2312" w:hAnsi="宋体" w:cs="宋体"/>
      <w:kern w:val="0"/>
      <w:szCs w:val="21"/>
    </w:rPr>
  </w:style>
  <w:style w:type="paragraph" w:customStyle="1" w:styleId="2663">
    <w:name w:val="xl189"/>
    <w:basedOn w:val="1"/>
    <w:qFormat/>
    <w:uiPriority w:val="0"/>
    <w:pPr>
      <w:widowControl/>
      <w:pBdr>
        <w:top w:val="single" w:color="auto" w:sz="4" w:space="0"/>
        <w:bottom w:val="single" w:color="auto" w:sz="4" w:space="0"/>
        <w:right w:val="single" w:color="auto" w:sz="4" w:space="0"/>
      </w:pBdr>
      <w:spacing w:beforeAutospacing="1" w:afterAutospacing="1"/>
      <w:jc w:val="center"/>
    </w:pPr>
    <w:rPr>
      <w:rFonts w:ascii="仿宋_GB2312" w:hAnsi="宋体" w:cs="宋体"/>
      <w:kern w:val="0"/>
      <w:szCs w:val="21"/>
    </w:rPr>
  </w:style>
  <w:style w:type="paragraph" w:customStyle="1" w:styleId="2664">
    <w:name w:val="xl190"/>
    <w:basedOn w:val="1"/>
    <w:qFormat/>
    <w:uiPriority w:val="0"/>
    <w:pPr>
      <w:widowControl/>
      <w:pBdr>
        <w:top w:val="single" w:color="auto" w:sz="4" w:space="0"/>
        <w:left w:val="single" w:color="auto" w:sz="4" w:space="0"/>
        <w:bottom w:val="single" w:color="auto" w:sz="4" w:space="0"/>
      </w:pBdr>
      <w:spacing w:beforeAutospacing="1" w:afterAutospacing="1"/>
      <w:jc w:val="left"/>
    </w:pPr>
    <w:rPr>
      <w:rFonts w:ascii="仿宋_GB2312" w:hAnsi="宋体" w:cs="宋体"/>
      <w:kern w:val="0"/>
      <w:szCs w:val="21"/>
    </w:rPr>
  </w:style>
  <w:style w:type="paragraph" w:customStyle="1" w:styleId="2665">
    <w:name w:val="xl191"/>
    <w:basedOn w:val="1"/>
    <w:qFormat/>
    <w:uiPriority w:val="0"/>
    <w:pPr>
      <w:widowControl/>
      <w:pBdr>
        <w:top w:val="single" w:color="auto" w:sz="4" w:space="0"/>
        <w:bottom w:val="single" w:color="auto" w:sz="4" w:space="0"/>
      </w:pBdr>
      <w:spacing w:beforeAutospacing="1" w:afterAutospacing="1"/>
      <w:jc w:val="left"/>
    </w:pPr>
    <w:rPr>
      <w:rFonts w:ascii="仿宋_GB2312" w:hAnsi="宋体" w:cs="宋体"/>
      <w:kern w:val="0"/>
      <w:szCs w:val="21"/>
    </w:rPr>
  </w:style>
  <w:style w:type="paragraph" w:customStyle="1" w:styleId="2666">
    <w:name w:val="xl192"/>
    <w:basedOn w:val="1"/>
    <w:qFormat/>
    <w:uiPriority w:val="0"/>
    <w:pPr>
      <w:widowControl/>
      <w:pBdr>
        <w:top w:val="single" w:color="auto" w:sz="4" w:space="0"/>
        <w:bottom w:val="single" w:color="auto" w:sz="4" w:space="0"/>
        <w:right w:val="single" w:color="auto" w:sz="4" w:space="0"/>
      </w:pBdr>
      <w:spacing w:beforeAutospacing="1" w:afterAutospacing="1"/>
      <w:jc w:val="left"/>
    </w:pPr>
    <w:rPr>
      <w:rFonts w:ascii="仿宋_GB2312" w:hAnsi="宋体" w:cs="宋体"/>
      <w:kern w:val="0"/>
      <w:szCs w:val="21"/>
    </w:rPr>
  </w:style>
  <w:style w:type="paragraph" w:customStyle="1" w:styleId="2667">
    <w:name w:val="xl193"/>
    <w:basedOn w:val="1"/>
    <w:qFormat/>
    <w:uiPriority w:val="0"/>
    <w:pPr>
      <w:widowControl/>
      <w:pBdr>
        <w:top w:val="single" w:color="auto" w:sz="4" w:space="0"/>
        <w:left w:val="single" w:color="auto" w:sz="4" w:space="0"/>
        <w:bottom w:val="single" w:color="auto" w:sz="4" w:space="0"/>
      </w:pBdr>
      <w:spacing w:beforeAutospacing="1" w:afterAutospacing="1"/>
      <w:jc w:val="left"/>
    </w:pPr>
    <w:rPr>
      <w:rFonts w:ascii="宋体" w:hAnsi="宋体" w:cs="宋体"/>
      <w:kern w:val="0"/>
      <w:szCs w:val="21"/>
    </w:rPr>
  </w:style>
  <w:style w:type="paragraph" w:customStyle="1" w:styleId="2668">
    <w:name w:val="xl194"/>
    <w:basedOn w:val="1"/>
    <w:qFormat/>
    <w:uiPriority w:val="0"/>
    <w:pPr>
      <w:widowControl/>
      <w:pBdr>
        <w:top w:val="single" w:color="auto" w:sz="4" w:space="0"/>
        <w:bottom w:val="single" w:color="auto" w:sz="4" w:space="0"/>
      </w:pBdr>
      <w:spacing w:beforeAutospacing="1" w:afterAutospacing="1"/>
      <w:jc w:val="left"/>
    </w:pPr>
    <w:rPr>
      <w:rFonts w:ascii="宋体" w:hAnsi="宋体" w:cs="宋体"/>
      <w:kern w:val="0"/>
      <w:szCs w:val="21"/>
    </w:rPr>
  </w:style>
  <w:style w:type="paragraph" w:customStyle="1" w:styleId="2669">
    <w:name w:val="xl195"/>
    <w:basedOn w:val="1"/>
    <w:qFormat/>
    <w:uiPriority w:val="0"/>
    <w:pPr>
      <w:widowControl/>
      <w:pBdr>
        <w:top w:val="single" w:color="auto" w:sz="4" w:space="0"/>
        <w:bottom w:val="single" w:color="auto" w:sz="4" w:space="0"/>
        <w:right w:val="single" w:color="auto" w:sz="4" w:space="0"/>
      </w:pBdr>
      <w:spacing w:beforeAutospacing="1" w:afterAutospacing="1"/>
      <w:jc w:val="left"/>
    </w:pPr>
    <w:rPr>
      <w:rFonts w:ascii="宋体" w:hAnsi="宋体" w:cs="宋体"/>
      <w:kern w:val="0"/>
      <w:szCs w:val="21"/>
    </w:rPr>
  </w:style>
  <w:style w:type="paragraph" w:customStyle="1" w:styleId="2670">
    <w:name w:val="图中文字"/>
    <w:basedOn w:val="1"/>
    <w:next w:val="1"/>
    <w:qFormat/>
    <w:uiPriority w:val="0"/>
    <w:pPr>
      <w:adjustRightInd w:val="0"/>
      <w:snapToGrid w:val="0"/>
      <w:spacing w:line="480" w:lineRule="exact"/>
      <w:ind w:firstLine="480" w:firstLineChars="200"/>
    </w:pPr>
    <w:rPr>
      <w:szCs w:val="20"/>
    </w:rPr>
  </w:style>
  <w:style w:type="paragraph" w:customStyle="1" w:styleId="2671">
    <w:name w:val="图标"/>
    <w:basedOn w:val="1"/>
    <w:next w:val="1"/>
    <w:qFormat/>
    <w:uiPriority w:val="0"/>
    <w:pPr>
      <w:widowControl/>
      <w:adjustRightInd w:val="0"/>
      <w:snapToGrid w:val="0"/>
      <w:spacing w:line="480" w:lineRule="exact"/>
      <w:jc w:val="center"/>
    </w:pPr>
    <w:rPr>
      <w:rFonts w:cs="宋体"/>
      <w:kern w:val="0"/>
      <w:sz w:val="24"/>
      <w:szCs w:val="20"/>
    </w:rPr>
  </w:style>
  <w:style w:type="paragraph" w:customStyle="1" w:styleId="2672">
    <w:name w:val="正文楷体"/>
    <w:basedOn w:val="1"/>
    <w:qFormat/>
    <w:uiPriority w:val="0"/>
    <w:rPr>
      <w:rFonts w:eastAsia="楷体_GB2312"/>
      <w:szCs w:val="20"/>
    </w:rPr>
  </w:style>
  <w:style w:type="character" w:customStyle="1" w:styleId="2673">
    <w:name w:val="环科院表格标题 Char Char"/>
    <w:link w:val="2674"/>
    <w:qFormat/>
    <w:uiPriority w:val="0"/>
    <w:rPr>
      <w:rFonts w:eastAsia="黑体"/>
      <w:bCs/>
      <w:szCs w:val="21"/>
    </w:rPr>
  </w:style>
  <w:style w:type="paragraph" w:customStyle="1" w:styleId="2674">
    <w:name w:val="环科院表格标题"/>
    <w:basedOn w:val="1"/>
    <w:link w:val="2673"/>
    <w:qFormat/>
    <w:uiPriority w:val="0"/>
    <w:pPr>
      <w:spacing w:beforeLines="50"/>
      <w:jc w:val="center"/>
    </w:pPr>
    <w:rPr>
      <w:rFonts w:eastAsia="黑体"/>
      <w:bCs/>
      <w:kern w:val="0"/>
      <w:sz w:val="20"/>
      <w:szCs w:val="21"/>
    </w:rPr>
  </w:style>
  <w:style w:type="character" w:customStyle="1" w:styleId="2675">
    <w:name w:val="环科院正文 Char Char"/>
    <w:link w:val="2676"/>
    <w:qFormat/>
    <w:uiPriority w:val="0"/>
    <w:rPr>
      <w:sz w:val="24"/>
      <w:szCs w:val="24"/>
    </w:rPr>
  </w:style>
  <w:style w:type="paragraph" w:customStyle="1" w:styleId="2676">
    <w:name w:val="环科院正文"/>
    <w:basedOn w:val="1"/>
    <w:link w:val="2675"/>
    <w:qFormat/>
    <w:uiPriority w:val="0"/>
    <w:pPr>
      <w:spacing w:line="300" w:lineRule="auto"/>
      <w:ind w:firstLine="480" w:firstLineChars="200"/>
    </w:pPr>
    <w:rPr>
      <w:kern w:val="0"/>
      <w:sz w:val="24"/>
    </w:rPr>
  </w:style>
  <w:style w:type="character" w:customStyle="1" w:styleId="2677">
    <w:name w:val="环科院正文加粗 Char Char"/>
    <w:link w:val="2678"/>
    <w:qFormat/>
    <w:uiPriority w:val="0"/>
    <w:rPr>
      <w:rFonts w:ascii="宋体" w:hAnsi="宋体"/>
      <w:b/>
      <w:color w:val="000000"/>
      <w:sz w:val="24"/>
      <w:szCs w:val="24"/>
    </w:rPr>
  </w:style>
  <w:style w:type="paragraph" w:customStyle="1" w:styleId="2678">
    <w:name w:val="环科院正文加粗"/>
    <w:basedOn w:val="2676"/>
    <w:link w:val="2677"/>
    <w:qFormat/>
    <w:uiPriority w:val="0"/>
    <w:pPr>
      <w:ind w:firstLine="482"/>
    </w:pPr>
    <w:rPr>
      <w:rFonts w:ascii="宋体" w:hAnsi="宋体"/>
      <w:b/>
      <w:color w:val="000000"/>
    </w:rPr>
  </w:style>
  <w:style w:type="paragraph" w:customStyle="1" w:styleId="2679">
    <w:name w:val="Style40"/>
    <w:qFormat/>
    <w:uiPriority w:val="0"/>
    <w:pPr>
      <w:jc w:val="both"/>
    </w:pPr>
    <w:rPr>
      <w:rFonts w:ascii="Arial" w:hAnsi="Arial" w:eastAsia="宋体" w:cs="Calibri"/>
      <w:snapToGrid w:val="0"/>
      <w:sz w:val="24"/>
      <w:lang w:val="fr-FR" w:eastAsia="fr-FR" w:bidi="ar-SA"/>
    </w:rPr>
  </w:style>
  <w:style w:type="paragraph" w:customStyle="1" w:styleId="2680">
    <w:name w:val="_Style 210"/>
    <w:basedOn w:val="1"/>
    <w:qFormat/>
    <w:uiPriority w:val="0"/>
    <w:rPr>
      <w:rFonts w:ascii="宋体"/>
      <w:kern w:val="0"/>
      <w:sz w:val="24"/>
      <w:szCs w:val="20"/>
    </w:rPr>
  </w:style>
  <w:style w:type="table" w:customStyle="1" w:styleId="2681">
    <w:name w:val="专业网格21"/>
    <w:basedOn w:val="81"/>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682">
    <w:name w:val="表格样式2"/>
    <w:basedOn w:val="81"/>
    <w:qFormat/>
    <w:uiPriority w:val="0"/>
    <w:pPr>
      <w:snapToGrid w:val="0"/>
      <w:jc w:val="center"/>
      <w:textAlignment w:val="center"/>
    </w:pPr>
    <w:rPr>
      <w:rFonts w:eastAsia="仿宋_GB2312"/>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bottom w:w="57" w:type="dxa"/>
      </w:tblCellMar>
    </w:tblPr>
    <w:trPr>
      <w:jc w:val="center"/>
    </w:trPr>
    <w:tcPr>
      <w:vAlign w:val="center"/>
    </w:tcPr>
  </w:style>
  <w:style w:type="table" w:customStyle="1" w:styleId="2683">
    <w:name w:val="专业网格31"/>
    <w:basedOn w:val="81"/>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4">
    <w:name w:val="网格型 711"/>
    <w:basedOn w:val="81"/>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paragraph" w:customStyle="1" w:styleId="2685">
    <w:name w:val="正文16"/>
    <w:basedOn w:val="1"/>
    <w:qFormat/>
    <w:uiPriority w:val="0"/>
    <w:pPr>
      <w:adjustRightInd w:val="0"/>
      <w:spacing w:line="315" w:lineRule="atLeast"/>
      <w:jc w:val="left"/>
      <w:textAlignment w:val="baseline"/>
    </w:pPr>
    <w:rPr>
      <w:rFonts w:ascii="宋体"/>
      <w:kern w:val="0"/>
      <w:sz w:val="24"/>
      <w:szCs w:val="20"/>
    </w:rPr>
  </w:style>
  <w:style w:type="character" w:customStyle="1" w:styleId="2686">
    <w:name w:val="已访问的超级链接"/>
    <w:qFormat/>
    <w:uiPriority w:val="0"/>
    <w:rPr>
      <w:rFonts w:ascii="Times New Roman" w:eastAsia="宋体"/>
      <w:color w:val="800080"/>
      <w:spacing w:val="0"/>
      <w:w w:val="100"/>
      <w:sz w:val="21"/>
      <w:u w:val="single" w:color="800080"/>
      <w:vertAlign w:val="baseline"/>
      <w:lang w:val="en-US" w:eastAsia="zh-CN"/>
    </w:rPr>
  </w:style>
  <w:style w:type="paragraph" w:customStyle="1" w:styleId="2687">
    <w:name w:val="HTML 预先格式化"/>
    <w:basedOn w:val="1"/>
    <w:qFormat/>
    <w:uiPriority w:val="0"/>
    <w:pPr>
      <w:widowControl/>
      <w:tabs>
        <w:tab w:val="left" w:pos="912"/>
        <w:tab w:val="left" w:pos="1831"/>
        <w:tab w:val="left" w:pos="2743"/>
        <w:tab w:val="left" w:pos="3662"/>
        <w:tab w:val="left" w:pos="4575"/>
        <w:tab w:val="left" w:pos="5493"/>
        <w:tab w:val="left" w:pos="6406"/>
        <w:tab w:val="left" w:pos="7324"/>
        <w:tab w:val="left" w:pos="8237"/>
        <w:tab w:val="left" w:pos="9150"/>
        <w:tab w:val="left" w:pos="10068"/>
        <w:tab w:val="left" w:pos="10981"/>
        <w:tab w:val="left" w:pos="11899"/>
        <w:tab w:val="left" w:pos="12812"/>
        <w:tab w:val="left" w:pos="13730"/>
        <w:tab w:val="left" w:pos="14643"/>
      </w:tabs>
      <w:spacing w:line="351" w:lineRule="atLeast"/>
      <w:ind w:firstLine="419"/>
      <w:jc w:val="left"/>
      <w:textAlignment w:val="baseline"/>
    </w:pPr>
    <w:rPr>
      <w:rFonts w:ascii="黑体" w:eastAsia="黑体"/>
      <w:color w:val="000000"/>
      <w:kern w:val="0"/>
      <w:szCs w:val="20"/>
      <w:u w:color="000000"/>
    </w:rPr>
  </w:style>
  <w:style w:type="paragraph" w:customStyle="1" w:styleId="2688">
    <w:name w:val="正文文本缩进 32"/>
    <w:basedOn w:val="1"/>
    <w:qFormat/>
    <w:uiPriority w:val="0"/>
    <w:pPr>
      <w:ind w:left="420" w:leftChars="200"/>
    </w:pPr>
    <w:rPr>
      <w:sz w:val="16"/>
      <w:szCs w:val="16"/>
    </w:rPr>
  </w:style>
  <w:style w:type="paragraph" w:customStyle="1" w:styleId="2689">
    <w:name w:val="样式11111"/>
    <w:basedOn w:val="1"/>
    <w:link w:val="2690"/>
    <w:qFormat/>
    <w:uiPriority w:val="0"/>
    <w:pPr>
      <w:adjustRightInd w:val="0"/>
      <w:snapToGrid w:val="0"/>
      <w:spacing w:afterLines="100" w:line="460" w:lineRule="exact"/>
      <w:jc w:val="center"/>
      <w:outlineLvl w:val="0"/>
    </w:pPr>
    <w:rPr>
      <w:rFonts w:eastAsia="黑体" w:cs="Arial"/>
      <w:b/>
      <w:bCs/>
      <w:kern w:val="0"/>
      <w:sz w:val="30"/>
      <w:szCs w:val="32"/>
    </w:rPr>
  </w:style>
  <w:style w:type="character" w:customStyle="1" w:styleId="2690">
    <w:name w:val="样式11111 Char"/>
    <w:link w:val="2689"/>
    <w:qFormat/>
    <w:uiPriority w:val="0"/>
    <w:rPr>
      <w:rFonts w:eastAsia="黑体" w:cs="Arial"/>
      <w:b/>
      <w:bCs/>
      <w:snapToGrid/>
      <w:sz w:val="30"/>
      <w:szCs w:val="32"/>
    </w:rPr>
  </w:style>
  <w:style w:type="table" w:customStyle="1" w:styleId="2691">
    <w:name w:val="专业网格4"/>
    <w:basedOn w:val="81"/>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2">
    <w:name w:val="网格型 72"/>
    <w:basedOn w:val="81"/>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paragraph" w:customStyle="1" w:styleId="2693">
    <w:name w:val="图头字体"/>
    <w:basedOn w:val="874"/>
    <w:link w:val="2694"/>
    <w:qFormat/>
    <w:uiPriority w:val="0"/>
    <w:pPr>
      <w:adjustRightInd w:val="0"/>
      <w:snapToGrid w:val="0"/>
    </w:pPr>
    <w:rPr>
      <w:rFonts w:eastAsia="宋体"/>
    </w:rPr>
  </w:style>
  <w:style w:type="character" w:customStyle="1" w:styleId="2694">
    <w:name w:val="图头字体 Char"/>
    <w:link w:val="2693"/>
    <w:qFormat/>
    <w:uiPriority w:val="0"/>
    <w:rPr>
      <w:b/>
      <w:sz w:val="24"/>
      <w:szCs w:val="24"/>
    </w:rPr>
  </w:style>
  <w:style w:type="table" w:customStyle="1" w:styleId="2695">
    <w:name w:val="专业网格5"/>
    <w:basedOn w:val="81"/>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6">
    <w:name w:val="网格型 73"/>
    <w:basedOn w:val="81"/>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697">
    <w:name w:val="网格型模版1"/>
    <w:basedOn w:val="81"/>
    <w:qFormat/>
    <w:uiPriority w:val="0"/>
    <w:pPr>
      <w:widowControl w:val="0"/>
      <w:adjustRightInd w:val="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8">
    <w:name w:val="网格型8"/>
    <w:basedOn w:val="8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9">
    <w:name w:val="网格型9"/>
    <w:basedOn w:val="8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0">
    <w:name w:val="专业网格6"/>
    <w:basedOn w:val="8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1">
    <w:name w:val="网格型 53"/>
    <w:basedOn w:val="81"/>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702">
    <w:name w:val="列表型 52"/>
    <w:basedOn w:val="81"/>
    <w:qFormat/>
    <w:uiPriority w:val="0"/>
    <w:pPr>
      <w:widowControl w:val="0"/>
      <w:adjustRightInd w:val="0"/>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single" w:color="000000" w:sz="12" w:space="0"/>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703">
    <w:name w:val="网格型 512"/>
    <w:basedOn w:val="81"/>
    <w:qFormat/>
    <w:uiPriority w:val="0"/>
    <w:pPr>
      <w:widowControl w:val="0"/>
      <w:adjustRightInd w:val="0"/>
      <w:snapToGrid w:val="0"/>
      <w:spacing w:line="348" w:lineRule="auto"/>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704">
    <w:name w:val="网格型 74"/>
    <w:basedOn w:val="81"/>
    <w:qFormat/>
    <w:uiPriority w:val="0"/>
    <w:pPr>
      <w:widowControl w:val="0"/>
      <w:snapToGrid w:val="0"/>
      <w:spacing w:line="348" w:lineRule="auto"/>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705">
    <w:name w:val="专业网格12"/>
    <w:basedOn w:val="81"/>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706">
    <w:name w:val="表格样式12"/>
    <w:basedOn w:val="81"/>
    <w:qFormat/>
    <w:uiPriority w:val="0"/>
    <w:pPr>
      <w:snapToGrid w:val="0"/>
      <w:jc w:val="center"/>
      <w:textAlignment w:val="center"/>
    </w:pPr>
    <w:rPr>
      <w:rFonts w:eastAsia="仿宋_GB2312"/>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bottom w:w="57" w:type="dxa"/>
      </w:tblCellMar>
    </w:tblPr>
    <w:trPr>
      <w:jc w:val="center"/>
    </w:trPr>
    <w:tcPr>
      <w:vAlign w:val="center"/>
    </w:tcPr>
  </w:style>
  <w:style w:type="table" w:customStyle="1" w:styleId="2707">
    <w:name w:val="专业网格22"/>
    <w:basedOn w:val="81"/>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708">
    <w:name w:val="专业网格32"/>
    <w:basedOn w:val="81"/>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9">
    <w:name w:val="网格型 712"/>
    <w:basedOn w:val="81"/>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character" w:customStyle="1" w:styleId="2710">
    <w:name w:val="标题 1 Char2"/>
    <w:qFormat/>
    <w:uiPriority w:val="0"/>
    <w:rPr>
      <w:rFonts w:ascii="Times New Roman" w:hAnsi="Times New Roman" w:eastAsia="宋体" w:cs="Times New Roman"/>
      <w:b/>
      <w:bCs/>
      <w:kern w:val="44"/>
      <w:sz w:val="30"/>
      <w:szCs w:val="44"/>
    </w:rPr>
  </w:style>
  <w:style w:type="table" w:customStyle="1" w:styleId="2711">
    <w:name w:val="网格型-无边竖线1"/>
    <w:basedOn w:val="8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712">
    <w:name w:val="headline-content"/>
    <w:qFormat/>
    <w:uiPriority w:val="0"/>
  </w:style>
  <w:style w:type="character" w:customStyle="1" w:styleId="2713">
    <w:name w:val="明显引用 Char1"/>
    <w:qFormat/>
    <w:uiPriority w:val="0"/>
    <w:rPr>
      <w:rFonts w:ascii="Times New Roman" w:hAnsi="Times New Roman" w:eastAsia="宋体" w:cs="Times New Roman"/>
      <w:b/>
      <w:bCs/>
      <w:i/>
      <w:iCs/>
      <w:color w:val="4F81BD"/>
      <w:kern w:val="0"/>
      <w:sz w:val="24"/>
      <w:szCs w:val="24"/>
    </w:rPr>
  </w:style>
  <w:style w:type="paragraph" w:customStyle="1" w:styleId="2714">
    <w:name w:val="样式 列表 2 + 华文仿宋 居中"/>
    <w:basedOn w:val="37"/>
    <w:qFormat/>
    <w:uiPriority w:val="0"/>
    <w:pPr>
      <w:ind w:left="0" w:leftChars="0" w:firstLine="0" w:firstLineChars="0"/>
      <w:jc w:val="center"/>
    </w:pPr>
    <w:rPr>
      <w:sz w:val="22"/>
      <w:szCs w:val="22"/>
    </w:rPr>
  </w:style>
  <w:style w:type="character" w:customStyle="1" w:styleId="2715">
    <w:name w:val="lemmatitleh11"/>
    <w:qFormat/>
    <w:uiPriority w:val="0"/>
  </w:style>
  <w:style w:type="paragraph" w:customStyle="1" w:styleId="2716">
    <w:name w:val="样式 四号 首行缩进:  2 字符"/>
    <w:basedOn w:val="1"/>
    <w:qFormat/>
    <w:uiPriority w:val="0"/>
    <w:pPr>
      <w:spacing w:line="480" w:lineRule="atLeast"/>
      <w:ind w:firstLine="200" w:firstLineChars="200"/>
    </w:pPr>
    <w:rPr>
      <w:sz w:val="24"/>
    </w:rPr>
  </w:style>
  <w:style w:type="character" w:customStyle="1" w:styleId="2717">
    <w:name w:val="g Char Char2"/>
    <w:qFormat/>
    <w:uiPriority w:val="0"/>
    <w:rPr>
      <w:rFonts w:eastAsia="宋体"/>
      <w:sz w:val="18"/>
      <w:szCs w:val="18"/>
      <w:lang w:bidi="ar-SA"/>
    </w:rPr>
  </w:style>
  <w:style w:type="character" w:customStyle="1" w:styleId="2718">
    <w:name w:val="正文首行缩进 2 + Times New Roman Char"/>
    <w:qFormat/>
    <w:uiPriority w:val="0"/>
    <w:rPr>
      <w:rFonts w:eastAsia="宋体"/>
      <w:sz w:val="24"/>
      <w:szCs w:val="24"/>
      <w:lang w:val="en-US" w:eastAsia="zh-CN" w:bidi="ar-SA"/>
    </w:rPr>
  </w:style>
  <w:style w:type="paragraph" w:customStyle="1" w:styleId="2719">
    <w:name w:val="main"/>
    <w:basedOn w:val="1"/>
    <w:qFormat/>
    <w:uiPriority w:val="0"/>
    <w:pPr>
      <w:widowControl/>
      <w:spacing w:beforeAutospacing="1" w:afterAutospacing="1"/>
      <w:ind w:firstLine="400"/>
      <w:jc w:val="left"/>
    </w:pPr>
    <w:rPr>
      <w:rFonts w:eastAsia="Arial Unicode MS" w:cs="Arial Unicode MS"/>
      <w:color w:val="0033CC"/>
      <w:kern w:val="0"/>
      <w:sz w:val="18"/>
      <w:szCs w:val="18"/>
    </w:rPr>
  </w:style>
  <w:style w:type="paragraph" w:customStyle="1" w:styleId="2720">
    <w:name w:val="表格内正文"/>
    <w:qFormat/>
    <w:uiPriority w:val="0"/>
    <w:pPr>
      <w:widowControl w:val="0"/>
      <w:spacing w:line="360" w:lineRule="exact"/>
      <w:ind w:firstLine="420" w:firstLineChars="200"/>
      <w:jc w:val="both"/>
    </w:pPr>
    <w:rPr>
      <w:rFonts w:ascii="Calibri" w:hAnsi="Calibri" w:eastAsia="宋体" w:cs="Calibri"/>
      <w:kern w:val="2"/>
      <w:sz w:val="21"/>
      <w:szCs w:val="24"/>
      <w:lang w:val="en-US" w:eastAsia="zh-CN" w:bidi="ar-SA"/>
    </w:rPr>
  </w:style>
  <w:style w:type="paragraph" w:customStyle="1" w:styleId="2721">
    <w:name w:val="样式 首行缩进:  2 字符 行距: 固定值 26 磅"/>
    <w:basedOn w:val="1"/>
    <w:qFormat/>
    <w:uiPriority w:val="0"/>
    <w:pPr>
      <w:spacing w:line="480" w:lineRule="exact"/>
      <w:ind w:firstLine="200" w:firstLineChars="200"/>
    </w:pPr>
    <w:rPr>
      <w:rFonts w:cs="宋体"/>
      <w:sz w:val="24"/>
      <w:szCs w:val="20"/>
    </w:rPr>
  </w:style>
  <w:style w:type="character" w:customStyle="1" w:styleId="2722">
    <w:name w:val="样式 正文文本缩进 2正文文字缩进 2 + 四号 蓝色 Char Char"/>
    <w:link w:val="2723"/>
    <w:qFormat/>
    <w:locked/>
    <w:uiPriority w:val="0"/>
    <w:rPr>
      <w:color w:val="0000FF"/>
      <w:sz w:val="24"/>
      <w:szCs w:val="24"/>
    </w:rPr>
  </w:style>
  <w:style w:type="paragraph" w:customStyle="1" w:styleId="2723">
    <w:name w:val="样式 正文文本缩进 2正文文字缩进 2 + 四号 蓝色 Char"/>
    <w:basedOn w:val="50"/>
    <w:link w:val="2722"/>
    <w:qFormat/>
    <w:uiPriority w:val="0"/>
    <w:pPr>
      <w:adjustRightInd w:val="0"/>
      <w:spacing w:line="480" w:lineRule="exact"/>
      <w:ind w:left="0" w:leftChars="0" w:firstLine="709"/>
    </w:pPr>
    <w:rPr>
      <w:rFonts w:ascii="Times New Roman" w:hAnsi="Times New Roman"/>
      <w:color w:val="0000FF"/>
      <w:kern w:val="0"/>
      <w:sz w:val="24"/>
      <w:szCs w:val="24"/>
    </w:rPr>
  </w:style>
  <w:style w:type="paragraph" w:customStyle="1" w:styleId="2724">
    <w:name w:val="样式 红色 首行缩进:  2 字符"/>
    <w:basedOn w:val="1"/>
    <w:qFormat/>
    <w:uiPriority w:val="0"/>
    <w:pPr>
      <w:spacing w:line="480" w:lineRule="exact"/>
      <w:ind w:firstLine="480" w:firstLineChars="200"/>
    </w:pPr>
    <w:rPr>
      <w:rFonts w:cs="宋体"/>
      <w:color w:val="FF0000"/>
      <w:sz w:val="24"/>
      <w:szCs w:val="20"/>
    </w:rPr>
  </w:style>
  <w:style w:type="paragraph" w:customStyle="1" w:styleId="2725">
    <w:name w:val="样式 正文文本缩进 2正文文字缩进 2 + 四号 蓝色"/>
    <w:basedOn w:val="50"/>
    <w:qFormat/>
    <w:uiPriority w:val="0"/>
    <w:pPr>
      <w:adjustRightInd w:val="0"/>
      <w:spacing w:line="480" w:lineRule="exact"/>
      <w:ind w:left="0" w:leftChars="0" w:firstLine="709"/>
    </w:pPr>
    <w:rPr>
      <w:rFonts w:ascii="Times New Roman" w:hAnsi="Times New Roman" w:eastAsia="Times New Roman"/>
      <w:color w:val="0000FF"/>
      <w:kern w:val="0"/>
      <w:sz w:val="24"/>
      <w:szCs w:val="24"/>
    </w:rPr>
  </w:style>
  <w:style w:type="paragraph" w:customStyle="1" w:styleId="2726">
    <w:name w:val="样式 五号 居中 行距: 最小值 18 磅"/>
    <w:basedOn w:val="1"/>
    <w:qFormat/>
    <w:uiPriority w:val="0"/>
    <w:pPr>
      <w:spacing w:line="360" w:lineRule="atLeast"/>
      <w:jc w:val="center"/>
    </w:pPr>
    <w:rPr>
      <w:rFonts w:cs="宋体"/>
      <w:szCs w:val="20"/>
    </w:rPr>
  </w:style>
  <w:style w:type="paragraph" w:customStyle="1" w:styleId="2727">
    <w:name w:val="样式 (中文) 黑体"/>
    <w:basedOn w:val="1"/>
    <w:qFormat/>
    <w:uiPriority w:val="0"/>
    <w:pPr>
      <w:spacing w:line="480" w:lineRule="exact"/>
      <w:ind w:firstLine="567"/>
    </w:pPr>
    <w:rPr>
      <w:rFonts w:eastAsia="黑体" w:cs="宋体"/>
      <w:kern w:val="0"/>
      <w:sz w:val="24"/>
      <w:szCs w:val="20"/>
    </w:rPr>
  </w:style>
  <w:style w:type="paragraph" w:customStyle="1" w:styleId="2728">
    <w:name w:val="热电厂正文"/>
    <w:basedOn w:val="1"/>
    <w:qFormat/>
    <w:uiPriority w:val="0"/>
    <w:pPr>
      <w:spacing w:line="440" w:lineRule="exact"/>
      <w:ind w:firstLine="480" w:firstLineChars="200"/>
    </w:pPr>
    <w:rPr>
      <w:sz w:val="24"/>
    </w:rPr>
  </w:style>
  <w:style w:type="paragraph" w:customStyle="1" w:styleId="2729">
    <w:name w:val="标题后正文"/>
    <w:basedOn w:val="1"/>
    <w:qFormat/>
    <w:uiPriority w:val="0"/>
    <w:pPr>
      <w:adjustRightInd w:val="0"/>
      <w:snapToGrid w:val="0"/>
      <w:spacing w:line="360" w:lineRule="auto"/>
      <w:ind w:firstLine="200" w:firstLineChars="200"/>
    </w:pPr>
    <w:rPr>
      <w:rFonts w:ascii="Arial" w:hAnsi="Arial"/>
      <w:kern w:val="28"/>
      <w:sz w:val="24"/>
      <w:szCs w:val="20"/>
    </w:rPr>
  </w:style>
  <w:style w:type="paragraph" w:customStyle="1" w:styleId="2730">
    <w:name w:val="样式 小四 首行缩进:  0.74 厘米 行距: 固定值 20 磅"/>
    <w:basedOn w:val="1"/>
    <w:qFormat/>
    <w:uiPriority w:val="0"/>
    <w:pPr>
      <w:spacing w:line="440" w:lineRule="exact"/>
      <w:ind w:firstLine="454"/>
    </w:pPr>
    <w:rPr>
      <w:sz w:val="24"/>
      <w:szCs w:val="20"/>
    </w:rPr>
  </w:style>
  <w:style w:type="character" w:customStyle="1" w:styleId="2731">
    <w:name w:val="标准 Char Char"/>
    <w:link w:val="2732"/>
    <w:qFormat/>
    <w:locked/>
    <w:uiPriority w:val="0"/>
    <w:rPr>
      <w:sz w:val="28"/>
    </w:rPr>
  </w:style>
  <w:style w:type="paragraph" w:customStyle="1" w:styleId="2732">
    <w:name w:val="标准 Char"/>
    <w:basedOn w:val="1"/>
    <w:link w:val="2731"/>
    <w:qFormat/>
    <w:uiPriority w:val="0"/>
    <w:pPr>
      <w:adjustRightInd w:val="0"/>
      <w:spacing w:line="480" w:lineRule="exact"/>
    </w:pPr>
    <w:rPr>
      <w:kern w:val="0"/>
      <w:sz w:val="28"/>
      <w:szCs w:val="20"/>
    </w:rPr>
  </w:style>
  <w:style w:type="paragraph" w:customStyle="1" w:styleId="2733">
    <w:name w:val="样式 小四 行距: 固定值 24 磅 首行缩进:  2 字符"/>
    <w:basedOn w:val="1"/>
    <w:qFormat/>
    <w:uiPriority w:val="0"/>
    <w:pPr>
      <w:spacing w:line="440" w:lineRule="exact"/>
      <w:ind w:firstLine="200" w:firstLineChars="200"/>
    </w:pPr>
    <w:rPr>
      <w:sz w:val="24"/>
    </w:rPr>
  </w:style>
  <w:style w:type="paragraph" w:customStyle="1" w:styleId="2734">
    <w:name w:val="农业部一"/>
    <w:next w:val="34"/>
    <w:qFormat/>
    <w:uiPriority w:val="0"/>
    <w:pPr>
      <w:widowControl w:val="0"/>
      <w:topLinePunct/>
      <w:spacing w:line="360" w:lineRule="atLeast"/>
      <w:jc w:val="center"/>
    </w:pPr>
    <w:rPr>
      <w:rFonts w:ascii="Calibri" w:hAnsi="Calibri" w:eastAsia="宋体" w:cs="Calibri"/>
      <w:kern w:val="2"/>
      <w:sz w:val="24"/>
      <w:szCs w:val="24"/>
      <w:lang w:val="en-US" w:eastAsia="zh-CN" w:bidi="ar-SA"/>
    </w:rPr>
  </w:style>
  <w:style w:type="paragraph" w:customStyle="1" w:styleId="2735">
    <w:name w:val="5#表格"/>
    <w:basedOn w:val="1"/>
    <w:qFormat/>
    <w:uiPriority w:val="0"/>
    <w:pPr>
      <w:tabs>
        <w:tab w:val="left" w:pos="600"/>
      </w:tabs>
      <w:adjustRightInd w:val="0"/>
      <w:spacing w:line="360" w:lineRule="exact"/>
      <w:jc w:val="center"/>
    </w:pPr>
    <w:rPr>
      <w:kern w:val="0"/>
      <w:szCs w:val="21"/>
    </w:rPr>
  </w:style>
  <w:style w:type="paragraph" w:customStyle="1" w:styleId="2736">
    <w:name w:val="国函"/>
    <w:next w:val="1"/>
    <w:qFormat/>
    <w:uiPriority w:val="0"/>
    <w:pPr>
      <w:adjustRightInd w:val="0"/>
      <w:spacing w:after="300"/>
      <w:jc w:val="center"/>
    </w:pPr>
    <w:rPr>
      <w:rFonts w:ascii="Calibri" w:hAnsi="Calibri" w:eastAsia="楷体_GB2312" w:cs="Calibri"/>
      <w:lang w:val="en-US" w:eastAsia="zh-CN" w:bidi="ar-SA"/>
    </w:rPr>
  </w:style>
  <w:style w:type="paragraph" w:customStyle="1" w:styleId="2737">
    <w:name w:val="样式 标题 1 + 浅蓝 首行缩进:  0 厘米"/>
    <w:basedOn w:val="5"/>
    <w:qFormat/>
    <w:uiPriority w:val="0"/>
    <w:pPr>
      <w:keepLines/>
      <w:tabs>
        <w:tab w:val="left" w:pos="360"/>
      </w:tabs>
      <w:overflowPunct/>
      <w:adjustRightInd w:val="0"/>
      <w:spacing w:before="0" w:after="0" w:line="360" w:lineRule="auto"/>
      <w:ind w:left="0" w:firstLine="567"/>
      <w:jc w:val="left"/>
    </w:pPr>
    <w:rPr>
      <w:rFonts w:eastAsia="宋体"/>
      <w:bCs w:val="0"/>
      <w:color w:val="3366FF"/>
      <w:sz w:val="32"/>
      <w:szCs w:val="20"/>
    </w:rPr>
  </w:style>
  <w:style w:type="paragraph" w:customStyle="1" w:styleId="2738">
    <w:name w:val="样式 左侧:  0.85 厘米 首行缩进:  2 字符"/>
    <w:basedOn w:val="1"/>
    <w:qFormat/>
    <w:uiPriority w:val="0"/>
    <w:pPr>
      <w:spacing w:line="480" w:lineRule="exact"/>
      <w:ind w:firstLine="200" w:firstLineChars="200"/>
    </w:pPr>
    <w:rPr>
      <w:sz w:val="24"/>
      <w:szCs w:val="20"/>
    </w:rPr>
  </w:style>
  <w:style w:type="paragraph" w:customStyle="1" w:styleId="2739">
    <w:name w:val="样式 标题 3 + 首行缩进:  0 厘米"/>
    <w:basedOn w:val="7"/>
    <w:qFormat/>
    <w:uiPriority w:val="0"/>
    <w:pPr>
      <w:widowControl w:val="0"/>
      <w:tabs>
        <w:tab w:val="left" w:pos="1134"/>
        <w:tab w:val="left" w:pos="1256"/>
      </w:tabs>
      <w:spacing w:line="360" w:lineRule="auto"/>
      <w:ind w:firstLine="567"/>
    </w:pPr>
    <w:rPr>
      <w:rFonts w:ascii="Times New Roman" w:hAnsi="Times New Roman"/>
      <w:bCs w:val="0"/>
      <w:kern w:val="0"/>
      <w:sz w:val="24"/>
      <w:szCs w:val="20"/>
      <w:lang w:val="en-US"/>
    </w:rPr>
  </w:style>
  <w:style w:type="paragraph" w:customStyle="1" w:styleId="2740">
    <w:name w:val="表格用字 +  六号"/>
    <w:basedOn w:val="1"/>
    <w:qFormat/>
    <w:uiPriority w:val="0"/>
    <w:pPr>
      <w:spacing w:line="0" w:lineRule="atLeast"/>
    </w:pPr>
    <w:rPr>
      <w:rFonts w:ascii="宋体" w:eastAsia="仿宋_GB2312"/>
      <w:sz w:val="15"/>
      <w:szCs w:val="20"/>
    </w:rPr>
  </w:style>
  <w:style w:type="paragraph" w:customStyle="1" w:styleId="2741">
    <w:name w:val="说明-表格用字"/>
    <w:basedOn w:val="1"/>
    <w:qFormat/>
    <w:uiPriority w:val="0"/>
    <w:pPr>
      <w:jc w:val="center"/>
    </w:pPr>
    <w:rPr>
      <w:rFonts w:ascii="宋体" w:hAnsi="宋体"/>
      <w:kern w:val="0"/>
      <w:szCs w:val="20"/>
    </w:rPr>
  </w:style>
  <w:style w:type="paragraph" w:customStyle="1" w:styleId="2742">
    <w:name w:val="样式 标题 1 + 加粗 首行缩进:  0 厘米"/>
    <w:basedOn w:val="5"/>
    <w:qFormat/>
    <w:uiPriority w:val="0"/>
    <w:pPr>
      <w:keepLines/>
      <w:widowControl/>
      <w:tabs>
        <w:tab w:val="left" w:pos="360"/>
      </w:tabs>
      <w:overflowPunct/>
      <w:adjustRightInd w:val="0"/>
      <w:spacing w:before="0" w:after="0" w:line="480" w:lineRule="atLeast"/>
      <w:ind w:left="0" w:firstLine="0"/>
      <w:jc w:val="left"/>
    </w:pPr>
    <w:rPr>
      <w:rFonts w:eastAsia="宋体"/>
      <w:bCs w:val="0"/>
      <w:color w:val="auto"/>
      <w:sz w:val="32"/>
      <w:szCs w:val="20"/>
    </w:rPr>
  </w:style>
  <w:style w:type="paragraph" w:customStyle="1" w:styleId="2743">
    <w:name w:val="样式 小五 居中 首行缩进:  2 字符"/>
    <w:basedOn w:val="1"/>
    <w:qFormat/>
    <w:uiPriority w:val="0"/>
    <w:pPr>
      <w:jc w:val="center"/>
    </w:pPr>
    <w:rPr>
      <w:sz w:val="18"/>
      <w:szCs w:val="20"/>
    </w:rPr>
  </w:style>
  <w:style w:type="paragraph" w:customStyle="1" w:styleId="2744">
    <w:name w:val="说明-表格-注"/>
    <w:basedOn w:val="1"/>
    <w:qFormat/>
    <w:uiPriority w:val="0"/>
    <w:pPr>
      <w:spacing w:line="0" w:lineRule="atLeast"/>
      <w:ind w:left="189" w:leftChars="189" w:right="374" w:firstLine="13" w:firstLineChars="7"/>
    </w:pPr>
    <w:rPr>
      <w:rFonts w:hAnsi="宋体"/>
      <w:sz w:val="18"/>
      <w:szCs w:val="20"/>
    </w:rPr>
  </w:style>
  <w:style w:type="paragraph" w:customStyle="1" w:styleId="2745">
    <w:name w:val="样式 标题 2 + 段前: 1 行"/>
    <w:basedOn w:val="6"/>
    <w:qFormat/>
    <w:uiPriority w:val="0"/>
    <w:pPr>
      <w:tabs>
        <w:tab w:val="left" w:pos="927"/>
        <w:tab w:val="left" w:pos="1134"/>
      </w:tabs>
      <w:adjustRightInd w:val="0"/>
      <w:snapToGrid w:val="0"/>
      <w:spacing w:line="360" w:lineRule="auto"/>
      <w:ind w:firstLine="567"/>
      <w:jc w:val="left"/>
    </w:pPr>
    <w:rPr>
      <w:rFonts w:ascii="宋体" w:hAnsi="Times New Roman" w:eastAsia="宋体"/>
      <w:bCs w:val="0"/>
      <w:kern w:val="0"/>
      <w:sz w:val="28"/>
      <w:szCs w:val="20"/>
    </w:rPr>
  </w:style>
  <w:style w:type="paragraph" w:customStyle="1" w:styleId="2746">
    <w:name w:val="说明-标题3"/>
    <w:basedOn w:val="7"/>
    <w:qFormat/>
    <w:uiPriority w:val="0"/>
    <w:pPr>
      <w:widowControl w:val="0"/>
      <w:tabs>
        <w:tab w:val="left" w:pos="1134"/>
        <w:tab w:val="left" w:pos="1256"/>
      </w:tabs>
      <w:adjustRightInd/>
      <w:snapToGrid/>
      <w:spacing w:after="120" w:afterLines="50" w:line="416" w:lineRule="atLeast"/>
      <w:jc w:val="both"/>
    </w:pPr>
    <w:rPr>
      <w:rFonts w:ascii="黑体" w:hAnsi="Times New Roman" w:eastAsia="黑体"/>
      <w:b w:val="0"/>
      <w:bCs w:val="0"/>
      <w:kern w:val="0"/>
      <w:sz w:val="30"/>
      <w:szCs w:val="20"/>
      <w:lang w:val="en-US"/>
    </w:rPr>
  </w:style>
  <w:style w:type="paragraph" w:customStyle="1" w:styleId="2747">
    <w:name w:val="样式 样式 标题 3 + 宋体 小四 加粗 + 首行缩进:  0 厘米"/>
    <w:basedOn w:val="1"/>
    <w:qFormat/>
    <w:uiPriority w:val="0"/>
    <w:pPr>
      <w:keepNext/>
      <w:keepLines/>
      <w:adjustRightInd w:val="0"/>
      <w:snapToGrid w:val="0"/>
      <w:ind w:firstLine="567"/>
    </w:pPr>
    <w:rPr>
      <w:rFonts w:ascii="宋体" w:hAnsi="宋体"/>
      <w:b/>
      <w:kern w:val="0"/>
      <w:sz w:val="24"/>
      <w:szCs w:val="20"/>
    </w:rPr>
  </w:style>
  <w:style w:type="paragraph" w:customStyle="1" w:styleId="2748">
    <w:name w:val="说明-标题2"/>
    <w:basedOn w:val="6"/>
    <w:qFormat/>
    <w:uiPriority w:val="0"/>
    <w:pPr>
      <w:pageBreakBefore/>
      <w:tabs>
        <w:tab w:val="left" w:pos="927"/>
        <w:tab w:val="left" w:pos="1134"/>
      </w:tabs>
      <w:spacing w:line="416" w:lineRule="atLeast"/>
    </w:pPr>
    <w:rPr>
      <w:rFonts w:ascii="Arial" w:hAnsi="Arial" w:eastAsia="黑体"/>
      <w:bCs w:val="0"/>
      <w:kern w:val="0"/>
      <w:sz w:val="36"/>
      <w:szCs w:val="20"/>
    </w:rPr>
  </w:style>
  <w:style w:type="paragraph" w:customStyle="1" w:styleId="2749">
    <w:name w:val="表格用字"/>
    <w:basedOn w:val="71"/>
    <w:qFormat/>
    <w:uiPriority w:val="0"/>
    <w:pPr>
      <w:spacing w:line="0" w:lineRule="atLeast"/>
    </w:pPr>
    <w:rPr>
      <w:rFonts w:ascii="宋体" w:hAnsi="Times New Roman" w:eastAsia="仿宋_GB2312"/>
      <w:sz w:val="24"/>
    </w:rPr>
  </w:style>
  <w:style w:type="paragraph" w:customStyle="1" w:styleId="2750">
    <w:name w:val="样式 小四 首行缩进:  2 字符"/>
    <w:basedOn w:val="1"/>
    <w:qFormat/>
    <w:uiPriority w:val="0"/>
    <w:pPr>
      <w:adjustRightInd w:val="0"/>
      <w:spacing w:line="480" w:lineRule="atLeast"/>
      <w:ind w:firstLine="180" w:firstLineChars="180"/>
    </w:pPr>
    <w:rPr>
      <w:kern w:val="0"/>
      <w:sz w:val="24"/>
      <w:szCs w:val="20"/>
    </w:rPr>
  </w:style>
  <w:style w:type="paragraph" w:customStyle="1" w:styleId="2751">
    <w:name w:val="说明-标题4"/>
    <w:basedOn w:val="8"/>
    <w:qFormat/>
    <w:uiPriority w:val="0"/>
    <w:pPr>
      <w:numPr>
        <w:ilvl w:val="0"/>
        <w:numId w:val="0"/>
      </w:numPr>
      <w:tabs>
        <w:tab w:val="left" w:pos="1134"/>
        <w:tab w:val="left" w:pos="1630"/>
      </w:tabs>
      <w:spacing w:line="376" w:lineRule="atLeast"/>
      <w:ind w:left="100" w:leftChars="100"/>
    </w:pPr>
    <w:rPr>
      <w:rFonts w:eastAsia="宋体"/>
      <w:b w:val="0"/>
      <w:bCs w:val="0"/>
      <w:kern w:val="0"/>
      <w:sz w:val="24"/>
      <w:szCs w:val="20"/>
    </w:rPr>
  </w:style>
  <w:style w:type="paragraph" w:customStyle="1" w:styleId="2752">
    <w:name w:val="样式 正文文本缩进 2正文文字缩进 2 + 自动设置 首行缩进:  2 字符"/>
    <w:basedOn w:val="50"/>
    <w:qFormat/>
    <w:uiPriority w:val="0"/>
    <w:pPr>
      <w:tabs>
        <w:tab w:val="left" w:pos="4500"/>
      </w:tabs>
      <w:snapToGrid w:val="0"/>
      <w:spacing w:line="440" w:lineRule="exact"/>
      <w:ind w:left="0" w:leftChars="0" w:firstLine="200" w:firstLineChars="200"/>
    </w:pPr>
    <w:rPr>
      <w:rFonts w:ascii="宋体" w:hAnsi="宋体" w:eastAsia="Times New Roman"/>
      <w:kern w:val="0"/>
      <w:sz w:val="24"/>
    </w:rPr>
  </w:style>
  <w:style w:type="paragraph" w:customStyle="1" w:styleId="2753">
    <w:name w:val="样式 样式 标题 2 + 加粗 段前: 1 行 + 四号 首行缩进:  0 厘米"/>
    <w:basedOn w:val="1"/>
    <w:qFormat/>
    <w:uiPriority w:val="0"/>
    <w:pPr>
      <w:keepNext/>
      <w:keepLines/>
      <w:adjustRightInd w:val="0"/>
      <w:ind w:firstLine="567"/>
      <w:jc w:val="left"/>
    </w:pPr>
    <w:rPr>
      <w:rFonts w:ascii="宋体"/>
      <w:b/>
      <w:kern w:val="0"/>
      <w:sz w:val="28"/>
      <w:szCs w:val="20"/>
    </w:rPr>
  </w:style>
  <w:style w:type="paragraph" w:customStyle="1" w:styleId="2754">
    <w:name w:val="样式 小五 首行缩进:  2 字符"/>
    <w:basedOn w:val="1"/>
    <w:qFormat/>
    <w:uiPriority w:val="0"/>
    <w:rPr>
      <w:sz w:val="18"/>
      <w:szCs w:val="20"/>
    </w:rPr>
  </w:style>
  <w:style w:type="paragraph" w:customStyle="1" w:styleId="2755">
    <w:name w:val="样式 标题 1 + 首行缩进:  0 厘米"/>
    <w:basedOn w:val="5"/>
    <w:qFormat/>
    <w:uiPriority w:val="0"/>
    <w:pPr>
      <w:keepLines/>
      <w:tabs>
        <w:tab w:val="left" w:pos="360"/>
      </w:tabs>
      <w:overflowPunct/>
      <w:adjustRightInd w:val="0"/>
      <w:spacing w:before="0" w:after="0" w:line="360" w:lineRule="auto"/>
      <w:ind w:left="0" w:firstLine="567"/>
      <w:jc w:val="left"/>
    </w:pPr>
    <w:rPr>
      <w:rFonts w:eastAsia="宋体"/>
      <w:bCs w:val="0"/>
      <w:color w:val="auto"/>
      <w:sz w:val="32"/>
      <w:szCs w:val="20"/>
    </w:rPr>
  </w:style>
  <w:style w:type="paragraph" w:customStyle="1" w:styleId="2756">
    <w:name w:val="表格用字 Char Char"/>
    <w:basedOn w:val="71"/>
    <w:qFormat/>
    <w:uiPriority w:val="0"/>
    <w:pPr>
      <w:spacing w:line="0" w:lineRule="atLeast"/>
    </w:pPr>
    <w:rPr>
      <w:rFonts w:ascii="宋体" w:hAnsi="Times New Roman" w:eastAsia="仿宋_GB2312"/>
      <w:sz w:val="24"/>
    </w:rPr>
  </w:style>
  <w:style w:type="paragraph" w:customStyle="1" w:styleId="2757">
    <w:name w:val="样式 标题 3标题 3 Char标题 3 Char Char Char Char Char标题 3 Char Char C..."/>
    <w:basedOn w:val="7"/>
    <w:qFormat/>
    <w:uiPriority w:val="0"/>
    <w:pPr>
      <w:widowControl w:val="0"/>
      <w:tabs>
        <w:tab w:val="left" w:pos="636"/>
      </w:tabs>
      <w:snapToGrid/>
      <w:spacing w:line="480" w:lineRule="exact"/>
    </w:pPr>
    <w:rPr>
      <w:rFonts w:ascii="宋体" w:hAnsi="宋体"/>
      <w:bCs w:val="0"/>
      <w:kern w:val="0"/>
      <w:sz w:val="24"/>
      <w:szCs w:val="20"/>
      <w:lang w:val="en-US"/>
    </w:rPr>
  </w:style>
  <w:style w:type="paragraph" w:customStyle="1" w:styleId="2758">
    <w:name w:val="样式 标题 2 + Times New Roman 段前: 0.5 行 段后: 0.5 行"/>
    <w:basedOn w:val="6"/>
    <w:qFormat/>
    <w:uiPriority w:val="0"/>
    <w:pPr>
      <w:tabs>
        <w:tab w:val="left" w:pos="4500"/>
      </w:tabs>
      <w:adjustRightInd w:val="0"/>
      <w:snapToGrid w:val="0"/>
      <w:spacing w:line="460" w:lineRule="exact"/>
    </w:pPr>
    <w:rPr>
      <w:rFonts w:ascii="Times New Roman" w:hAnsi="Times New Roman" w:eastAsia="宋体"/>
      <w:bCs w:val="0"/>
      <w:kern w:val="0"/>
      <w:sz w:val="28"/>
      <w:szCs w:val="20"/>
    </w:rPr>
  </w:style>
  <w:style w:type="paragraph" w:customStyle="1" w:styleId="2759">
    <w:name w:val="说明-正文-公式"/>
    <w:basedOn w:val="897"/>
    <w:qFormat/>
    <w:uiPriority w:val="0"/>
    <w:pPr>
      <w:adjustRightInd w:val="0"/>
      <w:snapToGrid w:val="0"/>
      <w:ind w:firstLine="200"/>
    </w:pPr>
    <w:rPr>
      <w:color w:val="auto"/>
    </w:rPr>
  </w:style>
  <w:style w:type="paragraph" w:customStyle="1" w:styleId="2760">
    <w:name w:val="样式 标题 2 + 浅蓝 段前: 1 行"/>
    <w:basedOn w:val="6"/>
    <w:qFormat/>
    <w:uiPriority w:val="0"/>
    <w:pPr>
      <w:tabs>
        <w:tab w:val="left" w:pos="927"/>
        <w:tab w:val="left" w:pos="1134"/>
      </w:tabs>
      <w:adjustRightInd w:val="0"/>
      <w:snapToGrid w:val="0"/>
      <w:spacing w:line="360" w:lineRule="auto"/>
      <w:ind w:firstLine="567"/>
    </w:pPr>
    <w:rPr>
      <w:rFonts w:ascii="宋体" w:hAnsi="Times New Roman" w:eastAsia="宋体"/>
      <w:bCs w:val="0"/>
      <w:color w:val="3366FF"/>
      <w:kern w:val="0"/>
      <w:sz w:val="28"/>
      <w:szCs w:val="20"/>
    </w:rPr>
  </w:style>
  <w:style w:type="paragraph" w:customStyle="1" w:styleId="2761">
    <w:name w:val="样式 样式7 + 小四"/>
    <w:basedOn w:val="200"/>
    <w:qFormat/>
    <w:uiPriority w:val="0"/>
    <w:pPr>
      <w:keepNext/>
      <w:keepLines/>
      <w:tabs>
        <w:tab w:val="left" w:pos="560"/>
      </w:tabs>
      <w:adjustRightInd w:val="0"/>
      <w:snapToGrid w:val="0"/>
      <w:spacing w:before="240" w:line="480" w:lineRule="exact"/>
      <w:jc w:val="left"/>
      <w:outlineLvl w:val="2"/>
    </w:pPr>
    <w:rPr>
      <w:bCs w:val="0"/>
      <w:spacing w:val="0"/>
      <w:kern w:val="0"/>
      <w:sz w:val="24"/>
      <w:szCs w:val="20"/>
    </w:rPr>
  </w:style>
  <w:style w:type="paragraph" w:customStyle="1" w:styleId="2762">
    <w:name w:val="样式 样式 标题 2 + 左侧:  2 字符 + 首行缩进:  2 字符1"/>
    <w:basedOn w:val="1"/>
    <w:qFormat/>
    <w:uiPriority w:val="0"/>
    <w:pPr>
      <w:keepNext/>
      <w:keepLines/>
      <w:adjustRightInd w:val="0"/>
      <w:snapToGrid w:val="0"/>
      <w:spacing w:line="416" w:lineRule="atLeast"/>
      <w:ind w:firstLine="640" w:firstLineChars="200"/>
      <w:jc w:val="left"/>
    </w:pPr>
    <w:rPr>
      <w:rFonts w:ascii="Arial" w:hAnsi="Arial" w:eastAsia="黑体"/>
      <w:b/>
      <w:kern w:val="0"/>
      <w:sz w:val="28"/>
      <w:szCs w:val="20"/>
    </w:rPr>
  </w:style>
  <w:style w:type="paragraph" w:customStyle="1" w:styleId="2763">
    <w:name w:val="表格用字 Char1"/>
    <w:basedOn w:val="71"/>
    <w:qFormat/>
    <w:uiPriority w:val="0"/>
    <w:pPr>
      <w:spacing w:line="0" w:lineRule="atLeast"/>
    </w:pPr>
    <w:rPr>
      <w:rFonts w:ascii="宋体" w:hAnsi="Times New Roman" w:eastAsia="仿宋_GB2312"/>
      <w:sz w:val="24"/>
    </w:rPr>
  </w:style>
  <w:style w:type="paragraph" w:customStyle="1" w:styleId="2764">
    <w:name w:val="插图1"/>
    <w:basedOn w:val="1"/>
    <w:qFormat/>
    <w:uiPriority w:val="0"/>
    <w:pPr>
      <w:adjustRightInd w:val="0"/>
    </w:pPr>
    <w:rPr>
      <w:kern w:val="0"/>
      <w:sz w:val="24"/>
      <w:szCs w:val="20"/>
    </w:rPr>
  </w:style>
  <w:style w:type="paragraph" w:customStyle="1" w:styleId="2765">
    <w:name w:val="样式 小二 加粗 黑色 居中 段后: 12 磅"/>
    <w:basedOn w:val="79"/>
    <w:qFormat/>
    <w:uiPriority w:val="0"/>
    <w:pPr>
      <w:adjustRightInd/>
      <w:snapToGrid/>
      <w:spacing w:before="0" w:beforeLines="0" w:line="460" w:lineRule="exact"/>
    </w:pPr>
    <w:rPr>
      <w:rFonts w:ascii="Arial" w:hAnsi="Arial" w:eastAsia="Times New Roman"/>
      <w:b/>
      <w:bCs w:val="0"/>
      <w:color w:val="000000"/>
      <w:spacing w:val="0"/>
      <w:sz w:val="36"/>
      <w:szCs w:val="20"/>
    </w:rPr>
  </w:style>
  <w:style w:type="paragraph" w:customStyle="1" w:styleId="2766">
    <w:name w:val="样式 节 + 段前: 0.5 行 段后: 0.5 行"/>
    <w:basedOn w:val="6"/>
    <w:qFormat/>
    <w:uiPriority w:val="0"/>
    <w:pPr>
      <w:tabs>
        <w:tab w:val="left" w:pos="840"/>
      </w:tabs>
      <w:spacing w:afterLines="50" w:line="240" w:lineRule="auto"/>
      <w:ind w:left="839" w:hanging="839"/>
      <w:outlineLvl w:val="2"/>
    </w:pPr>
    <w:rPr>
      <w:rFonts w:ascii="宋体" w:hAnsi="宋体" w:eastAsia="宋体"/>
      <w:b w:val="0"/>
      <w:bCs w:val="0"/>
      <w:kern w:val="0"/>
      <w:sz w:val="28"/>
      <w:szCs w:val="20"/>
    </w:rPr>
  </w:style>
  <w:style w:type="paragraph" w:customStyle="1" w:styleId="2767">
    <w:name w:val="条-成果 Char"/>
    <w:basedOn w:val="7"/>
    <w:qFormat/>
    <w:uiPriority w:val="0"/>
    <w:pPr>
      <w:widowControl w:val="0"/>
      <w:tabs>
        <w:tab w:val="left" w:pos="1440"/>
      </w:tabs>
      <w:adjustRightInd/>
      <w:snapToGrid/>
      <w:spacing w:line="400" w:lineRule="exact"/>
      <w:ind w:left="1440" w:hanging="720"/>
      <w:jc w:val="both"/>
      <w:outlineLvl w:val="9"/>
    </w:pPr>
    <w:rPr>
      <w:rFonts w:ascii="宋体" w:hAnsi="宋体"/>
      <w:b w:val="0"/>
      <w:bCs w:val="0"/>
      <w:kern w:val="0"/>
      <w:sz w:val="24"/>
      <w:szCs w:val="20"/>
      <w:lang w:val="en-US"/>
    </w:rPr>
  </w:style>
  <w:style w:type="paragraph" w:customStyle="1" w:styleId="2768">
    <w:name w:val="样式 标题 2 + Times New Roman 小三 行距: 最小值 24 磅"/>
    <w:basedOn w:val="6"/>
    <w:qFormat/>
    <w:uiPriority w:val="0"/>
    <w:pPr>
      <w:tabs>
        <w:tab w:val="left" w:pos="2242"/>
      </w:tabs>
      <w:spacing w:line="480" w:lineRule="atLeast"/>
      <w:ind w:left="680" w:hanging="680" w:firstLineChars="200"/>
    </w:pPr>
    <w:rPr>
      <w:rFonts w:ascii="Times New Roman" w:hAnsi="Times New Roman" w:eastAsia="黑体" w:cs="宋体"/>
      <w:b w:val="0"/>
      <w:bCs w:val="0"/>
      <w:kern w:val="0"/>
      <w:sz w:val="30"/>
      <w:szCs w:val="20"/>
    </w:rPr>
  </w:style>
  <w:style w:type="character" w:customStyle="1" w:styleId="2769">
    <w:name w:val="样式 小四 Char Char"/>
    <w:link w:val="2770"/>
    <w:qFormat/>
    <w:locked/>
    <w:uiPriority w:val="0"/>
    <w:rPr>
      <w:b/>
      <w:color w:val="000000"/>
      <w:szCs w:val="21"/>
    </w:rPr>
  </w:style>
  <w:style w:type="paragraph" w:customStyle="1" w:styleId="2770">
    <w:name w:val="样式 小四 Char"/>
    <w:basedOn w:val="1"/>
    <w:link w:val="2769"/>
    <w:qFormat/>
    <w:uiPriority w:val="0"/>
    <w:pPr>
      <w:adjustRightInd w:val="0"/>
      <w:spacing w:line="400" w:lineRule="atLeast"/>
      <w:ind w:firstLine="510"/>
    </w:pPr>
    <w:rPr>
      <w:b/>
      <w:color w:val="000000"/>
      <w:kern w:val="0"/>
      <w:sz w:val="20"/>
      <w:szCs w:val="21"/>
    </w:rPr>
  </w:style>
  <w:style w:type="paragraph" w:customStyle="1" w:styleId="2771">
    <w:name w:val="样式 首行缩进:  2 字符 行距: 1.5 倍行距"/>
    <w:basedOn w:val="1"/>
    <w:qFormat/>
    <w:uiPriority w:val="0"/>
    <w:pPr>
      <w:spacing w:line="440" w:lineRule="exact"/>
      <w:ind w:firstLine="200" w:firstLineChars="200"/>
    </w:pPr>
    <w:rPr>
      <w:rFonts w:cs="宋体"/>
      <w:sz w:val="24"/>
      <w:szCs w:val="20"/>
    </w:rPr>
  </w:style>
  <w:style w:type="paragraph" w:customStyle="1" w:styleId="2772">
    <w:name w:val="样式 首行缩进:  2 字符 行距: 固定值 30 磅"/>
    <w:basedOn w:val="1"/>
    <w:qFormat/>
    <w:uiPriority w:val="0"/>
    <w:pPr>
      <w:spacing w:line="440" w:lineRule="exact"/>
      <w:ind w:firstLine="200" w:firstLineChars="200"/>
    </w:pPr>
    <w:rPr>
      <w:rFonts w:cs="宋体"/>
      <w:sz w:val="24"/>
      <w:szCs w:val="20"/>
    </w:rPr>
  </w:style>
  <w:style w:type="paragraph" w:customStyle="1" w:styleId="2773">
    <w:name w:val="样式 样式 首行缩进:  2 字符 行距: 固定值 30 磅 + 首行缩进:  2 字符"/>
    <w:basedOn w:val="2772"/>
    <w:qFormat/>
    <w:uiPriority w:val="0"/>
    <w:pPr>
      <w:spacing w:line="480" w:lineRule="exact"/>
    </w:pPr>
  </w:style>
  <w:style w:type="paragraph" w:customStyle="1" w:styleId="2774">
    <w:name w:val="样式 行距: 最小值 18 磅"/>
    <w:basedOn w:val="1"/>
    <w:qFormat/>
    <w:uiPriority w:val="0"/>
    <w:pPr>
      <w:spacing w:line="480" w:lineRule="exact"/>
      <w:ind w:firstLine="567"/>
    </w:pPr>
    <w:rPr>
      <w:rFonts w:cs="宋体"/>
      <w:kern w:val="0"/>
      <w:sz w:val="24"/>
      <w:szCs w:val="20"/>
    </w:rPr>
  </w:style>
  <w:style w:type="paragraph" w:customStyle="1" w:styleId="2775">
    <w:name w:val="样式 首行缩进:  2 字符 右侧:  -0.04 厘米"/>
    <w:basedOn w:val="1"/>
    <w:qFormat/>
    <w:uiPriority w:val="0"/>
    <w:pPr>
      <w:spacing w:line="480" w:lineRule="exact"/>
      <w:ind w:right="-23" w:firstLine="200" w:firstLineChars="200"/>
    </w:pPr>
    <w:rPr>
      <w:rFonts w:cs="宋体"/>
      <w:sz w:val="24"/>
      <w:szCs w:val="20"/>
    </w:rPr>
  </w:style>
  <w:style w:type="paragraph" w:customStyle="1" w:styleId="2776">
    <w:name w:val="样式 行距: 最小值 24 磅 首行缩进:  0 字符"/>
    <w:basedOn w:val="1"/>
    <w:qFormat/>
    <w:uiPriority w:val="0"/>
    <w:pPr>
      <w:spacing w:line="460" w:lineRule="exact"/>
      <w:ind w:firstLine="567"/>
    </w:pPr>
    <w:rPr>
      <w:rFonts w:cs="宋体"/>
      <w:sz w:val="24"/>
      <w:szCs w:val="20"/>
    </w:rPr>
  </w:style>
  <w:style w:type="paragraph" w:customStyle="1" w:styleId="2777">
    <w:name w:val="样式 首行缩进:  2 字符 右侧:  0.5 厘米"/>
    <w:basedOn w:val="1"/>
    <w:qFormat/>
    <w:uiPriority w:val="0"/>
    <w:pPr>
      <w:spacing w:line="480" w:lineRule="exact"/>
      <w:ind w:right="284" w:firstLine="200" w:firstLineChars="200"/>
    </w:pPr>
    <w:rPr>
      <w:rFonts w:cs="宋体"/>
      <w:sz w:val="24"/>
      <w:szCs w:val="20"/>
    </w:rPr>
  </w:style>
  <w:style w:type="paragraph" w:customStyle="1" w:styleId="2778">
    <w:name w:val="样式 行距: 最小值 24 磅"/>
    <w:basedOn w:val="1"/>
    <w:qFormat/>
    <w:uiPriority w:val="0"/>
    <w:pPr>
      <w:spacing w:line="480" w:lineRule="exact"/>
      <w:ind w:firstLine="567"/>
    </w:pPr>
    <w:rPr>
      <w:rFonts w:cs="宋体"/>
      <w:kern w:val="0"/>
      <w:sz w:val="24"/>
      <w:szCs w:val="20"/>
    </w:rPr>
  </w:style>
  <w:style w:type="paragraph" w:customStyle="1" w:styleId="2779">
    <w:name w:val="样式 样式 首行缩进:  2 字符 行距: 1.5 倍行距 + 首行缩进:  2 字符"/>
    <w:basedOn w:val="2771"/>
    <w:qFormat/>
    <w:uiPriority w:val="0"/>
    <w:pPr>
      <w:spacing w:line="480" w:lineRule="exact"/>
    </w:pPr>
  </w:style>
  <w:style w:type="paragraph" w:customStyle="1" w:styleId="2780">
    <w:name w:val="样式 首行缩进:  2 字符 行距: 固定值 29 磅"/>
    <w:basedOn w:val="1"/>
    <w:qFormat/>
    <w:uiPriority w:val="0"/>
    <w:pPr>
      <w:spacing w:line="480" w:lineRule="exact"/>
      <w:ind w:firstLine="200" w:firstLineChars="200"/>
    </w:pPr>
    <w:rPr>
      <w:rFonts w:cs="宋体"/>
      <w:sz w:val="24"/>
      <w:szCs w:val="20"/>
    </w:rPr>
  </w:style>
  <w:style w:type="paragraph" w:customStyle="1" w:styleId="2781">
    <w:name w:val="样式 日期 + 首行缩进:  2 字符"/>
    <w:basedOn w:val="49"/>
    <w:qFormat/>
    <w:uiPriority w:val="0"/>
  </w:style>
  <w:style w:type="paragraph" w:customStyle="1" w:styleId="2782">
    <w:name w:val="样式 首行缩进:  2 字符 行距: 最小值 19 磅"/>
    <w:basedOn w:val="1"/>
    <w:qFormat/>
    <w:uiPriority w:val="0"/>
    <w:pPr>
      <w:spacing w:line="480" w:lineRule="exact"/>
      <w:ind w:firstLine="200" w:firstLineChars="200"/>
    </w:pPr>
    <w:rPr>
      <w:rFonts w:cs="宋体"/>
      <w:sz w:val="24"/>
      <w:szCs w:val="20"/>
    </w:rPr>
  </w:style>
  <w:style w:type="paragraph" w:customStyle="1" w:styleId="2783">
    <w:name w:val="样式 行距: 最小值 18 磅 首行缩进:  0 字符"/>
    <w:basedOn w:val="1"/>
    <w:qFormat/>
    <w:uiPriority w:val="0"/>
    <w:pPr>
      <w:spacing w:line="480" w:lineRule="exact"/>
      <w:ind w:firstLine="567"/>
    </w:pPr>
    <w:rPr>
      <w:rFonts w:cs="宋体"/>
      <w:sz w:val="24"/>
      <w:szCs w:val="20"/>
    </w:rPr>
  </w:style>
  <w:style w:type="paragraph" w:customStyle="1" w:styleId="2784">
    <w:name w:val="样式 左 首行缩进:  2 字符"/>
    <w:basedOn w:val="1"/>
    <w:qFormat/>
    <w:uiPriority w:val="0"/>
    <w:pPr>
      <w:spacing w:line="480" w:lineRule="exact"/>
      <w:ind w:firstLine="200" w:firstLineChars="200"/>
      <w:jc w:val="left"/>
    </w:pPr>
    <w:rPr>
      <w:rFonts w:cs="宋体"/>
      <w:sz w:val="24"/>
      <w:szCs w:val="20"/>
    </w:rPr>
  </w:style>
  <w:style w:type="paragraph" w:customStyle="1" w:styleId="2785">
    <w:name w:val="样式 宋体 左 首行缩进:  2 字符 行距: 固定值 28 磅"/>
    <w:basedOn w:val="1"/>
    <w:qFormat/>
    <w:uiPriority w:val="0"/>
    <w:pPr>
      <w:spacing w:line="480" w:lineRule="exact"/>
      <w:ind w:firstLine="200" w:firstLineChars="200"/>
      <w:jc w:val="left"/>
    </w:pPr>
    <w:rPr>
      <w:rFonts w:ascii="宋体" w:cs="宋体"/>
      <w:sz w:val="24"/>
      <w:szCs w:val="20"/>
    </w:rPr>
  </w:style>
  <w:style w:type="paragraph" w:customStyle="1" w:styleId="2786">
    <w:name w:val="样式 标题 1 + 段前: 17 磅 段后: 16.5 磅"/>
    <w:basedOn w:val="5"/>
    <w:qFormat/>
    <w:uiPriority w:val="0"/>
    <w:pPr>
      <w:keepLines/>
      <w:tabs>
        <w:tab w:val="left" w:pos="1134"/>
      </w:tabs>
      <w:overflowPunct/>
      <w:adjustRightInd w:val="0"/>
      <w:snapToGrid/>
      <w:spacing w:before="0" w:after="0" w:line="480" w:lineRule="atLeast"/>
      <w:ind w:left="0" w:firstLine="723" w:firstLineChars="200"/>
    </w:pPr>
    <w:rPr>
      <w:rFonts w:eastAsia="宋体"/>
      <w:color w:val="auto"/>
      <w:sz w:val="36"/>
      <w:szCs w:val="20"/>
    </w:rPr>
  </w:style>
  <w:style w:type="paragraph" w:customStyle="1" w:styleId="2787">
    <w:name w:val="图片"/>
    <w:basedOn w:val="1"/>
    <w:qFormat/>
    <w:uiPriority w:val="0"/>
    <w:pPr>
      <w:adjustRightInd w:val="0"/>
      <w:snapToGrid w:val="0"/>
      <w:spacing w:line="400" w:lineRule="atLeast"/>
      <w:jc w:val="center"/>
    </w:pPr>
    <w:rPr>
      <w:kern w:val="0"/>
      <w:sz w:val="28"/>
      <w:szCs w:val="20"/>
    </w:rPr>
  </w:style>
  <w:style w:type="paragraph" w:customStyle="1" w:styleId="2788">
    <w:name w:val="南郊正文"/>
    <w:basedOn w:val="1"/>
    <w:next w:val="1"/>
    <w:qFormat/>
    <w:uiPriority w:val="0"/>
    <w:rPr>
      <w:sz w:val="24"/>
    </w:rPr>
  </w:style>
  <w:style w:type="paragraph" w:customStyle="1" w:styleId="2789">
    <w:name w:val="样式 区划正文+小4 24 + 首行缩进:  2 字符1"/>
    <w:basedOn w:val="1"/>
    <w:qFormat/>
    <w:uiPriority w:val="0"/>
    <w:pPr>
      <w:adjustRightInd w:val="0"/>
      <w:snapToGrid w:val="0"/>
      <w:spacing w:line="460" w:lineRule="exact"/>
      <w:ind w:firstLine="200" w:firstLineChars="200"/>
    </w:pPr>
    <w:rPr>
      <w:sz w:val="24"/>
      <w:szCs w:val="20"/>
    </w:rPr>
  </w:style>
  <w:style w:type="paragraph" w:customStyle="1" w:styleId="2790">
    <w:name w:val="样式 居中"/>
    <w:basedOn w:val="1"/>
    <w:qFormat/>
    <w:uiPriority w:val="0"/>
    <w:pPr>
      <w:adjustRightInd w:val="0"/>
      <w:snapToGrid w:val="0"/>
      <w:spacing w:line="440" w:lineRule="atLeast"/>
      <w:ind w:firstLine="200" w:firstLineChars="200"/>
      <w:jc w:val="center"/>
    </w:pPr>
    <w:rPr>
      <w:sz w:val="24"/>
      <w:szCs w:val="20"/>
    </w:rPr>
  </w:style>
  <w:style w:type="paragraph" w:customStyle="1" w:styleId="2791">
    <w:name w:val="样式 小四 居中 行距: 单倍行距"/>
    <w:basedOn w:val="1"/>
    <w:qFormat/>
    <w:uiPriority w:val="0"/>
    <w:pPr>
      <w:adjustRightInd w:val="0"/>
      <w:spacing w:line="440" w:lineRule="exact"/>
      <w:jc w:val="center"/>
    </w:pPr>
    <w:rPr>
      <w:color w:val="FF0000"/>
      <w:kern w:val="0"/>
      <w:sz w:val="24"/>
      <w:szCs w:val="20"/>
    </w:rPr>
  </w:style>
  <w:style w:type="paragraph" w:customStyle="1" w:styleId="2792">
    <w:name w:val="分标题"/>
    <w:basedOn w:val="1"/>
    <w:next w:val="1"/>
    <w:qFormat/>
    <w:uiPriority w:val="0"/>
    <w:pPr>
      <w:widowControl/>
      <w:spacing w:line="360" w:lineRule="auto"/>
      <w:jc w:val="left"/>
    </w:pPr>
    <w:rPr>
      <w:rFonts w:ascii="宋体"/>
      <w:b/>
      <w:kern w:val="0"/>
      <w:sz w:val="24"/>
    </w:rPr>
  </w:style>
  <w:style w:type="paragraph" w:customStyle="1" w:styleId="2793">
    <w:name w:val="样式 标题 3 + Times New Roman 四号 加粗"/>
    <w:basedOn w:val="7"/>
    <w:qFormat/>
    <w:uiPriority w:val="0"/>
    <w:pPr>
      <w:widowControl w:val="0"/>
      <w:tabs>
        <w:tab w:val="left" w:pos="1134"/>
        <w:tab w:val="left" w:pos="1256"/>
      </w:tabs>
      <w:spacing w:line="320" w:lineRule="atLeast"/>
      <w:jc w:val="both"/>
    </w:pPr>
    <w:rPr>
      <w:rFonts w:ascii="宋体" w:hAnsi="宋体" w:eastAsia="楷体_GB2312"/>
      <w:kern w:val="0"/>
      <w:sz w:val="28"/>
      <w:szCs w:val="28"/>
      <w:lang w:val="en-US"/>
    </w:rPr>
  </w:style>
  <w:style w:type="paragraph" w:customStyle="1" w:styleId="2794">
    <w:name w:val="正文样式一"/>
    <w:basedOn w:val="1"/>
    <w:qFormat/>
    <w:uiPriority w:val="0"/>
    <w:pPr>
      <w:adjustRightInd w:val="0"/>
      <w:spacing w:line="400" w:lineRule="atLeast"/>
      <w:ind w:firstLine="510"/>
    </w:pPr>
    <w:rPr>
      <w:kern w:val="0"/>
      <w:sz w:val="24"/>
      <w:szCs w:val="20"/>
    </w:rPr>
  </w:style>
  <w:style w:type="paragraph" w:customStyle="1" w:styleId="2795">
    <w:name w:val="标题样式1"/>
    <w:basedOn w:val="34"/>
    <w:qFormat/>
    <w:uiPriority w:val="0"/>
  </w:style>
  <w:style w:type="paragraph" w:customStyle="1" w:styleId="2796">
    <w:name w:val="标题样式2"/>
    <w:basedOn w:val="6"/>
    <w:qFormat/>
    <w:uiPriority w:val="0"/>
    <w:pPr>
      <w:tabs>
        <w:tab w:val="left" w:pos="927"/>
        <w:tab w:val="left" w:pos="1134"/>
      </w:tabs>
      <w:adjustRightInd w:val="0"/>
      <w:snapToGrid w:val="0"/>
      <w:spacing w:beforeLines="50" w:afterLines="50" w:line="300" w:lineRule="atLeast"/>
      <w:jc w:val="center"/>
    </w:pPr>
    <w:rPr>
      <w:rFonts w:ascii="宋体" w:hAnsi="宋体" w:eastAsia="宋体"/>
      <w:b w:val="0"/>
      <w:bCs w:val="0"/>
      <w:kern w:val="0"/>
      <w:sz w:val="21"/>
      <w:szCs w:val="20"/>
    </w:rPr>
  </w:style>
  <w:style w:type="paragraph" w:customStyle="1" w:styleId="2797">
    <w:name w:val="标题样式3"/>
    <w:basedOn w:val="7"/>
    <w:qFormat/>
    <w:uiPriority w:val="0"/>
    <w:pPr>
      <w:widowControl w:val="0"/>
      <w:tabs>
        <w:tab w:val="left" w:pos="1134"/>
        <w:tab w:val="left" w:pos="1256"/>
      </w:tabs>
      <w:adjustRightInd/>
      <w:snapToGrid/>
      <w:spacing w:line="400" w:lineRule="atLeast"/>
      <w:ind w:firstLine="510"/>
      <w:jc w:val="both"/>
    </w:pPr>
    <w:rPr>
      <w:rFonts w:ascii="宋体" w:hAnsi="宋体" w:eastAsia="黑体"/>
      <w:b w:val="0"/>
      <w:bCs w:val="0"/>
      <w:kern w:val="0"/>
      <w:sz w:val="24"/>
      <w:szCs w:val="20"/>
      <w:lang w:val="en-US"/>
    </w:rPr>
  </w:style>
  <w:style w:type="paragraph" w:customStyle="1" w:styleId="2798">
    <w:name w:val="正文样式2"/>
    <w:basedOn w:val="1"/>
    <w:next w:val="1284"/>
    <w:qFormat/>
    <w:uiPriority w:val="0"/>
    <w:pPr>
      <w:keepNext/>
      <w:adjustRightInd w:val="0"/>
      <w:spacing w:line="480" w:lineRule="atLeast"/>
      <w:ind w:firstLine="567"/>
    </w:pPr>
    <w:rPr>
      <w:rFonts w:ascii="黑体" w:eastAsia="黑体"/>
      <w:kern w:val="0"/>
      <w:sz w:val="28"/>
      <w:szCs w:val="20"/>
    </w:rPr>
  </w:style>
  <w:style w:type="paragraph" w:customStyle="1" w:styleId="2799">
    <w:name w:val="样式 首行缩进:  2 字符 行距: 最小值 22 磅"/>
    <w:basedOn w:val="1"/>
    <w:qFormat/>
    <w:uiPriority w:val="0"/>
    <w:pPr>
      <w:adjustRightInd w:val="0"/>
      <w:snapToGrid w:val="0"/>
      <w:spacing w:line="420" w:lineRule="atLeast"/>
      <w:ind w:firstLine="200" w:firstLineChars="200"/>
    </w:pPr>
    <w:rPr>
      <w:rFonts w:cs="宋体"/>
      <w:kern w:val="0"/>
      <w:sz w:val="24"/>
    </w:rPr>
  </w:style>
  <w:style w:type="paragraph" w:customStyle="1" w:styleId="2800">
    <w:name w:val="样式 首行缩进:  2 字符 行距: 最小值 22 磅1"/>
    <w:basedOn w:val="1"/>
    <w:qFormat/>
    <w:uiPriority w:val="0"/>
    <w:pPr>
      <w:adjustRightInd w:val="0"/>
      <w:snapToGrid w:val="0"/>
      <w:spacing w:line="420" w:lineRule="atLeast"/>
      <w:ind w:firstLine="200" w:firstLineChars="200"/>
    </w:pPr>
    <w:rPr>
      <w:rFonts w:cs="宋体"/>
      <w:kern w:val="0"/>
      <w:sz w:val="24"/>
    </w:rPr>
  </w:style>
  <w:style w:type="paragraph" w:customStyle="1" w:styleId="2801">
    <w:name w:val="样式 正文文字缩进 3 + 自动设置 图案: 清除 行距: 最小值 23 磅"/>
    <w:basedOn w:val="67"/>
    <w:qFormat/>
    <w:uiPriority w:val="0"/>
    <w:pPr>
      <w:adjustRightInd w:val="0"/>
      <w:snapToGrid w:val="0"/>
      <w:spacing w:line="420" w:lineRule="atLeast"/>
      <w:ind w:left="0" w:leftChars="0" w:firstLine="200" w:firstLineChars="200"/>
    </w:pPr>
    <w:rPr>
      <w:rFonts w:ascii="Times New Roman" w:hAnsi="Times New Roman" w:eastAsia="Times New Roman" w:cs="宋体"/>
      <w:kern w:val="0"/>
      <w:sz w:val="24"/>
      <w:szCs w:val="24"/>
    </w:rPr>
  </w:style>
  <w:style w:type="paragraph" w:customStyle="1" w:styleId="2802">
    <w:name w:val="样式 首行缩进:  1.82 字符"/>
    <w:basedOn w:val="1"/>
    <w:qFormat/>
    <w:uiPriority w:val="0"/>
    <w:pPr>
      <w:adjustRightInd w:val="0"/>
      <w:snapToGrid w:val="0"/>
      <w:spacing w:line="420" w:lineRule="atLeast"/>
      <w:ind w:firstLine="200" w:firstLineChars="200"/>
    </w:pPr>
    <w:rPr>
      <w:rFonts w:cs="宋体"/>
      <w:kern w:val="0"/>
      <w:sz w:val="24"/>
    </w:rPr>
  </w:style>
  <w:style w:type="paragraph" w:customStyle="1" w:styleId="2803">
    <w:name w:val="样式 首行缩进:  2 字符 行距: 最小值 22 磅2"/>
    <w:basedOn w:val="1"/>
    <w:qFormat/>
    <w:uiPriority w:val="0"/>
    <w:pPr>
      <w:adjustRightInd w:val="0"/>
      <w:snapToGrid w:val="0"/>
      <w:spacing w:line="420" w:lineRule="atLeast"/>
      <w:ind w:firstLine="200" w:firstLineChars="200"/>
    </w:pPr>
    <w:rPr>
      <w:rFonts w:cs="宋体"/>
      <w:kern w:val="0"/>
      <w:sz w:val="24"/>
    </w:rPr>
  </w:style>
  <w:style w:type="paragraph" w:customStyle="1" w:styleId="2804">
    <w:name w:val="样式 行距: 最小值 22 磅 首行缩进:  0 字符"/>
    <w:basedOn w:val="1"/>
    <w:qFormat/>
    <w:uiPriority w:val="0"/>
    <w:pPr>
      <w:adjustRightInd w:val="0"/>
      <w:snapToGrid w:val="0"/>
      <w:spacing w:line="420" w:lineRule="atLeast"/>
    </w:pPr>
    <w:rPr>
      <w:rFonts w:cs="宋体"/>
      <w:kern w:val="0"/>
      <w:sz w:val="24"/>
    </w:rPr>
  </w:style>
  <w:style w:type="paragraph" w:customStyle="1" w:styleId="2805">
    <w:name w:val="样式 首行缩进:  0 字符"/>
    <w:basedOn w:val="1"/>
    <w:qFormat/>
    <w:uiPriority w:val="0"/>
    <w:pPr>
      <w:adjustRightInd w:val="0"/>
      <w:snapToGrid w:val="0"/>
      <w:spacing w:line="420" w:lineRule="atLeast"/>
    </w:pPr>
    <w:rPr>
      <w:rFonts w:cs="宋体"/>
      <w:kern w:val="0"/>
      <w:sz w:val="24"/>
    </w:rPr>
  </w:style>
  <w:style w:type="paragraph" w:customStyle="1" w:styleId="2806">
    <w:name w:val="样式 首行缩进:  2 字符 行距: 固定值 24 磅"/>
    <w:basedOn w:val="1"/>
    <w:qFormat/>
    <w:uiPriority w:val="0"/>
    <w:pPr>
      <w:adjustRightInd w:val="0"/>
      <w:snapToGrid w:val="0"/>
      <w:spacing w:line="420" w:lineRule="atLeast"/>
      <w:ind w:firstLine="200" w:firstLineChars="200"/>
    </w:pPr>
    <w:rPr>
      <w:rFonts w:cs="宋体"/>
      <w:kern w:val="0"/>
      <w:sz w:val="24"/>
    </w:rPr>
  </w:style>
  <w:style w:type="paragraph" w:customStyle="1" w:styleId="2807">
    <w:name w:val="样式 首行缩进:  2 字符 行距: 固定值 22 磅"/>
    <w:basedOn w:val="1"/>
    <w:qFormat/>
    <w:uiPriority w:val="0"/>
    <w:pPr>
      <w:adjustRightInd w:val="0"/>
      <w:snapToGrid w:val="0"/>
      <w:spacing w:line="420" w:lineRule="atLeast"/>
      <w:ind w:firstLine="200" w:firstLineChars="200"/>
    </w:pPr>
    <w:rPr>
      <w:rFonts w:cs="宋体"/>
      <w:kern w:val="0"/>
      <w:sz w:val="24"/>
    </w:rPr>
  </w:style>
  <w:style w:type="paragraph" w:customStyle="1" w:styleId="2808">
    <w:name w:val="样式 左侧:  0.19 厘米 首行缩进:  2 字符 加宽量  0.2 磅 行距: 固定值 24 磅"/>
    <w:basedOn w:val="1"/>
    <w:qFormat/>
    <w:uiPriority w:val="0"/>
    <w:pPr>
      <w:adjustRightInd w:val="0"/>
      <w:snapToGrid w:val="0"/>
      <w:spacing w:line="420" w:lineRule="atLeast"/>
      <w:ind w:left="108" w:firstLine="200" w:firstLineChars="200"/>
    </w:pPr>
    <w:rPr>
      <w:rFonts w:cs="宋体"/>
      <w:spacing w:val="4"/>
      <w:kern w:val="0"/>
      <w:sz w:val="24"/>
    </w:rPr>
  </w:style>
  <w:style w:type="paragraph" w:customStyle="1" w:styleId="2809">
    <w:name w:val="样式 首行缩进:  2 字符 行距: 固定值 25 磅"/>
    <w:basedOn w:val="1"/>
    <w:qFormat/>
    <w:uiPriority w:val="0"/>
    <w:pPr>
      <w:adjustRightInd w:val="0"/>
      <w:snapToGrid w:val="0"/>
      <w:spacing w:line="420" w:lineRule="atLeast"/>
      <w:ind w:firstLine="200" w:firstLineChars="200"/>
    </w:pPr>
    <w:rPr>
      <w:rFonts w:cs="宋体"/>
      <w:kern w:val="0"/>
      <w:sz w:val="24"/>
    </w:rPr>
  </w:style>
  <w:style w:type="paragraph" w:customStyle="1" w:styleId="2810">
    <w:name w:val="样式 首行缩进:  1.7 字符"/>
    <w:basedOn w:val="1"/>
    <w:qFormat/>
    <w:uiPriority w:val="0"/>
    <w:pPr>
      <w:adjustRightInd w:val="0"/>
      <w:snapToGrid w:val="0"/>
      <w:spacing w:line="420" w:lineRule="atLeast"/>
      <w:ind w:firstLine="200" w:firstLineChars="200"/>
    </w:pPr>
    <w:rPr>
      <w:rFonts w:cs="宋体"/>
      <w:kern w:val="0"/>
      <w:sz w:val="24"/>
    </w:rPr>
  </w:style>
  <w:style w:type="paragraph" w:customStyle="1" w:styleId="2811">
    <w:name w:val="样式 (西文) 宋体 首行缩进:  2 字符"/>
    <w:basedOn w:val="1"/>
    <w:qFormat/>
    <w:uiPriority w:val="0"/>
    <w:pPr>
      <w:adjustRightInd w:val="0"/>
      <w:snapToGrid w:val="0"/>
      <w:spacing w:line="420" w:lineRule="atLeast"/>
      <w:ind w:firstLine="200" w:firstLineChars="200"/>
    </w:pPr>
    <w:rPr>
      <w:rFonts w:ascii="宋体" w:hAnsi="宋体" w:cs="宋体"/>
      <w:kern w:val="0"/>
      <w:sz w:val="24"/>
    </w:rPr>
  </w:style>
  <w:style w:type="paragraph" w:customStyle="1" w:styleId="2812">
    <w:name w:val="样式 样式 (西文) 宋体 首行缩进:  2 字符 + 首行缩进:  2 字符"/>
    <w:basedOn w:val="2811"/>
    <w:qFormat/>
    <w:uiPriority w:val="0"/>
  </w:style>
  <w:style w:type="paragraph" w:customStyle="1" w:styleId="2813">
    <w:name w:val="xl389"/>
    <w:basedOn w:val="1"/>
    <w:qFormat/>
    <w:uiPriority w:val="0"/>
    <w:pPr>
      <w:widowControl/>
      <w:pBdr>
        <w:left w:val="single" w:color="auto" w:sz="4" w:space="0"/>
        <w:bottom w:val="single" w:color="auto" w:sz="4" w:space="0"/>
      </w:pBdr>
      <w:spacing w:beforeAutospacing="1" w:afterAutospacing="1"/>
      <w:jc w:val="center"/>
    </w:pPr>
    <w:rPr>
      <w:rFonts w:ascii="宋体" w:hAnsi="宋体"/>
      <w:kern w:val="0"/>
      <w:sz w:val="24"/>
    </w:rPr>
  </w:style>
  <w:style w:type="paragraph" w:customStyle="1" w:styleId="2814">
    <w:name w:val="样式 正文宋体小四 + 首行缩进:  2 字符"/>
    <w:basedOn w:val="1"/>
    <w:qFormat/>
    <w:uiPriority w:val="0"/>
    <w:pPr>
      <w:ind w:firstLine="480"/>
    </w:pPr>
    <w:rPr>
      <w:rFonts w:cs="宋体"/>
    </w:rPr>
  </w:style>
  <w:style w:type="paragraph" w:customStyle="1" w:styleId="2815">
    <w:name w:val="样式 样式 表格1 + 首行缩进:  2 字符 + 首行缩进:  2 字符"/>
    <w:basedOn w:val="1"/>
    <w:qFormat/>
    <w:uiPriority w:val="0"/>
    <w:pPr>
      <w:spacing w:line="400" w:lineRule="exact"/>
      <w:jc w:val="left"/>
    </w:pPr>
    <w:rPr>
      <w:rFonts w:cs="宋体"/>
      <w:szCs w:val="20"/>
    </w:rPr>
  </w:style>
  <w:style w:type="paragraph" w:customStyle="1" w:styleId="2816">
    <w:name w:val="样式 表格1 + 首行缩进:  2 字符1"/>
    <w:basedOn w:val="572"/>
    <w:qFormat/>
    <w:uiPriority w:val="0"/>
    <w:pPr>
      <w:snapToGrid/>
      <w:spacing w:line="400" w:lineRule="exact"/>
      <w:jc w:val="left"/>
    </w:pPr>
    <w:rPr>
      <w:rFonts w:ascii="Times New Roman" w:hAnsi="Times New Roman" w:eastAsia="Times New Roman" w:cs="宋体"/>
      <w:sz w:val="21"/>
      <w:szCs w:val="20"/>
    </w:rPr>
  </w:style>
  <w:style w:type="character" w:customStyle="1" w:styleId="2817">
    <w:name w:val="珠江啤酒正文 Char"/>
    <w:link w:val="2818"/>
    <w:qFormat/>
    <w:locked/>
    <w:uiPriority w:val="0"/>
  </w:style>
  <w:style w:type="paragraph" w:customStyle="1" w:styleId="2818">
    <w:name w:val="珠江啤酒正文"/>
    <w:basedOn w:val="1"/>
    <w:link w:val="2817"/>
    <w:qFormat/>
    <w:uiPriority w:val="0"/>
    <w:rPr>
      <w:kern w:val="0"/>
      <w:sz w:val="20"/>
      <w:szCs w:val="20"/>
    </w:rPr>
  </w:style>
  <w:style w:type="paragraph" w:customStyle="1" w:styleId="2819">
    <w:name w:val="样式 表格 + 五号1"/>
    <w:basedOn w:val="1"/>
    <w:qFormat/>
    <w:uiPriority w:val="0"/>
    <w:pPr>
      <w:spacing w:line="400" w:lineRule="exact"/>
      <w:jc w:val="center"/>
    </w:pPr>
    <w:rPr>
      <w:szCs w:val="21"/>
    </w:rPr>
  </w:style>
  <w:style w:type="paragraph" w:customStyle="1" w:styleId="2820">
    <w:name w:val="区划正文"/>
    <w:basedOn w:val="1"/>
    <w:qFormat/>
    <w:uiPriority w:val="0"/>
    <w:pPr>
      <w:snapToGrid w:val="0"/>
    </w:pPr>
    <w:rPr>
      <w:rFonts w:cs="宋体"/>
      <w:szCs w:val="20"/>
    </w:rPr>
  </w:style>
  <w:style w:type="paragraph" w:customStyle="1" w:styleId="2821">
    <w:name w:val="正文111"/>
    <w:basedOn w:val="21"/>
    <w:qFormat/>
    <w:uiPriority w:val="0"/>
    <w:pPr>
      <w:keepNext w:val="0"/>
      <w:spacing w:line="360" w:lineRule="auto"/>
      <w:ind w:firstLine="200" w:firstLineChars="200"/>
      <w:jc w:val="both"/>
    </w:pPr>
    <w:rPr>
      <w:rFonts w:ascii="Times New Roman" w:hAnsi="Times New Roman"/>
      <w:bCs w:val="0"/>
    </w:rPr>
  </w:style>
  <w:style w:type="paragraph" w:customStyle="1" w:styleId="2822">
    <w:name w:val="标题3-3"/>
    <w:basedOn w:val="7"/>
    <w:qFormat/>
    <w:uiPriority w:val="0"/>
    <w:pPr>
      <w:widowControl w:val="0"/>
      <w:tabs>
        <w:tab w:val="left" w:pos="720"/>
      </w:tabs>
      <w:snapToGrid/>
      <w:spacing w:before="120" w:beforeLines="50" w:after="120" w:afterLines="25" w:line="360" w:lineRule="auto"/>
      <w:ind w:left="720" w:hanging="720"/>
    </w:pPr>
    <w:rPr>
      <w:rFonts w:ascii="Arial" w:hAnsi="Arial" w:eastAsia="黑体"/>
      <w:b w:val="0"/>
      <w:bCs w:val="0"/>
      <w:kern w:val="0"/>
      <w:sz w:val="24"/>
      <w:szCs w:val="24"/>
      <w:lang w:val="en-US"/>
    </w:rPr>
  </w:style>
  <w:style w:type="character" w:customStyle="1" w:styleId="2823">
    <w:name w:val="样式 正文缩进正文（首行缩进两字）s4 + Arial Char"/>
    <w:link w:val="2824"/>
    <w:semiHidden/>
    <w:qFormat/>
    <w:locked/>
    <w:uiPriority w:val="0"/>
    <w:rPr>
      <w:sz w:val="24"/>
      <w:szCs w:val="24"/>
    </w:rPr>
  </w:style>
  <w:style w:type="paragraph" w:customStyle="1" w:styleId="2824">
    <w:name w:val="样式 正文缩进正文（首行缩进两字）s4 + Arial"/>
    <w:basedOn w:val="21"/>
    <w:link w:val="2823"/>
    <w:semiHidden/>
    <w:qFormat/>
    <w:uiPriority w:val="0"/>
    <w:pPr>
      <w:keepNext w:val="0"/>
      <w:ind w:firstLine="0"/>
      <w:jc w:val="both"/>
    </w:pPr>
    <w:rPr>
      <w:rFonts w:ascii="Times New Roman" w:hAnsi="Times New Roman"/>
      <w:bCs w:val="0"/>
    </w:rPr>
  </w:style>
  <w:style w:type="character" w:customStyle="1" w:styleId="2825">
    <w:name w:val="样式 题注 + (西文) Times New Roman (中文) 宋体 小四 加粗 黑色 Char Char"/>
    <w:link w:val="2826"/>
    <w:qFormat/>
    <w:locked/>
    <w:uiPriority w:val="0"/>
    <w:rPr>
      <w:rFonts w:ascii="Arial" w:hAnsi="Arial"/>
      <w:b/>
      <w:bCs/>
      <w:color w:val="000000"/>
      <w:sz w:val="24"/>
      <w:szCs w:val="24"/>
    </w:rPr>
  </w:style>
  <w:style w:type="paragraph" w:customStyle="1" w:styleId="2826">
    <w:name w:val="样式 题注 + (西文) Times New Roman (中文) 宋体 小四 加粗 黑色 Char"/>
    <w:basedOn w:val="22"/>
    <w:link w:val="2825"/>
    <w:qFormat/>
    <w:uiPriority w:val="0"/>
    <w:pPr>
      <w:adjustRightInd w:val="0"/>
      <w:snapToGrid/>
      <w:spacing w:beforeLines="100"/>
    </w:pPr>
    <w:rPr>
      <w:rFonts w:ascii="Arial" w:hAnsi="Arial" w:eastAsia="宋体" w:cs="Times New Roman"/>
      <w:b/>
      <w:bCs/>
      <w:color w:val="000000"/>
      <w:kern w:val="0"/>
    </w:rPr>
  </w:style>
  <w:style w:type="paragraph" w:customStyle="1" w:styleId="2827">
    <w:name w:val="标题4-4"/>
    <w:basedOn w:val="8"/>
    <w:qFormat/>
    <w:uiPriority w:val="0"/>
    <w:pPr>
      <w:numPr>
        <w:ilvl w:val="0"/>
        <w:numId w:val="0"/>
      </w:numPr>
      <w:tabs>
        <w:tab w:val="left" w:pos="1134"/>
        <w:tab w:val="left" w:pos="1630"/>
      </w:tabs>
      <w:spacing w:line="360" w:lineRule="auto"/>
    </w:pPr>
    <w:rPr>
      <w:rFonts w:ascii="Times New Roman" w:hAnsi="Times New Roman" w:eastAsia="宋体"/>
      <w:kern w:val="0"/>
      <w:sz w:val="24"/>
      <w:szCs w:val="24"/>
    </w:rPr>
  </w:style>
  <w:style w:type="paragraph" w:customStyle="1" w:styleId="2828">
    <w:name w:val="新标题2"/>
    <w:basedOn w:val="6"/>
    <w:qFormat/>
    <w:uiPriority w:val="0"/>
    <w:pPr>
      <w:widowControl/>
      <w:tabs>
        <w:tab w:val="left" w:pos="645"/>
      </w:tabs>
      <w:overflowPunct w:val="0"/>
      <w:topLinePunct/>
      <w:autoSpaceDE w:val="0"/>
      <w:autoSpaceDN w:val="0"/>
      <w:adjustRightInd w:val="0"/>
      <w:snapToGrid w:val="0"/>
      <w:spacing w:beforeLines="50" w:afterLines="50" w:line="520" w:lineRule="exact"/>
      <w:ind w:left="645" w:hanging="567"/>
      <w:jc w:val="left"/>
    </w:pPr>
    <w:rPr>
      <w:rFonts w:ascii="Arial" w:hAnsi="Arial" w:eastAsia="黑体" w:cs="宋体"/>
      <w:b w:val="0"/>
      <w:bCs w:val="0"/>
      <w:kern w:val="0"/>
      <w:szCs w:val="20"/>
    </w:rPr>
  </w:style>
  <w:style w:type="paragraph" w:customStyle="1" w:styleId="2829">
    <w:name w:val="新标题1"/>
    <w:basedOn w:val="5"/>
    <w:qFormat/>
    <w:uiPriority w:val="0"/>
    <w:pPr>
      <w:keepLines/>
      <w:tabs>
        <w:tab w:val="left" w:pos="503"/>
      </w:tabs>
      <w:topLinePunct/>
      <w:autoSpaceDE w:val="0"/>
      <w:autoSpaceDN w:val="0"/>
      <w:adjustRightInd w:val="0"/>
      <w:spacing w:before="0" w:after="0" w:line="520" w:lineRule="exact"/>
      <w:ind w:left="503" w:hanging="425"/>
    </w:pPr>
    <w:rPr>
      <w:rFonts w:ascii="Arial" w:hAnsi="Arial" w:eastAsia="宋体" w:cs="宋体"/>
      <w:color w:val="auto"/>
      <w:kern w:val="2"/>
      <w:sz w:val="36"/>
      <w:szCs w:val="20"/>
    </w:rPr>
  </w:style>
  <w:style w:type="paragraph" w:customStyle="1" w:styleId="2830">
    <w:name w:val="新标题3"/>
    <w:basedOn w:val="7"/>
    <w:qFormat/>
    <w:uiPriority w:val="0"/>
    <w:pPr>
      <w:widowControl w:val="0"/>
      <w:tabs>
        <w:tab w:val="left" w:pos="1229"/>
      </w:tabs>
      <w:overflowPunct w:val="0"/>
      <w:topLinePunct/>
      <w:autoSpaceDE w:val="0"/>
      <w:autoSpaceDN w:val="0"/>
      <w:spacing w:line="520" w:lineRule="exact"/>
      <w:ind w:left="1229" w:hanging="709"/>
      <w:jc w:val="both"/>
    </w:pPr>
    <w:rPr>
      <w:rFonts w:ascii="黑体" w:hAnsi="Times New Roman" w:eastAsia="黑体" w:cs="宋体"/>
      <w:b w:val="0"/>
      <w:bCs w:val="0"/>
      <w:kern w:val="0"/>
      <w:sz w:val="30"/>
      <w:szCs w:val="20"/>
      <w:lang w:val="en-US"/>
    </w:rPr>
  </w:style>
  <w:style w:type="character" w:customStyle="1" w:styleId="2831">
    <w:name w:val="新标题4 Char"/>
    <w:link w:val="2832"/>
    <w:qFormat/>
    <w:locked/>
    <w:uiPriority w:val="0"/>
    <w:rPr>
      <w:rFonts w:ascii="Arial" w:hAnsi="Arial"/>
      <w:b/>
      <w:bCs/>
      <w:spacing w:val="8"/>
      <w:sz w:val="24"/>
    </w:rPr>
  </w:style>
  <w:style w:type="paragraph" w:customStyle="1" w:styleId="2832">
    <w:name w:val="新标题4"/>
    <w:basedOn w:val="8"/>
    <w:link w:val="2831"/>
    <w:qFormat/>
    <w:uiPriority w:val="0"/>
    <w:pPr>
      <w:numPr>
        <w:ilvl w:val="0"/>
        <w:numId w:val="0"/>
      </w:numPr>
      <w:tabs>
        <w:tab w:val="left" w:pos="1024"/>
        <w:tab w:val="left" w:pos="1241"/>
      </w:tabs>
      <w:overflowPunct w:val="0"/>
      <w:topLinePunct/>
      <w:autoSpaceDE w:val="0"/>
      <w:autoSpaceDN w:val="0"/>
      <w:adjustRightInd w:val="0"/>
      <w:snapToGrid w:val="0"/>
      <w:spacing w:line="440" w:lineRule="exact"/>
      <w:ind w:left="1241" w:hanging="851"/>
      <w:jc w:val="left"/>
    </w:pPr>
    <w:rPr>
      <w:rFonts w:eastAsia="宋体"/>
      <w:spacing w:val="8"/>
      <w:kern w:val="0"/>
      <w:sz w:val="24"/>
      <w:szCs w:val="20"/>
    </w:rPr>
  </w:style>
  <w:style w:type="paragraph" w:customStyle="1" w:styleId="2833">
    <w:name w:val="样式 首行缩进:  2 字符20"/>
    <w:basedOn w:val="1"/>
    <w:qFormat/>
    <w:uiPriority w:val="0"/>
    <w:pPr>
      <w:spacing w:line="520" w:lineRule="exact"/>
      <w:ind w:firstLine="560" w:firstLineChars="200"/>
    </w:pPr>
    <w:rPr>
      <w:rFonts w:cs="宋体"/>
      <w:sz w:val="24"/>
      <w:szCs w:val="20"/>
    </w:rPr>
  </w:style>
  <w:style w:type="paragraph" w:customStyle="1" w:styleId="2834">
    <w:name w:val="neirong"/>
    <w:basedOn w:val="1"/>
    <w:qFormat/>
    <w:uiPriority w:val="0"/>
    <w:pPr>
      <w:widowControl/>
      <w:spacing w:beforeAutospacing="1" w:afterAutospacing="1"/>
      <w:jc w:val="left"/>
    </w:pPr>
    <w:rPr>
      <w:rFonts w:ascii="宋体" w:hAnsi="宋体"/>
      <w:kern w:val="0"/>
      <w:sz w:val="24"/>
    </w:rPr>
  </w:style>
  <w:style w:type="paragraph" w:customStyle="1" w:styleId="2835">
    <w:name w:val="91"/>
    <w:basedOn w:val="1"/>
    <w:qFormat/>
    <w:uiPriority w:val="0"/>
    <w:pPr>
      <w:keepNext/>
      <w:spacing w:beforeLines="30" w:line="360" w:lineRule="auto"/>
    </w:pPr>
    <w:rPr>
      <w:sz w:val="24"/>
    </w:rPr>
  </w:style>
  <w:style w:type="paragraph" w:customStyle="1" w:styleId="2836">
    <w:name w:val="段落2"/>
    <w:basedOn w:val="1711"/>
    <w:qFormat/>
    <w:uiPriority w:val="0"/>
    <w:pPr>
      <w:tabs>
        <w:tab w:val="clear" w:pos="1021"/>
      </w:tabs>
      <w:spacing w:line="400" w:lineRule="atLeast"/>
      <w:ind w:firstLine="454" w:firstLineChars="0"/>
      <w:jc w:val="left"/>
    </w:pPr>
    <w:rPr>
      <w:kern w:val="0"/>
      <w:sz w:val="28"/>
      <w:szCs w:val="20"/>
    </w:rPr>
  </w:style>
  <w:style w:type="paragraph" w:customStyle="1" w:styleId="2837">
    <w:name w:val="样式 首行缩进:  2 字符16"/>
    <w:basedOn w:val="1"/>
    <w:qFormat/>
    <w:uiPriority w:val="0"/>
    <w:pPr>
      <w:spacing w:line="520" w:lineRule="exact"/>
      <w:ind w:firstLine="560" w:firstLineChars="200"/>
    </w:pPr>
    <w:rPr>
      <w:sz w:val="24"/>
      <w:szCs w:val="20"/>
    </w:rPr>
  </w:style>
  <w:style w:type="paragraph" w:customStyle="1" w:styleId="2838">
    <w:name w:val="样式 首行缩进:  2 字符17"/>
    <w:basedOn w:val="1"/>
    <w:qFormat/>
    <w:uiPriority w:val="0"/>
    <w:pPr>
      <w:spacing w:line="520" w:lineRule="exact"/>
      <w:ind w:firstLine="560" w:firstLineChars="200"/>
    </w:pPr>
    <w:rPr>
      <w:sz w:val="24"/>
      <w:szCs w:val="20"/>
    </w:rPr>
  </w:style>
  <w:style w:type="paragraph" w:customStyle="1" w:styleId="2839">
    <w:name w:val="样式 标题 2节标题 1.1b2H2BSH-2节标题 1.1 Charb2 CharH2 Char条标题1.1..."/>
    <w:basedOn w:val="6"/>
    <w:qFormat/>
    <w:uiPriority w:val="0"/>
    <w:pPr>
      <w:tabs>
        <w:tab w:val="left" w:pos="927"/>
        <w:tab w:val="left" w:pos="1134"/>
      </w:tabs>
      <w:adjustRightInd w:val="0"/>
      <w:snapToGrid w:val="0"/>
      <w:spacing w:afterLines="50" w:line="412" w:lineRule="auto"/>
      <w:jc w:val="left"/>
    </w:pPr>
    <w:rPr>
      <w:rFonts w:ascii="Times New Roman" w:hAnsi="Times New Roman" w:eastAsia="宋体" w:cs="宋体"/>
      <w:kern w:val="0"/>
      <w:sz w:val="30"/>
      <w:szCs w:val="20"/>
    </w:rPr>
  </w:style>
  <w:style w:type="character" w:customStyle="1" w:styleId="2840">
    <w:name w:val="正文qrz Char Char Char"/>
    <w:link w:val="2841"/>
    <w:qFormat/>
    <w:locked/>
    <w:uiPriority w:val="0"/>
    <w:rPr>
      <w:rFonts w:ascii="宋体" w:hAnsi="宋体"/>
      <w:color w:val="FF00FF"/>
      <w:sz w:val="24"/>
      <w:szCs w:val="28"/>
    </w:rPr>
  </w:style>
  <w:style w:type="paragraph" w:customStyle="1" w:styleId="2841">
    <w:name w:val="正文qrz Char Char"/>
    <w:basedOn w:val="1"/>
    <w:link w:val="2840"/>
    <w:qFormat/>
    <w:uiPriority w:val="0"/>
    <w:pPr>
      <w:snapToGrid w:val="0"/>
      <w:spacing w:line="360" w:lineRule="auto"/>
      <w:ind w:firstLine="480" w:firstLineChars="200"/>
    </w:pPr>
    <w:rPr>
      <w:rFonts w:ascii="宋体" w:hAnsi="宋体"/>
      <w:color w:val="FF00FF"/>
      <w:kern w:val="0"/>
      <w:sz w:val="24"/>
      <w:szCs w:val="28"/>
    </w:rPr>
  </w:style>
  <w:style w:type="character" w:customStyle="1" w:styleId="2842">
    <w:name w:val="正文qrz Char"/>
    <w:link w:val="2843"/>
    <w:qFormat/>
    <w:locked/>
    <w:uiPriority w:val="0"/>
    <w:rPr>
      <w:color w:val="FF00FF"/>
      <w:sz w:val="24"/>
      <w:szCs w:val="24"/>
    </w:rPr>
  </w:style>
  <w:style w:type="paragraph" w:customStyle="1" w:styleId="2843">
    <w:name w:val="正文qrz"/>
    <w:basedOn w:val="1"/>
    <w:link w:val="2842"/>
    <w:qFormat/>
    <w:uiPriority w:val="0"/>
    <w:pPr>
      <w:snapToGrid w:val="0"/>
      <w:spacing w:line="440" w:lineRule="exact"/>
      <w:ind w:firstLine="480" w:firstLineChars="200"/>
      <w:jc w:val="left"/>
    </w:pPr>
    <w:rPr>
      <w:color w:val="FF00FF"/>
      <w:kern w:val="0"/>
      <w:sz w:val="24"/>
    </w:rPr>
  </w:style>
  <w:style w:type="paragraph" w:customStyle="1" w:styleId="2844">
    <w:name w:val="表格 + 五号"/>
    <w:basedOn w:val="187"/>
    <w:qFormat/>
    <w:uiPriority w:val="0"/>
    <w:pPr>
      <w:keepNext/>
      <w:keepLines/>
      <w:snapToGrid/>
      <w:spacing w:beforeLines="0" w:afterLines="0" w:line="400" w:lineRule="exact"/>
    </w:pPr>
    <w:rPr>
      <w:rFonts w:ascii="Times New Roman" w:eastAsia="Times New Roman"/>
      <w:sz w:val="20"/>
      <w:szCs w:val="21"/>
    </w:rPr>
  </w:style>
  <w:style w:type="paragraph" w:customStyle="1" w:styleId="2845">
    <w:name w:val="样式 正文文字 + 首行缩进:  2 字符 行距: 最小值 24 磅"/>
    <w:basedOn w:val="1"/>
    <w:qFormat/>
    <w:uiPriority w:val="0"/>
    <w:pPr>
      <w:adjustRightInd w:val="0"/>
      <w:snapToGrid w:val="0"/>
      <w:spacing w:line="480" w:lineRule="atLeast"/>
      <w:ind w:firstLine="480" w:firstLineChars="200"/>
    </w:pPr>
    <w:rPr>
      <w:rFonts w:cs="宋体"/>
      <w:sz w:val="24"/>
      <w:szCs w:val="20"/>
    </w:rPr>
  </w:style>
  <w:style w:type="character" w:customStyle="1" w:styleId="2846">
    <w:name w:val="正文宋体小四 Char"/>
    <w:link w:val="2847"/>
    <w:qFormat/>
    <w:locked/>
    <w:uiPriority w:val="0"/>
    <w:rPr>
      <w:sz w:val="24"/>
      <w:szCs w:val="24"/>
    </w:rPr>
  </w:style>
  <w:style w:type="paragraph" w:customStyle="1" w:styleId="2847">
    <w:name w:val="正文宋体小四"/>
    <w:basedOn w:val="21"/>
    <w:link w:val="2846"/>
    <w:qFormat/>
    <w:uiPriority w:val="0"/>
    <w:pPr>
      <w:keepNext w:val="0"/>
      <w:adjustRightInd w:val="0"/>
      <w:spacing w:line="480" w:lineRule="exact"/>
      <w:ind w:firstLine="480" w:firstLineChars="200"/>
      <w:jc w:val="both"/>
    </w:pPr>
    <w:rPr>
      <w:rFonts w:ascii="Times New Roman" w:hAnsi="Times New Roman"/>
      <w:bCs w:val="0"/>
    </w:rPr>
  </w:style>
  <w:style w:type="character" w:customStyle="1" w:styleId="2848">
    <w:name w:val="样式 正文（首行缩进两字） + 小三 首行缩进:  1 厘米 行距: 固定值 24 磅 Char Char"/>
    <w:link w:val="2849"/>
    <w:qFormat/>
    <w:locked/>
    <w:uiPriority w:val="0"/>
    <w:rPr>
      <w:sz w:val="28"/>
      <w:szCs w:val="30"/>
    </w:rPr>
  </w:style>
  <w:style w:type="paragraph" w:customStyle="1" w:styleId="2849">
    <w:name w:val="样式 正文（首行缩进两字） + 小三 首行缩进:  1 厘米 行距: 固定值 24 磅 Char"/>
    <w:basedOn w:val="21"/>
    <w:link w:val="2848"/>
    <w:qFormat/>
    <w:uiPriority w:val="0"/>
    <w:pPr>
      <w:keepNext w:val="0"/>
      <w:adjustRightInd w:val="0"/>
      <w:spacing w:line="480" w:lineRule="exact"/>
      <w:ind w:firstLine="567"/>
      <w:jc w:val="both"/>
    </w:pPr>
    <w:rPr>
      <w:rFonts w:ascii="Times New Roman" w:hAnsi="Times New Roman"/>
      <w:bCs w:val="0"/>
      <w:sz w:val="28"/>
      <w:szCs w:val="30"/>
    </w:rPr>
  </w:style>
  <w:style w:type="character" w:customStyle="1" w:styleId="2850">
    <w:name w:val="样式 样式 正文（首行缩进两字） + 小三 首行缩进:  1 厘米 行距: 固定值 24 磅 + 宋体 黑色 Char"/>
    <w:link w:val="2851"/>
    <w:qFormat/>
    <w:locked/>
    <w:uiPriority w:val="0"/>
    <w:rPr>
      <w:color w:val="000000"/>
      <w:sz w:val="28"/>
      <w:szCs w:val="28"/>
    </w:rPr>
  </w:style>
  <w:style w:type="paragraph" w:customStyle="1" w:styleId="2851">
    <w:name w:val="样式 样式 正文（首行缩进两字） + 小三 首行缩进:  1 厘米 行距: 固定值 24 磅 + 宋体 黑色"/>
    <w:basedOn w:val="2849"/>
    <w:link w:val="2850"/>
    <w:qFormat/>
    <w:uiPriority w:val="0"/>
    <w:rPr>
      <w:szCs w:val="28"/>
    </w:rPr>
  </w:style>
  <w:style w:type="paragraph" w:customStyle="1" w:styleId="2852">
    <w:name w:val="样式 表格 + 五号"/>
    <w:basedOn w:val="187"/>
    <w:qFormat/>
    <w:uiPriority w:val="0"/>
    <w:pPr>
      <w:keepNext/>
      <w:keepLines/>
      <w:snapToGrid/>
      <w:spacing w:beforeLines="0" w:afterLines="0" w:line="400" w:lineRule="exact"/>
      <w:ind w:firstLine="546" w:firstLineChars="260"/>
      <w:jc w:val="both"/>
    </w:pPr>
    <w:rPr>
      <w:rFonts w:ascii="Times New Roman" w:eastAsia="Times New Roman"/>
      <w:sz w:val="20"/>
      <w:szCs w:val="21"/>
    </w:rPr>
  </w:style>
  <w:style w:type="paragraph" w:customStyle="1" w:styleId="2853">
    <w:name w:val="集团要求内容格式"/>
    <w:basedOn w:val="1"/>
    <w:qFormat/>
    <w:uiPriority w:val="0"/>
    <w:pPr>
      <w:ind w:firstLine="560" w:firstLineChars="200"/>
    </w:pPr>
    <w:rPr>
      <w:rFonts w:ascii="仿宋_GB2312" w:eastAsia="仿宋_GB2312"/>
      <w:sz w:val="28"/>
      <w:szCs w:val="28"/>
    </w:rPr>
  </w:style>
  <w:style w:type="paragraph" w:customStyle="1" w:styleId="2854">
    <w:name w:val="样式 桔黄 首行缩进:  1 厘米 行距: 固定值 25 磅"/>
    <w:basedOn w:val="1"/>
    <w:qFormat/>
    <w:uiPriority w:val="0"/>
    <w:pPr>
      <w:adjustRightInd w:val="0"/>
      <w:spacing w:line="500" w:lineRule="exact"/>
      <w:ind w:firstLine="560" w:firstLineChars="200"/>
    </w:pPr>
    <w:rPr>
      <w:rFonts w:ascii="宋体" w:hAnsi="宋体" w:cs="宋体"/>
      <w:kern w:val="0"/>
      <w:sz w:val="28"/>
      <w:szCs w:val="20"/>
    </w:rPr>
  </w:style>
  <w:style w:type="paragraph" w:customStyle="1" w:styleId="2855">
    <w:name w:val="样式 纯文本 + (符号) 宋体 四号"/>
    <w:basedOn w:val="45"/>
    <w:qFormat/>
    <w:uiPriority w:val="0"/>
    <w:pPr>
      <w:suppressAutoHyphens w:val="0"/>
      <w:autoSpaceDN/>
      <w:spacing w:line="500" w:lineRule="exact"/>
      <w:ind w:firstLine="560" w:firstLineChars="200"/>
      <w:textAlignment w:val="auto"/>
    </w:pPr>
    <w:rPr>
      <w:rFonts w:hAnsi="Courier New" w:cs="Century"/>
      <w:kern w:val="0"/>
      <w:sz w:val="28"/>
      <w:szCs w:val="21"/>
    </w:rPr>
  </w:style>
  <w:style w:type="paragraph" w:customStyle="1" w:styleId="2856">
    <w:name w:val="样式 四号 行距: 多倍行距 1.25 字行1"/>
    <w:basedOn w:val="1"/>
    <w:qFormat/>
    <w:uiPriority w:val="0"/>
    <w:pPr>
      <w:overflowPunct w:val="0"/>
      <w:autoSpaceDE w:val="0"/>
      <w:autoSpaceDN w:val="0"/>
      <w:adjustRightInd w:val="0"/>
      <w:snapToGrid w:val="0"/>
      <w:spacing w:line="500" w:lineRule="exact"/>
      <w:ind w:firstLine="560" w:firstLineChars="200"/>
    </w:pPr>
    <w:rPr>
      <w:rFonts w:ascii="宋体" w:hAnsi="宋体" w:cs="宋体"/>
      <w:kern w:val="24"/>
      <w:sz w:val="28"/>
      <w:szCs w:val="20"/>
    </w:rPr>
  </w:style>
  <w:style w:type="paragraph" w:customStyle="1" w:styleId="2857">
    <w:name w:val="样式 标题 2 +"/>
    <w:basedOn w:val="6"/>
    <w:qFormat/>
    <w:uiPriority w:val="0"/>
    <w:pPr>
      <w:tabs>
        <w:tab w:val="left" w:pos="927"/>
        <w:tab w:val="left" w:pos="1134"/>
      </w:tabs>
      <w:adjustRightInd w:val="0"/>
      <w:snapToGrid w:val="0"/>
      <w:spacing w:afterLines="50" w:line="520" w:lineRule="exact"/>
      <w:jc w:val="left"/>
    </w:pPr>
    <w:rPr>
      <w:rFonts w:ascii="Arial" w:hAnsi="Arial" w:eastAsia="宋体"/>
      <w:kern w:val="0"/>
      <w:sz w:val="30"/>
    </w:rPr>
  </w:style>
  <w:style w:type="paragraph" w:customStyle="1" w:styleId="2858">
    <w:name w:val="样式 热电厂正文 + 首行缩进:  2 字符"/>
    <w:basedOn w:val="2728"/>
    <w:qFormat/>
    <w:uiPriority w:val="0"/>
    <w:pPr>
      <w:spacing w:line="480" w:lineRule="exact"/>
    </w:pPr>
    <w:rPr>
      <w:rFonts w:cs="宋体"/>
      <w:szCs w:val="20"/>
    </w:rPr>
  </w:style>
  <w:style w:type="paragraph" w:customStyle="1" w:styleId="2859">
    <w:name w:val="样式 首行缩进:  2 字符6"/>
    <w:basedOn w:val="1"/>
    <w:qFormat/>
    <w:uiPriority w:val="0"/>
    <w:pPr>
      <w:spacing w:line="520" w:lineRule="exact"/>
      <w:ind w:firstLine="560" w:firstLineChars="200"/>
    </w:pPr>
    <w:rPr>
      <w:rFonts w:cs="宋体"/>
      <w:sz w:val="24"/>
      <w:szCs w:val="20"/>
    </w:rPr>
  </w:style>
  <w:style w:type="paragraph" w:customStyle="1" w:styleId="2860">
    <w:name w:val="样式 首行缩进:  2 字符8"/>
    <w:basedOn w:val="1"/>
    <w:qFormat/>
    <w:uiPriority w:val="0"/>
    <w:pPr>
      <w:spacing w:line="520" w:lineRule="exact"/>
      <w:ind w:firstLine="560" w:firstLineChars="200"/>
    </w:pPr>
    <w:rPr>
      <w:rFonts w:cs="宋体"/>
      <w:sz w:val="24"/>
      <w:szCs w:val="20"/>
    </w:rPr>
  </w:style>
  <w:style w:type="paragraph" w:customStyle="1" w:styleId="2861">
    <w:name w:val="样式 五号 居中 行距: 固定值 20 磅"/>
    <w:basedOn w:val="1"/>
    <w:qFormat/>
    <w:uiPriority w:val="0"/>
    <w:pPr>
      <w:spacing w:line="400" w:lineRule="exact"/>
      <w:ind w:firstLine="2"/>
      <w:jc w:val="center"/>
    </w:pPr>
    <w:rPr>
      <w:rFonts w:cs="宋体"/>
      <w:szCs w:val="20"/>
    </w:rPr>
  </w:style>
  <w:style w:type="paragraph" w:customStyle="1" w:styleId="2862">
    <w:name w:val="样式 样式 首行缩进:  2 字符 行距: 最小值 24 磅 + 首行缩进:  2 字符"/>
    <w:basedOn w:val="1"/>
    <w:qFormat/>
    <w:uiPriority w:val="0"/>
    <w:pPr>
      <w:spacing w:line="480" w:lineRule="atLeast"/>
      <w:ind w:firstLine="480" w:firstLineChars="200"/>
    </w:pPr>
    <w:rPr>
      <w:rFonts w:cs="宋体"/>
      <w:sz w:val="24"/>
    </w:rPr>
  </w:style>
  <w:style w:type="paragraph" w:customStyle="1" w:styleId="2863">
    <w:name w:val="样式 样式 四号 黑色 首行缩进:  2 字符 + 自动设置 首行缩进:  2 字符 行距: 固定值 24 磅"/>
    <w:basedOn w:val="1280"/>
    <w:qFormat/>
    <w:uiPriority w:val="0"/>
    <w:pPr>
      <w:spacing w:line="480" w:lineRule="exact"/>
      <w:ind w:firstLine="480"/>
    </w:pPr>
    <w:rPr>
      <w:rFonts w:cs="宋体"/>
      <w:color w:val="auto"/>
      <w:szCs w:val="20"/>
    </w:rPr>
  </w:style>
  <w:style w:type="paragraph" w:customStyle="1" w:styleId="2864">
    <w:name w:val="正文 Char Char Char"/>
    <w:basedOn w:val="1"/>
    <w:qFormat/>
    <w:uiPriority w:val="0"/>
    <w:rPr>
      <w:rFonts w:cs="宋体"/>
      <w:sz w:val="24"/>
      <w:szCs w:val="20"/>
    </w:rPr>
  </w:style>
  <w:style w:type="paragraph" w:customStyle="1" w:styleId="2865">
    <w:name w:val="样式 首行缩进:  2 字符13"/>
    <w:basedOn w:val="1"/>
    <w:qFormat/>
    <w:uiPriority w:val="0"/>
    <w:pPr>
      <w:spacing w:line="520" w:lineRule="exact"/>
      <w:ind w:firstLine="560" w:firstLineChars="200"/>
    </w:pPr>
    <w:rPr>
      <w:sz w:val="24"/>
    </w:rPr>
  </w:style>
  <w:style w:type="paragraph" w:customStyle="1" w:styleId="2866">
    <w:name w:val="表内五号两端对齐"/>
    <w:basedOn w:val="1"/>
    <w:qFormat/>
    <w:uiPriority w:val="0"/>
    <w:pPr>
      <w:spacing w:line="360" w:lineRule="auto"/>
      <w:ind w:firstLine="720" w:firstLineChars="300"/>
    </w:pPr>
    <w:rPr>
      <w:rFonts w:ascii="Arial" w:hAnsi="Arial" w:cs="Arial"/>
      <w:sz w:val="24"/>
    </w:rPr>
  </w:style>
  <w:style w:type="paragraph" w:customStyle="1" w:styleId="2867">
    <w:name w:val="款，1."/>
    <w:basedOn w:val="1"/>
    <w:qFormat/>
    <w:uiPriority w:val="0"/>
    <w:pPr>
      <w:spacing w:line="460" w:lineRule="exact"/>
      <w:ind w:firstLine="567"/>
      <w:outlineLvl w:val="2"/>
    </w:pPr>
    <w:rPr>
      <w:rFonts w:eastAsia="仿宋_GB2312"/>
      <w:sz w:val="28"/>
      <w:szCs w:val="20"/>
    </w:rPr>
  </w:style>
  <w:style w:type="paragraph" w:customStyle="1" w:styleId="2868">
    <w:name w:val="style2"/>
    <w:basedOn w:val="1"/>
    <w:qFormat/>
    <w:uiPriority w:val="0"/>
    <w:pPr>
      <w:widowControl/>
      <w:spacing w:beforeAutospacing="1" w:afterAutospacing="1"/>
      <w:jc w:val="left"/>
    </w:pPr>
    <w:rPr>
      <w:rFonts w:ascii="宋体" w:hAnsi="宋体" w:cs="宋体"/>
      <w:kern w:val="0"/>
      <w:sz w:val="36"/>
      <w:szCs w:val="36"/>
    </w:rPr>
  </w:style>
  <w:style w:type="paragraph" w:customStyle="1" w:styleId="2869">
    <w:name w:val="7.2.2"/>
    <w:basedOn w:val="6"/>
    <w:qFormat/>
    <w:uiPriority w:val="0"/>
    <w:pPr>
      <w:tabs>
        <w:tab w:val="left" w:pos="927"/>
        <w:tab w:val="left" w:pos="1134"/>
      </w:tabs>
      <w:snapToGrid w:val="0"/>
      <w:spacing w:beforeLines="50" w:afterLines="50" w:line="400" w:lineRule="exact"/>
    </w:pPr>
    <w:rPr>
      <w:rFonts w:ascii="Arial" w:hAnsi="Arial" w:eastAsia="宋体"/>
      <w:color w:val="000000"/>
      <w:kern w:val="0"/>
      <w:sz w:val="24"/>
      <w:szCs w:val="24"/>
    </w:rPr>
  </w:style>
  <w:style w:type="paragraph" w:customStyle="1" w:styleId="2870">
    <w:name w:val="表内小四居中"/>
    <w:qFormat/>
    <w:uiPriority w:val="0"/>
    <w:pPr>
      <w:adjustRightInd w:val="0"/>
      <w:snapToGrid w:val="0"/>
      <w:spacing w:line="360" w:lineRule="auto"/>
      <w:ind w:left="-57" w:right="-57"/>
      <w:jc w:val="center"/>
    </w:pPr>
    <w:rPr>
      <w:rFonts w:ascii="仿宋_GB2312" w:hAnsi="Calibri" w:eastAsia="仿宋_GB2312" w:cs="Calibri"/>
      <w:sz w:val="28"/>
      <w:lang w:val="en-US" w:eastAsia="zh-CN" w:bidi="ar-SA"/>
    </w:rPr>
  </w:style>
  <w:style w:type="paragraph" w:customStyle="1" w:styleId="2871">
    <w:name w:val="?y??"/>
    <w:qFormat/>
    <w:uiPriority w:val="0"/>
    <w:pPr>
      <w:widowControl w:val="0"/>
      <w:snapToGrid w:val="0"/>
      <w:jc w:val="both"/>
    </w:pPr>
    <w:rPr>
      <w:rFonts w:ascii="宋体" w:hAnsi="Calibri" w:eastAsia="宋体" w:cs="Calibri"/>
      <w:kern w:val="2"/>
      <w:sz w:val="21"/>
      <w:lang w:val="en-US" w:eastAsia="en-US" w:bidi="ar-SA"/>
    </w:rPr>
  </w:style>
  <w:style w:type="paragraph" w:customStyle="1" w:styleId="2872">
    <w:name w:val="Char1 Char Char Char1"/>
    <w:basedOn w:val="1"/>
    <w:qFormat/>
    <w:uiPriority w:val="0"/>
  </w:style>
  <w:style w:type="character" w:customStyle="1" w:styleId="2873">
    <w:name w:val="c正文 Char"/>
    <w:link w:val="2874"/>
    <w:qFormat/>
    <w:locked/>
    <w:uiPriority w:val="0"/>
    <w:rPr>
      <w:rFonts w:ascii="仿宋_GB2312" w:eastAsia="仿宋_GB2312"/>
      <w:sz w:val="28"/>
      <w:szCs w:val="28"/>
    </w:rPr>
  </w:style>
  <w:style w:type="paragraph" w:customStyle="1" w:styleId="2874">
    <w:name w:val="c正文"/>
    <w:basedOn w:val="1"/>
    <w:link w:val="2873"/>
    <w:qFormat/>
    <w:uiPriority w:val="0"/>
    <w:pPr>
      <w:adjustRightInd w:val="0"/>
      <w:snapToGrid w:val="0"/>
      <w:spacing w:line="360" w:lineRule="auto"/>
      <w:ind w:firstLine="200" w:firstLineChars="200"/>
    </w:pPr>
    <w:rPr>
      <w:rFonts w:ascii="仿宋_GB2312" w:eastAsia="仿宋_GB2312"/>
      <w:kern w:val="0"/>
      <w:sz w:val="28"/>
      <w:szCs w:val="28"/>
    </w:rPr>
  </w:style>
  <w:style w:type="paragraph" w:customStyle="1" w:styleId="2875">
    <w:name w:val="标题40"/>
    <w:basedOn w:val="1"/>
    <w:qFormat/>
    <w:uiPriority w:val="0"/>
    <w:pPr>
      <w:snapToGrid w:val="0"/>
      <w:spacing w:beforeLines="50" w:line="360" w:lineRule="auto"/>
      <w:outlineLvl w:val="3"/>
    </w:pPr>
    <w:rPr>
      <w:rFonts w:ascii="宋体" w:hAnsi="宋体"/>
      <w:b/>
      <w:bCs/>
      <w:kern w:val="0"/>
      <w:sz w:val="24"/>
      <w:szCs w:val="20"/>
    </w:rPr>
  </w:style>
  <w:style w:type="paragraph" w:customStyle="1" w:styleId="2876">
    <w:name w:val="样式 标题 3 + 小三 段前: 6 磅 段后: 6 磅 行距: 多倍行距 1.25 字行"/>
    <w:basedOn w:val="7"/>
    <w:qFormat/>
    <w:uiPriority w:val="0"/>
    <w:pPr>
      <w:widowControl w:val="0"/>
      <w:tabs>
        <w:tab w:val="left" w:pos="1134"/>
        <w:tab w:val="left" w:pos="1256"/>
      </w:tabs>
      <w:adjustRightInd/>
      <w:snapToGrid/>
      <w:spacing w:line="360" w:lineRule="auto"/>
      <w:jc w:val="both"/>
    </w:pPr>
    <w:rPr>
      <w:rFonts w:ascii="宋体" w:hAnsi="宋体" w:eastAsia="黑体" w:cs="宋体"/>
      <w:kern w:val="0"/>
      <w:sz w:val="28"/>
      <w:szCs w:val="28"/>
      <w:lang w:val="en-US"/>
    </w:rPr>
  </w:style>
  <w:style w:type="paragraph" w:customStyle="1" w:styleId="2877">
    <w:name w:val="样式 标题 3 + 四号 段前: 6 磅 段后: 6 磅 行距: 多倍行距 1.25 字行"/>
    <w:basedOn w:val="7"/>
    <w:qFormat/>
    <w:uiPriority w:val="0"/>
    <w:pPr>
      <w:widowControl w:val="0"/>
      <w:tabs>
        <w:tab w:val="left" w:pos="1134"/>
        <w:tab w:val="left" w:pos="1256"/>
      </w:tabs>
      <w:adjustRightInd/>
      <w:spacing w:line="300" w:lineRule="auto"/>
      <w:jc w:val="both"/>
    </w:pPr>
    <w:rPr>
      <w:rFonts w:ascii="黑体" w:hAnsi="Times New Roman" w:eastAsia="黑体" w:cs="宋体"/>
      <w:kern w:val="0"/>
      <w:sz w:val="28"/>
      <w:szCs w:val="20"/>
      <w:lang w:val="en-US"/>
    </w:rPr>
  </w:style>
  <w:style w:type="character" w:customStyle="1" w:styleId="2878">
    <w:name w:val="样式 标题 2 + (西文) Times New Roman (中文) 宋体 段前: 12 磅 段后: 6 磅 行距: ... Char"/>
    <w:link w:val="2879"/>
    <w:qFormat/>
    <w:locked/>
    <w:uiPriority w:val="0"/>
    <w:rPr>
      <w:rFonts w:ascii="宋体" w:hAnsi="宋体"/>
      <w:b/>
      <w:bCs/>
      <w:sz w:val="32"/>
    </w:rPr>
  </w:style>
  <w:style w:type="paragraph" w:customStyle="1" w:styleId="2879">
    <w:name w:val="样式 标题 2 + (西文) Times New Roman (中文) 宋体 段前: 12 磅 段后: 6 磅 行距: ..."/>
    <w:basedOn w:val="6"/>
    <w:link w:val="2878"/>
    <w:qFormat/>
    <w:uiPriority w:val="0"/>
    <w:pPr>
      <w:tabs>
        <w:tab w:val="left" w:pos="927"/>
        <w:tab w:val="left" w:pos="1134"/>
      </w:tabs>
      <w:spacing w:beforeLines="50" w:afterLines="50" w:line="300" w:lineRule="auto"/>
    </w:pPr>
    <w:rPr>
      <w:rFonts w:ascii="宋体" w:hAnsi="宋体" w:eastAsia="宋体"/>
      <w:kern w:val="0"/>
      <w:szCs w:val="20"/>
    </w:rPr>
  </w:style>
  <w:style w:type="paragraph" w:customStyle="1" w:styleId="2880">
    <w:name w:val="样式 标题 2 + (西文) Times New Roman (中文) 宋体 段前: 12 磅 段后: 6 磅 行距: ...1"/>
    <w:basedOn w:val="6"/>
    <w:qFormat/>
    <w:uiPriority w:val="0"/>
    <w:pPr>
      <w:tabs>
        <w:tab w:val="left" w:pos="2700"/>
      </w:tabs>
      <w:snapToGrid w:val="0"/>
      <w:spacing w:beforeLines="50" w:afterLines="50" w:line="360" w:lineRule="auto"/>
    </w:pPr>
    <w:rPr>
      <w:rFonts w:ascii="黑体" w:hAnsi="Times New Roman" w:eastAsia="黑体" w:cs="宋体"/>
      <w:kern w:val="0"/>
    </w:rPr>
  </w:style>
  <w:style w:type="paragraph" w:customStyle="1" w:styleId="2881">
    <w:name w:val="样式 标题 3 + 小三 段前: 7.8 磅 段后: 7.8 磅 行距: 1.5 倍行距"/>
    <w:basedOn w:val="7"/>
    <w:qFormat/>
    <w:uiPriority w:val="0"/>
    <w:pPr>
      <w:widowControl w:val="0"/>
      <w:tabs>
        <w:tab w:val="left" w:pos="1134"/>
        <w:tab w:val="left" w:pos="1256"/>
      </w:tabs>
      <w:adjustRightInd/>
      <w:snapToGrid/>
      <w:spacing w:line="360" w:lineRule="auto"/>
      <w:jc w:val="both"/>
    </w:pPr>
    <w:rPr>
      <w:rFonts w:ascii="黑体" w:hAnsi="Times New Roman" w:eastAsia="黑体" w:cs="宋体"/>
      <w:kern w:val="0"/>
      <w:sz w:val="30"/>
      <w:szCs w:val="20"/>
      <w:lang w:val="en-US"/>
    </w:rPr>
  </w:style>
  <w:style w:type="paragraph" w:customStyle="1" w:styleId="2882">
    <w:name w:val="样式 标题 4 + 行距: 1.5 倍行距"/>
    <w:basedOn w:val="8"/>
    <w:qFormat/>
    <w:uiPriority w:val="0"/>
    <w:pPr>
      <w:numPr>
        <w:ilvl w:val="0"/>
        <w:numId w:val="0"/>
      </w:numPr>
      <w:tabs>
        <w:tab w:val="left" w:pos="1134"/>
        <w:tab w:val="left" w:pos="1630"/>
      </w:tabs>
      <w:adjustRightInd w:val="0"/>
      <w:spacing w:line="360" w:lineRule="auto"/>
    </w:pPr>
    <w:rPr>
      <w:rFonts w:ascii="Times New Roman" w:hAnsi="Times New Roman" w:eastAsia="宋体" w:cs="宋体"/>
      <w:kern w:val="0"/>
      <w:szCs w:val="20"/>
    </w:rPr>
  </w:style>
  <w:style w:type="paragraph" w:customStyle="1" w:styleId="2883">
    <w:name w:val="样式 宋体 小四 行距: 1.5 倍行距"/>
    <w:basedOn w:val="1"/>
    <w:qFormat/>
    <w:uiPriority w:val="0"/>
    <w:pPr>
      <w:spacing w:line="500" w:lineRule="exact"/>
    </w:pPr>
    <w:rPr>
      <w:rFonts w:ascii="宋体"/>
      <w:sz w:val="24"/>
      <w:szCs w:val="20"/>
    </w:rPr>
  </w:style>
  <w:style w:type="paragraph" w:customStyle="1" w:styleId="2884">
    <w:name w:val="样式 标题 2节标题 1.1 + Times New Roman 首行缩进:  0 厘米"/>
    <w:basedOn w:val="6"/>
    <w:qFormat/>
    <w:uiPriority w:val="0"/>
    <w:pPr>
      <w:tabs>
        <w:tab w:val="left" w:pos="927"/>
        <w:tab w:val="left" w:pos="1134"/>
      </w:tabs>
      <w:adjustRightInd w:val="0"/>
      <w:spacing w:line="416" w:lineRule="atLeast"/>
    </w:pPr>
    <w:rPr>
      <w:rFonts w:ascii="Times New Roman" w:hAnsi="Times New Roman" w:eastAsia="黑体" w:cs="宋体"/>
      <w:kern w:val="0"/>
      <w:szCs w:val="20"/>
    </w:rPr>
  </w:style>
  <w:style w:type="character" w:customStyle="1" w:styleId="2885">
    <w:name w:val="陈正文 Char"/>
    <w:link w:val="2886"/>
    <w:qFormat/>
    <w:locked/>
    <w:uiPriority w:val="0"/>
    <w:rPr>
      <w:b/>
      <w:sz w:val="24"/>
      <w:szCs w:val="24"/>
    </w:rPr>
  </w:style>
  <w:style w:type="paragraph" w:customStyle="1" w:styleId="2886">
    <w:name w:val="陈正文"/>
    <w:basedOn w:val="1"/>
    <w:next w:val="1"/>
    <w:link w:val="2885"/>
    <w:qFormat/>
    <w:uiPriority w:val="0"/>
    <w:pPr>
      <w:spacing w:line="360" w:lineRule="auto"/>
      <w:jc w:val="center"/>
    </w:pPr>
    <w:rPr>
      <w:b/>
      <w:kern w:val="0"/>
      <w:sz w:val="24"/>
    </w:rPr>
  </w:style>
  <w:style w:type="character" w:customStyle="1" w:styleId="2887">
    <w:name w:val="陈表格中内容 Char"/>
    <w:link w:val="2888"/>
    <w:qFormat/>
    <w:locked/>
    <w:uiPriority w:val="0"/>
    <w:rPr>
      <w:rFonts w:ascii="仿宋_GB2312" w:eastAsia="仿宋_GB2312"/>
      <w:szCs w:val="21"/>
    </w:rPr>
  </w:style>
  <w:style w:type="paragraph" w:customStyle="1" w:styleId="2888">
    <w:name w:val="陈表格中内容"/>
    <w:basedOn w:val="1"/>
    <w:next w:val="1"/>
    <w:link w:val="2887"/>
    <w:qFormat/>
    <w:uiPriority w:val="0"/>
    <w:pPr>
      <w:ind w:left="-66" w:leftChars="-66" w:firstLine="105" w:firstLineChars="50"/>
    </w:pPr>
    <w:rPr>
      <w:rFonts w:ascii="仿宋_GB2312" w:eastAsia="仿宋_GB2312"/>
      <w:kern w:val="0"/>
      <w:sz w:val="20"/>
      <w:szCs w:val="21"/>
    </w:rPr>
  </w:style>
  <w:style w:type="character" w:customStyle="1" w:styleId="2889">
    <w:name w:val="1-正文 Char"/>
    <w:link w:val="2890"/>
    <w:qFormat/>
    <w:locked/>
    <w:uiPriority w:val="0"/>
    <w:rPr>
      <w:rFonts w:ascii="宋体" w:hAnsi="宋体"/>
      <w:sz w:val="24"/>
      <w:szCs w:val="24"/>
    </w:rPr>
  </w:style>
  <w:style w:type="paragraph" w:customStyle="1" w:styleId="2890">
    <w:name w:val="1-正文"/>
    <w:basedOn w:val="1"/>
    <w:link w:val="2889"/>
    <w:qFormat/>
    <w:uiPriority w:val="0"/>
    <w:pPr>
      <w:spacing w:line="360" w:lineRule="auto"/>
      <w:ind w:firstLine="480" w:firstLineChars="200"/>
    </w:pPr>
    <w:rPr>
      <w:rFonts w:ascii="宋体" w:hAnsi="宋体"/>
      <w:kern w:val="0"/>
      <w:sz w:val="24"/>
    </w:rPr>
  </w:style>
  <w:style w:type="paragraph" w:customStyle="1" w:styleId="2891">
    <w:name w:val="标题1（新）"/>
    <w:basedOn w:val="1"/>
    <w:next w:val="1"/>
    <w:qFormat/>
    <w:uiPriority w:val="0"/>
    <w:pPr>
      <w:widowControl/>
      <w:spacing w:beforeLines="50"/>
      <w:jc w:val="left"/>
    </w:pPr>
    <w:rPr>
      <w:rFonts w:eastAsia="黑体"/>
      <w:kern w:val="0"/>
      <w:sz w:val="24"/>
      <w:szCs w:val="28"/>
    </w:rPr>
  </w:style>
  <w:style w:type="character" w:customStyle="1" w:styleId="2892">
    <w:name w:val="热电厂正文 Char Char Char"/>
    <w:link w:val="2893"/>
    <w:qFormat/>
    <w:locked/>
    <w:uiPriority w:val="0"/>
    <w:rPr>
      <w:sz w:val="24"/>
      <w:szCs w:val="24"/>
    </w:rPr>
  </w:style>
  <w:style w:type="paragraph" w:customStyle="1" w:styleId="2893">
    <w:name w:val="热电厂正文 Char Char"/>
    <w:basedOn w:val="1"/>
    <w:link w:val="2892"/>
    <w:qFormat/>
    <w:uiPriority w:val="0"/>
    <w:pPr>
      <w:spacing w:line="440" w:lineRule="exact"/>
      <w:ind w:firstLine="480" w:firstLineChars="200"/>
    </w:pPr>
    <w:rPr>
      <w:kern w:val="0"/>
      <w:sz w:val="24"/>
    </w:rPr>
  </w:style>
  <w:style w:type="paragraph" w:customStyle="1" w:styleId="2894">
    <w:name w:val="表格02"/>
    <w:basedOn w:val="1"/>
    <w:qFormat/>
    <w:uiPriority w:val="0"/>
    <w:pPr>
      <w:snapToGrid w:val="0"/>
      <w:spacing w:line="400" w:lineRule="exact"/>
      <w:jc w:val="center"/>
    </w:pPr>
    <w:rPr>
      <w:kern w:val="0"/>
      <w:sz w:val="24"/>
    </w:rPr>
  </w:style>
  <w:style w:type="paragraph" w:customStyle="1" w:styleId="2895">
    <w:name w:val="表格02左"/>
    <w:basedOn w:val="2894"/>
    <w:qFormat/>
    <w:uiPriority w:val="0"/>
    <w:pPr>
      <w:jc w:val="left"/>
    </w:pPr>
  </w:style>
  <w:style w:type="paragraph" w:customStyle="1" w:styleId="2896">
    <w:name w:val="正文表标题"/>
    <w:next w:val="1"/>
    <w:qFormat/>
    <w:uiPriority w:val="0"/>
    <w:pPr>
      <w:tabs>
        <w:tab w:val="left" w:pos="1134"/>
      </w:tabs>
      <w:ind w:left="1134" w:hanging="567"/>
      <w:jc w:val="center"/>
    </w:pPr>
    <w:rPr>
      <w:rFonts w:ascii="黑体" w:hAnsi="Calibri" w:eastAsia="黑体" w:cs="Calibri"/>
      <w:sz w:val="21"/>
      <w:lang w:val="en-US" w:eastAsia="zh-CN" w:bidi="ar-SA"/>
    </w:rPr>
  </w:style>
  <w:style w:type="character" w:customStyle="1" w:styleId="2897">
    <w:name w:val="正文正式格式 Char"/>
    <w:link w:val="2898"/>
    <w:qFormat/>
    <w:locked/>
    <w:uiPriority w:val="0"/>
    <w:rPr>
      <w:szCs w:val="24"/>
    </w:rPr>
  </w:style>
  <w:style w:type="paragraph" w:customStyle="1" w:styleId="2898">
    <w:name w:val="正文正式格式"/>
    <w:basedOn w:val="1"/>
    <w:link w:val="2897"/>
    <w:qFormat/>
    <w:uiPriority w:val="0"/>
    <w:pPr>
      <w:spacing w:line="360" w:lineRule="auto"/>
      <w:ind w:firstLine="200" w:firstLineChars="200"/>
      <w:jc w:val="left"/>
    </w:pPr>
    <w:rPr>
      <w:kern w:val="0"/>
      <w:sz w:val="20"/>
    </w:rPr>
  </w:style>
  <w:style w:type="paragraph" w:customStyle="1" w:styleId="2899">
    <w:name w:val="样式33"/>
    <w:basedOn w:val="1"/>
    <w:qFormat/>
    <w:uiPriority w:val="0"/>
    <w:pPr>
      <w:spacing w:beforeLines="50" w:line="300" w:lineRule="auto"/>
      <w:outlineLvl w:val="2"/>
    </w:pPr>
    <w:rPr>
      <w:b/>
      <w:sz w:val="28"/>
      <w:szCs w:val="28"/>
    </w:rPr>
  </w:style>
  <w:style w:type="paragraph" w:customStyle="1" w:styleId="2900">
    <w:name w:val="标题4，正式三级标题"/>
    <w:basedOn w:val="8"/>
    <w:qFormat/>
    <w:uiPriority w:val="0"/>
    <w:pPr>
      <w:numPr>
        <w:ilvl w:val="0"/>
        <w:numId w:val="0"/>
      </w:numPr>
      <w:tabs>
        <w:tab w:val="left" w:pos="1134"/>
        <w:tab w:val="left" w:pos="1630"/>
      </w:tabs>
      <w:autoSpaceDE w:val="0"/>
      <w:autoSpaceDN w:val="0"/>
      <w:adjustRightInd w:val="0"/>
      <w:spacing w:line="360" w:lineRule="auto"/>
      <w:jc w:val="left"/>
    </w:pPr>
    <w:rPr>
      <w:rFonts w:eastAsia="宋体"/>
      <w:kern w:val="0"/>
      <w:sz w:val="21"/>
    </w:rPr>
  </w:style>
  <w:style w:type="paragraph" w:customStyle="1" w:styleId="2901">
    <w:name w:val="table_description"/>
    <w:basedOn w:val="1"/>
    <w:qFormat/>
    <w:uiPriority w:val="0"/>
    <w:pPr>
      <w:widowControl/>
      <w:spacing w:beforeAutospacing="1" w:afterAutospacing="1"/>
      <w:jc w:val="center"/>
    </w:pPr>
    <w:rPr>
      <w:rFonts w:ascii="宋体" w:hAnsi="宋体"/>
      <w:kern w:val="0"/>
      <w:sz w:val="24"/>
    </w:rPr>
  </w:style>
  <w:style w:type="paragraph" w:customStyle="1" w:styleId="2902">
    <w:name w:val="table_title"/>
    <w:basedOn w:val="1"/>
    <w:qFormat/>
    <w:uiPriority w:val="0"/>
    <w:pPr>
      <w:widowControl/>
      <w:spacing w:beforeAutospacing="1" w:afterAutospacing="1"/>
      <w:jc w:val="center"/>
    </w:pPr>
    <w:rPr>
      <w:rFonts w:ascii="宋体" w:hAnsi="宋体"/>
      <w:b/>
      <w:bCs/>
      <w:kern w:val="0"/>
      <w:sz w:val="24"/>
    </w:rPr>
  </w:style>
  <w:style w:type="paragraph" w:customStyle="1" w:styleId="2903">
    <w:name w:val="封面标准号1"/>
    <w:qFormat/>
    <w:uiPriority w:val="0"/>
    <w:pPr>
      <w:widowControl w:val="0"/>
      <w:kinsoku w:val="0"/>
      <w:overflowPunct w:val="0"/>
      <w:autoSpaceDE w:val="0"/>
      <w:autoSpaceDN w:val="0"/>
      <w:spacing w:before="308"/>
      <w:jc w:val="right"/>
    </w:pPr>
    <w:rPr>
      <w:rFonts w:ascii="Calibri" w:hAnsi="Calibri" w:eastAsia="宋体" w:cs="Calibri"/>
      <w:sz w:val="28"/>
      <w:lang w:val="en-US" w:eastAsia="zh-CN" w:bidi="ar-SA"/>
    </w:rPr>
  </w:style>
  <w:style w:type="paragraph" w:customStyle="1" w:styleId="2904">
    <w:name w:val="注×："/>
    <w:qFormat/>
    <w:uiPriority w:val="0"/>
    <w:pPr>
      <w:widowControl w:val="0"/>
      <w:tabs>
        <w:tab w:val="left" w:pos="630"/>
        <w:tab w:val="left" w:pos="1470"/>
      </w:tabs>
      <w:autoSpaceDE w:val="0"/>
      <w:autoSpaceDN w:val="0"/>
      <w:ind w:left="1470" w:hanging="720"/>
      <w:jc w:val="both"/>
    </w:pPr>
    <w:rPr>
      <w:rFonts w:ascii="宋体" w:hAnsi="Calibri" w:eastAsia="宋体" w:cs="Calibri"/>
      <w:sz w:val="18"/>
      <w:lang w:val="en-US" w:eastAsia="zh-CN" w:bidi="ar-SA"/>
    </w:rPr>
  </w:style>
  <w:style w:type="paragraph" w:customStyle="1" w:styleId="2905">
    <w:name w:val="标准书眉_偶数页"/>
    <w:basedOn w:val="1"/>
    <w:next w:val="1"/>
    <w:qFormat/>
    <w:uiPriority w:val="0"/>
    <w:pPr>
      <w:widowControl/>
      <w:tabs>
        <w:tab w:val="center" w:pos="4154"/>
        <w:tab w:val="right" w:pos="8306"/>
      </w:tabs>
      <w:jc w:val="left"/>
    </w:pPr>
    <w:rPr>
      <w:kern w:val="0"/>
      <w:szCs w:val="20"/>
    </w:rPr>
  </w:style>
  <w:style w:type="paragraph" w:customStyle="1" w:styleId="2906">
    <w:name w:val="标准书眉一"/>
    <w:qFormat/>
    <w:uiPriority w:val="0"/>
    <w:pPr>
      <w:jc w:val="both"/>
    </w:pPr>
    <w:rPr>
      <w:rFonts w:ascii="Calibri" w:hAnsi="Calibri" w:eastAsia="宋体" w:cs="Calibri"/>
      <w:lang w:val="en-US" w:eastAsia="zh-CN" w:bidi="ar-SA"/>
    </w:rPr>
  </w:style>
  <w:style w:type="paragraph" w:customStyle="1" w:styleId="2907">
    <w:name w:val="样式 Times New Roman :  2 字符"/>
    <w:basedOn w:val="1"/>
    <w:qFormat/>
    <w:uiPriority w:val="0"/>
    <w:pPr>
      <w:spacing w:line="360" w:lineRule="auto"/>
      <w:ind w:firstLine="480" w:firstLineChars="200"/>
    </w:pPr>
    <w:rPr>
      <w:sz w:val="24"/>
      <w:szCs w:val="20"/>
    </w:rPr>
  </w:style>
  <w:style w:type="paragraph" w:customStyle="1" w:styleId="2908">
    <w:name w:val="f14"/>
    <w:basedOn w:val="1"/>
    <w:qFormat/>
    <w:uiPriority w:val="0"/>
    <w:pPr>
      <w:widowControl/>
      <w:wordWrap w:val="0"/>
      <w:jc w:val="left"/>
    </w:pPr>
    <w:rPr>
      <w:rFonts w:ascii="宋体" w:hAnsi="宋体"/>
      <w:kern w:val="0"/>
      <w:szCs w:val="21"/>
    </w:rPr>
  </w:style>
  <w:style w:type="paragraph" w:customStyle="1" w:styleId="2909">
    <w:name w:val="table_note"/>
    <w:basedOn w:val="1"/>
    <w:qFormat/>
    <w:uiPriority w:val="0"/>
    <w:pPr>
      <w:widowControl/>
      <w:spacing w:beforeAutospacing="1" w:afterAutospacing="1"/>
      <w:jc w:val="left"/>
    </w:pPr>
    <w:rPr>
      <w:rFonts w:ascii="宋体" w:hAnsi="宋体"/>
      <w:kern w:val="0"/>
      <w:sz w:val="24"/>
    </w:rPr>
  </w:style>
  <w:style w:type="paragraph" w:customStyle="1" w:styleId="2910">
    <w:name w:val="tr"/>
    <w:basedOn w:val="1"/>
    <w:qFormat/>
    <w:uiPriority w:val="0"/>
    <w:pPr>
      <w:widowControl/>
      <w:spacing w:beforeAutospacing="1" w:afterAutospacing="1"/>
      <w:jc w:val="left"/>
    </w:pPr>
    <w:rPr>
      <w:rFonts w:ascii="Arial" w:hAnsi="Arial" w:cs="Arial"/>
      <w:kern w:val="0"/>
      <w:sz w:val="14"/>
      <w:szCs w:val="14"/>
    </w:rPr>
  </w:style>
  <w:style w:type="paragraph" w:customStyle="1" w:styleId="2911">
    <w:name w:val="题注1"/>
    <w:basedOn w:val="1"/>
    <w:qFormat/>
    <w:uiPriority w:val="0"/>
    <w:pPr>
      <w:widowControl/>
      <w:spacing w:beforeAutospacing="1"/>
      <w:jc w:val="left"/>
    </w:pPr>
    <w:rPr>
      <w:rFonts w:ascii="Arial" w:hAnsi="Arial" w:cs="Arial"/>
      <w:b/>
      <w:bCs/>
      <w:kern w:val="0"/>
      <w:sz w:val="14"/>
      <w:szCs w:val="14"/>
    </w:rPr>
  </w:style>
  <w:style w:type="paragraph" w:customStyle="1" w:styleId="2912">
    <w:name w:val="top"/>
    <w:basedOn w:val="1"/>
    <w:qFormat/>
    <w:uiPriority w:val="0"/>
    <w:pPr>
      <w:widowControl/>
      <w:spacing w:beforeAutospacing="1" w:afterAutospacing="1"/>
      <w:jc w:val="right"/>
    </w:pPr>
    <w:rPr>
      <w:rFonts w:ascii="Arial" w:hAnsi="Arial" w:cs="Arial"/>
      <w:kern w:val="0"/>
      <w:sz w:val="12"/>
      <w:szCs w:val="12"/>
    </w:rPr>
  </w:style>
  <w:style w:type="paragraph" w:customStyle="1" w:styleId="2913">
    <w:name w:val="tablespacing"/>
    <w:basedOn w:val="1"/>
    <w:qFormat/>
    <w:uiPriority w:val="0"/>
    <w:pPr>
      <w:widowControl/>
      <w:spacing w:beforeAutospacing="1" w:afterAutospacing="1"/>
      <w:jc w:val="left"/>
    </w:pPr>
    <w:rPr>
      <w:rFonts w:ascii="宋体" w:hAnsi="宋体" w:cs="宋体"/>
      <w:kern w:val="0"/>
      <w:sz w:val="24"/>
    </w:rPr>
  </w:style>
  <w:style w:type="paragraph" w:customStyle="1" w:styleId="2914">
    <w:name w:val="fontsmall"/>
    <w:basedOn w:val="1"/>
    <w:qFormat/>
    <w:uiPriority w:val="0"/>
    <w:pPr>
      <w:widowControl/>
      <w:spacing w:beforeAutospacing="1" w:afterAutospacing="1"/>
      <w:jc w:val="left"/>
    </w:pPr>
    <w:rPr>
      <w:rFonts w:ascii="Arial" w:hAnsi="Arial" w:cs="Arial"/>
      <w:kern w:val="0"/>
      <w:sz w:val="13"/>
      <w:szCs w:val="13"/>
    </w:rPr>
  </w:style>
  <w:style w:type="paragraph" w:customStyle="1" w:styleId="2915">
    <w:name w:val="navigation"/>
    <w:basedOn w:val="1"/>
    <w:qFormat/>
    <w:uiPriority w:val="0"/>
    <w:pPr>
      <w:widowControl/>
      <w:spacing w:beforeAutospacing="1" w:afterAutospacing="1"/>
      <w:jc w:val="left"/>
    </w:pPr>
    <w:rPr>
      <w:rFonts w:ascii="Arial" w:hAnsi="Arial" w:cs="Arial"/>
      <w:kern w:val="0"/>
      <w:sz w:val="12"/>
      <w:szCs w:val="12"/>
    </w:rPr>
  </w:style>
  <w:style w:type="paragraph" w:customStyle="1" w:styleId="2916">
    <w:name w:val="invisiblelink"/>
    <w:basedOn w:val="1"/>
    <w:qFormat/>
    <w:uiPriority w:val="0"/>
    <w:pPr>
      <w:widowControl/>
      <w:spacing w:beforeAutospacing="1" w:afterAutospacing="1"/>
      <w:jc w:val="left"/>
    </w:pPr>
    <w:rPr>
      <w:rFonts w:ascii="Arial" w:hAnsi="Arial" w:cs="Arial"/>
      <w:color w:val="FFFFFF"/>
      <w:kern w:val="0"/>
      <w:sz w:val="12"/>
      <w:szCs w:val="12"/>
    </w:rPr>
  </w:style>
  <w:style w:type="paragraph" w:customStyle="1" w:styleId="2917">
    <w:name w:val="toplogo"/>
    <w:basedOn w:val="1"/>
    <w:qFormat/>
    <w:uiPriority w:val="0"/>
    <w:pPr>
      <w:widowControl/>
      <w:spacing w:beforeAutospacing="1"/>
      <w:jc w:val="left"/>
    </w:pPr>
    <w:rPr>
      <w:rFonts w:ascii="Arial" w:hAnsi="Arial" w:cs="Arial"/>
      <w:b/>
      <w:bCs/>
      <w:kern w:val="0"/>
      <w:sz w:val="17"/>
      <w:szCs w:val="17"/>
    </w:rPr>
  </w:style>
  <w:style w:type="paragraph" w:customStyle="1" w:styleId="2918">
    <w:name w:val="search"/>
    <w:basedOn w:val="1"/>
    <w:qFormat/>
    <w:uiPriority w:val="0"/>
    <w:pPr>
      <w:widowControl/>
      <w:spacing w:beforeAutospacing="1" w:afterAutospacing="1"/>
      <w:jc w:val="left"/>
    </w:pPr>
    <w:rPr>
      <w:rFonts w:ascii="Arial" w:hAnsi="Arial" w:cs="Arial"/>
      <w:kern w:val="0"/>
      <w:sz w:val="12"/>
      <w:szCs w:val="12"/>
    </w:rPr>
  </w:style>
  <w:style w:type="paragraph" w:customStyle="1" w:styleId="2919">
    <w:name w:val="side"/>
    <w:basedOn w:val="1"/>
    <w:qFormat/>
    <w:uiPriority w:val="0"/>
    <w:pPr>
      <w:widowControl/>
      <w:spacing w:beforeAutospacing="1" w:afterAutospacing="1"/>
      <w:jc w:val="left"/>
    </w:pPr>
    <w:rPr>
      <w:rFonts w:ascii="Arial" w:hAnsi="Arial" w:cs="Arial"/>
      <w:kern w:val="0"/>
      <w:sz w:val="14"/>
      <w:szCs w:val="14"/>
    </w:rPr>
  </w:style>
  <w:style w:type="paragraph" w:customStyle="1" w:styleId="2920">
    <w:name w:val="subparagraph"/>
    <w:basedOn w:val="1"/>
    <w:qFormat/>
    <w:uiPriority w:val="0"/>
    <w:pPr>
      <w:widowControl/>
      <w:spacing w:beforeAutospacing="1" w:afterAutospacing="1"/>
      <w:jc w:val="left"/>
    </w:pPr>
    <w:rPr>
      <w:rFonts w:ascii="Arial" w:hAnsi="Arial" w:cs="Arial"/>
      <w:kern w:val="0"/>
      <w:sz w:val="14"/>
      <w:szCs w:val="14"/>
    </w:rPr>
  </w:style>
  <w:style w:type="paragraph" w:customStyle="1" w:styleId="2921">
    <w:name w:val="head"/>
    <w:basedOn w:val="1"/>
    <w:qFormat/>
    <w:uiPriority w:val="0"/>
    <w:pPr>
      <w:widowControl/>
      <w:spacing w:beforeAutospacing="1" w:afterAutospacing="1"/>
      <w:jc w:val="left"/>
    </w:pPr>
    <w:rPr>
      <w:rFonts w:ascii="Arial" w:hAnsi="Arial" w:cs="Arial"/>
      <w:b/>
      <w:bCs/>
      <w:kern w:val="0"/>
      <w:szCs w:val="21"/>
    </w:rPr>
  </w:style>
  <w:style w:type="paragraph" w:customStyle="1" w:styleId="2922">
    <w:name w:val="recentupdateslink"/>
    <w:basedOn w:val="1"/>
    <w:qFormat/>
    <w:uiPriority w:val="0"/>
    <w:pPr>
      <w:widowControl/>
      <w:spacing w:beforeAutospacing="1" w:afterAutospacing="1"/>
      <w:jc w:val="left"/>
    </w:pPr>
    <w:rPr>
      <w:rFonts w:ascii="Arial" w:hAnsi="Arial" w:cs="Arial"/>
      <w:b/>
      <w:bCs/>
      <w:kern w:val="0"/>
      <w:sz w:val="14"/>
      <w:szCs w:val="14"/>
    </w:rPr>
  </w:style>
  <w:style w:type="paragraph" w:customStyle="1" w:styleId="2923">
    <w:name w:val="updatetitle"/>
    <w:basedOn w:val="1"/>
    <w:qFormat/>
    <w:uiPriority w:val="0"/>
    <w:pPr>
      <w:widowControl/>
      <w:spacing w:beforeAutospacing="1" w:afterAutospacing="1"/>
      <w:ind w:firstLine="100"/>
      <w:jc w:val="left"/>
    </w:pPr>
    <w:rPr>
      <w:rFonts w:ascii="Arial" w:hAnsi="Arial" w:cs="Arial"/>
      <w:b/>
      <w:bCs/>
      <w:color w:val="FF0000"/>
      <w:kern w:val="0"/>
      <w:sz w:val="17"/>
      <w:szCs w:val="17"/>
    </w:rPr>
  </w:style>
  <w:style w:type="paragraph" w:customStyle="1" w:styleId="2924">
    <w:name w:val="updatebodytest"/>
    <w:basedOn w:val="1"/>
    <w:qFormat/>
    <w:uiPriority w:val="0"/>
    <w:pPr>
      <w:widowControl/>
      <w:spacing w:beforeAutospacing="1" w:afterAutospacing="1"/>
      <w:jc w:val="left"/>
    </w:pPr>
    <w:rPr>
      <w:rFonts w:ascii="Arial" w:hAnsi="Arial" w:cs="Arial"/>
      <w:kern w:val="0"/>
      <w:sz w:val="14"/>
      <w:szCs w:val="14"/>
    </w:rPr>
  </w:style>
  <w:style w:type="paragraph" w:customStyle="1" w:styleId="2925">
    <w:name w:val="updatebold"/>
    <w:basedOn w:val="1"/>
    <w:qFormat/>
    <w:uiPriority w:val="0"/>
    <w:pPr>
      <w:widowControl/>
      <w:spacing w:beforeAutospacing="1" w:afterAutospacing="1"/>
      <w:jc w:val="left"/>
    </w:pPr>
    <w:rPr>
      <w:rFonts w:ascii="Arial" w:hAnsi="Arial" w:cs="Arial"/>
      <w:b/>
      <w:bCs/>
      <w:kern w:val="0"/>
      <w:sz w:val="14"/>
      <w:szCs w:val="14"/>
    </w:rPr>
  </w:style>
  <w:style w:type="paragraph" w:customStyle="1" w:styleId="2926">
    <w:name w:val="p"/>
    <w:basedOn w:val="1"/>
    <w:qFormat/>
    <w:uiPriority w:val="0"/>
    <w:pPr>
      <w:widowControl/>
      <w:spacing w:beforeAutospacing="1" w:afterAutospacing="1"/>
      <w:jc w:val="center"/>
    </w:pPr>
    <w:rPr>
      <w:rFonts w:ascii="Arial" w:hAnsi="Arial" w:cs="Arial"/>
      <w:kern w:val="0"/>
      <w:sz w:val="24"/>
    </w:rPr>
  </w:style>
  <w:style w:type="paragraph" w:customStyle="1" w:styleId="2927">
    <w:name w:val="副标题1"/>
    <w:basedOn w:val="1"/>
    <w:qFormat/>
    <w:uiPriority w:val="0"/>
    <w:pPr>
      <w:widowControl/>
      <w:spacing w:beforeAutospacing="1" w:afterAutospacing="1"/>
      <w:jc w:val="left"/>
    </w:pPr>
    <w:rPr>
      <w:rFonts w:ascii="Arial" w:hAnsi="Arial" w:cs="Arial"/>
      <w:b/>
      <w:bCs/>
      <w:kern w:val="0"/>
      <w:sz w:val="17"/>
      <w:szCs w:val="17"/>
    </w:rPr>
  </w:style>
  <w:style w:type="paragraph" w:customStyle="1" w:styleId="2928">
    <w:name w:val="mainheader"/>
    <w:basedOn w:val="1"/>
    <w:qFormat/>
    <w:uiPriority w:val="0"/>
    <w:pPr>
      <w:widowControl/>
      <w:spacing w:beforeAutospacing="1" w:afterAutospacing="1"/>
      <w:jc w:val="left"/>
    </w:pPr>
    <w:rPr>
      <w:rFonts w:ascii="宋体" w:hAnsi="宋体" w:cs="宋体"/>
      <w:b/>
      <w:bCs/>
      <w:kern w:val="0"/>
      <w:sz w:val="31"/>
      <w:szCs w:val="31"/>
    </w:rPr>
  </w:style>
  <w:style w:type="paragraph" w:customStyle="1" w:styleId="2929">
    <w:name w:val="chapter"/>
    <w:basedOn w:val="1"/>
    <w:qFormat/>
    <w:uiPriority w:val="0"/>
    <w:pPr>
      <w:widowControl/>
      <w:spacing w:beforeAutospacing="1" w:afterAutospacing="1"/>
      <w:jc w:val="left"/>
    </w:pPr>
    <w:rPr>
      <w:rFonts w:ascii="Arial" w:hAnsi="Arial" w:cs="Arial"/>
      <w:b/>
      <w:bCs/>
      <w:kern w:val="0"/>
      <w:sz w:val="19"/>
      <w:szCs w:val="19"/>
    </w:rPr>
  </w:style>
  <w:style w:type="paragraph" w:customStyle="1" w:styleId="2930">
    <w:name w:val="subchapter"/>
    <w:basedOn w:val="1"/>
    <w:qFormat/>
    <w:uiPriority w:val="0"/>
    <w:pPr>
      <w:widowControl/>
      <w:spacing w:beforeAutospacing="1" w:afterAutospacing="1"/>
      <w:jc w:val="left"/>
    </w:pPr>
    <w:rPr>
      <w:rFonts w:ascii="Arial" w:hAnsi="Arial" w:cs="Arial"/>
      <w:b/>
      <w:bCs/>
      <w:kern w:val="0"/>
      <w:sz w:val="17"/>
      <w:szCs w:val="17"/>
    </w:rPr>
  </w:style>
  <w:style w:type="paragraph" w:customStyle="1" w:styleId="2931">
    <w:name w:val="part"/>
    <w:basedOn w:val="1"/>
    <w:qFormat/>
    <w:uiPriority w:val="0"/>
    <w:pPr>
      <w:widowControl/>
      <w:spacing w:beforeAutospacing="1" w:afterAutospacing="1"/>
      <w:jc w:val="left"/>
    </w:pPr>
    <w:rPr>
      <w:rFonts w:ascii="宋体" w:hAnsi="宋体" w:cs="宋体"/>
      <w:b/>
      <w:bCs/>
      <w:kern w:val="0"/>
      <w:sz w:val="24"/>
    </w:rPr>
  </w:style>
  <w:style w:type="paragraph" w:customStyle="1" w:styleId="2932">
    <w:name w:val="subpart"/>
    <w:basedOn w:val="1"/>
    <w:qFormat/>
    <w:uiPriority w:val="0"/>
    <w:pPr>
      <w:widowControl/>
      <w:shd w:val="clear" w:color="auto" w:fill="FFFFFF"/>
      <w:spacing w:beforeAutospacing="1" w:afterAutospacing="1"/>
      <w:jc w:val="left"/>
    </w:pPr>
    <w:rPr>
      <w:rFonts w:ascii="宋体" w:hAnsi="宋体" w:cs="宋体"/>
      <w:color w:val="0000FF"/>
      <w:kern w:val="0"/>
      <w:sz w:val="22"/>
      <w:szCs w:val="22"/>
    </w:rPr>
  </w:style>
  <w:style w:type="paragraph" w:customStyle="1" w:styleId="2933">
    <w:name w:val="nopart"/>
    <w:basedOn w:val="1"/>
    <w:qFormat/>
    <w:uiPriority w:val="0"/>
    <w:pPr>
      <w:widowControl/>
      <w:shd w:val="clear" w:color="auto" w:fill="FFFFFF"/>
      <w:spacing w:beforeAutospacing="1" w:afterAutospacing="1"/>
      <w:jc w:val="left"/>
    </w:pPr>
    <w:rPr>
      <w:rFonts w:ascii="宋体" w:hAnsi="宋体" w:cs="宋体"/>
      <w:color w:val="008000"/>
      <w:kern w:val="0"/>
      <w:sz w:val="24"/>
    </w:rPr>
  </w:style>
  <w:style w:type="paragraph" w:customStyle="1" w:styleId="2934">
    <w:name w:val="reserved"/>
    <w:basedOn w:val="1"/>
    <w:qFormat/>
    <w:uiPriority w:val="0"/>
    <w:pPr>
      <w:widowControl/>
      <w:shd w:val="clear" w:color="auto" w:fill="FFFFFF"/>
      <w:spacing w:beforeAutospacing="1" w:afterAutospacing="1"/>
      <w:jc w:val="left"/>
    </w:pPr>
    <w:rPr>
      <w:rFonts w:ascii="宋体" w:hAnsi="宋体" w:cs="宋体"/>
      <w:color w:val="FF0000"/>
      <w:kern w:val="0"/>
      <w:sz w:val="24"/>
    </w:rPr>
  </w:style>
  <w:style w:type="paragraph" w:customStyle="1" w:styleId="2935">
    <w:name w:val="menu"/>
    <w:basedOn w:val="1"/>
    <w:qFormat/>
    <w:uiPriority w:val="0"/>
    <w:pPr>
      <w:widowControl/>
      <w:spacing w:beforeAutospacing="1" w:afterAutospacing="1"/>
      <w:jc w:val="left"/>
    </w:pPr>
    <w:rPr>
      <w:rFonts w:ascii="Arial" w:hAnsi="Arial" w:cs="Arial"/>
      <w:kern w:val="0"/>
      <w:sz w:val="14"/>
      <w:szCs w:val="14"/>
    </w:rPr>
  </w:style>
  <w:style w:type="paragraph" w:customStyle="1" w:styleId="2936">
    <w:name w:val="hilite"/>
    <w:basedOn w:val="1"/>
    <w:qFormat/>
    <w:uiPriority w:val="0"/>
    <w:pPr>
      <w:widowControl/>
      <w:spacing w:beforeAutospacing="1" w:afterAutospacing="1"/>
      <w:jc w:val="left"/>
    </w:pPr>
    <w:rPr>
      <w:rFonts w:ascii="宋体" w:hAnsi="宋体" w:cs="宋体"/>
      <w:b/>
      <w:bCs/>
      <w:color w:val="CC0000"/>
      <w:kern w:val="0"/>
      <w:sz w:val="24"/>
    </w:rPr>
  </w:style>
  <w:style w:type="paragraph" w:customStyle="1" w:styleId="2937">
    <w:name w:val="hang"/>
    <w:basedOn w:val="1"/>
    <w:qFormat/>
    <w:uiPriority w:val="0"/>
    <w:pPr>
      <w:widowControl/>
      <w:spacing w:beforeAutospacing="1" w:afterAutospacing="1"/>
      <w:ind w:hanging="480"/>
      <w:jc w:val="left"/>
    </w:pPr>
    <w:rPr>
      <w:rFonts w:ascii="宋体" w:hAnsi="宋体" w:cs="宋体"/>
      <w:kern w:val="0"/>
      <w:sz w:val="24"/>
    </w:rPr>
  </w:style>
  <w:style w:type="paragraph" w:customStyle="1" w:styleId="2938">
    <w:name w:val="table_div"/>
    <w:basedOn w:val="1"/>
    <w:qFormat/>
    <w:uiPriority w:val="0"/>
    <w:pPr>
      <w:widowControl/>
      <w:pBdr>
        <w:top w:val="single" w:color="000000" w:sz="12" w:space="0"/>
        <w:left w:val="single" w:color="000000" w:sz="12" w:space="0"/>
        <w:bottom w:val="single" w:color="000000" w:sz="12" w:space="0"/>
        <w:right w:val="single" w:color="000000" w:sz="12" w:space="0"/>
      </w:pBdr>
      <w:spacing w:beforeAutospacing="1" w:afterAutospacing="1"/>
      <w:jc w:val="left"/>
    </w:pPr>
    <w:rPr>
      <w:rFonts w:ascii="宋体" w:hAnsi="宋体" w:cs="宋体"/>
      <w:kern w:val="0"/>
      <w:sz w:val="24"/>
    </w:rPr>
  </w:style>
  <w:style w:type="paragraph" w:customStyle="1" w:styleId="2939">
    <w:name w:val="table_cell"/>
    <w:basedOn w:val="1"/>
    <w:qFormat/>
    <w:uiPriority w:val="0"/>
    <w:pPr>
      <w:widowControl/>
      <w:pBdr>
        <w:top w:val="single" w:color="000000" w:sz="4" w:space="0"/>
        <w:left w:val="single" w:color="000000" w:sz="4" w:space="0"/>
        <w:bottom w:val="single" w:color="000000" w:sz="4" w:space="0"/>
        <w:right w:val="single" w:color="000000" w:sz="4" w:space="0"/>
      </w:pBdr>
      <w:spacing w:beforeAutospacing="1" w:afterAutospacing="1"/>
      <w:jc w:val="left"/>
    </w:pPr>
    <w:rPr>
      <w:rFonts w:ascii="宋体" w:hAnsi="宋体" w:cs="宋体"/>
      <w:kern w:val="0"/>
      <w:sz w:val="24"/>
    </w:rPr>
  </w:style>
  <w:style w:type="paragraph" w:customStyle="1" w:styleId="2940">
    <w:name w:val="table_colhed"/>
    <w:basedOn w:val="1"/>
    <w:qFormat/>
    <w:uiPriority w:val="0"/>
    <w:pPr>
      <w:widowControl/>
      <w:pBdr>
        <w:top w:val="single" w:color="000000" w:sz="4" w:space="0"/>
        <w:left w:val="single" w:color="000000" w:sz="4" w:space="0"/>
        <w:bottom w:val="single" w:color="000000" w:sz="4" w:space="0"/>
        <w:right w:val="single" w:color="000000" w:sz="4" w:space="0"/>
      </w:pBdr>
      <w:spacing w:beforeAutospacing="1" w:afterAutospacing="1"/>
      <w:jc w:val="left"/>
    </w:pPr>
    <w:rPr>
      <w:rFonts w:ascii="宋体" w:hAnsi="宋体" w:cs="宋体"/>
      <w:kern w:val="0"/>
      <w:sz w:val="24"/>
    </w:rPr>
  </w:style>
  <w:style w:type="paragraph" w:customStyle="1" w:styleId="2941">
    <w:name w:val="表内标题栏"/>
    <w:basedOn w:val="1"/>
    <w:qFormat/>
    <w:uiPriority w:val="0"/>
    <w:pPr>
      <w:spacing w:line="300" w:lineRule="exact"/>
      <w:jc w:val="center"/>
    </w:pPr>
    <w:rPr>
      <w:rFonts w:ascii="宋体"/>
      <w:sz w:val="24"/>
    </w:rPr>
  </w:style>
  <w:style w:type="paragraph" w:customStyle="1" w:styleId="2942">
    <w:name w:val="标题2 Char Char Char"/>
    <w:basedOn w:val="1"/>
    <w:qFormat/>
    <w:uiPriority w:val="0"/>
    <w:rPr>
      <w:sz w:val="30"/>
    </w:rPr>
  </w:style>
  <w:style w:type="paragraph" w:customStyle="1" w:styleId="2943">
    <w:name w:val="Char1 Char Char Char11"/>
    <w:basedOn w:val="1"/>
    <w:qFormat/>
    <w:uiPriority w:val="0"/>
  </w:style>
  <w:style w:type="paragraph" w:customStyle="1" w:styleId="2944">
    <w:name w:val="样式 样式18 + 黑色"/>
    <w:basedOn w:val="1"/>
    <w:qFormat/>
    <w:uiPriority w:val="0"/>
    <w:pPr>
      <w:keepNext/>
      <w:keepLines/>
      <w:tabs>
        <w:tab w:val="left" w:pos="1800"/>
      </w:tabs>
      <w:overflowPunct w:val="0"/>
      <w:topLinePunct/>
      <w:autoSpaceDE w:val="0"/>
      <w:autoSpaceDN w:val="0"/>
      <w:adjustRightInd w:val="0"/>
      <w:snapToGrid w:val="0"/>
      <w:spacing w:line="480" w:lineRule="exact"/>
      <w:jc w:val="left"/>
      <w:outlineLvl w:val="3"/>
    </w:pPr>
    <w:rPr>
      <w:rFonts w:hAnsi="宋体"/>
      <w:color w:val="000000"/>
      <w:kern w:val="0"/>
      <w:sz w:val="24"/>
      <w:szCs w:val="20"/>
    </w:rPr>
  </w:style>
  <w:style w:type="paragraph" w:customStyle="1" w:styleId="2945">
    <w:name w:val="样式 样式11 + 黑色"/>
    <w:basedOn w:val="1"/>
    <w:qFormat/>
    <w:uiPriority w:val="0"/>
    <w:pPr>
      <w:keepNext/>
      <w:keepLines/>
      <w:tabs>
        <w:tab w:val="left" w:pos="1256"/>
      </w:tabs>
      <w:overflowPunct w:val="0"/>
      <w:topLinePunct/>
      <w:autoSpaceDE w:val="0"/>
      <w:autoSpaceDN w:val="0"/>
      <w:adjustRightInd w:val="0"/>
      <w:snapToGrid w:val="0"/>
      <w:spacing w:line="480" w:lineRule="atLeast"/>
      <w:ind w:left="-31" w:firstLine="567"/>
      <w:jc w:val="left"/>
      <w:outlineLvl w:val="2"/>
    </w:pPr>
    <w:rPr>
      <w:rFonts w:eastAsia="黑体"/>
      <w:color w:val="000000"/>
      <w:kern w:val="0"/>
      <w:sz w:val="24"/>
      <w:szCs w:val="20"/>
    </w:rPr>
  </w:style>
  <w:style w:type="paragraph" w:customStyle="1" w:styleId="2946">
    <w:name w:val="样式 样式 样式 样式 样式 样式 样式 样式9 + 段前: 0.5 行 段后: 0.5 行 + 段前: 1 行 段后: 0.5..."/>
    <w:basedOn w:val="1"/>
    <w:qFormat/>
    <w:uiPriority w:val="0"/>
    <w:pPr>
      <w:keepNext/>
      <w:keepLines/>
      <w:tabs>
        <w:tab w:val="left" w:pos="927"/>
      </w:tabs>
      <w:spacing w:beforeLines="100" w:line="480" w:lineRule="exact"/>
      <w:ind w:firstLine="567"/>
      <w:jc w:val="left"/>
      <w:outlineLvl w:val="1"/>
    </w:pPr>
    <w:rPr>
      <w:rFonts w:ascii="Arial" w:hAnsi="Arial" w:eastAsia="黑体"/>
      <w:color w:val="000000"/>
      <w:spacing w:val="6"/>
      <w:sz w:val="28"/>
      <w:szCs w:val="20"/>
    </w:rPr>
  </w:style>
  <w:style w:type="paragraph" w:customStyle="1" w:styleId="2947">
    <w:name w:val="SCIDI环评表格"/>
    <w:basedOn w:val="1"/>
    <w:qFormat/>
    <w:uiPriority w:val="0"/>
    <w:pPr>
      <w:adjustRightInd w:val="0"/>
      <w:snapToGrid w:val="0"/>
      <w:jc w:val="center"/>
    </w:pPr>
    <w:rPr>
      <w:kern w:val="0"/>
      <w:szCs w:val="21"/>
    </w:rPr>
  </w:style>
  <w:style w:type="paragraph" w:customStyle="1" w:styleId="2948">
    <w:name w:val="样式 样式2 + (符号) 宋体 Char"/>
    <w:basedOn w:val="1"/>
    <w:qFormat/>
    <w:uiPriority w:val="0"/>
    <w:pPr>
      <w:adjustRightInd w:val="0"/>
      <w:snapToGrid w:val="0"/>
      <w:spacing w:line="440" w:lineRule="exact"/>
      <w:ind w:firstLine="480" w:firstLineChars="200"/>
    </w:pPr>
    <w:rPr>
      <w:sz w:val="24"/>
      <w:szCs w:val="28"/>
    </w:rPr>
  </w:style>
  <w:style w:type="paragraph" w:customStyle="1" w:styleId="2949">
    <w:name w:val="样式 表格文字 + 居中 首行缩进:  2 字符"/>
    <w:basedOn w:val="220"/>
    <w:qFormat/>
    <w:uiPriority w:val="0"/>
    <w:pPr>
      <w:tabs>
        <w:tab w:val="left" w:pos="1960"/>
      </w:tabs>
      <w:adjustRightInd/>
      <w:snapToGrid/>
      <w:spacing w:line="400" w:lineRule="exact"/>
      <w:ind w:left="0" w:firstLine="0"/>
      <w:jc w:val="center"/>
      <w:textAlignment w:val="auto"/>
    </w:pPr>
    <w:rPr>
      <w:rFonts w:eastAsia="仿宋_GB2312"/>
      <w:kern w:val="24"/>
      <w:sz w:val="24"/>
      <w:szCs w:val="20"/>
    </w:rPr>
  </w:style>
  <w:style w:type="paragraph" w:customStyle="1" w:styleId="2950">
    <w:name w:val="样式 表格文字 + 首行缩进:  2 字符"/>
    <w:basedOn w:val="220"/>
    <w:qFormat/>
    <w:uiPriority w:val="0"/>
    <w:pPr>
      <w:tabs>
        <w:tab w:val="left" w:pos="1960"/>
      </w:tabs>
      <w:adjustRightInd/>
      <w:snapToGrid/>
      <w:spacing w:line="400" w:lineRule="exact"/>
      <w:ind w:left="0" w:firstLine="0"/>
      <w:jc w:val="both"/>
      <w:textAlignment w:val="auto"/>
    </w:pPr>
    <w:rPr>
      <w:rFonts w:eastAsia="仿宋_GB2312"/>
      <w:kern w:val="24"/>
      <w:sz w:val="24"/>
      <w:szCs w:val="20"/>
    </w:rPr>
  </w:style>
  <w:style w:type="paragraph" w:customStyle="1" w:styleId="2951">
    <w:name w:val="表——索引"/>
    <w:basedOn w:val="1"/>
    <w:qFormat/>
    <w:uiPriority w:val="0"/>
    <w:pPr>
      <w:widowControl/>
      <w:spacing w:line="360" w:lineRule="auto"/>
      <w:jc w:val="center"/>
    </w:pPr>
    <w:rPr>
      <w:rFonts w:ascii="宋体" w:hAnsi="宋体"/>
      <w:color w:val="000000"/>
      <w:sz w:val="24"/>
    </w:rPr>
  </w:style>
  <w:style w:type="paragraph" w:customStyle="1" w:styleId="2952">
    <w:name w:val="标题 B"/>
    <w:basedOn w:val="6"/>
    <w:qFormat/>
    <w:uiPriority w:val="0"/>
    <w:pPr>
      <w:tabs>
        <w:tab w:val="left" w:pos="927"/>
        <w:tab w:val="left" w:pos="1134"/>
      </w:tabs>
      <w:adjustRightInd w:val="0"/>
      <w:spacing w:beforeLines="50" w:line="400" w:lineRule="exact"/>
      <w:jc w:val="center"/>
      <w:outlineLvl w:val="9"/>
    </w:pPr>
    <w:rPr>
      <w:rFonts w:ascii="Arial Rounded MT Bold" w:hAnsi="Arial Rounded MT Bold" w:eastAsia="黑体"/>
      <w:b w:val="0"/>
      <w:bCs w:val="0"/>
      <w:color w:val="000000"/>
      <w:spacing w:val="8"/>
      <w:kern w:val="0"/>
      <w:szCs w:val="20"/>
    </w:rPr>
  </w:style>
  <w:style w:type="paragraph" w:customStyle="1" w:styleId="2953">
    <w:name w:val="Char Char1 Char Char1 Char Char1 Char Char1 Char Char Char Char Char Char Char"/>
    <w:basedOn w:val="1"/>
    <w:qFormat/>
    <w:uiPriority w:val="0"/>
    <w:rPr>
      <w:rFonts w:ascii="Tahoma" w:hAnsi="Tahoma"/>
      <w:sz w:val="24"/>
    </w:rPr>
  </w:style>
  <w:style w:type="paragraph" w:customStyle="1" w:styleId="2954">
    <w:name w:val="Char Char7 Char Char Char Char Char Char"/>
    <w:basedOn w:val="7"/>
    <w:qFormat/>
    <w:uiPriority w:val="0"/>
    <w:pPr>
      <w:widowControl w:val="0"/>
      <w:tabs>
        <w:tab w:val="left" w:pos="360"/>
        <w:tab w:val="left" w:pos="900"/>
      </w:tabs>
      <w:adjustRightInd/>
      <w:spacing w:line="360" w:lineRule="auto"/>
      <w:ind w:left="-12" w:leftChars="-12" w:firstLine="200" w:firstLineChars="200"/>
    </w:pPr>
    <w:rPr>
      <w:rFonts w:ascii="Times New Roman" w:hAnsi="Times New Roman" w:eastAsia="黑体"/>
      <w:bCs w:val="0"/>
      <w:kern w:val="0"/>
      <w:sz w:val="28"/>
      <w:szCs w:val="20"/>
      <w:lang w:val="en-US"/>
    </w:rPr>
  </w:style>
  <w:style w:type="character" w:customStyle="1" w:styleId="2955">
    <w:name w:val="样式 正文文本缩进 2正文文字缩进 2 + 自动设置 Char Char"/>
    <w:link w:val="2956"/>
    <w:qFormat/>
    <w:locked/>
    <w:uiPriority w:val="0"/>
    <w:rPr>
      <w:rFonts w:ascii="宋体" w:hAnsi="宋体"/>
      <w:sz w:val="24"/>
    </w:rPr>
  </w:style>
  <w:style w:type="paragraph" w:customStyle="1" w:styleId="2956">
    <w:name w:val="样式 正文文本缩进 2正文文字缩进 2 + 自动设置 Char"/>
    <w:basedOn w:val="1"/>
    <w:link w:val="2955"/>
    <w:qFormat/>
    <w:uiPriority w:val="0"/>
    <w:pPr>
      <w:tabs>
        <w:tab w:val="left" w:pos="4500"/>
      </w:tabs>
      <w:snapToGrid w:val="0"/>
      <w:spacing w:line="440" w:lineRule="exact"/>
      <w:ind w:firstLine="420" w:firstLineChars="200"/>
    </w:pPr>
    <w:rPr>
      <w:rFonts w:ascii="宋体" w:hAnsi="宋体"/>
      <w:kern w:val="0"/>
      <w:sz w:val="24"/>
      <w:szCs w:val="20"/>
    </w:rPr>
  </w:style>
  <w:style w:type="paragraph" w:customStyle="1" w:styleId="2957">
    <w:name w:val="标题三"/>
    <w:basedOn w:val="7"/>
    <w:qFormat/>
    <w:uiPriority w:val="0"/>
    <w:pPr>
      <w:widowControl w:val="0"/>
      <w:tabs>
        <w:tab w:val="left" w:pos="4500"/>
      </w:tabs>
      <w:adjustRightInd/>
      <w:spacing w:line="440" w:lineRule="atLeast"/>
      <w:ind w:firstLine="200" w:firstLineChars="200"/>
      <w:jc w:val="both"/>
    </w:pPr>
    <w:rPr>
      <w:rFonts w:ascii="宋体" w:hAnsi="宋体"/>
      <w:bCs w:val="0"/>
      <w:kern w:val="0"/>
      <w:sz w:val="28"/>
      <w:szCs w:val="20"/>
      <w:lang w:val="en-US"/>
    </w:rPr>
  </w:style>
  <w:style w:type="paragraph" w:customStyle="1" w:styleId="2958">
    <w:name w:val="Char2 Char Char Char Char Char Char Char"/>
    <w:basedOn w:val="1"/>
    <w:qFormat/>
    <w:uiPriority w:val="0"/>
    <w:pPr>
      <w:autoSpaceDE w:val="0"/>
      <w:autoSpaceDN w:val="0"/>
      <w:adjustRightInd w:val="0"/>
      <w:snapToGrid w:val="0"/>
      <w:spacing w:line="360" w:lineRule="auto"/>
      <w:ind w:firstLine="560" w:firstLineChars="200"/>
    </w:pPr>
    <w:rPr>
      <w:rFonts w:eastAsia="仿宋_GB2312"/>
      <w:color w:val="000000"/>
      <w:sz w:val="24"/>
      <w:szCs w:val="20"/>
    </w:rPr>
  </w:style>
  <w:style w:type="paragraph" w:customStyle="1" w:styleId="2959">
    <w:name w:val="标题二"/>
    <w:basedOn w:val="1"/>
    <w:qFormat/>
    <w:uiPriority w:val="0"/>
    <w:pPr>
      <w:keepNext/>
      <w:keepLines/>
      <w:tabs>
        <w:tab w:val="left" w:pos="4500"/>
      </w:tabs>
      <w:snapToGrid w:val="0"/>
      <w:spacing w:line="440" w:lineRule="atLeast"/>
      <w:outlineLvl w:val="1"/>
    </w:pPr>
    <w:rPr>
      <w:rFonts w:ascii="宋体" w:hAnsi="宋体"/>
      <w:b/>
      <w:color w:val="000000"/>
      <w:sz w:val="30"/>
      <w:szCs w:val="20"/>
    </w:rPr>
  </w:style>
  <w:style w:type="paragraph" w:customStyle="1" w:styleId="2960">
    <w:name w:val="正文（1）"/>
    <w:basedOn w:val="21"/>
    <w:next w:val="41"/>
    <w:qFormat/>
    <w:uiPriority w:val="0"/>
    <w:pPr>
      <w:keepNext w:val="0"/>
      <w:widowControl/>
      <w:adjustRightInd w:val="0"/>
      <w:snapToGrid w:val="0"/>
      <w:spacing w:line="480" w:lineRule="atLeast"/>
      <w:ind w:firstLine="480" w:firstLineChars="200"/>
      <w:jc w:val="both"/>
    </w:pPr>
    <w:rPr>
      <w:rFonts w:ascii="Times New Roman"/>
      <w:bCs w:val="0"/>
      <w:szCs w:val="20"/>
    </w:rPr>
  </w:style>
  <w:style w:type="paragraph" w:customStyle="1" w:styleId="2961">
    <w:name w:val="节标"/>
    <w:basedOn w:val="1"/>
    <w:qFormat/>
    <w:uiPriority w:val="0"/>
    <w:pPr>
      <w:widowControl/>
      <w:autoSpaceDE w:val="0"/>
      <w:autoSpaceDN w:val="0"/>
      <w:adjustRightInd w:val="0"/>
      <w:spacing w:line="480" w:lineRule="exact"/>
      <w:ind w:firstLine="567"/>
      <w:jc w:val="center"/>
    </w:pPr>
    <w:rPr>
      <w:b/>
      <w:kern w:val="0"/>
      <w:sz w:val="30"/>
      <w:szCs w:val="20"/>
    </w:rPr>
  </w:style>
  <w:style w:type="paragraph" w:customStyle="1" w:styleId="2962">
    <w:name w:val="Achievement"/>
    <w:basedOn w:val="34"/>
    <w:qFormat/>
    <w:uiPriority w:val="0"/>
  </w:style>
  <w:style w:type="paragraph" w:customStyle="1" w:styleId="2963">
    <w:name w:val="条(三级)"/>
    <w:basedOn w:val="2964"/>
    <w:next w:val="1"/>
    <w:qFormat/>
    <w:uiPriority w:val="0"/>
    <w:pPr>
      <w:tabs>
        <w:tab w:val="left" w:pos="927"/>
        <w:tab w:val="left" w:pos="1134"/>
      </w:tabs>
    </w:pPr>
    <w:rPr>
      <w:b w:val="0"/>
    </w:rPr>
  </w:style>
  <w:style w:type="paragraph" w:customStyle="1" w:styleId="2964">
    <w:name w:val="条(二级)"/>
    <w:basedOn w:val="6"/>
    <w:next w:val="2963"/>
    <w:qFormat/>
    <w:uiPriority w:val="0"/>
    <w:pPr>
      <w:tabs>
        <w:tab w:val="left" w:pos="927"/>
        <w:tab w:val="left" w:pos="1134"/>
      </w:tabs>
      <w:adjustRightInd w:val="0"/>
      <w:spacing w:line="460" w:lineRule="exact"/>
      <w:jc w:val="left"/>
      <w:outlineLvl w:val="9"/>
    </w:pPr>
    <w:rPr>
      <w:rFonts w:ascii="宋体" w:hAnsi="Arial" w:eastAsia="宋体"/>
      <w:bCs w:val="0"/>
      <w:spacing w:val="3"/>
      <w:kern w:val="24"/>
      <w:sz w:val="24"/>
      <w:szCs w:val="20"/>
    </w:rPr>
  </w:style>
  <w:style w:type="paragraph" w:customStyle="1" w:styleId="2965">
    <w:name w:val="条(四级)"/>
    <w:basedOn w:val="1"/>
    <w:next w:val="1"/>
    <w:qFormat/>
    <w:uiPriority w:val="0"/>
    <w:pPr>
      <w:keepNext/>
      <w:keepLines/>
      <w:widowControl/>
      <w:autoSpaceDE w:val="0"/>
      <w:autoSpaceDN w:val="0"/>
      <w:adjustRightInd w:val="0"/>
      <w:spacing w:line="460" w:lineRule="exact"/>
      <w:jc w:val="left"/>
    </w:pPr>
    <w:rPr>
      <w:rFonts w:ascii="宋体" w:hAnsi="Arial"/>
      <w:spacing w:val="3"/>
      <w:kern w:val="24"/>
      <w:sz w:val="26"/>
      <w:szCs w:val="20"/>
    </w:rPr>
  </w:style>
  <w:style w:type="paragraph" w:customStyle="1" w:styleId="2966">
    <w:name w:val="条文1"/>
    <w:basedOn w:val="1"/>
    <w:qFormat/>
    <w:uiPriority w:val="0"/>
    <w:pPr>
      <w:widowControl/>
      <w:autoSpaceDE w:val="0"/>
      <w:autoSpaceDN w:val="0"/>
      <w:adjustRightInd w:val="0"/>
      <w:spacing w:line="460" w:lineRule="exact"/>
      <w:ind w:left="907" w:hanging="425"/>
    </w:pPr>
    <w:rPr>
      <w:rFonts w:ascii="宋体" w:hAnsi="Century Schoolbook"/>
      <w:spacing w:val="3"/>
      <w:kern w:val="24"/>
      <w:sz w:val="26"/>
      <w:szCs w:val="20"/>
    </w:rPr>
  </w:style>
  <w:style w:type="paragraph" w:customStyle="1" w:styleId="2967">
    <w:name w:val="Personal Info"/>
    <w:basedOn w:val="2962"/>
    <w:qFormat/>
    <w:uiPriority w:val="0"/>
    <w:pPr>
      <w:tabs>
        <w:tab w:val="left" w:pos="425"/>
      </w:tabs>
      <w:snapToGrid/>
      <w:spacing w:before="220" w:after="120" w:line="220" w:lineRule="atLeast"/>
      <w:ind w:left="425" w:right="-360" w:hanging="425"/>
      <w:jc w:val="left"/>
    </w:pPr>
    <w:rPr>
      <w:rFonts w:eastAsia="Times New Roman"/>
      <w:sz w:val="20"/>
    </w:rPr>
  </w:style>
  <w:style w:type="paragraph" w:customStyle="1" w:styleId="2968">
    <w:name w:val="Address 1"/>
    <w:basedOn w:val="1"/>
    <w:qFormat/>
    <w:uiPriority w:val="0"/>
    <w:pPr>
      <w:framePr w:w="2400" w:wrap="notBeside" w:vAnchor="page" w:hAnchor="page" w:x="8065" w:y="1009" w:anchorLock="1"/>
      <w:widowControl/>
      <w:spacing w:line="200" w:lineRule="atLeast"/>
      <w:jc w:val="left"/>
    </w:pPr>
    <w:rPr>
      <w:kern w:val="0"/>
      <w:sz w:val="16"/>
      <w:szCs w:val="20"/>
    </w:rPr>
  </w:style>
  <w:style w:type="paragraph" w:customStyle="1" w:styleId="2969">
    <w:name w:val="Address 2"/>
    <w:basedOn w:val="1"/>
    <w:qFormat/>
    <w:uiPriority w:val="0"/>
    <w:pPr>
      <w:framePr w:w="2405" w:wrap="notBeside" w:vAnchor="page" w:hAnchor="page" w:x="5761" w:y="1009" w:anchorLock="1"/>
      <w:widowControl/>
      <w:spacing w:line="200" w:lineRule="atLeast"/>
      <w:jc w:val="left"/>
    </w:pPr>
    <w:rPr>
      <w:kern w:val="0"/>
      <w:sz w:val="16"/>
      <w:szCs w:val="20"/>
    </w:rPr>
  </w:style>
  <w:style w:type="paragraph" w:customStyle="1" w:styleId="2970">
    <w:name w:val="City/State"/>
    <w:basedOn w:val="34"/>
    <w:next w:val="34"/>
    <w:qFormat/>
    <w:uiPriority w:val="0"/>
  </w:style>
  <w:style w:type="paragraph" w:customStyle="1" w:styleId="2971">
    <w:name w:val="Company Name"/>
    <w:basedOn w:val="1"/>
    <w:next w:val="1"/>
    <w:qFormat/>
    <w:uiPriority w:val="0"/>
    <w:pPr>
      <w:widowControl/>
      <w:tabs>
        <w:tab w:val="left" w:pos="2160"/>
        <w:tab w:val="right" w:pos="6480"/>
      </w:tabs>
      <w:spacing w:line="220" w:lineRule="atLeast"/>
      <w:ind w:right="-360"/>
      <w:jc w:val="left"/>
    </w:pPr>
    <w:rPr>
      <w:kern w:val="0"/>
      <w:sz w:val="20"/>
      <w:szCs w:val="20"/>
    </w:rPr>
  </w:style>
  <w:style w:type="paragraph" w:customStyle="1" w:styleId="2972">
    <w:name w:val="Company Name One"/>
    <w:basedOn w:val="2971"/>
    <w:next w:val="1"/>
    <w:qFormat/>
    <w:uiPriority w:val="0"/>
  </w:style>
  <w:style w:type="paragraph" w:customStyle="1" w:styleId="2973">
    <w:name w:val="Document Label"/>
    <w:basedOn w:val="1"/>
    <w:next w:val="1"/>
    <w:qFormat/>
    <w:uiPriority w:val="0"/>
    <w:pPr>
      <w:widowControl/>
      <w:ind w:right="-360"/>
      <w:jc w:val="left"/>
    </w:pPr>
    <w:rPr>
      <w:spacing w:val="-20"/>
      <w:kern w:val="0"/>
      <w:sz w:val="48"/>
      <w:szCs w:val="20"/>
    </w:rPr>
  </w:style>
  <w:style w:type="paragraph" w:customStyle="1" w:styleId="2974">
    <w:name w:val="Header Base"/>
    <w:basedOn w:val="1"/>
    <w:qFormat/>
    <w:uiPriority w:val="0"/>
    <w:pPr>
      <w:widowControl/>
      <w:ind w:right="-360"/>
      <w:jc w:val="left"/>
    </w:pPr>
    <w:rPr>
      <w:kern w:val="0"/>
      <w:sz w:val="20"/>
      <w:szCs w:val="20"/>
    </w:rPr>
  </w:style>
  <w:style w:type="paragraph" w:customStyle="1" w:styleId="2975">
    <w:name w:val="Heading Base"/>
    <w:basedOn w:val="34"/>
    <w:next w:val="34"/>
    <w:qFormat/>
    <w:uiPriority w:val="0"/>
  </w:style>
  <w:style w:type="paragraph" w:customStyle="1" w:styleId="2976">
    <w:name w:val="Institution"/>
    <w:basedOn w:val="1"/>
    <w:next w:val="2962"/>
    <w:qFormat/>
    <w:uiPriority w:val="0"/>
    <w:pPr>
      <w:widowControl/>
      <w:tabs>
        <w:tab w:val="left" w:pos="2160"/>
        <w:tab w:val="right" w:pos="6480"/>
      </w:tabs>
      <w:spacing w:line="220" w:lineRule="atLeast"/>
      <w:ind w:right="-360"/>
      <w:jc w:val="left"/>
    </w:pPr>
    <w:rPr>
      <w:kern w:val="0"/>
      <w:sz w:val="20"/>
      <w:szCs w:val="20"/>
    </w:rPr>
  </w:style>
  <w:style w:type="paragraph" w:customStyle="1" w:styleId="2977">
    <w:name w:val="Job Title"/>
    <w:next w:val="2962"/>
    <w:qFormat/>
    <w:uiPriority w:val="0"/>
    <w:pPr>
      <w:spacing w:after="40" w:line="220" w:lineRule="atLeast"/>
    </w:pPr>
    <w:rPr>
      <w:rFonts w:ascii="Arial" w:hAnsi="Arial" w:eastAsia="宋体" w:cs="Calibri"/>
      <w:b/>
      <w:spacing w:val="-10"/>
      <w:lang w:val="en-US" w:eastAsia="zh-CN" w:bidi="ar-SA"/>
    </w:rPr>
  </w:style>
  <w:style w:type="paragraph" w:customStyle="1" w:styleId="2978">
    <w:name w:val="Name"/>
    <w:basedOn w:val="1"/>
    <w:next w:val="1"/>
    <w:qFormat/>
    <w:uiPriority w:val="0"/>
    <w:pPr>
      <w:widowControl/>
      <w:spacing w:line="240" w:lineRule="atLeast"/>
      <w:ind w:left="2160"/>
      <w:jc w:val="left"/>
    </w:pPr>
    <w:rPr>
      <w:spacing w:val="-20"/>
      <w:kern w:val="0"/>
      <w:sz w:val="48"/>
      <w:szCs w:val="20"/>
    </w:rPr>
  </w:style>
  <w:style w:type="paragraph" w:customStyle="1" w:styleId="2979">
    <w:name w:val="No Title"/>
    <w:basedOn w:val="1"/>
    <w:qFormat/>
    <w:uiPriority w:val="0"/>
    <w:pPr>
      <w:widowControl/>
      <w:pBdr>
        <w:top w:val="single" w:color="FFFFFF" w:sz="6" w:space="2"/>
        <w:left w:val="single" w:color="FFFFFF" w:sz="6" w:space="2"/>
        <w:bottom w:val="single" w:color="FFFFFF" w:sz="6" w:space="2"/>
        <w:right w:val="single" w:color="FFFFFF" w:sz="6" w:space="2"/>
      </w:pBdr>
      <w:spacing w:line="280" w:lineRule="atLeast"/>
      <w:jc w:val="left"/>
    </w:pPr>
    <w:rPr>
      <w:rFonts w:ascii="Arial" w:hAnsi="Arial"/>
      <w:b/>
      <w:spacing w:val="-10"/>
      <w:kern w:val="0"/>
      <w:position w:val="7"/>
      <w:sz w:val="20"/>
      <w:szCs w:val="20"/>
    </w:rPr>
  </w:style>
  <w:style w:type="paragraph" w:customStyle="1" w:styleId="2980">
    <w:name w:val="Objective"/>
    <w:basedOn w:val="1"/>
    <w:next w:val="34"/>
    <w:qFormat/>
    <w:uiPriority w:val="0"/>
    <w:pPr>
      <w:widowControl/>
      <w:spacing w:line="220" w:lineRule="atLeast"/>
      <w:jc w:val="left"/>
    </w:pPr>
    <w:rPr>
      <w:kern w:val="0"/>
      <w:sz w:val="20"/>
      <w:szCs w:val="20"/>
    </w:rPr>
  </w:style>
  <w:style w:type="paragraph" w:customStyle="1" w:styleId="2981">
    <w:name w:val="Section Subtitle"/>
    <w:basedOn w:val="6"/>
    <w:next w:val="1"/>
    <w:qFormat/>
    <w:uiPriority w:val="0"/>
    <w:pPr>
      <w:keepNext w:val="0"/>
      <w:keepLines w:val="0"/>
      <w:widowControl/>
      <w:pBdr>
        <w:left w:val="single" w:color="FFFFFF" w:sz="6" w:space="2"/>
        <w:bottom w:val="single" w:color="FFFFFF" w:sz="6" w:space="2"/>
        <w:right w:val="single" w:color="FFFFFF" w:sz="6" w:space="2"/>
      </w:pBdr>
      <w:shd w:val="pct10" w:color="auto" w:fill="auto"/>
      <w:spacing w:line="280" w:lineRule="atLeast"/>
      <w:jc w:val="left"/>
      <w:outlineLvl w:val="9"/>
    </w:pPr>
    <w:rPr>
      <w:rFonts w:ascii="Arial" w:hAnsi="Arial" w:eastAsia="宋体"/>
      <w:b w:val="0"/>
      <w:bCs w:val="0"/>
      <w:kern w:val="0"/>
      <w:position w:val="6"/>
      <w:sz w:val="20"/>
      <w:szCs w:val="20"/>
    </w:rPr>
  </w:style>
  <w:style w:type="paragraph" w:customStyle="1" w:styleId="2982">
    <w:name w:val="章(一级)"/>
    <w:basedOn w:val="5"/>
    <w:next w:val="2964"/>
    <w:qFormat/>
    <w:uiPriority w:val="0"/>
    <w:pPr>
      <w:keepLines/>
      <w:tabs>
        <w:tab w:val="left" w:pos="1134"/>
      </w:tabs>
      <w:overflowPunct/>
      <w:adjustRightInd w:val="0"/>
      <w:snapToGrid/>
      <w:spacing w:before="0" w:after="0" w:line="460" w:lineRule="exact"/>
      <w:ind w:left="0" w:firstLine="0"/>
      <w:jc w:val="left"/>
      <w:outlineLvl w:val="9"/>
    </w:pPr>
    <w:rPr>
      <w:rFonts w:ascii="宋体" w:hAnsi="Arial" w:eastAsia="宋体"/>
      <w:bCs w:val="0"/>
      <w:color w:val="auto"/>
      <w:kern w:val="24"/>
      <w:sz w:val="24"/>
      <w:szCs w:val="20"/>
    </w:rPr>
  </w:style>
  <w:style w:type="paragraph" w:customStyle="1" w:styleId="2983">
    <w:name w:val="档案号"/>
    <w:basedOn w:val="56"/>
    <w:qFormat/>
    <w:uiPriority w:val="0"/>
    <w:pPr>
      <w:pBdr>
        <w:bottom w:val="none" w:color="auto" w:sz="0" w:space="0"/>
      </w:pBdr>
      <w:tabs>
        <w:tab w:val="center" w:pos="4320"/>
        <w:tab w:val="right" w:pos="8640"/>
        <w:tab w:val="clear" w:pos="4153"/>
        <w:tab w:val="clear" w:pos="8306"/>
      </w:tabs>
      <w:adjustRightInd w:val="0"/>
      <w:snapToGrid/>
      <w:spacing w:line="460" w:lineRule="exact"/>
      <w:jc w:val="right"/>
    </w:pPr>
    <w:rPr>
      <w:rFonts w:ascii="宋体" w:hAnsi="Arial" w:eastAsia="Times New Roman"/>
      <w:spacing w:val="3"/>
      <w:kern w:val="24"/>
      <w:sz w:val="24"/>
    </w:rPr>
  </w:style>
  <w:style w:type="paragraph" w:customStyle="1" w:styleId="2984">
    <w:name w:val="页号"/>
    <w:basedOn w:val="54"/>
    <w:qFormat/>
    <w:uiPriority w:val="0"/>
  </w:style>
  <w:style w:type="paragraph" w:customStyle="1" w:styleId="2985">
    <w:name w:val="sms"/>
    <w:basedOn w:val="1"/>
    <w:qFormat/>
    <w:uiPriority w:val="0"/>
    <w:pPr>
      <w:widowControl/>
      <w:overflowPunct w:val="0"/>
      <w:autoSpaceDE w:val="0"/>
      <w:autoSpaceDN w:val="0"/>
      <w:adjustRightInd w:val="0"/>
      <w:spacing w:line="360" w:lineRule="auto"/>
      <w:ind w:left="2126" w:right="992" w:firstLine="709"/>
      <w:jc w:val="left"/>
    </w:pPr>
    <w:rPr>
      <w:rFonts w:ascii="宋体"/>
      <w:spacing w:val="20"/>
      <w:kern w:val="0"/>
      <w:sz w:val="26"/>
      <w:szCs w:val="20"/>
    </w:rPr>
  </w:style>
  <w:style w:type="paragraph" w:customStyle="1" w:styleId="2986">
    <w:name w:val="zxl正文首行缩进  2 字符 行距: Char Char"/>
    <w:basedOn w:val="1"/>
    <w:qFormat/>
    <w:uiPriority w:val="0"/>
    <w:pPr>
      <w:widowControl/>
      <w:tabs>
        <w:tab w:val="left" w:pos="-1843"/>
        <w:tab w:val="left" w:pos="0"/>
        <w:tab w:val="left" w:pos="1727"/>
        <w:tab w:val="left" w:pos="1884"/>
      </w:tabs>
      <w:spacing w:line="360" w:lineRule="auto"/>
      <w:ind w:firstLine="482"/>
      <w:jc w:val="left"/>
      <w:outlineLvl w:val="0"/>
    </w:pPr>
    <w:rPr>
      <w:rFonts w:ascii="宋体" w:hAnsi="宋体"/>
      <w:color w:val="000000"/>
      <w:sz w:val="24"/>
      <w:szCs w:val="20"/>
    </w:rPr>
  </w:style>
  <w:style w:type="paragraph" w:customStyle="1" w:styleId="2987">
    <w:name w:val="自定义缩进"/>
    <w:basedOn w:val="1"/>
    <w:qFormat/>
    <w:uiPriority w:val="0"/>
    <w:pPr>
      <w:spacing w:line="480" w:lineRule="atLeast"/>
      <w:ind w:firstLine="480" w:firstLineChars="200"/>
      <w:jc w:val="left"/>
    </w:pPr>
    <w:rPr>
      <w:color w:val="FF0000"/>
      <w:sz w:val="24"/>
    </w:rPr>
  </w:style>
  <w:style w:type="paragraph" w:customStyle="1" w:styleId="2988">
    <w:name w:val="题注+"/>
    <w:basedOn w:val="22"/>
    <w:next w:val="1"/>
    <w:qFormat/>
    <w:uiPriority w:val="0"/>
    <w:pPr>
      <w:keepNext/>
      <w:widowControl/>
      <w:snapToGrid/>
      <w:spacing w:line="336" w:lineRule="auto"/>
      <w:outlineLvl w:val="6"/>
    </w:pPr>
    <w:rPr>
      <w:rFonts w:hAnsi="Arial" w:cs="Times New Roman"/>
      <w:kern w:val="0"/>
    </w:rPr>
  </w:style>
  <w:style w:type="paragraph" w:customStyle="1" w:styleId="2989">
    <w:name w:val="自定义表格文字居中"/>
    <w:basedOn w:val="1"/>
    <w:qFormat/>
    <w:uiPriority w:val="0"/>
    <w:pPr>
      <w:keepNext/>
      <w:adjustRightInd w:val="0"/>
      <w:snapToGrid w:val="0"/>
      <w:spacing w:line="360" w:lineRule="exact"/>
      <w:ind w:left="5" w:hanging="5"/>
      <w:jc w:val="center"/>
      <w:outlineLvl w:val="0"/>
    </w:pPr>
    <w:rPr>
      <w:color w:val="FF0000"/>
      <w:kern w:val="0"/>
      <w:szCs w:val="20"/>
    </w:rPr>
  </w:style>
  <w:style w:type="paragraph" w:customStyle="1" w:styleId="2990">
    <w:name w:val="样式 标题 4标4 + (符号) 宋体"/>
    <w:basedOn w:val="8"/>
    <w:qFormat/>
    <w:uiPriority w:val="0"/>
    <w:pPr>
      <w:numPr>
        <w:ilvl w:val="0"/>
        <w:numId w:val="0"/>
      </w:numPr>
      <w:tabs>
        <w:tab w:val="left" w:pos="360"/>
      </w:tabs>
      <w:spacing w:line="336" w:lineRule="auto"/>
      <w:ind w:left="245" w:hanging="245"/>
      <w:jc w:val="left"/>
    </w:pPr>
    <w:rPr>
      <w:rFonts w:ascii="宋体" w:hAnsi="Times New Roman" w:eastAsia="宋体"/>
      <w:b w:val="0"/>
      <w:bCs w:val="0"/>
      <w:kern w:val="0"/>
    </w:rPr>
  </w:style>
  <w:style w:type="character" w:customStyle="1" w:styleId="2991">
    <w:name w:val="标题6 Char"/>
    <w:qFormat/>
    <w:locked/>
    <w:uiPriority w:val="0"/>
    <w:rPr>
      <w:rFonts w:ascii="Arial Narrow" w:hAnsi="宋体" w:eastAsia="宋体" w:cs="Times New Roman"/>
      <w:sz w:val="24"/>
      <w:szCs w:val="24"/>
    </w:rPr>
  </w:style>
  <w:style w:type="character" w:customStyle="1" w:styleId="2992">
    <w:name w:val="样式 题注 + 首行缩进:  2 字符2 Char"/>
    <w:link w:val="2993"/>
    <w:qFormat/>
    <w:locked/>
    <w:uiPriority w:val="0"/>
    <w:rPr>
      <w:sz w:val="24"/>
    </w:rPr>
  </w:style>
  <w:style w:type="paragraph" w:customStyle="1" w:styleId="2993">
    <w:name w:val="样式 题注 + 首行缩进:  2 字符2"/>
    <w:basedOn w:val="22"/>
    <w:link w:val="2992"/>
    <w:qFormat/>
    <w:uiPriority w:val="0"/>
    <w:pPr>
      <w:keepNext/>
      <w:adjustRightInd w:val="0"/>
      <w:spacing w:line="240" w:lineRule="auto"/>
      <w:ind w:firstLine="480" w:firstLineChars="200"/>
      <w:jc w:val="both"/>
    </w:pPr>
    <w:rPr>
      <w:rFonts w:ascii="Times New Roman" w:hAnsi="Times New Roman" w:eastAsia="宋体" w:cs="Times New Roman"/>
      <w:kern w:val="0"/>
      <w:szCs w:val="20"/>
    </w:rPr>
  </w:style>
  <w:style w:type="paragraph" w:customStyle="1" w:styleId="2994">
    <w:name w:val="样式 表格文字居中 + 行距: 单倍行距"/>
    <w:basedOn w:val="1"/>
    <w:qFormat/>
    <w:uiPriority w:val="0"/>
    <w:pPr>
      <w:keepNext/>
      <w:tabs>
        <w:tab w:val="left" w:pos="628"/>
        <w:tab w:val="left" w:pos="1727"/>
        <w:tab w:val="left" w:pos="1884"/>
      </w:tabs>
      <w:adjustRightInd w:val="0"/>
      <w:snapToGrid w:val="0"/>
      <w:spacing w:beforeLines="10"/>
      <w:jc w:val="center"/>
    </w:pPr>
    <w:rPr>
      <w:rFonts w:ascii="宋体" w:hAnsi="宋体" w:cs="宋体"/>
      <w:color w:val="FF0000"/>
      <w:kern w:val="0"/>
      <w:szCs w:val="21"/>
    </w:rPr>
  </w:style>
  <w:style w:type="character" w:customStyle="1" w:styleId="2995">
    <w:name w:val="样式 表格备注 Char"/>
    <w:link w:val="2996"/>
    <w:qFormat/>
    <w:locked/>
    <w:uiPriority w:val="0"/>
    <w:rPr>
      <w:rFonts w:ascii="宋体" w:hAnsi="宋体" w:eastAsia="楷体_GB2312"/>
      <w:sz w:val="24"/>
    </w:rPr>
  </w:style>
  <w:style w:type="paragraph" w:customStyle="1" w:styleId="2996">
    <w:name w:val="样式 表格备注"/>
    <w:basedOn w:val="1"/>
    <w:link w:val="2995"/>
    <w:qFormat/>
    <w:uiPriority w:val="0"/>
    <w:pPr>
      <w:keepNext/>
      <w:tabs>
        <w:tab w:val="left" w:pos="628"/>
        <w:tab w:val="left" w:pos="1727"/>
        <w:tab w:val="left" w:pos="1884"/>
        <w:tab w:val="left" w:pos="4325"/>
        <w:tab w:val="left" w:pos="4900"/>
      </w:tabs>
      <w:adjustRightInd w:val="0"/>
      <w:snapToGrid w:val="0"/>
      <w:spacing w:line="360" w:lineRule="auto"/>
      <w:ind w:firstLine="480" w:firstLineChars="200"/>
      <w:jc w:val="left"/>
    </w:pPr>
    <w:rPr>
      <w:rFonts w:ascii="宋体" w:hAnsi="宋体" w:eastAsia="楷体_GB2312"/>
      <w:kern w:val="0"/>
      <w:sz w:val="24"/>
      <w:szCs w:val="20"/>
    </w:rPr>
  </w:style>
  <w:style w:type="paragraph" w:customStyle="1" w:styleId="2997">
    <w:name w:val="Char6 Char Char Char Char Char Char Char Char Char"/>
    <w:basedOn w:val="1"/>
    <w:qFormat/>
    <w:uiPriority w:val="0"/>
    <w:rPr>
      <w:rFonts w:ascii="宋体" w:hAnsi="宋体"/>
      <w:color w:val="000000"/>
      <w:sz w:val="28"/>
      <w:szCs w:val="20"/>
    </w:rPr>
  </w:style>
  <w:style w:type="character" w:customStyle="1" w:styleId="2998">
    <w:name w:val="z-窗体顶端 Char"/>
    <w:link w:val="2999"/>
    <w:qFormat/>
    <w:locked/>
    <w:uiPriority w:val="0"/>
    <w:rPr>
      <w:rFonts w:ascii="Arial" w:hAnsi="Arial"/>
      <w:vanish/>
      <w:sz w:val="16"/>
      <w:szCs w:val="16"/>
    </w:rPr>
  </w:style>
  <w:style w:type="paragraph" w:customStyle="1" w:styleId="2999">
    <w:name w:val="z-窗体顶端1"/>
    <w:basedOn w:val="1"/>
    <w:next w:val="1"/>
    <w:link w:val="2998"/>
    <w:qFormat/>
    <w:uiPriority w:val="0"/>
    <w:pPr>
      <w:widowControl/>
      <w:pBdr>
        <w:bottom w:val="single" w:color="auto" w:sz="6" w:space="1"/>
      </w:pBdr>
      <w:jc w:val="center"/>
    </w:pPr>
    <w:rPr>
      <w:rFonts w:ascii="Arial" w:hAnsi="Arial"/>
      <w:vanish/>
      <w:kern w:val="0"/>
      <w:sz w:val="16"/>
      <w:szCs w:val="16"/>
    </w:rPr>
  </w:style>
  <w:style w:type="paragraph" w:customStyle="1" w:styleId="3000">
    <w:name w:val="z-窗体底端11"/>
    <w:basedOn w:val="1"/>
    <w:next w:val="1"/>
    <w:qFormat/>
    <w:uiPriority w:val="0"/>
    <w:pPr>
      <w:widowControl/>
      <w:pBdr>
        <w:top w:val="single" w:color="auto" w:sz="6" w:space="0"/>
      </w:pBdr>
      <w:jc w:val="center"/>
    </w:pPr>
    <w:rPr>
      <w:rFonts w:ascii="Arial" w:hAnsi="Arial"/>
      <w:vanish/>
      <w:sz w:val="16"/>
      <w:szCs w:val="16"/>
    </w:rPr>
  </w:style>
  <w:style w:type="paragraph" w:customStyle="1" w:styleId="3001">
    <w:name w:val="样式 正文首行缩进 + 首行缩进:  2 字符1"/>
    <w:basedOn w:val="41"/>
    <w:qFormat/>
    <w:uiPriority w:val="0"/>
    <w:pPr>
      <w:spacing w:after="0" w:line="360" w:lineRule="auto"/>
      <w:ind w:firstLine="480" w:firstLineChars="200"/>
    </w:pPr>
    <w:rPr>
      <w:rFonts w:eastAsia="Times New Roman"/>
      <w:kern w:val="0"/>
      <w:sz w:val="24"/>
      <w:szCs w:val="24"/>
      <w:lang w:val="zh-CN"/>
    </w:rPr>
  </w:style>
  <w:style w:type="paragraph" w:customStyle="1" w:styleId="3002">
    <w:name w:val="样式 标题 4标题 4 Char Char + 两端对齐 左侧:  0 厘米 段前: 0 磅 段后: 0 磅"/>
    <w:basedOn w:val="8"/>
    <w:qFormat/>
    <w:uiPriority w:val="0"/>
    <w:pPr>
      <w:numPr>
        <w:ilvl w:val="0"/>
        <w:numId w:val="0"/>
      </w:numPr>
      <w:tabs>
        <w:tab w:val="left" w:pos="2160"/>
        <w:tab w:val="left" w:pos="4500"/>
      </w:tabs>
      <w:snapToGrid w:val="0"/>
      <w:spacing w:line="440" w:lineRule="atLeast"/>
      <w:ind w:left="2160" w:hanging="420"/>
    </w:pPr>
    <w:rPr>
      <w:rFonts w:cs="宋体"/>
      <w:b w:val="0"/>
      <w:bCs w:val="0"/>
      <w:kern w:val="0"/>
      <w:sz w:val="24"/>
      <w:szCs w:val="20"/>
    </w:rPr>
  </w:style>
  <w:style w:type="paragraph" w:customStyle="1" w:styleId="3003">
    <w:name w:val="样式 标题 3标题 3 Char Char标题 3 Char Char Char Char Char标题 3 Char C...3"/>
    <w:basedOn w:val="7"/>
    <w:qFormat/>
    <w:uiPriority w:val="0"/>
    <w:pPr>
      <w:widowControl w:val="0"/>
      <w:tabs>
        <w:tab w:val="left" w:pos="4500"/>
      </w:tabs>
      <w:spacing w:line="400" w:lineRule="exact"/>
      <w:jc w:val="both"/>
    </w:pPr>
    <w:rPr>
      <w:rFonts w:ascii="Times New Roman" w:hAnsi="Times New Roman" w:cs="宋体"/>
      <w:kern w:val="0"/>
      <w:sz w:val="24"/>
      <w:szCs w:val="24"/>
      <w:lang w:val="en-US"/>
    </w:rPr>
  </w:style>
  <w:style w:type="paragraph" w:customStyle="1" w:styleId="3004">
    <w:name w:val="ljw表格"/>
    <w:basedOn w:val="1"/>
    <w:next w:val="1"/>
    <w:qFormat/>
    <w:uiPriority w:val="0"/>
    <w:pPr>
      <w:adjustRightInd w:val="0"/>
      <w:snapToGrid w:val="0"/>
      <w:spacing w:beforeLines="25"/>
      <w:jc w:val="center"/>
    </w:pPr>
    <w:rPr>
      <w:rFonts w:ascii="宋体" w:hAnsi="宋体"/>
      <w:bCs/>
      <w:sz w:val="22"/>
      <w:szCs w:val="28"/>
    </w:rPr>
  </w:style>
  <w:style w:type="paragraph" w:customStyle="1" w:styleId="3005">
    <w:name w:val="ljw正文"/>
    <w:basedOn w:val="1"/>
    <w:qFormat/>
    <w:uiPriority w:val="0"/>
    <w:pPr>
      <w:adjustRightInd w:val="0"/>
      <w:snapToGrid w:val="0"/>
      <w:spacing w:line="300" w:lineRule="auto"/>
      <w:ind w:firstLine="480" w:firstLineChars="200"/>
    </w:pPr>
    <w:rPr>
      <w:rFonts w:ascii="宋体" w:hAnsi="宋体"/>
      <w:bCs/>
      <w:sz w:val="24"/>
      <w:szCs w:val="28"/>
    </w:rPr>
  </w:style>
  <w:style w:type="paragraph" w:customStyle="1" w:styleId="3006">
    <w:name w:val="Sun"/>
    <w:basedOn w:val="1"/>
    <w:qFormat/>
    <w:uiPriority w:val="0"/>
    <w:pPr>
      <w:adjustRightInd w:val="0"/>
      <w:spacing w:line="360" w:lineRule="auto"/>
      <w:ind w:firstLine="567"/>
    </w:pPr>
    <w:rPr>
      <w:kern w:val="28"/>
      <w:sz w:val="28"/>
      <w:szCs w:val="20"/>
    </w:rPr>
  </w:style>
  <w:style w:type="paragraph" w:customStyle="1" w:styleId="3007">
    <w:name w:val="ljw子标题"/>
    <w:basedOn w:val="1"/>
    <w:next w:val="34"/>
    <w:qFormat/>
    <w:uiPriority w:val="0"/>
    <w:pPr>
      <w:adjustRightInd w:val="0"/>
      <w:snapToGrid w:val="0"/>
      <w:spacing w:beforeLines="50"/>
      <w:jc w:val="left"/>
    </w:pPr>
    <w:rPr>
      <w:rFonts w:ascii="宋体" w:hAnsi="宋体"/>
      <w:b/>
      <w:sz w:val="24"/>
      <w:szCs w:val="28"/>
    </w:rPr>
  </w:style>
  <w:style w:type="paragraph" w:customStyle="1" w:styleId="3008">
    <w:name w:val="ch中文正文"/>
    <w:qFormat/>
    <w:uiPriority w:val="0"/>
    <w:pPr>
      <w:spacing w:beforeLines="50" w:line="360" w:lineRule="auto"/>
      <w:ind w:firstLine="200" w:firstLineChars="200"/>
    </w:pPr>
    <w:rPr>
      <w:rFonts w:ascii="Calibri" w:hAnsi="Calibri" w:eastAsia="宋体" w:cs="Calibri"/>
      <w:sz w:val="24"/>
      <w:lang w:val="en-US" w:eastAsia="zh-CN" w:bidi="ar-SA"/>
    </w:rPr>
  </w:style>
  <w:style w:type="paragraph" w:customStyle="1" w:styleId="3009">
    <w:name w:val="样式 样式 蓝色 首行缩进:  1 厘米 行距: 固定值 25 磅 + 首行缩进:  2 字符"/>
    <w:basedOn w:val="1"/>
    <w:qFormat/>
    <w:uiPriority w:val="0"/>
    <w:pPr>
      <w:spacing w:line="500" w:lineRule="exact"/>
      <w:ind w:firstLine="560" w:firstLineChars="200"/>
    </w:pPr>
    <w:rPr>
      <w:rFonts w:cs="宋体"/>
      <w:sz w:val="28"/>
      <w:szCs w:val="20"/>
    </w:rPr>
  </w:style>
  <w:style w:type="paragraph" w:customStyle="1" w:styleId="3010">
    <w:name w:val="样式 首行缩进:  2 字符10"/>
    <w:basedOn w:val="1"/>
    <w:qFormat/>
    <w:uiPriority w:val="0"/>
    <w:pPr>
      <w:spacing w:line="520" w:lineRule="exact"/>
      <w:ind w:firstLine="560" w:firstLineChars="200"/>
    </w:pPr>
    <w:rPr>
      <w:rFonts w:cs="宋体"/>
      <w:sz w:val="24"/>
      <w:szCs w:val="20"/>
    </w:rPr>
  </w:style>
  <w:style w:type="paragraph" w:customStyle="1" w:styleId="3011">
    <w:name w:val="样式 正文（首行缩进两字） Char1标题4 + 宋体 小四 首行缩进:  0.85 厘米"/>
    <w:basedOn w:val="1"/>
    <w:qFormat/>
    <w:uiPriority w:val="0"/>
    <w:pPr>
      <w:adjustRightInd w:val="0"/>
      <w:spacing w:line="440" w:lineRule="atLeast"/>
      <w:ind w:firstLine="482"/>
    </w:pPr>
    <w:rPr>
      <w:rFonts w:ascii="宋体" w:hAnsi="宋体" w:cs="宋体"/>
      <w:kern w:val="0"/>
      <w:sz w:val="24"/>
      <w:szCs w:val="20"/>
    </w:rPr>
  </w:style>
  <w:style w:type="paragraph" w:customStyle="1" w:styleId="3012">
    <w:name w:val="样式 正文（首行缩进两字） Char1标题4 + (符号) 宋体 小四 首行缩进:  0.85 厘米"/>
    <w:basedOn w:val="1"/>
    <w:qFormat/>
    <w:uiPriority w:val="0"/>
    <w:pPr>
      <w:adjustRightInd w:val="0"/>
      <w:spacing w:line="440" w:lineRule="atLeast"/>
      <w:ind w:firstLine="482"/>
    </w:pPr>
    <w:rPr>
      <w:rFonts w:hAnsi="宋体" w:cs="宋体"/>
      <w:kern w:val="0"/>
      <w:sz w:val="24"/>
      <w:szCs w:val="20"/>
    </w:rPr>
  </w:style>
  <w:style w:type="paragraph" w:customStyle="1" w:styleId="3013">
    <w:name w:val="样式 标题 2节标题 1.1b21.1标题2b21 Char1.1标题2 Char标题 21节标题 1.11b2..."/>
    <w:basedOn w:val="6"/>
    <w:qFormat/>
    <w:uiPriority w:val="0"/>
    <w:pPr>
      <w:widowControl/>
      <w:tabs>
        <w:tab w:val="left" w:pos="0"/>
        <w:tab w:val="left" w:pos="576"/>
      </w:tabs>
      <w:adjustRightInd w:val="0"/>
      <w:spacing w:line="480" w:lineRule="auto"/>
      <w:jc w:val="left"/>
    </w:pPr>
    <w:rPr>
      <w:rFonts w:ascii="黑体" w:hAnsi="Times New Roman" w:eastAsia="黑体" w:cs="宋体"/>
      <w:b w:val="0"/>
      <w:kern w:val="0"/>
      <w:sz w:val="28"/>
      <w:szCs w:val="28"/>
    </w:rPr>
  </w:style>
  <w:style w:type="paragraph" w:customStyle="1" w:styleId="3014">
    <w:name w:val="样式 题注 + (西文) Times New Roman (中文) 宋体 小四 加粗 黑色 居中 段前: 3 磅 ..."/>
    <w:basedOn w:val="22"/>
    <w:qFormat/>
    <w:uiPriority w:val="0"/>
    <w:pPr>
      <w:adjustRightInd w:val="0"/>
      <w:snapToGrid/>
      <w:spacing w:afterLines="100"/>
    </w:pPr>
    <w:rPr>
      <w:rFonts w:ascii="Times New Roman" w:hAnsi="Times New Roman" w:eastAsia="Times New Roman" w:cs="宋体"/>
      <w:b/>
      <w:bCs/>
      <w:color w:val="000000"/>
      <w:kern w:val="0"/>
      <w:szCs w:val="20"/>
    </w:rPr>
  </w:style>
  <w:style w:type="paragraph" w:customStyle="1" w:styleId="3015">
    <w:name w:val="样式 正文首行缩进 + 首行缩进:  0 厘米"/>
    <w:basedOn w:val="41"/>
    <w:qFormat/>
    <w:uiPriority w:val="0"/>
    <w:pPr>
      <w:spacing w:after="0" w:line="240" w:lineRule="exact"/>
      <w:ind w:firstLine="0" w:firstLineChars="0"/>
      <w:jc w:val="left"/>
    </w:pPr>
    <w:rPr>
      <w:rFonts w:ascii="宋体" w:hAnsi="宋体" w:eastAsia="Times New Roman" w:cs="宋体"/>
      <w:kern w:val="0"/>
      <w:sz w:val="24"/>
    </w:rPr>
  </w:style>
  <w:style w:type="character" w:customStyle="1" w:styleId="3016">
    <w:name w:val="样式 正文文本缩进 2正文文字缩进 2 + 四号 蓝色 Char Char Char Char Char Char Char Char"/>
    <w:link w:val="3017"/>
    <w:qFormat/>
    <w:locked/>
    <w:uiPriority w:val="0"/>
    <w:rPr>
      <w:color w:val="0000FF"/>
      <w:sz w:val="24"/>
      <w:szCs w:val="24"/>
    </w:rPr>
  </w:style>
  <w:style w:type="paragraph" w:customStyle="1" w:styleId="3017">
    <w:name w:val="样式 正文文本缩进 2正文文字缩进 2 + 四号 蓝色 Char Char Char Char Char Char Char"/>
    <w:basedOn w:val="50"/>
    <w:link w:val="3016"/>
    <w:qFormat/>
    <w:uiPriority w:val="0"/>
    <w:pPr>
      <w:adjustRightInd w:val="0"/>
      <w:spacing w:line="480" w:lineRule="exact"/>
      <w:ind w:left="0" w:leftChars="0" w:firstLine="709"/>
    </w:pPr>
    <w:rPr>
      <w:rFonts w:ascii="Times New Roman" w:hAnsi="Times New Roman"/>
      <w:color w:val="0000FF"/>
      <w:kern w:val="0"/>
      <w:sz w:val="24"/>
      <w:szCs w:val="24"/>
    </w:rPr>
  </w:style>
  <w:style w:type="paragraph" w:customStyle="1" w:styleId="3018">
    <w:name w:val="样式 正文文本缩进 2正文文字缩进 2 + 四号 蓝色 Char Char Char Char Char"/>
    <w:basedOn w:val="50"/>
    <w:qFormat/>
    <w:uiPriority w:val="0"/>
    <w:pPr>
      <w:adjustRightInd w:val="0"/>
      <w:spacing w:line="480" w:lineRule="exact"/>
      <w:ind w:left="0" w:leftChars="0" w:firstLine="709"/>
    </w:pPr>
    <w:rPr>
      <w:rFonts w:ascii="Times New Roman" w:hAnsi="Times New Roman" w:eastAsia="Times New Roman"/>
      <w:color w:val="0000FF"/>
      <w:kern w:val="0"/>
      <w:sz w:val="24"/>
      <w:szCs w:val="24"/>
    </w:rPr>
  </w:style>
  <w:style w:type="paragraph" w:customStyle="1" w:styleId="3019">
    <w:name w:val="样式 标题 4款标题1.1.1.1标题 4 Char标题 4 Char CharL4 + 宋体 小四 非加粗"/>
    <w:basedOn w:val="8"/>
    <w:qFormat/>
    <w:uiPriority w:val="0"/>
    <w:pPr>
      <w:numPr>
        <w:ilvl w:val="0"/>
        <w:numId w:val="0"/>
      </w:numPr>
      <w:tabs>
        <w:tab w:val="left" w:pos="1134"/>
        <w:tab w:val="left" w:pos="1630"/>
      </w:tabs>
    </w:pPr>
    <w:rPr>
      <w:rFonts w:ascii="宋体" w:hAnsi="宋体" w:eastAsia="宋体"/>
      <w:b w:val="0"/>
      <w:bCs w:val="0"/>
      <w:kern w:val="0"/>
      <w:sz w:val="24"/>
      <w:szCs w:val="24"/>
    </w:rPr>
  </w:style>
  <w:style w:type="paragraph" w:customStyle="1" w:styleId="3020">
    <w:name w:val="样式 标题 4款标题1.1.1.1标题 4 Char标题 4 Char CharL4 + 宋体 小四 非加粗1"/>
    <w:basedOn w:val="8"/>
    <w:qFormat/>
    <w:uiPriority w:val="0"/>
    <w:pPr>
      <w:numPr>
        <w:ilvl w:val="0"/>
        <w:numId w:val="0"/>
      </w:numPr>
      <w:tabs>
        <w:tab w:val="left" w:pos="1134"/>
        <w:tab w:val="left" w:pos="1630"/>
      </w:tabs>
      <w:spacing w:beforeLines="50"/>
    </w:pPr>
    <w:rPr>
      <w:rFonts w:ascii="宋体" w:hAnsi="宋体" w:eastAsia="宋体"/>
      <w:b w:val="0"/>
      <w:bCs w:val="0"/>
      <w:kern w:val="0"/>
      <w:sz w:val="24"/>
    </w:rPr>
  </w:style>
  <w:style w:type="paragraph" w:customStyle="1" w:styleId="3021">
    <w:name w:val="样式 样式 标题 4款标题1.1.1.1标题 4 Char标题 4 Char CharL4 + 宋体 小四 非加粗1 + 段前:..."/>
    <w:basedOn w:val="3020"/>
    <w:qFormat/>
    <w:uiPriority w:val="0"/>
    <w:rPr>
      <w:rFonts w:cs="宋体"/>
      <w:szCs w:val="20"/>
    </w:rPr>
  </w:style>
  <w:style w:type="paragraph" w:customStyle="1" w:styleId="3022">
    <w:name w:val="表内文字大"/>
    <w:basedOn w:val="1"/>
    <w:qFormat/>
    <w:uiPriority w:val="0"/>
    <w:pPr>
      <w:adjustRightInd w:val="0"/>
      <w:snapToGrid w:val="0"/>
      <w:ind w:left="-25"/>
    </w:pPr>
    <w:rPr>
      <w:szCs w:val="21"/>
    </w:rPr>
  </w:style>
  <w:style w:type="paragraph" w:customStyle="1" w:styleId="3023">
    <w:name w:val="表内小4"/>
    <w:basedOn w:val="3022"/>
    <w:qFormat/>
    <w:uiPriority w:val="0"/>
    <w:pPr>
      <w:ind w:left="240" w:hanging="240"/>
    </w:pPr>
    <w:rPr>
      <w:sz w:val="18"/>
      <w:szCs w:val="18"/>
    </w:rPr>
  </w:style>
  <w:style w:type="paragraph" w:customStyle="1" w:styleId="3024">
    <w:name w:val="表内文字小"/>
    <w:basedOn w:val="1"/>
    <w:qFormat/>
    <w:uiPriority w:val="0"/>
    <w:pPr>
      <w:adjustRightInd w:val="0"/>
      <w:snapToGrid w:val="0"/>
      <w:jc w:val="center"/>
    </w:pPr>
    <w:rPr>
      <w:sz w:val="18"/>
      <w:szCs w:val="18"/>
    </w:rPr>
  </w:style>
  <w:style w:type="paragraph" w:customStyle="1" w:styleId="3025">
    <w:name w:val="4级样式"/>
    <w:basedOn w:val="8"/>
    <w:qFormat/>
    <w:uiPriority w:val="0"/>
    <w:pPr>
      <w:numPr>
        <w:ilvl w:val="0"/>
        <w:numId w:val="0"/>
      </w:numPr>
      <w:tabs>
        <w:tab w:val="left" w:pos="1080"/>
      </w:tabs>
      <w:spacing w:line="360" w:lineRule="auto"/>
      <w:ind w:left="1080" w:hanging="1080"/>
    </w:pPr>
    <w:rPr>
      <w:rFonts w:ascii="Times New Roman" w:hAnsi="Times New Roman" w:cs="宋体"/>
      <w:b w:val="0"/>
      <w:bCs w:val="0"/>
      <w:kern w:val="0"/>
      <w:sz w:val="24"/>
      <w:szCs w:val="24"/>
    </w:rPr>
  </w:style>
  <w:style w:type="paragraph" w:customStyle="1" w:styleId="3026">
    <w:name w:val="3 级样式"/>
    <w:basedOn w:val="7"/>
    <w:qFormat/>
    <w:uiPriority w:val="0"/>
    <w:pPr>
      <w:widowControl w:val="0"/>
      <w:tabs>
        <w:tab w:val="left" w:pos="720"/>
      </w:tabs>
      <w:adjustRightInd/>
      <w:snapToGrid/>
      <w:spacing w:before="120" w:beforeLines="20" w:after="120" w:afterLines="30" w:line="360" w:lineRule="auto"/>
      <w:ind w:left="720" w:hanging="720"/>
    </w:pPr>
    <w:rPr>
      <w:rFonts w:ascii="Times New Roman" w:hAnsi="Times New Roman" w:eastAsia="黑体" w:cs="宋体"/>
      <w:b w:val="0"/>
      <w:bCs w:val="0"/>
      <w:color w:val="000000"/>
      <w:kern w:val="28"/>
      <w:sz w:val="28"/>
      <w:szCs w:val="28"/>
      <w:lang w:val="en-US"/>
    </w:rPr>
  </w:style>
  <w:style w:type="paragraph" w:customStyle="1" w:styleId="3027">
    <w:name w:val="2 级样式"/>
    <w:basedOn w:val="6"/>
    <w:qFormat/>
    <w:uiPriority w:val="0"/>
    <w:pPr>
      <w:tabs>
        <w:tab w:val="left" w:pos="927"/>
        <w:tab w:val="left" w:pos="1134"/>
      </w:tabs>
      <w:adjustRightInd w:val="0"/>
      <w:spacing w:beforeLines="30" w:afterLines="30" w:line="360" w:lineRule="auto"/>
      <w:ind w:left="840" w:hanging="720"/>
      <w:jc w:val="left"/>
    </w:pPr>
    <w:rPr>
      <w:rFonts w:ascii="Times New Roman" w:hAnsi="Times New Roman" w:eastAsia="黑体" w:cs="宋体"/>
      <w:b w:val="0"/>
      <w:bCs w:val="0"/>
      <w:color w:val="003300"/>
      <w:kern w:val="0"/>
      <w:sz w:val="30"/>
      <w:szCs w:val="30"/>
    </w:rPr>
  </w:style>
  <w:style w:type="paragraph" w:customStyle="1" w:styleId="3028">
    <w:name w:val="样式 标题 22级样式 + 段前: 0.3 行 段后: 0.3 行1"/>
    <w:basedOn w:val="6"/>
    <w:qFormat/>
    <w:uiPriority w:val="0"/>
    <w:pPr>
      <w:tabs>
        <w:tab w:val="left" w:pos="927"/>
        <w:tab w:val="left" w:pos="1134"/>
      </w:tabs>
      <w:adjustRightInd w:val="0"/>
      <w:spacing w:beforeLines="30" w:afterLines="30" w:line="360" w:lineRule="auto"/>
      <w:jc w:val="left"/>
    </w:pPr>
    <w:rPr>
      <w:rFonts w:ascii="Times New Roman" w:hAnsi="Times New Roman" w:eastAsia="黑体" w:cs="宋体"/>
      <w:b w:val="0"/>
      <w:bCs w:val="0"/>
      <w:color w:val="003300"/>
      <w:kern w:val="0"/>
      <w:sz w:val="28"/>
      <w:szCs w:val="20"/>
    </w:rPr>
  </w:style>
  <w:style w:type="paragraph" w:customStyle="1" w:styleId="3029">
    <w:name w:val="1级样式."/>
    <w:basedOn w:val="1"/>
    <w:qFormat/>
    <w:uiPriority w:val="0"/>
    <w:pPr>
      <w:keepNext/>
      <w:keepLines/>
      <w:widowControl/>
      <w:spacing w:beforeLines="50" w:line="360" w:lineRule="auto"/>
      <w:jc w:val="left"/>
      <w:outlineLvl w:val="0"/>
    </w:pPr>
    <w:rPr>
      <w:rFonts w:eastAsia="黑体"/>
      <w:color w:val="000000"/>
      <w:kern w:val="44"/>
      <w:sz w:val="36"/>
      <w:szCs w:val="36"/>
    </w:rPr>
  </w:style>
  <w:style w:type="paragraph" w:customStyle="1" w:styleId="3030">
    <w:name w:val="样式 样式2 + 首行缩进:  2 字符"/>
    <w:basedOn w:val="1"/>
    <w:qFormat/>
    <w:uiPriority w:val="0"/>
    <w:pPr>
      <w:adjustRightInd w:val="0"/>
      <w:snapToGrid w:val="0"/>
      <w:spacing w:line="360" w:lineRule="auto"/>
    </w:pPr>
    <w:rPr>
      <w:rFonts w:ascii="宋体" w:hAnsi="宋体" w:cs="宋体"/>
      <w:b/>
      <w:sz w:val="28"/>
      <w:szCs w:val="28"/>
    </w:rPr>
  </w:style>
  <w:style w:type="paragraph" w:customStyle="1" w:styleId="3031">
    <w:name w:val="Char6 Char Char Char Char Char Char Char Char Char1"/>
    <w:basedOn w:val="1"/>
    <w:qFormat/>
    <w:uiPriority w:val="0"/>
    <w:rPr>
      <w:rFonts w:ascii="宋体" w:hAnsi="宋体"/>
      <w:color w:val="000000"/>
      <w:sz w:val="28"/>
      <w:szCs w:val="20"/>
    </w:rPr>
  </w:style>
  <w:style w:type="paragraph" w:customStyle="1" w:styleId="3032">
    <w:name w:val="页眉中"/>
    <w:basedOn w:val="1"/>
    <w:qFormat/>
    <w:uiPriority w:val="0"/>
    <w:pPr>
      <w:adjustRightInd w:val="0"/>
      <w:snapToGrid w:val="0"/>
      <w:spacing w:line="300" w:lineRule="auto"/>
      <w:jc w:val="left"/>
    </w:pPr>
    <w:rPr>
      <w:rFonts w:ascii="黑体" w:eastAsia="黑体"/>
      <w:bCs/>
      <w:sz w:val="24"/>
      <w:szCs w:val="20"/>
    </w:rPr>
  </w:style>
  <w:style w:type="paragraph" w:customStyle="1" w:styleId="3033">
    <w:name w:val="等核实"/>
    <w:basedOn w:val="35"/>
    <w:qFormat/>
    <w:uiPriority w:val="0"/>
    <w:pPr>
      <w:tabs>
        <w:tab w:val="left" w:pos="4305"/>
      </w:tabs>
      <w:adjustRightInd w:val="0"/>
      <w:snapToGrid w:val="0"/>
      <w:spacing w:line="300" w:lineRule="auto"/>
      <w:ind w:left="0" w:leftChars="0" w:firstLine="567"/>
    </w:pPr>
    <w:rPr>
      <w:rFonts w:ascii="宋体" w:hAnsi="宋体" w:eastAsia="Times New Roman"/>
      <w:color w:val="0000FF"/>
      <w:sz w:val="28"/>
    </w:rPr>
  </w:style>
  <w:style w:type="paragraph" w:customStyle="1" w:styleId="3034">
    <w:name w:val="待定小"/>
    <w:basedOn w:val="3024"/>
    <w:qFormat/>
    <w:uiPriority w:val="0"/>
    <w:rPr>
      <w:rFonts w:ascii="宋体" w:hAnsi="Times"/>
      <w:color w:val="0000FF"/>
      <w:sz w:val="21"/>
      <w:szCs w:val="20"/>
    </w:rPr>
  </w:style>
  <w:style w:type="paragraph" w:customStyle="1" w:styleId="3035">
    <w:name w:val="题图"/>
    <w:basedOn w:val="1"/>
    <w:qFormat/>
    <w:uiPriority w:val="0"/>
    <w:pPr>
      <w:adjustRightInd w:val="0"/>
      <w:snapToGrid w:val="0"/>
      <w:jc w:val="center"/>
    </w:pPr>
    <w:rPr>
      <w:rFonts w:ascii="宋体"/>
      <w:sz w:val="28"/>
    </w:rPr>
  </w:style>
  <w:style w:type="paragraph" w:customStyle="1" w:styleId="3036">
    <w:name w:val="表内宋5"/>
    <w:basedOn w:val="76"/>
    <w:qFormat/>
    <w:uiPriority w:val="0"/>
    <w:pPr>
      <w:adjustRightInd w:val="0"/>
      <w:snapToGrid w:val="0"/>
      <w:jc w:val="both"/>
    </w:pPr>
    <w:rPr>
      <w:color w:val="000000"/>
      <w:sz w:val="21"/>
      <w:szCs w:val="24"/>
    </w:rPr>
  </w:style>
  <w:style w:type="paragraph" w:customStyle="1" w:styleId="3037">
    <w:name w:val="样式 标题 2 + 段前: 0.3 行 段后: 0.3 行"/>
    <w:basedOn w:val="6"/>
    <w:qFormat/>
    <w:uiPriority w:val="0"/>
    <w:pPr>
      <w:widowControl/>
      <w:tabs>
        <w:tab w:val="left" w:pos="927"/>
        <w:tab w:val="left" w:pos="1134"/>
      </w:tabs>
      <w:adjustRightInd w:val="0"/>
      <w:snapToGrid w:val="0"/>
      <w:spacing w:line="480" w:lineRule="exact"/>
    </w:pPr>
    <w:rPr>
      <w:rFonts w:ascii="Times New Roman" w:hAnsi="Times New Roman" w:eastAsia="黑体" w:cs="宋体"/>
      <w:kern w:val="0"/>
      <w:sz w:val="30"/>
      <w:szCs w:val="20"/>
    </w:rPr>
  </w:style>
  <w:style w:type="paragraph" w:customStyle="1" w:styleId="3038">
    <w:name w:val="标题 2 + 段前: 0.3 行 段后: 0.3 行1"/>
    <w:basedOn w:val="6"/>
    <w:next w:val="1"/>
    <w:qFormat/>
    <w:uiPriority w:val="0"/>
    <w:pPr>
      <w:widowControl/>
      <w:tabs>
        <w:tab w:val="left" w:pos="927"/>
        <w:tab w:val="left" w:pos="1134"/>
      </w:tabs>
      <w:adjustRightInd w:val="0"/>
      <w:snapToGrid w:val="0"/>
      <w:spacing w:line="480" w:lineRule="exact"/>
      <w:ind w:left="1" w:firstLine="1"/>
    </w:pPr>
    <w:rPr>
      <w:rFonts w:ascii="Times New Roman" w:hAnsi="Times New Roman" w:eastAsia="黑体" w:cs="宋体"/>
      <w:b w:val="0"/>
      <w:kern w:val="0"/>
      <w:sz w:val="30"/>
      <w:szCs w:val="20"/>
    </w:rPr>
  </w:style>
  <w:style w:type="paragraph" w:customStyle="1" w:styleId="3039">
    <w:name w:val="样式 标题 21.1标题 21.1_Heading 2标题 2 Char1节标2节标题 1.11.1标题2h..."/>
    <w:basedOn w:val="6"/>
    <w:qFormat/>
    <w:uiPriority w:val="0"/>
    <w:pPr>
      <w:tabs>
        <w:tab w:val="left" w:pos="927"/>
        <w:tab w:val="left" w:pos="1134"/>
      </w:tabs>
      <w:adjustRightInd w:val="0"/>
      <w:spacing w:line="360" w:lineRule="auto"/>
      <w:jc w:val="left"/>
    </w:pPr>
    <w:rPr>
      <w:rFonts w:ascii="Times New Roman" w:hAnsi="Times New Roman" w:eastAsia="黑体"/>
      <w:b w:val="0"/>
      <w:bCs w:val="0"/>
      <w:color w:val="0000FF"/>
      <w:kern w:val="0"/>
      <w:sz w:val="28"/>
      <w:szCs w:val="28"/>
    </w:rPr>
  </w:style>
  <w:style w:type="paragraph" w:customStyle="1" w:styleId="3040">
    <w:name w:val="样式 标题 1章标题 1文章标题h11st levelSection Headl1章b1H1章节标题1标题..."/>
    <w:basedOn w:val="5"/>
    <w:qFormat/>
    <w:uiPriority w:val="0"/>
    <w:pPr>
      <w:keepLines/>
      <w:tabs>
        <w:tab w:val="left" w:pos="1134"/>
      </w:tabs>
      <w:overflowPunct/>
      <w:snapToGrid/>
      <w:spacing w:before="0" w:after="0" w:line="360" w:lineRule="auto"/>
      <w:ind w:left="0" w:firstLine="0"/>
      <w:jc w:val="left"/>
    </w:pPr>
    <w:rPr>
      <w:b w:val="0"/>
      <w:bCs w:val="0"/>
      <w:color w:val="0000FF"/>
      <w:sz w:val="32"/>
      <w:szCs w:val="32"/>
    </w:rPr>
  </w:style>
  <w:style w:type="paragraph" w:customStyle="1" w:styleId="3041">
    <w:name w:val="表标题4.4 行"/>
    <w:basedOn w:val="1"/>
    <w:qFormat/>
    <w:uiPriority w:val="0"/>
    <w:pPr>
      <w:tabs>
        <w:tab w:val="left" w:pos="2723"/>
      </w:tabs>
      <w:spacing w:beforeLines="100" w:line="0" w:lineRule="atLeast"/>
      <w:jc w:val="center"/>
    </w:pPr>
    <w:rPr>
      <w:rFonts w:eastAsia="黑体" w:cs="宋体"/>
      <w:b/>
      <w:bCs/>
      <w:color w:val="000000"/>
      <w:sz w:val="24"/>
      <w:szCs w:val="20"/>
    </w:rPr>
  </w:style>
  <w:style w:type="paragraph" w:customStyle="1" w:styleId="3042">
    <w:name w:val="首选正文"/>
    <w:basedOn w:val="1"/>
    <w:qFormat/>
    <w:uiPriority w:val="0"/>
    <w:pPr>
      <w:widowControl/>
      <w:spacing w:line="460" w:lineRule="exact"/>
      <w:ind w:firstLine="480" w:firstLineChars="200"/>
      <w:jc w:val="left"/>
    </w:pPr>
    <w:rPr>
      <w:rFonts w:cs="宋体"/>
      <w:kern w:val="0"/>
      <w:sz w:val="24"/>
    </w:rPr>
  </w:style>
  <w:style w:type="paragraph" w:customStyle="1" w:styleId="3043">
    <w:name w:val="目次"/>
    <w:basedOn w:val="41"/>
    <w:qFormat/>
    <w:uiPriority w:val="0"/>
    <w:pPr>
      <w:keepNext/>
      <w:tabs>
        <w:tab w:val="left" w:pos="628"/>
        <w:tab w:val="left" w:pos="1727"/>
        <w:tab w:val="left" w:pos="1884"/>
        <w:tab w:val="left" w:pos="2660"/>
        <w:tab w:val="left" w:pos="4325"/>
      </w:tabs>
      <w:adjustRightInd w:val="0"/>
      <w:snapToGrid w:val="0"/>
      <w:spacing w:after="0" w:line="360" w:lineRule="auto"/>
      <w:ind w:firstLine="560" w:firstLineChars="200"/>
      <w:jc w:val="left"/>
    </w:pPr>
    <w:rPr>
      <w:rFonts w:ascii="宋体" w:hAnsi="宋体" w:eastAsia="Times New Roman"/>
      <w:b/>
      <w:bCs/>
      <w:color w:val="000000"/>
      <w:kern w:val="0"/>
      <w:sz w:val="28"/>
      <w:szCs w:val="28"/>
    </w:rPr>
  </w:style>
  <w:style w:type="character" w:customStyle="1" w:styleId="3044">
    <w:name w:val="样式 正文首行缩进 + 四号 Char"/>
    <w:link w:val="3045"/>
    <w:qFormat/>
    <w:locked/>
    <w:uiPriority w:val="0"/>
    <w:rPr>
      <w:rFonts w:ascii="宋体" w:hAnsi="宋体"/>
      <w:sz w:val="28"/>
      <w:szCs w:val="24"/>
    </w:rPr>
  </w:style>
  <w:style w:type="paragraph" w:customStyle="1" w:styleId="3045">
    <w:name w:val="样式 正文首行缩进 + 四号"/>
    <w:basedOn w:val="41"/>
    <w:link w:val="3044"/>
    <w:qFormat/>
    <w:uiPriority w:val="0"/>
    <w:pPr>
      <w:keepLines/>
      <w:tabs>
        <w:tab w:val="left" w:pos="0"/>
        <w:tab w:val="left" w:pos="1727"/>
        <w:tab w:val="left" w:pos="1884"/>
        <w:tab w:val="left" w:pos="8480"/>
      </w:tabs>
      <w:adjustRightInd w:val="0"/>
      <w:snapToGrid w:val="0"/>
      <w:spacing w:before="100" w:beforeAutospacing="1"/>
      <w:ind w:left="-7" w:leftChars="-7"/>
    </w:pPr>
    <w:rPr>
      <w:rFonts w:ascii="宋体" w:hAnsi="宋体"/>
      <w:kern w:val="0"/>
      <w:sz w:val="28"/>
      <w:szCs w:val="24"/>
    </w:rPr>
  </w:style>
  <w:style w:type="paragraph" w:customStyle="1" w:styleId="3046">
    <w:name w:val="样式 表格文字居中 + 左 首行缩进:  0 厘米"/>
    <w:basedOn w:val="1452"/>
    <w:qFormat/>
    <w:uiPriority w:val="0"/>
    <w:pPr>
      <w:keepNext/>
      <w:tabs>
        <w:tab w:val="left" w:pos="628"/>
      </w:tabs>
      <w:snapToGrid/>
      <w:spacing w:line="240" w:lineRule="auto"/>
      <w:ind w:firstLine="0" w:firstLineChars="0"/>
      <w:jc w:val="left"/>
    </w:pPr>
    <w:rPr>
      <w:rFonts w:ascii="宋体" w:hAnsi="宋体" w:eastAsia="Times New Roman" w:cs="宋体"/>
      <w:bCs/>
      <w:color w:val="auto"/>
      <w:kern w:val="0"/>
      <w:sz w:val="24"/>
      <w:szCs w:val="20"/>
    </w:rPr>
  </w:style>
  <w:style w:type="paragraph" w:customStyle="1" w:styleId="3047">
    <w:name w:val="表格03"/>
    <w:basedOn w:val="1"/>
    <w:qFormat/>
    <w:uiPriority w:val="0"/>
    <w:pPr>
      <w:spacing w:line="400" w:lineRule="exact"/>
      <w:jc w:val="center"/>
    </w:pPr>
    <w:rPr>
      <w:szCs w:val="21"/>
    </w:rPr>
  </w:style>
  <w:style w:type="paragraph" w:customStyle="1" w:styleId="3048">
    <w:name w:val="表格01 Char"/>
    <w:basedOn w:val="1"/>
    <w:qFormat/>
    <w:uiPriority w:val="0"/>
    <w:pPr>
      <w:adjustRightInd w:val="0"/>
      <w:snapToGrid w:val="0"/>
      <w:spacing w:line="480" w:lineRule="exact"/>
      <w:jc w:val="center"/>
    </w:pPr>
    <w:rPr>
      <w:rFonts w:cs="宋体"/>
      <w:spacing w:val="-2"/>
      <w:kern w:val="0"/>
      <w:sz w:val="28"/>
      <w:szCs w:val="28"/>
    </w:rPr>
  </w:style>
  <w:style w:type="paragraph" w:customStyle="1" w:styleId="3049">
    <w:name w:val="样式 四号 行距: 固定值 25 磅"/>
    <w:basedOn w:val="1"/>
    <w:qFormat/>
    <w:uiPriority w:val="0"/>
    <w:pPr>
      <w:spacing w:line="480" w:lineRule="atLeast"/>
      <w:ind w:firstLine="200" w:firstLineChars="200"/>
    </w:pPr>
    <w:rPr>
      <w:sz w:val="24"/>
    </w:rPr>
  </w:style>
  <w:style w:type="paragraph" w:customStyle="1" w:styleId="3050">
    <w:name w:val="文"/>
    <w:basedOn w:val="1"/>
    <w:qFormat/>
    <w:uiPriority w:val="0"/>
    <w:pPr>
      <w:spacing w:line="360" w:lineRule="auto"/>
      <w:ind w:firstLine="480" w:firstLineChars="200"/>
    </w:pPr>
    <w:rPr>
      <w:sz w:val="24"/>
    </w:rPr>
  </w:style>
  <w:style w:type="paragraph" w:customStyle="1" w:styleId="3051">
    <w:name w:val="样式 标题 2 + 小四"/>
    <w:basedOn w:val="6"/>
    <w:qFormat/>
    <w:uiPriority w:val="0"/>
    <w:pPr>
      <w:tabs>
        <w:tab w:val="left" w:pos="927"/>
        <w:tab w:val="left" w:pos="1134"/>
      </w:tabs>
      <w:spacing w:line="400" w:lineRule="atLeast"/>
      <w:jc w:val="left"/>
    </w:pPr>
    <w:rPr>
      <w:rFonts w:ascii="Arial" w:hAnsi="Arial" w:eastAsia="黑体"/>
      <w:kern w:val="0"/>
      <w:sz w:val="24"/>
    </w:rPr>
  </w:style>
  <w:style w:type="paragraph" w:customStyle="1" w:styleId="3052">
    <w:name w:val="style5"/>
    <w:basedOn w:val="1"/>
    <w:qFormat/>
    <w:uiPriority w:val="0"/>
    <w:pPr>
      <w:widowControl/>
      <w:spacing w:beforeAutospacing="1" w:afterAutospacing="1"/>
      <w:jc w:val="left"/>
    </w:pPr>
    <w:rPr>
      <w:rFonts w:ascii="宋体" w:hAnsi="宋体" w:cs="宋体"/>
      <w:color w:val="000000"/>
      <w:kern w:val="0"/>
      <w:sz w:val="24"/>
    </w:rPr>
  </w:style>
  <w:style w:type="paragraph" w:customStyle="1" w:styleId="3053">
    <w:name w:val="样式 小四 黑色 首行缩进:  0.74 厘米 行距: 固定值 20 磅"/>
    <w:basedOn w:val="1"/>
    <w:qFormat/>
    <w:uiPriority w:val="0"/>
    <w:pPr>
      <w:spacing w:line="440" w:lineRule="exact"/>
      <w:ind w:firstLine="454"/>
    </w:pPr>
    <w:rPr>
      <w:rFonts w:cs="宋体"/>
      <w:color w:val="000000"/>
      <w:sz w:val="24"/>
      <w:szCs w:val="20"/>
    </w:rPr>
  </w:style>
  <w:style w:type="paragraph" w:customStyle="1" w:styleId="3054">
    <w:name w:val="样式 热电厂正文 + 首行缩进:  2 字符 Char"/>
    <w:basedOn w:val="1"/>
    <w:qFormat/>
    <w:uiPriority w:val="0"/>
    <w:pPr>
      <w:spacing w:line="480" w:lineRule="exact"/>
      <w:ind w:firstLine="480" w:firstLineChars="200"/>
    </w:pPr>
    <w:rPr>
      <w:rFonts w:cs="宋体"/>
      <w:sz w:val="24"/>
    </w:rPr>
  </w:style>
  <w:style w:type="paragraph" w:customStyle="1" w:styleId="3055">
    <w:name w:val="样式 标题 3 + 宋体 黑色 首行缩进:  2 字符 段前: 6 磅 段后: 6 磅 行距: 最小值 24 磅"/>
    <w:basedOn w:val="7"/>
    <w:qFormat/>
    <w:uiPriority w:val="0"/>
    <w:pPr>
      <w:widowControl w:val="0"/>
      <w:tabs>
        <w:tab w:val="left" w:pos="1134"/>
        <w:tab w:val="left" w:pos="1256"/>
      </w:tabs>
      <w:spacing w:line="480" w:lineRule="atLeast"/>
      <w:ind w:firstLine="200" w:firstLineChars="200"/>
      <w:jc w:val="both"/>
    </w:pPr>
    <w:rPr>
      <w:rFonts w:ascii="宋体" w:hAnsi="宋体"/>
      <w:color w:val="000000"/>
      <w:kern w:val="0"/>
      <w:sz w:val="28"/>
      <w:szCs w:val="28"/>
      <w:lang w:val="en-US"/>
    </w:rPr>
  </w:style>
  <w:style w:type="paragraph" w:customStyle="1" w:styleId="3056">
    <w:name w:val="样式 黑体 首行缩进:  2 字符 行距: 最小值 24 磅"/>
    <w:basedOn w:val="1"/>
    <w:qFormat/>
    <w:uiPriority w:val="0"/>
    <w:pPr>
      <w:spacing w:line="480" w:lineRule="atLeast"/>
      <w:ind w:firstLine="480" w:firstLineChars="200"/>
    </w:pPr>
    <w:rPr>
      <w:rFonts w:ascii="黑体" w:eastAsia="黑体" w:cs="宋体"/>
      <w:sz w:val="24"/>
      <w:szCs w:val="20"/>
    </w:rPr>
  </w:style>
  <w:style w:type="character" w:customStyle="1" w:styleId="3057">
    <w:name w:val="样式 热电厂正文 + 首行缩进:  2 字符 Char Char Char Char"/>
    <w:link w:val="3058"/>
    <w:qFormat/>
    <w:locked/>
    <w:uiPriority w:val="0"/>
    <w:rPr>
      <w:rFonts w:ascii="宋体" w:hAnsi="宋体"/>
    </w:rPr>
  </w:style>
  <w:style w:type="paragraph" w:customStyle="1" w:styleId="3058">
    <w:name w:val="样式 热电厂正文 + 首行缩进:  2 字符 Char Char Char"/>
    <w:link w:val="3057"/>
    <w:qFormat/>
    <w:uiPriority w:val="0"/>
    <w:pPr>
      <w:ind w:firstLine="480"/>
    </w:pPr>
    <w:rPr>
      <w:rFonts w:ascii="宋体" w:hAnsi="宋体" w:eastAsia="宋体" w:cs="Calibri"/>
      <w:lang w:val="en-US" w:eastAsia="zh-CN" w:bidi="ar-SA"/>
    </w:rPr>
  </w:style>
  <w:style w:type="paragraph" w:customStyle="1" w:styleId="3059">
    <w:name w:val="样式 标题 3标题 3 Char + 黑色 行距: 固定值 26 磅"/>
    <w:basedOn w:val="7"/>
    <w:qFormat/>
    <w:uiPriority w:val="0"/>
    <w:pPr>
      <w:widowControl w:val="0"/>
      <w:tabs>
        <w:tab w:val="left" w:pos="360"/>
        <w:tab w:val="left" w:pos="1647"/>
      </w:tabs>
      <w:adjustRightInd/>
      <w:snapToGrid/>
      <w:spacing w:line="520" w:lineRule="exact"/>
      <w:ind w:hanging="200" w:hangingChars="200"/>
      <w:jc w:val="both"/>
    </w:pPr>
    <w:rPr>
      <w:rFonts w:ascii="Times New Roman" w:hAnsi="Times New Roman" w:cs="宋体"/>
      <w:kern w:val="0"/>
      <w:sz w:val="30"/>
      <w:szCs w:val="20"/>
      <w:lang w:val="en-US"/>
    </w:rPr>
  </w:style>
  <w:style w:type="paragraph" w:customStyle="1" w:styleId="3060">
    <w:name w:val="样式 热电厂正文 + 四号 首行缩进:  2 字符"/>
    <w:qFormat/>
    <w:uiPriority w:val="0"/>
    <w:rPr>
      <w:rFonts w:ascii="Calibri" w:hAnsi="Calibri" w:eastAsia="宋体" w:cs="宋体"/>
      <w:lang w:val="en-US" w:eastAsia="zh-CN" w:bidi="ar-SA"/>
    </w:rPr>
  </w:style>
  <w:style w:type="paragraph" w:customStyle="1" w:styleId="3061">
    <w:name w:val="样式 首行缩进:  2 字符5"/>
    <w:basedOn w:val="1"/>
    <w:qFormat/>
    <w:uiPriority w:val="0"/>
    <w:pPr>
      <w:spacing w:line="520" w:lineRule="exact"/>
      <w:ind w:firstLine="560" w:firstLineChars="200"/>
    </w:pPr>
    <w:rPr>
      <w:rFonts w:cs="宋体"/>
      <w:sz w:val="24"/>
      <w:szCs w:val="20"/>
    </w:rPr>
  </w:style>
  <w:style w:type="character" w:customStyle="1" w:styleId="3062">
    <w:name w:val="样式 样式 首行缩进:  2 字符 行距: 最小值 24 磅 + 首行缩进:  2 字符 Char Char Char"/>
    <w:link w:val="3063"/>
    <w:qFormat/>
    <w:locked/>
    <w:uiPriority w:val="0"/>
    <w:rPr>
      <w:rFonts w:ascii="宋体" w:hAnsi="宋体"/>
      <w:sz w:val="24"/>
      <w:szCs w:val="24"/>
    </w:rPr>
  </w:style>
  <w:style w:type="paragraph" w:customStyle="1" w:styleId="3063">
    <w:name w:val="样式 样式 首行缩进:  2 字符 行距: 最小值 24 磅 + 首行缩进:  2 字符 Char Char"/>
    <w:basedOn w:val="1"/>
    <w:link w:val="3062"/>
    <w:qFormat/>
    <w:uiPriority w:val="0"/>
    <w:pPr>
      <w:spacing w:line="480" w:lineRule="atLeast"/>
      <w:ind w:firstLine="480" w:firstLineChars="200"/>
    </w:pPr>
    <w:rPr>
      <w:rFonts w:ascii="宋体" w:hAnsi="宋体"/>
      <w:kern w:val="0"/>
      <w:sz w:val="24"/>
    </w:rPr>
  </w:style>
  <w:style w:type="character" w:customStyle="1" w:styleId="3064">
    <w:name w:val="样式 首行缩进:  2 字符 行距: 最小值 24 磅 Char Char Char"/>
    <w:link w:val="3065"/>
    <w:semiHidden/>
    <w:qFormat/>
    <w:locked/>
    <w:uiPriority w:val="0"/>
    <w:rPr>
      <w:rFonts w:ascii="宋体" w:hAnsi="宋体"/>
      <w:sz w:val="24"/>
      <w:szCs w:val="24"/>
    </w:rPr>
  </w:style>
  <w:style w:type="paragraph" w:customStyle="1" w:styleId="3065">
    <w:name w:val="样式 首行缩进:  2 字符 行距: 最小值 24 磅 Char Char"/>
    <w:basedOn w:val="1"/>
    <w:link w:val="3064"/>
    <w:semiHidden/>
    <w:qFormat/>
    <w:uiPriority w:val="0"/>
    <w:pPr>
      <w:spacing w:line="480" w:lineRule="atLeast"/>
      <w:ind w:firstLine="560" w:firstLineChars="200"/>
    </w:pPr>
    <w:rPr>
      <w:rFonts w:ascii="宋体" w:hAnsi="宋体"/>
      <w:kern w:val="0"/>
      <w:sz w:val="24"/>
    </w:rPr>
  </w:style>
  <w:style w:type="paragraph" w:customStyle="1" w:styleId="3066">
    <w:name w:val="表头样式1"/>
    <w:basedOn w:val="1"/>
    <w:link w:val="3067"/>
    <w:qFormat/>
    <w:uiPriority w:val="0"/>
    <w:pPr>
      <w:autoSpaceDE w:val="0"/>
      <w:autoSpaceDN w:val="0"/>
      <w:adjustRightInd w:val="0"/>
      <w:spacing w:beforeLines="30"/>
      <w:jc w:val="center"/>
    </w:pPr>
    <w:rPr>
      <w:rFonts w:ascii="黑体" w:hAnsi="宋体" w:eastAsia="黑体"/>
      <w:color w:val="000000"/>
      <w:kern w:val="0"/>
      <w:sz w:val="24"/>
    </w:rPr>
  </w:style>
  <w:style w:type="character" w:customStyle="1" w:styleId="3067">
    <w:name w:val="表头样式1 Char1"/>
    <w:link w:val="3066"/>
    <w:qFormat/>
    <w:uiPriority w:val="0"/>
    <w:rPr>
      <w:rFonts w:ascii="黑体" w:hAnsi="宋体" w:eastAsia="黑体"/>
      <w:color w:val="000000"/>
      <w:sz w:val="24"/>
      <w:szCs w:val="24"/>
    </w:rPr>
  </w:style>
  <w:style w:type="paragraph" w:customStyle="1" w:styleId="3068">
    <w:name w:val="样式 标题 3标题 3 Char + 小四 黑色"/>
    <w:basedOn w:val="7"/>
    <w:qFormat/>
    <w:uiPriority w:val="0"/>
    <w:pPr>
      <w:widowControl w:val="0"/>
      <w:tabs>
        <w:tab w:val="left" w:pos="360"/>
        <w:tab w:val="left" w:pos="1647"/>
      </w:tabs>
      <w:adjustRightInd/>
      <w:snapToGrid/>
      <w:spacing w:line="480" w:lineRule="atLeast"/>
      <w:ind w:hanging="200" w:hangingChars="200"/>
      <w:jc w:val="both"/>
    </w:pPr>
    <w:rPr>
      <w:rFonts w:ascii="Times New Roman" w:hAnsi="Times New Roman"/>
      <w:color w:val="000000"/>
      <w:kern w:val="0"/>
      <w:sz w:val="28"/>
      <w:szCs w:val="24"/>
      <w:lang w:val="en-US"/>
    </w:rPr>
  </w:style>
  <w:style w:type="paragraph" w:customStyle="1" w:styleId="3069">
    <w:name w:val="样式 标题 3标题 3 Char + 段前: 0 磅 段后: 0 磅 行距: 最小值 24 磅"/>
    <w:basedOn w:val="7"/>
    <w:qFormat/>
    <w:uiPriority w:val="0"/>
    <w:pPr>
      <w:widowControl w:val="0"/>
      <w:tabs>
        <w:tab w:val="left" w:pos="360"/>
        <w:tab w:val="left" w:pos="1647"/>
      </w:tabs>
      <w:adjustRightInd/>
      <w:snapToGrid/>
      <w:spacing w:line="480" w:lineRule="atLeast"/>
      <w:ind w:hanging="200" w:hangingChars="200"/>
      <w:jc w:val="both"/>
    </w:pPr>
    <w:rPr>
      <w:rFonts w:ascii="Times New Roman" w:hAnsi="Times New Roman" w:cs="宋体"/>
      <w:kern w:val="0"/>
      <w:sz w:val="30"/>
      <w:szCs w:val="20"/>
      <w:lang w:val="en-US"/>
    </w:rPr>
  </w:style>
  <w:style w:type="paragraph" w:customStyle="1" w:styleId="3070">
    <w:name w:val="样式 首行缩进:  2 字符9"/>
    <w:basedOn w:val="1"/>
    <w:qFormat/>
    <w:uiPriority w:val="0"/>
    <w:pPr>
      <w:spacing w:line="520" w:lineRule="exact"/>
      <w:ind w:firstLine="560" w:firstLineChars="200"/>
    </w:pPr>
    <w:rPr>
      <w:rFonts w:cs="宋体"/>
      <w:sz w:val="24"/>
      <w:szCs w:val="20"/>
    </w:rPr>
  </w:style>
  <w:style w:type="paragraph" w:customStyle="1" w:styleId="3071">
    <w:name w:val="样式 样式 首行缩进:  2 字符19 + 首行缩进:  2 字符"/>
    <w:basedOn w:val="1"/>
    <w:qFormat/>
    <w:uiPriority w:val="0"/>
    <w:pPr>
      <w:spacing w:line="520" w:lineRule="exact"/>
      <w:ind w:firstLine="480" w:firstLineChars="200"/>
    </w:pPr>
    <w:rPr>
      <w:rFonts w:cs="宋体"/>
      <w:sz w:val="24"/>
      <w:szCs w:val="20"/>
    </w:rPr>
  </w:style>
  <w:style w:type="paragraph" w:customStyle="1" w:styleId="3072">
    <w:name w:val="样式 标题 1 + 首行缩进:  2 字符 段前: 12 磅 段后: 12 磅 行距: 最小值 24 磅"/>
    <w:basedOn w:val="5"/>
    <w:qFormat/>
    <w:uiPriority w:val="0"/>
    <w:pPr>
      <w:keepLines/>
      <w:tabs>
        <w:tab w:val="left" w:pos="1134"/>
      </w:tabs>
      <w:overflowPunct/>
      <w:adjustRightInd w:val="0"/>
      <w:spacing w:before="0" w:after="0" w:line="480" w:lineRule="atLeast"/>
      <w:ind w:left="0" w:firstLine="0"/>
    </w:pPr>
    <w:rPr>
      <w:rFonts w:eastAsia="宋体"/>
      <w:color w:val="auto"/>
      <w:sz w:val="32"/>
      <w:szCs w:val="20"/>
    </w:rPr>
  </w:style>
  <w:style w:type="paragraph" w:customStyle="1" w:styleId="3073">
    <w:name w:val="样式 标题 2 + 段前: 6 磅 段后: 6 磅 行距: 最小值 24 磅"/>
    <w:basedOn w:val="6"/>
    <w:qFormat/>
    <w:uiPriority w:val="0"/>
    <w:pPr>
      <w:tabs>
        <w:tab w:val="left" w:pos="927"/>
        <w:tab w:val="left" w:pos="1134"/>
      </w:tabs>
      <w:adjustRightInd w:val="0"/>
      <w:snapToGrid w:val="0"/>
      <w:spacing w:line="480" w:lineRule="atLeast"/>
    </w:pPr>
    <w:rPr>
      <w:rFonts w:ascii="Times New Roman" w:hAnsi="Times New Roman" w:eastAsia="宋体"/>
      <w:b w:val="0"/>
      <w:kern w:val="0"/>
      <w:sz w:val="30"/>
      <w:szCs w:val="30"/>
    </w:rPr>
  </w:style>
  <w:style w:type="paragraph" w:customStyle="1" w:styleId="3074">
    <w:name w:val="样式 样式 标题 3 + 宋体 黑色 首行缩进:  2 字符 段前: 6 磅 段后: 6 磅 行距: 最小值 24 磅 + 首行..."/>
    <w:basedOn w:val="3055"/>
    <w:qFormat/>
    <w:uiPriority w:val="0"/>
    <w:pPr>
      <w:ind w:firstLine="562"/>
    </w:pPr>
    <w:rPr>
      <w:rFonts w:ascii="Times New Roman" w:hAnsi="Times New Roman"/>
    </w:rPr>
  </w:style>
  <w:style w:type="paragraph" w:customStyle="1" w:styleId="3075">
    <w:name w:val="样式 标题 3 + 首行缩进:  2 字符 段前: 6 磅 段后: 6 磅 行距: 最小值 24 磅"/>
    <w:basedOn w:val="7"/>
    <w:qFormat/>
    <w:uiPriority w:val="0"/>
    <w:pPr>
      <w:widowControl w:val="0"/>
      <w:tabs>
        <w:tab w:val="left" w:pos="1134"/>
        <w:tab w:val="left" w:pos="1256"/>
      </w:tabs>
      <w:spacing w:line="480" w:lineRule="atLeast"/>
      <w:ind w:firstLine="100" w:firstLineChars="100"/>
      <w:jc w:val="both"/>
    </w:pPr>
    <w:rPr>
      <w:rFonts w:ascii="Times New Roman" w:hAnsi="Times New Roman"/>
      <w:kern w:val="0"/>
      <w:sz w:val="28"/>
      <w:szCs w:val="28"/>
      <w:lang w:val="en-US"/>
    </w:rPr>
  </w:style>
  <w:style w:type="paragraph" w:customStyle="1" w:styleId="3076">
    <w:name w:val="样式 标题 4 + 首行缩进:  2 字符1"/>
    <w:basedOn w:val="8"/>
    <w:qFormat/>
    <w:uiPriority w:val="0"/>
    <w:pPr>
      <w:numPr>
        <w:ilvl w:val="0"/>
        <w:numId w:val="0"/>
      </w:numPr>
      <w:tabs>
        <w:tab w:val="left" w:pos="1134"/>
        <w:tab w:val="left" w:pos="1630"/>
      </w:tabs>
      <w:adjustRightInd w:val="0"/>
      <w:snapToGrid w:val="0"/>
      <w:spacing w:line="480" w:lineRule="atLeast"/>
      <w:ind w:firstLine="480" w:firstLineChars="200"/>
    </w:pPr>
    <w:rPr>
      <w:rFonts w:eastAsia="宋体"/>
      <w:bCs w:val="0"/>
      <w:kern w:val="0"/>
      <w:sz w:val="24"/>
      <w:szCs w:val="24"/>
    </w:rPr>
  </w:style>
  <w:style w:type="paragraph" w:customStyle="1" w:styleId="3077">
    <w:name w:val="样式 标题 4 + 四号"/>
    <w:basedOn w:val="8"/>
    <w:qFormat/>
    <w:uiPriority w:val="0"/>
    <w:pPr>
      <w:widowControl/>
      <w:numPr>
        <w:ilvl w:val="0"/>
        <w:numId w:val="0"/>
      </w:numPr>
      <w:tabs>
        <w:tab w:val="left" w:pos="1134"/>
        <w:tab w:val="left" w:pos="1630"/>
      </w:tabs>
      <w:snapToGrid w:val="0"/>
      <w:spacing w:line="480" w:lineRule="atLeast"/>
      <w:ind w:firstLine="200" w:firstLineChars="200"/>
    </w:pPr>
    <w:rPr>
      <w:rFonts w:ascii="Times New Roman" w:hAnsi="Times New Roman" w:eastAsia="宋体"/>
      <w:b w:val="0"/>
      <w:bCs w:val="0"/>
      <w:kern w:val="0"/>
      <w:sz w:val="24"/>
      <w:szCs w:val="24"/>
    </w:rPr>
  </w:style>
  <w:style w:type="paragraph" w:customStyle="1" w:styleId="3078">
    <w:name w:val="样式 样式 标题 3 + 首行缩进:  2 字符 段前: 6 磅 段后: 6 磅 行距: 最小值 24 磅 + 首行缩进:  1..."/>
    <w:basedOn w:val="3075"/>
    <w:qFormat/>
    <w:uiPriority w:val="0"/>
    <w:pPr>
      <w:ind w:firstLine="280"/>
    </w:pPr>
    <w:rPr>
      <w:rFonts w:cs="宋体"/>
      <w:b w:val="0"/>
    </w:rPr>
  </w:style>
  <w:style w:type="paragraph" w:customStyle="1" w:styleId="3079">
    <w:name w:val="样式 样式 标题 4 + 四号 + 首行缩进:  2 字符"/>
    <w:basedOn w:val="3077"/>
    <w:qFormat/>
    <w:uiPriority w:val="0"/>
    <w:rPr>
      <w:rFonts w:cs="宋体"/>
      <w:szCs w:val="20"/>
    </w:rPr>
  </w:style>
  <w:style w:type="paragraph" w:customStyle="1" w:styleId="3080">
    <w:name w:val="样式 正文文本缩进 + 小四 非加粗 非倾斜 行距: 固定值 20 磅"/>
    <w:basedOn w:val="35"/>
    <w:qFormat/>
    <w:uiPriority w:val="0"/>
    <w:pPr>
      <w:spacing w:line="440" w:lineRule="exact"/>
      <w:ind w:left="0" w:leftChars="0" w:firstLine="454"/>
    </w:pPr>
    <w:rPr>
      <w:rFonts w:eastAsia="Times New Roman"/>
    </w:rPr>
  </w:style>
  <w:style w:type="paragraph" w:customStyle="1" w:styleId="3081">
    <w:name w:val="样式 热电厂正文 + 首行缩进:  2 字符 Char Char"/>
    <w:basedOn w:val="2728"/>
    <w:qFormat/>
    <w:uiPriority w:val="0"/>
    <w:pPr>
      <w:spacing w:line="480" w:lineRule="exact"/>
    </w:pPr>
    <w:rPr>
      <w:rFonts w:cs="宋体"/>
    </w:rPr>
  </w:style>
  <w:style w:type="paragraph" w:customStyle="1" w:styleId="3082">
    <w:name w:val="样式 样式 首行缩进:  2 字符 行距: 最小值 24 磅 + 首行缩进:  2 字符 Char"/>
    <w:basedOn w:val="1"/>
    <w:qFormat/>
    <w:uiPriority w:val="0"/>
    <w:pPr>
      <w:spacing w:line="480" w:lineRule="atLeast"/>
      <w:ind w:firstLine="480" w:firstLineChars="200"/>
    </w:pPr>
    <w:rPr>
      <w:rFonts w:cs="宋体"/>
      <w:sz w:val="24"/>
    </w:rPr>
  </w:style>
  <w:style w:type="paragraph" w:customStyle="1" w:styleId="3083">
    <w:name w:val=".€·..‘ .€·..‘ ..￡............è.. + .￥·..fi_GB2312 é|.è.....è..:  2 .....| ..μ.’”: 0.3 è.. è..è·.: 1.5 ..“è..è·. + é|.è.........&quot;"/>
    <w:basedOn w:val="2"/>
    <w:next w:val="2"/>
    <w:qFormat/>
    <w:uiPriority w:val="0"/>
    <w:pPr>
      <w:suppressAutoHyphens w:val="0"/>
      <w:adjustRightInd w:val="0"/>
      <w:spacing w:after="30"/>
      <w:textAlignment w:val="auto"/>
    </w:pPr>
    <w:rPr>
      <w:rFonts w:ascii="Kai Titling" w:hAnsi="Times New Roman" w:eastAsia="Kai Titling" w:cs="Times New Roman"/>
      <w:color w:val="auto"/>
    </w:rPr>
  </w:style>
  <w:style w:type="paragraph" w:customStyle="1" w:styleId="3084">
    <w:name w:val="表－索引"/>
    <w:basedOn w:val="1"/>
    <w:qFormat/>
    <w:uiPriority w:val="0"/>
    <w:pPr>
      <w:spacing w:line="360" w:lineRule="auto"/>
      <w:jc w:val="center"/>
    </w:pPr>
    <w:rPr>
      <w:sz w:val="24"/>
      <w:szCs w:val="20"/>
    </w:rPr>
  </w:style>
  <w:style w:type="paragraph" w:customStyle="1" w:styleId="3085">
    <w:name w:val="样式 标题 2节标题 1.1标题 2 Char1标题 2 Char Char1.1标题 21.1标题2标题 2 C..."/>
    <w:basedOn w:val="6"/>
    <w:qFormat/>
    <w:uiPriority w:val="0"/>
    <w:pPr>
      <w:tabs>
        <w:tab w:val="left" w:pos="927"/>
      </w:tabs>
      <w:spacing w:line="480" w:lineRule="exact"/>
      <w:ind w:firstLine="567"/>
    </w:pPr>
    <w:rPr>
      <w:rFonts w:ascii="Times New Roman" w:hAnsi="Times New Roman" w:eastAsia="宋体"/>
      <w:kern w:val="0"/>
      <w:sz w:val="28"/>
    </w:rPr>
  </w:style>
  <w:style w:type="paragraph" w:customStyle="1" w:styleId="3086">
    <w:name w:val="Char2 Char Char Char"/>
    <w:basedOn w:val="1"/>
    <w:qFormat/>
    <w:uiPriority w:val="0"/>
    <w:pPr>
      <w:autoSpaceDE w:val="0"/>
      <w:autoSpaceDN w:val="0"/>
      <w:adjustRightInd w:val="0"/>
      <w:snapToGrid w:val="0"/>
      <w:spacing w:line="360" w:lineRule="auto"/>
      <w:ind w:firstLine="560" w:firstLineChars="200"/>
    </w:pPr>
    <w:rPr>
      <w:rFonts w:ascii="宋体" w:hAnsi="宋体" w:eastAsia="仿宋_GB2312"/>
      <w:color w:val="000000"/>
      <w:sz w:val="24"/>
    </w:rPr>
  </w:style>
  <w:style w:type="paragraph" w:customStyle="1" w:styleId="3087">
    <w:name w:val="Char Char1 Char Char Char Char Char Char Char Char Char Char Char Char Char Char1 Char Char Char Char Char Char1"/>
    <w:basedOn w:val="1"/>
    <w:qFormat/>
    <w:uiPriority w:val="0"/>
    <w:pPr>
      <w:widowControl/>
      <w:spacing w:line="300" w:lineRule="auto"/>
      <w:ind w:firstLine="200" w:firstLineChars="200"/>
    </w:pPr>
  </w:style>
  <w:style w:type="character" w:customStyle="1" w:styleId="3088">
    <w:name w:val="正文-自建 Char"/>
    <w:link w:val="3089"/>
    <w:qFormat/>
    <w:locked/>
    <w:uiPriority w:val="0"/>
    <w:rPr>
      <w:sz w:val="28"/>
      <w:szCs w:val="28"/>
    </w:rPr>
  </w:style>
  <w:style w:type="paragraph" w:customStyle="1" w:styleId="3089">
    <w:name w:val="正文-自建"/>
    <w:basedOn w:val="21"/>
    <w:link w:val="3088"/>
    <w:qFormat/>
    <w:uiPriority w:val="0"/>
    <w:pPr>
      <w:keepNext w:val="0"/>
      <w:spacing w:line="600" w:lineRule="exact"/>
      <w:ind w:firstLine="200" w:firstLineChars="200"/>
      <w:jc w:val="both"/>
    </w:pPr>
    <w:rPr>
      <w:rFonts w:ascii="Times New Roman" w:hAnsi="Times New Roman"/>
      <w:bCs w:val="0"/>
      <w:sz w:val="28"/>
      <w:szCs w:val="28"/>
    </w:rPr>
  </w:style>
  <w:style w:type="paragraph" w:customStyle="1" w:styleId="3090">
    <w:name w:val="样式 行距: 固定值 24 磅"/>
    <w:basedOn w:val="1"/>
    <w:qFormat/>
    <w:uiPriority w:val="0"/>
    <w:pPr>
      <w:spacing w:line="480" w:lineRule="exact"/>
      <w:ind w:firstLine="200" w:firstLineChars="200"/>
    </w:pPr>
    <w:rPr>
      <w:sz w:val="24"/>
      <w:szCs w:val="20"/>
    </w:rPr>
  </w:style>
  <w:style w:type="paragraph" w:customStyle="1" w:styleId="3091">
    <w:name w:val="Pa1"/>
    <w:basedOn w:val="1"/>
    <w:next w:val="1"/>
    <w:qFormat/>
    <w:uiPriority w:val="0"/>
    <w:pPr>
      <w:autoSpaceDE w:val="0"/>
      <w:autoSpaceDN w:val="0"/>
      <w:spacing w:line="221" w:lineRule="atLeast"/>
      <w:jc w:val="left"/>
    </w:pPr>
    <w:rPr>
      <w:rFonts w:ascii="黑体" w:hAnsi="黑体" w:eastAsia="黑体"/>
      <w:color w:val="000000"/>
      <w:kern w:val="0"/>
      <w:sz w:val="24"/>
      <w:szCs w:val="20"/>
    </w:rPr>
  </w:style>
  <w:style w:type="paragraph" w:customStyle="1" w:styleId="3092">
    <w:name w:val="Pa3"/>
    <w:basedOn w:val="2"/>
    <w:next w:val="2"/>
    <w:qFormat/>
    <w:uiPriority w:val="0"/>
    <w:pPr>
      <w:suppressAutoHyphens w:val="0"/>
      <w:spacing w:line="241" w:lineRule="atLeast"/>
      <w:textAlignment w:val="auto"/>
    </w:pPr>
    <w:rPr>
      <w:rFonts w:ascii="黑体" w:hAnsi="黑体" w:eastAsia="黑体" w:cs="Times New Roman"/>
      <w:szCs w:val="20"/>
    </w:rPr>
  </w:style>
  <w:style w:type="paragraph" w:customStyle="1" w:styleId="3093">
    <w:name w:val="Pa9"/>
    <w:basedOn w:val="1"/>
    <w:next w:val="1"/>
    <w:qFormat/>
    <w:uiPriority w:val="0"/>
    <w:pPr>
      <w:autoSpaceDE w:val="0"/>
      <w:autoSpaceDN w:val="0"/>
      <w:adjustRightInd w:val="0"/>
      <w:spacing w:line="221" w:lineRule="atLeast"/>
      <w:jc w:val="left"/>
    </w:pPr>
    <w:rPr>
      <w:rFonts w:ascii="黑体" w:eastAsia="黑体"/>
      <w:kern w:val="0"/>
      <w:sz w:val="24"/>
    </w:rPr>
  </w:style>
  <w:style w:type="paragraph" w:customStyle="1" w:styleId="3094">
    <w:name w:val="中文报告书样式 Char"/>
    <w:basedOn w:val="1"/>
    <w:qFormat/>
    <w:uiPriority w:val="0"/>
    <w:pPr>
      <w:adjustRightInd w:val="0"/>
      <w:spacing w:line="480" w:lineRule="atLeast"/>
      <w:ind w:firstLine="482"/>
    </w:pPr>
    <w:rPr>
      <w:kern w:val="24"/>
      <w:sz w:val="24"/>
      <w:szCs w:val="20"/>
    </w:rPr>
  </w:style>
  <w:style w:type="paragraph" w:customStyle="1" w:styleId="3095">
    <w:name w:val="秦皇岛正文"/>
    <w:basedOn w:val="1"/>
    <w:qFormat/>
    <w:uiPriority w:val="0"/>
    <w:pPr>
      <w:spacing w:line="400" w:lineRule="exact"/>
      <w:ind w:firstLine="200" w:firstLineChars="200"/>
    </w:pPr>
    <w:rPr>
      <w:rFonts w:ascii="宋体" w:hAnsi="宋体"/>
      <w:sz w:val="24"/>
    </w:rPr>
  </w:style>
  <w:style w:type="paragraph" w:customStyle="1" w:styleId="3096">
    <w:name w:val="正文内容"/>
    <w:basedOn w:val="1"/>
    <w:qFormat/>
    <w:uiPriority w:val="0"/>
    <w:pPr>
      <w:widowControl/>
      <w:snapToGrid w:val="0"/>
      <w:spacing w:line="276" w:lineRule="auto"/>
      <w:ind w:firstLine="425"/>
    </w:pPr>
    <w:rPr>
      <w:kern w:val="0"/>
      <w:sz w:val="24"/>
      <w:szCs w:val="20"/>
    </w:rPr>
  </w:style>
  <w:style w:type="character" w:customStyle="1" w:styleId="3097">
    <w:name w:val="0-4 Char"/>
    <w:link w:val="3098"/>
    <w:qFormat/>
    <w:locked/>
    <w:uiPriority w:val="0"/>
    <w:rPr>
      <w:rFonts w:ascii="宋体" w:hAnsi="宋体"/>
      <w:sz w:val="24"/>
      <w:szCs w:val="24"/>
    </w:rPr>
  </w:style>
  <w:style w:type="paragraph" w:customStyle="1" w:styleId="3098">
    <w:name w:val="0-4"/>
    <w:basedOn w:val="1"/>
    <w:link w:val="3097"/>
    <w:qFormat/>
    <w:uiPriority w:val="0"/>
    <w:pPr>
      <w:spacing w:line="440" w:lineRule="exact"/>
      <w:ind w:firstLine="480" w:firstLineChars="200"/>
    </w:pPr>
    <w:rPr>
      <w:rFonts w:ascii="宋体" w:hAnsi="宋体"/>
      <w:kern w:val="0"/>
      <w:sz w:val="24"/>
    </w:rPr>
  </w:style>
  <w:style w:type="paragraph" w:customStyle="1" w:styleId="3099">
    <w:name w:val="宋体 13 磅 行距: 固定值 24 磅"/>
    <w:basedOn w:val="1"/>
    <w:qFormat/>
    <w:uiPriority w:val="0"/>
    <w:pPr>
      <w:spacing w:line="480" w:lineRule="exact"/>
      <w:ind w:firstLine="520" w:firstLineChars="200"/>
    </w:pPr>
    <w:rPr>
      <w:rFonts w:ascii="宋体" w:hAnsi="宋体" w:cs="宋体"/>
      <w:sz w:val="26"/>
      <w:szCs w:val="20"/>
    </w:rPr>
  </w:style>
  <w:style w:type="paragraph" w:customStyle="1" w:styleId="3100">
    <w:name w:val="(1)"/>
    <w:basedOn w:val="1"/>
    <w:qFormat/>
    <w:uiPriority w:val="0"/>
    <w:rPr>
      <w:sz w:val="24"/>
      <w:szCs w:val="20"/>
    </w:rPr>
  </w:style>
  <w:style w:type="character" w:customStyle="1" w:styleId="3101">
    <w:name w:val="正文部分 Char Char"/>
    <w:link w:val="3102"/>
    <w:qFormat/>
    <w:locked/>
    <w:uiPriority w:val="0"/>
    <w:rPr>
      <w:rFonts w:ascii="Arial" w:hAnsi="Arial"/>
      <w:sz w:val="24"/>
      <w:szCs w:val="24"/>
    </w:rPr>
  </w:style>
  <w:style w:type="paragraph" w:customStyle="1" w:styleId="3102">
    <w:name w:val="正文部分"/>
    <w:basedOn w:val="1"/>
    <w:link w:val="3101"/>
    <w:qFormat/>
    <w:uiPriority w:val="0"/>
    <w:pPr>
      <w:spacing w:line="360" w:lineRule="auto"/>
      <w:ind w:firstLine="480" w:firstLineChars="200"/>
    </w:pPr>
    <w:rPr>
      <w:rFonts w:ascii="Arial" w:hAnsi="Arial"/>
      <w:kern w:val="0"/>
      <w:sz w:val="24"/>
    </w:rPr>
  </w:style>
  <w:style w:type="paragraph" w:customStyle="1" w:styleId="3103">
    <w:name w:val="fix"/>
    <w:basedOn w:val="1"/>
    <w:qFormat/>
    <w:uiPriority w:val="0"/>
    <w:pPr>
      <w:widowControl/>
      <w:spacing w:beforeAutospacing="1" w:afterAutospacing="1" w:line="288" w:lineRule="auto"/>
      <w:jc w:val="left"/>
    </w:pPr>
    <w:rPr>
      <w:rFonts w:ascii="ˎ̥" w:hAnsi="ˎ̥" w:cs="宋体"/>
      <w:color w:val="000000"/>
      <w:kern w:val="0"/>
      <w:sz w:val="20"/>
      <w:szCs w:val="20"/>
    </w:rPr>
  </w:style>
  <w:style w:type="paragraph" w:customStyle="1" w:styleId="3104">
    <w:name w:val="_Style 19"/>
    <w:basedOn w:val="1"/>
    <w:qFormat/>
    <w:uiPriority w:val="0"/>
    <w:pPr>
      <w:widowControl/>
      <w:spacing w:line="240" w:lineRule="exact"/>
      <w:jc w:val="left"/>
    </w:pPr>
    <w:rPr>
      <w:szCs w:val="20"/>
    </w:rPr>
  </w:style>
  <w:style w:type="paragraph" w:customStyle="1" w:styleId="3105">
    <w:name w:val="Char Char7 Char Char Char Char Char Char1"/>
    <w:basedOn w:val="7"/>
    <w:qFormat/>
    <w:uiPriority w:val="0"/>
    <w:pPr>
      <w:widowControl w:val="0"/>
      <w:tabs>
        <w:tab w:val="left" w:pos="360"/>
        <w:tab w:val="left" w:pos="900"/>
      </w:tabs>
      <w:adjustRightInd/>
      <w:spacing w:line="360" w:lineRule="auto"/>
      <w:ind w:left="-12" w:leftChars="-12" w:firstLine="200" w:firstLineChars="200"/>
    </w:pPr>
    <w:rPr>
      <w:rFonts w:ascii="Times New Roman" w:hAnsi="Times New Roman" w:eastAsia="黑体"/>
      <w:b w:val="0"/>
      <w:bCs w:val="0"/>
      <w:kern w:val="0"/>
      <w:sz w:val="24"/>
      <w:szCs w:val="24"/>
      <w:lang w:val="en-US"/>
    </w:rPr>
  </w:style>
  <w:style w:type="paragraph" w:customStyle="1" w:styleId="3106">
    <w:name w:val="Char Char Char1 Char11"/>
    <w:basedOn w:val="1"/>
    <w:qFormat/>
    <w:uiPriority w:val="0"/>
    <w:pPr>
      <w:adjustRightInd w:val="0"/>
      <w:snapToGrid w:val="0"/>
      <w:ind w:left="-45"/>
    </w:pPr>
  </w:style>
  <w:style w:type="character" w:customStyle="1" w:styleId="3107">
    <w:name w:val="yyp Char"/>
    <w:link w:val="3108"/>
    <w:qFormat/>
    <w:locked/>
    <w:uiPriority w:val="0"/>
    <w:rPr>
      <w:sz w:val="24"/>
      <w:szCs w:val="24"/>
    </w:rPr>
  </w:style>
  <w:style w:type="paragraph" w:customStyle="1" w:styleId="3108">
    <w:name w:val="yyp"/>
    <w:basedOn w:val="41"/>
    <w:link w:val="3107"/>
    <w:qFormat/>
    <w:uiPriority w:val="0"/>
    <w:pPr>
      <w:spacing w:line="360" w:lineRule="auto"/>
      <w:ind w:firstLine="480" w:firstLineChars="200"/>
    </w:pPr>
    <w:rPr>
      <w:kern w:val="0"/>
      <w:sz w:val="24"/>
      <w:szCs w:val="24"/>
    </w:rPr>
  </w:style>
  <w:style w:type="paragraph" w:customStyle="1" w:styleId="3109">
    <w:name w:val="X-正文"/>
    <w:basedOn w:val="1"/>
    <w:qFormat/>
    <w:uiPriority w:val="0"/>
    <w:pPr>
      <w:adjustRightInd w:val="0"/>
      <w:snapToGrid w:val="0"/>
      <w:spacing w:line="360" w:lineRule="auto"/>
      <w:ind w:firstLine="200" w:firstLineChars="200"/>
      <w:jc w:val="left"/>
    </w:pPr>
    <w:rPr>
      <w:rFonts w:ascii="宋体" w:hAnsi="宋体" w:eastAsia="楷体_GB2312"/>
      <w:sz w:val="24"/>
    </w:rPr>
  </w:style>
  <w:style w:type="character" w:customStyle="1" w:styleId="3110">
    <w:name w:val="武正文 Char"/>
    <w:link w:val="3111"/>
    <w:qFormat/>
    <w:locked/>
    <w:uiPriority w:val="0"/>
    <w:rPr>
      <w:color w:val="000000"/>
      <w:sz w:val="24"/>
      <w:szCs w:val="24"/>
    </w:rPr>
  </w:style>
  <w:style w:type="paragraph" w:customStyle="1" w:styleId="3111">
    <w:name w:val="武正文"/>
    <w:basedOn w:val="1"/>
    <w:link w:val="3110"/>
    <w:qFormat/>
    <w:uiPriority w:val="0"/>
    <w:pPr>
      <w:spacing w:line="460" w:lineRule="exact"/>
      <w:ind w:firstLine="200" w:firstLineChars="200"/>
    </w:pPr>
    <w:rPr>
      <w:color w:val="000000"/>
      <w:kern w:val="0"/>
      <w:sz w:val="24"/>
    </w:rPr>
  </w:style>
  <w:style w:type="paragraph" w:customStyle="1" w:styleId="3112">
    <w:name w:val="正文-报告书"/>
    <w:basedOn w:val="1"/>
    <w:qFormat/>
    <w:uiPriority w:val="0"/>
    <w:pPr>
      <w:spacing w:line="460" w:lineRule="exact"/>
      <w:ind w:firstLine="480" w:firstLineChars="200"/>
    </w:pPr>
    <w:rPr>
      <w:sz w:val="24"/>
    </w:rPr>
  </w:style>
  <w:style w:type="paragraph" w:customStyle="1" w:styleId="3113">
    <w:name w:val="表内序号"/>
    <w:basedOn w:val="1"/>
    <w:qFormat/>
    <w:uiPriority w:val="0"/>
    <w:pPr>
      <w:widowControl/>
      <w:adjustRightInd w:val="0"/>
      <w:snapToGrid w:val="0"/>
      <w:spacing w:line="360" w:lineRule="auto"/>
      <w:ind w:right="-47" w:rightChars="-47"/>
      <w:jc w:val="center"/>
    </w:pPr>
    <w:rPr>
      <w:kern w:val="0"/>
      <w:sz w:val="24"/>
      <w:szCs w:val="20"/>
    </w:rPr>
  </w:style>
  <w:style w:type="paragraph" w:customStyle="1" w:styleId="3114">
    <w:name w:val="表格标题-报告书"/>
    <w:basedOn w:val="1"/>
    <w:next w:val="1"/>
    <w:qFormat/>
    <w:uiPriority w:val="0"/>
    <w:pPr>
      <w:spacing w:beforeLines="50"/>
      <w:jc w:val="center"/>
    </w:pPr>
    <w:rPr>
      <w:rFonts w:eastAsia="华文中宋"/>
      <w:kern w:val="24"/>
      <w:szCs w:val="21"/>
    </w:rPr>
  </w:style>
  <w:style w:type="paragraph" w:customStyle="1" w:styleId="3115">
    <w:name w:val="表格文字居中-报告书"/>
    <w:basedOn w:val="1"/>
    <w:next w:val="1"/>
    <w:qFormat/>
    <w:uiPriority w:val="0"/>
    <w:pPr>
      <w:jc w:val="center"/>
    </w:pPr>
    <w:rPr>
      <w:szCs w:val="18"/>
    </w:rPr>
  </w:style>
  <w:style w:type="paragraph" w:customStyle="1" w:styleId="3116">
    <w:name w:val="统一正文格式"/>
    <w:basedOn w:val="35"/>
    <w:qFormat/>
    <w:uiPriority w:val="0"/>
    <w:pPr>
      <w:tabs>
        <w:tab w:val="left" w:pos="0"/>
      </w:tabs>
      <w:spacing w:line="460" w:lineRule="atLeast"/>
      <w:ind w:left="0" w:leftChars="0" w:firstLine="200" w:firstLineChars="200"/>
    </w:pPr>
    <w:rPr>
      <w:rFonts w:eastAsia="Times New Roman" w:cs="宋体"/>
      <w:kern w:val="24"/>
    </w:rPr>
  </w:style>
  <w:style w:type="paragraph" w:customStyle="1" w:styleId="3117">
    <w:name w:val="X-正文-B"/>
    <w:qFormat/>
    <w:uiPriority w:val="0"/>
    <w:pPr>
      <w:spacing w:line="360" w:lineRule="auto"/>
    </w:pPr>
    <w:rPr>
      <w:rFonts w:ascii="宋体" w:hAnsi="宋体" w:eastAsia="楷体_GB2312" w:cs="Calibri"/>
      <w:b/>
      <w:kern w:val="2"/>
      <w:sz w:val="24"/>
      <w:szCs w:val="24"/>
      <w:lang w:val="en-US" w:eastAsia="zh-CN" w:bidi="ar-SA"/>
    </w:rPr>
  </w:style>
  <w:style w:type="paragraph" w:customStyle="1" w:styleId="3118">
    <w:name w:val="表格文本"/>
    <w:basedOn w:val="1580"/>
    <w:next w:val="1"/>
    <w:qFormat/>
    <w:uiPriority w:val="0"/>
    <w:pPr>
      <w:spacing w:line="240" w:lineRule="exact"/>
    </w:pPr>
    <w:rPr>
      <w:szCs w:val="20"/>
    </w:rPr>
  </w:style>
  <w:style w:type="paragraph" w:customStyle="1" w:styleId="3119">
    <w:name w:val="正文-使用"/>
    <w:basedOn w:val="1"/>
    <w:qFormat/>
    <w:uiPriority w:val="0"/>
    <w:pPr>
      <w:adjustRightInd w:val="0"/>
      <w:snapToGrid w:val="0"/>
      <w:spacing w:line="360" w:lineRule="auto"/>
      <w:ind w:firstLine="482"/>
    </w:pPr>
    <w:rPr>
      <w:sz w:val="24"/>
      <w:szCs w:val="20"/>
    </w:rPr>
  </w:style>
  <w:style w:type="paragraph" w:customStyle="1" w:styleId="3120">
    <w:name w:val="文-5"/>
    <w:basedOn w:val="1"/>
    <w:qFormat/>
    <w:uiPriority w:val="0"/>
    <w:pPr>
      <w:tabs>
        <w:tab w:val="right" w:leader="dot" w:pos="8789"/>
      </w:tabs>
      <w:ind w:left="1276" w:firstLine="482"/>
    </w:pPr>
    <w:rPr>
      <w:sz w:val="24"/>
      <w:szCs w:val="20"/>
    </w:rPr>
  </w:style>
  <w:style w:type="paragraph" w:customStyle="1" w:styleId="3121">
    <w:name w:val="样式 标题 2节标题1.1标题 2节标题 1.1H2节标题 1.1 Char第一层条H21 + 段前: 2.4 磅..."/>
    <w:basedOn w:val="6"/>
    <w:qFormat/>
    <w:uiPriority w:val="0"/>
    <w:pPr>
      <w:widowControl/>
      <w:tabs>
        <w:tab w:val="left" w:pos="927"/>
        <w:tab w:val="left" w:pos="1134"/>
      </w:tabs>
      <w:snapToGrid w:val="0"/>
      <w:spacing w:line="420" w:lineRule="atLeast"/>
      <w:jc w:val="left"/>
    </w:pPr>
    <w:rPr>
      <w:rFonts w:ascii="宋体" w:hAnsi="Times New Roman" w:eastAsia="黑体" w:cs="宋体"/>
      <w:b w:val="0"/>
      <w:bCs w:val="0"/>
      <w:spacing w:val="-10"/>
      <w:kern w:val="28"/>
      <w:sz w:val="30"/>
      <w:szCs w:val="20"/>
    </w:rPr>
  </w:style>
  <w:style w:type="paragraph" w:customStyle="1" w:styleId="3122">
    <w:name w:val="pic-info"/>
    <w:basedOn w:val="1"/>
    <w:qFormat/>
    <w:uiPriority w:val="0"/>
    <w:pPr>
      <w:widowControl/>
      <w:spacing w:beforeAutospacing="1" w:afterAutospacing="1"/>
      <w:jc w:val="left"/>
    </w:pPr>
    <w:rPr>
      <w:rFonts w:ascii="宋体" w:hAnsi="宋体" w:cs="宋体"/>
      <w:kern w:val="0"/>
      <w:sz w:val="24"/>
    </w:rPr>
  </w:style>
  <w:style w:type="character" w:customStyle="1" w:styleId="3123">
    <w:name w:val="样式 标题 2节H2节标题 1.1 + (西文) Times New Roman (中文) 宋体 段前: 6 磅 段... Char Char"/>
    <w:link w:val="3124"/>
    <w:qFormat/>
    <w:locked/>
    <w:uiPriority w:val="0"/>
    <w:rPr>
      <w:rFonts w:ascii="宋体" w:hAnsi="宋体"/>
      <w:b/>
      <w:bCs/>
      <w:sz w:val="32"/>
    </w:rPr>
  </w:style>
  <w:style w:type="paragraph" w:customStyle="1" w:styleId="3124">
    <w:name w:val="样式 标题 2节H2节标题 1.1 + (西文) Times New Roman (中文) 宋体 段前: 6 磅 段..."/>
    <w:basedOn w:val="6"/>
    <w:next w:val="1"/>
    <w:link w:val="3123"/>
    <w:qFormat/>
    <w:uiPriority w:val="0"/>
    <w:pPr>
      <w:tabs>
        <w:tab w:val="left" w:pos="927"/>
        <w:tab w:val="left" w:pos="1134"/>
      </w:tabs>
      <w:spacing w:line="500" w:lineRule="exact"/>
    </w:pPr>
    <w:rPr>
      <w:rFonts w:ascii="宋体" w:hAnsi="宋体" w:eastAsia="宋体"/>
      <w:kern w:val="0"/>
      <w:szCs w:val="20"/>
    </w:rPr>
  </w:style>
  <w:style w:type="paragraph" w:customStyle="1" w:styleId="3125">
    <w:name w:val="reader-word-layer reader-word-s1-17"/>
    <w:basedOn w:val="1"/>
    <w:qFormat/>
    <w:uiPriority w:val="0"/>
    <w:pPr>
      <w:widowControl/>
      <w:spacing w:beforeAutospacing="1" w:afterAutospacing="1"/>
      <w:jc w:val="left"/>
    </w:pPr>
    <w:rPr>
      <w:rFonts w:ascii="宋体" w:hAnsi="宋体" w:cs="宋体"/>
      <w:kern w:val="0"/>
      <w:sz w:val="24"/>
    </w:rPr>
  </w:style>
  <w:style w:type="paragraph" w:customStyle="1" w:styleId="3126">
    <w:name w:val="reader-word-layer reader-word-s1-18"/>
    <w:basedOn w:val="1"/>
    <w:qFormat/>
    <w:uiPriority w:val="0"/>
    <w:pPr>
      <w:widowControl/>
      <w:spacing w:beforeAutospacing="1" w:afterAutospacing="1"/>
      <w:jc w:val="left"/>
    </w:pPr>
    <w:rPr>
      <w:rFonts w:ascii="宋体" w:hAnsi="宋体" w:cs="宋体"/>
      <w:kern w:val="0"/>
      <w:sz w:val="24"/>
    </w:rPr>
  </w:style>
  <w:style w:type="paragraph" w:customStyle="1" w:styleId="3127">
    <w:name w:val="reader-word-layer reader-word-s1-14"/>
    <w:basedOn w:val="1"/>
    <w:qFormat/>
    <w:uiPriority w:val="0"/>
    <w:pPr>
      <w:widowControl/>
      <w:spacing w:beforeAutospacing="1" w:afterAutospacing="1"/>
      <w:jc w:val="left"/>
    </w:pPr>
    <w:rPr>
      <w:rFonts w:ascii="宋体" w:hAnsi="宋体" w:cs="宋体"/>
      <w:kern w:val="0"/>
      <w:sz w:val="24"/>
    </w:rPr>
  </w:style>
  <w:style w:type="paragraph" w:customStyle="1" w:styleId="3128">
    <w:name w:val="reader-word-layer reader-word-s1-15"/>
    <w:basedOn w:val="1"/>
    <w:qFormat/>
    <w:uiPriority w:val="0"/>
    <w:pPr>
      <w:widowControl/>
      <w:spacing w:beforeAutospacing="1" w:afterAutospacing="1"/>
      <w:jc w:val="left"/>
    </w:pPr>
    <w:rPr>
      <w:rFonts w:ascii="宋体" w:hAnsi="宋体" w:cs="宋体"/>
      <w:kern w:val="0"/>
      <w:sz w:val="24"/>
    </w:rPr>
  </w:style>
  <w:style w:type="paragraph" w:customStyle="1" w:styleId="3129">
    <w:name w:val="reader-word-layer reader-word-s1-7 reader-word-s1-15"/>
    <w:basedOn w:val="1"/>
    <w:qFormat/>
    <w:uiPriority w:val="0"/>
    <w:pPr>
      <w:widowControl/>
      <w:spacing w:beforeAutospacing="1" w:afterAutospacing="1"/>
      <w:jc w:val="left"/>
    </w:pPr>
    <w:rPr>
      <w:rFonts w:ascii="宋体" w:hAnsi="宋体" w:cs="宋体"/>
      <w:kern w:val="0"/>
      <w:sz w:val="24"/>
    </w:rPr>
  </w:style>
  <w:style w:type="paragraph" w:customStyle="1" w:styleId="3130">
    <w:name w:val="_Style 632"/>
    <w:basedOn w:val="1"/>
    <w:qFormat/>
    <w:uiPriority w:val="0"/>
    <w:pPr>
      <w:adjustRightInd w:val="0"/>
      <w:snapToGrid w:val="0"/>
      <w:spacing w:line="360" w:lineRule="auto"/>
      <w:ind w:firstLine="200" w:firstLineChars="200"/>
    </w:pPr>
  </w:style>
  <w:style w:type="paragraph" w:customStyle="1" w:styleId="3131">
    <w:name w:val="reader-word-layer reader-word-s6-1"/>
    <w:basedOn w:val="1"/>
    <w:qFormat/>
    <w:uiPriority w:val="0"/>
    <w:pPr>
      <w:widowControl/>
      <w:spacing w:beforeAutospacing="1" w:afterAutospacing="1"/>
      <w:jc w:val="left"/>
    </w:pPr>
    <w:rPr>
      <w:rFonts w:ascii="宋体" w:hAnsi="宋体" w:cs="宋体"/>
      <w:kern w:val="0"/>
      <w:sz w:val="24"/>
    </w:rPr>
  </w:style>
  <w:style w:type="character" w:customStyle="1" w:styleId="3132">
    <w:name w:val="样式 行距: 多倍行距 1.3 字行 Char"/>
    <w:link w:val="3133"/>
    <w:qFormat/>
    <w:locked/>
    <w:uiPriority w:val="0"/>
    <w:rPr>
      <w:rFonts w:ascii="仿宋_GB2312" w:eastAsia="仿宋_GB2312"/>
      <w:sz w:val="24"/>
      <w:szCs w:val="24"/>
    </w:rPr>
  </w:style>
  <w:style w:type="paragraph" w:customStyle="1" w:styleId="3133">
    <w:name w:val="样式 行距: 多倍行距 1.3 字行"/>
    <w:basedOn w:val="1"/>
    <w:link w:val="3132"/>
    <w:qFormat/>
    <w:uiPriority w:val="0"/>
    <w:pPr>
      <w:spacing w:line="360" w:lineRule="auto"/>
      <w:ind w:firstLine="480" w:firstLineChars="200"/>
    </w:pPr>
    <w:rPr>
      <w:rFonts w:ascii="仿宋_GB2312" w:eastAsia="仿宋_GB2312"/>
      <w:kern w:val="0"/>
      <w:sz w:val="24"/>
    </w:rPr>
  </w:style>
  <w:style w:type="character" w:customStyle="1" w:styleId="3134">
    <w:name w:val="dxj正文 Char"/>
    <w:link w:val="3135"/>
    <w:qFormat/>
    <w:locked/>
    <w:uiPriority w:val="0"/>
    <w:rPr>
      <w:rFonts w:eastAsia="Times New Roman"/>
      <w:sz w:val="24"/>
      <w:szCs w:val="24"/>
    </w:rPr>
  </w:style>
  <w:style w:type="paragraph" w:customStyle="1" w:styleId="3135">
    <w:name w:val="dxj正文"/>
    <w:link w:val="3134"/>
    <w:qFormat/>
    <w:uiPriority w:val="0"/>
    <w:pPr>
      <w:snapToGrid w:val="0"/>
      <w:ind w:firstLine="200"/>
    </w:pPr>
    <w:rPr>
      <w:rFonts w:ascii="Calibri" w:hAnsi="Calibri" w:eastAsia="Times New Roman" w:cs="Calibri"/>
      <w:sz w:val="24"/>
      <w:szCs w:val="24"/>
      <w:lang w:val="en-US" w:eastAsia="zh-CN" w:bidi="ar-SA"/>
    </w:rPr>
  </w:style>
  <w:style w:type="character" w:customStyle="1" w:styleId="3136">
    <w:name w:val="核查报告正文 Char Char"/>
    <w:link w:val="3137"/>
    <w:qFormat/>
    <w:locked/>
    <w:uiPriority w:val="0"/>
    <w:rPr>
      <w:rFonts w:ascii="Arial" w:hAnsi="Arial" w:eastAsia="楷体_GB2312"/>
      <w:sz w:val="24"/>
      <w:szCs w:val="52"/>
    </w:rPr>
  </w:style>
  <w:style w:type="paragraph" w:customStyle="1" w:styleId="3137">
    <w:name w:val="核查报告正文 Char"/>
    <w:link w:val="3136"/>
    <w:qFormat/>
    <w:uiPriority w:val="0"/>
    <w:pPr>
      <w:spacing w:line="440" w:lineRule="exact"/>
      <w:ind w:firstLine="200" w:firstLineChars="200"/>
    </w:pPr>
    <w:rPr>
      <w:rFonts w:ascii="Arial" w:hAnsi="Arial" w:eastAsia="楷体_GB2312" w:cs="Calibri"/>
      <w:sz w:val="24"/>
      <w:szCs w:val="52"/>
      <w:lang w:val="en-US" w:eastAsia="zh-CN" w:bidi="ar-SA"/>
    </w:rPr>
  </w:style>
  <w:style w:type="character" w:customStyle="1" w:styleId="3138">
    <w:name w:val="正文段落（宋旭峰） Char"/>
    <w:link w:val="3139"/>
    <w:qFormat/>
    <w:locked/>
    <w:uiPriority w:val="0"/>
    <w:rPr>
      <w:rFonts w:ascii="宋体" w:hAnsi="宋体"/>
      <w:color w:val="000000"/>
      <w:sz w:val="24"/>
      <w:szCs w:val="24"/>
    </w:rPr>
  </w:style>
  <w:style w:type="paragraph" w:customStyle="1" w:styleId="3139">
    <w:name w:val="正文段落（宋旭峰）"/>
    <w:basedOn w:val="1"/>
    <w:link w:val="3138"/>
    <w:qFormat/>
    <w:uiPriority w:val="0"/>
    <w:pPr>
      <w:snapToGrid w:val="0"/>
      <w:spacing w:line="360" w:lineRule="auto"/>
      <w:ind w:firstLine="480" w:firstLineChars="200"/>
    </w:pPr>
    <w:rPr>
      <w:rFonts w:ascii="宋体" w:hAnsi="宋体"/>
      <w:color w:val="000000"/>
      <w:kern w:val="0"/>
      <w:sz w:val="24"/>
    </w:rPr>
  </w:style>
  <w:style w:type="paragraph" w:customStyle="1" w:styleId="3140">
    <w:name w:val="Char Char Char3 Char Char Char Char"/>
    <w:basedOn w:val="1"/>
    <w:next w:val="1"/>
    <w:qFormat/>
    <w:uiPriority w:val="0"/>
    <w:pPr>
      <w:spacing w:line="360" w:lineRule="auto"/>
      <w:ind w:firstLine="200" w:firstLineChars="200"/>
    </w:pPr>
    <w:rPr>
      <w:rFonts w:ascii="宋体" w:hAnsi="宋体" w:cs="宋体"/>
      <w:sz w:val="24"/>
    </w:rPr>
  </w:style>
  <w:style w:type="paragraph" w:customStyle="1" w:styleId="3141">
    <w:name w:val="Char Char1 Char Char1 Char Char Char Char"/>
    <w:basedOn w:val="1"/>
    <w:qFormat/>
    <w:uiPriority w:val="0"/>
    <w:rPr>
      <w:rFonts w:ascii="Tahoma" w:hAnsi="Tahoma"/>
      <w:sz w:val="24"/>
      <w:szCs w:val="20"/>
    </w:rPr>
  </w:style>
  <w:style w:type="paragraph" w:customStyle="1" w:styleId="3142">
    <w:name w:val="Char Char3 Char Char Char Char Char Char Char"/>
    <w:basedOn w:val="1"/>
    <w:qFormat/>
    <w:uiPriority w:val="0"/>
    <w:pPr>
      <w:widowControl/>
      <w:spacing w:line="240" w:lineRule="exact"/>
      <w:jc w:val="left"/>
    </w:pPr>
    <w:rPr>
      <w:rFonts w:ascii="Verdana" w:hAnsi="Verdana"/>
      <w:kern w:val="0"/>
      <w:sz w:val="20"/>
      <w:szCs w:val="20"/>
      <w:lang w:eastAsia="en-US"/>
    </w:rPr>
  </w:style>
  <w:style w:type="paragraph" w:customStyle="1" w:styleId="3143">
    <w:name w:val="dxj表内容"/>
    <w:basedOn w:val="431"/>
    <w:qFormat/>
    <w:uiPriority w:val="0"/>
    <w:pPr>
      <w:overflowPunct w:val="0"/>
      <w:jc w:val="center"/>
    </w:pPr>
    <w:rPr>
      <w:rFonts w:eastAsia="Times New Roman"/>
      <w:color w:val="000000"/>
      <w:spacing w:val="0"/>
      <w:kern w:val="24"/>
      <w:szCs w:val="24"/>
    </w:rPr>
  </w:style>
  <w:style w:type="paragraph" w:customStyle="1" w:styleId="3144">
    <w:name w:val="CM6"/>
    <w:basedOn w:val="2"/>
    <w:next w:val="2"/>
    <w:qFormat/>
    <w:uiPriority w:val="0"/>
    <w:pPr>
      <w:suppressAutoHyphens w:val="0"/>
      <w:adjustRightInd w:val="0"/>
      <w:spacing w:line="320" w:lineRule="atLeast"/>
      <w:textAlignment w:val="auto"/>
    </w:pPr>
    <w:rPr>
      <w:rFonts w:hAnsi="Calibri" w:cs="Times New Roman"/>
      <w:color w:val="auto"/>
    </w:rPr>
  </w:style>
  <w:style w:type="paragraph" w:customStyle="1" w:styleId="3145">
    <w:name w:val="profile"/>
    <w:basedOn w:val="1"/>
    <w:qFormat/>
    <w:uiPriority w:val="0"/>
    <w:pPr>
      <w:widowControl/>
      <w:spacing w:beforeAutospacing="1" w:afterAutospacing="1" w:line="384" w:lineRule="auto"/>
    </w:pPr>
    <w:rPr>
      <w:rFonts w:ascii="宋体" w:hAnsi="宋体"/>
      <w:kern w:val="0"/>
      <w:szCs w:val="21"/>
    </w:rPr>
  </w:style>
  <w:style w:type="paragraph" w:customStyle="1" w:styleId="3146">
    <w:name w:val="dxj标题2"/>
    <w:basedOn w:val="6"/>
    <w:qFormat/>
    <w:uiPriority w:val="0"/>
    <w:pPr>
      <w:tabs>
        <w:tab w:val="left" w:pos="927"/>
        <w:tab w:val="left" w:pos="1134"/>
      </w:tabs>
      <w:adjustRightInd w:val="0"/>
      <w:snapToGrid w:val="0"/>
      <w:spacing w:beforeLines="50" w:line="360" w:lineRule="auto"/>
    </w:pPr>
    <w:rPr>
      <w:rFonts w:ascii="Times New Roman" w:hAnsi="Times New Roman" w:eastAsia="黑体"/>
      <w:b w:val="0"/>
      <w:bCs w:val="0"/>
      <w:color w:val="000000"/>
      <w:kern w:val="0"/>
      <w:sz w:val="28"/>
      <w:szCs w:val="30"/>
    </w:rPr>
  </w:style>
  <w:style w:type="paragraph" w:customStyle="1" w:styleId="3147">
    <w:name w:val="dxj表头"/>
    <w:basedOn w:val="1"/>
    <w:qFormat/>
    <w:uiPriority w:val="0"/>
    <w:pPr>
      <w:adjustRightInd w:val="0"/>
      <w:snapToGrid w:val="0"/>
      <w:spacing w:line="360" w:lineRule="auto"/>
      <w:jc w:val="center"/>
    </w:pPr>
    <w:rPr>
      <w:rFonts w:eastAsia="黑体" w:cs="宋体"/>
    </w:rPr>
  </w:style>
  <w:style w:type="paragraph" w:customStyle="1" w:styleId="3148">
    <w:name w:val="样式 样式9 + 段前: 0.5 行 段后: 0.5 行"/>
    <w:basedOn w:val="1616"/>
    <w:qFormat/>
    <w:uiPriority w:val="0"/>
    <w:pPr>
      <w:keepNext/>
      <w:keepLines/>
      <w:numPr>
        <w:numId w:val="0"/>
      </w:numPr>
      <w:pBdr>
        <w:top w:val="none" w:color="auto" w:sz="0" w:space="0"/>
      </w:pBdr>
      <w:tabs>
        <w:tab w:val="left" w:pos="0"/>
      </w:tabs>
      <w:snapToGrid/>
      <w:spacing w:beforeLines="100" w:afterLines="50" w:line="480" w:lineRule="exact"/>
      <w:ind w:right="0"/>
      <w:jc w:val="both"/>
      <w:outlineLvl w:val="1"/>
    </w:pPr>
    <w:rPr>
      <w:rFonts w:ascii="Arial" w:hAnsi="Arial" w:eastAsia="黑体"/>
      <w:spacing w:val="6"/>
      <w:kern w:val="0"/>
      <w:sz w:val="28"/>
      <w:szCs w:val="20"/>
    </w:rPr>
  </w:style>
  <w:style w:type="paragraph" w:customStyle="1" w:styleId="3149">
    <w:name w:val="样式 样式18 + 红色 行距: 固定值 26 磅"/>
    <w:basedOn w:val="1683"/>
    <w:qFormat/>
    <w:uiPriority w:val="0"/>
    <w:pPr>
      <w:keepNext/>
      <w:keepLines/>
      <w:overflowPunct w:val="0"/>
      <w:topLinePunct/>
      <w:autoSpaceDE w:val="0"/>
      <w:autoSpaceDN w:val="0"/>
      <w:adjustRightInd w:val="0"/>
      <w:snapToGrid w:val="0"/>
      <w:spacing w:line="520" w:lineRule="exact"/>
      <w:ind w:left="1800" w:firstLine="0" w:firstLineChars="0"/>
      <w:jc w:val="left"/>
      <w:outlineLvl w:val="3"/>
    </w:pPr>
    <w:rPr>
      <w:rFonts w:hAnsi="宋体"/>
      <w:color w:val="FF0000"/>
      <w:szCs w:val="20"/>
    </w:rPr>
  </w:style>
  <w:style w:type="paragraph" w:customStyle="1" w:styleId="3150">
    <w:name w:val="样式 样式13 + 右侧:  1 字符"/>
    <w:basedOn w:val="991"/>
    <w:qFormat/>
    <w:uiPriority w:val="0"/>
    <w:pPr>
      <w:keepNext/>
      <w:keepLines/>
      <w:tabs>
        <w:tab w:val="left" w:pos="560"/>
        <w:tab w:val="left" w:pos="927"/>
        <w:tab w:val="left" w:pos="1440"/>
      </w:tabs>
      <w:overflowPunct w:val="0"/>
      <w:topLinePunct/>
      <w:spacing w:beforeLines="0"/>
      <w:jc w:val="left"/>
      <w:outlineLvl w:val="3"/>
    </w:pPr>
    <w:rPr>
      <w:rFonts w:hAnsi="宋体"/>
      <w:kern w:val="0"/>
      <w:sz w:val="24"/>
      <w:szCs w:val="20"/>
      <w:lang w:val="en-US"/>
    </w:rPr>
  </w:style>
  <w:style w:type="paragraph" w:customStyle="1" w:styleId="3151">
    <w:name w:val="29"/>
    <w:basedOn w:val="1"/>
    <w:qFormat/>
    <w:uiPriority w:val="0"/>
    <w:pPr>
      <w:widowControl/>
      <w:spacing w:beforeAutospacing="1" w:afterAutospacing="1"/>
      <w:jc w:val="left"/>
    </w:pPr>
    <w:rPr>
      <w:rFonts w:ascii="宋体" w:hAnsi="宋体"/>
      <w:kern w:val="0"/>
      <w:sz w:val="24"/>
      <w:szCs w:val="20"/>
    </w:rPr>
  </w:style>
  <w:style w:type="character" w:customStyle="1" w:styleId="3152">
    <w:name w:val="保定正文 Char"/>
    <w:link w:val="3153"/>
    <w:qFormat/>
    <w:locked/>
    <w:uiPriority w:val="0"/>
    <w:rPr>
      <w:rFonts w:ascii="宋体" w:hAnsi="宋体"/>
    </w:rPr>
  </w:style>
  <w:style w:type="paragraph" w:customStyle="1" w:styleId="3153">
    <w:name w:val="保定正文"/>
    <w:basedOn w:val="1"/>
    <w:link w:val="3152"/>
    <w:qFormat/>
    <w:uiPriority w:val="0"/>
    <w:pPr>
      <w:snapToGrid w:val="0"/>
      <w:spacing w:line="360" w:lineRule="auto"/>
      <w:ind w:firstLine="200" w:firstLineChars="200"/>
    </w:pPr>
    <w:rPr>
      <w:rFonts w:ascii="宋体" w:hAnsi="宋体"/>
      <w:kern w:val="0"/>
      <w:sz w:val="20"/>
      <w:szCs w:val="20"/>
    </w:rPr>
  </w:style>
  <w:style w:type="paragraph" w:customStyle="1" w:styleId="3154">
    <w:name w:val="样式 小四 行距: 1.5 倍行距1"/>
    <w:basedOn w:val="1"/>
    <w:qFormat/>
    <w:uiPriority w:val="0"/>
    <w:pPr>
      <w:widowControl/>
      <w:spacing w:line="360" w:lineRule="auto"/>
      <w:ind w:firstLine="480" w:firstLineChars="200"/>
      <w:jc w:val="left"/>
    </w:pPr>
    <w:rPr>
      <w:rFonts w:cs="宋体"/>
      <w:sz w:val="24"/>
    </w:rPr>
  </w:style>
  <w:style w:type="character" w:customStyle="1" w:styleId="3155">
    <w:name w:val="3级标题 Char"/>
    <w:qFormat/>
    <w:locked/>
    <w:uiPriority w:val="0"/>
    <w:rPr>
      <w:rFonts w:ascii="宋体" w:hAnsi="宋体"/>
      <w:bCs/>
      <w:kern w:val="2"/>
      <w:sz w:val="25"/>
      <w:szCs w:val="25"/>
      <w:lang w:bidi="ar-SA"/>
    </w:rPr>
  </w:style>
  <w:style w:type="character" w:customStyle="1" w:styleId="3156">
    <w:name w:val="2级标题 Char"/>
    <w:qFormat/>
    <w:locked/>
    <w:uiPriority w:val="0"/>
    <w:rPr>
      <w:rFonts w:ascii="黑体" w:hAnsi="宋体" w:eastAsia="黑体"/>
      <w:bCs/>
      <w:spacing w:val="5"/>
      <w:kern w:val="2"/>
      <w:sz w:val="25"/>
      <w:szCs w:val="25"/>
      <w:lang w:bidi="ar-SA"/>
    </w:rPr>
  </w:style>
  <w:style w:type="character" w:customStyle="1" w:styleId="3157">
    <w:name w:val="众联表头 Char"/>
    <w:link w:val="3158"/>
    <w:qFormat/>
    <w:locked/>
    <w:uiPriority w:val="0"/>
    <w:rPr>
      <w:rFonts w:ascii="宋体" w:hAnsi="宋体"/>
      <w:spacing w:val="5"/>
      <w:sz w:val="25"/>
      <w:szCs w:val="25"/>
    </w:rPr>
  </w:style>
  <w:style w:type="paragraph" w:customStyle="1" w:styleId="3158">
    <w:name w:val="众联表头"/>
    <w:basedOn w:val="1"/>
    <w:link w:val="3157"/>
    <w:qFormat/>
    <w:uiPriority w:val="0"/>
    <w:pPr>
      <w:spacing w:line="460" w:lineRule="exact"/>
      <w:ind w:firstLine="520" w:firstLineChars="200"/>
    </w:pPr>
    <w:rPr>
      <w:rFonts w:ascii="宋体" w:hAnsi="宋体"/>
      <w:spacing w:val="5"/>
      <w:kern w:val="0"/>
      <w:sz w:val="25"/>
      <w:szCs w:val="25"/>
    </w:rPr>
  </w:style>
  <w:style w:type="paragraph" w:customStyle="1" w:styleId="3159">
    <w:name w:val="样式 标题 4"/>
    <w:basedOn w:val="8"/>
    <w:qFormat/>
    <w:uiPriority w:val="0"/>
    <w:pPr>
      <w:numPr>
        <w:ilvl w:val="0"/>
        <w:numId w:val="0"/>
      </w:numPr>
      <w:tabs>
        <w:tab w:val="left" w:pos="1134"/>
        <w:tab w:val="left" w:pos="1630"/>
      </w:tabs>
      <w:spacing w:line="480" w:lineRule="exact"/>
      <w:jc w:val="left"/>
    </w:pPr>
    <w:rPr>
      <w:rFonts w:ascii="宋体" w:hAnsi="宋体" w:eastAsia="宋体" w:cs="Arial"/>
      <w:color w:val="008000"/>
      <w:spacing w:val="-10"/>
      <w:kern w:val="0"/>
      <w:sz w:val="24"/>
      <w:szCs w:val="24"/>
    </w:rPr>
  </w:style>
  <w:style w:type="paragraph" w:customStyle="1" w:styleId="3160">
    <w:name w:val="标题111"/>
    <w:basedOn w:val="1"/>
    <w:qFormat/>
    <w:uiPriority w:val="0"/>
    <w:pPr>
      <w:spacing w:line="480" w:lineRule="exact"/>
    </w:pPr>
    <w:rPr>
      <w:b/>
      <w:sz w:val="24"/>
    </w:rPr>
  </w:style>
  <w:style w:type="paragraph" w:customStyle="1" w:styleId="3161">
    <w:name w:val="燕山正文"/>
    <w:basedOn w:val="1"/>
    <w:qFormat/>
    <w:uiPriority w:val="0"/>
    <w:pPr>
      <w:tabs>
        <w:tab w:val="left" w:pos="4680"/>
      </w:tabs>
      <w:adjustRightInd w:val="0"/>
      <w:snapToGrid w:val="0"/>
      <w:spacing w:line="360" w:lineRule="auto"/>
      <w:ind w:firstLine="480" w:firstLineChars="200"/>
    </w:pPr>
    <w:rPr>
      <w:rFonts w:hAnsi="宋体"/>
      <w:sz w:val="24"/>
    </w:rPr>
  </w:style>
  <w:style w:type="character" w:customStyle="1" w:styleId="3162">
    <w:name w:val="正文小四首缩1.3行距 Char Char"/>
    <w:link w:val="3163"/>
    <w:qFormat/>
    <w:locked/>
    <w:uiPriority w:val="0"/>
    <w:rPr>
      <w:sz w:val="24"/>
      <w:szCs w:val="24"/>
    </w:rPr>
  </w:style>
  <w:style w:type="paragraph" w:customStyle="1" w:styleId="3163">
    <w:name w:val="正文小四首缩1.3行距"/>
    <w:basedOn w:val="1"/>
    <w:link w:val="3162"/>
    <w:qFormat/>
    <w:uiPriority w:val="0"/>
    <w:pPr>
      <w:spacing w:line="312" w:lineRule="auto"/>
      <w:ind w:firstLine="420" w:firstLineChars="200"/>
    </w:pPr>
    <w:rPr>
      <w:kern w:val="0"/>
      <w:sz w:val="24"/>
    </w:rPr>
  </w:style>
  <w:style w:type="paragraph" w:customStyle="1" w:styleId="3164">
    <w:name w:val="样式 行距: 固定值 25 磅"/>
    <w:qFormat/>
    <w:uiPriority w:val="0"/>
    <w:pPr>
      <w:spacing w:line="360" w:lineRule="auto"/>
      <w:ind w:firstLine="560" w:firstLineChars="200"/>
    </w:pPr>
    <w:rPr>
      <w:rFonts w:ascii="Calibri" w:hAnsi="Calibri" w:eastAsia="宋体" w:cs="Calibri"/>
      <w:szCs w:val="28"/>
      <w:lang w:val="en-US" w:eastAsia="zh-CN" w:bidi="ar-SA"/>
    </w:rPr>
  </w:style>
  <w:style w:type="paragraph" w:customStyle="1" w:styleId="3165">
    <w:name w:val="样式 标题 3三级标题标题3H3h33rd level第二层条ReHead 3 WSA标题03三级标题 3..."/>
    <w:basedOn w:val="7"/>
    <w:qFormat/>
    <w:uiPriority w:val="0"/>
    <w:pPr>
      <w:widowControl w:val="0"/>
      <w:tabs>
        <w:tab w:val="left" w:pos="1134"/>
        <w:tab w:val="left" w:pos="1256"/>
      </w:tabs>
      <w:adjustRightInd/>
      <w:snapToGrid/>
      <w:spacing w:line="360" w:lineRule="auto"/>
    </w:pPr>
    <w:rPr>
      <w:rFonts w:ascii="黑体" w:hAnsi="Times New Roman" w:eastAsia="黑体" w:cs="宋体"/>
      <w:kern w:val="0"/>
      <w:sz w:val="28"/>
      <w:szCs w:val="28"/>
      <w:lang w:val="en-US"/>
    </w:rPr>
  </w:style>
  <w:style w:type="paragraph" w:customStyle="1" w:styleId="3166">
    <w:name w:val="p21"/>
    <w:basedOn w:val="1"/>
    <w:qFormat/>
    <w:uiPriority w:val="0"/>
    <w:pPr>
      <w:widowControl/>
      <w:spacing w:beforeLines="10" w:line="360" w:lineRule="auto"/>
      <w:ind w:firstLine="420"/>
    </w:pPr>
    <w:rPr>
      <w:color w:val="000000"/>
      <w:sz w:val="24"/>
    </w:rPr>
  </w:style>
  <w:style w:type="paragraph" w:customStyle="1" w:styleId="3167">
    <w:name w:val="标准条文"/>
    <w:basedOn w:val="2"/>
    <w:next w:val="2"/>
    <w:qFormat/>
    <w:uiPriority w:val="0"/>
    <w:pPr>
      <w:suppressAutoHyphens w:val="0"/>
      <w:adjustRightInd w:val="0"/>
      <w:textAlignment w:val="auto"/>
    </w:pPr>
    <w:rPr>
      <w:rFonts w:ascii="Times New Roman" w:hAnsi="Times New Roman" w:cs="Times New Roman"/>
      <w:color w:val="auto"/>
    </w:rPr>
  </w:style>
  <w:style w:type="paragraph" w:customStyle="1" w:styleId="3168">
    <w:name w:val="标题 31"/>
    <w:basedOn w:val="1"/>
    <w:next w:val="1"/>
    <w:qFormat/>
    <w:uiPriority w:val="0"/>
    <w:pPr>
      <w:keepNext/>
      <w:keepLines/>
      <w:spacing w:line="415" w:lineRule="auto"/>
      <w:outlineLvl w:val="2"/>
    </w:pPr>
    <w:rPr>
      <w:b/>
      <w:sz w:val="32"/>
    </w:rPr>
  </w:style>
  <w:style w:type="paragraph" w:customStyle="1" w:styleId="3169">
    <w:name w:val="副标题2"/>
    <w:basedOn w:val="6"/>
    <w:qFormat/>
    <w:uiPriority w:val="0"/>
    <w:pPr>
      <w:tabs>
        <w:tab w:val="left" w:pos="780"/>
        <w:tab w:val="left" w:pos="1680"/>
      </w:tabs>
      <w:spacing w:line="360" w:lineRule="auto"/>
      <w:ind w:left="200" w:leftChars="200" w:hanging="360" w:hangingChars="200"/>
      <w:jc w:val="center"/>
    </w:pPr>
    <w:rPr>
      <w:rFonts w:ascii="Arial" w:hAnsi="Arial" w:eastAsia="黑体" w:cs="宋体"/>
      <w:kern w:val="0"/>
      <w:sz w:val="30"/>
      <w:szCs w:val="20"/>
    </w:rPr>
  </w:style>
  <w:style w:type="paragraph" w:customStyle="1" w:styleId="3170">
    <w:name w:val="样式 正文 +1"/>
    <w:basedOn w:val="1"/>
    <w:qFormat/>
    <w:uiPriority w:val="0"/>
    <w:pPr>
      <w:spacing w:line="360" w:lineRule="auto"/>
      <w:ind w:firstLine="200" w:firstLineChars="200"/>
      <w:jc w:val="left"/>
    </w:pPr>
    <w:rPr>
      <w:rFonts w:cs="宋体"/>
      <w:sz w:val="24"/>
      <w:szCs w:val="20"/>
    </w:rPr>
  </w:style>
  <w:style w:type="paragraph" w:customStyle="1" w:styleId="3171">
    <w:name w:val="reader-word-layer reader-word-s1-1"/>
    <w:basedOn w:val="1"/>
    <w:qFormat/>
    <w:uiPriority w:val="0"/>
    <w:pPr>
      <w:widowControl/>
      <w:spacing w:beforeAutospacing="1" w:afterAutospacing="1"/>
      <w:jc w:val="left"/>
    </w:pPr>
    <w:rPr>
      <w:rFonts w:ascii="宋体" w:hAnsi="宋体" w:cs="宋体"/>
      <w:kern w:val="0"/>
      <w:sz w:val="24"/>
    </w:rPr>
  </w:style>
  <w:style w:type="paragraph" w:customStyle="1" w:styleId="3172">
    <w:name w:val="reader-word-layer reader-word-s1-3"/>
    <w:basedOn w:val="1"/>
    <w:qFormat/>
    <w:uiPriority w:val="0"/>
    <w:pPr>
      <w:widowControl/>
      <w:spacing w:beforeAutospacing="1" w:afterAutospacing="1"/>
      <w:jc w:val="left"/>
    </w:pPr>
    <w:rPr>
      <w:rFonts w:ascii="宋体" w:hAnsi="宋体" w:cs="宋体"/>
      <w:kern w:val="0"/>
      <w:sz w:val="24"/>
    </w:rPr>
  </w:style>
  <w:style w:type="paragraph" w:customStyle="1" w:styleId="3173">
    <w:name w:val="正文文本 23"/>
    <w:basedOn w:val="1"/>
    <w:qFormat/>
    <w:uiPriority w:val="0"/>
    <w:pPr>
      <w:adjustRightInd w:val="0"/>
      <w:snapToGrid w:val="0"/>
      <w:spacing w:line="480" w:lineRule="exact"/>
      <w:ind w:firstLine="510"/>
    </w:pPr>
    <w:rPr>
      <w:rFonts w:eastAsia="仿宋_GB2312"/>
      <w:kern w:val="0"/>
      <w:sz w:val="28"/>
      <w:szCs w:val="20"/>
    </w:rPr>
  </w:style>
  <w:style w:type="paragraph" w:customStyle="1" w:styleId="3174">
    <w:name w:val="Char1 Char Char Char12"/>
    <w:basedOn w:val="1"/>
    <w:qFormat/>
    <w:uiPriority w:val="0"/>
  </w:style>
  <w:style w:type="paragraph" w:customStyle="1" w:styleId="3175">
    <w:name w:val="题注3"/>
    <w:basedOn w:val="1"/>
    <w:qFormat/>
    <w:uiPriority w:val="0"/>
    <w:pPr>
      <w:widowControl/>
      <w:spacing w:beforeAutospacing="1"/>
      <w:jc w:val="left"/>
    </w:pPr>
    <w:rPr>
      <w:rFonts w:ascii="Arial" w:hAnsi="Arial" w:cs="Arial"/>
      <w:b/>
      <w:bCs/>
      <w:kern w:val="0"/>
      <w:sz w:val="14"/>
      <w:szCs w:val="14"/>
    </w:rPr>
  </w:style>
  <w:style w:type="paragraph" w:customStyle="1" w:styleId="3176">
    <w:name w:val="页脚3"/>
    <w:basedOn w:val="1"/>
    <w:qFormat/>
    <w:uiPriority w:val="0"/>
    <w:pPr>
      <w:widowControl/>
      <w:spacing w:beforeAutospacing="1" w:afterAutospacing="1"/>
      <w:jc w:val="center"/>
    </w:pPr>
    <w:rPr>
      <w:rFonts w:ascii="Arial" w:hAnsi="Arial" w:cs="Arial"/>
      <w:kern w:val="0"/>
      <w:sz w:val="12"/>
      <w:szCs w:val="12"/>
    </w:rPr>
  </w:style>
  <w:style w:type="paragraph" w:customStyle="1" w:styleId="3177">
    <w:name w:val="Char Char1 Char Char1 Char Char1 Char Char1 Char Char Char Char Char Char Char1"/>
    <w:basedOn w:val="1"/>
    <w:qFormat/>
    <w:uiPriority w:val="0"/>
    <w:rPr>
      <w:rFonts w:ascii="Tahoma" w:hAnsi="Tahoma"/>
      <w:sz w:val="24"/>
    </w:rPr>
  </w:style>
  <w:style w:type="paragraph" w:customStyle="1" w:styleId="3178">
    <w:name w:val="Char Char7 Char Char Char Char Char Char2"/>
    <w:basedOn w:val="7"/>
    <w:qFormat/>
    <w:uiPriority w:val="0"/>
    <w:pPr>
      <w:widowControl w:val="0"/>
      <w:tabs>
        <w:tab w:val="left" w:pos="360"/>
        <w:tab w:val="left" w:pos="900"/>
      </w:tabs>
      <w:adjustRightInd/>
      <w:spacing w:line="360" w:lineRule="auto"/>
      <w:ind w:left="-12" w:leftChars="-12" w:firstLine="200" w:firstLineChars="200"/>
    </w:pPr>
    <w:rPr>
      <w:rFonts w:ascii="Times New Roman" w:hAnsi="Times New Roman" w:eastAsia="黑体"/>
      <w:bCs w:val="0"/>
      <w:kern w:val="0"/>
      <w:sz w:val="28"/>
      <w:szCs w:val="20"/>
      <w:lang w:val="en-US"/>
    </w:rPr>
  </w:style>
  <w:style w:type="paragraph" w:customStyle="1" w:styleId="3179">
    <w:name w:val="Char2 Char Char Char Char Char Char Char1"/>
    <w:basedOn w:val="1"/>
    <w:qFormat/>
    <w:uiPriority w:val="0"/>
    <w:pPr>
      <w:autoSpaceDE w:val="0"/>
      <w:autoSpaceDN w:val="0"/>
      <w:adjustRightInd w:val="0"/>
      <w:snapToGrid w:val="0"/>
      <w:spacing w:line="360" w:lineRule="auto"/>
      <w:ind w:firstLine="560" w:firstLineChars="200"/>
    </w:pPr>
    <w:rPr>
      <w:rFonts w:eastAsia="仿宋_GB2312"/>
      <w:color w:val="000000"/>
      <w:sz w:val="24"/>
      <w:szCs w:val="20"/>
    </w:rPr>
  </w:style>
  <w:style w:type="paragraph" w:customStyle="1" w:styleId="3180">
    <w:name w:val="正文文本缩进 22"/>
    <w:basedOn w:val="1"/>
    <w:qFormat/>
    <w:uiPriority w:val="0"/>
    <w:pPr>
      <w:adjustRightInd w:val="0"/>
      <w:spacing w:line="312" w:lineRule="atLeast"/>
      <w:ind w:firstLine="540"/>
    </w:pPr>
    <w:rPr>
      <w:kern w:val="0"/>
      <w:szCs w:val="20"/>
    </w:rPr>
  </w:style>
  <w:style w:type="paragraph" w:customStyle="1" w:styleId="3181">
    <w:name w:val="Char Char Char1 Char12"/>
    <w:basedOn w:val="1"/>
    <w:qFormat/>
    <w:uiPriority w:val="0"/>
    <w:pPr>
      <w:adjustRightInd w:val="0"/>
      <w:snapToGrid w:val="0"/>
      <w:ind w:left="-45"/>
    </w:pPr>
  </w:style>
  <w:style w:type="paragraph" w:customStyle="1" w:styleId="3182">
    <w:name w:val="Char6 Char Char Char Char Char Char Char Char Char2"/>
    <w:basedOn w:val="1"/>
    <w:qFormat/>
    <w:uiPriority w:val="0"/>
    <w:rPr>
      <w:rFonts w:ascii="宋体" w:hAnsi="宋体"/>
      <w:color w:val="000000"/>
      <w:sz w:val="28"/>
      <w:szCs w:val="20"/>
    </w:rPr>
  </w:style>
  <w:style w:type="paragraph" w:customStyle="1" w:styleId="3183">
    <w:name w:val=".€·..‘ .€·..‘ ..￡............è.. + .￥·..fi_GB2312 é|.è.....è..:  2 .....| ..μ.’”: 0.3 è.. è..è·.: 1.5 ..“è..è·. + é|.è.........&quot;1"/>
    <w:basedOn w:val="2"/>
    <w:next w:val="2"/>
    <w:qFormat/>
    <w:uiPriority w:val="0"/>
    <w:pPr>
      <w:suppressAutoHyphens w:val="0"/>
      <w:adjustRightInd w:val="0"/>
      <w:spacing w:after="30"/>
      <w:textAlignment w:val="auto"/>
    </w:pPr>
    <w:rPr>
      <w:rFonts w:ascii="Kai Titling" w:hAnsi="Times New Roman" w:eastAsia="Kai Titling" w:cs="Times New Roman"/>
      <w:color w:val="auto"/>
    </w:rPr>
  </w:style>
  <w:style w:type="paragraph" w:customStyle="1" w:styleId="3184">
    <w:name w:val="Char2 Char Char Char1"/>
    <w:basedOn w:val="1"/>
    <w:qFormat/>
    <w:uiPriority w:val="0"/>
    <w:pPr>
      <w:autoSpaceDE w:val="0"/>
      <w:autoSpaceDN w:val="0"/>
      <w:adjustRightInd w:val="0"/>
      <w:snapToGrid w:val="0"/>
      <w:spacing w:line="360" w:lineRule="auto"/>
      <w:ind w:firstLine="560" w:firstLineChars="200"/>
    </w:pPr>
    <w:rPr>
      <w:rFonts w:ascii="宋体" w:hAnsi="宋体" w:eastAsia="仿宋_GB2312"/>
      <w:color w:val="000000"/>
      <w:sz w:val="24"/>
    </w:rPr>
  </w:style>
  <w:style w:type="paragraph" w:customStyle="1" w:styleId="3185">
    <w:name w:val="Char Char1 Char Char Char Char Char Char Char Char Char Char Char Char Char Char1 Char Char Char Char Char Char11"/>
    <w:basedOn w:val="1"/>
    <w:qFormat/>
    <w:uiPriority w:val="0"/>
    <w:pPr>
      <w:widowControl/>
      <w:spacing w:line="300" w:lineRule="auto"/>
      <w:ind w:firstLine="200" w:firstLineChars="200"/>
    </w:pPr>
  </w:style>
  <w:style w:type="paragraph" w:customStyle="1" w:styleId="3186">
    <w:name w:val="Char32"/>
    <w:basedOn w:val="1"/>
    <w:qFormat/>
    <w:uiPriority w:val="0"/>
    <w:pPr>
      <w:spacing w:line="360" w:lineRule="auto"/>
      <w:ind w:firstLine="200" w:firstLineChars="200"/>
    </w:pPr>
    <w:rPr>
      <w:rFonts w:ascii="宋体" w:hAnsi="宋体" w:cs="宋体"/>
      <w:sz w:val="24"/>
    </w:rPr>
  </w:style>
  <w:style w:type="paragraph" w:customStyle="1" w:styleId="3187">
    <w:name w:val="Char Char Char3 Char Char Char Char1"/>
    <w:basedOn w:val="1"/>
    <w:next w:val="1"/>
    <w:qFormat/>
    <w:uiPriority w:val="0"/>
    <w:pPr>
      <w:spacing w:line="360" w:lineRule="auto"/>
      <w:ind w:firstLine="200" w:firstLineChars="200"/>
    </w:pPr>
    <w:rPr>
      <w:rFonts w:ascii="宋体" w:hAnsi="宋体" w:cs="宋体"/>
      <w:sz w:val="24"/>
    </w:rPr>
  </w:style>
  <w:style w:type="paragraph" w:customStyle="1" w:styleId="3188">
    <w:name w:val="Char Char1 Char Char1 Char Char Char Char1"/>
    <w:basedOn w:val="1"/>
    <w:qFormat/>
    <w:uiPriority w:val="0"/>
    <w:rPr>
      <w:rFonts w:ascii="Tahoma" w:hAnsi="Tahoma"/>
      <w:sz w:val="24"/>
      <w:szCs w:val="20"/>
    </w:rPr>
  </w:style>
  <w:style w:type="paragraph" w:customStyle="1" w:styleId="3189">
    <w:name w:val="Char Char3 Char Char Char Char Char Char1"/>
    <w:basedOn w:val="1"/>
    <w:qFormat/>
    <w:uiPriority w:val="0"/>
    <w:pPr>
      <w:widowControl/>
      <w:spacing w:line="240" w:lineRule="exact"/>
      <w:jc w:val="left"/>
    </w:pPr>
    <w:rPr>
      <w:sz w:val="18"/>
    </w:rPr>
  </w:style>
  <w:style w:type="paragraph" w:customStyle="1" w:styleId="3190">
    <w:name w:val="Char Char3 Char Char Char Char Char Char Char1"/>
    <w:basedOn w:val="1"/>
    <w:qFormat/>
    <w:uiPriority w:val="0"/>
    <w:pPr>
      <w:widowControl/>
      <w:spacing w:line="240" w:lineRule="exact"/>
      <w:jc w:val="left"/>
    </w:pPr>
    <w:rPr>
      <w:rFonts w:ascii="Verdana" w:hAnsi="Verdana"/>
      <w:kern w:val="0"/>
      <w:sz w:val="20"/>
      <w:szCs w:val="20"/>
      <w:lang w:eastAsia="en-US"/>
    </w:rPr>
  </w:style>
  <w:style w:type="paragraph" w:customStyle="1" w:styleId="3191">
    <w:name w:val="正文文本缩进2"/>
    <w:basedOn w:val="1"/>
    <w:qFormat/>
    <w:uiPriority w:val="0"/>
    <w:pPr>
      <w:spacing w:line="460" w:lineRule="atLeast"/>
      <w:ind w:right="851" w:firstLine="560" w:firstLineChars="200"/>
    </w:pPr>
    <w:rPr>
      <w:rFonts w:ascii="宋体"/>
      <w:kern w:val="0"/>
      <w:sz w:val="28"/>
      <w:szCs w:val="20"/>
    </w:rPr>
  </w:style>
  <w:style w:type="paragraph" w:customStyle="1" w:styleId="3192">
    <w:name w:val="Char71"/>
    <w:basedOn w:val="1"/>
    <w:qFormat/>
    <w:uiPriority w:val="0"/>
    <w:pPr>
      <w:adjustRightInd w:val="0"/>
      <w:spacing w:line="360" w:lineRule="auto"/>
    </w:pPr>
    <w:rPr>
      <w:kern w:val="0"/>
      <w:sz w:val="24"/>
      <w:szCs w:val="20"/>
    </w:rPr>
  </w:style>
  <w:style w:type="character" w:customStyle="1" w:styleId="3193">
    <w:name w:val="sbody1"/>
    <w:qFormat/>
    <w:uiPriority w:val="0"/>
    <w:rPr>
      <w:spacing w:val="360"/>
      <w:sz w:val="14"/>
      <w:szCs w:val="14"/>
    </w:rPr>
  </w:style>
  <w:style w:type="character" w:customStyle="1" w:styleId="3194">
    <w:name w:val="main1"/>
    <w:qFormat/>
    <w:uiPriority w:val="0"/>
    <w:rPr>
      <w:color w:val="0033CC"/>
      <w:spacing w:val="240"/>
      <w:sz w:val="18"/>
      <w:szCs w:val="18"/>
    </w:rPr>
  </w:style>
  <w:style w:type="character" w:customStyle="1" w:styleId="3195">
    <w:name w:val="text_l1"/>
    <w:qFormat/>
    <w:uiPriority w:val="0"/>
    <w:rPr>
      <w:color w:val="000066"/>
      <w:sz w:val="18"/>
      <w:szCs w:val="18"/>
    </w:rPr>
  </w:style>
  <w:style w:type="character" w:customStyle="1" w:styleId="3196">
    <w:name w:val="标题 41"/>
    <w:qFormat/>
    <w:uiPriority w:val="0"/>
    <w:rPr>
      <w:rFonts w:hint="default" w:ascii="Arial" w:hAnsi="Arial" w:eastAsia="宋体" w:cs="Arial"/>
      <w:b/>
      <w:bCs/>
      <w:kern w:val="2"/>
      <w:sz w:val="28"/>
      <w:szCs w:val="28"/>
      <w:lang w:val="en-US" w:eastAsia="zh-CN" w:bidi="ar-SA"/>
    </w:rPr>
  </w:style>
  <w:style w:type="character" w:customStyle="1" w:styleId="3197">
    <w:name w:val="条-成果 Char Char"/>
    <w:qFormat/>
    <w:uiPriority w:val="0"/>
    <w:rPr>
      <w:rFonts w:hint="eastAsia" w:ascii="宋体" w:hAnsi="宋体" w:eastAsia="宋体"/>
      <w:kern w:val="2"/>
      <w:sz w:val="24"/>
      <w:lang w:val="en-US" w:eastAsia="zh-CN"/>
    </w:rPr>
  </w:style>
  <w:style w:type="character" w:customStyle="1" w:styleId="3198">
    <w:name w:val="表格用字 +  六号 Char"/>
    <w:qFormat/>
    <w:uiPriority w:val="0"/>
    <w:rPr>
      <w:rFonts w:hint="eastAsia" w:ascii="宋体" w:hAnsi="宋体" w:eastAsia="仿宋_GB2312"/>
      <w:kern w:val="2"/>
      <w:sz w:val="15"/>
      <w:lang w:val="en-US" w:eastAsia="zh-CN"/>
    </w:rPr>
  </w:style>
  <w:style w:type="character" w:customStyle="1" w:styleId="3199">
    <w:name w:val="表格用字 Char Char1"/>
    <w:qFormat/>
    <w:uiPriority w:val="0"/>
    <w:rPr>
      <w:rFonts w:hint="eastAsia" w:ascii="宋体" w:hAnsi="宋体" w:eastAsia="仿宋_GB2312"/>
      <w:kern w:val="2"/>
      <w:sz w:val="24"/>
      <w:lang w:val="en-US" w:eastAsia="zh-CN"/>
    </w:rPr>
  </w:style>
  <w:style w:type="character" w:customStyle="1" w:styleId="3200">
    <w:name w:val="热电厂正文 Char"/>
    <w:qFormat/>
    <w:uiPriority w:val="0"/>
    <w:rPr>
      <w:rFonts w:hint="eastAsia" w:ascii="宋体" w:hAnsi="宋体" w:eastAsia="宋体"/>
      <w:kern w:val="2"/>
      <w:sz w:val="24"/>
      <w:lang w:val="en-US" w:eastAsia="zh-CN"/>
    </w:rPr>
  </w:style>
  <w:style w:type="character" w:customStyle="1" w:styleId="3201">
    <w:name w:val="l1201"/>
    <w:qFormat/>
    <w:uiPriority w:val="0"/>
  </w:style>
  <w:style w:type="character" w:customStyle="1" w:styleId="3202">
    <w:name w:val="样式 标题 3 + 宋体 Char"/>
    <w:qFormat/>
    <w:uiPriority w:val="0"/>
    <w:rPr>
      <w:rFonts w:hint="eastAsia" w:ascii="宋体" w:hAnsi="宋体" w:eastAsia="宋体"/>
      <w:kern w:val="2"/>
      <w:sz w:val="30"/>
      <w:szCs w:val="32"/>
      <w:lang w:val="en-US" w:eastAsia="zh-CN" w:bidi="ar-SA"/>
    </w:rPr>
  </w:style>
  <w:style w:type="character" w:customStyle="1" w:styleId="3203">
    <w:name w:val="h31"/>
    <w:qFormat/>
    <w:uiPriority w:val="0"/>
    <w:rPr>
      <w:sz w:val="21"/>
      <w:szCs w:val="21"/>
    </w:rPr>
  </w:style>
  <w:style w:type="character" w:customStyle="1" w:styleId="3204">
    <w:name w:val="样式 正文文字缩进 + 左侧:  -0.05 字符 悬挂缩进: 0.05 字符"/>
    <w:qFormat/>
    <w:uiPriority w:val="0"/>
    <w:rPr>
      <w:rFonts w:hint="eastAsia" w:ascii="宋体" w:hAnsi="宋体" w:eastAsia="宋体"/>
      <w:b/>
      <w:kern w:val="2"/>
      <w:sz w:val="24"/>
      <w:szCs w:val="24"/>
      <w:lang w:val="en-US" w:eastAsia="zh-CN" w:bidi="ar-SA"/>
    </w:rPr>
  </w:style>
  <w:style w:type="character" w:customStyle="1" w:styleId="3205">
    <w:name w:val="样式 标题 3 + Times New Roman 四号 加粗 Char"/>
    <w:qFormat/>
    <w:uiPriority w:val="0"/>
    <w:rPr>
      <w:rFonts w:hint="eastAsia" w:ascii="楷体_GB2312" w:hAnsi="宋体" w:eastAsia="楷体_GB2312"/>
      <w:b/>
      <w:bCs/>
      <w:iCs/>
      <w:kern w:val="2"/>
      <w:sz w:val="28"/>
      <w:szCs w:val="28"/>
      <w:lang w:val="en-US" w:eastAsia="zh-CN" w:bidi="ar-SA"/>
    </w:rPr>
  </w:style>
  <w:style w:type="character" w:customStyle="1" w:styleId="3206">
    <w:name w:val="tt1"/>
    <w:qFormat/>
    <w:uiPriority w:val="0"/>
    <w:rPr>
      <w:rFonts w:hint="default" w:ascii="ˎ̥" w:hAnsi="ˎ̥" w:eastAsia="宋体"/>
      <w:kern w:val="2"/>
      <w:sz w:val="21"/>
      <w:szCs w:val="21"/>
      <w:lang w:val="en-US" w:eastAsia="zh-CN" w:bidi="ar-SA"/>
    </w:rPr>
  </w:style>
  <w:style w:type="character" w:customStyle="1" w:styleId="3207">
    <w:name w:val="hang1"/>
    <w:qFormat/>
    <w:uiPriority w:val="0"/>
    <w:rPr>
      <w:rFonts w:hint="eastAsia" w:ascii="宋体" w:hAnsi="宋体" w:eastAsia="宋体"/>
      <w:spacing w:val="384"/>
      <w:kern w:val="2"/>
      <w:sz w:val="20"/>
      <w:szCs w:val="20"/>
      <w:lang w:val="en-US" w:eastAsia="zh-CN" w:bidi="ar-SA"/>
    </w:rPr>
  </w:style>
  <w:style w:type="character" w:customStyle="1" w:styleId="3208">
    <w:name w:val="不同e"/>
    <w:qFormat/>
    <w:uiPriority w:val="0"/>
    <w:rPr>
      <w:rFonts w:hint="eastAsia" w:ascii="宋体" w:hAnsi="宋体" w:eastAsia="宋体"/>
      <w:color w:val="FF0000"/>
      <w:kern w:val="22"/>
      <w:sz w:val="22"/>
      <w:szCs w:val="24"/>
      <w:lang w:val="en-US" w:eastAsia="zh-CN" w:bidi="ar-SA"/>
    </w:rPr>
  </w:style>
  <w:style w:type="character" w:customStyle="1" w:styleId="3209">
    <w:name w:val="un1"/>
    <w:qFormat/>
    <w:uiPriority w:val="0"/>
    <w:rPr>
      <w:rFonts w:hint="eastAsia" w:ascii="宋体" w:hAnsi="宋体" w:eastAsia="宋体"/>
      <w:spacing w:val="440"/>
      <w:kern w:val="2"/>
      <w:sz w:val="26"/>
      <w:szCs w:val="26"/>
      <w:lang w:val="en-US" w:eastAsia="zh-CN" w:bidi="ar-SA"/>
    </w:rPr>
  </w:style>
  <w:style w:type="character" w:customStyle="1" w:styleId="3210">
    <w:name w:val="Typewriter"/>
    <w:qFormat/>
    <w:uiPriority w:val="0"/>
    <w:rPr>
      <w:rFonts w:hint="default" w:ascii="Courier New" w:hAnsi="Courier New" w:cs="Courier New"/>
      <w:sz w:val="20"/>
    </w:rPr>
  </w:style>
  <w:style w:type="character" w:customStyle="1" w:styleId="3211">
    <w:name w:val="zt11"/>
    <w:qFormat/>
    <w:uiPriority w:val="0"/>
    <w:rPr>
      <w:rFonts w:hint="eastAsia" w:ascii="宋体" w:hAnsi="宋体" w:eastAsia="宋体"/>
      <w:color w:val="000000"/>
      <w:kern w:val="2"/>
      <w:sz w:val="18"/>
      <w:szCs w:val="18"/>
      <w:u w:val="none"/>
      <w:lang w:val="en-US" w:eastAsia="zh-CN" w:bidi="ar-SA"/>
    </w:rPr>
  </w:style>
  <w:style w:type="character" w:customStyle="1" w:styleId="3212">
    <w:name w:val="样式2 Char Char Char"/>
    <w:qFormat/>
    <w:uiPriority w:val="0"/>
    <w:rPr>
      <w:rFonts w:hint="eastAsia" w:ascii="宋体" w:hAnsi="宋体" w:eastAsia="宋体"/>
      <w:sz w:val="24"/>
      <w:szCs w:val="24"/>
      <w:lang w:val="en-US" w:eastAsia="zh-CN"/>
    </w:rPr>
  </w:style>
  <w:style w:type="character" w:customStyle="1" w:styleId="3213">
    <w:name w:val="articlebody"/>
    <w:qFormat/>
    <w:uiPriority w:val="0"/>
    <w:rPr>
      <w:rFonts w:hint="eastAsia" w:ascii="宋体" w:hAnsi="宋体" w:eastAsia="宋体"/>
      <w:kern w:val="2"/>
      <w:sz w:val="30"/>
      <w:szCs w:val="24"/>
      <w:lang w:val="en-US" w:eastAsia="zh-CN" w:bidi="ar-SA"/>
    </w:rPr>
  </w:style>
  <w:style w:type="character" w:customStyle="1" w:styleId="3214">
    <w:name w:val="样式 样式2 + (符号) 宋体1 Char"/>
    <w:qFormat/>
    <w:uiPriority w:val="0"/>
    <w:rPr>
      <w:rFonts w:hint="eastAsia" w:ascii="宋体" w:hAnsi="宋体" w:eastAsia="宋体"/>
      <w:kern w:val="2"/>
      <w:sz w:val="28"/>
      <w:szCs w:val="28"/>
      <w:lang w:val="en-US" w:eastAsia="zh-CN" w:bidi="ar-SA"/>
    </w:rPr>
  </w:style>
  <w:style w:type="character" w:customStyle="1" w:styleId="3215">
    <w:name w:val="type_blue_61"/>
    <w:qFormat/>
    <w:uiPriority w:val="0"/>
    <w:rPr>
      <w:color w:val="002565"/>
      <w:spacing w:val="300"/>
      <w:sz w:val="21"/>
      <w:szCs w:val="21"/>
      <w:u w:val="none"/>
    </w:rPr>
  </w:style>
  <w:style w:type="character" w:customStyle="1" w:styleId="3216">
    <w:name w:val="ttitle1"/>
    <w:qFormat/>
    <w:uiPriority w:val="0"/>
    <w:rPr>
      <w:spacing w:val="120"/>
      <w:sz w:val="21"/>
      <w:szCs w:val="21"/>
    </w:rPr>
  </w:style>
  <w:style w:type="character" w:customStyle="1" w:styleId="3217">
    <w:name w:val="updatebodytest1"/>
    <w:qFormat/>
    <w:uiPriority w:val="0"/>
    <w:rPr>
      <w:rFonts w:hint="default" w:ascii="Arial" w:hAnsi="Arial" w:cs="Arial"/>
      <w:sz w:val="18"/>
      <w:szCs w:val="18"/>
    </w:rPr>
  </w:style>
  <w:style w:type="character" w:customStyle="1" w:styleId="3218">
    <w:name w:val="mainheader1"/>
    <w:qFormat/>
    <w:uiPriority w:val="0"/>
    <w:rPr>
      <w:b/>
      <w:bCs/>
      <w:sz w:val="31"/>
      <w:szCs w:val="31"/>
    </w:rPr>
  </w:style>
  <w:style w:type="character" w:customStyle="1" w:styleId="3219">
    <w:name w:val="Job"/>
    <w:qFormat/>
    <w:uiPriority w:val="0"/>
  </w:style>
  <w:style w:type="character" w:customStyle="1" w:styleId="3220">
    <w:name w:val="Lead-in Emphasis"/>
    <w:qFormat/>
    <w:uiPriority w:val="0"/>
    <w:rPr>
      <w:rFonts w:hint="default" w:ascii="Arial" w:hAnsi="Arial" w:cs="Arial"/>
      <w:b/>
      <w:spacing w:val="-8"/>
      <w:sz w:val="18"/>
    </w:rPr>
  </w:style>
  <w:style w:type="character" w:customStyle="1" w:styleId="3221">
    <w:name w:val="题注+ Char Char"/>
    <w:qFormat/>
    <w:uiPriority w:val="0"/>
    <w:rPr>
      <w:rFonts w:hint="eastAsia" w:ascii="黑体" w:hAnsi="Arial" w:eastAsia="黑体" w:cs="Arial"/>
      <w:kern w:val="2"/>
      <w:sz w:val="24"/>
      <w:szCs w:val="24"/>
      <w:lang w:val="en-US" w:eastAsia="zh-CN" w:bidi="ar-SA"/>
    </w:rPr>
  </w:style>
  <w:style w:type="character" w:customStyle="1" w:styleId="3222">
    <w:name w:val="标5 Char Char"/>
    <w:qFormat/>
    <w:uiPriority w:val="0"/>
    <w:rPr>
      <w:rFonts w:hint="eastAsia" w:ascii="宋体" w:hAnsi="宋体" w:eastAsia="宋体"/>
      <w:sz w:val="28"/>
      <w:szCs w:val="28"/>
      <w:lang w:val="en-US" w:eastAsia="zh-CN"/>
    </w:rPr>
  </w:style>
  <w:style w:type="character" w:customStyle="1" w:styleId="3223">
    <w:name w:val="标4 Char Char"/>
    <w:qFormat/>
    <w:uiPriority w:val="0"/>
    <w:rPr>
      <w:rFonts w:hint="eastAsia" w:ascii="宋体" w:hAnsi="宋体" w:eastAsia="宋体"/>
      <w:sz w:val="28"/>
      <w:szCs w:val="28"/>
      <w:lang w:val="en-US" w:eastAsia="zh-CN"/>
    </w:rPr>
  </w:style>
  <w:style w:type="character" w:customStyle="1" w:styleId="3224">
    <w:name w:val="篇号"/>
    <w:qFormat/>
    <w:uiPriority w:val="0"/>
    <w:rPr>
      <w:rFonts w:hint="eastAsia" w:ascii="宋体" w:hAnsi="宋体" w:eastAsia="宋体"/>
      <w:sz w:val="28"/>
      <w:szCs w:val="28"/>
    </w:rPr>
  </w:style>
  <w:style w:type="character" w:customStyle="1" w:styleId="3225">
    <w:name w:val="首行缩进"/>
    <w:qFormat/>
    <w:uiPriority w:val="0"/>
    <w:rPr>
      <w:rFonts w:hint="default" w:ascii="Arial" w:hAnsi="Arial" w:eastAsia="宋体" w:cs="Arial"/>
      <w:kern w:val="2"/>
      <w:sz w:val="24"/>
      <w:szCs w:val="24"/>
      <w:lang w:val="en-US" w:eastAsia="zh-CN" w:bidi="ar-SA"/>
    </w:rPr>
  </w:style>
  <w:style w:type="character" w:customStyle="1" w:styleId="3226">
    <w:name w:val="fb1"/>
    <w:qFormat/>
    <w:uiPriority w:val="0"/>
    <w:rPr>
      <w:b/>
      <w:bCs/>
    </w:rPr>
  </w:style>
  <w:style w:type="character" w:customStyle="1" w:styleId="3227">
    <w:name w:val="arr1"/>
    <w:qFormat/>
    <w:uiPriority w:val="0"/>
  </w:style>
  <w:style w:type="character" w:customStyle="1" w:styleId="3228">
    <w:name w:val="f12 fgy"/>
    <w:qFormat/>
    <w:uiPriority w:val="0"/>
  </w:style>
  <w:style w:type="character" w:customStyle="1" w:styleId="3229">
    <w:name w:val="正文文字 Char Char Char Char"/>
    <w:qFormat/>
    <w:uiPriority w:val="0"/>
    <w:rPr>
      <w:rFonts w:hint="eastAsia" w:ascii="宋体" w:hAnsi="宋体" w:eastAsia="宋体"/>
      <w:kern w:val="2"/>
      <w:sz w:val="18"/>
      <w:szCs w:val="24"/>
      <w:lang w:val="en-US" w:eastAsia="zh-CN" w:bidi="ar-SA"/>
    </w:rPr>
  </w:style>
  <w:style w:type="character" w:customStyle="1" w:styleId="3230">
    <w:name w:val="样式 正文文本缩进 2正文文字缩进 2 + 四号 蓝色 Char Char Char"/>
    <w:qFormat/>
    <w:uiPriority w:val="0"/>
    <w:rPr>
      <w:rFonts w:hint="eastAsia" w:ascii="宋体" w:hAnsi="宋体" w:eastAsia="宋体"/>
      <w:color w:val="0000FF"/>
      <w:sz w:val="24"/>
      <w:szCs w:val="24"/>
      <w:lang w:val="en-US" w:eastAsia="zh-CN" w:bidi="ar-SA"/>
    </w:rPr>
  </w:style>
  <w:style w:type="character" w:customStyle="1" w:styleId="3231">
    <w:name w:val="fliesstext1"/>
    <w:qFormat/>
    <w:uiPriority w:val="0"/>
    <w:rPr>
      <w:rFonts w:hint="default" w:ascii="Arial" w:hAnsi="Arial" w:cs="Arial"/>
      <w:color w:val="000000"/>
      <w:sz w:val="18"/>
      <w:szCs w:val="18"/>
    </w:rPr>
  </w:style>
  <w:style w:type="character" w:customStyle="1" w:styleId="3232">
    <w:name w:val="正文文字 Char Char Char Char Char"/>
    <w:qFormat/>
    <w:uiPriority w:val="0"/>
    <w:rPr>
      <w:rFonts w:hint="eastAsia" w:ascii="宋体" w:hAnsi="宋体" w:eastAsia="宋体"/>
      <w:kern w:val="2"/>
      <w:sz w:val="24"/>
      <w:lang w:val="en-US" w:eastAsia="zh-CN" w:bidi="ar-SA"/>
    </w:rPr>
  </w:style>
  <w:style w:type="character" w:customStyle="1" w:styleId="3233">
    <w:name w:val="td71"/>
    <w:qFormat/>
    <w:uiPriority w:val="0"/>
    <w:rPr>
      <w:color w:val="3B3B3B"/>
      <w:sz w:val="21"/>
      <w:szCs w:val="21"/>
    </w:rPr>
  </w:style>
  <w:style w:type="character" w:customStyle="1" w:styleId="3234">
    <w:name w:val="可研-正文首行缩进 Char Char1"/>
    <w:qFormat/>
    <w:uiPriority w:val="0"/>
    <w:rPr>
      <w:rFonts w:hint="eastAsia" w:ascii="宋体" w:hAnsi="宋体" w:eastAsia="宋体"/>
      <w:color w:val="000000"/>
      <w:sz w:val="28"/>
      <w:szCs w:val="28"/>
      <w:lang w:val="en-US" w:eastAsia="zh-CN" w:bidi="ar-SA"/>
    </w:rPr>
  </w:style>
  <w:style w:type="character" w:customStyle="1" w:styleId="3235">
    <w:name w:val="热电厂正文 Char Char Char Char"/>
    <w:qFormat/>
    <w:uiPriority w:val="0"/>
    <w:rPr>
      <w:rFonts w:hint="eastAsia" w:ascii="宋体" w:hAnsi="宋体" w:eastAsia="宋体"/>
      <w:kern w:val="2"/>
      <w:sz w:val="24"/>
      <w:szCs w:val="24"/>
      <w:lang w:val="en-US" w:eastAsia="zh-CN" w:bidi="ar-SA"/>
    </w:rPr>
  </w:style>
  <w:style w:type="character" w:customStyle="1" w:styleId="3236">
    <w:name w:val="新标题4 Char Char"/>
    <w:qFormat/>
    <w:uiPriority w:val="0"/>
    <w:rPr>
      <w:rFonts w:hint="default" w:ascii="Arial" w:hAnsi="Arial" w:eastAsia="宋体" w:cs="宋体"/>
      <w:b/>
      <w:bCs/>
      <w:spacing w:val="8"/>
      <w:kern w:val="2"/>
      <w:sz w:val="24"/>
      <w:szCs w:val="24"/>
      <w:lang w:val="en-US" w:eastAsia="zh-CN" w:bidi="ar-SA"/>
    </w:rPr>
  </w:style>
  <w:style w:type="character" w:customStyle="1" w:styleId="3237">
    <w:name w:val="f241"/>
    <w:qFormat/>
    <w:uiPriority w:val="0"/>
    <w:rPr>
      <w:sz w:val="36"/>
      <w:szCs w:val="36"/>
    </w:rPr>
  </w:style>
  <w:style w:type="character" w:customStyle="1" w:styleId="3238">
    <w:name w:val="BOD 0 Char Char Char"/>
    <w:qFormat/>
    <w:uiPriority w:val="0"/>
    <w:rPr>
      <w:rFonts w:hint="eastAsia" w:ascii="宋体" w:hAnsi="宋体" w:eastAsia="宋体"/>
      <w:b/>
      <w:bCs/>
      <w:kern w:val="2"/>
      <w:sz w:val="32"/>
      <w:szCs w:val="32"/>
      <w:lang w:val="en-US" w:eastAsia="zh-CN" w:bidi="ar-SA"/>
    </w:rPr>
  </w:style>
  <w:style w:type="character" w:customStyle="1" w:styleId="3239">
    <w:name w:val="Char Char Char Char Char4"/>
    <w:qFormat/>
    <w:uiPriority w:val="0"/>
    <w:rPr>
      <w:rFonts w:hint="default" w:ascii="Arial" w:hAnsi="Arial" w:eastAsia="黑体" w:cs="Arial"/>
      <w:b/>
      <w:bCs/>
      <w:kern w:val="2"/>
      <w:sz w:val="32"/>
      <w:szCs w:val="32"/>
      <w:lang w:val="en-US" w:eastAsia="zh-CN" w:bidi="ar-SA"/>
    </w:rPr>
  </w:style>
  <w:style w:type="character" w:customStyle="1" w:styleId="3240">
    <w:name w:val="contentfont"/>
    <w:qFormat/>
    <w:uiPriority w:val="0"/>
  </w:style>
  <w:style w:type="character" w:customStyle="1" w:styleId="3241">
    <w:name w:val="heading1"/>
    <w:qFormat/>
    <w:uiPriority w:val="0"/>
    <w:rPr>
      <w:rFonts w:hint="default" w:ascii="ӗԲ" w:hAnsi="ӗԲ"/>
      <w:b/>
      <w:bCs/>
      <w:i/>
      <w:iCs/>
      <w:color w:val="000000"/>
      <w:sz w:val="32"/>
      <w:szCs w:val="32"/>
    </w:rPr>
  </w:style>
  <w:style w:type="character" w:customStyle="1" w:styleId="3242">
    <w:name w:val="样式 正文文本缩进 2正文文字缩进 2 + 四号 蓝色 Char Char Char Char"/>
    <w:qFormat/>
    <w:uiPriority w:val="0"/>
    <w:rPr>
      <w:rFonts w:hint="eastAsia" w:ascii="宋体" w:hAnsi="宋体" w:eastAsia="宋体"/>
      <w:color w:val="0000FF"/>
      <w:kern w:val="2"/>
      <w:sz w:val="28"/>
      <w:szCs w:val="28"/>
      <w:lang w:val="en-US" w:eastAsia="zh-CN" w:bidi="ar-SA"/>
    </w:rPr>
  </w:style>
  <w:style w:type="character" w:customStyle="1" w:styleId="3243">
    <w:name w:val="热电厂正文 Char Char Char Char Char"/>
    <w:qFormat/>
    <w:uiPriority w:val="0"/>
    <w:rPr>
      <w:rFonts w:hint="eastAsia" w:ascii="宋体" w:hAnsi="宋体" w:eastAsia="宋体"/>
      <w:kern w:val="2"/>
      <w:sz w:val="24"/>
      <w:szCs w:val="24"/>
      <w:lang w:val="en-US" w:eastAsia="zh-CN" w:bidi="ar-SA"/>
    </w:rPr>
  </w:style>
  <w:style w:type="character" w:customStyle="1" w:styleId="3244">
    <w:name w:val="样式 热电厂正文 + 首行缩进:  2 字符 Char Char Char Char Char"/>
    <w:qFormat/>
    <w:uiPriority w:val="0"/>
    <w:rPr>
      <w:rFonts w:hint="eastAsia" w:ascii="宋体" w:hAnsi="宋体" w:eastAsia="宋体" w:cs="宋体"/>
      <w:kern w:val="2"/>
      <w:sz w:val="24"/>
      <w:szCs w:val="24"/>
      <w:lang w:val="en-US" w:eastAsia="zh-CN" w:bidi="ar-SA"/>
    </w:rPr>
  </w:style>
  <w:style w:type="character" w:customStyle="1" w:styleId="3245">
    <w:name w:val="样式 样式 首行缩进:  2 字符 行距: 最小值 24 磅 + 首行缩进:  2 字符 Char Char Char Char"/>
    <w:qFormat/>
    <w:uiPriority w:val="0"/>
    <w:rPr>
      <w:rFonts w:hint="eastAsia" w:ascii="宋体" w:hAnsi="宋体" w:eastAsia="宋体" w:cs="宋体"/>
      <w:kern w:val="2"/>
      <w:sz w:val="24"/>
      <w:szCs w:val="24"/>
      <w:lang w:val="en-US" w:eastAsia="zh-CN" w:bidi="ar-SA"/>
    </w:rPr>
  </w:style>
  <w:style w:type="character" w:customStyle="1" w:styleId="3246">
    <w:name w:val="样式 首行缩进:  2 字符 行距: 最小值 24 磅 Char Char Char Char"/>
    <w:qFormat/>
    <w:uiPriority w:val="0"/>
    <w:rPr>
      <w:rFonts w:hint="eastAsia" w:ascii="宋体" w:hAnsi="宋体" w:eastAsia="宋体" w:cs="宋体"/>
      <w:kern w:val="2"/>
      <w:sz w:val="24"/>
      <w:szCs w:val="24"/>
      <w:lang w:val="en-US" w:eastAsia="zh-CN" w:bidi="ar-SA"/>
    </w:rPr>
  </w:style>
  <w:style w:type="character" w:customStyle="1" w:styleId="3247">
    <w:name w:val="标题 21"/>
    <w:qFormat/>
    <w:uiPriority w:val="0"/>
    <w:rPr>
      <w:rFonts w:hint="default" w:ascii="Arial" w:hAnsi="Arial" w:eastAsia="黑体" w:cs="Arial"/>
      <w:b/>
      <w:bCs/>
      <w:kern w:val="2"/>
      <w:sz w:val="32"/>
      <w:szCs w:val="32"/>
      <w:lang w:val="en-US" w:eastAsia="zh-CN" w:bidi="ar-SA"/>
    </w:rPr>
  </w:style>
  <w:style w:type="character" w:customStyle="1" w:styleId="3248">
    <w:name w:val="text7"/>
    <w:qFormat/>
    <w:uiPriority w:val="0"/>
  </w:style>
  <w:style w:type="character" w:customStyle="1" w:styleId="3249">
    <w:name w:val="jtpsoft1"/>
    <w:qFormat/>
    <w:uiPriority w:val="0"/>
    <w:rPr>
      <w:color w:val="505050"/>
      <w:sz w:val="18"/>
      <w:szCs w:val="18"/>
    </w:rPr>
  </w:style>
  <w:style w:type="character" w:customStyle="1" w:styleId="3250">
    <w:name w:val="style1 style3"/>
    <w:qFormat/>
    <w:uiPriority w:val="0"/>
  </w:style>
  <w:style w:type="character" w:customStyle="1" w:styleId="3251">
    <w:name w:val="字体--自建"/>
    <w:qFormat/>
    <w:uiPriority w:val="0"/>
    <w:rPr>
      <w:rFonts w:hint="eastAsia" w:ascii="宋体" w:hAnsi="宋体" w:eastAsia="宋体" w:cs="Times New Roman"/>
      <w:sz w:val="28"/>
      <w:szCs w:val="28"/>
    </w:rPr>
  </w:style>
  <w:style w:type="character" w:customStyle="1" w:styleId="3252">
    <w:name w:val="标题 7 表 Char"/>
    <w:qFormat/>
    <w:uiPriority w:val="0"/>
    <w:rPr>
      <w:rFonts w:hint="eastAsia" w:ascii="宋体" w:hAnsi="宋体" w:eastAsia="宋体"/>
      <w:b/>
      <w:bCs/>
      <w:sz w:val="24"/>
      <w:szCs w:val="24"/>
      <w:lang w:val="en-US" w:eastAsia="zh-CN" w:bidi="ar-SA"/>
    </w:rPr>
  </w:style>
  <w:style w:type="character" w:customStyle="1" w:styleId="3253">
    <w:name w:val="headlines1"/>
    <w:qFormat/>
    <w:uiPriority w:val="0"/>
    <w:rPr>
      <w:rFonts w:hint="eastAsia" w:ascii="򌘺ڢ,  ڌ墬 ˎ̥" w:eastAsia="򌘺ڢ,  ڌ墬 ˎ̥"/>
      <w:color w:val="554B74"/>
      <w:sz w:val="36"/>
      <w:szCs w:val="36"/>
    </w:rPr>
  </w:style>
  <w:style w:type="character" w:customStyle="1" w:styleId="3254">
    <w:name w:val="1-正文 Char Char"/>
    <w:qFormat/>
    <w:uiPriority w:val="0"/>
    <w:rPr>
      <w:rFonts w:hint="eastAsia" w:ascii="宋体" w:hAnsi="宋体" w:eastAsia="宋体"/>
      <w:kern w:val="2"/>
      <w:sz w:val="24"/>
      <w:lang w:val="en-US" w:eastAsia="zh-CN" w:bidi="ar-SA"/>
    </w:rPr>
  </w:style>
  <w:style w:type="character" w:customStyle="1" w:styleId="3255">
    <w:name w:val="nfdjsaeriu1"/>
    <w:qFormat/>
    <w:uiPriority w:val="0"/>
    <w:rPr>
      <w:vanish/>
    </w:rPr>
  </w:style>
  <w:style w:type="character" w:customStyle="1" w:styleId="3256">
    <w:name w:val="标题 4。 Char"/>
    <w:qFormat/>
    <w:uiPriority w:val="0"/>
    <w:rPr>
      <w:rFonts w:hint="default" w:ascii="Times New Roman" w:hAnsi="Times New Roman" w:cs="Times New Roman"/>
      <w:b/>
      <w:bCs/>
      <w:kern w:val="2"/>
      <w:sz w:val="32"/>
      <w:szCs w:val="32"/>
    </w:rPr>
  </w:style>
  <w:style w:type="character" w:customStyle="1" w:styleId="3257">
    <w:name w:val="标题 3-报告书 Char Char"/>
    <w:qFormat/>
    <w:uiPriority w:val="0"/>
    <w:rPr>
      <w:rFonts w:hint="eastAsia" w:ascii="华文中宋" w:hAnsi="华文中宋" w:eastAsia="华文中宋"/>
      <w:kern w:val="2"/>
      <w:sz w:val="30"/>
      <w:szCs w:val="24"/>
      <w:lang w:val="en-US" w:eastAsia="zh-CN" w:bidi="ar-SA"/>
    </w:rPr>
  </w:style>
  <w:style w:type="character" w:customStyle="1" w:styleId="3258">
    <w:name w:val="正文（首行缩进两字） Char Char1 Char"/>
    <w:qFormat/>
    <w:uiPriority w:val="0"/>
    <w:rPr>
      <w:rFonts w:hint="default" w:ascii="Arial" w:hAnsi="Arial" w:cs="Arial"/>
      <w:color w:val="000000"/>
      <w:kern w:val="2"/>
      <w:sz w:val="24"/>
      <w:szCs w:val="24"/>
    </w:rPr>
  </w:style>
  <w:style w:type="character" w:customStyle="1" w:styleId="3259">
    <w:name w:val="正文文字缩进 3 Char Char"/>
    <w:qFormat/>
    <w:uiPriority w:val="0"/>
    <w:rPr>
      <w:rFonts w:hint="eastAsia" w:ascii="宋体" w:hAnsi="宋体" w:eastAsia="宋体"/>
      <w:color w:val="000000"/>
      <w:spacing w:val="5"/>
      <w:kern w:val="2"/>
      <w:sz w:val="28"/>
      <w:szCs w:val="28"/>
      <w:shd w:val="pct10" w:color="auto" w:fill="FFFFFF"/>
      <w:lang w:val="en-US" w:eastAsia="zh-CN" w:bidi="ar-SA"/>
    </w:rPr>
  </w:style>
  <w:style w:type="character" w:customStyle="1" w:styleId="3260">
    <w:name w:val="a21"/>
    <w:qFormat/>
    <w:uiPriority w:val="0"/>
    <w:rPr>
      <w:rFonts w:hint="eastAsia" w:ascii="宋体" w:hAnsi="宋体" w:eastAsia="宋体"/>
      <w:color w:val="000000"/>
      <w:spacing w:val="300"/>
      <w:sz w:val="24"/>
      <w:szCs w:val="24"/>
      <w:u w:val="none"/>
      <w:lang w:val="en-US" w:eastAsia="en-US" w:bidi="ar-SA"/>
    </w:rPr>
  </w:style>
  <w:style w:type="character" w:customStyle="1" w:styleId="3261">
    <w:name w:val="Body Text Char1"/>
    <w:qFormat/>
    <w:uiPriority w:val="0"/>
    <w:rPr>
      <w:kern w:val="2"/>
      <w:sz w:val="21"/>
      <w:szCs w:val="24"/>
    </w:rPr>
  </w:style>
  <w:style w:type="character" w:customStyle="1" w:styleId="3262">
    <w:name w:val="页码1"/>
    <w:qFormat/>
    <w:uiPriority w:val="0"/>
  </w:style>
  <w:style w:type="character" w:customStyle="1" w:styleId="3263">
    <w:name w:val="chword"/>
    <w:qFormat/>
    <w:uiPriority w:val="0"/>
  </w:style>
  <w:style w:type="character" w:customStyle="1" w:styleId="3264">
    <w:name w:val="hei141"/>
    <w:qFormat/>
    <w:uiPriority w:val="0"/>
    <w:rPr>
      <w:color w:val="000000"/>
      <w:sz w:val="21"/>
    </w:rPr>
  </w:style>
  <w:style w:type="character" w:customStyle="1" w:styleId="3265">
    <w:name w:val="td2"/>
    <w:qFormat/>
    <w:uiPriority w:val="0"/>
  </w:style>
  <w:style w:type="character" w:customStyle="1" w:styleId="3266">
    <w:name w:val="style61"/>
    <w:qFormat/>
    <w:uiPriority w:val="0"/>
    <w:rPr>
      <w:b/>
      <w:bCs/>
      <w:sz w:val="23"/>
      <w:szCs w:val="23"/>
    </w:rPr>
  </w:style>
  <w:style w:type="character" w:customStyle="1" w:styleId="3267">
    <w:name w:val="pt91"/>
    <w:qFormat/>
    <w:uiPriority w:val="0"/>
    <w:rPr>
      <w:rFonts w:hint="eastAsia" w:ascii="宋体" w:hAnsi="宋体" w:eastAsia="宋体"/>
      <w:color w:val="000000"/>
      <w:sz w:val="18"/>
      <w:szCs w:val="18"/>
      <w:u w:val="none"/>
    </w:rPr>
  </w:style>
  <w:style w:type="character" w:customStyle="1" w:styleId="3268">
    <w:name w:val="正文文字缩进 3 Char Char1"/>
    <w:qFormat/>
    <w:uiPriority w:val="0"/>
    <w:rPr>
      <w:rFonts w:hint="eastAsia" w:ascii="宋体" w:hAnsi="宋体" w:eastAsia="宋体"/>
      <w:color w:val="FF0000"/>
      <w:kern w:val="2"/>
      <w:sz w:val="28"/>
      <w:lang w:val="en-US" w:eastAsia="zh-CN" w:bidi="ar-SA"/>
    </w:rPr>
  </w:style>
  <w:style w:type="character" w:customStyle="1" w:styleId="3269">
    <w:name w:val="newsf1"/>
    <w:qFormat/>
    <w:uiPriority w:val="0"/>
    <w:rPr>
      <w:sz w:val="21"/>
      <w:szCs w:val="21"/>
    </w:rPr>
  </w:style>
  <w:style w:type="character" w:customStyle="1" w:styleId="3270">
    <w:name w:val="dlscore"/>
    <w:qFormat/>
    <w:uiPriority w:val="0"/>
  </w:style>
  <w:style w:type="character" w:customStyle="1" w:styleId="3271">
    <w:name w:val="yyp Char Char"/>
    <w:qFormat/>
    <w:uiPriority w:val="0"/>
    <w:rPr>
      <w:rFonts w:hint="default" w:ascii="Calibri" w:hAnsi="Calibri" w:eastAsia="宋体"/>
      <w:sz w:val="24"/>
      <w:lang w:bidi="ar-SA"/>
    </w:rPr>
  </w:style>
  <w:style w:type="character" w:customStyle="1" w:styleId="3272">
    <w:name w:val="样式 正文 +"/>
    <w:qFormat/>
    <w:uiPriority w:val="0"/>
    <w:rPr>
      <w:kern w:val="0"/>
      <w:sz w:val="24"/>
    </w:rPr>
  </w:style>
  <w:style w:type="character" w:customStyle="1" w:styleId="3273">
    <w:name w:val="Char Char Char Char Char41"/>
    <w:qFormat/>
    <w:uiPriority w:val="0"/>
    <w:rPr>
      <w:rFonts w:hint="default" w:ascii="Arial" w:hAnsi="Arial" w:eastAsia="黑体" w:cs="Arial"/>
      <w:b/>
      <w:bCs/>
      <w:kern w:val="2"/>
      <w:sz w:val="32"/>
      <w:szCs w:val="32"/>
      <w:lang w:val="en-US" w:eastAsia="zh-CN" w:bidi="ar-SA"/>
    </w:rPr>
  </w:style>
  <w:style w:type="character" w:customStyle="1" w:styleId="3274">
    <w:name w:val="页码2"/>
    <w:qFormat/>
    <w:uiPriority w:val="0"/>
  </w:style>
  <w:style w:type="paragraph" w:customStyle="1" w:styleId="3275">
    <w:name w:val="样式 样式18 + 黑色 行距: 固定值 23 磅"/>
    <w:basedOn w:val="1683"/>
    <w:qFormat/>
    <w:uiPriority w:val="0"/>
    <w:pPr>
      <w:keepNext/>
      <w:keepLines/>
      <w:tabs>
        <w:tab w:val="left" w:pos="1800"/>
      </w:tabs>
      <w:overflowPunct w:val="0"/>
      <w:topLinePunct/>
      <w:autoSpaceDE w:val="0"/>
      <w:autoSpaceDN w:val="0"/>
      <w:adjustRightInd w:val="0"/>
      <w:snapToGrid w:val="0"/>
      <w:ind w:firstLine="0" w:firstLineChars="0"/>
      <w:jc w:val="left"/>
      <w:outlineLvl w:val="3"/>
    </w:pPr>
    <w:rPr>
      <w:rFonts w:hAnsi="宋体"/>
      <w:szCs w:val="20"/>
    </w:rPr>
  </w:style>
  <w:style w:type="paragraph" w:customStyle="1" w:styleId="3276">
    <w:name w:val="说明-表格用字1"/>
    <w:basedOn w:val="2741"/>
    <w:qFormat/>
    <w:uiPriority w:val="0"/>
  </w:style>
  <w:style w:type="paragraph" w:customStyle="1" w:styleId="3277">
    <w:name w:val="样式 样式 样式9 + 段前: 0.5 行 段后: 0.5 行 + 段前: 1 行 段后: 0.5 行"/>
    <w:basedOn w:val="3148"/>
    <w:qFormat/>
    <w:uiPriority w:val="0"/>
  </w:style>
  <w:style w:type="paragraph" w:customStyle="1" w:styleId="3278">
    <w:name w:val="样式 样式 样式 样式9 + 段前: 0.5 行 段后: 0.5 行 + 段前: 1 行 段后: 0.5 行 + 段前: 1 行..."/>
    <w:basedOn w:val="3277"/>
    <w:qFormat/>
    <w:uiPriority w:val="0"/>
  </w:style>
  <w:style w:type="paragraph" w:customStyle="1" w:styleId="3279">
    <w:name w:val="样式 样式 样式 样式 样式9 + 段前: 0.5 行 段后: 0.5 行 + 段前: 1 行 段后: 0.5 行 + 段前: ...1"/>
    <w:basedOn w:val="3278"/>
    <w:qFormat/>
    <w:uiPriority w:val="0"/>
    <w:pPr>
      <w:tabs>
        <w:tab w:val="left" w:pos="567"/>
      </w:tabs>
    </w:pPr>
  </w:style>
  <w:style w:type="paragraph" w:customStyle="1" w:styleId="3280">
    <w:name w:val="样式 样式 样式 样式 样式9 + 段前: 0.5 行 段后: 0.5 行 + 段前: 1 行 段后: 0.5 行 + 段前: ..."/>
    <w:basedOn w:val="3278"/>
    <w:qFormat/>
    <w:uiPriority w:val="0"/>
  </w:style>
  <w:style w:type="paragraph" w:customStyle="1" w:styleId="3281">
    <w:name w:val="样式 样式 样式 样式 样式 样式9 + 段前: 0.5 行 段后: 0.5 行 + 段前: 1 行 段后: 0.5 行 + 段..."/>
    <w:basedOn w:val="3280"/>
    <w:qFormat/>
    <w:uiPriority w:val="0"/>
    <w:pPr>
      <w:jc w:val="left"/>
    </w:pPr>
  </w:style>
  <w:style w:type="paragraph" w:customStyle="1" w:styleId="3282">
    <w:name w:val="样式 样式 样式 样式 样式 样式 样式9 + 段前: 0.5 行 段后: 0.5 行 + 段前: 1 行 段后: 0.5 行 ..."/>
    <w:basedOn w:val="3281"/>
    <w:qFormat/>
    <w:uiPriority w:val="0"/>
  </w:style>
  <w:style w:type="paragraph" w:customStyle="1" w:styleId="3283">
    <w:name w:val="样式 样式 样式 样式 样式 样式 样式 样式9 + 段前: 0.5 行 段后: 0.5 行 + 段前: 1 行 段后: 0.5...3"/>
    <w:basedOn w:val="3282"/>
    <w:qFormat/>
    <w:uiPriority w:val="0"/>
    <w:pPr>
      <w:tabs>
        <w:tab w:val="left" w:pos="567"/>
      </w:tabs>
    </w:pPr>
    <w:rPr>
      <w:color w:val="000000"/>
    </w:rPr>
  </w:style>
  <w:style w:type="paragraph" w:customStyle="1" w:styleId="3284">
    <w:name w:val="样式 样式 样式 样式 样式 样式 样式 样式9 + 段前: 0.5 行 段后: 0.5 行 + 段前: 1 行 段后: 0.5...2"/>
    <w:basedOn w:val="3282"/>
    <w:qFormat/>
    <w:uiPriority w:val="0"/>
    <w:rPr>
      <w:color w:val="000000"/>
    </w:rPr>
  </w:style>
  <w:style w:type="paragraph" w:customStyle="1" w:styleId="3285">
    <w:name w:val="样式 样式 样式 样式 样式 样式 样式 样式9 + 段前: 0.5 行 段后: 0.5 行 + 段前: 1 行 段后: 0.5...1"/>
    <w:basedOn w:val="3282"/>
    <w:qFormat/>
    <w:uiPriority w:val="0"/>
    <w:rPr>
      <w:color w:val="000000"/>
    </w:rPr>
  </w:style>
  <w:style w:type="paragraph" w:customStyle="1" w:styleId="3286">
    <w:name w:val="样式 样式 标题 4 + 首行缩进:  2 字符1 + 首行缩进:  2 字符"/>
    <w:basedOn w:val="3076"/>
    <w:qFormat/>
    <w:uiPriority w:val="0"/>
    <w:pPr>
      <w:ind w:firstLine="482"/>
    </w:pPr>
    <w:rPr>
      <w:rFonts w:ascii="Times New Roman" w:hAnsi="Times New Roman"/>
      <w:bCs/>
    </w:rPr>
  </w:style>
  <w:style w:type="character" w:customStyle="1" w:styleId="3287">
    <w:name w:val="1正文段落 Char Char"/>
    <w:qFormat/>
    <w:uiPriority w:val="0"/>
    <w:rPr>
      <w:rFonts w:eastAsia="宋体"/>
      <w:snapToGrid w:val="0"/>
      <w:sz w:val="24"/>
      <w:szCs w:val="24"/>
      <w:lang w:val="en-US" w:eastAsia="zh-CN" w:bidi="ar-SA"/>
    </w:rPr>
  </w:style>
  <w:style w:type="character" w:customStyle="1" w:styleId="3288">
    <w:name w:val="text_black_100_14px1"/>
    <w:qFormat/>
    <w:uiPriority w:val="0"/>
    <w:rPr>
      <w:rFonts w:hint="eastAsia" w:ascii="宋体" w:hAnsi="宋体" w:eastAsia="宋体"/>
      <w:color w:val="000000"/>
      <w:sz w:val="21"/>
      <w:szCs w:val="21"/>
      <w:u w:val="none"/>
    </w:rPr>
  </w:style>
  <w:style w:type="character" w:customStyle="1" w:styleId="3289">
    <w:name w:val="正文文字 2 Char Char"/>
    <w:qFormat/>
    <w:uiPriority w:val="0"/>
    <w:rPr>
      <w:rFonts w:ascii="Times New Roman" w:hAnsi="Times New Roman" w:eastAsia="宋体" w:cs="Times New Roman"/>
      <w:szCs w:val="24"/>
    </w:rPr>
  </w:style>
  <w:style w:type="paragraph" w:customStyle="1" w:styleId="3290">
    <w:name w:val="font14g"/>
    <w:basedOn w:val="1"/>
    <w:qFormat/>
    <w:uiPriority w:val="0"/>
    <w:pPr>
      <w:widowControl/>
      <w:spacing w:line="450" w:lineRule="atLeast"/>
      <w:ind w:left="15" w:right="15" w:firstLine="480"/>
      <w:jc w:val="left"/>
    </w:pPr>
    <w:rPr>
      <w:rFonts w:ascii="宋体" w:hAnsi="宋体" w:cs="宋体"/>
      <w:color w:val="3E3E3E"/>
      <w:kern w:val="0"/>
      <w:szCs w:val="21"/>
    </w:rPr>
  </w:style>
  <w:style w:type="table" w:customStyle="1" w:styleId="3291">
    <w:name w:val="网格型 13"/>
    <w:basedOn w:val="81"/>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character" w:customStyle="1" w:styleId="3292">
    <w:name w:val="163s2"/>
    <w:qFormat/>
    <w:uiPriority w:val="0"/>
    <w:rPr>
      <w:sz w:val="18"/>
      <w:szCs w:val="18"/>
    </w:rPr>
  </w:style>
  <w:style w:type="character" w:customStyle="1" w:styleId="3293">
    <w:name w:val="H7 Char"/>
    <w:qFormat/>
    <w:uiPriority w:val="0"/>
    <w:rPr>
      <w:rFonts w:ascii="Times New Roman" w:hAnsi="Times New Roman"/>
      <w:b/>
      <w:kern w:val="2"/>
      <w:sz w:val="24"/>
    </w:rPr>
  </w:style>
  <w:style w:type="character" w:customStyle="1" w:styleId="3294">
    <w:name w:val="H9 Char Char"/>
    <w:qFormat/>
    <w:uiPriority w:val="0"/>
    <w:rPr>
      <w:rFonts w:ascii="Arial" w:hAnsi="Arial" w:eastAsia="黑体"/>
      <w:kern w:val="2"/>
      <w:sz w:val="21"/>
    </w:rPr>
  </w:style>
  <w:style w:type="table" w:customStyle="1" w:styleId="3295">
    <w:name w:val="网格型 54"/>
    <w:basedOn w:val="81"/>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paragraph" w:customStyle="1" w:styleId="3296">
    <w:name w:val="正文首行缩进3"/>
    <w:basedOn w:val="34"/>
    <w:qFormat/>
    <w:uiPriority w:val="0"/>
  </w:style>
  <w:style w:type="paragraph" w:customStyle="1" w:styleId="3297">
    <w:name w:val="正文文本缩进 23"/>
    <w:basedOn w:val="1"/>
    <w:qFormat/>
    <w:uiPriority w:val="0"/>
    <w:pPr>
      <w:adjustRightInd w:val="0"/>
      <w:spacing w:line="348" w:lineRule="auto"/>
      <w:ind w:firstLine="573"/>
      <w:textAlignment w:val="baseline"/>
    </w:pPr>
    <w:rPr>
      <w:rFonts w:eastAsia="Wingdings"/>
      <w:sz w:val="28"/>
      <w:szCs w:val="20"/>
    </w:rPr>
  </w:style>
  <w:style w:type="table" w:customStyle="1" w:styleId="3298">
    <w:name w:val="列表型 53"/>
    <w:basedOn w:val="81"/>
    <w:qFormat/>
    <w:uiPriority w:val="0"/>
    <w:pPr>
      <w:widowControl w:val="0"/>
      <w:adjustRightInd w:val="0"/>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single" w:color="000000" w:sz="12" w:space="0"/>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3299">
    <w:name w:val="网格型31"/>
    <w:basedOn w:val="81"/>
    <w:qFormat/>
    <w:uiPriority w:val="0"/>
    <w:pPr>
      <w:widowControl w:val="0"/>
      <w:adjustRightInd w:val="0"/>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00">
    <w:name w:val="网格型41"/>
    <w:basedOn w:val="81"/>
    <w:qFormat/>
    <w:uiPriority w:val="0"/>
    <w:pPr>
      <w:widowControl w:val="0"/>
      <w:adjustRightInd w:val="0"/>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01">
    <w:name w:val="网格型51"/>
    <w:basedOn w:val="81"/>
    <w:qFormat/>
    <w:uiPriority w:val="0"/>
    <w:pPr>
      <w:widowControl w:val="0"/>
      <w:adjustRightInd w:val="0"/>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02">
    <w:name w:val="网格型 513"/>
    <w:basedOn w:val="81"/>
    <w:qFormat/>
    <w:uiPriority w:val="0"/>
    <w:pPr>
      <w:widowControl w:val="0"/>
      <w:adjustRightInd w:val="0"/>
      <w:snapToGrid w:val="0"/>
      <w:spacing w:line="348" w:lineRule="auto"/>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03">
    <w:name w:val="网格型61"/>
    <w:basedOn w:val="81"/>
    <w:qFormat/>
    <w:uiPriority w:val="0"/>
    <w:pPr>
      <w:widowControl w:val="0"/>
      <w:adjustRightInd w:val="0"/>
      <w:snapToGrid w:val="0"/>
      <w:spacing w:line="348"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04">
    <w:name w:val="网格型 75"/>
    <w:basedOn w:val="81"/>
    <w:qFormat/>
    <w:uiPriority w:val="0"/>
    <w:pPr>
      <w:widowControl w:val="0"/>
      <w:snapToGrid w:val="0"/>
      <w:spacing w:line="348" w:lineRule="auto"/>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05">
    <w:name w:val="网格型71"/>
    <w:basedOn w:val="81"/>
    <w:qFormat/>
    <w:uiPriority w:val="0"/>
    <w:pPr>
      <w:widowControl w:val="0"/>
      <w:adjustRightInd w:val="0"/>
      <w:snapToGrid w:val="0"/>
      <w:spacing w:line="348" w:lineRule="auto"/>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06">
    <w:name w:val="网格型 521"/>
    <w:basedOn w:val="81"/>
    <w:qFormat/>
    <w:uiPriority w:val="0"/>
    <w:pPr>
      <w:widowControl w:val="0"/>
      <w:adjustRightInd w:val="0"/>
      <w:jc w:val="both"/>
      <w:textAlignment w:val="baseline"/>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07">
    <w:name w:val="三线表11"/>
    <w:basedOn w:val="8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08">
    <w:name w:val="三线表2"/>
    <w:basedOn w:val="8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09">
    <w:name w:val="网格型13"/>
    <w:basedOn w:val="8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310">
    <w:name w:val="正文首行缩进4"/>
    <w:basedOn w:val="34"/>
    <w:qFormat/>
    <w:uiPriority w:val="0"/>
  </w:style>
  <w:style w:type="paragraph" w:customStyle="1" w:styleId="3311">
    <w:name w:val="正文文本缩进 24"/>
    <w:basedOn w:val="1"/>
    <w:qFormat/>
    <w:uiPriority w:val="0"/>
    <w:pPr>
      <w:adjustRightInd w:val="0"/>
      <w:spacing w:line="348" w:lineRule="auto"/>
      <w:ind w:firstLine="573"/>
      <w:textAlignment w:val="baseline"/>
    </w:pPr>
    <w:rPr>
      <w:rFonts w:eastAsia="Wingdings"/>
      <w:sz w:val="28"/>
      <w:szCs w:val="20"/>
    </w:rPr>
  </w:style>
  <w:style w:type="paragraph" w:customStyle="1" w:styleId="3312">
    <w:name w:val="文档结构图2"/>
    <w:basedOn w:val="1"/>
    <w:qFormat/>
    <w:uiPriority w:val="0"/>
    <w:pPr>
      <w:shd w:val="clear" w:color="auto" w:fill="000080"/>
      <w:adjustRightInd w:val="0"/>
      <w:spacing w:line="360" w:lineRule="atLeast"/>
      <w:jc w:val="left"/>
      <w:textAlignment w:val="baseline"/>
    </w:pPr>
    <w:rPr>
      <w:rFonts w:eastAsia="Wingdings"/>
      <w:kern w:val="0"/>
      <w:sz w:val="24"/>
      <w:szCs w:val="20"/>
    </w:rPr>
  </w:style>
  <w:style w:type="table" w:customStyle="1" w:styleId="3313">
    <w:name w:val="网格型10"/>
    <w:basedOn w:val="8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14">
    <w:name w:val="彩色型 21"/>
    <w:basedOn w:val="81"/>
    <w:qFormat/>
    <w:uiPriority w:val="0"/>
    <w:pPr>
      <w:widowControl w:val="0"/>
      <w:jc w:val="both"/>
    </w:pPr>
    <w:tblPr>
      <w:tblBorders>
        <w:bottom w:val="single" w:color="000000" w:sz="12" w:space="0"/>
      </w:tblBorders>
    </w:tblPr>
    <w:tcPr>
      <w:shd w:val="pct20" w:color="FFFF00" w:fill="FFFFFF"/>
    </w:tcPr>
    <w:tblStylePr w:type="firstRow">
      <w:rPr>
        <w:b/>
        <w:bCs/>
        <w:i/>
        <w:iCs/>
        <w:color w:val="FFFFFF"/>
      </w:rPr>
      <w:tcPr>
        <w:tcBorders>
          <w:top w:val="nil"/>
          <w:left w:val="single" w:color="000000" w:sz="12" w:space="0"/>
          <w:bottom w:val="nil"/>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315">
    <w:name w:val="彩色型 31"/>
    <w:basedOn w:val="81"/>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single" w:color="000000" w:sz="6" w:space="0"/>
          <w:bottom w:val="nil"/>
          <w:right w:val="nil"/>
          <w:insideH w:val="nil"/>
          <w:insideV w:val="nil"/>
          <w:tl2br w:val="nil"/>
          <w:tr2bl w:val="nil"/>
        </w:tcBorders>
        <w:shd w:val="solid" w:color="008080" w:fill="FFFFFF"/>
      </w:tcPr>
    </w:tblStylePr>
    <w:tblStylePr w:type="firstCol">
      <w:tcPr>
        <w:tcBorders>
          <w:top w:val="nil"/>
          <w:left w:val="nil"/>
          <w:bottom w:val="single" w:color="000000" w:sz="36" w:space="0"/>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316">
    <w:name w:val="典雅型1"/>
    <w:basedOn w:val="81"/>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317">
    <w:name w:val="古典型 11"/>
    <w:basedOn w:val="81"/>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cPr>
        <w:tcBorders>
          <w:top w:val="nil"/>
          <w:left w:val="single" w:color="000000" w:sz="6" w:space="0"/>
          <w:bottom w:val="nil"/>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18">
    <w:name w:val="古典型 21"/>
    <w:basedOn w:val="81"/>
    <w:qFormat/>
    <w:uiPriority w:val="0"/>
    <w:pPr>
      <w:widowControl w:val="0"/>
      <w:jc w:val="both"/>
    </w:pPr>
    <w:tblPr>
      <w:tblBorders>
        <w:top w:val="single" w:color="000000" w:sz="12" w:space="0"/>
        <w:bottom w:val="single" w:color="000000" w:sz="12" w:space="0"/>
      </w:tblBorders>
    </w:tblPr>
    <w:tcPr>
      <w:shd w:val="clear" w:color="auto" w:fill="auto"/>
    </w:tcPr>
    <w:tblStylePr w:type="firstRow">
      <w:rPr>
        <w:color w:val="FFFFFF"/>
      </w:rPr>
      <w:tcPr>
        <w:tcBorders>
          <w:top w:val="nil"/>
          <w:left w:val="single" w:color="000000" w:sz="6" w:space="0"/>
          <w:bottom w:val="nil"/>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319">
    <w:name w:val="古典型 31"/>
    <w:basedOn w:val="81"/>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cPr>
        <w:tcBorders>
          <w:top w:val="nil"/>
          <w:left w:val="single" w:color="000000" w:sz="6" w:space="0"/>
          <w:bottom w:val="nil"/>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3320">
    <w:name w:val="古典型 41"/>
    <w:basedOn w:val="81"/>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single" w:color="000000" w:sz="6" w:space="0"/>
          <w:bottom w:val="nil"/>
          <w:right w:val="nil"/>
          <w:insideH w:val="nil"/>
          <w:insideV w:val="nil"/>
          <w:tl2br w:val="nil"/>
          <w:tr2bl w:val="nil"/>
        </w:tcBorders>
        <w:shd w:val="pct50" w:color="000080" w:fill="FFFFFF"/>
      </w:tcPr>
    </w:tblStylePr>
    <w:tblStylePr w:type="lastRow">
      <w:rPr>
        <w:color w:val="000080"/>
      </w:rPr>
      <w:tcPr>
        <w:tcBorders>
          <w:top w:val="nil"/>
          <w:left w:val="single" w:color="000000" w:sz="6" w:space="0"/>
          <w:bottom w:val="nil"/>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321">
    <w:name w:val="简明型 11"/>
    <w:basedOn w:val="81"/>
    <w:qFormat/>
    <w:uiPriority w:val="0"/>
    <w:pPr>
      <w:widowControl w:val="0"/>
      <w:adjustRightInd w:val="0"/>
      <w:textAlignment w:val="baseline"/>
    </w:pPr>
    <w:tblPr>
      <w:tblBorders>
        <w:top w:val="single" w:color="008000" w:sz="12" w:space="0"/>
        <w:bottom w:val="single" w:color="008000" w:sz="12" w:space="0"/>
      </w:tblBorders>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322">
    <w:name w:val="简明型 21"/>
    <w:basedOn w:val="81"/>
    <w:qFormat/>
    <w:uiPriority w:val="0"/>
    <w:pPr>
      <w:widowControl w:val="0"/>
      <w:jc w:val="both"/>
    </w:pPr>
    <w:tblStylePr w:type="firstRow">
      <w:rPr>
        <w:b/>
        <w:bCs/>
      </w:rPr>
      <w:tcPr>
        <w:tcBorders>
          <w:top w:val="nil"/>
          <w:left w:val="single" w:color="000000" w:sz="12" w:space="0"/>
          <w:bottom w:val="nil"/>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nil"/>
          <w:bottom w:val="single" w:color="000000" w:sz="6" w:space="0"/>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23">
    <w:name w:val="简明型 31"/>
    <w:basedOn w:val="81"/>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324">
    <w:name w:val="精巧型 11"/>
    <w:basedOn w:val="81"/>
    <w:qFormat/>
    <w:uiPriority w:val="0"/>
    <w:pPr>
      <w:widowControl w:val="0"/>
      <w:jc w:val="both"/>
    </w:pPr>
    <w:tblStylePr w:type="firstRow">
      <w:tcPr>
        <w:tcBorders>
          <w:top w:val="single" w:color="000000" w:sz="6" w:space="0"/>
          <w:left w:val="single" w:color="000000" w:sz="12" w:space="0"/>
          <w:bottom w:val="nil"/>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shd w:val="pct25" w:color="800080" w:fill="FFFFFF"/>
      </w:tcPr>
    </w:tblStylePr>
    <w:tblStylePr w:type="firstCol">
      <w:tcPr>
        <w:tcBorders>
          <w:top w:val="nil"/>
          <w:left w:val="nil"/>
          <w:bottom w:val="nil"/>
          <w:right w:val="single" w:color="000000" w:sz="12" w:space="0"/>
          <w:insideH w:val="nil"/>
          <w:insideV w:val="nil"/>
          <w:tl2br w:val="nil"/>
          <w:tr2bl w:val="nil"/>
        </w:tcBorders>
      </w:tcPr>
    </w:tblStylePr>
    <w:tblStylePr w:type="lastCol">
      <w:tcPr>
        <w:tcBorders>
          <w:top w:val="nil"/>
          <w:left w:val="nil"/>
          <w:bottom w:val="single" w:color="000000" w:sz="12" w:space="0"/>
          <w:right w:val="nil"/>
          <w:insideH w:val="nil"/>
          <w:insideV w:val="nil"/>
          <w:tl2br w:val="nil"/>
          <w:tr2bl w:val="nil"/>
        </w:tcBorders>
      </w:tcPr>
    </w:tblStylePr>
    <w:tblStylePr w:type="band1Horz">
      <w:tcPr>
        <w:tcBorders>
          <w:top w:val="nil"/>
          <w:left w:val="single" w:color="000000" w:sz="6"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25">
    <w:name w:val="精巧型 21"/>
    <w:basedOn w:val="81"/>
    <w:qFormat/>
    <w:uiPriority w:val="0"/>
    <w:pPr>
      <w:widowControl w:val="0"/>
      <w:jc w:val="both"/>
    </w:pPr>
    <w:tblPr>
      <w:tblBorders>
        <w:left w:val="single" w:color="000000" w:sz="6" w:space="0"/>
        <w:right w:val="single" w:color="000000" w:sz="6" w:space="0"/>
      </w:tblBorders>
    </w:tblPr>
    <w:tblStylePr w:type="firstRow">
      <w:tcPr>
        <w:tcBorders>
          <w:top w:val="nil"/>
          <w:left w:val="single" w:color="000000" w:sz="12" w:space="0"/>
          <w:bottom w:val="nil"/>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nil"/>
          <w:bottom w:val="single" w:color="000000" w:sz="12" w:space="0"/>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26">
    <w:name w:val="立体型 11"/>
    <w:basedOn w:val="81"/>
    <w:semiHidden/>
    <w:qFormat/>
    <w:uiPriority w:val="0"/>
    <w:pPr>
      <w:widowControl w:val="0"/>
      <w:jc w:val="both"/>
    </w:pPr>
    <w:tcPr>
      <w:shd w:val="solid" w:color="C0C0C0" w:fill="FFFFFF"/>
    </w:tcPr>
    <w:tblStylePr w:type="firstRow">
      <w:rPr>
        <w:b/>
        <w:bCs/>
        <w:color w:val="800080"/>
      </w:rPr>
      <w:tcPr>
        <w:tcBorders>
          <w:top w:val="nil"/>
          <w:left w:val="single" w:color="808080" w:sz="6" w:space="0"/>
          <w:bottom w:val="nil"/>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nil"/>
          <w:bottom w:val="single" w:color="FFFFFF" w:sz="6" w:space="0"/>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327">
    <w:name w:val="立体型 21"/>
    <w:basedOn w:val="81"/>
    <w:semiHidden/>
    <w:qFormat/>
    <w:uiPriority w:val="0"/>
    <w:pPr>
      <w:widowControl w:val="0"/>
      <w:jc w:val="both"/>
    </w:pPr>
    <w:tcPr>
      <w:shd w:val="solid" w:color="C0C0C0" w:fill="FFFFFF"/>
    </w:tc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Horz">
      <w:tcPr>
        <w:tcBorders>
          <w:top w:val="single" w:color="808080" w:sz="6" w:space="0"/>
          <w:left w:val="single" w:color="FFFFFF" w:sz="6" w:space="0"/>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28">
    <w:name w:val="立体型 31"/>
    <w:basedOn w:val="81"/>
    <w:semiHidden/>
    <w:qFormat/>
    <w:uiPriority w:val="0"/>
    <w:pPr>
      <w:widowControl w:val="0"/>
      <w:jc w:val="both"/>
    </w:p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single" w:color="FFFFFF" w:sz="6" w:space="0"/>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29">
    <w:name w:val="列表型 11"/>
    <w:basedOn w:val="81"/>
    <w:qFormat/>
    <w:uiPriority w:val="0"/>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single" w:color="000000" w:sz="6" w:space="0"/>
          <w:bottom w:val="nil"/>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30">
    <w:name w:val="列表型 21"/>
    <w:basedOn w:val="81"/>
    <w:qFormat/>
    <w:uiPriority w:val="0"/>
    <w:pPr>
      <w:widowControl w:val="0"/>
      <w:jc w:val="both"/>
    </w:pPr>
    <w:tblPr>
      <w:tblBorders>
        <w:bottom w:val="single" w:color="808080" w:sz="12" w:space="0"/>
      </w:tblBorders>
    </w:tblPr>
    <w:tblStylePr w:type="firstRow">
      <w:rPr>
        <w:b/>
        <w:bCs/>
        <w:color w:val="FFFFFF"/>
      </w:rPr>
      <w:tcPr>
        <w:tcBorders>
          <w:top w:val="nil"/>
          <w:left w:val="single" w:color="000000" w:sz="6" w:space="0"/>
          <w:bottom w:val="nil"/>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FF0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31">
    <w:name w:val="列表型 31"/>
    <w:basedOn w:val="81"/>
    <w:qFormat/>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single" w:color="000000" w:sz="12" w:space="0"/>
          <w:bottom w:val="nil"/>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3332">
    <w:name w:val="列表型 41"/>
    <w:basedOn w:val="81"/>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cPr>
        <w:tcBorders>
          <w:top w:val="nil"/>
          <w:left w:val="single" w:color="000000" w:sz="12" w:space="0"/>
          <w:bottom w:val="nil"/>
          <w:right w:val="nil"/>
          <w:insideH w:val="nil"/>
          <w:insideV w:val="nil"/>
          <w:tl2br w:val="nil"/>
          <w:tr2bl w:val="nil"/>
        </w:tcBorders>
        <w:shd w:val="solid" w:color="808080" w:fill="FFFFFF"/>
      </w:tcPr>
    </w:tblStylePr>
  </w:style>
  <w:style w:type="table" w:customStyle="1" w:styleId="3333">
    <w:name w:val="列表型 54"/>
    <w:basedOn w:val="81"/>
    <w:semiHidden/>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single" w:color="000000" w:sz="12" w:space="0"/>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3334">
    <w:name w:val="列表型 61"/>
    <w:basedOn w:val="81"/>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single" w:color="000000" w:sz="12" w:space="0"/>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35">
    <w:name w:val="列表型 71"/>
    <w:basedOn w:val="81"/>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cPr>
        <w:tcBorders>
          <w:top w:val="nil"/>
          <w:left w:val="single" w:color="008000" w:sz="12" w:space="0"/>
          <w:bottom w:val="nil"/>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3336">
    <w:name w:val="列表型 81"/>
    <w:basedOn w:val="81"/>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single" w:color="000000" w:sz="6" w:space="0"/>
          <w:bottom w:val="nil"/>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3337">
    <w:name w:val="流行型1"/>
    <w:basedOn w:val="81"/>
    <w:qFormat/>
    <w:uiPriority w:val="0"/>
    <w:pPr>
      <w:widowControl w:val="0"/>
      <w:jc w:val="both"/>
    </w:pPr>
    <w:tblPr>
      <w:tblBorders>
        <w:insideH w:val="single" w:color="FFFFFF" w:sz="18" w:space="0"/>
        <w:insideV w:val="single" w:color="FFFFFF" w:sz="18" w:space="0"/>
      </w:tblBorders>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3338">
    <w:name w:val="竖列型 11"/>
    <w:basedOn w:val="81"/>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cPr>
        <w:tcBorders>
          <w:top w:val="nil"/>
          <w:left w:val="double" w:color="000000" w:sz="6" w:space="0"/>
          <w:bottom w:val="nil"/>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39">
    <w:name w:val="竖列型 21"/>
    <w:basedOn w:val="81"/>
    <w:qFormat/>
    <w:uiPriority w:val="0"/>
    <w:pPr>
      <w:widowControl w:val="0"/>
      <w:jc w:val="both"/>
    </w:pPr>
    <w:rPr>
      <w:b/>
      <w:bCs/>
    </w:r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40">
    <w:name w:val="竖列型 31"/>
    <w:basedOn w:val="81"/>
    <w:qFormat/>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3341">
    <w:name w:val="竖列型 41"/>
    <w:basedOn w:val="81"/>
    <w:qFormat/>
    <w:uiPriority w:val="0"/>
    <w:pPr>
      <w:widowControl w:val="0"/>
      <w:jc w:val="both"/>
    </w:p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3342">
    <w:name w:val="竖列型 51"/>
    <w:basedOn w:val="81"/>
    <w:qFormat/>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cPr>
        <w:tcBorders>
          <w:top w:val="nil"/>
          <w:left w:val="single" w:color="808080" w:sz="6" w:space="0"/>
          <w:bottom w:val="nil"/>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3343">
    <w:name w:val="网格型 14"/>
    <w:basedOn w:val="81"/>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44">
    <w:name w:val="网格型 21"/>
    <w:basedOn w:val="81"/>
    <w:qFormat/>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3345">
    <w:name w:val="网格型 31"/>
    <w:basedOn w:val="81"/>
    <w:qFormat/>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single" w:color="000000" w:sz="6" w:space="0"/>
          <w:bottom w:val="nil"/>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46">
    <w:name w:val="网格型 41"/>
    <w:basedOn w:val="81"/>
    <w:qFormat/>
    <w:uiPriority w:val="0"/>
    <w:pPr>
      <w:widowControl w:val="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cPr>
        <w:tcBorders>
          <w:top w:val="nil"/>
          <w:left w:val="single" w:color="000000" w:sz="6" w:space="0"/>
          <w:bottom w:val="nil"/>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347">
    <w:name w:val="网格型 55"/>
    <w:basedOn w:val="81"/>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48">
    <w:name w:val="网格型 61"/>
    <w:basedOn w:val="81"/>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cPr>
        <w:tcBorders>
          <w:top w:val="nil"/>
          <w:left w:val="single" w:color="000000" w:sz="6" w:space="0"/>
          <w:bottom w:val="nil"/>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49">
    <w:name w:val="网格型 76"/>
    <w:basedOn w:val="81"/>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50">
    <w:name w:val="网格型 81"/>
    <w:basedOn w:val="81"/>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351">
    <w:name w:val="网页型 11"/>
    <w:basedOn w:val="81"/>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352">
    <w:name w:val="网页型 21"/>
    <w:basedOn w:val="81"/>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353">
    <w:name w:val="网页型 31"/>
    <w:basedOn w:val="81"/>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354">
    <w:name w:val="表格样式13"/>
    <w:basedOn w:val="81"/>
    <w:qFormat/>
    <w:uiPriority w:val="0"/>
  </w:style>
  <w:style w:type="table" w:customStyle="1" w:styleId="3355">
    <w:name w:val="表格样式-ls1"/>
    <w:basedOn w:val="81"/>
    <w:qFormat/>
    <w:uiPriority w:val="0"/>
    <w:pPr>
      <w:widowControl w:val="0"/>
      <w:adjustRightInd w:val="0"/>
      <w:spacing w:line="360" w:lineRule="exact"/>
      <w:jc w:val="center"/>
      <w:textAlignment w:val="center"/>
    </w:pPr>
    <w:rPr>
      <w:szCs w:val="21"/>
    </w:rPr>
    <w:tblPr>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
    <w:trPr>
      <w:jc w:val="center"/>
    </w:trPr>
    <w:tcPr>
      <w:shd w:val="clear" w:color="auto" w:fill="auto"/>
      <w:vAlign w:val="center"/>
    </w:tcPr>
    <w:tblStylePr w:type="firstRow">
      <w:pPr>
        <w:jc w:val="center"/>
      </w:pPr>
      <w:rPr>
        <w:rFonts w:eastAsia="仿宋_GB2312"/>
        <w:b w:val="0"/>
        <w:bCs/>
        <w:color w:val="auto"/>
        <w:sz w:val="21"/>
      </w:rPr>
      <w:tcPr>
        <w:tcBorders>
          <w:top w:val="nil"/>
          <w:left w:val="nil"/>
          <w:bottom w:val="nil"/>
          <w:right w:val="nil"/>
          <w:insideH w:val="nil"/>
          <w:insideV w:val="nil"/>
          <w:tl2br w:val="nil"/>
          <w:tr2bl w:val="nil"/>
        </w:tcBorders>
        <w:shd w:val="pct20" w:color="000000" w:fill="FFFFFF"/>
      </w:tcPr>
    </w:tblStylePr>
  </w:style>
  <w:style w:type="table" w:customStyle="1" w:styleId="3356">
    <w:name w:val="自定义11"/>
    <w:basedOn w:val="114"/>
    <w:qFormat/>
    <w:uiPriority w:val="0"/>
    <w:pPr>
      <w:jc w:val="center"/>
    </w:pPr>
    <w:rPr>
      <w:sz w:val="21"/>
      <w:szCs w:val="21"/>
    </w:rPr>
    <w:tblPr>
      <w:tblBorders>
        <w:top w:val="thinThickSmallGap" w:color="auto" w:sz="12" w:space="0"/>
        <w:left w:val="thinThickSmallGap" w:color="auto" w:sz="12" w:space="0"/>
        <w:bottom w:val="thickThinSmallGap" w:color="auto" w:sz="12" w:space="0"/>
        <w:right w:val="thickThinSmallGap" w:color="auto" w:sz="12" w:space="0"/>
      </w:tblBorders>
      <w:tblCellMar>
        <w:left w:w="0" w:type="dxa"/>
        <w:right w:w="0" w:type="dxa"/>
      </w:tblCellMar>
    </w:tblPr>
    <w:tcPr>
      <w:shd w:val="clear" w:color="auto" w:fill="auto"/>
      <w:vAlign w:val="center"/>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57">
    <w:name w:val="自定义2"/>
    <w:basedOn w:val="86"/>
    <w:qFormat/>
    <w:uiPriority w:val="0"/>
    <w:pPr>
      <w:jc w:val="center"/>
    </w:pPr>
    <w:rPr>
      <w:sz w:val="21"/>
    </w:rPr>
    <w:tblPr>
      <w:tblBorders>
        <w:top w:val="thinThickSmallGap" w:color="auto" w:sz="12" w:space="0"/>
        <w:left w:val="thinThickSmallGap" w:color="auto" w:sz="12" w:space="0"/>
        <w:bottom w:val="thickThinSmallGap" w:color="auto" w:sz="12" w:space="0"/>
        <w:right w:val="thickThinSmallGap" w:color="auto" w:sz="12" w:space="0"/>
      </w:tblBorders>
      <w:tblCellMar>
        <w:left w:w="0" w:type="dxa"/>
        <w:right w:w="0" w:type="dxa"/>
      </w:tblCellMar>
    </w:tblPr>
    <w:tcPr>
      <w:shd w:val="clear" w:color="auto" w:fill="auto"/>
      <w:vAlign w:val="center"/>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358">
    <w:name w:val="普通表格11"/>
    <w:semiHidden/>
    <w:qFormat/>
    <w:uiPriority w:val="0"/>
    <w:rPr>
      <w:rFonts w:eastAsia="Times New Roman"/>
    </w:rPr>
    <w:tblPr>
      <w:tblCellMar>
        <w:top w:w="0" w:type="dxa"/>
        <w:left w:w="108" w:type="dxa"/>
        <w:bottom w:w="0" w:type="dxa"/>
        <w:right w:w="108" w:type="dxa"/>
      </w:tblCellMar>
    </w:tblPr>
  </w:style>
  <w:style w:type="table" w:customStyle="1" w:styleId="3359">
    <w:name w:val="Table Normal2"/>
    <w:unhideWhenUsed/>
    <w:qFormat/>
    <w:uiPriority w:val="2"/>
    <w:pPr>
      <w:widowControl w:val="0"/>
    </w:pPr>
    <w:rPr>
      <w:sz w:val="22"/>
      <w:lang w:eastAsia="en-US"/>
    </w:rPr>
    <w:tblPr>
      <w:tblCellMar>
        <w:top w:w="0" w:type="dxa"/>
        <w:left w:w="0" w:type="dxa"/>
        <w:bottom w:w="0" w:type="dxa"/>
        <w:right w:w="0" w:type="dxa"/>
      </w:tblCellMar>
    </w:tblPr>
  </w:style>
  <w:style w:type="table" w:customStyle="1" w:styleId="3360">
    <w:name w:val="AAA1"/>
    <w:basedOn w:val="82"/>
    <w:qFormat/>
    <w:uiPriority w:val="0"/>
    <w:pPr>
      <w:widowControl w:val="0"/>
      <w:jc w:val="center"/>
    </w:pPr>
    <w:tblPr>
      <w:tblBorders>
        <w:top w:val="single" w:color="auto" w:sz="12" w:space="0"/>
        <w:bottom w:val="single" w:color="auto" w:sz="12" w:space="0"/>
      </w:tblBorders>
    </w:tblPr>
    <w:tcPr>
      <w:vAlign w:val="center"/>
    </w:tcPr>
  </w:style>
  <w:style w:type="table" w:customStyle="1" w:styleId="3361">
    <w:name w:val="Table Normal11"/>
    <w:unhideWhenUsed/>
    <w:qFormat/>
    <w:uiPriority w:val="2"/>
    <w:pPr>
      <w:widowControl w:val="0"/>
    </w:pPr>
    <w:rPr>
      <w:sz w:val="22"/>
      <w:lang w:eastAsia="en-US"/>
    </w:rPr>
    <w:tblPr>
      <w:tblCellMar>
        <w:top w:w="0" w:type="dxa"/>
        <w:left w:w="0" w:type="dxa"/>
        <w:bottom w:w="0" w:type="dxa"/>
        <w:right w:w="0" w:type="dxa"/>
      </w:tblCellMar>
    </w:tblPr>
  </w:style>
  <w:style w:type="table" w:customStyle="1" w:styleId="3362">
    <w:name w:val="专业网格13"/>
    <w:basedOn w:val="8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63">
    <w:name w:val="专业网格23"/>
    <w:basedOn w:val="81"/>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64">
    <w:name w:val="cucd-table1"/>
    <w:basedOn w:val="81"/>
    <w:qFormat/>
    <w:uiPriority w:val="0"/>
    <w:pPr>
      <w:jc w:val="center"/>
    </w:pPr>
    <w:tblP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Pr>
    <w:tcPr>
      <w:vAlign w:val="center"/>
    </w:tcPr>
    <w:tblStylePr w:type="firstRow">
      <w:rPr>
        <w:b/>
        <w:i w:val="0"/>
      </w:rPr>
      <w:tcPr>
        <w:tcBorders>
          <w:top w:val="thinThickSmallGap" w:color="auto" w:sz="12" w:space="0"/>
          <w:left w:val="single" w:color="auto" w:sz="4" w:space="0"/>
          <w:bottom w:val="thinThickSmallGap" w:color="auto" w:sz="12" w:space="0"/>
          <w:right w:val="thickThinSmallGap" w:color="auto" w:sz="12" w:space="0"/>
          <w:insideH w:val="single" w:sz="6" w:space="0"/>
          <w:insideV w:val="single" w:sz="6" w:space="0"/>
          <w:tl2br w:val="nil"/>
          <w:tr2bl w:val="nil"/>
        </w:tcBorders>
        <w:shd w:val="clear" w:color="auto" w:fill="D9D9D9"/>
      </w:tcPr>
    </w:tblStylePr>
  </w:style>
  <w:style w:type="table" w:customStyle="1" w:styleId="3365">
    <w:name w:val="专业网格33"/>
    <w:basedOn w:val="8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66">
    <w:name w:val="网格型 514"/>
    <w:basedOn w:val="81"/>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67">
    <w:name w:val="网格型14"/>
    <w:basedOn w:val="8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68">
    <w:name w:val="列表型 511"/>
    <w:basedOn w:val="81"/>
    <w:qFormat/>
    <w:uiPriority w:val="0"/>
    <w:pPr>
      <w:widowControl w:val="0"/>
      <w:adjustRightInd w:val="0"/>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single" w:color="000000" w:sz="12" w:space="0"/>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3369">
    <w:name w:val="网格型22"/>
    <w:basedOn w:val="81"/>
    <w:qFormat/>
    <w:uiPriority w:val="0"/>
    <w:pPr>
      <w:widowControl w:val="0"/>
      <w:adjustRightInd w:val="0"/>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70">
    <w:name w:val="网格型32"/>
    <w:basedOn w:val="81"/>
    <w:qFormat/>
    <w:uiPriority w:val="0"/>
    <w:pPr>
      <w:widowControl w:val="0"/>
      <w:adjustRightInd w:val="0"/>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71">
    <w:name w:val="网格型42"/>
    <w:basedOn w:val="81"/>
    <w:qFormat/>
    <w:uiPriority w:val="0"/>
    <w:pPr>
      <w:widowControl w:val="0"/>
      <w:adjustRightInd w:val="0"/>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72">
    <w:name w:val="网格型52"/>
    <w:basedOn w:val="81"/>
    <w:qFormat/>
    <w:uiPriority w:val="0"/>
    <w:pPr>
      <w:widowControl w:val="0"/>
      <w:adjustRightInd w:val="0"/>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73">
    <w:name w:val="网格型 5111"/>
    <w:basedOn w:val="81"/>
    <w:qFormat/>
    <w:uiPriority w:val="0"/>
    <w:pPr>
      <w:widowControl w:val="0"/>
      <w:adjustRightInd w:val="0"/>
      <w:snapToGrid w:val="0"/>
      <w:spacing w:line="348" w:lineRule="auto"/>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74">
    <w:name w:val="网格型62"/>
    <w:basedOn w:val="81"/>
    <w:qFormat/>
    <w:uiPriority w:val="0"/>
    <w:pPr>
      <w:widowControl w:val="0"/>
      <w:adjustRightInd w:val="0"/>
      <w:snapToGrid w:val="0"/>
      <w:spacing w:line="348"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75">
    <w:name w:val="网格型 713"/>
    <w:basedOn w:val="81"/>
    <w:qFormat/>
    <w:uiPriority w:val="0"/>
    <w:pPr>
      <w:widowControl w:val="0"/>
      <w:snapToGrid w:val="0"/>
      <w:spacing w:line="348" w:lineRule="auto"/>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76">
    <w:name w:val="网格型72"/>
    <w:basedOn w:val="81"/>
    <w:qFormat/>
    <w:uiPriority w:val="0"/>
    <w:pPr>
      <w:widowControl w:val="0"/>
      <w:adjustRightInd w:val="0"/>
      <w:snapToGrid w:val="0"/>
      <w:spacing w:line="348" w:lineRule="auto"/>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77">
    <w:name w:val="网格型 522"/>
    <w:basedOn w:val="81"/>
    <w:qFormat/>
    <w:uiPriority w:val="0"/>
    <w:pPr>
      <w:widowControl w:val="0"/>
      <w:adjustRightInd w:val="0"/>
      <w:jc w:val="both"/>
      <w:textAlignment w:val="baseline"/>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78">
    <w:name w:val="专业网格111"/>
    <w:basedOn w:val="81"/>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379">
    <w:name w:val="表格样式111"/>
    <w:basedOn w:val="81"/>
    <w:qFormat/>
    <w:uiPriority w:val="0"/>
    <w:pPr>
      <w:snapToGrid w:val="0"/>
      <w:jc w:val="center"/>
      <w:textAlignment w:val="center"/>
    </w:pPr>
    <w:rPr>
      <w:rFonts w:eastAsia="仿宋_GB2312"/>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bottom w:w="57" w:type="dxa"/>
      </w:tblCellMar>
    </w:tblPr>
    <w:trPr>
      <w:jc w:val="center"/>
    </w:trPr>
    <w:tcPr>
      <w:vAlign w:val="center"/>
    </w:tcPr>
  </w:style>
  <w:style w:type="table" w:customStyle="1" w:styleId="3380">
    <w:name w:val="专业网格211"/>
    <w:basedOn w:val="81"/>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381">
    <w:name w:val="表格样式21"/>
    <w:basedOn w:val="81"/>
    <w:qFormat/>
    <w:uiPriority w:val="0"/>
    <w:pPr>
      <w:snapToGrid w:val="0"/>
      <w:jc w:val="center"/>
      <w:textAlignment w:val="center"/>
    </w:pPr>
    <w:rPr>
      <w:rFonts w:eastAsia="仿宋_GB2312"/>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bottom w:w="57" w:type="dxa"/>
      </w:tblCellMar>
    </w:tblPr>
    <w:trPr>
      <w:jc w:val="center"/>
    </w:trPr>
    <w:tcPr>
      <w:vAlign w:val="center"/>
    </w:tcPr>
  </w:style>
  <w:style w:type="table" w:customStyle="1" w:styleId="3382">
    <w:name w:val="专业网格311"/>
    <w:basedOn w:val="81"/>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83">
    <w:name w:val="网格型 7111"/>
    <w:basedOn w:val="81"/>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84">
    <w:name w:val="专业网格41"/>
    <w:basedOn w:val="81"/>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85">
    <w:name w:val="网格型 721"/>
    <w:basedOn w:val="81"/>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86">
    <w:name w:val="专业网格51"/>
    <w:basedOn w:val="81"/>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87">
    <w:name w:val="网格型 731"/>
    <w:basedOn w:val="81"/>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88">
    <w:name w:val="网格型模版11"/>
    <w:basedOn w:val="81"/>
    <w:semiHidden/>
    <w:qFormat/>
    <w:uiPriority w:val="0"/>
    <w:pPr>
      <w:widowControl w:val="0"/>
      <w:adjustRightInd w:val="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89">
    <w:name w:val="网格型81"/>
    <w:basedOn w:val="8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90">
    <w:name w:val="网格型91"/>
    <w:basedOn w:val="8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91">
    <w:name w:val="专业网格61"/>
    <w:basedOn w:val="8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92">
    <w:name w:val="网格型 121"/>
    <w:basedOn w:val="81"/>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93">
    <w:name w:val="网格型 531"/>
    <w:basedOn w:val="81"/>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94">
    <w:name w:val="列表型 521"/>
    <w:basedOn w:val="81"/>
    <w:qFormat/>
    <w:uiPriority w:val="0"/>
    <w:pPr>
      <w:widowControl w:val="0"/>
      <w:adjustRightInd w:val="0"/>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single" w:color="000000" w:sz="12" w:space="0"/>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3395">
    <w:name w:val="网格型 5121"/>
    <w:basedOn w:val="81"/>
    <w:qFormat/>
    <w:uiPriority w:val="0"/>
    <w:pPr>
      <w:widowControl w:val="0"/>
      <w:adjustRightInd w:val="0"/>
      <w:snapToGrid w:val="0"/>
      <w:spacing w:line="348" w:lineRule="auto"/>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96">
    <w:name w:val="网格型 741"/>
    <w:basedOn w:val="81"/>
    <w:qFormat/>
    <w:uiPriority w:val="0"/>
    <w:pPr>
      <w:widowControl w:val="0"/>
      <w:snapToGrid w:val="0"/>
      <w:spacing w:line="348" w:lineRule="auto"/>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97">
    <w:name w:val="专业网格121"/>
    <w:basedOn w:val="81"/>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398">
    <w:name w:val="表格样式121"/>
    <w:basedOn w:val="81"/>
    <w:qFormat/>
    <w:uiPriority w:val="0"/>
    <w:pPr>
      <w:snapToGrid w:val="0"/>
      <w:jc w:val="center"/>
      <w:textAlignment w:val="center"/>
    </w:pPr>
    <w:rPr>
      <w:rFonts w:eastAsia="仿宋_GB2312"/>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bottom w:w="57" w:type="dxa"/>
      </w:tblCellMar>
    </w:tblPr>
    <w:trPr>
      <w:jc w:val="center"/>
    </w:trPr>
    <w:tcPr>
      <w:vAlign w:val="center"/>
    </w:tcPr>
  </w:style>
  <w:style w:type="table" w:customStyle="1" w:styleId="3399">
    <w:name w:val="专业网格221"/>
    <w:basedOn w:val="81"/>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400">
    <w:name w:val="专业网格321"/>
    <w:basedOn w:val="81"/>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01">
    <w:name w:val="网格型 7121"/>
    <w:basedOn w:val="81"/>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402">
    <w:name w:val="网格型-无边竖线11"/>
    <w:basedOn w:val="8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03">
    <w:name w:val="网格型 131"/>
    <w:basedOn w:val="81"/>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404">
    <w:name w:val="网格型 541"/>
    <w:basedOn w:val="81"/>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405">
    <w:name w:val="列表型 531"/>
    <w:basedOn w:val="81"/>
    <w:qFormat/>
    <w:uiPriority w:val="0"/>
    <w:pPr>
      <w:widowControl w:val="0"/>
      <w:adjustRightInd w:val="0"/>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single" w:color="000000" w:sz="12" w:space="0"/>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3406">
    <w:name w:val="网格型211"/>
    <w:basedOn w:val="81"/>
    <w:qFormat/>
    <w:uiPriority w:val="0"/>
    <w:pPr>
      <w:widowControl w:val="0"/>
      <w:adjustRightInd w:val="0"/>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07">
    <w:name w:val="网格型311"/>
    <w:basedOn w:val="81"/>
    <w:qFormat/>
    <w:uiPriority w:val="0"/>
    <w:pPr>
      <w:widowControl w:val="0"/>
      <w:adjustRightInd w:val="0"/>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08">
    <w:name w:val="网格型411"/>
    <w:basedOn w:val="81"/>
    <w:qFormat/>
    <w:uiPriority w:val="0"/>
    <w:pPr>
      <w:widowControl w:val="0"/>
      <w:adjustRightInd w:val="0"/>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09">
    <w:name w:val="网格型511"/>
    <w:basedOn w:val="81"/>
    <w:qFormat/>
    <w:uiPriority w:val="0"/>
    <w:pPr>
      <w:widowControl w:val="0"/>
      <w:adjustRightInd w:val="0"/>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10">
    <w:name w:val="网格型 5131"/>
    <w:basedOn w:val="81"/>
    <w:qFormat/>
    <w:uiPriority w:val="0"/>
    <w:pPr>
      <w:widowControl w:val="0"/>
      <w:adjustRightInd w:val="0"/>
      <w:snapToGrid w:val="0"/>
      <w:spacing w:line="348" w:lineRule="auto"/>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411">
    <w:name w:val="网格型611"/>
    <w:basedOn w:val="81"/>
    <w:qFormat/>
    <w:uiPriority w:val="0"/>
    <w:pPr>
      <w:widowControl w:val="0"/>
      <w:adjustRightInd w:val="0"/>
      <w:snapToGrid w:val="0"/>
      <w:spacing w:line="348"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12">
    <w:name w:val="网格型 751"/>
    <w:basedOn w:val="81"/>
    <w:qFormat/>
    <w:uiPriority w:val="0"/>
    <w:pPr>
      <w:widowControl w:val="0"/>
      <w:snapToGrid w:val="0"/>
      <w:spacing w:line="348" w:lineRule="auto"/>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413">
    <w:name w:val="网格型711"/>
    <w:basedOn w:val="81"/>
    <w:qFormat/>
    <w:uiPriority w:val="0"/>
    <w:pPr>
      <w:widowControl w:val="0"/>
      <w:adjustRightInd w:val="0"/>
      <w:snapToGrid w:val="0"/>
      <w:spacing w:line="348" w:lineRule="auto"/>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14">
    <w:name w:val="网格型 5211"/>
    <w:basedOn w:val="81"/>
    <w:qFormat/>
    <w:uiPriority w:val="0"/>
    <w:pPr>
      <w:widowControl w:val="0"/>
      <w:adjustRightInd w:val="0"/>
      <w:jc w:val="both"/>
      <w:textAlignment w:val="baseline"/>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415">
    <w:name w:val="网格型121"/>
    <w:basedOn w:val="8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16">
    <w:name w:val="三线表21"/>
    <w:basedOn w:val="8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17">
    <w:name w:val="网格型131"/>
    <w:basedOn w:val="8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18">
    <w:name w:val="专业网格7"/>
    <w:basedOn w:val="8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19">
    <w:name w:val="网格型 15"/>
    <w:basedOn w:val="81"/>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420">
    <w:name w:val="网格型 56"/>
    <w:basedOn w:val="81"/>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paragraph" w:customStyle="1" w:styleId="3421">
    <w:name w:val="正文文本 24"/>
    <w:basedOn w:val="1"/>
    <w:qFormat/>
    <w:uiPriority w:val="0"/>
    <w:pPr>
      <w:tabs>
        <w:tab w:val="left" w:pos="567"/>
      </w:tabs>
      <w:adjustRightInd w:val="0"/>
      <w:spacing w:line="410" w:lineRule="atLeast"/>
      <w:ind w:firstLine="480"/>
      <w:textAlignment w:val="baseline"/>
    </w:pPr>
    <w:rPr>
      <w:rFonts w:ascii="宋体"/>
      <w:kern w:val="0"/>
      <w:sz w:val="24"/>
      <w:szCs w:val="20"/>
    </w:rPr>
  </w:style>
  <w:style w:type="paragraph" w:customStyle="1" w:styleId="3422">
    <w:name w:val="纯文本6"/>
    <w:basedOn w:val="1"/>
    <w:qFormat/>
    <w:uiPriority w:val="0"/>
    <w:pPr>
      <w:adjustRightInd w:val="0"/>
      <w:textAlignment w:val="baseline"/>
    </w:pPr>
    <w:rPr>
      <w:rFonts w:ascii="宋体" w:hAnsi="Courier New"/>
      <w:szCs w:val="20"/>
    </w:rPr>
  </w:style>
  <w:style w:type="character" w:customStyle="1" w:styleId="3423">
    <w:name w:val="标题13"/>
    <w:qFormat/>
    <w:uiPriority w:val="0"/>
  </w:style>
  <w:style w:type="paragraph" w:customStyle="1" w:styleId="3424">
    <w:name w:val="正文首行缩进5"/>
    <w:basedOn w:val="34"/>
    <w:qFormat/>
    <w:uiPriority w:val="0"/>
  </w:style>
  <w:style w:type="paragraph" w:customStyle="1" w:styleId="3425">
    <w:name w:val="正文文本缩进 25"/>
    <w:basedOn w:val="1"/>
    <w:qFormat/>
    <w:uiPriority w:val="0"/>
    <w:pPr>
      <w:adjustRightInd w:val="0"/>
      <w:spacing w:line="348" w:lineRule="auto"/>
      <w:ind w:firstLine="573"/>
      <w:textAlignment w:val="baseline"/>
    </w:pPr>
    <w:rPr>
      <w:rFonts w:eastAsia="Wingdings"/>
      <w:sz w:val="28"/>
      <w:szCs w:val="20"/>
    </w:rPr>
  </w:style>
  <w:style w:type="paragraph" w:customStyle="1" w:styleId="3426">
    <w:name w:val="文档结构图3"/>
    <w:basedOn w:val="1"/>
    <w:qFormat/>
    <w:uiPriority w:val="0"/>
    <w:pPr>
      <w:shd w:val="clear" w:color="auto" w:fill="000080"/>
      <w:adjustRightInd w:val="0"/>
      <w:spacing w:line="360" w:lineRule="atLeast"/>
      <w:jc w:val="left"/>
      <w:textAlignment w:val="baseline"/>
    </w:pPr>
    <w:rPr>
      <w:rFonts w:eastAsia="Wingdings"/>
      <w:kern w:val="0"/>
      <w:sz w:val="24"/>
      <w:szCs w:val="20"/>
    </w:rPr>
  </w:style>
  <w:style w:type="table" w:customStyle="1" w:styleId="3427">
    <w:name w:val="列表型 55"/>
    <w:basedOn w:val="81"/>
    <w:qFormat/>
    <w:uiPriority w:val="0"/>
    <w:pPr>
      <w:widowControl w:val="0"/>
      <w:adjustRightInd w:val="0"/>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single" w:color="000000" w:sz="12" w:space="0"/>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3428">
    <w:name w:val="网格型 515"/>
    <w:basedOn w:val="81"/>
    <w:qFormat/>
    <w:uiPriority w:val="0"/>
    <w:pPr>
      <w:widowControl w:val="0"/>
      <w:adjustRightInd w:val="0"/>
      <w:snapToGrid w:val="0"/>
      <w:spacing w:line="348" w:lineRule="auto"/>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429">
    <w:name w:val="网格型 77"/>
    <w:basedOn w:val="81"/>
    <w:qFormat/>
    <w:uiPriority w:val="0"/>
    <w:pPr>
      <w:widowControl w:val="0"/>
      <w:snapToGrid w:val="0"/>
      <w:spacing w:line="348" w:lineRule="auto"/>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paragraph" w:customStyle="1" w:styleId="3430">
    <w:name w:val="正文 小四"/>
    <w:basedOn w:val="3431"/>
    <w:link w:val="3432"/>
    <w:qFormat/>
    <w:uiPriority w:val="0"/>
  </w:style>
  <w:style w:type="paragraph" w:customStyle="1" w:styleId="3431">
    <w:name w:val="正文 新1"/>
    <w:basedOn w:val="1"/>
    <w:qFormat/>
    <w:uiPriority w:val="0"/>
    <w:pPr>
      <w:spacing w:line="500" w:lineRule="exact"/>
      <w:ind w:firstLine="480" w:firstLineChars="200"/>
    </w:pPr>
    <w:rPr>
      <w:rFonts w:hAnsi="宋体"/>
      <w:sz w:val="24"/>
    </w:rPr>
  </w:style>
  <w:style w:type="character" w:customStyle="1" w:styleId="3432">
    <w:name w:val="正文 小四 Char"/>
    <w:link w:val="3430"/>
    <w:qFormat/>
    <w:uiPriority w:val="0"/>
    <w:rPr>
      <w:rFonts w:ascii="Calibri" w:hAnsi="宋体"/>
      <w:kern w:val="2"/>
      <w:sz w:val="24"/>
      <w:szCs w:val="24"/>
    </w:rPr>
  </w:style>
  <w:style w:type="paragraph" w:customStyle="1" w:styleId="3433">
    <w:name w:val="表头 小四"/>
    <w:basedOn w:val="3431"/>
    <w:link w:val="3434"/>
    <w:qFormat/>
    <w:uiPriority w:val="0"/>
  </w:style>
  <w:style w:type="character" w:customStyle="1" w:styleId="3434">
    <w:name w:val="表头 小四 Char"/>
    <w:link w:val="3433"/>
    <w:qFormat/>
    <w:uiPriority w:val="0"/>
    <w:rPr>
      <w:rFonts w:ascii="Calibri" w:hAnsi="宋体"/>
      <w:kern w:val="2"/>
      <w:sz w:val="24"/>
      <w:szCs w:val="24"/>
    </w:rPr>
  </w:style>
  <w:style w:type="paragraph" w:customStyle="1" w:styleId="3435">
    <w:name w:val="表格注释"/>
    <w:basedOn w:val="1"/>
    <w:link w:val="3436"/>
    <w:qFormat/>
    <w:uiPriority w:val="0"/>
    <w:pPr>
      <w:ind w:firstLine="180" w:firstLineChars="100"/>
    </w:pPr>
    <w:rPr>
      <w:rFonts w:ascii="宋体" w:hAnsi="宋体"/>
      <w:sz w:val="18"/>
      <w:szCs w:val="18"/>
    </w:rPr>
  </w:style>
  <w:style w:type="character" w:customStyle="1" w:styleId="3436">
    <w:name w:val="表格注释 Char"/>
    <w:link w:val="3435"/>
    <w:qFormat/>
    <w:uiPriority w:val="0"/>
    <w:rPr>
      <w:rFonts w:ascii="宋体" w:hAnsi="宋体"/>
      <w:kern w:val="2"/>
      <w:sz w:val="18"/>
      <w:szCs w:val="18"/>
    </w:rPr>
  </w:style>
  <w:style w:type="character" w:customStyle="1" w:styleId="3437">
    <w:name w:val="font101"/>
    <w:qFormat/>
    <w:uiPriority w:val="0"/>
    <w:rPr>
      <w:rFonts w:hint="default" w:ascii="Times New Roman" w:hAnsi="Times New Roman" w:cs="Times New Roman"/>
      <w:b/>
      <w:color w:val="000000"/>
      <w:sz w:val="20"/>
      <w:szCs w:val="20"/>
      <w:u w:val="none"/>
    </w:rPr>
  </w:style>
  <w:style w:type="character" w:customStyle="1" w:styleId="3438">
    <w:name w:val="font112"/>
    <w:qFormat/>
    <w:uiPriority w:val="0"/>
    <w:rPr>
      <w:rFonts w:hint="eastAsia" w:ascii="宋体" w:hAnsi="宋体" w:eastAsia="宋体" w:cs="宋体"/>
      <w:b/>
      <w:color w:val="000000"/>
      <w:sz w:val="20"/>
      <w:szCs w:val="20"/>
      <w:u w:val="none"/>
    </w:rPr>
  </w:style>
  <w:style w:type="paragraph" w:customStyle="1" w:styleId="3439">
    <w:name w:val="修订3"/>
    <w:semiHidden/>
    <w:qFormat/>
    <w:uiPriority w:val="99"/>
    <w:rPr>
      <w:rFonts w:ascii="Calibri" w:hAnsi="Calibri" w:eastAsia="宋体" w:cs="Calibri"/>
      <w:kern w:val="2"/>
      <w:sz w:val="21"/>
      <w:lang w:val="en-US" w:eastAsia="zh-CN" w:bidi="ar-SA"/>
    </w:rPr>
  </w:style>
  <w:style w:type="paragraph" w:customStyle="1" w:styleId="3440">
    <w:name w:val="z-窗体底端2"/>
    <w:basedOn w:val="1"/>
    <w:next w:val="1"/>
    <w:qFormat/>
    <w:uiPriority w:val="0"/>
    <w:pPr>
      <w:widowControl/>
      <w:pBdr>
        <w:top w:val="single" w:color="auto" w:sz="6" w:space="1"/>
      </w:pBdr>
      <w:jc w:val="center"/>
    </w:pPr>
    <w:rPr>
      <w:rFonts w:ascii="Arial" w:hAnsi="Arial" w:eastAsia="Arial Unicode MS"/>
      <w:vanish/>
      <w:kern w:val="0"/>
      <w:sz w:val="16"/>
      <w:szCs w:val="20"/>
    </w:rPr>
  </w:style>
  <w:style w:type="character" w:customStyle="1" w:styleId="3441">
    <w:name w:val="z-窗体底端 Char1"/>
    <w:qFormat/>
    <w:uiPriority w:val="99"/>
    <w:rPr>
      <w:rFonts w:ascii="Arial" w:hAnsi="Arial" w:cs="Arial"/>
      <w:vanish/>
      <w:kern w:val="2"/>
      <w:sz w:val="16"/>
      <w:szCs w:val="16"/>
    </w:rPr>
  </w:style>
  <w:style w:type="character" w:customStyle="1" w:styleId="3442">
    <w:name w:val="列表 Char1"/>
    <w:qFormat/>
    <w:uiPriority w:val="0"/>
    <w:rPr>
      <w:rFonts w:ascii="Times New Roman" w:hAnsi="Times New Roman" w:eastAsia="宋体" w:cs="Times New Roman"/>
      <w:szCs w:val="24"/>
    </w:rPr>
  </w:style>
  <w:style w:type="paragraph" w:customStyle="1" w:styleId="3443">
    <w:name w:val="TOC 标题2"/>
    <w:basedOn w:val="5"/>
    <w:next w:val="1"/>
    <w:unhideWhenUsed/>
    <w:qFormat/>
    <w:uiPriority w:val="39"/>
    <w:pPr>
      <w:keepLines/>
      <w:widowControl/>
      <w:overflowPunct/>
      <w:snapToGrid/>
      <w:spacing w:before="0" w:after="0"/>
      <w:ind w:left="0" w:firstLine="0"/>
      <w:jc w:val="left"/>
      <w:outlineLvl w:val="9"/>
    </w:pPr>
    <w:rPr>
      <w:rFonts w:ascii="Cambria" w:hAnsi="Cambria" w:eastAsia="宋体"/>
      <w:b w:val="0"/>
      <w:bCs w:val="0"/>
      <w:color w:val="365F91"/>
      <w:kern w:val="0"/>
      <w:sz w:val="32"/>
      <w:szCs w:val="32"/>
    </w:rPr>
  </w:style>
  <w:style w:type="character" w:customStyle="1" w:styleId="3444">
    <w:name w:val="不明显强调3"/>
    <w:qFormat/>
    <w:uiPriority w:val="0"/>
    <w:rPr>
      <w:i/>
      <w:iCs/>
      <w:color w:val="808080"/>
    </w:rPr>
  </w:style>
  <w:style w:type="character" w:customStyle="1" w:styleId="3445">
    <w:name w:val="明显强调2"/>
    <w:qFormat/>
    <w:uiPriority w:val="21"/>
    <w:rPr>
      <w:b/>
      <w:bCs/>
      <w:i/>
      <w:iCs/>
      <w:color w:val="4F81BD"/>
    </w:rPr>
  </w:style>
  <w:style w:type="character" w:customStyle="1" w:styleId="3446">
    <w:name w:val="不明显参考2"/>
    <w:qFormat/>
    <w:uiPriority w:val="31"/>
    <w:rPr>
      <w:smallCaps/>
      <w:color w:val="C0504D"/>
      <w:u w:val="single"/>
    </w:rPr>
  </w:style>
  <w:style w:type="character" w:customStyle="1" w:styleId="3447">
    <w:name w:val="明显参考2"/>
    <w:qFormat/>
    <w:uiPriority w:val="32"/>
    <w:rPr>
      <w:b/>
      <w:bCs/>
      <w:smallCaps/>
      <w:color w:val="C0504D"/>
      <w:spacing w:val="5"/>
      <w:u w:val="single"/>
    </w:rPr>
  </w:style>
  <w:style w:type="character" w:customStyle="1" w:styleId="3448">
    <w:name w:val="书籍标题2"/>
    <w:qFormat/>
    <w:uiPriority w:val="33"/>
    <w:rPr>
      <w:b/>
      <w:bCs/>
      <w:smallCaps/>
      <w:spacing w:val="5"/>
    </w:rPr>
  </w:style>
  <w:style w:type="paragraph" w:customStyle="1" w:styleId="3449">
    <w:name w:val="工艺统一正文"/>
    <w:basedOn w:val="1"/>
    <w:qFormat/>
    <w:uiPriority w:val="0"/>
    <w:pPr>
      <w:adjustRightInd w:val="0"/>
      <w:snapToGrid w:val="0"/>
      <w:spacing w:line="360" w:lineRule="auto"/>
      <w:ind w:firstLine="578"/>
    </w:pPr>
    <w:rPr>
      <w:rFonts w:ascii="宋体"/>
      <w:sz w:val="28"/>
      <w:szCs w:val="20"/>
    </w:rPr>
  </w:style>
  <w:style w:type="table" w:customStyle="1" w:styleId="3450">
    <w:name w:val="网格型113"/>
    <w:basedOn w:val="8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51">
    <w:name w:val="网格型114"/>
    <w:basedOn w:val="8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52">
    <w:name w:val="网格型1112"/>
    <w:basedOn w:val="8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53">
    <w:name w:val="三线表12"/>
    <w:basedOn w:val="8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454">
    <w:name w:val="不明显强调4"/>
    <w:qFormat/>
    <w:uiPriority w:val="19"/>
    <w:rPr>
      <w:i/>
      <w:iCs/>
      <w:color w:val="404040"/>
    </w:rPr>
  </w:style>
  <w:style w:type="character" w:customStyle="1" w:styleId="3455">
    <w:name w:val="正文（首行缩进两字） Char Char Char Char Char Char Char Char"/>
    <w:qFormat/>
    <w:uiPriority w:val="0"/>
    <w:rPr>
      <w:rFonts w:eastAsia="宋体"/>
      <w:kern w:val="2"/>
      <w:sz w:val="21"/>
      <w:szCs w:val="24"/>
      <w:lang w:val="en-US" w:eastAsia="zh-CN" w:bidi="ar-SA"/>
    </w:rPr>
  </w:style>
  <w:style w:type="paragraph" w:customStyle="1" w:styleId="3456">
    <w:name w:val="z-窗体底端3"/>
    <w:basedOn w:val="1"/>
    <w:next w:val="1"/>
    <w:link w:val="3457"/>
    <w:qFormat/>
    <w:uiPriority w:val="0"/>
    <w:pPr>
      <w:widowControl/>
      <w:pBdr>
        <w:top w:val="single" w:color="auto" w:sz="6" w:space="1"/>
      </w:pBdr>
      <w:jc w:val="center"/>
    </w:pPr>
    <w:rPr>
      <w:rFonts w:ascii="Arial" w:hAnsi="Arial" w:eastAsia="Arial Unicode MS"/>
      <w:vanish/>
      <w:kern w:val="0"/>
      <w:sz w:val="16"/>
      <w:szCs w:val="20"/>
    </w:rPr>
  </w:style>
  <w:style w:type="character" w:customStyle="1" w:styleId="3457">
    <w:name w:val="z-窗体底端 Char3"/>
    <w:link w:val="3456"/>
    <w:qFormat/>
    <w:uiPriority w:val="0"/>
    <w:rPr>
      <w:rFonts w:ascii="Arial" w:hAnsi="Arial" w:eastAsia="Arial Unicode MS"/>
      <w:vanish/>
      <w:sz w:val="16"/>
    </w:rPr>
  </w:style>
  <w:style w:type="character" w:customStyle="1" w:styleId="3458">
    <w:name w:val="z-窗体底端 Char2"/>
    <w:semiHidden/>
    <w:qFormat/>
    <w:uiPriority w:val="99"/>
    <w:rPr>
      <w:rFonts w:ascii="Arial" w:hAnsi="Arial" w:cs="Arial"/>
      <w:vanish/>
      <w:kern w:val="2"/>
      <w:sz w:val="16"/>
      <w:szCs w:val="16"/>
    </w:rPr>
  </w:style>
  <w:style w:type="paragraph" w:customStyle="1" w:styleId="3459">
    <w:name w:val="TOC 标题3"/>
    <w:basedOn w:val="5"/>
    <w:next w:val="1"/>
    <w:qFormat/>
    <w:uiPriority w:val="39"/>
    <w:pPr>
      <w:keepLines/>
      <w:widowControl/>
      <w:overflowPunct/>
      <w:snapToGrid/>
      <w:spacing w:before="240" w:after="0"/>
      <w:ind w:left="0" w:firstLine="0"/>
      <w:jc w:val="left"/>
      <w:outlineLvl w:val="9"/>
    </w:pPr>
    <w:rPr>
      <w:rFonts w:ascii="Calibri Light" w:hAnsi="Calibri Light" w:eastAsia="宋体"/>
      <w:b w:val="0"/>
      <w:bCs w:val="0"/>
      <w:color w:val="2E74B5"/>
      <w:kern w:val="0"/>
      <w:sz w:val="32"/>
      <w:szCs w:val="32"/>
    </w:rPr>
  </w:style>
  <w:style w:type="character" w:customStyle="1" w:styleId="3460">
    <w:name w:val="未处理的提及1"/>
    <w:unhideWhenUsed/>
    <w:qFormat/>
    <w:uiPriority w:val="99"/>
    <w:rPr>
      <w:color w:val="605E5C"/>
      <w:shd w:val="clear" w:color="auto" w:fill="E1DFDD"/>
    </w:rPr>
  </w:style>
  <w:style w:type="paragraph" w:customStyle="1" w:styleId="3461">
    <w:name w:val="111"/>
    <w:basedOn w:val="8"/>
    <w:next w:val="1"/>
    <w:qFormat/>
    <w:uiPriority w:val="0"/>
    <w:pPr>
      <w:numPr>
        <w:ilvl w:val="0"/>
        <w:numId w:val="0"/>
      </w:numPr>
      <w:spacing w:beforeLines="10" w:afterLines="10"/>
      <w:ind w:left="864" w:hanging="144" w:firstLineChars="200"/>
    </w:pPr>
    <w:rPr>
      <w:rFonts w:ascii="Calibri Light" w:hAnsi="Calibri Light" w:eastAsia="宋体"/>
    </w:rPr>
  </w:style>
  <w:style w:type="character" w:customStyle="1" w:styleId="3462">
    <w:name w:val="正文缩进 Char Char Char Char Char Char"/>
    <w:qFormat/>
    <w:uiPriority w:val="0"/>
    <w:rPr>
      <w:rFonts w:ascii="宋体" w:hAnsi="宋体" w:eastAsia="宋体"/>
      <w:kern w:val="2"/>
      <w:sz w:val="24"/>
      <w:lang w:val="en-US" w:eastAsia="zh-CN" w:bidi="ar-SA"/>
    </w:rPr>
  </w:style>
  <w:style w:type="character" w:customStyle="1" w:styleId="3463">
    <w:name w:val="正文2 Char"/>
    <w:qFormat/>
    <w:locked/>
    <w:uiPriority w:val="0"/>
    <w:rPr>
      <w:rFonts w:ascii="Times New Roman" w:hAnsi="Times New Roman" w:eastAsia="宋体" w:cs="Times New Roman"/>
      <w:kern w:val="0"/>
      <w:sz w:val="24"/>
      <w:szCs w:val="20"/>
    </w:rPr>
  </w:style>
  <w:style w:type="character" w:customStyle="1" w:styleId="3464">
    <w:name w:val="z-窗体底端 字符1"/>
    <w:semiHidden/>
    <w:qFormat/>
    <w:uiPriority w:val="99"/>
    <w:rPr>
      <w:rFonts w:ascii="Arial" w:hAnsi="Arial" w:cs="Arial"/>
      <w:vanish/>
      <w:kern w:val="2"/>
      <w:sz w:val="16"/>
      <w:szCs w:val="16"/>
    </w:rPr>
  </w:style>
  <w:style w:type="paragraph" w:customStyle="1" w:styleId="3465">
    <w:name w:val="zl正文"/>
    <w:basedOn w:val="1"/>
    <w:qFormat/>
    <w:uiPriority w:val="0"/>
    <w:pPr>
      <w:spacing w:line="360" w:lineRule="auto"/>
      <w:ind w:firstLine="480" w:firstLineChars="200"/>
    </w:pPr>
    <w:rPr>
      <w:color w:val="000000"/>
      <w:sz w:val="24"/>
      <w:szCs w:val="18"/>
    </w:rPr>
  </w:style>
  <w:style w:type="paragraph" w:customStyle="1" w:styleId="3466">
    <w:name w:val="样式 标题 2节Se节标题标题 2 Char标题 2 Char Char Char标题 2 Char Char Ch...1"/>
    <w:basedOn w:val="6"/>
    <w:qFormat/>
    <w:uiPriority w:val="0"/>
    <w:pPr>
      <w:numPr>
        <w:ilvl w:val="1"/>
        <w:numId w:val="10"/>
      </w:numPr>
      <w:tabs>
        <w:tab w:val="left" w:pos="567"/>
      </w:tabs>
      <w:spacing w:before="0" w:after="0" w:line="360" w:lineRule="auto"/>
      <w:ind w:left="567" w:hanging="567"/>
    </w:pPr>
    <w:rPr>
      <w:rFonts w:ascii="Times New Roman" w:hAnsi="Times New Roman" w:eastAsia="仿宋_GB2312"/>
      <w:color w:val="000000"/>
      <w:sz w:val="24"/>
      <w:szCs w:val="24"/>
    </w:rPr>
  </w:style>
  <w:style w:type="paragraph" w:customStyle="1" w:styleId="3467">
    <w:name w:val="样式 标题 1 + 仿宋_GB2312 加粗 黑色 居中 行距: 固定值 23 磅"/>
    <w:basedOn w:val="5"/>
    <w:qFormat/>
    <w:uiPriority w:val="0"/>
    <w:pPr>
      <w:tabs>
        <w:tab w:val="left" w:pos="680"/>
      </w:tabs>
      <w:overflowPunct/>
      <w:snapToGrid/>
      <w:spacing w:before="0" w:after="0" w:line="360" w:lineRule="auto"/>
      <w:ind w:left="851" w:hanging="851"/>
      <w:jc w:val="center"/>
    </w:pPr>
    <w:rPr>
      <w:rFonts w:ascii="仿宋_GB2312" w:eastAsia="仿宋_GB2312" w:cs="宋体"/>
      <w:kern w:val="2"/>
      <w:sz w:val="28"/>
      <w:szCs w:val="28"/>
    </w:rPr>
  </w:style>
  <w:style w:type="paragraph" w:customStyle="1" w:styleId="3468">
    <w:name w:val="样式 标题 1 + 仿宋_GB2312 加粗 居中"/>
    <w:basedOn w:val="5"/>
    <w:qFormat/>
    <w:uiPriority w:val="0"/>
    <w:pPr>
      <w:tabs>
        <w:tab w:val="left" w:pos="680"/>
      </w:tabs>
      <w:overflowPunct/>
      <w:snapToGrid/>
      <w:spacing w:before="0" w:after="0" w:line="360" w:lineRule="auto"/>
      <w:ind w:left="851" w:hanging="851"/>
      <w:jc w:val="center"/>
    </w:pPr>
    <w:rPr>
      <w:rFonts w:eastAsia="仿宋_GB2312"/>
      <w:kern w:val="2"/>
      <w:sz w:val="28"/>
      <w:szCs w:val="28"/>
    </w:rPr>
  </w:style>
  <w:style w:type="paragraph" w:customStyle="1" w:styleId="3469">
    <w:name w:val="样式 标题 2节Se节标题标题 2 Char标题 2 Char Char Char标题 2 Char Char Ch..."/>
    <w:basedOn w:val="6"/>
    <w:qFormat/>
    <w:uiPriority w:val="0"/>
    <w:pPr>
      <w:spacing w:before="0" w:after="0" w:line="360" w:lineRule="auto"/>
      <w:ind w:left="840" w:hanging="420"/>
    </w:pPr>
    <w:rPr>
      <w:rFonts w:ascii="Times New Roman" w:hAnsi="Times New Roman" w:eastAsia="仿宋_GB2312"/>
      <w:color w:val="000000"/>
      <w:sz w:val="24"/>
      <w:szCs w:val="24"/>
    </w:rPr>
  </w:style>
  <w:style w:type="character" w:customStyle="1" w:styleId="3470">
    <w:name w:val="hover28"/>
    <w:qFormat/>
    <w:uiPriority w:val="0"/>
  </w:style>
  <w:style w:type="character" w:customStyle="1" w:styleId="3471">
    <w:name w:val="bsharetext"/>
    <w:qFormat/>
    <w:uiPriority w:val="0"/>
  </w:style>
  <w:style w:type="character" w:customStyle="1" w:styleId="3472">
    <w:name w:val="样式 仿宋_GB2312 小四"/>
    <w:qFormat/>
    <w:uiPriority w:val="0"/>
    <w:rPr>
      <w:rFonts w:ascii="Times New Roman" w:hAnsi="Times New Roman" w:eastAsia="仿宋_GB2312"/>
      <w:sz w:val="24"/>
      <w:szCs w:val="24"/>
    </w:rPr>
  </w:style>
  <w:style w:type="paragraph" w:customStyle="1" w:styleId="3473">
    <w:name w:val="样式 标题 1 + 仿宋_GB2312 加粗 黑色 居中"/>
    <w:basedOn w:val="5"/>
    <w:qFormat/>
    <w:uiPriority w:val="0"/>
    <w:pPr>
      <w:tabs>
        <w:tab w:val="left" w:pos="680"/>
      </w:tabs>
      <w:overflowPunct/>
      <w:snapToGrid/>
      <w:spacing w:before="0" w:after="0" w:line="240" w:lineRule="auto"/>
      <w:ind w:left="851" w:hanging="851"/>
      <w:jc w:val="center"/>
    </w:pPr>
    <w:rPr>
      <w:rFonts w:ascii="仿宋_GB2312" w:hAnsi="宋体" w:eastAsia="仿宋_GB2312" w:cs="宋体"/>
      <w:kern w:val="2"/>
      <w:szCs w:val="20"/>
    </w:rPr>
  </w:style>
  <w:style w:type="paragraph" w:customStyle="1" w:styleId="3474">
    <w:name w:val="样式 标题 2节Se节标题标题 2 Char标题 2 Char Char Char标题 2 Char Char Ch...2"/>
    <w:basedOn w:val="6"/>
    <w:qFormat/>
    <w:uiPriority w:val="0"/>
    <w:pPr>
      <w:spacing w:before="0" w:after="0" w:line="360" w:lineRule="auto"/>
      <w:ind w:left="840" w:hanging="420"/>
    </w:pPr>
    <w:rPr>
      <w:rFonts w:ascii="Times New Roman" w:hAnsi="Times New Roman" w:eastAsia="仿宋_GB2312"/>
      <w:sz w:val="24"/>
      <w:szCs w:val="24"/>
    </w:rPr>
  </w:style>
  <w:style w:type="paragraph" w:customStyle="1" w:styleId="3475">
    <w:name w:val="图框"/>
    <w:basedOn w:val="1"/>
    <w:next w:val="1"/>
    <w:qFormat/>
    <w:uiPriority w:val="0"/>
    <w:pPr>
      <w:spacing w:line="320" w:lineRule="exact"/>
      <w:jc w:val="center"/>
    </w:pPr>
    <w:rPr>
      <w:szCs w:val="21"/>
    </w:rPr>
  </w:style>
  <w:style w:type="paragraph" w:customStyle="1" w:styleId="3476">
    <w:name w:val="样式 标题 2节Se节标题标题 2 Char标题 2 Char Char Char标题 2 Char Char Ch...4"/>
    <w:basedOn w:val="6"/>
    <w:qFormat/>
    <w:uiPriority w:val="0"/>
    <w:pPr>
      <w:spacing w:before="0" w:after="0" w:line="360" w:lineRule="auto"/>
      <w:ind w:left="840" w:hanging="420"/>
    </w:pPr>
    <w:rPr>
      <w:rFonts w:ascii="Times New Roman" w:hAnsi="Times New Roman" w:eastAsia="仿宋_GB2312"/>
      <w:sz w:val="28"/>
    </w:rPr>
  </w:style>
  <w:style w:type="paragraph" w:customStyle="1" w:styleId="3477">
    <w:name w:val="样式 (中文) 黑体 小三 加粗 黑色 行距: 1.5 倍行距"/>
    <w:basedOn w:val="1"/>
    <w:qFormat/>
    <w:uiPriority w:val="0"/>
    <w:pPr>
      <w:spacing w:line="360" w:lineRule="auto"/>
    </w:pPr>
    <w:rPr>
      <w:rFonts w:cs="宋体"/>
      <w:b/>
      <w:bCs/>
      <w:color w:val="000000"/>
      <w:sz w:val="30"/>
      <w:szCs w:val="20"/>
    </w:rPr>
  </w:style>
  <w:style w:type="paragraph" w:customStyle="1" w:styleId="3478">
    <w:name w:val="样式 标题 2节Se节标题标题 2 Char标题 2 Char Char Char标题 2 Char Char Ch...3"/>
    <w:basedOn w:val="6"/>
    <w:qFormat/>
    <w:uiPriority w:val="0"/>
    <w:pPr>
      <w:spacing w:before="0" w:after="0" w:line="360" w:lineRule="auto"/>
      <w:ind w:left="840" w:hanging="420"/>
    </w:pPr>
    <w:rPr>
      <w:rFonts w:ascii="仿宋_GB2312" w:hAnsi="Times New Roman" w:eastAsia="仿宋_GB2312" w:cs="宋体"/>
      <w:sz w:val="24"/>
      <w:szCs w:val="24"/>
    </w:rPr>
  </w:style>
  <w:style w:type="paragraph" w:customStyle="1" w:styleId="3479">
    <w:name w:val="样式 标题 2节Se节标题标题 2 Char标题 2 Char Char Char标题 2 Char Char Ch...5"/>
    <w:basedOn w:val="6"/>
    <w:qFormat/>
    <w:uiPriority w:val="0"/>
    <w:pPr>
      <w:spacing w:before="240" w:after="120" w:line="460" w:lineRule="exact"/>
      <w:ind w:left="840" w:hanging="420"/>
    </w:pPr>
    <w:rPr>
      <w:rFonts w:ascii="Times New Roman" w:hAnsi="Times New Roman" w:eastAsia="仿宋_GB2312" w:cs="宋体"/>
      <w:color w:val="000000"/>
      <w:sz w:val="28"/>
      <w:szCs w:val="20"/>
    </w:rPr>
  </w:style>
  <w:style w:type="character" w:customStyle="1" w:styleId="3480">
    <w:name w:val="批注主题 字符1"/>
    <w:qFormat/>
    <w:uiPriority w:val="0"/>
    <w:rPr>
      <w:rFonts w:ascii="Times New Roman" w:hAnsi="Times New Roman" w:eastAsia="宋体" w:cs="Times New Roman"/>
      <w:b/>
      <w:bCs/>
      <w:szCs w:val="24"/>
    </w:rPr>
  </w:style>
  <w:style w:type="paragraph" w:customStyle="1" w:styleId="3481">
    <w:name w:val="表格2015"/>
    <w:basedOn w:val="1"/>
    <w:link w:val="3482"/>
    <w:qFormat/>
    <w:uiPriority w:val="0"/>
    <w:pPr>
      <w:jc w:val="center"/>
    </w:pPr>
    <w:rPr>
      <w:rFonts w:ascii="宋体" w:hAnsi="宋体"/>
      <w:color w:val="000000"/>
      <w:szCs w:val="21"/>
      <w:lang w:val="zh-CN"/>
    </w:rPr>
  </w:style>
  <w:style w:type="character" w:customStyle="1" w:styleId="3482">
    <w:name w:val="表格2015 Char"/>
    <w:link w:val="3481"/>
    <w:qFormat/>
    <w:uiPriority w:val="0"/>
    <w:rPr>
      <w:rFonts w:ascii="宋体" w:hAnsi="宋体"/>
      <w:color w:val="000000"/>
      <w:kern w:val="2"/>
      <w:sz w:val="21"/>
      <w:szCs w:val="21"/>
      <w:lang w:val="zh-CN"/>
    </w:rPr>
  </w:style>
  <w:style w:type="paragraph" w:customStyle="1" w:styleId="3483">
    <w:name w:val="列表段落1"/>
    <w:basedOn w:val="1"/>
    <w:qFormat/>
    <w:uiPriority w:val="0"/>
    <w:pPr>
      <w:ind w:firstLine="420" w:firstLineChars="200"/>
    </w:pPr>
    <w:rPr>
      <w:szCs w:val="22"/>
    </w:rPr>
  </w:style>
  <w:style w:type="paragraph" w:customStyle="1" w:styleId="3484">
    <w:name w:val="_Style 123"/>
    <w:basedOn w:val="1"/>
    <w:next w:val="207"/>
    <w:qFormat/>
    <w:uiPriority w:val="0"/>
    <w:pPr>
      <w:widowControl/>
      <w:ind w:left="720"/>
      <w:contextualSpacing/>
      <w:jc w:val="left"/>
    </w:pPr>
    <w:rPr>
      <w:kern w:val="0"/>
      <w:sz w:val="24"/>
      <w:lang w:eastAsia="en-US" w:bidi="en-US"/>
    </w:rPr>
  </w:style>
  <w:style w:type="table" w:customStyle="1" w:styleId="3485">
    <w:name w:val="网格型浅色1"/>
    <w:basedOn w:val="81"/>
    <w:qFormat/>
    <w:uiPriority w:val="40"/>
    <w:rPr>
      <w:kern w:val="2"/>
      <w:sz w:val="21"/>
      <w:szCs w:val="22"/>
    </w:rPr>
    <w:tblPr>
      <w:tblBorders>
        <w:top w:val="single" w:color="7CC685" w:sz="4" w:space="0"/>
        <w:left w:val="single" w:color="7CC685" w:sz="4" w:space="0"/>
        <w:bottom w:val="single" w:color="7CC685" w:sz="4" w:space="0"/>
        <w:right w:val="single" w:color="7CC685" w:sz="4" w:space="0"/>
        <w:insideH w:val="single" w:color="7CC685" w:sz="4" w:space="0"/>
        <w:insideV w:val="single" w:color="7CC685" w:sz="4" w:space="0"/>
      </w:tblBorders>
    </w:tblPr>
  </w:style>
  <w:style w:type="table" w:customStyle="1" w:styleId="3486">
    <w:name w:val="三线1"/>
    <w:basedOn w:val="81"/>
    <w:qFormat/>
    <w:uiPriority w:val="0"/>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487">
    <w:name w:val="msonormal"/>
    <w:basedOn w:val="1"/>
    <w:qFormat/>
    <w:uiPriority w:val="0"/>
    <w:pPr>
      <w:widowControl/>
      <w:spacing w:before="100" w:beforeAutospacing="1" w:after="100" w:afterAutospacing="1"/>
      <w:jc w:val="left"/>
    </w:pPr>
    <w:rPr>
      <w:rFonts w:ascii="宋体" w:hAnsi="宋体" w:cs="宋体"/>
      <w:kern w:val="0"/>
      <w:sz w:val="24"/>
    </w:rPr>
  </w:style>
  <w:style w:type="table" w:customStyle="1" w:styleId="3488">
    <w:name w:val="网格型浅色2"/>
    <w:basedOn w:val="81"/>
    <w:qFormat/>
    <w:uiPriority w:val="40"/>
    <w:rPr>
      <w:kern w:val="2"/>
      <w:sz w:val="21"/>
      <w:szCs w:val="22"/>
    </w:rPr>
    <w:tblPr>
      <w:tblBorders>
        <w:top w:val="single" w:color="80C687" w:sz="4" w:space="0"/>
        <w:left w:val="single" w:color="80C687" w:sz="4" w:space="0"/>
        <w:bottom w:val="single" w:color="80C687" w:sz="4" w:space="0"/>
        <w:right w:val="single" w:color="80C687" w:sz="4" w:space="0"/>
        <w:insideH w:val="single" w:color="80C687" w:sz="4" w:space="0"/>
        <w:insideV w:val="single" w:color="80C687" w:sz="4" w:space="0"/>
      </w:tblBorders>
    </w:tblPr>
  </w:style>
  <w:style w:type="table" w:customStyle="1" w:styleId="3489">
    <w:name w:val="三线2"/>
    <w:basedOn w:val="81"/>
    <w:qFormat/>
    <w:uiPriority w:val="0"/>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90">
    <w:name w:val="网格型浅色11"/>
    <w:basedOn w:val="81"/>
    <w:qFormat/>
    <w:uiPriority w:val="40"/>
    <w:rPr>
      <w:kern w:val="2"/>
      <w:sz w:val="21"/>
      <w:szCs w:val="22"/>
    </w:rPr>
    <w:tblPr>
      <w:tblBorders>
        <w:top w:val="single" w:color="7CC685" w:sz="4" w:space="0"/>
        <w:left w:val="single" w:color="7CC685" w:sz="4" w:space="0"/>
        <w:bottom w:val="single" w:color="7CC685" w:sz="4" w:space="0"/>
        <w:right w:val="single" w:color="7CC685" w:sz="4" w:space="0"/>
        <w:insideH w:val="single" w:color="7CC685" w:sz="4" w:space="0"/>
        <w:insideV w:val="single" w:color="7CC685" w:sz="4" w:space="0"/>
      </w:tblBorders>
    </w:tblPr>
  </w:style>
  <w:style w:type="table" w:customStyle="1" w:styleId="3491">
    <w:name w:val="三线3"/>
    <w:basedOn w:val="81"/>
    <w:qFormat/>
    <w:uiPriority w:val="0"/>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492">
    <w:name w:val="正文缩进 Char4"/>
    <w:qFormat/>
    <w:uiPriority w:val="0"/>
    <w:rPr>
      <w:rFonts w:ascii="Times New Roman" w:hAnsi="Times New Roman"/>
      <w:bCs/>
      <w:kern w:val="2"/>
      <w:sz w:val="24"/>
      <w:szCs w:val="24"/>
      <w:lang w:val="en-US" w:eastAsia="zh-CN"/>
    </w:rPr>
  </w:style>
  <w:style w:type="character" w:customStyle="1" w:styleId="3493">
    <w:name w:val="正文文本 (3)_"/>
    <w:link w:val="3494"/>
    <w:qFormat/>
    <w:uiPriority w:val="0"/>
    <w:rPr>
      <w:rFonts w:ascii="MingLiU" w:hAnsi="MingLiU" w:eastAsia="MingLiU" w:cs="MingLiU"/>
      <w:spacing w:val="20"/>
      <w:sz w:val="28"/>
      <w:szCs w:val="28"/>
      <w:shd w:val="clear" w:color="auto" w:fill="FFFFFF"/>
    </w:rPr>
  </w:style>
  <w:style w:type="paragraph" w:customStyle="1" w:styleId="3494">
    <w:name w:val="正文文本 (3)"/>
    <w:basedOn w:val="1"/>
    <w:link w:val="3493"/>
    <w:qFormat/>
    <w:uiPriority w:val="0"/>
    <w:pPr>
      <w:shd w:val="clear" w:color="auto" w:fill="FFFFFF"/>
      <w:spacing w:after="840" w:line="0" w:lineRule="atLeast"/>
      <w:jc w:val="left"/>
    </w:pPr>
    <w:rPr>
      <w:rFonts w:ascii="MingLiU" w:hAnsi="MingLiU" w:eastAsia="MingLiU" w:cs="MingLiU"/>
      <w:spacing w:val="20"/>
      <w:kern w:val="0"/>
      <w:sz w:val="28"/>
      <w:szCs w:val="28"/>
    </w:rPr>
  </w:style>
  <w:style w:type="character" w:customStyle="1" w:styleId="3495">
    <w:name w:val="页眉或页脚_"/>
    <w:qFormat/>
    <w:uiPriority w:val="0"/>
    <w:rPr>
      <w:rFonts w:ascii="MingLiU" w:hAnsi="MingLiU" w:eastAsia="MingLiU" w:cs="MingLiU"/>
      <w:spacing w:val="20"/>
      <w:sz w:val="22"/>
      <w:szCs w:val="22"/>
      <w:u w:val="none"/>
    </w:rPr>
  </w:style>
  <w:style w:type="character" w:customStyle="1" w:styleId="3496">
    <w:name w:val="页眉或页脚"/>
    <w:qFormat/>
    <w:uiPriority w:val="0"/>
    <w:rPr>
      <w:rFonts w:ascii="MingLiU" w:hAnsi="MingLiU" w:eastAsia="MingLiU" w:cs="MingLiU"/>
      <w:color w:val="000000"/>
      <w:spacing w:val="20"/>
      <w:w w:val="100"/>
      <w:position w:val="0"/>
      <w:sz w:val="22"/>
      <w:szCs w:val="22"/>
      <w:u w:val="none"/>
      <w:lang w:val="zh-TW" w:eastAsia="zh-TW" w:bidi="zh-TW"/>
    </w:rPr>
  </w:style>
  <w:style w:type="character" w:customStyle="1" w:styleId="3497">
    <w:name w:val="标题 #1_"/>
    <w:link w:val="3498"/>
    <w:qFormat/>
    <w:uiPriority w:val="0"/>
    <w:rPr>
      <w:rFonts w:ascii="MingLiU" w:hAnsi="MingLiU" w:eastAsia="MingLiU" w:cs="MingLiU"/>
      <w:spacing w:val="100"/>
      <w:sz w:val="36"/>
      <w:szCs w:val="36"/>
      <w:shd w:val="clear" w:color="auto" w:fill="FFFFFF"/>
    </w:rPr>
  </w:style>
  <w:style w:type="paragraph" w:customStyle="1" w:styleId="3498">
    <w:name w:val="标题 #1"/>
    <w:basedOn w:val="1"/>
    <w:link w:val="3497"/>
    <w:qFormat/>
    <w:uiPriority w:val="0"/>
    <w:pPr>
      <w:shd w:val="clear" w:color="auto" w:fill="FFFFFF"/>
      <w:spacing w:before="840" w:after="840" w:line="0" w:lineRule="atLeast"/>
      <w:jc w:val="center"/>
      <w:outlineLvl w:val="0"/>
    </w:pPr>
    <w:rPr>
      <w:rFonts w:ascii="MingLiU" w:hAnsi="MingLiU" w:eastAsia="MingLiU" w:cs="MingLiU"/>
      <w:spacing w:val="100"/>
      <w:kern w:val="0"/>
      <w:sz w:val="36"/>
      <w:szCs w:val="36"/>
    </w:rPr>
  </w:style>
  <w:style w:type="character" w:customStyle="1" w:styleId="3499">
    <w:name w:val="正文文本 (2)_"/>
    <w:link w:val="3500"/>
    <w:qFormat/>
    <w:uiPriority w:val="0"/>
    <w:rPr>
      <w:rFonts w:ascii="MingLiU" w:hAnsi="MingLiU" w:eastAsia="MingLiU" w:cs="MingLiU"/>
      <w:spacing w:val="30"/>
      <w:sz w:val="28"/>
      <w:szCs w:val="28"/>
      <w:shd w:val="clear" w:color="auto" w:fill="FFFFFF"/>
    </w:rPr>
  </w:style>
  <w:style w:type="paragraph" w:customStyle="1" w:styleId="3500">
    <w:name w:val="正文文本 (2)"/>
    <w:basedOn w:val="1"/>
    <w:link w:val="3499"/>
    <w:qFormat/>
    <w:uiPriority w:val="0"/>
    <w:pPr>
      <w:shd w:val="clear" w:color="auto" w:fill="FFFFFF"/>
      <w:spacing w:before="840" w:line="595" w:lineRule="exact"/>
      <w:jc w:val="distribute"/>
    </w:pPr>
    <w:rPr>
      <w:rFonts w:ascii="MingLiU" w:hAnsi="MingLiU" w:eastAsia="MingLiU" w:cs="MingLiU"/>
      <w:spacing w:val="30"/>
      <w:kern w:val="0"/>
      <w:sz w:val="28"/>
      <w:szCs w:val="28"/>
    </w:rPr>
  </w:style>
  <w:style w:type="character" w:customStyle="1" w:styleId="3501">
    <w:name w:val="正文文本 (2) + 间距 1 pt"/>
    <w:qFormat/>
    <w:uiPriority w:val="0"/>
    <w:rPr>
      <w:rFonts w:ascii="MingLiU" w:hAnsi="MingLiU" w:eastAsia="MingLiU" w:cs="MingLiU"/>
      <w:color w:val="000000"/>
      <w:spacing w:val="20"/>
      <w:w w:val="100"/>
      <w:position w:val="0"/>
      <w:sz w:val="28"/>
      <w:szCs w:val="28"/>
      <w:u w:val="none"/>
      <w:lang w:val="zh-TW" w:eastAsia="zh-TW" w:bidi="zh-TW"/>
    </w:rPr>
  </w:style>
  <w:style w:type="character" w:customStyle="1" w:styleId="3502">
    <w:name w:val="正文文本 (2) + Times New Roman"/>
    <w:qFormat/>
    <w:uiPriority w:val="0"/>
    <w:rPr>
      <w:rFonts w:ascii="Times New Roman" w:hAnsi="Times New Roman" w:eastAsia="Times New Roman" w:cs="Times New Roman"/>
      <w:color w:val="000000"/>
      <w:spacing w:val="0"/>
      <w:w w:val="100"/>
      <w:position w:val="0"/>
      <w:sz w:val="30"/>
      <w:szCs w:val="30"/>
      <w:u w:val="none"/>
      <w:lang w:val="en-US" w:eastAsia="en-US" w:bidi="en-US"/>
    </w:rPr>
  </w:style>
  <w:style w:type="character" w:customStyle="1" w:styleId="3503">
    <w:name w:val="正文文本 (2) + 间距 0 pt"/>
    <w:qFormat/>
    <w:uiPriority w:val="0"/>
    <w:rPr>
      <w:rFonts w:ascii="MingLiU" w:hAnsi="MingLiU" w:eastAsia="MingLiU" w:cs="MingLiU"/>
      <w:color w:val="000000"/>
      <w:spacing w:val="0"/>
      <w:w w:val="100"/>
      <w:position w:val="0"/>
      <w:sz w:val="28"/>
      <w:szCs w:val="28"/>
      <w:u w:val="none"/>
      <w:lang w:val="zh-TW" w:eastAsia="zh-TW" w:bidi="zh-TW"/>
    </w:rPr>
  </w:style>
  <w:style w:type="character" w:customStyle="1" w:styleId="3504">
    <w:name w:val="正文文本 (4)_"/>
    <w:link w:val="3505"/>
    <w:qFormat/>
    <w:uiPriority w:val="0"/>
    <w:rPr>
      <w:rFonts w:eastAsia="Times New Roman"/>
      <w:sz w:val="30"/>
      <w:szCs w:val="30"/>
      <w:shd w:val="clear" w:color="auto" w:fill="FFFFFF"/>
      <w:lang w:eastAsia="en-US" w:bidi="en-US"/>
    </w:rPr>
  </w:style>
  <w:style w:type="paragraph" w:customStyle="1" w:styleId="3505">
    <w:name w:val="正文文本 (4)"/>
    <w:basedOn w:val="1"/>
    <w:link w:val="3504"/>
    <w:qFormat/>
    <w:uiPriority w:val="0"/>
    <w:pPr>
      <w:shd w:val="clear" w:color="auto" w:fill="FFFFFF"/>
      <w:spacing w:line="576" w:lineRule="exact"/>
      <w:ind w:firstLine="720"/>
    </w:pPr>
    <w:rPr>
      <w:rFonts w:eastAsia="Times New Roman"/>
      <w:kern w:val="0"/>
      <w:sz w:val="30"/>
      <w:szCs w:val="30"/>
      <w:lang w:eastAsia="en-US" w:bidi="en-US"/>
    </w:rPr>
  </w:style>
  <w:style w:type="character" w:customStyle="1" w:styleId="3506">
    <w:name w:val="正文文本 (4) + MingLiU"/>
    <w:qFormat/>
    <w:uiPriority w:val="0"/>
    <w:rPr>
      <w:rFonts w:ascii="MingLiU" w:hAnsi="MingLiU" w:eastAsia="MingLiU" w:cs="MingLiU"/>
      <w:color w:val="000000"/>
      <w:spacing w:val="30"/>
      <w:w w:val="100"/>
      <w:position w:val="0"/>
      <w:sz w:val="28"/>
      <w:szCs w:val="28"/>
      <w:u w:val="none"/>
      <w:lang w:val="zh-TW" w:eastAsia="zh-TW" w:bidi="zh-TW"/>
    </w:rPr>
  </w:style>
  <w:style w:type="character" w:customStyle="1" w:styleId="3507">
    <w:name w:val="正文文本 (5)_"/>
    <w:link w:val="3508"/>
    <w:qFormat/>
    <w:uiPriority w:val="0"/>
    <w:rPr>
      <w:rFonts w:eastAsia="Times New Roman"/>
      <w:shd w:val="clear" w:color="auto" w:fill="FFFFFF"/>
    </w:rPr>
  </w:style>
  <w:style w:type="paragraph" w:customStyle="1" w:styleId="3508">
    <w:name w:val="正文文本 (5)"/>
    <w:basedOn w:val="1"/>
    <w:link w:val="3507"/>
    <w:qFormat/>
    <w:uiPriority w:val="0"/>
    <w:pPr>
      <w:shd w:val="clear" w:color="auto" w:fill="FFFFFF"/>
      <w:spacing w:line="0" w:lineRule="atLeast"/>
      <w:jc w:val="left"/>
    </w:pPr>
    <w:rPr>
      <w:rFonts w:eastAsia="Times New Roman"/>
      <w:kern w:val="0"/>
      <w:sz w:val="20"/>
      <w:szCs w:val="20"/>
    </w:rPr>
  </w:style>
  <w:style w:type="character" w:customStyle="1" w:styleId="3509">
    <w:name w:val="正文文本 (2) + Microsoft Sans Serif"/>
    <w:qFormat/>
    <w:uiPriority w:val="0"/>
    <w:rPr>
      <w:rFonts w:ascii="Microsoft Sans Serif" w:hAnsi="Microsoft Sans Serif" w:eastAsia="Microsoft Sans Serif" w:cs="Microsoft Sans Serif"/>
      <w:b/>
      <w:bCs/>
      <w:color w:val="000000"/>
      <w:spacing w:val="-30"/>
      <w:w w:val="100"/>
      <w:position w:val="0"/>
      <w:sz w:val="34"/>
      <w:szCs w:val="34"/>
      <w:u w:val="none"/>
      <w:lang w:val="en-US" w:eastAsia="en-US" w:bidi="en-US"/>
    </w:rPr>
  </w:style>
  <w:style w:type="character" w:customStyle="1" w:styleId="3510">
    <w:name w:val="正文文本 (2) + 9.5 pt"/>
    <w:qFormat/>
    <w:uiPriority w:val="0"/>
    <w:rPr>
      <w:rFonts w:ascii="MingLiU" w:hAnsi="MingLiU" w:eastAsia="MingLiU" w:cs="MingLiU"/>
      <w:color w:val="000000"/>
      <w:spacing w:val="40"/>
      <w:w w:val="100"/>
      <w:position w:val="0"/>
      <w:sz w:val="19"/>
      <w:szCs w:val="19"/>
      <w:u w:val="none"/>
      <w:lang w:val="zh-TW" w:eastAsia="zh-TW" w:bidi="zh-TW"/>
    </w:rPr>
  </w:style>
  <w:style w:type="character" w:customStyle="1" w:styleId="3511">
    <w:name w:val="正文文本 (3) + 间距 0 pt"/>
    <w:qFormat/>
    <w:uiPriority w:val="0"/>
    <w:rPr>
      <w:rFonts w:ascii="MingLiU" w:hAnsi="MingLiU" w:eastAsia="MingLiU" w:cs="MingLiU"/>
      <w:color w:val="000000"/>
      <w:spacing w:val="0"/>
      <w:w w:val="100"/>
      <w:position w:val="0"/>
      <w:sz w:val="28"/>
      <w:szCs w:val="28"/>
      <w:u w:val="none"/>
      <w:lang w:val="zh-TW" w:eastAsia="zh-TW" w:bidi="zh-TW"/>
    </w:rPr>
  </w:style>
  <w:style w:type="character" w:customStyle="1" w:styleId="3512">
    <w:name w:val="页眉或页脚 + 间距 0 pt"/>
    <w:qFormat/>
    <w:uiPriority w:val="0"/>
    <w:rPr>
      <w:rFonts w:ascii="MingLiU" w:hAnsi="MingLiU" w:eastAsia="MingLiU" w:cs="MingLiU"/>
      <w:color w:val="000000"/>
      <w:spacing w:val="0"/>
      <w:w w:val="100"/>
      <w:position w:val="0"/>
      <w:sz w:val="22"/>
      <w:szCs w:val="22"/>
      <w:u w:val="none"/>
      <w:lang w:val="zh-TW" w:eastAsia="zh-TW" w:bidi="zh-TW"/>
    </w:rPr>
  </w:style>
  <w:style w:type="character" w:customStyle="1" w:styleId="3513">
    <w:name w:val="标题 #1 + 间距 3 pt"/>
    <w:qFormat/>
    <w:uiPriority w:val="0"/>
    <w:rPr>
      <w:rFonts w:ascii="MingLiU" w:hAnsi="MingLiU" w:eastAsia="MingLiU" w:cs="MingLiU"/>
      <w:color w:val="000000"/>
      <w:spacing w:val="60"/>
      <w:w w:val="100"/>
      <w:position w:val="0"/>
      <w:sz w:val="36"/>
      <w:szCs w:val="36"/>
      <w:u w:val="none"/>
      <w:lang w:val="zh-TW" w:eastAsia="zh-TW" w:bidi="zh-TW"/>
    </w:rPr>
  </w:style>
  <w:style w:type="character" w:customStyle="1" w:styleId="3514">
    <w:name w:val="正文文本 (6)_"/>
    <w:link w:val="3515"/>
    <w:qFormat/>
    <w:uiPriority w:val="0"/>
    <w:rPr>
      <w:rFonts w:ascii="MingLiU" w:hAnsi="MingLiU" w:eastAsia="MingLiU" w:cs="MingLiU"/>
      <w:shd w:val="clear" w:color="auto" w:fill="FFFFFF"/>
    </w:rPr>
  </w:style>
  <w:style w:type="paragraph" w:customStyle="1" w:styleId="3515">
    <w:name w:val="正文文本 (6)"/>
    <w:basedOn w:val="1"/>
    <w:link w:val="3514"/>
    <w:qFormat/>
    <w:uiPriority w:val="0"/>
    <w:pPr>
      <w:shd w:val="clear" w:color="auto" w:fill="FFFFFF"/>
      <w:spacing w:before="840" w:line="350" w:lineRule="exact"/>
      <w:jc w:val="distribute"/>
    </w:pPr>
    <w:rPr>
      <w:rFonts w:ascii="MingLiU" w:hAnsi="MingLiU" w:eastAsia="MingLiU" w:cs="MingLiU"/>
      <w:kern w:val="0"/>
      <w:sz w:val="20"/>
      <w:szCs w:val="20"/>
    </w:rPr>
  </w:style>
  <w:style w:type="character" w:customStyle="1" w:styleId="3516">
    <w:name w:val="页脚 Char2"/>
    <w:qFormat/>
    <w:uiPriority w:val="0"/>
    <w:rPr>
      <w:kern w:val="2"/>
      <w:sz w:val="18"/>
    </w:rPr>
  </w:style>
  <w:style w:type="paragraph" w:customStyle="1" w:styleId="3517">
    <w:name w:val="4级标题"/>
    <w:basedOn w:val="1662"/>
    <w:qFormat/>
    <w:uiPriority w:val="0"/>
    <w:pPr>
      <w:spacing w:before="60" w:line="460" w:lineRule="exact"/>
    </w:pPr>
    <w:rPr>
      <w:rFonts w:ascii="Times New Roman" w:hAnsi="Times New Roman"/>
      <w:color w:val="auto"/>
      <w:sz w:val="24"/>
    </w:rPr>
  </w:style>
  <w:style w:type="character" w:customStyle="1" w:styleId="3518">
    <w:name w:val="1级标题 Char"/>
    <w:qFormat/>
    <w:uiPriority w:val="0"/>
    <w:rPr>
      <w:rFonts w:eastAsia="宋体"/>
      <w:b/>
      <w:kern w:val="2"/>
      <w:sz w:val="32"/>
      <w:szCs w:val="24"/>
      <w:lang w:val="en-US" w:eastAsia="zh-CN" w:bidi="ar-SA"/>
    </w:rPr>
  </w:style>
  <w:style w:type="character" w:customStyle="1" w:styleId="3519">
    <w:name w:val="标题3 Char Char"/>
    <w:qFormat/>
    <w:uiPriority w:val="0"/>
    <w:rPr>
      <w:rFonts w:ascii="宋体" w:hAnsi="宋体"/>
      <w:b/>
      <w:sz w:val="28"/>
      <w:szCs w:val="28"/>
    </w:rPr>
  </w:style>
  <w:style w:type="paragraph" w:customStyle="1" w:styleId="3520">
    <w:name w:val="wen2"/>
    <w:basedOn w:val="7"/>
    <w:link w:val="3521"/>
    <w:qFormat/>
    <w:uiPriority w:val="0"/>
    <w:pPr>
      <w:widowControl w:val="0"/>
      <w:numPr>
        <w:ilvl w:val="2"/>
        <w:numId w:val="10"/>
      </w:numPr>
      <w:adjustRightInd/>
      <w:snapToGrid/>
      <w:spacing w:before="0" w:after="0"/>
    </w:pPr>
    <w:rPr>
      <w:rFonts w:ascii="华文仿宋" w:hAnsi="华文仿宋" w:eastAsia="华文仿宋" w:cs="Arial"/>
      <w:b w:val="0"/>
      <w:sz w:val="28"/>
      <w:szCs w:val="28"/>
      <w:lang w:val="en-US" w:bidi="en-US"/>
    </w:rPr>
  </w:style>
  <w:style w:type="character" w:customStyle="1" w:styleId="3521">
    <w:name w:val="wen2 字符"/>
    <w:link w:val="3520"/>
    <w:qFormat/>
    <w:uiPriority w:val="0"/>
    <w:rPr>
      <w:rFonts w:ascii="华文仿宋" w:hAnsi="华文仿宋" w:eastAsia="华文仿宋" w:cs="Arial"/>
      <w:bCs/>
      <w:kern w:val="2"/>
      <w:sz w:val="28"/>
      <w:szCs w:val="28"/>
      <w:lang w:bidi="en-US"/>
    </w:rPr>
  </w:style>
  <w:style w:type="character" w:customStyle="1" w:styleId="3522">
    <w:name w:val="cucd-4 Char Char"/>
    <w:qFormat/>
    <w:uiPriority w:val="0"/>
    <w:rPr>
      <w:rFonts w:ascii="Arial" w:hAnsi="Arial" w:eastAsia="仿宋_GB2312" w:cs="Arial"/>
      <w:b/>
      <w:kern w:val="2"/>
      <w:sz w:val="32"/>
      <w:szCs w:val="32"/>
      <w:lang w:val="en-US" w:eastAsia="zh-CN" w:bidi="ar-SA"/>
    </w:rPr>
  </w:style>
  <w:style w:type="character" w:customStyle="1" w:styleId="3523">
    <w:name w:val="样式8表号 Char"/>
    <w:link w:val="3524"/>
    <w:qFormat/>
    <w:uiPriority w:val="0"/>
    <w:rPr>
      <w:rFonts w:ascii="Calibri" w:hAnsi="Calibri"/>
    </w:rPr>
  </w:style>
  <w:style w:type="paragraph" w:customStyle="1" w:styleId="3524">
    <w:name w:val="样式8表号"/>
    <w:basedOn w:val="1"/>
    <w:next w:val="1"/>
    <w:link w:val="3523"/>
    <w:qFormat/>
    <w:uiPriority w:val="0"/>
    <w:pPr>
      <w:widowControl/>
      <w:spacing w:line="360" w:lineRule="auto"/>
      <w:ind w:firstLine="510"/>
    </w:pPr>
    <w:rPr>
      <w:kern w:val="0"/>
      <w:sz w:val="20"/>
      <w:szCs w:val="20"/>
    </w:rPr>
  </w:style>
  <w:style w:type="paragraph" w:customStyle="1" w:styleId="3525">
    <w:name w:val="缺省文本_注释"/>
    <w:basedOn w:val="1"/>
    <w:qFormat/>
    <w:uiPriority w:val="0"/>
    <w:pPr>
      <w:tabs>
        <w:tab w:val="left" w:pos="639"/>
        <w:tab w:val="center" w:pos="5670"/>
        <w:tab w:val="right" w:pos="7655"/>
      </w:tabs>
      <w:spacing w:before="80" w:after="120"/>
      <w:outlineLvl w:val="7"/>
    </w:pPr>
    <w:rPr>
      <w:rFonts w:eastAsia="楷体_GB2312"/>
      <w:spacing w:val="12"/>
      <w:kern w:val="28"/>
      <w:sz w:val="24"/>
      <w:szCs w:val="20"/>
    </w:rPr>
  </w:style>
  <w:style w:type="paragraph" w:customStyle="1" w:styleId="3526">
    <w:name w:val="cauc-0"/>
    <w:link w:val="3527"/>
    <w:qFormat/>
    <w:uiPriority w:val="0"/>
    <w:pPr>
      <w:spacing w:line="360" w:lineRule="auto"/>
      <w:ind w:firstLine="480" w:firstLineChars="200"/>
    </w:pPr>
    <w:rPr>
      <w:rFonts w:ascii="Calibri" w:hAnsi="Calibri" w:eastAsia="宋体" w:cs="Calibri"/>
      <w:kern w:val="2"/>
      <w:sz w:val="24"/>
      <w:szCs w:val="24"/>
      <w:lang w:val="en-US" w:eastAsia="zh-CN" w:bidi="ar-SA"/>
    </w:rPr>
  </w:style>
  <w:style w:type="character" w:customStyle="1" w:styleId="3527">
    <w:name w:val="cauc-0 Char1"/>
    <w:link w:val="3526"/>
    <w:qFormat/>
    <w:uiPriority w:val="0"/>
    <w:rPr>
      <w:kern w:val="2"/>
      <w:sz w:val="24"/>
      <w:szCs w:val="24"/>
    </w:rPr>
  </w:style>
  <w:style w:type="paragraph" w:customStyle="1" w:styleId="3528">
    <w:name w:val="CM31"/>
    <w:basedOn w:val="1"/>
    <w:next w:val="1"/>
    <w:qFormat/>
    <w:uiPriority w:val="0"/>
    <w:pPr>
      <w:autoSpaceDE w:val="0"/>
      <w:autoSpaceDN w:val="0"/>
      <w:adjustRightInd w:val="0"/>
      <w:spacing w:line="468" w:lineRule="atLeast"/>
      <w:jc w:val="left"/>
    </w:pPr>
    <w:rPr>
      <w:rFonts w:ascii="黑体" w:eastAsia="黑体" w:cs="黑体"/>
      <w:kern w:val="0"/>
      <w:sz w:val="24"/>
    </w:rPr>
  </w:style>
  <w:style w:type="paragraph" w:customStyle="1" w:styleId="3529">
    <w:name w:val="1级标题-bestwa"/>
    <w:qFormat/>
    <w:uiPriority w:val="0"/>
    <w:pPr>
      <w:tabs>
        <w:tab w:val="left" w:pos="1266"/>
      </w:tabs>
      <w:spacing w:line="360" w:lineRule="auto"/>
      <w:ind w:left="1200" w:hanging="720"/>
      <w:outlineLvl w:val="0"/>
    </w:pPr>
    <w:rPr>
      <w:rFonts w:ascii="宋体" w:hAnsi="宋体" w:eastAsia="黑体" w:cs="Calibri"/>
      <w:bCs/>
      <w:kern w:val="44"/>
      <w:sz w:val="32"/>
      <w:szCs w:val="24"/>
      <w:lang w:val="en-US" w:eastAsia="zh-CN" w:bidi="ar-SA"/>
    </w:rPr>
  </w:style>
  <w:style w:type="paragraph" w:customStyle="1" w:styleId="3530">
    <w:name w:val="3级标题-bestwa"/>
    <w:basedOn w:val="1"/>
    <w:qFormat/>
    <w:uiPriority w:val="0"/>
    <w:pPr>
      <w:widowControl/>
      <w:tabs>
        <w:tab w:val="left" w:pos="360"/>
        <w:tab w:val="left" w:pos="1686"/>
      </w:tabs>
      <w:snapToGrid w:val="0"/>
      <w:spacing w:line="360" w:lineRule="auto"/>
      <w:ind w:left="1686"/>
      <w:jc w:val="left"/>
      <w:outlineLvl w:val="2"/>
    </w:pPr>
    <w:rPr>
      <w:rFonts w:ascii="宋体" w:hAnsi="宋体" w:eastAsia="黑体"/>
      <w:b/>
      <w:bCs/>
      <w:kern w:val="44"/>
      <w:sz w:val="24"/>
    </w:rPr>
  </w:style>
  <w:style w:type="paragraph" w:customStyle="1" w:styleId="3531">
    <w:name w:val="题注-表格"/>
    <w:basedOn w:val="22"/>
    <w:link w:val="3532"/>
    <w:qFormat/>
    <w:uiPriority w:val="0"/>
    <w:pPr>
      <w:widowControl/>
      <w:snapToGrid/>
      <w:spacing w:beforeLines="50" w:afterLines="50"/>
    </w:pPr>
    <w:rPr>
      <w:rFonts w:ascii="Times New Roman" w:hAnsi="Times New Roman" w:eastAsia="宋体" w:cs="Times New Roman"/>
      <w:b/>
      <w:sz w:val="21"/>
      <w:szCs w:val="22"/>
    </w:rPr>
  </w:style>
  <w:style w:type="character" w:customStyle="1" w:styleId="3532">
    <w:name w:val="题注-表格 Char"/>
    <w:link w:val="3531"/>
    <w:qFormat/>
    <w:uiPriority w:val="0"/>
    <w:rPr>
      <w:b/>
      <w:kern w:val="2"/>
      <w:sz w:val="21"/>
      <w:szCs w:val="22"/>
    </w:rPr>
  </w:style>
  <w:style w:type="character" w:customStyle="1" w:styleId="3533">
    <w:name w:val="cucd-3 Char Char"/>
    <w:qFormat/>
    <w:uiPriority w:val="0"/>
    <w:rPr>
      <w:b/>
      <w:kern w:val="2"/>
      <w:sz w:val="28"/>
      <w:szCs w:val="24"/>
      <w:lang w:val="en-US" w:eastAsia="zh-CN" w:bidi="ar-SA"/>
    </w:rPr>
  </w:style>
  <w:style w:type="character" w:customStyle="1" w:styleId="3534">
    <w:name w:val="cucd-0 Char1"/>
    <w:qFormat/>
    <w:uiPriority w:val="0"/>
    <w:rPr>
      <w:kern w:val="2"/>
      <w:sz w:val="24"/>
      <w:szCs w:val="24"/>
      <w:lang w:val="en-US" w:eastAsia="zh-CN" w:bidi="ar-SA"/>
    </w:rPr>
  </w:style>
  <w:style w:type="paragraph" w:customStyle="1" w:styleId="3535">
    <w:name w:val="xl12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3536">
    <w:name w:val="xl122"/>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textAlignment w:val="center"/>
    </w:pPr>
    <w:rPr>
      <w:rFonts w:ascii="Arial" w:hAnsi="Arial" w:cs="Arial"/>
      <w:kern w:val="0"/>
      <w:sz w:val="20"/>
      <w:szCs w:val="20"/>
    </w:rPr>
  </w:style>
  <w:style w:type="paragraph" w:customStyle="1" w:styleId="3537">
    <w:name w:val="xl123"/>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textAlignment w:val="center"/>
    </w:pPr>
    <w:rPr>
      <w:rFonts w:ascii="Arial" w:hAnsi="Arial" w:cs="Arial"/>
      <w:kern w:val="0"/>
      <w:sz w:val="20"/>
      <w:szCs w:val="20"/>
    </w:rPr>
  </w:style>
  <w:style w:type="paragraph" w:customStyle="1" w:styleId="3538">
    <w:name w:val="xl124"/>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textAlignment w:val="center"/>
    </w:pPr>
    <w:rPr>
      <w:rFonts w:ascii="Arial" w:hAnsi="Arial" w:cs="Arial"/>
      <w:b/>
      <w:bCs/>
      <w:kern w:val="0"/>
      <w:sz w:val="20"/>
      <w:szCs w:val="20"/>
    </w:rPr>
  </w:style>
  <w:style w:type="paragraph" w:customStyle="1" w:styleId="3539">
    <w:name w:val="xl12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3540">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3541">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3542">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0"/>
      <w:szCs w:val="20"/>
    </w:rPr>
  </w:style>
  <w:style w:type="paragraph" w:customStyle="1" w:styleId="3543">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3544">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3545">
    <w:name w:val="xl1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cs="Arial"/>
      <w:kern w:val="0"/>
      <w:sz w:val="20"/>
      <w:szCs w:val="20"/>
    </w:rPr>
  </w:style>
  <w:style w:type="paragraph" w:customStyle="1" w:styleId="3546">
    <w:name w:val="xl13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3547">
    <w:name w:val="xl133"/>
    <w:basedOn w:val="1"/>
    <w:qFormat/>
    <w:uiPriority w:val="0"/>
    <w:pPr>
      <w:widowControl/>
      <w:spacing w:before="100" w:beforeAutospacing="1" w:after="100" w:afterAutospacing="1"/>
      <w:jc w:val="left"/>
      <w:textAlignment w:val="center"/>
    </w:pPr>
    <w:rPr>
      <w:rFonts w:ascii="Arial" w:hAnsi="Arial" w:cs="Arial"/>
      <w:kern w:val="0"/>
      <w:sz w:val="24"/>
    </w:rPr>
  </w:style>
  <w:style w:type="paragraph" w:customStyle="1" w:styleId="3548">
    <w:name w:val="xl134"/>
    <w:basedOn w:val="1"/>
    <w:qFormat/>
    <w:uiPriority w:val="0"/>
    <w:pPr>
      <w:widowControl/>
      <w:pBdr>
        <w:top w:val="single" w:color="auto" w:sz="4" w:space="0"/>
        <w:left w:val="single" w:color="auto" w:sz="4" w:space="0"/>
        <w:right w:val="single" w:color="auto" w:sz="4" w:space="0"/>
      </w:pBdr>
      <w:shd w:val="clear" w:color="000000" w:fill="C0C0C0"/>
      <w:spacing w:before="100" w:beforeAutospacing="1" w:after="100" w:afterAutospacing="1"/>
      <w:jc w:val="center"/>
      <w:textAlignment w:val="center"/>
    </w:pPr>
    <w:rPr>
      <w:rFonts w:ascii="宋体" w:hAnsi="宋体" w:cs="宋体"/>
      <w:b/>
      <w:bCs/>
      <w:kern w:val="0"/>
      <w:sz w:val="20"/>
      <w:szCs w:val="20"/>
    </w:rPr>
  </w:style>
  <w:style w:type="paragraph" w:customStyle="1" w:styleId="3549">
    <w:name w:val="xl135"/>
    <w:basedOn w:val="1"/>
    <w:qFormat/>
    <w:uiPriority w:val="0"/>
    <w:pPr>
      <w:widowControl/>
      <w:pBdr>
        <w:left w:val="single" w:color="auto" w:sz="4" w:space="0"/>
        <w:bottom w:val="single" w:color="auto" w:sz="4" w:space="0"/>
        <w:right w:val="single" w:color="auto" w:sz="4" w:space="0"/>
      </w:pBdr>
      <w:shd w:val="clear" w:color="000000" w:fill="C0C0C0"/>
      <w:spacing w:before="100" w:beforeAutospacing="1" w:after="100" w:afterAutospacing="1"/>
      <w:jc w:val="center"/>
      <w:textAlignment w:val="center"/>
    </w:pPr>
    <w:rPr>
      <w:rFonts w:ascii="Arial" w:hAnsi="Arial" w:cs="Arial"/>
      <w:b/>
      <w:bCs/>
      <w:kern w:val="0"/>
      <w:sz w:val="20"/>
      <w:szCs w:val="20"/>
    </w:rPr>
  </w:style>
  <w:style w:type="paragraph" w:customStyle="1" w:styleId="3550">
    <w:name w:val="xl136"/>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textAlignment w:val="center"/>
    </w:pPr>
    <w:rPr>
      <w:rFonts w:ascii="Arial" w:hAnsi="Arial" w:cs="Arial"/>
      <w:b/>
      <w:bCs/>
      <w:kern w:val="0"/>
      <w:sz w:val="20"/>
      <w:szCs w:val="20"/>
    </w:rPr>
  </w:style>
  <w:style w:type="paragraph" w:customStyle="1" w:styleId="3551">
    <w:name w:val="xl137"/>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left"/>
      <w:textAlignment w:val="center"/>
    </w:pPr>
    <w:rPr>
      <w:rFonts w:ascii="宋体" w:hAnsi="宋体" w:cs="宋体"/>
      <w:b/>
      <w:bCs/>
      <w:kern w:val="0"/>
      <w:sz w:val="20"/>
      <w:szCs w:val="20"/>
    </w:rPr>
  </w:style>
  <w:style w:type="paragraph" w:customStyle="1" w:styleId="3552">
    <w:name w:val="xl138"/>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left"/>
      <w:textAlignment w:val="center"/>
    </w:pPr>
    <w:rPr>
      <w:rFonts w:ascii="Arial" w:hAnsi="Arial" w:cs="Arial"/>
      <w:b/>
      <w:bCs/>
      <w:kern w:val="0"/>
      <w:sz w:val="20"/>
      <w:szCs w:val="20"/>
    </w:rPr>
  </w:style>
  <w:style w:type="paragraph" w:customStyle="1" w:styleId="3553">
    <w:name w:val="样式 样式 正文四号 + 首行缩进:  2 字符 段后: 0.5 行1 + 首行缩进:  2 字符"/>
    <w:basedOn w:val="1"/>
    <w:qFormat/>
    <w:uiPriority w:val="0"/>
    <w:pPr>
      <w:adjustRightInd w:val="0"/>
      <w:snapToGrid w:val="0"/>
      <w:spacing w:line="560" w:lineRule="exact"/>
      <w:ind w:firstLine="560" w:firstLineChars="200"/>
    </w:pPr>
    <w:rPr>
      <w:rFonts w:cs="宋体"/>
      <w:color w:val="000000"/>
      <w:sz w:val="24"/>
    </w:rPr>
  </w:style>
  <w:style w:type="paragraph" w:customStyle="1" w:styleId="3554">
    <w:name w:val="正文首行缩进 21"/>
    <w:basedOn w:val="888"/>
    <w:qFormat/>
    <w:uiPriority w:val="0"/>
    <w:pPr>
      <w:spacing w:line="240" w:lineRule="auto"/>
      <w:ind w:firstLine="420"/>
    </w:pPr>
    <w:rPr>
      <w:lang w:val="en-US" w:eastAsia="en-US"/>
    </w:rPr>
  </w:style>
  <w:style w:type="paragraph" w:customStyle="1" w:styleId="3555">
    <w:name w:val="电子邮件签名1"/>
    <w:basedOn w:val="1"/>
    <w:qFormat/>
    <w:uiPriority w:val="0"/>
    <w:pPr>
      <w:widowControl/>
      <w:spacing w:line="440" w:lineRule="exact"/>
      <w:ind w:firstLine="200" w:firstLineChars="200"/>
    </w:pPr>
    <w:rPr>
      <w:kern w:val="0"/>
      <w:sz w:val="24"/>
      <w:szCs w:val="22"/>
      <w:lang w:eastAsia="en-US"/>
    </w:rPr>
  </w:style>
  <w:style w:type="character" w:customStyle="1" w:styleId="3556">
    <w:name w:val="正文首行缩进 Char3"/>
    <w:qFormat/>
    <w:uiPriority w:val="0"/>
    <w:rPr>
      <w:rFonts w:eastAsia="宋体"/>
      <w:snapToGrid w:val="0"/>
      <w:kern w:val="28"/>
      <w:sz w:val="26"/>
      <w:szCs w:val="26"/>
      <w:lang w:val="en-US" w:eastAsia="zh-CN"/>
    </w:rPr>
  </w:style>
  <w:style w:type="paragraph" w:customStyle="1" w:styleId="3557">
    <w:name w:val="宏文本1"/>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customStyle="1" w:styleId="3558">
    <w:name w:val="注释标题1"/>
    <w:basedOn w:val="1"/>
    <w:next w:val="1"/>
    <w:qFormat/>
    <w:uiPriority w:val="0"/>
    <w:pPr>
      <w:jc w:val="center"/>
    </w:pPr>
    <w:rPr>
      <w:szCs w:val="20"/>
    </w:rPr>
  </w:style>
  <w:style w:type="paragraph" w:customStyle="1" w:styleId="3559">
    <w:name w:val="称呼1"/>
    <w:basedOn w:val="1"/>
    <w:qFormat/>
    <w:uiPriority w:val="0"/>
    <w:pPr>
      <w:widowControl/>
      <w:spacing w:before="100" w:beforeAutospacing="1" w:after="100" w:afterAutospacing="1" w:line="440" w:lineRule="exact"/>
      <w:ind w:firstLine="200" w:firstLineChars="200"/>
    </w:pPr>
    <w:rPr>
      <w:rFonts w:ascii="宋体" w:hAnsi="宋体" w:cs="宋体"/>
      <w:kern w:val="0"/>
      <w:sz w:val="24"/>
      <w:szCs w:val="22"/>
      <w:lang w:eastAsia="en-US"/>
    </w:rPr>
  </w:style>
  <w:style w:type="paragraph" w:customStyle="1" w:styleId="3560">
    <w:name w:val="批注主题1"/>
    <w:basedOn w:val="28"/>
    <w:next w:val="28"/>
    <w:qFormat/>
    <w:uiPriority w:val="0"/>
    <w:pPr>
      <w:widowControl/>
      <w:spacing w:line="360" w:lineRule="auto"/>
      <w:ind w:firstLine="200" w:firstLineChars="200"/>
      <w:jc w:val="both"/>
    </w:pPr>
    <w:rPr>
      <w:b/>
      <w:bCs/>
      <w:lang w:eastAsia="en-US"/>
    </w:rPr>
  </w:style>
  <w:style w:type="paragraph" w:customStyle="1" w:styleId="3561">
    <w:name w:val="HTML 预设格式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200" w:firstLineChars="200"/>
    </w:pPr>
    <w:rPr>
      <w:rFonts w:ascii="宋体" w:hAnsi="宋体"/>
      <w:kern w:val="0"/>
      <w:sz w:val="24"/>
      <w:szCs w:val="20"/>
      <w:lang w:eastAsia="en-US"/>
    </w:rPr>
  </w:style>
  <w:style w:type="paragraph" w:customStyle="1" w:styleId="3562">
    <w:name w:val="正文文本 31"/>
    <w:basedOn w:val="1"/>
    <w:qFormat/>
    <w:uiPriority w:val="0"/>
    <w:pPr>
      <w:widowControl/>
      <w:spacing w:before="60" w:after="60" w:line="440" w:lineRule="exact"/>
      <w:ind w:firstLine="200" w:firstLineChars="200"/>
    </w:pPr>
    <w:rPr>
      <w:rFonts w:eastAsia="仿宋_GB2312"/>
      <w:bCs/>
      <w:kern w:val="0"/>
      <w:sz w:val="24"/>
      <w:szCs w:val="20"/>
      <w:lang w:eastAsia="en-US"/>
    </w:rPr>
  </w:style>
  <w:style w:type="paragraph" w:customStyle="1" w:styleId="3563">
    <w:name w:val="正文缩进3"/>
    <w:basedOn w:val="1"/>
    <w:qFormat/>
    <w:uiPriority w:val="0"/>
    <w:pPr>
      <w:widowControl/>
      <w:spacing w:before="60" w:after="60" w:line="360" w:lineRule="exact"/>
      <w:ind w:firstLine="420" w:firstLineChars="200"/>
    </w:pPr>
    <w:rPr>
      <w:rFonts w:eastAsia="仿宋_GB2312"/>
      <w:bCs/>
      <w:kern w:val="0"/>
      <w:sz w:val="24"/>
      <w:szCs w:val="20"/>
    </w:rPr>
  </w:style>
  <w:style w:type="character" w:customStyle="1" w:styleId="3564">
    <w:name w:val="样式8 Char Char"/>
    <w:qFormat/>
    <w:uiPriority w:val="0"/>
    <w:rPr>
      <w:rFonts w:ascii="Calibri" w:hAnsi="Calibri" w:eastAsia="宋体"/>
      <w:bCs/>
      <w:snapToGrid w:val="0"/>
      <w:sz w:val="26"/>
      <w:szCs w:val="26"/>
    </w:rPr>
  </w:style>
  <w:style w:type="character" w:customStyle="1" w:styleId="3565">
    <w:name w:val="con1"/>
    <w:qFormat/>
    <w:uiPriority w:val="0"/>
    <w:rPr>
      <w:rFonts w:hint="eastAsia" w:ascii="宋体" w:hAnsi="宋体" w:eastAsia="宋体"/>
      <w:color w:val="666666"/>
      <w:sz w:val="18"/>
      <w:szCs w:val="18"/>
      <w:u w:val="none"/>
    </w:rPr>
  </w:style>
  <w:style w:type="character" w:customStyle="1" w:styleId="3566">
    <w:name w:val="样式 标题 2 + Times New Roman Char Char Char Char"/>
    <w:link w:val="3567"/>
    <w:qFormat/>
    <w:uiPriority w:val="0"/>
    <w:rPr>
      <w:rFonts w:ascii="Calibri" w:hAnsi="Calibri" w:eastAsia="华文中宋"/>
      <w:b/>
      <w:bCs/>
      <w:sz w:val="26"/>
      <w:szCs w:val="32"/>
    </w:rPr>
  </w:style>
  <w:style w:type="paragraph" w:customStyle="1" w:styleId="3567">
    <w:name w:val="样式 标题 2 + Times New Roman Char Char"/>
    <w:basedOn w:val="6"/>
    <w:link w:val="3566"/>
    <w:qFormat/>
    <w:uiPriority w:val="0"/>
    <w:pPr>
      <w:keepNext w:val="0"/>
      <w:keepLines w:val="0"/>
      <w:widowControl/>
      <w:tabs>
        <w:tab w:val="left" w:pos="4990"/>
      </w:tabs>
      <w:adjustRightInd w:val="0"/>
      <w:snapToGrid w:val="0"/>
      <w:spacing w:before="0" w:after="0" w:line="360" w:lineRule="auto"/>
      <w:ind w:left="431" w:firstLine="512" w:firstLineChars="196"/>
    </w:pPr>
    <w:rPr>
      <w:rFonts w:ascii="Calibri" w:hAnsi="Calibri" w:eastAsia="华文中宋"/>
      <w:kern w:val="0"/>
      <w:sz w:val="26"/>
    </w:rPr>
  </w:style>
  <w:style w:type="character" w:customStyle="1" w:styleId="3568">
    <w:name w:val="普 Char Char"/>
    <w:qFormat/>
    <w:uiPriority w:val="0"/>
    <w:rPr>
      <w:rFonts w:ascii="宋体" w:hAnsi="Courier New" w:eastAsia="宋体"/>
      <w:kern w:val="44"/>
      <w:sz w:val="21"/>
      <w:lang w:val="en-US" w:eastAsia="zh-CN"/>
    </w:rPr>
  </w:style>
  <w:style w:type="character" w:customStyle="1" w:styleId="3569">
    <w:name w:val="ourfont"/>
    <w:qFormat/>
    <w:uiPriority w:val="0"/>
  </w:style>
  <w:style w:type="character" w:customStyle="1" w:styleId="3570">
    <w:name w:val="表头排版 Char Char"/>
    <w:link w:val="3571"/>
    <w:qFormat/>
    <w:uiPriority w:val="0"/>
    <w:rPr>
      <w:rFonts w:ascii="Calibri" w:hAnsi="Calibri"/>
      <w:sz w:val="26"/>
      <w:szCs w:val="21"/>
    </w:rPr>
  </w:style>
  <w:style w:type="paragraph" w:customStyle="1" w:styleId="3571">
    <w:name w:val="表头排版"/>
    <w:basedOn w:val="1"/>
    <w:link w:val="3570"/>
    <w:qFormat/>
    <w:uiPriority w:val="0"/>
    <w:pPr>
      <w:widowControl/>
      <w:spacing w:line="440" w:lineRule="exact"/>
      <w:ind w:firstLine="200" w:firstLineChars="200"/>
      <w:jc w:val="right"/>
    </w:pPr>
    <w:rPr>
      <w:kern w:val="0"/>
      <w:sz w:val="26"/>
      <w:szCs w:val="21"/>
    </w:rPr>
  </w:style>
  <w:style w:type="character" w:customStyle="1" w:styleId="3572">
    <w:name w:val="大节标题 Char"/>
    <w:qFormat/>
    <w:uiPriority w:val="0"/>
    <w:rPr>
      <w:rFonts w:eastAsia="黑体"/>
      <w:b/>
      <w:bCs/>
      <w:kern w:val="2"/>
      <w:sz w:val="24"/>
      <w:szCs w:val="32"/>
      <w:lang w:val="en-US" w:eastAsia="zh-CN"/>
    </w:rPr>
  </w:style>
  <w:style w:type="character" w:customStyle="1" w:styleId="3573">
    <w:name w:val="样式5 Char Char"/>
    <w:qFormat/>
    <w:uiPriority w:val="0"/>
    <w:rPr>
      <w:rFonts w:ascii="Times New Roman" w:hAnsi="Times New Roman" w:eastAsia="宋体" w:cs="Times New Roman"/>
      <w:bCs/>
      <w:sz w:val="26"/>
      <w:szCs w:val="26"/>
    </w:rPr>
  </w:style>
  <w:style w:type="character" w:customStyle="1" w:styleId="3574">
    <w:name w:val="样式 (中文) 仿宋_GB2312 小四 行距: 1.5 倍行距 Char Char Char"/>
    <w:qFormat/>
    <w:uiPriority w:val="0"/>
    <w:rPr>
      <w:rFonts w:eastAsia="仿宋_GB2312" w:cs="宋体"/>
      <w:sz w:val="24"/>
      <w:szCs w:val="24"/>
    </w:rPr>
  </w:style>
  <w:style w:type="character" w:customStyle="1" w:styleId="3575">
    <w:name w:val="44标题4 Char Char"/>
    <w:qFormat/>
    <w:uiPriority w:val="0"/>
    <w:rPr>
      <w:rFonts w:eastAsia="宋体"/>
      <w:b/>
      <w:bCs/>
      <w:kern w:val="44"/>
      <w:sz w:val="30"/>
      <w:szCs w:val="44"/>
      <w:lang w:val="en-US" w:eastAsia="zh-CN"/>
    </w:rPr>
  </w:style>
  <w:style w:type="character" w:customStyle="1" w:styleId="3576">
    <w:name w:val="stylenew1"/>
    <w:qFormat/>
    <w:uiPriority w:val="0"/>
    <w:rPr>
      <w:rFonts w:hint="default" w:ascii="Verdana" w:hAnsi="Verdana"/>
      <w:sz w:val="22"/>
      <w:szCs w:val="22"/>
    </w:rPr>
  </w:style>
  <w:style w:type="character" w:customStyle="1" w:styleId="3577">
    <w:name w:val="16"/>
    <w:qFormat/>
    <w:uiPriority w:val="0"/>
    <w:rPr>
      <w:rFonts w:hint="eastAsia" w:ascii="仿宋体" w:hAnsi="仿宋体" w:eastAsia="仿宋体"/>
      <w:sz w:val="21"/>
      <w:szCs w:val="21"/>
    </w:rPr>
  </w:style>
  <w:style w:type="character" w:customStyle="1" w:styleId="3578">
    <w:name w:val="样式 宋体 加粗"/>
    <w:qFormat/>
    <w:uiPriority w:val="0"/>
    <w:rPr>
      <w:rFonts w:ascii="Times New Roman" w:hAnsi="Times New Roman" w:eastAsia="宋体"/>
      <w:b/>
      <w:bCs/>
    </w:rPr>
  </w:style>
  <w:style w:type="character" w:customStyle="1" w:styleId="3579">
    <w:name w:val="样式10 Char Char"/>
    <w:qFormat/>
    <w:uiPriority w:val="0"/>
    <w:rPr>
      <w:rFonts w:ascii="Calibri" w:hAnsi="Calibri" w:eastAsia="宋体"/>
      <w:bCs/>
      <w:sz w:val="26"/>
      <w:szCs w:val="26"/>
    </w:rPr>
  </w:style>
  <w:style w:type="character" w:customStyle="1" w:styleId="3580">
    <w:name w:val="样式6 Char Char"/>
    <w:qFormat/>
    <w:uiPriority w:val="0"/>
    <w:rPr>
      <w:rFonts w:ascii="Times New Roman" w:hAnsi="Times New Roman" w:eastAsia="黑体" w:cs="Times New Roman"/>
      <w:b/>
      <w:spacing w:val="20"/>
      <w:sz w:val="28"/>
      <w:szCs w:val="20"/>
    </w:rPr>
  </w:style>
  <w:style w:type="character" w:customStyle="1" w:styleId="3581">
    <w:name w:val="txt"/>
    <w:qFormat/>
    <w:uiPriority w:val="0"/>
  </w:style>
  <w:style w:type="character" w:customStyle="1" w:styleId="3582">
    <w:name w:val="批注引用1"/>
    <w:qFormat/>
    <w:uiPriority w:val="0"/>
    <w:rPr>
      <w:sz w:val="21"/>
      <w:szCs w:val="21"/>
    </w:rPr>
  </w:style>
  <w:style w:type="character" w:customStyle="1" w:styleId="3583">
    <w:name w:val="纯文本 Char3"/>
    <w:qFormat/>
    <w:uiPriority w:val="0"/>
    <w:rPr>
      <w:rFonts w:ascii="宋体" w:hAnsi="Courier New" w:eastAsia="宋体" w:cs="Courier New"/>
      <w:kern w:val="0"/>
      <w:szCs w:val="21"/>
      <w:lang w:eastAsia="en-US"/>
    </w:rPr>
  </w:style>
  <w:style w:type="character" w:customStyle="1" w:styleId="3584">
    <w:name w:val="HTML 打字机1"/>
    <w:qFormat/>
    <w:uiPriority w:val="0"/>
    <w:rPr>
      <w:rFonts w:ascii="宋体" w:hAnsi="宋体" w:eastAsia="宋体" w:cs="宋体"/>
      <w:sz w:val="18"/>
      <w:szCs w:val="18"/>
    </w:rPr>
  </w:style>
  <w:style w:type="character" w:customStyle="1" w:styleId="3585">
    <w:name w:val="cs14"/>
    <w:qFormat/>
    <w:uiPriority w:val="0"/>
  </w:style>
  <w:style w:type="character" w:customStyle="1" w:styleId="3586">
    <w:name w:val="标题 2- Char Char"/>
    <w:link w:val="3587"/>
    <w:qFormat/>
    <w:uiPriority w:val="0"/>
    <w:rPr>
      <w:rFonts w:ascii="Arial" w:hAnsi="Arial" w:eastAsia="华文中宋"/>
      <w:b/>
      <w:sz w:val="32"/>
      <w:szCs w:val="24"/>
    </w:rPr>
  </w:style>
  <w:style w:type="paragraph" w:customStyle="1" w:styleId="3587">
    <w:name w:val="标题 2-"/>
    <w:basedOn w:val="6"/>
    <w:link w:val="3586"/>
    <w:qFormat/>
    <w:uiPriority w:val="0"/>
    <w:pPr>
      <w:widowControl/>
      <w:adjustRightInd w:val="0"/>
      <w:snapToGrid w:val="0"/>
      <w:spacing w:beforeLines="100" w:after="0" w:line="480" w:lineRule="auto"/>
      <w:ind w:left="431" w:hanging="420"/>
    </w:pPr>
    <w:rPr>
      <w:rFonts w:ascii="Arial" w:hAnsi="Arial" w:eastAsia="华文中宋"/>
      <w:bCs w:val="0"/>
      <w:kern w:val="0"/>
      <w:szCs w:val="24"/>
    </w:rPr>
  </w:style>
  <w:style w:type="character" w:customStyle="1" w:styleId="3588">
    <w:name w:val="fs12"/>
    <w:qFormat/>
    <w:uiPriority w:val="0"/>
  </w:style>
  <w:style w:type="character" w:customStyle="1" w:styleId="3589">
    <w:name w:val="txtbreak"/>
    <w:qFormat/>
    <w:uiPriority w:val="0"/>
  </w:style>
  <w:style w:type="character" w:customStyle="1" w:styleId="3590">
    <w:name w:val="文本_hunqiu Char Char"/>
    <w:link w:val="3591"/>
    <w:qFormat/>
    <w:uiPriority w:val="0"/>
    <w:rPr>
      <w:rFonts w:ascii="Calibri" w:hAnsi="Calibri" w:cs="宋体"/>
      <w:color w:val="000000"/>
      <w:sz w:val="28"/>
    </w:rPr>
  </w:style>
  <w:style w:type="paragraph" w:customStyle="1" w:styleId="3591">
    <w:name w:val="文本_hunqiu"/>
    <w:basedOn w:val="1"/>
    <w:link w:val="3590"/>
    <w:qFormat/>
    <w:uiPriority w:val="0"/>
    <w:pPr>
      <w:widowControl/>
      <w:spacing w:line="360" w:lineRule="auto"/>
      <w:ind w:firstLine="560" w:firstLineChars="200"/>
    </w:pPr>
    <w:rPr>
      <w:rFonts w:cs="宋体"/>
      <w:color w:val="000000"/>
      <w:kern w:val="0"/>
      <w:sz w:val="28"/>
      <w:szCs w:val="20"/>
    </w:rPr>
  </w:style>
  <w:style w:type="character" w:customStyle="1" w:styleId="3592">
    <w:name w:val="表格数字 Char Char"/>
    <w:link w:val="3593"/>
    <w:qFormat/>
    <w:uiPriority w:val="0"/>
    <w:rPr>
      <w:rFonts w:ascii="Arial" w:hAnsi="Arial" w:cs="宋体"/>
    </w:rPr>
  </w:style>
  <w:style w:type="paragraph" w:customStyle="1" w:styleId="3593">
    <w:name w:val="表格数字"/>
    <w:basedOn w:val="1"/>
    <w:link w:val="3592"/>
    <w:qFormat/>
    <w:uiPriority w:val="0"/>
    <w:pPr>
      <w:widowControl/>
      <w:spacing w:line="360" w:lineRule="exact"/>
      <w:ind w:firstLine="200" w:firstLineChars="200"/>
      <w:jc w:val="center"/>
    </w:pPr>
    <w:rPr>
      <w:rFonts w:ascii="Arial" w:hAnsi="Arial" w:cs="宋体"/>
      <w:kern w:val="0"/>
      <w:sz w:val="20"/>
      <w:szCs w:val="20"/>
    </w:rPr>
  </w:style>
  <w:style w:type="character" w:customStyle="1" w:styleId="3594">
    <w:name w:val="样式2 Char Char Char Char"/>
    <w:qFormat/>
    <w:uiPriority w:val="0"/>
    <w:rPr>
      <w:rFonts w:ascii="Calibri" w:hAnsi="Calibri" w:eastAsia="楷体_GB2312"/>
      <w:sz w:val="26"/>
      <w:szCs w:val="26"/>
    </w:rPr>
  </w:style>
  <w:style w:type="character" w:customStyle="1" w:styleId="3595">
    <w:name w:val="文本_zxj Char Char"/>
    <w:link w:val="3596"/>
    <w:qFormat/>
    <w:uiPriority w:val="0"/>
    <w:rPr>
      <w:rFonts w:ascii="Calibri" w:hAnsi="Calibri" w:cs="宋体"/>
      <w:sz w:val="28"/>
    </w:rPr>
  </w:style>
  <w:style w:type="paragraph" w:customStyle="1" w:styleId="3596">
    <w:name w:val="文本_zxj"/>
    <w:basedOn w:val="1"/>
    <w:link w:val="3595"/>
    <w:qFormat/>
    <w:uiPriority w:val="0"/>
    <w:pPr>
      <w:widowControl/>
      <w:spacing w:line="360" w:lineRule="auto"/>
      <w:ind w:firstLine="560" w:firstLineChars="200"/>
    </w:pPr>
    <w:rPr>
      <w:rFonts w:cs="宋体"/>
      <w:kern w:val="0"/>
      <w:sz w:val="28"/>
      <w:szCs w:val="20"/>
    </w:rPr>
  </w:style>
  <w:style w:type="character" w:customStyle="1" w:styleId="3597">
    <w:name w:val="样式 左 Char Char"/>
    <w:qFormat/>
    <w:uiPriority w:val="0"/>
    <w:rPr>
      <w:rFonts w:ascii="Calibri" w:hAnsi="Calibri" w:eastAsia="宋体" w:cs="宋体"/>
    </w:rPr>
  </w:style>
  <w:style w:type="character" w:customStyle="1" w:styleId="3598">
    <w:name w:val="标题 3-1"/>
    <w:qFormat/>
    <w:uiPriority w:val="0"/>
    <w:rPr>
      <w:rFonts w:ascii="Times New Roman" w:hAnsi="Times New Roman" w:eastAsia="宋体" w:cs="Times New Roman"/>
      <w:bCs/>
      <w:color w:val="auto"/>
      <w:kern w:val="0"/>
      <w:sz w:val="28"/>
      <w:szCs w:val="32"/>
      <w:lang w:val="en-US" w:eastAsia="en-US"/>
    </w:rPr>
  </w:style>
  <w:style w:type="character" w:customStyle="1" w:styleId="3599">
    <w:name w:val="大纲正文 Char Char"/>
    <w:qFormat/>
    <w:uiPriority w:val="0"/>
    <w:rPr>
      <w:rFonts w:ascii="Calibri" w:hAnsi="Calibri" w:eastAsia="宋体" w:cs="宋体"/>
      <w:sz w:val="24"/>
    </w:rPr>
  </w:style>
  <w:style w:type="character" w:customStyle="1" w:styleId="3600">
    <w:name w:val="图题 Char Char"/>
    <w:link w:val="3601"/>
    <w:qFormat/>
    <w:uiPriority w:val="0"/>
    <w:rPr>
      <w:rFonts w:ascii="黑体" w:hAnsi="Calibri" w:eastAsia="黑体"/>
      <w:szCs w:val="21"/>
    </w:rPr>
  </w:style>
  <w:style w:type="paragraph" w:customStyle="1" w:styleId="3601">
    <w:name w:val="图题"/>
    <w:basedOn w:val="1"/>
    <w:next w:val="1417"/>
    <w:link w:val="3600"/>
    <w:qFormat/>
    <w:uiPriority w:val="0"/>
    <w:pPr>
      <w:widowControl/>
      <w:spacing w:beforeLines="50" w:line="400" w:lineRule="atLeast"/>
      <w:ind w:firstLine="200" w:firstLineChars="200"/>
      <w:jc w:val="center"/>
    </w:pPr>
    <w:rPr>
      <w:rFonts w:ascii="黑体" w:eastAsia="黑体"/>
      <w:kern w:val="0"/>
      <w:sz w:val="20"/>
      <w:szCs w:val="21"/>
    </w:rPr>
  </w:style>
  <w:style w:type="character" w:customStyle="1" w:styleId="3602">
    <w:name w:val="表格内容 Char Char"/>
    <w:qFormat/>
    <w:uiPriority w:val="0"/>
    <w:rPr>
      <w:rFonts w:ascii="Calibri" w:hAnsi="Calibri"/>
      <w:szCs w:val="21"/>
      <w:lang w:val="en-US" w:eastAsia="zh-CN" w:bidi="ar-SA"/>
    </w:rPr>
  </w:style>
  <w:style w:type="character" w:customStyle="1" w:styleId="3603">
    <w:name w:val="样式 13 磅 行距: 固定值 23 磅 首行缩进:  2 字符 Char Char"/>
    <w:qFormat/>
    <w:uiPriority w:val="0"/>
    <w:rPr>
      <w:rFonts w:ascii="Calibri" w:hAnsi="Calibri" w:eastAsia="宋体" w:cs="ˎ̥"/>
      <w:sz w:val="26"/>
    </w:rPr>
  </w:style>
  <w:style w:type="character" w:customStyle="1" w:styleId="3604">
    <w:name w:val="detail1"/>
    <w:qFormat/>
    <w:uiPriority w:val="0"/>
    <w:rPr>
      <w:rFonts w:hint="default" w:ascii="ˎ̥" w:hAnsi="ˎ̥"/>
      <w:sz w:val="21"/>
      <w:szCs w:val="21"/>
      <w:u w:val="none"/>
    </w:rPr>
  </w:style>
  <w:style w:type="character" w:customStyle="1" w:styleId="3605">
    <w:name w:val="图表名称 Char Char"/>
    <w:qFormat/>
    <w:uiPriority w:val="0"/>
    <w:rPr>
      <w:rFonts w:ascii="Calibri" w:hAnsi="Calibri" w:eastAsia="黑体"/>
      <w:b/>
      <w:bCs/>
      <w:sz w:val="24"/>
      <w:szCs w:val="21"/>
      <w:lang w:val="en-US" w:eastAsia="zh-CN" w:bidi="ar-SA"/>
    </w:rPr>
  </w:style>
  <w:style w:type="character" w:customStyle="1" w:styleId="3606">
    <w:name w:val="cf14pxb"/>
    <w:qFormat/>
    <w:uiPriority w:val="0"/>
  </w:style>
  <w:style w:type="character" w:customStyle="1" w:styleId="3607">
    <w:name w:val="编辑正文 Char Char"/>
    <w:link w:val="3608"/>
    <w:qFormat/>
    <w:uiPriority w:val="0"/>
    <w:rPr>
      <w:rFonts w:ascii="Calibri" w:hAnsi="宋体"/>
      <w:sz w:val="26"/>
      <w:szCs w:val="26"/>
    </w:rPr>
  </w:style>
  <w:style w:type="paragraph" w:customStyle="1" w:styleId="3608">
    <w:name w:val="编辑正文"/>
    <w:basedOn w:val="1"/>
    <w:link w:val="3607"/>
    <w:qFormat/>
    <w:uiPriority w:val="0"/>
    <w:pPr>
      <w:widowControl/>
      <w:spacing w:line="480" w:lineRule="exact"/>
      <w:ind w:firstLine="520" w:firstLineChars="200"/>
    </w:pPr>
    <w:rPr>
      <w:rFonts w:hAnsi="宋体"/>
      <w:kern w:val="0"/>
      <w:sz w:val="26"/>
      <w:szCs w:val="26"/>
    </w:rPr>
  </w:style>
  <w:style w:type="character" w:customStyle="1" w:styleId="3609">
    <w:name w:val="样式 左 首行缩进:  1.01 厘米 Char Char Char Char"/>
    <w:qFormat/>
    <w:uiPriority w:val="0"/>
    <w:rPr>
      <w:rFonts w:ascii="Times New Roman" w:hAnsi="Times New Roman" w:eastAsia="宋体" w:cs="宋体"/>
      <w:sz w:val="26"/>
      <w:szCs w:val="26"/>
    </w:rPr>
  </w:style>
  <w:style w:type="character" w:customStyle="1" w:styleId="3610">
    <w:name w:val="articlelink"/>
    <w:qFormat/>
    <w:uiPriority w:val="0"/>
  </w:style>
  <w:style w:type="character" w:customStyle="1" w:styleId="3611">
    <w:name w:val="表格题头 Char Char"/>
    <w:link w:val="3612"/>
    <w:qFormat/>
    <w:uiPriority w:val="0"/>
    <w:rPr>
      <w:rFonts w:ascii="Calibri" w:hAnsi="Calibri" w:eastAsia="黑体"/>
      <w:b/>
      <w:sz w:val="24"/>
      <w:szCs w:val="24"/>
    </w:rPr>
  </w:style>
  <w:style w:type="paragraph" w:customStyle="1" w:styleId="3612">
    <w:name w:val="表格题头"/>
    <w:next w:val="1"/>
    <w:link w:val="3611"/>
    <w:qFormat/>
    <w:uiPriority w:val="0"/>
    <w:pPr>
      <w:spacing w:beforeLines="50" w:after="120" w:line="276" w:lineRule="auto"/>
      <w:jc w:val="center"/>
    </w:pPr>
    <w:rPr>
      <w:rFonts w:ascii="Calibri" w:hAnsi="Calibri" w:eastAsia="黑体" w:cs="Calibri"/>
      <w:b/>
      <w:sz w:val="24"/>
      <w:szCs w:val="24"/>
      <w:lang w:val="en-US" w:eastAsia="zh-CN" w:bidi="ar-SA"/>
    </w:rPr>
  </w:style>
  <w:style w:type="character" w:customStyle="1" w:styleId="3613">
    <w:name w:val="表格文字1 Char Char"/>
    <w:qFormat/>
    <w:uiPriority w:val="0"/>
    <w:rPr>
      <w:rFonts w:ascii="Calibri" w:hAnsi="Calibri"/>
      <w:iCs/>
      <w:szCs w:val="24"/>
      <w:lang w:val="en-US" w:eastAsia="zh-CN" w:bidi="ar-SA"/>
    </w:rPr>
  </w:style>
  <w:style w:type="character" w:customStyle="1" w:styleId="3614">
    <w:name w:val="公式描述 Char Char"/>
    <w:link w:val="3615"/>
    <w:qFormat/>
    <w:uiPriority w:val="0"/>
    <w:rPr>
      <w:rFonts w:ascii="Calibri" w:hAnsi="Calibri" w:eastAsia="仿宋_GB2312"/>
      <w:sz w:val="24"/>
      <w:szCs w:val="24"/>
    </w:rPr>
  </w:style>
  <w:style w:type="paragraph" w:customStyle="1" w:styleId="3615">
    <w:name w:val="公式描述"/>
    <w:next w:val="1"/>
    <w:link w:val="3614"/>
    <w:qFormat/>
    <w:uiPriority w:val="0"/>
    <w:pPr>
      <w:spacing w:after="200" w:line="360" w:lineRule="auto"/>
      <w:ind w:firstLine="500" w:firstLineChars="500"/>
    </w:pPr>
    <w:rPr>
      <w:rFonts w:ascii="Calibri" w:hAnsi="Calibri" w:eastAsia="仿宋_GB2312" w:cs="Calibri"/>
      <w:sz w:val="24"/>
      <w:szCs w:val="24"/>
      <w:lang w:val="en-US" w:eastAsia="zh-CN" w:bidi="ar-SA"/>
    </w:rPr>
  </w:style>
  <w:style w:type="character" w:customStyle="1" w:styleId="3616">
    <w:name w:val="标注 Char Char"/>
    <w:qFormat/>
    <w:uiPriority w:val="0"/>
    <w:rPr>
      <w:rFonts w:ascii="黑体" w:hAnsi="Calibri" w:eastAsia="宋体"/>
      <w:sz w:val="18"/>
      <w:szCs w:val="24"/>
    </w:rPr>
  </w:style>
  <w:style w:type="character" w:customStyle="1" w:styleId="3617">
    <w:name w:val="qq"/>
    <w:qFormat/>
    <w:uiPriority w:val="0"/>
  </w:style>
  <w:style w:type="character" w:customStyle="1" w:styleId="3618">
    <w:name w:val="n正文 Char Char"/>
    <w:link w:val="3619"/>
    <w:qFormat/>
    <w:uiPriority w:val="0"/>
    <w:rPr>
      <w:rFonts w:ascii="宋体" w:hAnsi="宋体"/>
      <w:sz w:val="24"/>
      <w:szCs w:val="24"/>
    </w:rPr>
  </w:style>
  <w:style w:type="paragraph" w:customStyle="1" w:styleId="3619">
    <w:name w:val="n正文"/>
    <w:basedOn w:val="1"/>
    <w:link w:val="3618"/>
    <w:qFormat/>
    <w:uiPriority w:val="0"/>
    <w:pPr>
      <w:widowControl/>
      <w:spacing w:after="120" w:line="264" w:lineRule="auto"/>
      <w:ind w:firstLine="200" w:firstLineChars="200"/>
    </w:pPr>
    <w:rPr>
      <w:rFonts w:ascii="宋体" w:hAnsi="宋体"/>
      <w:kern w:val="0"/>
      <w:sz w:val="24"/>
    </w:rPr>
  </w:style>
  <w:style w:type="character" w:customStyle="1" w:styleId="3620">
    <w:name w:val="f_12_267700"/>
    <w:qFormat/>
    <w:uiPriority w:val="0"/>
  </w:style>
  <w:style w:type="character" w:customStyle="1" w:styleId="3621">
    <w:name w:val="表格正文 Char Char"/>
    <w:qFormat/>
    <w:uiPriority w:val="0"/>
    <w:rPr>
      <w:rFonts w:ascii="宋体" w:hAnsi="宋体" w:eastAsia="宋体" w:cs="Times New Roman"/>
      <w:color w:val="000000"/>
      <w:kern w:val="0"/>
      <w:sz w:val="18"/>
      <w:szCs w:val="18"/>
    </w:rPr>
  </w:style>
  <w:style w:type="character" w:customStyle="1" w:styleId="3622">
    <w:name w:val="样式4 Char Char"/>
    <w:qFormat/>
    <w:uiPriority w:val="0"/>
    <w:rPr>
      <w:rFonts w:ascii="宋体" w:hAnsi="宋体" w:eastAsia="宋体" w:cs="Times New Roman"/>
      <w:bCs/>
      <w:sz w:val="24"/>
      <w:szCs w:val="24"/>
    </w:rPr>
  </w:style>
  <w:style w:type="character" w:customStyle="1" w:styleId="3623">
    <w:name w:val="gans"/>
    <w:qFormat/>
    <w:uiPriority w:val="0"/>
  </w:style>
  <w:style w:type="character" w:customStyle="1" w:styleId="3624">
    <w:name w:val="表格题注 Char Char"/>
    <w:link w:val="3625"/>
    <w:qFormat/>
    <w:uiPriority w:val="0"/>
    <w:rPr>
      <w:rFonts w:ascii="Calibri" w:hAnsi="Calibri"/>
      <w:b/>
      <w:color w:val="000000"/>
      <w:szCs w:val="21"/>
    </w:rPr>
  </w:style>
  <w:style w:type="paragraph" w:customStyle="1" w:styleId="3625">
    <w:name w:val="表格题注"/>
    <w:basedOn w:val="1"/>
    <w:link w:val="3624"/>
    <w:qFormat/>
    <w:uiPriority w:val="0"/>
    <w:pPr>
      <w:widowControl/>
      <w:autoSpaceDE w:val="0"/>
      <w:autoSpaceDN w:val="0"/>
      <w:adjustRightInd w:val="0"/>
      <w:spacing w:line="460" w:lineRule="exact"/>
      <w:ind w:firstLine="200" w:firstLineChars="200"/>
      <w:jc w:val="center"/>
    </w:pPr>
    <w:rPr>
      <w:b/>
      <w:color w:val="000000"/>
      <w:kern w:val="0"/>
      <w:sz w:val="20"/>
      <w:szCs w:val="21"/>
    </w:rPr>
  </w:style>
  <w:style w:type="character" w:customStyle="1" w:styleId="3626">
    <w:name w:val="投标标题1 Char Char"/>
    <w:link w:val="3627"/>
    <w:qFormat/>
    <w:uiPriority w:val="0"/>
    <w:rPr>
      <w:rFonts w:ascii="黑体" w:hAnsi="宋体" w:eastAsia="黑体"/>
      <w:bCs/>
      <w:kern w:val="44"/>
      <w:sz w:val="30"/>
      <w:szCs w:val="30"/>
    </w:rPr>
  </w:style>
  <w:style w:type="paragraph" w:customStyle="1" w:styleId="3627">
    <w:name w:val="投标标题1"/>
    <w:basedOn w:val="1"/>
    <w:link w:val="3626"/>
    <w:qFormat/>
    <w:uiPriority w:val="0"/>
    <w:pPr>
      <w:keepNext/>
      <w:keepLines/>
      <w:widowControl/>
      <w:spacing w:beforeLines="100" w:afterLines="50" w:line="312" w:lineRule="auto"/>
      <w:ind w:firstLine="200" w:firstLineChars="200"/>
      <w:outlineLvl w:val="0"/>
    </w:pPr>
    <w:rPr>
      <w:rFonts w:ascii="黑体" w:hAnsi="宋体" w:eastAsia="黑体"/>
      <w:bCs/>
      <w:kern w:val="44"/>
      <w:sz w:val="30"/>
      <w:szCs w:val="30"/>
    </w:rPr>
  </w:style>
  <w:style w:type="character" w:customStyle="1" w:styleId="3628">
    <w:name w:val="text51"/>
    <w:qFormat/>
    <w:uiPriority w:val="0"/>
    <w:rPr>
      <w:color w:val="FF0000"/>
      <w:spacing w:val="0"/>
      <w:sz w:val="18"/>
      <w:szCs w:val="18"/>
    </w:rPr>
  </w:style>
  <w:style w:type="character" w:customStyle="1" w:styleId="3629">
    <w:name w:val="谢谢谢谢谢 Char Char"/>
    <w:qFormat/>
    <w:uiPriority w:val="0"/>
    <w:rPr>
      <w:rFonts w:eastAsia="宋体"/>
      <w:sz w:val="24"/>
      <w:szCs w:val="24"/>
    </w:rPr>
  </w:style>
  <w:style w:type="character" w:customStyle="1" w:styleId="3630">
    <w:name w:val="样式 段前: 0.5 行 首行缩进:  2 字符 Char Char"/>
    <w:qFormat/>
    <w:uiPriority w:val="0"/>
    <w:rPr>
      <w:rFonts w:ascii="Calibri" w:hAnsi="Calibri" w:eastAsia="宋体" w:cs="宋体"/>
      <w:sz w:val="28"/>
    </w:rPr>
  </w:style>
  <w:style w:type="character" w:customStyle="1" w:styleId="3631">
    <w:name w:val="样式7 Char Char"/>
    <w:qFormat/>
    <w:uiPriority w:val="0"/>
    <w:rPr>
      <w:rFonts w:ascii="微软雅黑" w:hAnsi="微软雅黑" w:eastAsia="黑体"/>
      <w:b/>
      <w:bCs/>
      <w:sz w:val="28"/>
      <w:szCs w:val="28"/>
    </w:rPr>
  </w:style>
  <w:style w:type="character" w:customStyle="1" w:styleId="3632">
    <w:name w:val="样式9 Char Char"/>
    <w:qFormat/>
    <w:uiPriority w:val="0"/>
    <w:rPr>
      <w:rFonts w:ascii="Calibri" w:hAnsi="Calibri" w:eastAsia="黑体"/>
      <w:b/>
      <w:sz w:val="36"/>
      <w:szCs w:val="32"/>
    </w:rPr>
  </w:style>
  <w:style w:type="character" w:customStyle="1" w:styleId="3633">
    <w:name w:val="编号1. Char Char"/>
    <w:link w:val="3634"/>
    <w:qFormat/>
    <w:uiPriority w:val="0"/>
    <w:rPr>
      <w:rFonts w:ascii="Calibri" w:hAnsi="Calibri"/>
      <w:sz w:val="24"/>
      <w:szCs w:val="24"/>
    </w:rPr>
  </w:style>
  <w:style w:type="paragraph" w:customStyle="1" w:styleId="3634">
    <w:name w:val="编号1."/>
    <w:basedOn w:val="1"/>
    <w:link w:val="3633"/>
    <w:qFormat/>
    <w:uiPriority w:val="0"/>
    <w:pPr>
      <w:widowControl/>
      <w:tabs>
        <w:tab w:val="left" w:pos="547"/>
        <w:tab w:val="left" w:pos="907"/>
        <w:tab w:val="left" w:pos="1080"/>
      </w:tabs>
      <w:spacing w:line="480" w:lineRule="atLeast"/>
      <w:ind w:firstLine="547" w:firstLineChars="200"/>
    </w:pPr>
    <w:rPr>
      <w:kern w:val="0"/>
      <w:sz w:val="24"/>
    </w:rPr>
  </w:style>
  <w:style w:type="character" w:customStyle="1" w:styleId="3635">
    <w:name w:val="框图文字 Char Char"/>
    <w:link w:val="3636"/>
    <w:qFormat/>
    <w:uiPriority w:val="0"/>
    <w:rPr>
      <w:rFonts w:ascii="Calibri" w:hAnsi="Arial"/>
      <w:sz w:val="18"/>
      <w:szCs w:val="24"/>
      <w:lang w:eastAsia="zh-TW"/>
    </w:rPr>
  </w:style>
  <w:style w:type="paragraph" w:customStyle="1" w:styleId="3636">
    <w:name w:val="框图文字"/>
    <w:basedOn w:val="1"/>
    <w:link w:val="3635"/>
    <w:qFormat/>
    <w:uiPriority w:val="0"/>
    <w:pPr>
      <w:widowControl/>
      <w:snapToGrid w:val="0"/>
      <w:spacing w:line="500" w:lineRule="exact"/>
      <w:ind w:firstLine="200" w:firstLineChars="200"/>
      <w:jc w:val="center"/>
    </w:pPr>
    <w:rPr>
      <w:rFonts w:hAnsi="Arial"/>
      <w:kern w:val="0"/>
      <w:sz w:val="18"/>
      <w:lang w:eastAsia="zh-TW"/>
    </w:rPr>
  </w:style>
  <w:style w:type="character" w:customStyle="1" w:styleId="3637">
    <w:name w:val="样式 正文缩进正文（首行缩进两字） Char正文（首行缩进两字）正文（首行缩进两字） Char Char Char Cha... Char Char"/>
    <w:link w:val="3638"/>
    <w:qFormat/>
    <w:uiPriority w:val="0"/>
    <w:rPr>
      <w:rFonts w:ascii="Arial" w:hAnsi="宋体" w:cs="Arial"/>
      <w:sz w:val="26"/>
      <w:szCs w:val="26"/>
    </w:rPr>
  </w:style>
  <w:style w:type="paragraph" w:customStyle="1" w:styleId="3638">
    <w:name w:val="样式 正文缩进正文（首行缩进两字） Char正文（首行缩进两字）正文（首行缩进两字） Char Char Char Cha..."/>
    <w:basedOn w:val="3563"/>
    <w:link w:val="3637"/>
    <w:qFormat/>
    <w:uiPriority w:val="0"/>
    <w:pPr>
      <w:adjustRightInd w:val="0"/>
      <w:snapToGrid w:val="0"/>
      <w:spacing w:before="0" w:after="0" w:line="480" w:lineRule="exact"/>
      <w:ind w:firstLine="0" w:firstLineChars="0"/>
      <w:jc w:val="center"/>
      <w:textAlignment w:val="baseline"/>
    </w:pPr>
    <w:rPr>
      <w:rFonts w:ascii="Arial" w:hAnsi="宋体" w:eastAsia="宋体" w:cs="Arial"/>
      <w:bCs w:val="0"/>
      <w:sz w:val="26"/>
      <w:szCs w:val="26"/>
    </w:rPr>
  </w:style>
  <w:style w:type="character" w:customStyle="1" w:styleId="3639">
    <w:name w:val="小节标题 Char Char Char"/>
    <w:qFormat/>
    <w:uiPriority w:val="0"/>
    <w:rPr>
      <w:rFonts w:eastAsia="宋体"/>
      <w:b/>
      <w:bCs/>
      <w:kern w:val="2"/>
      <w:sz w:val="26"/>
      <w:szCs w:val="32"/>
      <w:lang w:val="en-US" w:eastAsia="zh-CN"/>
    </w:rPr>
  </w:style>
  <w:style w:type="character" w:customStyle="1" w:styleId="3640">
    <w:name w:val="样式 段前: 0.5 行 首行缩进:  2 字符 Char Char Char Char Char Char Char Char Char"/>
    <w:link w:val="3641"/>
    <w:qFormat/>
    <w:uiPriority w:val="0"/>
    <w:rPr>
      <w:rFonts w:ascii="Calibri" w:hAnsi="Calibri" w:cs="宋体"/>
      <w:sz w:val="24"/>
    </w:rPr>
  </w:style>
  <w:style w:type="paragraph" w:customStyle="1" w:styleId="3641">
    <w:name w:val="样式 段前: 0.5 行 首行缩进:  2 字符 Char Char Char Char Char Char Char"/>
    <w:basedOn w:val="1"/>
    <w:link w:val="3640"/>
    <w:qFormat/>
    <w:uiPriority w:val="0"/>
    <w:pPr>
      <w:widowControl/>
      <w:spacing w:beforeLines="50" w:line="288" w:lineRule="auto"/>
      <w:ind w:firstLine="480" w:firstLineChars="200"/>
    </w:pPr>
    <w:rPr>
      <w:rFonts w:cs="宋体"/>
      <w:kern w:val="0"/>
      <w:sz w:val="24"/>
      <w:szCs w:val="20"/>
    </w:rPr>
  </w:style>
  <w:style w:type="character" w:customStyle="1" w:styleId="3642">
    <w:name w:val="标准文本 首行缩进: 2 字符 行距: 单倍 Char Char"/>
    <w:link w:val="3643"/>
    <w:qFormat/>
    <w:uiPriority w:val="0"/>
    <w:rPr>
      <w:rFonts w:ascii="宋体" w:hAnsi="宋体" w:cs="宋体"/>
      <w:sz w:val="24"/>
      <w:szCs w:val="24"/>
    </w:rPr>
  </w:style>
  <w:style w:type="paragraph" w:customStyle="1" w:styleId="3643">
    <w:name w:val="标准文本 首行缩进: 2 字符 行距: 单倍"/>
    <w:basedOn w:val="1"/>
    <w:link w:val="3642"/>
    <w:qFormat/>
    <w:uiPriority w:val="0"/>
    <w:pPr>
      <w:widowControl/>
      <w:adjustRightInd w:val="0"/>
      <w:snapToGrid w:val="0"/>
      <w:spacing w:line="360" w:lineRule="auto"/>
      <w:ind w:firstLine="480" w:firstLineChars="200"/>
      <w:textAlignment w:val="baseline"/>
    </w:pPr>
    <w:rPr>
      <w:rFonts w:ascii="宋体" w:hAnsi="宋体" w:cs="宋体"/>
      <w:kern w:val="0"/>
      <w:sz w:val="24"/>
    </w:rPr>
  </w:style>
  <w:style w:type="character" w:customStyle="1" w:styleId="3644">
    <w:name w:val="样式 首行缩进:  0.85 厘米 Char Char Char Char Char Char Char Char Char Char Char Char Char Char Char Char Char Char Char"/>
    <w:link w:val="3645"/>
    <w:qFormat/>
    <w:uiPriority w:val="0"/>
    <w:rPr>
      <w:rFonts w:ascii="Calibri" w:hAnsi="Calibri" w:cs="宋体"/>
      <w:sz w:val="24"/>
    </w:rPr>
  </w:style>
  <w:style w:type="paragraph" w:customStyle="1" w:styleId="3645">
    <w:name w:val="样式 首行缩进:  0.85 厘米 Char Char Char Char Char Char Char Char Char Char Char Char Char Char Char Char Char"/>
    <w:basedOn w:val="1"/>
    <w:link w:val="3644"/>
    <w:qFormat/>
    <w:uiPriority w:val="0"/>
    <w:pPr>
      <w:widowControl/>
      <w:spacing w:beforeLines="50" w:line="360" w:lineRule="auto"/>
      <w:ind w:firstLine="482" w:firstLineChars="200"/>
    </w:pPr>
    <w:rPr>
      <w:rFonts w:cs="宋体"/>
      <w:kern w:val="0"/>
      <w:sz w:val="24"/>
      <w:szCs w:val="20"/>
    </w:rPr>
  </w:style>
  <w:style w:type="character" w:customStyle="1" w:styleId="3646">
    <w:name w:val="样式 样式 段前: 0.5 行 + 首行缩进:  2 字符 段前: 0.5 行 Char Char"/>
    <w:link w:val="3647"/>
    <w:qFormat/>
    <w:uiPriority w:val="0"/>
    <w:rPr>
      <w:rFonts w:ascii="Calibri" w:hAnsi="Calibri" w:cs="宋体"/>
      <w:color w:val="000000"/>
      <w:sz w:val="24"/>
    </w:rPr>
  </w:style>
  <w:style w:type="paragraph" w:customStyle="1" w:styleId="3647">
    <w:name w:val="样式 样式 段前: 0.5 行 + 首行缩进:  2 字符 段前: 0.5 行"/>
    <w:basedOn w:val="1"/>
    <w:link w:val="3646"/>
    <w:qFormat/>
    <w:uiPriority w:val="0"/>
    <w:pPr>
      <w:widowControl/>
      <w:autoSpaceDE w:val="0"/>
      <w:autoSpaceDN w:val="0"/>
      <w:spacing w:beforeLines="50" w:line="360" w:lineRule="auto"/>
      <w:ind w:firstLine="480" w:firstLineChars="200"/>
    </w:pPr>
    <w:rPr>
      <w:rFonts w:cs="宋体"/>
      <w:color w:val="000000"/>
      <w:kern w:val="0"/>
      <w:sz w:val="24"/>
      <w:szCs w:val="20"/>
    </w:rPr>
  </w:style>
  <w:style w:type="character" w:customStyle="1" w:styleId="3648">
    <w:name w:val="11111正式正文 Char Char"/>
    <w:link w:val="3649"/>
    <w:qFormat/>
    <w:uiPriority w:val="0"/>
    <w:rPr>
      <w:rFonts w:ascii="Calibri" w:hAnsi="Calibri"/>
      <w:sz w:val="24"/>
      <w:szCs w:val="28"/>
    </w:rPr>
  </w:style>
  <w:style w:type="paragraph" w:customStyle="1" w:styleId="3649">
    <w:name w:val="11111正式正文"/>
    <w:link w:val="3648"/>
    <w:qFormat/>
    <w:uiPriority w:val="0"/>
    <w:pPr>
      <w:spacing w:after="200" w:line="500" w:lineRule="exact"/>
      <w:ind w:firstLine="200" w:firstLineChars="200"/>
    </w:pPr>
    <w:rPr>
      <w:rFonts w:ascii="Calibri" w:hAnsi="Calibri" w:eastAsia="宋体" w:cs="Calibri"/>
      <w:sz w:val="24"/>
      <w:szCs w:val="28"/>
      <w:lang w:val="en-US" w:eastAsia="zh-CN" w:bidi="ar-SA"/>
    </w:rPr>
  </w:style>
  <w:style w:type="character" w:customStyle="1" w:styleId="3650">
    <w:name w:val="title_black_141"/>
    <w:qFormat/>
    <w:uiPriority w:val="0"/>
    <w:rPr>
      <w:color w:val="000000"/>
      <w:sz w:val="21"/>
      <w:szCs w:val="21"/>
      <w:u w:val="none"/>
    </w:rPr>
  </w:style>
  <w:style w:type="character" w:customStyle="1" w:styleId="3651">
    <w:name w:val="样式 样式9 + 宋体 Char Char"/>
    <w:link w:val="3652"/>
    <w:qFormat/>
    <w:uiPriority w:val="0"/>
    <w:rPr>
      <w:rFonts w:ascii="Calibri" w:hAnsi="Calibri"/>
      <w:sz w:val="26"/>
      <w:szCs w:val="26"/>
    </w:rPr>
  </w:style>
  <w:style w:type="paragraph" w:customStyle="1" w:styleId="3652">
    <w:name w:val="样式 样式9 + 宋体"/>
    <w:basedOn w:val="1"/>
    <w:link w:val="3651"/>
    <w:qFormat/>
    <w:uiPriority w:val="0"/>
    <w:pPr>
      <w:widowControl/>
      <w:adjustRightInd w:val="0"/>
      <w:snapToGrid w:val="0"/>
      <w:spacing w:line="480" w:lineRule="exact"/>
      <w:ind w:firstLine="200" w:firstLineChars="200"/>
    </w:pPr>
    <w:rPr>
      <w:kern w:val="0"/>
      <w:sz w:val="26"/>
      <w:szCs w:val="26"/>
    </w:rPr>
  </w:style>
  <w:style w:type="character" w:customStyle="1" w:styleId="3653">
    <w:name w:val="wenben2"/>
    <w:qFormat/>
    <w:uiPriority w:val="0"/>
    <w:rPr>
      <w:color w:val="1C1C1C"/>
      <w:sz w:val="21"/>
      <w:szCs w:val="21"/>
      <w:u w:val="none"/>
    </w:rPr>
  </w:style>
  <w:style w:type="character" w:customStyle="1" w:styleId="3654">
    <w:name w:val="表 Char Char"/>
    <w:qFormat/>
    <w:uiPriority w:val="0"/>
    <w:rPr>
      <w:rFonts w:ascii="Calibri" w:hAnsi="Calibri" w:eastAsia="仿宋_GB2312"/>
      <w:sz w:val="24"/>
      <w:szCs w:val="24"/>
    </w:rPr>
  </w:style>
  <w:style w:type="character" w:customStyle="1" w:styleId="3655">
    <w:name w:val="keywords1"/>
    <w:qFormat/>
    <w:uiPriority w:val="0"/>
    <w:rPr>
      <w:b/>
      <w:bCs/>
      <w:color w:val="FF6600"/>
    </w:rPr>
  </w:style>
  <w:style w:type="character" w:customStyle="1" w:styleId="3656">
    <w:name w:val="lulu正文0 Char Char"/>
    <w:link w:val="3657"/>
    <w:qFormat/>
    <w:uiPriority w:val="0"/>
    <w:rPr>
      <w:rFonts w:cs="宋体"/>
      <w:sz w:val="26"/>
    </w:rPr>
  </w:style>
  <w:style w:type="paragraph" w:customStyle="1" w:styleId="3657">
    <w:name w:val="lulu正文0"/>
    <w:basedOn w:val="1"/>
    <w:link w:val="3656"/>
    <w:qFormat/>
    <w:uiPriority w:val="0"/>
    <w:pPr>
      <w:spacing w:line="480" w:lineRule="exact"/>
      <w:ind w:firstLine="520" w:firstLineChars="200"/>
    </w:pPr>
    <w:rPr>
      <w:rFonts w:cs="宋体"/>
      <w:kern w:val="0"/>
      <w:sz w:val="26"/>
      <w:szCs w:val="20"/>
    </w:rPr>
  </w:style>
  <w:style w:type="character" w:customStyle="1" w:styleId="3658">
    <w:name w:val="标准样式 Char1"/>
    <w:qFormat/>
    <w:uiPriority w:val="0"/>
    <w:rPr>
      <w:rFonts w:ascii="宋体" w:hAnsi="Calibri" w:eastAsia="宋体"/>
      <w:sz w:val="28"/>
      <w:szCs w:val="26"/>
    </w:rPr>
  </w:style>
  <w:style w:type="character" w:customStyle="1" w:styleId="3659">
    <w:name w:val="textindent"/>
    <w:qFormat/>
    <w:uiPriority w:val="0"/>
  </w:style>
  <w:style w:type="character" w:customStyle="1" w:styleId="3660">
    <w:name w:val="正文文本1 Char Char"/>
    <w:qFormat/>
    <w:uiPriority w:val="0"/>
    <w:rPr>
      <w:rFonts w:ascii="宋体" w:hAnsi="华文宋体" w:eastAsia="宋体" w:cs="宋体"/>
      <w:w w:val="80"/>
      <w:kern w:val="2"/>
      <w:sz w:val="28"/>
      <w:lang w:val="en-US" w:eastAsia="zh-CN"/>
    </w:rPr>
  </w:style>
  <w:style w:type="character" w:customStyle="1" w:styleId="3661">
    <w:name w:val="unnamed31"/>
    <w:qFormat/>
    <w:uiPriority w:val="0"/>
    <w:rPr>
      <w:color w:val="000000"/>
      <w:sz w:val="18"/>
      <w:szCs w:val="18"/>
    </w:rPr>
  </w:style>
  <w:style w:type="character" w:customStyle="1" w:styleId="3662">
    <w:name w:val="标准样式 Char Char Char Char"/>
    <w:qFormat/>
    <w:uiPriority w:val="0"/>
    <w:rPr>
      <w:rFonts w:ascii="宋体" w:eastAsia="宋体"/>
      <w:kern w:val="2"/>
      <w:sz w:val="28"/>
      <w:szCs w:val="26"/>
      <w:lang w:val="en-US" w:eastAsia="zh-CN"/>
    </w:rPr>
  </w:style>
  <w:style w:type="character" w:customStyle="1" w:styleId="3663">
    <w:name w:val="ldblue1"/>
    <w:qFormat/>
    <w:uiPriority w:val="0"/>
    <w:rPr>
      <w:rFonts w:hint="default" w:ascii="Verdana" w:hAnsi="Verdana"/>
      <w:color w:val="003CD9"/>
      <w:sz w:val="22"/>
      <w:szCs w:val="22"/>
    </w:rPr>
  </w:style>
  <w:style w:type="character" w:customStyle="1" w:styleId="3664">
    <w:name w:val="f14b"/>
    <w:qFormat/>
    <w:uiPriority w:val="0"/>
  </w:style>
  <w:style w:type="character" w:customStyle="1" w:styleId="3665">
    <w:name w:val="正文(首行缩进) Char Char"/>
    <w:qFormat/>
    <w:uiPriority w:val="0"/>
    <w:rPr>
      <w:rFonts w:eastAsia="宋体"/>
      <w:snapToGrid w:val="0"/>
      <w:sz w:val="24"/>
      <w:szCs w:val="24"/>
    </w:rPr>
  </w:style>
  <w:style w:type="character" w:customStyle="1" w:styleId="3666">
    <w:name w:val="排版正文 Char Char Char Char Char"/>
    <w:link w:val="3667"/>
    <w:qFormat/>
    <w:uiPriority w:val="0"/>
    <w:rPr>
      <w:rFonts w:ascii="Calibri" w:hAnsi="Calibri"/>
      <w:color w:val="000000"/>
      <w:sz w:val="26"/>
      <w:szCs w:val="26"/>
    </w:rPr>
  </w:style>
  <w:style w:type="paragraph" w:customStyle="1" w:styleId="3667">
    <w:name w:val="排版正文 Char Char Char"/>
    <w:basedOn w:val="1"/>
    <w:link w:val="3666"/>
    <w:qFormat/>
    <w:uiPriority w:val="0"/>
    <w:pPr>
      <w:widowControl/>
      <w:adjustRightInd w:val="0"/>
      <w:snapToGrid w:val="0"/>
      <w:spacing w:line="460" w:lineRule="exact"/>
      <w:ind w:firstLine="200" w:firstLineChars="200"/>
    </w:pPr>
    <w:rPr>
      <w:color w:val="000000"/>
      <w:kern w:val="0"/>
      <w:sz w:val="26"/>
      <w:szCs w:val="26"/>
    </w:rPr>
  </w:style>
  <w:style w:type="character" w:customStyle="1" w:styleId="3668">
    <w:name w:val="main_141"/>
    <w:qFormat/>
    <w:uiPriority w:val="0"/>
    <w:rPr>
      <w:rFonts w:hint="default" w:ascii="Verdana" w:hAnsi="Verdana"/>
      <w:color w:val="333333"/>
      <w:sz w:val="23"/>
      <w:szCs w:val="23"/>
    </w:rPr>
  </w:style>
  <w:style w:type="character" w:customStyle="1" w:styleId="3669">
    <w:name w:val="11标题1 Char1"/>
    <w:link w:val="3670"/>
    <w:qFormat/>
    <w:uiPriority w:val="0"/>
    <w:rPr>
      <w:rFonts w:ascii="宋体" w:hAnsi="宋体" w:eastAsia="微软雅黑" w:cs="宋体"/>
      <w:b/>
      <w:bCs/>
      <w:kern w:val="44"/>
      <w:sz w:val="30"/>
    </w:rPr>
  </w:style>
  <w:style w:type="paragraph" w:customStyle="1" w:styleId="3670">
    <w:name w:val="11标题1"/>
    <w:basedOn w:val="5"/>
    <w:link w:val="3669"/>
    <w:qFormat/>
    <w:uiPriority w:val="0"/>
    <w:pPr>
      <w:keepLines/>
      <w:widowControl/>
      <w:tabs>
        <w:tab w:val="left" w:pos="680"/>
      </w:tabs>
      <w:overflowPunct/>
      <w:snapToGrid/>
      <w:spacing w:before="100" w:beforeLines="100" w:after="100" w:afterLines="100" w:line="360" w:lineRule="auto"/>
      <w:ind w:left="851" w:hanging="851"/>
      <w:jc w:val="center"/>
    </w:pPr>
    <w:rPr>
      <w:rFonts w:ascii="宋体" w:hAnsi="宋体" w:eastAsia="微软雅黑" w:cs="宋体"/>
      <w:color w:val="auto"/>
      <w:szCs w:val="20"/>
    </w:rPr>
  </w:style>
  <w:style w:type="character" w:customStyle="1" w:styleId="3671">
    <w:name w:val="样式12 Char Char"/>
    <w:qFormat/>
    <w:uiPriority w:val="0"/>
    <w:rPr>
      <w:rFonts w:ascii="Times New Roman" w:hAnsi="Times New Roman" w:eastAsia="宋体" w:cs="Times New Roman"/>
      <w:color w:val="000000"/>
      <w:szCs w:val="24"/>
    </w:rPr>
  </w:style>
  <w:style w:type="character" w:customStyle="1" w:styleId="3672">
    <w:name w:val="样式39 Char Char"/>
    <w:link w:val="3673"/>
    <w:qFormat/>
    <w:uiPriority w:val="0"/>
    <w:rPr>
      <w:rFonts w:ascii="宋体" w:hAnsi="宋体"/>
      <w:sz w:val="26"/>
      <w:szCs w:val="26"/>
    </w:rPr>
  </w:style>
  <w:style w:type="paragraph" w:customStyle="1" w:styleId="3673">
    <w:name w:val="样式39"/>
    <w:basedOn w:val="1"/>
    <w:link w:val="3672"/>
    <w:qFormat/>
    <w:uiPriority w:val="0"/>
    <w:pPr>
      <w:widowControl/>
      <w:adjustRightInd w:val="0"/>
      <w:snapToGrid w:val="0"/>
      <w:spacing w:line="480" w:lineRule="exact"/>
      <w:ind w:firstLine="520" w:firstLineChars="200"/>
    </w:pPr>
    <w:rPr>
      <w:rFonts w:ascii="宋体" w:hAnsi="宋体"/>
      <w:kern w:val="0"/>
      <w:sz w:val="26"/>
      <w:szCs w:val="26"/>
    </w:rPr>
  </w:style>
  <w:style w:type="character" w:customStyle="1" w:styleId="3674">
    <w:name w:val="文本 Char Char"/>
    <w:qFormat/>
    <w:uiPriority w:val="0"/>
    <w:rPr>
      <w:rFonts w:eastAsia="宋体"/>
      <w:snapToGrid w:val="0"/>
      <w:kern w:val="28"/>
      <w:sz w:val="26"/>
      <w:szCs w:val="26"/>
      <w:lang w:val="en-US" w:eastAsia="zh-CN"/>
    </w:rPr>
  </w:style>
  <w:style w:type="character" w:customStyle="1" w:styleId="3675">
    <w:name w:val="样式 样式 四号 黑色 + 首行缩进:  2 字符 Char Char"/>
    <w:link w:val="3676"/>
    <w:qFormat/>
    <w:uiPriority w:val="0"/>
    <w:rPr>
      <w:rFonts w:ascii="Calibri" w:hAnsi="Calibri" w:cs="宋体"/>
      <w:color w:val="000000"/>
      <w:sz w:val="28"/>
    </w:rPr>
  </w:style>
  <w:style w:type="paragraph" w:customStyle="1" w:styleId="3676">
    <w:name w:val="样式 样式 四号 黑色 + 首行缩进:  2 字符"/>
    <w:link w:val="3675"/>
    <w:qFormat/>
    <w:uiPriority w:val="0"/>
    <w:pPr>
      <w:spacing w:after="200" w:line="360" w:lineRule="auto"/>
      <w:ind w:firstLine="200" w:firstLineChars="200"/>
    </w:pPr>
    <w:rPr>
      <w:rFonts w:ascii="Calibri" w:hAnsi="Calibri" w:eastAsia="宋体" w:cs="宋体"/>
      <w:color w:val="000000"/>
      <w:sz w:val="28"/>
      <w:lang w:val="en-US" w:eastAsia="zh-CN" w:bidi="ar-SA"/>
    </w:rPr>
  </w:style>
  <w:style w:type="character" w:customStyle="1" w:styleId="3677">
    <w:name w:val="表格表格 Char Char"/>
    <w:link w:val="3678"/>
    <w:qFormat/>
    <w:uiPriority w:val="0"/>
    <w:rPr>
      <w:rFonts w:ascii="Calibri" w:hAnsi="Calibri" w:cs="宋体"/>
      <w:color w:val="000000"/>
      <w:szCs w:val="21"/>
    </w:rPr>
  </w:style>
  <w:style w:type="paragraph" w:customStyle="1" w:styleId="3678">
    <w:name w:val="表格表格"/>
    <w:basedOn w:val="1"/>
    <w:link w:val="3677"/>
    <w:qFormat/>
    <w:uiPriority w:val="0"/>
    <w:pPr>
      <w:widowControl/>
      <w:spacing w:line="440" w:lineRule="exact"/>
      <w:ind w:firstLine="200" w:firstLineChars="200"/>
    </w:pPr>
    <w:rPr>
      <w:rFonts w:cs="宋体"/>
      <w:color w:val="000000"/>
      <w:kern w:val="0"/>
      <w:sz w:val="20"/>
      <w:szCs w:val="21"/>
    </w:rPr>
  </w:style>
  <w:style w:type="character" w:customStyle="1" w:styleId="3679">
    <w:name w:val="样式 表格文字 + 10 磅 Char Char"/>
    <w:link w:val="3680"/>
    <w:qFormat/>
    <w:uiPriority w:val="0"/>
  </w:style>
  <w:style w:type="paragraph" w:customStyle="1" w:styleId="3680">
    <w:name w:val="样式 表格文字 + 10 磅"/>
    <w:basedOn w:val="220"/>
    <w:link w:val="3679"/>
    <w:qFormat/>
    <w:uiPriority w:val="0"/>
    <w:pPr>
      <w:widowControl/>
      <w:adjustRightInd/>
      <w:snapToGrid/>
      <w:spacing w:line="440" w:lineRule="exact"/>
      <w:ind w:left="0" w:firstLine="200" w:firstLineChars="200"/>
      <w:jc w:val="center"/>
      <w:textAlignment w:val="auto"/>
    </w:pPr>
    <w:rPr>
      <w:sz w:val="20"/>
      <w:szCs w:val="20"/>
    </w:rPr>
  </w:style>
  <w:style w:type="character" w:customStyle="1" w:styleId="3681">
    <w:name w:val="样式 宋体 四号 行距: 1.5 倍行距 Char Char"/>
    <w:qFormat/>
    <w:uiPriority w:val="0"/>
    <w:rPr>
      <w:rFonts w:ascii="宋体" w:hAnsi="宋体" w:eastAsia="宋体" w:cs="宋体"/>
      <w:kern w:val="2"/>
      <w:sz w:val="28"/>
      <w:szCs w:val="28"/>
      <w:lang w:val="en-US" w:eastAsia="zh-CN"/>
    </w:rPr>
  </w:style>
  <w:style w:type="character" w:customStyle="1" w:styleId="3682">
    <w:name w:val="13b1"/>
    <w:qFormat/>
    <w:uiPriority w:val="0"/>
    <w:rPr>
      <w:color w:val="000000"/>
      <w:sz w:val="26"/>
      <w:szCs w:val="26"/>
    </w:rPr>
  </w:style>
  <w:style w:type="character" w:customStyle="1" w:styleId="3683">
    <w:name w:val="图名中文 Char Char Char"/>
    <w:qFormat/>
    <w:uiPriority w:val="0"/>
    <w:rPr>
      <w:rFonts w:ascii="宋体" w:hAnsi="宋体"/>
      <w:sz w:val="21"/>
      <w:szCs w:val="21"/>
      <w:lang w:eastAsia="en-US"/>
    </w:rPr>
  </w:style>
  <w:style w:type="character" w:customStyle="1" w:styleId="3684">
    <w:name w:val="3zw"/>
    <w:qFormat/>
    <w:uiPriority w:val="0"/>
  </w:style>
  <w:style w:type="character" w:customStyle="1" w:styleId="3685">
    <w:name w:val="iyz5991"/>
    <w:qFormat/>
    <w:uiPriority w:val="0"/>
  </w:style>
  <w:style w:type="character" w:customStyle="1" w:styleId="3686">
    <w:name w:val="样式 四号 黑色 Char Char"/>
    <w:link w:val="3687"/>
    <w:qFormat/>
    <w:uiPriority w:val="0"/>
    <w:rPr>
      <w:rFonts w:ascii="Calibri" w:hAnsi="Calibri" w:cs="宋体"/>
      <w:sz w:val="24"/>
      <w:szCs w:val="24"/>
    </w:rPr>
  </w:style>
  <w:style w:type="paragraph" w:customStyle="1" w:styleId="3687">
    <w:name w:val="样式 四号 黑色"/>
    <w:basedOn w:val="1"/>
    <w:link w:val="3686"/>
    <w:qFormat/>
    <w:uiPriority w:val="0"/>
    <w:pPr>
      <w:widowControl/>
      <w:spacing w:line="360" w:lineRule="auto"/>
      <w:ind w:firstLine="560" w:firstLineChars="200"/>
    </w:pPr>
    <w:rPr>
      <w:rFonts w:cs="宋体"/>
      <w:kern w:val="0"/>
      <w:sz w:val="24"/>
    </w:rPr>
  </w:style>
  <w:style w:type="character" w:customStyle="1" w:styleId="3688">
    <w:name w:val="3213213213 Char Char"/>
    <w:link w:val="3689"/>
    <w:qFormat/>
    <w:uiPriority w:val="0"/>
    <w:rPr>
      <w:rFonts w:ascii="Calibri" w:hAnsi="Calibri" w:cs="宋体"/>
      <w:sz w:val="28"/>
    </w:rPr>
  </w:style>
  <w:style w:type="paragraph" w:customStyle="1" w:styleId="3689">
    <w:name w:val="3213213213"/>
    <w:basedOn w:val="1"/>
    <w:link w:val="3688"/>
    <w:qFormat/>
    <w:uiPriority w:val="0"/>
    <w:pPr>
      <w:widowControl/>
      <w:spacing w:line="360" w:lineRule="auto"/>
      <w:ind w:firstLine="480" w:firstLineChars="200"/>
    </w:pPr>
    <w:rPr>
      <w:rFonts w:cs="宋体"/>
      <w:kern w:val="0"/>
      <w:sz w:val="28"/>
      <w:szCs w:val="20"/>
    </w:rPr>
  </w:style>
  <w:style w:type="character" w:customStyle="1" w:styleId="3690">
    <w:name w:val="样式 标题 3 Char Char Char Char Char Char Char Char Char Char Char C..."/>
    <w:qFormat/>
    <w:uiPriority w:val="0"/>
    <w:rPr>
      <w:rFonts w:ascii="Times New Roman" w:hAnsi="Times New Roman" w:eastAsia="仿宋_GB2312"/>
      <w:bCs/>
      <w:smallCaps/>
      <w:color w:val="000000"/>
      <w:spacing w:val="8"/>
      <w:sz w:val="28"/>
      <w:szCs w:val="32"/>
      <w:vertAlign w:val="baseline"/>
    </w:rPr>
  </w:style>
  <w:style w:type="character" w:customStyle="1" w:styleId="3691">
    <w:name w:val="纯文本 Char Char"/>
    <w:qFormat/>
    <w:uiPriority w:val="0"/>
    <w:rPr>
      <w:rFonts w:ascii="宋体" w:hAnsi="宋体" w:eastAsia="宋体" w:cs="宋体"/>
      <w:color w:val="000000"/>
      <w:sz w:val="24"/>
      <w:szCs w:val="24"/>
      <w:lang w:val="en-US" w:eastAsia="zh-CN"/>
    </w:rPr>
  </w:style>
  <w:style w:type="character" w:customStyle="1" w:styleId="3692">
    <w:name w:val="frd1"/>
    <w:qFormat/>
    <w:uiPriority w:val="0"/>
    <w:rPr>
      <w:color w:val="E10900"/>
    </w:rPr>
  </w:style>
  <w:style w:type="character" w:customStyle="1" w:styleId="3693">
    <w:name w:val="search_content1"/>
    <w:qFormat/>
    <w:uiPriority w:val="0"/>
    <w:rPr>
      <w:sz w:val="20"/>
      <w:szCs w:val="20"/>
    </w:rPr>
  </w:style>
  <w:style w:type="character" w:customStyle="1" w:styleId="3694">
    <w:name w:val="小节标题 Char1"/>
    <w:qFormat/>
    <w:uiPriority w:val="0"/>
    <w:rPr>
      <w:rFonts w:eastAsia="宋体"/>
      <w:b/>
      <w:bCs/>
      <w:kern w:val="2"/>
      <w:sz w:val="32"/>
      <w:szCs w:val="32"/>
      <w:lang w:val="en-US" w:eastAsia="zh-CN"/>
    </w:rPr>
  </w:style>
  <w:style w:type="character" w:customStyle="1" w:styleId="3695">
    <w:name w:val="节标题 Char Char"/>
    <w:qFormat/>
    <w:uiPriority w:val="0"/>
    <w:rPr>
      <w:rFonts w:ascii="Arial" w:hAnsi="Arial" w:eastAsia="黑体"/>
      <w:b/>
      <w:bCs/>
      <w:kern w:val="2"/>
      <w:sz w:val="32"/>
      <w:szCs w:val="32"/>
      <w:lang w:val="en-US" w:eastAsia="zh-CN"/>
    </w:rPr>
  </w:style>
  <w:style w:type="character" w:customStyle="1" w:styleId="3696">
    <w:name w:val="表文字 Char Char Char Char Char"/>
    <w:link w:val="3697"/>
    <w:qFormat/>
    <w:uiPriority w:val="0"/>
    <w:rPr>
      <w:rFonts w:ascii="Calibri" w:hAnsi="Calibri"/>
      <w:szCs w:val="21"/>
    </w:rPr>
  </w:style>
  <w:style w:type="paragraph" w:customStyle="1" w:styleId="3697">
    <w:name w:val="表文字 Char Char Char"/>
    <w:link w:val="3696"/>
    <w:qFormat/>
    <w:uiPriority w:val="0"/>
    <w:pPr>
      <w:widowControl w:val="0"/>
      <w:adjustRightInd w:val="0"/>
      <w:spacing w:after="200" w:line="240" w:lineRule="exact"/>
      <w:jc w:val="center"/>
      <w:textAlignment w:val="baseline"/>
    </w:pPr>
    <w:rPr>
      <w:rFonts w:ascii="Calibri" w:hAnsi="Calibri" w:eastAsia="宋体" w:cs="Calibri"/>
      <w:szCs w:val="21"/>
      <w:lang w:val="en-US" w:eastAsia="zh-CN" w:bidi="ar-SA"/>
    </w:rPr>
  </w:style>
  <w:style w:type="character" w:customStyle="1" w:styleId="3698">
    <w:name w:val="标准样式 Char Char Char Char Char"/>
    <w:qFormat/>
    <w:uiPriority w:val="0"/>
    <w:rPr>
      <w:rFonts w:ascii="Calibri" w:hAnsi="Calibri"/>
      <w:sz w:val="28"/>
    </w:rPr>
  </w:style>
  <w:style w:type="character" w:customStyle="1" w:styleId="3699">
    <w:name w:val="样式 左 首行缩进:  1.01 厘米 Char Char Char Char Char"/>
    <w:link w:val="3700"/>
    <w:qFormat/>
    <w:uiPriority w:val="0"/>
    <w:rPr>
      <w:rFonts w:ascii="Calibri" w:hAnsi="Calibri" w:cs="宋体"/>
      <w:sz w:val="26"/>
      <w:szCs w:val="26"/>
    </w:rPr>
  </w:style>
  <w:style w:type="paragraph" w:customStyle="1" w:styleId="3700">
    <w:name w:val="样式 左 首行缩进:  1.01 厘米 Char Char"/>
    <w:basedOn w:val="1"/>
    <w:link w:val="3699"/>
    <w:qFormat/>
    <w:uiPriority w:val="0"/>
    <w:pPr>
      <w:widowControl/>
      <w:adjustRightInd w:val="0"/>
      <w:snapToGrid w:val="0"/>
      <w:spacing w:line="460" w:lineRule="exact"/>
      <w:ind w:firstLine="200" w:firstLineChars="200"/>
    </w:pPr>
    <w:rPr>
      <w:rFonts w:cs="宋体"/>
      <w:kern w:val="0"/>
      <w:sz w:val="26"/>
      <w:szCs w:val="26"/>
    </w:rPr>
  </w:style>
  <w:style w:type="character" w:customStyle="1" w:styleId="3701">
    <w:name w:val="正文四号 Char Char Char Char Char"/>
    <w:link w:val="3702"/>
    <w:qFormat/>
    <w:uiPriority w:val="0"/>
    <w:rPr>
      <w:rFonts w:ascii="Calibri" w:hAnsi="Calibri" w:cs="宋体"/>
      <w:sz w:val="24"/>
      <w:szCs w:val="24"/>
    </w:rPr>
  </w:style>
  <w:style w:type="paragraph" w:customStyle="1" w:styleId="3702">
    <w:name w:val="正文四号 Char Char Char"/>
    <w:basedOn w:val="1"/>
    <w:link w:val="3701"/>
    <w:qFormat/>
    <w:uiPriority w:val="0"/>
    <w:pPr>
      <w:widowControl/>
      <w:spacing w:line="360" w:lineRule="auto"/>
      <w:ind w:firstLine="200" w:firstLineChars="200"/>
    </w:pPr>
    <w:rPr>
      <w:rFonts w:cs="宋体"/>
      <w:kern w:val="0"/>
      <w:sz w:val="24"/>
    </w:rPr>
  </w:style>
  <w:style w:type="character" w:customStyle="1" w:styleId="3703">
    <w:name w:val="图名中文 Char Char"/>
    <w:link w:val="3704"/>
    <w:qFormat/>
    <w:uiPriority w:val="0"/>
    <w:rPr>
      <w:rFonts w:ascii="宋体" w:hAnsi="宋体"/>
      <w:szCs w:val="21"/>
      <w:lang w:eastAsia="en-US"/>
    </w:rPr>
  </w:style>
  <w:style w:type="paragraph" w:customStyle="1" w:styleId="3704">
    <w:name w:val="图名中文"/>
    <w:basedOn w:val="1"/>
    <w:link w:val="3703"/>
    <w:qFormat/>
    <w:uiPriority w:val="0"/>
    <w:pPr>
      <w:widowControl/>
      <w:snapToGrid w:val="0"/>
      <w:spacing w:line="300" w:lineRule="auto"/>
      <w:ind w:firstLine="480" w:firstLineChars="200"/>
      <w:jc w:val="center"/>
    </w:pPr>
    <w:rPr>
      <w:rFonts w:ascii="宋体" w:hAnsi="宋体"/>
      <w:kern w:val="0"/>
      <w:sz w:val="20"/>
      <w:szCs w:val="21"/>
      <w:lang w:eastAsia="en-US"/>
    </w:rPr>
  </w:style>
  <w:style w:type="character" w:customStyle="1" w:styleId="3705">
    <w:name w:val="xb"/>
    <w:qFormat/>
    <w:uiPriority w:val="0"/>
  </w:style>
  <w:style w:type="character" w:customStyle="1" w:styleId="3706">
    <w:name w:val="list_link"/>
    <w:qFormat/>
    <w:uiPriority w:val="0"/>
  </w:style>
  <w:style w:type="character" w:customStyle="1" w:styleId="3707">
    <w:name w:val="sb"/>
    <w:qFormat/>
    <w:uiPriority w:val="0"/>
  </w:style>
  <w:style w:type="character" w:customStyle="1" w:styleId="3708">
    <w:name w:val="n表名 Char Char"/>
    <w:link w:val="3709"/>
    <w:qFormat/>
    <w:uiPriority w:val="0"/>
    <w:rPr>
      <w:rFonts w:ascii="黑体" w:hAnsi="Cambria" w:eastAsia="黑体"/>
    </w:rPr>
  </w:style>
  <w:style w:type="paragraph" w:customStyle="1" w:styleId="3709">
    <w:name w:val="n表名"/>
    <w:basedOn w:val="22"/>
    <w:link w:val="3708"/>
    <w:qFormat/>
    <w:uiPriority w:val="0"/>
    <w:pPr>
      <w:widowControl/>
      <w:suppressAutoHyphens/>
      <w:snapToGrid/>
      <w:spacing w:beforeLines="50" w:afterLines="50" w:line="240" w:lineRule="auto"/>
    </w:pPr>
    <w:rPr>
      <w:rFonts w:hAnsi="Cambria" w:cs="Times New Roman"/>
      <w:kern w:val="0"/>
      <w:sz w:val="20"/>
      <w:szCs w:val="20"/>
    </w:rPr>
  </w:style>
  <w:style w:type="character" w:customStyle="1" w:styleId="3710">
    <w:name w:val="标题 4 Char Char"/>
    <w:qFormat/>
    <w:uiPriority w:val="0"/>
    <w:rPr>
      <w:rFonts w:ascii="Arial" w:hAnsi="Arial" w:eastAsia="黑体"/>
      <w:bCs/>
      <w:kern w:val="2"/>
      <w:sz w:val="24"/>
      <w:szCs w:val="28"/>
      <w:lang w:val="en-US" w:eastAsia="zh-CN"/>
    </w:rPr>
  </w:style>
  <w:style w:type="character" w:customStyle="1" w:styleId="3711">
    <w:name w:val="样式 样式1 Char2 + 宋体 五号 黑色"/>
    <w:qFormat/>
    <w:uiPriority w:val="0"/>
    <w:rPr>
      <w:rFonts w:ascii="宋体" w:hAnsi="宋体" w:eastAsia="宋体"/>
      <w:color w:val="000000"/>
      <w:kern w:val="2"/>
      <w:sz w:val="24"/>
      <w:szCs w:val="24"/>
      <w:lang w:val="en-US" w:eastAsia="zh-CN"/>
    </w:rPr>
  </w:style>
  <w:style w:type="character" w:customStyle="1" w:styleId="3712">
    <w:name w:val="表号 Char Char"/>
    <w:qFormat/>
    <w:uiPriority w:val="0"/>
    <w:rPr>
      <w:rFonts w:ascii="黑体" w:hAnsi="Times New Roman" w:eastAsia="黑体" w:cs="Times New Roman"/>
      <w:color w:val="000000"/>
      <w:spacing w:val="6"/>
      <w:kern w:val="0"/>
      <w:sz w:val="26"/>
      <w:szCs w:val="26"/>
    </w:rPr>
  </w:style>
  <w:style w:type="character" w:customStyle="1" w:styleId="3713">
    <w:name w:val="图表标题 Char Char"/>
    <w:qFormat/>
    <w:uiPriority w:val="0"/>
    <w:rPr>
      <w:rFonts w:ascii="黑体" w:hAnsi="Times New Roman" w:eastAsia="黑体" w:cs="Times New Roman"/>
      <w:sz w:val="24"/>
      <w:szCs w:val="24"/>
    </w:rPr>
  </w:style>
  <w:style w:type="character" w:customStyle="1" w:styleId="3714">
    <w:name w:val="表注 Char Char"/>
    <w:qFormat/>
    <w:uiPriority w:val="0"/>
    <w:rPr>
      <w:rFonts w:ascii="Calibri" w:hAnsi="Calibri" w:eastAsia="新宋体" w:cs="Arial"/>
      <w:b/>
      <w:szCs w:val="21"/>
    </w:rPr>
  </w:style>
  <w:style w:type="character" w:customStyle="1" w:styleId="3715">
    <w:name w:val="样式 样式 首行缩进:  2 字符 段后: 0.5 行 + 首行缩进:  2 字符 段后: 0.5 行 Char Char"/>
    <w:link w:val="3716"/>
    <w:qFormat/>
    <w:uiPriority w:val="0"/>
    <w:rPr>
      <w:rFonts w:ascii="Calibri" w:hAnsi="Calibri" w:cs="宋体"/>
      <w:sz w:val="28"/>
    </w:rPr>
  </w:style>
  <w:style w:type="paragraph" w:customStyle="1" w:styleId="3716">
    <w:name w:val="样式 样式 首行缩进:  2 字符 段后: 0.5 行 + 首行缩进:  2 字符 段后: 0.5 行"/>
    <w:basedOn w:val="1"/>
    <w:link w:val="3715"/>
    <w:qFormat/>
    <w:uiPriority w:val="0"/>
    <w:pPr>
      <w:widowControl/>
      <w:spacing w:afterLines="50" w:line="360" w:lineRule="auto"/>
      <w:ind w:firstLine="560" w:firstLineChars="200"/>
    </w:pPr>
    <w:rPr>
      <w:rFonts w:cs="宋体"/>
      <w:kern w:val="0"/>
      <w:sz w:val="28"/>
      <w:szCs w:val="20"/>
    </w:rPr>
  </w:style>
  <w:style w:type="character" w:customStyle="1" w:styleId="3717">
    <w:name w:val="样式 正文四号 + 自动设置 Char Char"/>
    <w:link w:val="3718"/>
    <w:qFormat/>
    <w:uiPriority w:val="0"/>
    <w:rPr>
      <w:rFonts w:ascii="Calibri" w:hAnsi="Calibri"/>
      <w:sz w:val="28"/>
      <w:szCs w:val="24"/>
    </w:rPr>
  </w:style>
  <w:style w:type="paragraph" w:customStyle="1" w:styleId="3718">
    <w:name w:val="样式 正文四号 + 自动设置"/>
    <w:basedOn w:val="295"/>
    <w:link w:val="3717"/>
    <w:qFormat/>
    <w:uiPriority w:val="0"/>
    <w:pPr>
      <w:widowControl/>
      <w:adjustRightInd w:val="0"/>
      <w:snapToGrid w:val="0"/>
      <w:spacing w:before="0" w:beforeAutospacing="0"/>
    </w:pPr>
    <w:rPr>
      <w:kern w:val="0"/>
      <w:sz w:val="28"/>
    </w:rPr>
  </w:style>
  <w:style w:type="character" w:customStyle="1" w:styleId="3719">
    <w:name w:val="环评正文 Char Char"/>
    <w:qFormat/>
    <w:uiPriority w:val="0"/>
    <w:rPr>
      <w:rFonts w:ascii="Calibri" w:hAnsi="Calibri" w:eastAsia="宋体"/>
      <w:bCs/>
      <w:color w:val="000000"/>
      <w:sz w:val="28"/>
      <w:szCs w:val="28"/>
    </w:rPr>
  </w:style>
  <w:style w:type="character" w:customStyle="1" w:styleId="3720">
    <w:name w:val="正文11111111111111111111111 Char Char"/>
    <w:link w:val="3721"/>
    <w:qFormat/>
    <w:uiPriority w:val="0"/>
    <w:rPr>
      <w:rFonts w:cs="宋体"/>
      <w:sz w:val="24"/>
    </w:rPr>
  </w:style>
  <w:style w:type="paragraph" w:customStyle="1" w:styleId="3721">
    <w:name w:val="正文11111111111111111111111"/>
    <w:basedOn w:val="1"/>
    <w:link w:val="3720"/>
    <w:qFormat/>
    <w:uiPriority w:val="0"/>
    <w:pPr>
      <w:spacing w:line="480" w:lineRule="exact"/>
      <w:ind w:firstLine="480" w:firstLineChars="200"/>
    </w:pPr>
    <w:rPr>
      <w:rFonts w:cs="宋体"/>
      <w:kern w:val="0"/>
      <w:sz w:val="24"/>
      <w:szCs w:val="20"/>
    </w:rPr>
  </w:style>
  <w:style w:type="character" w:customStyle="1" w:styleId="3722">
    <w:name w:val="段落 Char Char Char Char"/>
    <w:link w:val="3723"/>
    <w:qFormat/>
    <w:uiPriority w:val="0"/>
    <w:rPr>
      <w:rFonts w:ascii="Calibri" w:hAnsi="Calibri"/>
      <w:sz w:val="24"/>
      <w:szCs w:val="24"/>
    </w:rPr>
  </w:style>
  <w:style w:type="paragraph" w:customStyle="1" w:styleId="3723">
    <w:name w:val="段落 Char"/>
    <w:basedOn w:val="1"/>
    <w:link w:val="3722"/>
    <w:qFormat/>
    <w:uiPriority w:val="0"/>
    <w:pPr>
      <w:widowControl/>
      <w:topLinePunct/>
      <w:snapToGrid w:val="0"/>
      <w:spacing w:line="360" w:lineRule="auto"/>
      <w:ind w:firstLine="200" w:firstLineChars="200"/>
    </w:pPr>
    <w:rPr>
      <w:kern w:val="0"/>
      <w:sz w:val="24"/>
    </w:rPr>
  </w:style>
  <w:style w:type="character" w:customStyle="1" w:styleId="3724">
    <w:name w:val="正文-biao Char Char"/>
    <w:link w:val="3725"/>
    <w:qFormat/>
    <w:uiPriority w:val="0"/>
    <w:rPr>
      <w:rFonts w:ascii="Calibri" w:hAnsi="宋体"/>
      <w:sz w:val="24"/>
      <w:szCs w:val="24"/>
    </w:rPr>
  </w:style>
  <w:style w:type="paragraph" w:customStyle="1" w:styleId="3725">
    <w:name w:val="正文-biao"/>
    <w:basedOn w:val="1"/>
    <w:link w:val="3724"/>
    <w:qFormat/>
    <w:uiPriority w:val="0"/>
    <w:pPr>
      <w:widowControl/>
      <w:spacing w:before="60" w:line="460" w:lineRule="exact"/>
      <w:ind w:firstLine="482" w:firstLineChars="200"/>
    </w:pPr>
    <w:rPr>
      <w:rFonts w:hAnsi="宋体"/>
      <w:kern w:val="0"/>
      <w:sz w:val="24"/>
    </w:rPr>
  </w:style>
  <w:style w:type="character" w:customStyle="1" w:styleId="3726">
    <w:name w:val="样式 (西文) Times New Roman (中文) 宋体 (符号) 宋体 行距: 固定值 20 磅 首行缩进:  ... Char Char"/>
    <w:link w:val="3727"/>
    <w:qFormat/>
    <w:uiPriority w:val="0"/>
    <w:rPr>
      <w:rFonts w:ascii="Calibri" w:hAnsi="宋体"/>
      <w:sz w:val="24"/>
    </w:rPr>
  </w:style>
  <w:style w:type="paragraph" w:customStyle="1" w:styleId="3727">
    <w:name w:val="样式 (西文) Times New Roman (中文) 宋体 (符号) 宋体 行距: 固定值 20 磅 首行缩进:  ..."/>
    <w:basedOn w:val="1"/>
    <w:link w:val="3726"/>
    <w:qFormat/>
    <w:uiPriority w:val="0"/>
    <w:pPr>
      <w:widowControl/>
      <w:spacing w:line="400" w:lineRule="exact"/>
      <w:ind w:firstLine="200" w:firstLineChars="200"/>
    </w:pPr>
    <w:rPr>
      <w:rFonts w:hAnsi="宋体"/>
      <w:kern w:val="0"/>
      <w:sz w:val="24"/>
      <w:szCs w:val="20"/>
    </w:rPr>
  </w:style>
  <w:style w:type="character" w:customStyle="1" w:styleId="3728">
    <w:name w:val="list_title"/>
    <w:qFormat/>
    <w:uiPriority w:val="0"/>
  </w:style>
  <w:style w:type="character" w:customStyle="1" w:styleId="3729">
    <w:name w:val="报告书表头 Char Char"/>
    <w:qFormat/>
    <w:uiPriority w:val="0"/>
    <w:rPr>
      <w:rFonts w:ascii="Arial" w:hAnsi="Arial" w:eastAsia="黑体" w:cs="Arial"/>
      <w:b/>
      <w:color w:val="000000"/>
      <w:spacing w:val="2"/>
      <w:sz w:val="24"/>
      <w:szCs w:val="24"/>
    </w:rPr>
  </w:style>
  <w:style w:type="character" w:customStyle="1" w:styleId="3730">
    <w:name w:val="注 Char Char"/>
    <w:qFormat/>
    <w:uiPriority w:val="0"/>
    <w:rPr>
      <w:rFonts w:ascii="Arial" w:hAnsi="Arial" w:eastAsia="宋体"/>
      <w:kern w:val="2"/>
      <w:sz w:val="18"/>
      <w:szCs w:val="24"/>
      <w:lang w:val="en-US" w:eastAsia="zh-CN"/>
    </w:rPr>
  </w:style>
  <w:style w:type="character" w:customStyle="1" w:styleId="3731">
    <w:name w:val="MFS单位 Char Char"/>
    <w:link w:val="3732"/>
    <w:qFormat/>
    <w:uiPriority w:val="0"/>
    <w:rPr>
      <w:sz w:val="18"/>
      <w:szCs w:val="24"/>
    </w:rPr>
  </w:style>
  <w:style w:type="paragraph" w:customStyle="1" w:styleId="3732">
    <w:name w:val="MFS单位"/>
    <w:basedOn w:val="1"/>
    <w:link w:val="3731"/>
    <w:qFormat/>
    <w:uiPriority w:val="0"/>
    <w:pPr>
      <w:jc w:val="right"/>
    </w:pPr>
    <w:rPr>
      <w:kern w:val="0"/>
      <w:sz w:val="18"/>
    </w:rPr>
  </w:style>
  <w:style w:type="character" w:customStyle="1" w:styleId="3733">
    <w:name w:val="正文111111111 Char Char"/>
    <w:qFormat/>
    <w:uiPriority w:val="0"/>
    <w:rPr>
      <w:rFonts w:eastAsia="宋体" w:cs="宋体"/>
      <w:sz w:val="24"/>
    </w:rPr>
  </w:style>
  <w:style w:type="character" w:customStyle="1" w:styleId="3734">
    <w:name w:val="正文文字缩进 Char Char1"/>
    <w:qFormat/>
    <w:uiPriority w:val="0"/>
    <w:rPr>
      <w:rFonts w:eastAsia="宋体"/>
      <w:kern w:val="2"/>
      <w:sz w:val="21"/>
      <w:szCs w:val="24"/>
      <w:lang w:val="en-US" w:eastAsia="zh-CN"/>
    </w:rPr>
  </w:style>
  <w:style w:type="character" w:customStyle="1" w:styleId="3735">
    <w:name w:val="正文缩进 Char2"/>
    <w:qFormat/>
    <w:uiPriority w:val="0"/>
    <w:rPr>
      <w:rFonts w:eastAsia="宋体"/>
      <w:kern w:val="2"/>
      <w:sz w:val="28"/>
      <w:lang w:val="en-US" w:eastAsia="zh-CN"/>
    </w:rPr>
  </w:style>
  <w:style w:type="character" w:customStyle="1" w:styleId="3736">
    <w:name w:val="样式2 Char Char1"/>
    <w:qFormat/>
    <w:uiPriority w:val="0"/>
    <w:rPr>
      <w:rFonts w:ascii="Arial" w:hAnsi="Arial" w:eastAsia="宋体" w:cs="Arial"/>
      <w:bCs/>
      <w:color w:val="000000"/>
      <w:sz w:val="24"/>
      <w:szCs w:val="24"/>
      <w:lang w:val="zh-CN" w:eastAsia="zh-CN"/>
    </w:rPr>
  </w:style>
  <w:style w:type="character" w:customStyle="1" w:styleId="3737">
    <w:name w:val="haha Char Char Char"/>
    <w:qFormat/>
    <w:uiPriority w:val="0"/>
    <w:rPr>
      <w:rFonts w:eastAsia="仿宋_GB2312"/>
      <w:kern w:val="2"/>
      <w:sz w:val="24"/>
      <w:lang w:val="en-US" w:eastAsia="zh-CN"/>
    </w:rPr>
  </w:style>
  <w:style w:type="character" w:customStyle="1" w:styleId="3738">
    <w:name w:val="lff Char Char Char"/>
    <w:qFormat/>
    <w:uiPriority w:val="0"/>
    <w:rPr>
      <w:rFonts w:ascii="宋体" w:hAnsi="宋体" w:eastAsia="宋体"/>
      <w:snapToGrid w:val="0"/>
      <w:color w:val="000000"/>
      <w:sz w:val="28"/>
      <w:szCs w:val="28"/>
      <w:lang w:val="en-US" w:eastAsia="zh-CN"/>
    </w:rPr>
  </w:style>
  <w:style w:type="character" w:customStyle="1" w:styleId="3739">
    <w:name w:val="样式5 Char Char Char"/>
    <w:qFormat/>
    <w:uiPriority w:val="0"/>
    <w:rPr>
      <w:rFonts w:eastAsia="仿宋_GB2312"/>
      <w:kern w:val="2"/>
      <w:sz w:val="24"/>
      <w:szCs w:val="24"/>
      <w:lang w:val="en-US" w:eastAsia="zh-CN"/>
    </w:rPr>
  </w:style>
  <w:style w:type="character" w:customStyle="1" w:styleId="3740">
    <w:name w:val="haha Char Char"/>
    <w:qFormat/>
    <w:uiPriority w:val="0"/>
    <w:rPr>
      <w:rFonts w:eastAsia="仿宋_GB2312"/>
      <w:sz w:val="24"/>
    </w:rPr>
  </w:style>
  <w:style w:type="character" w:customStyle="1" w:styleId="3741">
    <w:name w:val="g Char Char"/>
    <w:qFormat/>
    <w:uiPriority w:val="0"/>
    <w:rPr>
      <w:rFonts w:eastAsia="宋体"/>
      <w:bCs/>
      <w:kern w:val="2"/>
      <w:sz w:val="18"/>
      <w:szCs w:val="18"/>
      <w:lang w:val="en-US" w:eastAsia="zh-CN"/>
    </w:rPr>
  </w:style>
  <w:style w:type="character" w:customStyle="1" w:styleId="3742">
    <w:name w:val="陈光的正文 Char Char"/>
    <w:link w:val="3743"/>
    <w:qFormat/>
    <w:uiPriority w:val="0"/>
    <w:rPr>
      <w:sz w:val="28"/>
    </w:rPr>
  </w:style>
  <w:style w:type="paragraph" w:customStyle="1" w:styleId="3743">
    <w:name w:val="陈光的正文"/>
    <w:basedOn w:val="1"/>
    <w:link w:val="3742"/>
    <w:qFormat/>
    <w:uiPriority w:val="0"/>
    <w:pPr>
      <w:adjustRightInd w:val="0"/>
      <w:snapToGrid w:val="0"/>
      <w:spacing w:beforeLines="10" w:afterLines="10" w:line="360" w:lineRule="auto"/>
      <w:ind w:firstLine="560" w:firstLineChars="200"/>
    </w:pPr>
    <w:rPr>
      <w:kern w:val="0"/>
      <w:sz w:val="28"/>
      <w:szCs w:val="20"/>
    </w:rPr>
  </w:style>
  <w:style w:type="character" w:customStyle="1" w:styleId="3744">
    <w:name w:val="g Char Char1"/>
    <w:qFormat/>
    <w:uiPriority w:val="0"/>
    <w:rPr>
      <w:rFonts w:eastAsia="宋体"/>
      <w:kern w:val="2"/>
      <w:sz w:val="18"/>
      <w:lang w:val="en-US" w:eastAsia="zh-CN"/>
    </w:rPr>
  </w:style>
  <w:style w:type="character" w:customStyle="1" w:styleId="3745">
    <w:name w:val="样式 Arial 小四"/>
    <w:qFormat/>
    <w:uiPriority w:val="0"/>
    <w:rPr>
      <w:rFonts w:ascii="Arial" w:hAnsi="Arial"/>
      <w:sz w:val="24"/>
    </w:rPr>
  </w:style>
  <w:style w:type="character" w:customStyle="1" w:styleId="3746">
    <w:name w:val="文本框五号1.5倍行距 Char Char Char"/>
    <w:qFormat/>
    <w:uiPriority w:val="0"/>
  </w:style>
  <w:style w:type="character" w:customStyle="1" w:styleId="3747">
    <w:name w:val="ch1"/>
    <w:qFormat/>
    <w:uiPriority w:val="0"/>
    <w:rPr>
      <w:rFonts w:hint="default"/>
      <w:sz w:val="18"/>
    </w:rPr>
  </w:style>
  <w:style w:type="character" w:customStyle="1" w:styleId="3748">
    <w:name w:val="样式 首行缩进:  2 字符 Char Char"/>
    <w:qFormat/>
    <w:uiPriority w:val="0"/>
    <w:rPr>
      <w:rFonts w:ascii="Calibri" w:hAnsi="Calibri" w:eastAsia="宋体" w:cs="宋体"/>
      <w:sz w:val="28"/>
      <w:lang w:eastAsia="en-US"/>
    </w:rPr>
  </w:style>
  <w:style w:type="character" w:customStyle="1" w:styleId="3749">
    <w:name w:val="样式 标题 3 Char Char"/>
    <w:qFormat/>
    <w:uiPriority w:val="0"/>
    <w:rPr>
      <w:rFonts w:eastAsia="宋体"/>
      <w:snapToGrid w:val="0"/>
      <w:sz w:val="28"/>
      <w:szCs w:val="28"/>
    </w:rPr>
  </w:style>
  <w:style w:type="character" w:customStyle="1" w:styleId="3750">
    <w:name w:val="haha Char Char Char Char"/>
    <w:qFormat/>
    <w:uiPriority w:val="0"/>
    <w:rPr>
      <w:rFonts w:eastAsia="仿宋_GB2312"/>
      <w:kern w:val="2"/>
      <w:sz w:val="24"/>
      <w:szCs w:val="24"/>
      <w:lang w:val="en-US" w:eastAsia="zh-CN"/>
    </w:rPr>
  </w:style>
  <w:style w:type="character" w:customStyle="1" w:styleId="3751">
    <w:name w:val="湛江钢铁表 Char Char"/>
    <w:qFormat/>
    <w:uiPriority w:val="0"/>
    <w:rPr>
      <w:rFonts w:eastAsia="仿宋_GB2312"/>
      <w:snapToGrid w:val="0"/>
      <w:szCs w:val="21"/>
    </w:rPr>
  </w:style>
  <w:style w:type="character" w:customStyle="1" w:styleId="3752">
    <w:name w:val="样式 湛江钢铁表 + Char Char"/>
    <w:qFormat/>
    <w:uiPriority w:val="0"/>
  </w:style>
  <w:style w:type="character" w:customStyle="1" w:styleId="3753">
    <w:name w:val="表格标题 Char Char"/>
    <w:qFormat/>
    <w:uiPriority w:val="0"/>
    <w:rPr>
      <w:rFonts w:eastAsia="宋体"/>
      <w:kern w:val="2"/>
      <w:sz w:val="21"/>
      <w:lang w:val="en-US" w:eastAsia="zh-CN"/>
    </w:rPr>
  </w:style>
  <w:style w:type="character" w:customStyle="1" w:styleId="3754">
    <w:name w:val="list_description"/>
    <w:qFormat/>
    <w:uiPriority w:val="0"/>
  </w:style>
  <w:style w:type="character" w:customStyle="1" w:styleId="3755">
    <w:name w:val="Default Char Char"/>
    <w:qFormat/>
    <w:uiPriority w:val="0"/>
    <w:rPr>
      <w:rFonts w:ascii="宋体" w:hAnsi="Times New Roman" w:eastAsia="宋体" w:cs="宋体"/>
      <w:color w:val="000000"/>
      <w:kern w:val="0"/>
      <w:sz w:val="24"/>
      <w:szCs w:val="24"/>
    </w:rPr>
  </w:style>
  <w:style w:type="character" w:customStyle="1" w:styleId="3756">
    <w:name w:val="表格文字-大表-小五"/>
    <w:qFormat/>
    <w:uiPriority w:val="0"/>
    <w:rPr>
      <w:color w:val="000000"/>
      <w:sz w:val="18"/>
    </w:rPr>
  </w:style>
  <w:style w:type="character" w:customStyle="1" w:styleId="3757">
    <w:name w:val="标题 2 Char Char Char Char Char Char Char"/>
    <w:qFormat/>
    <w:uiPriority w:val="0"/>
    <w:rPr>
      <w:rFonts w:eastAsia="黑体"/>
      <w:b/>
      <w:kern w:val="2"/>
      <w:sz w:val="32"/>
      <w:lang w:val="en-US" w:eastAsia="zh-CN"/>
    </w:rPr>
  </w:style>
  <w:style w:type="character" w:customStyle="1" w:styleId="3758">
    <w:name w:val="正文首行缩进 Char2"/>
    <w:qFormat/>
    <w:uiPriority w:val="0"/>
    <w:rPr>
      <w:kern w:val="0"/>
      <w:sz w:val="24"/>
      <w:lang w:eastAsia="en-US"/>
    </w:rPr>
  </w:style>
  <w:style w:type="character" w:customStyle="1" w:styleId="3759">
    <w:name w:val="引用 Char2"/>
    <w:qFormat/>
    <w:uiPriority w:val="0"/>
    <w:rPr>
      <w:rFonts w:ascii="Calibri" w:hAnsi="Calibri" w:eastAsia="宋体" w:cs="Times New Roman"/>
      <w:i/>
      <w:iCs/>
      <w:color w:val="000000"/>
      <w:kern w:val="0"/>
      <w:sz w:val="24"/>
      <w:lang w:eastAsia="en-US"/>
    </w:rPr>
  </w:style>
  <w:style w:type="paragraph" w:customStyle="1" w:styleId="3760">
    <w:name w:val="索引 11"/>
    <w:basedOn w:val="1"/>
    <w:next w:val="1"/>
    <w:qFormat/>
    <w:uiPriority w:val="0"/>
    <w:pPr>
      <w:widowControl/>
      <w:spacing w:line="440" w:lineRule="exact"/>
      <w:ind w:firstLine="200" w:firstLineChars="200"/>
    </w:pPr>
    <w:rPr>
      <w:rFonts w:ascii="宋体"/>
      <w:kern w:val="0"/>
      <w:sz w:val="26"/>
      <w:szCs w:val="20"/>
    </w:rPr>
  </w:style>
  <w:style w:type="paragraph" w:customStyle="1" w:styleId="3761">
    <w:name w:val="Char Char Char Char Char Char1 Char4"/>
    <w:basedOn w:val="1"/>
    <w:qFormat/>
    <w:uiPriority w:val="0"/>
  </w:style>
  <w:style w:type="paragraph" w:customStyle="1" w:styleId="3762">
    <w:name w:val="公式 新"/>
    <w:basedOn w:val="1"/>
    <w:qFormat/>
    <w:uiPriority w:val="0"/>
    <w:pPr>
      <w:widowControl/>
      <w:spacing w:beforeLines="50" w:afterLines="50" w:line="360" w:lineRule="auto"/>
      <w:ind w:firstLine="200" w:firstLineChars="200"/>
      <w:jc w:val="center"/>
    </w:pPr>
    <w:rPr>
      <w:rFonts w:ascii="宋体" w:cs="宋体"/>
      <w:kern w:val="0"/>
      <w:sz w:val="24"/>
      <w:szCs w:val="20"/>
    </w:rPr>
  </w:style>
  <w:style w:type="paragraph" w:customStyle="1" w:styleId="3763">
    <w:name w:val="标题41"/>
    <w:basedOn w:val="1"/>
    <w:next w:val="3563"/>
    <w:qFormat/>
    <w:uiPriority w:val="0"/>
    <w:pPr>
      <w:widowControl/>
      <w:tabs>
        <w:tab w:val="left" w:pos="840"/>
      </w:tabs>
      <w:spacing w:line="440" w:lineRule="exact"/>
      <w:ind w:left="840" w:firstLine="200" w:firstLineChars="200"/>
      <w:jc w:val="center"/>
    </w:pPr>
    <w:rPr>
      <w:rFonts w:ascii="宋体" w:eastAsia="仿宋_GB2312"/>
      <w:bCs/>
      <w:kern w:val="0"/>
      <w:sz w:val="24"/>
      <w:szCs w:val="20"/>
    </w:rPr>
  </w:style>
  <w:style w:type="paragraph" w:customStyle="1" w:styleId="3764">
    <w:name w:val="样式 小四 居中 行距: 1.5 倍行距"/>
    <w:basedOn w:val="1"/>
    <w:qFormat/>
    <w:uiPriority w:val="0"/>
    <w:pPr>
      <w:widowControl/>
      <w:spacing w:beforeLines="50" w:line="440" w:lineRule="exact"/>
      <w:ind w:firstLine="200" w:firstLineChars="200"/>
      <w:jc w:val="center"/>
    </w:pPr>
    <w:rPr>
      <w:rFonts w:ascii="宋体" w:eastAsia="黑体" w:cs="宋体"/>
      <w:kern w:val="0"/>
      <w:sz w:val="24"/>
      <w:szCs w:val="20"/>
    </w:rPr>
  </w:style>
  <w:style w:type="paragraph" w:customStyle="1" w:styleId="3765">
    <w:name w:val="样式 四号 首行缩进:  0.99 厘米 行距: 固定值 23 磅"/>
    <w:basedOn w:val="1"/>
    <w:qFormat/>
    <w:uiPriority w:val="0"/>
    <w:pPr>
      <w:widowControl/>
      <w:spacing w:line="460" w:lineRule="exact"/>
      <w:ind w:firstLine="560" w:firstLineChars="200"/>
    </w:pPr>
    <w:rPr>
      <w:rFonts w:ascii="宋体" w:cs="宋体"/>
      <w:kern w:val="0"/>
      <w:sz w:val="24"/>
      <w:szCs w:val="20"/>
    </w:rPr>
  </w:style>
  <w:style w:type="paragraph" w:customStyle="1" w:styleId="3766">
    <w:name w:val="wpsplain"/>
    <w:basedOn w:val="1"/>
    <w:qFormat/>
    <w:uiPriority w:val="0"/>
    <w:pPr>
      <w:widowControl/>
      <w:spacing w:line="440" w:lineRule="exact"/>
      <w:ind w:firstLine="200" w:firstLineChars="200"/>
    </w:pPr>
    <w:rPr>
      <w:rFonts w:ascii="宋体"/>
      <w:kern w:val="0"/>
      <w:sz w:val="20"/>
      <w:szCs w:val="20"/>
    </w:rPr>
  </w:style>
  <w:style w:type="paragraph" w:customStyle="1" w:styleId="3767">
    <w:name w:val="Char Char Char1 Char Char Char Char Char Char Char Char Char Char4"/>
    <w:basedOn w:val="1"/>
    <w:qFormat/>
    <w:uiPriority w:val="0"/>
  </w:style>
  <w:style w:type="paragraph" w:customStyle="1" w:styleId="3768">
    <w:name w:val="样式 样式 样式 四号 黑色 + 首行缩进:  2 字符 + 小四 下划线 居中"/>
    <w:basedOn w:val="3676"/>
    <w:qFormat/>
    <w:uiPriority w:val="0"/>
    <w:pPr>
      <w:ind w:firstLine="0" w:firstLineChars="0"/>
      <w:jc w:val="center"/>
    </w:pPr>
    <w:rPr>
      <w:sz w:val="24"/>
      <w:u w:val="single"/>
    </w:rPr>
  </w:style>
  <w:style w:type="paragraph" w:customStyle="1" w:styleId="3769">
    <w:name w:val="p25"/>
    <w:basedOn w:val="1"/>
    <w:qFormat/>
    <w:uiPriority w:val="0"/>
    <w:pPr>
      <w:widowControl/>
      <w:jc w:val="center"/>
    </w:pPr>
    <w:rPr>
      <w:kern w:val="0"/>
      <w:szCs w:val="21"/>
    </w:rPr>
  </w:style>
  <w:style w:type="paragraph" w:customStyle="1" w:styleId="3770">
    <w:name w:val="样式 样式 样式 首行缩进:  2 字符 段后: 0.5 行 + 首行缩进:  2 字符 段后: 0.5 行 + 段后: 0.5...1"/>
    <w:basedOn w:val="3716"/>
    <w:qFormat/>
    <w:uiPriority w:val="0"/>
    <w:pPr>
      <w:spacing w:afterLines="0"/>
    </w:pPr>
  </w:style>
  <w:style w:type="paragraph" w:customStyle="1" w:styleId="3771">
    <w:name w:val="样式 标题 3 + (中文) 黑体 小四 非加粗 段前: 7.8 磅 段后: 7.8 磅 行距: 1.5 倍行距"/>
    <w:basedOn w:val="7"/>
    <w:qFormat/>
    <w:uiPriority w:val="0"/>
    <w:pPr>
      <w:adjustRightInd/>
      <w:spacing w:beforeLines="50" w:afterLines="50" w:line="360" w:lineRule="auto"/>
      <w:ind w:left="1260" w:hanging="420"/>
      <w:jc w:val="both"/>
    </w:pPr>
    <w:rPr>
      <w:rFonts w:ascii="Times New Roman" w:hAnsi="Times New Roman" w:eastAsia="黑体" w:cs="宋体"/>
      <w:b w:val="0"/>
      <w:bCs w:val="0"/>
      <w:sz w:val="28"/>
      <w:szCs w:val="20"/>
      <w:lang w:val="en-US"/>
    </w:rPr>
  </w:style>
  <w:style w:type="paragraph" w:customStyle="1" w:styleId="3772">
    <w:name w:val="样式 标题 1标题 1 CharH1H11H12Heading 11level 1Level 1 Head章章..."/>
    <w:basedOn w:val="5"/>
    <w:qFormat/>
    <w:uiPriority w:val="0"/>
    <w:pPr>
      <w:keepLines/>
      <w:tabs>
        <w:tab w:val="left" w:pos="680"/>
      </w:tabs>
      <w:overflowPunct/>
      <w:adjustRightInd w:val="0"/>
      <w:spacing w:before="100" w:beforeLines="100" w:after="100" w:afterLines="100" w:line="348" w:lineRule="auto"/>
      <w:ind w:left="851" w:firstLine="200" w:firstLineChars="200"/>
      <w:textAlignment w:val="baseline"/>
    </w:pPr>
    <w:rPr>
      <w:rFonts w:eastAsia="宋体" w:cs="宋体"/>
      <w:sz w:val="28"/>
      <w:szCs w:val="20"/>
    </w:rPr>
  </w:style>
  <w:style w:type="paragraph" w:customStyle="1" w:styleId="3773">
    <w:name w:val="引文目录标题1"/>
    <w:basedOn w:val="1"/>
    <w:next w:val="1"/>
    <w:qFormat/>
    <w:uiPriority w:val="0"/>
    <w:pPr>
      <w:widowControl/>
      <w:spacing w:before="120" w:line="480" w:lineRule="exact"/>
      <w:ind w:firstLine="200" w:firstLineChars="200"/>
    </w:pPr>
    <w:rPr>
      <w:rFonts w:ascii="Arial" w:hAnsi="Arial"/>
      <w:b/>
      <w:bCs/>
      <w:kern w:val="0"/>
      <w:sz w:val="24"/>
      <w:szCs w:val="20"/>
    </w:rPr>
  </w:style>
  <w:style w:type="paragraph" w:customStyle="1" w:styleId="3774">
    <w:name w:val="p33"/>
    <w:basedOn w:val="1"/>
    <w:qFormat/>
    <w:uiPriority w:val="0"/>
    <w:pPr>
      <w:widowControl/>
      <w:snapToGrid w:val="0"/>
      <w:ind w:left="2" w:right="-105" w:hanging="2"/>
      <w:jc w:val="center"/>
    </w:pPr>
    <w:rPr>
      <w:b/>
      <w:bCs/>
      <w:spacing w:val="8"/>
      <w:kern w:val="0"/>
      <w:sz w:val="24"/>
    </w:rPr>
  </w:style>
  <w:style w:type="paragraph" w:customStyle="1" w:styleId="3775">
    <w:name w:val="列表接续1"/>
    <w:basedOn w:val="1"/>
    <w:qFormat/>
    <w:uiPriority w:val="0"/>
    <w:pPr>
      <w:widowControl/>
      <w:spacing w:after="120" w:line="440" w:lineRule="exact"/>
      <w:ind w:left="420" w:leftChars="200" w:firstLine="200" w:firstLineChars="200"/>
    </w:pPr>
    <w:rPr>
      <w:rFonts w:ascii="宋体"/>
      <w:kern w:val="0"/>
      <w:sz w:val="24"/>
      <w:szCs w:val="20"/>
    </w:rPr>
  </w:style>
  <w:style w:type="paragraph" w:customStyle="1" w:styleId="3776">
    <w:name w:val="样式 样式 段前: 0.5 行 + 首行缩进:  2 字符"/>
    <w:basedOn w:val="3777"/>
    <w:qFormat/>
    <w:uiPriority w:val="0"/>
    <w:pPr>
      <w:spacing w:beforeLines="0"/>
    </w:pPr>
  </w:style>
  <w:style w:type="paragraph" w:customStyle="1" w:styleId="3777">
    <w:name w:val="样式 段前: 0.5 行"/>
    <w:basedOn w:val="1"/>
    <w:qFormat/>
    <w:uiPriority w:val="0"/>
    <w:pPr>
      <w:widowControl/>
      <w:adjustRightInd w:val="0"/>
      <w:snapToGrid w:val="0"/>
      <w:spacing w:beforeLines="50" w:line="360" w:lineRule="auto"/>
      <w:ind w:firstLine="200" w:firstLineChars="200"/>
    </w:pPr>
    <w:rPr>
      <w:rFonts w:ascii="宋体" w:cs="宋体"/>
      <w:kern w:val="0"/>
      <w:sz w:val="24"/>
      <w:szCs w:val="20"/>
    </w:rPr>
  </w:style>
  <w:style w:type="paragraph" w:customStyle="1" w:styleId="3778">
    <w:name w:val="Title 1"/>
    <w:basedOn w:val="5"/>
    <w:next w:val="1"/>
    <w:qFormat/>
    <w:uiPriority w:val="0"/>
    <w:pPr>
      <w:keepLines/>
      <w:pageBreakBefore/>
      <w:widowControl/>
      <w:tabs>
        <w:tab w:val="left" w:pos="680"/>
      </w:tabs>
      <w:overflowPunct/>
      <w:snapToGrid/>
      <w:spacing w:before="480" w:after="360" w:line="240" w:lineRule="auto"/>
      <w:ind w:left="927" w:hanging="360"/>
    </w:pPr>
    <w:rPr>
      <w:rFonts w:ascii="Cambria" w:hAnsi="Cambria" w:cs="Arial"/>
      <w:bCs w:val="0"/>
      <w:color w:val="auto"/>
      <w:kern w:val="0"/>
      <w:sz w:val="32"/>
      <w:szCs w:val="20"/>
    </w:rPr>
  </w:style>
  <w:style w:type="paragraph" w:customStyle="1" w:styleId="3779">
    <w:name w:val="样式 表中文字 + 段后: 0.5 行1"/>
    <w:basedOn w:val="45"/>
    <w:qFormat/>
    <w:uiPriority w:val="0"/>
    <w:pPr>
      <w:widowControl/>
      <w:suppressAutoHyphens w:val="0"/>
      <w:autoSpaceDN/>
      <w:spacing w:line="340" w:lineRule="exact"/>
      <w:ind w:firstLine="200" w:firstLineChars="200"/>
      <w:jc w:val="center"/>
      <w:textAlignment w:val="auto"/>
    </w:pPr>
    <w:rPr>
      <w:rFonts w:ascii="Arial" w:hAnsi="Arial" w:eastAsia="仿宋_GB2312" w:cs="宋体"/>
      <w:kern w:val="0"/>
      <w:sz w:val="20"/>
      <w:szCs w:val="21"/>
      <w:lang w:eastAsia="zh-TW"/>
    </w:rPr>
  </w:style>
  <w:style w:type="paragraph" w:customStyle="1" w:styleId="3780">
    <w:name w:val="资料来源"/>
    <w:basedOn w:val="1"/>
    <w:next w:val="1417"/>
    <w:qFormat/>
    <w:uiPriority w:val="0"/>
    <w:pPr>
      <w:widowControl/>
      <w:adjustRightInd w:val="0"/>
      <w:snapToGrid w:val="0"/>
      <w:spacing w:beforeLines="25" w:line="440" w:lineRule="exact"/>
      <w:ind w:firstLine="200" w:firstLineChars="200"/>
    </w:pPr>
    <w:rPr>
      <w:rFonts w:ascii="宋体"/>
      <w:kern w:val="0"/>
      <w:sz w:val="20"/>
      <w:szCs w:val="20"/>
    </w:rPr>
  </w:style>
  <w:style w:type="paragraph" w:customStyle="1" w:styleId="3781">
    <w:name w:val="612正文"/>
    <w:basedOn w:val="1"/>
    <w:qFormat/>
    <w:uiPriority w:val="0"/>
    <w:pPr>
      <w:widowControl/>
      <w:adjustRightInd w:val="0"/>
      <w:snapToGrid w:val="0"/>
      <w:spacing w:line="480" w:lineRule="atLeast"/>
      <w:ind w:firstLine="480" w:firstLineChars="200"/>
    </w:pPr>
    <w:rPr>
      <w:rFonts w:ascii="宋体"/>
      <w:kern w:val="0"/>
      <w:sz w:val="24"/>
      <w:szCs w:val="20"/>
    </w:rPr>
  </w:style>
  <w:style w:type="paragraph" w:customStyle="1" w:styleId="3782">
    <w:name w:val="索引 61"/>
    <w:basedOn w:val="1"/>
    <w:next w:val="1"/>
    <w:qFormat/>
    <w:uiPriority w:val="0"/>
    <w:pPr>
      <w:widowControl/>
      <w:spacing w:line="440" w:lineRule="exact"/>
      <w:ind w:left="1000" w:leftChars="1000" w:firstLine="200" w:firstLineChars="200"/>
    </w:pPr>
    <w:rPr>
      <w:rFonts w:ascii="宋体"/>
      <w:kern w:val="0"/>
      <w:sz w:val="24"/>
      <w:szCs w:val="20"/>
    </w:rPr>
  </w:style>
  <w:style w:type="paragraph" w:customStyle="1" w:styleId="3783">
    <w:name w:val="Char Char Char1 Char Char Char Char Char Char Char1"/>
    <w:basedOn w:val="1"/>
    <w:qFormat/>
    <w:uiPriority w:val="0"/>
    <w:rPr>
      <w:rFonts w:ascii="Tahoma" w:hAnsi="Tahoma"/>
      <w:sz w:val="24"/>
      <w:szCs w:val="20"/>
    </w:rPr>
  </w:style>
  <w:style w:type="paragraph" w:customStyle="1" w:styleId="3784">
    <w:name w:val="Char Char Char1 Char Char Char Char Char Char Char2"/>
    <w:basedOn w:val="1"/>
    <w:qFormat/>
    <w:uiPriority w:val="0"/>
    <w:rPr>
      <w:rFonts w:ascii="Tahoma" w:hAnsi="Tahoma"/>
      <w:sz w:val="24"/>
      <w:szCs w:val="20"/>
    </w:rPr>
  </w:style>
  <w:style w:type="paragraph" w:customStyle="1" w:styleId="3785">
    <w:name w:val="大表左紧"/>
    <w:basedOn w:val="1766"/>
    <w:qFormat/>
    <w:uiPriority w:val="0"/>
    <w:pPr>
      <w:tabs>
        <w:tab w:val="clear" w:pos="1701"/>
      </w:tabs>
      <w:spacing w:line="276" w:lineRule="auto"/>
      <w:ind w:firstLine="0" w:firstLineChars="0"/>
    </w:pPr>
    <w:rPr>
      <w:spacing w:val="-6"/>
    </w:rPr>
  </w:style>
  <w:style w:type="paragraph" w:customStyle="1" w:styleId="3786">
    <w:name w:val="样式 标题 2节Head2A2b2H2H21Heading 2 HiddenHeading 2 CCBSHD2..."/>
    <w:basedOn w:val="6"/>
    <w:qFormat/>
    <w:uiPriority w:val="0"/>
    <w:pPr>
      <w:adjustRightInd w:val="0"/>
      <w:snapToGrid w:val="0"/>
      <w:spacing w:before="0" w:after="0" w:line="348" w:lineRule="auto"/>
      <w:ind w:left="840" w:firstLine="200" w:firstLineChars="200"/>
      <w:textAlignment w:val="baseline"/>
    </w:pPr>
    <w:rPr>
      <w:rFonts w:ascii="Times New Roman" w:hAnsi="Times New Roman" w:eastAsia="宋体" w:cs="宋体"/>
      <w:b w:val="0"/>
      <w:bCs w:val="0"/>
      <w:color w:val="000000"/>
      <w:spacing w:val="8"/>
      <w:kern w:val="0"/>
      <w:sz w:val="28"/>
      <w:szCs w:val="20"/>
    </w:rPr>
  </w:style>
  <w:style w:type="paragraph" w:customStyle="1" w:styleId="3787">
    <w:name w:val="图表目录1"/>
    <w:basedOn w:val="1"/>
    <w:next w:val="1"/>
    <w:qFormat/>
    <w:uiPriority w:val="0"/>
    <w:pPr>
      <w:topLinePunct/>
      <w:spacing w:line="240" w:lineRule="exact"/>
    </w:pPr>
    <w:rPr>
      <w:rFonts w:ascii="宋体" w:hAnsi="宋体"/>
      <w:szCs w:val="21"/>
    </w:rPr>
  </w:style>
  <w:style w:type="paragraph" w:customStyle="1" w:styleId="3788">
    <w:name w:val="样式 样式 标题 2节Head2A2b2H2H21Heading 2 HiddenHeading 2 CCBSHD2... + ..."/>
    <w:basedOn w:val="3786"/>
    <w:qFormat/>
    <w:uiPriority w:val="0"/>
    <w:pPr>
      <w:ind w:firstLine="0" w:firstLineChars="0"/>
    </w:pPr>
  </w:style>
  <w:style w:type="paragraph" w:customStyle="1" w:styleId="3789">
    <w:name w:val="表格 + 小五"/>
    <w:basedOn w:val="674"/>
    <w:qFormat/>
    <w:uiPriority w:val="0"/>
    <w:pPr>
      <w:widowControl/>
      <w:adjustRightInd/>
      <w:snapToGrid/>
      <w:spacing w:beforeLines="0" w:line="240" w:lineRule="auto"/>
      <w:ind w:firstLine="200" w:firstLineChars="200"/>
      <w:outlineLvl w:val="9"/>
    </w:pPr>
    <w:rPr>
      <w:bCs w:val="0"/>
      <w:sz w:val="18"/>
      <w:szCs w:val="24"/>
    </w:rPr>
  </w:style>
  <w:style w:type="paragraph" w:customStyle="1" w:styleId="3790">
    <w:name w:val="公式文字"/>
    <w:basedOn w:val="888"/>
    <w:qFormat/>
    <w:uiPriority w:val="0"/>
    <w:pPr>
      <w:spacing w:after="0" w:line="500" w:lineRule="exact"/>
      <w:ind w:left="0" w:leftChars="0"/>
    </w:pPr>
    <w:rPr>
      <w:sz w:val="28"/>
      <w:szCs w:val="28"/>
      <w:lang w:val="en-US"/>
    </w:rPr>
  </w:style>
  <w:style w:type="paragraph" w:customStyle="1" w:styleId="3791">
    <w:name w:val="z正文 Char Char Char"/>
    <w:basedOn w:val="1"/>
    <w:qFormat/>
    <w:uiPriority w:val="0"/>
    <w:pPr>
      <w:widowControl/>
      <w:spacing w:line="360" w:lineRule="auto"/>
      <w:ind w:firstLine="200" w:firstLineChars="200"/>
    </w:pPr>
    <w:rPr>
      <w:rFonts w:ascii="宋体" w:hAnsi="宋体" w:eastAsia="仿宋_GB2312" w:cs="宋体"/>
      <w:kern w:val="0"/>
      <w:sz w:val="24"/>
      <w:szCs w:val="28"/>
    </w:rPr>
  </w:style>
  <w:style w:type="paragraph" w:customStyle="1" w:styleId="3792">
    <w:name w:val="样式 标题 3标题 3 Char标题 3 Char Char标题 3 Char2标题 3 Char1 Char标题 3...1"/>
    <w:basedOn w:val="7"/>
    <w:qFormat/>
    <w:uiPriority w:val="0"/>
    <w:pPr>
      <w:tabs>
        <w:tab w:val="left" w:pos="720"/>
        <w:tab w:val="left" w:pos="1931"/>
      </w:tabs>
      <w:spacing w:before="120" w:after="0" w:line="240" w:lineRule="auto"/>
      <w:ind w:left="1418" w:hanging="567"/>
      <w:jc w:val="both"/>
    </w:pPr>
    <w:rPr>
      <w:rFonts w:ascii="Times New Roman" w:hAnsi="Times New Roman"/>
      <w:b w:val="0"/>
      <w:bCs w:val="0"/>
      <w:sz w:val="30"/>
      <w:szCs w:val="20"/>
      <w:lang w:val="en-US"/>
    </w:rPr>
  </w:style>
  <w:style w:type="paragraph" w:customStyle="1" w:styleId="3793">
    <w:name w:val="引文目录1"/>
    <w:basedOn w:val="1"/>
    <w:next w:val="1"/>
    <w:qFormat/>
    <w:uiPriority w:val="0"/>
    <w:pPr>
      <w:widowControl/>
      <w:spacing w:line="440" w:lineRule="exact"/>
      <w:ind w:firstLine="200" w:firstLineChars="200"/>
    </w:pPr>
    <w:rPr>
      <w:rFonts w:ascii="宋体"/>
      <w:kern w:val="0"/>
      <w:sz w:val="24"/>
      <w:szCs w:val="20"/>
    </w:rPr>
  </w:style>
  <w:style w:type="paragraph" w:customStyle="1" w:styleId="3794">
    <w:name w:val="样式 标题 3标题 3 Char Char标题 3 Char1H3Heading 3 - old标题 3 Char C..."/>
    <w:basedOn w:val="7"/>
    <w:qFormat/>
    <w:uiPriority w:val="0"/>
    <w:pPr>
      <w:adjustRightInd/>
      <w:spacing w:before="120" w:after="120" w:line="415" w:lineRule="auto"/>
      <w:ind w:left="1474" w:hanging="1474"/>
      <w:jc w:val="both"/>
    </w:pPr>
    <w:rPr>
      <w:rFonts w:ascii="Times New Roman" w:hAnsi="Times New Roman" w:cs="宋体"/>
      <w:b w:val="0"/>
      <w:sz w:val="28"/>
      <w:szCs w:val="20"/>
      <w:lang w:val="en-US"/>
    </w:rPr>
  </w:style>
  <w:style w:type="paragraph" w:customStyle="1" w:styleId="3795">
    <w:name w:val="1111表中文字"/>
    <w:basedOn w:val="1"/>
    <w:qFormat/>
    <w:uiPriority w:val="0"/>
    <w:pPr>
      <w:widowControl/>
      <w:adjustRightInd w:val="0"/>
      <w:snapToGrid w:val="0"/>
      <w:spacing w:line="440" w:lineRule="exact"/>
      <w:ind w:firstLine="200" w:firstLineChars="200"/>
      <w:jc w:val="center"/>
    </w:pPr>
    <w:rPr>
      <w:rFonts w:ascii="宋体"/>
      <w:kern w:val="0"/>
      <w:sz w:val="24"/>
      <w:szCs w:val="20"/>
    </w:rPr>
  </w:style>
  <w:style w:type="paragraph" w:customStyle="1" w:styleId="3796">
    <w:name w:val="列表 21"/>
    <w:basedOn w:val="1"/>
    <w:qFormat/>
    <w:uiPriority w:val="0"/>
    <w:pPr>
      <w:widowControl/>
      <w:spacing w:line="440" w:lineRule="exact"/>
      <w:ind w:left="100" w:leftChars="200" w:hanging="200" w:hangingChars="200"/>
    </w:pPr>
    <w:rPr>
      <w:rFonts w:ascii="宋体"/>
      <w:kern w:val="28"/>
      <w:sz w:val="26"/>
      <w:szCs w:val="26"/>
    </w:rPr>
  </w:style>
  <w:style w:type="paragraph" w:customStyle="1" w:styleId="3797">
    <w:name w:val="文本块1"/>
    <w:basedOn w:val="1"/>
    <w:qFormat/>
    <w:uiPriority w:val="0"/>
    <w:pPr>
      <w:widowControl/>
      <w:spacing w:line="440" w:lineRule="exact"/>
      <w:ind w:left="-120" w:leftChars="-50" w:right="-120" w:rightChars="-50" w:firstLine="200" w:firstLineChars="200"/>
    </w:pPr>
    <w:rPr>
      <w:rFonts w:ascii="宋体" w:eastAsia="仿宋_GB2312"/>
      <w:kern w:val="0"/>
      <w:sz w:val="24"/>
      <w:szCs w:val="20"/>
    </w:rPr>
  </w:style>
  <w:style w:type="paragraph" w:customStyle="1" w:styleId="3798">
    <w:name w:val="列表接续 21"/>
    <w:basedOn w:val="1"/>
    <w:qFormat/>
    <w:uiPriority w:val="0"/>
    <w:pPr>
      <w:widowControl/>
      <w:adjustRightInd w:val="0"/>
      <w:snapToGrid w:val="0"/>
      <w:spacing w:line="344" w:lineRule="atLeast"/>
      <w:ind w:firstLine="200" w:firstLineChars="200"/>
      <w:textAlignment w:val="baseline"/>
    </w:pPr>
    <w:rPr>
      <w:rFonts w:ascii="宋体"/>
      <w:kern w:val="0"/>
      <w:sz w:val="24"/>
      <w:szCs w:val="20"/>
    </w:rPr>
  </w:style>
  <w:style w:type="paragraph" w:customStyle="1" w:styleId="3799">
    <w:name w:val="正文文本 211"/>
    <w:basedOn w:val="1"/>
    <w:qFormat/>
    <w:uiPriority w:val="0"/>
    <w:pPr>
      <w:autoSpaceDE w:val="0"/>
      <w:autoSpaceDN w:val="0"/>
      <w:adjustRightInd w:val="0"/>
      <w:snapToGrid w:val="0"/>
      <w:spacing w:line="365" w:lineRule="auto"/>
      <w:ind w:firstLine="200" w:firstLineChars="200"/>
      <w:jc w:val="center"/>
      <w:textAlignment w:val="bottom"/>
    </w:pPr>
    <w:rPr>
      <w:color w:val="000000"/>
      <w:spacing w:val="10"/>
      <w:kern w:val="10"/>
      <w:sz w:val="24"/>
      <w:szCs w:val="20"/>
    </w:rPr>
  </w:style>
  <w:style w:type="paragraph" w:customStyle="1" w:styleId="3800">
    <w:name w:val="Char Char Char1 Char Char Char Char Char Char Char Char Char Char3"/>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3801">
    <w:name w:val="列表接续 51"/>
    <w:basedOn w:val="1"/>
    <w:qFormat/>
    <w:uiPriority w:val="0"/>
    <w:pPr>
      <w:adjustRightInd w:val="0"/>
      <w:snapToGrid w:val="0"/>
      <w:spacing w:after="120" w:line="348" w:lineRule="auto"/>
      <w:ind w:left="2100" w:leftChars="1000"/>
    </w:pPr>
    <w:rPr>
      <w:kern w:val="0"/>
      <w:sz w:val="24"/>
    </w:rPr>
  </w:style>
  <w:style w:type="paragraph" w:customStyle="1" w:styleId="3802">
    <w:name w:val="p29"/>
    <w:basedOn w:val="1"/>
    <w:qFormat/>
    <w:uiPriority w:val="0"/>
    <w:pPr>
      <w:widowControl/>
      <w:spacing w:line="360" w:lineRule="auto"/>
      <w:jc w:val="center"/>
    </w:pPr>
    <w:rPr>
      <w:rFonts w:ascii="宋体" w:hAnsi="宋体" w:cs="宋体"/>
      <w:b/>
      <w:bCs/>
      <w:kern w:val="0"/>
      <w:sz w:val="24"/>
    </w:rPr>
  </w:style>
  <w:style w:type="paragraph" w:customStyle="1" w:styleId="3803">
    <w:name w:val="样式 首行缩进:  0.85 厘米1"/>
    <w:basedOn w:val="1"/>
    <w:qFormat/>
    <w:uiPriority w:val="0"/>
    <w:pPr>
      <w:widowControl/>
      <w:spacing w:line="460" w:lineRule="exact"/>
      <w:ind w:firstLine="520" w:firstLineChars="200"/>
    </w:pPr>
    <w:rPr>
      <w:rFonts w:ascii="宋体" w:cs="宋体"/>
      <w:color w:val="000000"/>
      <w:kern w:val="0"/>
      <w:sz w:val="26"/>
      <w:szCs w:val="26"/>
    </w:rPr>
  </w:style>
  <w:style w:type="paragraph" w:customStyle="1" w:styleId="3804">
    <w:name w:val="正文首行缩进  2字符"/>
    <w:basedOn w:val="1"/>
    <w:qFormat/>
    <w:uiPriority w:val="0"/>
    <w:pPr>
      <w:widowControl/>
      <w:spacing w:line="360" w:lineRule="auto"/>
      <w:ind w:firstLine="480" w:firstLineChars="200"/>
    </w:pPr>
    <w:rPr>
      <w:rFonts w:ascii="宋体"/>
      <w:kern w:val="0"/>
      <w:sz w:val="24"/>
      <w:szCs w:val="20"/>
    </w:rPr>
  </w:style>
  <w:style w:type="paragraph" w:customStyle="1" w:styleId="3805">
    <w:name w:val="索引标题1"/>
    <w:basedOn w:val="1"/>
    <w:next w:val="3760"/>
    <w:qFormat/>
    <w:uiPriority w:val="0"/>
  </w:style>
  <w:style w:type="paragraph" w:customStyle="1" w:styleId="3806">
    <w:name w:val="样式 标题 2节标题 + Times New Roman 红色"/>
    <w:basedOn w:val="6"/>
    <w:qFormat/>
    <w:uiPriority w:val="0"/>
    <w:pPr>
      <w:widowControl/>
      <w:tabs>
        <w:tab w:val="left" w:pos="4990"/>
      </w:tabs>
      <w:spacing w:before="120" w:after="60" w:line="240" w:lineRule="auto"/>
      <w:ind w:left="431" w:hanging="420"/>
    </w:pPr>
    <w:rPr>
      <w:rFonts w:ascii="Times New Roman" w:hAnsi="Times New Roman" w:eastAsia="华文中宋" w:cs="宋体"/>
      <w:color w:val="FF0000"/>
      <w:kern w:val="0"/>
      <w:sz w:val="26"/>
      <w:szCs w:val="20"/>
      <w:lang w:eastAsia="en-US"/>
    </w:rPr>
  </w:style>
  <w:style w:type="paragraph" w:customStyle="1" w:styleId="3807">
    <w:name w:val="列表 51"/>
    <w:basedOn w:val="1"/>
    <w:qFormat/>
    <w:uiPriority w:val="0"/>
    <w:pPr>
      <w:widowControl/>
      <w:adjustRightInd w:val="0"/>
      <w:spacing w:line="360" w:lineRule="atLeast"/>
      <w:ind w:left="2100" w:hanging="420" w:firstLineChars="200"/>
      <w:textAlignment w:val="baseline"/>
    </w:pPr>
    <w:rPr>
      <w:rFonts w:ascii="宋体"/>
      <w:kern w:val="0"/>
      <w:sz w:val="24"/>
      <w:szCs w:val="20"/>
    </w:rPr>
  </w:style>
  <w:style w:type="paragraph" w:customStyle="1" w:styleId="3808">
    <w:name w:val="列表编号 51"/>
    <w:basedOn w:val="1"/>
    <w:qFormat/>
    <w:uiPriority w:val="0"/>
    <w:pPr>
      <w:widowControl/>
      <w:tabs>
        <w:tab w:val="left" w:pos="720"/>
      </w:tabs>
      <w:spacing w:line="440" w:lineRule="exact"/>
      <w:ind w:left="720" w:hanging="360" w:firstLineChars="200"/>
      <w:contextualSpacing/>
    </w:pPr>
    <w:rPr>
      <w:rFonts w:ascii="宋体"/>
      <w:kern w:val="0"/>
      <w:sz w:val="24"/>
      <w:szCs w:val="20"/>
    </w:rPr>
  </w:style>
  <w:style w:type="paragraph" w:customStyle="1" w:styleId="3809">
    <w:name w:val="样式 正文文本正文文本 Char + 首行缩进:  0.85 厘米"/>
    <w:basedOn w:val="34"/>
    <w:qFormat/>
    <w:uiPriority w:val="0"/>
    <w:pPr>
      <w:adjustRightInd w:val="0"/>
      <w:snapToGrid/>
      <w:spacing w:before="0" w:after="4" w:line="300" w:lineRule="auto"/>
      <w:ind w:right="0" w:firstLine="482"/>
      <w:textAlignment w:val="baseline"/>
    </w:pPr>
    <w:rPr>
      <w:rFonts w:ascii="Arial" w:hAnsi="Arial" w:cs="Arial"/>
      <w:sz w:val="24"/>
    </w:rPr>
  </w:style>
  <w:style w:type="paragraph" w:customStyle="1" w:styleId="3810">
    <w:name w:val="五号表格"/>
    <w:basedOn w:val="1"/>
    <w:qFormat/>
    <w:uiPriority w:val="0"/>
    <w:pPr>
      <w:widowControl/>
      <w:spacing w:line="360" w:lineRule="auto"/>
      <w:ind w:firstLine="200" w:firstLineChars="200"/>
      <w:jc w:val="center"/>
    </w:pPr>
    <w:rPr>
      <w:rFonts w:ascii="宋体"/>
      <w:kern w:val="0"/>
      <w:sz w:val="24"/>
      <w:szCs w:val="20"/>
    </w:rPr>
  </w:style>
  <w:style w:type="paragraph" w:customStyle="1" w:styleId="3811">
    <w:name w:val="样式 标题 1一、1.标题 1 + 段前: 7.8 磅 段后: 7.8 磅"/>
    <w:basedOn w:val="5"/>
    <w:qFormat/>
    <w:uiPriority w:val="0"/>
    <w:pPr>
      <w:keepLines/>
      <w:widowControl/>
      <w:tabs>
        <w:tab w:val="left" w:pos="425"/>
        <w:tab w:val="left" w:pos="680"/>
      </w:tabs>
      <w:overflowPunct/>
      <w:adjustRightInd w:val="0"/>
      <w:spacing w:before="100" w:beforeLines="100" w:after="156" w:line="240" w:lineRule="auto"/>
      <w:ind w:left="425" w:hanging="425"/>
      <w:jc w:val="center"/>
    </w:pPr>
    <w:rPr>
      <w:rFonts w:ascii="微软雅黑" w:hAnsi="微软雅黑" w:cs="宋体"/>
      <w:b w:val="0"/>
      <w:bCs w:val="0"/>
      <w:color w:val="auto"/>
      <w:kern w:val="0"/>
      <w:sz w:val="32"/>
      <w:szCs w:val="20"/>
    </w:rPr>
  </w:style>
  <w:style w:type="paragraph" w:customStyle="1" w:styleId="3812">
    <w:name w:val="表1表2"/>
    <w:basedOn w:val="1"/>
    <w:qFormat/>
    <w:uiPriority w:val="0"/>
    <w:pPr>
      <w:widowControl/>
      <w:autoSpaceDE w:val="0"/>
      <w:autoSpaceDN w:val="0"/>
      <w:adjustRightInd w:val="0"/>
      <w:spacing w:line="360" w:lineRule="auto"/>
      <w:ind w:firstLine="200" w:firstLineChars="200"/>
      <w:jc w:val="center"/>
      <w:textAlignment w:val="center"/>
    </w:pPr>
    <w:rPr>
      <w:rFonts w:ascii="宋体" w:eastAsia="仿宋体"/>
      <w:kern w:val="0"/>
      <w:sz w:val="24"/>
      <w:szCs w:val="20"/>
    </w:rPr>
  </w:style>
  <w:style w:type="paragraph" w:customStyle="1" w:styleId="3813">
    <w:name w:val="样式 样式 段前: 0.5 行 首行缩进:  2 字符 + 五号 居中 段前: 0.5 行 行距: 单倍行距"/>
    <w:qFormat/>
    <w:uiPriority w:val="0"/>
    <w:pPr>
      <w:jc w:val="center"/>
    </w:pPr>
    <w:rPr>
      <w:rFonts w:ascii="Calibri" w:hAnsi="Calibri" w:eastAsia="宋体" w:cs="Calibri"/>
      <w:sz w:val="21"/>
      <w:lang w:val="en-US" w:eastAsia="zh-CN" w:bidi="ar-SA"/>
    </w:rPr>
  </w:style>
  <w:style w:type="paragraph" w:customStyle="1" w:styleId="3814">
    <w:name w:val="zww"/>
    <w:basedOn w:val="45"/>
    <w:qFormat/>
    <w:uiPriority w:val="0"/>
    <w:pPr>
      <w:widowControl/>
      <w:suppressAutoHyphens w:val="0"/>
      <w:autoSpaceDN/>
      <w:adjustRightInd w:val="0"/>
      <w:snapToGrid w:val="0"/>
      <w:spacing w:line="400" w:lineRule="atLeast"/>
      <w:ind w:firstLine="397" w:firstLineChars="200"/>
      <w:textAlignment w:val="auto"/>
    </w:pPr>
    <w:rPr>
      <w:rFonts w:ascii="Arial Narrow" w:hAnsi="Arial Narrow" w:cs="Arial Narrow"/>
      <w:kern w:val="32"/>
      <w:sz w:val="22"/>
      <w:szCs w:val="22"/>
    </w:rPr>
  </w:style>
  <w:style w:type="paragraph" w:customStyle="1" w:styleId="3815">
    <w:name w:val="Char Char Char Char Char Char Char Char Char Char Char Char Char Char Char1 Char"/>
    <w:basedOn w:val="1"/>
    <w:qFormat/>
    <w:uiPriority w:val="0"/>
    <w:pPr>
      <w:widowControl/>
      <w:spacing w:line="440" w:lineRule="exact"/>
      <w:ind w:firstLine="200" w:firstLineChars="200"/>
    </w:pPr>
    <w:rPr>
      <w:rFonts w:ascii="宋体" w:hAnsi="宋体" w:cs="宋体"/>
      <w:kern w:val="0"/>
      <w:sz w:val="24"/>
      <w:szCs w:val="20"/>
    </w:rPr>
  </w:style>
  <w:style w:type="paragraph" w:customStyle="1" w:styleId="3816">
    <w:name w:val="样式 首行缩进:  0.99 厘米"/>
    <w:basedOn w:val="1"/>
    <w:qFormat/>
    <w:uiPriority w:val="0"/>
    <w:pPr>
      <w:widowControl/>
      <w:spacing w:line="360" w:lineRule="auto"/>
      <w:ind w:firstLine="560" w:firstLineChars="200"/>
    </w:pPr>
    <w:rPr>
      <w:rFonts w:ascii="宋体" w:cs="宋体"/>
      <w:kern w:val="0"/>
      <w:sz w:val="24"/>
      <w:szCs w:val="20"/>
    </w:rPr>
  </w:style>
  <w:style w:type="paragraph" w:customStyle="1" w:styleId="3817">
    <w:name w:val="列表 41"/>
    <w:basedOn w:val="1"/>
    <w:qFormat/>
    <w:uiPriority w:val="0"/>
    <w:pPr>
      <w:widowControl/>
      <w:spacing w:line="440" w:lineRule="exact"/>
      <w:ind w:left="100" w:leftChars="600" w:hanging="200" w:hangingChars="200"/>
    </w:pPr>
    <w:rPr>
      <w:rFonts w:ascii="宋体"/>
      <w:kern w:val="28"/>
      <w:sz w:val="26"/>
      <w:szCs w:val="26"/>
    </w:rPr>
  </w:style>
  <w:style w:type="paragraph" w:customStyle="1" w:styleId="3818">
    <w:name w:val="索引 21"/>
    <w:basedOn w:val="1"/>
    <w:next w:val="1"/>
    <w:qFormat/>
    <w:uiPriority w:val="0"/>
    <w:pPr>
      <w:widowControl/>
      <w:spacing w:line="500" w:lineRule="exact"/>
      <w:ind w:left="200" w:leftChars="200" w:firstLine="200" w:firstLineChars="200"/>
    </w:pPr>
    <w:rPr>
      <w:rFonts w:ascii="宋体"/>
      <w:kern w:val="0"/>
      <w:sz w:val="24"/>
      <w:szCs w:val="20"/>
    </w:rPr>
  </w:style>
  <w:style w:type="paragraph" w:customStyle="1" w:styleId="3819">
    <w:name w:val="图形"/>
    <w:basedOn w:val="1"/>
    <w:qFormat/>
    <w:uiPriority w:val="0"/>
    <w:pPr>
      <w:widowControl/>
      <w:spacing w:line="440" w:lineRule="exact"/>
      <w:ind w:firstLine="200" w:firstLineChars="200"/>
      <w:jc w:val="center"/>
    </w:pPr>
    <w:rPr>
      <w:rFonts w:ascii="宋体"/>
      <w:kern w:val="0"/>
      <w:sz w:val="24"/>
      <w:szCs w:val="21"/>
      <w:shd w:val="clear" w:color="auto" w:fill="FFFFFF"/>
      <w:lang w:val="zh-CN"/>
    </w:rPr>
  </w:style>
  <w:style w:type="paragraph" w:customStyle="1" w:styleId="3820">
    <w:name w:val="样式 黑体 小四 行距: 固定值 24 磅"/>
    <w:basedOn w:val="1"/>
    <w:qFormat/>
    <w:uiPriority w:val="0"/>
    <w:pPr>
      <w:widowControl/>
      <w:spacing w:line="480" w:lineRule="exact"/>
      <w:ind w:firstLine="200" w:firstLineChars="200"/>
    </w:pPr>
    <w:rPr>
      <w:rFonts w:ascii="黑体" w:eastAsia="黑体"/>
      <w:kern w:val="0"/>
      <w:sz w:val="24"/>
      <w:szCs w:val="20"/>
    </w:rPr>
  </w:style>
  <w:style w:type="paragraph" w:customStyle="1" w:styleId="3821">
    <w:name w:val="表文-左"/>
    <w:basedOn w:val="220"/>
    <w:qFormat/>
    <w:uiPriority w:val="0"/>
    <w:pPr>
      <w:widowControl/>
      <w:adjustRightInd/>
      <w:snapToGrid/>
      <w:spacing w:line="440" w:lineRule="exact"/>
      <w:ind w:left="0" w:firstLine="200" w:firstLineChars="200"/>
      <w:jc w:val="center"/>
      <w:textAlignment w:val="auto"/>
    </w:pPr>
    <w:rPr>
      <w:rFonts w:ascii="仿宋_GB2312" w:hAnsi="Arial Black" w:eastAsia="仿宋_GB2312"/>
      <w:kern w:val="44"/>
      <w:sz w:val="24"/>
      <w:szCs w:val="20"/>
    </w:rPr>
  </w:style>
  <w:style w:type="paragraph" w:customStyle="1" w:styleId="3822">
    <w:name w:val="样式 样式 段前: 0.5 行 段后: 7.8 磅 首行缩进:  2 字符 + 首行缩进:  2 字符 段前: 0.5 行1"/>
    <w:basedOn w:val="1"/>
    <w:qFormat/>
    <w:uiPriority w:val="0"/>
    <w:pPr>
      <w:widowControl/>
      <w:spacing w:beforeLines="50" w:line="360" w:lineRule="auto"/>
      <w:ind w:firstLine="200" w:firstLineChars="200"/>
    </w:pPr>
    <w:rPr>
      <w:rFonts w:ascii="宋体" w:cs="宋体"/>
      <w:kern w:val="0"/>
      <w:sz w:val="24"/>
      <w:szCs w:val="20"/>
    </w:rPr>
  </w:style>
  <w:style w:type="paragraph" w:customStyle="1" w:styleId="3823">
    <w:name w:val="样式 报告正文"/>
    <w:basedOn w:val="1"/>
    <w:qFormat/>
    <w:uiPriority w:val="0"/>
    <w:pPr>
      <w:widowControl/>
      <w:spacing w:line="440" w:lineRule="exact"/>
      <w:ind w:firstLine="480" w:firstLineChars="200"/>
      <w:jc w:val="center"/>
    </w:pPr>
    <w:rPr>
      <w:rFonts w:ascii="宋体" w:hAnsi="宋体" w:cs="Verdana"/>
      <w:bCs/>
      <w:kern w:val="0"/>
      <w:sz w:val="18"/>
      <w:szCs w:val="18"/>
    </w:rPr>
  </w:style>
  <w:style w:type="paragraph" w:customStyle="1" w:styleId="3824">
    <w:name w:val="样式 标题 4 + 段后: 0.5 行"/>
    <w:basedOn w:val="8"/>
    <w:qFormat/>
    <w:uiPriority w:val="0"/>
    <w:pPr>
      <w:widowControl/>
      <w:numPr>
        <w:numId w:val="10"/>
      </w:numPr>
      <w:tabs>
        <w:tab w:val="left" w:pos="720"/>
        <w:tab w:val="left" w:pos="864"/>
      </w:tabs>
      <w:spacing w:before="0" w:after="0" w:line="460" w:lineRule="exact"/>
      <w:ind w:left="864" w:hanging="864"/>
    </w:pPr>
    <w:rPr>
      <w:rFonts w:ascii="Times New Roman" w:hAnsi="Times New Roman" w:eastAsia="宋体" w:cs="宋体"/>
      <w:bCs w:val="0"/>
      <w:kern w:val="0"/>
      <w:sz w:val="32"/>
      <w:szCs w:val="32"/>
    </w:rPr>
  </w:style>
  <w:style w:type="paragraph" w:customStyle="1" w:styleId="3825">
    <w:name w:val="样式 标题 3标题 3 Char + 段前: 1 行 段后: 1 行"/>
    <w:basedOn w:val="7"/>
    <w:qFormat/>
    <w:uiPriority w:val="0"/>
    <w:pPr>
      <w:tabs>
        <w:tab w:val="left" w:pos="720"/>
        <w:tab w:val="left" w:pos="1931"/>
      </w:tabs>
      <w:spacing w:beforeLines="100" w:afterLines="100" w:line="240" w:lineRule="auto"/>
      <w:ind w:left="1418" w:hanging="567"/>
      <w:jc w:val="both"/>
    </w:pPr>
    <w:rPr>
      <w:rFonts w:ascii="Times New Roman" w:hAnsi="Times New Roman" w:cs="宋体"/>
      <w:b w:val="0"/>
      <w:bCs w:val="0"/>
      <w:sz w:val="28"/>
      <w:szCs w:val="20"/>
      <w:lang w:val="en-US"/>
    </w:rPr>
  </w:style>
  <w:style w:type="paragraph" w:customStyle="1" w:styleId="3826">
    <w:name w:val="缩格正文"/>
    <w:basedOn w:val="1"/>
    <w:qFormat/>
    <w:uiPriority w:val="0"/>
    <w:pPr>
      <w:widowControl/>
      <w:adjustRightInd w:val="0"/>
      <w:snapToGrid w:val="0"/>
      <w:spacing w:line="440" w:lineRule="exact"/>
      <w:ind w:firstLine="600" w:firstLineChars="200"/>
    </w:pPr>
    <w:rPr>
      <w:rFonts w:ascii="宋体"/>
      <w:kern w:val="0"/>
      <w:sz w:val="24"/>
      <w:szCs w:val="20"/>
    </w:rPr>
  </w:style>
  <w:style w:type="paragraph" w:customStyle="1" w:styleId="3827">
    <w:name w:val="表格文字样式"/>
    <w:basedOn w:val="1"/>
    <w:qFormat/>
    <w:uiPriority w:val="0"/>
    <w:pPr>
      <w:widowControl/>
      <w:adjustRightInd w:val="0"/>
      <w:snapToGrid w:val="0"/>
      <w:spacing w:line="440" w:lineRule="exact"/>
      <w:ind w:firstLine="200" w:firstLineChars="200"/>
      <w:jc w:val="center"/>
    </w:pPr>
    <w:rPr>
      <w:rFonts w:ascii="Arial" w:hAnsi="Arial" w:cs="Arial"/>
      <w:kern w:val="0"/>
      <w:sz w:val="24"/>
      <w:szCs w:val="20"/>
    </w:rPr>
  </w:style>
  <w:style w:type="paragraph" w:customStyle="1" w:styleId="3828">
    <w:name w:val="小标题(1)"/>
    <w:basedOn w:val="34"/>
    <w:qFormat/>
    <w:uiPriority w:val="0"/>
    <w:pPr>
      <w:adjustRightInd w:val="0"/>
      <w:snapToGrid/>
      <w:spacing w:after="60" w:line="264" w:lineRule="auto"/>
      <w:ind w:right="0" w:firstLine="240" w:firstLineChars="100"/>
      <w:textAlignment w:val="baseline"/>
    </w:pPr>
    <w:rPr>
      <w:kern w:val="2"/>
      <w:sz w:val="24"/>
    </w:rPr>
  </w:style>
  <w:style w:type="paragraph" w:customStyle="1" w:styleId="3829">
    <w:name w:val="样式 标题 3 + Times New Roman"/>
    <w:basedOn w:val="7"/>
    <w:qFormat/>
    <w:uiPriority w:val="0"/>
    <w:pPr>
      <w:tabs>
        <w:tab w:val="left" w:pos="280"/>
      </w:tabs>
      <w:spacing w:beforeLines="100" w:afterLines="100" w:line="240" w:lineRule="auto"/>
      <w:ind w:left="1260" w:hanging="420"/>
      <w:jc w:val="both"/>
    </w:pPr>
    <w:rPr>
      <w:rFonts w:ascii="Times New Roman" w:hAnsi="Times New Roman"/>
      <w:b w:val="0"/>
      <w:sz w:val="30"/>
      <w:szCs w:val="30"/>
      <w:lang w:val="en-US"/>
    </w:rPr>
  </w:style>
  <w:style w:type="paragraph" w:customStyle="1" w:styleId="3830">
    <w:name w:val="表格文本 五号 居中 单倍行距"/>
    <w:basedOn w:val="1"/>
    <w:next w:val="1"/>
    <w:qFormat/>
    <w:uiPriority w:val="0"/>
    <w:pPr>
      <w:widowControl/>
      <w:adjustRightInd w:val="0"/>
      <w:spacing w:line="440" w:lineRule="exact"/>
      <w:ind w:firstLine="200" w:firstLineChars="200"/>
      <w:jc w:val="center"/>
      <w:textAlignment w:val="baseline"/>
    </w:pPr>
    <w:rPr>
      <w:rFonts w:ascii="宋体" w:hAnsi="Courier New" w:cs="宋体"/>
      <w:kern w:val="0"/>
      <w:sz w:val="24"/>
      <w:szCs w:val="20"/>
    </w:rPr>
  </w:style>
  <w:style w:type="paragraph" w:customStyle="1" w:styleId="3831">
    <w:name w:val="juzhong"/>
    <w:basedOn w:val="1"/>
    <w:qFormat/>
    <w:uiPriority w:val="0"/>
    <w:pPr>
      <w:widowControl/>
      <w:spacing w:before="100" w:beforeAutospacing="1" w:after="100" w:afterAutospacing="1" w:line="440" w:lineRule="exact"/>
      <w:ind w:firstLine="200" w:firstLineChars="200"/>
    </w:pPr>
    <w:rPr>
      <w:rFonts w:ascii="宋体" w:hAnsi="宋体" w:cs="宋体"/>
      <w:color w:val="000000"/>
      <w:kern w:val="0"/>
      <w:sz w:val="24"/>
      <w:szCs w:val="20"/>
    </w:rPr>
  </w:style>
  <w:style w:type="paragraph" w:customStyle="1" w:styleId="3832">
    <w:name w:val="样式 标题 1 + 段前: 0.5 行 段后: 0.5 行1"/>
    <w:basedOn w:val="5"/>
    <w:qFormat/>
    <w:uiPriority w:val="0"/>
    <w:pPr>
      <w:keepLines/>
      <w:widowControl/>
      <w:tabs>
        <w:tab w:val="left" w:pos="680"/>
      </w:tabs>
      <w:overflowPunct/>
      <w:adjustRightInd w:val="0"/>
      <w:spacing w:before="100" w:beforeLines="100" w:after="100" w:afterLines="100" w:line="240" w:lineRule="auto"/>
      <w:ind w:left="851" w:hanging="851"/>
      <w:jc w:val="center"/>
    </w:pPr>
    <w:rPr>
      <w:rFonts w:ascii="微软雅黑" w:hAnsi="微软雅黑" w:cs="宋体"/>
      <w:b w:val="0"/>
      <w:bCs w:val="0"/>
      <w:color w:val="auto"/>
      <w:kern w:val="0"/>
      <w:sz w:val="32"/>
      <w:szCs w:val="20"/>
    </w:rPr>
  </w:style>
  <w:style w:type="paragraph" w:customStyle="1" w:styleId="3833">
    <w:name w:val="样式 样式 样式 样式 样式 样式 段前: 0.5 行 首行缩进:  2 字符 + 首行缩进:  2 字符 Char + 首行缩..."/>
    <w:basedOn w:val="1"/>
    <w:qFormat/>
    <w:uiPriority w:val="0"/>
    <w:pPr>
      <w:widowControl/>
      <w:adjustRightInd w:val="0"/>
      <w:snapToGrid w:val="0"/>
      <w:spacing w:line="460" w:lineRule="exact"/>
      <w:ind w:firstLine="560" w:firstLineChars="200"/>
    </w:pPr>
    <w:rPr>
      <w:rFonts w:ascii="宋体" w:eastAsia="华文仿宋" w:cs="宋体"/>
      <w:kern w:val="0"/>
      <w:sz w:val="24"/>
      <w:szCs w:val="28"/>
    </w:rPr>
  </w:style>
  <w:style w:type="paragraph" w:customStyle="1" w:styleId="3834">
    <w:name w:val="公式文字1"/>
    <w:basedOn w:val="3790"/>
    <w:qFormat/>
    <w:uiPriority w:val="0"/>
    <w:pPr>
      <w:spacing w:beforeLines="50"/>
      <w:ind w:firstLine="562"/>
    </w:pPr>
    <w:rPr>
      <w:b/>
      <w:bCs/>
    </w:rPr>
  </w:style>
  <w:style w:type="paragraph" w:customStyle="1" w:styleId="3835">
    <w:name w:val="样式 标题 1 + 段后: 1.5 行"/>
    <w:basedOn w:val="5"/>
    <w:qFormat/>
    <w:uiPriority w:val="0"/>
    <w:pPr>
      <w:keepLines/>
      <w:widowControl/>
      <w:tabs>
        <w:tab w:val="left" w:pos="680"/>
      </w:tabs>
      <w:overflowPunct/>
      <w:adjustRightInd w:val="0"/>
      <w:spacing w:before="100" w:beforeLines="100" w:after="100" w:afterLines="100" w:line="460" w:lineRule="exact"/>
      <w:ind w:left="851" w:hanging="851"/>
      <w:jc w:val="center"/>
    </w:pPr>
    <w:rPr>
      <w:rFonts w:ascii="微软雅黑" w:hAnsi="微软雅黑" w:eastAsia="微软雅黑" w:cs="宋体"/>
      <w:bCs w:val="0"/>
      <w:color w:val="auto"/>
      <w:kern w:val="0"/>
      <w:sz w:val="32"/>
      <w:szCs w:val="20"/>
    </w:rPr>
  </w:style>
  <w:style w:type="paragraph" w:customStyle="1" w:styleId="3836">
    <w:name w:val="样式 正文 + 首行缩进:  2 字符"/>
    <w:basedOn w:val="1"/>
    <w:qFormat/>
    <w:uiPriority w:val="0"/>
    <w:pPr>
      <w:widowControl/>
      <w:adjustRightInd w:val="0"/>
      <w:spacing w:line="529" w:lineRule="exact"/>
      <w:ind w:firstLine="480" w:firstLineChars="200"/>
      <w:textAlignment w:val="baseline"/>
    </w:pPr>
    <w:rPr>
      <w:rFonts w:ascii="宋体" w:cs="宋体"/>
      <w:kern w:val="0"/>
      <w:sz w:val="24"/>
      <w:szCs w:val="20"/>
    </w:rPr>
  </w:style>
  <w:style w:type="paragraph" w:customStyle="1" w:styleId="3837">
    <w:name w:val="33标题3"/>
    <w:basedOn w:val="1"/>
    <w:qFormat/>
    <w:uiPriority w:val="0"/>
    <w:pPr>
      <w:keepNext/>
      <w:keepLines/>
      <w:widowControl/>
      <w:spacing w:line="360" w:lineRule="auto"/>
      <w:ind w:firstLine="200" w:firstLineChars="200"/>
      <w:outlineLvl w:val="0"/>
    </w:pPr>
    <w:rPr>
      <w:rFonts w:ascii="宋体" w:hAnsi="宋体" w:cs="宋体"/>
      <w:b/>
      <w:bCs/>
      <w:kern w:val="44"/>
      <w:sz w:val="30"/>
      <w:szCs w:val="20"/>
    </w:rPr>
  </w:style>
  <w:style w:type="paragraph" w:customStyle="1" w:styleId="3838">
    <w:name w:val="样式 标题 3标题 3 Char标题 3 Char Char标题 3 Char2标题 3 Char1 Char标题 3..."/>
    <w:basedOn w:val="7"/>
    <w:qFormat/>
    <w:uiPriority w:val="0"/>
    <w:pPr>
      <w:tabs>
        <w:tab w:val="left" w:pos="720"/>
      </w:tabs>
      <w:spacing w:before="0" w:after="120" w:line="360" w:lineRule="exact"/>
      <w:ind w:left="1260" w:hanging="420"/>
      <w:jc w:val="both"/>
    </w:pPr>
    <w:rPr>
      <w:rFonts w:ascii="Times New Roman" w:hAnsi="Times New Roman" w:cs="宋体"/>
      <w:b w:val="0"/>
      <w:bCs w:val="0"/>
      <w:sz w:val="28"/>
      <w:szCs w:val="20"/>
      <w:lang w:val="en-US"/>
    </w:rPr>
  </w:style>
  <w:style w:type="paragraph" w:customStyle="1" w:styleId="3839">
    <w:name w:val="模型公式-居中"/>
    <w:next w:val="1"/>
    <w:qFormat/>
    <w:uiPriority w:val="0"/>
    <w:pPr>
      <w:spacing w:after="200" w:line="360" w:lineRule="auto"/>
      <w:jc w:val="center"/>
    </w:pPr>
    <w:rPr>
      <w:rFonts w:ascii="Calibri" w:hAnsi="Calibri" w:eastAsia="仿宋_GB2312" w:cs="Calibri"/>
      <w:bCs/>
      <w:sz w:val="24"/>
      <w:szCs w:val="24"/>
      <w:lang w:val="en-US" w:eastAsia="zh-CN" w:bidi="ar-SA"/>
    </w:rPr>
  </w:style>
  <w:style w:type="paragraph" w:customStyle="1" w:styleId="3840">
    <w:name w:val="样式 样式 标题 1章标题 + 加粗 段前: 1 行 段后: 1 行 行距: 2 倍行距 + 行距: 单倍行距"/>
    <w:basedOn w:val="1"/>
    <w:qFormat/>
    <w:uiPriority w:val="0"/>
    <w:pPr>
      <w:keepNext/>
      <w:keepLines/>
      <w:widowControl/>
      <w:tabs>
        <w:tab w:val="left" w:pos="432"/>
      </w:tabs>
      <w:adjustRightInd w:val="0"/>
      <w:snapToGrid w:val="0"/>
      <w:spacing w:beforeLines="100" w:afterLines="100" w:line="440" w:lineRule="exact"/>
      <w:ind w:left="432" w:hanging="432" w:firstLineChars="200"/>
      <w:outlineLvl w:val="0"/>
    </w:pPr>
    <w:rPr>
      <w:rFonts w:ascii="宋体" w:eastAsia="黑体" w:cs="宋体"/>
      <w:bCs/>
      <w:kern w:val="44"/>
      <w:sz w:val="44"/>
      <w:szCs w:val="44"/>
    </w:rPr>
  </w:style>
  <w:style w:type="paragraph" w:customStyle="1" w:styleId="3841">
    <w:name w:val="bks138"/>
    <w:basedOn w:val="1"/>
    <w:qFormat/>
    <w:uiPriority w:val="0"/>
    <w:pPr>
      <w:widowControl/>
      <w:spacing w:before="100" w:beforeAutospacing="1" w:after="100" w:afterAutospacing="1" w:line="440" w:lineRule="exact"/>
      <w:ind w:firstLine="200" w:firstLineChars="200"/>
    </w:pPr>
    <w:rPr>
      <w:rFonts w:ascii="宋体" w:hAnsi="宋体" w:cs="宋体"/>
      <w:kern w:val="0"/>
      <w:sz w:val="24"/>
      <w:szCs w:val="20"/>
    </w:rPr>
  </w:style>
  <w:style w:type="paragraph" w:customStyle="1" w:styleId="3842">
    <w:name w:val="样式 标题 2标题节标题 2 Char Char + 段前: 2 行"/>
    <w:basedOn w:val="6"/>
    <w:next w:val="1"/>
    <w:qFormat/>
    <w:uiPriority w:val="0"/>
    <w:pPr>
      <w:widowControl/>
      <w:adjustRightInd w:val="0"/>
      <w:snapToGrid w:val="0"/>
      <w:spacing w:before="0" w:after="0" w:line="460" w:lineRule="exact"/>
      <w:ind w:left="431" w:firstLine="200"/>
    </w:pPr>
    <w:rPr>
      <w:rFonts w:ascii="微软雅黑" w:hAnsi="微软雅黑" w:eastAsia="微软雅黑" w:cs="宋体"/>
      <w:color w:val="4F81BD"/>
      <w:kern w:val="0"/>
      <w:sz w:val="26"/>
      <w:szCs w:val="20"/>
      <w:lang w:eastAsia="en-US"/>
    </w:rPr>
  </w:style>
  <w:style w:type="paragraph" w:customStyle="1" w:styleId="3843">
    <w:name w:val="样式 纯文本普通文字 + (中文) 宋体 四号"/>
    <w:basedOn w:val="45"/>
    <w:qFormat/>
    <w:uiPriority w:val="0"/>
    <w:pPr>
      <w:widowControl/>
      <w:suppressAutoHyphens w:val="0"/>
      <w:autoSpaceDN/>
      <w:spacing w:line="360" w:lineRule="auto"/>
      <w:ind w:firstLine="480" w:firstLineChars="200"/>
      <w:textAlignment w:val="auto"/>
    </w:pPr>
    <w:rPr>
      <w:rFonts w:cs="Courier New"/>
      <w:color w:val="000000"/>
      <w:kern w:val="21"/>
      <w:sz w:val="24"/>
      <w:szCs w:val="24"/>
    </w:rPr>
  </w:style>
  <w:style w:type="paragraph" w:customStyle="1" w:styleId="3844">
    <w:name w:val="样式 标题 21标题21 Char标题 2 Char Char节标题节H2h2第一层条二级 标题 2标题 ..."/>
    <w:basedOn w:val="6"/>
    <w:qFormat/>
    <w:uiPriority w:val="0"/>
    <w:pPr>
      <w:widowControl/>
      <w:tabs>
        <w:tab w:val="left" w:pos="1107"/>
      </w:tabs>
      <w:adjustRightInd w:val="0"/>
      <w:snapToGrid w:val="0"/>
      <w:spacing w:before="0" w:after="0" w:line="360" w:lineRule="auto"/>
      <w:ind w:left="431" w:hanging="420"/>
    </w:pPr>
    <w:rPr>
      <w:rFonts w:ascii="Cambria" w:hAnsi="Cambria" w:eastAsia="宋体" w:cs="宋体"/>
      <w:b w:val="0"/>
      <w:bCs w:val="0"/>
      <w:color w:val="4F81BD"/>
      <w:kern w:val="0"/>
      <w:sz w:val="30"/>
      <w:szCs w:val="20"/>
      <w:lang w:eastAsia="en-US"/>
    </w:rPr>
  </w:style>
  <w:style w:type="paragraph" w:customStyle="1" w:styleId="3845">
    <w:name w:val="样式 标题 3标题 3 Char + 左侧:  1 字符 右侧:  1 字符"/>
    <w:basedOn w:val="7"/>
    <w:qFormat/>
    <w:uiPriority w:val="0"/>
    <w:pPr>
      <w:spacing w:before="0" w:after="0" w:line="460" w:lineRule="exact"/>
      <w:ind w:left="1260" w:firstLine="200"/>
      <w:jc w:val="both"/>
    </w:pPr>
    <w:rPr>
      <w:rFonts w:ascii="Times New Roman" w:hAnsi="Times New Roman" w:cs="宋体"/>
      <w:b w:val="0"/>
      <w:kern w:val="0"/>
      <w:sz w:val="26"/>
      <w:szCs w:val="26"/>
      <w:lang w:val="en-US"/>
    </w:rPr>
  </w:style>
  <w:style w:type="paragraph" w:customStyle="1" w:styleId="3846">
    <w:name w:val="样式 13 磅 行距: 固定值 23 磅"/>
    <w:basedOn w:val="1"/>
    <w:qFormat/>
    <w:uiPriority w:val="0"/>
    <w:pPr>
      <w:widowControl/>
      <w:spacing w:line="460" w:lineRule="exact"/>
      <w:ind w:firstLine="520" w:firstLineChars="200"/>
    </w:pPr>
    <w:rPr>
      <w:rFonts w:ascii="宋体"/>
      <w:kern w:val="0"/>
      <w:sz w:val="26"/>
      <w:szCs w:val="20"/>
    </w:rPr>
  </w:style>
  <w:style w:type="paragraph" w:customStyle="1" w:styleId="3847">
    <w:name w:val="mtitle"/>
    <w:basedOn w:val="1"/>
    <w:qFormat/>
    <w:uiPriority w:val="0"/>
    <w:pPr>
      <w:widowControl/>
      <w:spacing w:before="30" w:line="440" w:lineRule="exact"/>
      <w:ind w:firstLine="200" w:firstLineChars="200"/>
      <w:jc w:val="center"/>
    </w:pPr>
    <w:rPr>
      <w:rFonts w:ascii="方正小标宋简体" w:hAnsi="宋体" w:eastAsia="方正小标宋简体"/>
      <w:color w:val="000000"/>
      <w:kern w:val="0"/>
      <w:sz w:val="44"/>
      <w:szCs w:val="44"/>
    </w:rPr>
  </w:style>
  <w:style w:type="paragraph" w:customStyle="1" w:styleId="3848">
    <w:name w:val="td4"/>
    <w:basedOn w:val="1"/>
    <w:qFormat/>
    <w:uiPriority w:val="0"/>
    <w:pPr>
      <w:widowControl/>
      <w:spacing w:before="100" w:beforeAutospacing="1" w:after="100" w:afterAutospacing="1" w:line="300" w:lineRule="atLeast"/>
      <w:ind w:firstLine="200" w:firstLineChars="200"/>
    </w:pPr>
    <w:rPr>
      <w:rFonts w:ascii="宋体" w:hAnsi="宋体" w:cs="宋体"/>
      <w:color w:val="000000"/>
      <w:kern w:val="0"/>
      <w:sz w:val="18"/>
      <w:szCs w:val="18"/>
    </w:rPr>
  </w:style>
  <w:style w:type="paragraph" w:customStyle="1" w:styleId="3849">
    <w:name w:val="样式 段前: 0.5 行 首行缩进:  2 字符"/>
    <w:basedOn w:val="1"/>
    <w:qFormat/>
    <w:uiPriority w:val="0"/>
    <w:pPr>
      <w:widowControl/>
      <w:adjustRightInd w:val="0"/>
      <w:snapToGrid w:val="0"/>
      <w:spacing w:before="156" w:line="360" w:lineRule="auto"/>
      <w:ind w:firstLine="480" w:firstLineChars="200"/>
    </w:pPr>
    <w:rPr>
      <w:rFonts w:ascii="宋体" w:cs="宋体"/>
      <w:kern w:val="0"/>
      <w:sz w:val="24"/>
      <w:szCs w:val="20"/>
    </w:rPr>
  </w:style>
  <w:style w:type="paragraph" w:customStyle="1" w:styleId="3850">
    <w:name w:val="rw"/>
    <w:basedOn w:val="1"/>
    <w:qFormat/>
    <w:uiPriority w:val="0"/>
    <w:pPr>
      <w:widowControl/>
      <w:spacing w:before="30" w:line="440" w:lineRule="exact"/>
      <w:ind w:left="100" w:right="100" w:firstLine="200" w:firstLineChars="200"/>
      <w:jc w:val="right"/>
    </w:pPr>
    <w:rPr>
      <w:rFonts w:ascii="方正仿宋简体" w:hAnsi="宋体" w:eastAsia="方正仿宋简体"/>
      <w:color w:val="000000"/>
      <w:kern w:val="0"/>
      <w:sz w:val="24"/>
      <w:szCs w:val="21"/>
    </w:rPr>
  </w:style>
  <w:style w:type="paragraph" w:customStyle="1" w:styleId="3851">
    <w:name w:val="样式 样式 标题 2标题节标题 2 Char Char + 段前: 2 行 + 左侧:  1 字符 右侧:  1 字符"/>
    <w:basedOn w:val="1"/>
    <w:qFormat/>
    <w:uiPriority w:val="0"/>
    <w:pPr>
      <w:keepNext/>
      <w:keepLines/>
      <w:widowControl/>
      <w:adjustRightInd w:val="0"/>
      <w:snapToGrid w:val="0"/>
      <w:spacing w:line="460" w:lineRule="exact"/>
      <w:ind w:firstLine="200" w:firstLineChars="200"/>
      <w:outlineLvl w:val="1"/>
    </w:pPr>
    <w:rPr>
      <w:rFonts w:ascii="宋体"/>
      <w:b/>
      <w:bCs/>
      <w:kern w:val="0"/>
      <w:sz w:val="26"/>
      <w:szCs w:val="26"/>
    </w:rPr>
  </w:style>
  <w:style w:type="paragraph" w:customStyle="1" w:styleId="3852">
    <w:name w:val="样式 小四1"/>
    <w:basedOn w:val="1"/>
    <w:qFormat/>
    <w:uiPriority w:val="0"/>
    <w:pPr>
      <w:widowControl/>
      <w:adjustRightInd w:val="0"/>
      <w:snapToGrid w:val="0"/>
      <w:spacing w:beforeLines="50" w:line="360" w:lineRule="auto"/>
      <w:ind w:firstLine="200" w:firstLineChars="200"/>
    </w:pPr>
    <w:rPr>
      <w:rFonts w:ascii="宋体" w:cs="宋体"/>
      <w:kern w:val="0"/>
      <w:sz w:val="24"/>
      <w:szCs w:val="20"/>
    </w:rPr>
  </w:style>
  <w:style w:type="paragraph" w:customStyle="1" w:styleId="3853">
    <w:name w:val="编号A."/>
    <w:basedOn w:val="1"/>
    <w:qFormat/>
    <w:uiPriority w:val="0"/>
    <w:pPr>
      <w:widowControl/>
      <w:tabs>
        <w:tab w:val="left" w:pos="547"/>
        <w:tab w:val="left" w:pos="907"/>
        <w:tab w:val="left" w:pos="1080"/>
      </w:tabs>
      <w:spacing w:line="480" w:lineRule="atLeast"/>
      <w:ind w:firstLine="547" w:firstLineChars="200"/>
    </w:pPr>
    <w:rPr>
      <w:rFonts w:ascii="宋体"/>
      <w:kern w:val="0"/>
      <w:sz w:val="24"/>
      <w:szCs w:val="20"/>
    </w:rPr>
  </w:style>
  <w:style w:type="paragraph" w:customStyle="1" w:styleId="3854">
    <w:name w:val="样式 样式 标题 1一、1.标题 1 + 段前: 1 行 段后: 1 行 + 段前: 1 行 段后: 1 行"/>
    <w:basedOn w:val="1"/>
    <w:qFormat/>
    <w:uiPriority w:val="0"/>
    <w:pPr>
      <w:keepNext/>
      <w:keepLines/>
      <w:pageBreakBefore/>
      <w:widowControl/>
      <w:tabs>
        <w:tab w:val="left" w:pos="280"/>
        <w:tab w:val="left" w:pos="425"/>
      </w:tabs>
      <w:adjustRightInd w:val="0"/>
      <w:snapToGrid w:val="0"/>
      <w:spacing w:beforeLines="100" w:afterLines="100" w:line="360" w:lineRule="auto"/>
      <w:ind w:left="431" w:hanging="431" w:firstLineChars="200"/>
      <w:outlineLvl w:val="0"/>
    </w:pPr>
    <w:rPr>
      <w:rFonts w:ascii="宋体" w:eastAsia="黑体" w:cs="宋体"/>
      <w:kern w:val="44"/>
      <w:sz w:val="44"/>
      <w:szCs w:val="20"/>
    </w:rPr>
  </w:style>
  <w:style w:type="paragraph" w:customStyle="1" w:styleId="3855">
    <w:name w:val="样式 样式 样式 段前: 0.5 行 首行缩进:  2 字符 + 首行缩进:  2 字符 Char + 段前: 0.5 行"/>
    <w:basedOn w:val="1"/>
    <w:qFormat/>
    <w:uiPriority w:val="0"/>
    <w:pPr>
      <w:widowControl/>
      <w:adjustRightInd w:val="0"/>
      <w:snapToGrid w:val="0"/>
      <w:spacing w:line="460" w:lineRule="exact"/>
      <w:ind w:firstLine="200" w:firstLineChars="200"/>
    </w:pPr>
    <w:rPr>
      <w:rFonts w:ascii="宋体" w:eastAsia="华文仿宋" w:cs="宋体"/>
      <w:kern w:val="0"/>
      <w:sz w:val="24"/>
      <w:szCs w:val="28"/>
    </w:rPr>
  </w:style>
  <w:style w:type="paragraph" w:customStyle="1" w:styleId="3856">
    <w:name w:val="f2"/>
    <w:basedOn w:val="1"/>
    <w:qFormat/>
    <w:uiPriority w:val="0"/>
    <w:pPr>
      <w:widowControl/>
      <w:spacing w:before="100" w:beforeAutospacing="1" w:after="100" w:afterAutospacing="1" w:line="440" w:lineRule="exact"/>
      <w:ind w:firstLine="200" w:firstLineChars="200"/>
    </w:pPr>
    <w:rPr>
      <w:rFonts w:ascii="宋体" w:hAnsi="宋体" w:cs="宋体"/>
      <w:kern w:val="0"/>
      <w:sz w:val="24"/>
      <w:szCs w:val="21"/>
    </w:rPr>
  </w:style>
  <w:style w:type="paragraph" w:customStyle="1" w:styleId="3857">
    <w:name w:val="样式 13 磅 黑色 行距: 固定值 23 磅"/>
    <w:basedOn w:val="1"/>
    <w:qFormat/>
    <w:uiPriority w:val="0"/>
    <w:pPr>
      <w:widowControl/>
      <w:adjustRightInd w:val="0"/>
      <w:snapToGrid w:val="0"/>
      <w:spacing w:line="460" w:lineRule="exact"/>
      <w:ind w:firstLine="520" w:firstLineChars="200"/>
    </w:pPr>
    <w:rPr>
      <w:rFonts w:ascii="宋体"/>
      <w:kern w:val="0"/>
      <w:sz w:val="26"/>
      <w:szCs w:val="20"/>
    </w:rPr>
  </w:style>
  <w:style w:type="paragraph" w:customStyle="1" w:styleId="3858">
    <w:name w:val="Char Char Char Char Char Char Char Char Char Char Char Char Char Char Char1"/>
    <w:basedOn w:val="1"/>
    <w:qFormat/>
    <w:uiPriority w:val="0"/>
    <w:pPr>
      <w:widowControl/>
      <w:spacing w:line="440" w:lineRule="exact"/>
      <w:ind w:firstLine="200" w:firstLineChars="200"/>
    </w:pPr>
    <w:rPr>
      <w:rFonts w:ascii="宋体"/>
      <w:kern w:val="0"/>
      <w:sz w:val="24"/>
      <w:szCs w:val="20"/>
    </w:rPr>
  </w:style>
  <w:style w:type="paragraph" w:customStyle="1" w:styleId="3859">
    <w:name w:val="样式 样式 标题 2标题节标题 2 Char Char + 段前: 2 行 + 段前: 0.5 行 段后: 0.5 行1"/>
    <w:basedOn w:val="3842"/>
    <w:qFormat/>
    <w:uiPriority w:val="0"/>
  </w:style>
  <w:style w:type="paragraph" w:customStyle="1" w:styleId="3860">
    <w:name w:val="样式 样式 标题 3 + Times New Roman + 段前: 1 行 段后: 1 行"/>
    <w:basedOn w:val="1"/>
    <w:qFormat/>
    <w:uiPriority w:val="0"/>
    <w:pPr>
      <w:keepNext/>
      <w:keepLines/>
      <w:widowControl/>
      <w:tabs>
        <w:tab w:val="left" w:pos="280"/>
        <w:tab w:val="left" w:pos="1931"/>
      </w:tabs>
      <w:adjustRightInd w:val="0"/>
      <w:snapToGrid w:val="0"/>
      <w:spacing w:beforeLines="100" w:afterLines="100" w:line="440" w:lineRule="exact"/>
      <w:ind w:left="1418" w:hanging="567" w:firstLineChars="200"/>
      <w:outlineLvl w:val="2"/>
    </w:pPr>
    <w:rPr>
      <w:rFonts w:ascii="宋体" w:eastAsia="黑体" w:cs="宋体"/>
      <w:kern w:val="0"/>
      <w:sz w:val="30"/>
      <w:szCs w:val="20"/>
    </w:rPr>
  </w:style>
  <w:style w:type="paragraph" w:customStyle="1" w:styleId="3861">
    <w:name w:val="表头格式"/>
    <w:basedOn w:val="1"/>
    <w:qFormat/>
    <w:uiPriority w:val="0"/>
    <w:pPr>
      <w:widowControl/>
      <w:spacing w:beforeLines="50" w:line="360" w:lineRule="exact"/>
      <w:ind w:firstLine="200" w:firstLineChars="200"/>
      <w:jc w:val="center"/>
    </w:pPr>
    <w:rPr>
      <w:rFonts w:ascii="宋体" w:eastAsia="方正黑体简体"/>
      <w:kern w:val="0"/>
      <w:sz w:val="24"/>
      <w:szCs w:val="20"/>
    </w:rPr>
  </w:style>
  <w:style w:type="paragraph" w:customStyle="1" w:styleId="3862">
    <w:name w:val="正文+加粗"/>
    <w:basedOn w:val="1"/>
    <w:qFormat/>
    <w:uiPriority w:val="0"/>
    <w:pPr>
      <w:widowControl/>
      <w:spacing w:line="500" w:lineRule="exact"/>
      <w:ind w:firstLine="200" w:firstLineChars="200"/>
    </w:pPr>
    <w:rPr>
      <w:rFonts w:ascii="宋体"/>
      <w:b/>
      <w:kern w:val="0"/>
      <w:sz w:val="24"/>
      <w:szCs w:val="20"/>
    </w:rPr>
  </w:style>
  <w:style w:type="paragraph" w:customStyle="1" w:styleId="3863">
    <w:name w:val="11号线正文缩进4字符"/>
    <w:basedOn w:val="1"/>
    <w:qFormat/>
    <w:uiPriority w:val="0"/>
    <w:pPr>
      <w:widowControl/>
      <w:spacing w:line="500" w:lineRule="exact"/>
      <w:ind w:left="200" w:leftChars="200" w:firstLine="200" w:firstLineChars="200"/>
    </w:pPr>
    <w:rPr>
      <w:rFonts w:ascii="宋体" w:hAnsi="宋体" w:cs="宋体"/>
      <w:kern w:val="0"/>
      <w:sz w:val="24"/>
      <w:szCs w:val="28"/>
    </w:rPr>
  </w:style>
  <w:style w:type="paragraph" w:customStyle="1" w:styleId="3864">
    <w:name w:val="文本框1"/>
    <w:basedOn w:val="1"/>
    <w:qFormat/>
    <w:uiPriority w:val="0"/>
    <w:pPr>
      <w:widowControl/>
      <w:spacing w:after="60" w:line="340" w:lineRule="atLeast"/>
      <w:ind w:firstLine="567" w:firstLineChars="200"/>
    </w:pPr>
    <w:rPr>
      <w:rFonts w:ascii="宋体" w:hAnsi="宋体"/>
      <w:kern w:val="0"/>
      <w:sz w:val="24"/>
      <w:szCs w:val="20"/>
    </w:rPr>
  </w:style>
  <w:style w:type="paragraph" w:customStyle="1" w:styleId="3865">
    <w:name w:val="编号(1)"/>
    <w:basedOn w:val="1"/>
    <w:qFormat/>
    <w:uiPriority w:val="0"/>
    <w:pPr>
      <w:widowControl/>
      <w:tabs>
        <w:tab w:val="left" w:pos="547"/>
        <w:tab w:val="left" w:pos="907"/>
        <w:tab w:val="left" w:pos="1080"/>
      </w:tabs>
      <w:spacing w:line="480" w:lineRule="atLeast"/>
      <w:ind w:firstLine="547" w:firstLineChars="200"/>
    </w:pPr>
    <w:rPr>
      <w:rFonts w:ascii="宋体"/>
      <w:kern w:val="0"/>
      <w:sz w:val="24"/>
      <w:szCs w:val="20"/>
    </w:rPr>
  </w:style>
  <w:style w:type="paragraph" w:customStyle="1" w:styleId="3866">
    <w:name w:val="Char Char Char Char Char1 Char"/>
    <w:basedOn w:val="1"/>
    <w:qFormat/>
    <w:uiPriority w:val="0"/>
    <w:pPr>
      <w:widowControl/>
      <w:adjustRightInd w:val="0"/>
      <w:spacing w:line="360" w:lineRule="auto"/>
      <w:ind w:firstLine="200" w:firstLineChars="200"/>
    </w:pPr>
    <w:rPr>
      <w:rFonts w:ascii="宋体" w:eastAsia="黑体"/>
      <w:spacing w:val="20"/>
      <w:kern w:val="0"/>
      <w:sz w:val="32"/>
      <w:szCs w:val="32"/>
    </w:rPr>
  </w:style>
  <w:style w:type="paragraph" w:customStyle="1" w:styleId="3867">
    <w:name w:val="样式 样式 四号 + 首行缩进:  2 字符"/>
    <w:basedOn w:val="1"/>
    <w:qFormat/>
    <w:uiPriority w:val="0"/>
    <w:pPr>
      <w:widowControl/>
      <w:spacing w:line="240" w:lineRule="atLeast"/>
      <w:ind w:firstLine="200" w:firstLineChars="200"/>
    </w:pPr>
    <w:rPr>
      <w:rFonts w:ascii="宋体" w:cs="宋体"/>
      <w:kern w:val="0"/>
      <w:sz w:val="24"/>
      <w:szCs w:val="20"/>
    </w:rPr>
  </w:style>
  <w:style w:type="paragraph" w:customStyle="1" w:styleId="3868">
    <w:name w:val="样式 标题 1一、1.标题 1 + (西文) 昆仑黑体"/>
    <w:basedOn w:val="5"/>
    <w:qFormat/>
    <w:uiPriority w:val="0"/>
    <w:pPr>
      <w:keepLines/>
      <w:widowControl/>
      <w:tabs>
        <w:tab w:val="left" w:pos="680"/>
        <w:tab w:val="left" w:pos="1200"/>
      </w:tabs>
      <w:overflowPunct/>
      <w:adjustRightInd w:val="0"/>
      <w:spacing w:before="100" w:beforeLines="100" w:after="100" w:afterLines="100" w:line="240" w:lineRule="auto"/>
      <w:ind w:left="1200" w:hanging="720"/>
      <w:jc w:val="center"/>
    </w:pPr>
    <w:rPr>
      <w:rFonts w:ascii="昆仑黑体" w:hAnsi="昆仑黑体"/>
      <w:b w:val="0"/>
      <w:bCs w:val="0"/>
      <w:color w:val="auto"/>
      <w:kern w:val="0"/>
      <w:sz w:val="32"/>
      <w:szCs w:val="20"/>
    </w:rPr>
  </w:style>
  <w:style w:type="paragraph" w:customStyle="1" w:styleId="3869">
    <w:name w:val="样式 标题 3 + (符号) 宋体"/>
    <w:basedOn w:val="7"/>
    <w:qFormat/>
    <w:uiPriority w:val="0"/>
    <w:pPr>
      <w:tabs>
        <w:tab w:val="left" w:pos="425"/>
        <w:tab w:val="left" w:pos="720"/>
      </w:tabs>
      <w:adjustRightInd/>
      <w:spacing w:before="120" w:afterLines="50" w:line="440" w:lineRule="exact"/>
      <w:ind w:left="720" w:hanging="720"/>
      <w:jc w:val="both"/>
    </w:pPr>
    <w:rPr>
      <w:rFonts w:ascii="Arial" w:hAnsi="Arial"/>
      <w:b w:val="0"/>
      <w:sz w:val="28"/>
      <w:szCs w:val="28"/>
      <w:lang w:val="en-US"/>
    </w:rPr>
  </w:style>
  <w:style w:type="paragraph" w:customStyle="1" w:styleId="3870">
    <w:name w:val="样式 样式 表名 + 段后: 0.5 行 + 段后: 0.2 行"/>
    <w:basedOn w:val="1"/>
    <w:qFormat/>
    <w:uiPriority w:val="0"/>
    <w:pPr>
      <w:widowControl/>
      <w:spacing w:before="120" w:afterLines="20" w:line="360" w:lineRule="auto"/>
      <w:ind w:firstLine="200" w:firstLineChars="200"/>
      <w:jc w:val="center"/>
    </w:pPr>
    <w:rPr>
      <w:rFonts w:ascii="Arial" w:hAnsi="Arial" w:eastAsia="仿宋_GB2312" w:cs="宋体"/>
      <w:b/>
      <w:bCs/>
      <w:kern w:val="0"/>
      <w:sz w:val="24"/>
      <w:szCs w:val="20"/>
    </w:rPr>
  </w:style>
  <w:style w:type="paragraph" w:customStyle="1" w:styleId="3871">
    <w:name w:val="acee正文"/>
    <w:basedOn w:val="1"/>
    <w:qFormat/>
    <w:uiPriority w:val="0"/>
    <w:pPr>
      <w:widowControl/>
      <w:spacing w:line="480" w:lineRule="exact"/>
      <w:ind w:firstLine="640" w:firstLineChars="200"/>
    </w:pPr>
    <w:rPr>
      <w:rFonts w:ascii="仿宋_GB2312" w:hAnsi="宋体" w:eastAsia="仿宋_GB2312"/>
      <w:kern w:val="0"/>
      <w:sz w:val="32"/>
      <w:szCs w:val="20"/>
    </w:rPr>
  </w:style>
  <w:style w:type="paragraph" w:customStyle="1" w:styleId="3872">
    <w:name w:val="表名/图名"/>
    <w:basedOn w:val="1"/>
    <w:qFormat/>
    <w:uiPriority w:val="0"/>
    <w:pPr>
      <w:adjustRightInd w:val="0"/>
      <w:spacing w:line="240" w:lineRule="atLeast"/>
      <w:ind w:firstLine="210"/>
      <w:jc w:val="center"/>
      <w:textAlignment w:val="baseline"/>
    </w:pPr>
    <w:rPr>
      <w:rFonts w:ascii="宋体" w:hAnsi="宋体"/>
      <w:b/>
      <w:kern w:val="0"/>
      <w:szCs w:val="21"/>
    </w:rPr>
  </w:style>
  <w:style w:type="paragraph" w:customStyle="1" w:styleId="3873">
    <w:name w:val="样式 样式 样式 表格样式 + 五号 + +"/>
    <w:basedOn w:val="1"/>
    <w:qFormat/>
    <w:uiPriority w:val="0"/>
    <w:pPr>
      <w:widowControl/>
      <w:adjustRightInd w:val="0"/>
      <w:snapToGrid w:val="0"/>
      <w:spacing w:line="440" w:lineRule="exact"/>
      <w:ind w:firstLine="200" w:firstLineChars="200"/>
      <w:jc w:val="center"/>
      <w:textAlignment w:val="baseline"/>
    </w:pPr>
    <w:rPr>
      <w:rFonts w:ascii="Arial" w:hAnsi="Arial"/>
      <w:kern w:val="0"/>
      <w:sz w:val="24"/>
      <w:szCs w:val="20"/>
    </w:rPr>
  </w:style>
  <w:style w:type="paragraph" w:customStyle="1" w:styleId="3874">
    <w:name w:val="样式 正文首行缩进 2 + 首行缩进:  2 字符"/>
    <w:basedOn w:val="3554"/>
    <w:qFormat/>
    <w:uiPriority w:val="0"/>
    <w:pPr>
      <w:spacing w:after="0" w:line="360" w:lineRule="auto"/>
      <w:ind w:left="0" w:leftChars="0" w:firstLine="480"/>
    </w:pPr>
    <w:rPr>
      <w:rFonts w:cs="宋体"/>
      <w:szCs w:val="20"/>
    </w:rPr>
  </w:style>
  <w:style w:type="paragraph" w:customStyle="1" w:styleId="3875">
    <w:name w:val="1.1.1 标题"/>
    <w:basedOn w:val="1"/>
    <w:qFormat/>
    <w:uiPriority w:val="0"/>
    <w:pPr>
      <w:keepNext/>
      <w:keepLines/>
      <w:adjustRightInd w:val="0"/>
      <w:snapToGrid w:val="0"/>
      <w:spacing w:line="460" w:lineRule="exact"/>
      <w:ind w:firstLine="482" w:firstLineChars="200"/>
      <w:outlineLvl w:val="2"/>
    </w:pPr>
    <w:rPr>
      <w:rFonts w:ascii="Arial" w:hAnsi="Arial" w:eastAsia="黑体" w:cs="Arial"/>
      <w:b/>
      <w:bCs/>
      <w:color w:val="000000"/>
      <w:sz w:val="24"/>
    </w:rPr>
  </w:style>
  <w:style w:type="paragraph" w:customStyle="1" w:styleId="3876">
    <w:name w:val="表格文本：5+居中+单倍行距"/>
    <w:basedOn w:val="1"/>
    <w:qFormat/>
    <w:uiPriority w:val="0"/>
    <w:pPr>
      <w:widowControl/>
      <w:adjustRightInd w:val="0"/>
      <w:snapToGrid w:val="0"/>
      <w:spacing w:beforeLines="50" w:line="440" w:lineRule="exact"/>
      <w:ind w:firstLine="200" w:firstLineChars="200"/>
      <w:jc w:val="center"/>
      <w:textAlignment w:val="center"/>
    </w:pPr>
    <w:rPr>
      <w:rFonts w:ascii="宋体" w:cs="宋体"/>
      <w:kern w:val="0"/>
      <w:sz w:val="24"/>
      <w:szCs w:val="21"/>
    </w:rPr>
  </w:style>
  <w:style w:type="paragraph" w:customStyle="1" w:styleId="3877">
    <w:name w:val="样式 正文段落青岛 + 首行缩进:  2 字符"/>
    <w:basedOn w:val="3878"/>
    <w:qFormat/>
    <w:uiPriority w:val="0"/>
    <w:pPr>
      <w:spacing w:beforeLines="50" w:after="156" w:line="360" w:lineRule="auto"/>
      <w:ind w:firstLine="0" w:firstLineChars="0"/>
      <w:jc w:val="both"/>
    </w:pPr>
    <w:rPr>
      <w:rFonts w:ascii="宋体" w:hAnsi="宋体" w:cs="宋体"/>
      <w:sz w:val="24"/>
      <w:szCs w:val="24"/>
    </w:rPr>
  </w:style>
  <w:style w:type="paragraph" w:customStyle="1" w:styleId="3878">
    <w:name w:val="正文段落青岛"/>
    <w:qFormat/>
    <w:uiPriority w:val="0"/>
    <w:pPr>
      <w:spacing w:after="200" w:line="520" w:lineRule="exact"/>
      <w:ind w:firstLine="200" w:firstLineChars="200"/>
    </w:pPr>
    <w:rPr>
      <w:rFonts w:ascii="Calibri" w:hAnsi="Calibri" w:eastAsia="宋体" w:cs="Calibri"/>
      <w:sz w:val="28"/>
      <w:szCs w:val="28"/>
      <w:lang w:val="en-US" w:eastAsia="zh-CN" w:bidi="ar-SA"/>
    </w:rPr>
  </w:style>
  <w:style w:type="paragraph" w:customStyle="1" w:styleId="3879">
    <w:name w:val="首行缩进 Char Char Char"/>
    <w:basedOn w:val="1"/>
    <w:qFormat/>
    <w:uiPriority w:val="0"/>
    <w:pPr>
      <w:widowControl/>
      <w:snapToGrid w:val="0"/>
      <w:spacing w:line="360" w:lineRule="auto"/>
      <w:ind w:firstLine="499" w:firstLineChars="200"/>
    </w:pPr>
    <w:rPr>
      <w:rFonts w:ascii="宋体"/>
      <w:kern w:val="0"/>
      <w:sz w:val="24"/>
      <w:szCs w:val="20"/>
    </w:rPr>
  </w:style>
  <w:style w:type="paragraph" w:customStyle="1" w:styleId="3880">
    <w:name w:val="表头[BT]"/>
    <w:basedOn w:val="1"/>
    <w:qFormat/>
    <w:uiPriority w:val="0"/>
    <w:pPr>
      <w:widowControl/>
      <w:adjustRightInd w:val="0"/>
      <w:spacing w:before="120" w:after="120" w:line="440" w:lineRule="exact"/>
      <w:ind w:firstLine="200" w:firstLineChars="200"/>
      <w:jc w:val="center"/>
      <w:textAlignment w:val="baseline"/>
    </w:pPr>
    <w:rPr>
      <w:rFonts w:ascii="楷体_GB2312" w:eastAsia="楷体_GB2312"/>
      <w:kern w:val="0"/>
      <w:sz w:val="24"/>
      <w:szCs w:val="20"/>
    </w:rPr>
  </w:style>
  <w:style w:type="paragraph" w:customStyle="1" w:styleId="3881">
    <w:name w:val="，"/>
    <w:basedOn w:val="1"/>
    <w:qFormat/>
    <w:uiPriority w:val="0"/>
    <w:pPr>
      <w:widowControl/>
      <w:spacing w:line="440" w:lineRule="exact"/>
      <w:ind w:firstLine="200" w:firstLineChars="200"/>
    </w:pPr>
    <w:rPr>
      <w:rFonts w:ascii="宋体"/>
      <w:kern w:val="0"/>
      <w:sz w:val="24"/>
      <w:szCs w:val="20"/>
    </w:rPr>
  </w:style>
  <w:style w:type="paragraph" w:customStyle="1" w:styleId="3882">
    <w:name w:val="表格文本：5+两端对齐+单倍行距"/>
    <w:basedOn w:val="3876"/>
    <w:qFormat/>
    <w:uiPriority w:val="0"/>
    <w:pPr>
      <w:jc w:val="both"/>
    </w:pPr>
  </w:style>
  <w:style w:type="paragraph" w:customStyle="1" w:styleId="3883">
    <w:name w:val="样式 样式 样式 样式 样式 标题 21标题21 Char标题 2 Char Char + Times New Roman 段前...2"/>
    <w:basedOn w:val="1"/>
    <w:qFormat/>
    <w:uiPriority w:val="0"/>
    <w:pPr>
      <w:keepNext/>
      <w:keepLines/>
      <w:widowControl/>
      <w:tabs>
        <w:tab w:val="left" w:pos="992"/>
      </w:tabs>
      <w:spacing w:beforeLines="50" w:afterLines="50" w:line="440" w:lineRule="exact"/>
      <w:ind w:firstLine="200" w:firstLineChars="200"/>
      <w:outlineLvl w:val="1"/>
    </w:pPr>
    <w:rPr>
      <w:rFonts w:ascii="宋体" w:eastAsia="黑体" w:cs="宋体"/>
      <w:kern w:val="0"/>
      <w:sz w:val="30"/>
      <w:szCs w:val="20"/>
    </w:rPr>
  </w:style>
  <w:style w:type="paragraph" w:customStyle="1" w:styleId="3884">
    <w:name w:val="样式 样式 标题 3 + 段后: 0.5 行 + 段后: 0.5 行"/>
    <w:basedOn w:val="1"/>
    <w:qFormat/>
    <w:uiPriority w:val="0"/>
    <w:pPr>
      <w:keepNext/>
      <w:keepLines/>
      <w:widowControl/>
      <w:spacing w:line="360" w:lineRule="auto"/>
      <w:ind w:firstLine="200" w:firstLineChars="200"/>
      <w:outlineLvl w:val="2"/>
    </w:pPr>
    <w:rPr>
      <w:rFonts w:ascii="宋体" w:eastAsia="黑体" w:cs="宋体"/>
      <w:kern w:val="0"/>
      <w:sz w:val="24"/>
      <w:szCs w:val="20"/>
    </w:rPr>
  </w:style>
  <w:style w:type="paragraph" w:customStyle="1" w:styleId="3885">
    <w:name w:val="样式 样式 标题 21 + 段前: 1 行 段后: 1 行 + 段前: 1 行 段后: 1 行"/>
    <w:basedOn w:val="1"/>
    <w:qFormat/>
    <w:uiPriority w:val="0"/>
    <w:pPr>
      <w:keepNext/>
      <w:keepLines/>
      <w:widowControl/>
      <w:tabs>
        <w:tab w:val="left" w:pos="280"/>
        <w:tab w:val="left" w:pos="648"/>
        <w:tab w:val="left" w:pos="992"/>
      </w:tabs>
      <w:spacing w:beforeLines="50" w:afterLines="50" w:line="360" w:lineRule="auto"/>
      <w:ind w:left="578" w:hanging="578" w:firstLineChars="200"/>
      <w:outlineLvl w:val="1"/>
    </w:pPr>
    <w:rPr>
      <w:rFonts w:ascii="宋体" w:eastAsia="黑体" w:cs="宋体"/>
      <w:kern w:val="0"/>
      <w:sz w:val="32"/>
      <w:szCs w:val="32"/>
    </w:rPr>
  </w:style>
  <w:style w:type="paragraph" w:customStyle="1" w:styleId="3886">
    <w:name w:val="样式 标题 4 + (中文) 宋体"/>
    <w:basedOn w:val="8"/>
    <w:qFormat/>
    <w:uiPriority w:val="0"/>
    <w:pPr>
      <w:widowControl/>
      <w:numPr>
        <w:ilvl w:val="0"/>
        <w:numId w:val="0"/>
      </w:numPr>
      <w:tabs>
        <w:tab w:val="left" w:pos="1271"/>
      </w:tabs>
      <w:spacing w:before="200" w:after="156" w:line="377" w:lineRule="auto"/>
      <w:ind w:left="1271" w:hanging="851"/>
    </w:pPr>
    <w:rPr>
      <w:rFonts w:eastAsia="宋体"/>
      <w:b w:val="0"/>
      <w:kern w:val="0"/>
      <w:sz w:val="24"/>
      <w:szCs w:val="24"/>
      <w:shd w:val="clear" w:color="auto" w:fill="FFFFFF"/>
    </w:rPr>
  </w:style>
  <w:style w:type="paragraph" w:customStyle="1" w:styleId="3887">
    <w:name w:val="样式 样式 四号 黑色 + 首行缩进:  2 字符1"/>
    <w:basedOn w:val="3687"/>
    <w:qFormat/>
    <w:uiPriority w:val="0"/>
    <w:rPr>
      <w:szCs w:val="20"/>
    </w:rPr>
  </w:style>
  <w:style w:type="paragraph" w:customStyle="1" w:styleId="3888">
    <w:name w:val="图样式"/>
    <w:next w:val="1"/>
    <w:qFormat/>
    <w:uiPriority w:val="0"/>
    <w:pPr>
      <w:spacing w:after="200" w:line="276" w:lineRule="auto"/>
      <w:jc w:val="center"/>
    </w:pPr>
    <w:rPr>
      <w:rFonts w:ascii="Arial" w:hAnsi="Arial" w:eastAsia="宋体" w:cs="Calibri"/>
      <w:sz w:val="24"/>
      <w:lang w:val="en-US" w:eastAsia="zh-CN" w:bidi="ar-SA"/>
    </w:rPr>
  </w:style>
  <w:style w:type="paragraph" w:customStyle="1" w:styleId="3889">
    <w:name w:val="内容"/>
    <w:basedOn w:val="1"/>
    <w:qFormat/>
    <w:uiPriority w:val="0"/>
    <w:pPr>
      <w:widowControl/>
      <w:snapToGrid w:val="0"/>
      <w:spacing w:line="360" w:lineRule="auto"/>
      <w:ind w:firstLine="200" w:firstLineChars="200"/>
    </w:pPr>
    <w:rPr>
      <w:rFonts w:ascii="宋体" w:cs="宋体"/>
      <w:kern w:val="0"/>
      <w:sz w:val="24"/>
      <w:szCs w:val="28"/>
    </w:rPr>
  </w:style>
  <w:style w:type="paragraph" w:customStyle="1" w:styleId="3890">
    <w:name w:val="样式 表中文字 + 段后: 0.5 行"/>
    <w:basedOn w:val="45"/>
    <w:qFormat/>
    <w:uiPriority w:val="0"/>
    <w:pPr>
      <w:widowControl/>
      <w:suppressAutoHyphens w:val="0"/>
      <w:autoSpaceDN/>
      <w:spacing w:line="340" w:lineRule="exact"/>
      <w:ind w:firstLine="200" w:firstLineChars="200"/>
      <w:jc w:val="center"/>
      <w:textAlignment w:val="auto"/>
    </w:pPr>
    <w:rPr>
      <w:rFonts w:ascii="Arial" w:hAnsi="Arial" w:eastAsia="仿宋_GB2312" w:cs="宋体"/>
      <w:kern w:val="0"/>
      <w:sz w:val="20"/>
      <w:szCs w:val="24"/>
      <w:lang w:eastAsia="zh-TW"/>
    </w:rPr>
  </w:style>
  <w:style w:type="paragraph" w:customStyle="1" w:styleId="3891">
    <w:name w:val="样式 (符号) 宋体 小四 行距: 单倍行距"/>
    <w:basedOn w:val="1"/>
    <w:qFormat/>
    <w:uiPriority w:val="0"/>
    <w:pPr>
      <w:widowControl/>
      <w:spacing w:line="440" w:lineRule="exact"/>
      <w:ind w:firstLine="480" w:firstLineChars="200"/>
    </w:pPr>
    <w:rPr>
      <w:rFonts w:ascii="宋体" w:hAnsi="宋体" w:cs="宋体"/>
      <w:kern w:val="0"/>
      <w:sz w:val="24"/>
      <w:szCs w:val="20"/>
    </w:rPr>
  </w:style>
  <w:style w:type="paragraph" w:customStyle="1" w:styleId="3892">
    <w:name w:val="样式 样式 标题 3 + Arial 四号 左 段前: 6 磅 段后: 6 磅 行距: 多倍行距 1.73 字行 + (符号) ..."/>
    <w:basedOn w:val="1"/>
    <w:qFormat/>
    <w:uiPriority w:val="0"/>
    <w:pPr>
      <w:keepNext/>
      <w:keepLines/>
      <w:widowControl/>
      <w:tabs>
        <w:tab w:val="left" w:pos="1440"/>
      </w:tabs>
      <w:spacing w:before="120" w:after="120" w:line="415" w:lineRule="auto"/>
      <w:ind w:left="1440" w:hanging="720" w:firstLineChars="200"/>
      <w:outlineLvl w:val="2"/>
    </w:pPr>
    <w:rPr>
      <w:rFonts w:ascii="Arial" w:hAnsi="Arial" w:cs="宋体"/>
      <w:b/>
      <w:bCs/>
      <w:kern w:val="0"/>
      <w:sz w:val="24"/>
      <w:szCs w:val="28"/>
    </w:rPr>
  </w:style>
  <w:style w:type="paragraph" w:customStyle="1" w:styleId="3893">
    <w:name w:val="正文版本"/>
    <w:basedOn w:val="1"/>
    <w:qFormat/>
    <w:uiPriority w:val="0"/>
    <w:pPr>
      <w:widowControl/>
      <w:autoSpaceDE w:val="0"/>
      <w:autoSpaceDN w:val="0"/>
      <w:adjustRightInd w:val="0"/>
      <w:spacing w:afterLines="50" w:line="300" w:lineRule="auto"/>
      <w:ind w:firstLine="480" w:firstLineChars="200"/>
    </w:pPr>
    <w:rPr>
      <w:rFonts w:ascii="宋体"/>
      <w:kern w:val="0"/>
      <w:sz w:val="24"/>
      <w:szCs w:val="20"/>
      <w:lang w:val="zh-CN"/>
    </w:rPr>
  </w:style>
  <w:style w:type="paragraph" w:customStyle="1" w:styleId="3894">
    <w:name w:val="样式 正文文本缩进 + 段后: 2.4 磅"/>
    <w:basedOn w:val="888"/>
    <w:qFormat/>
    <w:uiPriority w:val="0"/>
    <w:pPr>
      <w:adjustRightInd w:val="0"/>
      <w:spacing w:after="4" w:line="300" w:lineRule="auto"/>
      <w:ind w:left="0" w:leftChars="0" w:firstLine="482" w:firstLineChars="0"/>
      <w:textAlignment w:val="baseline"/>
    </w:pPr>
    <w:rPr>
      <w:rFonts w:cs="宋体"/>
      <w:szCs w:val="20"/>
      <w:lang w:val="en-US"/>
    </w:rPr>
  </w:style>
  <w:style w:type="paragraph" w:customStyle="1" w:styleId="3895">
    <w:name w:val="样式 样式 正文首行缩进 + 段前: 10.2 磅 行距: 固定值 18 磅 + 首行缩进:  2 字符"/>
    <w:basedOn w:val="1"/>
    <w:qFormat/>
    <w:uiPriority w:val="0"/>
    <w:pPr>
      <w:widowControl/>
      <w:spacing w:line="500" w:lineRule="exact"/>
      <w:ind w:firstLine="470" w:firstLineChars="196"/>
    </w:pPr>
    <w:rPr>
      <w:rFonts w:ascii="宋体"/>
      <w:kern w:val="0"/>
      <w:sz w:val="24"/>
      <w:szCs w:val="20"/>
    </w:rPr>
  </w:style>
  <w:style w:type="paragraph" w:customStyle="1" w:styleId="3896">
    <w:name w:val="hb3"/>
    <w:basedOn w:val="7"/>
    <w:qFormat/>
    <w:uiPriority w:val="0"/>
    <w:pPr>
      <w:tabs>
        <w:tab w:val="left" w:pos="1872"/>
      </w:tabs>
      <w:spacing w:before="360" w:after="180" w:line="240" w:lineRule="auto"/>
      <w:ind w:left="1872" w:hanging="432"/>
      <w:jc w:val="both"/>
      <w:textAlignment w:val="baseline"/>
    </w:pPr>
    <w:rPr>
      <w:rFonts w:ascii="宋体" w:hAnsi="Arial Narrow"/>
      <w:b w:val="0"/>
      <w:bCs w:val="0"/>
      <w:kern w:val="0"/>
      <w:sz w:val="28"/>
      <w:szCs w:val="24"/>
      <w:lang w:val="en-US"/>
    </w:rPr>
  </w:style>
  <w:style w:type="paragraph" w:customStyle="1" w:styleId="3897">
    <w:name w:val="样式 标题 3条标题1.1.13h33rd levelH3l3CT三级标题 + 段后: 0.5 行"/>
    <w:basedOn w:val="7"/>
    <w:qFormat/>
    <w:uiPriority w:val="0"/>
    <w:pPr>
      <w:tabs>
        <w:tab w:val="left" w:pos="240"/>
      </w:tabs>
      <w:adjustRightInd/>
      <w:spacing w:before="160" w:afterLines="50" w:line="300" w:lineRule="auto"/>
      <w:ind w:left="284" w:hanging="284"/>
      <w:jc w:val="both"/>
    </w:pPr>
    <w:rPr>
      <w:rFonts w:ascii="Arial" w:hAnsi="Arial" w:eastAsia="仿宋_GB2312" w:cs="宋体"/>
      <w:b w:val="0"/>
      <w:kern w:val="0"/>
      <w:sz w:val="28"/>
      <w:szCs w:val="20"/>
      <w:lang w:val="en-US"/>
    </w:rPr>
  </w:style>
  <w:style w:type="paragraph" w:customStyle="1" w:styleId="3898">
    <w:name w:val="样式 表中文字 + 五号"/>
    <w:basedOn w:val="45"/>
    <w:qFormat/>
    <w:uiPriority w:val="0"/>
    <w:pPr>
      <w:widowControl/>
      <w:suppressAutoHyphens w:val="0"/>
      <w:autoSpaceDN/>
      <w:snapToGrid w:val="0"/>
      <w:spacing w:afterLines="20" w:line="340" w:lineRule="exact"/>
      <w:ind w:firstLine="200" w:firstLineChars="200"/>
      <w:jc w:val="center"/>
      <w:textAlignment w:val="auto"/>
    </w:pPr>
    <w:rPr>
      <w:rFonts w:ascii="Calibri" w:hAnsi="Calibri" w:eastAsia="仿宋_GB2312"/>
      <w:kern w:val="0"/>
      <w:sz w:val="20"/>
      <w:szCs w:val="24"/>
      <w:lang w:eastAsia="zh-TW"/>
    </w:rPr>
  </w:style>
  <w:style w:type="paragraph" w:customStyle="1" w:styleId="3899">
    <w:name w:val="样式 标题 3小节标题条标题1.1.1 + 首行缩进:  2 字符"/>
    <w:basedOn w:val="7"/>
    <w:qFormat/>
    <w:uiPriority w:val="0"/>
    <w:pPr>
      <w:adjustRightInd/>
      <w:spacing w:before="200" w:after="0" w:line="480" w:lineRule="auto"/>
      <w:ind w:left="1260" w:firstLine="561" w:firstLineChars="200"/>
      <w:jc w:val="both"/>
    </w:pPr>
    <w:rPr>
      <w:rFonts w:ascii="Times New Roman" w:hAnsi="Times New Roman" w:cs="宋体"/>
      <w:b w:val="0"/>
      <w:kern w:val="0"/>
      <w:sz w:val="28"/>
      <w:szCs w:val="20"/>
      <w:lang w:val="en-US"/>
    </w:rPr>
  </w:style>
  <w:style w:type="paragraph" w:customStyle="1" w:styleId="3900">
    <w:name w:val="CM37"/>
    <w:basedOn w:val="2"/>
    <w:next w:val="2"/>
    <w:qFormat/>
    <w:uiPriority w:val="0"/>
    <w:pPr>
      <w:suppressAutoHyphens w:val="0"/>
      <w:adjustRightInd w:val="0"/>
      <w:spacing w:line="503" w:lineRule="atLeast"/>
      <w:textAlignment w:val="auto"/>
    </w:pPr>
    <w:rPr>
      <w:rFonts w:ascii="Sim Sun" w:hAnsi="Times New Roman" w:eastAsia="Sim Sun" w:cs="Times New Roman"/>
      <w:color w:val="auto"/>
    </w:rPr>
  </w:style>
  <w:style w:type="paragraph" w:customStyle="1" w:styleId="3901">
    <w:name w:val="表格内容自定"/>
    <w:basedOn w:val="1"/>
    <w:qFormat/>
    <w:uiPriority w:val="0"/>
    <w:pPr>
      <w:widowControl/>
      <w:spacing w:line="280" w:lineRule="exact"/>
      <w:ind w:firstLine="200" w:firstLineChars="200"/>
      <w:jc w:val="center"/>
    </w:pPr>
    <w:rPr>
      <w:rFonts w:ascii="宋体"/>
      <w:kern w:val="0"/>
      <w:sz w:val="18"/>
      <w:szCs w:val="21"/>
    </w:rPr>
  </w:style>
  <w:style w:type="paragraph" w:customStyle="1" w:styleId="3902">
    <w:name w:val="样式 标题 2 + (符号) 宋体"/>
    <w:basedOn w:val="6"/>
    <w:qFormat/>
    <w:uiPriority w:val="0"/>
    <w:pPr>
      <w:widowControl/>
      <w:tabs>
        <w:tab w:val="left" w:pos="0"/>
        <w:tab w:val="left" w:pos="987"/>
      </w:tabs>
      <w:spacing w:before="120" w:after="120" w:line="415" w:lineRule="auto"/>
      <w:ind w:left="226" w:hanging="113"/>
    </w:pPr>
    <w:rPr>
      <w:rFonts w:ascii="Cambria" w:hAnsi="Cambria" w:eastAsia="微软雅黑"/>
      <w:color w:val="4F81BD"/>
      <w:kern w:val="0"/>
      <w:sz w:val="30"/>
      <w:szCs w:val="30"/>
      <w:lang w:eastAsia="en-US"/>
    </w:rPr>
  </w:style>
  <w:style w:type="paragraph" w:customStyle="1" w:styleId="3903">
    <w:name w:val="Char Char4 Char Char1 Char Char Char Char"/>
    <w:basedOn w:val="1"/>
    <w:qFormat/>
    <w:uiPriority w:val="0"/>
    <w:pPr>
      <w:widowControl/>
      <w:adjustRightInd w:val="0"/>
      <w:snapToGrid w:val="0"/>
      <w:spacing w:line="360" w:lineRule="auto"/>
      <w:ind w:firstLine="200" w:firstLineChars="200"/>
    </w:pPr>
    <w:rPr>
      <w:rFonts w:ascii="宋体" w:hAnsi="宋体" w:cs="宋体"/>
      <w:kern w:val="0"/>
      <w:sz w:val="24"/>
      <w:szCs w:val="26"/>
    </w:rPr>
  </w:style>
  <w:style w:type="paragraph" w:customStyle="1" w:styleId="3904">
    <w:name w:val="正文标准格式"/>
    <w:basedOn w:val="1"/>
    <w:qFormat/>
    <w:uiPriority w:val="0"/>
    <w:pPr>
      <w:widowControl/>
      <w:spacing w:line="360" w:lineRule="auto"/>
      <w:ind w:firstLine="560" w:firstLineChars="200"/>
    </w:pPr>
    <w:rPr>
      <w:rFonts w:ascii="宋体"/>
      <w:color w:val="000000"/>
      <w:kern w:val="0"/>
      <w:sz w:val="24"/>
      <w:szCs w:val="28"/>
      <w:shd w:val="clear" w:color="auto" w:fill="FFFFFF"/>
    </w:rPr>
  </w:style>
  <w:style w:type="paragraph" w:customStyle="1" w:styleId="3905">
    <w:name w:val="样式 左侧:  2 字符 段前: 0.5 行 段后: 0.5 行"/>
    <w:basedOn w:val="1"/>
    <w:qFormat/>
    <w:uiPriority w:val="0"/>
    <w:pPr>
      <w:widowControl/>
      <w:adjustRightInd w:val="0"/>
      <w:snapToGrid w:val="0"/>
      <w:spacing w:beforeLines="50" w:afterLines="50" w:line="300" w:lineRule="auto"/>
      <w:ind w:firstLine="200" w:firstLineChars="200"/>
    </w:pPr>
    <w:rPr>
      <w:rFonts w:ascii="Arial" w:hAnsi="Arial" w:cs="宋体"/>
      <w:kern w:val="0"/>
      <w:sz w:val="24"/>
      <w:szCs w:val="20"/>
    </w:rPr>
  </w:style>
  <w:style w:type="paragraph" w:customStyle="1" w:styleId="3906">
    <w:name w:val="样式 标题 4款标题1.1.1.1 + 段后: 0.5 行"/>
    <w:basedOn w:val="8"/>
    <w:qFormat/>
    <w:uiPriority w:val="0"/>
    <w:pPr>
      <w:widowControl/>
      <w:numPr>
        <w:ilvl w:val="0"/>
        <w:numId w:val="0"/>
      </w:numPr>
      <w:spacing w:before="120" w:afterLines="50" w:line="440" w:lineRule="exact"/>
      <w:ind w:left="1680" w:hanging="420"/>
    </w:pPr>
    <w:rPr>
      <w:rFonts w:eastAsia="仿宋_GB2312" w:cs="宋体"/>
      <w:kern w:val="0"/>
      <w:sz w:val="24"/>
      <w:szCs w:val="20"/>
      <w:shd w:val="clear" w:color="auto" w:fill="FFFFFF"/>
    </w:rPr>
  </w:style>
  <w:style w:type="paragraph" w:customStyle="1" w:styleId="3907">
    <w:name w:val="样式 标题 4 +1"/>
    <w:basedOn w:val="8"/>
    <w:qFormat/>
    <w:uiPriority w:val="0"/>
    <w:pPr>
      <w:widowControl/>
      <w:numPr>
        <w:ilvl w:val="0"/>
        <w:numId w:val="0"/>
      </w:numPr>
      <w:tabs>
        <w:tab w:val="left" w:pos="360"/>
      </w:tabs>
      <w:spacing w:before="120" w:after="50" w:line="377" w:lineRule="auto"/>
      <w:ind w:left="360" w:hanging="360" w:hangingChars="200"/>
    </w:pPr>
    <w:rPr>
      <w:rFonts w:eastAsia="宋体"/>
      <w:kern w:val="0"/>
      <w:sz w:val="24"/>
      <w:szCs w:val="24"/>
      <w:shd w:val="clear" w:color="auto" w:fill="FFFFFF"/>
    </w:rPr>
  </w:style>
  <w:style w:type="paragraph" w:customStyle="1" w:styleId="3908">
    <w:name w:val="_Style 8"/>
    <w:basedOn w:val="1"/>
    <w:qFormat/>
    <w:uiPriority w:val="0"/>
    <w:pPr>
      <w:widowControl/>
      <w:spacing w:line="360" w:lineRule="auto"/>
      <w:ind w:firstLine="200" w:firstLineChars="200"/>
    </w:pPr>
    <w:rPr>
      <w:rFonts w:ascii="宋体"/>
      <w:kern w:val="0"/>
      <w:sz w:val="24"/>
      <w:szCs w:val="20"/>
    </w:rPr>
  </w:style>
  <w:style w:type="paragraph" w:customStyle="1" w:styleId="3909">
    <w:name w:val="Char Char Char Char Char Char Char Char Char Char Char Char Char Char Char Char Char Char1 Char Char Char Char Char Char Char Char Char Char Char Char Char"/>
    <w:basedOn w:val="1"/>
    <w:qFormat/>
    <w:uiPriority w:val="0"/>
    <w:pPr>
      <w:widowControl/>
      <w:spacing w:line="360" w:lineRule="auto"/>
      <w:ind w:firstLine="200" w:firstLineChars="200"/>
    </w:pPr>
    <w:rPr>
      <w:rFonts w:ascii="宋体" w:hAnsi="宋体" w:cs="宋体"/>
      <w:kern w:val="0"/>
      <w:sz w:val="24"/>
      <w:szCs w:val="20"/>
    </w:rPr>
  </w:style>
  <w:style w:type="paragraph" w:customStyle="1" w:styleId="3910">
    <w:name w:val="1.1大标题"/>
    <w:basedOn w:val="1"/>
    <w:qFormat/>
    <w:uiPriority w:val="0"/>
    <w:pPr>
      <w:keepNext/>
      <w:keepLines/>
      <w:adjustRightInd w:val="0"/>
      <w:snapToGrid w:val="0"/>
      <w:spacing w:line="460" w:lineRule="exact"/>
      <w:ind w:firstLine="482" w:firstLineChars="200"/>
      <w:outlineLvl w:val="1"/>
    </w:pPr>
    <w:rPr>
      <w:rFonts w:ascii="Arial" w:hAnsi="Arial" w:eastAsia="黑体" w:cs="Arial"/>
      <w:b/>
      <w:bCs/>
      <w:color w:val="000000"/>
      <w:sz w:val="24"/>
    </w:rPr>
  </w:style>
  <w:style w:type="paragraph" w:customStyle="1" w:styleId="3911">
    <w:name w:val="样式 样式 样式 样式 样式 样式 标题 2 + 首行缩进:  2 字符 段后: 0.5 行 + 首行缩进:  2 字符 + 段..."/>
    <w:basedOn w:val="1"/>
    <w:qFormat/>
    <w:uiPriority w:val="0"/>
    <w:pPr>
      <w:keepNext/>
      <w:keepLines/>
      <w:widowControl/>
      <w:spacing w:before="260" w:afterLines="50" w:line="440" w:lineRule="exact"/>
      <w:ind w:firstLine="200" w:firstLineChars="200"/>
      <w:outlineLvl w:val="1"/>
    </w:pPr>
    <w:rPr>
      <w:rFonts w:ascii="宋体" w:eastAsia="黑体" w:cs="宋体"/>
      <w:kern w:val="44"/>
      <w:sz w:val="30"/>
      <w:szCs w:val="20"/>
    </w:rPr>
  </w:style>
  <w:style w:type="paragraph" w:customStyle="1" w:styleId="3912">
    <w:name w:val="p19"/>
    <w:basedOn w:val="1"/>
    <w:qFormat/>
    <w:uiPriority w:val="0"/>
    <w:pPr>
      <w:widowControl/>
      <w:jc w:val="center"/>
    </w:pPr>
    <w:rPr>
      <w:rFonts w:ascii="Arial" w:hAnsi="Arial" w:cs="Arial"/>
      <w:kern w:val="0"/>
      <w:szCs w:val="21"/>
    </w:rPr>
  </w:style>
  <w:style w:type="paragraph" w:customStyle="1" w:styleId="3913">
    <w:name w:val="样式 首行缩进:  0 字符1"/>
    <w:basedOn w:val="1"/>
    <w:qFormat/>
    <w:uiPriority w:val="0"/>
    <w:pPr>
      <w:widowControl/>
      <w:tabs>
        <w:tab w:val="left" w:pos="432"/>
      </w:tabs>
      <w:spacing w:line="360" w:lineRule="auto"/>
      <w:ind w:left="432" w:hanging="432" w:firstLineChars="200"/>
    </w:pPr>
    <w:rPr>
      <w:rFonts w:ascii="Times" w:hAnsi="Times" w:cs="宋体"/>
      <w:kern w:val="0"/>
      <w:sz w:val="24"/>
      <w:szCs w:val="20"/>
    </w:rPr>
  </w:style>
  <w:style w:type="paragraph" w:customStyle="1" w:styleId="3914">
    <w:name w:val="样式 标题 3小节标题条标题1.1.1 + 非加粗"/>
    <w:basedOn w:val="7"/>
    <w:qFormat/>
    <w:uiPriority w:val="0"/>
    <w:pPr>
      <w:adjustRightInd/>
      <w:spacing w:before="200" w:after="0" w:line="480" w:lineRule="auto"/>
      <w:ind w:left="1260" w:firstLine="560" w:firstLineChars="200"/>
      <w:jc w:val="both"/>
    </w:pPr>
    <w:rPr>
      <w:rFonts w:ascii="Times New Roman" w:hAnsi="Times New Roman"/>
      <w:b w:val="0"/>
      <w:bCs w:val="0"/>
      <w:kern w:val="0"/>
      <w:sz w:val="28"/>
      <w:szCs w:val="28"/>
      <w:lang w:val="en-US"/>
    </w:rPr>
  </w:style>
  <w:style w:type="paragraph" w:customStyle="1" w:styleId="3915">
    <w:name w:val="样式 内容 + 宋体 首行缩进:  2 字符 行距: 固定值 28 磅"/>
    <w:basedOn w:val="3889"/>
    <w:qFormat/>
    <w:uiPriority w:val="0"/>
    <w:pPr>
      <w:spacing w:line="560" w:lineRule="exact"/>
      <w:ind w:firstLine="560"/>
    </w:pPr>
    <w:rPr>
      <w:szCs w:val="20"/>
    </w:rPr>
  </w:style>
  <w:style w:type="paragraph" w:customStyle="1" w:styleId="3916">
    <w:name w:val="样式 (中文) 宋体 11.5 磅 右 段前: 5 磅 段后: 5 磅 顶端: (单实线 自动设置  1 磅 行宽..."/>
    <w:basedOn w:val="1"/>
    <w:qFormat/>
    <w:uiPriority w:val="0"/>
    <w:pPr>
      <w:widowControl/>
      <w:spacing w:before="100" w:after="100" w:line="440" w:lineRule="exact"/>
      <w:ind w:firstLine="200" w:firstLineChars="200"/>
      <w:jc w:val="right"/>
    </w:pPr>
    <w:rPr>
      <w:rFonts w:ascii="宋体" w:cs="宋体"/>
      <w:kern w:val="0"/>
      <w:sz w:val="24"/>
      <w:szCs w:val="21"/>
    </w:rPr>
  </w:style>
  <w:style w:type="paragraph" w:customStyle="1" w:styleId="3917">
    <w:name w:val="UC标题1"/>
    <w:basedOn w:val="1"/>
    <w:qFormat/>
    <w:uiPriority w:val="0"/>
    <w:pPr>
      <w:widowControl/>
      <w:tabs>
        <w:tab w:val="left" w:pos="425"/>
      </w:tabs>
      <w:autoSpaceDE w:val="0"/>
      <w:adjustRightInd w:val="0"/>
      <w:snapToGrid w:val="0"/>
      <w:spacing w:after="160" w:line="240" w:lineRule="exact"/>
      <w:ind w:left="425" w:hanging="425" w:firstLineChars="200"/>
    </w:pPr>
    <w:rPr>
      <w:rFonts w:ascii="Verdana" w:hAnsi="Verdana" w:cs="Verdana"/>
      <w:kern w:val="0"/>
      <w:sz w:val="20"/>
      <w:szCs w:val="20"/>
    </w:rPr>
  </w:style>
  <w:style w:type="paragraph" w:customStyle="1" w:styleId="3918">
    <w:name w:val="正文21"/>
    <w:basedOn w:val="1"/>
    <w:qFormat/>
    <w:uiPriority w:val="0"/>
    <w:pPr>
      <w:widowControl/>
      <w:overflowPunct w:val="0"/>
      <w:topLinePunct/>
      <w:autoSpaceDE w:val="0"/>
      <w:autoSpaceDN w:val="0"/>
      <w:adjustRightInd w:val="0"/>
      <w:snapToGrid w:val="0"/>
      <w:spacing w:line="460" w:lineRule="exact"/>
      <w:ind w:firstLine="200" w:firstLineChars="200"/>
      <w:textAlignment w:val="baseline"/>
    </w:pPr>
    <w:rPr>
      <w:rFonts w:ascii="宋体"/>
      <w:kern w:val="0"/>
      <w:sz w:val="24"/>
      <w:szCs w:val="20"/>
    </w:rPr>
  </w:style>
  <w:style w:type="paragraph" w:customStyle="1" w:styleId="3919">
    <w:name w:val="缩进2个字"/>
    <w:basedOn w:val="1"/>
    <w:qFormat/>
    <w:uiPriority w:val="0"/>
    <w:pPr>
      <w:widowControl/>
      <w:spacing w:line="440" w:lineRule="exact"/>
      <w:ind w:firstLine="200" w:firstLineChars="200"/>
      <w:jc w:val="center"/>
    </w:pPr>
    <w:rPr>
      <w:rFonts w:ascii="宋体"/>
      <w:color w:val="000000"/>
      <w:kern w:val="0"/>
      <w:sz w:val="24"/>
      <w:szCs w:val="21"/>
    </w:rPr>
  </w:style>
  <w:style w:type="paragraph" w:customStyle="1" w:styleId="3920">
    <w:name w:val="样式 样式 样式 样式 首行缩进:  2 字符 段后: 0.5 行 + 首行缩进:  2 字符 段后: 0.5 行 + 黑体 小...1"/>
    <w:basedOn w:val="1"/>
    <w:qFormat/>
    <w:uiPriority w:val="0"/>
    <w:pPr>
      <w:widowControl/>
      <w:adjustRightInd w:val="0"/>
      <w:spacing w:before="120" w:afterLines="50" w:line="440" w:lineRule="exact"/>
      <w:ind w:firstLine="200" w:firstLineChars="200"/>
      <w:jc w:val="center"/>
    </w:pPr>
    <w:rPr>
      <w:rFonts w:ascii="黑体" w:eastAsia="黑体" w:cs="宋体"/>
      <w:kern w:val="0"/>
      <w:sz w:val="24"/>
      <w:szCs w:val="20"/>
    </w:rPr>
  </w:style>
  <w:style w:type="paragraph" w:customStyle="1" w:styleId="3921">
    <w:name w:val="xyb自建表格名称"/>
    <w:basedOn w:val="1"/>
    <w:qFormat/>
    <w:uiPriority w:val="0"/>
    <w:pPr>
      <w:widowControl/>
      <w:spacing w:line="360" w:lineRule="auto"/>
      <w:ind w:firstLine="200" w:firstLineChars="200"/>
      <w:jc w:val="center"/>
    </w:pPr>
    <w:rPr>
      <w:rFonts w:ascii="宋体" w:hAnsi="宋体"/>
      <w:kern w:val="0"/>
      <w:sz w:val="24"/>
      <w:szCs w:val="20"/>
    </w:rPr>
  </w:style>
  <w:style w:type="paragraph" w:customStyle="1" w:styleId="3922">
    <w:name w:val="p24"/>
    <w:basedOn w:val="1"/>
    <w:qFormat/>
    <w:uiPriority w:val="0"/>
    <w:pPr>
      <w:widowControl/>
      <w:ind w:firstLine="420"/>
    </w:pPr>
    <w:rPr>
      <w:kern w:val="0"/>
      <w:sz w:val="24"/>
      <w:szCs w:val="28"/>
    </w:rPr>
  </w:style>
  <w:style w:type="paragraph" w:customStyle="1" w:styleId="3923">
    <w:name w:val="样式 标题 3H3H31H32H33u3标题 3 Char Char Char标题 3 Char Char Cha..."/>
    <w:basedOn w:val="7"/>
    <w:qFormat/>
    <w:uiPriority w:val="0"/>
    <w:pPr>
      <w:widowControl w:val="0"/>
      <w:spacing w:before="0" w:after="0" w:line="348" w:lineRule="auto"/>
      <w:ind w:left="1260" w:firstLine="200" w:firstLineChars="200"/>
      <w:jc w:val="both"/>
    </w:pPr>
    <w:rPr>
      <w:rFonts w:ascii="Times New Roman" w:hAnsi="Times New Roman" w:cs="宋体"/>
      <w:b w:val="0"/>
      <w:bCs w:val="0"/>
      <w:color w:val="000000"/>
      <w:spacing w:val="8"/>
      <w:sz w:val="28"/>
      <w:szCs w:val="20"/>
      <w:lang w:val="en-US"/>
    </w:rPr>
  </w:style>
  <w:style w:type="paragraph" w:customStyle="1" w:styleId="3924">
    <w:name w:val="p26"/>
    <w:basedOn w:val="1"/>
    <w:qFormat/>
    <w:uiPriority w:val="0"/>
    <w:pPr>
      <w:widowControl/>
      <w:spacing w:line="360" w:lineRule="auto"/>
      <w:jc w:val="center"/>
    </w:pPr>
    <w:rPr>
      <w:rFonts w:ascii="Arial" w:hAnsi="Arial" w:cs="Arial"/>
      <w:b/>
      <w:bCs/>
      <w:kern w:val="0"/>
      <w:sz w:val="24"/>
    </w:rPr>
  </w:style>
  <w:style w:type="paragraph" w:customStyle="1" w:styleId="3925">
    <w:name w:val="p28"/>
    <w:basedOn w:val="1"/>
    <w:qFormat/>
    <w:uiPriority w:val="0"/>
    <w:pPr>
      <w:widowControl/>
      <w:spacing w:after="120"/>
    </w:pPr>
    <w:rPr>
      <w:kern w:val="0"/>
      <w:szCs w:val="21"/>
    </w:rPr>
  </w:style>
  <w:style w:type="paragraph" w:customStyle="1" w:styleId="3926">
    <w:name w:val="p22"/>
    <w:basedOn w:val="1"/>
    <w:qFormat/>
    <w:uiPriority w:val="0"/>
    <w:pPr>
      <w:widowControl/>
      <w:snapToGrid w:val="0"/>
      <w:spacing w:line="300" w:lineRule="auto"/>
    </w:pPr>
    <w:rPr>
      <w:kern w:val="0"/>
      <w:szCs w:val="21"/>
    </w:rPr>
  </w:style>
  <w:style w:type="paragraph" w:customStyle="1" w:styleId="3927">
    <w:name w:val="p23"/>
    <w:basedOn w:val="1"/>
    <w:qFormat/>
    <w:uiPriority w:val="0"/>
    <w:pPr>
      <w:widowControl/>
      <w:jc w:val="left"/>
    </w:pPr>
    <w:rPr>
      <w:kern w:val="0"/>
      <w:sz w:val="18"/>
      <w:szCs w:val="18"/>
    </w:rPr>
  </w:style>
  <w:style w:type="paragraph" w:customStyle="1" w:styleId="3928">
    <w:name w:val="p27"/>
    <w:basedOn w:val="1"/>
    <w:qFormat/>
    <w:uiPriority w:val="0"/>
    <w:pPr>
      <w:widowControl/>
      <w:snapToGrid w:val="0"/>
      <w:spacing w:before="78" w:after="78" w:line="300" w:lineRule="auto"/>
      <w:ind w:firstLine="420"/>
      <w:jc w:val="left"/>
    </w:pPr>
    <w:rPr>
      <w:rFonts w:ascii="宋体" w:hAnsi="宋体" w:cs="宋体"/>
      <w:kern w:val="0"/>
      <w:sz w:val="24"/>
    </w:rPr>
  </w:style>
  <w:style w:type="paragraph" w:customStyle="1" w:styleId="3929">
    <w:name w:val="安评－正文"/>
    <w:basedOn w:val="1"/>
    <w:qFormat/>
    <w:uiPriority w:val="0"/>
    <w:pPr>
      <w:adjustRightInd w:val="0"/>
      <w:snapToGrid w:val="0"/>
      <w:spacing w:before="78" w:after="78" w:line="300" w:lineRule="auto"/>
      <w:ind w:firstLine="200" w:firstLineChars="200"/>
      <w:jc w:val="left"/>
    </w:pPr>
    <w:rPr>
      <w:rFonts w:hint="eastAsia" w:ascii="宋体" w:hAnsi="宋体"/>
      <w:sz w:val="24"/>
      <w:szCs w:val="20"/>
    </w:rPr>
  </w:style>
  <w:style w:type="paragraph" w:customStyle="1" w:styleId="3930">
    <w:name w:val="MFS表格文字"/>
    <w:basedOn w:val="34"/>
    <w:qFormat/>
    <w:uiPriority w:val="0"/>
    <w:pPr>
      <w:widowControl w:val="0"/>
      <w:adjustRightInd w:val="0"/>
      <w:spacing w:before="0" w:after="0" w:line="300" w:lineRule="auto"/>
      <w:ind w:right="0"/>
    </w:pPr>
    <w:rPr>
      <w:rFonts w:eastAsia="楷体_GB2312"/>
      <w:kern w:val="2"/>
      <w:sz w:val="21"/>
      <w:szCs w:val="21"/>
    </w:rPr>
  </w:style>
  <w:style w:type="paragraph" w:customStyle="1" w:styleId="3931">
    <w:name w:val="TY"/>
    <w:basedOn w:val="1"/>
    <w:qFormat/>
    <w:uiPriority w:val="0"/>
    <w:pPr>
      <w:adjustRightInd w:val="0"/>
      <w:snapToGrid w:val="0"/>
      <w:spacing w:before="40" w:after="40"/>
    </w:pPr>
    <w:rPr>
      <w:rFonts w:ascii="宋体" w:hAnsi="宋体"/>
      <w:sz w:val="24"/>
      <w:szCs w:val="20"/>
    </w:rPr>
  </w:style>
  <w:style w:type="paragraph" w:customStyle="1" w:styleId="3932">
    <w:name w:val="标题111 Char Char Char Char"/>
    <w:basedOn w:val="1"/>
    <w:qFormat/>
    <w:uiPriority w:val="0"/>
    <w:pPr>
      <w:widowControl/>
      <w:spacing w:line="360" w:lineRule="auto"/>
      <w:ind w:firstLine="200" w:firstLineChars="200"/>
    </w:pPr>
    <w:rPr>
      <w:rFonts w:ascii="宋体" w:hAnsi="宋体" w:cs="宋体"/>
      <w:kern w:val="0"/>
      <w:sz w:val="24"/>
      <w:szCs w:val="20"/>
    </w:rPr>
  </w:style>
  <w:style w:type="paragraph" w:customStyle="1" w:styleId="3933">
    <w:name w:val="字元 字元"/>
    <w:basedOn w:val="1"/>
    <w:qFormat/>
    <w:uiPriority w:val="0"/>
    <w:pPr>
      <w:widowControl/>
      <w:spacing w:line="440" w:lineRule="exact"/>
      <w:ind w:firstLine="200" w:firstLineChars="200"/>
    </w:pPr>
    <w:rPr>
      <w:rFonts w:ascii="宋体"/>
      <w:kern w:val="0"/>
      <w:sz w:val="24"/>
      <w:szCs w:val="21"/>
    </w:rPr>
  </w:style>
  <w:style w:type="paragraph" w:customStyle="1" w:styleId="3934">
    <w:name w:val="王志臣"/>
    <w:basedOn w:val="1"/>
    <w:qFormat/>
    <w:uiPriority w:val="0"/>
    <w:pPr>
      <w:widowControl/>
      <w:spacing w:line="500" w:lineRule="exact"/>
      <w:ind w:firstLine="556" w:firstLineChars="200"/>
    </w:pPr>
    <w:rPr>
      <w:rFonts w:ascii="楷体_GB2312" w:eastAsia="楷体_GB2312"/>
      <w:kern w:val="0"/>
      <w:sz w:val="24"/>
      <w:szCs w:val="20"/>
    </w:rPr>
  </w:style>
  <w:style w:type="paragraph" w:customStyle="1" w:styleId="3935">
    <w:name w:val="样式 样式 样式 (符号) 宋体 14 磅 行距: 1.5 倍行距 首行缩进:  2 字符 + 首行缩进:  2 字符 + 首行..."/>
    <w:basedOn w:val="1"/>
    <w:qFormat/>
    <w:uiPriority w:val="0"/>
    <w:pPr>
      <w:widowControl/>
      <w:spacing w:line="400" w:lineRule="exact"/>
      <w:ind w:firstLine="200" w:firstLineChars="200"/>
    </w:pPr>
    <w:rPr>
      <w:rFonts w:ascii="宋体" w:hAnsi="宋体" w:cs="宋体"/>
      <w:kern w:val="0"/>
      <w:sz w:val="24"/>
      <w:szCs w:val="20"/>
    </w:rPr>
  </w:style>
  <w:style w:type="paragraph" w:customStyle="1" w:styleId="3936">
    <w:name w:val="xl7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textAlignment w:val="center"/>
    </w:pPr>
    <w:rPr>
      <w:rFonts w:ascii="宋体" w:hAnsi="宋体" w:cs="宋体"/>
      <w:b/>
      <w:bCs/>
      <w:kern w:val="0"/>
      <w:sz w:val="20"/>
      <w:szCs w:val="20"/>
    </w:rPr>
  </w:style>
  <w:style w:type="paragraph" w:customStyle="1" w:styleId="3937">
    <w:name w:val="Title 4"/>
    <w:basedOn w:val="8"/>
    <w:next w:val="1"/>
    <w:qFormat/>
    <w:uiPriority w:val="0"/>
    <w:pPr>
      <w:widowControl/>
      <w:numPr>
        <w:ilvl w:val="0"/>
        <w:numId w:val="0"/>
      </w:numPr>
      <w:tabs>
        <w:tab w:val="left" w:pos="0"/>
      </w:tabs>
      <w:spacing w:before="120" w:after="0" w:line="400" w:lineRule="exact"/>
      <w:ind w:left="1680" w:hanging="420"/>
    </w:pPr>
    <w:rPr>
      <w:rFonts w:ascii="宋体" w:hAnsi="宋体" w:eastAsia="宋体" w:cs="Arial"/>
      <w:kern w:val="0"/>
      <w:sz w:val="24"/>
      <w:szCs w:val="24"/>
    </w:rPr>
  </w:style>
  <w:style w:type="paragraph" w:customStyle="1" w:styleId="3938">
    <w:name w:val="Title 5"/>
    <w:basedOn w:val="9"/>
    <w:next w:val="1"/>
    <w:qFormat/>
    <w:uiPriority w:val="0"/>
    <w:pPr>
      <w:widowControl/>
      <w:numPr>
        <w:numId w:val="10"/>
      </w:numPr>
      <w:tabs>
        <w:tab w:val="left" w:pos="992"/>
      </w:tabs>
      <w:snapToGrid/>
      <w:spacing w:before="240" w:line="240" w:lineRule="auto"/>
      <w:ind w:left="992" w:hanging="992"/>
    </w:pPr>
    <w:rPr>
      <w:rFonts w:ascii="Arial" w:hAnsi="Arial" w:eastAsia="华文细黑"/>
      <w:bCs w:val="0"/>
      <w:color w:val="243F60"/>
      <w:kern w:val="0"/>
      <w:sz w:val="20"/>
      <w:szCs w:val="26"/>
    </w:rPr>
  </w:style>
  <w:style w:type="paragraph" w:customStyle="1" w:styleId="3939">
    <w:name w:val="Title 2"/>
    <w:basedOn w:val="6"/>
    <w:next w:val="1"/>
    <w:qFormat/>
    <w:uiPriority w:val="0"/>
    <w:pPr>
      <w:keepNext w:val="0"/>
      <w:keepLines w:val="0"/>
      <w:widowControl/>
      <w:tabs>
        <w:tab w:val="left" w:pos="0"/>
      </w:tabs>
      <w:spacing w:before="300" w:after="120" w:line="400" w:lineRule="exact"/>
      <w:ind w:left="431" w:hanging="420"/>
    </w:pPr>
    <w:rPr>
      <w:rFonts w:ascii="宋体" w:hAnsi="宋体" w:eastAsia="宋体" w:cs="Arial"/>
      <w:bCs w:val="0"/>
      <w:color w:val="4F81BD"/>
      <w:kern w:val="0"/>
      <w:sz w:val="28"/>
      <w:szCs w:val="22"/>
      <w:lang w:eastAsia="en-US"/>
    </w:rPr>
  </w:style>
  <w:style w:type="paragraph" w:customStyle="1" w:styleId="3940">
    <w:name w:val="Title 3"/>
    <w:basedOn w:val="7"/>
    <w:next w:val="1"/>
    <w:qFormat/>
    <w:uiPriority w:val="0"/>
    <w:pPr>
      <w:tabs>
        <w:tab w:val="left" w:pos="0"/>
      </w:tabs>
      <w:adjustRightInd/>
      <w:spacing w:before="240" w:after="120" w:line="400" w:lineRule="exact"/>
      <w:ind w:left="1260" w:hanging="420"/>
      <w:jc w:val="both"/>
    </w:pPr>
    <w:rPr>
      <w:rFonts w:ascii="Times New Roman" w:hAnsi="Times New Roman" w:cs="Arial"/>
      <w:b w:val="0"/>
      <w:bCs w:val="0"/>
      <w:color w:val="000000"/>
      <w:kern w:val="0"/>
      <w:sz w:val="28"/>
      <w:szCs w:val="26"/>
      <w:lang w:val="en-US"/>
    </w:rPr>
  </w:style>
  <w:style w:type="paragraph" w:customStyle="1" w:styleId="3941">
    <w:name w:val="xl719"/>
    <w:basedOn w:val="1"/>
    <w:qFormat/>
    <w:uiPriority w:val="0"/>
    <w:pPr>
      <w:widowControl/>
      <w:pBdr>
        <w:top w:val="single" w:color="auto" w:sz="4" w:space="0"/>
        <w:bottom w:val="single" w:color="auto" w:sz="4" w:space="0"/>
        <w:right w:val="single" w:color="auto" w:sz="4" w:space="0"/>
      </w:pBdr>
      <w:spacing w:before="100" w:beforeAutospacing="1" w:after="100" w:afterAutospacing="1" w:line="440" w:lineRule="exact"/>
      <w:ind w:firstLine="200" w:firstLineChars="200"/>
      <w:jc w:val="center"/>
      <w:textAlignment w:val="center"/>
    </w:pPr>
    <w:rPr>
      <w:rFonts w:ascii="宋体" w:hAnsi="宋体" w:cs="宋体"/>
      <w:kern w:val="0"/>
      <w:sz w:val="20"/>
      <w:szCs w:val="20"/>
    </w:rPr>
  </w:style>
  <w:style w:type="paragraph" w:customStyle="1" w:styleId="3942">
    <w:name w:val="表样"/>
    <w:basedOn w:val="1"/>
    <w:qFormat/>
    <w:uiPriority w:val="0"/>
    <w:pPr>
      <w:widowControl/>
      <w:autoSpaceDE w:val="0"/>
      <w:autoSpaceDN w:val="0"/>
      <w:adjustRightInd w:val="0"/>
      <w:spacing w:afterLines="50" w:line="360" w:lineRule="exact"/>
      <w:ind w:firstLine="200" w:firstLineChars="200"/>
      <w:jc w:val="center"/>
      <w:textAlignment w:val="bottom"/>
    </w:pPr>
    <w:rPr>
      <w:rFonts w:ascii="宋体" w:eastAsia="仿宋_GB2312"/>
      <w:color w:val="000000"/>
      <w:kern w:val="0"/>
      <w:sz w:val="24"/>
      <w:szCs w:val="20"/>
    </w:rPr>
  </w:style>
  <w:style w:type="paragraph" w:customStyle="1" w:styleId="3943">
    <w:name w:val="标题 2-1"/>
    <w:basedOn w:val="6"/>
    <w:next w:val="1"/>
    <w:qFormat/>
    <w:uiPriority w:val="0"/>
    <w:pPr>
      <w:widowControl/>
      <w:tabs>
        <w:tab w:val="left" w:pos="0"/>
      </w:tabs>
      <w:spacing w:beforeLines="100" w:after="0" w:line="360" w:lineRule="auto"/>
      <w:ind w:left="840" w:hanging="420"/>
    </w:pPr>
    <w:rPr>
      <w:rFonts w:ascii="Cambria" w:hAnsi="Cambria" w:eastAsia="宋体"/>
      <w:kern w:val="0"/>
      <w:sz w:val="28"/>
      <w:szCs w:val="30"/>
      <w:lang w:eastAsia="en-US"/>
    </w:rPr>
  </w:style>
  <w:style w:type="paragraph" w:customStyle="1" w:styleId="3944">
    <w:name w:val="样式 样式 标题 1标题 1 CharH1H11H12Heading 11level 1Level 1 Head章章... + ..."/>
    <w:basedOn w:val="1"/>
    <w:qFormat/>
    <w:uiPriority w:val="0"/>
    <w:pPr>
      <w:keepNext/>
      <w:keepLines/>
      <w:adjustRightInd w:val="0"/>
      <w:snapToGrid w:val="0"/>
      <w:spacing w:line="348" w:lineRule="auto"/>
      <w:jc w:val="left"/>
      <w:textAlignment w:val="baseline"/>
      <w:outlineLvl w:val="0"/>
    </w:pPr>
    <w:rPr>
      <w:rFonts w:cs="宋体"/>
      <w:b/>
      <w:bCs/>
      <w:color w:val="000000"/>
      <w:kern w:val="44"/>
      <w:sz w:val="24"/>
      <w:szCs w:val="20"/>
    </w:rPr>
  </w:style>
  <w:style w:type="paragraph" w:customStyle="1" w:styleId="3945">
    <w:name w:val="ST20_11"/>
    <w:basedOn w:val="1"/>
    <w:qFormat/>
    <w:uiPriority w:val="0"/>
    <w:pPr>
      <w:widowControl/>
      <w:adjustRightInd w:val="0"/>
      <w:spacing w:line="440" w:lineRule="exact"/>
      <w:ind w:firstLine="200" w:firstLineChars="200"/>
      <w:jc w:val="center"/>
      <w:textAlignment w:val="baseline"/>
    </w:pPr>
    <w:rPr>
      <w:rFonts w:ascii="宋体"/>
      <w:kern w:val="0"/>
      <w:sz w:val="24"/>
      <w:szCs w:val="20"/>
    </w:rPr>
  </w:style>
  <w:style w:type="paragraph" w:customStyle="1" w:styleId="3946">
    <w:name w:val="样式 标题 2 + 宋体 四号"/>
    <w:basedOn w:val="6"/>
    <w:qFormat/>
    <w:uiPriority w:val="0"/>
    <w:pPr>
      <w:widowControl/>
      <w:spacing w:before="200" w:afterLines="50" w:line="240" w:lineRule="auto"/>
      <w:ind w:left="431" w:hanging="420"/>
    </w:pPr>
    <w:rPr>
      <w:rFonts w:ascii="宋体" w:hAnsi="宋体" w:eastAsia="宋体"/>
      <w:b w:val="0"/>
      <w:color w:val="4F81BD"/>
      <w:spacing w:val="1"/>
      <w:kern w:val="0"/>
      <w:sz w:val="28"/>
      <w:szCs w:val="26"/>
      <w:lang w:eastAsia="en-US"/>
    </w:rPr>
  </w:style>
  <w:style w:type="paragraph" w:customStyle="1" w:styleId="3947">
    <w:name w:val="612表头"/>
    <w:basedOn w:val="1"/>
    <w:qFormat/>
    <w:uiPriority w:val="0"/>
    <w:pPr>
      <w:widowControl/>
      <w:spacing w:before="120" w:line="360" w:lineRule="auto"/>
      <w:ind w:firstLine="200" w:firstLineChars="200"/>
      <w:jc w:val="center"/>
    </w:pPr>
    <w:rPr>
      <w:rFonts w:ascii="宋体" w:eastAsia="黑体"/>
      <w:bCs/>
      <w:kern w:val="0"/>
      <w:sz w:val="24"/>
      <w:szCs w:val="20"/>
    </w:rPr>
  </w:style>
  <w:style w:type="paragraph" w:customStyle="1" w:styleId="3948">
    <w:name w:val="612表格"/>
    <w:basedOn w:val="1"/>
    <w:qFormat/>
    <w:uiPriority w:val="0"/>
    <w:pPr>
      <w:widowControl/>
      <w:spacing w:line="360" w:lineRule="atLeast"/>
      <w:ind w:firstLine="200" w:firstLineChars="200"/>
      <w:jc w:val="center"/>
    </w:pPr>
    <w:rPr>
      <w:rFonts w:ascii="宋体" w:eastAsia="仿宋_GB2312"/>
      <w:kern w:val="0"/>
      <w:sz w:val="24"/>
      <w:szCs w:val="20"/>
    </w:rPr>
  </w:style>
  <w:style w:type="paragraph" w:customStyle="1" w:styleId="3949">
    <w:name w:val="p18"/>
    <w:basedOn w:val="1"/>
    <w:qFormat/>
    <w:uiPriority w:val="0"/>
    <w:pPr>
      <w:widowControl/>
      <w:ind w:firstLine="420"/>
    </w:pPr>
    <w:rPr>
      <w:rFonts w:ascii="Arial" w:hAnsi="Arial" w:cs="Arial"/>
      <w:kern w:val="0"/>
      <w:sz w:val="18"/>
      <w:szCs w:val="18"/>
    </w:rPr>
  </w:style>
  <w:style w:type="paragraph" w:customStyle="1" w:styleId="3950">
    <w:name w:val="p20"/>
    <w:basedOn w:val="1"/>
    <w:qFormat/>
    <w:uiPriority w:val="0"/>
    <w:pPr>
      <w:widowControl/>
      <w:ind w:firstLine="420"/>
    </w:pPr>
    <w:rPr>
      <w:rFonts w:ascii="Arial" w:hAnsi="Arial" w:cs="Arial"/>
      <w:kern w:val="0"/>
      <w:sz w:val="18"/>
      <w:szCs w:val="18"/>
    </w:rPr>
  </w:style>
  <w:style w:type="paragraph" w:customStyle="1" w:styleId="3951">
    <w:name w:val="Char Char Char1 Char Char Char Char Char Char Char Char Char Char Char Char Char"/>
    <w:basedOn w:val="1"/>
    <w:qFormat/>
    <w:uiPriority w:val="0"/>
    <w:rPr>
      <w:rFonts w:ascii="Tahoma" w:hAnsi="Tahoma"/>
      <w:sz w:val="24"/>
      <w:szCs w:val="20"/>
    </w:rPr>
  </w:style>
  <w:style w:type="paragraph" w:customStyle="1" w:styleId="3952">
    <w:name w:val="无间隔7"/>
    <w:qFormat/>
    <w:uiPriority w:val="0"/>
    <w:rPr>
      <w:rFonts w:ascii="Calibri" w:hAnsi="Calibri" w:eastAsia="宋体" w:cs="Calibri"/>
      <w:sz w:val="22"/>
      <w:szCs w:val="22"/>
      <w:lang w:val="en-US" w:eastAsia="en-US" w:bidi="ar-SA"/>
    </w:rPr>
  </w:style>
  <w:style w:type="paragraph" w:customStyle="1" w:styleId="3953">
    <w:name w:val="CM145"/>
    <w:basedOn w:val="2"/>
    <w:next w:val="2"/>
    <w:qFormat/>
    <w:uiPriority w:val="0"/>
    <w:pPr>
      <w:suppressAutoHyphens w:val="0"/>
      <w:adjustRightInd w:val="0"/>
      <w:spacing w:after="333"/>
      <w:textAlignment w:val="auto"/>
    </w:pPr>
    <w:rPr>
      <w:rFonts w:ascii="Sim Sun" w:hAnsi="Times New Roman" w:eastAsia="Sim Sun" w:cs="Times New Roman"/>
      <w:color w:val="auto"/>
    </w:rPr>
  </w:style>
  <w:style w:type="paragraph" w:customStyle="1" w:styleId="3954">
    <w:name w:val="bh1"/>
    <w:basedOn w:val="1"/>
    <w:qFormat/>
    <w:uiPriority w:val="0"/>
    <w:pPr>
      <w:widowControl/>
      <w:jc w:val="left"/>
    </w:pPr>
    <w:rPr>
      <w:rFonts w:ascii="宋体" w:hAnsi="宋体" w:cs="宋体"/>
      <w:kern w:val="0"/>
      <w:sz w:val="24"/>
    </w:rPr>
  </w:style>
  <w:style w:type="paragraph" w:customStyle="1" w:styleId="3955">
    <w:name w:val="p17"/>
    <w:basedOn w:val="1"/>
    <w:qFormat/>
    <w:uiPriority w:val="0"/>
    <w:pPr>
      <w:widowControl/>
      <w:jc w:val="center"/>
    </w:pPr>
    <w:rPr>
      <w:rFonts w:ascii="Arial" w:hAnsi="Arial" w:cs="Arial"/>
      <w:kern w:val="0"/>
      <w:szCs w:val="21"/>
    </w:rPr>
  </w:style>
  <w:style w:type="paragraph" w:customStyle="1" w:styleId="3956">
    <w:name w:val="1.1.1.1标题"/>
    <w:basedOn w:val="1"/>
    <w:qFormat/>
    <w:uiPriority w:val="0"/>
    <w:pPr>
      <w:adjustRightInd w:val="0"/>
      <w:snapToGrid w:val="0"/>
      <w:spacing w:line="460" w:lineRule="exact"/>
      <w:ind w:firstLine="472" w:firstLineChars="196"/>
      <w:outlineLvl w:val="3"/>
    </w:pPr>
    <w:rPr>
      <w:rFonts w:ascii="Arial" w:hAnsi="Arial" w:eastAsia="黑体" w:cs="Arial"/>
      <w:b/>
      <w:bCs/>
      <w:color w:val="000000"/>
      <w:kern w:val="0"/>
      <w:sz w:val="24"/>
    </w:rPr>
  </w:style>
  <w:style w:type="paragraph" w:customStyle="1" w:styleId="3957">
    <w:name w:val="Char Char Char1 Char Char Char Char Char Char Char Char Char Char2"/>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3958">
    <w:name w:val="MFS正文 Char"/>
    <w:basedOn w:val="1050"/>
    <w:qFormat/>
    <w:uiPriority w:val="0"/>
    <w:pPr>
      <w:tabs>
        <w:tab w:val="clear" w:pos="540"/>
        <w:tab w:val="clear" w:pos="1440"/>
        <w:tab w:val="clear" w:pos="2448"/>
        <w:tab w:val="clear" w:pos="3000"/>
        <w:tab w:val="clear" w:pos="3888"/>
        <w:tab w:val="clear" w:pos="4800"/>
        <w:tab w:val="clear" w:pos="5040"/>
        <w:tab w:val="clear" w:pos="5883"/>
        <w:tab w:val="clear" w:pos="6300"/>
        <w:tab w:val="clear" w:pos="7353"/>
        <w:tab w:val="clear" w:pos="8613"/>
      </w:tabs>
      <w:autoSpaceDE/>
      <w:autoSpaceDN/>
      <w:spacing w:before="93" w:after="120" w:line="360" w:lineRule="auto"/>
      <w:ind w:firstLine="200" w:firstLineChars="200"/>
      <w:textAlignment w:val="auto"/>
    </w:pPr>
    <w:rPr>
      <w:rFonts w:eastAsia="楷体_GB2312"/>
      <w:kern w:val="2"/>
      <w:sz w:val="24"/>
      <w:szCs w:val="22"/>
    </w:rPr>
  </w:style>
  <w:style w:type="paragraph" w:customStyle="1" w:styleId="3959">
    <w:name w:val="MFS表格表头"/>
    <w:basedOn w:val="1"/>
    <w:qFormat/>
    <w:uiPriority w:val="0"/>
    <w:pPr>
      <w:spacing w:line="360" w:lineRule="auto"/>
      <w:jc w:val="center"/>
    </w:pPr>
    <w:rPr>
      <w:rFonts w:ascii="宋体" w:hAnsi="宋体"/>
      <w:b/>
      <w:sz w:val="24"/>
    </w:rPr>
  </w:style>
  <w:style w:type="paragraph" w:customStyle="1" w:styleId="3960">
    <w:name w:val="body 1"/>
    <w:basedOn w:val="1"/>
    <w:qFormat/>
    <w:uiPriority w:val="0"/>
    <w:pPr>
      <w:adjustRightInd w:val="0"/>
      <w:spacing w:line="360" w:lineRule="atLeast"/>
      <w:textAlignment w:val="baseline"/>
    </w:pPr>
    <w:rPr>
      <w:rFonts w:ascii="華康中楷體" w:eastAsia="華康中楷體"/>
      <w:spacing w:val="60"/>
      <w:kern w:val="0"/>
      <w:sz w:val="24"/>
      <w:szCs w:val="20"/>
      <w:lang w:eastAsia="zh-TW"/>
    </w:rPr>
  </w:style>
  <w:style w:type="paragraph" w:customStyle="1" w:styleId="3961">
    <w:name w:val="文档结构图12"/>
    <w:basedOn w:val="1"/>
    <w:qFormat/>
    <w:uiPriority w:val="0"/>
    <w:pPr>
      <w:shd w:val="clear" w:color="auto" w:fill="000080"/>
      <w:adjustRightInd w:val="0"/>
      <w:spacing w:line="360" w:lineRule="atLeast"/>
      <w:jc w:val="left"/>
      <w:textAlignment w:val="baseline"/>
    </w:pPr>
    <w:rPr>
      <w:rFonts w:eastAsia="Wingdings"/>
      <w:kern w:val="0"/>
      <w:sz w:val="24"/>
      <w:szCs w:val="20"/>
    </w:rPr>
  </w:style>
  <w:style w:type="paragraph" w:customStyle="1" w:styleId="3962">
    <w:name w:val="ST20_1"/>
    <w:basedOn w:val="1"/>
    <w:qFormat/>
    <w:uiPriority w:val="0"/>
    <w:pPr>
      <w:adjustRightInd w:val="0"/>
      <w:jc w:val="center"/>
      <w:textAlignment w:val="baseline"/>
    </w:pPr>
    <w:rPr>
      <w:rFonts w:ascii="宋体"/>
      <w:kern w:val="0"/>
      <w:szCs w:val="20"/>
    </w:rPr>
  </w:style>
  <w:style w:type="paragraph" w:customStyle="1" w:styleId="3963">
    <w:name w:val="论文标题2"/>
    <w:basedOn w:val="1"/>
    <w:qFormat/>
    <w:uiPriority w:val="0"/>
    <w:pPr>
      <w:spacing w:line="360" w:lineRule="auto"/>
      <w:jc w:val="center"/>
    </w:pPr>
    <w:rPr>
      <w:rFonts w:ascii="黑体" w:eastAsia="黑体"/>
      <w:szCs w:val="20"/>
    </w:rPr>
  </w:style>
  <w:style w:type="paragraph" w:customStyle="1" w:styleId="3964">
    <w:name w:val="表格尾格式"/>
    <w:basedOn w:val="1"/>
    <w:qFormat/>
    <w:uiPriority w:val="0"/>
    <w:pPr>
      <w:tabs>
        <w:tab w:val="left" w:pos="1701"/>
      </w:tabs>
      <w:adjustRightInd w:val="0"/>
      <w:snapToGrid w:val="0"/>
      <w:spacing w:line="240" w:lineRule="exact"/>
      <w:ind w:left="561"/>
      <w:jc w:val="left"/>
    </w:pPr>
    <w:rPr>
      <w:sz w:val="10"/>
    </w:rPr>
  </w:style>
  <w:style w:type="paragraph" w:customStyle="1" w:styleId="3965">
    <w:name w:val="纯文本2"/>
    <w:basedOn w:val="1"/>
    <w:qFormat/>
    <w:uiPriority w:val="0"/>
    <w:pPr>
      <w:spacing w:line="460" w:lineRule="exact"/>
    </w:pPr>
    <w:rPr>
      <w:sz w:val="24"/>
    </w:rPr>
  </w:style>
  <w:style w:type="paragraph" w:customStyle="1" w:styleId="3966">
    <w:name w:val="正文首行缩进11"/>
    <w:basedOn w:val="34"/>
    <w:qFormat/>
    <w:uiPriority w:val="0"/>
    <w:pPr>
      <w:widowControl w:val="0"/>
      <w:adjustRightInd w:val="0"/>
      <w:spacing w:before="0" w:after="0" w:line="312" w:lineRule="auto"/>
      <w:ind w:right="0" w:firstLine="567" w:firstLineChars="200"/>
      <w:jc w:val="left"/>
      <w:textAlignment w:val="baseline"/>
    </w:pPr>
    <w:rPr>
      <w:sz w:val="28"/>
    </w:rPr>
  </w:style>
  <w:style w:type="paragraph" w:customStyle="1" w:styleId="3967">
    <w:name w:val="Bullet_Indent"/>
    <w:basedOn w:val="1"/>
    <w:qFormat/>
    <w:uiPriority w:val="0"/>
    <w:pPr>
      <w:widowControl/>
      <w:adjustRightInd w:val="0"/>
      <w:snapToGrid w:val="0"/>
      <w:spacing w:after="240" w:line="360" w:lineRule="auto"/>
      <w:ind w:left="1440" w:hanging="720"/>
      <w:jc w:val="left"/>
    </w:pPr>
    <w:rPr>
      <w:kern w:val="0"/>
      <w:sz w:val="24"/>
      <w:szCs w:val="20"/>
    </w:rPr>
  </w:style>
  <w:style w:type="paragraph" w:customStyle="1" w:styleId="3968">
    <w:name w:val="正文文字 3"/>
    <w:basedOn w:val="2"/>
    <w:next w:val="2"/>
    <w:qFormat/>
    <w:uiPriority w:val="0"/>
    <w:pPr>
      <w:suppressAutoHyphens w:val="0"/>
      <w:adjustRightInd w:val="0"/>
      <w:textAlignment w:val="auto"/>
    </w:pPr>
    <w:rPr>
      <w:rFonts w:hAnsi="Times New Roman" w:cs="Times New Roman"/>
      <w:color w:val="auto"/>
      <w:szCs w:val="20"/>
    </w:rPr>
  </w:style>
  <w:style w:type="paragraph" w:customStyle="1" w:styleId="3969">
    <w:name w:val="p2"/>
    <w:basedOn w:val="1"/>
    <w:qFormat/>
    <w:uiPriority w:val="0"/>
    <w:pPr>
      <w:widowControl/>
      <w:spacing w:before="100" w:beforeAutospacing="1" w:after="100" w:afterAutospacing="1"/>
      <w:jc w:val="left"/>
    </w:pPr>
    <w:rPr>
      <w:rFonts w:ascii="宋体" w:hAnsi="宋体"/>
      <w:kern w:val="0"/>
      <w:szCs w:val="21"/>
    </w:rPr>
  </w:style>
  <w:style w:type="paragraph" w:customStyle="1" w:styleId="3970">
    <w:name w:val="正文文本缩进 212"/>
    <w:basedOn w:val="1"/>
    <w:qFormat/>
    <w:uiPriority w:val="0"/>
    <w:pPr>
      <w:adjustRightInd w:val="0"/>
      <w:spacing w:line="348" w:lineRule="auto"/>
      <w:ind w:firstLine="573"/>
      <w:textAlignment w:val="baseline"/>
    </w:pPr>
    <w:rPr>
      <w:rFonts w:eastAsia="Wingdings"/>
      <w:sz w:val="24"/>
      <w:szCs w:val="20"/>
    </w:rPr>
  </w:style>
  <w:style w:type="character" w:customStyle="1" w:styleId="3971">
    <w:name w:val="表标题 Char Char"/>
    <w:qFormat/>
    <w:uiPriority w:val="0"/>
    <w:rPr>
      <w:rFonts w:ascii="Times New Roman" w:hAnsi="Times New Roman" w:eastAsia="宋体" w:cs="Times New Roman"/>
      <w:b/>
      <w:color w:val="000000"/>
      <w:kern w:val="0"/>
      <w:sz w:val="24"/>
      <w:szCs w:val="20"/>
    </w:rPr>
  </w:style>
  <w:style w:type="paragraph" w:customStyle="1" w:styleId="3972">
    <w:name w:val="Char Char Char Char Char Char Char Char Char Char Char Char Char3"/>
    <w:basedOn w:val="1"/>
    <w:qFormat/>
    <w:uiPriority w:val="0"/>
    <w:pPr>
      <w:snapToGrid w:val="0"/>
      <w:spacing w:line="360" w:lineRule="auto"/>
      <w:ind w:firstLine="200" w:firstLineChars="200"/>
    </w:pPr>
    <w:rPr>
      <w:rFonts w:eastAsia="仿宋_GB2312"/>
      <w:sz w:val="24"/>
    </w:rPr>
  </w:style>
  <w:style w:type="paragraph" w:customStyle="1" w:styleId="3973">
    <w:name w:val="Char Char Char1 Char Char Char Char Char Char Char3"/>
    <w:basedOn w:val="1"/>
    <w:qFormat/>
    <w:uiPriority w:val="0"/>
    <w:pPr>
      <w:snapToGrid w:val="0"/>
      <w:spacing w:line="348" w:lineRule="auto"/>
    </w:pPr>
    <w:rPr>
      <w:rFonts w:ascii="Tahoma" w:hAnsi="Tahoma"/>
      <w:sz w:val="24"/>
      <w:szCs w:val="20"/>
    </w:rPr>
  </w:style>
  <w:style w:type="paragraph" w:customStyle="1" w:styleId="3974">
    <w:name w:val="正文（首行缩进两字） Char Char Char Char Char"/>
    <w:basedOn w:val="1"/>
    <w:next w:val="3563"/>
    <w:qFormat/>
    <w:uiPriority w:val="0"/>
    <w:pPr>
      <w:ind w:firstLine="420" w:firstLineChars="200"/>
    </w:pPr>
    <w:rPr>
      <w:sz w:val="24"/>
    </w:rPr>
  </w:style>
  <w:style w:type="paragraph" w:customStyle="1" w:styleId="3975">
    <w:name w:val="iyz599"/>
    <w:basedOn w:val="1"/>
    <w:qFormat/>
    <w:uiPriority w:val="0"/>
    <w:pPr>
      <w:widowControl/>
      <w:spacing w:before="100" w:beforeAutospacing="1" w:after="100" w:afterAutospacing="1"/>
      <w:jc w:val="left"/>
    </w:pPr>
    <w:rPr>
      <w:rFonts w:ascii="宋体" w:hAnsi="宋体" w:cs="宋体"/>
      <w:kern w:val="0"/>
      <w:sz w:val="24"/>
    </w:rPr>
  </w:style>
  <w:style w:type="paragraph" w:customStyle="1" w:styleId="3976">
    <w:name w:val="纯文本11"/>
    <w:basedOn w:val="1"/>
    <w:qFormat/>
    <w:uiPriority w:val="0"/>
    <w:pPr>
      <w:adjustRightInd w:val="0"/>
      <w:snapToGrid w:val="0"/>
      <w:spacing w:line="348" w:lineRule="auto"/>
      <w:ind w:firstLine="200" w:firstLineChars="200"/>
      <w:textAlignment w:val="baseline"/>
    </w:pPr>
    <w:rPr>
      <w:rFonts w:ascii="宋体" w:hAnsi="Courier New"/>
      <w:color w:val="000000"/>
      <w:sz w:val="24"/>
      <w:szCs w:val="20"/>
    </w:rPr>
  </w:style>
  <w:style w:type="paragraph" w:customStyle="1" w:styleId="3977">
    <w:name w:val="両ｶｯｺ"/>
    <w:basedOn w:val="1"/>
    <w:qFormat/>
    <w:uiPriority w:val="0"/>
    <w:pPr>
      <w:tabs>
        <w:tab w:val="left" w:pos="1060"/>
      </w:tabs>
      <w:autoSpaceDE w:val="0"/>
      <w:autoSpaceDN w:val="0"/>
      <w:adjustRightInd w:val="0"/>
      <w:spacing w:after="120" w:line="360" w:lineRule="atLeast"/>
      <w:ind w:left="1418" w:hanging="567"/>
      <w:jc w:val="left"/>
      <w:textAlignment w:val="baseline"/>
    </w:pPr>
    <w:rPr>
      <w:rFonts w:ascii="Arial" w:hAnsi="Arial" w:eastAsia="?l?r ｨC?｡ｯ?"/>
      <w:kern w:val="0"/>
      <w:sz w:val="24"/>
      <w:lang w:eastAsia="ja-JP"/>
    </w:rPr>
  </w:style>
  <w:style w:type="paragraph" w:customStyle="1" w:styleId="3978">
    <w:name w:val="正文首行缩进12"/>
    <w:basedOn w:val="34"/>
    <w:qFormat/>
    <w:uiPriority w:val="0"/>
    <w:pPr>
      <w:widowControl w:val="0"/>
      <w:adjustRightInd w:val="0"/>
      <w:snapToGrid/>
      <w:spacing w:before="0" w:after="0" w:line="312" w:lineRule="auto"/>
      <w:ind w:right="0" w:firstLine="567"/>
      <w:jc w:val="left"/>
      <w:textAlignment w:val="baseline"/>
    </w:pPr>
    <w:rPr>
      <w:sz w:val="28"/>
    </w:rPr>
  </w:style>
  <w:style w:type="paragraph" w:customStyle="1" w:styleId="3979">
    <w:name w:val="日期21"/>
    <w:basedOn w:val="1"/>
    <w:next w:val="1"/>
    <w:qFormat/>
    <w:uiPriority w:val="0"/>
    <w:pPr>
      <w:adjustRightInd w:val="0"/>
      <w:spacing w:line="360" w:lineRule="atLeast"/>
      <w:textAlignment w:val="baseline"/>
    </w:pPr>
    <w:rPr>
      <w:rFonts w:ascii="宋体"/>
      <w:spacing w:val="20"/>
      <w:kern w:val="0"/>
      <w:sz w:val="24"/>
      <w:szCs w:val="20"/>
    </w:rPr>
  </w:style>
  <w:style w:type="paragraph" w:customStyle="1" w:styleId="3980">
    <w:name w:val="表格式"/>
    <w:basedOn w:val="1626"/>
    <w:qFormat/>
    <w:uiPriority w:val="0"/>
    <w:pPr>
      <w:spacing w:beforeLines="50" w:afterLines="50" w:line="200" w:lineRule="exact"/>
    </w:pPr>
    <w:rPr>
      <w:rFonts w:ascii="Times New Roman" w:hAnsi="Times New Roman"/>
      <w:sz w:val="21"/>
    </w:rPr>
  </w:style>
  <w:style w:type="paragraph" w:customStyle="1" w:styleId="3981">
    <w:name w:val="CM104"/>
    <w:basedOn w:val="2"/>
    <w:next w:val="2"/>
    <w:qFormat/>
    <w:uiPriority w:val="0"/>
    <w:pPr>
      <w:suppressAutoHyphens w:val="0"/>
      <w:adjustRightInd w:val="0"/>
      <w:spacing w:line="531" w:lineRule="atLeast"/>
      <w:textAlignment w:val="auto"/>
    </w:pPr>
    <w:rPr>
      <w:rFonts w:hAnsi="Times New Roman" w:cs="Times New Roman"/>
      <w:color w:val="auto"/>
    </w:rPr>
  </w:style>
  <w:style w:type="paragraph" w:customStyle="1" w:styleId="3982">
    <w:name w:val="Char Char Char1 Char Char Char Char Char Char Char4"/>
    <w:basedOn w:val="1"/>
    <w:qFormat/>
    <w:uiPriority w:val="0"/>
    <w:rPr>
      <w:rFonts w:ascii="Tahoma" w:hAnsi="Tahoma"/>
      <w:sz w:val="24"/>
      <w:szCs w:val="20"/>
    </w:rPr>
  </w:style>
  <w:style w:type="paragraph" w:customStyle="1" w:styleId="3983">
    <w:name w:val="Char Char Char Char Char Char Char Char Char Char4"/>
    <w:basedOn w:val="1"/>
    <w:qFormat/>
    <w:uiPriority w:val="0"/>
    <w:rPr>
      <w:rFonts w:ascii="宋体" w:hAnsi="宋体" w:cs="宋体"/>
      <w:color w:val="000000"/>
      <w:szCs w:val="21"/>
    </w:rPr>
  </w:style>
  <w:style w:type="paragraph" w:customStyle="1" w:styleId="3984">
    <w:name w:val="Char Char Char1 Char Char Char Char Char Char Char Char Char Char1"/>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3985">
    <w:name w:val="样式 表格 + 段前: 2 磅 行距: 最小值 12 磅1"/>
    <w:basedOn w:val="1"/>
    <w:qFormat/>
    <w:uiPriority w:val="0"/>
    <w:pPr>
      <w:adjustRightInd w:val="0"/>
      <w:spacing w:before="40" w:line="240" w:lineRule="atLeast"/>
      <w:jc w:val="center"/>
    </w:pPr>
    <w:rPr>
      <w:kern w:val="0"/>
      <w:szCs w:val="20"/>
    </w:rPr>
  </w:style>
  <w:style w:type="paragraph" w:customStyle="1" w:styleId="3986">
    <w:name w:val="正文5号"/>
    <w:basedOn w:val="1"/>
    <w:qFormat/>
    <w:uiPriority w:val="0"/>
    <w:pPr>
      <w:adjustRightInd w:val="0"/>
      <w:snapToGrid w:val="0"/>
      <w:spacing w:line="324" w:lineRule="auto"/>
      <w:ind w:firstLine="1134"/>
    </w:pPr>
    <w:rPr>
      <w:kern w:val="0"/>
      <w:szCs w:val="20"/>
    </w:rPr>
  </w:style>
  <w:style w:type="paragraph" w:customStyle="1" w:styleId="3987">
    <w:name w:val="样式 标题 3 + 首行缩进:  2 字符"/>
    <w:basedOn w:val="7"/>
    <w:qFormat/>
    <w:uiPriority w:val="0"/>
    <w:pPr>
      <w:spacing w:before="0" w:after="0" w:line="348" w:lineRule="auto"/>
      <w:ind w:left="1260" w:hanging="420"/>
      <w:jc w:val="both"/>
    </w:pPr>
    <w:rPr>
      <w:rFonts w:ascii="Times New Roman" w:hAnsi="Times New Roman"/>
      <w:b w:val="0"/>
      <w:bCs w:val="0"/>
      <w:color w:val="000000"/>
      <w:kern w:val="0"/>
      <w:sz w:val="28"/>
      <w:szCs w:val="20"/>
      <w:lang w:val="en-US"/>
    </w:rPr>
  </w:style>
  <w:style w:type="paragraph" w:customStyle="1" w:styleId="3988">
    <w:name w:val="样式 标题 4节 + 行距: 1.5 倍行距 + 首行缩进:  2 字符"/>
    <w:basedOn w:val="8"/>
    <w:qFormat/>
    <w:uiPriority w:val="0"/>
    <w:pPr>
      <w:widowControl/>
      <w:numPr>
        <w:ilvl w:val="0"/>
        <w:numId w:val="0"/>
      </w:numPr>
      <w:adjustRightInd w:val="0"/>
      <w:snapToGrid w:val="0"/>
      <w:spacing w:before="0" w:after="0" w:line="360" w:lineRule="auto"/>
      <w:ind w:left="1680" w:firstLine="200" w:firstLineChars="200"/>
    </w:pPr>
    <w:rPr>
      <w:rFonts w:ascii="Times New Roman" w:hAnsi="Times New Roman" w:eastAsia="宋体"/>
      <w:b w:val="0"/>
      <w:bCs w:val="0"/>
      <w:color w:val="000000"/>
      <w:kern w:val="0"/>
      <w:sz w:val="24"/>
      <w:szCs w:val="20"/>
    </w:rPr>
  </w:style>
  <w:style w:type="paragraph" w:customStyle="1" w:styleId="3989">
    <w:name w:val="标题3 Char Char Char Char"/>
    <w:basedOn w:val="1"/>
    <w:next w:val="1"/>
    <w:qFormat/>
    <w:uiPriority w:val="0"/>
    <w:pPr>
      <w:spacing w:afterLines="50" w:line="560" w:lineRule="exact"/>
    </w:pPr>
    <w:rPr>
      <w:sz w:val="24"/>
      <w:szCs w:val="30"/>
    </w:rPr>
  </w:style>
  <w:style w:type="paragraph" w:customStyle="1" w:styleId="3990">
    <w:name w:val="content_noindent"/>
    <w:basedOn w:val="1"/>
    <w:qFormat/>
    <w:uiPriority w:val="0"/>
    <w:pPr>
      <w:widowControl/>
      <w:spacing w:before="100" w:beforeAutospacing="1" w:after="100" w:afterAutospacing="1"/>
      <w:jc w:val="left"/>
    </w:pPr>
    <w:rPr>
      <w:rFonts w:ascii="宋体" w:hAnsi="宋体" w:cs="宋体"/>
      <w:kern w:val="0"/>
      <w:sz w:val="24"/>
    </w:rPr>
  </w:style>
  <w:style w:type="paragraph" w:customStyle="1" w:styleId="3991">
    <w:name w:val="Char Char1 Char Char Char Char Char Char Char1"/>
    <w:basedOn w:val="1"/>
    <w:qFormat/>
    <w:uiPriority w:val="0"/>
    <w:pPr>
      <w:widowControl/>
      <w:spacing w:after="160" w:line="240" w:lineRule="exact"/>
      <w:jc w:val="left"/>
    </w:pPr>
    <w:rPr>
      <w:sz w:val="24"/>
    </w:rPr>
  </w:style>
  <w:style w:type="paragraph" w:customStyle="1" w:styleId="3992">
    <w:name w:val="大表紧缩"/>
    <w:basedOn w:val="3785"/>
    <w:qFormat/>
    <w:uiPriority w:val="0"/>
    <w:pPr>
      <w:spacing w:line="252" w:lineRule="auto"/>
    </w:pPr>
  </w:style>
  <w:style w:type="paragraph" w:customStyle="1" w:styleId="3993">
    <w:name w:val="表格头单倍"/>
    <w:basedOn w:val="1"/>
    <w:qFormat/>
    <w:uiPriority w:val="0"/>
    <w:pPr>
      <w:adjustRightInd w:val="0"/>
      <w:snapToGrid w:val="0"/>
      <w:jc w:val="center"/>
    </w:pPr>
    <w:rPr>
      <w:rFonts w:cs="宋体"/>
      <w:kern w:val="28"/>
      <w:sz w:val="24"/>
      <w:szCs w:val="20"/>
    </w:rPr>
  </w:style>
  <w:style w:type="paragraph" w:customStyle="1" w:styleId="3994">
    <w:name w:val="连续正文文字"/>
    <w:basedOn w:val="34"/>
    <w:qFormat/>
    <w:uiPriority w:val="0"/>
    <w:pPr>
      <w:keepNext/>
      <w:snapToGrid/>
      <w:spacing w:before="0" w:after="220" w:line="280" w:lineRule="exact"/>
      <w:ind w:right="0"/>
      <w:jc w:val="center"/>
    </w:pPr>
    <w:rPr>
      <w:sz w:val="30"/>
    </w:rPr>
  </w:style>
  <w:style w:type="paragraph" w:customStyle="1" w:styleId="3995">
    <w:name w:val="样式 表格头 + 字距调整二号"/>
    <w:basedOn w:val="1001"/>
    <w:qFormat/>
    <w:uiPriority w:val="0"/>
    <w:pPr>
      <w:widowControl/>
    </w:pPr>
    <w:rPr>
      <w:kern w:val="44"/>
      <w:szCs w:val="20"/>
    </w:rPr>
  </w:style>
  <w:style w:type="paragraph" w:customStyle="1" w:styleId="3996">
    <w:name w:val="日期11"/>
    <w:basedOn w:val="1"/>
    <w:next w:val="1"/>
    <w:qFormat/>
    <w:uiPriority w:val="0"/>
    <w:pPr>
      <w:adjustRightInd w:val="0"/>
      <w:snapToGrid w:val="0"/>
      <w:spacing w:line="360" w:lineRule="atLeast"/>
      <w:ind w:firstLine="200" w:firstLineChars="200"/>
      <w:textAlignment w:val="baseline"/>
    </w:pPr>
    <w:rPr>
      <w:rFonts w:ascii="宋体"/>
      <w:color w:val="000000"/>
      <w:spacing w:val="20"/>
      <w:kern w:val="0"/>
      <w:sz w:val="24"/>
      <w:szCs w:val="20"/>
    </w:rPr>
  </w:style>
  <w:style w:type="paragraph" w:customStyle="1" w:styleId="3997">
    <w:name w:val="正文文本缩进 211"/>
    <w:basedOn w:val="1"/>
    <w:qFormat/>
    <w:uiPriority w:val="0"/>
    <w:pPr>
      <w:adjustRightInd w:val="0"/>
      <w:snapToGrid w:val="0"/>
      <w:spacing w:line="348" w:lineRule="auto"/>
      <w:ind w:firstLine="573" w:firstLineChars="200"/>
      <w:textAlignment w:val="baseline"/>
    </w:pPr>
    <w:rPr>
      <w:rFonts w:eastAsia="Wingdings"/>
      <w:color w:val="000000"/>
      <w:sz w:val="24"/>
      <w:szCs w:val="20"/>
    </w:rPr>
  </w:style>
  <w:style w:type="paragraph" w:customStyle="1" w:styleId="3998">
    <w:name w:val="文档结构图11"/>
    <w:basedOn w:val="1"/>
    <w:qFormat/>
    <w:uiPriority w:val="0"/>
    <w:pPr>
      <w:shd w:val="clear" w:color="auto" w:fill="000080"/>
      <w:adjustRightInd w:val="0"/>
      <w:snapToGrid w:val="0"/>
      <w:spacing w:line="360" w:lineRule="atLeast"/>
      <w:ind w:firstLine="200" w:firstLineChars="200"/>
      <w:jc w:val="left"/>
      <w:textAlignment w:val="baseline"/>
    </w:pPr>
    <w:rPr>
      <w:rFonts w:eastAsia="Wingdings"/>
      <w:color w:val="000000"/>
      <w:kern w:val="0"/>
      <w:sz w:val="24"/>
      <w:szCs w:val="20"/>
    </w:rPr>
  </w:style>
  <w:style w:type="paragraph" w:customStyle="1" w:styleId="3999">
    <w:name w:val="Char Char Char1 Char Char Char Char Char Char Char Char Char Char Char Char Char1"/>
    <w:basedOn w:val="1"/>
    <w:qFormat/>
    <w:uiPriority w:val="0"/>
    <w:pPr>
      <w:adjustRightInd w:val="0"/>
      <w:snapToGrid w:val="0"/>
      <w:spacing w:line="348" w:lineRule="auto"/>
      <w:ind w:firstLine="200" w:firstLineChars="200"/>
    </w:pPr>
    <w:rPr>
      <w:rFonts w:ascii="Tahoma" w:hAnsi="Tahoma"/>
      <w:color w:val="000000"/>
      <w:sz w:val="24"/>
      <w:szCs w:val="20"/>
    </w:rPr>
  </w:style>
  <w:style w:type="paragraph" w:customStyle="1" w:styleId="4000">
    <w:name w:val="p32"/>
    <w:basedOn w:val="1"/>
    <w:qFormat/>
    <w:uiPriority w:val="0"/>
    <w:pPr>
      <w:widowControl/>
      <w:snapToGrid w:val="0"/>
      <w:spacing w:line="300" w:lineRule="auto"/>
      <w:jc w:val="center"/>
    </w:pPr>
    <w:rPr>
      <w:color w:val="000000"/>
      <w:kern w:val="0"/>
      <w:sz w:val="18"/>
      <w:szCs w:val="18"/>
    </w:rPr>
  </w:style>
  <w:style w:type="paragraph" w:customStyle="1" w:styleId="4001">
    <w:name w:val="CM16"/>
    <w:basedOn w:val="1"/>
    <w:next w:val="1"/>
    <w:qFormat/>
    <w:uiPriority w:val="0"/>
    <w:pPr>
      <w:autoSpaceDE w:val="0"/>
      <w:autoSpaceDN w:val="0"/>
      <w:adjustRightInd w:val="0"/>
      <w:snapToGrid w:val="0"/>
      <w:spacing w:line="533" w:lineRule="atLeast"/>
      <w:ind w:firstLine="200" w:firstLineChars="200"/>
      <w:jc w:val="left"/>
    </w:pPr>
    <w:rPr>
      <w:rFonts w:ascii="宋体"/>
      <w:color w:val="000000"/>
      <w:kern w:val="0"/>
      <w:sz w:val="24"/>
    </w:rPr>
  </w:style>
  <w:style w:type="paragraph" w:customStyle="1" w:styleId="4002">
    <w:name w:val="样式 标题 3H3H31H32H33u3标题 3 Char Char Char标题 3 Char Char Cha...1"/>
    <w:basedOn w:val="7"/>
    <w:qFormat/>
    <w:uiPriority w:val="0"/>
    <w:pPr>
      <w:widowControl w:val="0"/>
      <w:spacing w:before="0" w:after="0" w:line="348" w:lineRule="auto"/>
      <w:ind w:left="1260" w:firstLine="200" w:firstLineChars="200"/>
      <w:jc w:val="both"/>
    </w:pPr>
    <w:rPr>
      <w:rFonts w:ascii="Times New Roman" w:hAnsi="Times New Roman" w:cs="宋体"/>
      <w:b w:val="0"/>
      <w:bCs w:val="0"/>
      <w:color w:val="000000"/>
      <w:spacing w:val="8"/>
      <w:sz w:val="28"/>
      <w:szCs w:val="20"/>
      <w:lang w:val="en-US"/>
    </w:rPr>
  </w:style>
  <w:style w:type="paragraph" w:customStyle="1" w:styleId="4003">
    <w:name w:val="样式 样式 标题 3H3H31H32H33u3标题 3 Char Char Char标题 3 Char Char Cha...1..."/>
    <w:basedOn w:val="4002"/>
    <w:qFormat/>
    <w:uiPriority w:val="0"/>
    <w:pPr>
      <w:ind w:firstLine="0" w:firstLineChars="0"/>
    </w:pPr>
  </w:style>
  <w:style w:type="paragraph" w:customStyle="1" w:styleId="4004">
    <w:name w:val="dandan6-13正文 Char Char Char"/>
    <w:basedOn w:val="1"/>
    <w:next w:val="1"/>
    <w:qFormat/>
    <w:uiPriority w:val="0"/>
    <w:pPr>
      <w:keepNext/>
      <w:keepLines/>
      <w:widowControl/>
      <w:adjustRightInd w:val="0"/>
      <w:spacing w:before="40" w:after="40" w:line="360" w:lineRule="auto"/>
      <w:ind w:firstLine="200" w:firstLineChars="200"/>
      <w:textAlignment w:val="baseline"/>
    </w:pPr>
    <w:rPr>
      <w:rFonts w:cs="宋体"/>
      <w:kern w:val="0"/>
      <w:sz w:val="24"/>
      <w:szCs w:val="28"/>
    </w:rPr>
  </w:style>
  <w:style w:type="paragraph" w:customStyle="1" w:styleId="4005">
    <w:name w:val="p30"/>
    <w:basedOn w:val="1"/>
    <w:qFormat/>
    <w:uiPriority w:val="0"/>
    <w:pPr>
      <w:widowControl/>
      <w:snapToGrid w:val="0"/>
      <w:spacing w:before="62" w:line="240" w:lineRule="atLeast"/>
      <w:jc w:val="center"/>
    </w:pPr>
    <w:rPr>
      <w:rFonts w:ascii="仿宋体" w:hAnsi="仿宋体" w:eastAsia="仿宋体" w:cs="宋体"/>
      <w:kern w:val="0"/>
      <w:szCs w:val="21"/>
    </w:rPr>
  </w:style>
  <w:style w:type="paragraph" w:customStyle="1" w:styleId="4006">
    <w:name w:val="p34"/>
    <w:basedOn w:val="1"/>
    <w:qFormat/>
    <w:uiPriority w:val="0"/>
    <w:pPr>
      <w:widowControl/>
    </w:pPr>
    <w:rPr>
      <w:kern w:val="0"/>
      <w:szCs w:val="21"/>
    </w:rPr>
  </w:style>
  <w:style w:type="paragraph" w:customStyle="1" w:styleId="4007">
    <w:name w:val="p35"/>
    <w:basedOn w:val="1"/>
    <w:qFormat/>
    <w:uiPriority w:val="0"/>
    <w:pPr>
      <w:widowControl/>
      <w:spacing w:line="480" w:lineRule="atLeast"/>
      <w:ind w:firstLine="420"/>
    </w:pPr>
    <w:rPr>
      <w:kern w:val="0"/>
      <w:sz w:val="26"/>
      <w:szCs w:val="26"/>
    </w:rPr>
  </w:style>
  <w:style w:type="paragraph" w:customStyle="1" w:styleId="4008">
    <w:name w:val="p36"/>
    <w:basedOn w:val="1"/>
    <w:qFormat/>
    <w:uiPriority w:val="0"/>
    <w:pPr>
      <w:widowControl/>
      <w:spacing w:line="480" w:lineRule="atLeast"/>
      <w:ind w:firstLine="420"/>
    </w:pPr>
    <w:rPr>
      <w:kern w:val="0"/>
      <w:sz w:val="24"/>
    </w:rPr>
  </w:style>
  <w:style w:type="character" w:customStyle="1" w:styleId="4009">
    <w:name w:val="文档结构图 Char2"/>
    <w:qFormat/>
    <w:uiPriority w:val="0"/>
    <w:rPr>
      <w:rFonts w:ascii="宋体" w:hAnsi="Calibri"/>
      <w:sz w:val="18"/>
      <w:szCs w:val="18"/>
    </w:rPr>
  </w:style>
  <w:style w:type="character" w:customStyle="1" w:styleId="4010">
    <w:name w:val="样式 段前: 0.5 行 首行缩进:  2 字符 Char Char Char Char"/>
    <w:link w:val="4011"/>
    <w:qFormat/>
    <w:uiPriority w:val="0"/>
    <w:rPr>
      <w:rFonts w:ascii="Calibri" w:hAnsi="Calibri"/>
      <w:sz w:val="28"/>
    </w:rPr>
  </w:style>
  <w:style w:type="paragraph" w:customStyle="1" w:styleId="4011">
    <w:name w:val="样式 段前: 0.5 行 首行缩进:  2 字符 Char"/>
    <w:basedOn w:val="1"/>
    <w:link w:val="4010"/>
    <w:qFormat/>
    <w:uiPriority w:val="0"/>
    <w:pPr>
      <w:widowControl/>
      <w:adjustRightInd w:val="0"/>
      <w:snapToGrid w:val="0"/>
      <w:spacing w:before="156" w:line="440" w:lineRule="exact"/>
      <w:ind w:firstLine="480" w:firstLineChars="200"/>
    </w:pPr>
    <w:rPr>
      <w:kern w:val="0"/>
      <w:sz w:val="28"/>
      <w:szCs w:val="20"/>
    </w:rPr>
  </w:style>
  <w:style w:type="character" w:customStyle="1" w:styleId="4012">
    <w:name w:val="文本 Char Char Char"/>
    <w:qFormat/>
    <w:uiPriority w:val="0"/>
    <w:rPr>
      <w:sz w:val="24"/>
      <w:szCs w:val="24"/>
      <w:lang w:bidi="ar-SA"/>
    </w:rPr>
  </w:style>
  <w:style w:type="character" w:customStyle="1" w:styleId="4013">
    <w:name w:val="表头11 Char Char"/>
    <w:qFormat/>
    <w:uiPriority w:val="0"/>
    <w:rPr>
      <w:b/>
      <w:sz w:val="24"/>
      <w:szCs w:val="24"/>
    </w:rPr>
  </w:style>
  <w:style w:type="character" w:customStyle="1" w:styleId="4014">
    <w:name w:val="样式 13 磅 行距: 固定值 23 磅 首行缩进:  2 字符 Char Char Char Char"/>
    <w:qFormat/>
    <w:uiPriority w:val="0"/>
    <w:rPr>
      <w:rFonts w:ascii="Calibri" w:hAnsi="Calibri" w:eastAsia="宋体"/>
      <w:sz w:val="26"/>
    </w:rPr>
  </w:style>
  <w:style w:type="character" w:customStyle="1" w:styleId="4015">
    <w:name w:val="引用 字符1"/>
    <w:qFormat/>
    <w:uiPriority w:val="29"/>
    <w:rPr>
      <w:rFonts w:ascii="Times New Roman" w:hAnsi="Times New Roman" w:eastAsia="宋体" w:cs="Times New Roman"/>
      <w:i/>
      <w:iCs/>
      <w:color w:val="404040"/>
      <w:sz w:val="28"/>
      <w:szCs w:val="24"/>
    </w:rPr>
  </w:style>
  <w:style w:type="character" w:customStyle="1" w:styleId="4016">
    <w:name w:val="引用 Char3"/>
    <w:qFormat/>
    <w:uiPriority w:val="29"/>
    <w:rPr>
      <w:rFonts w:ascii="Times New Roman" w:hAnsi="Times New Roman" w:eastAsia="宋体" w:cs="Times New Roman"/>
      <w:i/>
      <w:iCs/>
      <w:color w:val="000000"/>
      <w:sz w:val="28"/>
      <w:szCs w:val="24"/>
    </w:rPr>
  </w:style>
  <w:style w:type="character" w:customStyle="1" w:styleId="4017">
    <w:name w:val="Char Char26"/>
    <w:qFormat/>
    <w:uiPriority w:val="0"/>
    <w:rPr>
      <w:sz w:val="18"/>
      <w:szCs w:val="18"/>
    </w:rPr>
  </w:style>
  <w:style w:type="character" w:customStyle="1" w:styleId="4018">
    <w:name w:val="正文文本缩进 3 Char2"/>
    <w:qFormat/>
    <w:uiPriority w:val="0"/>
    <w:rPr>
      <w:rFonts w:ascii="仿宋_GB2312" w:hAnsi="Calibri" w:eastAsia="仿宋_GB2312"/>
      <w:b/>
      <w:bCs/>
      <w:sz w:val="24"/>
      <w:lang w:bidi="ar-SA"/>
    </w:rPr>
  </w:style>
  <w:style w:type="character" w:customStyle="1" w:styleId="4019">
    <w:name w:val="Char Char36"/>
    <w:qFormat/>
    <w:uiPriority w:val="0"/>
    <w:rPr>
      <w:rFonts w:ascii="Cambria" w:hAnsi="Cambria" w:eastAsia="黑体" w:cs="Times New Roman"/>
      <w:b/>
      <w:kern w:val="0"/>
      <w:sz w:val="32"/>
      <w:szCs w:val="28"/>
    </w:rPr>
  </w:style>
  <w:style w:type="character" w:customStyle="1" w:styleId="4020">
    <w:name w:val="Char Char35"/>
    <w:qFormat/>
    <w:uiPriority w:val="0"/>
    <w:rPr>
      <w:rFonts w:ascii="Cambria" w:hAnsi="Cambria" w:eastAsia="宋体" w:cs="Times New Roman"/>
      <w:b/>
      <w:bCs/>
      <w:color w:val="4F81BD"/>
      <w:kern w:val="0"/>
      <w:sz w:val="26"/>
      <w:szCs w:val="26"/>
      <w:lang w:eastAsia="en-US" w:bidi="en-US"/>
    </w:rPr>
  </w:style>
  <w:style w:type="character" w:customStyle="1" w:styleId="4021">
    <w:name w:val="Char Char33"/>
    <w:qFormat/>
    <w:uiPriority w:val="0"/>
    <w:rPr>
      <w:rFonts w:ascii="Arial" w:hAnsi="Arial" w:eastAsia="黑体" w:cs="Times New Roman"/>
      <w:bCs/>
      <w:sz w:val="24"/>
      <w:szCs w:val="28"/>
    </w:rPr>
  </w:style>
  <w:style w:type="character" w:customStyle="1" w:styleId="4022">
    <w:name w:val="Char Char30"/>
    <w:qFormat/>
    <w:uiPriority w:val="0"/>
    <w:rPr>
      <w:rFonts w:ascii="Cambria" w:hAnsi="Cambria" w:eastAsia="宋体" w:cs="Times New Roman"/>
      <w:i/>
      <w:iCs/>
      <w:color w:val="404040"/>
      <w:kern w:val="0"/>
      <w:sz w:val="24"/>
      <w:lang w:eastAsia="en-US" w:bidi="en-US"/>
    </w:rPr>
  </w:style>
  <w:style w:type="character" w:customStyle="1" w:styleId="4023">
    <w:name w:val="Char Char29"/>
    <w:qFormat/>
    <w:uiPriority w:val="0"/>
    <w:rPr>
      <w:rFonts w:ascii="Cambria" w:hAnsi="Cambria" w:eastAsia="宋体" w:cs="Times New Roman"/>
      <w:color w:val="4F81BD"/>
      <w:kern w:val="0"/>
      <w:sz w:val="20"/>
      <w:szCs w:val="20"/>
      <w:lang w:eastAsia="en-US" w:bidi="en-US"/>
    </w:rPr>
  </w:style>
  <w:style w:type="character" w:customStyle="1" w:styleId="4024">
    <w:name w:val="Char Char28"/>
    <w:qFormat/>
    <w:uiPriority w:val="0"/>
    <w:rPr>
      <w:rFonts w:ascii="Cambria" w:hAnsi="Cambria" w:eastAsia="宋体" w:cs="Times New Roman"/>
      <w:i/>
      <w:iCs/>
      <w:color w:val="404040"/>
      <w:kern w:val="0"/>
      <w:sz w:val="20"/>
      <w:szCs w:val="20"/>
      <w:lang w:eastAsia="en-US" w:bidi="en-US"/>
    </w:rPr>
  </w:style>
  <w:style w:type="character" w:customStyle="1" w:styleId="4025">
    <w:name w:val="标题 2- Char"/>
    <w:qFormat/>
    <w:uiPriority w:val="0"/>
    <w:rPr>
      <w:rFonts w:ascii="Arial" w:hAnsi="Arial" w:eastAsia="华文中宋"/>
      <w:b/>
      <w:sz w:val="32"/>
      <w:szCs w:val="24"/>
    </w:rPr>
  </w:style>
  <w:style w:type="character" w:customStyle="1" w:styleId="4026">
    <w:name w:val="表格数字 Char"/>
    <w:qFormat/>
    <w:uiPriority w:val="0"/>
    <w:rPr>
      <w:rFonts w:ascii="Arial" w:hAnsi="Arial" w:eastAsia="宋体" w:cs="宋体"/>
    </w:rPr>
  </w:style>
  <w:style w:type="character" w:customStyle="1" w:styleId="4027">
    <w:name w:val="文本_zxj Char"/>
    <w:qFormat/>
    <w:uiPriority w:val="0"/>
    <w:rPr>
      <w:rFonts w:ascii="Calibri" w:hAnsi="Calibri" w:eastAsia="宋体" w:cs="宋体"/>
      <w:sz w:val="28"/>
    </w:rPr>
  </w:style>
  <w:style w:type="character" w:customStyle="1" w:styleId="4028">
    <w:name w:val="大纲正文 Char"/>
    <w:qFormat/>
    <w:uiPriority w:val="0"/>
    <w:rPr>
      <w:rFonts w:ascii="Calibri" w:hAnsi="Calibri" w:eastAsia="宋体" w:cs="宋体"/>
      <w:sz w:val="24"/>
    </w:rPr>
  </w:style>
  <w:style w:type="character" w:customStyle="1" w:styleId="4029">
    <w:name w:val="图题 Char"/>
    <w:qFormat/>
    <w:uiPriority w:val="0"/>
    <w:rPr>
      <w:rFonts w:ascii="黑体" w:hAnsi="Calibri" w:eastAsia="黑体"/>
      <w:szCs w:val="21"/>
    </w:rPr>
  </w:style>
  <w:style w:type="character" w:customStyle="1" w:styleId="4030">
    <w:name w:val="表题 Char"/>
    <w:qFormat/>
    <w:uiPriority w:val="0"/>
    <w:rPr>
      <w:rFonts w:ascii="黑体" w:hAnsi="Calibri" w:eastAsia="黑体"/>
      <w:szCs w:val="21"/>
    </w:rPr>
  </w:style>
  <w:style w:type="character" w:customStyle="1" w:styleId="4031">
    <w:name w:val="表格题头 Char"/>
    <w:qFormat/>
    <w:uiPriority w:val="0"/>
    <w:rPr>
      <w:rFonts w:eastAsia="黑体"/>
      <w:b/>
      <w:kern w:val="2"/>
      <w:sz w:val="24"/>
      <w:szCs w:val="24"/>
      <w:lang w:val="en-US" w:eastAsia="zh-CN" w:bidi="ar-SA"/>
    </w:rPr>
  </w:style>
  <w:style w:type="character" w:customStyle="1" w:styleId="4032">
    <w:name w:val="公式描述 Char"/>
    <w:qFormat/>
    <w:uiPriority w:val="0"/>
    <w:rPr>
      <w:rFonts w:eastAsia="仿宋_GB2312"/>
      <w:kern w:val="2"/>
      <w:sz w:val="24"/>
      <w:szCs w:val="24"/>
      <w:lang w:val="en-US" w:eastAsia="zh-CN" w:bidi="ar-SA"/>
    </w:rPr>
  </w:style>
  <w:style w:type="character" w:customStyle="1" w:styleId="4033">
    <w:name w:val="样式20 Char"/>
    <w:qFormat/>
    <w:uiPriority w:val="0"/>
    <w:rPr>
      <w:rFonts w:ascii="宋体" w:hAnsi="宋体" w:eastAsia="宋体"/>
      <w:sz w:val="26"/>
      <w:szCs w:val="26"/>
    </w:rPr>
  </w:style>
  <w:style w:type="character" w:customStyle="1" w:styleId="4034">
    <w:name w:val="表格题注 Char"/>
    <w:qFormat/>
    <w:uiPriority w:val="0"/>
    <w:rPr>
      <w:rFonts w:ascii="Calibri" w:hAnsi="Calibri" w:eastAsia="宋体"/>
      <w:b/>
      <w:color w:val="000000"/>
      <w:szCs w:val="21"/>
    </w:rPr>
  </w:style>
  <w:style w:type="character" w:customStyle="1" w:styleId="4035">
    <w:name w:val="表头排版 Char"/>
    <w:qFormat/>
    <w:uiPriority w:val="0"/>
    <w:rPr>
      <w:rFonts w:ascii="Calibri" w:hAnsi="Calibri" w:eastAsia="宋体"/>
      <w:sz w:val="26"/>
      <w:szCs w:val="21"/>
    </w:rPr>
  </w:style>
  <w:style w:type="character" w:customStyle="1" w:styleId="4036">
    <w:name w:val="框图文字 Char"/>
    <w:qFormat/>
    <w:uiPriority w:val="0"/>
    <w:rPr>
      <w:rFonts w:ascii="Calibri" w:hAnsi="Arial" w:eastAsia="宋体"/>
      <w:sz w:val="18"/>
      <w:szCs w:val="24"/>
      <w:lang w:eastAsia="zh-TW"/>
    </w:rPr>
  </w:style>
  <w:style w:type="character" w:customStyle="1" w:styleId="4037">
    <w:name w:val="样式 正文缩进正文（首行缩进两字） Char正文（首行缩进两字）正文（首行缩进两字） Char Char Char Cha... Char"/>
    <w:qFormat/>
    <w:uiPriority w:val="0"/>
    <w:rPr>
      <w:rFonts w:ascii="Arial" w:hAnsi="宋体" w:eastAsia="宋体" w:cs="Arial"/>
      <w:sz w:val="26"/>
      <w:szCs w:val="26"/>
    </w:rPr>
  </w:style>
  <w:style w:type="character" w:customStyle="1" w:styleId="4038">
    <w:name w:val="样式 段前: 0.5 行 首行缩进:  2 字符 Char Char Char Char Char Char Char Char"/>
    <w:qFormat/>
    <w:uiPriority w:val="0"/>
    <w:rPr>
      <w:rFonts w:ascii="Calibri" w:hAnsi="Calibri" w:eastAsia="宋体" w:cs="宋体"/>
      <w:sz w:val="24"/>
    </w:rPr>
  </w:style>
  <w:style w:type="character" w:customStyle="1" w:styleId="4039">
    <w:name w:val="标准文本 首行缩进: 2 字符 行距: 单倍 Char"/>
    <w:qFormat/>
    <w:uiPriority w:val="0"/>
    <w:rPr>
      <w:rFonts w:ascii="宋体" w:hAnsi="宋体" w:eastAsia="宋体" w:cs="宋体"/>
      <w:sz w:val="24"/>
      <w:szCs w:val="24"/>
    </w:rPr>
  </w:style>
  <w:style w:type="character" w:customStyle="1" w:styleId="4040">
    <w:name w:val="样式 首行缩进:  0.85 厘米 Char Char Char Char Char Char Char Char Char Char Char Char Char Char Char Char Char Char"/>
    <w:qFormat/>
    <w:uiPriority w:val="0"/>
    <w:rPr>
      <w:rFonts w:ascii="Calibri" w:hAnsi="Calibri" w:eastAsia="宋体" w:cs="宋体"/>
      <w:sz w:val="24"/>
    </w:rPr>
  </w:style>
  <w:style w:type="character" w:customStyle="1" w:styleId="4041">
    <w:name w:val="样式 首行缩进:  0.85 厘米 Char"/>
    <w:qFormat/>
    <w:uiPriority w:val="0"/>
    <w:rPr>
      <w:rFonts w:ascii="Calibri" w:hAnsi="Calibri" w:eastAsia="宋体" w:cs="宋体"/>
      <w:sz w:val="24"/>
    </w:rPr>
  </w:style>
  <w:style w:type="character" w:customStyle="1" w:styleId="4042">
    <w:name w:val="样式 样式 段前: 0.5 行 + 首行缩进:  2 字符 段前: 0.5 行 Char"/>
    <w:qFormat/>
    <w:uiPriority w:val="0"/>
    <w:rPr>
      <w:rFonts w:ascii="Calibri" w:hAnsi="Calibri" w:eastAsia="宋体" w:cs="宋体"/>
      <w:color w:val="000000"/>
      <w:sz w:val="24"/>
    </w:rPr>
  </w:style>
  <w:style w:type="character" w:customStyle="1" w:styleId="4043">
    <w:name w:val="11111正式正文 Char"/>
    <w:qFormat/>
    <w:uiPriority w:val="0"/>
    <w:rPr>
      <w:kern w:val="2"/>
      <w:sz w:val="24"/>
      <w:szCs w:val="28"/>
      <w:lang w:val="en-US" w:eastAsia="zh-CN" w:bidi="ar-SA"/>
    </w:rPr>
  </w:style>
  <w:style w:type="character" w:customStyle="1" w:styleId="4044">
    <w:name w:val="样式39 Char"/>
    <w:qFormat/>
    <w:uiPriority w:val="0"/>
    <w:rPr>
      <w:rFonts w:ascii="宋体" w:hAnsi="宋体" w:eastAsia="宋体"/>
      <w:sz w:val="26"/>
      <w:szCs w:val="26"/>
    </w:rPr>
  </w:style>
  <w:style w:type="character" w:customStyle="1" w:styleId="4045">
    <w:name w:val="样式19 Char"/>
    <w:qFormat/>
    <w:uiPriority w:val="0"/>
    <w:rPr>
      <w:rFonts w:ascii="宋体" w:hAnsi="宋体" w:eastAsia="宋体" w:cs="宋体"/>
      <w:sz w:val="26"/>
      <w:szCs w:val="26"/>
    </w:rPr>
  </w:style>
  <w:style w:type="character" w:customStyle="1" w:styleId="4046">
    <w:name w:val="样式 样式 四号 黑色 + 首行缩进:  2 字符 Char"/>
    <w:qFormat/>
    <w:uiPriority w:val="0"/>
    <w:rPr>
      <w:rFonts w:cs="宋体"/>
      <w:color w:val="000000"/>
      <w:kern w:val="2"/>
      <w:sz w:val="28"/>
      <w:szCs w:val="22"/>
      <w:lang w:val="en-US" w:eastAsia="zh-CN" w:bidi="ar-SA"/>
    </w:rPr>
  </w:style>
  <w:style w:type="character" w:customStyle="1" w:styleId="4047">
    <w:name w:val="表格表格 Char"/>
    <w:qFormat/>
    <w:uiPriority w:val="0"/>
    <w:rPr>
      <w:rFonts w:ascii="Calibri" w:hAnsi="Calibri" w:eastAsia="宋体" w:cs="宋体"/>
      <w:color w:val="000000"/>
      <w:szCs w:val="21"/>
    </w:rPr>
  </w:style>
  <w:style w:type="character" w:customStyle="1" w:styleId="4048">
    <w:name w:val="三级标题 Char"/>
    <w:qFormat/>
    <w:uiPriority w:val="0"/>
    <w:rPr>
      <w:rFonts w:ascii="Calibri" w:hAnsi="Calibri" w:eastAsia="宋体"/>
      <w:bCs/>
      <w:sz w:val="26"/>
      <w:szCs w:val="26"/>
    </w:rPr>
  </w:style>
  <w:style w:type="character" w:customStyle="1" w:styleId="4049">
    <w:name w:val="样式 四号 黑色 Char"/>
    <w:qFormat/>
    <w:uiPriority w:val="0"/>
    <w:rPr>
      <w:rFonts w:ascii="Calibri" w:hAnsi="Calibri" w:eastAsia="宋体" w:cs="宋体"/>
      <w:sz w:val="24"/>
      <w:szCs w:val="24"/>
    </w:rPr>
  </w:style>
  <w:style w:type="character" w:customStyle="1" w:styleId="4050">
    <w:name w:val="文本_hunqiu Char"/>
    <w:qFormat/>
    <w:uiPriority w:val="0"/>
    <w:rPr>
      <w:rFonts w:ascii="Calibri" w:hAnsi="Calibri" w:eastAsia="宋体" w:cs="宋体"/>
      <w:color w:val="000000"/>
      <w:sz w:val="28"/>
    </w:rPr>
  </w:style>
  <w:style w:type="character" w:customStyle="1" w:styleId="4051">
    <w:name w:val="样式 标题 2 + Times New Roman Char Char Char"/>
    <w:qFormat/>
    <w:uiPriority w:val="0"/>
    <w:rPr>
      <w:rFonts w:ascii="Calibri" w:hAnsi="Calibri" w:eastAsia="华文中宋"/>
      <w:b/>
      <w:bCs/>
      <w:sz w:val="26"/>
      <w:szCs w:val="32"/>
    </w:rPr>
  </w:style>
  <w:style w:type="character" w:customStyle="1" w:styleId="4052">
    <w:name w:val="表文字 Char Char Char Char"/>
    <w:qFormat/>
    <w:uiPriority w:val="0"/>
    <w:rPr>
      <w:kern w:val="2"/>
      <w:sz w:val="21"/>
      <w:szCs w:val="21"/>
      <w:lang w:val="en-US" w:eastAsia="zh-CN" w:bidi="ar-SA"/>
    </w:rPr>
  </w:style>
  <w:style w:type="character" w:customStyle="1" w:styleId="4053">
    <w:name w:val="标准样式 Char Char Char"/>
    <w:qFormat/>
    <w:uiPriority w:val="0"/>
    <w:rPr>
      <w:kern w:val="2"/>
      <w:sz w:val="28"/>
      <w:szCs w:val="22"/>
      <w:lang w:val="en-US" w:eastAsia="zh-CN" w:bidi="ar-SA"/>
    </w:rPr>
  </w:style>
  <w:style w:type="character" w:customStyle="1" w:styleId="4054">
    <w:name w:val="样式 左 首行缩进:  1.01 厘米 Char Char Char"/>
    <w:qFormat/>
    <w:uiPriority w:val="0"/>
    <w:rPr>
      <w:rFonts w:ascii="Calibri" w:hAnsi="Calibri" w:eastAsia="宋体" w:cs="宋体"/>
      <w:sz w:val="26"/>
      <w:szCs w:val="26"/>
    </w:rPr>
  </w:style>
  <w:style w:type="character" w:customStyle="1" w:styleId="4055">
    <w:name w:val="正文四号 Char Char Char Char"/>
    <w:qFormat/>
    <w:uiPriority w:val="0"/>
    <w:rPr>
      <w:rFonts w:ascii="Calibri" w:hAnsi="Calibri" w:eastAsia="宋体" w:cs="宋体"/>
      <w:sz w:val="24"/>
      <w:szCs w:val="24"/>
    </w:rPr>
  </w:style>
  <w:style w:type="character" w:customStyle="1" w:styleId="4056">
    <w:name w:val="n表名 Char"/>
    <w:qFormat/>
    <w:uiPriority w:val="0"/>
    <w:rPr>
      <w:rFonts w:ascii="黑体" w:hAnsi="Cambria" w:eastAsia="黑体"/>
    </w:rPr>
  </w:style>
  <w:style w:type="character" w:customStyle="1" w:styleId="4057">
    <w:name w:val="表号 Char"/>
    <w:qFormat/>
    <w:locked/>
    <w:uiPriority w:val="0"/>
    <w:rPr>
      <w:kern w:val="2"/>
      <w:sz w:val="24"/>
      <w:szCs w:val="24"/>
      <w:lang w:val="en-US" w:eastAsia="zh-CN" w:bidi="ar-SA"/>
    </w:rPr>
  </w:style>
  <w:style w:type="character" w:customStyle="1" w:styleId="4058">
    <w:name w:val="样式 样式 首行缩进:  2 字符 段后: 0.5 行 + 首行缩进:  2 字符 段后: 0.5 行 Char"/>
    <w:qFormat/>
    <w:uiPriority w:val="0"/>
    <w:rPr>
      <w:rFonts w:ascii="Calibri" w:hAnsi="Calibri" w:eastAsia="宋体" w:cs="宋体"/>
      <w:sz w:val="28"/>
    </w:rPr>
  </w:style>
  <w:style w:type="character" w:customStyle="1" w:styleId="4059">
    <w:name w:val="样式 正文四号 + 自动设置 Char"/>
    <w:qFormat/>
    <w:uiPriority w:val="0"/>
    <w:rPr>
      <w:rFonts w:ascii="Calibri" w:hAnsi="Calibri" w:eastAsia="宋体"/>
      <w:sz w:val="28"/>
      <w:szCs w:val="24"/>
    </w:rPr>
  </w:style>
  <w:style w:type="character" w:customStyle="1" w:styleId="4060">
    <w:name w:val="投标标题1 Char"/>
    <w:qFormat/>
    <w:uiPriority w:val="0"/>
    <w:rPr>
      <w:rFonts w:ascii="黑体" w:hAnsi="宋体" w:eastAsia="黑体"/>
      <w:bCs/>
      <w:kern w:val="44"/>
      <w:sz w:val="30"/>
      <w:szCs w:val="30"/>
    </w:rPr>
  </w:style>
  <w:style w:type="character" w:customStyle="1" w:styleId="4061">
    <w:name w:val="正文-biao Char"/>
    <w:qFormat/>
    <w:uiPriority w:val="0"/>
    <w:rPr>
      <w:rFonts w:ascii="Calibri" w:hAnsi="宋体" w:eastAsia="宋体"/>
      <w:sz w:val="24"/>
      <w:szCs w:val="24"/>
    </w:rPr>
  </w:style>
  <w:style w:type="character" w:customStyle="1" w:styleId="4062">
    <w:name w:val="编辑正文 Char"/>
    <w:qFormat/>
    <w:uiPriority w:val="0"/>
    <w:rPr>
      <w:rFonts w:ascii="Calibri" w:hAnsi="宋体" w:eastAsia="宋体"/>
      <w:sz w:val="26"/>
      <w:szCs w:val="26"/>
    </w:rPr>
  </w:style>
  <w:style w:type="character" w:customStyle="1" w:styleId="4063">
    <w:name w:val="样式 (西文) Times New Roman (中文) 宋体 (符号) 宋体 行距: 固定值 20 磅 首行缩进:  ... Char"/>
    <w:qFormat/>
    <w:uiPriority w:val="0"/>
    <w:rPr>
      <w:rFonts w:ascii="Calibri" w:hAnsi="宋体" w:eastAsia="宋体"/>
      <w:sz w:val="24"/>
      <w:lang w:eastAsia="de-DE"/>
    </w:rPr>
  </w:style>
  <w:style w:type="character" w:customStyle="1" w:styleId="4064">
    <w:name w:val="样式 样式9 + 宋体 Char"/>
    <w:qFormat/>
    <w:uiPriority w:val="0"/>
    <w:rPr>
      <w:rFonts w:ascii="Calibri" w:hAnsi="Calibri" w:eastAsia="宋体"/>
      <w:sz w:val="26"/>
      <w:szCs w:val="26"/>
    </w:rPr>
  </w:style>
  <w:style w:type="character" w:customStyle="1" w:styleId="4065">
    <w:name w:val="样式 样式4 + 首行缩进:  1.92 字符 Char"/>
    <w:qFormat/>
    <w:locked/>
    <w:uiPriority w:val="0"/>
    <w:rPr>
      <w:rFonts w:ascii="宋体" w:hAnsi="宋体" w:eastAsia="宋体" w:cs="宋体"/>
      <w:sz w:val="28"/>
    </w:rPr>
  </w:style>
  <w:style w:type="character" w:customStyle="1" w:styleId="4066">
    <w:name w:val="n正文 Char"/>
    <w:qFormat/>
    <w:uiPriority w:val="0"/>
    <w:rPr>
      <w:rFonts w:ascii="宋体" w:hAnsi="宋体" w:eastAsia="宋体"/>
      <w:sz w:val="24"/>
      <w:szCs w:val="24"/>
    </w:rPr>
  </w:style>
  <w:style w:type="character" w:customStyle="1" w:styleId="4067">
    <w:name w:val="明显强调3"/>
    <w:qFormat/>
    <w:uiPriority w:val="21"/>
    <w:rPr>
      <w:b/>
      <w:bCs/>
      <w:i/>
      <w:iCs/>
      <w:color w:val="4F81BD"/>
    </w:rPr>
  </w:style>
  <w:style w:type="character" w:customStyle="1" w:styleId="4068">
    <w:name w:val="不明显参考3"/>
    <w:qFormat/>
    <w:uiPriority w:val="31"/>
    <w:rPr>
      <w:smallCaps/>
      <w:color w:val="C0504D"/>
      <w:u w:val="single"/>
    </w:rPr>
  </w:style>
  <w:style w:type="character" w:customStyle="1" w:styleId="4069">
    <w:name w:val="明显参考3"/>
    <w:qFormat/>
    <w:uiPriority w:val="32"/>
    <w:rPr>
      <w:b/>
      <w:bCs/>
      <w:smallCaps/>
      <w:color w:val="C0504D"/>
      <w:spacing w:val="5"/>
      <w:u w:val="single"/>
    </w:rPr>
  </w:style>
  <w:style w:type="character" w:customStyle="1" w:styleId="4070">
    <w:name w:val="书籍标题3"/>
    <w:qFormat/>
    <w:uiPriority w:val="33"/>
    <w:rPr>
      <w:b/>
      <w:bCs/>
      <w:smallCaps/>
      <w:spacing w:val="5"/>
    </w:rPr>
  </w:style>
  <w:style w:type="character" w:customStyle="1" w:styleId="4071">
    <w:name w:val="MFS单位 Char"/>
    <w:qFormat/>
    <w:uiPriority w:val="0"/>
    <w:rPr>
      <w:sz w:val="18"/>
      <w:szCs w:val="24"/>
    </w:rPr>
  </w:style>
  <w:style w:type="character" w:customStyle="1" w:styleId="4072">
    <w:name w:val="陈光的正文 Char"/>
    <w:qFormat/>
    <w:uiPriority w:val="0"/>
    <w:rPr>
      <w:rFonts w:eastAsia="宋体"/>
      <w:sz w:val="28"/>
    </w:rPr>
  </w:style>
  <w:style w:type="character" w:customStyle="1" w:styleId="4073">
    <w:name w:val="样式 表格文字 + 10 磅 Char"/>
    <w:qFormat/>
    <w:uiPriority w:val="0"/>
    <w:rPr>
      <w:rFonts w:eastAsia="宋体"/>
    </w:rPr>
  </w:style>
  <w:style w:type="character" w:customStyle="1" w:styleId="4074">
    <w:name w:val="正文表格 Char"/>
    <w:qFormat/>
    <w:uiPriority w:val="0"/>
    <w:rPr>
      <w:rFonts w:ascii="Calibri" w:hAnsi="Calibri" w:eastAsia="宋体"/>
      <w:sz w:val="28"/>
      <w:lang w:eastAsia="en-US" w:bidi="en-US"/>
    </w:rPr>
  </w:style>
  <w:style w:type="character" w:customStyle="1" w:styleId="4075">
    <w:name w:val="正文11111111111111111111111 Char"/>
    <w:qFormat/>
    <w:uiPriority w:val="0"/>
    <w:rPr>
      <w:rFonts w:eastAsia="宋体" w:cs="宋体"/>
      <w:sz w:val="24"/>
    </w:rPr>
  </w:style>
  <w:style w:type="character" w:customStyle="1" w:styleId="4076">
    <w:name w:val="电子邮件签名 Char1"/>
    <w:qFormat/>
    <w:uiPriority w:val="0"/>
    <w:rPr>
      <w:rFonts w:ascii="Calibri" w:hAnsi="Calibri" w:eastAsia="宋体" w:cs="Times New Roman"/>
      <w:kern w:val="0"/>
      <w:sz w:val="24"/>
      <w:lang w:eastAsia="en-US" w:bidi="en-US"/>
    </w:rPr>
  </w:style>
  <w:style w:type="character" w:customStyle="1" w:styleId="4077">
    <w:name w:val="注释标题 Char1"/>
    <w:qFormat/>
    <w:uiPriority w:val="0"/>
    <w:rPr>
      <w:rFonts w:ascii="Times New Roman" w:hAnsi="Times New Roman" w:eastAsia="宋体" w:cs="Times New Roman"/>
      <w:szCs w:val="20"/>
    </w:rPr>
  </w:style>
  <w:style w:type="character" w:customStyle="1" w:styleId="4078">
    <w:name w:val="称呼 Char1"/>
    <w:qFormat/>
    <w:uiPriority w:val="0"/>
    <w:rPr>
      <w:rFonts w:ascii="宋体" w:hAnsi="宋体" w:eastAsia="宋体" w:cs="宋体"/>
      <w:kern w:val="0"/>
      <w:sz w:val="24"/>
      <w:lang w:eastAsia="en-US" w:bidi="en-US"/>
    </w:rPr>
  </w:style>
  <w:style w:type="paragraph" w:customStyle="1" w:styleId="4079">
    <w:name w:val="z-窗体顶端2"/>
    <w:basedOn w:val="1"/>
    <w:next w:val="1"/>
    <w:link w:val="4080"/>
    <w:qFormat/>
    <w:uiPriority w:val="0"/>
    <w:pPr>
      <w:widowControl/>
      <w:pBdr>
        <w:bottom w:val="single" w:color="auto" w:sz="6" w:space="1"/>
      </w:pBdr>
      <w:spacing w:line="440" w:lineRule="exact"/>
      <w:ind w:firstLine="200" w:firstLineChars="200"/>
      <w:jc w:val="center"/>
    </w:pPr>
    <w:rPr>
      <w:rFonts w:ascii="Arial" w:hAnsi="Arial" w:cs="Arial"/>
      <w:vanish/>
      <w:kern w:val="0"/>
      <w:sz w:val="16"/>
      <w:szCs w:val="16"/>
      <w:lang w:eastAsia="en-US" w:bidi="en-US"/>
    </w:rPr>
  </w:style>
  <w:style w:type="character" w:customStyle="1" w:styleId="4080">
    <w:name w:val="z-窗体顶端 Char1"/>
    <w:link w:val="4079"/>
    <w:qFormat/>
    <w:uiPriority w:val="0"/>
    <w:rPr>
      <w:rFonts w:ascii="Arial" w:hAnsi="Arial" w:cs="Arial"/>
      <w:vanish/>
      <w:sz w:val="16"/>
      <w:szCs w:val="16"/>
      <w:lang w:eastAsia="en-US" w:bidi="en-US"/>
    </w:rPr>
  </w:style>
  <w:style w:type="character" w:customStyle="1" w:styleId="4081">
    <w:name w:val="z-窗体顶端 字符"/>
    <w:semiHidden/>
    <w:qFormat/>
    <w:uiPriority w:val="99"/>
    <w:rPr>
      <w:rFonts w:ascii="Arial" w:hAnsi="Arial" w:cs="Arial"/>
      <w:vanish/>
      <w:kern w:val="2"/>
      <w:sz w:val="16"/>
      <w:szCs w:val="16"/>
    </w:rPr>
  </w:style>
  <w:style w:type="character" w:customStyle="1" w:styleId="4082">
    <w:name w:val="明显引用 Char2"/>
    <w:qFormat/>
    <w:uiPriority w:val="30"/>
    <w:rPr>
      <w:rFonts w:ascii="Calibri" w:hAnsi="Calibri" w:eastAsia="宋体" w:cs="Times New Roman"/>
      <w:b/>
      <w:bCs/>
      <w:i/>
      <w:iCs/>
      <w:color w:val="4F81BD"/>
      <w:sz w:val="24"/>
      <w:lang w:eastAsia="en-US" w:bidi="en-US"/>
    </w:rPr>
  </w:style>
  <w:style w:type="character" w:customStyle="1" w:styleId="4083">
    <w:name w:val="标题 2－ch Char"/>
    <w:qFormat/>
    <w:uiPriority w:val="0"/>
    <w:rPr>
      <w:rFonts w:ascii="Times New Roman" w:hAnsi="Times New Roman" w:eastAsia="宋体" w:cs="Times New Roman"/>
      <w:b/>
      <w:bCs/>
      <w:kern w:val="0"/>
      <w:sz w:val="30"/>
      <w:szCs w:val="32"/>
    </w:rPr>
  </w:style>
  <w:style w:type="character" w:customStyle="1" w:styleId="4084">
    <w:name w:val="Char Char24"/>
    <w:qFormat/>
    <w:uiPriority w:val="0"/>
    <w:rPr>
      <w:rFonts w:ascii="Times New Roman" w:hAnsi="Times New Roman" w:eastAsia="宋体" w:cs="Times New Roman"/>
      <w:b/>
      <w:bCs/>
      <w:kern w:val="0"/>
      <w:sz w:val="28"/>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jpeg"/><Relationship Id="rId3" Type="http://schemas.openxmlformats.org/officeDocument/2006/relationships/footer" Target="footer1.xml"/><Relationship Id="rId29" Type="http://schemas.openxmlformats.org/officeDocument/2006/relationships/image" Target="media/image17.emf"/><Relationship Id="rId28" Type="http://schemas.openxmlformats.org/officeDocument/2006/relationships/image" Target="media/image16.wmf"/><Relationship Id="rId27" Type="http://schemas.openxmlformats.org/officeDocument/2006/relationships/oleObject" Target="embeddings/oleObject2.bin"/><Relationship Id="rId26" Type="http://schemas.openxmlformats.org/officeDocument/2006/relationships/image" Target="media/image15.wmf"/><Relationship Id="rId25" Type="http://schemas.openxmlformats.org/officeDocument/2006/relationships/oleObject" Target="embeddings/oleObject1.bin"/><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emf"/><Relationship Id="rId15" Type="http://schemas.openxmlformats.org/officeDocument/2006/relationships/image" Target="media/image5.emf"/><Relationship Id="rId14" Type="http://schemas.openxmlformats.org/officeDocument/2006/relationships/image" Target="media/image4.emf"/><Relationship Id="rId13" Type="http://schemas.openxmlformats.org/officeDocument/2006/relationships/oleObject" Target="embeddings/Microsoft_Visio_2003-2010___2.vsd"/><Relationship Id="rId12" Type="http://schemas.openxmlformats.org/officeDocument/2006/relationships/image" Target="media/image3.emf"/><Relationship Id="rId11" Type="http://schemas.openxmlformats.org/officeDocument/2006/relationships/oleObject" Target="embeddings/Microsoft_Visio_2003-2010___1.vsd"/><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87</Pages>
  <Words>2786</Words>
  <Characters>2983</Characters>
  <Lines>433</Lines>
  <Paragraphs>122</Paragraphs>
  <TotalTime>5</TotalTime>
  <ScaleCrop>false</ScaleCrop>
  <LinksUpToDate>false</LinksUpToDate>
  <CharactersWithSpaces>3018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2023-02-02T06:59:00Z</dcterms:created>
  <dc:creator>lhj</dc:creator>
  <cp:lastModifiedBy>彬</cp:lastModifiedBy>
  <cp:lastPrinted>2021-03-01T07:07:00Z</cp:lastPrinted>
  <dcterms:modified xsi:type="dcterms:W3CDTF">2025-04-22T04:59:57Z</dcterms:modified>
  <dc:title>附件2</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AF3732FEE6FF44198F997746EDAE8A73</vt:lpwstr>
  </property>
  <property fmtid="{D5CDD505-2E9C-101B-9397-08002B2CF9AE}" pid="4" name="KSOTemplateDocerSaveRecord">
    <vt:lpwstr>eyJoZGlkIjoiMTMyM2VhMjBmM2YyZDY4MGZiMGE2NTg2M2Y4ZjQzMTMiLCJ1c2VySWQiOiIzMDg0ODQ5NDgifQ==</vt:lpwstr>
  </property>
</Properties>
</file>