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3A" w:rsidRPr="007D0A62" w:rsidRDefault="0065767F" w:rsidP="007D0A62">
      <w:pPr>
        <w:shd w:val="clear" w:color="auto" w:fill="FFFFFF"/>
        <w:spacing w:line="260" w:lineRule="exact"/>
        <w:ind w:firstLineChars="200" w:firstLine="480"/>
        <w:rPr>
          <w:rFonts w:ascii="微软雅黑" w:eastAsia="微软雅黑" w:hAnsi="微软雅黑"/>
          <w:szCs w:val="24"/>
        </w:rPr>
      </w:pPr>
      <w:r w:rsidRPr="007D0A62">
        <w:rPr>
          <w:rFonts w:ascii="微软雅黑" w:eastAsia="微软雅黑" w:hAnsi="微软雅黑" w:hint="eastAsia"/>
          <w:szCs w:val="24"/>
        </w:rPr>
        <w:t>涪陵区生态环境局审查以下建设项目环评文件，现公告有关环评信息，接受社会监督。公示期为20</w:t>
      </w:r>
      <w:r w:rsidRPr="007D0A62">
        <w:rPr>
          <w:rFonts w:ascii="微软雅黑" w:eastAsia="微软雅黑" w:hAnsi="微软雅黑"/>
          <w:szCs w:val="24"/>
        </w:rPr>
        <w:t>2</w:t>
      </w:r>
      <w:r w:rsidR="005A04E3" w:rsidRPr="007D0A62">
        <w:rPr>
          <w:rFonts w:ascii="微软雅黑" w:eastAsia="微软雅黑" w:hAnsi="微软雅黑" w:hint="eastAsia"/>
          <w:szCs w:val="24"/>
        </w:rPr>
        <w:t>3</w:t>
      </w:r>
      <w:r w:rsidRPr="007D0A62">
        <w:rPr>
          <w:rFonts w:ascii="微软雅黑" w:eastAsia="微软雅黑" w:hAnsi="微软雅黑" w:hint="eastAsia"/>
          <w:szCs w:val="24"/>
        </w:rPr>
        <w:t>年</w:t>
      </w:r>
      <w:r w:rsidR="00161C59" w:rsidRPr="007D0A62">
        <w:rPr>
          <w:rFonts w:ascii="微软雅黑" w:eastAsia="微软雅黑" w:hAnsi="微软雅黑" w:hint="eastAsia"/>
          <w:szCs w:val="24"/>
        </w:rPr>
        <w:t>6</w:t>
      </w:r>
      <w:r w:rsidRPr="007D0A62">
        <w:rPr>
          <w:rFonts w:ascii="微软雅黑" w:eastAsia="微软雅黑" w:hAnsi="微软雅黑" w:hint="eastAsia"/>
          <w:szCs w:val="24"/>
        </w:rPr>
        <w:t>月</w:t>
      </w:r>
      <w:r w:rsidR="00161C59" w:rsidRPr="007D0A62">
        <w:rPr>
          <w:rFonts w:ascii="微软雅黑" w:eastAsia="微软雅黑" w:hAnsi="微软雅黑" w:hint="eastAsia"/>
          <w:szCs w:val="24"/>
        </w:rPr>
        <w:t>2</w:t>
      </w:r>
      <w:r w:rsidR="00C10DE7" w:rsidRPr="007D0A62">
        <w:rPr>
          <w:rFonts w:ascii="微软雅黑" w:eastAsia="微软雅黑" w:hAnsi="微软雅黑" w:hint="eastAsia"/>
          <w:szCs w:val="24"/>
        </w:rPr>
        <w:t>0</w:t>
      </w:r>
      <w:r w:rsidRPr="007D0A62">
        <w:rPr>
          <w:rFonts w:ascii="微软雅黑" w:eastAsia="微软雅黑" w:hAnsi="微软雅黑" w:hint="eastAsia"/>
          <w:szCs w:val="24"/>
        </w:rPr>
        <w:t>日——20</w:t>
      </w:r>
      <w:r w:rsidRPr="007D0A62">
        <w:rPr>
          <w:rFonts w:ascii="微软雅黑" w:eastAsia="微软雅黑" w:hAnsi="微软雅黑"/>
          <w:szCs w:val="24"/>
        </w:rPr>
        <w:t>2</w:t>
      </w:r>
      <w:r w:rsidR="005A04E3" w:rsidRPr="007D0A62">
        <w:rPr>
          <w:rFonts w:ascii="微软雅黑" w:eastAsia="微软雅黑" w:hAnsi="微软雅黑" w:hint="eastAsia"/>
          <w:szCs w:val="24"/>
        </w:rPr>
        <w:t>3</w:t>
      </w:r>
      <w:r w:rsidRPr="007D0A62">
        <w:rPr>
          <w:rFonts w:ascii="微软雅黑" w:eastAsia="微软雅黑" w:hAnsi="微软雅黑" w:hint="eastAsia"/>
          <w:szCs w:val="24"/>
        </w:rPr>
        <w:t>年</w:t>
      </w:r>
      <w:r w:rsidR="00C10DE7" w:rsidRPr="007D0A62">
        <w:rPr>
          <w:rFonts w:ascii="微软雅黑" w:eastAsia="微软雅黑" w:hAnsi="微软雅黑" w:hint="eastAsia"/>
          <w:szCs w:val="24"/>
        </w:rPr>
        <w:t>6</w:t>
      </w:r>
      <w:r w:rsidRPr="007D0A62">
        <w:rPr>
          <w:rFonts w:ascii="微软雅黑" w:eastAsia="微软雅黑" w:hAnsi="微软雅黑" w:hint="eastAsia"/>
          <w:szCs w:val="24"/>
        </w:rPr>
        <w:t>月</w:t>
      </w:r>
      <w:r w:rsidR="00161C59" w:rsidRPr="007D0A62">
        <w:rPr>
          <w:rFonts w:ascii="微软雅黑" w:eastAsia="微软雅黑" w:hAnsi="微软雅黑" w:hint="eastAsia"/>
          <w:szCs w:val="24"/>
        </w:rPr>
        <w:t>27</w:t>
      </w:r>
      <w:r w:rsidRPr="007D0A62">
        <w:rPr>
          <w:rFonts w:ascii="微软雅黑" w:eastAsia="微软雅黑" w:hAnsi="微软雅黑" w:hint="eastAsia"/>
          <w:szCs w:val="24"/>
        </w:rPr>
        <w:t>日</w:t>
      </w:r>
      <w:r w:rsidR="007C384B" w:rsidRPr="007D0A62">
        <w:rPr>
          <w:rFonts w:ascii="微软雅黑" w:eastAsia="微软雅黑" w:hAnsi="微软雅黑" w:hint="eastAsia"/>
          <w:szCs w:val="24"/>
        </w:rPr>
        <w:t>（5个工作日）</w:t>
      </w:r>
    </w:p>
    <w:p w:rsidR="00F65D3A" w:rsidRPr="007D0A62" w:rsidRDefault="0065767F" w:rsidP="007D0A62">
      <w:pPr>
        <w:shd w:val="clear" w:color="auto" w:fill="FFFFFF"/>
        <w:spacing w:line="260" w:lineRule="exact"/>
        <w:ind w:firstLineChars="200" w:firstLine="480"/>
        <w:rPr>
          <w:rFonts w:ascii="微软雅黑" w:eastAsia="微软雅黑" w:hAnsi="微软雅黑"/>
          <w:szCs w:val="24"/>
        </w:rPr>
      </w:pPr>
      <w:r w:rsidRPr="007D0A62">
        <w:rPr>
          <w:rFonts w:ascii="微软雅黑" w:eastAsia="微软雅黑" w:hAnsi="微软雅黑" w:hint="eastAsia"/>
          <w:szCs w:val="24"/>
        </w:rPr>
        <w:t>反馈意见受理方式为 电子邮箱：</w:t>
      </w:r>
      <w:hyperlink r:id="rId8" w:history="1">
        <w:r w:rsidRPr="007D0A62">
          <w:rPr>
            <w:rFonts w:ascii="微软雅黑" w:eastAsia="微软雅黑" w:hAnsi="微软雅黑" w:hint="eastAsia"/>
            <w:szCs w:val="24"/>
          </w:rPr>
          <w:t>FL72899987@163.com，传真：</w:t>
        </w:r>
        <w:r w:rsidR="0028471C" w:rsidRPr="007D0A62">
          <w:rPr>
            <w:rFonts w:ascii="微软雅黑" w:eastAsia="微软雅黑" w:hAnsi="微软雅黑" w:hint="eastAsia"/>
            <w:szCs w:val="24"/>
          </w:rPr>
          <w:t>023-</w:t>
        </w:r>
        <w:r w:rsidRPr="007D0A62">
          <w:rPr>
            <w:rFonts w:ascii="微软雅黑" w:eastAsia="微软雅黑" w:hAnsi="微软雅黑" w:hint="eastAsia"/>
            <w:szCs w:val="24"/>
          </w:rPr>
          <w:t>72899967</w:t>
        </w:r>
      </w:hyperlink>
      <w:r w:rsidRPr="007D0A62">
        <w:rPr>
          <w:rFonts w:ascii="微软雅黑" w:eastAsia="微软雅黑" w:hAnsi="微软雅黑" w:hint="eastAsia"/>
          <w:szCs w:val="24"/>
        </w:rPr>
        <w:t>。通</w:t>
      </w:r>
      <w:r w:rsidR="0028471C" w:rsidRPr="007D0A62">
        <w:rPr>
          <w:rFonts w:ascii="微软雅黑" w:eastAsia="微软雅黑" w:hAnsi="微软雅黑" w:hint="eastAsia"/>
          <w:szCs w:val="24"/>
        </w:rPr>
        <w:t>信</w:t>
      </w:r>
      <w:r w:rsidRPr="007D0A62">
        <w:rPr>
          <w:rFonts w:ascii="微软雅黑" w:eastAsia="微软雅黑" w:hAnsi="微软雅黑" w:hint="eastAsia"/>
          <w:szCs w:val="24"/>
        </w:rPr>
        <w:t>地址：涪陵区太白大道3号，邮编：408102。申请人和利害关系人可自公示起5个工作日内以书面形式向我局提出听证申请。</w:t>
      </w:r>
    </w:p>
    <w:tbl>
      <w:tblPr>
        <w:tblW w:w="5167" w:type="pct"/>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tblPr>
      <w:tblGrid>
        <w:gridCol w:w="756"/>
        <w:gridCol w:w="1032"/>
        <w:gridCol w:w="1032"/>
        <w:gridCol w:w="1009"/>
        <w:gridCol w:w="1133"/>
        <w:gridCol w:w="2142"/>
        <w:gridCol w:w="7352"/>
      </w:tblGrid>
      <w:tr w:rsidR="00F65D3A" w:rsidRPr="007D0A62" w:rsidTr="007D0A62">
        <w:trPr>
          <w:tblCellSpacing w:w="0" w:type="dxa"/>
        </w:trPr>
        <w:tc>
          <w:tcPr>
            <w:tcW w:w="261" w:type="pct"/>
            <w:tcBorders>
              <w:tl2br w:val="nil"/>
              <w:tr2bl w:val="nil"/>
            </w:tcBorders>
            <w:shd w:val="clear" w:color="auto" w:fill="FFFFFF"/>
            <w:vAlign w:val="center"/>
          </w:tcPr>
          <w:p w:rsidR="00F65D3A" w:rsidRPr="007D0A62" w:rsidRDefault="0065767F" w:rsidP="00CD1EDD">
            <w:pPr>
              <w:spacing w:line="280" w:lineRule="exact"/>
              <w:jc w:val="center"/>
              <w:rPr>
                <w:rFonts w:ascii="微软雅黑" w:eastAsia="微软雅黑" w:hAnsi="微软雅黑"/>
                <w:color w:val="000000"/>
                <w:szCs w:val="24"/>
              </w:rPr>
            </w:pPr>
            <w:r w:rsidRPr="007D0A62">
              <w:rPr>
                <w:rFonts w:ascii="微软雅黑" w:eastAsia="微软雅黑" w:hAnsi="微软雅黑"/>
                <w:color w:val="000000"/>
                <w:szCs w:val="24"/>
              </w:rPr>
              <w:t>序号</w:t>
            </w:r>
          </w:p>
        </w:tc>
        <w:tc>
          <w:tcPr>
            <w:tcW w:w="357" w:type="pct"/>
            <w:tcBorders>
              <w:tl2br w:val="nil"/>
              <w:tr2bl w:val="nil"/>
            </w:tcBorders>
            <w:shd w:val="clear" w:color="auto" w:fill="FFFFFF"/>
            <w:vAlign w:val="center"/>
          </w:tcPr>
          <w:p w:rsidR="00F65D3A" w:rsidRPr="007D0A62" w:rsidRDefault="0065767F" w:rsidP="00CD1EDD">
            <w:pPr>
              <w:spacing w:line="280" w:lineRule="exact"/>
              <w:jc w:val="center"/>
              <w:rPr>
                <w:rFonts w:ascii="微软雅黑" w:eastAsia="微软雅黑" w:hAnsi="微软雅黑"/>
                <w:color w:val="000000"/>
                <w:szCs w:val="24"/>
              </w:rPr>
            </w:pPr>
            <w:r w:rsidRPr="007D0A62">
              <w:rPr>
                <w:rFonts w:ascii="微软雅黑" w:eastAsia="微软雅黑" w:hAnsi="微软雅黑"/>
                <w:color w:val="000000"/>
                <w:szCs w:val="24"/>
              </w:rPr>
              <w:t>项目名称</w:t>
            </w:r>
          </w:p>
        </w:tc>
        <w:tc>
          <w:tcPr>
            <w:tcW w:w="357" w:type="pct"/>
            <w:tcBorders>
              <w:tl2br w:val="nil"/>
              <w:tr2bl w:val="nil"/>
            </w:tcBorders>
            <w:shd w:val="clear" w:color="auto" w:fill="FFFFFF"/>
            <w:vAlign w:val="center"/>
          </w:tcPr>
          <w:p w:rsidR="00F65D3A" w:rsidRPr="007D0A62" w:rsidRDefault="0065767F" w:rsidP="00CD1EDD">
            <w:pPr>
              <w:spacing w:line="280" w:lineRule="exact"/>
              <w:jc w:val="center"/>
              <w:rPr>
                <w:rFonts w:ascii="微软雅黑" w:eastAsia="微软雅黑" w:hAnsi="微软雅黑"/>
                <w:color w:val="000000"/>
                <w:szCs w:val="24"/>
              </w:rPr>
            </w:pPr>
            <w:r w:rsidRPr="007D0A62">
              <w:rPr>
                <w:rFonts w:ascii="微软雅黑" w:eastAsia="微软雅黑" w:hAnsi="微软雅黑"/>
                <w:color w:val="000000"/>
                <w:szCs w:val="24"/>
              </w:rPr>
              <w:t>建设地点</w:t>
            </w:r>
          </w:p>
        </w:tc>
        <w:tc>
          <w:tcPr>
            <w:tcW w:w="349" w:type="pct"/>
            <w:tcBorders>
              <w:tl2br w:val="nil"/>
              <w:tr2bl w:val="nil"/>
            </w:tcBorders>
            <w:shd w:val="clear" w:color="auto" w:fill="FFFFFF"/>
            <w:vAlign w:val="center"/>
          </w:tcPr>
          <w:p w:rsidR="00F65D3A" w:rsidRPr="007D0A62" w:rsidRDefault="0065767F" w:rsidP="00CD1EDD">
            <w:pPr>
              <w:spacing w:line="280" w:lineRule="exact"/>
              <w:jc w:val="center"/>
              <w:rPr>
                <w:rFonts w:ascii="微软雅黑" w:eastAsia="微软雅黑" w:hAnsi="微软雅黑"/>
                <w:color w:val="000000"/>
                <w:szCs w:val="24"/>
              </w:rPr>
            </w:pPr>
            <w:r w:rsidRPr="007D0A62">
              <w:rPr>
                <w:rFonts w:ascii="微软雅黑" w:eastAsia="微软雅黑" w:hAnsi="微软雅黑"/>
                <w:color w:val="000000"/>
                <w:szCs w:val="24"/>
              </w:rPr>
              <w:t>建设单位</w:t>
            </w:r>
          </w:p>
        </w:tc>
        <w:tc>
          <w:tcPr>
            <w:tcW w:w="392" w:type="pct"/>
            <w:tcBorders>
              <w:tl2br w:val="nil"/>
              <w:tr2bl w:val="nil"/>
            </w:tcBorders>
            <w:shd w:val="clear" w:color="auto" w:fill="FFFFFF"/>
            <w:vAlign w:val="center"/>
          </w:tcPr>
          <w:p w:rsidR="00F65D3A" w:rsidRPr="007D0A62" w:rsidRDefault="0065767F" w:rsidP="00CD1EDD">
            <w:pPr>
              <w:spacing w:line="280" w:lineRule="exact"/>
              <w:jc w:val="center"/>
              <w:rPr>
                <w:rFonts w:ascii="微软雅黑" w:eastAsia="微软雅黑" w:hAnsi="微软雅黑"/>
                <w:color w:val="000000"/>
                <w:szCs w:val="24"/>
              </w:rPr>
            </w:pPr>
            <w:r w:rsidRPr="007D0A62">
              <w:rPr>
                <w:rFonts w:ascii="微软雅黑" w:eastAsia="微软雅黑" w:hAnsi="微软雅黑"/>
                <w:color w:val="000000"/>
                <w:szCs w:val="24"/>
              </w:rPr>
              <w:t>环境影响评价机构</w:t>
            </w:r>
          </w:p>
        </w:tc>
        <w:tc>
          <w:tcPr>
            <w:tcW w:w="741" w:type="pct"/>
            <w:tcBorders>
              <w:tl2br w:val="nil"/>
              <w:tr2bl w:val="nil"/>
            </w:tcBorders>
            <w:shd w:val="clear" w:color="auto" w:fill="FFFFFF"/>
            <w:vAlign w:val="center"/>
          </w:tcPr>
          <w:p w:rsidR="00F65D3A" w:rsidRPr="007D0A62" w:rsidRDefault="0065767F" w:rsidP="00CD1EDD">
            <w:pPr>
              <w:spacing w:line="280" w:lineRule="exact"/>
              <w:jc w:val="center"/>
              <w:rPr>
                <w:rFonts w:ascii="微软雅黑" w:eastAsia="微软雅黑" w:hAnsi="微软雅黑"/>
                <w:color w:val="000000"/>
                <w:szCs w:val="24"/>
              </w:rPr>
            </w:pPr>
            <w:r w:rsidRPr="007D0A62">
              <w:rPr>
                <w:rFonts w:ascii="微软雅黑" w:eastAsia="微软雅黑" w:hAnsi="微软雅黑"/>
                <w:color w:val="000000"/>
                <w:szCs w:val="24"/>
              </w:rPr>
              <w:t>项目概况</w:t>
            </w:r>
          </w:p>
        </w:tc>
        <w:tc>
          <w:tcPr>
            <w:tcW w:w="2543" w:type="pct"/>
            <w:tcBorders>
              <w:tl2br w:val="nil"/>
              <w:tr2bl w:val="nil"/>
            </w:tcBorders>
            <w:shd w:val="clear" w:color="auto" w:fill="FFFFFF"/>
            <w:vAlign w:val="center"/>
          </w:tcPr>
          <w:p w:rsidR="00F65D3A" w:rsidRPr="007D0A62" w:rsidRDefault="0065767F" w:rsidP="00CD1EDD">
            <w:pPr>
              <w:spacing w:line="280" w:lineRule="exact"/>
              <w:jc w:val="center"/>
              <w:rPr>
                <w:rFonts w:ascii="微软雅黑" w:eastAsia="微软雅黑" w:hAnsi="微软雅黑"/>
                <w:color w:val="000000"/>
                <w:szCs w:val="24"/>
              </w:rPr>
            </w:pPr>
            <w:r w:rsidRPr="007D0A62">
              <w:rPr>
                <w:rFonts w:ascii="微软雅黑" w:eastAsia="微软雅黑" w:hAnsi="微软雅黑"/>
                <w:color w:val="000000"/>
                <w:szCs w:val="24"/>
              </w:rPr>
              <w:t>主要环境影响和环境保护对策与措施</w:t>
            </w:r>
          </w:p>
        </w:tc>
      </w:tr>
      <w:tr w:rsidR="006D4343" w:rsidRPr="007D0A62" w:rsidTr="007D0A62">
        <w:trPr>
          <w:trHeight w:val="7840"/>
          <w:tblCellSpacing w:w="0" w:type="dxa"/>
        </w:trPr>
        <w:tc>
          <w:tcPr>
            <w:tcW w:w="261" w:type="pct"/>
            <w:tcBorders>
              <w:tl2br w:val="nil"/>
              <w:tr2bl w:val="nil"/>
            </w:tcBorders>
            <w:shd w:val="clear" w:color="auto" w:fill="FFFFFF"/>
            <w:vAlign w:val="center"/>
          </w:tcPr>
          <w:p w:rsidR="006D4343" w:rsidRPr="007D0A62" w:rsidRDefault="00C10DE7" w:rsidP="007D0A62">
            <w:pPr>
              <w:tabs>
                <w:tab w:val="left" w:pos="5910"/>
              </w:tabs>
              <w:spacing w:line="240" w:lineRule="exact"/>
              <w:jc w:val="center"/>
              <w:rPr>
                <w:rFonts w:ascii="微软雅黑" w:eastAsia="微软雅黑" w:hAnsi="微软雅黑"/>
                <w:color w:val="000000"/>
                <w:szCs w:val="24"/>
              </w:rPr>
            </w:pPr>
            <w:r w:rsidRPr="007D0A62">
              <w:rPr>
                <w:rFonts w:ascii="微软雅黑" w:eastAsia="微软雅黑" w:hAnsi="微软雅黑" w:hint="eastAsia"/>
                <w:color w:val="000000"/>
                <w:szCs w:val="24"/>
              </w:rPr>
              <w:t>1</w:t>
            </w:r>
          </w:p>
        </w:tc>
        <w:tc>
          <w:tcPr>
            <w:tcW w:w="357" w:type="pct"/>
            <w:tcBorders>
              <w:tl2br w:val="nil"/>
              <w:tr2bl w:val="nil"/>
            </w:tcBorders>
            <w:shd w:val="clear" w:color="auto" w:fill="FFFFFF"/>
            <w:vAlign w:val="center"/>
          </w:tcPr>
          <w:p w:rsidR="006D4343" w:rsidRPr="007D0A62" w:rsidRDefault="00161C59" w:rsidP="007D0A62">
            <w:pPr>
              <w:tabs>
                <w:tab w:val="left" w:pos="5910"/>
              </w:tabs>
              <w:spacing w:line="240" w:lineRule="exact"/>
              <w:jc w:val="center"/>
              <w:rPr>
                <w:rFonts w:ascii="微软雅黑" w:eastAsia="微软雅黑" w:hAnsi="微软雅黑"/>
                <w:color w:val="000000"/>
                <w:szCs w:val="24"/>
              </w:rPr>
            </w:pPr>
            <w:r w:rsidRPr="007D0A62">
              <w:rPr>
                <w:rFonts w:ascii="微软雅黑" w:eastAsia="微软雅黑" w:hAnsi="微软雅黑" w:hint="eastAsia"/>
                <w:color w:val="000000"/>
                <w:szCs w:val="24"/>
              </w:rPr>
              <w:t>重庆市涪陵区百胜镇回龙村大塘坝建筑石料用灰岩矿扩建项目</w:t>
            </w:r>
          </w:p>
        </w:tc>
        <w:tc>
          <w:tcPr>
            <w:tcW w:w="357" w:type="pct"/>
            <w:tcBorders>
              <w:tl2br w:val="nil"/>
              <w:tr2bl w:val="nil"/>
            </w:tcBorders>
            <w:shd w:val="clear" w:color="auto" w:fill="FFFFFF"/>
            <w:vAlign w:val="center"/>
          </w:tcPr>
          <w:p w:rsidR="006D4343" w:rsidRPr="007D0A62" w:rsidRDefault="00161C59" w:rsidP="007D0A62">
            <w:pPr>
              <w:tabs>
                <w:tab w:val="left" w:pos="5910"/>
              </w:tabs>
              <w:spacing w:line="240" w:lineRule="exact"/>
              <w:jc w:val="center"/>
              <w:rPr>
                <w:rFonts w:ascii="微软雅黑" w:eastAsia="微软雅黑" w:hAnsi="微软雅黑"/>
                <w:color w:val="000000"/>
                <w:szCs w:val="24"/>
              </w:rPr>
            </w:pPr>
            <w:r w:rsidRPr="007D0A62">
              <w:rPr>
                <w:rFonts w:ascii="微软雅黑" w:eastAsia="微软雅黑" w:hAnsi="微软雅黑" w:hint="eastAsia"/>
                <w:color w:val="000000"/>
                <w:szCs w:val="24"/>
              </w:rPr>
              <w:t>涪陵区百胜镇回龙村3社</w:t>
            </w:r>
          </w:p>
        </w:tc>
        <w:tc>
          <w:tcPr>
            <w:tcW w:w="349" w:type="pct"/>
            <w:tcBorders>
              <w:tl2br w:val="nil"/>
              <w:tr2bl w:val="nil"/>
            </w:tcBorders>
            <w:shd w:val="clear" w:color="auto" w:fill="FFFFFF"/>
            <w:vAlign w:val="center"/>
          </w:tcPr>
          <w:p w:rsidR="006D4343" w:rsidRPr="007D0A62" w:rsidRDefault="00161C59" w:rsidP="007D0A62">
            <w:pPr>
              <w:tabs>
                <w:tab w:val="left" w:pos="5910"/>
              </w:tabs>
              <w:spacing w:line="240" w:lineRule="exact"/>
              <w:jc w:val="center"/>
              <w:rPr>
                <w:rFonts w:ascii="微软雅黑" w:eastAsia="微软雅黑" w:hAnsi="微软雅黑"/>
                <w:color w:val="000000"/>
                <w:szCs w:val="24"/>
              </w:rPr>
            </w:pPr>
            <w:r w:rsidRPr="007D0A62">
              <w:rPr>
                <w:rFonts w:ascii="微软雅黑" w:eastAsia="微软雅黑" w:hAnsi="微软雅黑" w:hint="eastAsia"/>
                <w:color w:val="000000"/>
                <w:szCs w:val="24"/>
              </w:rPr>
              <w:t>重庆市正宇混凝土有限责任公司</w:t>
            </w:r>
          </w:p>
        </w:tc>
        <w:tc>
          <w:tcPr>
            <w:tcW w:w="392" w:type="pct"/>
            <w:tcBorders>
              <w:tl2br w:val="nil"/>
              <w:tr2bl w:val="nil"/>
            </w:tcBorders>
            <w:shd w:val="clear" w:color="auto" w:fill="FFFFFF"/>
            <w:vAlign w:val="center"/>
          </w:tcPr>
          <w:p w:rsidR="006D4343" w:rsidRPr="007D0A62" w:rsidRDefault="00161C59" w:rsidP="007D0A62">
            <w:pPr>
              <w:tabs>
                <w:tab w:val="left" w:pos="5910"/>
              </w:tabs>
              <w:spacing w:line="240" w:lineRule="exact"/>
              <w:jc w:val="center"/>
              <w:rPr>
                <w:rFonts w:ascii="微软雅黑" w:eastAsia="微软雅黑" w:hAnsi="微软雅黑"/>
                <w:color w:val="000000"/>
                <w:szCs w:val="24"/>
              </w:rPr>
            </w:pPr>
            <w:r w:rsidRPr="007D0A62">
              <w:rPr>
                <w:rFonts w:ascii="微软雅黑" w:eastAsia="微软雅黑" w:hAnsi="微软雅黑" w:hint="eastAsia"/>
                <w:color w:val="000000"/>
                <w:szCs w:val="24"/>
              </w:rPr>
              <w:t>重庆港力环保股份有限公司</w:t>
            </w:r>
          </w:p>
        </w:tc>
        <w:tc>
          <w:tcPr>
            <w:tcW w:w="741" w:type="pct"/>
            <w:tcBorders>
              <w:tl2br w:val="nil"/>
              <w:tr2bl w:val="nil"/>
            </w:tcBorders>
            <w:shd w:val="clear" w:color="auto" w:fill="FFFFFF"/>
            <w:vAlign w:val="center"/>
          </w:tcPr>
          <w:p w:rsidR="007D0A62" w:rsidRPr="007D0A62" w:rsidRDefault="007D0A62" w:rsidP="007D0A62">
            <w:pPr>
              <w:tabs>
                <w:tab w:val="left" w:pos="5910"/>
              </w:tabs>
              <w:spacing w:line="240" w:lineRule="exact"/>
            </w:pPr>
            <w:r w:rsidRPr="007D0A62">
              <w:rPr>
                <w:rFonts w:ascii="微软雅黑" w:eastAsia="微软雅黑" w:hAnsi="微软雅黑" w:hint="eastAsia"/>
                <w:color w:val="000000"/>
                <w:szCs w:val="24"/>
              </w:rPr>
              <w:t>本次扩建仅扩大矿区范围，矿区面积0.1794km2，开采标高+682m~+575m，服务年限17.9a。矿区新建封闭式开采矿石和开采废石溜矿槽各1个，新建临时堆矿场1个。矿石加工利用现有2条矿石破碎加工生产线及1条机制砂生产线，生产规模保持现有年产碎石、机制砂51万吨不变。项目总投资5000万元，其中环保投资49.5万元。</w:t>
            </w:r>
          </w:p>
          <w:p w:rsidR="006D4343" w:rsidRPr="007D0A62" w:rsidRDefault="006D4343" w:rsidP="007D0A62">
            <w:pPr>
              <w:spacing w:line="340" w:lineRule="exact"/>
              <w:rPr>
                <w:rFonts w:ascii="微软雅黑" w:eastAsia="微软雅黑" w:hAnsi="微软雅黑"/>
                <w:color w:val="000000"/>
                <w:szCs w:val="24"/>
              </w:rPr>
            </w:pPr>
          </w:p>
        </w:tc>
        <w:tc>
          <w:tcPr>
            <w:tcW w:w="2543" w:type="pct"/>
            <w:tcBorders>
              <w:tl2br w:val="nil"/>
              <w:tr2bl w:val="nil"/>
            </w:tcBorders>
            <w:shd w:val="clear" w:color="auto" w:fill="FFFFFF"/>
            <w:vAlign w:val="center"/>
          </w:tcPr>
          <w:p w:rsidR="00161C59" w:rsidRPr="007D0A62" w:rsidRDefault="00FF6C3D" w:rsidP="007D0A62">
            <w:pPr>
              <w:adjustRightInd w:val="0"/>
              <w:spacing w:line="240" w:lineRule="exact"/>
              <w:rPr>
                <w:rFonts w:ascii="微软雅黑" w:eastAsia="微软雅黑" w:hAnsi="微软雅黑"/>
                <w:color w:val="000000"/>
                <w:szCs w:val="24"/>
              </w:rPr>
            </w:pPr>
            <w:r w:rsidRPr="007D0A62">
              <w:rPr>
                <w:rFonts w:ascii="微软雅黑" w:eastAsia="微软雅黑" w:hAnsi="微软雅黑" w:hint="eastAsia"/>
                <w:color w:val="000000"/>
                <w:szCs w:val="24"/>
              </w:rPr>
              <w:t>1、废水：</w:t>
            </w:r>
            <w:r w:rsidR="00161C59" w:rsidRPr="007D0A62">
              <w:rPr>
                <w:rFonts w:ascii="微软雅黑" w:eastAsia="微软雅黑" w:hAnsi="微软雅黑" w:hint="eastAsia"/>
                <w:color w:val="000000"/>
                <w:szCs w:val="24"/>
              </w:rPr>
              <w:t>工业广场实行雨污分流制。在开采区、排土场四周修建截排水沟，采区雨水经经截排水沟引至沉淀池沉淀后进入工业场地北侧的蓄水池，用作矿区、工业场地洒水抑尘等。工业场地雨水经沉淀池沉淀后引至东侧和北侧蓄水池；车辆冲洗水经沉淀池处理后用于场地洒水抑尘，不外排；食堂废水经隔油池处理后与生活污水一并进入化粪池处理后用于用于周边林地农肥，不外排。</w:t>
            </w:r>
          </w:p>
          <w:p w:rsidR="00077788" w:rsidRPr="007D0A62" w:rsidRDefault="00FF6C3D" w:rsidP="007D0A62">
            <w:pPr>
              <w:pStyle w:val="tb"/>
              <w:spacing w:line="240" w:lineRule="exact"/>
              <w:rPr>
                <w:rFonts w:ascii="微软雅黑" w:eastAsia="微软雅黑" w:hAnsi="微软雅黑"/>
                <w:color w:val="000000"/>
                <w:szCs w:val="24"/>
              </w:rPr>
            </w:pPr>
            <w:r w:rsidRPr="007D0A62">
              <w:rPr>
                <w:rFonts w:ascii="微软雅黑" w:eastAsia="微软雅黑" w:hAnsi="微软雅黑" w:hint="eastAsia"/>
                <w:color w:val="000000"/>
                <w:szCs w:val="24"/>
              </w:rPr>
              <w:t>2、废气：</w:t>
            </w:r>
            <w:r w:rsidR="00161C59" w:rsidRPr="007D0A62">
              <w:rPr>
                <w:rFonts w:ascii="微软雅黑" w:eastAsia="微软雅黑" w:hAnsi="微软雅黑" w:hint="eastAsia"/>
                <w:color w:val="000000"/>
                <w:szCs w:val="24"/>
              </w:rPr>
              <w:t>矿山钻孔采用</w:t>
            </w:r>
            <w:bookmarkStart w:id="0" w:name="_Hlk515025224"/>
            <w:r w:rsidR="00161C59" w:rsidRPr="007D0A62">
              <w:rPr>
                <w:rFonts w:ascii="微软雅黑" w:eastAsia="微软雅黑" w:hAnsi="微软雅黑" w:hint="eastAsia"/>
                <w:color w:val="000000"/>
                <w:szCs w:val="24"/>
              </w:rPr>
              <w:t>湿式钻孔</w:t>
            </w:r>
            <w:bookmarkEnd w:id="0"/>
            <w:r w:rsidR="00161C59" w:rsidRPr="007D0A62">
              <w:rPr>
                <w:rFonts w:ascii="微软雅黑" w:eastAsia="微软雅黑" w:hAnsi="微软雅黑" w:hint="eastAsia"/>
                <w:color w:val="000000"/>
                <w:szCs w:val="24"/>
              </w:rPr>
              <w:t>作业；采用深孔微差爆破，爆破前先在爆破现场洒水、铺设湿草垫，爆破后及时喷雾洒水抑尘；铲装点采用雾泡机喷雾洒水降尘；矿区内主要运输道路和工业场地全部硬化，采用洒水车、及道路沿线高压喷头定时对道路洒水抑尘，派专人负责清扫运输道路；运输车辆加盖篷布，禁止冒装撒漏,严禁超载，车辆冲洗干净后方可驶出矿区；破碎筛分生产线均置于封闭的彩钢棚厂房内。一级破碎进口处和物料各转运点设置喷淋装置，二级破碎出口、筛分机进出料口和周转料仓设集气罩收集粉尘进入布袋除尘器（碎石加工一线、二线和机制砂生产线各一台）处理达标后通过高20m排气筒排放；临时堆矿场及产品堆场除车辆进出口外应全密闭，并在车辆进出口和装、卸料区设置喷淋装置；食堂厨房使用清洁能源液化石油气作燃料，食堂油烟经净化处理达标后排放。</w:t>
            </w:r>
          </w:p>
          <w:p w:rsidR="00FF6C3D" w:rsidRPr="007D0A62" w:rsidRDefault="00FF6C3D" w:rsidP="007D0A62">
            <w:pPr>
              <w:pStyle w:val="tb"/>
              <w:spacing w:line="240" w:lineRule="exact"/>
              <w:rPr>
                <w:rFonts w:ascii="微软雅黑" w:eastAsia="微软雅黑" w:hAnsi="微软雅黑"/>
                <w:color w:val="000000"/>
                <w:szCs w:val="24"/>
              </w:rPr>
            </w:pPr>
            <w:r w:rsidRPr="007D0A62">
              <w:rPr>
                <w:rFonts w:ascii="微软雅黑" w:eastAsia="微软雅黑" w:hAnsi="微软雅黑" w:hint="eastAsia"/>
                <w:color w:val="000000"/>
                <w:szCs w:val="24"/>
              </w:rPr>
              <w:t>3、噪声：</w:t>
            </w:r>
            <w:r w:rsidR="00161C59" w:rsidRPr="007D0A62">
              <w:rPr>
                <w:rFonts w:ascii="微软雅黑" w:eastAsia="微软雅黑" w:hAnsi="微软雅黑" w:hint="eastAsia"/>
                <w:color w:val="000000"/>
                <w:szCs w:val="24"/>
              </w:rPr>
              <w:t>严格落实噪声污染防治措施。采用先进的微差爆破；合理安排爆破时间，尽量避开周围居民的休息时间；生产车间密闭、设备基础减震；加强机械设备的维护保养；加强作业场区周边的绿化；合理安排运输时间，加强运输车辆管理，禁止鸣笛，控制车速；加强运输道路的日常维护。</w:t>
            </w:r>
          </w:p>
          <w:p w:rsidR="00FF6C3D" w:rsidRPr="007D0A62" w:rsidRDefault="00FF6C3D" w:rsidP="007D0A62">
            <w:pPr>
              <w:pStyle w:val="tb"/>
              <w:spacing w:line="240" w:lineRule="exact"/>
              <w:rPr>
                <w:rFonts w:ascii="微软雅黑" w:eastAsia="微软雅黑" w:hAnsi="微软雅黑"/>
                <w:color w:val="000000"/>
                <w:szCs w:val="24"/>
              </w:rPr>
            </w:pPr>
            <w:r w:rsidRPr="007D0A62">
              <w:rPr>
                <w:rFonts w:ascii="微软雅黑" w:eastAsia="微软雅黑" w:hAnsi="微软雅黑" w:hint="eastAsia"/>
                <w:color w:val="000000"/>
                <w:szCs w:val="24"/>
              </w:rPr>
              <w:t>4、固废：</w:t>
            </w:r>
            <w:r w:rsidR="00161C59" w:rsidRPr="007D0A62">
              <w:rPr>
                <w:rFonts w:ascii="微软雅黑" w:eastAsia="微软雅黑" w:hAnsi="微软雅黑" w:hint="eastAsia"/>
                <w:color w:val="000000"/>
                <w:szCs w:val="24"/>
              </w:rPr>
              <w:t>剥离表土、废石和沉淀池泥砂分区堆放在排土场内，用于开采平台结束后的土地复垦和矿坑回填；除尘器收集的除尘灰作为产品外卖；废机油、含油棉纱手套采用桶装收集暂存于危废暂存间内，并交由有危险废物相应资质单位处置；生活垃圾委托当地环卫系统定期清运处置。</w:t>
            </w:r>
          </w:p>
          <w:p w:rsidR="006D4343" w:rsidRPr="007D0A62" w:rsidRDefault="00D901A8" w:rsidP="007D0A62">
            <w:pPr>
              <w:pStyle w:val="tb"/>
              <w:spacing w:line="240" w:lineRule="exact"/>
              <w:rPr>
                <w:rFonts w:ascii="微软雅黑" w:eastAsia="微软雅黑" w:hAnsi="微软雅黑"/>
                <w:color w:val="000000"/>
                <w:szCs w:val="24"/>
              </w:rPr>
            </w:pPr>
            <w:r w:rsidRPr="007D0A62">
              <w:rPr>
                <w:rFonts w:ascii="微软雅黑" w:eastAsia="微软雅黑" w:hAnsi="微软雅黑"/>
                <w:color w:val="000000"/>
                <w:szCs w:val="24"/>
              </w:rPr>
              <w:t>5</w:t>
            </w:r>
            <w:r w:rsidRPr="007D0A62">
              <w:rPr>
                <w:rFonts w:ascii="微软雅黑" w:eastAsia="微软雅黑" w:hAnsi="微软雅黑" w:hint="eastAsia"/>
                <w:color w:val="000000"/>
                <w:szCs w:val="24"/>
              </w:rPr>
              <w:t>、</w:t>
            </w:r>
            <w:r w:rsidRPr="007D0A62">
              <w:rPr>
                <w:rFonts w:ascii="微软雅黑" w:eastAsia="微软雅黑" w:hAnsi="微软雅黑"/>
                <w:color w:val="000000"/>
                <w:szCs w:val="24"/>
              </w:rPr>
              <w:t xml:space="preserve">环境风险 </w:t>
            </w:r>
            <w:r w:rsidRPr="007D0A62">
              <w:rPr>
                <w:rFonts w:ascii="微软雅黑" w:eastAsia="微软雅黑" w:hAnsi="微软雅黑" w:hint="eastAsia"/>
                <w:color w:val="000000"/>
                <w:szCs w:val="24"/>
              </w:rPr>
              <w:t>：</w:t>
            </w:r>
            <w:r w:rsidR="00161C59" w:rsidRPr="007D0A62">
              <w:rPr>
                <w:rFonts w:ascii="微软雅黑" w:eastAsia="微软雅黑" w:hAnsi="微软雅黑" w:hint="eastAsia"/>
                <w:color w:val="000000"/>
                <w:szCs w:val="24"/>
              </w:rPr>
              <w:t>制定环境风险应急预案并备案；柴油罐周边设置消防灭火装置；加强对罐体、输油管线、阀门等日常检查，确保罐体无锈蚀穿孔现象、管线及阀门等无磨损、裂纹，避免引发泄露；柴油罐区地面防渗，设置罐池。</w:t>
            </w:r>
          </w:p>
        </w:tc>
      </w:tr>
    </w:tbl>
    <w:p w:rsidR="007D0A62" w:rsidRPr="007D0A62" w:rsidRDefault="007D0A62" w:rsidP="007D0A62">
      <w:pPr>
        <w:spacing w:line="280" w:lineRule="exact"/>
        <w:rPr>
          <w:rFonts w:ascii="Verdana" w:hAnsi="Verdana"/>
          <w:color w:val="000000"/>
          <w:sz w:val="18"/>
          <w:szCs w:val="18"/>
        </w:rPr>
      </w:pPr>
    </w:p>
    <w:p w:rsidR="007D0A62" w:rsidRPr="007D0A62" w:rsidRDefault="007D0A62" w:rsidP="007D0A62"/>
    <w:p w:rsidR="007D0A62" w:rsidRPr="007D0A62" w:rsidRDefault="007D0A62" w:rsidP="007D0A62"/>
    <w:p w:rsidR="007D0A62" w:rsidRPr="007D0A62" w:rsidRDefault="007D0A62" w:rsidP="007D0A62"/>
    <w:p w:rsidR="00F65D3A" w:rsidRDefault="00F65D3A" w:rsidP="007D0A62">
      <w:pPr>
        <w:tabs>
          <w:tab w:val="left" w:pos="5910"/>
        </w:tabs>
        <w:spacing w:line="240" w:lineRule="exact"/>
        <w:rPr>
          <w:rFonts w:hint="eastAsia"/>
        </w:rPr>
      </w:pPr>
    </w:p>
    <w:p w:rsidR="007D0A62" w:rsidRDefault="007D0A62" w:rsidP="007D0A62">
      <w:pPr>
        <w:tabs>
          <w:tab w:val="left" w:pos="5910"/>
        </w:tabs>
        <w:spacing w:line="240" w:lineRule="exact"/>
        <w:rPr>
          <w:rFonts w:hint="eastAsia"/>
        </w:rPr>
      </w:pPr>
    </w:p>
    <w:p w:rsidR="007D0A62" w:rsidRPr="007D0A62" w:rsidRDefault="007D0A62" w:rsidP="007D0A62">
      <w:pPr>
        <w:tabs>
          <w:tab w:val="left" w:pos="5910"/>
        </w:tabs>
        <w:spacing w:line="240" w:lineRule="exact"/>
      </w:pPr>
    </w:p>
    <w:sectPr w:rsidR="007D0A62" w:rsidRPr="007D0A62" w:rsidSect="0028471C">
      <w:pgSz w:w="16839" w:h="11907" w:orient="landscape"/>
      <w:pgMar w:top="1083" w:right="1440" w:bottom="1083" w:left="1440" w:header="851" w:footer="99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001" w:rsidRDefault="00C74001" w:rsidP="002E28E1">
      <w:r>
        <w:separator/>
      </w:r>
    </w:p>
  </w:endnote>
  <w:endnote w:type="continuationSeparator" w:id="1">
    <w:p w:rsidR="00C74001" w:rsidRDefault="00C74001" w:rsidP="002E2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001" w:rsidRDefault="00C74001" w:rsidP="002E28E1">
      <w:r>
        <w:separator/>
      </w:r>
    </w:p>
  </w:footnote>
  <w:footnote w:type="continuationSeparator" w:id="1">
    <w:p w:rsidR="00C74001" w:rsidRDefault="00C74001" w:rsidP="002E2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05A7A"/>
    <w:multiLevelType w:val="singleLevel"/>
    <w:tmpl w:val="51505A7A"/>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20"/>
  <w:drawingGridVerticalSpacing w:val="163"/>
  <w:displayHorizontalDrawingGridEvery w:val="0"/>
  <w:characterSpacingControl w:val="doNotCompress"/>
  <w:hdrShapeDefaults>
    <o:shapedefaults v:ext="edit" spidmax="2050"/>
  </w:hdrShapeDefaults>
  <w:footnotePr>
    <w:footnote w:id="0"/>
    <w:footnote w:id="1"/>
  </w:footnotePr>
  <w:endnotePr>
    <w:endnote w:id="0"/>
    <w:endnote w:id="1"/>
  </w:endnotePr>
  <w:compat>
    <w:spaceForUL/>
    <w:growAutofit/>
    <w:useFELayout/>
    <w:useAltKinsokuLineBreakRules/>
    <w:splitPgBreakAndParaMark/>
  </w:compat>
  <w:rsids>
    <w:rsidRoot w:val="00F65D3A"/>
    <w:rsid w:val="0001106B"/>
    <w:rsid w:val="0001196F"/>
    <w:rsid w:val="00020133"/>
    <w:rsid w:val="00077788"/>
    <w:rsid w:val="00084134"/>
    <w:rsid w:val="000A189A"/>
    <w:rsid w:val="000C2730"/>
    <w:rsid w:val="00161C59"/>
    <w:rsid w:val="00163674"/>
    <w:rsid w:val="001702F0"/>
    <w:rsid w:val="001C3D15"/>
    <w:rsid w:val="002735B5"/>
    <w:rsid w:val="00283E4D"/>
    <w:rsid w:val="0028471C"/>
    <w:rsid w:val="002B421D"/>
    <w:rsid w:val="002C5494"/>
    <w:rsid w:val="002E28E1"/>
    <w:rsid w:val="002F27B5"/>
    <w:rsid w:val="00311D97"/>
    <w:rsid w:val="00347BC9"/>
    <w:rsid w:val="00380DDE"/>
    <w:rsid w:val="003B44C2"/>
    <w:rsid w:val="003C3833"/>
    <w:rsid w:val="003D4D60"/>
    <w:rsid w:val="003F5DE3"/>
    <w:rsid w:val="004275BF"/>
    <w:rsid w:val="00473B27"/>
    <w:rsid w:val="004839EF"/>
    <w:rsid w:val="004B4F24"/>
    <w:rsid w:val="004F3E18"/>
    <w:rsid w:val="00511D60"/>
    <w:rsid w:val="0052055C"/>
    <w:rsid w:val="0054025D"/>
    <w:rsid w:val="00552C8C"/>
    <w:rsid w:val="005A04E3"/>
    <w:rsid w:val="005B2394"/>
    <w:rsid w:val="005C27B2"/>
    <w:rsid w:val="005D027B"/>
    <w:rsid w:val="005E3C08"/>
    <w:rsid w:val="005F77B2"/>
    <w:rsid w:val="00600FF3"/>
    <w:rsid w:val="00606643"/>
    <w:rsid w:val="00634380"/>
    <w:rsid w:val="00652815"/>
    <w:rsid w:val="00652F03"/>
    <w:rsid w:val="0065767F"/>
    <w:rsid w:val="006644D2"/>
    <w:rsid w:val="00672649"/>
    <w:rsid w:val="006C07A0"/>
    <w:rsid w:val="006C4672"/>
    <w:rsid w:val="006D4343"/>
    <w:rsid w:val="006E4A22"/>
    <w:rsid w:val="00735209"/>
    <w:rsid w:val="00754012"/>
    <w:rsid w:val="00762B78"/>
    <w:rsid w:val="00776F95"/>
    <w:rsid w:val="0079298E"/>
    <w:rsid w:val="007A7C6B"/>
    <w:rsid w:val="007C0C08"/>
    <w:rsid w:val="007C384B"/>
    <w:rsid w:val="007D0A62"/>
    <w:rsid w:val="007E5E18"/>
    <w:rsid w:val="00814940"/>
    <w:rsid w:val="008422F7"/>
    <w:rsid w:val="00857798"/>
    <w:rsid w:val="008648EC"/>
    <w:rsid w:val="0088414F"/>
    <w:rsid w:val="00891065"/>
    <w:rsid w:val="0089742D"/>
    <w:rsid w:val="008E748B"/>
    <w:rsid w:val="0090379E"/>
    <w:rsid w:val="00930806"/>
    <w:rsid w:val="00943EFC"/>
    <w:rsid w:val="00A763C4"/>
    <w:rsid w:val="00A8218E"/>
    <w:rsid w:val="00A86E18"/>
    <w:rsid w:val="00AD5C20"/>
    <w:rsid w:val="00B013D3"/>
    <w:rsid w:val="00B317D6"/>
    <w:rsid w:val="00BA69C6"/>
    <w:rsid w:val="00BC70AB"/>
    <w:rsid w:val="00BE6F09"/>
    <w:rsid w:val="00BF5EA7"/>
    <w:rsid w:val="00C10DE7"/>
    <w:rsid w:val="00C60EB7"/>
    <w:rsid w:val="00C74001"/>
    <w:rsid w:val="00C91B1F"/>
    <w:rsid w:val="00CB3BB5"/>
    <w:rsid w:val="00CD1EDD"/>
    <w:rsid w:val="00CD519F"/>
    <w:rsid w:val="00CD6DB0"/>
    <w:rsid w:val="00CF04FF"/>
    <w:rsid w:val="00D1529E"/>
    <w:rsid w:val="00D632A4"/>
    <w:rsid w:val="00D66227"/>
    <w:rsid w:val="00D901A8"/>
    <w:rsid w:val="00DA4343"/>
    <w:rsid w:val="00DD7501"/>
    <w:rsid w:val="00E05E11"/>
    <w:rsid w:val="00E15664"/>
    <w:rsid w:val="00EC7C36"/>
    <w:rsid w:val="00ED1A36"/>
    <w:rsid w:val="00F63F48"/>
    <w:rsid w:val="00F65D3A"/>
    <w:rsid w:val="00FE52BC"/>
    <w:rsid w:val="00FF5226"/>
    <w:rsid w:val="00FF6C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65D3A"/>
    <w:pPr>
      <w:widowControl w:val="0"/>
    </w:pPr>
    <w:rPr>
      <w:rFonts w:ascii="宋体"/>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65D3A"/>
    <w:rPr>
      <w:color w:val="0000FF"/>
      <w:u w:val="single"/>
    </w:rPr>
  </w:style>
  <w:style w:type="paragraph" w:styleId="a4">
    <w:name w:val="Normal Indent"/>
    <w:rsid w:val="00F65D3A"/>
    <w:pPr>
      <w:widowControl w:val="0"/>
      <w:ind w:firstLineChars="200" w:firstLine="200"/>
      <w:jc w:val="both"/>
    </w:pPr>
    <w:rPr>
      <w:kern w:val="2"/>
      <w:sz w:val="32"/>
      <w:szCs w:val="32"/>
    </w:rPr>
  </w:style>
  <w:style w:type="paragraph" w:customStyle="1" w:styleId="18">
    <w:name w:val="样式18"/>
    <w:rsid w:val="00F65D3A"/>
    <w:pPr>
      <w:adjustRightInd w:val="0"/>
      <w:snapToGrid w:val="0"/>
      <w:spacing w:line="460" w:lineRule="exact"/>
      <w:ind w:firstLineChars="218" w:firstLine="218"/>
    </w:pPr>
    <w:rPr>
      <w:sz w:val="26"/>
      <w:szCs w:val="26"/>
    </w:rPr>
  </w:style>
  <w:style w:type="paragraph" w:styleId="a5">
    <w:name w:val="header"/>
    <w:basedOn w:val="a"/>
    <w:link w:val="Char"/>
    <w:uiPriority w:val="99"/>
    <w:semiHidden/>
    <w:unhideWhenUsed/>
    <w:rsid w:val="002E28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E28E1"/>
    <w:rPr>
      <w:rFonts w:ascii="宋体"/>
      <w:kern w:val="2"/>
      <w:sz w:val="18"/>
      <w:szCs w:val="18"/>
    </w:rPr>
  </w:style>
  <w:style w:type="paragraph" w:styleId="a6">
    <w:name w:val="footer"/>
    <w:basedOn w:val="a"/>
    <w:link w:val="Char0"/>
    <w:uiPriority w:val="99"/>
    <w:semiHidden/>
    <w:unhideWhenUsed/>
    <w:rsid w:val="002E28E1"/>
    <w:pPr>
      <w:tabs>
        <w:tab w:val="center" w:pos="4153"/>
        <w:tab w:val="right" w:pos="8306"/>
      </w:tabs>
      <w:snapToGrid w:val="0"/>
    </w:pPr>
    <w:rPr>
      <w:sz w:val="18"/>
      <w:szCs w:val="18"/>
    </w:rPr>
  </w:style>
  <w:style w:type="character" w:customStyle="1" w:styleId="Char0">
    <w:name w:val="页脚 Char"/>
    <w:basedOn w:val="a0"/>
    <w:link w:val="a6"/>
    <w:uiPriority w:val="99"/>
    <w:semiHidden/>
    <w:rsid w:val="002E28E1"/>
    <w:rPr>
      <w:rFonts w:ascii="宋体"/>
      <w:kern w:val="2"/>
      <w:sz w:val="18"/>
      <w:szCs w:val="18"/>
    </w:rPr>
  </w:style>
  <w:style w:type="paragraph" w:styleId="a7">
    <w:name w:val="List Paragraph"/>
    <w:basedOn w:val="a"/>
    <w:uiPriority w:val="34"/>
    <w:qFormat/>
    <w:rsid w:val="00CD1EDD"/>
    <w:pPr>
      <w:ind w:firstLineChars="200" w:firstLine="420"/>
    </w:pPr>
  </w:style>
  <w:style w:type="paragraph" w:customStyle="1" w:styleId="0">
    <w:name w:val="0正文"/>
    <w:basedOn w:val="a"/>
    <w:link w:val="0Char"/>
    <w:qFormat/>
    <w:rsid w:val="0079298E"/>
    <w:pPr>
      <w:adjustRightInd w:val="0"/>
      <w:snapToGrid w:val="0"/>
      <w:spacing w:line="460" w:lineRule="exact"/>
      <w:ind w:firstLineChars="200" w:firstLine="200"/>
    </w:pPr>
    <w:rPr>
      <w:rFonts w:ascii="Times New Roman"/>
      <w:color w:val="000000"/>
      <w:sz w:val="26"/>
      <w:szCs w:val="26"/>
    </w:rPr>
  </w:style>
  <w:style w:type="character" w:customStyle="1" w:styleId="0Char">
    <w:name w:val="0正文 Char"/>
    <w:link w:val="0"/>
    <w:qFormat/>
    <w:rsid w:val="0079298E"/>
    <w:rPr>
      <w:color w:val="000000"/>
      <w:kern w:val="2"/>
      <w:sz w:val="26"/>
      <w:szCs w:val="26"/>
    </w:rPr>
  </w:style>
  <w:style w:type="paragraph" w:styleId="a8">
    <w:name w:val="Normal (Web)"/>
    <w:basedOn w:val="a"/>
    <w:rsid w:val="006D4343"/>
    <w:pPr>
      <w:spacing w:before="100" w:beforeAutospacing="1" w:after="100" w:afterAutospacing="1"/>
    </w:pPr>
    <w:rPr>
      <w:rFonts w:ascii="Calibri" w:hAnsi="Calibri"/>
      <w:kern w:val="0"/>
      <w:szCs w:val="24"/>
    </w:rPr>
  </w:style>
  <w:style w:type="paragraph" w:customStyle="1" w:styleId="Style3">
    <w:name w:val="_Style 3"/>
    <w:basedOn w:val="a"/>
    <w:rsid w:val="006D4343"/>
    <w:pPr>
      <w:widowControl/>
      <w:spacing w:after="160" w:line="240" w:lineRule="exact"/>
    </w:pPr>
    <w:rPr>
      <w:rFonts w:ascii="Verdana" w:eastAsia="仿宋_GB2312" w:hAnsi="Verdana"/>
      <w:kern w:val="0"/>
      <w:szCs w:val="20"/>
      <w:lang w:eastAsia="en-US"/>
    </w:rPr>
  </w:style>
  <w:style w:type="paragraph" w:customStyle="1" w:styleId="CharChar2">
    <w:name w:val="Char Char2"/>
    <w:basedOn w:val="a"/>
    <w:rsid w:val="007A7C6B"/>
    <w:pPr>
      <w:widowControl/>
      <w:spacing w:after="160" w:line="240" w:lineRule="exact"/>
    </w:pPr>
    <w:rPr>
      <w:rFonts w:ascii="Verdana" w:eastAsia="仿宋_GB2312" w:hAnsi="Verdana"/>
      <w:kern w:val="0"/>
      <w:szCs w:val="20"/>
      <w:lang w:eastAsia="en-US"/>
    </w:rPr>
  </w:style>
  <w:style w:type="paragraph" w:customStyle="1" w:styleId="tb">
    <w:name w:val="tb"/>
    <w:basedOn w:val="a"/>
    <w:rsid w:val="00C10DE7"/>
    <w:pPr>
      <w:spacing w:line="400" w:lineRule="atLeast"/>
      <w:jc w:val="both"/>
    </w:pPr>
    <w:rPr>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FL72899987@163.com%EF%BC%8C%E4%BC%A0%E7%9C%9F%EF%BC%9A7289996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0539E-73EA-4D59-8739-086A4A164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2</Pages>
  <Words>215</Words>
  <Characters>1227</Characters>
  <Application>Microsoft Office Word</Application>
  <DocSecurity>0</DocSecurity>
  <Lines>10</Lines>
  <Paragraphs>2</Paragraphs>
  <ScaleCrop>false</ScaleCrop>
  <Company>China</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涪陵区_涪陵区办公室_苏娟</cp:lastModifiedBy>
  <cp:revision>22</cp:revision>
  <dcterms:created xsi:type="dcterms:W3CDTF">2008-09-11T17:20:00Z</dcterms:created>
  <dcterms:modified xsi:type="dcterms:W3CDTF">2023-06-20T03:15:00Z</dcterms:modified>
</cp:coreProperties>
</file>