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0" w:firstLineChars="0"/>
        <w:jc w:val="center"/>
        <w:rPr>
          <w:rFonts w:ascii="方正北魏楷书简体" w:eastAsia="方正北魏楷书简体"/>
          <w:bCs/>
          <w:color w:val="000000" w:themeColor="text1"/>
          <w:sz w:val="46"/>
          <w:szCs w:val="44"/>
          <w14:textFill>
            <w14:solidFill>
              <w14:schemeClr w14:val="tx1"/>
            </w14:solidFill>
          </w14:textFill>
        </w:rPr>
      </w:pPr>
      <w:bookmarkStart w:id="0" w:name="_Hlk99722710"/>
    </w:p>
    <w:p>
      <w:pPr>
        <w:spacing w:line="360" w:lineRule="auto"/>
        <w:ind w:firstLine="0" w:firstLineChars="0"/>
        <w:jc w:val="center"/>
        <w:rPr>
          <w:rFonts w:ascii="方正北魏楷书简体" w:eastAsia="方正北魏楷书简体"/>
          <w:bCs/>
          <w:color w:val="000000" w:themeColor="text1"/>
          <w:sz w:val="46"/>
          <w:szCs w:val="44"/>
          <w14:textFill>
            <w14:solidFill>
              <w14:schemeClr w14:val="tx1"/>
            </w14:solidFill>
          </w14:textFill>
        </w:rPr>
      </w:pPr>
      <w:r>
        <w:rPr>
          <w:rFonts w:hint="eastAsia" w:ascii="方正北魏楷书简体" w:eastAsia="方正北魏楷书简体"/>
          <w:bCs/>
          <w:color w:val="000000" w:themeColor="text1"/>
          <w:sz w:val="46"/>
          <w:szCs w:val="44"/>
          <w14:textFill>
            <w14:solidFill>
              <w14:schemeClr w14:val="tx1"/>
            </w14:solidFill>
          </w14:textFill>
        </w:rPr>
        <w:t>重庆陕渝临港热电有限公司</w:t>
      </w:r>
    </w:p>
    <w:p>
      <w:pPr>
        <w:spacing w:line="360" w:lineRule="auto"/>
        <w:ind w:firstLine="0" w:firstLineChars="0"/>
        <w:jc w:val="center"/>
        <w:rPr>
          <w:rFonts w:ascii="方正北魏楷书简体" w:eastAsia="方正北魏楷书简体"/>
          <w:b/>
          <w:bCs/>
          <w:color w:val="000000" w:themeColor="text1"/>
          <w:sz w:val="52"/>
          <w:szCs w:val="52"/>
          <w14:textFill>
            <w14:solidFill>
              <w14:schemeClr w14:val="tx1"/>
            </w14:solidFill>
          </w14:textFill>
        </w:rPr>
      </w:pPr>
      <w:r>
        <w:rPr>
          <w:rFonts w:hint="eastAsia" w:ascii="方正北魏楷书简体" w:eastAsia="方正北魏楷书简体"/>
          <w:b/>
          <w:bCs/>
          <w:color w:val="000000" w:themeColor="text1"/>
          <w:sz w:val="48"/>
          <w:szCs w:val="48"/>
          <w14:textFill>
            <w14:solidFill>
              <w14:schemeClr w14:val="tx1"/>
            </w14:solidFill>
          </w14:textFill>
        </w:rPr>
        <w:t>涪陵太极制药醇沉药渣焚烧处置项目</w:t>
      </w:r>
    </w:p>
    <w:p>
      <w:pPr>
        <w:spacing w:line="360" w:lineRule="auto"/>
        <w:ind w:firstLine="0" w:firstLineChars="0"/>
        <w:jc w:val="center"/>
        <w:rPr>
          <w:rFonts w:ascii="方正北魏楷书简体" w:eastAsia="方正北魏楷书简体"/>
          <w:b/>
          <w:bCs/>
          <w:color w:val="000000" w:themeColor="text1"/>
          <w:sz w:val="52"/>
          <w:szCs w:val="52"/>
          <w14:textFill>
            <w14:solidFill>
              <w14:schemeClr w14:val="tx1"/>
            </w14:solidFill>
          </w14:textFill>
        </w:rPr>
      </w:pPr>
      <w:r>
        <w:rPr>
          <w:rFonts w:hint="eastAsia" w:ascii="方正北魏楷书简体" w:eastAsia="方正北魏楷书简体"/>
          <w:b/>
          <w:color w:val="000000" w:themeColor="text1"/>
          <w:spacing w:val="-20"/>
          <w:sz w:val="52"/>
          <w:szCs w:val="52"/>
          <w14:textFill>
            <w14:solidFill>
              <w14:schemeClr w14:val="tx1"/>
            </w14:solidFill>
          </w14:textFill>
        </w:rPr>
        <w:t>环境影响报告书</w:t>
      </w:r>
    </w:p>
    <w:p>
      <w:pPr>
        <w:spacing w:before="32" w:line="240" w:lineRule="auto"/>
        <w:ind w:firstLine="0" w:firstLineChars="0"/>
        <w:jc w:val="center"/>
        <w:rPr>
          <w:rFonts w:ascii="黑体" w:eastAsia="黑体"/>
          <w:color w:val="000000" w:themeColor="text1"/>
          <w:sz w:val="32"/>
          <w14:textFill>
            <w14:solidFill>
              <w14:schemeClr w14:val="tx1"/>
            </w14:solidFill>
          </w14:textFill>
        </w:rPr>
      </w:pPr>
    </w:p>
    <w:p>
      <w:pPr>
        <w:spacing w:before="32" w:line="240" w:lineRule="auto"/>
        <w:ind w:firstLine="0" w:firstLineChars="0"/>
        <w:jc w:val="center"/>
        <w:rPr>
          <w:rFonts w:ascii="黑体" w:eastAsia="黑体"/>
          <w:color w:val="000000" w:themeColor="text1"/>
          <w:sz w:val="36"/>
          <w14:textFill>
            <w14:solidFill>
              <w14:schemeClr w14:val="tx1"/>
            </w14:solidFill>
          </w14:textFill>
        </w:rPr>
      </w:pPr>
      <w:r>
        <w:rPr>
          <w:rFonts w:hint="eastAsia" w:ascii="黑体" w:eastAsia="黑体"/>
          <w:color w:val="000000" w:themeColor="text1"/>
          <w:sz w:val="36"/>
          <w14:textFill>
            <w14:solidFill>
              <w14:schemeClr w14:val="tx1"/>
            </w14:solidFill>
          </w14:textFill>
        </w:rPr>
        <w:t>（公示版</w:t>
      </w:r>
      <w:r>
        <w:rPr>
          <w:rFonts w:hint="eastAsia" w:ascii="黑体" w:eastAsia="黑体"/>
          <w:color w:val="000000" w:themeColor="text1"/>
          <w:sz w:val="36"/>
          <w:lang w:eastAsia="zh-CN"/>
          <w14:textFill>
            <w14:solidFill>
              <w14:schemeClr w14:val="tx1"/>
            </w14:solidFill>
          </w14:textFill>
        </w:rPr>
        <w:t>）</w:t>
      </w:r>
    </w:p>
    <w:p>
      <w:pPr>
        <w:spacing w:before="312" w:beforeLines="100"/>
        <w:ind w:firstLine="0" w:firstLineChars="0"/>
        <w:jc w:val="center"/>
        <w:rPr>
          <w:rFonts w:eastAsia="仿宋_GB2312"/>
          <w:color w:val="000000" w:themeColor="text1"/>
          <w14:textFill>
            <w14:solidFill>
              <w14:schemeClr w14:val="tx1"/>
            </w14:solidFill>
          </w14:textFill>
        </w:rPr>
      </w:pPr>
    </w:p>
    <w:p>
      <w:pPr>
        <w:spacing w:before="32"/>
        <w:ind w:firstLine="40"/>
        <w:jc w:val="center"/>
        <w:rPr>
          <w:rFonts w:ascii="方正北魏楷书简体" w:eastAsia="方正北魏楷书简体"/>
          <w:b/>
          <w:color w:val="000000" w:themeColor="text1"/>
          <w:sz w:val="2"/>
          <w:szCs w:val="44"/>
          <w14:textFill>
            <w14:solidFill>
              <w14:schemeClr w14:val="tx1"/>
            </w14:solidFill>
          </w14:textFill>
        </w:rPr>
      </w:pPr>
    </w:p>
    <w:p>
      <w:pPr>
        <w:spacing w:before="32"/>
        <w:ind w:firstLine="40"/>
        <w:jc w:val="center"/>
        <w:rPr>
          <w:rFonts w:ascii="方正北魏楷书简体" w:eastAsia="方正北魏楷书简体"/>
          <w:b/>
          <w:color w:val="000000" w:themeColor="text1"/>
          <w:sz w:val="2"/>
          <w:szCs w:val="44"/>
          <w14:textFill>
            <w14:solidFill>
              <w14:schemeClr w14:val="tx1"/>
            </w14:solidFill>
          </w14:textFill>
        </w:rPr>
      </w:pPr>
    </w:p>
    <w:p>
      <w:pPr>
        <w:spacing w:before="32"/>
        <w:ind w:firstLine="40"/>
        <w:jc w:val="center"/>
        <w:rPr>
          <w:rFonts w:ascii="方正北魏楷书简体" w:eastAsia="方正北魏楷书简体"/>
          <w:b/>
          <w:color w:val="000000" w:themeColor="text1"/>
          <w:sz w:val="2"/>
          <w:szCs w:val="44"/>
          <w14:textFill>
            <w14:solidFill>
              <w14:schemeClr w14:val="tx1"/>
            </w14:solidFill>
          </w14:textFill>
        </w:rPr>
      </w:pPr>
    </w:p>
    <w:p>
      <w:pPr>
        <w:spacing w:before="32"/>
        <w:ind w:firstLine="40"/>
        <w:jc w:val="center"/>
        <w:rPr>
          <w:rFonts w:ascii="方正北魏楷书简体" w:eastAsia="方正北魏楷书简体"/>
          <w:b/>
          <w:color w:val="000000" w:themeColor="text1"/>
          <w:sz w:val="2"/>
          <w:szCs w:val="44"/>
          <w14:textFill>
            <w14:solidFill>
              <w14:schemeClr w14:val="tx1"/>
            </w14:solidFill>
          </w14:textFill>
        </w:rPr>
      </w:pPr>
    </w:p>
    <w:p>
      <w:pPr>
        <w:spacing w:before="32"/>
        <w:ind w:firstLine="40"/>
        <w:jc w:val="center"/>
        <w:rPr>
          <w:rFonts w:ascii="方正北魏楷书简体" w:eastAsia="方正北魏楷书简体"/>
          <w:b/>
          <w:color w:val="000000" w:themeColor="text1"/>
          <w:sz w:val="2"/>
          <w:szCs w:val="44"/>
          <w14:textFill>
            <w14:solidFill>
              <w14:schemeClr w14:val="tx1"/>
            </w14:solidFill>
          </w14:textFill>
        </w:rPr>
      </w:pPr>
    </w:p>
    <w:p>
      <w:pPr>
        <w:spacing w:before="32"/>
        <w:ind w:firstLine="40"/>
        <w:jc w:val="center"/>
        <w:rPr>
          <w:rFonts w:ascii="方正北魏楷书简体" w:eastAsia="方正北魏楷书简体"/>
          <w:b/>
          <w:color w:val="000000" w:themeColor="text1"/>
          <w:sz w:val="2"/>
          <w:szCs w:val="44"/>
          <w14:textFill>
            <w14:solidFill>
              <w14:schemeClr w14:val="tx1"/>
            </w14:solidFill>
          </w14:textFill>
        </w:rPr>
      </w:pPr>
    </w:p>
    <w:p>
      <w:pPr>
        <w:spacing w:before="32"/>
        <w:ind w:firstLine="40"/>
        <w:jc w:val="center"/>
        <w:rPr>
          <w:rFonts w:ascii="方正北魏楷书简体" w:eastAsia="方正北魏楷书简体"/>
          <w:b/>
          <w:color w:val="000000" w:themeColor="text1"/>
          <w:sz w:val="2"/>
          <w:szCs w:val="44"/>
          <w14:textFill>
            <w14:solidFill>
              <w14:schemeClr w14:val="tx1"/>
            </w14:solidFill>
          </w14:textFill>
        </w:rPr>
      </w:pPr>
    </w:p>
    <w:p>
      <w:pPr>
        <w:spacing w:before="32"/>
        <w:ind w:firstLine="40"/>
        <w:jc w:val="center"/>
        <w:rPr>
          <w:rFonts w:ascii="方正北魏楷书简体" w:eastAsia="方正北魏楷书简体"/>
          <w:b/>
          <w:color w:val="000000" w:themeColor="text1"/>
          <w:sz w:val="2"/>
          <w:szCs w:val="44"/>
          <w14:textFill>
            <w14:solidFill>
              <w14:schemeClr w14:val="tx1"/>
            </w14:solidFill>
          </w14:textFill>
        </w:rPr>
      </w:pPr>
    </w:p>
    <w:p>
      <w:pPr>
        <w:spacing w:before="32"/>
        <w:ind w:firstLine="40"/>
        <w:jc w:val="center"/>
        <w:rPr>
          <w:rFonts w:ascii="方正北魏楷书简体" w:eastAsia="方正北魏楷书简体"/>
          <w:b/>
          <w:color w:val="000000" w:themeColor="text1"/>
          <w:sz w:val="2"/>
          <w:szCs w:val="44"/>
          <w14:textFill>
            <w14:solidFill>
              <w14:schemeClr w14:val="tx1"/>
            </w14:solidFill>
          </w14:textFill>
        </w:rPr>
      </w:pPr>
    </w:p>
    <w:p>
      <w:pPr>
        <w:spacing w:before="32"/>
        <w:ind w:firstLine="40"/>
        <w:jc w:val="center"/>
        <w:rPr>
          <w:rFonts w:ascii="方正北魏楷书简体" w:eastAsia="方正北魏楷书简体"/>
          <w:b/>
          <w:color w:val="000000" w:themeColor="text1"/>
          <w:sz w:val="2"/>
          <w:szCs w:val="44"/>
          <w14:textFill>
            <w14:solidFill>
              <w14:schemeClr w14:val="tx1"/>
            </w14:solidFill>
          </w14:textFill>
        </w:rPr>
      </w:pPr>
    </w:p>
    <w:p>
      <w:pPr>
        <w:spacing w:before="32"/>
        <w:ind w:firstLine="40"/>
        <w:jc w:val="center"/>
        <w:rPr>
          <w:rFonts w:ascii="方正北魏楷书简体" w:eastAsia="方正北魏楷书简体"/>
          <w:b/>
          <w:color w:val="000000" w:themeColor="text1"/>
          <w:sz w:val="2"/>
          <w:szCs w:val="44"/>
          <w14:textFill>
            <w14:solidFill>
              <w14:schemeClr w14:val="tx1"/>
            </w14:solidFill>
          </w14:textFill>
        </w:rPr>
      </w:pPr>
    </w:p>
    <w:p>
      <w:pPr>
        <w:spacing w:before="32"/>
        <w:ind w:firstLine="40"/>
        <w:jc w:val="center"/>
        <w:rPr>
          <w:rFonts w:ascii="方正北魏楷书简体" w:eastAsia="方正北魏楷书简体"/>
          <w:b/>
          <w:color w:val="000000" w:themeColor="text1"/>
          <w:sz w:val="2"/>
          <w:szCs w:val="44"/>
          <w14:textFill>
            <w14:solidFill>
              <w14:schemeClr w14:val="tx1"/>
            </w14:solidFill>
          </w14:textFill>
        </w:rPr>
      </w:pPr>
    </w:p>
    <w:p>
      <w:pPr>
        <w:spacing w:before="32"/>
        <w:ind w:firstLine="320"/>
        <w:jc w:val="center"/>
        <w:rPr>
          <w:rFonts w:ascii="方正北魏楷书简体" w:eastAsia="方正北魏楷书简体"/>
          <w:b/>
          <w:color w:val="000000" w:themeColor="text1"/>
          <w:sz w:val="2"/>
          <w:szCs w:val="44"/>
          <w14:textFill>
            <w14:solidFill>
              <w14:schemeClr w14:val="tx1"/>
            </w14:solidFill>
          </w14:textFill>
        </w:rPr>
      </w:pPr>
      <w:r>
        <w:rPr>
          <w:rFonts w:hint="eastAsia" w:ascii="黑体" w:eastAsia="黑体"/>
          <w:bCs/>
          <w:color w:val="000000" w:themeColor="text1"/>
          <w:sz w:val="16"/>
          <w:szCs w:val="21"/>
          <w14:textFill>
            <w14:solidFill>
              <w14:schemeClr w14:val="tx1"/>
            </w14:solidFill>
          </w14:textFill>
        </w:rPr>
        <w:drawing>
          <wp:anchor distT="0" distB="0" distL="114300" distR="114300" simplePos="0" relativeHeight="251659264" behindDoc="0" locked="0" layoutInCell="1" allowOverlap="1">
            <wp:simplePos x="0" y="0"/>
            <wp:positionH relativeFrom="column">
              <wp:posOffset>62230</wp:posOffset>
            </wp:positionH>
            <wp:positionV relativeFrom="paragraph">
              <wp:posOffset>306705</wp:posOffset>
            </wp:positionV>
            <wp:extent cx="648335" cy="437515"/>
            <wp:effectExtent l="1905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8" cstate="print">
                      <a:clrChange>
                        <a:clrFrom>
                          <a:srgbClr val="FFFFFF"/>
                        </a:clrFrom>
                        <a:clrTo>
                          <a:srgbClr val="FFFFFF">
                            <a:alpha val="0"/>
                          </a:srgbClr>
                        </a:clrTo>
                      </a:clrChange>
                    </a:blip>
                    <a:srcRect l="27348" t="22256" r="49107" b="52063"/>
                    <a:stretch>
                      <a:fillRect/>
                    </a:stretch>
                  </pic:blipFill>
                  <pic:spPr>
                    <a:xfrm>
                      <a:off x="0" y="0"/>
                      <a:ext cx="648335" cy="437515"/>
                    </a:xfrm>
                    <a:prstGeom prst="rect">
                      <a:avLst/>
                    </a:prstGeom>
                    <a:noFill/>
                    <a:ln w="9525">
                      <a:noFill/>
                      <a:miter lim="800000"/>
                      <a:headEnd/>
                      <a:tailEnd/>
                    </a:ln>
                  </pic:spPr>
                </pic:pic>
              </a:graphicData>
            </a:graphic>
          </wp:anchor>
        </w:drawing>
      </w:r>
    </w:p>
    <w:p>
      <w:pPr>
        <w:adjustRightInd/>
        <w:snapToGrid/>
        <w:spacing w:line="600" w:lineRule="exact"/>
        <w:ind w:left="1196" w:leftChars="460" w:firstLine="0" w:firstLineChars="0"/>
        <w:rPr>
          <w:rFonts w:ascii="黑体" w:eastAsia="黑体"/>
          <w:bCs/>
          <w:color w:val="000000" w:themeColor="text1"/>
          <w:sz w:val="36"/>
          <w:szCs w:val="36"/>
          <w14:textFill>
            <w14:solidFill>
              <w14:schemeClr w14:val="tx1"/>
            </w14:solidFill>
          </w14:textFill>
        </w:rPr>
      </w:pPr>
      <w:r>
        <w:rPr>
          <w:rFonts w:hint="eastAsia" w:ascii="黑体" w:eastAsia="黑体"/>
          <w:bCs/>
          <w:color w:val="000000" w:themeColor="text1"/>
          <w:sz w:val="36"/>
          <w:szCs w:val="36"/>
          <w14:textFill>
            <w14:solidFill>
              <w14:schemeClr w14:val="tx1"/>
            </w14:solidFill>
          </w14:textFill>
        </w:rPr>
        <w:t>中煤科工重庆设计研究院</w:t>
      </w:r>
      <w:r>
        <w:rPr>
          <w:rFonts w:hint="eastAsia" w:ascii="黑体" w:eastAsia="黑体"/>
          <w:bCs/>
          <w:color w:val="000000" w:themeColor="text1"/>
          <w:sz w:val="36"/>
          <w:szCs w:val="36"/>
          <w:lang w:eastAsia="zh-CN"/>
          <w14:textFill>
            <w14:solidFill>
              <w14:schemeClr w14:val="tx1"/>
            </w14:solidFill>
          </w14:textFill>
        </w:rPr>
        <w:t>（</w:t>
      </w:r>
      <w:r>
        <w:rPr>
          <w:rFonts w:hint="eastAsia" w:ascii="黑体" w:eastAsia="黑体"/>
          <w:bCs/>
          <w:color w:val="000000" w:themeColor="text1"/>
          <w:sz w:val="36"/>
          <w:szCs w:val="36"/>
          <w14:textFill>
            <w14:solidFill>
              <w14:schemeClr w14:val="tx1"/>
            </w14:solidFill>
          </w14:textFill>
        </w:rPr>
        <w:t>集团</w:t>
      </w:r>
      <w:r>
        <w:rPr>
          <w:rFonts w:hint="eastAsia" w:ascii="黑体" w:eastAsia="黑体"/>
          <w:bCs/>
          <w:color w:val="000000" w:themeColor="text1"/>
          <w:sz w:val="36"/>
          <w:szCs w:val="36"/>
          <w:lang w:eastAsia="zh-CN"/>
          <w14:textFill>
            <w14:solidFill>
              <w14:schemeClr w14:val="tx1"/>
            </w14:solidFill>
          </w14:textFill>
        </w:rPr>
        <w:t>）</w:t>
      </w:r>
      <w:r>
        <w:rPr>
          <w:rFonts w:hint="eastAsia" w:ascii="黑体" w:eastAsia="黑体"/>
          <w:bCs/>
          <w:color w:val="000000" w:themeColor="text1"/>
          <w:sz w:val="36"/>
          <w:szCs w:val="36"/>
          <w14:textFill>
            <w14:solidFill>
              <w14:schemeClr w14:val="tx1"/>
            </w14:solidFill>
          </w14:textFill>
        </w:rPr>
        <w:t>有限公司</w:t>
      </w:r>
    </w:p>
    <w:p>
      <w:pPr>
        <w:adjustRightInd/>
        <w:snapToGrid/>
        <w:spacing w:line="0" w:lineRule="atLeast"/>
        <w:ind w:left="1196" w:leftChars="460" w:firstLine="0" w:firstLineChars="0"/>
        <w:rPr>
          <w:rFonts w:ascii="方正北魏楷书简体" w:eastAsia="方正北魏楷书简体"/>
          <w:color w:val="000000" w:themeColor="text1"/>
          <w:sz w:val="36"/>
          <w:szCs w:val="36"/>
          <w14:textFill>
            <w14:solidFill>
              <w14:schemeClr w14:val="tx1"/>
            </w14:solidFill>
          </w14:textFill>
        </w:rPr>
      </w:pPr>
      <w:r>
        <w:rPr>
          <w:rFonts w:ascii="Eras Demi ITC" w:hAnsi="Eras Demi ITC"/>
          <w:bCs/>
          <w:color w:val="000000" w:themeColor="text1"/>
          <w:spacing w:val="21"/>
          <w:kern w:val="0"/>
          <w:sz w:val="22"/>
          <w14:textFill>
            <w14:solidFill>
              <w14:schemeClr w14:val="tx1"/>
            </w14:solidFill>
          </w14:textFill>
        </w:rPr>
        <w:t>CCTEG</w:t>
      </w:r>
      <w:r>
        <w:rPr>
          <w:rFonts w:hint="eastAsia" w:ascii="Eras Demi ITC" w:hAnsi="Eras Demi ITC"/>
          <w:bCs/>
          <w:color w:val="000000" w:themeColor="text1"/>
          <w:spacing w:val="21"/>
          <w:kern w:val="0"/>
          <w:sz w:val="22"/>
          <w14:textFill>
            <w14:solidFill>
              <w14:schemeClr w14:val="tx1"/>
            </w14:solidFill>
          </w14:textFill>
        </w:rPr>
        <w:t xml:space="preserve"> </w:t>
      </w:r>
      <w:r>
        <w:rPr>
          <w:rFonts w:ascii="Eras Demi ITC" w:hAnsi="Eras Demi ITC"/>
          <w:bCs/>
          <w:color w:val="000000" w:themeColor="text1"/>
          <w:spacing w:val="21"/>
          <w:kern w:val="0"/>
          <w:sz w:val="22"/>
          <w14:textFill>
            <w14:solidFill>
              <w14:schemeClr w14:val="tx1"/>
            </w14:solidFill>
          </w14:textFill>
        </w:rPr>
        <w:t>CHONGQING ENGINEERING(GROUP)CO.,LTD</w:t>
      </w:r>
      <w:r>
        <w:rPr>
          <w:rFonts w:ascii="Eras Demi ITC" w:hAnsi="Eras Demi ITC"/>
          <w:bCs/>
          <w:color w:val="000000" w:themeColor="text1"/>
          <w:spacing w:val="25"/>
          <w:kern w:val="0"/>
          <w:sz w:val="22"/>
          <w14:textFill>
            <w14:solidFill>
              <w14:schemeClr w14:val="tx1"/>
            </w14:solidFill>
          </w14:textFill>
        </w:rPr>
        <w:t>.</w:t>
      </w:r>
    </w:p>
    <w:p>
      <w:pPr>
        <w:spacing w:before="32"/>
        <w:ind w:firstLine="720"/>
        <w:jc w:val="center"/>
        <w:rPr>
          <w:rFonts w:ascii="方正北魏楷书简体" w:eastAsia="方正北魏楷书简体"/>
          <w:color w:val="000000" w:themeColor="text1"/>
          <w:sz w:val="36"/>
          <w:szCs w:val="36"/>
          <w14:textFill>
            <w14:solidFill>
              <w14:schemeClr w14:val="tx1"/>
            </w14:solidFill>
          </w14:textFill>
        </w:rPr>
      </w:pPr>
      <w:r>
        <w:rPr>
          <w:rFonts w:hint="eastAsia" w:ascii="方正北魏楷书简体" w:eastAsia="方正北魏楷书简体"/>
          <w:color w:val="000000" w:themeColor="text1"/>
          <w:sz w:val="36"/>
          <w:szCs w:val="36"/>
          <w:lang w:eastAsia="zh-CN"/>
          <w14:textFill>
            <w14:solidFill>
              <w14:schemeClr w14:val="tx1"/>
            </w14:solidFill>
          </w14:textFill>
        </w:rPr>
        <w:t>二〇</w:t>
      </w:r>
      <w:r>
        <w:rPr>
          <w:rFonts w:hint="eastAsia" w:ascii="方正北魏楷书简体" w:eastAsia="方正北魏楷书简体"/>
          <w:color w:val="000000" w:themeColor="text1"/>
          <w:sz w:val="36"/>
          <w:szCs w:val="36"/>
          <w14:textFill>
            <w14:solidFill>
              <w14:schemeClr w14:val="tx1"/>
            </w14:solidFill>
          </w14:textFill>
        </w:rPr>
        <w:t>二三年七月</w:t>
      </w:r>
      <w:bookmarkEnd w:id="0"/>
    </w:p>
    <w:p>
      <w:pPr>
        <w:spacing w:before="32" w:line="240" w:lineRule="auto"/>
        <w:ind w:firstLine="0" w:firstLineChars="0"/>
        <w:jc w:val="center"/>
        <w:rPr>
          <w:rFonts w:ascii="方正北魏楷书简体" w:eastAsia="方正北魏楷书简体"/>
          <w:color w:val="000000" w:themeColor="text1"/>
          <w:sz w:val="36"/>
          <w:szCs w:val="36"/>
          <w14:textFill>
            <w14:solidFill>
              <w14:schemeClr w14:val="tx1"/>
            </w14:solidFill>
          </w14:textFill>
        </w:rPr>
      </w:pPr>
      <w:r>
        <w:rPr>
          <w:rFonts w:hint="eastAsia" w:ascii="方正北魏楷书简体" w:eastAsia="方正北魏楷书简体"/>
          <w:color w:val="000000" w:themeColor="text1"/>
          <w:sz w:val="36"/>
          <w:szCs w:val="36"/>
          <w14:textFill>
            <w14:solidFill>
              <w14:schemeClr w14:val="tx1"/>
            </w14:solidFill>
          </w14:textFill>
        </w:rPr>
        <w:drawing>
          <wp:inline distT="0" distB="0" distL="114300" distR="114300">
            <wp:extent cx="5573395" cy="7878445"/>
            <wp:effectExtent l="0" t="0" r="1905" b="8255"/>
            <wp:docPr id="1" name="图片 1" descr="公示确认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示确认函"/>
                    <pic:cNvPicPr>
                      <a:picLocks noChangeAspect="1"/>
                    </pic:cNvPicPr>
                  </pic:nvPicPr>
                  <pic:blipFill>
                    <a:blip r:embed="rId29"/>
                    <a:stretch>
                      <a:fillRect/>
                    </a:stretch>
                  </pic:blipFill>
                  <pic:spPr>
                    <a:xfrm>
                      <a:off x="0" y="0"/>
                      <a:ext cx="5573395" cy="7878445"/>
                    </a:xfrm>
                    <a:prstGeom prst="rect">
                      <a:avLst/>
                    </a:prstGeom>
                  </pic:spPr>
                </pic:pic>
              </a:graphicData>
            </a:graphic>
          </wp:inline>
        </w:drawing>
      </w:r>
    </w:p>
    <w:p>
      <w:pPr>
        <w:spacing w:before="32" w:line="240" w:lineRule="auto"/>
        <w:ind w:firstLine="0" w:firstLineChars="0"/>
        <w:jc w:val="center"/>
        <w:rPr>
          <w:rFonts w:ascii="方正北魏楷书简体" w:eastAsia="方正北魏楷书简体"/>
          <w:color w:val="000000" w:themeColor="text1"/>
          <w:sz w:val="36"/>
          <w:szCs w:val="36"/>
          <w14:textFill>
            <w14:solidFill>
              <w14:schemeClr w14:val="tx1"/>
            </w14:solidFill>
          </w14:textFill>
        </w:rPr>
      </w:pPr>
      <w:r>
        <w:rPr>
          <w:rFonts w:hint="eastAsia" w:ascii="方正北魏楷书简体" w:eastAsia="方正北魏楷书简体"/>
          <w:color w:val="000000" w:themeColor="text1"/>
          <w:sz w:val="36"/>
          <w:szCs w:val="36"/>
          <w14:textFill>
            <w14:solidFill>
              <w14:schemeClr w14:val="tx1"/>
            </w14:solidFill>
          </w14:textFill>
        </w:rPr>
        <w:drawing>
          <wp:inline distT="0" distB="0" distL="114300" distR="114300">
            <wp:extent cx="5573395" cy="7878445"/>
            <wp:effectExtent l="0" t="0" r="1905" b="8255"/>
            <wp:docPr id="3" name="图片 3" descr="公示内容确认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公示内容确认表"/>
                    <pic:cNvPicPr>
                      <a:picLocks noChangeAspect="1"/>
                    </pic:cNvPicPr>
                  </pic:nvPicPr>
                  <pic:blipFill>
                    <a:blip r:embed="rId30"/>
                    <a:stretch>
                      <a:fillRect/>
                    </a:stretch>
                  </pic:blipFill>
                  <pic:spPr>
                    <a:xfrm>
                      <a:off x="0" y="0"/>
                      <a:ext cx="5573395" cy="7878445"/>
                    </a:xfrm>
                    <a:prstGeom prst="rect">
                      <a:avLst/>
                    </a:prstGeom>
                  </pic:spPr>
                </pic:pic>
              </a:graphicData>
            </a:graphic>
          </wp:inline>
        </w:drawing>
      </w:r>
    </w:p>
    <w:p>
      <w:pPr>
        <w:spacing w:before="32"/>
        <w:ind w:firstLine="520"/>
        <w:jc w:val="center"/>
        <w:rPr>
          <w:color w:val="000000" w:themeColor="text1"/>
          <w14:textFill>
            <w14:solidFill>
              <w14:schemeClr w14:val="tx1"/>
            </w14:solidFill>
          </w14:textFill>
        </w:rPr>
      </w:pPr>
    </w:p>
    <w:p>
      <w:pPr>
        <w:ind w:firstLine="520"/>
        <w:rPr>
          <w:color w:val="000000" w:themeColor="text1"/>
          <w14:textFill>
            <w14:solidFill>
              <w14:schemeClr w14:val="tx1"/>
            </w14:solidFill>
          </w14:textFill>
        </w:rPr>
      </w:pPr>
    </w:p>
    <w:p>
      <w:pPr>
        <w:ind w:firstLine="520"/>
        <w:rPr>
          <w:color w:val="000000" w:themeColor="text1"/>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701" w:header="851" w:footer="992" w:gutter="0"/>
          <w:cols w:space="425" w:num="1"/>
          <w:docGrid w:type="linesAndChars" w:linePitch="312" w:charSpace="0"/>
        </w:sectPr>
      </w:pPr>
    </w:p>
    <w:p>
      <w:pPr>
        <w:spacing w:before="120" w:after="240" w:line="560" w:lineRule="exact"/>
        <w:ind w:firstLine="0" w:firstLineChars="0"/>
        <w:jc w:val="center"/>
        <w:rPr>
          <w:color w:val="000000" w:themeColor="text1"/>
          <w14:textFill>
            <w14:solidFill>
              <w14:schemeClr w14:val="tx1"/>
            </w14:solidFill>
          </w14:textFill>
        </w:rPr>
      </w:pPr>
      <w:bookmarkStart w:id="1" w:name="_Toc46482271"/>
      <w:bookmarkStart w:id="2" w:name="_Toc46482349"/>
      <w:bookmarkStart w:id="3" w:name="_Toc11160360"/>
      <w:r>
        <w:rPr>
          <w:rFonts w:hint="eastAsia" w:ascii="黑体" w:hAnsi="黑体" w:eastAsia="黑体"/>
          <w:b/>
          <w:color w:val="000000" w:themeColor="text1"/>
          <w:sz w:val="36"/>
          <w:szCs w:val="36"/>
          <w14:textFill>
            <w14:solidFill>
              <w14:schemeClr w14:val="tx1"/>
            </w14:solidFill>
          </w14:textFill>
        </w:rPr>
        <w:t>目 录</w:t>
      </w:r>
      <w:bookmarkEnd w:id="1"/>
      <w:bookmarkEnd w:id="2"/>
      <w:bookmarkEnd w:id="3"/>
      <w:r>
        <w:rPr>
          <w:rFonts w:ascii="黑体" w:hAnsi="黑体" w:eastAsia="黑体"/>
          <w:b/>
          <w:color w:val="000000" w:themeColor="text1"/>
          <w:sz w:val="36"/>
          <w:szCs w:val="36"/>
          <w14:textFill>
            <w14:solidFill>
              <w14:schemeClr w14:val="tx1"/>
            </w14:solidFill>
          </w14:textFill>
        </w:rPr>
        <w:fldChar w:fldCharType="begin"/>
      </w:r>
      <w:r>
        <w:rPr>
          <w:rFonts w:ascii="黑体" w:hAnsi="黑体" w:eastAsia="黑体"/>
          <w:b/>
          <w:color w:val="000000" w:themeColor="text1"/>
          <w:sz w:val="36"/>
          <w:szCs w:val="36"/>
          <w14:textFill>
            <w14:solidFill>
              <w14:schemeClr w14:val="tx1"/>
            </w14:solidFill>
          </w14:textFill>
        </w:rPr>
        <w:instrText xml:space="preserve"> TOC \o "1-2" \h \z \u </w:instrText>
      </w:r>
      <w:r>
        <w:rPr>
          <w:rFonts w:ascii="黑体" w:hAnsi="黑体" w:eastAsia="黑体"/>
          <w:b/>
          <w:color w:val="000000" w:themeColor="text1"/>
          <w:sz w:val="36"/>
          <w:szCs w:val="36"/>
          <w14:textFill>
            <w14:solidFill>
              <w14:schemeClr w14:val="tx1"/>
            </w14:solidFill>
          </w14:textFill>
        </w:rPr>
        <w:fldChar w:fldCharType="separate"/>
      </w:r>
    </w:p>
    <w:p>
      <w:pPr>
        <w:pStyle w:val="29"/>
        <w:rPr>
          <w:rFonts w:asciiTheme="minorHAnsi" w:hAnsiTheme="minorHAnsi" w:eastAsiaTheme="minorEastAsia" w:cstheme="minorBidi"/>
          <w:b w:val="0"/>
          <w:color w:val="000000" w:themeColor="text1"/>
          <w:sz w:val="21"/>
          <w14:textFill>
            <w14:solidFill>
              <w14:schemeClr w14:val="tx1"/>
            </w14:solidFill>
          </w14:textFill>
        </w:rPr>
      </w:pPr>
      <w:r>
        <w:fldChar w:fldCharType="begin"/>
      </w:r>
      <w:r>
        <w:instrText xml:space="preserve"> HYPERLINK \l "_Toc109888229" </w:instrText>
      </w:r>
      <w:r>
        <w:fldChar w:fldCharType="separate"/>
      </w:r>
      <w:r>
        <w:rPr>
          <w:rStyle w:val="50"/>
          <w:color w:val="000000" w:themeColor="text1"/>
          <w14:textFill>
            <w14:solidFill>
              <w14:schemeClr w14:val="tx1"/>
            </w14:solidFill>
          </w14:textFill>
        </w:rPr>
        <w:t>概 述</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_Toc109888229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"_Toc109888230" </w:instrText>
      </w:r>
      <w:r>
        <w:fldChar w:fldCharType="separate"/>
      </w:r>
      <w:r>
        <w:rPr>
          <w:rStyle w:val="50"/>
          <w:color w:val="000000" w:themeColor="text1"/>
          <w14:textFill>
            <w14:solidFill>
              <w14:schemeClr w14:val="tx1"/>
            </w14:solidFill>
          </w14:textFill>
        </w:rPr>
        <w:t>一、 项目建设特点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"_Toc109888231" </w:instrText>
      </w:r>
      <w:r>
        <w:fldChar w:fldCharType="separate"/>
      </w:r>
      <w:r>
        <w:rPr>
          <w:rStyle w:val="50"/>
          <w:color w:val="000000" w:themeColor="text1"/>
          <w14:textFill>
            <w14:solidFill>
              <w14:schemeClr w14:val="tx1"/>
            </w14:solidFill>
          </w14:textFill>
        </w:rPr>
        <w:t>二、 环境影响评价工作过程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_Toc109888231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"_Toc109888232" </w:instrText>
      </w:r>
      <w:r>
        <w:fldChar w:fldCharType="separate"/>
      </w:r>
      <w:r>
        <w:rPr>
          <w:rStyle w:val="50"/>
          <w:color w:val="000000" w:themeColor="text1"/>
          <w14:textFill>
            <w14:solidFill>
              <w14:schemeClr w14:val="tx1"/>
            </w14:solidFill>
          </w14:textFill>
        </w:rPr>
        <w:t>三、 分析判定相关情况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_Toc109888232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"_Toc109888233" </w:instrText>
      </w:r>
      <w:r>
        <w:fldChar w:fldCharType="separate"/>
      </w:r>
      <w:r>
        <w:rPr>
          <w:rStyle w:val="50"/>
          <w:color w:val="000000" w:themeColor="text1"/>
          <w14:textFill>
            <w14:solidFill>
              <w14:schemeClr w14:val="tx1"/>
            </w14:solidFill>
          </w14:textFill>
        </w:rPr>
        <w:t>四、 关注的主要环境问题</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_Toc109888233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"_Toc109888234" </w:instrText>
      </w:r>
      <w:r>
        <w:fldChar w:fldCharType="separate"/>
      </w:r>
      <w:r>
        <w:rPr>
          <w:rStyle w:val="50"/>
          <w:color w:val="000000" w:themeColor="text1"/>
          <w14:textFill>
            <w14:solidFill>
              <w14:schemeClr w14:val="tx1"/>
            </w14:solidFill>
          </w14:textFill>
        </w:rPr>
        <w:t>五、 环境影响报告书主要结论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_Toc109888234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 w:val="0"/>
          <w:color w:val="000000" w:themeColor="text1"/>
          <w:sz w:val="21"/>
          <w14:textFill>
            <w14:solidFill>
              <w14:schemeClr w14:val="tx1"/>
            </w14:solidFill>
          </w14:textFill>
        </w:rPr>
      </w:pPr>
      <w:r>
        <w:fldChar w:fldCharType="begin"/>
      </w:r>
      <w:r>
        <w:instrText xml:space="preserve"> HYPERLINK \l "_Toc109888235" </w:instrText>
      </w:r>
      <w:r>
        <w:fldChar w:fldCharType="separate"/>
      </w:r>
      <w:r>
        <w:rPr>
          <w:rStyle w:val="50"/>
          <w:color w:val="000000" w:themeColor="text1"/>
          <w14:textFill>
            <w14:solidFill>
              <w14:schemeClr w14:val="tx1"/>
            </w14:solidFill>
          </w14:textFill>
        </w:rPr>
        <w:t>1</w:t>
      </w:r>
      <w:r>
        <w:rPr>
          <w:rFonts w:asciiTheme="minorHAnsi" w:hAnsiTheme="minorHAnsi" w:eastAsiaTheme="minorEastAsia" w:cstheme="minorBidi"/>
          <w:b w:val="0"/>
          <w:color w:val="000000" w:themeColor="text1"/>
          <w:sz w:val="21"/>
          <w14:textFill>
            <w14:solidFill>
              <w14:schemeClr w14:val="tx1"/>
            </w14:solidFill>
          </w14:textFill>
        </w:rPr>
        <w:tab/>
      </w:r>
      <w:r>
        <w:rPr>
          <w:rStyle w:val="50"/>
          <w:color w:val="000000" w:themeColor="text1"/>
          <w14:textFill>
            <w14:solidFill>
              <w14:schemeClr w14:val="tx1"/>
            </w14:solidFill>
          </w14:textFill>
        </w:rPr>
        <w:t>总 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_Toc109888235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"_Toc109888236" </w:instrText>
      </w:r>
      <w:r>
        <w:fldChar w:fldCharType="separate"/>
      </w:r>
      <w:r>
        <w:rPr>
          <w:rStyle w:val="50"/>
          <w:color w:val="000000" w:themeColor="text1"/>
          <w14:textFill>
            <w14:solidFill>
              <w14:schemeClr w14:val="tx1"/>
            </w14:solidFill>
          </w14:textFill>
        </w:rPr>
        <w:t>1.1 评价目的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_Toc109888236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"_Toc109888237" </w:instrText>
      </w:r>
      <w:r>
        <w:fldChar w:fldCharType="separate"/>
      </w:r>
      <w:r>
        <w:rPr>
          <w:rStyle w:val="50"/>
          <w:color w:val="000000" w:themeColor="text1"/>
          <w14:textFill>
            <w14:solidFill>
              <w14:schemeClr w14:val="tx1"/>
            </w14:solidFill>
          </w14:textFill>
        </w:rPr>
        <w:t>1.2</w:t>
      </w:r>
      <w:r>
        <w:rPr>
          <w:rStyle w:val="50"/>
          <w:color w:val="000000" w:themeColor="text1"/>
          <w:w w:val="95"/>
          <w14:textFill>
            <w14:solidFill>
              <w14:schemeClr w14:val="tx1"/>
            </w14:solidFill>
          </w14:textFill>
        </w:rPr>
        <w:t xml:space="preserve"> 编制依据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_Toc109888237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"_Toc109888238" </w:instrText>
      </w:r>
      <w:r>
        <w:fldChar w:fldCharType="separate"/>
      </w:r>
      <w:r>
        <w:rPr>
          <w:rStyle w:val="50"/>
          <w:color w:val="000000" w:themeColor="text1"/>
          <w14:textFill>
            <w14:solidFill>
              <w14:schemeClr w14:val="tx1"/>
            </w14:solidFill>
          </w14:textFill>
        </w:rPr>
        <w:t>1.3 评价原则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_Toc109888238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"_Toc109888239" </w:instrText>
      </w:r>
      <w:r>
        <w:fldChar w:fldCharType="separate"/>
      </w:r>
      <w:r>
        <w:rPr>
          <w:rStyle w:val="50"/>
          <w:color w:val="000000" w:themeColor="text1"/>
          <w14:textFill>
            <w14:solidFill>
              <w14:schemeClr w14:val="tx1"/>
            </w14:solidFill>
          </w14:textFill>
        </w:rPr>
        <w:t>1.4 评价总体构思</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_Toc109888239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"_Toc109888240" </w:instrText>
      </w:r>
      <w:r>
        <w:fldChar w:fldCharType="separate"/>
      </w:r>
      <w:r>
        <w:rPr>
          <w:rStyle w:val="50"/>
          <w:color w:val="000000" w:themeColor="text1"/>
          <w14:textFill>
            <w14:solidFill>
              <w14:schemeClr w14:val="tx1"/>
            </w14:solidFill>
          </w14:textFill>
        </w:rPr>
        <w:t>1.5 环境影响识别及评价因子筛选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_Toc109888240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"_Toc109888241" </w:instrText>
      </w:r>
      <w:r>
        <w:fldChar w:fldCharType="separate"/>
      </w:r>
      <w:r>
        <w:rPr>
          <w:rStyle w:val="50"/>
          <w:color w:val="000000" w:themeColor="text1"/>
          <w14:textFill>
            <w14:solidFill>
              <w14:schemeClr w14:val="tx1"/>
            </w14:solidFill>
          </w14:textFill>
        </w:rPr>
        <w:t>1.6 环境功能区划及评价标准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"_Toc109888242" </w:instrText>
      </w:r>
      <w:r>
        <w:fldChar w:fldCharType="separate"/>
      </w:r>
      <w:r>
        <w:rPr>
          <w:rStyle w:val="50"/>
          <w:color w:val="000000" w:themeColor="text1"/>
          <w14:textFill>
            <w14:solidFill>
              <w14:schemeClr w14:val="tx1"/>
            </w14:solidFill>
          </w14:textFill>
        </w:rPr>
        <w:t>1.7 评价工作等级与评价范围</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_Toc109888242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"_Toc109888243" </w:instrText>
      </w:r>
      <w:r>
        <w:fldChar w:fldCharType="separate"/>
      </w:r>
      <w:r>
        <w:rPr>
          <w:rStyle w:val="50"/>
          <w:color w:val="000000" w:themeColor="text1"/>
          <w14:textFill>
            <w14:solidFill>
              <w14:schemeClr w14:val="tx1"/>
            </w14:solidFill>
          </w14:textFill>
        </w:rPr>
        <w:t>1.8 主要环境保护目标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"_Toc109888244" </w:instrText>
      </w:r>
      <w:r>
        <w:fldChar w:fldCharType="separate"/>
      </w:r>
      <w:r>
        <w:rPr>
          <w:rStyle w:val="50"/>
          <w:color w:val="000000" w:themeColor="text1"/>
          <w14:textFill>
            <w14:solidFill>
              <w14:schemeClr w14:val="tx1"/>
            </w14:solidFill>
          </w14:textFill>
        </w:rPr>
        <w:t>1.9 相关政策、规划符合性及选址合理性分析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_Toc109888244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 w:val="0"/>
          <w:color w:val="000000" w:themeColor="text1"/>
          <w:sz w:val="21"/>
          <w14:textFill>
            <w14:solidFill>
              <w14:schemeClr w14:val="tx1"/>
            </w14:solidFill>
          </w14:textFill>
        </w:rPr>
      </w:pPr>
      <w:r>
        <w:fldChar w:fldCharType="begin"/>
      </w:r>
      <w:r>
        <w:instrText xml:space="preserve"> HYPERLINK \l "_Toc109888245" </w:instrText>
      </w:r>
      <w:r>
        <w:fldChar w:fldCharType="separate"/>
      </w:r>
      <w:r>
        <w:rPr>
          <w:rStyle w:val="50"/>
          <w:color w:val="000000" w:themeColor="text1"/>
          <w14:textFill>
            <w14:solidFill>
              <w14:schemeClr w14:val="tx1"/>
            </w14:solidFill>
          </w14:textFill>
        </w:rPr>
        <w:t>2</w:t>
      </w:r>
      <w:r>
        <w:rPr>
          <w:rFonts w:asciiTheme="minorHAnsi" w:hAnsiTheme="minorHAnsi" w:eastAsiaTheme="minorEastAsia" w:cstheme="minorBidi"/>
          <w:b w:val="0"/>
          <w:color w:val="000000" w:themeColor="text1"/>
          <w:sz w:val="21"/>
          <w14:textFill>
            <w14:solidFill>
              <w14:schemeClr w14:val="tx1"/>
            </w14:solidFill>
          </w14:textFill>
        </w:rPr>
        <w:tab/>
      </w:r>
      <w:r>
        <w:rPr>
          <w:rStyle w:val="50"/>
          <w:color w:val="000000" w:themeColor="text1"/>
          <w14:textFill>
            <w14:solidFill>
              <w14:schemeClr w14:val="tx1"/>
            </w14:solidFill>
          </w14:textFill>
        </w:rPr>
        <w:t>现有工程回顾性分析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_Toc109888245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"_Toc109888246" </w:instrText>
      </w:r>
      <w:r>
        <w:fldChar w:fldCharType="separate"/>
      </w:r>
      <w:r>
        <w:rPr>
          <w:rStyle w:val="50"/>
          <w:color w:val="000000" w:themeColor="text1"/>
          <w14:textFill>
            <w14:solidFill>
              <w14:schemeClr w14:val="tx1"/>
            </w14:solidFill>
          </w14:textFill>
        </w:rPr>
        <w:t>2.1 现有工程概况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_Toc109888246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"_Toc109888247" </w:instrText>
      </w:r>
      <w:r>
        <w:fldChar w:fldCharType="separate"/>
      </w:r>
      <w:r>
        <w:rPr>
          <w:rStyle w:val="50"/>
          <w:color w:val="000000" w:themeColor="text1"/>
          <w14:textFill>
            <w14:solidFill>
              <w14:schemeClr w14:val="tx1"/>
            </w14:solidFill>
          </w14:textFill>
        </w:rPr>
        <w:t>2.2 现有工程工艺流程及产排污环节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_Toc109888247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"_Toc109888248" </w:instrText>
      </w:r>
      <w:r>
        <w:fldChar w:fldCharType="separate"/>
      </w:r>
      <w:r>
        <w:rPr>
          <w:rStyle w:val="50"/>
          <w:color w:val="000000" w:themeColor="text1"/>
          <w14:textFill>
            <w14:solidFill>
              <w14:schemeClr w14:val="tx1"/>
            </w14:solidFill>
          </w14:textFill>
        </w:rPr>
        <w:t>2.3 污染物排放及达标分析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_Toc109888248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"_Toc109888249" </w:instrText>
      </w:r>
      <w:r>
        <w:fldChar w:fldCharType="separate"/>
      </w:r>
      <w:r>
        <w:rPr>
          <w:rStyle w:val="50"/>
          <w:color w:val="000000" w:themeColor="text1"/>
          <w14:textFill>
            <w14:solidFill>
              <w14:schemeClr w14:val="tx1"/>
            </w14:solidFill>
          </w14:textFill>
        </w:rPr>
        <w:t>2.4 主要环保问题及 “以新带老”措施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_Toc109888249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 w:val="0"/>
          <w:color w:val="000000" w:themeColor="text1"/>
          <w:sz w:val="21"/>
          <w14:textFill>
            <w14:solidFill>
              <w14:schemeClr w14:val="tx1"/>
            </w14:solidFill>
          </w14:textFill>
        </w:rPr>
      </w:pPr>
      <w:r>
        <w:fldChar w:fldCharType="begin"/>
      </w:r>
      <w:r>
        <w:instrText xml:space="preserve"> HYPERLINK \l "_Toc109888250" </w:instrText>
      </w:r>
      <w:r>
        <w:fldChar w:fldCharType="separate"/>
      </w:r>
      <w:r>
        <w:rPr>
          <w:rStyle w:val="50"/>
          <w:color w:val="000000" w:themeColor="text1"/>
          <w14:textFill>
            <w14:solidFill>
              <w14:schemeClr w14:val="tx1"/>
            </w14:solidFill>
          </w14:textFill>
        </w:rPr>
        <w:t>3</w:t>
      </w:r>
      <w:r>
        <w:rPr>
          <w:rFonts w:asciiTheme="minorHAnsi" w:hAnsiTheme="minorHAnsi" w:eastAsiaTheme="minorEastAsia" w:cstheme="minorBidi"/>
          <w:b w:val="0"/>
          <w:color w:val="000000" w:themeColor="text1"/>
          <w:sz w:val="21"/>
          <w14:textFill>
            <w14:solidFill>
              <w14:schemeClr w14:val="tx1"/>
            </w14:solidFill>
          </w14:textFill>
        </w:rPr>
        <w:tab/>
      </w:r>
      <w:r>
        <w:rPr>
          <w:rStyle w:val="50"/>
          <w:color w:val="000000" w:themeColor="text1"/>
          <w14:textFill>
            <w14:solidFill>
              <w14:schemeClr w14:val="tx1"/>
            </w14:solidFill>
          </w14:textFill>
        </w:rPr>
        <w:t>建设项目工程分析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_Toc109888250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"_Toc109888251" </w:instrText>
      </w:r>
      <w:r>
        <w:fldChar w:fldCharType="separate"/>
      </w:r>
      <w:r>
        <w:rPr>
          <w:rStyle w:val="50"/>
          <w:color w:val="000000" w:themeColor="text1"/>
          <w14:textFill>
            <w14:solidFill>
              <w14:schemeClr w14:val="tx1"/>
            </w14:solidFill>
          </w14:textFill>
        </w:rPr>
        <w:t>3.1 建设项目概况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_Toc109888251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"_Toc109888252" </w:instrText>
      </w:r>
      <w:r>
        <w:fldChar w:fldCharType="separate"/>
      </w:r>
      <w:r>
        <w:rPr>
          <w:rStyle w:val="50"/>
          <w:color w:val="000000" w:themeColor="text1"/>
          <w14:textFill>
            <w14:solidFill>
              <w14:schemeClr w14:val="tx1"/>
            </w14:solidFill>
          </w14:textFill>
        </w:rPr>
        <w:t>3.2 工艺流程与影响因素分析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_Toc109888252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"_Toc109888253" </w:instrText>
      </w:r>
      <w:r>
        <w:fldChar w:fldCharType="separate"/>
      </w:r>
      <w:r>
        <w:rPr>
          <w:rStyle w:val="50"/>
          <w:color w:val="000000" w:themeColor="text1"/>
          <w14:textFill>
            <w14:solidFill>
              <w14:schemeClr w14:val="tx1"/>
            </w14:solidFill>
          </w14:textFill>
        </w:rPr>
        <w:t>3.3 污染物源强核算</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"_Toc109888254" </w:instrText>
      </w:r>
      <w:r>
        <w:fldChar w:fldCharType="separate"/>
      </w:r>
      <w:r>
        <w:rPr>
          <w:rStyle w:val="50"/>
          <w:color w:val="000000" w:themeColor="text1"/>
          <w14:textFill>
            <w14:solidFill>
              <w14:schemeClr w14:val="tx1"/>
            </w14:solidFill>
          </w14:textFill>
        </w:rPr>
        <w:t>3.4 技改项目污染物排放汇总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_Toc109888254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"_Toc109888255" </w:instrText>
      </w:r>
      <w:r>
        <w:fldChar w:fldCharType="separate"/>
      </w:r>
      <w:r>
        <w:rPr>
          <w:rStyle w:val="50"/>
          <w:color w:val="000000" w:themeColor="text1"/>
          <w14:textFill>
            <w14:solidFill>
              <w14:schemeClr w14:val="tx1"/>
            </w14:solidFill>
          </w14:textFill>
        </w:rPr>
        <w:t>3.5 技改项目实施后污染物排放变化情况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_Toc109888255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"_Toc109888256" </w:instrText>
      </w:r>
      <w:r>
        <w:fldChar w:fldCharType="separate"/>
      </w:r>
      <w:r>
        <w:rPr>
          <w:rStyle w:val="50"/>
          <w:color w:val="000000" w:themeColor="text1"/>
          <w14:textFill>
            <w14:solidFill>
              <w14:schemeClr w14:val="tx1"/>
            </w14:solidFill>
          </w14:textFill>
        </w:rPr>
        <w:t>3.6 清洁生产分析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_Toc109888256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 w:val="0"/>
          <w:color w:val="000000" w:themeColor="text1"/>
          <w:sz w:val="21"/>
          <w14:textFill>
            <w14:solidFill>
              <w14:schemeClr w14:val="tx1"/>
            </w14:solidFill>
          </w14:textFill>
        </w:rPr>
      </w:pPr>
      <w:r>
        <w:fldChar w:fldCharType="begin"/>
      </w:r>
      <w:r>
        <w:instrText xml:space="preserve"> HYPERLINK \l "_Toc109888257" </w:instrText>
      </w:r>
      <w:r>
        <w:fldChar w:fldCharType="separate"/>
      </w:r>
      <w:r>
        <w:rPr>
          <w:rStyle w:val="50"/>
          <w:color w:val="000000" w:themeColor="text1"/>
          <w14:textFill>
            <w14:solidFill>
              <w14:schemeClr w14:val="tx1"/>
            </w14:solidFill>
          </w14:textFill>
        </w:rPr>
        <w:t>4</w:t>
      </w:r>
      <w:r>
        <w:rPr>
          <w:rFonts w:asciiTheme="minorHAnsi" w:hAnsiTheme="minorHAnsi" w:eastAsiaTheme="minorEastAsia" w:cstheme="minorBidi"/>
          <w:b w:val="0"/>
          <w:color w:val="000000" w:themeColor="text1"/>
          <w:sz w:val="21"/>
          <w14:textFill>
            <w14:solidFill>
              <w14:schemeClr w14:val="tx1"/>
            </w14:solidFill>
          </w14:textFill>
        </w:rPr>
        <w:tab/>
      </w:r>
      <w:r>
        <w:rPr>
          <w:rStyle w:val="50"/>
          <w:color w:val="000000" w:themeColor="text1"/>
          <w14:textFill>
            <w14:solidFill>
              <w14:schemeClr w14:val="tx1"/>
            </w14:solidFill>
          </w14:textFill>
        </w:rPr>
        <w:t>环境现状调查与评价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"_Toc109888258" </w:instrText>
      </w:r>
      <w:r>
        <w:fldChar w:fldCharType="separate"/>
      </w:r>
      <w:r>
        <w:rPr>
          <w:rStyle w:val="50"/>
          <w:color w:val="000000" w:themeColor="text1"/>
          <w14:textFill>
            <w14:solidFill>
              <w14:schemeClr w14:val="tx1"/>
            </w14:solidFill>
          </w14:textFill>
        </w:rPr>
        <w:t>4.1 自然环境现状调查与评价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"_Toc109888259" </w:instrText>
      </w:r>
      <w:r>
        <w:fldChar w:fldCharType="separate"/>
      </w:r>
      <w:r>
        <w:rPr>
          <w:rStyle w:val="50"/>
          <w:color w:val="000000" w:themeColor="text1"/>
          <w14:textFill>
            <w14:solidFill>
              <w14:schemeClr w14:val="tx1"/>
            </w14:solidFill>
          </w14:textFill>
        </w:rPr>
        <w:t>4.2 环境质量现状调查与评价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_Toc109888259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"_Toc109888260" </w:instrText>
      </w:r>
      <w:r>
        <w:fldChar w:fldCharType="separate"/>
      </w:r>
      <w:r>
        <w:rPr>
          <w:rStyle w:val="50"/>
          <w:color w:val="000000" w:themeColor="text1"/>
          <w14:textFill>
            <w14:solidFill>
              <w14:schemeClr w14:val="tx1"/>
            </w14:solidFill>
          </w14:textFill>
        </w:rPr>
        <w:t>4.3 项目所在园区建设情况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_Toc109888260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"_Toc109888261" </w:instrText>
      </w:r>
      <w:r>
        <w:fldChar w:fldCharType="separate"/>
      </w:r>
      <w:r>
        <w:rPr>
          <w:rStyle w:val="50"/>
          <w:color w:val="000000" w:themeColor="text1"/>
          <w14:textFill>
            <w14:solidFill>
              <w14:schemeClr w14:val="tx1"/>
            </w14:solidFill>
          </w14:textFill>
        </w:rPr>
        <w:t>4.4 区域污染源调查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 w:val="0"/>
          <w:color w:val="000000" w:themeColor="text1"/>
          <w:sz w:val="21"/>
          <w14:textFill>
            <w14:solidFill>
              <w14:schemeClr w14:val="tx1"/>
            </w14:solidFill>
          </w14:textFill>
        </w:rPr>
      </w:pPr>
      <w:r>
        <w:fldChar w:fldCharType="begin"/>
      </w:r>
      <w:r>
        <w:instrText xml:space="preserve"> HYPERLINK \l "_Toc109888262" </w:instrText>
      </w:r>
      <w:r>
        <w:fldChar w:fldCharType="separate"/>
      </w:r>
      <w:r>
        <w:rPr>
          <w:rStyle w:val="50"/>
          <w:color w:val="000000" w:themeColor="text1"/>
          <w14:textFill>
            <w14:solidFill>
              <w14:schemeClr w14:val="tx1"/>
            </w14:solidFill>
          </w14:textFill>
        </w:rPr>
        <w:t>5</w:t>
      </w:r>
      <w:r>
        <w:rPr>
          <w:rFonts w:asciiTheme="minorHAnsi" w:hAnsiTheme="minorHAnsi" w:eastAsiaTheme="minorEastAsia" w:cstheme="minorBidi"/>
          <w:b w:val="0"/>
          <w:color w:val="000000" w:themeColor="text1"/>
          <w:sz w:val="21"/>
          <w14:textFill>
            <w14:solidFill>
              <w14:schemeClr w14:val="tx1"/>
            </w14:solidFill>
          </w14:textFill>
        </w:rPr>
        <w:tab/>
      </w:r>
      <w:r>
        <w:rPr>
          <w:rStyle w:val="50"/>
          <w:color w:val="000000" w:themeColor="text1"/>
          <w14:textFill>
            <w14:solidFill>
              <w14:schemeClr w14:val="tx1"/>
            </w14:solidFill>
          </w14:textFill>
        </w:rPr>
        <w:t>环境影响预测与评价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_Toc109888262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"_Toc109888263" </w:instrText>
      </w:r>
      <w:r>
        <w:fldChar w:fldCharType="separate"/>
      </w:r>
      <w:r>
        <w:rPr>
          <w:rStyle w:val="50"/>
          <w:color w:val="000000" w:themeColor="text1"/>
          <w:lang w:val="zh-CN"/>
          <w14:textFill>
            <w14:solidFill>
              <w14:schemeClr w14:val="tx1"/>
            </w14:solidFill>
          </w14:textFill>
        </w:rPr>
        <w:t>5.1 施工期环境影响分析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_Toc109888263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"_Toc109888264" </w:instrText>
      </w:r>
      <w:r>
        <w:fldChar w:fldCharType="separate"/>
      </w:r>
      <w:r>
        <w:rPr>
          <w:rStyle w:val="50"/>
          <w:color w:val="000000" w:themeColor="text1"/>
          <w14:textFill>
            <w14:solidFill>
              <w14:schemeClr w14:val="tx1"/>
            </w14:solidFill>
          </w14:textFill>
        </w:rPr>
        <w:t>5.2 运营期环境影响分析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_Toc109888264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 w:val="0"/>
          <w:color w:val="000000" w:themeColor="text1"/>
          <w:sz w:val="21"/>
          <w14:textFill>
            <w14:solidFill>
              <w14:schemeClr w14:val="tx1"/>
            </w14:solidFill>
          </w14:textFill>
        </w:rPr>
      </w:pPr>
      <w:r>
        <w:fldChar w:fldCharType="begin"/>
      </w:r>
      <w:r>
        <w:instrText xml:space="preserve"> HYPERLINK \l "_Toc109888265" </w:instrText>
      </w:r>
      <w:r>
        <w:fldChar w:fldCharType="separate"/>
      </w:r>
      <w:r>
        <w:rPr>
          <w:rStyle w:val="50"/>
          <w:color w:val="000000" w:themeColor="text1"/>
          <w14:textFill>
            <w14:solidFill>
              <w14:schemeClr w14:val="tx1"/>
            </w14:solidFill>
          </w14:textFill>
        </w:rPr>
        <w:t>6</w:t>
      </w:r>
      <w:r>
        <w:rPr>
          <w:rFonts w:asciiTheme="minorHAnsi" w:hAnsiTheme="minorHAnsi" w:eastAsiaTheme="minorEastAsia" w:cstheme="minorBidi"/>
          <w:b w:val="0"/>
          <w:color w:val="000000" w:themeColor="text1"/>
          <w:sz w:val="21"/>
          <w14:textFill>
            <w14:solidFill>
              <w14:schemeClr w14:val="tx1"/>
            </w14:solidFill>
          </w14:textFill>
        </w:rPr>
        <w:tab/>
      </w:r>
      <w:r>
        <w:rPr>
          <w:rStyle w:val="50"/>
          <w:color w:val="000000" w:themeColor="text1"/>
          <w14:textFill>
            <w14:solidFill>
              <w14:schemeClr w14:val="tx1"/>
            </w14:solidFill>
          </w14:textFill>
        </w:rPr>
        <w:t>环境风险评价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_Toc109888265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"_Toc109888266" </w:instrText>
      </w:r>
      <w:r>
        <w:fldChar w:fldCharType="separate"/>
      </w:r>
      <w:r>
        <w:rPr>
          <w:rStyle w:val="50"/>
          <w:color w:val="000000" w:themeColor="text1"/>
          <w14:textFill>
            <w14:solidFill>
              <w14:schemeClr w14:val="tx1"/>
            </w14:solidFill>
          </w14:textFill>
        </w:rPr>
        <w:t>6.1 风险源调查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"_Toc109888267" </w:instrText>
      </w:r>
      <w:r>
        <w:fldChar w:fldCharType="separate"/>
      </w:r>
      <w:r>
        <w:rPr>
          <w:rStyle w:val="50"/>
          <w:color w:val="000000" w:themeColor="text1"/>
          <w14:textFill>
            <w14:solidFill>
              <w14:schemeClr w14:val="tx1"/>
            </w14:solidFill>
          </w14:textFill>
        </w:rPr>
        <w:t>6.2 风险潜势初判</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_Toc109888267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"_Toc109888268" </w:instrText>
      </w:r>
      <w:r>
        <w:fldChar w:fldCharType="separate"/>
      </w:r>
      <w:r>
        <w:rPr>
          <w:rStyle w:val="50"/>
          <w:color w:val="000000" w:themeColor="text1"/>
          <w14:textFill>
            <w14:solidFill>
              <w14:schemeClr w14:val="tx1"/>
            </w14:solidFill>
          </w14:textFill>
        </w:rPr>
        <w:t>6.3 环境风险识别</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_Toc109888268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"_Toc109888269" </w:instrText>
      </w:r>
      <w:r>
        <w:fldChar w:fldCharType="separate"/>
      </w:r>
      <w:r>
        <w:rPr>
          <w:rStyle w:val="50"/>
          <w:color w:val="000000" w:themeColor="text1"/>
          <w14:textFill>
            <w14:solidFill>
              <w14:schemeClr w14:val="tx1"/>
            </w14:solidFill>
          </w14:textFill>
        </w:rPr>
        <w:t>6.4 可能影响环境的途径和环境风险分析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_Toc109888269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"_Toc109888270" </w:instrText>
      </w:r>
      <w:r>
        <w:fldChar w:fldCharType="separate"/>
      </w:r>
      <w:r>
        <w:rPr>
          <w:rStyle w:val="50"/>
          <w:color w:val="000000" w:themeColor="text1"/>
          <w14:textFill>
            <w14:solidFill>
              <w14:schemeClr w14:val="tx1"/>
            </w14:solidFill>
          </w14:textFill>
        </w:rPr>
        <w:t>6.5 环境风险防范措施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"_Toc109888271" </w:instrText>
      </w:r>
      <w:r>
        <w:fldChar w:fldCharType="separate"/>
      </w:r>
      <w:r>
        <w:rPr>
          <w:rStyle w:val="50"/>
          <w:color w:val="000000" w:themeColor="text1"/>
          <w14:textFill>
            <w14:solidFill>
              <w14:schemeClr w14:val="tx1"/>
            </w14:solidFill>
          </w14:textFill>
        </w:rPr>
        <w:t>6.6 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_Toc109888271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 w:val="0"/>
          <w:color w:val="000000" w:themeColor="text1"/>
          <w:sz w:val="21"/>
          <w14:textFill>
            <w14:solidFill>
              <w14:schemeClr w14:val="tx1"/>
            </w14:solidFill>
          </w14:textFill>
        </w:rPr>
      </w:pPr>
      <w:r>
        <w:fldChar w:fldCharType="begin"/>
      </w:r>
      <w:r>
        <w:instrText xml:space="preserve"> HYPERLINK \l "_Toc109888272" </w:instrText>
      </w:r>
      <w:r>
        <w:fldChar w:fldCharType="separate"/>
      </w:r>
      <w:r>
        <w:rPr>
          <w:rStyle w:val="50"/>
          <w:color w:val="000000" w:themeColor="text1"/>
          <w14:textFill>
            <w14:solidFill>
              <w14:schemeClr w14:val="tx1"/>
            </w14:solidFill>
          </w14:textFill>
        </w:rPr>
        <w:t>7</w:t>
      </w:r>
      <w:r>
        <w:rPr>
          <w:rFonts w:asciiTheme="minorHAnsi" w:hAnsiTheme="minorHAnsi" w:eastAsiaTheme="minorEastAsia" w:cstheme="minorBidi"/>
          <w:b w:val="0"/>
          <w:color w:val="000000" w:themeColor="text1"/>
          <w:sz w:val="21"/>
          <w14:textFill>
            <w14:solidFill>
              <w14:schemeClr w14:val="tx1"/>
            </w14:solidFill>
          </w14:textFill>
        </w:rPr>
        <w:tab/>
      </w:r>
      <w:r>
        <w:rPr>
          <w:rStyle w:val="50"/>
          <w:color w:val="000000" w:themeColor="text1"/>
          <w14:textFill>
            <w14:solidFill>
              <w14:schemeClr w14:val="tx1"/>
            </w14:solidFill>
          </w14:textFill>
        </w:rPr>
        <w:t>环境保护措施及其可行性论证</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_Toc109888272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"_Toc109888273" </w:instrText>
      </w:r>
      <w:r>
        <w:fldChar w:fldCharType="separate"/>
      </w:r>
      <w:r>
        <w:rPr>
          <w:rStyle w:val="50"/>
          <w:color w:val="000000" w:themeColor="text1"/>
          <w14:textFill>
            <w14:solidFill>
              <w14:schemeClr w14:val="tx1"/>
            </w14:solidFill>
          </w14:textFill>
        </w:rPr>
        <w:t>7.1 废气污染防治措施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_Toc109888273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"_Toc109888274" </w:instrText>
      </w:r>
      <w:r>
        <w:fldChar w:fldCharType="separate"/>
      </w:r>
      <w:r>
        <w:rPr>
          <w:rStyle w:val="50"/>
          <w:color w:val="000000" w:themeColor="text1"/>
          <w14:textFill>
            <w14:solidFill>
              <w14:schemeClr w14:val="tx1"/>
            </w14:solidFill>
          </w14:textFill>
        </w:rPr>
        <w:t>7.2 废水污染防治措施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_Toc109888274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"_Toc109888275" </w:instrText>
      </w:r>
      <w:r>
        <w:fldChar w:fldCharType="separate"/>
      </w:r>
      <w:r>
        <w:rPr>
          <w:rStyle w:val="50"/>
          <w:color w:val="000000" w:themeColor="text1"/>
          <w14:textFill>
            <w14:solidFill>
              <w14:schemeClr w14:val="tx1"/>
            </w14:solidFill>
          </w14:textFill>
        </w:rPr>
        <w:t>7.3 噪声污染防治措施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"_Toc109888276" </w:instrText>
      </w:r>
      <w:r>
        <w:fldChar w:fldCharType="separate"/>
      </w:r>
      <w:r>
        <w:rPr>
          <w:rStyle w:val="50"/>
          <w:color w:val="000000" w:themeColor="text1"/>
          <w14:textFill>
            <w14:solidFill>
              <w14:schemeClr w14:val="tx1"/>
            </w14:solidFill>
          </w14:textFill>
        </w:rPr>
        <w:t>7.4 固体废物污染防治措施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_Toc109888276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"_Toc109888277" </w:instrText>
      </w:r>
      <w:r>
        <w:fldChar w:fldCharType="separate"/>
      </w:r>
      <w:r>
        <w:rPr>
          <w:rStyle w:val="50"/>
          <w:color w:val="000000" w:themeColor="text1"/>
          <w14:textFill>
            <w14:solidFill>
              <w14:schemeClr w14:val="tx1"/>
            </w14:solidFill>
          </w14:textFill>
        </w:rPr>
        <w:t>7.5 地下水土壤污染防治措施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"_Toc109888278" </w:instrText>
      </w:r>
      <w:r>
        <w:fldChar w:fldCharType="separate"/>
      </w:r>
      <w:r>
        <w:rPr>
          <w:rStyle w:val="50"/>
          <w:color w:val="000000" w:themeColor="text1"/>
          <w14:textFill>
            <w14:solidFill>
              <w14:schemeClr w14:val="tx1"/>
            </w14:solidFill>
          </w14:textFill>
        </w:rPr>
        <w:t>7.6 环境风险防范措施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_Toc109888278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"_Toc109888279" </w:instrText>
      </w:r>
      <w:r>
        <w:fldChar w:fldCharType="separate"/>
      </w:r>
      <w:r>
        <w:rPr>
          <w:rStyle w:val="50"/>
          <w:color w:val="000000" w:themeColor="text1"/>
          <w14:textFill>
            <w14:solidFill>
              <w14:schemeClr w14:val="tx1"/>
            </w14:solidFill>
          </w14:textFill>
        </w:rPr>
        <w:t>7.7 项目环保投资估算</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 w:val="0"/>
          <w:color w:val="000000" w:themeColor="text1"/>
          <w:sz w:val="21"/>
          <w14:textFill>
            <w14:solidFill>
              <w14:schemeClr w14:val="tx1"/>
            </w14:solidFill>
          </w14:textFill>
        </w:rPr>
      </w:pPr>
      <w:r>
        <w:fldChar w:fldCharType="begin"/>
      </w:r>
      <w:r>
        <w:instrText xml:space="preserve"> HYPERLINK \l "_Toc109888280" </w:instrText>
      </w:r>
      <w:r>
        <w:fldChar w:fldCharType="separate"/>
      </w:r>
      <w:r>
        <w:rPr>
          <w:rStyle w:val="50"/>
          <w:color w:val="000000" w:themeColor="text1"/>
          <w14:textFill>
            <w14:solidFill>
              <w14:schemeClr w14:val="tx1"/>
            </w14:solidFill>
          </w14:textFill>
        </w:rPr>
        <w:t>8</w:t>
      </w:r>
      <w:r>
        <w:rPr>
          <w:rFonts w:asciiTheme="minorHAnsi" w:hAnsiTheme="minorHAnsi" w:eastAsiaTheme="minorEastAsia" w:cstheme="minorBidi"/>
          <w:b w:val="0"/>
          <w:color w:val="000000" w:themeColor="text1"/>
          <w:sz w:val="21"/>
          <w14:textFill>
            <w14:solidFill>
              <w14:schemeClr w14:val="tx1"/>
            </w14:solidFill>
          </w14:textFill>
        </w:rPr>
        <w:tab/>
      </w:r>
      <w:r>
        <w:rPr>
          <w:rStyle w:val="50"/>
          <w:color w:val="000000" w:themeColor="text1"/>
          <w14:textFill>
            <w14:solidFill>
              <w14:schemeClr w14:val="tx1"/>
            </w14:solidFill>
          </w14:textFill>
        </w:rPr>
        <w:t>环境影响经济损益分析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"_Toc109888281" </w:instrText>
      </w:r>
      <w:r>
        <w:fldChar w:fldCharType="separate"/>
      </w:r>
      <w:r>
        <w:rPr>
          <w:rStyle w:val="50"/>
          <w:color w:val="000000" w:themeColor="text1"/>
          <w14:textFill>
            <w14:solidFill>
              <w14:schemeClr w14:val="tx1"/>
            </w14:solidFill>
          </w14:textFill>
        </w:rPr>
        <w:t>8.1 建设项目的经济效益</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_Toc109888281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"_Toc109888282" </w:instrText>
      </w:r>
      <w:r>
        <w:fldChar w:fldCharType="separate"/>
      </w:r>
      <w:r>
        <w:rPr>
          <w:rStyle w:val="50"/>
          <w:color w:val="000000" w:themeColor="text1"/>
          <w14:textFill>
            <w14:solidFill>
              <w14:schemeClr w14:val="tx1"/>
            </w14:solidFill>
          </w14:textFill>
        </w:rPr>
        <w:t>8.2 建设项目的环境损益分析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_Toc109888282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"_Toc109888283" </w:instrText>
      </w:r>
      <w:r>
        <w:fldChar w:fldCharType="separate"/>
      </w:r>
      <w:r>
        <w:rPr>
          <w:rStyle w:val="50"/>
          <w:color w:val="000000" w:themeColor="text1"/>
          <w14:textFill>
            <w14:solidFill>
              <w14:schemeClr w14:val="tx1"/>
            </w14:solidFill>
          </w14:textFill>
        </w:rPr>
        <w:t>8.3 小结</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_Toc109888283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 w:val="0"/>
          <w:color w:val="000000" w:themeColor="text1"/>
          <w:sz w:val="21"/>
          <w14:textFill>
            <w14:solidFill>
              <w14:schemeClr w14:val="tx1"/>
            </w14:solidFill>
          </w14:textFill>
        </w:rPr>
      </w:pPr>
      <w:r>
        <w:fldChar w:fldCharType="begin"/>
      </w:r>
      <w:r>
        <w:instrText xml:space="preserve"> HYPERLINK \l "_Toc109888284" </w:instrText>
      </w:r>
      <w:r>
        <w:fldChar w:fldCharType="separate"/>
      </w:r>
      <w:r>
        <w:rPr>
          <w:rStyle w:val="50"/>
          <w:color w:val="000000" w:themeColor="text1"/>
          <w14:textFill>
            <w14:solidFill>
              <w14:schemeClr w14:val="tx1"/>
            </w14:solidFill>
          </w14:textFill>
        </w:rPr>
        <w:t>9</w:t>
      </w:r>
      <w:r>
        <w:rPr>
          <w:rFonts w:asciiTheme="minorHAnsi" w:hAnsiTheme="minorHAnsi" w:eastAsiaTheme="minorEastAsia" w:cstheme="minorBidi"/>
          <w:b w:val="0"/>
          <w:color w:val="000000" w:themeColor="text1"/>
          <w:sz w:val="21"/>
          <w14:textFill>
            <w14:solidFill>
              <w14:schemeClr w14:val="tx1"/>
            </w14:solidFill>
          </w14:textFill>
        </w:rPr>
        <w:tab/>
      </w:r>
      <w:r>
        <w:rPr>
          <w:rStyle w:val="50"/>
          <w:color w:val="000000" w:themeColor="text1"/>
          <w14:textFill>
            <w14:solidFill>
              <w14:schemeClr w14:val="tx1"/>
            </w14:solidFill>
          </w14:textFill>
        </w:rPr>
        <w:t>环境管理与监测计划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_Toc109888284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"_Toc109888285" </w:instrText>
      </w:r>
      <w:r>
        <w:fldChar w:fldCharType="separate"/>
      </w:r>
      <w:r>
        <w:rPr>
          <w:rStyle w:val="50"/>
          <w:color w:val="000000" w:themeColor="text1"/>
          <w14:textFill>
            <w14:solidFill>
              <w14:schemeClr w14:val="tx1"/>
            </w14:solidFill>
          </w14:textFill>
        </w:rPr>
        <w:t>9.1 环境管理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"_Toc109888286" </w:instrText>
      </w:r>
      <w:r>
        <w:fldChar w:fldCharType="separate"/>
      </w:r>
      <w:r>
        <w:rPr>
          <w:rStyle w:val="50"/>
          <w:color w:val="000000" w:themeColor="text1"/>
          <w14:textFill>
            <w14:solidFill>
              <w14:schemeClr w14:val="tx1"/>
            </w14:solidFill>
          </w14:textFill>
        </w:rPr>
        <w:t>9.2 环境管理机构的设置和职责</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"_Toc109888287" </w:instrText>
      </w:r>
      <w:r>
        <w:fldChar w:fldCharType="separate"/>
      </w:r>
      <w:r>
        <w:rPr>
          <w:rStyle w:val="50"/>
          <w:color w:val="000000" w:themeColor="text1"/>
          <w14:textFill>
            <w14:solidFill>
              <w14:schemeClr w14:val="tx1"/>
            </w14:solidFill>
          </w14:textFill>
        </w:rPr>
        <w:t>9.3 污染物排放清单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_Toc109888287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"_Toc109888288" </w:instrText>
      </w:r>
      <w:r>
        <w:fldChar w:fldCharType="separate"/>
      </w:r>
      <w:r>
        <w:rPr>
          <w:rStyle w:val="50"/>
          <w:color w:val="000000" w:themeColor="text1"/>
          <w14:textFill>
            <w14:solidFill>
              <w14:schemeClr w14:val="tx1"/>
            </w14:solidFill>
          </w14:textFill>
        </w:rPr>
        <w:t>9.4 信息公开</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"_Toc109888289" </w:instrText>
      </w:r>
      <w:r>
        <w:fldChar w:fldCharType="separate"/>
      </w:r>
      <w:r>
        <w:rPr>
          <w:rStyle w:val="50"/>
          <w:color w:val="000000" w:themeColor="text1"/>
          <w14:textFill>
            <w14:solidFill>
              <w14:schemeClr w14:val="tx1"/>
            </w14:solidFill>
          </w14:textFill>
        </w:rPr>
        <w:t>9.5 环境监测计划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"_Toc109888290" </w:instrText>
      </w:r>
      <w:r>
        <w:fldChar w:fldCharType="separate"/>
      </w:r>
      <w:r>
        <w:rPr>
          <w:rStyle w:val="50"/>
          <w:color w:val="000000" w:themeColor="text1"/>
          <w14:textFill>
            <w14:solidFill>
              <w14:schemeClr w14:val="tx1"/>
            </w14:solidFill>
          </w14:textFill>
        </w:rPr>
        <w:t>9.6 项目竣工环境保护验收内容及要求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_Toc109888290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 w:val="0"/>
          <w:color w:val="000000" w:themeColor="text1"/>
          <w:sz w:val="21"/>
          <w14:textFill>
            <w14:solidFill>
              <w14:schemeClr w14:val="tx1"/>
            </w14:solidFill>
          </w14:textFill>
        </w:rPr>
      </w:pPr>
      <w:r>
        <w:fldChar w:fldCharType="begin"/>
      </w:r>
      <w:r>
        <w:instrText xml:space="preserve"> HYPERLINK \l "_Toc109888291" </w:instrText>
      </w:r>
      <w:r>
        <w:fldChar w:fldCharType="separate"/>
      </w:r>
      <w:r>
        <w:rPr>
          <w:rStyle w:val="50"/>
          <w:color w:val="000000" w:themeColor="text1"/>
          <w14:textFill>
            <w14:solidFill>
              <w14:schemeClr w14:val="tx1"/>
            </w14:solidFill>
          </w14:textFill>
        </w:rPr>
        <w:t>10</w:t>
      </w:r>
      <w:r>
        <w:rPr>
          <w:rFonts w:asciiTheme="minorHAnsi" w:hAnsiTheme="minorHAnsi" w:eastAsiaTheme="minorEastAsia" w:cstheme="minorBidi"/>
          <w:b w:val="0"/>
          <w:color w:val="000000" w:themeColor="text1"/>
          <w:sz w:val="21"/>
          <w14:textFill>
            <w14:solidFill>
              <w14:schemeClr w14:val="tx1"/>
            </w14:solidFill>
          </w14:textFill>
        </w:rPr>
        <w:tab/>
      </w:r>
      <w:r>
        <w:rPr>
          <w:rStyle w:val="50"/>
          <w:color w:val="000000" w:themeColor="text1"/>
          <w14:textFill>
            <w14:solidFill>
              <w14:schemeClr w14:val="tx1"/>
            </w14:solidFill>
          </w14:textFill>
        </w:rPr>
        <w:t>环境影响评价结论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_Toc109888291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"_Toc109888292" </w:instrText>
      </w:r>
      <w:r>
        <w:fldChar w:fldCharType="separate"/>
      </w:r>
      <w:r>
        <w:rPr>
          <w:rStyle w:val="50"/>
          <w:color w:val="000000" w:themeColor="text1"/>
          <w14:textFill>
            <w14:solidFill>
              <w14:schemeClr w14:val="tx1"/>
            </w14:solidFill>
          </w14:textFill>
        </w:rPr>
        <w:t>10.1 评价结论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_Toc109888292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3"/>
        <w:ind w:firstLine="52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"_Toc109888293" </w:instrText>
      </w:r>
      <w:r>
        <w:fldChar w:fldCharType="separate"/>
      </w:r>
      <w:r>
        <w:rPr>
          <w:rStyle w:val="50"/>
          <w:color w:val="000000" w:themeColor="text1"/>
          <w14:textFill>
            <w14:solidFill>
              <w14:schemeClr w14:val="tx1"/>
            </w14:solidFill>
          </w14:textFill>
        </w:rPr>
        <w:t>10.2 公众意见采纳情况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_Toc109888293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spacing w:before="120" w:after="240" w:line="560" w:lineRule="exact"/>
        <w:ind w:firstLine="0" w:firstLineChars="0"/>
        <w:jc w:val="center"/>
        <w:rPr>
          <w:color w:val="000000" w:themeColor="text1"/>
          <w14:textFill>
            <w14:solidFill>
              <w14:schemeClr w14:val="tx1"/>
            </w14:solidFill>
          </w14:textFill>
        </w:rPr>
        <w:sectPr>
          <w:headerReference r:id="rId11" w:type="default"/>
          <w:footerReference r:id="rId13" w:type="default"/>
          <w:headerReference r:id="rId12" w:type="even"/>
          <w:footerReference r:id="rId14" w:type="even"/>
          <w:pgSz w:w="11906" w:h="16838"/>
          <w:pgMar w:top="1418" w:right="1418" w:bottom="1418" w:left="1701" w:header="851" w:footer="992" w:gutter="0"/>
          <w:pgNumType w:fmt="upperRoman" w:start="1"/>
          <w:cols w:space="425" w:num="1"/>
          <w:docGrid w:type="linesAndChars" w:linePitch="312" w:charSpace="0"/>
        </w:sectPr>
      </w:pPr>
      <w:r>
        <w:rPr>
          <w:rFonts w:ascii="黑体" w:hAnsi="黑体" w:eastAsia="黑体"/>
          <w:b/>
          <w:color w:val="000000" w:themeColor="text1"/>
          <w:sz w:val="36"/>
          <w:szCs w:val="36"/>
          <w14:textFill>
            <w14:solidFill>
              <w14:schemeClr w14:val="tx1"/>
            </w14:solidFill>
          </w14:textFill>
        </w:rPr>
        <w:fldChar w:fldCharType="end"/>
      </w:r>
    </w:p>
    <w:p>
      <w:pPr>
        <w:pStyle w:val="2"/>
        <w:numPr>
          <w:ilvl w:val="0"/>
          <w:numId w:val="0"/>
        </w:numPr>
      </w:pPr>
      <w:bookmarkStart w:id="4" w:name="_Toc109888229"/>
      <w:r>
        <w:rPr>
          <w:rFonts w:hint="eastAsia"/>
        </w:rPr>
        <w:t>概 述</w:t>
      </w:r>
      <w:bookmarkEnd w:id="4"/>
    </w:p>
    <w:p>
      <w:pPr>
        <w:pStyle w:val="3"/>
        <w:numPr>
          <w:ilvl w:val="0"/>
          <w:numId w:val="10"/>
        </w:numPr>
      </w:pPr>
      <w:bookmarkStart w:id="5" w:name="_Toc109888230"/>
      <w:r>
        <w:rPr>
          <w:rFonts w:hint="eastAsia"/>
        </w:rPr>
        <w:t>项目建设特点</w:t>
      </w:r>
      <w:bookmarkEnd w:id="5"/>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2021年11月，中共中央、国务院发布《关于深入打好污染防治攻坚战的意见》，提出稳步推进“无废城市”建设，持续推进固体废物源头减量和资源化利用，实现整个城市固体废物产生量最小、资源化利用充分、处置安全的目标。</w:t>
      </w:r>
    </w:p>
    <w:p>
      <w:pPr>
        <w:ind w:firstLine="520"/>
        <w:jc w:val="both"/>
        <w:rPr>
          <w:color w:val="000000" w:themeColor="text1"/>
          <w14:textFill>
            <w14:solidFill>
              <w14:schemeClr w14:val="tx1"/>
            </w14:solidFill>
          </w14:textFill>
        </w:rPr>
      </w:pPr>
      <w:r>
        <w:rPr>
          <w:color w:val="000000" w:themeColor="text1"/>
          <w14:textFill>
            <w14:solidFill>
              <w14:schemeClr w14:val="tx1"/>
            </w14:solidFill>
          </w14:textFill>
        </w:rPr>
        <w:t>重庆太极（集团）股份有限公司涪陵制药厂（简称“太极</w:t>
      </w:r>
      <w:r>
        <w:rPr>
          <w:rFonts w:hint="eastAsia"/>
          <w:color w:val="000000" w:themeColor="text1"/>
          <w14:textFill>
            <w14:solidFill>
              <w14:schemeClr w14:val="tx1"/>
            </w14:solidFill>
          </w14:textFill>
        </w:rPr>
        <w:t>涪陵</w:t>
      </w:r>
      <w:r>
        <w:rPr>
          <w:color w:val="000000" w:themeColor="text1"/>
          <w14:textFill>
            <w14:solidFill>
              <w14:schemeClr w14:val="tx1"/>
            </w14:solidFill>
          </w14:textFill>
        </w:rPr>
        <w:t>制药厂”）从事中药提取，主要生产产品有藿香正气液、太极通天口服液、急支糖浆、补肾益寿胶囊、曲美胶囊，建设有</w:t>
      </w:r>
      <w:r>
        <w:rPr>
          <w:rFonts w:hint="eastAsia"/>
          <w:color w:val="000000" w:themeColor="text1"/>
          <w14:textFill>
            <w14:solidFill>
              <w14:schemeClr w14:val="tx1"/>
            </w14:solidFill>
          </w14:textFill>
        </w:rPr>
        <w:t>3个提取车间。</w:t>
      </w:r>
      <w:r>
        <w:rPr>
          <w:color w:val="000000" w:themeColor="text1"/>
          <w14:textFill>
            <w14:solidFill>
              <w14:schemeClr w14:val="tx1"/>
            </w14:solidFill>
          </w14:textFill>
        </w:rPr>
        <w:t>太极</w:t>
      </w:r>
      <w:r>
        <w:rPr>
          <w:rFonts w:hint="eastAsia"/>
          <w:color w:val="000000" w:themeColor="text1"/>
          <w14:textFill>
            <w14:solidFill>
              <w14:schemeClr w14:val="tx1"/>
            </w14:solidFill>
          </w14:textFill>
        </w:rPr>
        <w:t>涪陵</w:t>
      </w:r>
      <w:r>
        <w:rPr>
          <w:color w:val="000000" w:themeColor="text1"/>
          <w14:textFill>
            <w14:solidFill>
              <w14:schemeClr w14:val="tx1"/>
            </w14:solidFill>
          </w14:textFill>
        </w:rPr>
        <w:t>制药厂</w:t>
      </w:r>
      <w:r>
        <w:rPr>
          <w:rFonts w:hint="eastAsia"/>
          <w:color w:val="000000" w:themeColor="text1"/>
          <w14:textFill>
            <w14:solidFill>
              <w14:schemeClr w14:val="tx1"/>
            </w14:solidFill>
          </w14:textFill>
        </w:rPr>
        <w:t>中药提取醇沉工序产生的药渣经蒸馏去除乙醇后剩余的药渣称为醇沉药渣（又叫醇沉膏），成分主要为药材提炼后的残渣，主要为较细颗粒的植物纤维，在</w:t>
      </w:r>
      <w:r>
        <w:rPr>
          <w:color w:val="000000" w:themeColor="text1"/>
          <w14:textFill>
            <w14:solidFill>
              <w14:schemeClr w14:val="tx1"/>
            </w14:solidFill>
          </w14:textFill>
        </w:rPr>
        <w:t>60℃</w:t>
      </w:r>
      <w:r>
        <w:rPr>
          <w:rFonts w:hint="eastAsia"/>
          <w:color w:val="000000" w:themeColor="text1"/>
          <w14:textFill>
            <w14:solidFill>
              <w14:schemeClr w14:val="tx1"/>
            </w14:solidFill>
          </w14:textFill>
        </w:rPr>
        <w:t>以上时是一种稠状膏体，温度低于</w:t>
      </w:r>
      <w:r>
        <w:rPr>
          <w:color w:val="000000" w:themeColor="text1"/>
          <w14:textFill>
            <w14:solidFill>
              <w14:schemeClr w14:val="tx1"/>
            </w14:solidFill>
          </w14:textFill>
        </w:rPr>
        <w:t>40℃</w:t>
      </w:r>
      <w:r>
        <w:rPr>
          <w:rFonts w:hint="eastAsia"/>
          <w:color w:val="000000" w:themeColor="text1"/>
          <w14:textFill>
            <w14:solidFill>
              <w14:schemeClr w14:val="tx1"/>
            </w14:solidFill>
          </w14:textFill>
        </w:rPr>
        <w:t>时会凝固成固体。由于醇沉药渣黏稠，有异味，</w:t>
      </w:r>
      <w:r>
        <w:rPr>
          <w:color w:val="000000" w:themeColor="text1"/>
          <w14:textFill>
            <w14:solidFill>
              <w14:schemeClr w14:val="tx1"/>
            </w14:solidFill>
          </w14:textFill>
        </w:rPr>
        <w:t>太极</w:t>
      </w:r>
      <w:r>
        <w:rPr>
          <w:rFonts w:hint="eastAsia"/>
          <w:color w:val="000000" w:themeColor="text1"/>
          <w14:textFill>
            <w14:solidFill>
              <w14:schemeClr w14:val="tx1"/>
            </w14:solidFill>
          </w14:textFill>
        </w:rPr>
        <w:t>涪陵</w:t>
      </w:r>
      <w:r>
        <w:rPr>
          <w:color w:val="000000" w:themeColor="text1"/>
          <w14:textFill>
            <w14:solidFill>
              <w14:schemeClr w14:val="tx1"/>
            </w14:solidFill>
          </w14:textFill>
        </w:rPr>
        <w:t>制药厂</w:t>
      </w:r>
      <w:r>
        <w:rPr>
          <w:rFonts w:hint="eastAsia"/>
          <w:color w:val="000000" w:themeColor="text1"/>
          <w14:textFill>
            <w14:solidFill>
              <w14:schemeClr w14:val="tx1"/>
            </w14:solidFill>
          </w14:textFill>
        </w:rPr>
        <w:t>在金峰村设置有醇沉药渣专用储存罐。</w:t>
      </w:r>
    </w:p>
    <w:p>
      <w:pPr>
        <w:ind w:firstLine="520"/>
        <w:jc w:val="both"/>
        <w:rPr>
          <w:color w:val="000000" w:themeColor="text1"/>
          <w14:textFill>
            <w14:solidFill>
              <w14:schemeClr w14:val="tx1"/>
            </w14:solidFill>
          </w14:textFill>
        </w:rPr>
      </w:pPr>
      <w:bookmarkStart w:id="6" w:name="_Hlk137567317"/>
      <w:r>
        <w:rPr>
          <w:rFonts w:hint="eastAsia"/>
          <w:color w:val="000000" w:themeColor="text1"/>
          <w14:textFill>
            <w14:solidFill>
              <w14:schemeClr w14:val="tx1"/>
            </w14:solidFill>
          </w14:textFill>
        </w:rPr>
        <w:t>醇沉药渣属于一般工业固体废物</w:t>
      </w:r>
      <w:bookmarkEnd w:id="6"/>
      <w:r>
        <w:rPr>
          <w:rFonts w:hint="eastAsia"/>
          <w:color w:val="000000" w:themeColor="text1"/>
          <w14:textFill>
            <w14:solidFill>
              <w14:schemeClr w14:val="tx1"/>
            </w14:solidFill>
          </w14:textFill>
        </w:rPr>
        <w:t>，热值较高，可直接作为燃料回收热值。醇沉药渣原由太极制药自有燃煤锅炉焚烧处置，2</w:t>
      </w:r>
      <w:r>
        <w:rPr>
          <w:color w:val="000000" w:themeColor="text1"/>
          <w14:textFill>
            <w14:solidFill>
              <w14:schemeClr w14:val="tx1"/>
            </w14:solidFill>
          </w14:textFill>
        </w:rPr>
        <w:t>020</w:t>
      </w:r>
      <w:r>
        <w:rPr>
          <w:rFonts w:hint="eastAsia"/>
          <w:color w:val="000000" w:themeColor="text1"/>
          <w14:textFill>
            <w14:solidFill>
              <w14:schemeClr w14:val="tx1"/>
            </w14:solidFill>
          </w14:textFill>
        </w:rPr>
        <w:t>年太极制药燃煤锅炉拆除更换为燃气锅炉，因此醇沉药渣需另外寻找处置途径。</w:t>
      </w:r>
      <w:r>
        <w:rPr>
          <w:color w:val="000000" w:themeColor="text1"/>
          <w14:textFill>
            <w14:solidFill>
              <w14:schemeClr w14:val="tx1"/>
            </w14:solidFill>
          </w14:textFill>
        </w:rPr>
        <w:t>太极</w:t>
      </w:r>
      <w:r>
        <w:rPr>
          <w:rFonts w:hint="eastAsia"/>
          <w:color w:val="000000" w:themeColor="text1"/>
          <w14:textFill>
            <w14:solidFill>
              <w14:schemeClr w14:val="tx1"/>
            </w14:solidFill>
          </w14:textFill>
        </w:rPr>
        <w:t>涪陵</w:t>
      </w:r>
      <w:r>
        <w:rPr>
          <w:color w:val="000000" w:themeColor="text1"/>
          <w14:textFill>
            <w14:solidFill>
              <w14:schemeClr w14:val="tx1"/>
            </w14:solidFill>
          </w14:textFill>
        </w:rPr>
        <w:t>制药厂拟将</w:t>
      </w:r>
      <w:r>
        <w:rPr>
          <w:rFonts w:hint="eastAsia"/>
          <w:color w:val="000000" w:themeColor="text1"/>
          <w14:textFill>
            <w14:solidFill>
              <w14:schemeClr w14:val="tx1"/>
            </w14:solidFill>
          </w14:textFill>
        </w:rPr>
        <w:t>醇沉药渣</w:t>
      </w:r>
      <w:r>
        <w:rPr>
          <w:color w:val="000000" w:themeColor="text1"/>
          <w14:textFill>
            <w14:solidFill>
              <w14:schemeClr w14:val="tx1"/>
            </w14:solidFill>
          </w14:textFill>
        </w:rPr>
        <w:t>运送至龙桥热电厂</w:t>
      </w:r>
      <w:r>
        <w:rPr>
          <w:rFonts w:hint="eastAsia"/>
          <w:color w:val="000000" w:themeColor="text1"/>
          <w14:textFill>
            <w14:solidFill>
              <w14:schemeClr w14:val="tx1"/>
            </w14:solidFill>
          </w14:textFill>
        </w:rPr>
        <w:t>进行焚烧协同处置。</w:t>
      </w:r>
    </w:p>
    <w:p>
      <w:pPr>
        <w:ind w:firstLine="520"/>
        <w:jc w:val="both"/>
        <w:rPr>
          <w:color w:val="000000" w:themeColor="text1"/>
          <w14:textFill>
            <w14:solidFill>
              <w14:schemeClr w14:val="tx1"/>
            </w14:solidFill>
          </w14:textFill>
        </w:rPr>
      </w:pPr>
      <w:r>
        <w:rPr>
          <w:color w:val="000000" w:themeColor="text1"/>
          <w14:textFill>
            <w14:solidFill>
              <w14:schemeClr w14:val="tx1"/>
            </w14:solidFill>
          </w14:textFill>
        </w:rPr>
        <w:t>重庆中机龙桥热电有限公司（以下简称“龙桥热电厂”）成立于 2011 年 12 月 9 日，</w:t>
      </w:r>
      <w:r>
        <w:rPr>
          <w:rFonts w:hint="eastAsia"/>
          <w:color w:val="000000" w:themeColor="text1"/>
          <w14:textFill>
            <w14:solidFill>
              <w14:schemeClr w14:val="tx1"/>
            </w14:solidFill>
          </w14:textFill>
        </w:rPr>
        <w:t>位于</w:t>
      </w:r>
      <w:r>
        <w:rPr>
          <w:color w:val="000000" w:themeColor="text1"/>
          <w14:textFill>
            <w14:solidFill>
              <w14:schemeClr w14:val="tx1"/>
            </w14:solidFill>
          </w14:textFill>
        </w:rPr>
        <w:t>重庆市涪陵区龙桥街道龙电路 9 号，从事火力发电并为龙桥工业园区提供热蒸汽。</w:t>
      </w:r>
      <w:bookmarkStart w:id="7" w:name="_Hlk99457131"/>
      <w:r>
        <w:rPr>
          <w:color w:val="000000" w:themeColor="text1"/>
          <w14:textFill>
            <w14:solidFill>
              <w14:schemeClr w14:val="tx1"/>
            </w14:solidFill>
          </w14:textFill>
        </w:rPr>
        <w:t>规划总装机规模为 1×300MW 抽凝汽轮发电机组+2×50MW 背压发电机组+3×80MW 背压发电机组，</w:t>
      </w:r>
      <w:r>
        <w:rPr>
          <w:rFonts w:hint="eastAsia"/>
          <w:color w:val="000000" w:themeColor="text1"/>
          <w14:textFill>
            <w14:solidFill>
              <w14:schemeClr w14:val="tx1"/>
            </w14:solidFill>
          </w14:textFill>
        </w:rPr>
        <w:t>配套</w:t>
      </w:r>
      <w:r>
        <w:rPr>
          <w:color w:val="000000" w:themeColor="text1"/>
          <w14:textFill>
            <w14:solidFill>
              <w14:schemeClr w14:val="tx1"/>
            </w14:solidFill>
          </w14:textFill>
        </w:rPr>
        <w:t>循环流化床锅炉，分期建设，</w:t>
      </w:r>
      <w:bookmarkEnd w:id="7"/>
      <w:r>
        <w:rPr>
          <w:color w:val="000000" w:themeColor="text1"/>
          <w14:textFill>
            <w14:solidFill>
              <w14:schemeClr w14:val="tx1"/>
            </w14:solidFill>
          </w14:textFill>
        </w:rPr>
        <w:t>并由中国气象科学研究院完成了《重庆涪陵聚龙电力有限公司重庆涪陵龙桥热电联产项目环境影响报告书》，取得了重庆市环境保护局</w:t>
      </w:r>
      <w:r>
        <w:rPr>
          <w:rFonts w:hint="eastAsia"/>
          <w:color w:val="000000" w:themeColor="text1"/>
          <w14:textFill>
            <w14:solidFill>
              <w14:schemeClr w14:val="tx1"/>
            </w14:solidFill>
          </w14:textFill>
        </w:rPr>
        <w:t>（现重庆市生态环境局）</w:t>
      </w:r>
      <w:r>
        <w:rPr>
          <w:color w:val="000000" w:themeColor="text1"/>
          <w14:textFill>
            <w14:solidFill>
              <w14:schemeClr w14:val="tx1"/>
            </w14:solidFill>
          </w14:textFill>
        </w:rPr>
        <w:t>下发的批复（渝（市）环准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26号）。</w:t>
      </w:r>
      <w:bookmarkStart w:id="8" w:name="_Hlk99457168"/>
      <w:r>
        <w:rPr>
          <w:color w:val="000000" w:themeColor="text1"/>
          <w14:textFill>
            <w14:solidFill>
              <w14:schemeClr w14:val="tx1"/>
            </w14:solidFill>
          </w14:textFill>
        </w:rPr>
        <w:t>2014年4月</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日，龙桥热电一期建设完成了</w:t>
      </w:r>
      <w:bookmarkStart w:id="9" w:name="_Hlk99459437"/>
      <w:r>
        <w:rPr>
          <w:color w:val="000000" w:themeColor="text1"/>
          <w14:textFill>
            <w14:solidFill>
              <w14:schemeClr w14:val="tx1"/>
            </w14:solidFill>
          </w14:textFill>
        </w:rPr>
        <w:t>1×300MW 抽凝汽轮发电机组和配套的</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1125t/h</w:t>
      </w:r>
      <w:r>
        <w:rPr>
          <w:color w:val="000000" w:themeColor="text1"/>
          <w14:textFill>
            <w14:solidFill>
              <w14:schemeClr w14:val="tx1"/>
            </w14:solidFill>
          </w14:textFill>
        </w:rPr>
        <w:t>循环流化床锅炉</w:t>
      </w:r>
      <w:bookmarkEnd w:id="8"/>
      <w:bookmarkEnd w:id="9"/>
      <w:r>
        <w:rPr>
          <w:color w:val="000000" w:themeColor="text1"/>
          <w14:textFill>
            <w14:solidFill>
              <w14:schemeClr w14:val="tx1"/>
            </w14:solidFill>
          </w14:textFill>
        </w:rPr>
        <w:t>，</w:t>
      </w:r>
      <w:r>
        <w:rPr>
          <w:rFonts w:hint="eastAsia"/>
          <w:color w:val="000000" w:themeColor="text1"/>
          <w14:textFill>
            <w14:solidFill>
              <w14:schemeClr w14:val="tx1"/>
            </w14:solidFill>
          </w14:textFill>
        </w:rPr>
        <w:t>2015年5月</w:t>
      </w:r>
      <w:r>
        <w:rPr>
          <w:color w:val="000000" w:themeColor="text1"/>
          <w14:textFill>
            <w14:solidFill>
              <w14:schemeClr w14:val="tx1"/>
            </w14:solidFill>
          </w14:textFill>
        </w:rPr>
        <w:t>由重庆市生态环境监测中心完成了《重庆中机龙桥热电有限公司一期1×300MW 抽凝机组竣工环境保护验收监测报告》，</w:t>
      </w:r>
      <w:r>
        <w:rPr>
          <w:rFonts w:hint="eastAsia"/>
          <w:color w:val="000000" w:themeColor="text1"/>
          <w14:textFill>
            <w14:solidFill>
              <w14:schemeClr w14:val="tx1"/>
            </w14:solidFill>
          </w14:textFill>
        </w:rPr>
        <w:t>2015年6月2日</w:t>
      </w:r>
      <w:r>
        <w:rPr>
          <w:color w:val="000000" w:themeColor="text1"/>
          <w14:textFill>
            <w14:solidFill>
              <w14:schemeClr w14:val="tx1"/>
            </w14:solidFill>
          </w14:textFill>
        </w:rPr>
        <w:t>取得了重庆市环境保护局</w:t>
      </w:r>
      <w:r>
        <w:rPr>
          <w:rFonts w:hint="eastAsia"/>
          <w:color w:val="000000" w:themeColor="text1"/>
          <w14:textFill>
            <w14:solidFill>
              <w14:schemeClr w14:val="tx1"/>
            </w14:solidFill>
          </w14:textFill>
        </w:rPr>
        <w:t>（现重庆市生态环境局）</w:t>
      </w:r>
      <w:r>
        <w:rPr>
          <w:color w:val="000000" w:themeColor="text1"/>
          <w14:textFill>
            <w14:solidFill>
              <w14:schemeClr w14:val="tx1"/>
            </w14:solidFill>
          </w14:textFill>
        </w:rPr>
        <w:t>下发的批复（渝（市）环</w:t>
      </w:r>
      <w:r>
        <w:rPr>
          <w:rFonts w:hint="eastAsia"/>
          <w:color w:val="000000" w:themeColor="text1"/>
          <w14:textFill>
            <w14:solidFill>
              <w14:schemeClr w14:val="tx1"/>
            </w14:solidFill>
          </w14:textFill>
        </w:rPr>
        <w:t>验[</w:t>
      </w:r>
      <w:r>
        <w:rPr>
          <w:color w:val="000000" w:themeColor="text1"/>
          <w14:textFill>
            <w14:solidFill>
              <w14:schemeClr w14:val="tx1"/>
            </w14:solidFill>
          </w14:textFill>
        </w:rPr>
        <w:t>201</w:t>
      </w:r>
      <w:r>
        <w:rPr>
          <w:rFonts w:hint="eastAsia"/>
          <w:color w:val="000000" w:themeColor="text1"/>
          <w14:textFill>
            <w14:solidFill>
              <w14:schemeClr w14:val="tx1"/>
            </w14:solidFill>
          </w14:textFill>
        </w:rPr>
        <w:t>5]069</w:t>
      </w:r>
      <w:r>
        <w:rPr>
          <w:color w:val="000000" w:themeColor="text1"/>
          <w14:textFill>
            <w14:solidFill>
              <w14:schemeClr w14:val="tx1"/>
            </w14:solidFill>
          </w14:textFill>
        </w:rPr>
        <w:t>号）</w:t>
      </w:r>
      <w:r>
        <w:rPr>
          <w:rFonts w:hint="eastAsia"/>
          <w:color w:val="000000" w:themeColor="text1"/>
          <w14:textFill>
            <w14:solidFill>
              <w14:schemeClr w14:val="tx1"/>
            </w14:solidFill>
          </w14:textFill>
        </w:rPr>
        <w:t>。</w:t>
      </w:r>
      <w:bookmarkStart w:id="10" w:name="_Hlk99457206"/>
      <w:r>
        <w:rPr>
          <w:rFonts w:hint="eastAsia"/>
          <w:color w:val="000000" w:themeColor="text1"/>
          <w14:textFill>
            <w14:solidFill>
              <w14:schemeClr w14:val="tx1"/>
            </w14:solidFill>
          </w14:textFill>
        </w:rPr>
        <w:t>2019年9~11月实施了</w:t>
      </w:r>
      <w:r>
        <w:rPr>
          <w:color w:val="000000" w:themeColor="text1"/>
          <w14:textFill>
            <w14:solidFill>
              <w14:schemeClr w14:val="tx1"/>
            </w14:solidFill>
          </w14:textFill>
        </w:rPr>
        <w:t>1×300MW机组脱硫、脱硝、除尘超低排放改造工程，对1125t/h 循环流化床锅炉配套的脱硫、脱硝、除尘设施进行改造</w:t>
      </w:r>
      <w:bookmarkEnd w:id="10"/>
      <w:r>
        <w:rPr>
          <w:color w:val="000000" w:themeColor="text1"/>
          <w14:textFill>
            <w14:solidFill>
              <w14:schemeClr w14:val="tx1"/>
            </w14:solidFill>
          </w14:textFill>
        </w:rPr>
        <w:t>（项目相关环评、环保验收批复见附件）。</w:t>
      </w:r>
      <w:r>
        <w:rPr>
          <w:rFonts w:hint="eastAsia"/>
          <w:color w:val="000000" w:themeColor="text1"/>
          <w14:textFill>
            <w14:solidFill>
              <w14:schemeClr w14:val="tx1"/>
            </w14:solidFill>
          </w14:textFill>
        </w:rPr>
        <w:t>2021年3月，</w:t>
      </w:r>
      <w:r>
        <w:rPr>
          <w:color w:val="000000" w:themeColor="text1"/>
          <w14:textFill>
            <w14:solidFill>
              <w14:schemeClr w14:val="tx1"/>
            </w14:solidFill>
          </w14:textFill>
        </w:rPr>
        <w:t>为满足龙桥工业园区供热需要，新增</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台 65 </w:t>
      </w:r>
      <w:r>
        <w:rPr>
          <w:rFonts w:hint="eastAsia"/>
          <w:color w:val="000000" w:themeColor="text1"/>
          <w14:textFill>
            <w14:solidFill>
              <w14:schemeClr w14:val="tx1"/>
            </w14:solidFill>
          </w14:textFill>
        </w:rPr>
        <w:t>t/h的</w:t>
      </w:r>
      <w:r>
        <w:rPr>
          <w:color w:val="000000" w:themeColor="text1"/>
          <w14:textFill>
            <w14:solidFill>
              <w14:schemeClr w14:val="tx1"/>
            </w14:solidFill>
          </w14:textFill>
        </w:rPr>
        <w:t>备用</w:t>
      </w:r>
      <w:r>
        <w:rPr>
          <w:rFonts w:hint="eastAsia"/>
          <w:color w:val="000000" w:themeColor="text1"/>
          <w14:textFill>
            <w14:solidFill>
              <w14:schemeClr w14:val="tx1"/>
            </w14:solidFill>
          </w14:textFill>
        </w:rPr>
        <w:t>天然气</w:t>
      </w:r>
      <w:r>
        <w:rPr>
          <w:color w:val="000000" w:themeColor="text1"/>
          <w14:textFill>
            <w14:solidFill>
              <w14:schemeClr w14:val="tx1"/>
            </w14:solidFill>
          </w14:textFill>
        </w:rPr>
        <w:t>蒸汽锅炉（项目相关环评、环保验收批复见附件）。</w:t>
      </w:r>
      <w:r>
        <w:rPr>
          <w:rFonts w:hint="eastAsia"/>
          <w:color w:val="000000" w:themeColor="text1"/>
          <w14:textFill>
            <w14:solidFill>
              <w14:schemeClr w14:val="tx1"/>
            </w14:solidFill>
          </w14:textFill>
        </w:rPr>
        <w:t xml:space="preserve"> </w:t>
      </w:r>
    </w:p>
    <w:p>
      <w:pPr>
        <w:ind w:firstLine="520"/>
        <w:jc w:val="both"/>
        <w:rPr>
          <w:color w:val="000000" w:themeColor="text1"/>
          <w14:textFill>
            <w14:solidFill>
              <w14:schemeClr w14:val="tx1"/>
            </w14:solidFill>
          </w14:textFill>
        </w:rPr>
      </w:pPr>
      <w:r>
        <w:rPr>
          <w:color w:val="000000" w:themeColor="text1"/>
          <w14:textFill>
            <w14:solidFill>
              <w14:schemeClr w14:val="tx1"/>
            </w14:solidFill>
          </w14:textFill>
        </w:rPr>
        <w:t>太极制药厂距离龙桥热电厂</w:t>
      </w:r>
      <w:r>
        <w:rPr>
          <w:rFonts w:hint="eastAsia"/>
          <w:color w:val="000000" w:themeColor="text1"/>
          <w14:textFill>
            <w14:solidFill>
              <w14:schemeClr w14:val="tx1"/>
            </w14:solidFill>
          </w14:textFill>
        </w:rPr>
        <w:t>约1.</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km，由</w:t>
      </w:r>
      <w:r>
        <w:rPr>
          <w:color w:val="000000" w:themeColor="text1"/>
          <w14:textFill>
            <w14:solidFill>
              <w14:schemeClr w14:val="tx1"/>
            </w14:solidFill>
          </w14:textFill>
        </w:rPr>
        <w:t>太极</w:t>
      </w:r>
      <w:r>
        <w:rPr>
          <w:rFonts w:hint="eastAsia"/>
          <w:color w:val="000000" w:themeColor="text1"/>
          <w14:textFill>
            <w14:solidFill>
              <w14:schemeClr w14:val="tx1"/>
            </w14:solidFill>
          </w14:textFill>
        </w:rPr>
        <w:t>涪陵</w:t>
      </w:r>
      <w:r>
        <w:rPr>
          <w:color w:val="000000" w:themeColor="text1"/>
          <w14:textFill>
            <w14:solidFill>
              <w14:schemeClr w14:val="tx1"/>
            </w14:solidFill>
          </w14:textFill>
        </w:rPr>
        <w:t>制药厂采用恒温槽车</w:t>
      </w:r>
      <w:r>
        <w:rPr>
          <w:rFonts w:hint="eastAsia"/>
          <w:color w:val="000000" w:themeColor="text1"/>
          <w14:textFill>
            <w14:solidFill>
              <w14:schemeClr w14:val="tx1"/>
            </w14:solidFill>
          </w14:textFill>
        </w:rPr>
        <w:t>将醇沉药渣</w:t>
      </w:r>
      <w:r>
        <w:rPr>
          <w:color w:val="000000" w:themeColor="text1"/>
          <w14:textFill>
            <w14:solidFill>
              <w14:schemeClr w14:val="tx1"/>
            </w14:solidFill>
          </w14:textFill>
        </w:rPr>
        <w:t>运送至龙桥热电厂，接输送系统直接喷入</w:t>
      </w:r>
      <w:r>
        <w:rPr>
          <w:rFonts w:hint="eastAsia"/>
          <w:color w:val="000000" w:themeColor="text1"/>
          <w14:textFill>
            <w14:solidFill>
              <w14:schemeClr w14:val="tx1"/>
            </w14:solidFill>
          </w14:textFill>
        </w:rPr>
        <w:t>循环</w:t>
      </w:r>
      <w:r>
        <w:rPr>
          <w:color w:val="000000" w:themeColor="text1"/>
          <w14:textFill>
            <w14:solidFill>
              <w14:schemeClr w14:val="tx1"/>
            </w14:solidFill>
          </w14:textFill>
        </w:rPr>
        <w:t>流化床锅炉内焚烧，龙桥热电厂内不设临时储存装置。经涪陵区生态环境局同意，已在龙桥热电厂内进行</w:t>
      </w:r>
      <w:r>
        <w:rPr>
          <w:rFonts w:hint="eastAsia"/>
          <w:color w:val="000000" w:themeColor="text1"/>
          <w14:textFill>
            <w14:solidFill>
              <w14:schemeClr w14:val="tx1"/>
            </w14:solidFill>
          </w14:textFill>
        </w:rPr>
        <w:t>醇沉药渣的试烧处置试验，试验期间未对循环</w:t>
      </w:r>
      <w:r>
        <w:rPr>
          <w:color w:val="000000" w:themeColor="text1"/>
          <w14:textFill>
            <w14:solidFill>
              <w14:schemeClr w14:val="tx1"/>
            </w14:solidFill>
          </w14:textFill>
        </w:rPr>
        <w:t>流化床锅炉造成明显不利影响</w:t>
      </w:r>
      <w:r>
        <w:rPr>
          <w:rFonts w:hint="eastAsia"/>
          <w:color w:val="000000" w:themeColor="text1"/>
          <w14:textFill>
            <w14:solidFill>
              <w14:schemeClr w14:val="tx1"/>
            </w14:solidFill>
          </w14:textFill>
        </w:rPr>
        <w:t>。因此</w:t>
      </w:r>
      <w:r>
        <w:rPr>
          <w:color w:val="000000" w:themeColor="text1"/>
          <w14:textFill>
            <w14:solidFill>
              <w14:schemeClr w14:val="tx1"/>
            </w14:solidFill>
          </w14:textFill>
        </w:rPr>
        <w:t>龙桥热电厂拟正式实施</w:t>
      </w:r>
      <w:r>
        <w:rPr>
          <w:rFonts w:hint="eastAsia"/>
          <w:color w:val="000000" w:themeColor="text1"/>
          <w14:textFill>
            <w14:solidFill>
              <w14:schemeClr w14:val="tx1"/>
            </w14:solidFill>
          </w14:textFill>
        </w:rPr>
        <w:t xml:space="preserve"> “涪陵太极制药醇沉药渣焚烧处置项目”。</w:t>
      </w:r>
    </w:p>
    <w:p>
      <w:pPr>
        <w:pStyle w:val="3"/>
        <w:numPr>
          <w:ilvl w:val="0"/>
          <w:numId w:val="10"/>
        </w:numPr>
        <w:jc w:val="both"/>
      </w:pPr>
      <w:bookmarkStart w:id="11" w:name="_Toc109888231"/>
      <w:r>
        <w:rPr>
          <w:rFonts w:hint="eastAsia"/>
        </w:rPr>
        <w:t>环境影响评价工作过程</w:t>
      </w:r>
      <w:bookmarkEnd w:id="11"/>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对照《建设项目环境影响评价分类管理名录》（2021年版），属于“</w:t>
      </w:r>
      <w:r>
        <w:rPr>
          <w:color w:val="000000" w:themeColor="text1"/>
          <w14:textFill>
            <w14:solidFill>
              <w14:schemeClr w14:val="tx1"/>
            </w14:solidFill>
          </w14:textFill>
        </w:rPr>
        <w:t>四十七、 生态保护和环境治理业</w:t>
      </w:r>
      <w:r>
        <w:rPr>
          <w:rFonts w:hint="eastAsia"/>
          <w:color w:val="000000" w:themeColor="text1"/>
          <w14:textFill>
            <w14:solidFill>
              <w14:schemeClr w14:val="tx1"/>
            </w14:solidFill>
          </w14:textFill>
        </w:rPr>
        <w:t xml:space="preserve">103 </w:t>
      </w:r>
      <w:r>
        <w:rPr>
          <w:color w:val="000000" w:themeColor="text1"/>
          <w14:textFill>
            <w14:solidFill>
              <w14:schemeClr w14:val="tx1"/>
            </w14:solidFill>
          </w14:textFill>
        </w:rPr>
        <w:t>一般工业固体废物 （含污水处理污泥）、建筑施工废弃物处置及综合利用</w:t>
      </w:r>
      <w:r>
        <w:rPr>
          <w:rFonts w:hint="eastAsia"/>
          <w:color w:val="000000" w:themeColor="text1"/>
          <w14:textFill>
            <w14:solidFill>
              <w14:schemeClr w14:val="tx1"/>
            </w14:solidFill>
          </w14:textFill>
        </w:rPr>
        <w:t>”中“</w:t>
      </w:r>
      <w:r>
        <w:rPr>
          <w:color w:val="000000" w:themeColor="text1"/>
          <w14:textFill>
            <w14:solidFill>
              <w14:schemeClr w14:val="tx1"/>
            </w14:solidFill>
          </w14:textFill>
        </w:rPr>
        <w:t>采取填埋、焚烧方式的</w:t>
      </w:r>
      <w:r>
        <w:rPr>
          <w:rFonts w:hint="eastAsia"/>
          <w:color w:val="000000" w:themeColor="text1"/>
          <w14:textFill>
            <w14:solidFill>
              <w14:schemeClr w14:val="tx1"/>
            </w14:solidFill>
          </w14:textFill>
        </w:rPr>
        <w:t>”，应当编制“报告书”。</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2021年12月10日</w:t>
      </w:r>
      <w:r>
        <w:rPr>
          <w:color w:val="000000" w:themeColor="text1"/>
          <w14:textFill>
            <w14:solidFill>
              <w14:schemeClr w14:val="tx1"/>
            </w14:solidFill>
          </w14:textFill>
        </w:rPr>
        <w:t>龙桥热电厂</w:t>
      </w:r>
      <w:r>
        <w:rPr>
          <w:rFonts w:hint="eastAsia"/>
          <w:color w:val="000000" w:themeColor="text1"/>
          <w14:textFill>
            <w14:solidFill>
              <w14:schemeClr w14:val="tx1"/>
            </w14:solidFill>
          </w14:textFill>
        </w:rPr>
        <w:t>、太极制药</w:t>
      </w:r>
      <w:r>
        <w:rPr>
          <w:color w:val="000000" w:themeColor="text1"/>
          <w14:textFill>
            <w14:solidFill>
              <w14:schemeClr w14:val="tx1"/>
            </w14:solidFill>
          </w14:textFill>
        </w:rPr>
        <w:t>与我公司（中煤科工重庆设计研究院（集团）有限公司）签订了环评合同</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接受委托后，我公司即组织评价人员深入现场踏勘，收集基础资料，详细调查项目周边环境现状，</w:t>
      </w:r>
      <w:r>
        <w:rPr>
          <w:rFonts w:hint="eastAsia"/>
          <w:color w:val="000000" w:themeColor="text1"/>
          <w14:textFill>
            <w14:solidFill>
              <w14:schemeClr w14:val="tx1"/>
            </w14:solidFill>
          </w14:textFill>
        </w:rPr>
        <w:t>在充分了解现有环境质量现状监测资料的前提下，</w:t>
      </w:r>
      <w:r>
        <w:rPr>
          <w:color w:val="000000" w:themeColor="text1"/>
          <w14:textFill>
            <w14:solidFill>
              <w14:schemeClr w14:val="tx1"/>
            </w14:solidFill>
          </w14:textFill>
        </w:rPr>
        <w:t>开展环境质量</w:t>
      </w:r>
      <w:r>
        <w:rPr>
          <w:rFonts w:hint="eastAsia"/>
          <w:color w:val="000000" w:themeColor="text1"/>
          <w14:textFill>
            <w14:solidFill>
              <w14:schemeClr w14:val="tx1"/>
            </w14:solidFill>
          </w14:textFill>
        </w:rPr>
        <w:t>监测</w:t>
      </w:r>
      <w:r>
        <w:rPr>
          <w:color w:val="000000" w:themeColor="text1"/>
          <w14:textFill>
            <w14:solidFill>
              <w14:schemeClr w14:val="tx1"/>
            </w14:solidFill>
          </w14:textFill>
        </w:rPr>
        <w:t>，并对本工程进行</w:t>
      </w:r>
      <w:r>
        <w:rPr>
          <w:rFonts w:hint="eastAsia"/>
          <w:color w:val="000000" w:themeColor="text1"/>
          <w14:textFill>
            <w14:solidFill>
              <w14:schemeClr w14:val="tx1"/>
            </w14:solidFill>
          </w14:textFill>
        </w:rPr>
        <w:t>详细</w:t>
      </w:r>
      <w:r>
        <w:rPr>
          <w:color w:val="000000" w:themeColor="text1"/>
          <w14:textFill>
            <w14:solidFill>
              <w14:schemeClr w14:val="tx1"/>
            </w14:solidFill>
          </w14:textFill>
        </w:rPr>
        <w:t>分析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编制完成了《</w:t>
      </w:r>
      <w:r>
        <w:rPr>
          <w:rFonts w:hint="eastAsia"/>
          <w:color w:val="000000" w:themeColor="text1"/>
          <w14:textFill>
            <w14:solidFill>
              <w14:schemeClr w14:val="tx1"/>
            </w14:solidFill>
          </w14:textFill>
        </w:rPr>
        <w:t>涪陵太极制药醇沉药渣焚烧处置项目环境影响报告书</w:t>
      </w:r>
      <w:r>
        <w:rPr>
          <w:color w:val="000000" w:themeColor="text1"/>
          <w14:textFill>
            <w14:solidFill>
              <w14:schemeClr w14:val="tx1"/>
            </w14:solidFill>
          </w14:textFill>
        </w:rPr>
        <w:t>》。</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重庆市第五中级人民法院于2023年4月28日，批准重庆中机龙桥热电有限公司重整计划。重庆陕渝临港热电有限公司成为重整投资人，于4月29日接手重庆中机龙桥热电有限公司运营资产、劳动力、资质手续等，并开展正常生产经营活动。（相关说明见附件）。因此本项目建设主体由原</w:t>
      </w:r>
      <w:r>
        <w:rPr>
          <w:color w:val="000000" w:themeColor="text1"/>
          <w14:textFill>
            <w14:solidFill>
              <w14:schemeClr w14:val="tx1"/>
            </w14:solidFill>
          </w14:textFill>
        </w:rPr>
        <w:t>龙桥热电厂</w:t>
      </w:r>
      <w:r>
        <w:rPr>
          <w:rFonts w:hint="eastAsia"/>
          <w:color w:val="000000" w:themeColor="text1"/>
          <w14:textFill>
            <w14:solidFill>
              <w14:schemeClr w14:val="tx1"/>
            </w14:solidFill>
          </w14:textFill>
        </w:rPr>
        <w:t>变更为重庆陕渝临港热电有限公司。由重庆陕渝临港热电有限公司（以下简称“陕渝临港热电厂”）重新办理了投资备案证（证号</w:t>
      </w:r>
      <w:r>
        <w:rPr>
          <w:color w:val="000000" w:themeColor="text1"/>
          <w14:textFill>
            <w14:solidFill>
              <w14:schemeClr w14:val="tx1"/>
            </w14:solidFill>
          </w14:textFill>
        </w:rPr>
        <w:t>2202-500102-04-02-152204</w:t>
      </w:r>
      <w:r>
        <w:rPr>
          <w:rFonts w:hint="eastAsia"/>
          <w:color w:val="000000" w:themeColor="text1"/>
          <w14:textFill>
            <w14:solidFill>
              <w14:schemeClr w14:val="tx1"/>
            </w14:solidFill>
          </w14:textFill>
        </w:rPr>
        <w:t>），项目建设内容不变。</w:t>
      </w:r>
    </w:p>
    <w:p>
      <w:pPr>
        <w:pStyle w:val="3"/>
        <w:numPr>
          <w:ilvl w:val="0"/>
          <w:numId w:val="10"/>
        </w:numPr>
      </w:pPr>
      <w:bookmarkStart w:id="12" w:name="_Toc109888232"/>
      <w:r>
        <w:rPr>
          <w:rFonts w:hint="eastAsia"/>
        </w:rPr>
        <w:t>分析判定相关情况</w:t>
      </w:r>
      <w:bookmarkEnd w:id="12"/>
    </w:p>
    <w:p>
      <w:pPr>
        <w:pStyle w:val="125"/>
        <w:ind w:firstLine="520"/>
        <w:rPr>
          <w:bCs/>
          <w:color w:val="000000" w:themeColor="text1"/>
          <w14:textFill>
            <w14:solidFill>
              <w14:schemeClr w14:val="tx1"/>
            </w14:solidFill>
          </w14:textFill>
        </w:rPr>
      </w:pPr>
      <w:r>
        <w:rPr>
          <w:bCs/>
          <w:color w:val="000000" w:themeColor="text1"/>
          <w14:textFill>
            <w14:solidFill>
              <w14:schemeClr w14:val="tx1"/>
            </w14:solidFill>
          </w14:textFill>
        </w:rPr>
        <w:t>（1）</w:t>
      </w:r>
      <w:r>
        <w:rPr>
          <w:color w:val="000000" w:themeColor="text1"/>
          <w14:textFill>
            <w14:solidFill>
              <w14:schemeClr w14:val="tx1"/>
            </w14:solidFill>
          </w14:textFill>
        </w:rPr>
        <w:t>产业</w:t>
      </w:r>
      <w:r>
        <w:rPr>
          <w:bCs/>
          <w:color w:val="000000" w:themeColor="text1"/>
          <w14:textFill>
            <w14:solidFill>
              <w14:schemeClr w14:val="tx1"/>
            </w14:solidFill>
          </w14:textFill>
        </w:rPr>
        <w:t>政策及规划符合性判定</w:t>
      </w:r>
    </w:p>
    <w:p>
      <w:pPr>
        <w:pStyle w:val="125"/>
        <w:ind w:firstLine="520"/>
        <w:rPr>
          <w:bCs/>
          <w:color w:val="000000" w:themeColor="text1"/>
          <w14:textFill>
            <w14:solidFill>
              <w14:schemeClr w14:val="tx1"/>
            </w14:solidFill>
          </w14:textFill>
        </w:rPr>
      </w:pPr>
      <w:r>
        <w:rPr>
          <w:rFonts w:hint="eastAsia"/>
          <w:color w:val="000000" w:themeColor="text1"/>
          <w14:textFill>
            <w14:solidFill>
              <w14:schemeClr w14:val="tx1"/>
            </w14:solidFill>
          </w14:textFill>
        </w:rPr>
        <w:t>根据《产业结构调整指导目录（</w:t>
      </w:r>
      <w:r>
        <w:rPr>
          <w:color w:val="000000" w:themeColor="text1"/>
          <w14:textFill>
            <w14:solidFill>
              <w14:schemeClr w14:val="tx1"/>
            </w14:solidFill>
          </w14:textFill>
        </w:rPr>
        <w:t>201</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年本</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》，“燃煤发电机组多污染物协同治理”属于电力行业的“鼓励类”项目。符合《</w:t>
      </w:r>
      <w:r>
        <w:rPr>
          <w:rFonts w:hint="eastAsia"/>
          <w:color w:val="000000" w:themeColor="text1"/>
          <w14:textFill>
            <w14:solidFill>
              <w14:schemeClr w14:val="tx1"/>
            </w14:solidFill>
          </w14:textFill>
        </w:rPr>
        <w:t>重庆市</w:t>
      </w:r>
      <w:r>
        <w:rPr>
          <w:color w:val="000000" w:themeColor="text1"/>
          <w14:textFill>
            <w14:solidFill>
              <w14:schemeClr w14:val="tx1"/>
            </w14:solidFill>
          </w14:textFill>
        </w:rPr>
        <w:t>工业项目环境准入规定</w:t>
      </w:r>
      <w:r>
        <w:rPr>
          <w:rFonts w:hint="eastAsia"/>
          <w:color w:val="000000" w:themeColor="text1"/>
          <w14:textFill>
            <w14:solidFill>
              <w14:schemeClr w14:val="tx1"/>
            </w14:solidFill>
          </w14:textFill>
        </w:rPr>
        <w:t>（修订）</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（渝</w:t>
      </w:r>
      <w:r>
        <w:rPr>
          <w:color w:val="000000" w:themeColor="text1"/>
          <w14:textFill>
            <w14:solidFill>
              <w14:schemeClr w14:val="tx1"/>
            </w14:solidFill>
          </w14:textFill>
        </w:rPr>
        <w:t>办发</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2012</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142号）</w:t>
      </w:r>
      <w:r>
        <w:rPr>
          <w:bCs/>
          <w:color w:val="000000" w:themeColor="text1"/>
          <w14:textFill>
            <w14:solidFill>
              <w14:schemeClr w14:val="tx1"/>
            </w14:solidFill>
          </w14:textFill>
        </w:rPr>
        <w:t>、《重庆市发展和改革委员会关于印发重庆市产业投资准入工作手册的通知》（渝发改投[2018]541号）、《关于严格工业布局和准入的通知》（渝发改工[2018]781号）、</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长江经济带发展负面清单指南（试行，2022年版）</w:t>
      </w:r>
      <w:r>
        <w:rPr>
          <w:rFonts w:hint="eastAsia"/>
          <w:bCs/>
          <w:color w:val="000000" w:themeColor="text1"/>
          <w:lang w:eastAsia="zh-CN"/>
          <w14:textFill>
            <w14:solidFill>
              <w14:schemeClr w14:val="tx1"/>
            </w14:solidFill>
          </w14:textFill>
        </w:rPr>
        <w:t>》《</w:t>
      </w:r>
      <w:r>
        <w:rPr>
          <w:rFonts w:hint="eastAsia"/>
          <w:bCs/>
          <w:color w:val="000000" w:themeColor="text1"/>
          <w14:textFill>
            <w14:solidFill>
              <w14:schemeClr w14:val="tx1"/>
            </w14:solidFill>
          </w14:textFill>
        </w:rPr>
        <w:t>重庆涪陵工业园区龙桥组团规划调整环境影响报告书</w:t>
      </w:r>
      <w:r>
        <w:rPr>
          <w:bCs/>
          <w:color w:val="000000" w:themeColor="text1"/>
          <w14:textFill>
            <w14:solidFill>
              <w14:schemeClr w14:val="tx1"/>
            </w14:solidFill>
          </w14:textFill>
        </w:rPr>
        <w:t>》及其审查意见的相关要求，满足涪陵区“三线一单”管控要求。</w:t>
      </w:r>
    </w:p>
    <w:p>
      <w:pPr>
        <w:pStyle w:val="195"/>
        <w:ind w:firstLine="52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2</w:t>
      </w:r>
      <w:r>
        <w:rPr>
          <w:rFonts w:hint="eastAsia"/>
          <w:bCs/>
          <w:color w:val="000000" w:themeColor="text1"/>
          <w14:textFill>
            <w14:solidFill>
              <w14:schemeClr w14:val="tx1"/>
            </w14:solidFill>
          </w14:textFill>
        </w:rPr>
        <w:t>）选址</w:t>
      </w:r>
      <w:r>
        <w:rPr>
          <w:bCs/>
          <w:color w:val="000000" w:themeColor="text1"/>
          <w14:textFill>
            <w14:solidFill>
              <w14:schemeClr w14:val="tx1"/>
            </w14:solidFill>
          </w14:textFill>
        </w:rPr>
        <w:t>合理性</w:t>
      </w:r>
    </w:p>
    <w:p>
      <w:pPr>
        <w:pStyle w:val="125"/>
        <w:ind w:firstLine="520"/>
        <w:rPr>
          <w:color w:val="000000" w:themeColor="text1"/>
          <w14:textFill>
            <w14:solidFill>
              <w14:schemeClr w14:val="tx1"/>
            </w14:solidFill>
          </w14:textFill>
        </w:rPr>
      </w:pPr>
      <w:r>
        <w:rPr>
          <w:bCs/>
          <w:color w:val="000000" w:themeColor="text1"/>
          <w14:textFill>
            <w14:solidFill>
              <w14:schemeClr w14:val="tx1"/>
            </w14:solidFill>
          </w14:textFill>
        </w:rPr>
        <w:t>本项目位于重庆</w:t>
      </w:r>
      <w:r>
        <w:rPr>
          <w:rFonts w:hint="eastAsia"/>
          <w:color w:val="000000" w:themeColor="text1"/>
          <w14:textFill>
            <w14:solidFill>
              <w14:schemeClr w14:val="tx1"/>
            </w14:solidFill>
          </w14:textFill>
        </w:rPr>
        <w:t>涪陵工业园区龙桥组团重庆陕渝临港热电有限公司</w:t>
      </w:r>
      <w:r>
        <w:rPr>
          <w:bCs/>
          <w:color w:val="000000" w:themeColor="text1"/>
          <w14:textFill>
            <w14:solidFill>
              <w14:schemeClr w14:val="tx1"/>
            </w14:solidFill>
          </w14:textFill>
        </w:rPr>
        <w:t>内，不新增占地，符合园区用地规划，符合区域“三线一单”。项目所在地交通方便，基础设施齐全。项目所在</w:t>
      </w:r>
      <w:r>
        <w:rPr>
          <w:rFonts w:hint="eastAsia"/>
          <w:bCs/>
          <w:color w:val="000000" w:themeColor="text1"/>
          <w14:textFill>
            <w14:solidFill>
              <w14:schemeClr w14:val="tx1"/>
            </w14:solidFill>
          </w14:textFill>
        </w:rPr>
        <w:t>地大气</w:t>
      </w:r>
      <w:r>
        <w:rPr>
          <w:bCs/>
          <w:color w:val="000000" w:themeColor="text1"/>
          <w14:textFill>
            <w14:solidFill>
              <w14:schemeClr w14:val="tx1"/>
            </w14:solidFill>
          </w14:textFill>
        </w:rPr>
        <w:t>环境、地表水环境、地下水环境及声环境</w:t>
      </w:r>
      <w:r>
        <w:rPr>
          <w:rFonts w:hint="eastAsia"/>
          <w:bCs/>
          <w:color w:val="000000" w:themeColor="text1"/>
          <w14:textFill>
            <w14:solidFill>
              <w14:schemeClr w14:val="tx1"/>
            </w14:solidFill>
          </w14:textFill>
        </w:rPr>
        <w:t>等</w:t>
      </w:r>
      <w:r>
        <w:rPr>
          <w:bCs/>
          <w:color w:val="000000" w:themeColor="text1"/>
          <w14:textFill>
            <w14:solidFill>
              <w14:schemeClr w14:val="tx1"/>
            </w14:solidFill>
          </w14:textFill>
        </w:rPr>
        <w:t>质量现状均能满足相应功能区标准要求，区域环境质量现状良好。</w:t>
      </w:r>
      <w:r>
        <w:rPr>
          <w:rFonts w:hint="eastAsia"/>
          <w:color w:val="000000" w:themeColor="text1"/>
          <w14:textFill>
            <w14:solidFill>
              <w14:schemeClr w14:val="tx1"/>
            </w14:solidFill>
          </w14:textFill>
        </w:rPr>
        <w:t>项目不存在重大环境制约因素。</w:t>
      </w:r>
      <w:r>
        <w:rPr>
          <w:bCs/>
          <w:color w:val="000000" w:themeColor="text1"/>
          <w14:textFill>
            <w14:solidFill>
              <w14:schemeClr w14:val="tx1"/>
            </w14:solidFill>
          </w14:textFill>
        </w:rPr>
        <w:t>综上</w:t>
      </w:r>
      <w:r>
        <w:rPr>
          <w:rFonts w:hint="eastAsia"/>
          <w:bCs/>
          <w:color w:val="000000" w:themeColor="text1"/>
          <w14:textFill>
            <w14:solidFill>
              <w14:schemeClr w14:val="tx1"/>
            </w14:solidFill>
          </w14:textFill>
        </w:rPr>
        <w:t>分析</w:t>
      </w:r>
      <w:r>
        <w:rPr>
          <w:bCs/>
          <w:color w:val="000000" w:themeColor="text1"/>
          <w14:textFill>
            <w14:solidFill>
              <w14:schemeClr w14:val="tx1"/>
            </w14:solidFill>
          </w14:textFill>
        </w:rPr>
        <w:t>，项目选址合理。</w:t>
      </w:r>
    </w:p>
    <w:p>
      <w:pPr>
        <w:pStyle w:val="3"/>
        <w:numPr>
          <w:ilvl w:val="0"/>
          <w:numId w:val="10"/>
        </w:numPr>
      </w:pPr>
      <w:bookmarkStart w:id="13" w:name="_Toc109888233"/>
      <w:r>
        <w:rPr>
          <w:rFonts w:hint="eastAsia"/>
        </w:rPr>
        <w:t>关注的主要环境问题</w:t>
      </w:r>
      <w:bookmarkEnd w:id="13"/>
    </w:p>
    <w:p>
      <w:pPr>
        <w:pStyle w:val="125"/>
        <w:ind w:firstLine="520"/>
        <w:rPr>
          <w:bCs/>
          <w:color w:val="000000" w:themeColor="text1"/>
          <w14:textFill>
            <w14:solidFill>
              <w14:schemeClr w14:val="tx1"/>
            </w14:solidFill>
          </w14:textFill>
        </w:rPr>
      </w:pPr>
      <w:r>
        <w:rPr>
          <w:color w:val="000000" w:themeColor="text1"/>
          <w14:textFill>
            <w14:solidFill>
              <w14:schemeClr w14:val="tx1"/>
            </w14:solidFill>
          </w14:textFill>
        </w:rPr>
        <w:t>本项目依托龙桥电厂循环流化床锅炉建设，循环流化床锅炉产生的污染物主要是焚烧烟气、炉渣、飞灰等</w:t>
      </w:r>
      <w:r>
        <w:rPr>
          <w:rFonts w:hint="eastAsia"/>
          <w:color w:val="000000" w:themeColor="text1"/>
          <w14:textFill>
            <w14:solidFill>
              <w14:schemeClr w14:val="tx1"/>
            </w14:solidFill>
          </w14:textFill>
        </w:rPr>
        <w:t>。因此本项目应</w:t>
      </w:r>
      <w:r>
        <w:rPr>
          <w:bCs/>
          <w:color w:val="000000" w:themeColor="text1"/>
          <w14:textFill>
            <w14:solidFill>
              <w14:schemeClr w14:val="tx1"/>
            </w14:solidFill>
          </w14:textFill>
        </w:rPr>
        <w:t>重点关注的环境问题</w:t>
      </w:r>
      <w:r>
        <w:rPr>
          <w:rFonts w:hint="eastAsia"/>
          <w:bCs/>
          <w:color w:val="000000" w:themeColor="text1"/>
          <w14:textFill>
            <w14:solidFill>
              <w14:schemeClr w14:val="tx1"/>
            </w14:solidFill>
          </w14:textFill>
        </w:rPr>
        <w:t>如下</w:t>
      </w:r>
      <w:r>
        <w:rPr>
          <w:bCs/>
          <w:color w:val="000000" w:themeColor="text1"/>
          <w14:textFill>
            <w14:solidFill>
              <w14:schemeClr w14:val="tx1"/>
            </w14:solidFill>
          </w14:textFill>
        </w:rPr>
        <w:t>：</w:t>
      </w:r>
    </w:p>
    <w:p>
      <w:pPr>
        <w:pStyle w:val="125"/>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（1）龙桥</w:t>
      </w:r>
      <w:r>
        <w:rPr>
          <w:color w:val="000000" w:themeColor="text1"/>
          <w14:textFill>
            <w14:solidFill>
              <w14:schemeClr w14:val="tx1"/>
            </w14:solidFill>
          </w14:textFill>
        </w:rPr>
        <w:t>电厂循环流化床锅炉运行稳定性及污染物排放达标情况</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现有焚烧烟气治理措施的可靠性；</w:t>
      </w:r>
    </w:p>
    <w:p>
      <w:pPr>
        <w:pStyle w:val="125"/>
        <w:ind w:firstLine="520"/>
        <w:rPr>
          <w:color w:val="000000" w:themeColor="text1"/>
          <w14:textFill>
            <w14:solidFill>
              <w14:schemeClr w14:val="tx1"/>
            </w14:solidFill>
          </w14:textFill>
        </w:rPr>
      </w:pPr>
      <w:r>
        <w:rPr>
          <w:rFonts w:hint="eastAsia"/>
          <w:bCs/>
          <w:color w:val="000000" w:themeColor="text1"/>
          <w14:textFill>
            <w14:solidFill>
              <w14:schemeClr w14:val="tx1"/>
            </w14:solidFill>
          </w14:textFill>
        </w:rPr>
        <w:t>（2）</w:t>
      </w:r>
      <w:r>
        <w:rPr>
          <w:rFonts w:hint="eastAsia"/>
          <w:color w:val="000000" w:themeColor="text1"/>
          <w14:textFill>
            <w14:solidFill>
              <w14:schemeClr w14:val="tx1"/>
            </w14:solidFill>
          </w14:textFill>
        </w:rPr>
        <w:t>龙桥</w:t>
      </w:r>
      <w:r>
        <w:rPr>
          <w:color w:val="000000" w:themeColor="text1"/>
          <w14:textFill>
            <w14:solidFill>
              <w14:schemeClr w14:val="tx1"/>
            </w14:solidFill>
          </w14:textFill>
        </w:rPr>
        <w:t>电厂循环流化床锅炉焚烧醇沉药渣的技术可行性和可靠性；</w:t>
      </w:r>
    </w:p>
    <w:p>
      <w:pPr>
        <w:pStyle w:val="125"/>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（3）掺烧</w:t>
      </w:r>
      <w:r>
        <w:rPr>
          <w:color w:val="000000" w:themeColor="text1"/>
          <w14:textFill>
            <w14:solidFill>
              <w14:schemeClr w14:val="tx1"/>
            </w14:solidFill>
          </w14:textFill>
        </w:rPr>
        <w:t>醇沉药渣后锅炉</w:t>
      </w:r>
      <w:r>
        <w:rPr>
          <w:rFonts w:hint="eastAsia"/>
          <w:color w:val="000000" w:themeColor="text1"/>
          <w14:textFill>
            <w14:solidFill>
              <w14:schemeClr w14:val="tx1"/>
            </w14:solidFill>
          </w14:textFill>
        </w:rPr>
        <w:t>污染物产生和排放</w:t>
      </w:r>
      <w:r>
        <w:rPr>
          <w:color w:val="000000" w:themeColor="text1"/>
          <w14:textFill>
            <w14:solidFill>
              <w14:schemeClr w14:val="tx1"/>
            </w14:solidFill>
          </w14:textFill>
        </w:rPr>
        <w:t>的变化情况，</w:t>
      </w:r>
      <w:r>
        <w:rPr>
          <w:bCs/>
          <w:color w:val="000000" w:themeColor="text1"/>
          <w14:textFill>
            <w14:solidFill>
              <w14:schemeClr w14:val="tx1"/>
            </w14:solidFill>
          </w14:textFill>
        </w:rPr>
        <w:t>现有治理措施依托的可行性</w:t>
      </w:r>
      <w:r>
        <w:rPr>
          <w:rFonts w:hint="eastAsia"/>
          <w:bCs/>
          <w:color w:val="000000" w:themeColor="text1"/>
          <w14:textFill>
            <w14:solidFill>
              <w14:schemeClr w14:val="tx1"/>
            </w14:solidFill>
          </w14:textFill>
        </w:rPr>
        <w:t>。</w:t>
      </w:r>
    </w:p>
    <w:p>
      <w:pPr>
        <w:pStyle w:val="3"/>
        <w:numPr>
          <w:ilvl w:val="0"/>
          <w:numId w:val="10"/>
        </w:numPr>
      </w:pPr>
      <w:bookmarkStart w:id="14" w:name="_Toc109888234"/>
      <w:r>
        <w:rPr>
          <w:rFonts w:hint="eastAsia"/>
        </w:rPr>
        <w:t>环境影响报告书主要结论</w:t>
      </w:r>
      <w:bookmarkEnd w:id="14"/>
    </w:p>
    <w:p>
      <w:pPr>
        <w:spacing w:before="31"/>
        <w:ind w:firstLine="520"/>
        <w:rPr>
          <w:color w:val="000000" w:themeColor="text1"/>
          <w14:textFill>
            <w14:solidFill>
              <w14:schemeClr w14:val="tx1"/>
            </w14:solidFill>
          </w14:textFill>
        </w:rPr>
        <w:sectPr>
          <w:headerReference r:id="rId15" w:type="default"/>
          <w:footerReference r:id="rId17" w:type="default"/>
          <w:headerReference r:id="rId16" w:type="even"/>
          <w:footerReference r:id="rId18" w:type="even"/>
          <w:pgSz w:w="11906" w:h="16838"/>
          <w:pgMar w:top="1701" w:right="1588" w:bottom="1588" w:left="1588" w:header="1191" w:footer="1134" w:gutter="0"/>
          <w:pgNumType w:start="1"/>
          <w:cols w:space="425" w:num="1"/>
          <w:docGrid w:type="lines" w:linePitch="354" w:charSpace="0"/>
        </w:sectPr>
      </w:pPr>
      <w:r>
        <w:rPr>
          <w:rFonts w:hint="eastAsia"/>
          <w:color w:val="000000" w:themeColor="text1"/>
          <w14:textFill>
            <w14:solidFill>
              <w14:schemeClr w14:val="tx1"/>
            </w14:solidFill>
          </w14:textFill>
        </w:rPr>
        <w:t>本项目符合国家相关产业政策、环保政策、重庆市工业项目环境准入规定、符合所在工业园区规划，区域环境质量现状较好。在严格落实环境治理措施的情况下，污染物实现达标排放，不会改变区域环境功能。从环境角度考虑，本项目建设可行。</w:t>
      </w:r>
    </w:p>
    <w:p>
      <w:pPr>
        <w:pStyle w:val="2"/>
        <w:numPr>
          <w:ilvl w:val="0"/>
          <w:numId w:val="11"/>
        </w:numPr>
      </w:pPr>
      <w:bookmarkStart w:id="15" w:name="_Toc109888235"/>
      <w:r>
        <w:rPr>
          <w:rFonts w:hint="eastAsia"/>
        </w:rPr>
        <w:t>总 则</w:t>
      </w:r>
      <w:bookmarkEnd w:id="15"/>
    </w:p>
    <w:p>
      <w:pPr>
        <w:pStyle w:val="3"/>
      </w:pPr>
      <w:bookmarkStart w:id="16" w:name="_Toc109888236"/>
      <w:r>
        <w:rPr>
          <w:rFonts w:hint="eastAsia"/>
        </w:rPr>
        <w:t>评价目的</w:t>
      </w:r>
      <w:bookmarkEnd w:id="16"/>
    </w:p>
    <w:p>
      <w:pPr>
        <w:pStyle w:val="3"/>
      </w:pPr>
      <w:bookmarkStart w:id="17" w:name="_Toc109888237"/>
      <w:r>
        <w:rPr>
          <w:rFonts w:hint="eastAsia"/>
          <w:w w:val="95"/>
        </w:rPr>
        <w:t>编制依据</w:t>
      </w:r>
      <w:bookmarkEnd w:id="17"/>
    </w:p>
    <w:p>
      <w:pPr>
        <w:pStyle w:val="4"/>
        <w:rPr>
          <w:color w:val="000000" w:themeColor="text1"/>
          <w14:textFill>
            <w14:solidFill>
              <w14:schemeClr w14:val="tx1"/>
            </w14:solidFill>
          </w14:textFill>
        </w:rPr>
      </w:pPr>
      <w:r>
        <w:rPr>
          <w:color w:val="000000" w:themeColor="text1"/>
          <w14:textFill>
            <w14:solidFill>
              <w14:schemeClr w14:val="tx1"/>
            </w14:solidFill>
          </w14:textFill>
        </w:rPr>
        <w:t>法律</w:t>
      </w:r>
    </w:p>
    <w:p>
      <w:pPr>
        <w:pStyle w:val="193"/>
        <w:ind w:firstLine="520"/>
      </w:pPr>
      <w:r>
        <w:rPr>
          <w:rFonts w:hint="eastAsia"/>
        </w:rPr>
        <w:t>《中华人民共和国环境保护法》（2015</w:t>
      </w:r>
      <w:r>
        <w:t>年</w:t>
      </w:r>
      <w:r>
        <w:rPr>
          <w:rFonts w:hint="eastAsia"/>
        </w:rPr>
        <w:t>1月1日</w:t>
      </w:r>
      <w:r>
        <w:t>实施</w:t>
      </w:r>
      <w:r>
        <w:rPr>
          <w:rFonts w:hint="eastAsia"/>
        </w:rPr>
        <w:t>）；</w:t>
      </w:r>
    </w:p>
    <w:p>
      <w:pPr>
        <w:pStyle w:val="193"/>
        <w:ind w:firstLine="520"/>
      </w:pPr>
      <w:r>
        <w:rPr>
          <w:rFonts w:hint="eastAsia"/>
        </w:rPr>
        <w:t>《中华人民共和国环境影响评价法》（2018年12月29日修订）；</w:t>
      </w:r>
    </w:p>
    <w:p>
      <w:pPr>
        <w:pStyle w:val="193"/>
        <w:ind w:firstLine="520"/>
      </w:pPr>
      <w:r>
        <w:rPr>
          <w:rFonts w:hint="eastAsia"/>
        </w:rPr>
        <w:t>《中华人民共和国大气污染防治法》（</w:t>
      </w:r>
      <w:r>
        <w:t>201</w:t>
      </w:r>
      <w:r>
        <w:rPr>
          <w:rFonts w:hint="eastAsia"/>
        </w:rPr>
        <w:t>8年10月26日修订）；</w:t>
      </w:r>
    </w:p>
    <w:p>
      <w:pPr>
        <w:pStyle w:val="193"/>
        <w:ind w:firstLine="520"/>
      </w:pPr>
      <w:r>
        <w:rPr>
          <w:rFonts w:hint="eastAsia"/>
        </w:rPr>
        <w:t>《中华人民共和国水污染防治法》（</w:t>
      </w:r>
      <w:r>
        <w:t>2017</w:t>
      </w:r>
      <w:r>
        <w:rPr>
          <w:rFonts w:hint="eastAsia"/>
        </w:rPr>
        <w:t>年6月2</w:t>
      </w:r>
      <w:r>
        <w:t>7</w:t>
      </w:r>
      <w:r>
        <w:rPr>
          <w:rFonts w:hint="eastAsia"/>
        </w:rPr>
        <w:t>日修订）；</w:t>
      </w:r>
    </w:p>
    <w:p>
      <w:pPr>
        <w:pStyle w:val="193"/>
        <w:ind w:firstLine="520"/>
      </w:pPr>
      <w:r>
        <w:rPr>
          <w:rFonts w:hint="eastAsia"/>
        </w:rPr>
        <w:t>《中华人民共和国土壤污染防治法》（2019年1月1日施行）；</w:t>
      </w:r>
    </w:p>
    <w:p>
      <w:pPr>
        <w:pStyle w:val="193"/>
        <w:ind w:firstLine="520"/>
      </w:pPr>
      <w:r>
        <w:rPr>
          <w:rFonts w:hint="eastAsia"/>
        </w:rPr>
        <w:t>《中华人民共和国环境噪声污染防治法》（2018年12月29日修订）；</w:t>
      </w:r>
    </w:p>
    <w:p>
      <w:pPr>
        <w:pStyle w:val="193"/>
        <w:ind w:firstLine="520"/>
      </w:pPr>
      <w:r>
        <w:t>《</w:t>
      </w:r>
      <w:r>
        <w:rPr>
          <w:rFonts w:hint="eastAsia"/>
        </w:rPr>
        <w:t>中华人民共和国固体废物污染环境防治法》（</w:t>
      </w:r>
      <w:r>
        <w:t>2020年9月1日起施行</w:t>
      </w:r>
      <w:r>
        <w:rPr>
          <w:rFonts w:hint="eastAsia"/>
        </w:rPr>
        <w:t>）；</w:t>
      </w:r>
    </w:p>
    <w:p>
      <w:pPr>
        <w:pStyle w:val="193"/>
        <w:ind w:firstLine="520"/>
      </w:pPr>
      <w:r>
        <w:t>《中华人民共和国清洁生产促进法》（20</w:t>
      </w:r>
      <w:r>
        <w:rPr>
          <w:rFonts w:hint="eastAsia"/>
        </w:rPr>
        <w:t>1</w:t>
      </w:r>
      <w:r>
        <w:t>2年</w:t>
      </w:r>
      <w:r>
        <w:rPr>
          <w:rFonts w:hint="eastAsia"/>
        </w:rPr>
        <w:t>7月1日</w:t>
      </w:r>
      <w:r>
        <w:t>实施）；</w:t>
      </w:r>
    </w:p>
    <w:p>
      <w:pPr>
        <w:pStyle w:val="193"/>
        <w:ind w:firstLine="520"/>
      </w:pPr>
      <w:r>
        <w:t>《中华人民共和国节约能源法》（</w:t>
      </w:r>
      <w:r>
        <w:rPr>
          <w:rFonts w:hint="eastAsia"/>
        </w:rPr>
        <w:t>2018年10月26日修订</w:t>
      </w:r>
      <w:r>
        <w:t>）</w:t>
      </w:r>
      <w:r>
        <w:rPr>
          <w:rFonts w:hint="eastAsia"/>
        </w:rPr>
        <w:t>；</w:t>
      </w:r>
    </w:p>
    <w:p>
      <w:pPr>
        <w:pStyle w:val="193"/>
        <w:ind w:firstLine="520"/>
      </w:pPr>
      <w:r>
        <w:rPr>
          <w:rFonts w:hint="eastAsia"/>
        </w:rPr>
        <w:t>《中华人民共和国循环经济促进法》（2018年10月26日实施）；</w:t>
      </w:r>
    </w:p>
    <w:p>
      <w:pPr>
        <w:pStyle w:val="193"/>
        <w:ind w:firstLine="520"/>
      </w:pPr>
      <w:r>
        <w:rPr>
          <w:rFonts w:hint="eastAsia"/>
        </w:rPr>
        <w:t>《中华人民共和国长江保护法》（2020年12月26日第十三届全国人民代表大会常务委员会第二十四次会议通过）。</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行政法规及部门规章</w:t>
      </w:r>
    </w:p>
    <w:p>
      <w:pPr>
        <w:pStyle w:val="193"/>
        <w:numPr>
          <w:ilvl w:val="0"/>
          <w:numId w:val="12"/>
        </w:numPr>
        <w:ind w:firstLine="520"/>
      </w:pPr>
      <w:r>
        <w:rPr>
          <w:rFonts w:hint="eastAsia"/>
        </w:rPr>
        <w:t>《建设项目环境保护管理条</w:t>
      </w:r>
      <w:r>
        <w:t>例》，国务院令第682号，2017年10月；</w:t>
      </w:r>
    </w:p>
    <w:p>
      <w:pPr>
        <w:pStyle w:val="193"/>
        <w:ind w:firstLine="520"/>
      </w:pPr>
      <w:r>
        <w:t>《建设项目环境影响评价分类管理名录》（2021年版）；</w:t>
      </w:r>
    </w:p>
    <w:p>
      <w:pPr>
        <w:pStyle w:val="193"/>
        <w:ind w:firstLine="520"/>
      </w:pPr>
      <w:r>
        <w:rPr>
          <w:rFonts w:hint="eastAsia"/>
        </w:rPr>
        <w:t>《危险化学品安全管理条例》，国务院令 645 号，2013 年 12 月 7 日施行；</w:t>
      </w:r>
    </w:p>
    <w:p>
      <w:pPr>
        <w:pStyle w:val="193"/>
        <w:ind w:firstLine="520"/>
      </w:pPr>
      <w:r>
        <w:rPr>
          <w:rFonts w:hint="eastAsia"/>
        </w:rPr>
        <w:t>《五部委关于加强长江经济带工业绿色发展的指导意见》(工信部联节[2017]178号)</w:t>
      </w:r>
    </w:p>
    <w:p>
      <w:pPr>
        <w:pStyle w:val="193"/>
        <w:ind w:firstLine="520"/>
      </w:pPr>
      <w:r>
        <w:rPr>
          <w:rFonts w:hint="eastAsia"/>
        </w:rPr>
        <w:t>《关于印发〈长江经济带生态环境保护规划〉的通知》(环规财[2017]88号)</w:t>
      </w:r>
    </w:p>
    <w:p>
      <w:pPr>
        <w:pStyle w:val="193"/>
        <w:ind w:firstLine="520"/>
      </w:pPr>
      <w:r>
        <w:rPr>
          <w:rFonts w:hint="eastAsia"/>
        </w:rPr>
        <w:t>《</w:t>
      </w:r>
      <w:r>
        <w:t>长江经济带发展负面清单指南（试行，2022年版）</w:t>
      </w:r>
      <w:r>
        <w:rPr>
          <w:rFonts w:hint="eastAsia"/>
        </w:rPr>
        <w:t>》；</w:t>
      </w:r>
    </w:p>
    <w:p>
      <w:pPr>
        <w:pStyle w:val="193"/>
        <w:ind w:firstLine="520"/>
      </w:pPr>
      <w:r>
        <w:rPr>
          <w:rFonts w:hint="eastAsia"/>
        </w:rPr>
        <w:t>《关于印发地下水污染防治实施方案的通知》(环土壤[2019]25号)</w:t>
      </w:r>
    </w:p>
    <w:p>
      <w:pPr>
        <w:pStyle w:val="193"/>
        <w:ind w:firstLine="520"/>
      </w:pPr>
      <w:r>
        <w:rPr>
          <w:rFonts w:hint="eastAsia"/>
        </w:rPr>
        <w:t>《环境影响评价公众参与办法》，生态环境部部令第 4 号，2019年1 月1日；</w:t>
      </w:r>
    </w:p>
    <w:p>
      <w:pPr>
        <w:pStyle w:val="193"/>
        <w:ind w:firstLine="520"/>
      </w:pPr>
      <w:r>
        <w:t>《国家危险废物名录》（202</w:t>
      </w:r>
      <w:r>
        <w:rPr>
          <w:rFonts w:hint="eastAsia"/>
        </w:rPr>
        <w:t>1</w:t>
      </w:r>
      <w:r>
        <w:t>年版）</w:t>
      </w:r>
      <w:r>
        <w:rPr>
          <w:rFonts w:hint="eastAsia"/>
        </w:rPr>
        <w:t>；</w:t>
      </w:r>
    </w:p>
    <w:p>
      <w:pPr>
        <w:pStyle w:val="193"/>
        <w:ind w:firstLine="520"/>
      </w:pPr>
      <w:r>
        <w:rPr>
          <w:rFonts w:hint="eastAsia"/>
        </w:rPr>
        <w:t>《关于推进大气污染联防联控工作改善区域空气质量指导意见的通知》国办发〔2010〕33 号，2010年6月22日；</w:t>
      </w:r>
    </w:p>
    <w:p>
      <w:pPr>
        <w:pStyle w:val="193"/>
        <w:ind w:firstLine="520"/>
      </w:pPr>
      <w:r>
        <w:rPr>
          <w:rFonts w:hint="eastAsia"/>
        </w:rPr>
        <w:t>《企业事业单位突发环境事件应急预案备案管理办法（试行）》环发〔2015〕4号；</w:t>
      </w:r>
    </w:p>
    <w:p>
      <w:pPr>
        <w:pStyle w:val="193"/>
        <w:ind w:firstLine="520"/>
      </w:pPr>
      <w:r>
        <w:rPr>
          <w:rFonts w:hint="eastAsia"/>
        </w:rPr>
        <w:t>《关于加强环境噪声污染防治工作改善城乡声环境质量的指导意见》环发〔2010〕144 号，2010 年12月1日；</w:t>
      </w:r>
    </w:p>
    <w:p>
      <w:pPr>
        <w:pStyle w:val="193"/>
        <w:ind w:firstLine="520"/>
      </w:pPr>
      <w:r>
        <w:t>《产业结构调整指导目录（2019年本）》</w:t>
      </w:r>
      <w:r>
        <w:rPr>
          <w:rFonts w:hint="eastAsia"/>
        </w:rPr>
        <w:t>；</w:t>
      </w:r>
    </w:p>
    <w:p>
      <w:pPr>
        <w:pStyle w:val="193"/>
        <w:ind w:firstLine="520"/>
      </w:pPr>
      <w:r>
        <w:rPr>
          <w:rFonts w:hint="eastAsia"/>
        </w:rPr>
        <w:t>国务院关于加强环境保护重点工作的意见，国发〔2011〕35号；</w:t>
      </w:r>
    </w:p>
    <w:p>
      <w:pPr>
        <w:pStyle w:val="193"/>
        <w:ind w:firstLine="520"/>
      </w:pPr>
      <w:r>
        <w:rPr>
          <w:rFonts w:hint="eastAsia"/>
        </w:rPr>
        <w:t>关于进一步加强环境影响评价管理防范环境风险的通知，环发〔2012〕77号；</w:t>
      </w:r>
    </w:p>
    <w:p>
      <w:pPr>
        <w:pStyle w:val="193"/>
        <w:ind w:firstLine="520"/>
      </w:pPr>
      <w:r>
        <w:rPr>
          <w:rFonts w:hint="eastAsia"/>
        </w:rPr>
        <w:t>关于切实加强风险防范严格环境影响评价管理的通知，环发〔2012〕98 号；</w:t>
      </w:r>
    </w:p>
    <w:p>
      <w:pPr>
        <w:pStyle w:val="193"/>
        <w:ind w:firstLine="520"/>
      </w:pPr>
      <w:r>
        <w:rPr>
          <w:rFonts w:hint="eastAsia"/>
        </w:rPr>
        <w:t>关于进一步加强环境保护信息公开工作的通知，环境保护部办公厅文件，环办〔2012〕134号；</w:t>
      </w:r>
    </w:p>
    <w:p>
      <w:pPr>
        <w:pStyle w:val="193"/>
        <w:ind w:firstLine="520"/>
      </w:pPr>
      <w:r>
        <w:rPr>
          <w:rFonts w:hint="eastAsia"/>
        </w:rPr>
        <w:t>关于印发《建设项目环境影响评价政府信息公开指南（试行）》的通知，环境保护部办公厅文件，环办〔2013〕103 号；</w:t>
      </w:r>
    </w:p>
    <w:p>
      <w:pPr>
        <w:pStyle w:val="193"/>
        <w:ind w:firstLine="520"/>
      </w:pPr>
      <w:r>
        <w:rPr>
          <w:rFonts w:hint="eastAsia"/>
        </w:rPr>
        <w:t>关于发布《环境空气细颗粒物污染综合防治技术政策》的公告，环保部公告2013 年第 59 号；</w:t>
      </w:r>
    </w:p>
    <w:p>
      <w:pPr>
        <w:pStyle w:val="193"/>
        <w:ind w:firstLine="520"/>
      </w:pPr>
      <w:r>
        <w:rPr>
          <w:rFonts w:hint="eastAsia"/>
        </w:rPr>
        <w:t>关于印发《建设项目主要污染物排放总量指标审核及管理暂行办法》的通知，环发〔2014〕197 号；</w:t>
      </w:r>
    </w:p>
    <w:p>
      <w:pPr>
        <w:pStyle w:val="193"/>
        <w:ind w:firstLine="520"/>
      </w:pPr>
      <w:r>
        <w:rPr>
          <w:rFonts w:hint="eastAsia"/>
        </w:rPr>
        <w:t>关于贯彻实施国家主体功能区环境政策的若干意见，环境保护部、国家发展和改革委员会，环发〔2015〕92号；</w:t>
      </w:r>
    </w:p>
    <w:p>
      <w:pPr>
        <w:pStyle w:val="193"/>
        <w:ind w:firstLine="520"/>
      </w:pPr>
      <w:r>
        <w:rPr>
          <w:rFonts w:hint="eastAsia"/>
        </w:rPr>
        <w:t>《排污许可证管理办法（试行）》部令第48号；</w:t>
      </w:r>
    </w:p>
    <w:p>
      <w:pPr>
        <w:pStyle w:val="193"/>
        <w:ind w:firstLine="520"/>
      </w:pPr>
      <w:r>
        <w:rPr>
          <w:rFonts w:hint="eastAsia"/>
        </w:rPr>
        <w:t>国务院办公厅关于印发《控制污染物排放许可制实施方案的通知》，国办发〔2016〕81号；</w:t>
      </w:r>
    </w:p>
    <w:p>
      <w:pPr>
        <w:pStyle w:val="193"/>
        <w:ind w:firstLine="520"/>
      </w:pPr>
      <w:r>
        <w:rPr>
          <w:rFonts w:hint="eastAsia"/>
        </w:rPr>
        <w:t>关于做好环境影响评价制度与排污许可制衔接相关工作的通知，环办环评〔2017〕84 号；</w:t>
      </w:r>
    </w:p>
    <w:p>
      <w:pPr>
        <w:pStyle w:val="193"/>
        <w:ind w:firstLine="520"/>
      </w:pPr>
      <w:r>
        <w:rPr>
          <w:rFonts w:hint="eastAsia"/>
        </w:rPr>
        <w:t>关于强化建设项目环境影响评价事中事后监管的实施意见，环环评〔2018〕11 号；</w:t>
      </w:r>
    </w:p>
    <w:p>
      <w:pPr>
        <w:pStyle w:val="193"/>
        <w:ind w:firstLine="520"/>
      </w:pPr>
      <w:r>
        <w:rPr>
          <w:rFonts w:hint="eastAsia"/>
        </w:rPr>
        <w:t>关于印发《重点行业挥发性有机物综合治理方案》的通知，环大气〔2019〕53号；</w:t>
      </w:r>
    </w:p>
    <w:p>
      <w:pPr>
        <w:pStyle w:val="193"/>
        <w:ind w:firstLine="520"/>
      </w:pPr>
      <w:r>
        <w:t>《关于加强二噁英污染防治的指导意见》</w:t>
      </w:r>
      <w:r>
        <w:rPr>
          <w:rFonts w:hint="eastAsia"/>
        </w:rPr>
        <w:t>，</w:t>
      </w:r>
      <w:r>
        <w:t xml:space="preserve">环境保护部环发[2010]123号； </w:t>
      </w:r>
    </w:p>
    <w:p>
      <w:pPr>
        <w:pStyle w:val="193"/>
        <w:ind w:firstLine="520"/>
      </w:pPr>
      <w:r>
        <w:t>《重点行业二噁英污染防治技术政策》，国家环保部公告[2015]90 号；</w:t>
      </w:r>
    </w:p>
    <w:p>
      <w:pPr>
        <w:pStyle w:val="193"/>
        <w:ind w:firstLine="520"/>
      </w:pPr>
      <w:r>
        <w:t>《有毒有害大气污染物名录（2018 年）》，2019年</w:t>
      </w:r>
      <w:r>
        <w:rPr>
          <w:rFonts w:hint="eastAsia"/>
        </w:rPr>
        <w:t>1</w:t>
      </w:r>
      <w:r>
        <w:t>月</w:t>
      </w:r>
      <w:r>
        <w:rPr>
          <w:rFonts w:hint="eastAsia"/>
        </w:rPr>
        <w:t>23</w:t>
      </w:r>
      <w:r>
        <w:t>日；</w:t>
      </w:r>
    </w:p>
    <w:p>
      <w:pPr>
        <w:pStyle w:val="193"/>
        <w:ind w:firstLine="520"/>
      </w:pPr>
      <w:r>
        <w:t>《有毒有害水污染物名录（第一批）》，2019年7月23日；</w:t>
      </w:r>
    </w:p>
    <w:p>
      <w:pPr>
        <w:pStyle w:val="193"/>
        <w:ind w:firstLine="520"/>
      </w:pPr>
      <w:r>
        <w:rPr>
          <w:rFonts w:hint="eastAsia"/>
        </w:rPr>
        <w:t>《“十四五”时期“无废城市”建设工作方案》；</w:t>
      </w:r>
    </w:p>
    <w:p>
      <w:pPr>
        <w:pStyle w:val="193"/>
        <w:ind w:firstLine="520"/>
      </w:pPr>
      <w:r>
        <w:rPr>
          <w:rFonts w:hint="eastAsia"/>
        </w:rPr>
        <w:t>《</w:t>
      </w:r>
      <w:r>
        <w:t>关于“十四五”大宗固体废弃物综合利用的指导意见</w:t>
      </w:r>
      <w:r>
        <w:rPr>
          <w:rFonts w:hint="eastAsia"/>
        </w:rPr>
        <w:t>》（</w:t>
      </w:r>
      <w:r>
        <w:t>发改环资〔2021〕381号</w:t>
      </w:r>
      <w:r>
        <w:rPr>
          <w:rFonts w:hint="eastAsia"/>
        </w:rPr>
        <w:t>）；</w:t>
      </w:r>
    </w:p>
    <w:p>
      <w:pPr>
        <w:pStyle w:val="193"/>
        <w:ind w:firstLine="520"/>
      </w:pPr>
      <w:r>
        <w:rPr>
          <w:rFonts w:hint="eastAsia"/>
        </w:rPr>
        <w:t>《“十四五”循环经济发展规划》；</w:t>
      </w:r>
    </w:p>
    <w:p>
      <w:pPr>
        <w:pStyle w:val="193"/>
        <w:ind w:firstLine="520"/>
      </w:pPr>
      <w:r>
        <w:rPr>
          <w:rFonts w:hint="eastAsia"/>
        </w:rPr>
        <w:t>《关于加快建立健全绿色低碳循环发展经济体系的指导意见》（国发〔2021〕4号）；</w:t>
      </w:r>
    </w:p>
    <w:p>
      <w:pPr>
        <w:pStyle w:val="193"/>
        <w:ind w:firstLine="520"/>
      </w:pPr>
      <w:r>
        <w:rPr>
          <w:rFonts w:hint="eastAsia"/>
        </w:rPr>
        <w:t>《中共中央 国务院关于深入打好污染防治攻坚战的意见》（2021年11月2日）</w:t>
      </w:r>
    </w:p>
    <w:p>
      <w:pPr>
        <w:pStyle w:val="193"/>
        <w:ind w:firstLine="520"/>
      </w:pPr>
      <w:r>
        <w:rPr>
          <w:rFonts w:hint="eastAsia"/>
        </w:rPr>
        <w:t>《关于进一步加强产业园区规划环境影响评价工作的意见》（环环评〔2021〕</w:t>
      </w:r>
      <w:r>
        <w:t>65</w:t>
      </w:r>
      <w:r>
        <w:rPr>
          <w:rFonts w:hint="eastAsia"/>
        </w:rPr>
        <w:t>号）。</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地方法规及规章</w:t>
      </w:r>
    </w:p>
    <w:p>
      <w:pPr>
        <w:pStyle w:val="193"/>
        <w:numPr>
          <w:ilvl w:val="0"/>
          <w:numId w:val="13"/>
        </w:numPr>
        <w:ind w:firstLine="520"/>
        <w:rPr>
          <w:spacing w:val="2"/>
        </w:rPr>
      </w:pPr>
      <w:r>
        <w:t>《重庆市环境保护条例》(2022年9月28日</w:t>
      </w:r>
      <w:r>
        <w:rPr>
          <w:rFonts w:hint="eastAsia"/>
        </w:rPr>
        <w:t>修订</w:t>
      </w:r>
      <w:r>
        <w:t>)</w:t>
      </w:r>
      <w:r>
        <w:rPr>
          <w:rFonts w:hint="eastAsia"/>
          <w:spacing w:val="2"/>
        </w:rPr>
        <w:t>；</w:t>
      </w:r>
    </w:p>
    <w:p>
      <w:pPr>
        <w:pStyle w:val="193"/>
        <w:ind w:firstLine="528"/>
      </w:pPr>
      <w:r>
        <w:rPr>
          <w:rFonts w:hint="eastAsia"/>
          <w:spacing w:val="2"/>
        </w:rPr>
        <w:t>《重庆市大气</w:t>
      </w:r>
      <w:r>
        <w:rPr>
          <w:rFonts w:hint="eastAsia"/>
        </w:rPr>
        <w:t>污染防治条例</w:t>
      </w:r>
      <w:r>
        <w:t>（修正）》(2021年5月27日起施行)</w:t>
      </w:r>
      <w:r>
        <w:rPr>
          <w:rFonts w:hint="eastAsia"/>
        </w:rPr>
        <w:t>；</w:t>
      </w:r>
    </w:p>
    <w:p>
      <w:pPr>
        <w:pStyle w:val="193"/>
        <w:ind w:firstLine="520"/>
      </w:pPr>
      <w:r>
        <w:rPr>
          <w:rFonts w:hint="eastAsia"/>
        </w:rPr>
        <w:t>《</w:t>
      </w:r>
      <w:r>
        <w:t>重庆市水污染防治条例</w:t>
      </w:r>
      <w:r>
        <w:rPr>
          <w:rFonts w:hint="eastAsia"/>
        </w:rPr>
        <w:t>》（</w:t>
      </w:r>
      <w:r>
        <w:t> 2020年10月1日起施行</w:t>
      </w:r>
      <w:r>
        <w:rPr>
          <w:rFonts w:hint="eastAsia"/>
        </w:rPr>
        <w:t>）；</w:t>
      </w:r>
    </w:p>
    <w:p>
      <w:pPr>
        <w:pStyle w:val="193"/>
        <w:ind w:firstLine="520"/>
      </w:pPr>
      <w:r>
        <w:rPr>
          <w:rFonts w:hint="eastAsia"/>
        </w:rPr>
        <w:t>《重庆市建设用地土壤污染防治办法》（重庆市人民政府令第 332 号，</w:t>
      </w:r>
      <w:r>
        <w:t> 2020年</w:t>
      </w:r>
      <w:r>
        <w:rPr>
          <w:rFonts w:hint="eastAsia"/>
        </w:rPr>
        <w:t>2</w:t>
      </w:r>
      <w:r>
        <w:t>月1日起施行</w:t>
      </w:r>
      <w:r>
        <w:rPr>
          <w:rFonts w:hint="eastAsia"/>
        </w:rPr>
        <w:t>）；</w:t>
      </w:r>
    </w:p>
    <w:p>
      <w:pPr>
        <w:pStyle w:val="193"/>
        <w:ind w:firstLine="520"/>
      </w:pPr>
      <w:r>
        <w:t>《重庆市环境噪声污染防治办法》（重庆市人民政府令第270号），2013年</w:t>
      </w:r>
      <w:r>
        <w:rPr>
          <w:rFonts w:hint="eastAsia"/>
        </w:rPr>
        <w:t>）；</w:t>
      </w:r>
    </w:p>
    <w:p>
      <w:pPr>
        <w:pStyle w:val="193"/>
        <w:ind w:firstLine="520"/>
        <w:rPr>
          <w:spacing w:val="2"/>
        </w:rPr>
      </w:pPr>
      <w:r>
        <w:t>《重庆市环境空气质量功能区划分规定》（渝府发[20</w:t>
      </w:r>
      <w:r>
        <w:rPr>
          <w:rFonts w:hint="eastAsia"/>
        </w:rPr>
        <w:t>16</w:t>
      </w:r>
      <w:r>
        <w:t>]1</w:t>
      </w:r>
      <w:r>
        <w:rPr>
          <w:rFonts w:hint="eastAsia"/>
        </w:rPr>
        <w:t>9</w:t>
      </w:r>
      <w:r>
        <w:t>号）</w:t>
      </w:r>
      <w:r>
        <w:rPr>
          <w:rFonts w:hint="eastAsia"/>
        </w:rPr>
        <w:t>；</w:t>
      </w:r>
    </w:p>
    <w:p>
      <w:pPr>
        <w:pStyle w:val="193"/>
        <w:ind w:firstLine="520"/>
        <w:rPr>
          <w:spacing w:val="2"/>
        </w:rPr>
      </w:pPr>
      <w:r>
        <w:t>《重庆市人民政府关于发布重庆市生态保护红线的通知》(渝府发[2018]25号)</w:t>
      </w:r>
      <w:r>
        <w:rPr>
          <w:rFonts w:hint="eastAsia"/>
        </w:rPr>
        <w:t>；</w:t>
      </w:r>
    </w:p>
    <w:p>
      <w:pPr>
        <w:pStyle w:val="193"/>
        <w:ind w:firstLine="520"/>
        <w:rPr>
          <w:spacing w:val="2"/>
        </w:rPr>
      </w:pPr>
      <w:r>
        <w:t>《关于调整部分地表水域功能类别的通知》（渝环发〔2009〕110号）</w:t>
      </w:r>
      <w:r>
        <w:rPr>
          <w:rFonts w:hint="eastAsia"/>
        </w:rPr>
        <w:t>；</w:t>
      </w:r>
    </w:p>
    <w:p>
      <w:pPr>
        <w:pStyle w:val="193"/>
        <w:ind w:firstLine="520"/>
      </w:pPr>
      <w:r>
        <w:rPr>
          <w:rFonts w:hint="eastAsia"/>
        </w:rPr>
        <w:t>《</w:t>
      </w:r>
      <w:r>
        <w:t>重庆市人民政府批转重庆市地表水环境功能类别调整方案的通知</w:t>
      </w:r>
      <w:r>
        <w:rPr>
          <w:rFonts w:hint="eastAsia"/>
        </w:rPr>
        <w:t>》</w:t>
      </w:r>
      <w:r>
        <w:t>(渝府发[2012]4号)</w:t>
      </w:r>
      <w:r>
        <w:rPr>
          <w:rFonts w:hint="eastAsia"/>
        </w:rPr>
        <w:t>；</w:t>
      </w:r>
    </w:p>
    <w:p>
      <w:pPr>
        <w:pStyle w:val="193"/>
        <w:ind w:firstLine="520"/>
        <w:rPr>
          <w:spacing w:val="2"/>
        </w:rPr>
      </w:pPr>
      <w:r>
        <w:rPr>
          <w:rFonts w:hint="eastAsia"/>
        </w:rPr>
        <w:t>《</w:t>
      </w:r>
      <w:r>
        <w:t>重庆市人民政府办公厅关于印发主城区集中式饮用水水源保护区划定方案的通知</w:t>
      </w:r>
      <w:r>
        <w:rPr>
          <w:rFonts w:hint="eastAsia"/>
        </w:rPr>
        <w:t>》</w:t>
      </w:r>
      <w:r>
        <w:t>(渝办〔2011〕92 号)</w:t>
      </w:r>
      <w:r>
        <w:rPr>
          <w:rFonts w:hint="eastAsia"/>
        </w:rPr>
        <w:t>；</w:t>
      </w:r>
    </w:p>
    <w:p>
      <w:pPr>
        <w:pStyle w:val="193"/>
        <w:ind w:firstLine="520"/>
      </w:pPr>
      <w:r>
        <w:t>《重庆市环境保护局关于印发城市区域环境噪声标准适用区域划分规定调整方案的通知》（渝环发[2007]39号）</w:t>
      </w:r>
      <w:r>
        <w:rPr>
          <w:rFonts w:hint="eastAsia"/>
        </w:rPr>
        <w:t>；</w:t>
      </w:r>
    </w:p>
    <w:p>
      <w:pPr>
        <w:pStyle w:val="193"/>
        <w:ind w:firstLine="520"/>
      </w:pPr>
      <w:r>
        <w:t>《重庆市环境保护局</w:t>
      </w:r>
      <w:r>
        <w:rPr>
          <w:rFonts w:hint="eastAsia"/>
        </w:rPr>
        <w:t>不要</w:t>
      </w:r>
      <w:r>
        <w:t>关于修正城市区域环境噪声标准适用区域划分规定调整方案有关内容的通知》（渝环发[2007]78号）</w:t>
      </w:r>
      <w:r>
        <w:rPr>
          <w:rFonts w:hint="eastAsia"/>
        </w:rPr>
        <w:t>；</w:t>
      </w:r>
    </w:p>
    <w:p>
      <w:pPr>
        <w:pStyle w:val="193"/>
        <w:ind w:firstLine="520"/>
      </w:pPr>
      <w:r>
        <w:rPr>
          <w:rFonts w:hint="eastAsia"/>
        </w:rPr>
        <w:t>《</w:t>
      </w:r>
      <w:bookmarkStart w:id="18" w:name="OLE_LINK4"/>
      <w:bookmarkStart w:id="19" w:name="OLE_LINK6"/>
      <w:bookmarkStart w:id="20" w:name="OLE_LINK5"/>
      <w:r>
        <w:rPr>
          <w:rFonts w:hint="eastAsia"/>
        </w:rPr>
        <w:t>重庆市人民政府关于印发重庆市生态文明建设“十四五”规划（2021—2025年）的通知</w:t>
      </w:r>
      <w:bookmarkEnd w:id="18"/>
      <w:bookmarkEnd w:id="19"/>
      <w:bookmarkEnd w:id="20"/>
      <w:r>
        <w:rPr>
          <w:rFonts w:hint="eastAsia"/>
        </w:rPr>
        <w:t>》（渝府发〔2022〕11号）；</w:t>
      </w:r>
    </w:p>
    <w:p>
      <w:pPr>
        <w:pStyle w:val="193"/>
        <w:ind w:firstLine="520"/>
      </w:pPr>
      <w:r>
        <w:rPr>
          <w:rFonts w:hint="eastAsia"/>
        </w:rPr>
        <w:t>《重庆市人民政府办公厅关于印发重庆市工业项目环境准入规定（修订）的通知》（渝办发[2012]142号）；</w:t>
      </w:r>
    </w:p>
    <w:p>
      <w:pPr>
        <w:pStyle w:val="193"/>
        <w:ind w:firstLine="520"/>
      </w:pPr>
      <w:r>
        <w:rPr>
          <w:rFonts w:hint="eastAsia"/>
        </w:rPr>
        <w:t>《重庆市发展和改革委员会关于印发重庆市产业投资准入工作手册》（渝发改投[2018]541号）；</w:t>
      </w:r>
    </w:p>
    <w:p>
      <w:pPr>
        <w:pStyle w:val="193"/>
        <w:ind w:firstLine="520"/>
      </w:pPr>
      <w:r>
        <w:rPr>
          <w:rFonts w:hint="eastAsia"/>
        </w:rPr>
        <w:t>《重庆市发展和改革委员会、重庆市经济和信息化委员会关于严格工业布局和准入的通知》（渝发改工[2018]781号）；</w:t>
      </w:r>
    </w:p>
    <w:p>
      <w:pPr>
        <w:pStyle w:val="193"/>
        <w:ind w:firstLine="520"/>
      </w:pPr>
      <w:r>
        <w:rPr>
          <w:rFonts w:hint="eastAsia"/>
        </w:rPr>
        <w:t>《环境保护局关于重庆市排污口规范化清理整治实施方案的通知》（渝环发[2012]2</w:t>
      </w:r>
      <w:r>
        <w:t>6</w:t>
      </w:r>
      <w:r>
        <w:rPr>
          <w:rFonts w:hint="eastAsia"/>
        </w:rPr>
        <w:t>号）；</w:t>
      </w:r>
    </w:p>
    <w:p>
      <w:pPr>
        <w:pStyle w:val="193"/>
        <w:ind w:firstLine="520"/>
      </w:pPr>
      <w:r>
        <w:rPr>
          <w:rFonts w:hint="eastAsia"/>
        </w:rPr>
        <w:t>《重庆市环境保护局关于印发重庆市工业企业排污权有偿使用和交易工作实施细则的通知》（渝环[2017]249号）；</w:t>
      </w:r>
    </w:p>
    <w:p>
      <w:pPr>
        <w:pStyle w:val="193"/>
        <w:ind w:firstLine="520"/>
      </w:pPr>
      <w:r>
        <w:rPr>
          <w:rFonts w:hint="eastAsia"/>
        </w:rPr>
        <w:t>《重庆市人民政府关于落实生态保护红线、环境质量底线、资源利用上线制定生态环境准入清单实施生态环境分区管控的实施意见》（渝府发〔2020〕11号）；</w:t>
      </w:r>
    </w:p>
    <w:p>
      <w:pPr>
        <w:pStyle w:val="193"/>
        <w:ind w:firstLine="520"/>
      </w:pPr>
      <w:r>
        <w:rPr>
          <w:rFonts w:hint="eastAsia"/>
        </w:rPr>
        <w:t>《重庆市生态环境局关于印发重庆市环评领域进一步推动高质量发展若干措施的通知》（渝环〔2019〕65号）；</w:t>
      </w:r>
    </w:p>
    <w:p>
      <w:pPr>
        <w:pStyle w:val="193"/>
        <w:ind w:firstLine="520"/>
      </w:pPr>
      <w:r>
        <w:rPr>
          <w:rFonts w:hint="eastAsia"/>
        </w:rPr>
        <w:t>《重庆市人民政府办公厅关于印发重庆市优化工业园区规划建设管理若干政策措施的通知》（渝府办发〔20</w:t>
      </w:r>
      <w:r>
        <w:t>20</w:t>
      </w:r>
      <w:r>
        <w:rPr>
          <w:rFonts w:hint="eastAsia"/>
        </w:rPr>
        <w:t>〕</w:t>
      </w:r>
      <w:r>
        <w:t>99</w:t>
      </w:r>
      <w:r>
        <w:rPr>
          <w:rFonts w:hint="eastAsia"/>
        </w:rPr>
        <w:t>号）；</w:t>
      </w:r>
    </w:p>
    <w:p>
      <w:pPr>
        <w:pStyle w:val="193"/>
        <w:ind w:firstLine="520"/>
      </w:pPr>
      <w:r>
        <w:t>《四川省、重庆市长江经济带发展负面清单实施细则（试行， 2022 年版）》（川长江办〔2022〕17号）</w:t>
      </w:r>
      <w:r>
        <w:rPr>
          <w:rFonts w:hint="eastAsia"/>
        </w:rPr>
        <w:t>；</w:t>
      </w:r>
    </w:p>
    <w:p>
      <w:pPr>
        <w:pStyle w:val="193"/>
        <w:ind w:firstLine="520"/>
      </w:pPr>
      <w:r>
        <w:rPr>
          <w:rFonts w:hint="eastAsia"/>
        </w:rPr>
        <w:t>《重庆市生态环境局关于印发</w:t>
      </w:r>
      <w:r>
        <w:t>&lt;</w:t>
      </w:r>
      <w:r>
        <w:rPr>
          <w:rFonts w:hint="eastAsia"/>
        </w:rPr>
        <w:t>规划环评“三线一单”符合性分析技术要点（试行）</w:t>
      </w:r>
      <w:r>
        <w:t>&gt;</w:t>
      </w:r>
      <w:r>
        <w:rPr>
          <w:rFonts w:hint="eastAsia"/>
        </w:rPr>
        <w:t>&lt;建设项目环评“三线一单”符合性分析技术要点（试行）</w:t>
      </w:r>
      <w:r>
        <w:t>&gt;</w:t>
      </w:r>
      <w:r>
        <w:rPr>
          <w:rFonts w:hint="eastAsia"/>
        </w:rPr>
        <w:t>的通知》（渝环函〔</w:t>
      </w:r>
      <w:r>
        <w:t>2022</w:t>
      </w:r>
      <w:r>
        <w:rPr>
          <w:rFonts w:hint="eastAsia"/>
        </w:rPr>
        <w:t>〕</w:t>
      </w:r>
      <w:r>
        <w:t>397号）；</w:t>
      </w:r>
    </w:p>
    <w:p>
      <w:pPr>
        <w:pStyle w:val="193"/>
        <w:ind w:firstLine="520"/>
      </w:pPr>
      <w:r>
        <w:t>《</w:t>
      </w:r>
      <w:r>
        <w:rPr>
          <w:rFonts w:hint="eastAsia"/>
        </w:rPr>
        <w:t>重庆市涪陵区人民政府办公室关于印发重庆市涪陵区声环境功能区划分调整方案的通知</w:t>
      </w:r>
      <w:r>
        <w:t>》</w:t>
      </w:r>
      <w:r>
        <w:rPr>
          <w:rFonts w:hint="eastAsia"/>
        </w:rPr>
        <w:t>（涪陵府办发〔2018〕148号）。</w:t>
      </w:r>
    </w:p>
    <w:p>
      <w:pPr>
        <w:pStyle w:val="4"/>
        <w:rPr>
          <w:color w:val="000000" w:themeColor="text1"/>
          <w14:textFill>
            <w14:solidFill>
              <w14:schemeClr w14:val="tx1"/>
            </w14:solidFill>
          </w14:textFill>
        </w:rPr>
      </w:pPr>
      <w:r>
        <w:rPr>
          <w:color w:val="000000" w:themeColor="text1"/>
          <w14:textFill>
            <w14:solidFill>
              <w14:schemeClr w14:val="tx1"/>
            </w14:solidFill>
          </w14:textFill>
        </w:rPr>
        <w:t>技术评价规范</w:t>
      </w:r>
    </w:p>
    <w:p>
      <w:pPr>
        <w:numPr>
          <w:ilvl w:val="0"/>
          <w:numId w:val="14"/>
        </w:numPr>
        <w:ind w:firstLineChars="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建设项目</w:t>
      </w:r>
      <w:r>
        <w:rPr>
          <w:color w:val="000000" w:themeColor="text1"/>
          <w14:textFill>
            <w14:solidFill>
              <w14:schemeClr w14:val="tx1"/>
            </w14:solidFill>
          </w14:textFill>
        </w:rPr>
        <w:t>环境影响评价技术导则</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总纲》（HJ2.1-201</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w:t>
      </w:r>
    </w:p>
    <w:p>
      <w:pPr>
        <w:numPr>
          <w:ilvl w:val="0"/>
          <w:numId w:val="14"/>
        </w:numPr>
        <w:ind w:firstLineChars="0"/>
        <w:rPr>
          <w:color w:val="000000" w:themeColor="text1"/>
          <w14:textFill>
            <w14:solidFill>
              <w14:schemeClr w14:val="tx1"/>
            </w14:solidFill>
          </w14:textFill>
        </w:rPr>
      </w:pPr>
      <w:r>
        <w:rPr>
          <w:color w:val="000000" w:themeColor="text1"/>
          <w14:textFill>
            <w14:solidFill>
              <w14:schemeClr w14:val="tx1"/>
            </w14:solidFill>
          </w14:textFill>
        </w:rPr>
        <w:t>《环境影响评价技术导则</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大气环境》（HJ2.2-2018）；</w:t>
      </w:r>
    </w:p>
    <w:p>
      <w:pPr>
        <w:numPr>
          <w:ilvl w:val="0"/>
          <w:numId w:val="14"/>
        </w:numPr>
        <w:ind w:firstLineChars="0"/>
        <w:rPr>
          <w:color w:val="000000" w:themeColor="text1"/>
          <w14:textFill>
            <w14:solidFill>
              <w14:schemeClr w14:val="tx1"/>
            </w14:solidFill>
          </w14:textFill>
        </w:rPr>
      </w:pPr>
      <w:r>
        <w:rPr>
          <w:color w:val="000000" w:themeColor="text1"/>
          <w14:textFill>
            <w14:solidFill>
              <w14:schemeClr w14:val="tx1"/>
            </w14:solidFill>
          </w14:textFill>
        </w:rPr>
        <w:t>《环境影响评价技术导则</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地</w:t>
      </w:r>
      <w:r>
        <w:rPr>
          <w:rFonts w:hint="eastAsia"/>
          <w:color w:val="000000" w:themeColor="text1"/>
          <w14:textFill>
            <w14:solidFill>
              <w14:schemeClr w14:val="tx1"/>
            </w14:solidFill>
          </w14:textFill>
        </w:rPr>
        <w:t>表</w:t>
      </w:r>
      <w:r>
        <w:rPr>
          <w:color w:val="000000" w:themeColor="text1"/>
          <w14:textFill>
            <w14:solidFill>
              <w14:schemeClr w14:val="tx1"/>
            </w14:solidFill>
          </w14:textFill>
        </w:rPr>
        <w:t>水环境》（HJ2.3-</w:t>
      </w:r>
      <w:r>
        <w:rPr>
          <w:rFonts w:hint="eastAsia"/>
          <w:color w:val="000000" w:themeColor="text1"/>
          <w14:textFill>
            <w14:solidFill>
              <w14:schemeClr w14:val="tx1"/>
            </w14:solidFill>
          </w14:textFill>
        </w:rPr>
        <w:t>2018</w:t>
      </w:r>
      <w:r>
        <w:rPr>
          <w:color w:val="000000" w:themeColor="text1"/>
          <w14:textFill>
            <w14:solidFill>
              <w14:schemeClr w14:val="tx1"/>
            </w14:solidFill>
          </w14:textFill>
        </w:rPr>
        <w:t>）；</w:t>
      </w:r>
    </w:p>
    <w:p>
      <w:pPr>
        <w:numPr>
          <w:ilvl w:val="0"/>
          <w:numId w:val="14"/>
        </w:numPr>
        <w:ind w:firstLineChars="0"/>
        <w:rPr>
          <w:color w:val="000000" w:themeColor="text1"/>
          <w14:textFill>
            <w14:solidFill>
              <w14:schemeClr w14:val="tx1"/>
            </w14:solidFill>
          </w14:textFill>
        </w:rPr>
      </w:pPr>
      <w:r>
        <w:rPr>
          <w:color w:val="000000" w:themeColor="text1"/>
          <w14:textFill>
            <w14:solidFill>
              <w14:schemeClr w14:val="tx1"/>
            </w14:solidFill>
          </w14:textFill>
        </w:rPr>
        <w:t>《环境影响评价技术导则 声环境》（HJ 2.4-2021）；</w:t>
      </w:r>
    </w:p>
    <w:p>
      <w:pPr>
        <w:numPr>
          <w:ilvl w:val="0"/>
          <w:numId w:val="14"/>
        </w:numPr>
        <w:ind w:firstLineChars="0"/>
        <w:rPr>
          <w:color w:val="000000" w:themeColor="text1"/>
          <w14:textFill>
            <w14:solidFill>
              <w14:schemeClr w14:val="tx1"/>
            </w14:solidFill>
          </w14:textFill>
        </w:rPr>
      </w:pPr>
      <w:r>
        <w:rPr>
          <w:color w:val="000000" w:themeColor="text1"/>
          <w14:textFill>
            <w14:solidFill>
              <w14:schemeClr w14:val="tx1"/>
            </w14:solidFill>
          </w14:textFill>
        </w:rPr>
        <w:t>《环境影响评价技术导则</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地下水环境》（HJ610-201</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w:t>
      </w:r>
    </w:p>
    <w:p>
      <w:pPr>
        <w:numPr>
          <w:ilvl w:val="0"/>
          <w:numId w:val="14"/>
        </w:numPr>
        <w:ind w:firstLineChars="0"/>
        <w:rPr>
          <w:color w:val="000000" w:themeColor="text1"/>
          <w14:textFill>
            <w14:solidFill>
              <w14:schemeClr w14:val="tx1"/>
            </w14:solidFill>
          </w14:textFill>
        </w:rPr>
      </w:pPr>
      <w:r>
        <w:rPr>
          <w:color w:val="000000" w:themeColor="text1"/>
          <w14:textFill>
            <w14:solidFill>
              <w14:schemeClr w14:val="tx1"/>
            </w14:solidFill>
          </w14:textFill>
        </w:rPr>
        <w:t>《环境影响评价技术导则 生态影响》（HJ 19-2022）；</w:t>
      </w:r>
    </w:p>
    <w:p>
      <w:pPr>
        <w:numPr>
          <w:ilvl w:val="0"/>
          <w:numId w:val="14"/>
        </w:numPr>
        <w:ind w:firstLineChars="0"/>
        <w:rPr>
          <w:color w:val="000000" w:themeColor="text1"/>
          <w14:textFill>
            <w14:solidFill>
              <w14:schemeClr w14:val="tx1"/>
            </w14:solidFill>
          </w14:textFill>
        </w:rPr>
      </w:pPr>
      <w:r>
        <w:rPr>
          <w:color w:val="000000" w:themeColor="text1"/>
          <w14:textFill>
            <w14:solidFill>
              <w14:schemeClr w14:val="tx1"/>
            </w14:solidFill>
          </w14:textFill>
        </w:rPr>
        <w:t>《建设项目环境风险评价技术导则》（HJ169-20</w:t>
      </w:r>
      <w:r>
        <w:rPr>
          <w:rFonts w:hint="eastAsia"/>
          <w:color w:val="000000" w:themeColor="text1"/>
          <w14:textFill>
            <w14:solidFill>
              <w14:schemeClr w14:val="tx1"/>
            </w14:solidFill>
          </w14:textFill>
        </w:rPr>
        <w:t>18</w:t>
      </w:r>
      <w:r>
        <w:rPr>
          <w:color w:val="000000" w:themeColor="text1"/>
          <w14:textFill>
            <w14:solidFill>
              <w14:schemeClr w14:val="tx1"/>
            </w14:solidFill>
          </w14:textFill>
        </w:rPr>
        <w:t>）；</w:t>
      </w:r>
    </w:p>
    <w:p>
      <w:pPr>
        <w:numPr>
          <w:ilvl w:val="0"/>
          <w:numId w:val="14"/>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《固体废物鉴别标准 通则》(GB 34330-2017)；</w:t>
      </w:r>
    </w:p>
    <w:p>
      <w:pPr>
        <w:numPr>
          <w:ilvl w:val="0"/>
          <w:numId w:val="14"/>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《固体废物再生利用污染防治技术导则》（HJ1091-2020）；</w:t>
      </w:r>
    </w:p>
    <w:p>
      <w:pPr>
        <w:numPr>
          <w:ilvl w:val="0"/>
          <w:numId w:val="14"/>
        </w:numPr>
        <w:ind w:firstLineChars="0"/>
        <w:rPr>
          <w:color w:val="000000" w:themeColor="text1"/>
          <w14:textFill>
            <w14:solidFill>
              <w14:schemeClr w14:val="tx1"/>
            </w14:solidFill>
          </w14:textFill>
        </w:rPr>
      </w:pPr>
      <w:bookmarkStart w:id="21" w:name="_Hlk106012944"/>
      <w:r>
        <w:rPr>
          <w:rFonts w:hint="eastAsia"/>
          <w:color w:val="000000" w:themeColor="text1"/>
          <w14:textFill>
            <w14:solidFill>
              <w14:schemeClr w14:val="tx1"/>
            </w14:solidFill>
          </w14:textFill>
        </w:rPr>
        <w:t>《污染源源强核算技术指南 火电》（HJ888-2018）</w:t>
      </w:r>
      <w:bookmarkEnd w:id="21"/>
      <w:r>
        <w:rPr>
          <w:rFonts w:hint="eastAsia"/>
          <w:color w:val="000000" w:themeColor="text1"/>
          <w14:textFill>
            <w14:solidFill>
              <w14:schemeClr w14:val="tx1"/>
            </w14:solidFill>
          </w14:textFill>
        </w:rPr>
        <w:t>；</w:t>
      </w:r>
    </w:p>
    <w:p>
      <w:pPr>
        <w:numPr>
          <w:ilvl w:val="0"/>
          <w:numId w:val="14"/>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《排污许可证申请与核发技术规范 工业固体废物和危险废物治理》（</w:t>
      </w:r>
      <w:r>
        <w:rPr>
          <w:color w:val="000000" w:themeColor="text1"/>
          <w14:textFill>
            <w14:solidFill>
              <w14:schemeClr w14:val="tx1"/>
            </w14:solidFill>
          </w14:textFill>
        </w:rPr>
        <w:t>HJ1033</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19</w:t>
      </w:r>
      <w:r>
        <w:rPr>
          <w:rFonts w:hint="eastAsia"/>
          <w:color w:val="000000" w:themeColor="text1"/>
          <w14:textFill>
            <w14:solidFill>
              <w14:schemeClr w14:val="tx1"/>
            </w14:solidFill>
          </w14:textFill>
        </w:rPr>
        <w:t>）；</w:t>
      </w:r>
    </w:p>
    <w:p>
      <w:pPr>
        <w:numPr>
          <w:ilvl w:val="0"/>
          <w:numId w:val="14"/>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《一般固体废物分类与代码》（GB/T39189-2020）；</w:t>
      </w:r>
    </w:p>
    <w:p>
      <w:pPr>
        <w:numPr>
          <w:ilvl w:val="0"/>
          <w:numId w:val="14"/>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《一般工业固体废物管理台账制定指南（试行）》。</w:t>
      </w:r>
    </w:p>
    <w:p>
      <w:pPr>
        <w:pStyle w:val="4"/>
        <w:rPr>
          <w:color w:val="000000" w:themeColor="text1"/>
          <w14:textFill>
            <w14:solidFill>
              <w14:schemeClr w14:val="tx1"/>
            </w14:solidFill>
          </w14:textFill>
        </w:rPr>
      </w:pPr>
      <w:r>
        <w:rPr>
          <w:color w:val="000000" w:themeColor="text1"/>
          <w14:textFill>
            <w14:solidFill>
              <w14:schemeClr w14:val="tx1"/>
            </w14:solidFill>
          </w14:textFill>
        </w:rPr>
        <w:t>建设项目有关资料</w:t>
      </w:r>
    </w:p>
    <w:p>
      <w:pPr>
        <w:pStyle w:val="66"/>
        <w:numPr>
          <w:ilvl w:val="0"/>
          <w:numId w:val="15"/>
        </w:numPr>
        <w:ind w:left="567"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太极制药醇沉药渣焚烧处置方案</w:t>
      </w:r>
      <w:r>
        <w:rPr>
          <w:color w:val="000000" w:themeColor="text1"/>
          <w14:textFill>
            <w14:solidFill>
              <w14:schemeClr w14:val="tx1"/>
            </w14:solidFill>
          </w14:textFill>
        </w:rPr>
        <w:t>》；</w:t>
      </w:r>
    </w:p>
    <w:p>
      <w:pPr>
        <w:pStyle w:val="66"/>
        <w:numPr>
          <w:ilvl w:val="0"/>
          <w:numId w:val="15"/>
        </w:numPr>
        <w:ind w:left="567" w:firstLine="0" w:firstLineChars="0"/>
        <w:rPr>
          <w:color w:val="000000" w:themeColor="text1"/>
          <w14:textFill>
            <w14:solidFill>
              <w14:schemeClr w14:val="tx1"/>
            </w14:solidFill>
          </w14:textFill>
        </w:rPr>
      </w:pPr>
      <w:r>
        <w:rPr>
          <w:color w:val="000000" w:themeColor="text1"/>
          <w14:textFill>
            <w14:solidFill>
              <w14:schemeClr w14:val="tx1"/>
            </w14:solidFill>
          </w14:textFill>
        </w:rPr>
        <w:t>《重庆涪陵龙桥热电联产项目环境影响报告书》及其批准书（渝（市）环准</w:t>
      </w:r>
      <w:r>
        <w:rPr>
          <w:rFonts w:hint="eastAsia"/>
          <w:color w:val="000000" w:themeColor="text1"/>
          <w14:textFill>
            <w14:solidFill>
              <w14:schemeClr w14:val="tx1"/>
            </w14:solidFill>
          </w14:textFill>
        </w:rPr>
        <w:t>[2011]26号</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2011年2月</w:t>
      </w:r>
      <w:r>
        <w:rPr>
          <w:color w:val="000000" w:themeColor="text1"/>
          <w14:textFill>
            <w14:solidFill>
              <w14:schemeClr w14:val="tx1"/>
            </w14:solidFill>
          </w14:textFill>
        </w:rPr>
        <w:t>；</w:t>
      </w:r>
    </w:p>
    <w:p>
      <w:pPr>
        <w:pStyle w:val="66"/>
        <w:numPr>
          <w:ilvl w:val="0"/>
          <w:numId w:val="15"/>
        </w:numPr>
        <w:ind w:left="567" w:firstLine="0" w:firstLineChars="0"/>
        <w:rPr>
          <w:color w:val="000000" w:themeColor="text1"/>
          <w14:textFill>
            <w14:solidFill>
              <w14:schemeClr w14:val="tx1"/>
            </w14:solidFill>
          </w14:textFill>
        </w:rPr>
      </w:pPr>
      <w:bookmarkStart w:id="22" w:name="_Hlk99710437"/>
      <w:r>
        <w:rPr>
          <w:color w:val="000000" w:themeColor="text1"/>
          <w14:textFill>
            <w14:solidFill>
              <w14:schemeClr w14:val="tx1"/>
            </w14:solidFill>
          </w14:textFill>
        </w:rPr>
        <w:t>《重庆涪陵龙桥热电联产项目（一期</w:t>
      </w:r>
      <w:r>
        <w:rPr>
          <w:rFonts w:hint="eastAsia"/>
          <w:color w:val="000000" w:themeColor="text1"/>
          <w14:textFill>
            <w14:solidFill>
              <w14:schemeClr w14:val="tx1"/>
            </w14:solidFill>
          </w14:textFill>
        </w:rPr>
        <w:t>1×300MW抽凝机组</w:t>
      </w:r>
      <w:r>
        <w:rPr>
          <w:color w:val="000000" w:themeColor="text1"/>
          <w14:textFill>
            <w14:solidFill>
              <w14:schemeClr w14:val="tx1"/>
            </w14:solidFill>
          </w14:textFill>
        </w:rPr>
        <w:t>）竣工环境</w:t>
      </w:r>
      <w:r>
        <w:rPr>
          <w:rFonts w:hint="eastAsia"/>
          <w:color w:val="000000" w:themeColor="text1"/>
          <w14:textFill>
            <w14:solidFill>
              <w14:schemeClr w14:val="tx1"/>
            </w14:solidFill>
          </w14:textFill>
        </w:rPr>
        <w:t>保护</w:t>
      </w:r>
      <w:r>
        <w:rPr>
          <w:color w:val="000000" w:themeColor="text1"/>
          <w14:textFill>
            <w14:solidFill>
              <w14:schemeClr w14:val="tx1"/>
            </w14:solidFill>
          </w14:textFill>
        </w:rPr>
        <w:t>验收监测报告》</w:t>
      </w:r>
      <w:bookmarkEnd w:id="22"/>
      <w:r>
        <w:rPr>
          <w:color w:val="000000" w:themeColor="text1"/>
          <w14:textFill>
            <w14:solidFill>
              <w14:schemeClr w14:val="tx1"/>
            </w14:solidFill>
          </w14:textFill>
        </w:rPr>
        <w:t>及其批准书（渝（市）环验</w:t>
      </w:r>
      <w:r>
        <w:rPr>
          <w:rFonts w:hint="eastAsia"/>
          <w:color w:val="000000" w:themeColor="text1"/>
          <w14:textFill>
            <w14:solidFill>
              <w14:schemeClr w14:val="tx1"/>
            </w14:solidFill>
          </w14:textFill>
        </w:rPr>
        <w:t>[2015]069号</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2015年6月</w:t>
      </w:r>
      <w:r>
        <w:rPr>
          <w:color w:val="000000" w:themeColor="text1"/>
          <w14:textFill>
            <w14:solidFill>
              <w14:schemeClr w14:val="tx1"/>
            </w14:solidFill>
          </w14:textFill>
        </w:rPr>
        <w:t>；</w:t>
      </w:r>
    </w:p>
    <w:p>
      <w:pPr>
        <w:pStyle w:val="66"/>
        <w:numPr>
          <w:ilvl w:val="0"/>
          <w:numId w:val="15"/>
        </w:numPr>
        <w:ind w:left="567" w:firstLine="0" w:firstLineChars="0"/>
        <w:rPr>
          <w:color w:val="000000" w:themeColor="text1"/>
          <w14:textFill>
            <w14:solidFill>
              <w14:schemeClr w14:val="tx1"/>
            </w14:solidFill>
          </w14:textFill>
        </w:rPr>
      </w:pPr>
      <w:r>
        <w:rPr>
          <w:color w:val="000000" w:themeColor="text1"/>
          <w14:textFill>
            <w14:solidFill>
              <w14:schemeClr w14:val="tx1"/>
            </w14:solidFill>
          </w14:textFill>
        </w:rPr>
        <w:t>《重庆中机龙桥热电有限公司</w:t>
      </w:r>
      <w:r>
        <w:rPr>
          <w:rFonts w:hint="eastAsia"/>
          <w:color w:val="000000" w:themeColor="text1"/>
          <w14:textFill>
            <w14:solidFill>
              <w14:schemeClr w14:val="tx1"/>
            </w14:solidFill>
          </w14:textFill>
        </w:rPr>
        <w:t>2×65t/h供热燃气蒸汽锅炉建设项目</w:t>
      </w:r>
      <w:r>
        <w:rPr>
          <w:color w:val="000000" w:themeColor="text1"/>
          <w14:textFill>
            <w14:solidFill>
              <w14:schemeClr w14:val="tx1"/>
            </w14:solidFill>
          </w14:textFill>
        </w:rPr>
        <w:t>环境影响报告表》及其批准书（渝（</w:t>
      </w:r>
      <w:r>
        <w:rPr>
          <w:rFonts w:hint="eastAsia"/>
          <w:color w:val="000000" w:themeColor="text1"/>
          <w14:textFill>
            <w14:solidFill>
              <w14:schemeClr w14:val="tx1"/>
            </w14:solidFill>
          </w14:textFill>
        </w:rPr>
        <w:t>涪</w:t>
      </w:r>
      <w:r>
        <w:rPr>
          <w:color w:val="000000" w:themeColor="text1"/>
          <w14:textFill>
            <w14:solidFill>
              <w14:schemeClr w14:val="tx1"/>
            </w14:solidFill>
          </w14:textFill>
        </w:rPr>
        <w:t>）环准</w:t>
      </w:r>
      <w:r>
        <w:rPr>
          <w:rFonts w:hint="eastAsia"/>
          <w:color w:val="000000" w:themeColor="text1"/>
          <w14:textFill>
            <w14:solidFill>
              <w14:schemeClr w14:val="tx1"/>
            </w14:solidFill>
          </w14:textFill>
        </w:rPr>
        <w:t>[2018]44号</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2018年6月</w:t>
      </w:r>
      <w:r>
        <w:rPr>
          <w:color w:val="000000" w:themeColor="text1"/>
          <w14:textFill>
            <w14:solidFill>
              <w14:schemeClr w14:val="tx1"/>
            </w14:solidFill>
          </w14:textFill>
        </w:rPr>
        <w:t>；</w:t>
      </w:r>
    </w:p>
    <w:p>
      <w:pPr>
        <w:pStyle w:val="66"/>
        <w:numPr>
          <w:ilvl w:val="0"/>
          <w:numId w:val="15"/>
        </w:numPr>
        <w:ind w:left="567" w:firstLine="0" w:firstLineChars="0"/>
        <w:rPr>
          <w:color w:val="000000" w:themeColor="text1"/>
          <w14:textFill>
            <w14:solidFill>
              <w14:schemeClr w14:val="tx1"/>
            </w14:solidFill>
          </w14:textFill>
        </w:rPr>
      </w:pPr>
      <w:bookmarkStart w:id="23" w:name="_Hlk99701570"/>
      <w:r>
        <w:rPr>
          <w:color w:val="000000" w:themeColor="text1"/>
          <w14:textFill>
            <w14:solidFill>
              <w14:schemeClr w14:val="tx1"/>
            </w14:solidFill>
          </w14:textFill>
        </w:rPr>
        <w:t>《重庆中机龙桥热电有限公司</w:t>
      </w:r>
      <w:r>
        <w:rPr>
          <w:rFonts w:hint="eastAsia"/>
          <w:color w:val="000000" w:themeColor="text1"/>
          <w14:textFill>
            <w14:solidFill>
              <w14:schemeClr w14:val="tx1"/>
            </w14:solidFill>
          </w14:textFill>
        </w:rPr>
        <w:t>2×65t/h供热燃气蒸汽锅炉建设项目（一阶段）</w:t>
      </w:r>
      <w:r>
        <w:rPr>
          <w:color w:val="000000" w:themeColor="text1"/>
          <w14:textFill>
            <w14:solidFill>
              <w14:schemeClr w14:val="tx1"/>
            </w14:solidFill>
          </w14:textFill>
        </w:rPr>
        <w:t>竣工环境</w:t>
      </w:r>
      <w:r>
        <w:rPr>
          <w:rFonts w:hint="eastAsia"/>
          <w:color w:val="000000" w:themeColor="text1"/>
          <w14:textFill>
            <w14:solidFill>
              <w14:schemeClr w14:val="tx1"/>
            </w14:solidFill>
          </w14:textFill>
        </w:rPr>
        <w:t>保护</w:t>
      </w:r>
      <w:r>
        <w:rPr>
          <w:color w:val="000000" w:themeColor="text1"/>
          <w14:textFill>
            <w14:solidFill>
              <w14:schemeClr w14:val="tx1"/>
            </w14:solidFill>
          </w14:textFill>
        </w:rPr>
        <w:t>验收监测报告》</w:t>
      </w:r>
      <w:bookmarkEnd w:id="23"/>
      <w:r>
        <w:rPr>
          <w:color w:val="000000" w:themeColor="text1"/>
          <w14:textFill>
            <w14:solidFill>
              <w14:schemeClr w14:val="tx1"/>
            </w14:solidFill>
          </w14:textFill>
        </w:rPr>
        <w:t>，</w:t>
      </w:r>
      <w:r>
        <w:rPr>
          <w:rFonts w:hint="eastAsia"/>
          <w:color w:val="000000" w:themeColor="text1"/>
          <w14:textFill>
            <w14:solidFill>
              <w14:schemeClr w14:val="tx1"/>
            </w14:solidFill>
          </w14:textFill>
        </w:rPr>
        <w:t>2021年9月；</w:t>
      </w:r>
    </w:p>
    <w:p>
      <w:pPr>
        <w:pStyle w:val="66"/>
        <w:numPr>
          <w:ilvl w:val="0"/>
          <w:numId w:val="15"/>
        </w:numPr>
        <w:ind w:left="567"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重庆中机龙桥热电有限公司 1×300MW 机组脱硫、脱硝、除尘超低排放改造工程环境影响报告表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及其批准书（渝（</w:t>
      </w:r>
      <w:r>
        <w:rPr>
          <w:rFonts w:hint="eastAsia"/>
          <w:color w:val="000000" w:themeColor="text1"/>
          <w14:textFill>
            <w14:solidFill>
              <w14:schemeClr w14:val="tx1"/>
            </w14:solidFill>
          </w14:textFill>
        </w:rPr>
        <w:t>涪</w:t>
      </w:r>
      <w:r>
        <w:rPr>
          <w:color w:val="000000" w:themeColor="text1"/>
          <w14:textFill>
            <w14:solidFill>
              <w14:schemeClr w14:val="tx1"/>
            </w14:solidFill>
          </w14:textFill>
        </w:rPr>
        <w:t>）环准</w:t>
      </w:r>
      <w:r>
        <w:rPr>
          <w:rFonts w:hint="eastAsia"/>
          <w:color w:val="000000" w:themeColor="text1"/>
          <w14:textFill>
            <w14:solidFill>
              <w14:schemeClr w14:val="tx1"/>
            </w14:solidFill>
          </w14:textFill>
        </w:rPr>
        <w:t>[2019]88号</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2019年9月</w:t>
      </w:r>
      <w:r>
        <w:rPr>
          <w:color w:val="000000" w:themeColor="text1"/>
          <w14:textFill>
            <w14:solidFill>
              <w14:schemeClr w14:val="tx1"/>
            </w14:solidFill>
          </w14:textFill>
        </w:rPr>
        <w:t>；</w:t>
      </w:r>
    </w:p>
    <w:p>
      <w:pPr>
        <w:pStyle w:val="66"/>
        <w:numPr>
          <w:ilvl w:val="0"/>
          <w:numId w:val="15"/>
        </w:numPr>
        <w:ind w:left="567" w:firstLine="0" w:firstLineChars="0"/>
        <w:rPr>
          <w:color w:val="000000" w:themeColor="text1"/>
          <w14:textFill>
            <w14:solidFill>
              <w14:schemeClr w14:val="tx1"/>
            </w14:solidFill>
          </w14:textFill>
        </w:rPr>
      </w:pPr>
      <w:bookmarkStart w:id="24" w:name="_Hlk99710479"/>
      <w:r>
        <w:rPr>
          <w:rFonts w:hint="eastAsia"/>
          <w:color w:val="000000" w:themeColor="text1"/>
          <w14:textFill>
            <w14:solidFill>
              <w14:schemeClr w14:val="tx1"/>
            </w14:solidFill>
          </w14:textFill>
        </w:rPr>
        <w:t>《</w:t>
      </w:r>
      <w:r>
        <w:rPr>
          <w:color w:val="000000" w:themeColor="text1"/>
          <w14:textFill>
            <w14:solidFill>
              <w14:schemeClr w14:val="tx1"/>
            </w14:solidFill>
          </w14:textFill>
        </w:rPr>
        <w:t>重庆中机龙桥热电有限公司 1×300MW 机组脱硫、脱硝、除尘超低排放改造工程竣工环境</w:t>
      </w:r>
      <w:r>
        <w:rPr>
          <w:rFonts w:hint="eastAsia"/>
          <w:color w:val="000000" w:themeColor="text1"/>
          <w14:textFill>
            <w14:solidFill>
              <w14:schemeClr w14:val="tx1"/>
            </w14:solidFill>
          </w14:textFill>
        </w:rPr>
        <w:t>保护</w:t>
      </w:r>
      <w:r>
        <w:rPr>
          <w:color w:val="000000" w:themeColor="text1"/>
          <w14:textFill>
            <w14:solidFill>
              <w14:schemeClr w14:val="tx1"/>
            </w14:solidFill>
          </w14:textFill>
        </w:rPr>
        <w:t>验收监测报告</w:t>
      </w:r>
      <w:r>
        <w:rPr>
          <w:rFonts w:hint="eastAsia"/>
          <w:color w:val="000000" w:themeColor="text1"/>
          <w14:textFill>
            <w14:solidFill>
              <w14:schemeClr w14:val="tx1"/>
            </w14:solidFill>
          </w14:textFill>
        </w:rPr>
        <w:t>》</w:t>
      </w:r>
      <w:bookmarkEnd w:id="24"/>
      <w:r>
        <w:rPr>
          <w:rFonts w:hint="eastAsia"/>
          <w:color w:val="000000" w:themeColor="text1"/>
          <w14:textFill>
            <w14:solidFill>
              <w14:schemeClr w14:val="tx1"/>
            </w14:solidFill>
          </w14:textFill>
        </w:rPr>
        <w:t>，2020年6月</w:t>
      </w:r>
      <w:r>
        <w:rPr>
          <w:color w:val="000000" w:themeColor="text1"/>
          <w14:textFill>
            <w14:solidFill>
              <w14:schemeClr w14:val="tx1"/>
            </w14:solidFill>
          </w14:textFill>
        </w:rPr>
        <w:t>；</w:t>
      </w:r>
    </w:p>
    <w:p>
      <w:pPr>
        <w:pStyle w:val="66"/>
        <w:numPr>
          <w:ilvl w:val="0"/>
          <w:numId w:val="15"/>
        </w:numPr>
        <w:ind w:left="567"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重庆中机龙桥热电有限公司突发环境事件风险评估报告</w:t>
      </w:r>
      <w:r>
        <w:rPr>
          <w:rFonts w:hint="eastAsia"/>
          <w:color w:val="000000" w:themeColor="text1"/>
          <w14:textFill>
            <w14:solidFill>
              <w14:schemeClr w14:val="tx1"/>
            </w14:solidFill>
          </w14:textFill>
        </w:rPr>
        <w:t>》（2019年版）及其登记备案表；</w:t>
      </w:r>
    </w:p>
    <w:p>
      <w:pPr>
        <w:pStyle w:val="66"/>
        <w:numPr>
          <w:ilvl w:val="0"/>
          <w:numId w:val="15"/>
        </w:numPr>
        <w:ind w:left="567"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重庆中机龙桥热电有限公司突发环境事件应急预案</w:t>
      </w:r>
      <w:r>
        <w:rPr>
          <w:rFonts w:hint="eastAsia"/>
          <w:color w:val="000000" w:themeColor="text1"/>
          <w14:textFill>
            <w14:solidFill>
              <w14:schemeClr w14:val="tx1"/>
            </w14:solidFill>
          </w14:textFill>
        </w:rPr>
        <w:t>》（2019年版）及其登记备案表；</w:t>
      </w:r>
    </w:p>
    <w:p>
      <w:pPr>
        <w:pStyle w:val="66"/>
        <w:numPr>
          <w:ilvl w:val="0"/>
          <w:numId w:val="15"/>
        </w:numPr>
        <w:ind w:left="567"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龙桥电厂20</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~202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年烟气自动监测数据；</w:t>
      </w:r>
    </w:p>
    <w:p>
      <w:pPr>
        <w:pStyle w:val="66"/>
        <w:numPr>
          <w:ilvl w:val="0"/>
          <w:numId w:val="15"/>
        </w:numPr>
        <w:ind w:left="567"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龙桥电厂20</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~202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年运行记录。</w:t>
      </w:r>
    </w:p>
    <w:p>
      <w:pPr>
        <w:pStyle w:val="3"/>
      </w:pPr>
      <w:bookmarkStart w:id="25" w:name="_Toc109888238"/>
      <w:r>
        <w:rPr>
          <w:rFonts w:hint="eastAsia"/>
        </w:rPr>
        <w:t>评价原则</w:t>
      </w:r>
      <w:bookmarkEnd w:id="25"/>
    </w:p>
    <w:p>
      <w:pPr>
        <w:ind w:firstLine="524"/>
        <w:rPr>
          <w:color w:val="000000" w:themeColor="text1"/>
          <w:spacing w:val="1"/>
          <w14:textFill>
            <w14:solidFill>
              <w14:schemeClr w14:val="tx1"/>
            </w14:solidFill>
          </w14:textFill>
        </w:rPr>
      </w:pPr>
      <w:r>
        <w:rPr>
          <w:rFonts w:hint="eastAsia"/>
          <w:color w:val="000000" w:themeColor="text1"/>
          <w:spacing w:val="1"/>
          <w14:textFill>
            <w14:solidFill>
              <w14:schemeClr w14:val="tx1"/>
            </w14:solidFill>
          </w14:textFill>
        </w:rPr>
        <w:t>突出环境影响评价的源头预防作用，坚持保持和改善环境质量。</w:t>
      </w:r>
    </w:p>
    <w:p>
      <w:pPr>
        <w:ind w:firstLine="524"/>
        <w:rPr>
          <w:color w:val="000000" w:themeColor="text1"/>
          <w14:textFill>
            <w14:solidFill>
              <w14:schemeClr w14:val="tx1"/>
            </w14:solidFill>
          </w14:textFill>
        </w:rPr>
      </w:pPr>
      <w:r>
        <w:rPr>
          <w:color w:val="000000" w:themeColor="text1"/>
          <w:spacing w:val="1"/>
          <w14:textFill>
            <w14:solidFill>
              <w14:schemeClr w14:val="tx1"/>
            </w14:solidFill>
          </w14:textFill>
        </w:rPr>
        <w:t>（1）依法评价原则</w:t>
      </w:r>
      <w:r>
        <w:rPr>
          <w:rFonts w:hint="eastAsia"/>
          <w:color w:val="000000" w:themeColor="text1"/>
          <w:spacing w:val="1"/>
          <w14:textFill>
            <w14:solidFill>
              <w14:schemeClr w14:val="tx1"/>
            </w14:solidFill>
          </w14:textFill>
        </w:rPr>
        <w:t>。贯彻执行我国环境保护相关法律法规、标准、政策和规划等，优化项目建设，服务环境管理。</w:t>
      </w:r>
    </w:p>
    <w:p>
      <w:pPr>
        <w:ind w:firstLine="524"/>
        <w:rPr>
          <w:color w:val="000000" w:themeColor="text1"/>
          <w:spacing w:val="1"/>
          <w14:textFill>
            <w14:solidFill>
              <w14:schemeClr w14:val="tx1"/>
            </w14:solidFill>
          </w14:textFill>
        </w:rPr>
      </w:pPr>
      <w:r>
        <w:rPr>
          <w:rFonts w:hint="eastAsia"/>
          <w:color w:val="000000" w:themeColor="text1"/>
          <w:spacing w:val="1"/>
          <w14:textFill>
            <w14:solidFill>
              <w14:schemeClr w14:val="tx1"/>
            </w14:solidFill>
          </w14:textFill>
        </w:rPr>
        <w:t>（2）科学评价</w:t>
      </w:r>
      <w:r>
        <w:rPr>
          <w:color w:val="000000" w:themeColor="text1"/>
          <w:spacing w:val="1"/>
          <w14:textFill>
            <w14:solidFill>
              <w14:schemeClr w14:val="tx1"/>
            </w14:solidFill>
          </w14:textFill>
        </w:rPr>
        <w:t>原则。</w:t>
      </w:r>
      <w:r>
        <w:rPr>
          <w:rFonts w:hint="eastAsia"/>
          <w:color w:val="000000" w:themeColor="text1"/>
          <w:spacing w:val="1"/>
          <w14:textFill>
            <w14:solidFill>
              <w14:schemeClr w14:val="tx1"/>
            </w14:solidFill>
          </w14:textFill>
        </w:rPr>
        <w:t>规范环境影响评价方法，科学分析项目建设对环境质量的影响。</w:t>
      </w:r>
    </w:p>
    <w:p>
      <w:pPr>
        <w:ind w:firstLine="524"/>
        <w:rPr>
          <w:color w:val="000000" w:themeColor="text1"/>
          <w:spacing w:val="1"/>
          <w14:textFill>
            <w14:solidFill>
              <w14:schemeClr w14:val="tx1"/>
            </w14:solidFill>
          </w14:textFill>
        </w:rPr>
      </w:pPr>
      <w:r>
        <w:rPr>
          <w:color w:val="000000" w:themeColor="text1"/>
          <w:spacing w:val="1"/>
          <w14:textFill>
            <w14:solidFill>
              <w14:schemeClr w14:val="tx1"/>
            </w14:solidFill>
          </w14:textFill>
        </w:rPr>
        <w:t>（3）</w:t>
      </w:r>
      <w:r>
        <w:rPr>
          <w:rFonts w:hint="eastAsia"/>
          <w:color w:val="000000" w:themeColor="text1"/>
          <w:spacing w:val="1"/>
          <w14:textFill>
            <w14:solidFill>
              <w14:schemeClr w14:val="tx1"/>
            </w14:solidFill>
          </w14:textFill>
        </w:rPr>
        <w:t>突出重点</w:t>
      </w:r>
      <w:r>
        <w:rPr>
          <w:color w:val="000000" w:themeColor="text1"/>
          <w:spacing w:val="1"/>
          <w14:textFill>
            <w14:solidFill>
              <w14:schemeClr w14:val="tx1"/>
            </w14:solidFill>
          </w14:textFill>
        </w:rPr>
        <w:t>。</w:t>
      </w:r>
      <w:r>
        <w:rPr>
          <w:rFonts w:hint="eastAsia"/>
          <w:color w:val="000000" w:themeColor="text1"/>
          <w:spacing w:val="1"/>
          <w14:textFill>
            <w14:solidFill>
              <w14:schemeClr w14:val="tx1"/>
            </w14:solidFill>
          </w14:textFill>
        </w:rPr>
        <w:t>根据建设项目的工程内容及其特点，明确与环境要素间的作用效应关系，根据规划环境影响评价结论和审查意见，充分利用符合时效的数据资料及成果，对建设项目主要环境影响予以重点分析和评价。</w:t>
      </w:r>
    </w:p>
    <w:p>
      <w:pPr>
        <w:pStyle w:val="3"/>
      </w:pPr>
      <w:bookmarkStart w:id="26" w:name="_Toc109888239"/>
      <w:r>
        <w:rPr>
          <w:rFonts w:hint="eastAsia"/>
        </w:rPr>
        <w:t>评价总体构思</w:t>
      </w:r>
      <w:bookmarkEnd w:id="26"/>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为利用燃煤锅炉协同处置一般工业固体废物，处置的固体废物明确为太极制药产生的醇沉药渣。醇沉药渣具有热值高、污染物含量少的特点，利用锅炉焚烧处置不但可回收其中的热量，且污染物排放量极少。</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本次环评通过对比醇沉药渣和燃料煤的热值及有害成分，判断醇沉药渣焚烧处置是否会带来锅炉污染物产生、排放量的变化及变化程度。并重点调查龙桥</w:t>
      </w:r>
      <w:r>
        <w:rPr>
          <w:color w:val="000000" w:themeColor="text1"/>
          <w14:textFill>
            <w14:solidFill>
              <w14:schemeClr w14:val="tx1"/>
            </w14:solidFill>
          </w14:textFill>
        </w:rPr>
        <w:t>电厂循环流化床锅炉运行稳定性及</w:t>
      </w:r>
      <w:r>
        <w:rPr>
          <w:rFonts w:hint="eastAsia"/>
          <w:color w:val="000000" w:themeColor="text1"/>
          <w14:textFill>
            <w14:solidFill>
              <w14:schemeClr w14:val="tx1"/>
            </w14:solidFill>
          </w14:textFill>
        </w:rPr>
        <w:t>污染物</w:t>
      </w:r>
      <w:r>
        <w:rPr>
          <w:color w:val="000000" w:themeColor="text1"/>
          <w14:textFill>
            <w14:solidFill>
              <w14:schemeClr w14:val="tx1"/>
            </w14:solidFill>
          </w14:textFill>
        </w:rPr>
        <w:t>排放达标情况</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现有焚烧烟气治理措施的可靠性；</w:t>
      </w:r>
      <w:r>
        <w:rPr>
          <w:rFonts w:hint="eastAsia"/>
          <w:color w:val="000000" w:themeColor="text1"/>
          <w14:textFill>
            <w14:solidFill>
              <w14:schemeClr w14:val="tx1"/>
            </w14:solidFill>
          </w14:textFill>
        </w:rPr>
        <w:t>从而分析本项目的环境影响</w:t>
      </w:r>
      <w:r>
        <w:rPr>
          <w:rFonts w:hint="eastAsia"/>
          <w:bCs/>
          <w:color w:val="000000" w:themeColor="text1"/>
          <w14:textFill>
            <w14:solidFill>
              <w14:schemeClr w14:val="tx1"/>
            </w14:solidFill>
          </w14:textFill>
        </w:rPr>
        <w:t>。</w:t>
      </w:r>
    </w:p>
    <w:p>
      <w:pPr>
        <w:pStyle w:val="3"/>
      </w:pPr>
      <w:bookmarkStart w:id="27" w:name="_Toc109888240"/>
      <w:r>
        <w:rPr>
          <w:rFonts w:hint="eastAsia"/>
        </w:rPr>
        <w:t>环境影响识别及评价因子筛选</w:t>
      </w:r>
      <w:bookmarkEnd w:id="27"/>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环境影响因素识别</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施工期仅进行设备安装，不涉及土石方开挖，不新增占地。因此施工期的环境影响主要是噪声，且周期很短，影响非常有限。本项目对环境的影响主要表现在运营期。因此，本次评价</w:t>
      </w:r>
      <w:r>
        <w:rPr>
          <w:color w:val="000000" w:themeColor="text1"/>
          <w14:textFill>
            <w14:solidFill>
              <w14:schemeClr w14:val="tx1"/>
            </w14:solidFill>
          </w14:textFill>
        </w:rPr>
        <w:t>主要对运营期的环境影响进行识别，运营期各环境要素的影响类型和程度分析见表 1.</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-1。</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本项目环境影响因素</w:t>
      </w:r>
      <w:r>
        <w:rPr>
          <w:color w:val="000000" w:themeColor="text1"/>
          <w14:textFill>
            <w14:solidFill>
              <w14:schemeClr w14:val="tx1"/>
            </w14:solidFill>
          </w14:textFill>
        </w:rPr>
        <w:t>识别矩阵表</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174"/>
        <w:gridCol w:w="846"/>
        <w:gridCol w:w="1011"/>
        <w:gridCol w:w="1011"/>
        <w:gridCol w:w="683"/>
        <w:gridCol w:w="846"/>
        <w:gridCol w:w="848"/>
        <w:gridCol w:w="845"/>
        <w:gridCol w:w="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473" w:type="pct"/>
            <w:vMerge w:val="restart"/>
            <w:vAlign w:val="center"/>
          </w:tcPr>
          <w:p>
            <w:pPr>
              <w:pStyle w:val="41"/>
              <w:spacing w:before="31"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评价时段</w:t>
            </w:r>
          </w:p>
        </w:tc>
        <w:tc>
          <w:tcPr>
            <w:tcW w:w="656" w:type="pct"/>
            <w:vMerge w:val="restart"/>
            <w:vAlign w:val="center"/>
          </w:tcPr>
          <w:p>
            <w:pPr>
              <w:pStyle w:val="41"/>
              <w:spacing w:before="31"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建设生产活动</w:t>
            </w:r>
          </w:p>
        </w:tc>
        <w:tc>
          <w:tcPr>
            <w:tcW w:w="2932" w:type="pct"/>
            <w:gridSpan w:val="6"/>
            <w:vAlign w:val="center"/>
          </w:tcPr>
          <w:p>
            <w:pPr>
              <w:pStyle w:val="41"/>
              <w:spacing w:before="31"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可能受到环境影响</w:t>
            </w:r>
            <w:r>
              <w:rPr>
                <w:rFonts w:hint="eastAsia"/>
                <w:color w:val="000000" w:themeColor="text1"/>
                <w:sz w:val="22"/>
                <w14:textFill>
                  <w14:solidFill>
                    <w14:schemeClr w14:val="tx1"/>
                  </w14:solidFill>
                </w14:textFill>
              </w:rPr>
              <w:t>环境要素</w:t>
            </w:r>
          </w:p>
        </w:tc>
        <w:tc>
          <w:tcPr>
            <w:tcW w:w="472"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p>
        </w:tc>
        <w:tc>
          <w:tcPr>
            <w:tcW w:w="467"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473" w:type="pct"/>
            <w:vMerge w:val="continue"/>
            <w:vAlign w:val="center"/>
          </w:tcPr>
          <w:p>
            <w:pPr>
              <w:pStyle w:val="41"/>
              <w:spacing w:before="31" w:line="240" w:lineRule="auto"/>
              <w:ind w:firstLine="0" w:firstLineChars="0"/>
              <w:jc w:val="center"/>
              <w:rPr>
                <w:color w:val="000000" w:themeColor="text1"/>
                <w:sz w:val="22"/>
                <w14:textFill>
                  <w14:solidFill>
                    <w14:schemeClr w14:val="tx1"/>
                  </w14:solidFill>
                </w14:textFill>
              </w:rPr>
            </w:pPr>
          </w:p>
        </w:tc>
        <w:tc>
          <w:tcPr>
            <w:tcW w:w="656" w:type="pct"/>
            <w:vMerge w:val="continue"/>
            <w:vAlign w:val="center"/>
          </w:tcPr>
          <w:p>
            <w:pPr>
              <w:pStyle w:val="41"/>
              <w:spacing w:before="31" w:line="240" w:lineRule="auto"/>
              <w:ind w:firstLine="0" w:firstLineChars="0"/>
              <w:jc w:val="center"/>
              <w:rPr>
                <w:color w:val="000000" w:themeColor="text1"/>
                <w:sz w:val="22"/>
                <w14:textFill>
                  <w14:solidFill>
                    <w14:schemeClr w14:val="tx1"/>
                  </w14:solidFill>
                </w14:textFill>
              </w:rPr>
            </w:pPr>
          </w:p>
        </w:tc>
        <w:tc>
          <w:tcPr>
            <w:tcW w:w="473"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环境空气</w:t>
            </w:r>
          </w:p>
        </w:tc>
        <w:tc>
          <w:tcPr>
            <w:tcW w:w="565"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地表水环境</w:t>
            </w:r>
          </w:p>
        </w:tc>
        <w:tc>
          <w:tcPr>
            <w:tcW w:w="565"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地下水环境</w:t>
            </w:r>
          </w:p>
        </w:tc>
        <w:tc>
          <w:tcPr>
            <w:tcW w:w="382"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声环境</w:t>
            </w:r>
          </w:p>
        </w:tc>
        <w:tc>
          <w:tcPr>
            <w:tcW w:w="473"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土壤环境</w:t>
            </w:r>
          </w:p>
        </w:tc>
        <w:tc>
          <w:tcPr>
            <w:tcW w:w="474"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生态环境</w:t>
            </w:r>
          </w:p>
        </w:tc>
        <w:tc>
          <w:tcPr>
            <w:tcW w:w="472"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固体废物</w:t>
            </w:r>
          </w:p>
        </w:tc>
        <w:tc>
          <w:tcPr>
            <w:tcW w:w="467"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社会环境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3" w:type="pct"/>
            <w:vMerge w:val="restart"/>
            <w:vAlign w:val="center"/>
          </w:tcPr>
          <w:p>
            <w:pPr>
              <w:pStyle w:val="41"/>
              <w:spacing w:before="31"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建设期</w:t>
            </w:r>
          </w:p>
        </w:tc>
        <w:tc>
          <w:tcPr>
            <w:tcW w:w="656"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场地硬化</w:t>
            </w:r>
          </w:p>
        </w:tc>
        <w:tc>
          <w:tcPr>
            <w:tcW w:w="473"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短期</w:t>
            </w:r>
            <w:r>
              <w:rPr>
                <w:color w:val="000000" w:themeColor="text1"/>
                <w:sz w:val="22"/>
                <w14:textFill>
                  <w14:solidFill>
                    <w14:schemeClr w14:val="tx1"/>
                  </w14:solidFill>
                </w14:textFill>
              </w:rPr>
              <w:t>-1</w:t>
            </w:r>
          </w:p>
        </w:tc>
        <w:tc>
          <w:tcPr>
            <w:tcW w:w="565"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短期</w:t>
            </w:r>
            <w:r>
              <w:rPr>
                <w:color w:val="000000" w:themeColor="text1"/>
                <w:sz w:val="22"/>
                <w14:textFill>
                  <w14:solidFill>
                    <w14:schemeClr w14:val="tx1"/>
                  </w14:solidFill>
                </w14:textFill>
              </w:rPr>
              <w:t>-1</w:t>
            </w:r>
          </w:p>
        </w:tc>
        <w:tc>
          <w:tcPr>
            <w:tcW w:w="565"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p>
        </w:tc>
        <w:tc>
          <w:tcPr>
            <w:tcW w:w="382"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短期</w:t>
            </w:r>
            <w:r>
              <w:rPr>
                <w:color w:val="000000" w:themeColor="text1"/>
                <w:sz w:val="22"/>
                <w14:textFill>
                  <w14:solidFill>
                    <w14:schemeClr w14:val="tx1"/>
                  </w14:solidFill>
                </w14:textFill>
              </w:rPr>
              <w:t>-1</w:t>
            </w:r>
          </w:p>
        </w:tc>
        <w:tc>
          <w:tcPr>
            <w:tcW w:w="473"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短期</w:t>
            </w:r>
            <w:r>
              <w:rPr>
                <w:color w:val="000000" w:themeColor="text1"/>
                <w:sz w:val="22"/>
                <w14:textFill>
                  <w14:solidFill>
                    <w14:schemeClr w14:val="tx1"/>
                  </w14:solidFill>
                </w14:textFill>
              </w:rPr>
              <w:t>-1</w:t>
            </w:r>
          </w:p>
        </w:tc>
        <w:tc>
          <w:tcPr>
            <w:tcW w:w="474"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短期</w:t>
            </w:r>
            <w:r>
              <w:rPr>
                <w:color w:val="000000" w:themeColor="text1"/>
                <w:sz w:val="22"/>
                <w14:textFill>
                  <w14:solidFill>
                    <w14:schemeClr w14:val="tx1"/>
                  </w14:solidFill>
                </w14:textFill>
              </w:rPr>
              <w:t>-1</w:t>
            </w:r>
          </w:p>
        </w:tc>
        <w:tc>
          <w:tcPr>
            <w:tcW w:w="472"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p>
        </w:tc>
        <w:tc>
          <w:tcPr>
            <w:tcW w:w="467"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3" w:type="pct"/>
            <w:vMerge w:val="continue"/>
            <w:vAlign w:val="center"/>
          </w:tcPr>
          <w:p>
            <w:pPr>
              <w:pStyle w:val="41"/>
              <w:spacing w:before="31" w:line="240" w:lineRule="auto"/>
              <w:ind w:firstLine="0" w:firstLineChars="0"/>
              <w:jc w:val="center"/>
              <w:rPr>
                <w:color w:val="000000" w:themeColor="text1"/>
                <w:sz w:val="22"/>
                <w14:textFill>
                  <w14:solidFill>
                    <w14:schemeClr w14:val="tx1"/>
                  </w14:solidFill>
                </w14:textFill>
              </w:rPr>
            </w:pPr>
          </w:p>
        </w:tc>
        <w:tc>
          <w:tcPr>
            <w:tcW w:w="656"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设备安装</w:t>
            </w:r>
          </w:p>
        </w:tc>
        <w:tc>
          <w:tcPr>
            <w:tcW w:w="473"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p>
        </w:tc>
        <w:tc>
          <w:tcPr>
            <w:tcW w:w="565"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p>
        </w:tc>
        <w:tc>
          <w:tcPr>
            <w:tcW w:w="565"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p>
        </w:tc>
        <w:tc>
          <w:tcPr>
            <w:tcW w:w="382"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短期</w:t>
            </w:r>
            <w:r>
              <w:rPr>
                <w:color w:val="000000" w:themeColor="text1"/>
                <w:sz w:val="22"/>
                <w14:textFill>
                  <w14:solidFill>
                    <w14:schemeClr w14:val="tx1"/>
                  </w14:solidFill>
                </w14:textFill>
              </w:rPr>
              <w:t>-1</w:t>
            </w:r>
          </w:p>
        </w:tc>
        <w:tc>
          <w:tcPr>
            <w:tcW w:w="473"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p>
        </w:tc>
        <w:tc>
          <w:tcPr>
            <w:tcW w:w="474"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p>
        </w:tc>
        <w:tc>
          <w:tcPr>
            <w:tcW w:w="472"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p>
        </w:tc>
        <w:tc>
          <w:tcPr>
            <w:tcW w:w="467"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3" w:type="pct"/>
            <w:vMerge w:val="restart"/>
            <w:vAlign w:val="center"/>
          </w:tcPr>
          <w:p>
            <w:pPr>
              <w:pStyle w:val="41"/>
              <w:spacing w:before="31"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运行期</w:t>
            </w:r>
          </w:p>
        </w:tc>
        <w:tc>
          <w:tcPr>
            <w:tcW w:w="656"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上料系统</w:t>
            </w:r>
          </w:p>
        </w:tc>
        <w:tc>
          <w:tcPr>
            <w:tcW w:w="473"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长期</w:t>
            </w:r>
            <w:r>
              <w:rPr>
                <w:color w:val="000000" w:themeColor="text1"/>
                <w:sz w:val="22"/>
                <w14:textFill>
                  <w14:solidFill>
                    <w14:schemeClr w14:val="tx1"/>
                  </w14:solidFill>
                </w14:textFill>
              </w:rPr>
              <w:t>-1</w:t>
            </w:r>
          </w:p>
        </w:tc>
        <w:tc>
          <w:tcPr>
            <w:tcW w:w="565"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长期</w:t>
            </w:r>
            <w:r>
              <w:rPr>
                <w:color w:val="000000" w:themeColor="text1"/>
                <w:sz w:val="22"/>
                <w14:textFill>
                  <w14:solidFill>
                    <w14:schemeClr w14:val="tx1"/>
                  </w14:solidFill>
                </w14:textFill>
              </w:rPr>
              <w:t>-1</w:t>
            </w:r>
          </w:p>
        </w:tc>
        <w:tc>
          <w:tcPr>
            <w:tcW w:w="565"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长期</w:t>
            </w:r>
            <w:r>
              <w:rPr>
                <w:color w:val="000000" w:themeColor="text1"/>
                <w:sz w:val="22"/>
                <w14:textFill>
                  <w14:solidFill>
                    <w14:schemeClr w14:val="tx1"/>
                  </w14:solidFill>
                </w14:textFill>
              </w:rPr>
              <w:t>-1</w:t>
            </w:r>
          </w:p>
        </w:tc>
        <w:tc>
          <w:tcPr>
            <w:tcW w:w="382"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长期</w:t>
            </w:r>
            <w:r>
              <w:rPr>
                <w:color w:val="000000" w:themeColor="text1"/>
                <w:sz w:val="22"/>
                <w14:textFill>
                  <w14:solidFill>
                    <w14:schemeClr w14:val="tx1"/>
                  </w14:solidFill>
                </w14:textFill>
              </w:rPr>
              <w:t>-1</w:t>
            </w:r>
          </w:p>
        </w:tc>
        <w:tc>
          <w:tcPr>
            <w:tcW w:w="473"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长期</w:t>
            </w:r>
            <w:r>
              <w:rPr>
                <w:color w:val="000000" w:themeColor="text1"/>
                <w:sz w:val="22"/>
                <w14:textFill>
                  <w14:solidFill>
                    <w14:schemeClr w14:val="tx1"/>
                  </w14:solidFill>
                </w14:textFill>
              </w:rPr>
              <w:t>-1</w:t>
            </w:r>
          </w:p>
        </w:tc>
        <w:tc>
          <w:tcPr>
            <w:tcW w:w="474"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p>
        </w:tc>
        <w:tc>
          <w:tcPr>
            <w:tcW w:w="472"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p>
        </w:tc>
        <w:tc>
          <w:tcPr>
            <w:tcW w:w="467"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3" w:type="pct"/>
            <w:vMerge w:val="continue"/>
            <w:vAlign w:val="center"/>
          </w:tcPr>
          <w:p>
            <w:pPr>
              <w:pStyle w:val="41"/>
              <w:spacing w:before="31" w:line="240" w:lineRule="auto"/>
              <w:ind w:firstLine="0" w:firstLineChars="0"/>
              <w:jc w:val="center"/>
              <w:rPr>
                <w:color w:val="000000" w:themeColor="text1"/>
                <w:sz w:val="22"/>
                <w14:textFill>
                  <w14:solidFill>
                    <w14:schemeClr w14:val="tx1"/>
                  </w14:solidFill>
                </w14:textFill>
              </w:rPr>
            </w:pPr>
          </w:p>
        </w:tc>
        <w:tc>
          <w:tcPr>
            <w:tcW w:w="656"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焚烧系统</w:t>
            </w:r>
          </w:p>
        </w:tc>
        <w:tc>
          <w:tcPr>
            <w:tcW w:w="473"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长期+</w:t>
            </w:r>
            <w:r>
              <w:rPr>
                <w:color w:val="000000" w:themeColor="text1"/>
                <w:sz w:val="22"/>
                <w14:textFill>
                  <w14:solidFill>
                    <w14:schemeClr w14:val="tx1"/>
                  </w14:solidFill>
                </w14:textFill>
              </w:rPr>
              <w:t>1</w:t>
            </w:r>
          </w:p>
        </w:tc>
        <w:tc>
          <w:tcPr>
            <w:tcW w:w="565"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p>
        </w:tc>
        <w:tc>
          <w:tcPr>
            <w:tcW w:w="565"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p>
        </w:tc>
        <w:tc>
          <w:tcPr>
            <w:tcW w:w="382"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p>
        </w:tc>
        <w:tc>
          <w:tcPr>
            <w:tcW w:w="473"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长期</w:t>
            </w:r>
            <w:r>
              <w:rPr>
                <w:color w:val="000000" w:themeColor="text1"/>
                <w:sz w:val="22"/>
                <w14:textFill>
                  <w14:solidFill>
                    <w14:schemeClr w14:val="tx1"/>
                  </w14:solidFill>
                </w14:textFill>
              </w:rPr>
              <w:t>-1</w:t>
            </w:r>
          </w:p>
        </w:tc>
        <w:tc>
          <w:tcPr>
            <w:tcW w:w="474"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p>
        </w:tc>
        <w:tc>
          <w:tcPr>
            <w:tcW w:w="472"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长期+</w:t>
            </w:r>
            <w:r>
              <w:rPr>
                <w:color w:val="000000" w:themeColor="text1"/>
                <w:sz w:val="22"/>
                <w14:textFill>
                  <w14:solidFill>
                    <w14:schemeClr w14:val="tx1"/>
                  </w14:solidFill>
                </w14:textFill>
              </w:rPr>
              <w:t>1</w:t>
            </w:r>
          </w:p>
        </w:tc>
        <w:tc>
          <w:tcPr>
            <w:tcW w:w="467" w:type="pct"/>
            <w:vAlign w:val="center"/>
          </w:tcPr>
          <w:p>
            <w:pPr>
              <w:pStyle w:val="41"/>
              <w:spacing w:before="31"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长期+</w:t>
            </w:r>
            <w:r>
              <w:rPr>
                <w:color w:val="000000" w:themeColor="text1"/>
                <w:sz w:val="22"/>
                <w14:textFill>
                  <w14:solidFill>
                    <w14:schemeClr w14:val="tx1"/>
                  </w14:solidFill>
                </w14:textFill>
              </w:rPr>
              <w:t>1</w:t>
            </w:r>
          </w:p>
        </w:tc>
      </w:tr>
    </w:tbl>
    <w:p>
      <w:pPr>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*备注：-表示不利影响，+表示有利影响；1表示影响小，2表示影响较大。</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评价因子筛选</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根据工程分析和环境影响要素识别，确定环境空气、水环境、声环境、土壤及生态环境、工业固体废物等的现状评价因子和影响评价因子，见下表：</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Style w:val="57"/>
          <w:b w:val="0"/>
          <w:bCs w:val="0"/>
          <w:color w:val="000000" w:themeColor="text1"/>
          <w14:textFill>
            <w14:solidFill>
              <w14:schemeClr w14:val="tx1"/>
            </w14:solidFill>
          </w14:textFill>
        </w:rPr>
        <w:t>环境影响评价因子筛选结果一览表</w:t>
      </w:r>
    </w:p>
    <w:tbl>
      <w:tblPr>
        <w:tblStyle w:val="42"/>
        <w:tblW w:w="8720" w:type="dxa"/>
        <w:tblInd w:w="0" w:type="dxa"/>
        <w:tblLayout w:type="fixed"/>
        <w:tblCellMar>
          <w:top w:w="0" w:type="dxa"/>
          <w:left w:w="108" w:type="dxa"/>
          <w:bottom w:w="0" w:type="dxa"/>
          <w:right w:w="108" w:type="dxa"/>
        </w:tblCellMar>
      </w:tblPr>
      <w:tblGrid>
        <w:gridCol w:w="420"/>
        <w:gridCol w:w="1135"/>
        <w:gridCol w:w="3827"/>
        <w:gridCol w:w="2126"/>
        <w:gridCol w:w="1212"/>
      </w:tblGrid>
      <w:tr>
        <w:tblPrEx>
          <w:tblCellMar>
            <w:top w:w="0" w:type="dxa"/>
            <w:left w:w="108" w:type="dxa"/>
            <w:bottom w:w="0" w:type="dxa"/>
            <w:right w:w="108" w:type="dxa"/>
          </w:tblCellMar>
        </w:tblPrEx>
        <w:trPr>
          <w:trHeight w:val="270" w:hRule="atLeast"/>
        </w:trPr>
        <w:tc>
          <w:tcPr>
            <w:tcW w:w="42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1135" w:type="dxa"/>
            <w:tcBorders>
              <w:top w:val="single" w:color="auto" w:sz="4" w:space="0"/>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环境要素</w:t>
            </w:r>
          </w:p>
        </w:tc>
        <w:tc>
          <w:tcPr>
            <w:tcW w:w="3827" w:type="dxa"/>
            <w:tcBorders>
              <w:top w:val="single" w:color="auto" w:sz="4" w:space="0"/>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现状评价</w:t>
            </w:r>
          </w:p>
        </w:tc>
        <w:tc>
          <w:tcPr>
            <w:tcW w:w="2126" w:type="dxa"/>
            <w:tcBorders>
              <w:top w:val="single" w:color="auto" w:sz="4" w:space="0"/>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影响预测分析与评价</w:t>
            </w:r>
          </w:p>
        </w:tc>
        <w:tc>
          <w:tcPr>
            <w:tcW w:w="1212" w:type="dxa"/>
            <w:tcBorders>
              <w:top w:val="single" w:color="auto" w:sz="4" w:space="0"/>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总量控制因子</w:t>
            </w:r>
          </w:p>
        </w:tc>
      </w:tr>
      <w:tr>
        <w:tblPrEx>
          <w:tblCellMar>
            <w:top w:w="0" w:type="dxa"/>
            <w:left w:w="108" w:type="dxa"/>
            <w:bottom w:w="0" w:type="dxa"/>
            <w:right w:w="108" w:type="dxa"/>
          </w:tblCellMar>
        </w:tblPrEx>
        <w:trPr>
          <w:trHeight w:val="270" w:hRule="atLeast"/>
        </w:trPr>
        <w:tc>
          <w:tcPr>
            <w:tcW w:w="420" w:type="dxa"/>
            <w:tcBorders>
              <w:top w:val="nil"/>
              <w:left w:val="single" w:color="auto" w:sz="4" w:space="0"/>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135" w:type="dxa"/>
            <w:tcBorders>
              <w:top w:val="nil"/>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环境空气</w:t>
            </w:r>
          </w:p>
        </w:tc>
        <w:tc>
          <w:tcPr>
            <w:tcW w:w="3827" w:type="dxa"/>
            <w:tcBorders>
              <w:top w:val="nil"/>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、NOx、PM</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、CO、O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、HCl、氟化物、Hg、Pb、Cd</w:t>
            </w:r>
          </w:p>
        </w:tc>
        <w:tc>
          <w:tcPr>
            <w:tcW w:w="2126" w:type="dxa"/>
            <w:tcBorders>
              <w:top w:val="nil"/>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、NOx、</w:t>
            </w:r>
            <w:r>
              <w:rPr>
                <w:rFonts w:hint="eastAsia"/>
                <w:color w:val="000000" w:themeColor="text1"/>
                <w14:textFill>
                  <w14:solidFill>
                    <w14:schemeClr w14:val="tx1"/>
                  </w14:solidFill>
                </w14:textFill>
              </w:rPr>
              <w:t>颗粒物、汞及其化合物、HCl、二噁英</w:t>
            </w:r>
          </w:p>
        </w:tc>
        <w:tc>
          <w:tcPr>
            <w:tcW w:w="1212" w:type="dxa"/>
            <w:tcBorders>
              <w:top w:val="nil"/>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　</w:t>
            </w: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、NOx</w:t>
            </w:r>
          </w:p>
        </w:tc>
      </w:tr>
      <w:tr>
        <w:tblPrEx>
          <w:tblCellMar>
            <w:top w:w="0" w:type="dxa"/>
            <w:left w:w="108" w:type="dxa"/>
            <w:bottom w:w="0" w:type="dxa"/>
            <w:right w:w="108" w:type="dxa"/>
          </w:tblCellMar>
        </w:tblPrEx>
        <w:trPr>
          <w:trHeight w:val="270" w:hRule="atLeast"/>
        </w:trPr>
        <w:tc>
          <w:tcPr>
            <w:tcW w:w="420" w:type="dxa"/>
            <w:tcBorders>
              <w:top w:val="nil"/>
              <w:left w:val="single" w:color="auto" w:sz="4" w:space="0"/>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135" w:type="dxa"/>
            <w:tcBorders>
              <w:top w:val="nil"/>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地表水</w:t>
            </w:r>
          </w:p>
        </w:tc>
        <w:tc>
          <w:tcPr>
            <w:tcW w:w="3827" w:type="dxa"/>
            <w:tcBorders>
              <w:top w:val="nil"/>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126" w:type="dxa"/>
            <w:tcBorders>
              <w:top w:val="nil"/>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12" w:type="dxa"/>
            <w:tcBorders>
              <w:top w:val="nil"/>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CellMar>
            <w:top w:w="0" w:type="dxa"/>
            <w:left w:w="108" w:type="dxa"/>
            <w:bottom w:w="0" w:type="dxa"/>
            <w:right w:w="108" w:type="dxa"/>
          </w:tblCellMar>
        </w:tblPrEx>
        <w:trPr>
          <w:trHeight w:val="270" w:hRule="atLeast"/>
        </w:trPr>
        <w:tc>
          <w:tcPr>
            <w:tcW w:w="420" w:type="dxa"/>
            <w:tcBorders>
              <w:top w:val="nil"/>
              <w:left w:val="single" w:color="auto" w:sz="4" w:space="0"/>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135" w:type="dxa"/>
            <w:tcBorders>
              <w:top w:val="nil"/>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地下水</w:t>
            </w:r>
          </w:p>
        </w:tc>
        <w:tc>
          <w:tcPr>
            <w:tcW w:w="3827" w:type="dxa"/>
            <w:tcBorders>
              <w:top w:val="nil"/>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八大离子（K</w:t>
            </w:r>
            <w:r>
              <w:rPr>
                <w:rFonts w:hint="eastAsia"/>
                <w:color w:val="000000" w:themeColor="text1"/>
                <w:vertAlign w:val="superscript"/>
                <w14:textFill>
                  <w14:solidFill>
                    <w14:schemeClr w14:val="tx1"/>
                  </w14:solidFill>
                </w14:textFill>
              </w:rPr>
              <w:t>+</w:t>
            </w:r>
            <w:r>
              <w:rPr>
                <w:rFonts w:hint="eastAsia"/>
                <w:color w:val="000000" w:themeColor="text1"/>
                <w14:textFill>
                  <w14:solidFill>
                    <w14:schemeClr w14:val="tx1"/>
                  </w14:solidFill>
                </w14:textFill>
              </w:rPr>
              <w:t>、Na</w:t>
            </w:r>
            <w:r>
              <w:rPr>
                <w:rFonts w:hint="eastAsia"/>
                <w:color w:val="000000" w:themeColor="text1"/>
                <w:vertAlign w:val="superscript"/>
                <w14:textFill>
                  <w14:solidFill>
                    <w14:schemeClr w14:val="tx1"/>
                  </w14:solidFill>
                </w14:textFill>
              </w:rPr>
              <w:t>+</w:t>
            </w:r>
            <w:r>
              <w:rPr>
                <w:rFonts w:hint="eastAsia"/>
                <w:color w:val="000000" w:themeColor="text1"/>
                <w14:textFill>
                  <w14:solidFill>
                    <w14:schemeClr w14:val="tx1"/>
                  </w14:solidFill>
                </w14:textFill>
              </w:rPr>
              <w:t>、Ca</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、Mg</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、CO</w:t>
            </w:r>
            <w:r>
              <w:rPr>
                <w:rFonts w:hint="eastAsia"/>
                <w:color w:val="000000" w:themeColor="text1"/>
                <w:vertAlign w:val="subscript"/>
                <w14:textFill>
                  <w14:solidFill>
                    <w14:schemeClr w14:val="tx1"/>
                  </w14:solidFill>
                </w14:textFill>
              </w:rPr>
              <w:t>3</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、HCO</w:t>
            </w:r>
            <w:r>
              <w:rPr>
                <w:rFonts w:hint="eastAsia"/>
                <w:color w:val="000000" w:themeColor="text1"/>
                <w:vertAlign w:val="subscript"/>
                <w14:textFill>
                  <w14:solidFill>
                    <w14:schemeClr w14:val="tx1"/>
                  </w14:solidFill>
                </w14:textFill>
              </w:rPr>
              <w:t>3</w:t>
            </w:r>
            <w:r>
              <w:rPr>
                <w:rFonts w:hint="eastAsia"/>
                <w:color w:val="000000" w:themeColor="text1"/>
                <w:vertAlign w:val="superscript"/>
                <w14:textFill>
                  <w14:solidFill>
                    <w14:schemeClr w14:val="tx1"/>
                  </w14:solidFill>
                </w14:textFill>
              </w:rPr>
              <w:t>-</w:t>
            </w:r>
            <w:r>
              <w:rPr>
                <w:rFonts w:hint="eastAsia"/>
                <w:color w:val="000000" w:themeColor="text1"/>
                <w14:textFill>
                  <w14:solidFill>
                    <w14:schemeClr w14:val="tx1"/>
                  </w14:solidFill>
                </w14:textFill>
              </w:rPr>
              <w:t>、Cl</w:t>
            </w:r>
            <w:r>
              <w:rPr>
                <w:rFonts w:hint="eastAsia"/>
                <w:color w:val="000000" w:themeColor="text1"/>
                <w:vertAlign w:val="superscript"/>
                <w14:textFill>
                  <w14:solidFill>
                    <w14:schemeClr w14:val="tx1"/>
                  </w14:solidFill>
                </w14:textFill>
              </w:rPr>
              <w:t>-</w:t>
            </w:r>
            <w:r>
              <w:rPr>
                <w:rFonts w:hint="eastAsia"/>
                <w:color w:val="000000" w:themeColor="text1"/>
                <w14:textFill>
                  <w14:solidFill>
                    <w14:schemeClr w14:val="tx1"/>
                  </w14:solidFill>
                </w14:textFill>
              </w:rPr>
              <w:t>、SO</w:t>
            </w:r>
            <w:r>
              <w:rPr>
                <w:rFonts w:hint="eastAsia"/>
                <w:color w:val="000000" w:themeColor="text1"/>
                <w:vertAlign w:val="subscript"/>
                <w14:textFill>
                  <w14:solidFill>
                    <w14:schemeClr w14:val="tx1"/>
                  </w14:solidFill>
                </w14:textFill>
              </w:rPr>
              <w:t>4</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pH、挥发性酚类、高锰酸盐指数、氨氮、硝酸盐氮、亚硝酸盐氮、阴离子表面活性剂、硫酸盐、氰化物、氟化物、氯化物、硫化物、溶解性总固体、总大肠菌群、细菌总数、镉、汞、铅、砷、总硬度、铁、锰、六价铬、铜、锌、镍、苯、甲苯、二甲苯、钴、铝、二氯甲烷</w:t>
            </w:r>
          </w:p>
        </w:tc>
        <w:tc>
          <w:tcPr>
            <w:tcW w:w="2126" w:type="dxa"/>
            <w:tcBorders>
              <w:top w:val="nil"/>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12" w:type="dxa"/>
            <w:tcBorders>
              <w:top w:val="nil"/>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CellMar>
            <w:top w:w="0" w:type="dxa"/>
            <w:left w:w="108" w:type="dxa"/>
            <w:bottom w:w="0" w:type="dxa"/>
            <w:right w:w="108" w:type="dxa"/>
          </w:tblCellMar>
        </w:tblPrEx>
        <w:trPr>
          <w:trHeight w:val="270" w:hRule="atLeast"/>
        </w:trPr>
        <w:tc>
          <w:tcPr>
            <w:tcW w:w="420" w:type="dxa"/>
            <w:tcBorders>
              <w:top w:val="nil"/>
              <w:left w:val="single" w:color="auto" w:sz="4" w:space="0"/>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135" w:type="dxa"/>
            <w:tcBorders>
              <w:top w:val="nil"/>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声环境</w:t>
            </w:r>
          </w:p>
        </w:tc>
        <w:tc>
          <w:tcPr>
            <w:tcW w:w="3827" w:type="dxa"/>
            <w:tcBorders>
              <w:top w:val="nil"/>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等效连续A声级</w:t>
            </w:r>
          </w:p>
        </w:tc>
        <w:tc>
          <w:tcPr>
            <w:tcW w:w="2126" w:type="dxa"/>
            <w:tcBorders>
              <w:top w:val="nil"/>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　</w:t>
            </w:r>
            <w:r>
              <w:rPr>
                <w:color w:val="000000" w:themeColor="text1"/>
                <w14:textFill>
                  <w14:solidFill>
                    <w14:schemeClr w14:val="tx1"/>
                  </w14:solidFill>
                </w14:textFill>
              </w:rPr>
              <w:t>等效连续A声级</w:t>
            </w:r>
          </w:p>
        </w:tc>
        <w:tc>
          <w:tcPr>
            <w:tcW w:w="1212" w:type="dxa"/>
            <w:tcBorders>
              <w:top w:val="nil"/>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CellMar>
            <w:top w:w="0" w:type="dxa"/>
            <w:left w:w="108" w:type="dxa"/>
            <w:bottom w:w="0" w:type="dxa"/>
            <w:right w:w="108" w:type="dxa"/>
          </w:tblCellMar>
        </w:tblPrEx>
        <w:trPr>
          <w:trHeight w:val="270" w:hRule="atLeast"/>
        </w:trPr>
        <w:tc>
          <w:tcPr>
            <w:tcW w:w="420" w:type="dxa"/>
            <w:tcBorders>
              <w:top w:val="nil"/>
              <w:left w:val="single" w:color="auto" w:sz="4" w:space="0"/>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135" w:type="dxa"/>
            <w:tcBorders>
              <w:top w:val="nil"/>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土壤环境</w:t>
            </w:r>
          </w:p>
        </w:tc>
        <w:tc>
          <w:tcPr>
            <w:tcW w:w="3827" w:type="dxa"/>
            <w:tcBorders>
              <w:top w:val="nil"/>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GB3660-2018 表1所列45项基本因子</w:t>
            </w:r>
          </w:p>
        </w:tc>
        <w:tc>
          <w:tcPr>
            <w:tcW w:w="2126" w:type="dxa"/>
            <w:tcBorders>
              <w:top w:val="nil"/>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12" w:type="dxa"/>
            <w:tcBorders>
              <w:top w:val="nil"/>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CellMar>
            <w:top w:w="0" w:type="dxa"/>
            <w:left w:w="108" w:type="dxa"/>
            <w:bottom w:w="0" w:type="dxa"/>
            <w:right w:w="108" w:type="dxa"/>
          </w:tblCellMar>
        </w:tblPrEx>
        <w:trPr>
          <w:trHeight w:val="270" w:hRule="atLeast"/>
        </w:trPr>
        <w:tc>
          <w:tcPr>
            <w:tcW w:w="420" w:type="dxa"/>
            <w:tcBorders>
              <w:top w:val="nil"/>
              <w:left w:val="single" w:color="auto" w:sz="4" w:space="0"/>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135" w:type="dxa"/>
            <w:tcBorders>
              <w:top w:val="nil"/>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生态环境</w:t>
            </w:r>
          </w:p>
        </w:tc>
        <w:tc>
          <w:tcPr>
            <w:tcW w:w="3827" w:type="dxa"/>
            <w:tcBorders>
              <w:top w:val="nil"/>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126" w:type="dxa"/>
            <w:tcBorders>
              <w:top w:val="nil"/>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12" w:type="dxa"/>
            <w:tcBorders>
              <w:top w:val="nil"/>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CellMar>
            <w:top w:w="0" w:type="dxa"/>
            <w:left w:w="108" w:type="dxa"/>
            <w:bottom w:w="0" w:type="dxa"/>
            <w:right w:w="108" w:type="dxa"/>
          </w:tblCellMar>
        </w:tblPrEx>
        <w:trPr>
          <w:trHeight w:val="270" w:hRule="atLeast"/>
        </w:trPr>
        <w:tc>
          <w:tcPr>
            <w:tcW w:w="420" w:type="dxa"/>
            <w:tcBorders>
              <w:top w:val="nil"/>
              <w:left w:val="single" w:color="auto" w:sz="4" w:space="0"/>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1135" w:type="dxa"/>
            <w:tcBorders>
              <w:top w:val="nil"/>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固体废物</w:t>
            </w:r>
          </w:p>
        </w:tc>
        <w:tc>
          <w:tcPr>
            <w:tcW w:w="3827" w:type="dxa"/>
            <w:tcBorders>
              <w:top w:val="nil"/>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飞灰、炉渣</w:t>
            </w:r>
          </w:p>
        </w:tc>
        <w:tc>
          <w:tcPr>
            <w:tcW w:w="2126" w:type="dxa"/>
            <w:tcBorders>
              <w:top w:val="nil"/>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　</w:t>
            </w:r>
            <w:r>
              <w:rPr>
                <w:color w:val="000000" w:themeColor="text1"/>
                <w14:textFill>
                  <w14:solidFill>
                    <w14:schemeClr w14:val="tx1"/>
                  </w14:solidFill>
                </w14:textFill>
              </w:rPr>
              <w:t>飞灰、炉渣</w:t>
            </w:r>
          </w:p>
        </w:tc>
        <w:tc>
          <w:tcPr>
            <w:tcW w:w="1212" w:type="dxa"/>
            <w:tcBorders>
              <w:top w:val="nil"/>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CellMar>
            <w:top w:w="0" w:type="dxa"/>
            <w:left w:w="108" w:type="dxa"/>
            <w:bottom w:w="0" w:type="dxa"/>
            <w:right w:w="108" w:type="dxa"/>
          </w:tblCellMar>
        </w:tblPrEx>
        <w:trPr>
          <w:trHeight w:val="270" w:hRule="atLeast"/>
        </w:trPr>
        <w:tc>
          <w:tcPr>
            <w:tcW w:w="420" w:type="dxa"/>
            <w:tcBorders>
              <w:top w:val="nil"/>
              <w:left w:val="single" w:color="auto" w:sz="4" w:space="0"/>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1135" w:type="dxa"/>
            <w:tcBorders>
              <w:top w:val="nil"/>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w:t>
            </w:r>
          </w:p>
        </w:tc>
        <w:tc>
          <w:tcPr>
            <w:tcW w:w="3827" w:type="dxa"/>
            <w:tcBorders>
              <w:top w:val="nil"/>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126" w:type="dxa"/>
            <w:tcBorders>
              <w:top w:val="nil"/>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12" w:type="dxa"/>
            <w:tcBorders>
              <w:top w:val="nil"/>
              <w:left w:val="nil"/>
              <w:bottom w:val="single" w:color="auto" w:sz="4" w:space="0"/>
              <w:right w:val="single" w:color="auto" w:sz="4" w:space="0"/>
            </w:tcBorders>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pPr>
        <w:pStyle w:val="3"/>
      </w:pPr>
      <w:bookmarkStart w:id="28" w:name="_Toc109888241"/>
      <w:r>
        <w:rPr>
          <w:rFonts w:hint="eastAsia"/>
        </w:rPr>
        <w:t>环境功能区划及评价标准</w:t>
      </w:r>
      <w:bookmarkEnd w:id="28"/>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环境功能区划</w:t>
      </w:r>
    </w:p>
    <w:p>
      <w:pPr>
        <w:pStyle w:val="118"/>
        <w:adjustRightInd/>
        <w:snapToGrid/>
        <w:rPr>
          <w:color w:val="000000" w:themeColor="text1"/>
          <w14:textFill>
            <w14:solidFill>
              <w14:schemeClr w14:val="tx1"/>
            </w14:solidFill>
          </w14:textFill>
        </w:rPr>
      </w:pPr>
      <w:r>
        <w:rPr>
          <w:rFonts w:hint="eastAsia"/>
          <w:color w:val="000000" w:themeColor="text1"/>
          <w14:textFill>
            <w14:solidFill>
              <w14:schemeClr w14:val="tx1"/>
            </w14:solidFill>
          </w14:textFill>
        </w:rPr>
        <w:t>（1）环境空气</w:t>
      </w:r>
    </w:p>
    <w:p>
      <w:pPr>
        <w:pStyle w:val="118"/>
        <w:adjustRightInd/>
        <w:snapToGrid/>
        <w:rPr>
          <w:color w:val="000000" w:themeColor="text1"/>
          <w14:textFill>
            <w14:solidFill>
              <w14:schemeClr w14:val="tx1"/>
            </w14:solidFill>
          </w14:textFill>
        </w:rPr>
      </w:pPr>
      <w:r>
        <w:rPr>
          <w:rFonts w:hint="eastAsia"/>
          <w:color w:val="000000" w:themeColor="text1"/>
          <w14:textFill>
            <w14:solidFill>
              <w14:schemeClr w14:val="tx1"/>
            </w14:solidFill>
          </w14:textFill>
        </w:rPr>
        <w:t>根据</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关于</w:t>
      </w:r>
      <w:r>
        <w:rPr>
          <w:color w:val="000000" w:themeColor="text1"/>
          <w14:textFill>
            <w14:solidFill>
              <w14:schemeClr w14:val="tx1"/>
            </w14:solidFill>
          </w14:textFill>
        </w:rPr>
        <w:t>印发</w:t>
      </w:r>
      <w:r>
        <w:rPr>
          <w:rFonts w:hint="eastAsia"/>
          <w:color w:val="000000" w:themeColor="text1"/>
          <w14:textFill>
            <w14:solidFill>
              <w14:schemeClr w14:val="tx1"/>
            </w14:solidFill>
          </w14:textFill>
        </w:rPr>
        <w:t>重庆市环境空气质量功能区划分规定的通知》（渝府发[</w:t>
      </w:r>
      <w:r>
        <w:rPr>
          <w:color w:val="000000" w:themeColor="text1"/>
          <w14:textFill>
            <w14:solidFill>
              <w14:schemeClr w14:val="tx1"/>
            </w14:solidFill>
          </w14:textFill>
        </w:rPr>
        <w:t>2016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19号）</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所在地</w:t>
      </w:r>
      <w:r>
        <w:rPr>
          <w:color w:val="000000" w:themeColor="text1"/>
          <w14:textFill>
            <w14:solidFill>
              <w14:schemeClr w14:val="tx1"/>
            </w14:solidFill>
          </w14:textFill>
        </w:rPr>
        <w:t>环境空气属于《</w:t>
      </w:r>
      <w:r>
        <w:rPr>
          <w:rFonts w:hint="eastAsia"/>
          <w:color w:val="000000" w:themeColor="text1"/>
          <w14:textFill>
            <w14:solidFill>
              <w14:schemeClr w14:val="tx1"/>
            </w14:solidFill>
          </w14:textFill>
        </w:rPr>
        <w:t>环境</w:t>
      </w:r>
      <w:r>
        <w:rPr>
          <w:color w:val="000000" w:themeColor="text1"/>
          <w14:textFill>
            <w14:solidFill>
              <w14:schemeClr w14:val="tx1"/>
            </w14:solidFill>
          </w14:textFill>
        </w:rPr>
        <w:t>空气质量标准》</w:t>
      </w:r>
      <w:r>
        <w:rPr>
          <w:rFonts w:hint="eastAsia"/>
          <w:color w:val="000000" w:themeColor="text1"/>
          <w14:textFill>
            <w14:solidFill>
              <w14:schemeClr w14:val="tx1"/>
            </w14:solidFill>
          </w14:textFill>
        </w:rPr>
        <w:t>（GB3095-2012）中</w:t>
      </w:r>
      <w:r>
        <w:rPr>
          <w:color w:val="000000" w:themeColor="text1"/>
          <w14:textFill>
            <w14:solidFill>
              <w14:schemeClr w14:val="tx1"/>
            </w14:solidFill>
          </w14:textFill>
        </w:rPr>
        <w:t>的二类功能区。</w:t>
      </w:r>
    </w:p>
    <w:p>
      <w:pPr>
        <w:pStyle w:val="118"/>
        <w:adjustRightInd/>
        <w:snapToGrid/>
        <w:rPr>
          <w:color w:val="000000" w:themeColor="text1"/>
          <w14:textFill>
            <w14:solidFill>
              <w14:schemeClr w14:val="tx1"/>
            </w14:solidFill>
          </w14:textFill>
        </w:rPr>
      </w:pPr>
      <w:r>
        <w:rPr>
          <w:rFonts w:hint="eastAsia"/>
          <w:color w:val="000000" w:themeColor="text1"/>
          <w14:textFill>
            <w14:solidFill>
              <w14:schemeClr w14:val="tx1"/>
            </w14:solidFill>
          </w14:textFill>
        </w:rPr>
        <w:t>（2）地表水环境</w:t>
      </w:r>
    </w:p>
    <w:p>
      <w:pPr>
        <w:ind w:firstLine="520"/>
        <w:jc w:val="both"/>
        <w:rPr>
          <w:color w:val="000000" w:themeColor="text1"/>
          <w:sz w:val="24"/>
          <w:szCs w:val="24"/>
          <w14:textFill>
            <w14:solidFill>
              <w14:schemeClr w14:val="tx1"/>
            </w14:solidFill>
          </w14:textFill>
        </w:rPr>
      </w:pPr>
      <w:r>
        <w:rPr>
          <w:rFonts w:hint="eastAsia"/>
          <w:color w:val="000000" w:themeColor="text1"/>
          <w14:textFill>
            <w14:solidFill>
              <w14:schemeClr w14:val="tx1"/>
            </w14:solidFill>
          </w14:textFill>
        </w:rPr>
        <w:t>本项目所在地附近地表水体为</w:t>
      </w:r>
      <w:r>
        <w:rPr>
          <w:color w:val="000000" w:themeColor="text1"/>
          <w14:textFill>
            <w14:solidFill>
              <w14:schemeClr w14:val="tx1"/>
            </w14:solidFill>
          </w14:textFill>
        </w:rPr>
        <w:t>龙桥河（又称“</w:t>
      </w:r>
      <w:r>
        <w:rPr>
          <w:rFonts w:hint="eastAsia"/>
          <w:color w:val="000000" w:themeColor="text1"/>
          <w14:textFill>
            <w14:solidFill>
              <w14:schemeClr w14:val="tx1"/>
            </w14:solidFill>
          </w14:textFill>
        </w:rPr>
        <w:t>袁家溪</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后文统称龙桥</w:t>
      </w:r>
      <w:r>
        <w:rPr>
          <w:color w:val="000000" w:themeColor="text1"/>
          <w14:textFill>
            <w14:solidFill>
              <w14:schemeClr w14:val="tx1"/>
            </w14:solidFill>
          </w14:textFill>
        </w:rPr>
        <w:t>河）</w:t>
      </w:r>
      <w:r>
        <w:rPr>
          <w:rFonts w:hint="eastAsia"/>
          <w:color w:val="000000" w:themeColor="text1"/>
          <w14:textFill>
            <w14:solidFill>
              <w14:schemeClr w14:val="tx1"/>
            </w14:solidFill>
          </w14:textFill>
        </w:rPr>
        <w:t>，汇入长江，按照《重庆市人民政府批转重庆市地表水环境功能类别调整方案的通知</w:t>
      </w:r>
      <w:r>
        <w:rPr>
          <w:rFonts w:hint="eastAsia"/>
          <w:color w:val="000000" w:themeColor="text1"/>
          <w:szCs w:val="26"/>
          <w14:textFill>
            <w14:solidFill>
              <w14:schemeClr w14:val="tx1"/>
            </w14:solidFill>
          </w14:textFill>
        </w:rPr>
        <w:t>》（渝府发[2012]4号）</w:t>
      </w:r>
      <w:r>
        <w:rPr>
          <w:color w:val="000000" w:themeColor="text1"/>
          <w:szCs w:val="26"/>
          <w14:textFill>
            <w14:solidFill>
              <w14:schemeClr w14:val="tx1"/>
            </w14:solidFill>
          </w14:textFill>
        </w:rPr>
        <w:t>及《重庆市涪陵区人民政府批转区环保局关于报批涪陵区地表水域使用功能类别划分规定的通知》（涪陵区府发〔2007〕第3号）等规定</w:t>
      </w:r>
      <w:r>
        <w:rPr>
          <w:rFonts w:hint="eastAsia"/>
          <w:color w:val="000000" w:themeColor="text1"/>
          <w:szCs w:val="26"/>
          <w14:textFill>
            <w14:solidFill>
              <w14:schemeClr w14:val="tx1"/>
            </w14:solidFill>
          </w14:textFill>
        </w:rPr>
        <w:t>，</w:t>
      </w:r>
      <w:r>
        <w:rPr>
          <w:color w:val="000000" w:themeColor="text1"/>
          <w14:textFill>
            <w14:solidFill>
              <w14:schemeClr w14:val="tx1"/>
            </w14:solidFill>
          </w14:textFill>
        </w:rPr>
        <w:t>龙桥河</w:t>
      </w:r>
      <w:r>
        <w:rPr>
          <w:rFonts w:hint="eastAsia"/>
          <w:color w:val="000000" w:themeColor="text1"/>
          <w14:textFill>
            <w14:solidFill>
              <w14:schemeClr w14:val="tx1"/>
            </w14:solidFill>
          </w14:textFill>
        </w:rPr>
        <w:t>和</w:t>
      </w:r>
      <w:r>
        <w:rPr>
          <w:color w:val="000000" w:themeColor="text1"/>
          <w14:textFill>
            <w14:solidFill>
              <w14:schemeClr w14:val="tx1"/>
            </w14:solidFill>
          </w14:textFill>
        </w:rPr>
        <w:t>长江（河凤滩</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三堆子段）地面水域适用功能为</w:t>
      </w:r>
      <w:r>
        <w:rPr>
          <w:rFonts w:hint="eastAsia"/>
          <w:color w:val="000000" w:themeColor="text1"/>
          <w14:textFill>
            <w14:solidFill>
              <w14:schemeClr w14:val="tx1"/>
            </w14:solidFill>
          </w14:textFill>
        </w:rPr>
        <w:t>Ⅲ类水域。</w:t>
      </w:r>
    </w:p>
    <w:p>
      <w:pPr>
        <w:pStyle w:val="118"/>
        <w:adjustRightInd/>
        <w:snapToGrid/>
        <w:rPr>
          <w:color w:val="000000" w:themeColor="text1"/>
          <w14:textFill>
            <w14:solidFill>
              <w14:schemeClr w14:val="tx1"/>
            </w14:solidFill>
          </w14:textFill>
        </w:rPr>
      </w:pPr>
      <w:r>
        <w:rPr>
          <w:rFonts w:hint="eastAsia"/>
          <w:color w:val="000000" w:themeColor="text1"/>
          <w14:textFill>
            <w14:solidFill>
              <w14:schemeClr w14:val="tx1"/>
            </w14:solidFill>
          </w14:textFill>
        </w:rPr>
        <w:t>（3）地下水</w:t>
      </w:r>
    </w:p>
    <w:p>
      <w:pPr>
        <w:pStyle w:val="118"/>
        <w:adjustRightInd/>
        <w:snapToGrid/>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依据《地下水质量标准》（GB/T14848-2017），项目所在区属于《地下水质量标准》（</w:t>
      </w:r>
      <w:r>
        <w:rPr>
          <w:color w:val="000000" w:themeColor="text1"/>
          <w14:textFill>
            <w14:solidFill>
              <w14:schemeClr w14:val="tx1"/>
            </w14:solidFill>
          </w14:textFill>
        </w:rPr>
        <w:t>GB/T14848-2017）</w:t>
      </w:r>
      <w:r>
        <w:rPr>
          <w:rFonts w:hint="eastAsia" w:ascii="宋体" w:hAnsi="宋体" w:cs="宋体"/>
          <w:color w:val="000000" w:themeColor="text1"/>
          <w14:textFill>
            <w14:solidFill>
              <w14:schemeClr w14:val="tx1"/>
            </w14:solidFill>
          </w14:textFill>
        </w:rPr>
        <w:t>Ⅲ</w:t>
      </w:r>
      <w:r>
        <w:rPr>
          <w:color w:val="000000" w:themeColor="text1"/>
          <w14:textFill>
            <w14:solidFill>
              <w14:schemeClr w14:val="tx1"/>
            </w14:solidFill>
          </w14:textFill>
        </w:rPr>
        <w:t>类</w:t>
      </w:r>
      <w:r>
        <w:rPr>
          <w:rFonts w:hint="eastAsia"/>
          <w:color w:val="000000" w:themeColor="text1"/>
          <w14:textFill>
            <w14:solidFill>
              <w14:schemeClr w14:val="tx1"/>
            </w14:solidFill>
          </w14:textFill>
        </w:rPr>
        <w:t>功能区</w:t>
      </w:r>
      <w:r>
        <w:rPr>
          <w:color w:val="000000" w:themeColor="text1"/>
          <w14:textFill>
            <w14:solidFill>
              <w14:schemeClr w14:val="tx1"/>
            </w14:solidFill>
          </w14:textFill>
        </w:rPr>
        <w:t>。</w:t>
      </w:r>
    </w:p>
    <w:p>
      <w:pPr>
        <w:pStyle w:val="118"/>
        <w:adjustRightInd/>
        <w:snapToGrid/>
        <w:rPr>
          <w:color w:val="000000" w:themeColor="text1"/>
          <w14:textFill>
            <w14:solidFill>
              <w14:schemeClr w14:val="tx1"/>
            </w14:solidFill>
          </w14:textFill>
        </w:rPr>
      </w:pPr>
      <w:r>
        <w:rPr>
          <w:rFonts w:hint="eastAsia"/>
          <w:color w:val="000000" w:themeColor="text1"/>
          <w14:textFill>
            <w14:solidFill>
              <w14:schemeClr w14:val="tx1"/>
            </w14:solidFill>
          </w14:textFill>
        </w:rPr>
        <w:t>（4）声环境</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根据《重庆市城市区域环境噪声标准适用区域划分规定》（渝府发[</w:t>
      </w:r>
      <w:r>
        <w:rPr>
          <w:color w:val="000000" w:themeColor="text1"/>
          <w14:textFill>
            <w14:solidFill>
              <w14:schemeClr w14:val="tx1"/>
            </w14:solidFill>
          </w14:textFill>
        </w:rPr>
        <w:t>1998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90号）和《重庆市人民政府关于印发城市区域环境噪声标准适用区域划分规定调整方案的通知》（渝环发</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2007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39号）规定，项目所在区域为工业区，声环境</w:t>
      </w:r>
      <w:r>
        <w:rPr>
          <w:rFonts w:hint="eastAsia"/>
          <w:color w:val="000000" w:themeColor="text1"/>
          <w14:textFill>
            <w14:solidFill>
              <w14:schemeClr w14:val="tx1"/>
            </w14:solidFill>
          </w14:textFill>
        </w:rPr>
        <w:t>为</w:t>
      </w:r>
      <w:r>
        <w:rPr>
          <w:color w:val="000000" w:themeColor="text1"/>
          <w14:textFill>
            <w14:solidFill>
              <w14:schemeClr w14:val="tx1"/>
            </w14:solidFill>
          </w14:textFill>
        </w:rPr>
        <w:t>《声环境质量标准》（GB3096-2008）中的3类</w:t>
      </w:r>
      <w:r>
        <w:rPr>
          <w:rFonts w:hint="eastAsia"/>
          <w:color w:val="000000" w:themeColor="text1"/>
          <w14:textFill>
            <w14:solidFill>
              <w14:schemeClr w14:val="tx1"/>
            </w14:solidFill>
          </w14:textFill>
        </w:rPr>
        <w:t>功能区</w:t>
      </w:r>
      <w:r>
        <w:rPr>
          <w:color w:val="000000" w:themeColor="text1"/>
          <w14:textFill>
            <w14:solidFill>
              <w14:schemeClr w14:val="tx1"/>
            </w14:solidFill>
          </w14:textFill>
        </w:rPr>
        <w:t>。</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环境质量标准</w:t>
      </w:r>
    </w:p>
    <w:p>
      <w:pPr>
        <w:ind w:firstLine="52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（1）环境空气</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项目所在地为大气环境二类功能区，</w:t>
      </w: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、CO、O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、Pb 执行</w:t>
      </w:r>
      <w:r>
        <w:rPr>
          <w:rFonts w:hint="eastAsia"/>
          <w:color w:val="000000" w:themeColor="text1"/>
          <w14:textFill>
            <w14:solidFill>
              <w14:schemeClr w14:val="tx1"/>
            </w14:solidFill>
          </w14:textFill>
        </w:rPr>
        <w:t>《环境空气质量标准》（GB3095-2012）二级标准。</w:t>
      </w:r>
      <w:r>
        <w:rPr>
          <w:color w:val="000000" w:themeColor="text1"/>
          <w14:textFill>
            <w14:solidFill>
              <w14:schemeClr w14:val="tx1"/>
            </w14:solidFill>
          </w14:textFill>
        </w:rPr>
        <w:t>HCl、NH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 执行</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环境影响评价技术导则 大气环境》（HJ2.2-2018）附录D.1标准；Hg、As、Cd、Cr（六价）</w:t>
      </w:r>
      <w:r>
        <w:rPr>
          <w:rFonts w:hint="eastAsia"/>
          <w:color w:val="000000" w:themeColor="text1"/>
          <w14:textFill>
            <w14:solidFill>
              <w14:schemeClr w14:val="tx1"/>
            </w14:solidFill>
          </w14:textFill>
        </w:rPr>
        <w:t>、氟化物</w:t>
      </w:r>
      <w:r>
        <w:rPr>
          <w:color w:val="000000" w:themeColor="text1"/>
          <w14:textFill>
            <w14:solidFill>
              <w14:schemeClr w14:val="tx1"/>
            </w14:solidFill>
          </w14:textFill>
        </w:rPr>
        <w:t>执行（GB3095-2012）附录A中参考浓度限值</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非甲烷总烃</w:t>
      </w:r>
      <w:r>
        <w:rPr>
          <w:rFonts w:hint="eastAsia"/>
          <w:color w:val="000000" w:themeColor="text1"/>
          <w14:textFill>
            <w14:solidFill>
              <w14:schemeClr w14:val="tx1"/>
            </w14:solidFill>
          </w14:textFill>
        </w:rPr>
        <w:t>参照执行河北省地方标准《环境空气质量非甲烷总烃限值》（DB 13/1577-2012）。</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相关标准值详见表1.6-1。</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环境空气质量标准 单位：μg/m</w:t>
      </w:r>
      <w:r>
        <w:rPr>
          <w:rFonts w:hint="eastAsia"/>
          <w:color w:val="000000" w:themeColor="text1"/>
          <w:vertAlign w:val="superscript"/>
          <w14:textFill>
            <w14:solidFill>
              <w14:schemeClr w14:val="tx1"/>
            </w14:solidFill>
          </w14:textFill>
        </w:rPr>
        <w:t>3</w:t>
      </w:r>
    </w:p>
    <w:tbl>
      <w:tblPr>
        <w:tblStyle w:val="42"/>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2335"/>
        <w:gridCol w:w="2480"/>
        <w:gridCol w:w="2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42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污染物名称</w:t>
            </w:r>
          </w:p>
        </w:tc>
        <w:tc>
          <w:tcPr>
            <w:tcW w:w="233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取值时间</w:t>
            </w:r>
          </w:p>
        </w:tc>
        <w:tc>
          <w:tcPr>
            <w:tcW w:w="2480"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浓度限值</w:t>
            </w:r>
          </w:p>
        </w:tc>
        <w:tc>
          <w:tcPr>
            <w:tcW w:w="2480"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5" w:type="dxa"/>
            <w:vMerge w:val="restart"/>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233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年平均</w:t>
            </w:r>
          </w:p>
        </w:tc>
        <w:tc>
          <w:tcPr>
            <w:tcW w:w="2480"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2480" w:type="dxa"/>
            <w:vMerge w:val="restart"/>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《环境空气质量标准》 (GB3095-2012)</w:t>
            </w:r>
            <w:r>
              <w:rPr>
                <w:rFonts w:hint="eastAsia"/>
                <w:color w:val="000000" w:themeColor="text1"/>
                <w14:textFill>
                  <w14:solidFill>
                    <w14:schemeClr w14:val="tx1"/>
                  </w14:solidFill>
                </w14:textFill>
              </w:rPr>
              <w:t>及修改单</w:t>
            </w:r>
            <w:r>
              <w:rPr>
                <w:color w:val="000000" w:themeColor="text1"/>
                <w14:textFill>
                  <w14:solidFill>
                    <w14:schemeClr w14:val="tx1"/>
                  </w14:solidFill>
                </w14:textFill>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5" w:type="dxa"/>
            <w:vMerge w:val="continue"/>
            <w:vAlign w:val="center"/>
          </w:tcPr>
          <w:p>
            <w:pPr>
              <w:pStyle w:val="122"/>
              <w:rPr>
                <w:color w:val="000000" w:themeColor="text1"/>
                <w14:textFill>
                  <w14:solidFill>
                    <w14:schemeClr w14:val="tx1"/>
                  </w14:solidFill>
                </w14:textFill>
              </w:rPr>
            </w:pPr>
          </w:p>
        </w:tc>
        <w:tc>
          <w:tcPr>
            <w:tcW w:w="233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日平均</w:t>
            </w:r>
          </w:p>
        </w:tc>
        <w:tc>
          <w:tcPr>
            <w:tcW w:w="2480"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150</w:t>
            </w:r>
          </w:p>
        </w:tc>
        <w:tc>
          <w:tcPr>
            <w:tcW w:w="2480" w:type="dxa"/>
            <w:vMerge w:val="continue"/>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5" w:type="dxa"/>
            <w:vMerge w:val="continue"/>
            <w:vAlign w:val="center"/>
          </w:tcPr>
          <w:p>
            <w:pPr>
              <w:pStyle w:val="122"/>
              <w:rPr>
                <w:color w:val="000000" w:themeColor="text1"/>
                <w14:textFill>
                  <w14:solidFill>
                    <w14:schemeClr w14:val="tx1"/>
                  </w14:solidFill>
                </w14:textFill>
              </w:rPr>
            </w:pPr>
          </w:p>
        </w:tc>
        <w:tc>
          <w:tcPr>
            <w:tcW w:w="233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1小时平均</w:t>
            </w:r>
          </w:p>
        </w:tc>
        <w:tc>
          <w:tcPr>
            <w:tcW w:w="2480"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500</w:t>
            </w:r>
          </w:p>
        </w:tc>
        <w:tc>
          <w:tcPr>
            <w:tcW w:w="2480" w:type="dxa"/>
            <w:vMerge w:val="continue"/>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5" w:type="dxa"/>
            <w:vMerge w:val="restart"/>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p>
        </w:tc>
        <w:tc>
          <w:tcPr>
            <w:tcW w:w="233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年平均</w:t>
            </w:r>
          </w:p>
        </w:tc>
        <w:tc>
          <w:tcPr>
            <w:tcW w:w="2480"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2480" w:type="dxa"/>
            <w:vMerge w:val="continue"/>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5" w:type="dxa"/>
            <w:vMerge w:val="continue"/>
            <w:vAlign w:val="center"/>
          </w:tcPr>
          <w:p>
            <w:pPr>
              <w:pStyle w:val="122"/>
              <w:rPr>
                <w:color w:val="000000" w:themeColor="text1"/>
                <w14:textFill>
                  <w14:solidFill>
                    <w14:schemeClr w14:val="tx1"/>
                  </w14:solidFill>
                </w14:textFill>
              </w:rPr>
            </w:pPr>
          </w:p>
        </w:tc>
        <w:tc>
          <w:tcPr>
            <w:tcW w:w="233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日平均</w:t>
            </w:r>
          </w:p>
        </w:tc>
        <w:tc>
          <w:tcPr>
            <w:tcW w:w="2480"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2480" w:type="dxa"/>
            <w:vMerge w:val="continue"/>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5" w:type="dxa"/>
            <w:vMerge w:val="continue"/>
            <w:vAlign w:val="center"/>
          </w:tcPr>
          <w:p>
            <w:pPr>
              <w:pStyle w:val="122"/>
              <w:rPr>
                <w:color w:val="000000" w:themeColor="text1"/>
                <w14:textFill>
                  <w14:solidFill>
                    <w14:schemeClr w14:val="tx1"/>
                  </w14:solidFill>
                </w14:textFill>
              </w:rPr>
            </w:pPr>
          </w:p>
        </w:tc>
        <w:tc>
          <w:tcPr>
            <w:tcW w:w="233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1小时平均</w:t>
            </w:r>
          </w:p>
        </w:tc>
        <w:tc>
          <w:tcPr>
            <w:tcW w:w="2480"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200</w:t>
            </w:r>
          </w:p>
        </w:tc>
        <w:tc>
          <w:tcPr>
            <w:tcW w:w="2480" w:type="dxa"/>
            <w:vMerge w:val="continue"/>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5" w:type="dxa"/>
            <w:vMerge w:val="restart"/>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p>
        </w:tc>
        <w:tc>
          <w:tcPr>
            <w:tcW w:w="233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年平均</w:t>
            </w:r>
          </w:p>
        </w:tc>
        <w:tc>
          <w:tcPr>
            <w:tcW w:w="2480"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c>
          <w:tcPr>
            <w:tcW w:w="2480" w:type="dxa"/>
            <w:vMerge w:val="continue"/>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5" w:type="dxa"/>
            <w:vMerge w:val="continue"/>
            <w:vAlign w:val="center"/>
          </w:tcPr>
          <w:p>
            <w:pPr>
              <w:pStyle w:val="122"/>
              <w:rPr>
                <w:color w:val="000000" w:themeColor="text1"/>
                <w14:textFill>
                  <w14:solidFill>
                    <w14:schemeClr w14:val="tx1"/>
                  </w14:solidFill>
                </w14:textFill>
              </w:rPr>
            </w:pPr>
          </w:p>
        </w:tc>
        <w:tc>
          <w:tcPr>
            <w:tcW w:w="233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日平均</w:t>
            </w:r>
          </w:p>
        </w:tc>
        <w:tc>
          <w:tcPr>
            <w:tcW w:w="2480"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150</w:t>
            </w:r>
          </w:p>
        </w:tc>
        <w:tc>
          <w:tcPr>
            <w:tcW w:w="2480" w:type="dxa"/>
            <w:vMerge w:val="continue"/>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5" w:type="dxa"/>
            <w:vMerge w:val="restart"/>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2.5</w:t>
            </w:r>
          </w:p>
        </w:tc>
        <w:tc>
          <w:tcPr>
            <w:tcW w:w="233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年平均</w:t>
            </w:r>
          </w:p>
        </w:tc>
        <w:tc>
          <w:tcPr>
            <w:tcW w:w="2480"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2480" w:type="dxa"/>
            <w:vMerge w:val="continue"/>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5" w:type="dxa"/>
            <w:vMerge w:val="continue"/>
            <w:vAlign w:val="center"/>
          </w:tcPr>
          <w:p>
            <w:pPr>
              <w:pStyle w:val="122"/>
              <w:rPr>
                <w:color w:val="000000" w:themeColor="text1"/>
                <w14:textFill>
                  <w14:solidFill>
                    <w14:schemeClr w14:val="tx1"/>
                  </w14:solidFill>
                </w14:textFill>
              </w:rPr>
            </w:pPr>
          </w:p>
        </w:tc>
        <w:tc>
          <w:tcPr>
            <w:tcW w:w="233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日平均</w:t>
            </w:r>
          </w:p>
        </w:tc>
        <w:tc>
          <w:tcPr>
            <w:tcW w:w="2480"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75</w:t>
            </w:r>
          </w:p>
        </w:tc>
        <w:tc>
          <w:tcPr>
            <w:tcW w:w="2480" w:type="dxa"/>
            <w:vMerge w:val="continue"/>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5" w:type="dxa"/>
            <w:vMerge w:val="restart"/>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CO(mg/m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tc>
        <w:tc>
          <w:tcPr>
            <w:tcW w:w="233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1小时平均</w:t>
            </w:r>
          </w:p>
        </w:tc>
        <w:tc>
          <w:tcPr>
            <w:tcW w:w="2480"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2480" w:type="dxa"/>
            <w:vMerge w:val="continue"/>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5" w:type="dxa"/>
            <w:vMerge w:val="continue"/>
            <w:vAlign w:val="center"/>
          </w:tcPr>
          <w:p>
            <w:pPr>
              <w:pStyle w:val="122"/>
              <w:rPr>
                <w:color w:val="000000" w:themeColor="text1"/>
                <w14:textFill>
                  <w14:solidFill>
                    <w14:schemeClr w14:val="tx1"/>
                  </w14:solidFill>
                </w14:textFill>
              </w:rPr>
            </w:pPr>
          </w:p>
        </w:tc>
        <w:tc>
          <w:tcPr>
            <w:tcW w:w="233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日平均</w:t>
            </w:r>
          </w:p>
        </w:tc>
        <w:tc>
          <w:tcPr>
            <w:tcW w:w="2480"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480" w:type="dxa"/>
            <w:vMerge w:val="continue"/>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5" w:type="dxa"/>
            <w:vMerge w:val="restart"/>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O</w:t>
            </w:r>
            <w:r>
              <w:rPr>
                <w:rFonts w:hint="eastAsia"/>
                <w:color w:val="000000" w:themeColor="text1"/>
                <w:vertAlign w:val="subscript"/>
                <w14:textFill>
                  <w14:solidFill>
                    <w14:schemeClr w14:val="tx1"/>
                  </w14:solidFill>
                </w14:textFill>
              </w:rPr>
              <w:t>3</w:t>
            </w:r>
          </w:p>
        </w:tc>
        <w:tc>
          <w:tcPr>
            <w:tcW w:w="233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1小时平均</w:t>
            </w:r>
          </w:p>
        </w:tc>
        <w:tc>
          <w:tcPr>
            <w:tcW w:w="2480"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200</w:t>
            </w:r>
          </w:p>
        </w:tc>
        <w:tc>
          <w:tcPr>
            <w:tcW w:w="2480" w:type="dxa"/>
            <w:vMerge w:val="continue"/>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5" w:type="dxa"/>
            <w:vMerge w:val="continue"/>
            <w:vAlign w:val="center"/>
          </w:tcPr>
          <w:p>
            <w:pPr>
              <w:pStyle w:val="122"/>
              <w:rPr>
                <w:color w:val="000000" w:themeColor="text1"/>
                <w14:textFill>
                  <w14:solidFill>
                    <w14:schemeClr w14:val="tx1"/>
                  </w14:solidFill>
                </w14:textFill>
              </w:rPr>
            </w:pPr>
          </w:p>
        </w:tc>
        <w:tc>
          <w:tcPr>
            <w:tcW w:w="233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日最大8小时平均</w:t>
            </w:r>
          </w:p>
        </w:tc>
        <w:tc>
          <w:tcPr>
            <w:tcW w:w="2480"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160</w:t>
            </w:r>
          </w:p>
        </w:tc>
        <w:tc>
          <w:tcPr>
            <w:tcW w:w="2480" w:type="dxa"/>
            <w:vMerge w:val="continue"/>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5" w:type="dxa"/>
            <w:vMerge w:val="restart"/>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铅（Pb）</w:t>
            </w:r>
          </w:p>
        </w:tc>
        <w:tc>
          <w:tcPr>
            <w:tcW w:w="233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年平均</w:t>
            </w:r>
          </w:p>
        </w:tc>
        <w:tc>
          <w:tcPr>
            <w:tcW w:w="2480"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c>
          <w:tcPr>
            <w:tcW w:w="2480" w:type="dxa"/>
            <w:vMerge w:val="continue"/>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5" w:type="dxa"/>
            <w:vMerge w:val="continue"/>
            <w:vAlign w:val="center"/>
          </w:tcPr>
          <w:p>
            <w:pPr>
              <w:pStyle w:val="122"/>
              <w:rPr>
                <w:color w:val="000000" w:themeColor="text1"/>
                <w14:textFill>
                  <w14:solidFill>
                    <w14:schemeClr w14:val="tx1"/>
                  </w14:solidFill>
                </w14:textFill>
              </w:rPr>
            </w:pPr>
          </w:p>
        </w:tc>
        <w:tc>
          <w:tcPr>
            <w:tcW w:w="233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季平均</w:t>
            </w:r>
          </w:p>
        </w:tc>
        <w:tc>
          <w:tcPr>
            <w:tcW w:w="2480"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480" w:type="dxa"/>
            <w:vMerge w:val="continue"/>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5" w:type="dxa"/>
            <w:vMerge w:val="restart"/>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氟化物</w:t>
            </w:r>
          </w:p>
        </w:tc>
        <w:tc>
          <w:tcPr>
            <w:tcW w:w="233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24 小时平均</w:t>
            </w:r>
          </w:p>
        </w:tc>
        <w:tc>
          <w:tcPr>
            <w:tcW w:w="2480"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7</w:t>
            </w:r>
          </w:p>
        </w:tc>
        <w:tc>
          <w:tcPr>
            <w:tcW w:w="2480" w:type="dxa"/>
            <w:vMerge w:val="restart"/>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（GB3095-2012）附录 A</w:t>
            </w:r>
            <w:r>
              <w:rPr>
                <w:rFonts w:hint="eastAsia"/>
                <w:color w:val="000000" w:themeColor="text1"/>
                <w14:textFill>
                  <w14:solidFill>
                    <w14:schemeClr w14:val="tx1"/>
                  </w14:solidFill>
                </w14:textFill>
              </w:rPr>
              <w:t>表A</w:t>
            </w:r>
            <w:r>
              <w:rPr>
                <w:color w:val="000000" w:themeColor="text1"/>
                <w14:textFill>
                  <w14:solidFill>
                    <w14:schemeClr w14:val="tx1"/>
                  </w14:solidFill>
                </w14:textFill>
              </w:rPr>
              <w:t>.1 中参考浓度限值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5" w:type="dxa"/>
            <w:vMerge w:val="continue"/>
            <w:vAlign w:val="center"/>
          </w:tcPr>
          <w:p>
            <w:pPr>
              <w:pStyle w:val="122"/>
              <w:rPr>
                <w:color w:val="000000" w:themeColor="text1"/>
                <w14:textFill>
                  <w14:solidFill>
                    <w14:schemeClr w14:val="tx1"/>
                  </w14:solidFill>
                </w14:textFill>
              </w:rPr>
            </w:pPr>
          </w:p>
        </w:tc>
        <w:tc>
          <w:tcPr>
            <w:tcW w:w="233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1 小时平均</w:t>
            </w:r>
          </w:p>
        </w:tc>
        <w:tc>
          <w:tcPr>
            <w:tcW w:w="2480"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w:t>
            </w:r>
          </w:p>
        </w:tc>
        <w:tc>
          <w:tcPr>
            <w:tcW w:w="2480" w:type="dxa"/>
            <w:vMerge w:val="continue"/>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镉（Cd）</w:t>
            </w:r>
          </w:p>
        </w:tc>
        <w:tc>
          <w:tcPr>
            <w:tcW w:w="233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年平均</w:t>
            </w:r>
          </w:p>
        </w:tc>
        <w:tc>
          <w:tcPr>
            <w:tcW w:w="2480"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0.005</w:t>
            </w:r>
          </w:p>
        </w:tc>
        <w:tc>
          <w:tcPr>
            <w:tcW w:w="2480" w:type="dxa"/>
            <w:vMerge w:val="continue"/>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汞（Hg）</w:t>
            </w:r>
          </w:p>
        </w:tc>
        <w:tc>
          <w:tcPr>
            <w:tcW w:w="233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年平均</w:t>
            </w:r>
          </w:p>
        </w:tc>
        <w:tc>
          <w:tcPr>
            <w:tcW w:w="2480"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0.05</w:t>
            </w:r>
          </w:p>
        </w:tc>
        <w:tc>
          <w:tcPr>
            <w:tcW w:w="2480" w:type="dxa"/>
            <w:vMerge w:val="continue"/>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砷（As）</w:t>
            </w:r>
          </w:p>
        </w:tc>
        <w:tc>
          <w:tcPr>
            <w:tcW w:w="233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年平均</w:t>
            </w:r>
          </w:p>
        </w:tc>
        <w:tc>
          <w:tcPr>
            <w:tcW w:w="2480"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0.006</w:t>
            </w:r>
          </w:p>
        </w:tc>
        <w:tc>
          <w:tcPr>
            <w:tcW w:w="2480" w:type="dxa"/>
            <w:vMerge w:val="continue"/>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Cr（六价）</w:t>
            </w:r>
          </w:p>
        </w:tc>
        <w:tc>
          <w:tcPr>
            <w:tcW w:w="233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年平均</w:t>
            </w:r>
          </w:p>
        </w:tc>
        <w:tc>
          <w:tcPr>
            <w:tcW w:w="2480"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0.000025</w:t>
            </w:r>
          </w:p>
        </w:tc>
        <w:tc>
          <w:tcPr>
            <w:tcW w:w="2480" w:type="dxa"/>
            <w:vMerge w:val="continue"/>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5" w:type="dxa"/>
            <w:vMerge w:val="restart"/>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氯化氢</w:t>
            </w:r>
          </w:p>
        </w:tc>
        <w:tc>
          <w:tcPr>
            <w:tcW w:w="233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日平均</w:t>
            </w:r>
          </w:p>
        </w:tc>
        <w:tc>
          <w:tcPr>
            <w:tcW w:w="2480"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2480" w:type="dxa"/>
            <w:vMerge w:val="restart"/>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《环境影响评价技术导则 大气环境》（HJ2.2-2018）附录 D.1 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5" w:type="dxa"/>
            <w:vMerge w:val="continue"/>
            <w:vAlign w:val="center"/>
          </w:tcPr>
          <w:p>
            <w:pPr>
              <w:pStyle w:val="122"/>
              <w:rPr>
                <w:color w:val="000000" w:themeColor="text1"/>
                <w14:textFill>
                  <w14:solidFill>
                    <w14:schemeClr w14:val="tx1"/>
                  </w14:solidFill>
                </w14:textFill>
              </w:rPr>
            </w:pPr>
          </w:p>
        </w:tc>
        <w:tc>
          <w:tcPr>
            <w:tcW w:w="233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1小时平均</w:t>
            </w:r>
          </w:p>
        </w:tc>
        <w:tc>
          <w:tcPr>
            <w:tcW w:w="2480"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2480" w:type="dxa"/>
            <w:vMerge w:val="continue"/>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氨</w:t>
            </w:r>
          </w:p>
        </w:tc>
        <w:tc>
          <w:tcPr>
            <w:tcW w:w="233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1小时平均</w:t>
            </w:r>
          </w:p>
        </w:tc>
        <w:tc>
          <w:tcPr>
            <w:tcW w:w="2480"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200</w:t>
            </w:r>
          </w:p>
        </w:tc>
        <w:tc>
          <w:tcPr>
            <w:tcW w:w="2480" w:type="dxa"/>
            <w:vMerge w:val="continue"/>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硫化氢</w:t>
            </w:r>
          </w:p>
        </w:tc>
        <w:tc>
          <w:tcPr>
            <w:tcW w:w="233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1小时平均</w:t>
            </w:r>
          </w:p>
        </w:tc>
        <w:tc>
          <w:tcPr>
            <w:tcW w:w="2480"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2480" w:type="dxa"/>
            <w:vMerge w:val="continue"/>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5" w:type="dxa"/>
            <w:vAlign w:val="center"/>
          </w:tcPr>
          <w:p>
            <w:pPr>
              <w:pStyle w:val="122"/>
              <w:rPr>
                <w:color w:val="000000" w:themeColor="text1"/>
                <w14:textFill>
                  <w14:solidFill>
                    <w14:schemeClr w14:val="tx1"/>
                  </w14:solidFill>
                </w14:textFill>
              </w:rPr>
            </w:pPr>
            <w:bookmarkStart w:id="29" w:name="_Hlk99810341"/>
            <w:r>
              <w:rPr>
                <w:color w:val="000000" w:themeColor="text1"/>
                <w14:textFill>
                  <w14:solidFill>
                    <w14:schemeClr w14:val="tx1"/>
                  </w14:solidFill>
                </w14:textFill>
              </w:rPr>
              <w:t>非甲烷总烃</w:t>
            </w:r>
            <w:bookmarkEnd w:id="29"/>
          </w:p>
        </w:tc>
        <w:tc>
          <w:tcPr>
            <w:tcW w:w="233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小时值</w:t>
            </w:r>
          </w:p>
        </w:tc>
        <w:tc>
          <w:tcPr>
            <w:tcW w:w="2480"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w:t>
            </w:r>
          </w:p>
        </w:tc>
        <w:tc>
          <w:tcPr>
            <w:tcW w:w="2480" w:type="dxa"/>
            <w:vAlign w:val="center"/>
          </w:tcPr>
          <w:p>
            <w:pPr>
              <w:pStyle w:val="122"/>
              <w:rPr>
                <w:color w:val="000000" w:themeColor="text1"/>
                <w14:textFill>
                  <w14:solidFill>
                    <w14:schemeClr w14:val="tx1"/>
                  </w14:solidFill>
                </w14:textFill>
              </w:rPr>
            </w:pPr>
            <w:bookmarkStart w:id="30" w:name="_Hlk114316394"/>
            <w:r>
              <w:rPr>
                <w:rFonts w:hint="eastAsia"/>
                <w:color w:val="000000" w:themeColor="text1"/>
                <w14:textFill>
                  <w14:solidFill>
                    <w14:schemeClr w14:val="tx1"/>
                  </w14:solidFill>
                </w14:textFill>
              </w:rPr>
              <w:t>《环境空气质量非甲烷总烃限值》（DB 13/1577-2012）</w:t>
            </w:r>
            <w:bookmarkEnd w:id="30"/>
          </w:p>
        </w:tc>
      </w:tr>
    </w:tbl>
    <w:p>
      <w:pPr>
        <w:spacing w:before="156" w:beforeLines="50"/>
        <w:ind w:firstLine="52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（2）地表水</w:t>
      </w:r>
    </w:p>
    <w:p>
      <w:pPr>
        <w:adjustRightInd/>
        <w:snapToGrid/>
        <w:ind w:firstLine="520"/>
        <w:rPr>
          <w:color w:val="000000" w:themeColor="text1"/>
          <w:kern w:val="0"/>
          <w:szCs w:val="26"/>
          <w14:textFill>
            <w14:solidFill>
              <w14:schemeClr w14:val="tx1"/>
            </w14:solidFill>
          </w14:textFill>
        </w:rPr>
      </w:pPr>
      <w:r>
        <w:rPr>
          <w:rFonts w:hint="eastAsia"/>
          <w:color w:val="000000" w:themeColor="text1"/>
          <w:kern w:val="0"/>
          <w:szCs w:val="26"/>
          <w14:textFill>
            <w14:solidFill>
              <w14:schemeClr w14:val="tx1"/>
            </w14:solidFill>
          </w14:textFill>
        </w:rPr>
        <w:t>龙桥河和长江均为Ⅲ</w:t>
      </w:r>
      <w:r>
        <w:rPr>
          <w:color w:val="000000" w:themeColor="text1"/>
          <w:kern w:val="0"/>
          <w:szCs w:val="26"/>
          <w14:textFill>
            <w14:solidFill>
              <w14:schemeClr w14:val="tx1"/>
            </w14:solidFill>
          </w14:textFill>
        </w:rPr>
        <w:t>类</w:t>
      </w:r>
      <w:r>
        <w:rPr>
          <w:rFonts w:hint="eastAsia"/>
          <w:color w:val="000000" w:themeColor="text1"/>
          <w:kern w:val="0"/>
          <w:szCs w:val="26"/>
          <w14:textFill>
            <w14:solidFill>
              <w14:schemeClr w14:val="tx1"/>
            </w14:solidFill>
          </w14:textFill>
        </w:rPr>
        <w:t>水体，</w:t>
      </w:r>
      <w:r>
        <w:rPr>
          <w:color w:val="000000" w:themeColor="text1"/>
          <w:kern w:val="0"/>
          <w:szCs w:val="26"/>
          <w14:textFill>
            <w14:solidFill>
              <w14:schemeClr w14:val="tx1"/>
            </w14:solidFill>
          </w14:textFill>
        </w:rPr>
        <w:t>执行《地表水环境质量标准》（GB3838-2002）中</w:t>
      </w:r>
      <w:r>
        <w:rPr>
          <w:rFonts w:hint="eastAsia"/>
          <w:color w:val="000000" w:themeColor="text1"/>
          <w:kern w:val="0"/>
          <w:szCs w:val="26"/>
          <w14:textFill>
            <w14:solidFill>
              <w14:schemeClr w14:val="tx1"/>
            </w14:solidFill>
          </w14:textFill>
        </w:rPr>
        <w:t>Ⅲ级标准，具体标准详见表1.6-2。</w:t>
      </w:r>
    </w:p>
    <w:p>
      <w:pPr>
        <w:pStyle w:val="39"/>
        <w:rPr>
          <w:color w:val="000000" w:themeColor="text1"/>
          <w14:textFill>
            <w14:solidFill>
              <w14:schemeClr w14:val="tx1"/>
            </w14:solidFill>
          </w14:textFill>
        </w:rPr>
      </w:pPr>
      <w:r>
        <w:rPr>
          <w:color w:val="000000" w:themeColor="text1"/>
          <w14:textFill>
            <w14:solidFill>
              <w14:schemeClr w14:val="tx1"/>
            </w14:solidFill>
          </w14:textFill>
        </w:rPr>
        <w:t>地表水环境质量标准</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单位：mg</w:t>
      </w:r>
      <w:r>
        <w:rPr>
          <w:color w:val="000000" w:themeColor="text1"/>
          <w14:textFill>
            <w14:solidFill>
              <w14:schemeClr w14:val="tx1"/>
            </w14:solidFill>
          </w14:textFill>
        </w:rPr>
        <w:t>/L</w:t>
      </w:r>
    </w:p>
    <w:tbl>
      <w:tblPr>
        <w:tblStyle w:val="42"/>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1312"/>
        <w:gridCol w:w="1574"/>
        <w:gridCol w:w="1573"/>
        <w:gridCol w:w="1573"/>
        <w:gridCol w:w="1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15"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1312"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tc>
          <w:tcPr>
            <w:tcW w:w="1574"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标准值（III类）</w:t>
            </w:r>
          </w:p>
        </w:tc>
        <w:tc>
          <w:tcPr>
            <w:tcW w:w="1573" w:type="dxa"/>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15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tc>
          <w:tcPr>
            <w:tcW w:w="15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标准值（III类）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5"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312"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pH</w:t>
            </w:r>
          </w:p>
        </w:tc>
        <w:tc>
          <w:tcPr>
            <w:tcW w:w="1574"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6~9</w:t>
            </w:r>
          </w:p>
        </w:tc>
        <w:tc>
          <w:tcPr>
            <w:tcW w:w="15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15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硒</w:t>
            </w:r>
          </w:p>
        </w:tc>
        <w:tc>
          <w:tcPr>
            <w:tcW w:w="15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5"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312"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COD</w:t>
            </w:r>
          </w:p>
        </w:tc>
        <w:tc>
          <w:tcPr>
            <w:tcW w:w="1574"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5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15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砷</w:t>
            </w:r>
          </w:p>
        </w:tc>
        <w:tc>
          <w:tcPr>
            <w:tcW w:w="15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5"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312"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BOD</w:t>
            </w:r>
            <w:r>
              <w:rPr>
                <w:rFonts w:hint="eastAsia"/>
                <w:color w:val="000000" w:themeColor="text1"/>
                <w:vertAlign w:val="subscript"/>
                <w14:textFill>
                  <w14:solidFill>
                    <w14:schemeClr w14:val="tx1"/>
                  </w14:solidFill>
                </w14:textFill>
              </w:rPr>
              <w:t>5</w:t>
            </w:r>
          </w:p>
        </w:tc>
        <w:tc>
          <w:tcPr>
            <w:tcW w:w="1574"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4</w:t>
            </w:r>
          </w:p>
        </w:tc>
        <w:tc>
          <w:tcPr>
            <w:tcW w:w="15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15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汞</w:t>
            </w:r>
          </w:p>
        </w:tc>
        <w:tc>
          <w:tcPr>
            <w:tcW w:w="15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0.00005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5"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312"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氨氮</w:t>
            </w:r>
          </w:p>
        </w:tc>
        <w:tc>
          <w:tcPr>
            <w:tcW w:w="1574"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5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15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镉</w:t>
            </w:r>
          </w:p>
        </w:tc>
        <w:tc>
          <w:tcPr>
            <w:tcW w:w="15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5"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312"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DO</w:t>
            </w:r>
          </w:p>
        </w:tc>
        <w:tc>
          <w:tcPr>
            <w:tcW w:w="1574"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5</w:t>
            </w:r>
          </w:p>
        </w:tc>
        <w:tc>
          <w:tcPr>
            <w:tcW w:w="15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15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铅</w:t>
            </w:r>
          </w:p>
        </w:tc>
        <w:tc>
          <w:tcPr>
            <w:tcW w:w="15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5"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312"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总磷</w:t>
            </w:r>
          </w:p>
        </w:tc>
        <w:tc>
          <w:tcPr>
            <w:tcW w:w="1574"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0.2</w:t>
            </w:r>
          </w:p>
        </w:tc>
        <w:tc>
          <w:tcPr>
            <w:tcW w:w="15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15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氰化物</w:t>
            </w:r>
          </w:p>
        </w:tc>
        <w:tc>
          <w:tcPr>
            <w:tcW w:w="15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5"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1312"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高锰酸盐指数</w:t>
            </w:r>
          </w:p>
        </w:tc>
        <w:tc>
          <w:tcPr>
            <w:tcW w:w="1574"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5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19</w:t>
            </w:r>
          </w:p>
        </w:tc>
        <w:tc>
          <w:tcPr>
            <w:tcW w:w="15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挥发酚</w:t>
            </w:r>
          </w:p>
        </w:tc>
        <w:tc>
          <w:tcPr>
            <w:tcW w:w="15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5"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1312"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Cr</w:t>
            </w:r>
            <w:r>
              <w:rPr>
                <w:rFonts w:hint="eastAsia"/>
                <w:color w:val="000000" w:themeColor="text1"/>
                <w:vertAlign w:val="superscript"/>
                <w14:textFill>
                  <w14:solidFill>
                    <w14:schemeClr w14:val="tx1"/>
                  </w14:solidFill>
                </w14:textFill>
              </w:rPr>
              <w:t>6+</w:t>
            </w:r>
          </w:p>
        </w:tc>
        <w:tc>
          <w:tcPr>
            <w:tcW w:w="1574"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0.05</w:t>
            </w:r>
          </w:p>
        </w:tc>
        <w:tc>
          <w:tcPr>
            <w:tcW w:w="15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15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阴离子表面活性剂</w:t>
            </w:r>
          </w:p>
        </w:tc>
        <w:tc>
          <w:tcPr>
            <w:tcW w:w="15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5"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1312"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石油类</w:t>
            </w:r>
          </w:p>
        </w:tc>
        <w:tc>
          <w:tcPr>
            <w:tcW w:w="1574"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5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21</w:t>
            </w:r>
          </w:p>
        </w:tc>
        <w:tc>
          <w:tcPr>
            <w:tcW w:w="15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硫化物</w:t>
            </w:r>
          </w:p>
        </w:tc>
        <w:tc>
          <w:tcPr>
            <w:tcW w:w="15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5"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312"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铜</w:t>
            </w:r>
          </w:p>
        </w:tc>
        <w:tc>
          <w:tcPr>
            <w:tcW w:w="1574"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5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22</w:t>
            </w:r>
          </w:p>
        </w:tc>
        <w:tc>
          <w:tcPr>
            <w:tcW w:w="15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粪大肠菌群</w:t>
            </w:r>
          </w:p>
        </w:tc>
        <w:tc>
          <w:tcPr>
            <w:tcW w:w="15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5"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1312"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锌</w:t>
            </w:r>
          </w:p>
        </w:tc>
        <w:tc>
          <w:tcPr>
            <w:tcW w:w="1574"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573" w:type="dxa"/>
            <w:vAlign w:val="center"/>
          </w:tcPr>
          <w:p>
            <w:pPr>
              <w:pStyle w:val="122"/>
              <w:rPr>
                <w:color w:val="000000" w:themeColor="text1"/>
                <w14:textFill>
                  <w14:solidFill>
                    <w14:schemeClr w14:val="tx1"/>
                  </w14:solidFill>
                </w14:textFill>
              </w:rPr>
            </w:pPr>
          </w:p>
        </w:tc>
        <w:tc>
          <w:tcPr>
            <w:tcW w:w="1573" w:type="dxa"/>
            <w:vAlign w:val="center"/>
          </w:tcPr>
          <w:p>
            <w:pPr>
              <w:pStyle w:val="122"/>
              <w:rPr>
                <w:color w:val="000000" w:themeColor="text1"/>
                <w14:textFill>
                  <w14:solidFill>
                    <w14:schemeClr w14:val="tx1"/>
                  </w14:solidFill>
                </w14:textFill>
              </w:rPr>
            </w:pPr>
          </w:p>
        </w:tc>
        <w:tc>
          <w:tcPr>
            <w:tcW w:w="1573" w:type="dxa"/>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5"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1312"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氟化物</w:t>
            </w:r>
          </w:p>
        </w:tc>
        <w:tc>
          <w:tcPr>
            <w:tcW w:w="1574"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573" w:type="dxa"/>
            <w:vAlign w:val="center"/>
          </w:tcPr>
          <w:p>
            <w:pPr>
              <w:pStyle w:val="122"/>
              <w:rPr>
                <w:color w:val="000000" w:themeColor="text1"/>
                <w14:textFill>
                  <w14:solidFill>
                    <w14:schemeClr w14:val="tx1"/>
                  </w14:solidFill>
                </w14:textFill>
              </w:rPr>
            </w:pPr>
          </w:p>
        </w:tc>
        <w:tc>
          <w:tcPr>
            <w:tcW w:w="1573" w:type="dxa"/>
            <w:vAlign w:val="center"/>
          </w:tcPr>
          <w:p>
            <w:pPr>
              <w:pStyle w:val="122"/>
              <w:rPr>
                <w:color w:val="000000" w:themeColor="text1"/>
                <w14:textFill>
                  <w14:solidFill>
                    <w14:schemeClr w14:val="tx1"/>
                  </w14:solidFill>
                </w14:textFill>
              </w:rPr>
            </w:pPr>
          </w:p>
        </w:tc>
        <w:tc>
          <w:tcPr>
            <w:tcW w:w="1573" w:type="dxa"/>
            <w:vAlign w:val="center"/>
          </w:tcPr>
          <w:p>
            <w:pPr>
              <w:pStyle w:val="122"/>
              <w:rPr>
                <w:color w:val="000000" w:themeColor="text1"/>
                <w14:textFill>
                  <w14:solidFill>
                    <w14:schemeClr w14:val="tx1"/>
                  </w14:solidFill>
                </w14:textFill>
              </w:rPr>
            </w:pPr>
          </w:p>
        </w:tc>
      </w:tr>
    </w:tbl>
    <w:p>
      <w:pPr>
        <w:pStyle w:val="188"/>
        <w:rPr>
          <w:color w:val="000000" w:themeColor="text1"/>
          <w:szCs w:val="26"/>
          <w14:textFill>
            <w14:solidFill>
              <w14:schemeClr w14:val="tx1"/>
            </w14:solidFill>
          </w14:textFill>
        </w:rPr>
      </w:pPr>
    </w:p>
    <w:p>
      <w:pPr>
        <w:spacing w:before="156" w:beforeLines="50"/>
        <w:ind w:firstLine="52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（3）地下水环境</w:t>
      </w:r>
    </w:p>
    <w:p>
      <w:pPr>
        <w:adjustRightInd/>
        <w:snapToGrid/>
        <w:ind w:firstLine="520"/>
        <w:jc w:val="both"/>
        <w:rPr>
          <w:color w:val="000000" w:themeColor="text1"/>
          <w:kern w:val="0"/>
          <w:szCs w:val="26"/>
          <w14:textFill>
            <w14:solidFill>
              <w14:schemeClr w14:val="tx1"/>
            </w14:solidFill>
          </w14:textFill>
        </w:rPr>
      </w:pPr>
      <w:r>
        <w:rPr>
          <w:rFonts w:hint="eastAsia"/>
          <w:color w:val="000000" w:themeColor="text1"/>
          <w:szCs w:val="26"/>
          <w14:textFill>
            <w14:solidFill>
              <w14:schemeClr w14:val="tx1"/>
            </w14:solidFill>
          </w14:textFill>
        </w:rPr>
        <w:t>项目所在区地下水环境质量执行</w:t>
      </w:r>
      <w:r>
        <w:rPr>
          <w:rFonts w:hint="eastAsia"/>
          <w:color w:val="000000" w:themeColor="text1"/>
          <w:kern w:val="0"/>
          <w:szCs w:val="26"/>
          <w14:textFill>
            <w14:solidFill>
              <w14:schemeClr w14:val="tx1"/>
            </w14:solidFill>
          </w14:textFill>
        </w:rPr>
        <w:t>《地下水质量标准》（GB/T14848-2017）Ⅲ类标准，相关标准见下表。</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地下水质量标准</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单位：mg</w:t>
      </w:r>
      <w:r>
        <w:rPr>
          <w:color w:val="000000" w:themeColor="text1"/>
          <w14:textFill>
            <w14:solidFill>
              <w14:schemeClr w14:val="tx1"/>
            </w14:solidFill>
          </w14:textFill>
        </w:rPr>
        <w:t>/L</w:t>
      </w:r>
    </w:p>
    <w:tbl>
      <w:tblPr>
        <w:tblStyle w:val="42"/>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25"/>
        <w:gridCol w:w="1989"/>
        <w:gridCol w:w="1548"/>
        <w:gridCol w:w="842"/>
        <w:gridCol w:w="1979"/>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9" w:hRule="atLeast"/>
          <w:tblHeader/>
          <w:jc w:val="center"/>
        </w:trPr>
        <w:tc>
          <w:tcPr>
            <w:tcW w:w="72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989"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1548"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标准值</w:t>
            </w:r>
          </w:p>
        </w:tc>
        <w:tc>
          <w:tcPr>
            <w:tcW w:w="842"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979"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137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72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1</w:t>
            </w:r>
          </w:p>
        </w:tc>
        <w:tc>
          <w:tcPr>
            <w:tcW w:w="1989"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pH</w:t>
            </w:r>
          </w:p>
        </w:tc>
        <w:tc>
          <w:tcPr>
            <w:tcW w:w="1548"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6.5~8.5</w:t>
            </w:r>
          </w:p>
        </w:tc>
        <w:tc>
          <w:tcPr>
            <w:tcW w:w="842"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2</w:t>
            </w:r>
          </w:p>
        </w:tc>
        <w:tc>
          <w:tcPr>
            <w:tcW w:w="1979"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耗氧量</w:t>
            </w:r>
          </w:p>
        </w:tc>
        <w:tc>
          <w:tcPr>
            <w:tcW w:w="137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72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3</w:t>
            </w:r>
          </w:p>
        </w:tc>
        <w:tc>
          <w:tcPr>
            <w:tcW w:w="1989"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硝酸盐</w:t>
            </w:r>
          </w:p>
        </w:tc>
        <w:tc>
          <w:tcPr>
            <w:tcW w:w="1548"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≤20</w:t>
            </w:r>
          </w:p>
        </w:tc>
        <w:tc>
          <w:tcPr>
            <w:tcW w:w="842"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4</w:t>
            </w:r>
          </w:p>
        </w:tc>
        <w:tc>
          <w:tcPr>
            <w:tcW w:w="1979"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亚硝酸盐</w:t>
            </w:r>
          </w:p>
        </w:tc>
        <w:tc>
          <w:tcPr>
            <w:tcW w:w="137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72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5</w:t>
            </w:r>
          </w:p>
        </w:tc>
        <w:tc>
          <w:tcPr>
            <w:tcW w:w="1989"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挥发性酚类</w:t>
            </w:r>
          </w:p>
        </w:tc>
        <w:tc>
          <w:tcPr>
            <w:tcW w:w="1548"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≤0.002</w:t>
            </w:r>
          </w:p>
        </w:tc>
        <w:tc>
          <w:tcPr>
            <w:tcW w:w="842"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6</w:t>
            </w:r>
          </w:p>
        </w:tc>
        <w:tc>
          <w:tcPr>
            <w:tcW w:w="1979"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氨氮</w:t>
            </w:r>
          </w:p>
        </w:tc>
        <w:tc>
          <w:tcPr>
            <w:tcW w:w="137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72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7</w:t>
            </w:r>
          </w:p>
        </w:tc>
        <w:tc>
          <w:tcPr>
            <w:tcW w:w="1989"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硫酸盐</w:t>
            </w:r>
          </w:p>
        </w:tc>
        <w:tc>
          <w:tcPr>
            <w:tcW w:w="1548"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≤250</w:t>
            </w:r>
          </w:p>
        </w:tc>
        <w:tc>
          <w:tcPr>
            <w:tcW w:w="842"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8</w:t>
            </w:r>
          </w:p>
        </w:tc>
        <w:tc>
          <w:tcPr>
            <w:tcW w:w="1979"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氯化物</w:t>
            </w:r>
          </w:p>
        </w:tc>
        <w:tc>
          <w:tcPr>
            <w:tcW w:w="137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72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9</w:t>
            </w:r>
          </w:p>
        </w:tc>
        <w:tc>
          <w:tcPr>
            <w:tcW w:w="1989"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六价铬</w:t>
            </w:r>
          </w:p>
        </w:tc>
        <w:tc>
          <w:tcPr>
            <w:tcW w:w="1548"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≤0.0</w:t>
            </w:r>
            <w:r>
              <w:rPr>
                <w:rFonts w:hint="eastAsia"/>
                <w:color w:val="000000" w:themeColor="text1"/>
                <w14:textFill>
                  <w14:solidFill>
                    <w14:schemeClr w14:val="tx1"/>
                  </w14:solidFill>
                </w14:textFill>
              </w:rPr>
              <w:t>5</w:t>
            </w:r>
          </w:p>
        </w:tc>
        <w:tc>
          <w:tcPr>
            <w:tcW w:w="84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p>
        </w:tc>
        <w:tc>
          <w:tcPr>
            <w:tcW w:w="1979"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砷</w:t>
            </w:r>
          </w:p>
        </w:tc>
        <w:tc>
          <w:tcPr>
            <w:tcW w:w="137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≤0.0</w:t>
            </w:r>
            <w:r>
              <w:rPr>
                <w:rFonts w:hint="eastAsia"/>
                <w:color w:val="000000" w:themeColor="text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72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1</w:t>
            </w:r>
          </w:p>
        </w:tc>
        <w:tc>
          <w:tcPr>
            <w:tcW w:w="1989"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汞</w:t>
            </w:r>
          </w:p>
        </w:tc>
        <w:tc>
          <w:tcPr>
            <w:tcW w:w="1548"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84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2</w:t>
            </w:r>
          </w:p>
        </w:tc>
        <w:tc>
          <w:tcPr>
            <w:tcW w:w="1979"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铅</w:t>
            </w:r>
          </w:p>
        </w:tc>
        <w:tc>
          <w:tcPr>
            <w:tcW w:w="137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≤0.0</w:t>
            </w:r>
            <w:r>
              <w:rPr>
                <w:rFonts w:hint="eastAsia"/>
                <w:color w:val="000000" w:themeColor="text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72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3</w:t>
            </w:r>
          </w:p>
        </w:tc>
        <w:tc>
          <w:tcPr>
            <w:tcW w:w="1989"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镉</w:t>
            </w:r>
          </w:p>
        </w:tc>
        <w:tc>
          <w:tcPr>
            <w:tcW w:w="1548"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≤0.0</w:t>
            </w:r>
            <w:r>
              <w:rPr>
                <w:rFonts w:hint="eastAsia"/>
                <w:color w:val="000000" w:themeColor="text1"/>
                <w14:textFill>
                  <w14:solidFill>
                    <w14:schemeClr w14:val="tx1"/>
                  </w14:solidFill>
                </w14:textFill>
              </w:rPr>
              <w:t>05</w:t>
            </w:r>
          </w:p>
        </w:tc>
        <w:tc>
          <w:tcPr>
            <w:tcW w:w="84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4</w:t>
            </w:r>
          </w:p>
        </w:tc>
        <w:tc>
          <w:tcPr>
            <w:tcW w:w="1979"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铁</w:t>
            </w:r>
          </w:p>
        </w:tc>
        <w:tc>
          <w:tcPr>
            <w:tcW w:w="137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72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w:t>
            </w:r>
          </w:p>
        </w:tc>
        <w:tc>
          <w:tcPr>
            <w:tcW w:w="1989"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锰</w:t>
            </w:r>
          </w:p>
        </w:tc>
        <w:tc>
          <w:tcPr>
            <w:tcW w:w="1548"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≤0.1</w:t>
            </w:r>
          </w:p>
        </w:tc>
        <w:tc>
          <w:tcPr>
            <w:tcW w:w="84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6</w:t>
            </w:r>
          </w:p>
        </w:tc>
        <w:tc>
          <w:tcPr>
            <w:tcW w:w="1979"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铜</w:t>
            </w:r>
          </w:p>
        </w:tc>
        <w:tc>
          <w:tcPr>
            <w:tcW w:w="137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72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7</w:t>
            </w:r>
          </w:p>
        </w:tc>
        <w:tc>
          <w:tcPr>
            <w:tcW w:w="1989"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锌</w:t>
            </w:r>
          </w:p>
        </w:tc>
        <w:tc>
          <w:tcPr>
            <w:tcW w:w="1548"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≤1.0</w:t>
            </w:r>
          </w:p>
        </w:tc>
        <w:tc>
          <w:tcPr>
            <w:tcW w:w="84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8</w:t>
            </w:r>
          </w:p>
        </w:tc>
        <w:tc>
          <w:tcPr>
            <w:tcW w:w="1979"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总硬度</w:t>
            </w:r>
          </w:p>
        </w:tc>
        <w:tc>
          <w:tcPr>
            <w:tcW w:w="137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72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9</w:t>
            </w:r>
          </w:p>
        </w:tc>
        <w:tc>
          <w:tcPr>
            <w:tcW w:w="1989" w:type="dxa"/>
            <w:vAlign w:val="center"/>
          </w:tcPr>
          <w:p>
            <w:pPr>
              <w:pStyle w:val="122"/>
              <w:rPr>
                <w:bCs/>
                <w:color w:val="000000" w:themeColor="text1"/>
                <w:sz w:val="21"/>
                <w14:textFill>
                  <w14:solidFill>
                    <w14:schemeClr w14:val="tx1"/>
                  </w14:solidFill>
                </w14:textFill>
              </w:rPr>
            </w:pPr>
            <w:r>
              <w:rPr>
                <w:rFonts w:hint="eastAsia"/>
                <w:bCs/>
                <w:color w:val="000000" w:themeColor="text1"/>
                <w:sz w:val="21"/>
                <w14:textFill>
                  <w14:solidFill>
                    <w14:schemeClr w14:val="tx1"/>
                  </w14:solidFill>
                </w14:textFill>
              </w:rPr>
              <w:t>总大肠菌群</w:t>
            </w:r>
          </w:p>
        </w:tc>
        <w:tc>
          <w:tcPr>
            <w:tcW w:w="1548" w:type="dxa"/>
            <w:vAlign w:val="center"/>
          </w:tcPr>
          <w:p>
            <w:pPr>
              <w:pStyle w:val="122"/>
              <w:rPr>
                <w:bCs/>
                <w:color w:val="000000" w:themeColor="text1"/>
                <w:sz w:val="21"/>
                <w14:textFill>
                  <w14:solidFill>
                    <w14:schemeClr w14:val="tx1"/>
                  </w14:solidFill>
                </w14:textFill>
              </w:rPr>
            </w:pPr>
            <w:r>
              <w:rPr>
                <w:rFonts w:hint="eastAsia"/>
                <w:bCs/>
                <w:color w:val="000000" w:themeColor="text1"/>
                <w:sz w:val="21"/>
                <w14:textFill>
                  <w14:solidFill>
                    <w14:schemeClr w14:val="tx1"/>
                  </w14:solidFill>
                </w14:textFill>
              </w:rPr>
              <w:t>≤3.0</w:t>
            </w:r>
          </w:p>
        </w:tc>
        <w:tc>
          <w:tcPr>
            <w:tcW w:w="84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w:t>
            </w:r>
          </w:p>
        </w:tc>
        <w:tc>
          <w:tcPr>
            <w:tcW w:w="1979" w:type="dxa"/>
            <w:vAlign w:val="center"/>
          </w:tcPr>
          <w:p>
            <w:pPr>
              <w:pStyle w:val="122"/>
              <w:rPr>
                <w:color w:val="000000" w:themeColor="text1"/>
                <w14:textFill>
                  <w14:solidFill>
                    <w14:schemeClr w14:val="tx1"/>
                  </w14:solidFill>
                </w14:textFill>
              </w:rPr>
            </w:pPr>
            <w:r>
              <w:rPr>
                <w:rFonts w:hint="eastAsia"/>
                <w:bCs/>
                <w:color w:val="000000" w:themeColor="text1"/>
                <w:sz w:val="21"/>
                <w14:textFill>
                  <w14:solidFill>
                    <w14:schemeClr w14:val="tx1"/>
                  </w14:solidFill>
                </w14:textFill>
              </w:rPr>
              <w:t>石油类</w:t>
            </w:r>
            <w:r>
              <w:rPr>
                <w:rFonts w:hint="eastAsia"/>
                <w:bCs/>
                <w:color w:val="000000" w:themeColor="text1"/>
                <w:sz w:val="21"/>
                <w:vertAlign w:val="superscript"/>
                <w14:textFill>
                  <w14:solidFill>
                    <w14:schemeClr w14:val="tx1"/>
                  </w14:solidFill>
                </w14:textFill>
              </w:rPr>
              <w:t>a</w:t>
            </w:r>
          </w:p>
        </w:tc>
        <w:tc>
          <w:tcPr>
            <w:tcW w:w="1375" w:type="dxa"/>
            <w:vAlign w:val="center"/>
          </w:tcPr>
          <w:p>
            <w:pPr>
              <w:pStyle w:val="122"/>
              <w:rPr>
                <w:color w:val="000000" w:themeColor="text1"/>
                <w14:textFill>
                  <w14:solidFill>
                    <w14:schemeClr w14:val="tx1"/>
                  </w14:solidFill>
                </w14:textFill>
              </w:rPr>
            </w:pPr>
            <w:r>
              <w:rPr>
                <w:rFonts w:hint="eastAsia"/>
                <w:bCs/>
                <w:color w:val="000000" w:themeColor="text1"/>
                <w:sz w:val="21"/>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72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21</w:t>
            </w:r>
          </w:p>
        </w:tc>
        <w:tc>
          <w:tcPr>
            <w:tcW w:w="1989" w:type="dxa"/>
            <w:vAlign w:val="center"/>
          </w:tcPr>
          <w:p>
            <w:pPr>
              <w:pStyle w:val="122"/>
              <w:rPr>
                <w:bCs/>
                <w:color w:val="000000" w:themeColor="text1"/>
                <w:sz w:val="21"/>
                <w14:textFill>
                  <w14:solidFill>
                    <w14:schemeClr w14:val="tx1"/>
                  </w14:solidFill>
                </w14:textFill>
              </w:rPr>
            </w:pPr>
            <w:r>
              <w:rPr>
                <w:rFonts w:hint="eastAsia"/>
                <w:bCs/>
                <w:color w:val="000000" w:themeColor="text1"/>
                <w:sz w:val="21"/>
                <w14:textFill>
                  <w14:solidFill>
                    <w14:schemeClr w14:val="tx1"/>
                  </w14:solidFill>
                </w14:textFill>
              </w:rPr>
              <w:t>氟化物</w:t>
            </w:r>
          </w:p>
        </w:tc>
        <w:tc>
          <w:tcPr>
            <w:tcW w:w="1548" w:type="dxa"/>
            <w:vAlign w:val="center"/>
          </w:tcPr>
          <w:p>
            <w:pPr>
              <w:pStyle w:val="122"/>
              <w:rPr>
                <w:bCs/>
                <w:color w:val="000000" w:themeColor="text1"/>
                <w:sz w:val="21"/>
                <w14:textFill>
                  <w14:solidFill>
                    <w14:schemeClr w14:val="tx1"/>
                  </w14:solidFill>
                </w14:textFill>
              </w:rPr>
            </w:pPr>
            <w:r>
              <w:rPr>
                <w:rFonts w:hint="eastAsia"/>
                <w:bCs/>
                <w:color w:val="000000" w:themeColor="text1"/>
                <w:sz w:val="21"/>
                <w14:textFill>
                  <w14:solidFill>
                    <w14:schemeClr w14:val="tx1"/>
                  </w14:solidFill>
                </w14:textFill>
              </w:rPr>
              <w:t>≤</w:t>
            </w:r>
            <w:r>
              <w:rPr>
                <w:bCs/>
                <w:color w:val="000000" w:themeColor="text1"/>
                <w:sz w:val="21"/>
                <w14:textFill>
                  <w14:solidFill>
                    <w14:schemeClr w14:val="tx1"/>
                  </w14:solidFill>
                </w14:textFill>
              </w:rPr>
              <w:t>1.0</w:t>
            </w:r>
          </w:p>
        </w:tc>
        <w:tc>
          <w:tcPr>
            <w:tcW w:w="84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22</w:t>
            </w:r>
          </w:p>
        </w:tc>
        <w:tc>
          <w:tcPr>
            <w:tcW w:w="1979" w:type="dxa"/>
            <w:vAlign w:val="center"/>
          </w:tcPr>
          <w:p>
            <w:pPr>
              <w:pStyle w:val="122"/>
              <w:rPr>
                <w:color w:val="000000" w:themeColor="text1"/>
                <w14:textFill>
                  <w14:solidFill>
                    <w14:schemeClr w14:val="tx1"/>
                  </w14:solidFill>
                </w14:textFill>
              </w:rPr>
            </w:pPr>
            <w:r>
              <w:rPr>
                <w:rFonts w:hint="eastAsia"/>
                <w:bCs/>
                <w:color w:val="000000" w:themeColor="text1"/>
                <w14:textFill>
                  <w14:solidFill>
                    <w14:schemeClr w14:val="tx1"/>
                  </w14:solidFill>
                </w14:textFill>
              </w:rPr>
              <w:t>溶解性总固体</w:t>
            </w:r>
          </w:p>
        </w:tc>
        <w:tc>
          <w:tcPr>
            <w:tcW w:w="1375" w:type="dxa"/>
            <w:vAlign w:val="center"/>
          </w:tcPr>
          <w:p>
            <w:pPr>
              <w:pStyle w:val="122"/>
              <w:rPr>
                <w:color w:val="000000" w:themeColor="text1"/>
                <w14:textFill>
                  <w14:solidFill>
                    <w14:schemeClr w14:val="tx1"/>
                  </w14:solidFill>
                </w14:textFill>
              </w:rPr>
            </w:pPr>
            <w:r>
              <w:rPr>
                <w:rFonts w:hint="eastAsia"/>
                <w:bCs/>
                <w:color w:val="000000" w:themeColor="text1"/>
                <w:sz w:val="21"/>
                <w14:textFill>
                  <w14:solidFill>
                    <w14:schemeClr w14:val="tx1"/>
                  </w14:solidFill>
                </w14:textFill>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72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23</w:t>
            </w:r>
          </w:p>
        </w:tc>
        <w:tc>
          <w:tcPr>
            <w:tcW w:w="1989" w:type="dxa"/>
            <w:vAlign w:val="center"/>
          </w:tcPr>
          <w:p>
            <w:pPr>
              <w:pStyle w:val="122"/>
              <w:rPr>
                <w:bCs/>
                <w:color w:val="000000" w:themeColor="text1"/>
                <w:sz w:val="21"/>
                <w14:textFill>
                  <w14:solidFill>
                    <w14:schemeClr w14:val="tx1"/>
                  </w14:solidFill>
                </w14:textFill>
              </w:rPr>
            </w:pPr>
            <w:r>
              <w:rPr>
                <w:rFonts w:hint="eastAsia"/>
                <w:bCs/>
                <w:color w:val="000000" w:themeColor="text1"/>
                <w:sz w:val="21"/>
                <w14:textFill>
                  <w14:solidFill>
                    <w14:schemeClr w14:val="tx1"/>
                  </w14:solidFill>
                </w14:textFill>
              </w:rPr>
              <w:t>氰化物</w:t>
            </w:r>
          </w:p>
        </w:tc>
        <w:tc>
          <w:tcPr>
            <w:tcW w:w="1548" w:type="dxa"/>
            <w:vAlign w:val="center"/>
          </w:tcPr>
          <w:p>
            <w:pPr>
              <w:pStyle w:val="122"/>
              <w:rPr>
                <w:bCs/>
                <w:color w:val="000000" w:themeColor="text1"/>
                <w:sz w:val="21"/>
                <w14:textFill>
                  <w14:solidFill>
                    <w14:schemeClr w14:val="tx1"/>
                  </w14:solidFill>
                </w14:textFill>
              </w:rPr>
            </w:pPr>
            <w:r>
              <w:rPr>
                <w:rFonts w:hint="eastAsia"/>
                <w:bCs/>
                <w:color w:val="000000" w:themeColor="text1"/>
                <w:sz w:val="21"/>
                <w14:textFill>
                  <w14:solidFill>
                    <w14:schemeClr w14:val="tx1"/>
                  </w14:solidFill>
                </w14:textFill>
              </w:rPr>
              <w:t>≤0.</w:t>
            </w:r>
            <w:r>
              <w:rPr>
                <w:bCs/>
                <w:color w:val="000000" w:themeColor="text1"/>
                <w:sz w:val="21"/>
                <w14:textFill>
                  <w14:solidFill>
                    <w14:schemeClr w14:val="tx1"/>
                  </w14:solidFill>
                </w14:textFill>
              </w:rPr>
              <w:t>05</w:t>
            </w:r>
          </w:p>
        </w:tc>
        <w:tc>
          <w:tcPr>
            <w:tcW w:w="842" w:type="dxa"/>
            <w:vAlign w:val="center"/>
          </w:tcPr>
          <w:p>
            <w:pPr>
              <w:pStyle w:val="122"/>
              <w:rPr>
                <w:color w:val="000000" w:themeColor="text1"/>
                <w14:textFill>
                  <w14:solidFill>
                    <w14:schemeClr w14:val="tx1"/>
                  </w14:solidFill>
                </w14:textFill>
              </w:rPr>
            </w:pPr>
          </w:p>
        </w:tc>
        <w:tc>
          <w:tcPr>
            <w:tcW w:w="1979" w:type="dxa"/>
            <w:vAlign w:val="center"/>
          </w:tcPr>
          <w:p>
            <w:pPr>
              <w:pStyle w:val="122"/>
              <w:rPr>
                <w:color w:val="000000" w:themeColor="text1"/>
                <w14:textFill>
                  <w14:solidFill>
                    <w14:schemeClr w14:val="tx1"/>
                  </w14:solidFill>
                </w14:textFill>
              </w:rPr>
            </w:pPr>
          </w:p>
        </w:tc>
        <w:tc>
          <w:tcPr>
            <w:tcW w:w="1375" w:type="dxa"/>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72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c>
          <w:tcPr>
            <w:tcW w:w="1989" w:type="dxa"/>
            <w:vAlign w:val="center"/>
          </w:tcPr>
          <w:p>
            <w:pPr>
              <w:pStyle w:val="122"/>
              <w:rPr>
                <w:bCs/>
                <w:color w:val="000000" w:themeColor="text1"/>
                <w:sz w:val="21"/>
                <w14:textFill>
                  <w14:solidFill>
                    <w14:schemeClr w14:val="tx1"/>
                  </w14:solidFill>
                </w14:textFill>
              </w:rPr>
            </w:pPr>
            <w:r>
              <w:rPr>
                <w:rFonts w:hint="eastAsia"/>
                <w:bCs/>
                <w:color w:val="000000" w:themeColor="text1"/>
                <w14:textFill>
                  <w14:solidFill>
                    <w14:schemeClr w14:val="tx1"/>
                  </w14:solidFill>
                </w14:textFill>
              </w:rPr>
              <w:t>细菌总数</w:t>
            </w:r>
          </w:p>
        </w:tc>
        <w:tc>
          <w:tcPr>
            <w:tcW w:w="1548" w:type="dxa"/>
            <w:vAlign w:val="center"/>
          </w:tcPr>
          <w:p>
            <w:pPr>
              <w:pStyle w:val="122"/>
              <w:rPr>
                <w:bCs/>
                <w:color w:val="000000" w:themeColor="text1"/>
                <w:sz w:val="21"/>
                <w14:textFill>
                  <w14:solidFill>
                    <w14:schemeClr w14:val="tx1"/>
                  </w14:solidFill>
                </w14:textFill>
              </w:rPr>
            </w:pPr>
            <w:r>
              <w:rPr>
                <w:rFonts w:hint="eastAsia"/>
                <w:bCs/>
                <w:color w:val="000000" w:themeColor="text1"/>
                <w:sz w:val="21"/>
                <w14:textFill>
                  <w14:solidFill>
                    <w14:schemeClr w14:val="tx1"/>
                  </w14:solidFill>
                </w14:textFill>
              </w:rPr>
              <w:t>≤100</w:t>
            </w:r>
          </w:p>
        </w:tc>
        <w:tc>
          <w:tcPr>
            <w:tcW w:w="842" w:type="dxa"/>
            <w:vAlign w:val="center"/>
          </w:tcPr>
          <w:p>
            <w:pPr>
              <w:pStyle w:val="122"/>
              <w:rPr>
                <w:color w:val="000000" w:themeColor="text1"/>
                <w14:textFill>
                  <w14:solidFill>
                    <w14:schemeClr w14:val="tx1"/>
                  </w14:solidFill>
                </w14:textFill>
              </w:rPr>
            </w:pPr>
          </w:p>
        </w:tc>
        <w:tc>
          <w:tcPr>
            <w:tcW w:w="1979" w:type="dxa"/>
            <w:vAlign w:val="center"/>
          </w:tcPr>
          <w:p>
            <w:pPr>
              <w:pStyle w:val="122"/>
              <w:rPr>
                <w:bCs/>
                <w:color w:val="000000" w:themeColor="text1"/>
                <w:sz w:val="21"/>
                <w14:textFill>
                  <w14:solidFill>
                    <w14:schemeClr w14:val="tx1"/>
                  </w14:solidFill>
                </w14:textFill>
              </w:rPr>
            </w:pPr>
          </w:p>
        </w:tc>
        <w:tc>
          <w:tcPr>
            <w:tcW w:w="1375" w:type="dxa"/>
            <w:vAlign w:val="center"/>
          </w:tcPr>
          <w:p>
            <w:pPr>
              <w:pStyle w:val="122"/>
              <w:rPr>
                <w:bCs/>
                <w:color w:val="000000" w:themeColor="text1"/>
                <w:sz w:val="21"/>
                <w14:textFill>
                  <w14:solidFill>
                    <w14:schemeClr w14:val="tx1"/>
                  </w14:solidFill>
                </w14:textFill>
              </w:rPr>
            </w:pPr>
          </w:p>
        </w:tc>
      </w:tr>
    </w:tbl>
    <w:p>
      <w:pPr>
        <w:pStyle w:val="188"/>
        <w:rPr>
          <w:color w:val="000000" w:themeColor="text1"/>
          <w:szCs w:val="26"/>
          <w14:textFill>
            <w14:solidFill>
              <w14:schemeClr w14:val="tx1"/>
            </w14:solidFill>
          </w14:textFill>
        </w:rPr>
      </w:pPr>
      <w:r>
        <w:rPr>
          <w:rFonts w:hint="eastAsia"/>
          <w:color w:val="000000" w:themeColor="text1"/>
          <w14:textFill>
            <w14:solidFill>
              <w14:schemeClr w14:val="tx1"/>
            </w14:solidFill>
          </w14:textFill>
        </w:rPr>
        <w:t>注：a—参照的《地表水环境质量标准》</w:t>
      </w:r>
      <w:r>
        <w:rPr>
          <w:color w:val="000000" w:themeColor="text1"/>
          <w14:textFill>
            <w14:solidFill>
              <w14:schemeClr w14:val="tx1"/>
            </w14:solidFill>
          </w14:textFill>
        </w:rPr>
        <w:t>（GB3838-2002）</w:t>
      </w:r>
      <w:r>
        <w:rPr>
          <w:rFonts w:hint="eastAsia"/>
          <w:color w:val="000000" w:themeColor="text1"/>
          <w14:textFill>
            <w14:solidFill>
              <w14:schemeClr w14:val="tx1"/>
            </w14:solidFill>
          </w14:textFill>
        </w:rPr>
        <w:t>表1地表水环境质量标准基本项目标准限值中的Ⅲ类水质标准。</w:t>
      </w:r>
    </w:p>
    <w:p>
      <w:pPr>
        <w:spacing w:before="156" w:beforeLines="50"/>
        <w:ind w:firstLine="52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（4）声环境</w:t>
      </w:r>
    </w:p>
    <w:p>
      <w:pPr>
        <w:adjustRightInd/>
        <w:snapToGrid/>
        <w:ind w:firstLine="520"/>
        <w:rPr>
          <w:color w:val="000000" w:themeColor="text1"/>
          <w:kern w:val="0"/>
          <w:szCs w:val="26"/>
          <w14:textFill>
            <w14:solidFill>
              <w14:schemeClr w14:val="tx1"/>
            </w14:solidFill>
          </w14:textFill>
        </w:rPr>
      </w:pPr>
      <w:r>
        <w:rPr>
          <w:rFonts w:hint="eastAsia"/>
          <w:color w:val="000000" w:themeColor="text1"/>
          <w:kern w:val="0"/>
          <w:szCs w:val="26"/>
          <w14:textFill>
            <w14:solidFill>
              <w14:schemeClr w14:val="tx1"/>
            </w14:solidFill>
          </w14:textFill>
        </w:rPr>
        <w:t>项目位于</w:t>
      </w:r>
      <w:r>
        <w:rPr>
          <w:color w:val="000000" w:themeColor="text1"/>
          <w:kern w:val="0"/>
          <w:szCs w:val="26"/>
          <w14:textFill>
            <w14:solidFill>
              <w14:schemeClr w14:val="tx1"/>
            </w14:solidFill>
          </w14:textFill>
        </w:rPr>
        <w:t>《声环境质量标准》（GB3096-2008）</w:t>
      </w:r>
      <w:r>
        <w:rPr>
          <w:rFonts w:hint="eastAsia"/>
          <w:color w:val="000000" w:themeColor="text1"/>
          <w:kern w:val="0"/>
          <w:szCs w:val="26"/>
          <w14:textFill>
            <w14:solidFill>
              <w14:schemeClr w14:val="tx1"/>
            </w14:solidFill>
          </w14:textFill>
        </w:rPr>
        <w:t>3类功能区，执行3类标准，相关标准</w:t>
      </w:r>
      <w:r>
        <w:rPr>
          <w:color w:val="000000" w:themeColor="text1"/>
          <w:kern w:val="0"/>
          <w:szCs w:val="26"/>
          <w14:textFill>
            <w14:solidFill>
              <w14:schemeClr w14:val="tx1"/>
            </w14:solidFill>
          </w14:textFill>
        </w:rPr>
        <w:t>见</w:t>
      </w:r>
      <w:r>
        <w:rPr>
          <w:rFonts w:hint="eastAsia"/>
          <w:color w:val="000000" w:themeColor="text1"/>
          <w:kern w:val="0"/>
          <w:szCs w:val="26"/>
          <w14:textFill>
            <w14:solidFill>
              <w14:schemeClr w14:val="tx1"/>
            </w14:solidFill>
          </w14:textFill>
        </w:rPr>
        <w:t>下表</w:t>
      </w:r>
      <w:r>
        <w:rPr>
          <w:color w:val="000000" w:themeColor="text1"/>
          <w:kern w:val="0"/>
          <w:szCs w:val="26"/>
          <w14:textFill>
            <w14:solidFill>
              <w14:schemeClr w14:val="tx1"/>
            </w14:solidFill>
          </w14:textFill>
        </w:rPr>
        <w:t>。</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声环境质量标准  单位：dB（A）</w:t>
      </w:r>
    </w:p>
    <w:tbl>
      <w:tblPr>
        <w:tblStyle w:val="42"/>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8"/>
        <w:gridCol w:w="3066"/>
        <w:gridCol w:w="1709"/>
        <w:gridCol w:w="1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7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类别</w:t>
            </w:r>
          </w:p>
        </w:tc>
        <w:tc>
          <w:tcPr>
            <w:tcW w:w="3066"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适用范围</w:t>
            </w:r>
          </w:p>
        </w:tc>
        <w:tc>
          <w:tcPr>
            <w:tcW w:w="3476" w:type="dxa"/>
            <w:gridSpan w:val="2"/>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7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3类</w:t>
            </w:r>
          </w:p>
        </w:tc>
        <w:tc>
          <w:tcPr>
            <w:tcW w:w="3066"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工业园区</w:t>
            </w:r>
          </w:p>
        </w:tc>
        <w:tc>
          <w:tcPr>
            <w:tcW w:w="1709"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1767"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r>
    </w:tbl>
    <w:p>
      <w:pPr>
        <w:ind w:firstLine="520"/>
        <w:rPr>
          <w:color w:val="000000" w:themeColor="text1"/>
          <w14:textFill>
            <w14:solidFill>
              <w14:schemeClr w14:val="tx1"/>
            </w14:solidFill>
          </w14:textFill>
        </w:rPr>
      </w:pP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（5）土壤环境</w:t>
      </w:r>
    </w:p>
    <w:p>
      <w:pPr>
        <w:ind w:firstLine="520"/>
        <w:rPr>
          <w:color w:val="000000" w:themeColor="text1"/>
          <w:szCs w:val="24"/>
          <w14:textFill>
            <w14:solidFill>
              <w14:schemeClr w14:val="tx1"/>
            </w14:solidFill>
          </w14:textFill>
        </w:rPr>
      </w:pPr>
      <w:r>
        <w:rPr>
          <w:rFonts w:hint="eastAsia"/>
          <w:color w:val="000000" w:themeColor="text1"/>
          <w14:textFill>
            <w14:solidFill>
              <w14:schemeClr w14:val="tx1"/>
            </w14:solidFill>
          </w14:textFill>
        </w:rPr>
        <w:t>土壤参照《土壤环境质量 建设用地土壤污染风险管控标准（试行）》（GB 36600-2018）</w:t>
      </w:r>
      <w:r>
        <w:rPr>
          <w:rFonts w:hint="eastAsia"/>
          <w:color w:val="000000" w:themeColor="text1"/>
          <w:szCs w:val="24"/>
          <w14:textFill>
            <w14:solidFill>
              <w14:schemeClr w14:val="tx1"/>
            </w14:solidFill>
          </w14:textFill>
        </w:rPr>
        <w:t>，标准限值见下表。</w:t>
      </w:r>
    </w:p>
    <w:p>
      <w:pPr>
        <w:pStyle w:val="39"/>
        <w:rPr>
          <w:color w:val="000000" w:themeColor="text1"/>
          <w14:textFill>
            <w14:solidFill>
              <w14:schemeClr w14:val="tx1"/>
            </w14:solidFill>
          </w14:textFill>
        </w:rPr>
      </w:pPr>
      <w:r>
        <w:rPr>
          <w:color w:val="000000" w:themeColor="text1"/>
          <w14:textFill>
            <w14:solidFill>
              <w14:schemeClr w14:val="tx1"/>
            </w14:solidFill>
          </w14:textFill>
        </w:rPr>
        <w:t>GB36600-2018建设用地土壤质量标准限值 单位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mg/kg</w:t>
      </w:r>
    </w:p>
    <w:tbl>
      <w:tblPr>
        <w:tblStyle w:val="42"/>
        <w:tblW w:w="8858" w:type="dxa"/>
        <w:tblInd w:w="0" w:type="dxa"/>
        <w:tblLayout w:type="fixed"/>
        <w:tblCellMar>
          <w:top w:w="0" w:type="dxa"/>
          <w:left w:w="0" w:type="dxa"/>
          <w:bottom w:w="0" w:type="dxa"/>
          <w:right w:w="0" w:type="dxa"/>
        </w:tblCellMar>
      </w:tblPr>
      <w:tblGrid>
        <w:gridCol w:w="910"/>
        <w:gridCol w:w="1220"/>
        <w:gridCol w:w="2084"/>
        <w:gridCol w:w="1151"/>
        <w:gridCol w:w="1119"/>
        <w:gridCol w:w="1158"/>
        <w:gridCol w:w="1216"/>
      </w:tblGrid>
      <w:tr>
        <w:tblPrEx>
          <w:tblCellMar>
            <w:top w:w="0" w:type="dxa"/>
            <w:left w:w="0" w:type="dxa"/>
            <w:bottom w:w="0" w:type="dxa"/>
            <w:right w:w="0" w:type="dxa"/>
          </w:tblCellMar>
        </w:tblPrEx>
        <w:trPr>
          <w:trHeight w:val="20" w:hRule="atLeast"/>
          <w:tblHeader/>
        </w:trPr>
        <w:tc>
          <w:tcPr>
            <w:tcW w:w="213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bookmarkStart w:id="31" w:name="_Hlk12302910"/>
            <w:r>
              <w:rPr>
                <w:color w:val="000000" w:themeColor="text1"/>
                <w14:textFill>
                  <w14:solidFill>
                    <w14:schemeClr w14:val="tx1"/>
                  </w14:solidFill>
                </w14:textFill>
              </w:rPr>
              <w:t>序号</w:t>
            </w:r>
          </w:p>
        </w:tc>
        <w:tc>
          <w:tcPr>
            <w:tcW w:w="20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污染物项目</w:t>
            </w:r>
          </w:p>
        </w:tc>
        <w:tc>
          <w:tcPr>
            <w:tcW w:w="227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筛选值</w:t>
            </w:r>
          </w:p>
        </w:tc>
        <w:tc>
          <w:tcPr>
            <w:tcW w:w="2374" w:type="dxa"/>
            <w:gridSpan w:val="2"/>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管制值</w:t>
            </w:r>
          </w:p>
        </w:tc>
      </w:tr>
      <w:tr>
        <w:tblPrEx>
          <w:tblCellMar>
            <w:top w:w="0" w:type="dxa"/>
            <w:left w:w="0" w:type="dxa"/>
            <w:bottom w:w="0" w:type="dxa"/>
            <w:right w:w="0" w:type="dxa"/>
          </w:tblCellMar>
        </w:tblPrEx>
        <w:trPr>
          <w:trHeight w:val="20" w:hRule="atLeast"/>
          <w:tblHeader/>
        </w:trPr>
        <w:tc>
          <w:tcPr>
            <w:tcW w:w="213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p>
        </w:tc>
        <w:tc>
          <w:tcPr>
            <w:tcW w:w="20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第</w:t>
            </w:r>
            <w:r>
              <w:rPr>
                <w:rFonts w:hint="eastAsia"/>
                <w:color w:val="000000" w:themeColor="text1"/>
                <w14:textFill>
                  <w14:solidFill>
                    <w14:schemeClr w14:val="tx1"/>
                  </w14:solidFill>
                </w14:textFill>
              </w:rPr>
              <w:t>一</w:t>
            </w:r>
            <w:r>
              <w:rPr>
                <w:color w:val="000000" w:themeColor="text1"/>
                <w14:textFill>
                  <w14:solidFill>
                    <w14:schemeClr w14:val="tx1"/>
                  </w14:solidFill>
                </w14:textFill>
              </w:rPr>
              <w:t>类用地</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第二类用地</w:t>
            </w:r>
          </w:p>
        </w:tc>
        <w:tc>
          <w:tcPr>
            <w:tcW w:w="1158" w:type="dxa"/>
            <w:tcBorders>
              <w:top w:val="single" w:color="000000" w:sz="4" w:space="0"/>
              <w:left w:val="single" w:color="000000" w:sz="4" w:space="0"/>
              <w:bottom w:val="single" w:color="000000" w:sz="4" w:space="0"/>
              <w:right w:val="single" w:color="000000" w:sz="4" w:space="0"/>
            </w:tcBorders>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第</w:t>
            </w:r>
            <w:r>
              <w:rPr>
                <w:rFonts w:hint="eastAsia"/>
                <w:color w:val="000000" w:themeColor="text1"/>
                <w14:textFill>
                  <w14:solidFill>
                    <w14:schemeClr w14:val="tx1"/>
                  </w14:solidFill>
                </w14:textFill>
              </w:rPr>
              <w:t>一</w:t>
            </w:r>
            <w:r>
              <w:rPr>
                <w:color w:val="000000" w:themeColor="text1"/>
                <w14:textFill>
                  <w14:solidFill>
                    <w14:schemeClr w14:val="tx1"/>
                  </w14:solidFill>
                </w14:textFill>
              </w:rPr>
              <w:t>类用地</w:t>
            </w:r>
          </w:p>
        </w:tc>
        <w:tc>
          <w:tcPr>
            <w:tcW w:w="1216" w:type="dxa"/>
            <w:tcBorders>
              <w:top w:val="single" w:color="000000" w:sz="4" w:space="0"/>
              <w:left w:val="single" w:color="000000" w:sz="4" w:space="0"/>
              <w:bottom w:val="single" w:color="000000" w:sz="4" w:space="0"/>
              <w:right w:val="single" w:color="000000" w:sz="4" w:space="0"/>
            </w:tcBorders>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第二类用地</w:t>
            </w:r>
          </w:p>
        </w:tc>
      </w:tr>
      <w:tr>
        <w:tblPrEx>
          <w:tblCellMar>
            <w:top w:w="0" w:type="dxa"/>
            <w:left w:w="0" w:type="dxa"/>
            <w:bottom w:w="0" w:type="dxa"/>
            <w:right w:w="0" w:type="dxa"/>
          </w:tblCellMar>
        </w:tblPrEx>
        <w:trPr>
          <w:trHeight w:val="20" w:hRule="atLeast"/>
        </w:trPr>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基本项目</w:t>
            </w:r>
          </w:p>
        </w:tc>
        <w:tc>
          <w:tcPr>
            <w:tcW w:w="7948"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r>
              <w:rPr>
                <w:color w:val="000000" w:themeColor="text1"/>
                <w14:textFill>
                  <w14:solidFill>
                    <w14:schemeClr w14:val="tx1"/>
                  </w14:solidFill>
                </w14:textFill>
              </w:rPr>
              <w:t>重金属和无机物</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砷</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60</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20</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40</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2</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镉</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65</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7</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72</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3</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铬（六价）</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3.0</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5.7</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0</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8</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4</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铜</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2000</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18000</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000</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6000</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5</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铅</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400</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800</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00</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500</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6</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汞</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8</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38</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3</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2</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7</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镍</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900</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00</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000</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p>
        </w:tc>
        <w:tc>
          <w:tcPr>
            <w:tcW w:w="7948"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挥发性有机物</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8</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四氯化碳</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0.9</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2.8</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6</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9</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氯仿</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0.3</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0.9</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氯甲烷</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12</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37</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1</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20</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11</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1，1-二氯乙烷</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3</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9</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00</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12</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1，2-二氯乙烷</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0.52</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5</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1</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13</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1，1-二氯乙烯</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12</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66</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0</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00</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14</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顺-1,2-二氯乙烯</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66</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596</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00</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000</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15</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反-1,2-二氯乙烯</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54</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1</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63</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16</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二氯甲烷</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94</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616</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00</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000</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17</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1，2-二氯丙烷</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5</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7</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18</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1，1，1，2-四氯乙烷</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2.6</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6</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00</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19</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1，1，2，2-四氯乙烷</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1.6</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6.8</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4</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0</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20</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四氯乙烯</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11</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53</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4</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83</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21</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1，1，1-三氯乙烷</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701</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840</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40</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40</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22</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1，1,2-三氯乙烷</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0.6</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2.8</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23</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三氯乙烯</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0.7</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2.8</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24</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1，2,3-三氯丙烷</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.5</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25</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氯乙烯</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0.12</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0.43</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.2</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.3</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26</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苯</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4</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0</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27</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氯苯</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68</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270</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00</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000</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28</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1，2-二氯苯</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560</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560</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60</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60</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29</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1，4-二氯苯</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5.6</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6</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00</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30</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乙苯</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7.2</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28</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2</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80</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31</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苯乙烯</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1290</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1290</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290</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290</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32</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甲苯</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1200</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1200</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200</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200</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33</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间二甲苯+对二甲苯</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163</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570</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00</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70</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34</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邻二甲苯</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222</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640</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40</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40</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7948"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半挥发性有机物</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35</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硝基苯</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34</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76</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90</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60</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36</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苯胺</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92</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260</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11</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63</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37</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2-氯酚</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250</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2256</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00</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500</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38</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苯并〔a〕蒽</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5.5</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5</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51</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39</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苯并〔a〕芘</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0.55</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.5</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40</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苯并〔b〕荧蒽</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5.5</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5</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51</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41</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苯并〔k〕荧蒽</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55</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151</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50</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500</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42</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䓛</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490</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1293</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900</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2900</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43</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二苯并〔a,h〕蒽</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0.55</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.5</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44</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茚并〔1,2,3-cd〕芘</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5.5</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5</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51</w:t>
            </w:r>
          </w:p>
        </w:tc>
      </w:tr>
      <w:tr>
        <w:tblPrEx>
          <w:tblCellMar>
            <w:top w:w="0" w:type="dxa"/>
            <w:left w:w="0" w:type="dxa"/>
            <w:bottom w:w="0" w:type="dxa"/>
            <w:right w:w="0" w:type="dxa"/>
          </w:tblCellMar>
        </w:tblPrEx>
        <w:trPr>
          <w:trHeight w:val="20" w:hRule="atLeast"/>
        </w:trPr>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ind w:firstLine="520"/>
              <w:rPr>
                <w:color w:val="000000" w:themeColor="text1"/>
                <w14:textFill>
                  <w14:solidFill>
                    <w14:schemeClr w14:val="tx1"/>
                  </w14:solidFill>
                </w14:textFill>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45</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萘</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25</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8"/>
              <w:rPr>
                <w:color w:val="000000" w:themeColor="text1"/>
                <w14:textFill>
                  <w14:solidFill>
                    <w14:schemeClr w14:val="tx1"/>
                  </w14:solidFill>
                </w14:textFill>
              </w:rPr>
            </w:pPr>
            <w:r>
              <w:rPr>
                <w:color w:val="000000" w:themeColor="text1"/>
                <w14:textFill>
                  <w14:solidFill>
                    <w14:schemeClr w14:val="tx1"/>
                  </w14:solidFill>
                </w14:textFill>
              </w:rPr>
              <w:t>70</w:t>
            </w:r>
          </w:p>
        </w:tc>
        <w:tc>
          <w:tcPr>
            <w:tcW w:w="1158"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55</w:t>
            </w:r>
          </w:p>
        </w:tc>
        <w:tc>
          <w:tcPr>
            <w:tcW w:w="1216" w:type="dxa"/>
            <w:tcBorders>
              <w:top w:val="single" w:color="000000" w:sz="4" w:space="0"/>
              <w:left w:val="single" w:color="000000" w:sz="4" w:space="0"/>
              <w:bottom w:val="single" w:color="000000" w:sz="4" w:space="0"/>
              <w:right w:val="single" w:color="000000" w:sz="4" w:space="0"/>
            </w:tcBorders>
          </w:tcPr>
          <w:p>
            <w:pPr>
              <w:pStyle w:val="198"/>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00</w:t>
            </w:r>
          </w:p>
        </w:tc>
      </w:tr>
      <w:bookmarkEnd w:id="31"/>
    </w:tbl>
    <w:p>
      <w:pPr>
        <w:pStyle w:val="80"/>
      </w:pP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污染物排放标准</w:t>
      </w:r>
    </w:p>
    <w:p>
      <w:pPr>
        <w:pStyle w:val="125"/>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（1）大气污染物排放标准</w:t>
      </w:r>
    </w:p>
    <w:p>
      <w:pPr>
        <w:ind w:firstLine="520"/>
        <w:jc w:val="both"/>
        <w:rPr>
          <w:color w:val="000000" w:themeColor="text1"/>
          <w14:textFill>
            <w14:solidFill>
              <w14:schemeClr w14:val="tx1"/>
            </w14:solidFill>
          </w14:textFill>
        </w:rPr>
      </w:pPr>
      <w:r>
        <w:rPr>
          <w:color w:val="000000" w:themeColor="text1"/>
          <w14:textFill>
            <w14:solidFill>
              <w14:schemeClr w14:val="tx1"/>
            </w14:solidFill>
          </w14:textFill>
        </w:rPr>
        <w:t>运营期本项目</w:t>
      </w:r>
      <w:r>
        <w:rPr>
          <w:rFonts w:hint="eastAsia"/>
          <w:color w:val="000000" w:themeColor="text1"/>
          <w14:textFill>
            <w14:solidFill>
              <w14:schemeClr w14:val="tx1"/>
            </w14:solidFill>
          </w14:textFill>
        </w:rPr>
        <w:t>循环流化床锅炉排放的</w:t>
      </w:r>
      <w:r>
        <w:rPr>
          <w:color w:val="000000" w:themeColor="text1"/>
          <w14:textFill>
            <w14:solidFill>
              <w14:schemeClr w14:val="tx1"/>
            </w14:solidFill>
          </w14:textFill>
        </w:rPr>
        <w:t>烟尘、二氧化硫、氮氧化物执行</w:t>
      </w:r>
      <w:r>
        <w:rPr>
          <w:rFonts w:hint="eastAsia"/>
          <w:color w:val="000000" w:themeColor="text1"/>
          <w14:textFill>
            <w14:solidFill>
              <w14:schemeClr w14:val="tx1"/>
            </w14:solidFill>
          </w14:textFill>
        </w:rPr>
        <w:t>《全面实施燃煤电厂超低排放和节能改造工作方案》（环发[</w:t>
      </w:r>
      <w:r>
        <w:rPr>
          <w:color w:val="000000" w:themeColor="text1"/>
          <w14:textFill>
            <w14:solidFill>
              <w14:schemeClr w14:val="tx1"/>
            </w14:solidFill>
          </w14:textFill>
        </w:rPr>
        <w:t>2015]164</w:t>
      </w:r>
      <w:r>
        <w:rPr>
          <w:rFonts w:hint="eastAsia"/>
          <w:color w:val="000000" w:themeColor="text1"/>
          <w14:textFill>
            <w14:solidFill>
              <w14:schemeClr w14:val="tx1"/>
            </w14:solidFill>
          </w14:textFill>
        </w:rPr>
        <w:t>号）</w:t>
      </w:r>
      <w:r>
        <w:rPr>
          <w:color w:val="000000" w:themeColor="text1"/>
          <w14:textFill>
            <w14:solidFill>
              <w14:schemeClr w14:val="tx1"/>
            </w14:solidFill>
          </w14:textFill>
        </w:rPr>
        <w:t>超低排放限值，即烟尘、二氧化硫、氮氧化物排放浓度（基准含氧量6%）分别不超过 10mg/m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、35mg/m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、50mg/m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；烟气黑度（林格曼黑度，</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级）、汞及其化合物执行《火电厂大气污染物排放标准》</w:t>
      </w:r>
      <w:r>
        <w:rPr>
          <w:color w:val="000000" w:themeColor="text1"/>
          <w:highlight w:val="yellow"/>
          <w14:textFill>
            <w14:solidFill>
              <w14:schemeClr w14:val="tx1"/>
            </w14:solidFill>
          </w14:textFill>
        </w:rPr>
        <w:t>（GB13223-2011）</w:t>
      </w:r>
      <w:r>
        <w:rPr>
          <w:color w:val="000000" w:themeColor="text1"/>
          <w14:textFill>
            <w14:solidFill>
              <w14:schemeClr w14:val="tx1"/>
            </w14:solidFill>
          </w14:textFill>
        </w:rPr>
        <w:t>表1中排放限值；</w:t>
      </w:r>
      <w:r>
        <w:rPr>
          <w:rFonts w:hint="eastAsia"/>
          <w:color w:val="000000" w:themeColor="text1"/>
          <w14:textFill>
            <w14:solidFill>
              <w14:schemeClr w14:val="tx1"/>
            </w14:solidFill>
          </w14:textFill>
        </w:rPr>
        <w:t>氨执行《恶臭污染物排放标准》</w:t>
      </w:r>
      <w:r>
        <w:rPr>
          <w:color w:val="000000" w:themeColor="text1"/>
          <w14:textFill>
            <w14:solidFill>
              <w14:schemeClr w14:val="tx1"/>
            </w14:solidFill>
          </w14:textFill>
        </w:rPr>
        <w:t>（GB14554-93）</w:t>
      </w:r>
      <w:r>
        <w:rPr>
          <w:rFonts w:hint="eastAsia"/>
          <w:color w:val="000000" w:themeColor="text1"/>
          <w14:textFill>
            <w14:solidFill>
              <w14:schemeClr w14:val="tx1"/>
            </w14:solidFill>
          </w14:textFill>
        </w:rPr>
        <w:t>二级标准</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项目竣工环保验收时监控二噁英、氯化氢的排放情况，二噁英、氯化氢控制标准参照</w:t>
      </w:r>
      <w:r>
        <w:rPr>
          <w:color w:val="000000" w:themeColor="text1"/>
          <w14:textFill>
            <w14:solidFill>
              <w14:schemeClr w14:val="tx1"/>
            </w14:solidFill>
          </w14:textFill>
        </w:rPr>
        <w:t>《生活垃圾焚烧污染控制标准》（GB18485-2014）</w:t>
      </w:r>
      <w:r>
        <w:rPr>
          <w:rFonts w:hint="eastAsia"/>
          <w:color w:val="000000" w:themeColor="text1"/>
          <w14:textFill>
            <w14:solidFill>
              <w14:schemeClr w14:val="tx1"/>
            </w14:solidFill>
          </w14:textFill>
        </w:rPr>
        <w:t>标准执行（二噁英≤</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ngTEQ/m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、氯化氢60≤</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pPr>
        <w:ind w:firstLine="520"/>
        <w:jc w:val="both"/>
        <w:rPr>
          <w:color w:val="000000" w:themeColor="text1"/>
          <w14:textFill>
            <w14:solidFill>
              <w14:schemeClr w14:val="tx1"/>
            </w14:solidFill>
          </w14:textFill>
        </w:rPr>
      </w:pPr>
      <w:r>
        <w:rPr>
          <w:color w:val="000000" w:themeColor="text1"/>
          <w14:textFill>
            <w14:solidFill>
              <w14:schemeClr w14:val="tx1"/>
            </w14:solidFill>
          </w14:textFill>
        </w:rPr>
        <w:t>废气无组织排放的颗粒物执行《大气污染物综合排放标准》 （DB50/418-2016）表1无组织排放监控浓度限值，氨执行《恶臭污染物排放标准》（GB14554- 1993）表1新扩改建标准限值。</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本项目大气</w:t>
      </w:r>
      <w:r>
        <w:rPr>
          <w:color w:val="000000" w:themeColor="text1"/>
          <w14:textFill>
            <w14:solidFill>
              <w14:schemeClr w14:val="tx1"/>
            </w14:solidFill>
          </w14:textFill>
        </w:rPr>
        <w:t>污染物排放限值见</w:t>
      </w:r>
      <w:r>
        <w:rPr>
          <w:rFonts w:hint="eastAsia"/>
          <w:color w:val="000000" w:themeColor="text1"/>
          <w14:textFill>
            <w14:solidFill>
              <w14:schemeClr w14:val="tx1"/>
            </w14:solidFill>
          </w14:textFill>
        </w:rPr>
        <w:t>表1</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大气污染物排放标准</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417"/>
        <w:gridCol w:w="1644"/>
        <w:gridCol w:w="1423"/>
        <w:gridCol w:w="3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pStyle w:val="80"/>
              <w:jc w:val="center"/>
              <w:rPr>
                <w:sz w:val="22"/>
                <w:szCs w:val="22"/>
              </w:rPr>
            </w:pPr>
            <w:r>
              <w:rPr>
                <w:rFonts w:hint="eastAsia"/>
                <w:sz w:val="22"/>
                <w:szCs w:val="22"/>
              </w:rPr>
              <w:t>污染源</w:t>
            </w:r>
          </w:p>
        </w:tc>
        <w:tc>
          <w:tcPr>
            <w:tcW w:w="1417" w:type="dxa"/>
            <w:vAlign w:val="center"/>
          </w:tcPr>
          <w:p>
            <w:pPr>
              <w:pStyle w:val="80"/>
              <w:jc w:val="center"/>
              <w:rPr>
                <w:sz w:val="22"/>
                <w:szCs w:val="22"/>
              </w:rPr>
            </w:pPr>
            <w:r>
              <w:rPr>
                <w:rFonts w:hint="eastAsia"/>
                <w:sz w:val="22"/>
                <w:szCs w:val="22"/>
              </w:rPr>
              <w:t>污染物名称</w:t>
            </w:r>
          </w:p>
        </w:tc>
        <w:tc>
          <w:tcPr>
            <w:tcW w:w="1644" w:type="dxa"/>
            <w:vAlign w:val="center"/>
          </w:tcPr>
          <w:p>
            <w:pPr>
              <w:pStyle w:val="80"/>
              <w:jc w:val="center"/>
              <w:rPr>
                <w:sz w:val="22"/>
                <w:szCs w:val="22"/>
              </w:rPr>
            </w:pPr>
            <w:r>
              <w:rPr>
                <w:rFonts w:hint="eastAsia"/>
                <w:sz w:val="22"/>
                <w:szCs w:val="22"/>
              </w:rPr>
              <w:t>排放浓度限值（</w:t>
            </w:r>
            <w:r>
              <w:rPr>
                <w:sz w:val="22"/>
                <w:szCs w:val="22"/>
              </w:rPr>
              <w:t>mg/Nm</w:t>
            </w:r>
            <w:r>
              <w:rPr>
                <w:sz w:val="22"/>
                <w:szCs w:val="22"/>
                <w:vertAlign w:val="superscript"/>
              </w:rPr>
              <w:t>3</w:t>
            </w:r>
            <w:r>
              <w:rPr>
                <w:rFonts w:hint="eastAsia"/>
                <w:sz w:val="22"/>
                <w:szCs w:val="22"/>
              </w:rPr>
              <w:t>）</w:t>
            </w:r>
          </w:p>
        </w:tc>
        <w:tc>
          <w:tcPr>
            <w:tcW w:w="0" w:type="auto"/>
            <w:vAlign w:val="center"/>
          </w:tcPr>
          <w:p>
            <w:pPr>
              <w:pStyle w:val="80"/>
              <w:jc w:val="center"/>
              <w:rPr>
                <w:sz w:val="22"/>
                <w:szCs w:val="22"/>
              </w:rPr>
            </w:pPr>
            <w:r>
              <w:rPr>
                <w:rFonts w:hint="eastAsia"/>
                <w:sz w:val="22"/>
                <w:szCs w:val="22"/>
              </w:rPr>
              <w:t>排放速率限值（k</w:t>
            </w:r>
            <w:r>
              <w:rPr>
                <w:sz w:val="22"/>
                <w:szCs w:val="22"/>
              </w:rPr>
              <w:t>g/h</w:t>
            </w:r>
            <w:r>
              <w:rPr>
                <w:rFonts w:hint="eastAsia"/>
                <w:sz w:val="22"/>
                <w:szCs w:val="22"/>
              </w:rPr>
              <w:t>）</w:t>
            </w:r>
          </w:p>
        </w:tc>
        <w:tc>
          <w:tcPr>
            <w:tcW w:w="0" w:type="auto"/>
            <w:vAlign w:val="center"/>
          </w:tcPr>
          <w:p>
            <w:pPr>
              <w:pStyle w:val="80"/>
              <w:jc w:val="center"/>
              <w:rPr>
                <w:sz w:val="22"/>
                <w:szCs w:val="22"/>
              </w:rPr>
            </w:pPr>
            <w:r>
              <w:rPr>
                <w:sz w:val="22"/>
                <w:szCs w:val="22"/>
              </w:rPr>
              <w:t>标准</w:t>
            </w:r>
            <w:r>
              <w:rPr>
                <w:rFonts w:hint="eastAsia"/>
                <w:sz w:val="22"/>
                <w:szCs w:val="22"/>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restart"/>
            <w:vAlign w:val="center"/>
          </w:tcPr>
          <w:p>
            <w:pPr>
              <w:pStyle w:val="80"/>
              <w:jc w:val="center"/>
              <w:rPr>
                <w:sz w:val="22"/>
                <w:szCs w:val="22"/>
              </w:rPr>
            </w:pPr>
            <w:r>
              <w:rPr>
                <w:rFonts w:hint="eastAsia"/>
                <w:sz w:val="22"/>
                <w:szCs w:val="22"/>
              </w:rPr>
              <w:t>循环流化床锅炉</w:t>
            </w:r>
          </w:p>
        </w:tc>
        <w:tc>
          <w:tcPr>
            <w:tcW w:w="1417" w:type="dxa"/>
            <w:vAlign w:val="center"/>
          </w:tcPr>
          <w:p>
            <w:pPr>
              <w:pStyle w:val="80"/>
              <w:jc w:val="center"/>
              <w:rPr>
                <w:sz w:val="22"/>
                <w:szCs w:val="22"/>
              </w:rPr>
            </w:pPr>
            <w:r>
              <w:rPr>
                <w:sz w:val="22"/>
                <w:szCs w:val="22"/>
              </w:rPr>
              <w:t>烟尘</w:t>
            </w:r>
          </w:p>
        </w:tc>
        <w:tc>
          <w:tcPr>
            <w:tcW w:w="1644" w:type="dxa"/>
            <w:vAlign w:val="center"/>
          </w:tcPr>
          <w:p>
            <w:pPr>
              <w:pStyle w:val="80"/>
              <w:jc w:val="center"/>
              <w:rPr>
                <w:sz w:val="22"/>
                <w:szCs w:val="22"/>
              </w:rPr>
            </w:pPr>
            <w:r>
              <w:rPr>
                <w:rFonts w:hint="eastAsia"/>
                <w:sz w:val="22"/>
                <w:szCs w:val="22"/>
              </w:rPr>
              <w:t>10</w:t>
            </w:r>
          </w:p>
        </w:tc>
        <w:tc>
          <w:tcPr>
            <w:tcW w:w="0" w:type="auto"/>
            <w:vAlign w:val="center"/>
          </w:tcPr>
          <w:p>
            <w:pPr>
              <w:pStyle w:val="80"/>
              <w:jc w:val="center"/>
              <w:rPr>
                <w:sz w:val="22"/>
                <w:szCs w:val="22"/>
              </w:rPr>
            </w:pPr>
            <w:r>
              <w:rPr>
                <w:rFonts w:hint="eastAsia"/>
                <w:sz w:val="22"/>
                <w:szCs w:val="22"/>
              </w:rPr>
              <w:t>/</w:t>
            </w:r>
          </w:p>
        </w:tc>
        <w:tc>
          <w:tcPr>
            <w:tcW w:w="0" w:type="auto"/>
            <w:vMerge w:val="restart"/>
            <w:vAlign w:val="center"/>
          </w:tcPr>
          <w:p>
            <w:pPr>
              <w:pStyle w:val="80"/>
              <w:jc w:val="center"/>
              <w:rPr>
                <w:sz w:val="22"/>
                <w:szCs w:val="22"/>
              </w:rPr>
            </w:pPr>
            <w:r>
              <w:rPr>
                <w:rFonts w:hint="eastAsia"/>
                <w:sz w:val="22"/>
                <w:szCs w:val="22"/>
                <w:lang w:val="en-US"/>
              </w:rPr>
              <w:t>全面实施燃煤电厂超低排放和节能改造工作方案》（环发[</w:t>
            </w:r>
            <w:r>
              <w:rPr>
                <w:sz w:val="22"/>
                <w:szCs w:val="22"/>
                <w:lang w:val="en-US"/>
              </w:rPr>
              <w:t>2015]164</w:t>
            </w:r>
            <w:r>
              <w:rPr>
                <w:rFonts w:hint="eastAsia"/>
                <w:sz w:val="22"/>
                <w:szCs w:val="22"/>
                <w:lang w:val="en-US"/>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pPr>
              <w:pStyle w:val="80"/>
              <w:jc w:val="center"/>
              <w:rPr>
                <w:sz w:val="22"/>
                <w:szCs w:val="22"/>
              </w:rPr>
            </w:pPr>
          </w:p>
        </w:tc>
        <w:tc>
          <w:tcPr>
            <w:tcW w:w="1417" w:type="dxa"/>
            <w:vAlign w:val="center"/>
          </w:tcPr>
          <w:p>
            <w:pPr>
              <w:pStyle w:val="80"/>
              <w:jc w:val="center"/>
              <w:rPr>
                <w:sz w:val="22"/>
                <w:szCs w:val="22"/>
              </w:rPr>
            </w:pPr>
            <w:r>
              <w:rPr>
                <w:sz w:val="22"/>
                <w:szCs w:val="22"/>
              </w:rPr>
              <w:t>SO</w:t>
            </w:r>
            <w:r>
              <w:rPr>
                <w:sz w:val="22"/>
                <w:szCs w:val="22"/>
                <w:vertAlign w:val="subscript"/>
              </w:rPr>
              <w:t>2</w:t>
            </w:r>
          </w:p>
        </w:tc>
        <w:tc>
          <w:tcPr>
            <w:tcW w:w="1644" w:type="dxa"/>
            <w:vAlign w:val="center"/>
          </w:tcPr>
          <w:p>
            <w:pPr>
              <w:pStyle w:val="80"/>
              <w:jc w:val="center"/>
              <w:rPr>
                <w:sz w:val="22"/>
                <w:szCs w:val="22"/>
              </w:rPr>
            </w:pPr>
            <w:r>
              <w:rPr>
                <w:rFonts w:hint="eastAsia"/>
                <w:sz w:val="22"/>
                <w:szCs w:val="22"/>
              </w:rPr>
              <w:t>35</w:t>
            </w:r>
          </w:p>
        </w:tc>
        <w:tc>
          <w:tcPr>
            <w:tcW w:w="0" w:type="auto"/>
            <w:vAlign w:val="center"/>
          </w:tcPr>
          <w:p>
            <w:pPr>
              <w:pStyle w:val="80"/>
              <w:jc w:val="center"/>
              <w:rPr>
                <w:sz w:val="22"/>
                <w:szCs w:val="22"/>
              </w:rPr>
            </w:pPr>
            <w:r>
              <w:rPr>
                <w:rFonts w:hint="eastAsia"/>
                <w:sz w:val="22"/>
                <w:szCs w:val="22"/>
              </w:rPr>
              <w:t>/</w:t>
            </w:r>
          </w:p>
        </w:tc>
        <w:tc>
          <w:tcPr>
            <w:tcW w:w="0" w:type="auto"/>
            <w:vMerge w:val="continue"/>
            <w:vAlign w:val="center"/>
          </w:tcPr>
          <w:p>
            <w:pPr>
              <w:pStyle w:val="80"/>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pPr>
              <w:pStyle w:val="80"/>
              <w:jc w:val="center"/>
              <w:rPr>
                <w:sz w:val="22"/>
                <w:szCs w:val="22"/>
              </w:rPr>
            </w:pPr>
          </w:p>
        </w:tc>
        <w:tc>
          <w:tcPr>
            <w:tcW w:w="1417" w:type="dxa"/>
            <w:vAlign w:val="center"/>
          </w:tcPr>
          <w:p>
            <w:pPr>
              <w:pStyle w:val="80"/>
              <w:jc w:val="center"/>
              <w:rPr>
                <w:sz w:val="22"/>
                <w:szCs w:val="22"/>
              </w:rPr>
            </w:pPr>
            <w:r>
              <w:rPr>
                <w:sz w:val="22"/>
                <w:szCs w:val="22"/>
              </w:rPr>
              <w:t>NO</w:t>
            </w:r>
            <w:r>
              <w:rPr>
                <w:sz w:val="22"/>
                <w:szCs w:val="22"/>
                <w:vertAlign w:val="subscript"/>
              </w:rPr>
              <w:t>X</w:t>
            </w:r>
          </w:p>
        </w:tc>
        <w:tc>
          <w:tcPr>
            <w:tcW w:w="1644" w:type="dxa"/>
            <w:vAlign w:val="center"/>
          </w:tcPr>
          <w:p>
            <w:pPr>
              <w:pStyle w:val="80"/>
              <w:jc w:val="center"/>
              <w:rPr>
                <w:sz w:val="22"/>
                <w:szCs w:val="22"/>
              </w:rPr>
            </w:pPr>
            <w:r>
              <w:rPr>
                <w:rFonts w:hint="eastAsia"/>
                <w:sz w:val="22"/>
                <w:szCs w:val="22"/>
              </w:rPr>
              <w:t>50</w:t>
            </w:r>
          </w:p>
        </w:tc>
        <w:tc>
          <w:tcPr>
            <w:tcW w:w="0" w:type="auto"/>
            <w:vAlign w:val="center"/>
          </w:tcPr>
          <w:p>
            <w:pPr>
              <w:pStyle w:val="80"/>
              <w:jc w:val="center"/>
              <w:rPr>
                <w:sz w:val="22"/>
                <w:szCs w:val="22"/>
              </w:rPr>
            </w:pPr>
            <w:r>
              <w:rPr>
                <w:rFonts w:hint="eastAsia"/>
                <w:sz w:val="22"/>
                <w:szCs w:val="22"/>
              </w:rPr>
              <w:t>/</w:t>
            </w:r>
          </w:p>
        </w:tc>
        <w:tc>
          <w:tcPr>
            <w:tcW w:w="0" w:type="auto"/>
            <w:vMerge w:val="continue"/>
            <w:vAlign w:val="center"/>
          </w:tcPr>
          <w:p>
            <w:pPr>
              <w:pStyle w:val="80"/>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pPr>
              <w:pStyle w:val="80"/>
              <w:jc w:val="center"/>
              <w:rPr>
                <w:sz w:val="22"/>
                <w:szCs w:val="22"/>
              </w:rPr>
            </w:pPr>
          </w:p>
        </w:tc>
        <w:tc>
          <w:tcPr>
            <w:tcW w:w="1417" w:type="dxa"/>
            <w:vAlign w:val="center"/>
          </w:tcPr>
          <w:p>
            <w:pPr>
              <w:pStyle w:val="80"/>
              <w:jc w:val="center"/>
              <w:rPr>
                <w:sz w:val="22"/>
                <w:szCs w:val="22"/>
              </w:rPr>
            </w:pPr>
            <w:r>
              <w:rPr>
                <w:sz w:val="22"/>
                <w:szCs w:val="22"/>
              </w:rPr>
              <w:t>汞及其化合物（以 Hg 计）</w:t>
            </w:r>
          </w:p>
        </w:tc>
        <w:tc>
          <w:tcPr>
            <w:tcW w:w="1644" w:type="dxa"/>
            <w:vAlign w:val="center"/>
          </w:tcPr>
          <w:p>
            <w:pPr>
              <w:pStyle w:val="80"/>
              <w:jc w:val="center"/>
              <w:rPr>
                <w:sz w:val="22"/>
                <w:szCs w:val="22"/>
              </w:rPr>
            </w:pPr>
            <w:r>
              <w:rPr>
                <w:rFonts w:hint="eastAsia"/>
                <w:sz w:val="22"/>
                <w:szCs w:val="22"/>
              </w:rPr>
              <w:t>0.03</w:t>
            </w:r>
          </w:p>
        </w:tc>
        <w:tc>
          <w:tcPr>
            <w:tcW w:w="0" w:type="auto"/>
            <w:vAlign w:val="center"/>
          </w:tcPr>
          <w:p>
            <w:pPr>
              <w:pStyle w:val="80"/>
              <w:jc w:val="center"/>
              <w:rPr>
                <w:sz w:val="22"/>
                <w:szCs w:val="22"/>
              </w:rPr>
            </w:pPr>
            <w:r>
              <w:rPr>
                <w:rFonts w:hint="eastAsia"/>
                <w:sz w:val="22"/>
                <w:szCs w:val="22"/>
              </w:rPr>
              <w:t>/</w:t>
            </w:r>
          </w:p>
        </w:tc>
        <w:tc>
          <w:tcPr>
            <w:tcW w:w="0" w:type="auto"/>
            <w:vMerge w:val="restart"/>
            <w:vAlign w:val="center"/>
          </w:tcPr>
          <w:p>
            <w:pPr>
              <w:pStyle w:val="80"/>
              <w:jc w:val="center"/>
              <w:rPr>
                <w:sz w:val="22"/>
                <w:szCs w:val="22"/>
              </w:rPr>
            </w:pPr>
            <w:r>
              <w:rPr>
                <w:sz w:val="22"/>
                <w:szCs w:val="22"/>
                <w:lang w:val="en-US"/>
              </w:rPr>
              <w:t>《火电厂大气污染物排放标准》（GB13223-2011）表1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pPr>
              <w:pStyle w:val="80"/>
              <w:jc w:val="center"/>
              <w:rPr>
                <w:sz w:val="22"/>
                <w:szCs w:val="22"/>
              </w:rPr>
            </w:pPr>
          </w:p>
        </w:tc>
        <w:tc>
          <w:tcPr>
            <w:tcW w:w="1417" w:type="dxa"/>
            <w:vAlign w:val="center"/>
          </w:tcPr>
          <w:p>
            <w:pPr>
              <w:pStyle w:val="80"/>
              <w:jc w:val="center"/>
              <w:rPr>
                <w:sz w:val="22"/>
                <w:szCs w:val="22"/>
              </w:rPr>
            </w:pPr>
            <w:r>
              <w:rPr>
                <w:rFonts w:hint="eastAsia"/>
                <w:sz w:val="22"/>
                <w:szCs w:val="22"/>
              </w:rPr>
              <w:t>格林曼</w:t>
            </w:r>
            <w:r>
              <w:rPr>
                <w:sz w:val="22"/>
                <w:szCs w:val="22"/>
              </w:rPr>
              <w:t>黑度</w:t>
            </w:r>
          </w:p>
        </w:tc>
        <w:tc>
          <w:tcPr>
            <w:tcW w:w="1644" w:type="dxa"/>
            <w:vAlign w:val="center"/>
          </w:tcPr>
          <w:p>
            <w:pPr>
              <w:pStyle w:val="80"/>
              <w:jc w:val="center"/>
              <w:rPr>
                <w:sz w:val="22"/>
                <w:szCs w:val="22"/>
              </w:rPr>
            </w:pPr>
            <w:r>
              <w:rPr>
                <w:rFonts w:hint="eastAsia"/>
                <w:sz w:val="22"/>
                <w:szCs w:val="22"/>
              </w:rPr>
              <w:t>1</w:t>
            </w:r>
            <w:r>
              <w:rPr>
                <w:sz w:val="22"/>
                <w:szCs w:val="22"/>
              </w:rPr>
              <w:t>林格曼级</w:t>
            </w:r>
          </w:p>
        </w:tc>
        <w:tc>
          <w:tcPr>
            <w:tcW w:w="0" w:type="auto"/>
            <w:vAlign w:val="center"/>
          </w:tcPr>
          <w:p>
            <w:pPr>
              <w:pStyle w:val="80"/>
              <w:jc w:val="center"/>
              <w:rPr>
                <w:sz w:val="22"/>
                <w:szCs w:val="22"/>
              </w:rPr>
            </w:pPr>
            <w:r>
              <w:rPr>
                <w:rFonts w:hint="eastAsia"/>
                <w:sz w:val="22"/>
                <w:szCs w:val="22"/>
              </w:rPr>
              <w:t>/</w:t>
            </w:r>
          </w:p>
        </w:tc>
        <w:tc>
          <w:tcPr>
            <w:tcW w:w="0" w:type="auto"/>
            <w:vMerge w:val="continue"/>
            <w:vAlign w:val="center"/>
          </w:tcPr>
          <w:p>
            <w:pPr>
              <w:pStyle w:val="80"/>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pPr>
              <w:pStyle w:val="80"/>
              <w:jc w:val="center"/>
              <w:rPr>
                <w:sz w:val="22"/>
                <w:szCs w:val="22"/>
              </w:rPr>
            </w:pPr>
          </w:p>
        </w:tc>
        <w:tc>
          <w:tcPr>
            <w:tcW w:w="1417" w:type="dxa"/>
            <w:vAlign w:val="center"/>
          </w:tcPr>
          <w:p>
            <w:pPr>
              <w:pStyle w:val="80"/>
              <w:jc w:val="center"/>
              <w:rPr>
                <w:sz w:val="22"/>
                <w:szCs w:val="22"/>
              </w:rPr>
            </w:pPr>
            <w:r>
              <w:rPr>
                <w:rFonts w:hint="eastAsia"/>
                <w:sz w:val="22"/>
                <w:szCs w:val="22"/>
              </w:rPr>
              <w:t>氯化氢</w:t>
            </w:r>
          </w:p>
        </w:tc>
        <w:tc>
          <w:tcPr>
            <w:tcW w:w="1644" w:type="dxa"/>
            <w:vAlign w:val="center"/>
          </w:tcPr>
          <w:p>
            <w:pPr>
              <w:pStyle w:val="80"/>
              <w:jc w:val="center"/>
              <w:rPr>
                <w:sz w:val="22"/>
                <w:szCs w:val="22"/>
              </w:rPr>
            </w:pPr>
            <w:r>
              <w:rPr>
                <w:rFonts w:hint="eastAsia"/>
                <w:sz w:val="22"/>
                <w:szCs w:val="22"/>
              </w:rPr>
              <w:t>6</w:t>
            </w:r>
            <w:r>
              <w:rPr>
                <w:sz w:val="22"/>
                <w:szCs w:val="22"/>
              </w:rPr>
              <w:t>0</w:t>
            </w:r>
          </w:p>
        </w:tc>
        <w:tc>
          <w:tcPr>
            <w:tcW w:w="0" w:type="auto"/>
            <w:vAlign w:val="center"/>
          </w:tcPr>
          <w:p>
            <w:pPr>
              <w:pStyle w:val="80"/>
              <w:jc w:val="center"/>
              <w:rPr>
                <w:sz w:val="22"/>
                <w:szCs w:val="22"/>
              </w:rPr>
            </w:pPr>
            <w:r>
              <w:rPr>
                <w:rFonts w:hint="eastAsia"/>
                <w:sz w:val="22"/>
                <w:szCs w:val="22"/>
              </w:rPr>
              <w:t>/</w:t>
            </w:r>
          </w:p>
        </w:tc>
        <w:tc>
          <w:tcPr>
            <w:tcW w:w="0" w:type="auto"/>
            <w:vMerge w:val="restart"/>
            <w:vAlign w:val="center"/>
          </w:tcPr>
          <w:p>
            <w:pPr>
              <w:pStyle w:val="80"/>
              <w:jc w:val="center"/>
              <w:rPr>
                <w:sz w:val="22"/>
                <w:szCs w:val="22"/>
              </w:rPr>
            </w:pPr>
            <w:r>
              <w:rPr>
                <w:sz w:val="22"/>
                <w:szCs w:val="22"/>
              </w:rPr>
              <w:t>《生活垃圾焚烧污染控制标准》（GB18485-2014）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pPr>
              <w:pStyle w:val="80"/>
              <w:jc w:val="center"/>
              <w:rPr>
                <w:sz w:val="22"/>
                <w:szCs w:val="22"/>
              </w:rPr>
            </w:pPr>
          </w:p>
        </w:tc>
        <w:tc>
          <w:tcPr>
            <w:tcW w:w="1417" w:type="dxa"/>
            <w:vAlign w:val="center"/>
          </w:tcPr>
          <w:p>
            <w:pPr>
              <w:pStyle w:val="80"/>
              <w:jc w:val="center"/>
              <w:rPr>
                <w:sz w:val="22"/>
                <w:szCs w:val="22"/>
              </w:rPr>
            </w:pPr>
            <w:r>
              <w:rPr>
                <w:rFonts w:hint="eastAsia"/>
                <w:sz w:val="22"/>
                <w:szCs w:val="22"/>
              </w:rPr>
              <w:t>二噁英</w:t>
            </w:r>
          </w:p>
        </w:tc>
        <w:tc>
          <w:tcPr>
            <w:tcW w:w="1644" w:type="dxa"/>
            <w:vAlign w:val="center"/>
          </w:tcPr>
          <w:p>
            <w:pPr>
              <w:pStyle w:val="80"/>
              <w:rPr>
                <w:sz w:val="22"/>
                <w:szCs w:val="22"/>
              </w:rPr>
            </w:pPr>
            <w:r>
              <w:rPr>
                <w:sz w:val="22"/>
                <w:lang w:val="en-US"/>
              </w:rPr>
              <w:t>0.</w:t>
            </w:r>
            <w:r>
              <w:rPr>
                <w:rFonts w:hint="eastAsia"/>
                <w:sz w:val="22"/>
                <w:lang w:val="en-US"/>
              </w:rPr>
              <w:t>1</w:t>
            </w:r>
            <w:r>
              <w:rPr>
                <w:sz w:val="22"/>
                <w:szCs w:val="22"/>
                <w:lang w:val="en-US"/>
              </w:rPr>
              <w:t>ngTEQ/m</w:t>
            </w:r>
            <w:r>
              <w:rPr>
                <w:sz w:val="22"/>
                <w:szCs w:val="22"/>
                <w:vertAlign w:val="superscript"/>
                <w:lang w:val="en-US"/>
              </w:rPr>
              <w:t>3</w:t>
            </w:r>
          </w:p>
        </w:tc>
        <w:tc>
          <w:tcPr>
            <w:tcW w:w="0" w:type="auto"/>
            <w:vAlign w:val="center"/>
          </w:tcPr>
          <w:p>
            <w:pPr>
              <w:pStyle w:val="80"/>
              <w:jc w:val="center"/>
              <w:rPr>
                <w:sz w:val="22"/>
                <w:szCs w:val="22"/>
              </w:rPr>
            </w:pPr>
            <w:r>
              <w:rPr>
                <w:rFonts w:hint="eastAsia"/>
                <w:sz w:val="22"/>
                <w:szCs w:val="22"/>
              </w:rPr>
              <w:t>/</w:t>
            </w:r>
          </w:p>
        </w:tc>
        <w:tc>
          <w:tcPr>
            <w:tcW w:w="0" w:type="auto"/>
            <w:vMerge w:val="continue"/>
            <w:vAlign w:val="center"/>
          </w:tcPr>
          <w:p>
            <w:pPr>
              <w:pStyle w:val="80"/>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pPr>
              <w:pStyle w:val="80"/>
              <w:jc w:val="center"/>
              <w:rPr>
                <w:sz w:val="22"/>
                <w:szCs w:val="22"/>
              </w:rPr>
            </w:pPr>
          </w:p>
        </w:tc>
        <w:tc>
          <w:tcPr>
            <w:tcW w:w="1417" w:type="dxa"/>
            <w:vAlign w:val="center"/>
          </w:tcPr>
          <w:p>
            <w:pPr>
              <w:pStyle w:val="80"/>
              <w:jc w:val="center"/>
              <w:rPr>
                <w:sz w:val="22"/>
                <w:szCs w:val="22"/>
              </w:rPr>
            </w:pPr>
            <w:r>
              <w:rPr>
                <w:sz w:val="22"/>
                <w:szCs w:val="22"/>
              </w:rPr>
              <w:t>氨</w:t>
            </w:r>
          </w:p>
        </w:tc>
        <w:tc>
          <w:tcPr>
            <w:tcW w:w="1644" w:type="dxa"/>
            <w:vAlign w:val="center"/>
          </w:tcPr>
          <w:p>
            <w:pPr>
              <w:pStyle w:val="80"/>
              <w:jc w:val="center"/>
              <w:rPr>
                <w:sz w:val="22"/>
                <w:szCs w:val="22"/>
              </w:rPr>
            </w:pPr>
            <w:r>
              <w:rPr>
                <w:rFonts w:hint="eastAsia"/>
                <w:sz w:val="22"/>
                <w:szCs w:val="22"/>
              </w:rPr>
              <w:t>/</w:t>
            </w:r>
          </w:p>
        </w:tc>
        <w:tc>
          <w:tcPr>
            <w:tcW w:w="0" w:type="auto"/>
            <w:vAlign w:val="center"/>
          </w:tcPr>
          <w:p>
            <w:pPr>
              <w:pStyle w:val="80"/>
              <w:jc w:val="center"/>
              <w:rPr>
                <w:sz w:val="22"/>
                <w:szCs w:val="22"/>
              </w:rPr>
            </w:pPr>
            <w:r>
              <w:rPr>
                <w:rFonts w:hint="eastAsia"/>
                <w:sz w:val="22"/>
                <w:szCs w:val="22"/>
              </w:rPr>
              <w:t>7</w:t>
            </w:r>
            <w:r>
              <w:rPr>
                <w:sz w:val="22"/>
                <w:szCs w:val="22"/>
              </w:rPr>
              <w:t>5</w:t>
            </w:r>
          </w:p>
        </w:tc>
        <w:tc>
          <w:tcPr>
            <w:tcW w:w="0" w:type="auto"/>
            <w:vMerge w:val="restart"/>
            <w:vAlign w:val="center"/>
          </w:tcPr>
          <w:p>
            <w:pPr>
              <w:pStyle w:val="80"/>
              <w:jc w:val="center"/>
              <w:rPr>
                <w:sz w:val="22"/>
                <w:szCs w:val="22"/>
              </w:rPr>
            </w:pPr>
            <w:r>
              <w:rPr>
                <w:sz w:val="22"/>
                <w:szCs w:val="22"/>
                <w:lang w:val="en-US"/>
              </w:rPr>
              <w:t>《恶臭污染物排放标准》（GB14554- 1993）表1</w:t>
            </w:r>
            <w:r>
              <w:rPr>
                <w:rFonts w:hint="eastAsia"/>
                <w:sz w:val="22"/>
                <w:szCs w:val="22"/>
                <w:lang w:val="en-US"/>
              </w:rPr>
              <w:t>二级</w:t>
            </w:r>
            <w:r>
              <w:rPr>
                <w:sz w:val="22"/>
                <w:szCs w:val="22"/>
                <w:lang w:val="en-US"/>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pStyle w:val="80"/>
              <w:jc w:val="center"/>
              <w:rPr>
                <w:sz w:val="22"/>
                <w:szCs w:val="22"/>
              </w:rPr>
            </w:pPr>
            <w:r>
              <w:rPr>
                <w:rFonts w:hint="eastAsia"/>
                <w:sz w:val="22"/>
                <w:szCs w:val="22"/>
              </w:rPr>
              <w:t>厂界无组织</w:t>
            </w:r>
          </w:p>
        </w:tc>
        <w:tc>
          <w:tcPr>
            <w:tcW w:w="1417" w:type="dxa"/>
            <w:vAlign w:val="center"/>
          </w:tcPr>
          <w:p>
            <w:pPr>
              <w:pStyle w:val="80"/>
              <w:jc w:val="center"/>
              <w:rPr>
                <w:sz w:val="22"/>
                <w:szCs w:val="22"/>
              </w:rPr>
            </w:pPr>
            <w:r>
              <w:rPr>
                <w:sz w:val="22"/>
                <w:szCs w:val="22"/>
              </w:rPr>
              <w:t>氨</w:t>
            </w:r>
          </w:p>
        </w:tc>
        <w:tc>
          <w:tcPr>
            <w:tcW w:w="1644" w:type="dxa"/>
            <w:vAlign w:val="center"/>
          </w:tcPr>
          <w:p>
            <w:pPr>
              <w:pStyle w:val="80"/>
              <w:jc w:val="center"/>
              <w:rPr>
                <w:sz w:val="22"/>
                <w:szCs w:val="22"/>
              </w:rPr>
            </w:pPr>
            <w:r>
              <w:rPr>
                <w:rFonts w:hint="eastAsia"/>
                <w:sz w:val="22"/>
                <w:szCs w:val="22"/>
              </w:rPr>
              <w:t>1</w:t>
            </w:r>
            <w:r>
              <w:rPr>
                <w:sz w:val="22"/>
                <w:szCs w:val="22"/>
              </w:rPr>
              <w:t>.5</w:t>
            </w:r>
          </w:p>
        </w:tc>
        <w:tc>
          <w:tcPr>
            <w:tcW w:w="0" w:type="auto"/>
            <w:vAlign w:val="center"/>
          </w:tcPr>
          <w:p>
            <w:pPr>
              <w:pStyle w:val="80"/>
              <w:jc w:val="center"/>
              <w:rPr>
                <w:sz w:val="22"/>
                <w:szCs w:val="22"/>
              </w:rPr>
            </w:pPr>
            <w:r>
              <w:rPr>
                <w:rFonts w:hint="eastAsia"/>
                <w:sz w:val="22"/>
                <w:szCs w:val="22"/>
              </w:rPr>
              <w:t>/</w:t>
            </w:r>
          </w:p>
        </w:tc>
        <w:tc>
          <w:tcPr>
            <w:tcW w:w="0" w:type="auto"/>
            <w:vMerge w:val="continue"/>
            <w:vAlign w:val="center"/>
          </w:tcPr>
          <w:p>
            <w:pPr>
              <w:pStyle w:val="80"/>
              <w:jc w:val="center"/>
              <w:rPr>
                <w:sz w:val="22"/>
                <w:szCs w:val="22"/>
              </w:rPr>
            </w:pPr>
          </w:p>
        </w:tc>
      </w:tr>
    </w:tbl>
    <w:p>
      <w:pPr>
        <w:pStyle w:val="80"/>
      </w:pPr>
    </w:p>
    <w:p>
      <w:pPr>
        <w:pStyle w:val="125"/>
        <w:ind w:firstLine="520"/>
        <w:rPr>
          <w:color w:val="000000" w:themeColor="text1"/>
          <w14:textFill>
            <w14:solidFill>
              <w14:schemeClr w14:val="tx1"/>
            </w14:solidFill>
          </w14:textFill>
        </w:rPr>
      </w:pPr>
      <w:bookmarkStart w:id="32" w:name="_bookmark11"/>
      <w:bookmarkEnd w:id="32"/>
      <w:r>
        <w:rPr>
          <w:rFonts w:hint="eastAsia"/>
          <w:color w:val="000000" w:themeColor="text1"/>
          <w14:textFill>
            <w14:solidFill>
              <w14:schemeClr w14:val="tx1"/>
            </w14:solidFill>
          </w14:textFill>
        </w:rPr>
        <w:t>（2）废</w:t>
      </w:r>
      <w:r>
        <w:rPr>
          <w:color w:val="000000" w:themeColor="text1"/>
          <w14:textFill>
            <w14:solidFill>
              <w14:schemeClr w14:val="tx1"/>
            </w14:solidFill>
          </w14:textFill>
        </w:rPr>
        <w:t>水污染物排放标准</w:t>
      </w:r>
    </w:p>
    <w:p>
      <w:pPr>
        <w:pStyle w:val="125"/>
        <w:ind w:firstLine="520"/>
        <w:rPr>
          <w:color w:val="000000" w:themeColor="text1"/>
          <w14:textFill>
            <w14:solidFill>
              <w14:schemeClr w14:val="tx1"/>
            </w14:solidFill>
          </w14:textFill>
        </w:rPr>
      </w:pPr>
      <w:r>
        <w:rPr>
          <w:color w:val="000000" w:themeColor="text1"/>
          <w14:textFill>
            <w14:solidFill>
              <w14:schemeClr w14:val="tx1"/>
            </w14:solidFill>
          </w14:textFill>
        </w:rPr>
        <w:t>本项目不排放废水。</w:t>
      </w:r>
    </w:p>
    <w:p>
      <w:pPr>
        <w:pStyle w:val="125"/>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（3）噪声排放标准</w:t>
      </w:r>
    </w:p>
    <w:p>
      <w:pPr>
        <w:ind w:firstLine="520"/>
        <w:jc w:val="both"/>
        <w:rPr>
          <w:color w:val="000000" w:themeColor="text1"/>
          <w14:textFill>
            <w14:solidFill>
              <w14:schemeClr w14:val="tx1"/>
            </w14:solidFill>
          </w14:textFill>
        </w:rPr>
      </w:pPr>
      <w:r>
        <w:rPr>
          <w:color w:val="000000" w:themeColor="text1"/>
          <w14:textFill>
            <w14:solidFill>
              <w14:schemeClr w14:val="tx1"/>
            </w14:solidFill>
          </w14:textFill>
        </w:rPr>
        <w:t>施工期执行《建筑施工场界环境噪声排放标准》（GB12523-2011），即昼间70dB(A)，夜间55dB(A)；运营期厂界执行《工业企业厂界环境噪声排放标准》（GB12348-2008）中3类标准，即昼间65dB，夜间55dB</w:t>
      </w:r>
      <w:r>
        <w:rPr>
          <w:rFonts w:hint="eastAsia"/>
          <w:color w:val="000000" w:themeColor="text1"/>
          <w14:textFill>
            <w14:solidFill>
              <w14:schemeClr w14:val="tx1"/>
            </w14:solidFill>
          </w14:textFill>
        </w:rPr>
        <w:t>。</w:t>
      </w:r>
    </w:p>
    <w:p>
      <w:pPr>
        <w:pStyle w:val="125"/>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固体废物</w:t>
      </w:r>
    </w:p>
    <w:p>
      <w:pPr>
        <w:pStyle w:val="125"/>
        <w:ind w:firstLine="520"/>
        <w:rPr>
          <w:color w:val="000000" w:themeColor="text1"/>
          <w14:textFill>
            <w14:solidFill>
              <w14:schemeClr w14:val="tx1"/>
            </w14:solidFill>
          </w14:textFill>
        </w:rPr>
      </w:pPr>
      <w:r>
        <w:rPr>
          <w:rFonts w:hint="eastAsia"/>
          <w:bCs/>
          <w:color w:val="000000" w:themeColor="text1"/>
          <w14:textFill>
            <w14:solidFill>
              <w14:schemeClr w14:val="tx1"/>
            </w14:solidFill>
          </w14:textFill>
        </w:rPr>
        <w:t>参照《</w:t>
      </w:r>
      <w:r>
        <w:rPr>
          <w:bCs/>
          <w:color w:val="000000" w:themeColor="text1"/>
          <w14:textFill>
            <w14:solidFill>
              <w14:schemeClr w14:val="tx1"/>
            </w14:solidFill>
          </w14:textFill>
        </w:rPr>
        <w:t>一般工业固体废物贮存和填埋污染控制标准</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GB 18599-2020</w:t>
      </w:r>
      <w:r>
        <w:rPr>
          <w:rFonts w:hint="eastAsia"/>
          <w:bCs/>
          <w:color w:val="000000" w:themeColor="text1"/>
          <w14:textFill>
            <w14:solidFill>
              <w14:schemeClr w14:val="tx1"/>
            </w14:solidFill>
          </w14:textFill>
        </w:rPr>
        <w:t>），一般工业</w:t>
      </w:r>
      <w:r>
        <w:rPr>
          <w:bCs/>
          <w:color w:val="000000" w:themeColor="text1"/>
          <w14:textFill>
            <w14:solidFill>
              <w14:schemeClr w14:val="tx1"/>
            </w14:solidFill>
          </w14:textFill>
        </w:rPr>
        <w:t>固废</w:t>
      </w:r>
      <w:r>
        <w:rPr>
          <w:rFonts w:hint="eastAsia"/>
          <w:bCs/>
          <w:color w:val="000000" w:themeColor="text1"/>
          <w14:textFill>
            <w14:solidFill>
              <w14:schemeClr w14:val="tx1"/>
            </w14:solidFill>
          </w14:textFill>
        </w:rPr>
        <w:t>贮存过程应满足防渗漏</w:t>
      </w:r>
      <w:r>
        <w:rPr>
          <w:rFonts w:hint="eastAsia"/>
          <w:color w:val="000000" w:themeColor="text1"/>
          <w14:textFill>
            <w14:solidFill>
              <w14:schemeClr w14:val="tx1"/>
            </w14:solidFill>
          </w14:textFill>
        </w:rPr>
        <w:t>、防雨淋、防扬尘等环境保护要求。本项目醇沉药渣不在厂区内暂存。</w:t>
      </w:r>
    </w:p>
    <w:p>
      <w:pPr>
        <w:pStyle w:val="3"/>
      </w:pPr>
      <w:bookmarkStart w:id="33" w:name="_Toc109888242"/>
      <w:r>
        <w:rPr>
          <w:rFonts w:hint="eastAsia"/>
        </w:rPr>
        <w:t>评价工作等级与评价范围</w:t>
      </w:r>
      <w:bookmarkEnd w:id="33"/>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评价工作等级</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根据本项目所在区域的自然社会环境状况，结合本项目环境影响因素识别，按照环境影响评价技术导则的要求，确定建设项目各环境要素环境影响评价的工作等级。</w:t>
      </w:r>
    </w:p>
    <w:p>
      <w:pPr>
        <w:pStyle w:val="5"/>
      </w:pPr>
      <w:r>
        <w:rPr>
          <w:rFonts w:hint="eastAsia"/>
        </w:rPr>
        <w:t>大气环境</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根据工程分析，本项目产生二噁英的可能性极小，不新增大气污染因子。经测算，除氯化氢排放量可能增加外，其他污染因子排放量均会略有减少，但变化量极小。根据测算结果，掺烧醇沉药渣后</w:t>
      </w:r>
      <w:r>
        <w:rPr>
          <w:rFonts w:hint="eastAsia" w:cs="宋体"/>
          <w:color w:val="000000" w:themeColor="text1"/>
          <w:spacing w:val="9"/>
          <w:szCs w:val="24"/>
          <w14:textFill>
            <w14:solidFill>
              <w14:schemeClr w14:val="tx1"/>
            </w14:solidFill>
          </w14:textFill>
        </w:rPr>
        <w:t>氯化氢最大排放速率为1</w:t>
      </w:r>
      <w:r>
        <w:rPr>
          <w:rFonts w:cs="宋体"/>
          <w:color w:val="000000" w:themeColor="text1"/>
          <w:spacing w:val="9"/>
          <w:szCs w:val="24"/>
          <w14:textFill>
            <w14:solidFill>
              <w14:schemeClr w14:val="tx1"/>
            </w14:solidFill>
          </w14:textFill>
        </w:rPr>
        <w:t>.44kg/h</w:t>
      </w:r>
      <w:r>
        <w:rPr>
          <w:rFonts w:hint="eastAsia" w:cs="宋体"/>
          <w:color w:val="000000" w:themeColor="text1"/>
          <w:spacing w:val="9"/>
          <w:szCs w:val="24"/>
          <w14:textFill>
            <w14:solidFill>
              <w14:schemeClr w14:val="tx1"/>
            </w14:solidFill>
          </w14:textFill>
        </w:rPr>
        <w:t>，与不掺烧相比氯化氢排放增加量仅0</w:t>
      </w:r>
      <w:r>
        <w:rPr>
          <w:rFonts w:cs="宋体"/>
          <w:color w:val="000000" w:themeColor="text1"/>
          <w:spacing w:val="9"/>
          <w:szCs w:val="24"/>
          <w14:textFill>
            <w14:solidFill>
              <w14:schemeClr w14:val="tx1"/>
            </w14:solidFill>
          </w14:textFill>
        </w:rPr>
        <w:t>.42</w:t>
      </w:r>
      <w:r>
        <w:rPr>
          <w:rFonts w:hint="eastAsia" w:cs="宋体"/>
          <w:color w:val="000000" w:themeColor="text1"/>
          <w:szCs w:val="24"/>
          <w14:textFill>
            <w14:solidFill>
              <w14:schemeClr w14:val="tx1"/>
            </w14:solidFill>
          </w14:textFill>
        </w:rPr>
        <w:t>kg/h（</w:t>
      </w:r>
      <w:r>
        <w:rPr>
          <w:rFonts w:cs="宋体"/>
          <w:color w:val="000000" w:themeColor="text1"/>
          <w:szCs w:val="24"/>
          <w14:textFill>
            <w14:solidFill>
              <w14:schemeClr w14:val="tx1"/>
            </w14:solidFill>
          </w14:textFill>
        </w:rPr>
        <w:t>0.84t/a</w:t>
      </w:r>
      <w:r>
        <w:rPr>
          <w:rFonts w:hint="eastAsia" w:cs="宋体"/>
          <w:color w:val="000000" w:themeColor="text1"/>
          <w:szCs w:val="24"/>
          <w14:textFill>
            <w14:solidFill>
              <w14:schemeClr w14:val="tx1"/>
            </w14:solidFill>
          </w14:textFill>
        </w:rPr>
        <w:t>），增加量极小</w:t>
      </w:r>
      <w:r>
        <w:rPr>
          <w:rFonts w:hint="eastAsia"/>
          <w:color w:val="000000" w:themeColor="text1"/>
          <w14:textFill>
            <w14:solidFill>
              <w14:schemeClr w14:val="tx1"/>
            </w14:solidFill>
          </w14:textFill>
        </w:rPr>
        <w:t>。根据</w:t>
      </w:r>
      <w:r>
        <w:rPr>
          <w:color w:val="000000" w:themeColor="text1"/>
          <w14:textFill>
            <w14:solidFill>
              <w14:schemeClr w14:val="tx1"/>
            </w14:solidFill>
          </w14:textFill>
        </w:rPr>
        <w:t>《环境影响评价技术导则</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大气环境》（HJ2.2-2018）</w:t>
      </w:r>
      <w:r>
        <w:rPr>
          <w:rFonts w:hint="eastAsia"/>
          <w:color w:val="000000" w:themeColor="text1"/>
          <w14:textFill>
            <w14:solidFill>
              <w14:schemeClr w14:val="tx1"/>
            </w14:solidFill>
          </w14:textFill>
        </w:rPr>
        <w:t>推荐的估算模式估算，氯化氢排放最大落地浓度为2</w:t>
      </w:r>
      <w:r>
        <w:rPr>
          <w:color w:val="000000" w:themeColor="text1"/>
          <w14:textFill>
            <w14:solidFill>
              <w14:schemeClr w14:val="tx1"/>
            </w14:solidFill>
          </w14:textFill>
        </w:rPr>
        <w:t>.1433</w:t>
      </w:r>
      <w:r>
        <w:rPr>
          <w:rFonts w:hint="eastAsia"/>
          <w:color w:val="000000" w:themeColor="text1"/>
          <w14:textFill>
            <w14:solidFill>
              <w14:schemeClr w14:val="tx1"/>
            </w14:solidFill>
          </w14:textFill>
        </w:rPr>
        <w:t>μ</w:t>
      </w:r>
      <w:r>
        <w:rPr>
          <w:color w:val="000000" w:themeColor="text1"/>
          <w14:textFill>
            <w14:solidFill>
              <w14:schemeClr w14:val="tx1"/>
            </w14:solidFill>
          </w14:textFill>
        </w:rPr>
        <w:t>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，占标率为4</w:t>
      </w:r>
      <w:r>
        <w:rPr>
          <w:color w:val="000000" w:themeColor="text1"/>
          <w14:textFill>
            <w14:solidFill>
              <w14:schemeClr w14:val="tx1"/>
            </w14:solidFill>
          </w14:textFill>
        </w:rPr>
        <w:t>.29%</w:t>
      </w:r>
      <w:r>
        <w:rPr>
          <w:rFonts w:hint="eastAsia"/>
          <w:color w:val="000000" w:themeColor="text1"/>
          <w14:textFill>
            <w14:solidFill>
              <w14:schemeClr w14:val="tx1"/>
            </w14:solidFill>
          </w14:textFill>
        </w:rPr>
        <w:t>（1小时标准值为5</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μ</w:t>
      </w:r>
      <w:r>
        <w:rPr>
          <w:color w:val="000000" w:themeColor="text1"/>
          <w14:textFill>
            <w14:solidFill>
              <w14:schemeClr w14:val="tx1"/>
            </w14:solidFill>
          </w14:textFill>
        </w:rPr>
        <w:t>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），因此，本评价大气评价工作等级为二级。</w:t>
      </w:r>
    </w:p>
    <w:p>
      <w:pPr>
        <w:pStyle w:val="5"/>
      </w:pPr>
      <w:r>
        <w:rPr>
          <w:rFonts w:hint="eastAsia"/>
        </w:rPr>
        <w:t>地表水环境评价等级</w:t>
      </w:r>
    </w:p>
    <w:p>
      <w:pPr>
        <w:ind w:firstLine="52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根据</w:t>
      </w:r>
      <w:r>
        <w:rPr>
          <w:color w:val="000000" w:themeColor="text1"/>
          <w:szCs w:val="26"/>
          <w14:textFill>
            <w14:solidFill>
              <w14:schemeClr w14:val="tx1"/>
            </w14:solidFill>
          </w14:textFill>
        </w:rPr>
        <w:t>《环境影响评价技术导则</w:t>
      </w:r>
      <w:r>
        <w:rPr>
          <w:rFonts w:hint="eastAsia"/>
          <w:color w:val="000000" w:themeColor="text1"/>
          <w:szCs w:val="26"/>
          <w14:textFill>
            <w14:solidFill>
              <w14:schemeClr w14:val="tx1"/>
            </w14:solidFill>
          </w14:textFill>
        </w:rPr>
        <w:t xml:space="preserve">  </w:t>
      </w:r>
      <w:r>
        <w:rPr>
          <w:color w:val="000000" w:themeColor="text1"/>
          <w:szCs w:val="26"/>
          <w14:textFill>
            <w14:solidFill>
              <w14:schemeClr w14:val="tx1"/>
            </w14:solidFill>
          </w14:textFill>
        </w:rPr>
        <w:t>地</w:t>
      </w:r>
      <w:r>
        <w:rPr>
          <w:rFonts w:hint="eastAsia"/>
          <w:color w:val="000000" w:themeColor="text1"/>
          <w:szCs w:val="26"/>
          <w14:textFill>
            <w14:solidFill>
              <w14:schemeClr w14:val="tx1"/>
            </w14:solidFill>
          </w14:textFill>
        </w:rPr>
        <w:t>表</w:t>
      </w:r>
      <w:r>
        <w:rPr>
          <w:color w:val="000000" w:themeColor="text1"/>
          <w:szCs w:val="26"/>
          <w14:textFill>
            <w14:solidFill>
              <w14:schemeClr w14:val="tx1"/>
            </w14:solidFill>
          </w14:textFill>
        </w:rPr>
        <w:t>水环境》（HJ2.3-</w:t>
      </w:r>
      <w:r>
        <w:rPr>
          <w:rFonts w:hint="eastAsia"/>
          <w:color w:val="000000" w:themeColor="text1"/>
          <w:szCs w:val="26"/>
          <w14:textFill>
            <w14:solidFill>
              <w14:schemeClr w14:val="tx1"/>
            </w14:solidFill>
          </w14:textFill>
        </w:rPr>
        <w:t>2018</w:t>
      </w:r>
      <w:r>
        <w:rPr>
          <w:color w:val="000000" w:themeColor="text1"/>
          <w:szCs w:val="26"/>
          <w14:textFill>
            <w14:solidFill>
              <w14:schemeClr w14:val="tx1"/>
            </w14:solidFill>
          </w14:textFill>
        </w:rPr>
        <w:t>）评价等级划分，</w:t>
      </w:r>
      <w:r>
        <w:rPr>
          <w:rFonts w:hint="eastAsia"/>
          <w:color w:val="000000" w:themeColor="text1"/>
          <w:szCs w:val="26"/>
          <w14:textFill>
            <w14:solidFill>
              <w14:schemeClr w14:val="tx1"/>
            </w14:solidFill>
          </w14:textFill>
        </w:rPr>
        <w:t>本项目为水污染型项目。本</w:t>
      </w:r>
      <w:r>
        <w:rPr>
          <w:color w:val="000000" w:themeColor="text1"/>
          <w:szCs w:val="26"/>
          <w14:textFill>
            <w14:solidFill>
              <w14:schemeClr w14:val="tx1"/>
            </w14:solidFill>
          </w14:textFill>
        </w:rPr>
        <w:t>项目无废水排放</w:t>
      </w:r>
      <w:r>
        <w:rPr>
          <w:rFonts w:hint="eastAsia"/>
          <w:color w:val="000000" w:themeColor="text1"/>
          <w:szCs w:val="26"/>
          <w14:textFill>
            <w14:solidFill>
              <w14:schemeClr w14:val="tx1"/>
            </w14:solidFill>
          </w14:textFill>
        </w:rPr>
        <w:t>，评价等级为三级B</w:t>
      </w:r>
      <w:r>
        <w:rPr>
          <w:color w:val="000000" w:themeColor="text1"/>
          <w:szCs w:val="26"/>
          <w14:textFill>
            <w14:solidFill>
              <w14:schemeClr w14:val="tx1"/>
            </w14:solidFill>
          </w14:textFill>
        </w:rPr>
        <w:t>。</w:t>
      </w:r>
    </w:p>
    <w:p>
      <w:pPr>
        <w:pStyle w:val="5"/>
      </w:pPr>
      <w:r>
        <w:t>地下水环境评价等级</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根据</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环境影响</w:t>
      </w:r>
      <w:r>
        <w:rPr>
          <w:color w:val="000000" w:themeColor="text1"/>
          <w14:textFill>
            <w14:solidFill>
              <w14:schemeClr w14:val="tx1"/>
            </w14:solidFill>
          </w14:textFill>
        </w:rPr>
        <w:t>评价技术导则</w:t>
      </w:r>
      <w:r>
        <w:rPr>
          <w:rFonts w:hint="eastAsia"/>
          <w:color w:val="000000" w:themeColor="text1"/>
          <w14:textFill>
            <w14:solidFill>
              <w14:schemeClr w14:val="tx1"/>
            </w14:solidFill>
          </w14:textFill>
        </w:rPr>
        <w:t xml:space="preserve"> 地下水</w:t>
      </w:r>
      <w:r>
        <w:rPr>
          <w:color w:val="000000" w:themeColor="text1"/>
          <w14:textFill>
            <w14:solidFill>
              <w14:schemeClr w14:val="tx1"/>
            </w14:solidFill>
          </w14:textFill>
        </w:rPr>
        <w:t>环境》</w:t>
      </w:r>
      <w:r>
        <w:rPr>
          <w:rFonts w:hint="eastAsia"/>
          <w:color w:val="000000" w:themeColor="text1"/>
          <w14:textFill>
            <w14:solidFill>
              <w14:schemeClr w14:val="tx1"/>
            </w14:solidFill>
          </w14:textFill>
        </w:rPr>
        <w:t>（HJ610-2016）的</w:t>
      </w:r>
      <w:r>
        <w:rPr>
          <w:color w:val="000000" w:themeColor="text1"/>
          <w14:textFill>
            <w14:solidFill>
              <w14:schemeClr w14:val="tx1"/>
            </w14:solidFill>
          </w14:textFill>
        </w:rPr>
        <w:t>规定，本项目</w:t>
      </w:r>
      <w:r>
        <w:rPr>
          <w:rFonts w:hint="eastAsia"/>
          <w:color w:val="000000" w:themeColor="text1"/>
          <w14:textFill>
            <w14:solidFill>
              <w14:schemeClr w14:val="tx1"/>
            </w14:solidFill>
          </w14:textFill>
        </w:rPr>
        <w:t>属于一般工业固体废物焚烧处置项目。根据查阅资料和现场调查，</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所在区</w:t>
      </w:r>
      <w:r>
        <w:rPr>
          <w:color w:val="000000" w:themeColor="text1"/>
          <w14:textFill>
            <w14:solidFill>
              <w14:schemeClr w14:val="tx1"/>
            </w14:solidFill>
          </w14:textFill>
        </w:rPr>
        <w:t>域不涉及饮用水源等</w:t>
      </w:r>
      <w:r>
        <w:rPr>
          <w:rFonts w:hint="eastAsia"/>
          <w:color w:val="000000" w:themeColor="text1"/>
          <w14:textFill>
            <w14:solidFill>
              <w14:schemeClr w14:val="tx1"/>
            </w14:solidFill>
          </w14:textFill>
        </w:rPr>
        <w:t>地下水</w:t>
      </w:r>
      <w:r>
        <w:rPr>
          <w:color w:val="000000" w:themeColor="text1"/>
          <w14:textFill>
            <w14:solidFill>
              <w14:schemeClr w14:val="tx1"/>
            </w14:solidFill>
          </w14:textFill>
        </w:rPr>
        <w:t>环境敏感区和较敏感区</w:t>
      </w:r>
      <w:r>
        <w:rPr>
          <w:rFonts w:hint="eastAsia"/>
          <w:color w:val="000000" w:themeColor="text1"/>
          <w14:textFill>
            <w14:solidFill>
              <w14:schemeClr w14:val="tx1"/>
            </w14:solidFill>
          </w14:textFill>
        </w:rPr>
        <w:t>，区域</w:t>
      </w:r>
      <w:r>
        <w:rPr>
          <w:color w:val="000000" w:themeColor="text1"/>
          <w14:textFill>
            <w14:solidFill>
              <w14:schemeClr w14:val="tx1"/>
            </w14:solidFill>
          </w14:textFill>
        </w:rPr>
        <w:t>地下水环境敏感程度为不敏感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因此，</w:t>
      </w:r>
      <w:r>
        <w:rPr>
          <w:rFonts w:hint="eastAsia"/>
          <w:color w:val="000000" w:themeColor="text1"/>
          <w14:textFill>
            <w14:solidFill>
              <w14:schemeClr w14:val="tx1"/>
            </w14:solidFill>
          </w14:textFill>
        </w:rPr>
        <w:t>依据HJ610-2016，本</w:t>
      </w:r>
      <w:r>
        <w:rPr>
          <w:color w:val="000000" w:themeColor="text1"/>
          <w14:textFill>
            <w14:solidFill>
              <w14:schemeClr w14:val="tx1"/>
            </w14:solidFill>
          </w14:textFill>
        </w:rPr>
        <w:t>项目地下水评价工作等级为三级。</w:t>
      </w:r>
    </w:p>
    <w:p>
      <w:pPr>
        <w:pStyle w:val="5"/>
      </w:pPr>
      <w:r>
        <w:t>声环境评价等级</w:t>
      </w:r>
    </w:p>
    <w:p>
      <w:pPr>
        <w:ind w:firstLine="520"/>
        <w:jc w:val="both"/>
        <w:rPr>
          <w:color w:val="000000" w:themeColor="text1"/>
          <w14:textFill>
            <w14:solidFill>
              <w14:schemeClr w14:val="tx1"/>
            </w14:solidFill>
          </w14:textFill>
        </w:rPr>
      </w:pPr>
      <w:r>
        <w:rPr>
          <w:rFonts w:hint="eastAsia"/>
          <w:color w:val="000000" w:themeColor="text1"/>
          <w:szCs w:val="26"/>
          <w14:textFill>
            <w14:solidFill>
              <w14:schemeClr w14:val="tx1"/>
            </w14:solidFill>
          </w14:textFill>
        </w:rPr>
        <w:t>本项目所在区域声环境质量执行《声环境质量标准》（G</w:t>
      </w:r>
      <w:r>
        <w:rPr>
          <w:color w:val="000000" w:themeColor="text1"/>
          <w:szCs w:val="26"/>
          <w14:textFill>
            <w14:solidFill>
              <w14:schemeClr w14:val="tx1"/>
            </w14:solidFill>
          </w14:textFill>
        </w:rPr>
        <w:t>B3096</w:t>
      </w:r>
      <w:r>
        <w:rPr>
          <w:rFonts w:hint="eastAsia"/>
          <w:color w:val="000000" w:themeColor="text1"/>
          <w:szCs w:val="26"/>
          <w14:textFill>
            <w14:solidFill>
              <w14:schemeClr w14:val="tx1"/>
            </w14:solidFill>
          </w14:textFill>
        </w:rPr>
        <w:t>-</w:t>
      </w:r>
      <w:r>
        <w:rPr>
          <w:color w:val="000000" w:themeColor="text1"/>
          <w:szCs w:val="26"/>
          <w14:textFill>
            <w14:solidFill>
              <w14:schemeClr w14:val="tx1"/>
            </w14:solidFill>
          </w14:textFill>
        </w:rPr>
        <w:t>2008</w:t>
      </w:r>
      <w:r>
        <w:rPr>
          <w:rFonts w:hint="eastAsia"/>
          <w:color w:val="000000" w:themeColor="text1"/>
          <w:szCs w:val="26"/>
          <w14:textFill>
            <w14:solidFill>
              <w14:schemeClr w14:val="tx1"/>
            </w14:solidFill>
          </w14:textFill>
        </w:rPr>
        <w:t>）中</w:t>
      </w:r>
      <w:r>
        <w:rPr>
          <w:color w:val="000000" w:themeColor="text1"/>
          <w:szCs w:val="26"/>
          <w14:textFill>
            <w14:solidFill>
              <w14:schemeClr w14:val="tx1"/>
            </w14:solidFill>
          </w14:textFill>
        </w:rPr>
        <w:t>3类区</w:t>
      </w:r>
      <w:r>
        <w:rPr>
          <w:rFonts w:hint="eastAsia"/>
          <w:color w:val="000000" w:themeColor="text1"/>
          <w:szCs w:val="26"/>
          <w14:textFill>
            <w14:solidFill>
              <w14:schemeClr w14:val="tx1"/>
            </w14:solidFill>
          </w14:textFill>
        </w:rPr>
        <w:t>标准，受影响人口数量变化不大且项目建设前后对敏感点噪声影响不明显，</w:t>
      </w:r>
      <w:r>
        <w:rPr>
          <w:color w:val="000000" w:themeColor="text1"/>
          <w:szCs w:val="26"/>
          <w14:textFill>
            <w14:solidFill>
              <w14:schemeClr w14:val="tx1"/>
            </w14:solidFill>
          </w14:textFill>
        </w:rPr>
        <w:t>项目建成后噪声增加量小于3dB（A），根据《环境影响评价技术导则声环境》（HJ2.4-2021），确定评价工作等级为三级</w:t>
      </w:r>
      <w:r>
        <w:rPr>
          <w:color w:val="000000" w:themeColor="text1"/>
          <w14:textFill>
            <w14:solidFill>
              <w14:schemeClr w14:val="tx1"/>
            </w14:solidFill>
          </w14:textFill>
        </w:rPr>
        <w:t>。</w:t>
      </w:r>
    </w:p>
    <w:p>
      <w:pPr>
        <w:pStyle w:val="5"/>
      </w:pPr>
      <w:r>
        <w:t>环境风险评价工作等级</w:t>
      </w:r>
    </w:p>
    <w:p>
      <w:pPr>
        <w:spacing w:before="24"/>
        <w:ind w:firstLine="520"/>
        <w:jc w:val="both"/>
        <w:rPr>
          <w:color w:val="000000" w:themeColor="text1"/>
          <w:kern w:val="0"/>
          <w14:textFill>
            <w14:solidFill>
              <w14:schemeClr w14:val="tx1"/>
            </w14:solidFill>
          </w14:textFill>
        </w:rPr>
      </w:pP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涉及的物质</w:t>
      </w:r>
      <w:r>
        <w:rPr>
          <w:rFonts w:hint="eastAsia"/>
          <w:color w:val="000000" w:themeColor="text1"/>
          <w:kern w:val="0"/>
          <w14:textFill>
            <w14:solidFill>
              <w14:schemeClr w14:val="tx1"/>
            </w14:solidFill>
          </w14:textFill>
        </w:rPr>
        <w:t>醇沉药渣“无毒无害”、不具有“</w:t>
      </w:r>
      <w:r>
        <w:rPr>
          <w:color w:val="000000" w:themeColor="text1"/>
          <w:kern w:val="0"/>
          <w14:textFill>
            <w14:solidFill>
              <w14:schemeClr w14:val="tx1"/>
            </w14:solidFill>
          </w14:textFill>
        </w:rPr>
        <w:t>易燃</w:t>
      </w: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t>易爆</w:t>
      </w:r>
      <w:r>
        <w:rPr>
          <w:rFonts w:hint="eastAsia"/>
          <w:color w:val="000000" w:themeColor="text1"/>
          <w:kern w:val="0"/>
          <w14:textFill>
            <w14:solidFill>
              <w14:schemeClr w14:val="tx1"/>
            </w14:solidFill>
          </w14:textFill>
        </w:rPr>
        <w:t>、腐蚀性”等危险特性，不属于“危险物质”。醇沉药渣在槽车内及上料系统的温度为7</w:t>
      </w:r>
      <w:r>
        <w:rPr>
          <w:color w:val="000000" w:themeColor="text1"/>
          <w:kern w:val="0"/>
          <w14:textFill>
            <w14:solidFill>
              <w14:schemeClr w14:val="tx1"/>
            </w14:solidFill>
          </w14:textFill>
        </w:rPr>
        <w:t>0℃以上，</w:t>
      </w:r>
      <w:r>
        <w:rPr>
          <w:rFonts w:hint="eastAsia"/>
          <w:color w:val="000000" w:themeColor="text1"/>
          <w:kern w:val="0"/>
          <w14:textFill>
            <w14:solidFill>
              <w14:schemeClr w14:val="tx1"/>
            </w14:solidFill>
          </w14:textFill>
        </w:rPr>
        <w:t>是一种黏稠的膏体，</w:t>
      </w:r>
      <w:r>
        <w:rPr>
          <w:color w:val="000000" w:themeColor="text1"/>
          <w:kern w:val="0"/>
          <w14:textFill>
            <w14:solidFill>
              <w14:schemeClr w14:val="tx1"/>
            </w14:solidFill>
          </w14:textFill>
        </w:rPr>
        <w:t>当</w:t>
      </w:r>
      <w:r>
        <w:rPr>
          <w:rFonts w:hint="eastAsia"/>
          <w:color w:val="000000" w:themeColor="text1"/>
          <w:kern w:val="0"/>
          <w14:textFill>
            <w14:solidFill>
              <w14:schemeClr w14:val="tx1"/>
            </w14:solidFill>
          </w14:textFill>
        </w:rPr>
        <w:t>醇沉药渣温度降至40℃时将会凝固，不具有流动性。通过上述分析，醇沉药渣不属于“危险物质”。</w:t>
      </w:r>
    </w:p>
    <w:p>
      <w:pPr>
        <w:spacing w:before="24"/>
        <w:ind w:firstLine="520"/>
        <w:jc w:val="both"/>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醇沉药渣上料系统冲洗废水（每次</w:t>
      </w:r>
      <w:r>
        <w:rPr>
          <w:color w:val="000000" w:themeColor="text1"/>
          <w:kern w:val="0"/>
          <w14:textFill>
            <w14:solidFill>
              <w14:schemeClr w14:val="tx1"/>
            </w14:solidFill>
          </w14:textFill>
        </w:rPr>
        <w:t>0.17</w:t>
      </w:r>
      <w:r>
        <w:rPr>
          <w:rFonts w:hint="eastAsia"/>
          <w:color w:val="000000" w:themeColor="text1"/>
          <w:kern w:val="0"/>
          <w14:textFill>
            <w14:solidFill>
              <w14:schemeClr w14:val="tx1"/>
            </w14:solidFill>
          </w14:textFill>
        </w:rPr>
        <w:t>m³）</w:t>
      </w:r>
      <w:r>
        <w:rPr>
          <w:color w:val="000000" w:themeColor="text1"/>
          <w14:textFill>
            <w14:solidFill>
              <w14:schemeClr w14:val="tx1"/>
            </w14:solidFill>
          </w14:textFill>
        </w:rPr>
        <w:t>COD</w:t>
      </w:r>
      <w:r>
        <w:rPr>
          <w:color w:val="000000" w:themeColor="text1"/>
          <w:vertAlign w:val="subscript"/>
          <w14:textFill>
            <w14:solidFill>
              <w14:schemeClr w14:val="tx1"/>
            </w14:solidFill>
          </w14:textFill>
        </w:rPr>
        <w:t>Cr</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r>
        <w:rPr>
          <w:rFonts w:hint="eastAsia"/>
          <w:color w:val="000000" w:themeColor="text1"/>
          <w14:textFill>
            <w14:solidFill>
              <w14:schemeClr w14:val="tx1"/>
            </w14:solidFill>
          </w14:textFill>
        </w:rPr>
        <w:t>等可生化性指标浓度较高。根据《建设项目环境风险评价技术 导则》</w:t>
      </w:r>
      <w:r>
        <w:rPr>
          <w:color w:val="000000" w:themeColor="text1"/>
          <w14:textFill>
            <w14:solidFill>
              <w14:schemeClr w14:val="tx1"/>
            </w14:solidFill>
          </w14:textFill>
        </w:rPr>
        <w:t>（HJ169-20</w:t>
      </w:r>
      <w:r>
        <w:rPr>
          <w:rFonts w:hint="eastAsia"/>
          <w:color w:val="000000" w:themeColor="text1"/>
          <w14:textFill>
            <w14:solidFill>
              <w14:schemeClr w14:val="tx1"/>
            </w14:solidFill>
          </w14:textFill>
        </w:rPr>
        <w:t>18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COD</w:t>
      </w:r>
      <w:r>
        <w:rPr>
          <w:color w:val="000000" w:themeColor="text1"/>
          <w:vertAlign w:val="subscript"/>
          <w14:textFill>
            <w14:solidFill>
              <w14:schemeClr w14:val="tx1"/>
            </w14:solidFill>
          </w14:textFill>
        </w:rPr>
        <w:t>Cr</w:t>
      </w:r>
      <w:r>
        <w:rPr>
          <w:color w:val="000000" w:themeColor="text1"/>
          <w14:textFill>
            <w14:solidFill>
              <w14:schemeClr w14:val="tx1"/>
            </w14:solidFill>
          </w14:textFill>
        </w:rPr>
        <w:t>浓度≥10000mg/L 的有机废液</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-N浓度≥2000mg/L的废液</w:t>
      </w:r>
      <w:r>
        <w:rPr>
          <w:rFonts w:hint="eastAsia"/>
          <w:color w:val="000000" w:themeColor="text1"/>
          <w14:textFill>
            <w14:solidFill>
              <w14:schemeClr w14:val="tx1"/>
            </w14:solidFill>
          </w14:textFill>
        </w:rPr>
        <w:t>”属于“</w:t>
      </w:r>
      <w:r>
        <w:rPr>
          <w:color w:val="000000" w:themeColor="text1"/>
          <w14:textFill>
            <w14:solidFill>
              <w14:schemeClr w14:val="tx1"/>
            </w14:solidFill>
          </w14:textFill>
        </w:rPr>
        <w:t>突发环境事件风险物质</w:t>
      </w:r>
      <w:r>
        <w:rPr>
          <w:rFonts w:hint="eastAsia"/>
          <w:color w:val="000000" w:themeColor="text1"/>
          <w14:textFill>
            <w14:solidFill>
              <w14:schemeClr w14:val="tx1"/>
            </w14:solidFill>
          </w14:textFill>
        </w:rPr>
        <w:t>”，临界量分别为1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吨、5吨。因此，本评价将“清洗废水”参照“</w:t>
      </w:r>
      <w:r>
        <w:rPr>
          <w:color w:val="000000" w:themeColor="text1"/>
          <w14:textFill>
            <w14:solidFill>
              <w14:schemeClr w14:val="tx1"/>
            </w14:solidFill>
          </w14:textFill>
        </w:rPr>
        <w:t>COD</w:t>
      </w:r>
      <w:r>
        <w:rPr>
          <w:color w:val="000000" w:themeColor="text1"/>
          <w:vertAlign w:val="subscript"/>
          <w14:textFill>
            <w14:solidFill>
              <w14:schemeClr w14:val="tx1"/>
            </w14:solidFill>
          </w14:textFill>
        </w:rPr>
        <w:t>Cr</w:t>
      </w:r>
      <w:r>
        <w:rPr>
          <w:color w:val="000000" w:themeColor="text1"/>
          <w14:textFill>
            <w14:solidFill>
              <w14:schemeClr w14:val="tx1"/>
            </w14:solidFill>
          </w14:textFill>
        </w:rPr>
        <w:t>浓度≥10000mg/L 的有机废液</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-N浓度≥2000mg/L的废液</w:t>
      </w:r>
      <w:r>
        <w:rPr>
          <w:rFonts w:hint="eastAsia"/>
          <w:color w:val="000000" w:themeColor="text1"/>
          <w14:textFill>
            <w14:solidFill>
              <w14:schemeClr w14:val="tx1"/>
            </w14:solidFill>
          </w14:textFill>
        </w:rPr>
        <w:t>”类风险物质进行评价定级，其临界量分别为1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吨、5吨。</w:t>
      </w:r>
      <w:r>
        <w:rPr>
          <w:rFonts w:hint="eastAsia"/>
          <w:color w:val="000000" w:themeColor="text1"/>
          <w:kern w:val="0"/>
          <w14:textFill>
            <w14:solidFill>
              <w14:schemeClr w14:val="tx1"/>
            </w14:solidFill>
          </w14:textFill>
        </w:rPr>
        <w:t>评价以“</w:t>
      </w:r>
      <w:r>
        <w:rPr>
          <w:color w:val="000000" w:themeColor="text1"/>
          <w:kern w:val="0"/>
          <w14:textFill>
            <w14:solidFill>
              <w14:schemeClr w14:val="tx1"/>
            </w14:solidFill>
          </w14:textFill>
        </w:rPr>
        <w:t>NH</w:t>
      </w:r>
      <w:r>
        <w:rPr>
          <w:color w:val="000000" w:themeColor="text1"/>
          <w:kern w:val="0"/>
          <w:vertAlign w:val="subscript"/>
          <w14:textFill>
            <w14:solidFill>
              <w14:schemeClr w14:val="tx1"/>
            </w14:solidFill>
          </w14:textFill>
        </w:rPr>
        <w:t>3</w:t>
      </w:r>
      <w:r>
        <w:rPr>
          <w:color w:val="000000" w:themeColor="text1"/>
          <w:kern w:val="0"/>
          <w14:textFill>
            <w14:solidFill>
              <w14:schemeClr w14:val="tx1"/>
            </w14:solidFill>
          </w14:textFill>
        </w:rPr>
        <w:t>-N浓度≥2000mg/L的废液</w:t>
      </w:r>
      <w:r>
        <w:rPr>
          <w:rFonts w:hint="eastAsia"/>
          <w:color w:val="000000" w:themeColor="text1"/>
          <w:kern w:val="0"/>
          <w14:textFill>
            <w14:solidFill>
              <w14:schemeClr w14:val="tx1"/>
            </w14:solidFill>
          </w14:textFill>
        </w:rPr>
        <w:t>”的临界量计算本项目Q值为</w:t>
      </w:r>
      <w:r>
        <w:rPr>
          <w:color w:val="000000" w:themeColor="text1"/>
          <w:kern w:val="0"/>
          <w14:textFill>
            <w14:solidFill>
              <w14:schemeClr w14:val="tx1"/>
            </w14:solidFill>
          </w14:textFill>
        </w:rPr>
        <w:t>0.034＜1</w:t>
      </w:r>
      <w:r>
        <w:rPr>
          <w:rFonts w:hint="eastAsia"/>
          <w:color w:val="000000" w:themeColor="text1"/>
          <w:kern w:val="0"/>
          <w14:textFill>
            <w14:solidFill>
              <w14:schemeClr w14:val="tx1"/>
            </w14:solidFill>
          </w14:textFill>
        </w:rPr>
        <w:t>，本项目环境风险潜势划分</w:t>
      </w:r>
      <w:r>
        <w:rPr>
          <w:color w:val="000000" w:themeColor="text1"/>
          <w:kern w:val="0"/>
          <w14:textFill>
            <w14:solidFill>
              <w14:schemeClr w14:val="tx1"/>
            </w14:solidFill>
          </w14:textFill>
        </w:rPr>
        <w:t>为</w:t>
      </w:r>
      <w:r>
        <w:rPr>
          <w:rFonts w:hint="eastAsia"/>
          <w:bCs/>
          <w:color w:val="000000" w:themeColor="text1"/>
          <w:kern w:val="0"/>
          <w14:textFill>
            <w14:solidFill>
              <w14:schemeClr w14:val="tx1"/>
            </w14:solidFill>
          </w14:textFill>
        </w:rPr>
        <w:t>Ⅰ级</w:t>
      </w:r>
      <w:r>
        <w:rPr>
          <w:rFonts w:hint="eastAsia"/>
          <w:color w:val="000000" w:themeColor="text1"/>
          <w:kern w:val="0"/>
          <w14:textFill>
            <w14:solidFill>
              <w14:schemeClr w14:val="tx1"/>
            </w14:solidFill>
          </w14:textFill>
        </w:rPr>
        <w:t>。风险评价工作</w:t>
      </w:r>
      <w:r>
        <w:rPr>
          <w:color w:val="000000" w:themeColor="text1"/>
          <w:kern w:val="0"/>
          <w14:textFill>
            <w14:solidFill>
              <w14:schemeClr w14:val="tx1"/>
            </w14:solidFill>
          </w14:textFill>
        </w:rPr>
        <w:t>等级为</w:t>
      </w:r>
      <w:r>
        <w:rPr>
          <w:rFonts w:hint="eastAsia"/>
          <w:color w:val="000000" w:themeColor="text1"/>
          <w:kern w:val="0"/>
          <w14:textFill>
            <w14:solidFill>
              <w14:schemeClr w14:val="tx1"/>
            </w14:solidFill>
          </w14:textFill>
        </w:rPr>
        <w:t>“简单分析”。</w:t>
      </w:r>
    </w:p>
    <w:p>
      <w:pPr>
        <w:pStyle w:val="5"/>
      </w:pPr>
      <w:r>
        <w:rPr>
          <w:rFonts w:hint="eastAsia"/>
        </w:rPr>
        <w:t>土壤环境评价等级</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本项目属于污染影响型项目，依据《环境影响评价技术导则 土壤环境》（HJ964-2018）附录 A，项目土壤环境影响评价项目Ⅱ类项目。项目位于工业园区内，土壤环境敏感程度为“不敏感”，土壤环境影响评价工作等级为三级。</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评价范围</w:t>
      </w:r>
    </w:p>
    <w:p>
      <w:pPr>
        <w:pStyle w:val="118"/>
        <w:adjustRightInd/>
        <w:snapToGrid/>
        <w:rPr>
          <w:color w:val="000000" w:themeColor="text1"/>
          <w14:textFill>
            <w14:solidFill>
              <w14:schemeClr w14:val="tx1"/>
            </w14:solidFill>
          </w14:textFill>
        </w:rPr>
      </w:pPr>
      <w:r>
        <w:rPr>
          <w:color w:val="000000" w:themeColor="text1"/>
          <w14:textFill>
            <w14:solidFill>
              <w14:schemeClr w14:val="tx1"/>
            </w14:solidFill>
          </w14:textFill>
        </w:rPr>
        <w:t>项目各环境要素评价范围见</w:t>
      </w:r>
      <w:r>
        <w:rPr>
          <w:rFonts w:hint="eastAsia"/>
          <w:color w:val="000000" w:themeColor="text1"/>
          <w14:textFill>
            <w14:solidFill>
              <w14:schemeClr w14:val="tx1"/>
            </w14:solidFill>
          </w14:textFill>
        </w:rPr>
        <w:t>下表。</w:t>
      </w:r>
    </w:p>
    <w:p>
      <w:pPr>
        <w:pStyle w:val="39"/>
        <w:rPr>
          <w:snapToGrid w:val="0"/>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snapToGrid w:val="0"/>
          <w:color w:val="000000" w:themeColor="text1"/>
          <w14:textFill>
            <w14:solidFill>
              <w14:schemeClr w14:val="tx1"/>
            </w14:solidFill>
          </w14:textFill>
        </w:rPr>
        <w:t>项目环境评价范围</w:t>
      </w:r>
    </w:p>
    <w:tbl>
      <w:tblPr>
        <w:tblStyle w:val="42"/>
        <w:tblW w:w="87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
      <w:tblGrid>
        <w:gridCol w:w="1278"/>
        <w:gridCol w:w="7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trHeight w:val="369" w:hRule="atLeast"/>
          <w:jc w:val="center"/>
        </w:trPr>
        <w:tc>
          <w:tcPr>
            <w:tcW w:w="1278"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评价要素</w:t>
            </w:r>
          </w:p>
        </w:tc>
        <w:tc>
          <w:tcPr>
            <w:tcW w:w="745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trHeight w:val="369" w:hRule="atLeast"/>
          <w:jc w:val="center"/>
        </w:trPr>
        <w:tc>
          <w:tcPr>
            <w:tcW w:w="1278"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环境空气</w:t>
            </w:r>
          </w:p>
        </w:tc>
        <w:tc>
          <w:tcPr>
            <w:tcW w:w="745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以项目为中心，边长2</w:t>
            </w:r>
            <w:r>
              <w:rPr>
                <w:color w:val="000000" w:themeColor="text1"/>
                <w14:textFill>
                  <w14:solidFill>
                    <w14:schemeClr w14:val="tx1"/>
                  </w14:solidFill>
                </w14:textFill>
              </w:rPr>
              <w:t>.5km</w:t>
            </w:r>
            <w:r>
              <w:rPr>
                <w:rFonts w:hint="eastAsia"/>
                <w:color w:val="000000" w:themeColor="text1"/>
                <w14:textFill>
                  <w14:solidFill>
                    <w14:schemeClr w14:val="tx1"/>
                  </w14:solidFill>
                </w14:textFill>
              </w:rPr>
              <w:t>的矩形区域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trHeight w:val="369" w:hRule="atLeast"/>
          <w:jc w:val="center"/>
        </w:trPr>
        <w:tc>
          <w:tcPr>
            <w:tcW w:w="1278"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地表水</w:t>
            </w:r>
          </w:p>
        </w:tc>
        <w:tc>
          <w:tcPr>
            <w:tcW w:w="745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分析废水处理措施的可靠性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trHeight w:val="369" w:hRule="atLeast"/>
          <w:jc w:val="center"/>
        </w:trPr>
        <w:tc>
          <w:tcPr>
            <w:tcW w:w="1278"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地下水</w:t>
            </w:r>
          </w:p>
        </w:tc>
        <w:tc>
          <w:tcPr>
            <w:tcW w:w="745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厂区所在水文地质单元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trHeight w:val="369" w:hRule="atLeast"/>
          <w:jc w:val="center"/>
        </w:trPr>
        <w:tc>
          <w:tcPr>
            <w:tcW w:w="1278"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声环境</w:t>
            </w:r>
          </w:p>
        </w:tc>
        <w:tc>
          <w:tcPr>
            <w:tcW w:w="745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厂界周边200m范围内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trHeight w:val="369" w:hRule="atLeast"/>
          <w:jc w:val="center"/>
        </w:trPr>
        <w:tc>
          <w:tcPr>
            <w:tcW w:w="127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土壤</w:t>
            </w:r>
          </w:p>
        </w:tc>
        <w:tc>
          <w:tcPr>
            <w:tcW w:w="7455"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厂界及周边</w:t>
            </w:r>
            <w:r>
              <w:rPr>
                <w:rFonts w:hint="eastAsia"/>
                <w:color w:val="000000" w:themeColor="text1"/>
                <w14:textFill>
                  <w14:solidFill>
                    <w14:schemeClr w14:val="tx1"/>
                  </w14:solidFill>
                </w14:textFill>
              </w:rPr>
              <w:t>50m范围内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trHeight w:val="369" w:hRule="atLeast"/>
          <w:jc w:val="center"/>
        </w:trPr>
        <w:tc>
          <w:tcPr>
            <w:tcW w:w="127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w:t>
            </w:r>
          </w:p>
        </w:tc>
        <w:tc>
          <w:tcPr>
            <w:tcW w:w="7455" w:type="dxa"/>
            <w:vAlign w:val="center"/>
          </w:tcPr>
          <w:p>
            <w:pPr>
              <w:pStyle w:val="122"/>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本评价要求</w:t>
            </w:r>
            <w:r>
              <w:rPr>
                <w:color w:val="000000" w:themeColor="text1"/>
                <w:kern w:val="0"/>
                <w14:textFill>
                  <w14:solidFill>
                    <w14:schemeClr w14:val="tx1"/>
                  </w14:solidFill>
                </w14:textFill>
              </w:rPr>
              <w:t>描述危险物质、环境影响途径、环境危害后果、风险防范措施等方面给出定性的说明。</w:t>
            </w:r>
          </w:p>
        </w:tc>
      </w:tr>
    </w:tbl>
    <w:p>
      <w:pPr>
        <w:pStyle w:val="3"/>
      </w:pPr>
      <w:bookmarkStart w:id="34" w:name="_Toc109888243"/>
      <w:bookmarkStart w:id="35" w:name="_Toc207183597"/>
      <w:bookmarkStart w:id="36" w:name="_Toc460866625"/>
      <w:bookmarkStart w:id="37" w:name="_Toc482015186"/>
      <w:bookmarkStart w:id="38" w:name="_Toc275510094"/>
      <w:bookmarkStart w:id="39" w:name="_Toc298407017"/>
      <w:r>
        <w:rPr>
          <w:rFonts w:hint="eastAsia"/>
        </w:rPr>
        <w:t>主要环境保护目标</w:t>
      </w:r>
      <w:bookmarkEnd w:id="34"/>
    </w:p>
    <w:bookmarkEnd w:id="35"/>
    <w:bookmarkEnd w:id="36"/>
    <w:bookmarkEnd w:id="37"/>
    <w:bookmarkEnd w:id="38"/>
    <w:bookmarkEnd w:id="39"/>
    <w:p>
      <w:pPr>
        <w:pStyle w:val="4"/>
        <w:rPr>
          <w:color w:val="000000" w:themeColor="text1"/>
          <w14:textFill>
            <w14:solidFill>
              <w14:schemeClr w14:val="tx1"/>
            </w14:solidFill>
          </w14:textFill>
        </w:rPr>
      </w:pPr>
      <w:bookmarkStart w:id="40" w:name="_TOC_250010"/>
      <w:r>
        <w:rPr>
          <w:rFonts w:hint="eastAsia"/>
          <w:color w:val="000000" w:themeColor="text1"/>
          <w14:textFill>
            <w14:solidFill>
              <w14:schemeClr w14:val="tx1"/>
            </w14:solidFill>
          </w14:textFill>
        </w:rPr>
        <w:t xml:space="preserve"> 外环境关系</w:t>
      </w:r>
    </w:p>
    <w:p>
      <w:pPr>
        <w:ind w:firstLine="52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项目处于涪陵工业园区龙桥组团，位于</w:t>
      </w:r>
      <w:r>
        <w:rPr>
          <w:rFonts w:hint="eastAsia"/>
          <w:color w:val="000000" w:themeColor="text1"/>
          <w14:textFill>
            <w14:solidFill>
              <w14:schemeClr w14:val="tx1"/>
            </w14:solidFill>
          </w14:textFill>
        </w:rPr>
        <w:t>重庆陕渝临港热电有限公司</w:t>
      </w:r>
      <w:r>
        <w:rPr>
          <w:rFonts w:hint="eastAsia"/>
          <w:color w:val="000000" w:themeColor="text1"/>
          <w:szCs w:val="26"/>
          <w14:textFill>
            <w14:solidFill>
              <w14:schemeClr w14:val="tx1"/>
            </w14:solidFill>
          </w14:textFill>
        </w:rPr>
        <w:t>中偏东部。</w:t>
      </w:r>
      <w:r>
        <w:rPr>
          <w:rFonts w:hint="eastAsia"/>
          <w:color w:val="000000" w:themeColor="text1"/>
          <w14:textFill>
            <w14:solidFill>
              <w14:schemeClr w14:val="tx1"/>
            </w14:solidFill>
          </w14:textFill>
        </w:rPr>
        <w:t>重庆陕渝临港热电有限公司</w:t>
      </w:r>
      <w:r>
        <w:rPr>
          <w:rFonts w:hint="eastAsia"/>
          <w:color w:val="000000" w:themeColor="text1"/>
          <w:szCs w:val="26"/>
          <w14:textFill>
            <w14:solidFill>
              <w14:schemeClr w14:val="tx1"/>
            </w14:solidFill>
          </w14:textFill>
        </w:rPr>
        <w:t>厂界外东侧紧邻惠龙路，通过龙桥收费站连接南涪高速；北侧为龙电路和未利用地，西侧为常捷医药公司，南侧为多吉再生资源公司和华钢耐磨材料公司。龙桥河由南向北从厂区中部穿越。外环境关系见附图2。</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环境保护目标</w:t>
      </w:r>
    </w:p>
    <w:p>
      <w:pPr>
        <w:ind w:firstLine="520"/>
        <w:rPr>
          <w:color w:val="000000" w:themeColor="text1"/>
          <w:szCs w:val="26"/>
          <w14:textFill>
            <w14:solidFill>
              <w14:schemeClr w14:val="tx1"/>
            </w14:solidFill>
          </w14:textFill>
        </w:rPr>
      </w:pPr>
      <w:r>
        <w:rPr>
          <w:color w:val="000000" w:themeColor="text1"/>
          <w:szCs w:val="26"/>
          <w14:textFill>
            <w14:solidFill>
              <w14:schemeClr w14:val="tx1"/>
            </w14:solidFill>
          </w14:textFill>
        </w:rPr>
        <w:t>根据现场调查的结果显示，本项目所在地及评价范围内不涉及自然保护区、风景名胜区、森林公园、地质公园、世界遗产地等环境敏感区。</w:t>
      </w:r>
    </w:p>
    <w:p>
      <w:pPr>
        <w:ind w:firstLine="52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大气评价范围内主要保护目标为居民区和学校，具体见表1.8-1。声环境评价范围内无保护目标。</w:t>
      </w:r>
    </w:p>
    <w:p>
      <w:pPr>
        <w:ind w:firstLine="52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项目附近地表水为龙桥河（又称袁家溪）、长江，为</w:t>
      </w:r>
      <w:r>
        <w:rPr>
          <w:rFonts w:hint="eastAsia" w:ascii="宋体" w:hAnsi="宋体"/>
          <w:color w:val="000000" w:themeColor="text1"/>
          <w:szCs w:val="26"/>
          <w14:textFill>
            <w14:solidFill>
              <w14:schemeClr w14:val="tx1"/>
            </w14:solidFill>
          </w14:textFill>
        </w:rPr>
        <w:t>Ⅲ</w:t>
      </w:r>
      <w:r>
        <w:rPr>
          <w:rFonts w:hint="eastAsia"/>
          <w:color w:val="000000" w:themeColor="text1"/>
          <w:szCs w:val="26"/>
          <w14:textFill>
            <w14:solidFill>
              <w14:schemeClr w14:val="tx1"/>
            </w14:solidFill>
          </w14:textFill>
        </w:rPr>
        <w:t>类水体，不涉及</w:t>
      </w:r>
      <w:r>
        <w:rPr>
          <w:color w:val="000000" w:themeColor="text1"/>
          <w:szCs w:val="26"/>
          <w14:textFill>
            <w14:solidFill>
              <w14:schemeClr w14:val="tx1"/>
            </w14:solidFill>
          </w14:textFill>
        </w:rPr>
        <w:t>《环境影响评价技术导则  地表水环境》（HJ 2.3</w:t>
      </w:r>
      <w:r>
        <w:rPr>
          <w:rFonts w:hint="eastAsia"/>
          <w:color w:val="000000" w:themeColor="text1"/>
          <w:szCs w:val="26"/>
          <w14:textFill>
            <w14:solidFill>
              <w14:schemeClr w14:val="tx1"/>
            </w14:solidFill>
          </w14:textFill>
        </w:rPr>
        <w:t>-</w:t>
      </w:r>
      <w:r>
        <w:rPr>
          <w:color w:val="000000" w:themeColor="text1"/>
          <w:szCs w:val="26"/>
          <w14:textFill>
            <w14:solidFill>
              <w14:schemeClr w14:val="tx1"/>
            </w14:solidFill>
          </w14:textFill>
        </w:rPr>
        <w:t>2018）</w:t>
      </w:r>
      <w:r>
        <w:rPr>
          <w:rFonts w:hint="eastAsia"/>
          <w:color w:val="000000" w:themeColor="text1"/>
          <w:szCs w:val="26"/>
          <w14:textFill>
            <w14:solidFill>
              <w14:schemeClr w14:val="tx1"/>
            </w14:solidFill>
          </w14:textFill>
        </w:rPr>
        <w:t>定义</w:t>
      </w:r>
      <w:r>
        <w:rPr>
          <w:color w:val="000000" w:themeColor="text1"/>
          <w:szCs w:val="26"/>
          <w14:textFill>
            <w14:solidFill>
              <w14:schemeClr w14:val="tx1"/>
            </w14:solidFill>
          </w14:textFill>
        </w:rPr>
        <w:t>的水环境敏感目标。</w:t>
      </w:r>
    </w:p>
    <w:p>
      <w:pPr>
        <w:ind w:firstLine="520"/>
        <w:rPr>
          <w:color w:val="000000" w:themeColor="text1"/>
          <w14:textFill>
            <w14:solidFill>
              <w14:schemeClr w14:val="tx1"/>
            </w14:solidFill>
          </w14:textFill>
        </w:rPr>
      </w:pP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环境空气保护目标一览表</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991"/>
        <w:gridCol w:w="1056"/>
        <w:gridCol w:w="1056"/>
        <w:gridCol w:w="638"/>
        <w:gridCol w:w="812"/>
        <w:gridCol w:w="708"/>
        <w:gridCol w:w="779"/>
        <w:gridCol w:w="1205"/>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restart"/>
            <w:tcBorders>
              <w:top w:val="single" w:color="auto" w:sz="4" w:space="0"/>
              <w:left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序号</w:t>
            </w:r>
          </w:p>
        </w:tc>
        <w:tc>
          <w:tcPr>
            <w:tcW w:w="0" w:type="auto"/>
            <w:vMerge w:val="restart"/>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highlight w:val="yellow"/>
                <w14:textFill>
                  <w14:solidFill>
                    <w14:schemeClr w14:val="tx1"/>
                  </w14:solidFill>
                </w14:textFill>
              </w:rPr>
            </w:pPr>
            <w:r>
              <w:rPr>
                <w:rFonts w:hint="eastAsia"/>
                <w:color w:val="000000" w:themeColor="text1"/>
                <w:sz w:val="21"/>
                <w:szCs w:val="21"/>
                <w14:textFill>
                  <w14:solidFill>
                    <w14:schemeClr w14:val="tx1"/>
                  </w14:solidFill>
                </w14:textFill>
              </w:rPr>
              <w:t>名称</w:t>
            </w:r>
          </w:p>
        </w:tc>
        <w:tc>
          <w:tcPr>
            <w:tcW w:w="0" w:type="auto"/>
            <w:gridSpan w:val="2"/>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highlight w:val="yellow"/>
                <w14:textFill>
                  <w14:solidFill>
                    <w14:schemeClr w14:val="tx1"/>
                  </w14:solidFill>
                </w14:textFill>
              </w:rPr>
            </w:pPr>
            <w:r>
              <w:rPr>
                <w:rFonts w:hint="eastAsia"/>
                <w:color w:val="000000" w:themeColor="text1"/>
                <w:sz w:val="21"/>
                <w:szCs w:val="21"/>
                <w14:textFill>
                  <w14:solidFill>
                    <w14:schemeClr w14:val="tx1"/>
                  </w14:solidFill>
                </w14:textFill>
              </w:rPr>
              <w:t>坐标</w:t>
            </w:r>
          </w:p>
        </w:tc>
        <w:tc>
          <w:tcPr>
            <w:tcW w:w="0" w:type="auto"/>
            <w:vMerge w:val="restart"/>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highlight w:val="yellow"/>
                <w14:textFill>
                  <w14:solidFill>
                    <w14:schemeClr w14:val="tx1"/>
                  </w14:solidFill>
                </w14:textFill>
              </w:rPr>
            </w:pPr>
            <w:r>
              <w:rPr>
                <w:rFonts w:hint="eastAsia"/>
                <w:color w:val="000000" w:themeColor="text1"/>
                <w:sz w:val="21"/>
                <w:szCs w:val="21"/>
                <w14:textFill>
                  <w14:solidFill>
                    <w14:schemeClr w14:val="tx1"/>
                  </w14:solidFill>
                </w14:textFill>
              </w:rPr>
              <w:t>保护对象</w:t>
            </w:r>
          </w:p>
        </w:tc>
        <w:tc>
          <w:tcPr>
            <w:tcW w:w="0" w:type="auto"/>
            <w:vMerge w:val="restart"/>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highlight w:val="yellow"/>
                <w14:textFill>
                  <w14:solidFill>
                    <w14:schemeClr w14:val="tx1"/>
                  </w14:solidFill>
                </w14:textFill>
              </w:rPr>
            </w:pPr>
            <w:r>
              <w:rPr>
                <w:rFonts w:hint="eastAsia"/>
                <w:color w:val="000000" w:themeColor="text1"/>
                <w:sz w:val="21"/>
                <w:szCs w:val="21"/>
                <w14:textFill>
                  <w14:solidFill>
                    <w14:schemeClr w14:val="tx1"/>
                  </w14:solidFill>
                </w14:textFill>
              </w:rPr>
              <w:t>保护内容</w:t>
            </w:r>
          </w:p>
        </w:tc>
        <w:tc>
          <w:tcPr>
            <w:tcW w:w="0" w:type="auto"/>
            <w:vMerge w:val="restart"/>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highlight w:val="yellow"/>
                <w14:textFill>
                  <w14:solidFill>
                    <w14:schemeClr w14:val="tx1"/>
                  </w14:solidFill>
                </w14:textFill>
              </w:rPr>
            </w:pPr>
            <w:r>
              <w:rPr>
                <w:rFonts w:hint="eastAsia"/>
                <w:color w:val="000000" w:themeColor="text1"/>
                <w:sz w:val="21"/>
                <w:szCs w:val="21"/>
                <w14:textFill>
                  <w14:solidFill>
                    <w14:schemeClr w14:val="tx1"/>
                  </w14:solidFill>
                </w14:textFill>
              </w:rPr>
              <w:t>环境功能区</w:t>
            </w:r>
          </w:p>
        </w:tc>
        <w:tc>
          <w:tcPr>
            <w:tcW w:w="0" w:type="auto"/>
            <w:vMerge w:val="restart"/>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highlight w:val="yellow"/>
                <w14:textFill>
                  <w14:solidFill>
                    <w14:schemeClr w14:val="tx1"/>
                  </w14:solidFill>
                </w14:textFill>
              </w:rPr>
            </w:pPr>
            <w:r>
              <w:rPr>
                <w:rFonts w:hint="eastAsia"/>
                <w:color w:val="000000" w:themeColor="text1"/>
                <w:sz w:val="21"/>
                <w:szCs w:val="21"/>
                <w14:textFill>
                  <w14:solidFill>
                    <w14:schemeClr w14:val="tx1"/>
                  </w14:solidFill>
                </w14:textFill>
              </w:rPr>
              <w:t>相对厂址方位</w:t>
            </w:r>
          </w:p>
        </w:tc>
        <w:tc>
          <w:tcPr>
            <w:tcW w:w="0" w:type="auto"/>
            <w:vMerge w:val="restart"/>
            <w:tcBorders>
              <w:top w:val="single" w:color="auto" w:sz="4" w:space="0"/>
              <w:left w:val="single" w:color="auto" w:sz="4" w:space="0"/>
              <w:right w:val="single" w:color="auto" w:sz="4" w:space="0"/>
            </w:tcBorders>
            <w:vAlign w:val="center"/>
          </w:tcPr>
          <w:p>
            <w:pPr>
              <w:pStyle w:val="122"/>
              <w:rPr>
                <w:color w:val="000000" w:themeColor="text1"/>
                <w:sz w:val="21"/>
                <w:szCs w:val="21"/>
                <w:highlight w:val="yellow"/>
                <w14:textFill>
                  <w14:solidFill>
                    <w14:schemeClr w14:val="tx1"/>
                  </w14:solidFill>
                </w14:textFill>
              </w:rPr>
            </w:pPr>
            <w:r>
              <w:rPr>
                <w:rFonts w:hint="eastAsia"/>
                <w:color w:val="000000" w:themeColor="text1"/>
                <w:sz w:val="21"/>
                <w:szCs w:val="21"/>
                <w14:textFill>
                  <w14:solidFill>
                    <w14:schemeClr w14:val="tx1"/>
                  </w14:solidFill>
                </w14:textFill>
              </w:rPr>
              <w:t>与厂界最近直线距离</w:t>
            </w:r>
            <w:r>
              <w:rPr>
                <w:color w:val="000000" w:themeColor="text1"/>
                <w:sz w:val="21"/>
                <w:szCs w:val="21"/>
                <w14:textFill>
                  <w14:solidFill>
                    <w14:schemeClr w14:val="tx1"/>
                  </w14:solidFill>
                </w14:textFill>
              </w:rPr>
              <w:t>/m</w:t>
            </w:r>
          </w:p>
        </w:tc>
        <w:tc>
          <w:tcPr>
            <w:tcW w:w="0" w:type="auto"/>
            <w:vMerge w:val="restart"/>
            <w:tcBorders>
              <w:top w:val="single" w:color="auto" w:sz="4" w:space="0"/>
              <w:left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与烟囱最近直线距离</w:t>
            </w:r>
            <w:r>
              <w:rPr>
                <w:color w:val="000000" w:themeColor="text1"/>
                <w:sz w:val="21"/>
                <w:szCs w:val="2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highlight w:val="yellow"/>
                <w14:textFill>
                  <w14:solidFill>
                    <w14:schemeClr w14:val="tx1"/>
                  </w14:solidFill>
                </w14:textFill>
              </w:rPr>
            </w:pPr>
            <w:r>
              <w:rPr>
                <w:rFonts w:hint="eastAsia"/>
                <w:color w:val="000000" w:themeColor="text1"/>
                <w:sz w:val="21"/>
                <w:szCs w:val="21"/>
                <w14:textFill>
                  <w14:solidFill>
                    <w14:schemeClr w14:val="tx1"/>
                  </w14:solidFill>
                </w14:textFill>
              </w:rPr>
              <w:t>经度</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highlight w:val="yellow"/>
                <w14:textFill>
                  <w14:solidFill>
                    <w14:schemeClr w14:val="tx1"/>
                  </w14:solidFill>
                </w14:textFill>
              </w:rPr>
            </w:pPr>
            <w:r>
              <w:rPr>
                <w:rFonts w:hint="eastAsia"/>
                <w:color w:val="000000" w:themeColor="text1"/>
                <w:sz w:val="21"/>
                <w:szCs w:val="21"/>
                <w14:textFill>
                  <w14:solidFill>
                    <w14:schemeClr w14:val="tx1"/>
                  </w14:solidFill>
                </w14:textFill>
              </w:rPr>
              <w:t>纬度</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p>
        </w:tc>
        <w:tc>
          <w:tcPr>
            <w:tcW w:w="0" w:type="auto"/>
            <w:vMerge w:val="continue"/>
            <w:tcBorders>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p>
        </w:tc>
        <w:tc>
          <w:tcPr>
            <w:tcW w:w="0" w:type="auto"/>
            <w:vMerge w:val="continue"/>
            <w:tcBorders>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vAlign w:val="center"/>
          </w:tcPr>
          <w:p>
            <w:pPr>
              <w:pStyle w:val="122"/>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1</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龙桥镇居民</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rFonts w:ascii="宋体" w:hAnsi="宋体" w:cs="宋体"/>
                <w:color w:val="000000" w:themeColor="text1"/>
                <w:sz w:val="21"/>
                <w:szCs w:val="21"/>
                <w14:textFill>
                  <w14:solidFill>
                    <w14:schemeClr w14:val="tx1"/>
                  </w14:solidFill>
                </w14:textFill>
              </w:rPr>
            </w:pPr>
            <w:r>
              <w:rPr>
                <w:rFonts w:ascii="宋体" w:hAnsi="宋体" w:cs="宋体"/>
                <w:color w:val="000000" w:themeColor="text1"/>
                <w:sz w:val="21"/>
                <w:szCs w:val="21"/>
                <w14:textFill>
                  <w14:solidFill>
                    <w14:schemeClr w14:val="tx1"/>
                  </w14:solidFill>
                </w14:textFill>
              </w:rPr>
              <w:t>107.2962</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rFonts w:ascii="宋体" w:hAnsi="宋体" w:cs="宋体"/>
                <w:color w:val="000000" w:themeColor="text1"/>
                <w:sz w:val="21"/>
                <w:szCs w:val="21"/>
                <w14:textFill>
                  <w14:solidFill>
                    <w14:schemeClr w14:val="tx1"/>
                  </w14:solidFill>
                </w14:textFill>
              </w:rPr>
            </w:pPr>
            <w:r>
              <w:rPr>
                <w:rFonts w:ascii="宋体" w:hAnsi="宋体" w:cs="宋体"/>
                <w:color w:val="000000" w:themeColor="text1"/>
                <w:sz w:val="21"/>
                <w:szCs w:val="21"/>
                <w14:textFill>
                  <w14:solidFill>
                    <w14:schemeClr w14:val="tx1"/>
                  </w14:solidFill>
                </w14:textFill>
              </w:rPr>
              <w:t>29.7098</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居住区</w:t>
            </w:r>
          </w:p>
        </w:tc>
        <w:tc>
          <w:tcPr>
            <w:tcW w:w="0" w:type="auto"/>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约3000人</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二类</w:t>
            </w:r>
          </w:p>
        </w:tc>
        <w:tc>
          <w:tcPr>
            <w:tcW w:w="0" w:type="auto"/>
            <w:tcBorders>
              <w:top w:val="single" w:color="auto" w:sz="4" w:space="0"/>
              <w:left w:val="single" w:color="auto" w:sz="4" w:space="0"/>
              <w:bottom w:val="single" w:color="auto" w:sz="4" w:space="0"/>
              <w:right w:val="single" w:color="auto" w:sz="4" w:space="0"/>
            </w:tcBorders>
            <w:vAlign w:val="center"/>
          </w:tcPr>
          <w:p>
            <w:pPr>
              <w:pStyle w:val="111"/>
              <w:rPr>
                <w:color w:val="000000" w:themeColor="text1"/>
                <w:kern w:val="2"/>
                <w:sz w:val="21"/>
                <w:szCs w:val="21"/>
                <w:lang w:eastAsia="zh-CN"/>
                <w14:textFill>
                  <w14:solidFill>
                    <w14:schemeClr w14:val="tx1"/>
                  </w14:solidFill>
                </w14:textFill>
              </w:rPr>
            </w:pPr>
            <w:r>
              <w:rPr>
                <w:color w:val="000000" w:themeColor="text1"/>
                <w:kern w:val="2"/>
                <w:sz w:val="21"/>
                <w:szCs w:val="21"/>
                <w:lang w:eastAsia="zh-CN"/>
                <w14:textFill>
                  <w14:solidFill>
                    <w14:schemeClr w14:val="tx1"/>
                  </w14:solidFill>
                </w14:textFill>
              </w:rPr>
              <w:t>西北</w:t>
            </w:r>
          </w:p>
        </w:tc>
        <w:tc>
          <w:tcPr>
            <w:tcW w:w="0" w:type="auto"/>
            <w:tcBorders>
              <w:top w:val="single" w:color="auto" w:sz="4" w:space="0"/>
              <w:left w:val="single" w:color="auto" w:sz="4" w:space="0"/>
              <w:right w:val="single" w:color="auto" w:sz="4" w:space="0"/>
            </w:tcBorders>
            <w:vAlign w:val="center"/>
          </w:tcPr>
          <w:p>
            <w:pPr>
              <w:pStyle w:val="111"/>
              <w:rPr>
                <w:color w:val="000000" w:themeColor="text1"/>
                <w:kern w:val="2"/>
                <w:sz w:val="21"/>
                <w:szCs w:val="21"/>
                <w:lang w:eastAsia="zh-CN"/>
                <w14:textFill>
                  <w14:solidFill>
                    <w14:schemeClr w14:val="tx1"/>
                  </w14:solidFill>
                </w14:textFill>
              </w:rPr>
            </w:pPr>
            <w:r>
              <w:rPr>
                <w:rFonts w:hint="eastAsia"/>
                <w:color w:val="000000" w:themeColor="text1"/>
                <w:kern w:val="2"/>
                <w:sz w:val="21"/>
                <w:szCs w:val="21"/>
                <w:lang w:eastAsia="zh-CN"/>
                <w14:textFill>
                  <w14:solidFill>
                    <w14:schemeClr w14:val="tx1"/>
                  </w14:solidFill>
                </w14:textFill>
              </w:rPr>
              <w:t>200</w:t>
            </w:r>
          </w:p>
        </w:tc>
        <w:tc>
          <w:tcPr>
            <w:tcW w:w="0" w:type="auto"/>
            <w:tcBorders>
              <w:top w:val="single" w:color="auto" w:sz="4" w:space="0"/>
              <w:left w:val="single" w:color="auto" w:sz="4" w:space="0"/>
              <w:right w:val="single" w:color="auto" w:sz="4" w:space="0"/>
            </w:tcBorders>
            <w:vAlign w:val="center"/>
          </w:tcPr>
          <w:p>
            <w:pPr>
              <w:pStyle w:val="111"/>
              <w:rPr>
                <w:color w:val="000000" w:themeColor="text1"/>
                <w:kern w:val="2"/>
                <w:sz w:val="21"/>
                <w:szCs w:val="21"/>
                <w:lang w:eastAsia="zh-CN"/>
                <w14:textFill>
                  <w14:solidFill>
                    <w14:schemeClr w14:val="tx1"/>
                  </w14:solidFill>
                </w14:textFill>
              </w:rPr>
            </w:pPr>
            <w:r>
              <w:rPr>
                <w:rFonts w:hint="eastAsia"/>
                <w:color w:val="000000" w:themeColor="text1"/>
                <w:kern w:val="2"/>
                <w:sz w:val="21"/>
                <w:szCs w:val="21"/>
                <w:lang w:eastAsia="zh-CN"/>
                <w14:textFill>
                  <w14:solidFill>
                    <w14:schemeClr w14:val="tx1"/>
                  </w14:solidFill>
                </w14:textFill>
              </w:rPr>
              <w:t>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vAlign w:val="center"/>
          </w:tcPr>
          <w:p>
            <w:pPr>
              <w:pStyle w:val="122"/>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2</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龙桥小学</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rFonts w:ascii="宋体" w:hAnsi="宋体" w:cs="宋体"/>
                <w:color w:val="000000" w:themeColor="text1"/>
                <w:sz w:val="21"/>
                <w:szCs w:val="21"/>
                <w14:textFill>
                  <w14:solidFill>
                    <w14:schemeClr w14:val="tx1"/>
                  </w14:solidFill>
                </w14:textFill>
              </w:rPr>
            </w:pPr>
            <w:r>
              <w:rPr>
                <w:rFonts w:ascii="宋体" w:hAnsi="宋体" w:cs="宋体"/>
                <w:color w:val="000000" w:themeColor="text1"/>
                <w:sz w:val="21"/>
                <w:szCs w:val="21"/>
                <w14:textFill>
                  <w14:solidFill>
                    <w14:schemeClr w14:val="tx1"/>
                  </w14:solidFill>
                </w14:textFill>
              </w:rPr>
              <w:t>107.2920</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rFonts w:ascii="宋体" w:hAnsi="宋体" w:cs="宋体"/>
                <w:color w:val="000000" w:themeColor="text1"/>
                <w:sz w:val="21"/>
                <w:szCs w:val="21"/>
                <w14:textFill>
                  <w14:solidFill>
                    <w14:schemeClr w14:val="tx1"/>
                  </w14:solidFill>
                </w14:textFill>
              </w:rPr>
            </w:pPr>
            <w:r>
              <w:rPr>
                <w:rFonts w:ascii="宋体" w:hAnsi="宋体" w:cs="宋体"/>
                <w:color w:val="000000" w:themeColor="text1"/>
                <w:sz w:val="21"/>
                <w:szCs w:val="21"/>
                <w14:textFill>
                  <w14:solidFill>
                    <w14:schemeClr w14:val="tx1"/>
                  </w14:solidFill>
                </w14:textFill>
              </w:rPr>
              <w:t>29.7127</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学校</w:t>
            </w:r>
          </w:p>
        </w:tc>
        <w:tc>
          <w:tcPr>
            <w:tcW w:w="0" w:type="auto"/>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约</w:t>
            </w:r>
            <w:r>
              <w:rPr>
                <w:rFonts w:hint="eastAsia"/>
                <w:color w:val="000000" w:themeColor="text1"/>
                <w:sz w:val="21"/>
                <w:szCs w:val="21"/>
                <w14:textFill>
                  <w14:solidFill>
                    <w14:schemeClr w14:val="tx1"/>
                  </w14:solidFill>
                </w14:textFill>
              </w:rPr>
              <w:t>500人</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二类</w:t>
            </w:r>
          </w:p>
        </w:tc>
        <w:tc>
          <w:tcPr>
            <w:tcW w:w="0" w:type="auto"/>
            <w:tcBorders>
              <w:top w:val="single" w:color="auto" w:sz="4" w:space="0"/>
              <w:left w:val="single" w:color="auto" w:sz="4" w:space="0"/>
              <w:bottom w:val="single" w:color="auto" w:sz="4" w:space="0"/>
              <w:right w:val="single" w:color="auto" w:sz="4" w:space="0"/>
            </w:tcBorders>
            <w:vAlign w:val="center"/>
          </w:tcPr>
          <w:p>
            <w:pPr>
              <w:pStyle w:val="111"/>
              <w:rPr>
                <w:color w:val="000000" w:themeColor="text1"/>
                <w:kern w:val="2"/>
                <w:sz w:val="21"/>
                <w:szCs w:val="21"/>
                <w:lang w:eastAsia="zh-CN"/>
                <w14:textFill>
                  <w14:solidFill>
                    <w14:schemeClr w14:val="tx1"/>
                  </w14:solidFill>
                </w14:textFill>
              </w:rPr>
            </w:pPr>
            <w:r>
              <w:rPr>
                <w:color w:val="000000" w:themeColor="text1"/>
                <w:kern w:val="2"/>
                <w:sz w:val="21"/>
                <w:szCs w:val="21"/>
                <w:lang w:eastAsia="zh-CN"/>
                <w14:textFill>
                  <w14:solidFill>
                    <w14:schemeClr w14:val="tx1"/>
                  </w14:solidFill>
                </w14:textFill>
              </w:rPr>
              <w:t>西北</w:t>
            </w:r>
          </w:p>
        </w:tc>
        <w:tc>
          <w:tcPr>
            <w:tcW w:w="0" w:type="auto"/>
            <w:tcBorders>
              <w:left w:val="single" w:color="auto" w:sz="4" w:space="0"/>
              <w:bottom w:val="single" w:color="auto" w:sz="4" w:space="0"/>
              <w:right w:val="single" w:color="auto" w:sz="4" w:space="0"/>
            </w:tcBorders>
            <w:vAlign w:val="center"/>
          </w:tcPr>
          <w:p>
            <w:pPr>
              <w:pStyle w:val="111"/>
              <w:rPr>
                <w:color w:val="000000" w:themeColor="text1"/>
                <w:kern w:val="2"/>
                <w:sz w:val="21"/>
                <w:szCs w:val="21"/>
                <w:lang w:eastAsia="zh-CN"/>
                <w14:textFill>
                  <w14:solidFill>
                    <w14:schemeClr w14:val="tx1"/>
                  </w14:solidFill>
                </w14:textFill>
              </w:rPr>
            </w:pPr>
            <w:r>
              <w:rPr>
                <w:rFonts w:hint="eastAsia"/>
                <w:color w:val="000000" w:themeColor="text1"/>
                <w:kern w:val="2"/>
                <w:sz w:val="21"/>
                <w:szCs w:val="21"/>
                <w:lang w:eastAsia="zh-CN"/>
                <w14:textFill>
                  <w14:solidFill>
                    <w14:schemeClr w14:val="tx1"/>
                  </w14:solidFill>
                </w14:textFill>
              </w:rPr>
              <w:t>700</w:t>
            </w:r>
          </w:p>
        </w:tc>
        <w:tc>
          <w:tcPr>
            <w:tcW w:w="0" w:type="auto"/>
            <w:tcBorders>
              <w:left w:val="single" w:color="auto" w:sz="4" w:space="0"/>
              <w:bottom w:val="single" w:color="auto" w:sz="4" w:space="0"/>
              <w:right w:val="single" w:color="auto" w:sz="4" w:space="0"/>
            </w:tcBorders>
            <w:vAlign w:val="center"/>
          </w:tcPr>
          <w:p>
            <w:pPr>
              <w:pStyle w:val="111"/>
              <w:rPr>
                <w:color w:val="000000" w:themeColor="text1"/>
                <w:kern w:val="2"/>
                <w:sz w:val="21"/>
                <w:szCs w:val="21"/>
                <w:lang w:eastAsia="zh-CN"/>
                <w14:textFill>
                  <w14:solidFill>
                    <w14:schemeClr w14:val="tx1"/>
                  </w14:solidFill>
                </w14:textFill>
              </w:rPr>
            </w:pPr>
            <w:r>
              <w:rPr>
                <w:rFonts w:hint="eastAsia"/>
                <w:color w:val="000000" w:themeColor="text1"/>
                <w:kern w:val="2"/>
                <w:sz w:val="21"/>
                <w:szCs w:val="21"/>
                <w:lang w:eastAsia="zh-CN"/>
                <w14:textFill>
                  <w14:solidFill>
                    <w14:schemeClr w14:val="tx1"/>
                  </w14:solidFill>
                </w14:textFill>
              </w:rPr>
              <w:t>1180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vAlign w:val="center"/>
          </w:tcPr>
          <w:p>
            <w:pPr>
              <w:pStyle w:val="122"/>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3</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龙桥中学</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rFonts w:ascii="宋体" w:hAnsi="宋体" w:cs="宋体"/>
                <w:color w:val="000000" w:themeColor="text1"/>
                <w:sz w:val="21"/>
                <w:szCs w:val="21"/>
                <w14:textFill>
                  <w14:solidFill>
                    <w14:schemeClr w14:val="tx1"/>
                  </w14:solidFill>
                </w14:textFill>
              </w:rPr>
            </w:pPr>
            <w:r>
              <w:rPr>
                <w:rFonts w:ascii="宋体" w:hAnsi="宋体" w:cs="宋体"/>
                <w:color w:val="000000" w:themeColor="text1"/>
                <w:sz w:val="21"/>
                <w:szCs w:val="21"/>
                <w14:textFill>
                  <w14:solidFill>
                    <w14:schemeClr w14:val="tx1"/>
                  </w14:solidFill>
                </w14:textFill>
              </w:rPr>
              <w:t>107.2926</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rFonts w:ascii="宋体" w:hAnsi="宋体" w:cs="宋体"/>
                <w:color w:val="000000" w:themeColor="text1"/>
                <w:sz w:val="21"/>
                <w:szCs w:val="21"/>
                <w14:textFill>
                  <w14:solidFill>
                    <w14:schemeClr w14:val="tx1"/>
                  </w14:solidFill>
                </w14:textFill>
              </w:rPr>
            </w:pPr>
            <w:r>
              <w:rPr>
                <w:rFonts w:ascii="宋体" w:hAnsi="宋体" w:cs="宋体"/>
                <w:color w:val="000000" w:themeColor="text1"/>
                <w:sz w:val="21"/>
                <w:szCs w:val="21"/>
                <w14:textFill>
                  <w14:solidFill>
                    <w14:schemeClr w14:val="tx1"/>
                  </w14:solidFill>
                </w14:textFill>
              </w:rPr>
              <w:t>29.7138</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学校</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约</w:t>
            </w:r>
            <w:r>
              <w:rPr>
                <w:rFonts w:hint="eastAsia"/>
                <w:color w:val="000000" w:themeColor="text1"/>
                <w:sz w:val="21"/>
                <w:szCs w:val="21"/>
                <w14:textFill>
                  <w14:solidFill>
                    <w14:schemeClr w14:val="tx1"/>
                  </w14:solidFill>
                </w14:textFill>
              </w:rPr>
              <w:t>800人</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二类</w:t>
            </w:r>
          </w:p>
        </w:tc>
        <w:tc>
          <w:tcPr>
            <w:tcW w:w="0" w:type="auto"/>
            <w:tcBorders>
              <w:top w:val="single" w:color="auto" w:sz="4" w:space="0"/>
              <w:left w:val="single" w:color="auto" w:sz="4" w:space="0"/>
              <w:bottom w:val="single" w:color="auto" w:sz="4" w:space="0"/>
              <w:right w:val="single" w:color="auto" w:sz="4" w:space="0"/>
            </w:tcBorders>
            <w:vAlign w:val="center"/>
          </w:tcPr>
          <w:p>
            <w:pPr>
              <w:pStyle w:val="111"/>
              <w:rPr>
                <w:color w:val="000000" w:themeColor="text1"/>
                <w:kern w:val="2"/>
                <w:sz w:val="21"/>
                <w:szCs w:val="21"/>
                <w:lang w:eastAsia="zh-CN"/>
                <w14:textFill>
                  <w14:solidFill>
                    <w14:schemeClr w14:val="tx1"/>
                  </w14:solidFill>
                </w14:textFill>
              </w:rPr>
            </w:pPr>
            <w:r>
              <w:rPr>
                <w:color w:val="000000" w:themeColor="text1"/>
                <w:kern w:val="2"/>
                <w:sz w:val="21"/>
                <w:szCs w:val="21"/>
                <w:lang w:eastAsia="zh-CN"/>
                <w14:textFill>
                  <w14:solidFill>
                    <w14:schemeClr w14:val="tx1"/>
                  </w14:solidFill>
                </w14:textFill>
              </w:rPr>
              <w:t>西北</w:t>
            </w:r>
          </w:p>
        </w:tc>
        <w:tc>
          <w:tcPr>
            <w:tcW w:w="0" w:type="auto"/>
            <w:tcBorders>
              <w:top w:val="single" w:color="auto" w:sz="4" w:space="0"/>
              <w:left w:val="single" w:color="auto" w:sz="4" w:space="0"/>
              <w:bottom w:val="single" w:color="auto" w:sz="4" w:space="0"/>
              <w:right w:val="single" w:color="auto" w:sz="4" w:space="0"/>
            </w:tcBorders>
            <w:vAlign w:val="center"/>
          </w:tcPr>
          <w:p>
            <w:pPr>
              <w:pStyle w:val="111"/>
              <w:rPr>
                <w:color w:val="000000" w:themeColor="text1"/>
                <w:kern w:val="2"/>
                <w:sz w:val="21"/>
                <w:szCs w:val="21"/>
                <w:lang w:eastAsia="zh-CN"/>
                <w14:textFill>
                  <w14:solidFill>
                    <w14:schemeClr w14:val="tx1"/>
                  </w14:solidFill>
                </w14:textFill>
              </w:rPr>
            </w:pPr>
            <w:r>
              <w:rPr>
                <w:rFonts w:hint="eastAsia"/>
                <w:color w:val="000000" w:themeColor="text1"/>
                <w:kern w:val="2"/>
                <w:sz w:val="21"/>
                <w:szCs w:val="21"/>
                <w:lang w:eastAsia="zh-CN"/>
                <w14:textFill>
                  <w14:solidFill>
                    <w14:schemeClr w14:val="tx1"/>
                  </w14:solidFill>
                </w14:textFill>
              </w:rPr>
              <w:t>730</w:t>
            </w:r>
          </w:p>
        </w:tc>
        <w:tc>
          <w:tcPr>
            <w:tcW w:w="0" w:type="auto"/>
            <w:tcBorders>
              <w:top w:val="single" w:color="auto" w:sz="4" w:space="0"/>
              <w:left w:val="single" w:color="auto" w:sz="4" w:space="0"/>
              <w:bottom w:val="single" w:color="auto" w:sz="4" w:space="0"/>
              <w:right w:val="single" w:color="auto" w:sz="4" w:space="0"/>
            </w:tcBorders>
            <w:vAlign w:val="center"/>
          </w:tcPr>
          <w:p>
            <w:pPr>
              <w:pStyle w:val="111"/>
              <w:rPr>
                <w:color w:val="000000" w:themeColor="text1"/>
                <w:kern w:val="2"/>
                <w:sz w:val="21"/>
                <w:szCs w:val="21"/>
                <w:lang w:eastAsia="zh-CN"/>
                <w14:textFill>
                  <w14:solidFill>
                    <w14:schemeClr w14:val="tx1"/>
                  </w14:solidFill>
                </w14:textFill>
              </w:rPr>
            </w:pPr>
            <w:r>
              <w:rPr>
                <w:rFonts w:hint="eastAsia"/>
                <w:color w:val="000000" w:themeColor="text1"/>
                <w:kern w:val="2"/>
                <w:sz w:val="21"/>
                <w:szCs w:val="21"/>
                <w:lang w:eastAsia="zh-CN"/>
                <w14:textFill>
                  <w14:solidFill>
                    <w14:schemeClr w14:val="tx1"/>
                  </w14:solidFill>
                </w14:textFill>
              </w:rPr>
              <w:t>1190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vAlign w:val="center"/>
          </w:tcPr>
          <w:p>
            <w:pPr>
              <w:pStyle w:val="122"/>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4</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南岸浦社区居民区</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rFonts w:ascii="宋体" w:hAnsi="宋体" w:cs="宋体"/>
                <w:color w:val="000000" w:themeColor="text1"/>
                <w:sz w:val="21"/>
                <w:szCs w:val="21"/>
                <w14:textFill>
                  <w14:solidFill>
                    <w14:schemeClr w14:val="tx1"/>
                  </w14:solidFill>
                </w14:textFill>
              </w:rPr>
            </w:pPr>
            <w:r>
              <w:rPr>
                <w:rFonts w:ascii="宋体" w:hAnsi="宋体" w:cs="宋体"/>
                <w:color w:val="000000" w:themeColor="text1"/>
                <w:sz w:val="21"/>
                <w:szCs w:val="21"/>
                <w14:textFill>
                  <w14:solidFill>
                    <w14:schemeClr w14:val="tx1"/>
                  </w14:solidFill>
                </w14:textFill>
              </w:rPr>
              <w:t>107.2947</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rFonts w:ascii="宋体" w:hAnsi="宋体" w:cs="宋体"/>
                <w:color w:val="000000" w:themeColor="text1"/>
                <w:sz w:val="21"/>
                <w:szCs w:val="21"/>
                <w14:textFill>
                  <w14:solidFill>
                    <w14:schemeClr w14:val="tx1"/>
                  </w14:solidFill>
                </w14:textFill>
              </w:rPr>
            </w:pPr>
            <w:r>
              <w:rPr>
                <w:rFonts w:ascii="宋体" w:hAnsi="宋体" w:cs="宋体"/>
                <w:color w:val="000000" w:themeColor="text1"/>
                <w:sz w:val="21"/>
                <w:szCs w:val="21"/>
                <w14:textFill>
                  <w14:solidFill>
                    <w14:schemeClr w14:val="tx1"/>
                  </w14:solidFill>
                </w14:textFill>
              </w:rPr>
              <w:t>29.7181</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居住区</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约</w:t>
            </w:r>
            <w:r>
              <w:rPr>
                <w:rFonts w:hint="eastAsia"/>
                <w:color w:val="000000" w:themeColor="text1"/>
                <w:sz w:val="21"/>
                <w:szCs w:val="21"/>
                <w14:textFill>
                  <w14:solidFill>
                    <w14:schemeClr w14:val="tx1"/>
                  </w14:solidFill>
                </w14:textFill>
              </w:rPr>
              <w:t>3000人</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二类</w:t>
            </w:r>
          </w:p>
        </w:tc>
        <w:tc>
          <w:tcPr>
            <w:tcW w:w="0" w:type="auto"/>
            <w:tcBorders>
              <w:top w:val="single" w:color="auto" w:sz="4" w:space="0"/>
              <w:left w:val="single" w:color="auto" w:sz="4" w:space="0"/>
              <w:bottom w:val="single" w:color="auto" w:sz="4" w:space="0"/>
              <w:right w:val="single" w:color="auto" w:sz="4" w:space="0"/>
            </w:tcBorders>
            <w:vAlign w:val="center"/>
          </w:tcPr>
          <w:p>
            <w:pPr>
              <w:pStyle w:val="111"/>
              <w:rPr>
                <w:color w:val="000000" w:themeColor="text1"/>
                <w:kern w:val="2"/>
                <w:sz w:val="21"/>
                <w:szCs w:val="21"/>
                <w:lang w:eastAsia="zh-CN"/>
                <w14:textFill>
                  <w14:solidFill>
                    <w14:schemeClr w14:val="tx1"/>
                  </w14:solidFill>
                </w14:textFill>
              </w:rPr>
            </w:pPr>
            <w:r>
              <w:rPr>
                <w:color w:val="000000" w:themeColor="text1"/>
                <w:kern w:val="2"/>
                <w:sz w:val="21"/>
                <w:szCs w:val="21"/>
                <w:lang w:eastAsia="zh-CN"/>
                <w14:textFill>
                  <w14:solidFill>
                    <w14:schemeClr w14:val="tx1"/>
                  </w14:solidFill>
                </w14:textFill>
              </w:rPr>
              <w:t>西北</w:t>
            </w:r>
          </w:p>
        </w:tc>
        <w:tc>
          <w:tcPr>
            <w:tcW w:w="0" w:type="auto"/>
            <w:tcBorders>
              <w:top w:val="single" w:color="auto" w:sz="4" w:space="0"/>
              <w:left w:val="single" w:color="auto" w:sz="4" w:space="0"/>
              <w:bottom w:val="single" w:color="auto" w:sz="4" w:space="0"/>
              <w:right w:val="single" w:color="auto" w:sz="4" w:space="0"/>
            </w:tcBorders>
            <w:vAlign w:val="center"/>
          </w:tcPr>
          <w:p>
            <w:pPr>
              <w:pStyle w:val="111"/>
              <w:rPr>
                <w:color w:val="000000" w:themeColor="text1"/>
                <w:kern w:val="2"/>
                <w:sz w:val="21"/>
                <w:szCs w:val="21"/>
                <w:lang w:eastAsia="zh-CN"/>
                <w14:textFill>
                  <w14:solidFill>
                    <w14:schemeClr w14:val="tx1"/>
                  </w14:solidFill>
                </w14:textFill>
              </w:rPr>
            </w:pPr>
            <w:r>
              <w:rPr>
                <w:rFonts w:hint="eastAsia"/>
                <w:color w:val="000000" w:themeColor="text1"/>
                <w:kern w:val="2"/>
                <w:sz w:val="21"/>
                <w:szCs w:val="21"/>
                <w:lang w:eastAsia="zh-CN"/>
                <w14:textFill>
                  <w14:solidFill>
                    <w14:schemeClr w14:val="tx1"/>
                  </w14:solidFill>
                </w14:textFill>
              </w:rPr>
              <w:t>970</w:t>
            </w:r>
          </w:p>
        </w:tc>
        <w:tc>
          <w:tcPr>
            <w:tcW w:w="0" w:type="auto"/>
            <w:tcBorders>
              <w:top w:val="single" w:color="auto" w:sz="4" w:space="0"/>
              <w:left w:val="single" w:color="auto" w:sz="4" w:space="0"/>
              <w:bottom w:val="single" w:color="auto" w:sz="4" w:space="0"/>
              <w:right w:val="single" w:color="auto" w:sz="4" w:space="0"/>
            </w:tcBorders>
            <w:vAlign w:val="center"/>
          </w:tcPr>
          <w:p>
            <w:pPr>
              <w:pStyle w:val="111"/>
              <w:rPr>
                <w:color w:val="000000" w:themeColor="text1"/>
                <w:kern w:val="2"/>
                <w:sz w:val="21"/>
                <w:szCs w:val="21"/>
                <w:lang w:eastAsia="zh-CN"/>
                <w14:textFill>
                  <w14:solidFill>
                    <w14:schemeClr w14:val="tx1"/>
                  </w14:solidFill>
                </w14:textFill>
              </w:rPr>
            </w:pPr>
            <w:r>
              <w:rPr>
                <w:rFonts w:hint="eastAsia"/>
                <w:color w:val="000000" w:themeColor="text1"/>
                <w:kern w:val="2"/>
                <w:sz w:val="21"/>
                <w:szCs w:val="21"/>
                <w:lang w:eastAsia="zh-CN"/>
                <w14:textFill>
                  <w14:solidFill>
                    <w14:schemeClr w14:val="tx1"/>
                  </w14:solidFill>
                </w14:textFill>
              </w:rPr>
              <w:t>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vAlign w:val="center"/>
          </w:tcPr>
          <w:p>
            <w:pPr>
              <w:pStyle w:val="122"/>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5</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容桂社区居民区</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rFonts w:ascii="宋体" w:hAnsi="宋体" w:cs="宋体"/>
                <w:color w:val="000000" w:themeColor="text1"/>
                <w:sz w:val="21"/>
                <w:szCs w:val="21"/>
                <w14:textFill>
                  <w14:solidFill>
                    <w14:schemeClr w14:val="tx1"/>
                  </w14:solidFill>
                </w14:textFill>
              </w:rPr>
            </w:pPr>
            <w:r>
              <w:rPr>
                <w:rFonts w:ascii="宋体" w:hAnsi="宋体" w:cs="宋体"/>
                <w:color w:val="000000" w:themeColor="text1"/>
                <w:sz w:val="21"/>
                <w:szCs w:val="21"/>
                <w14:textFill>
                  <w14:solidFill>
                    <w14:schemeClr w14:val="tx1"/>
                  </w14:solidFill>
                </w14:textFill>
              </w:rPr>
              <w:t>107.3133</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rFonts w:ascii="宋体" w:hAnsi="宋体" w:cs="宋体"/>
                <w:color w:val="000000" w:themeColor="text1"/>
                <w:sz w:val="21"/>
                <w:szCs w:val="21"/>
                <w14:textFill>
                  <w14:solidFill>
                    <w14:schemeClr w14:val="tx1"/>
                  </w14:solidFill>
                </w14:textFill>
              </w:rPr>
            </w:pPr>
            <w:r>
              <w:rPr>
                <w:rFonts w:ascii="宋体" w:hAnsi="宋体" w:cs="宋体"/>
                <w:color w:val="000000" w:themeColor="text1"/>
                <w:sz w:val="21"/>
                <w:szCs w:val="21"/>
                <w14:textFill>
                  <w14:solidFill>
                    <w14:schemeClr w14:val="tx1"/>
                  </w14:solidFill>
                </w14:textFill>
              </w:rPr>
              <w:t>29.7025</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居住区</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约</w:t>
            </w:r>
            <w:r>
              <w:rPr>
                <w:rFonts w:hint="eastAsia"/>
                <w:color w:val="000000" w:themeColor="text1"/>
                <w:sz w:val="21"/>
                <w:szCs w:val="21"/>
                <w14:textFill>
                  <w14:solidFill>
                    <w14:schemeClr w14:val="tx1"/>
                  </w14:solidFill>
                </w14:textFill>
              </w:rPr>
              <w:t>500人</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二类</w:t>
            </w:r>
          </w:p>
        </w:tc>
        <w:tc>
          <w:tcPr>
            <w:tcW w:w="0" w:type="auto"/>
            <w:tcBorders>
              <w:top w:val="single" w:color="auto" w:sz="4" w:space="0"/>
              <w:left w:val="single" w:color="auto" w:sz="4" w:space="0"/>
              <w:bottom w:val="single" w:color="auto" w:sz="4" w:space="0"/>
              <w:right w:val="single" w:color="auto" w:sz="4" w:space="0"/>
            </w:tcBorders>
            <w:vAlign w:val="center"/>
          </w:tcPr>
          <w:p>
            <w:pPr>
              <w:pStyle w:val="111"/>
              <w:rPr>
                <w:color w:val="000000" w:themeColor="text1"/>
                <w:kern w:val="2"/>
                <w:sz w:val="21"/>
                <w:szCs w:val="21"/>
                <w:lang w:eastAsia="zh-CN"/>
                <w14:textFill>
                  <w14:solidFill>
                    <w14:schemeClr w14:val="tx1"/>
                  </w14:solidFill>
                </w14:textFill>
              </w:rPr>
            </w:pPr>
            <w:r>
              <w:rPr>
                <w:color w:val="000000" w:themeColor="text1"/>
                <w:kern w:val="2"/>
                <w:sz w:val="21"/>
                <w:szCs w:val="21"/>
                <w:lang w:eastAsia="zh-CN"/>
                <w14:textFill>
                  <w14:solidFill>
                    <w14:schemeClr w14:val="tx1"/>
                  </w14:solidFill>
                </w14:textFill>
              </w:rPr>
              <w:t>东南</w:t>
            </w:r>
          </w:p>
        </w:tc>
        <w:tc>
          <w:tcPr>
            <w:tcW w:w="0" w:type="auto"/>
            <w:tcBorders>
              <w:top w:val="single" w:color="auto" w:sz="4" w:space="0"/>
              <w:left w:val="single" w:color="auto" w:sz="4" w:space="0"/>
              <w:bottom w:val="single" w:color="auto" w:sz="4" w:space="0"/>
              <w:right w:val="single" w:color="auto" w:sz="4" w:space="0"/>
            </w:tcBorders>
            <w:vAlign w:val="center"/>
          </w:tcPr>
          <w:p>
            <w:pPr>
              <w:pStyle w:val="111"/>
              <w:rPr>
                <w:color w:val="000000" w:themeColor="text1"/>
                <w:kern w:val="2"/>
                <w:sz w:val="21"/>
                <w:szCs w:val="21"/>
                <w:lang w:eastAsia="zh-CN"/>
                <w14:textFill>
                  <w14:solidFill>
                    <w14:schemeClr w14:val="tx1"/>
                  </w14:solidFill>
                </w14:textFill>
              </w:rPr>
            </w:pPr>
            <w:r>
              <w:rPr>
                <w:rFonts w:hint="eastAsia"/>
                <w:color w:val="000000" w:themeColor="text1"/>
                <w:kern w:val="2"/>
                <w:sz w:val="21"/>
                <w:szCs w:val="21"/>
                <w:lang w:eastAsia="zh-CN"/>
                <w14:textFill>
                  <w14:solidFill>
                    <w14:schemeClr w14:val="tx1"/>
                  </w14:solidFill>
                </w14:textFill>
              </w:rPr>
              <w:t>640</w:t>
            </w:r>
          </w:p>
        </w:tc>
        <w:tc>
          <w:tcPr>
            <w:tcW w:w="0" w:type="auto"/>
            <w:tcBorders>
              <w:top w:val="single" w:color="auto" w:sz="4" w:space="0"/>
              <w:left w:val="single" w:color="auto" w:sz="4" w:space="0"/>
              <w:bottom w:val="single" w:color="auto" w:sz="4" w:space="0"/>
              <w:right w:val="single" w:color="auto" w:sz="4" w:space="0"/>
            </w:tcBorders>
            <w:vAlign w:val="center"/>
          </w:tcPr>
          <w:p>
            <w:pPr>
              <w:pStyle w:val="111"/>
              <w:rPr>
                <w:color w:val="000000" w:themeColor="text1"/>
                <w:kern w:val="2"/>
                <w:sz w:val="21"/>
                <w:szCs w:val="21"/>
                <w:lang w:eastAsia="zh-CN"/>
                <w14:textFill>
                  <w14:solidFill>
                    <w14:schemeClr w14:val="tx1"/>
                  </w14:solidFill>
                </w14:textFill>
              </w:rPr>
            </w:pPr>
            <w:r>
              <w:rPr>
                <w:rFonts w:hint="eastAsia"/>
                <w:color w:val="000000" w:themeColor="text1"/>
                <w:kern w:val="2"/>
                <w:sz w:val="21"/>
                <w:szCs w:val="21"/>
                <w:lang w:eastAsia="zh-CN"/>
                <w14:textFill>
                  <w14:solidFill>
                    <w14:schemeClr w14:val="tx1"/>
                  </w14:solidFill>
                </w14:textFill>
              </w:rPr>
              <w:t>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vAlign w:val="center"/>
          </w:tcPr>
          <w:p>
            <w:pPr>
              <w:pStyle w:val="122"/>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6</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沙溪社区居民区</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rFonts w:ascii="宋体" w:hAnsi="宋体" w:cs="宋体"/>
                <w:color w:val="000000" w:themeColor="text1"/>
                <w:sz w:val="21"/>
                <w:szCs w:val="21"/>
                <w14:textFill>
                  <w14:solidFill>
                    <w14:schemeClr w14:val="tx1"/>
                  </w14:solidFill>
                </w14:textFill>
              </w:rPr>
            </w:pPr>
            <w:r>
              <w:rPr>
                <w:rFonts w:ascii="宋体" w:hAnsi="宋体" w:cs="宋体"/>
                <w:color w:val="000000" w:themeColor="text1"/>
                <w:sz w:val="21"/>
                <w:szCs w:val="21"/>
                <w14:textFill>
                  <w14:solidFill>
                    <w14:schemeClr w14:val="tx1"/>
                  </w14:solidFill>
                </w14:textFill>
              </w:rPr>
              <w:t>107.3256</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rFonts w:ascii="宋体" w:hAnsi="宋体" w:cs="宋体"/>
                <w:color w:val="000000" w:themeColor="text1"/>
                <w:sz w:val="21"/>
                <w:szCs w:val="21"/>
                <w14:textFill>
                  <w14:solidFill>
                    <w14:schemeClr w14:val="tx1"/>
                  </w14:solidFill>
                </w14:textFill>
              </w:rPr>
            </w:pPr>
            <w:r>
              <w:rPr>
                <w:rFonts w:ascii="宋体" w:hAnsi="宋体" w:cs="宋体"/>
                <w:color w:val="000000" w:themeColor="text1"/>
                <w:sz w:val="21"/>
                <w:szCs w:val="21"/>
                <w14:textFill>
                  <w14:solidFill>
                    <w14:schemeClr w14:val="tx1"/>
                  </w14:solidFill>
                </w14:textFill>
              </w:rPr>
              <w:t>29.71196</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居住区</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约</w:t>
            </w:r>
            <w:r>
              <w:rPr>
                <w:rFonts w:hint="eastAsia"/>
                <w:color w:val="000000" w:themeColor="text1"/>
                <w:sz w:val="21"/>
                <w:szCs w:val="21"/>
                <w14:textFill>
                  <w14:solidFill>
                    <w14:schemeClr w14:val="tx1"/>
                  </w14:solidFill>
                </w14:textFill>
              </w:rPr>
              <w:t>3000人</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二类</w:t>
            </w:r>
          </w:p>
        </w:tc>
        <w:tc>
          <w:tcPr>
            <w:tcW w:w="0" w:type="auto"/>
            <w:tcBorders>
              <w:top w:val="single" w:color="auto" w:sz="4" w:space="0"/>
              <w:left w:val="single" w:color="auto" w:sz="4" w:space="0"/>
              <w:bottom w:val="single" w:color="auto" w:sz="4" w:space="0"/>
              <w:right w:val="single" w:color="auto" w:sz="4" w:space="0"/>
            </w:tcBorders>
            <w:vAlign w:val="center"/>
          </w:tcPr>
          <w:p>
            <w:pPr>
              <w:pStyle w:val="111"/>
              <w:rPr>
                <w:color w:val="000000" w:themeColor="text1"/>
                <w:kern w:val="2"/>
                <w:sz w:val="21"/>
                <w:szCs w:val="21"/>
                <w:lang w:eastAsia="zh-CN"/>
                <w14:textFill>
                  <w14:solidFill>
                    <w14:schemeClr w14:val="tx1"/>
                  </w14:solidFill>
                </w14:textFill>
              </w:rPr>
            </w:pPr>
            <w:r>
              <w:rPr>
                <w:color w:val="000000" w:themeColor="text1"/>
                <w:kern w:val="2"/>
                <w:sz w:val="21"/>
                <w:szCs w:val="21"/>
                <w:lang w:eastAsia="zh-CN"/>
                <w14:textFill>
                  <w14:solidFill>
                    <w14:schemeClr w14:val="tx1"/>
                  </w14:solidFill>
                </w14:textFill>
              </w:rPr>
              <w:t>东北</w:t>
            </w:r>
          </w:p>
        </w:tc>
        <w:tc>
          <w:tcPr>
            <w:tcW w:w="0" w:type="auto"/>
            <w:tcBorders>
              <w:top w:val="single" w:color="auto" w:sz="4" w:space="0"/>
              <w:left w:val="single" w:color="auto" w:sz="4" w:space="0"/>
              <w:bottom w:val="single" w:color="auto" w:sz="4" w:space="0"/>
              <w:right w:val="single" w:color="auto" w:sz="4" w:space="0"/>
            </w:tcBorders>
            <w:vAlign w:val="center"/>
          </w:tcPr>
          <w:p>
            <w:pPr>
              <w:pStyle w:val="111"/>
              <w:rPr>
                <w:color w:val="000000" w:themeColor="text1"/>
                <w:kern w:val="2"/>
                <w:sz w:val="21"/>
                <w:szCs w:val="21"/>
                <w:lang w:eastAsia="zh-CN"/>
                <w14:textFill>
                  <w14:solidFill>
                    <w14:schemeClr w14:val="tx1"/>
                  </w14:solidFill>
                </w14:textFill>
              </w:rPr>
            </w:pPr>
            <w:r>
              <w:rPr>
                <w:rFonts w:hint="eastAsia"/>
                <w:color w:val="000000" w:themeColor="text1"/>
                <w:kern w:val="2"/>
                <w:sz w:val="21"/>
                <w:szCs w:val="21"/>
                <w:lang w:eastAsia="zh-CN"/>
                <w14:textFill>
                  <w14:solidFill>
                    <w14:schemeClr w14:val="tx1"/>
                  </w14:solidFill>
                </w14:textFill>
              </w:rPr>
              <w:t>1795</w:t>
            </w:r>
          </w:p>
        </w:tc>
        <w:tc>
          <w:tcPr>
            <w:tcW w:w="0" w:type="auto"/>
            <w:tcBorders>
              <w:top w:val="single" w:color="auto" w:sz="4" w:space="0"/>
              <w:left w:val="single" w:color="auto" w:sz="4" w:space="0"/>
              <w:bottom w:val="single" w:color="auto" w:sz="4" w:space="0"/>
              <w:right w:val="single" w:color="auto" w:sz="4" w:space="0"/>
            </w:tcBorders>
            <w:vAlign w:val="center"/>
          </w:tcPr>
          <w:p>
            <w:pPr>
              <w:pStyle w:val="111"/>
              <w:rPr>
                <w:color w:val="000000" w:themeColor="text1"/>
                <w:kern w:val="2"/>
                <w:sz w:val="21"/>
                <w:szCs w:val="21"/>
                <w:lang w:eastAsia="zh-CN"/>
                <w14:textFill>
                  <w14:solidFill>
                    <w14:schemeClr w14:val="tx1"/>
                  </w14:solidFill>
                </w14:textFill>
              </w:rPr>
            </w:pPr>
            <w:r>
              <w:rPr>
                <w:rFonts w:hint="eastAsia"/>
                <w:color w:val="000000" w:themeColor="text1"/>
                <w:kern w:val="2"/>
                <w:sz w:val="21"/>
                <w:szCs w:val="21"/>
                <w:lang w:eastAsia="zh-CN"/>
                <w14:textFill>
                  <w14:solidFill>
                    <w14:schemeClr w14:val="tx1"/>
                  </w14:solidFill>
                </w14:textFill>
              </w:rPr>
              <w:t>2065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vAlign w:val="center"/>
          </w:tcPr>
          <w:p>
            <w:pPr>
              <w:pStyle w:val="122"/>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7</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涪陵高级中学</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rFonts w:ascii="宋体" w:hAnsi="宋体" w:cs="宋体"/>
                <w:color w:val="000000" w:themeColor="text1"/>
                <w:sz w:val="21"/>
                <w:szCs w:val="21"/>
                <w14:textFill>
                  <w14:solidFill>
                    <w14:schemeClr w14:val="tx1"/>
                  </w14:solidFill>
                </w14:textFill>
              </w:rPr>
            </w:pPr>
            <w:r>
              <w:rPr>
                <w:rFonts w:ascii="宋体" w:hAnsi="宋体" w:cs="宋体"/>
                <w:color w:val="000000" w:themeColor="text1"/>
                <w:sz w:val="21"/>
                <w:szCs w:val="21"/>
                <w14:textFill>
                  <w14:solidFill>
                    <w14:schemeClr w14:val="tx1"/>
                  </w14:solidFill>
                </w14:textFill>
              </w:rPr>
              <w:t>107.2895</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rFonts w:ascii="宋体" w:hAnsi="宋体" w:cs="宋体"/>
                <w:color w:val="000000" w:themeColor="text1"/>
                <w:sz w:val="21"/>
                <w:szCs w:val="21"/>
                <w14:textFill>
                  <w14:solidFill>
                    <w14:schemeClr w14:val="tx1"/>
                  </w14:solidFill>
                </w14:textFill>
              </w:rPr>
            </w:pPr>
            <w:r>
              <w:rPr>
                <w:rFonts w:ascii="宋体" w:hAnsi="宋体" w:cs="宋体"/>
                <w:color w:val="000000" w:themeColor="text1"/>
                <w:sz w:val="21"/>
                <w:szCs w:val="21"/>
                <w14:textFill>
                  <w14:solidFill>
                    <w14:schemeClr w14:val="tx1"/>
                  </w14:solidFill>
                </w14:textFill>
              </w:rPr>
              <w:t>29.7335</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居住区</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约</w:t>
            </w:r>
            <w:r>
              <w:rPr>
                <w:rFonts w:hint="eastAsia"/>
                <w:color w:val="000000" w:themeColor="text1"/>
                <w:sz w:val="21"/>
                <w:szCs w:val="21"/>
                <w14:textFill>
                  <w14:solidFill>
                    <w14:schemeClr w14:val="tx1"/>
                  </w14:solidFill>
                </w14:textFill>
              </w:rPr>
              <w:t>1000人</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二类</w:t>
            </w:r>
          </w:p>
        </w:tc>
        <w:tc>
          <w:tcPr>
            <w:tcW w:w="0" w:type="auto"/>
            <w:tcBorders>
              <w:top w:val="single" w:color="auto" w:sz="4" w:space="0"/>
              <w:left w:val="single" w:color="auto" w:sz="4" w:space="0"/>
              <w:bottom w:val="single" w:color="auto" w:sz="4" w:space="0"/>
              <w:right w:val="single" w:color="auto" w:sz="4" w:space="0"/>
            </w:tcBorders>
            <w:vAlign w:val="center"/>
          </w:tcPr>
          <w:p>
            <w:pPr>
              <w:pStyle w:val="111"/>
              <w:rPr>
                <w:color w:val="000000" w:themeColor="text1"/>
                <w:kern w:val="2"/>
                <w:sz w:val="21"/>
                <w:szCs w:val="21"/>
                <w:lang w:eastAsia="zh-CN"/>
                <w14:textFill>
                  <w14:solidFill>
                    <w14:schemeClr w14:val="tx1"/>
                  </w14:solidFill>
                </w14:textFill>
              </w:rPr>
            </w:pPr>
            <w:r>
              <w:rPr>
                <w:color w:val="000000" w:themeColor="text1"/>
                <w:kern w:val="2"/>
                <w:sz w:val="21"/>
                <w:szCs w:val="21"/>
                <w:lang w:eastAsia="zh-CN"/>
                <w14:textFill>
                  <w14:solidFill>
                    <w14:schemeClr w14:val="tx1"/>
                  </w14:solidFill>
                </w14:textFill>
              </w:rPr>
              <w:t>西北</w:t>
            </w:r>
          </w:p>
        </w:tc>
        <w:tc>
          <w:tcPr>
            <w:tcW w:w="0" w:type="auto"/>
            <w:tcBorders>
              <w:top w:val="single" w:color="auto" w:sz="4" w:space="0"/>
              <w:left w:val="single" w:color="auto" w:sz="4" w:space="0"/>
              <w:bottom w:val="single" w:color="auto" w:sz="4" w:space="0"/>
              <w:right w:val="single" w:color="auto" w:sz="4" w:space="0"/>
            </w:tcBorders>
            <w:vAlign w:val="center"/>
          </w:tcPr>
          <w:p>
            <w:pPr>
              <w:pStyle w:val="111"/>
              <w:rPr>
                <w:color w:val="000000" w:themeColor="text1"/>
                <w:kern w:val="2"/>
                <w:sz w:val="21"/>
                <w:szCs w:val="21"/>
                <w:lang w:eastAsia="zh-CN"/>
                <w14:textFill>
                  <w14:solidFill>
                    <w14:schemeClr w14:val="tx1"/>
                  </w14:solidFill>
                </w14:textFill>
              </w:rPr>
            </w:pPr>
            <w:r>
              <w:rPr>
                <w:rFonts w:hint="eastAsia"/>
                <w:color w:val="000000" w:themeColor="text1"/>
                <w:kern w:val="2"/>
                <w:sz w:val="21"/>
                <w:szCs w:val="21"/>
                <w:lang w:eastAsia="zh-CN"/>
                <w14:textFill>
                  <w14:solidFill>
                    <w14:schemeClr w14:val="tx1"/>
                  </w14:solidFill>
                </w14:textFill>
              </w:rPr>
              <w:t>2745</w:t>
            </w:r>
          </w:p>
        </w:tc>
        <w:tc>
          <w:tcPr>
            <w:tcW w:w="0" w:type="auto"/>
            <w:tcBorders>
              <w:top w:val="single" w:color="auto" w:sz="4" w:space="0"/>
              <w:left w:val="single" w:color="auto" w:sz="4" w:space="0"/>
              <w:bottom w:val="single" w:color="auto" w:sz="4" w:space="0"/>
              <w:right w:val="single" w:color="auto" w:sz="4" w:space="0"/>
            </w:tcBorders>
            <w:vAlign w:val="center"/>
          </w:tcPr>
          <w:p>
            <w:pPr>
              <w:pStyle w:val="111"/>
              <w:rPr>
                <w:color w:val="000000" w:themeColor="text1"/>
                <w:kern w:val="2"/>
                <w:sz w:val="21"/>
                <w:szCs w:val="21"/>
                <w:lang w:eastAsia="zh-CN"/>
                <w14:textFill>
                  <w14:solidFill>
                    <w14:schemeClr w14:val="tx1"/>
                  </w14:solidFill>
                </w14:textFill>
              </w:rPr>
            </w:pPr>
            <w:r>
              <w:rPr>
                <w:rFonts w:hint="eastAsia"/>
                <w:color w:val="000000" w:themeColor="text1"/>
                <w:kern w:val="2"/>
                <w:sz w:val="21"/>
                <w:szCs w:val="21"/>
                <w:lang w:eastAsia="zh-CN"/>
                <w14:textFill>
                  <w14:solidFill>
                    <w14:schemeClr w14:val="tx1"/>
                  </w14:solidFill>
                </w14:textFill>
              </w:rPr>
              <w:t>3050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vAlign w:val="center"/>
          </w:tcPr>
          <w:p>
            <w:pPr>
              <w:pStyle w:val="122"/>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8</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恒大山水城居民小区</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rFonts w:ascii="宋体" w:hAnsi="宋体" w:cs="宋体"/>
                <w:color w:val="000000" w:themeColor="text1"/>
                <w:sz w:val="21"/>
                <w:szCs w:val="21"/>
                <w14:textFill>
                  <w14:solidFill>
                    <w14:schemeClr w14:val="tx1"/>
                  </w14:solidFill>
                </w14:textFill>
              </w:rPr>
            </w:pPr>
            <w:r>
              <w:rPr>
                <w:rFonts w:ascii="宋体" w:hAnsi="宋体" w:cs="宋体"/>
                <w:color w:val="000000" w:themeColor="text1"/>
                <w:sz w:val="21"/>
                <w:szCs w:val="21"/>
                <w14:textFill>
                  <w14:solidFill>
                    <w14:schemeClr w14:val="tx1"/>
                  </w14:solidFill>
                </w14:textFill>
              </w:rPr>
              <w:t>107.2710</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rFonts w:ascii="宋体" w:hAnsi="宋体" w:cs="宋体"/>
                <w:color w:val="000000" w:themeColor="text1"/>
                <w:sz w:val="21"/>
                <w:szCs w:val="21"/>
                <w14:textFill>
                  <w14:solidFill>
                    <w14:schemeClr w14:val="tx1"/>
                  </w14:solidFill>
                </w14:textFill>
              </w:rPr>
            </w:pPr>
            <w:r>
              <w:rPr>
                <w:rFonts w:ascii="宋体" w:hAnsi="宋体" w:cs="宋体"/>
                <w:color w:val="000000" w:themeColor="text1"/>
                <w:sz w:val="21"/>
                <w:szCs w:val="21"/>
                <w14:textFill>
                  <w14:solidFill>
                    <w14:schemeClr w14:val="tx1"/>
                  </w14:solidFill>
                </w14:textFill>
              </w:rPr>
              <w:t>29.7263</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居住区</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约</w:t>
            </w:r>
            <w:r>
              <w:rPr>
                <w:rFonts w:hint="eastAsia"/>
                <w:color w:val="000000" w:themeColor="text1"/>
                <w:sz w:val="21"/>
                <w:szCs w:val="21"/>
                <w14:textFill>
                  <w14:solidFill>
                    <w14:schemeClr w14:val="tx1"/>
                  </w14:solidFill>
                </w14:textFill>
              </w:rPr>
              <w:t>1000人</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二类</w:t>
            </w:r>
          </w:p>
        </w:tc>
        <w:tc>
          <w:tcPr>
            <w:tcW w:w="0" w:type="auto"/>
            <w:tcBorders>
              <w:top w:val="single" w:color="auto" w:sz="4" w:space="0"/>
              <w:left w:val="single" w:color="auto" w:sz="4" w:space="0"/>
              <w:bottom w:val="single" w:color="auto" w:sz="4" w:space="0"/>
              <w:right w:val="single" w:color="auto" w:sz="4" w:space="0"/>
            </w:tcBorders>
            <w:vAlign w:val="center"/>
          </w:tcPr>
          <w:p>
            <w:pPr>
              <w:pStyle w:val="111"/>
              <w:rPr>
                <w:color w:val="000000" w:themeColor="text1"/>
                <w:kern w:val="2"/>
                <w:sz w:val="21"/>
                <w:szCs w:val="21"/>
                <w:lang w:eastAsia="zh-CN"/>
                <w14:textFill>
                  <w14:solidFill>
                    <w14:schemeClr w14:val="tx1"/>
                  </w14:solidFill>
                </w14:textFill>
              </w:rPr>
            </w:pPr>
            <w:r>
              <w:rPr>
                <w:color w:val="000000" w:themeColor="text1"/>
                <w:kern w:val="2"/>
                <w:sz w:val="21"/>
                <w:szCs w:val="21"/>
                <w:lang w:eastAsia="zh-CN"/>
                <w14:textFill>
                  <w14:solidFill>
                    <w14:schemeClr w14:val="tx1"/>
                  </w14:solidFill>
                </w14:textFill>
              </w:rPr>
              <w:t>西北</w:t>
            </w:r>
          </w:p>
        </w:tc>
        <w:tc>
          <w:tcPr>
            <w:tcW w:w="0" w:type="auto"/>
            <w:tcBorders>
              <w:top w:val="single" w:color="auto" w:sz="4" w:space="0"/>
              <w:left w:val="single" w:color="auto" w:sz="4" w:space="0"/>
              <w:bottom w:val="single" w:color="auto" w:sz="4" w:space="0"/>
              <w:right w:val="single" w:color="auto" w:sz="4" w:space="0"/>
            </w:tcBorders>
            <w:vAlign w:val="center"/>
          </w:tcPr>
          <w:p>
            <w:pPr>
              <w:pStyle w:val="111"/>
              <w:rPr>
                <w:color w:val="000000" w:themeColor="text1"/>
                <w:kern w:val="2"/>
                <w:sz w:val="21"/>
                <w:szCs w:val="21"/>
                <w:lang w:eastAsia="zh-CN"/>
                <w14:textFill>
                  <w14:solidFill>
                    <w14:schemeClr w14:val="tx1"/>
                  </w14:solidFill>
                </w14:textFill>
              </w:rPr>
            </w:pPr>
            <w:r>
              <w:rPr>
                <w:rFonts w:hint="eastAsia"/>
                <w:color w:val="000000" w:themeColor="text1"/>
                <w:kern w:val="2"/>
                <w:sz w:val="21"/>
                <w:szCs w:val="21"/>
                <w:lang w:eastAsia="zh-CN"/>
                <w14:textFill>
                  <w14:solidFill>
                    <w14:schemeClr w14:val="tx1"/>
                  </w14:solidFill>
                </w14:textFill>
              </w:rPr>
              <w:t>3010</w:t>
            </w:r>
          </w:p>
        </w:tc>
        <w:tc>
          <w:tcPr>
            <w:tcW w:w="0" w:type="auto"/>
            <w:tcBorders>
              <w:top w:val="single" w:color="auto" w:sz="4" w:space="0"/>
              <w:left w:val="single" w:color="auto" w:sz="4" w:space="0"/>
              <w:bottom w:val="single" w:color="auto" w:sz="4" w:space="0"/>
              <w:right w:val="single" w:color="auto" w:sz="4" w:space="0"/>
            </w:tcBorders>
            <w:vAlign w:val="center"/>
          </w:tcPr>
          <w:p>
            <w:pPr>
              <w:pStyle w:val="111"/>
              <w:rPr>
                <w:color w:val="000000" w:themeColor="text1"/>
                <w:kern w:val="2"/>
                <w:sz w:val="21"/>
                <w:szCs w:val="21"/>
                <w:lang w:eastAsia="zh-CN"/>
                <w14:textFill>
                  <w14:solidFill>
                    <w14:schemeClr w14:val="tx1"/>
                  </w14:solidFill>
                </w14:textFill>
              </w:rPr>
            </w:pPr>
            <w:r>
              <w:rPr>
                <w:rFonts w:hint="eastAsia"/>
                <w:color w:val="000000" w:themeColor="text1"/>
                <w:kern w:val="2"/>
                <w:sz w:val="21"/>
                <w:szCs w:val="21"/>
                <w:lang w:eastAsia="zh-CN"/>
                <w14:textFill>
                  <w14:solidFill>
                    <w14:schemeClr w14:val="tx1"/>
                  </w14:solidFill>
                </w14:textFill>
              </w:rPr>
              <w:t>3520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vAlign w:val="center"/>
          </w:tcPr>
          <w:p>
            <w:pPr>
              <w:pStyle w:val="122"/>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9</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分散居民点</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rFonts w:ascii="宋体" w:hAnsi="宋体" w:cs="宋体"/>
                <w:color w:val="000000" w:themeColor="text1"/>
                <w:sz w:val="21"/>
                <w:szCs w:val="21"/>
                <w14:textFill>
                  <w14:solidFill>
                    <w14:schemeClr w14:val="tx1"/>
                  </w14:solidFill>
                </w14:textFill>
              </w:rPr>
            </w:pPr>
            <w:r>
              <w:rPr>
                <w:rFonts w:ascii="宋体" w:hAnsi="宋体" w:cs="宋体"/>
                <w:color w:val="000000" w:themeColor="text1"/>
                <w:sz w:val="21"/>
                <w:szCs w:val="21"/>
                <w14:textFill>
                  <w14:solidFill>
                    <w14:schemeClr w14:val="tx1"/>
                  </w14:solidFill>
                </w14:textFill>
              </w:rPr>
              <w:t>107.2991</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rFonts w:ascii="宋体" w:hAnsi="宋体" w:cs="宋体"/>
                <w:color w:val="000000" w:themeColor="text1"/>
                <w:sz w:val="21"/>
                <w:szCs w:val="21"/>
                <w14:textFill>
                  <w14:solidFill>
                    <w14:schemeClr w14:val="tx1"/>
                  </w14:solidFill>
                </w14:textFill>
              </w:rPr>
            </w:pPr>
            <w:r>
              <w:rPr>
                <w:rFonts w:ascii="宋体" w:hAnsi="宋体" w:cs="宋体"/>
                <w:color w:val="000000" w:themeColor="text1"/>
                <w:sz w:val="21"/>
                <w:szCs w:val="21"/>
                <w14:textFill>
                  <w14:solidFill>
                    <w14:schemeClr w14:val="tx1"/>
                  </w14:solidFill>
                </w14:textFill>
              </w:rPr>
              <w:t>29.7014</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居民</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0" w:type="auto"/>
            <w:tcBorders>
              <w:top w:val="single" w:color="auto" w:sz="4" w:space="0"/>
              <w:left w:val="single" w:color="auto" w:sz="4" w:space="0"/>
              <w:bottom w:val="single" w:color="auto" w:sz="4" w:space="0"/>
              <w:right w:val="single" w:color="auto" w:sz="4" w:space="0"/>
            </w:tcBorders>
            <w:vAlign w:val="center"/>
          </w:tcPr>
          <w:p>
            <w:pPr>
              <w:pStyle w:val="12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二类</w:t>
            </w:r>
          </w:p>
        </w:tc>
        <w:tc>
          <w:tcPr>
            <w:tcW w:w="0" w:type="auto"/>
            <w:tcBorders>
              <w:top w:val="single" w:color="auto" w:sz="4" w:space="0"/>
              <w:left w:val="single" w:color="auto" w:sz="4" w:space="0"/>
              <w:bottom w:val="single" w:color="auto" w:sz="4" w:space="0"/>
              <w:right w:val="single" w:color="auto" w:sz="4" w:space="0"/>
            </w:tcBorders>
            <w:vAlign w:val="center"/>
          </w:tcPr>
          <w:p>
            <w:pPr>
              <w:pStyle w:val="111"/>
              <w:rPr>
                <w:color w:val="000000" w:themeColor="text1"/>
                <w:kern w:val="2"/>
                <w:sz w:val="21"/>
                <w:szCs w:val="21"/>
                <w:lang w:eastAsia="zh-CN"/>
                <w14:textFill>
                  <w14:solidFill>
                    <w14:schemeClr w14:val="tx1"/>
                  </w14:solidFill>
                </w14:textFill>
              </w:rPr>
            </w:pPr>
            <w:r>
              <w:rPr>
                <w:rFonts w:hint="eastAsia"/>
                <w:color w:val="000000" w:themeColor="text1"/>
                <w:kern w:val="2"/>
                <w:sz w:val="21"/>
                <w:szCs w:val="21"/>
                <w:lang w:eastAsia="zh-CN"/>
                <w14:textFill>
                  <w14:solidFill>
                    <w14:schemeClr w14:val="tx1"/>
                  </w14:solidFill>
                </w14:textFill>
              </w:rPr>
              <w:t>南</w:t>
            </w:r>
          </w:p>
        </w:tc>
        <w:tc>
          <w:tcPr>
            <w:tcW w:w="0" w:type="auto"/>
            <w:tcBorders>
              <w:top w:val="single" w:color="auto" w:sz="4" w:space="0"/>
              <w:left w:val="single" w:color="auto" w:sz="4" w:space="0"/>
              <w:bottom w:val="single" w:color="auto" w:sz="4" w:space="0"/>
              <w:right w:val="single" w:color="auto" w:sz="4" w:space="0"/>
            </w:tcBorders>
            <w:vAlign w:val="center"/>
          </w:tcPr>
          <w:p>
            <w:pPr>
              <w:pStyle w:val="111"/>
              <w:rPr>
                <w:color w:val="000000" w:themeColor="text1"/>
                <w:kern w:val="2"/>
                <w:sz w:val="21"/>
                <w:szCs w:val="21"/>
                <w:lang w:eastAsia="zh-CN"/>
                <w14:textFill>
                  <w14:solidFill>
                    <w14:schemeClr w14:val="tx1"/>
                  </w14:solidFill>
                </w14:textFill>
              </w:rPr>
            </w:pPr>
            <w:r>
              <w:rPr>
                <w:rFonts w:hint="eastAsia"/>
                <w:color w:val="000000" w:themeColor="text1"/>
                <w:kern w:val="2"/>
                <w:sz w:val="21"/>
                <w:szCs w:val="21"/>
                <w:lang w:eastAsia="zh-CN"/>
                <w14:textFill>
                  <w14:solidFill>
                    <w14:schemeClr w14:val="tx1"/>
                  </w14:solidFill>
                </w14:textFill>
              </w:rPr>
              <w:t>4</w:t>
            </w:r>
            <w:r>
              <w:rPr>
                <w:color w:val="000000" w:themeColor="text1"/>
                <w:kern w:val="2"/>
                <w:sz w:val="21"/>
                <w:szCs w:val="21"/>
                <w:lang w:eastAsia="zh-CN"/>
                <w14:textFill>
                  <w14:solidFill>
                    <w14:schemeClr w14:val="tx1"/>
                  </w14:solidFill>
                </w14:textFill>
              </w:rPr>
              <w:t>00</w:t>
            </w:r>
            <w:r>
              <w:rPr>
                <w:rFonts w:hint="eastAsia"/>
                <w:color w:val="000000" w:themeColor="text1"/>
                <w:kern w:val="2"/>
                <w:sz w:val="21"/>
                <w:szCs w:val="21"/>
                <w:lang w:eastAsia="zh-CN"/>
                <w14:textFill>
                  <w14:solidFill>
                    <w14:schemeClr w14:val="tx1"/>
                  </w14:solidFill>
                </w14:textFill>
              </w:rPr>
              <w:t>以外</w:t>
            </w:r>
          </w:p>
        </w:tc>
        <w:tc>
          <w:tcPr>
            <w:tcW w:w="0" w:type="auto"/>
            <w:tcBorders>
              <w:top w:val="single" w:color="auto" w:sz="4" w:space="0"/>
              <w:left w:val="single" w:color="auto" w:sz="4" w:space="0"/>
              <w:bottom w:val="single" w:color="auto" w:sz="4" w:space="0"/>
              <w:right w:val="single" w:color="auto" w:sz="4" w:space="0"/>
            </w:tcBorders>
            <w:vAlign w:val="center"/>
          </w:tcPr>
          <w:p>
            <w:pPr>
              <w:pStyle w:val="111"/>
              <w:rPr>
                <w:color w:val="000000" w:themeColor="text1"/>
                <w:kern w:val="2"/>
                <w:sz w:val="21"/>
                <w:szCs w:val="21"/>
                <w:lang w:eastAsia="zh-CN"/>
                <w14:textFill>
                  <w14:solidFill>
                    <w14:schemeClr w14:val="tx1"/>
                  </w14:solidFill>
                </w14:textFill>
              </w:rPr>
            </w:pPr>
            <w:r>
              <w:rPr>
                <w:rFonts w:hint="eastAsia"/>
                <w:color w:val="000000" w:themeColor="text1"/>
                <w:kern w:val="2"/>
                <w:sz w:val="21"/>
                <w:szCs w:val="21"/>
                <w:lang w:eastAsia="zh-CN"/>
                <w14:textFill>
                  <w14:solidFill>
                    <w14:schemeClr w14:val="tx1"/>
                  </w14:solidFill>
                </w14:textFill>
              </w:rPr>
              <w:t>6</w:t>
            </w:r>
            <w:r>
              <w:rPr>
                <w:color w:val="000000" w:themeColor="text1"/>
                <w:kern w:val="2"/>
                <w:sz w:val="21"/>
                <w:szCs w:val="21"/>
                <w:lang w:eastAsia="zh-CN"/>
                <w14:textFill>
                  <w14:solidFill>
                    <w14:schemeClr w14:val="tx1"/>
                  </w14:solidFill>
                </w14:textFill>
              </w:rPr>
              <w:t>00</w:t>
            </w:r>
            <w:r>
              <w:rPr>
                <w:rFonts w:hint="eastAsia"/>
                <w:color w:val="000000" w:themeColor="text1"/>
                <w:kern w:val="2"/>
                <w:sz w:val="21"/>
                <w:szCs w:val="21"/>
                <w:lang w:eastAsia="zh-CN"/>
                <w14:textFill>
                  <w14:solidFill>
                    <w14:schemeClr w14:val="tx1"/>
                  </w14:solidFill>
                </w14:textFill>
              </w:rPr>
              <w:t>以外</w:t>
            </w:r>
          </w:p>
        </w:tc>
      </w:tr>
      <w:bookmarkEnd w:id="40"/>
    </w:tbl>
    <w:p>
      <w:pPr>
        <w:pStyle w:val="17"/>
        <w:ind w:firstLine="520"/>
        <w:jc w:val="both"/>
        <w:rPr>
          <w:color w:val="000000" w:themeColor="text1"/>
          <w14:textFill>
            <w14:solidFill>
              <w14:schemeClr w14:val="tx1"/>
            </w14:solidFill>
          </w14:textFill>
        </w:rPr>
      </w:pPr>
      <w:bookmarkStart w:id="41" w:name="_Toc109888244"/>
    </w:p>
    <w:p>
      <w:pPr>
        <w:pStyle w:val="3"/>
      </w:pPr>
      <w:r>
        <w:rPr>
          <w:rFonts w:hint="eastAsia"/>
        </w:rPr>
        <w:t>相关</w:t>
      </w:r>
      <w:r>
        <w:t>政策</w:t>
      </w:r>
      <w:r>
        <w:rPr>
          <w:rFonts w:hint="eastAsia"/>
        </w:rPr>
        <w:t>、规划符合性</w:t>
      </w:r>
      <w:r>
        <w:t>及选址合理性分析</w:t>
      </w:r>
      <w:bookmarkEnd w:id="41"/>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产业政策符合性分析</w:t>
      </w:r>
    </w:p>
    <w:p>
      <w:pPr>
        <w:pStyle w:val="5"/>
      </w:pPr>
      <w:r>
        <w:rPr>
          <w:rFonts w:hint="eastAsia"/>
        </w:rPr>
        <w:t>与《产业结构调整指导目录（2019年本）》符合性分析</w:t>
      </w:r>
    </w:p>
    <w:p>
      <w:pPr>
        <w:pStyle w:val="17"/>
        <w:ind w:firstLine="520"/>
        <w:jc w:val="both"/>
        <w:rPr>
          <w:color w:val="000000" w:themeColor="text1"/>
          <w:szCs w:val="26"/>
          <w14:textFill>
            <w14:solidFill>
              <w14:schemeClr w14:val="tx1"/>
            </w14:solidFill>
          </w14:textFill>
        </w:rPr>
      </w:pPr>
      <w:r>
        <w:rPr>
          <w:color w:val="000000" w:themeColor="text1"/>
          <w:szCs w:val="26"/>
          <w14:textFill>
            <w14:solidFill>
              <w14:schemeClr w14:val="tx1"/>
            </w14:solidFill>
          </w14:textFill>
        </w:rPr>
        <w:t>对照《产业结构调整指导目录（2019年本）》，本项目属于鼓励类的“四十三、环境保护与资源节约综合利用”中的“</w:t>
      </w:r>
      <w:r>
        <w:rPr>
          <w:color w:val="000000" w:themeColor="text1"/>
          <w14:textFill>
            <w14:solidFill>
              <w14:schemeClr w14:val="tx1"/>
            </w14:solidFill>
          </w14:textFill>
        </w:rPr>
        <w:t>15、“三废”综合利用与治理技术、装备和工程</w:t>
      </w:r>
      <w:r>
        <w:rPr>
          <w:color w:val="000000" w:themeColor="text1"/>
          <w:szCs w:val="26"/>
          <w14:textFill>
            <w14:solidFill>
              <w14:schemeClr w14:val="tx1"/>
            </w14:solidFill>
          </w14:textFill>
        </w:rPr>
        <w:t>”，符合国家产业政策</w:t>
      </w:r>
      <w:r>
        <w:rPr>
          <w:rFonts w:hint="eastAsia"/>
          <w:color w:val="000000" w:themeColor="text1"/>
          <w:szCs w:val="26"/>
          <w14:textFill>
            <w14:solidFill>
              <w14:schemeClr w14:val="tx1"/>
            </w14:solidFill>
          </w14:textFill>
        </w:rPr>
        <w:t>。</w:t>
      </w:r>
    </w:p>
    <w:p>
      <w:pPr>
        <w:pStyle w:val="5"/>
        <w:jc w:val="both"/>
      </w:pPr>
      <w:r>
        <w:rPr>
          <w:rFonts w:hint="eastAsia"/>
        </w:rPr>
        <w:t>与《重庆市产业投资准入工作手册》（</w:t>
      </w:r>
      <w:r>
        <w:t>（渝发改投[2018]541号）</w:t>
      </w:r>
      <w:r>
        <w:rPr>
          <w:rFonts w:hint="eastAsia"/>
        </w:rPr>
        <w:t>）符合性分析</w:t>
      </w:r>
    </w:p>
    <w:p>
      <w:pPr>
        <w:pStyle w:val="17"/>
        <w:ind w:firstLine="520"/>
        <w:jc w:val="both"/>
        <w:rPr>
          <w:color w:val="000000" w:themeColor="text1"/>
          <w:szCs w:val="26"/>
          <w14:textFill>
            <w14:solidFill>
              <w14:schemeClr w14:val="tx1"/>
            </w14:solidFill>
          </w14:textFill>
        </w:rPr>
      </w:pPr>
      <w:r>
        <w:rPr>
          <w:rFonts w:hint="eastAsia"/>
          <w:color w:val="000000" w:themeColor="text1"/>
          <w14:textFill>
            <w14:solidFill>
              <w14:schemeClr w14:val="tx1"/>
            </w14:solidFill>
          </w14:textFill>
        </w:rPr>
        <w:t>手册</w:t>
      </w:r>
      <w:r>
        <w:rPr>
          <w:rFonts w:hint="eastAsia"/>
          <w:color w:val="000000" w:themeColor="text1"/>
          <w:szCs w:val="26"/>
          <w14:textFill>
            <w14:solidFill>
              <w14:schemeClr w14:val="tx1"/>
            </w14:solidFill>
          </w14:textFill>
        </w:rPr>
        <w:t>指出：列入不予准入类的项目，一律不得准入，投资主管部门不得审批、核准、备案，各金融机构不得发放贷款，国土房管、城乡规划、建设、环境保护、质监、消防、海关、工商等部门不得办理建设审批手续，水、电、气等有关单位不得提供保障。列入限制准入类的项目，必须同时满足相应行业和相应区域要求，方可投报主管部门按权限审批、核准或备案。凡违反规定批准其进行投融资建设或生产的，要追究有关单位和个人的责任</w:t>
      </w:r>
      <w:r>
        <w:rPr>
          <w:color w:val="000000" w:themeColor="text1"/>
          <w:szCs w:val="26"/>
          <w14:textFill>
            <w14:solidFill>
              <w14:schemeClr w14:val="tx1"/>
            </w14:solidFill>
          </w14:textFill>
        </w:rPr>
        <w:t>。</w:t>
      </w:r>
    </w:p>
    <w:p>
      <w:pPr>
        <w:pStyle w:val="17"/>
        <w:ind w:firstLine="520"/>
        <w:jc w:val="both"/>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本项目属于一般工业固废处置项目，不属于上述</w:t>
      </w:r>
      <w:r>
        <w:rPr>
          <w:rFonts w:hint="eastAsia"/>
          <w:color w:val="000000" w:themeColor="text1"/>
          <w14:textFill>
            <w14:solidFill>
              <w14:schemeClr w14:val="tx1"/>
            </w14:solidFill>
          </w14:textFill>
        </w:rPr>
        <w:t>手册</w:t>
      </w:r>
      <w:r>
        <w:rPr>
          <w:rFonts w:hint="eastAsia"/>
          <w:color w:val="000000" w:themeColor="text1"/>
          <w:szCs w:val="26"/>
          <w14:textFill>
            <w14:solidFill>
              <w14:schemeClr w14:val="tx1"/>
            </w14:solidFill>
          </w14:textFill>
        </w:rPr>
        <w:t>中不予准入类和限值准入类项目，符合</w:t>
      </w:r>
      <w:r>
        <w:rPr>
          <w:rFonts w:hint="eastAsia"/>
          <w:color w:val="000000" w:themeColor="text1"/>
          <w14:textFill>
            <w14:solidFill>
              <w14:schemeClr w14:val="tx1"/>
            </w14:solidFill>
          </w14:textFill>
        </w:rPr>
        <w:t>《重庆市发展和改革委员会关于重庆市产业投资准入工作手册的通知》相关要求</w:t>
      </w:r>
      <w:r>
        <w:rPr>
          <w:rFonts w:hint="eastAsia"/>
          <w:color w:val="000000" w:themeColor="text1"/>
          <w:szCs w:val="26"/>
          <w14:textFill>
            <w14:solidFill>
              <w14:schemeClr w14:val="tx1"/>
            </w14:solidFill>
          </w14:textFill>
        </w:rPr>
        <w:t>。</w:t>
      </w:r>
    </w:p>
    <w:p>
      <w:pPr>
        <w:pStyle w:val="5"/>
        <w:jc w:val="both"/>
      </w:pPr>
      <w:r>
        <w:t>与《长江经济带生态环境保护规划》（环规财〔2017〕88号）的符合性分析</w:t>
      </w:r>
    </w:p>
    <w:p>
      <w:pPr>
        <w:pStyle w:val="195"/>
        <w:ind w:firstLine="520"/>
        <w:rPr>
          <w:color w:val="000000" w:themeColor="text1"/>
          <w14:textFill>
            <w14:solidFill>
              <w14:schemeClr w14:val="tx1"/>
            </w14:solidFill>
          </w14:textFill>
        </w:rPr>
      </w:pPr>
      <w:r>
        <w:rPr>
          <w:color w:val="000000" w:themeColor="text1"/>
          <w14:textFill>
            <w14:solidFill>
              <w14:schemeClr w14:val="tx1"/>
            </w14:solidFill>
          </w14:textFill>
        </w:rPr>
        <w:t>根据《长江经济带生态环境保护规划》：“（三）强化生态优先绿色发展的环境管理措施</w:t>
      </w:r>
      <w:r>
        <w:rPr>
          <w:rFonts w:hint="eastAsia"/>
          <w:color w:val="000000" w:themeColor="text1"/>
          <w:lang w:eastAsia="zh-CN"/>
          <w14:textFill>
            <w14:solidFill>
              <w14:schemeClr w14:val="tx1"/>
            </w14:solidFill>
          </w14:textFill>
        </w:rPr>
        <w:t>实行</w:t>
      </w:r>
      <w:r>
        <w:rPr>
          <w:color w:val="000000" w:themeColor="text1"/>
          <w14:textFill>
            <w14:solidFill>
              <w14:schemeClr w14:val="tx1"/>
            </w14:solidFill>
          </w14:textFill>
        </w:rPr>
        <w:t>负面清单管理。长江沿线一切经济活动都要以不破坏生态环境为前提，抓紧制定产业准入负面清单，明确空间准入和环境准入的清单式管理要求。提出长江沿线限制开发和禁止开发的岸线、河段、区域、产业以及相关管理措施。不符合要求占用岸线、河段、土地和布局的产业，必须无条件退出。除在建项目外，严禁在干流及主要支流岸线1公里范围内布局新建重化工园区，严控在中上游沿岸地区新建石油化工和煤化工项目。严控下游高污染、高排放企业向上游转移。”</w:t>
      </w:r>
    </w:p>
    <w:p>
      <w:pPr>
        <w:pStyle w:val="17"/>
        <w:ind w:firstLine="520"/>
        <w:rPr>
          <w:color w:val="000000" w:themeColor="text1"/>
          <w14:textFill>
            <w14:solidFill>
              <w14:schemeClr w14:val="tx1"/>
            </w14:solidFill>
          </w14:textFill>
        </w:rPr>
      </w:pPr>
      <w:r>
        <w:rPr>
          <w:color w:val="000000" w:themeColor="text1"/>
          <w14:textFill>
            <w14:solidFill>
              <w14:schemeClr w14:val="tx1"/>
            </w14:solidFill>
          </w14:textFill>
        </w:rPr>
        <w:t>本项目为一般工业固废综合利用处置项目，不属于石油化工和煤化工项目；且本项目依托陕渝临港热电厂建设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符合《长江经济带生态环境保护规划》</w:t>
      </w:r>
      <w:r>
        <w:rPr>
          <w:rFonts w:hint="eastAsia"/>
          <w:color w:val="000000" w:themeColor="text1"/>
          <w14:textFill>
            <w14:solidFill>
              <w14:schemeClr w14:val="tx1"/>
            </w14:solidFill>
          </w14:textFill>
        </w:rPr>
        <w:t>的相关</w:t>
      </w:r>
      <w:r>
        <w:rPr>
          <w:color w:val="000000" w:themeColor="text1"/>
          <w14:textFill>
            <w14:solidFill>
              <w14:schemeClr w14:val="tx1"/>
            </w14:solidFill>
          </w14:textFill>
        </w:rPr>
        <w:t>要求。</w:t>
      </w:r>
    </w:p>
    <w:p>
      <w:pPr>
        <w:pStyle w:val="5"/>
        <w:jc w:val="both"/>
      </w:pPr>
      <w:bookmarkStart w:id="42" w:name="_Toc481664983"/>
      <w:r>
        <w:rPr>
          <w:rFonts w:hint="eastAsia"/>
        </w:rPr>
        <w:t>与《四川省、重庆市长江经济带发展负面清单实施细则（试行，2022年版）》对比分析</w:t>
      </w:r>
    </w:p>
    <w:p>
      <w:pPr>
        <w:pStyle w:val="195"/>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本项目与</w:t>
      </w:r>
      <w:bookmarkStart w:id="43" w:name="_Hlk134624044"/>
      <w:r>
        <w:rPr>
          <w:rFonts w:hint="eastAsia"/>
          <w:color w:val="000000" w:themeColor="text1"/>
          <w14:textFill>
            <w14:solidFill>
              <w14:schemeClr w14:val="tx1"/>
            </w14:solidFill>
          </w14:textFill>
        </w:rPr>
        <w:t>《四川省、重庆市长江经济带发展负面清单实施细则（试行，2022年版）》</w:t>
      </w:r>
      <w:bookmarkEnd w:id="43"/>
      <w:r>
        <w:rPr>
          <w:rFonts w:hint="eastAsia"/>
          <w:color w:val="000000" w:themeColor="text1"/>
          <w14:textFill>
            <w14:solidFill>
              <w14:schemeClr w14:val="tx1"/>
            </w14:solidFill>
          </w14:textFill>
        </w:rPr>
        <w:t>（川长江办〔2022〕 17号）对比分析见表1.</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-1。</w:t>
      </w:r>
    </w:p>
    <w:p>
      <w:pPr>
        <w:pStyle w:val="195"/>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经对比，本项目不属于《四川省、重庆市长江经济带发展负面清单实施细则（试行，2022年版）》中禁止类项目。</w:t>
      </w:r>
    </w:p>
    <w:p>
      <w:pPr>
        <w:pStyle w:val="39"/>
        <w:rPr>
          <w:rStyle w:val="199"/>
          <w:bCs w:val="0"/>
          <w:color w:val="000000" w:themeColor="text1"/>
          <w:spacing w:val="8"/>
          <w:szCs w:val="24"/>
          <w14:textFill>
            <w14:solidFill>
              <w14:schemeClr w14:val="tx1"/>
            </w14:solidFill>
          </w14:textFill>
        </w:rPr>
      </w:pPr>
      <w:r>
        <w:rPr>
          <w:rStyle w:val="199"/>
          <w:rFonts w:hint="eastAsia"/>
          <w:bCs w:val="0"/>
          <w:color w:val="000000" w:themeColor="text1"/>
          <w:spacing w:val="8"/>
          <w:szCs w:val="24"/>
          <w14:textFill>
            <w14:solidFill>
              <w14:schemeClr w14:val="tx1"/>
            </w14:solidFill>
          </w14:textFill>
        </w:rPr>
        <w:t>与</w:t>
      </w:r>
      <w:r>
        <w:rPr>
          <w:bCs w:val="0"/>
          <w:snapToGrid w:val="0"/>
          <w:color w:val="000000" w:themeColor="text1"/>
          <w14:textFill>
            <w14:solidFill>
              <w14:schemeClr w14:val="tx1"/>
            </w14:solidFill>
          </w14:textFill>
        </w:rPr>
        <w:t>四川省、重庆市长江经济带发展负面清单实施细则</w:t>
      </w:r>
      <w:r>
        <w:rPr>
          <w:rFonts w:hint="eastAsia"/>
          <w:bCs w:val="0"/>
          <w:snapToGrid w:val="0"/>
          <w:color w:val="000000" w:themeColor="text1"/>
          <w14:textFill>
            <w14:solidFill>
              <w14:schemeClr w14:val="tx1"/>
            </w14:solidFill>
          </w14:textFill>
        </w:rPr>
        <w:t>对比</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5863"/>
        <w:gridCol w:w="2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编号</w:t>
            </w:r>
          </w:p>
        </w:tc>
        <w:tc>
          <w:tcPr>
            <w:tcW w:w="327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负面清单内容</w:t>
            </w:r>
          </w:p>
        </w:tc>
        <w:tc>
          <w:tcPr>
            <w:tcW w:w="115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1</w:t>
            </w:r>
          </w:p>
        </w:tc>
        <w:tc>
          <w:tcPr>
            <w:tcW w:w="3276" w:type="pct"/>
            <w:tcBorders>
              <w:top w:val="single" w:color="auto" w:sz="4" w:space="0"/>
              <w:left w:val="single" w:color="auto" w:sz="4" w:space="0"/>
              <w:bottom w:val="single" w:color="auto" w:sz="4" w:space="0"/>
              <w:right w:val="single" w:color="auto" w:sz="4" w:space="0"/>
            </w:tcBorders>
          </w:tcPr>
          <w:p>
            <w:pPr>
              <w:spacing w:line="240" w:lineRule="auto"/>
              <w:ind w:firstLine="0" w:firstLineChars="0"/>
              <w:rPr>
                <w:rFonts w:eastAsiaTheme="minorEastAsia"/>
                <w:color w:val="000000" w:themeColor="text1"/>
                <w:kern w:val="0"/>
                <w:sz w:val="22"/>
                <w14:textFill>
                  <w14:solidFill>
                    <w14:schemeClr w14:val="tx1"/>
                  </w14:solidFill>
                </w14:textFill>
              </w:rPr>
            </w:pPr>
            <w:r>
              <w:rPr>
                <w:rFonts w:hint="eastAsia"/>
                <w:color w:val="000000" w:themeColor="text1"/>
                <w:sz w:val="22"/>
                <w14:textFill>
                  <w14:solidFill>
                    <w14:schemeClr w14:val="tx1"/>
                  </w14:solidFill>
                </w14:textFill>
              </w:rPr>
              <w:t>第五条 禁止新建、改建和扩建不符合全国港口布局规划，以及《四川省内河水运发展规划》《泸州—宜宾—乐山港口群布局规划》《重庆港总体规划( 2035年)》等省级港口布局规划及市级港口总体规划的码头项目。</w:t>
            </w:r>
          </w:p>
        </w:tc>
        <w:tc>
          <w:tcPr>
            <w:tcW w:w="115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项目不涉及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2</w:t>
            </w:r>
          </w:p>
        </w:tc>
        <w:tc>
          <w:tcPr>
            <w:tcW w:w="3276" w:type="pct"/>
            <w:tcBorders>
              <w:top w:val="single" w:color="auto" w:sz="4" w:space="0"/>
              <w:left w:val="single" w:color="auto" w:sz="4" w:space="0"/>
              <w:bottom w:val="single" w:color="auto" w:sz="4" w:space="0"/>
              <w:right w:val="single" w:color="auto" w:sz="4" w:space="0"/>
            </w:tcBorders>
          </w:tcPr>
          <w:p>
            <w:pPr>
              <w:spacing w:line="240" w:lineRule="auto"/>
              <w:ind w:firstLine="0" w:firstLineChars="0"/>
              <w:rPr>
                <w:rFonts w:eastAsiaTheme="minorEastAsia"/>
                <w:color w:val="000000" w:themeColor="text1"/>
                <w:kern w:val="0"/>
                <w:sz w:val="22"/>
                <w14:textFill>
                  <w14:solidFill>
                    <w14:schemeClr w14:val="tx1"/>
                  </w14:solidFill>
                </w14:textFill>
              </w:rPr>
            </w:pPr>
            <w:r>
              <w:rPr>
                <w:rFonts w:hint="eastAsia"/>
                <w:color w:val="000000" w:themeColor="text1"/>
                <w:sz w:val="22"/>
                <w14:textFill>
                  <w14:solidFill>
                    <w14:schemeClr w14:val="tx1"/>
                  </w14:solidFill>
                </w14:textFill>
              </w:rPr>
              <w:t>第六条 禁止新建、改建和扩建不符合《长江干线过江通道布局规划（2020—2035年)》的过长江通道项目(含桥梁、隧道)，国家发展改革委同意过长江通道线位调整的除外。</w:t>
            </w:r>
          </w:p>
        </w:tc>
        <w:tc>
          <w:tcPr>
            <w:tcW w:w="115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不属于上述项目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3</w:t>
            </w:r>
          </w:p>
        </w:tc>
        <w:tc>
          <w:tcPr>
            <w:tcW w:w="3276" w:type="pct"/>
            <w:tcBorders>
              <w:top w:val="single" w:color="auto" w:sz="4" w:space="0"/>
              <w:left w:val="single" w:color="auto" w:sz="4" w:space="0"/>
              <w:bottom w:val="single" w:color="auto" w:sz="4" w:space="0"/>
              <w:right w:val="single" w:color="auto" w:sz="4" w:space="0"/>
            </w:tcBorders>
          </w:tcPr>
          <w:p>
            <w:pPr>
              <w:spacing w:line="240" w:lineRule="auto"/>
              <w:ind w:firstLine="0" w:firstLineChars="0"/>
              <w:rPr>
                <w:rFonts w:eastAsiaTheme="minorEastAsia"/>
                <w:color w:val="000000" w:themeColor="text1"/>
                <w:kern w:val="0"/>
                <w:sz w:val="22"/>
                <w14:textFill>
                  <w14:solidFill>
                    <w14:schemeClr w14:val="tx1"/>
                  </w14:solidFill>
                </w14:textFill>
              </w:rPr>
            </w:pPr>
            <w:r>
              <w:rPr>
                <w:rFonts w:hint="eastAsia"/>
                <w:color w:val="000000" w:themeColor="text1"/>
                <w:sz w:val="22"/>
                <w14:textFill>
                  <w14:solidFill>
                    <w14:schemeClr w14:val="tx1"/>
                  </w14:solidFill>
                </w14:textFill>
              </w:rPr>
              <w:t>第七条 禁止在自然保护区核心区、缓冲区的岸线和河段范围内投资建设旅游和生产经营项目。自然保护区的内部未分区的，依照核心区和缓冲区的规定管控。</w:t>
            </w:r>
          </w:p>
        </w:tc>
        <w:tc>
          <w:tcPr>
            <w:tcW w:w="115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不涉及</w:t>
            </w:r>
            <w:r>
              <w:rPr>
                <w:rFonts w:hint="eastAsia"/>
                <w:color w:val="000000" w:themeColor="text1"/>
                <w:sz w:val="22"/>
                <w14:textFill>
                  <w14:solidFill>
                    <w14:schemeClr w14:val="tx1"/>
                  </w14:solidFill>
                </w14:textFill>
              </w:rPr>
              <w:t>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4</w:t>
            </w:r>
          </w:p>
        </w:tc>
        <w:tc>
          <w:tcPr>
            <w:tcW w:w="3276" w:type="pct"/>
            <w:tcBorders>
              <w:top w:val="single" w:color="auto" w:sz="4" w:space="0"/>
              <w:left w:val="single" w:color="auto" w:sz="4" w:space="0"/>
              <w:bottom w:val="single" w:color="auto" w:sz="4" w:space="0"/>
              <w:right w:val="single" w:color="auto" w:sz="4" w:space="0"/>
            </w:tcBorders>
          </w:tcPr>
          <w:p>
            <w:pPr>
              <w:spacing w:line="240" w:lineRule="auto"/>
              <w:ind w:firstLine="0" w:firstLineChars="0"/>
              <w:rPr>
                <w:rFonts w:eastAsiaTheme="minorEastAsia"/>
                <w:color w:val="000000" w:themeColor="text1"/>
                <w:kern w:val="0"/>
                <w:sz w:val="22"/>
                <w14:textFill>
                  <w14:solidFill>
                    <w14:schemeClr w14:val="tx1"/>
                  </w14:solidFill>
                </w14:textFill>
              </w:rPr>
            </w:pPr>
            <w:r>
              <w:rPr>
                <w:rFonts w:hint="eastAsia"/>
                <w:color w:val="000000" w:themeColor="text1"/>
                <w:sz w:val="22"/>
                <w14:textFill>
                  <w14:solidFill>
                    <w14:schemeClr w14:val="tx1"/>
                  </w14:solidFill>
                </w14:textFill>
              </w:rPr>
              <w:t>第八条 禁止违反风景名胜区规划，在风景名胜区内设立各类开发区。禁止在风景名胜区核心景区的岸线和河段范围内建设宾馆、招待所、培训中心、疗养院以及与风景名胜资源保护无关的项目。</w:t>
            </w:r>
          </w:p>
        </w:tc>
        <w:tc>
          <w:tcPr>
            <w:tcW w:w="115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不涉及</w:t>
            </w:r>
            <w:r>
              <w:rPr>
                <w:rFonts w:hint="eastAsia"/>
                <w:color w:val="000000" w:themeColor="text1"/>
                <w:sz w:val="22"/>
                <w14:textFill>
                  <w14:solidFill>
                    <w14:schemeClr w14:val="tx1"/>
                  </w14:solidFill>
                </w14:textFill>
              </w:rPr>
              <w:t>风景名胜区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5</w:t>
            </w:r>
          </w:p>
        </w:tc>
        <w:tc>
          <w:tcPr>
            <w:tcW w:w="3276" w:type="pct"/>
            <w:tcBorders>
              <w:top w:val="single" w:color="auto" w:sz="4" w:space="0"/>
              <w:left w:val="single" w:color="auto" w:sz="4" w:space="0"/>
              <w:bottom w:val="single" w:color="auto" w:sz="4" w:space="0"/>
              <w:right w:val="single" w:color="auto" w:sz="4" w:space="0"/>
            </w:tcBorders>
          </w:tcPr>
          <w:p>
            <w:pPr>
              <w:spacing w:line="240" w:lineRule="auto"/>
              <w:ind w:firstLine="0" w:firstLineChars="0"/>
              <w:rPr>
                <w:rFonts w:eastAsiaTheme="minorEastAsia"/>
                <w:color w:val="000000" w:themeColor="text1"/>
                <w:kern w:val="0"/>
                <w:sz w:val="22"/>
                <w14:textFill>
                  <w14:solidFill>
                    <w14:schemeClr w14:val="tx1"/>
                  </w14:solidFill>
                </w14:textFill>
              </w:rPr>
            </w:pPr>
            <w:r>
              <w:rPr>
                <w:rFonts w:hint="eastAsia"/>
                <w:color w:val="000000" w:themeColor="text1"/>
                <w:sz w:val="22"/>
                <w14:textFill>
                  <w14:solidFill>
                    <w14:schemeClr w14:val="tx1"/>
                  </w14:solidFill>
                </w14:textFill>
              </w:rPr>
              <w:t>第九条 禁止在饮用水水源准保护区的岸线和河段范围内新建、扩建对水体污染严重的建设项目，禁止改建增加排污量的建设项目。</w:t>
            </w:r>
          </w:p>
        </w:tc>
        <w:tc>
          <w:tcPr>
            <w:tcW w:w="1158" w:type="pct"/>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不涉及</w:t>
            </w:r>
            <w:r>
              <w:rPr>
                <w:color w:val="000000" w:themeColor="text1"/>
                <w:sz w:val="22"/>
                <w14:textFill>
                  <w14:solidFill>
                    <w14:schemeClr w14:val="tx1"/>
                  </w14:solidFill>
                </w14:textFill>
              </w:rPr>
              <w:t>饮用水水源保护区</w:t>
            </w:r>
            <w:r>
              <w:rPr>
                <w:rFonts w:hint="eastAsia"/>
                <w:color w:val="000000" w:themeColor="text1"/>
                <w:sz w:val="22"/>
                <w14:textFill>
                  <w14:solidFill>
                    <w14:schemeClr w14:val="tx1"/>
                  </w14:solidFill>
                </w14:textFill>
              </w:rPr>
              <w:t>，</w:t>
            </w:r>
            <w:r>
              <w:rPr>
                <w:rFonts w:hint="eastAsia" w:eastAsiaTheme="minorEastAsia"/>
                <w:color w:val="000000" w:themeColor="text1"/>
                <w:kern w:val="0"/>
                <w:sz w:val="22"/>
                <w14:textFill>
                  <w14:solidFill>
                    <w14:schemeClr w14:val="tx1"/>
                  </w14:solidFill>
                </w14:textFill>
              </w:rPr>
              <w:t>不建设排污口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6</w:t>
            </w:r>
          </w:p>
        </w:tc>
        <w:tc>
          <w:tcPr>
            <w:tcW w:w="327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eastAsiaTheme="minorEastAsia"/>
                <w:color w:val="000000" w:themeColor="text1"/>
                <w:kern w:val="0"/>
                <w:sz w:val="22"/>
                <w14:textFill>
                  <w14:solidFill>
                    <w14:schemeClr w14:val="tx1"/>
                  </w14:solidFill>
                </w14:textFill>
              </w:rPr>
            </w:pPr>
            <w:r>
              <w:rPr>
                <w:color w:val="000000" w:themeColor="text1"/>
                <w:sz w:val="22"/>
                <w14:textFill>
                  <w14:solidFill>
                    <w14:schemeClr w14:val="tx1"/>
                  </w14:solidFill>
                </w14:textFill>
              </w:rPr>
              <w:t>第十条 饮用水水源二级保护区的岸线和河段范围内，除遵守准保护区规定外，禁止新建、改建、扩建排放污染物的投资建设项目;禁止从事对水体有污染的水产养殖等活动。</w:t>
            </w:r>
          </w:p>
        </w:tc>
        <w:tc>
          <w:tcPr>
            <w:tcW w:w="1158" w:type="pct"/>
            <w:vMerge w:val="continue"/>
            <w:tcBorders>
              <w:left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7</w:t>
            </w:r>
          </w:p>
        </w:tc>
        <w:tc>
          <w:tcPr>
            <w:tcW w:w="327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eastAsiaTheme="minorEastAsia"/>
                <w:color w:val="000000" w:themeColor="text1"/>
                <w:kern w:val="0"/>
                <w:sz w:val="22"/>
                <w14:textFill>
                  <w14:solidFill>
                    <w14:schemeClr w14:val="tx1"/>
                  </w14:solidFill>
                </w14:textFill>
              </w:rPr>
            </w:pPr>
            <w:r>
              <w:rPr>
                <w:color w:val="000000" w:themeColor="text1"/>
                <w:sz w:val="22"/>
                <w14:textFill>
                  <w14:solidFill>
                    <w14:schemeClr w14:val="tx1"/>
                  </w14:solidFill>
                </w14:textFill>
              </w:rPr>
              <w:t>第十一条 饮用水水源一级保护区的岸线和河段范围内，除遵守二级保护区规定外，禁止新建、改建、扩建与供水设施和保护水源无关的项目，以及网箱养殖、畜禽养殖、旅游等可能污染饮用水水体的投资建设项目。</w:t>
            </w:r>
          </w:p>
        </w:tc>
        <w:tc>
          <w:tcPr>
            <w:tcW w:w="1158" w:type="pct"/>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8</w:t>
            </w:r>
          </w:p>
        </w:tc>
        <w:tc>
          <w:tcPr>
            <w:tcW w:w="327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eastAsiaTheme="minorEastAsia"/>
                <w:color w:val="000000" w:themeColor="text1"/>
                <w:kern w:val="0"/>
                <w:sz w:val="22"/>
                <w14:textFill>
                  <w14:solidFill>
                    <w14:schemeClr w14:val="tx1"/>
                  </w14:solidFill>
                </w14:textFill>
              </w:rPr>
            </w:pPr>
            <w:r>
              <w:rPr>
                <w:color w:val="000000" w:themeColor="text1"/>
                <w:sz w:val="22"/>
                <w14:textFill>
                  <w14:solidFill>
                    <w14:schemeClr w14:val="tx1"/>
                  </w14:solidFill>
                </w14:textFill>
              </w:rPr>
              <w:t>第十二条 禁止在水产种质资源保护区岸线和河段范围内新建围湖造田、围湖造地或挖沙采石等投资建设项目。</w:t>
            </w:r>
          </w:p>
        </w:tc>
        <w:tc>
          <w:tcPr>
            <w:tcW w:w="115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不属于上述项目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9</w:t>
            </w:r>
          </w:p>
        </w:tc>
        <w:tc>
          <w:tcPr>
            <w:tcW w:w="327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color w:val="000000" w:themeColor="text1"/>
                <w:sz w:val="22"/>
                <w14:textFill>
                  <w14:solidFill>
                    <w14:schemeClr w14:val="tx1"/>
                  </w14:solidFill>
                </w14:textFill>
              </w:rPr>
              <w:t>第十三条 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w:t>
            </w:r>
            <w:r>
              <w:rPr>
                <w:rFonts w:hint="eastAsia"/>
                <w:color w:val="000000" w:themeColor="text1"/>
                <w:sz w:val="22"/>
                <w14:textFill>
                  <w14:solidFill>
                    <w14:schemeClr w14:val="tx1"/>
                  </w14:solidFill>
                </w14:textFill>
              </w:rPr>
              <w:t>洄游</w:t>
            </w:r>
            <w:r>
              <w:rPr>
                <w:color w:val="000000" w:themeColor="text1"/>
                <w:sz w:val="22"/>
                <w14:textFill>
                  <w14:solidFill>
                    <w14:schemeClr w14:val="tx1"/>
                  </w14:solidFill>
                </w14:textFill>
              </w:rPr>
              <w:t>通道。</w:t>
            </w:r>
          </w:p>
        </w:tc>
        <w:tc>
          <w:tcPr>
            <w:tcW w:w="115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不涉及</w:t>
            </w:r>
            <w:r>
              <w:rPr>
                <w:rFonts w:eastAsiaTheme="minorEastAsia"/>
                <w:color w:val="000000" w:themeColor="text1"/>
                <w:kern w:val="0"/>
                <w:sz w:val="22"/>
                <w14:textFill>
                  <w14:solidFill>
                    <w14:schemeClr w14:val="tx1"/>
                  </w14:solidFill>
                </w14:textFill>
              </w:rPr>
              <w:t>国家湿地公园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10</w:t>
            </w:r>
          </w:p>
        </w:tc>
        <w:tc>
          <w:tcPr>
            <w:tcW w:w="327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color w:val="000000" w:themeColor="text1"/>
                <w:sz w:val="22"/>
                <w14:textFill>
                  <w14:solidFill>
                    <w14:schemeClr w14:val="tx1"/>
                  </w14:solidFill>
                </w14:textFill>
              </w:rPr>
              <w:t>第十四 条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15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不涉及占用岸线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1</w:t>
            </w:r>
            <w:r>
              <w:rPr>
                <w:rFonts w:eastAsiaTheme="minorEastAsia"/>
                <w:color w:val="000000" w:themeColor="text1"/>
                <w:kern w:val="0"/>
                <w:sz w:val="22"/>
                <w14:textFill>
                  <w14:solidFill>
                    <w14:schemeClr w14:val="tx1"/>
                  </w14:solidFill>
                </w14:textFill>
              </w:rPr>
              <w:t>1</w:t>
            </w:r>
          </w:p>
        </w:tc>
        <w:tc>
          <w:tcPr>
            <w:tcW w:w="3276" w:type="pct"/>
            <w:tcBorders>
              <w:top w:val="single" w:color="auto" w:sz="4" w:space="0"/>
              <w:left w:val="single" w:color="auto" w:sz="4" w:space="0"/>
              <w:bottom w:val="single" w:color="auto" w:sz="4" w:space="0"/>
              <w:right w:val="single" w:color="auto" w:sz="4" w:space="0"/>
            </w:tcBorders>
            <w:vAlign w:val="center"/>
          </w:tcPr>
          <w:p>
            <w:pPr>
              <w:pStyle w:val="122"/>
              <w:jc w:val="left"/>
              <w:rPr>
                <w:rFonts w:eastAsiaTheme="minorEastAsia"/>
                <w:color w:val="000000" w:themeColor="text1"/>
                <w:kern w:val="0"/>
                <w:szCs w:val="22"/>
                <w14:textFill>
                  <w14:solidFill>
                    <w14:schemeClr w14:val="tx1"/>
                  </w14:solidFill>
                </w14:textFill>
              </w:rPr>
            </w:pPr>
            <w:r>
              <w:rPr>
                <w:color w:val="000000" w:themeColor="text1"/>
                <w:szCs w:val="22"/>
                <w14:textFill>
                  <w14:solidFill>
                    <w14:schemeClr w14:val="tx1"/>
                  </w14:solidFill>
                </w14:textFill>
              </w:rPr>
              <w:t>第十五条 禁止在《全国重要江河湖泊水功能区划》划定的河段及湖泊保护区、保留区内投资建设不利于水资源及自然生态保护的项目。</w:t>
            </w:r>
          </w:p>
        </w:tc>
        <w:tc>
          <w:tcPr>
            <w:tcW w:w="1158" w:type="pct"/>
            <w:tcBorders>
              <w:top w:val="single" w:color="auto" w:sz="4" w:space="0"/>
              <w:left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1</w:t>
            </w:r>
            <w:r>
              <w:rPr>
                <w:rFonts w:eastAsiaTheme="minorEastAsia"/>
                <w:color w:val="000000" w:themeColor="text1"/>
                <w:kern w:val="0"/>
                <w:sz w:val="22"/>
                <w14:textFill>
                  <w14:solidFill>
                    <w14:schemeClr w14:val="tx1"/>
                  </w14:solidFill>
                </w14:textFill>
              </w:rPr>
              <w:t>2</w:t>
            </w:r>
          </w:p>
        </w:tc>
        <w:tc>
          <w:tcPr>
            <w:tcW w:w="3276" w:type="pct"/>
            <w:tcBorders>
              <w:top w:val="single" w:color="auto" w:sz="4" w:space="0"/>
              <w:left w:val="single" w:color="auto" w:sz="4" w:space="0"/>
              <w:bottom w:val="single" w:color="auto" w:sz="4" w:space="0"/>
              <w:right w:val="single" w:color="auto" w:sz="4" w:space="0"/>
            </w:tcBorders>
            <w:vAlign w:val="center"/>
          </w:tcPr>
          <w:p>
            <w:pPr>
              <w:pStyle w:val="122"/>
              <w:jc w:val="left"/>
              <w:rPr>
                <w:rFonts w:eastAsiaTheme="minorEastAsia"/>
                <w:color w:val="000000" w:themeColor="text1"/>
                <w:kern w:val="0"/>
                <w:szCs w:val="22"/>
                <w14:textFill>
                  <w14:solidFill>
                    <w14:schemeClr w14:val="tx1"/>
                  </w14:solidFill>
                </w14:textFill>
              </w:rPr>
            </w:pPr>
            <w:r>
              <w:rPr>
                <w:color w:val="000000" w:themeColor="text1"/>
                <w:szCs w:val="22"/>
                <w14:textFill>
                  <w14:solidFill>
                    <w14:schemeClr w14:val="tx1"/>
                  </w14:solidFill>
                </w14:textFill>
              </w:rPr>
              <w:t>第十六条 禁止在长江流域江河、湖泊新设、改设或者扩大排污口，经有管辖权的生态环境主管部门或者长江流域生态环境监督管理机构同意的除外。</w:t>
            </w:r>
          </w:p>
        </w:tc>
        <w:tc>
          <w:tcPr>
            <w:tcW w:w="1158" w:type="pct"/>
            <w:tcBorders>
              <w:left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不涉及扩大排污口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1</w:t>
            </w:r>
            <w:r>
              <w:rPr>
                <w:rFonts w:eastAsiaTheme="minorEastAsia"/>
                <w:color w:val="000000" w:themeColor="text1"/>
                <w:kern w:val="0"/>
                <w:sz w:val="22"/>
                <w14:textFill>
                  <w14:solidFill>
                    <w14:schemeClr w14:val="tx1"/>
                  </w14:solidFill>
                </w14:textFill>
              </w:rPr>
              <w:t>3</w:t>
            </w:r>
          </w:p>
        </w:tc>
        <w:tc>
          <w:tcPr>
            <w:tcW w:w="3276" w:type="pct"/>
            <w:tcBorders>
              <w:top w:val="single" w:color="auto" w:sz="4" w:space="0"/>
              <w:left w:val="single" w:color="auto" w:sz="4" w:space="0"/>
              <w:bottom w:val="single" w:color="auto" w:sz="4" w:space="0"/>
              <w:right w:val="single" w:color="auto" w:sz="4" w:space="0"/>
            </w:tcBorders>
            <w:vAlign w:val="center"/>
          </w:tcPr>
          <w:p>
            <w:pPr>
              <w:pStyle w:val="122"/>
              <w:jc w:val="left"/>
              <w:rPr>
                <w:rFonts w:eastAsiaTheme="minorEastAsia"/>
                <w:color w:val="000000" w:themeColor="text1"/>
                <w:kern w:val="0"/>
                <w:szCs w:val="22"/>
                <w14:textFill>
                  <w14:solidFill>
                    <w14:schemeClr w14:val="tx1"/>
                  </w14:solidFill>
                </w14:textFill>
              </w:rPr>
            </w:pPr>
            <w:r>
              <w:rPr>
                <w:color w:val="000000" w:themeColor="text1"/>
                <w:szCs w:val="22"/>
                <w14:textFill>
                  <w14:solidFill>
                    <w14:schemeClr w14:val="tx1"/>
                  </w14:solidFill>
                </w14:textFill>
              </w:rPr>
              <w:t>第十七条 禁止在长江干流、大渡河、岷江、赤水河、沱江、嘉陵江、乌江、汉江和51个（四川省45个、重庆市6个）水生生物保护区开展生产性捕捞。</w:t>
            </w:r>
          </w:p>
        </w:tc>
        <w:tc>
          <w:tcPr>
            <w:tcW w:w="1158" w:type="pct"/>
            <w:tcBorders>
              <w:left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不涉及</w:t>
            </w:r>
            <w:r>
              <w:rPr>
                <w:rFonts w:eastAsiaTheme="minorEastAsia"/>
                <w:color w:val="000000" w:themeColor="text1"/>
                <w:kern w:val="0"/>
                <w:sz w:val="22"/>
                <w14:textFill>
                  <w14:solidFill>
                    <w14:schemeClr w14:val="tx1"/>
                  </w14:solidFill>
                </w14:textFill>
              </w:rPr>
              <w:t>生产性捕捞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1</w:t>
            </w:r>
            <w:r>
              <w:rPr>
                <w:rFonts w:eastAsiaTheme="minorEastAsia"/>
                <w:color w:val="000000" w:themeColor="text1"/>
                <w:kern w:val="0"/>
                <w:sz w:val="22"/>
                <w14:textFill>
                  <w14:solidFill>
                    <w14:schemeClr w14:val="tx1"/>
                  </w14:solidFill>
                </w14:textFill>
              </w:rPr>
              <w:t>4</w:t>
            </w:r>
          </w:p>
        </w:tc>
        <w:tc>
          <w:tcPr>
            <w:tcW w:w="3276" w:type="pct"/>
            <w:tcBorders>
              <w:top w:val="single" w:color="auto" w:sz="4" w:space="0"/>
              <w:left w:val="single" w:color="auto" w:sz="4" w:space="0"/>
              <w:bottom w:val="single" w:color="auto" w:sz="4" w:space="0"/>
              <w:right w:val="single" w:color="auto" w:sz="4" w:space="0"/>
            </w:tcBorders>
            <w:vAlign w:val="center"/>
          </w:tcPr>
          <w:p>
            <w:pPr>
              <w:pStyle w:val="122"/>
              <w:jc w:val="left"/>
              <w:rPr>
                <w:rFonts w:eastAsiaTheme="minorEastAsia"/>
                <w:color w:val="000000" w:themeColor="text1"/>
                <w:kern w:val="0"/>
                <w:szCs w:val="22"/>
                <w14:textFill>
                  <w14:solidFill>
                    <w14:schemeClr w14:val="tx1"/>
                  </w14:solidFill>
                </w14:textFill>
              </w:rPr>
            </w:pPr>
            <w:r>
              <w:rPr>
                <w:color w:val="000000" w:themeColor="text1"/>
                <w:szCs w:val="22"/>
                <w14:textFill>
                  <w14:solidFill>
                    <w14:schemeClr w14:val="tx1"/>
                  </w14:solidFill>
                </w14:textFill>
              </w:rPr>
              <w:t>第十八条 禁止在长江干支流、重要湖泊岸线一公里范围内新建、扩建化工园区和化工项目。</w:t>
            </w:r>
          </w:p>
        </w:tc>
        <w:tc>
          <w:tcPr>
            <w:tcW w:w="1158" w:type="pct"/>
            <w:tcBorders>
              <w:left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不属于化工项目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1</w:t>
            </w:r>
            <w:r>
              <w:rPr>
                <w:rFonts w:eastAsiaTheme="minorEastAsia"/>
                <w:color w:val="000000" w:themeColor="text1"/>
                <w:kern w:val="0"/>
                <w:sz w:val="22"/>
                <w14:textFill>
                  <w14:solidFill>
                    <w14:schemeClr w14:val="tx1"/>
                  </w14:solidFill>
                </w14:textFill>
              </w:rPr>
              <w:t>5</w:t>
            </w:r>
          </w:p>
        </w:tc>
        <w:tc>
          <w:tcPr>
            <w:tcW w:w="3276" w:type="pct"/>
            <w:tcBorders>
              <w:top w:val="single" w:color="auto" w:sz="4" w:space="0"/>
              <w:left w:val="single" w:color="auto" w:sz="4" w:space="0"/>
              <w:bottom w:val="single" w:color="auto" w:sz="4" w:space="0"/>
              <w:right w:val="single" w:color="auto" w:sz="4" w:space="0"/>
            </w:tcBorders>
            <w:vAlign w:val="center"/>
          </w:tcPr>
          <w:p>
            <w:pPr>
              <w:pStyle w:val="122"/>
              <w:jc w:val="left"/>
              <w:rPr>
                <w:rFonts w:eastAsiaTheme="minorEastAsia"/>
                <w:color w:val="000000" w:themeColor="text1"/>
                <w:kern w:val="0"/>
                <w:szCs w:val="22"/>
                <w14:textFill>
                  <w14:solidFill>
                    <w14:schemeClr w14:val="tx1"/>
                  </w14:solidFill>
                </w14:textFill>
              </w:rPr>
            </w:pPr>
            <w:r>
              <w:rPr>
                <w:color w:val="000000" w:themeColor="text1"/>
                <w:szCs w:val="22"/>
                <w14:textFill>
                  <w14:solidFill>
                    <w14:schemeClr w14:val="tx1"/>
                  </w14:solidFill>
                </w14:textFill>
              </w:rPr>
              <w:t>第十九条 禁止在长江干流岸线三公里范围内和重要支流岸线一公里范围内新建、改建、扩建尾矿库、冶炼渣库、磷石膏库，以提升安全、生态环境保护水平为目的改建除外。</w:t>
            </w:r>
          </w:p>
        </w:tc>
        <w:tc>
          <w:tcPr>
            <w:tcW w:w="1158" w:type="pct"/>
            <w:tcBorders>
              <w:left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不属于上述项目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1</w:t>
            </w:r>
            <w:r>
              <w:rPr>
                <w:rFonts w:eastAsiaTheme="minorEastAsia"/>
                <w:color w:val="000000" w:themeColor="text1"/>
                <w:kern w:val="0"/>
                <w:sz w:val="22"/>
                <w14:textFill>
                  <w14:solidFill>
                    <w14:schemeClr w14:val="tx1"/>
                  </w14:solidFill>
                </w14:textFill>
              </w:rPr>
              <w:t>6</w:t>
            </w:r>
          </w:p>
        </w:tc>
        <w:tc>
          <w:tcPr>
            <w:tcW w:w="3276" w:type="pct"/>
            <w:tcBorders>
              <w:top w:val="single" w:color="auto" w:sz="4" w:space="0"/>
              <w:left w:val="single" w:color="auto" w:sz="4" w:space="0"/>
              <w:bottom w:val="single" w:color="auto" w:sz="4" w:space="0"/>
              <w:right w:val="single" w:color="auto" w:sz="4" w:space="0"/>
            </w:tcBorders>
            <w:vAlign w:val="center"/>
          </w:tcPr>
          <w:p>
            <w:pPr>
              <w:pStyle w:val="122"/>
              <w:jc w:val="left"/>
              <w:rPr>
                <w:rFonts w:eastAsiaTheme="minorEastAsia"/>
                <w:color w:val="000000" w:themeColor="text1"/>
                <w:kern w:val="0"/>
                <w:szCs w:val="22"/>
                <w14:textFill>
                  <w14:solidFill>
                    <w14:schemeClr w14:val="tx1"/>
                  </w14:solidFill>
                </w14:textFill>
              </w:rPr>
            </w:pPr>
            <w:r>
              <w:rPr>
                <w:color w:val="000000" w:themeColor="text1"/>
                <w:szCs w:val="22"/>
                <w14:textFill>
                  <w14:solidFill>
                    <w14:schemeClr w14:val="tx1"/>
                  </w14:solidFill>
                </w14:textFill>
              </w:rPr>
              <w:t>第二十条 禁止在生态保护红线区域、永久基本农田集中区域和其他需要特别保护的区域内选址建设尾矿库﹑冶炼渣库、磷石膏库。</w:t>
            </w:r>
          </w:p>
        </w:tc>
        <w:tc>
          <w:tcPr>
            <w:tcW w:w="1158" w:type="pct"/>
            <w:tcBorders>
              <w:left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不涉及</w:t>
            </w:r>
            <w:r>
              <w:rPr>
                <w:rFonts w:eastAsiaTheme="minorEastAsia"/>
                <w:color w:val="000000" w:themeColor="text1"/>
                <w:kern w:val="0"/>
                <w:sz w:val="22"/>
                <w14:textFill>
                  <w14:solidFill>
                    <w14:schemeClr w14:val="tx1"/>
                  </w14:solidFill>
                </w14:textFill>
              </w:rPr>
              <w:t>生态保护红线区域、永久基本农田集中区域和其他需要特别保护的区域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1</w:t>
            </w:r>
            <w:r>
              <w:rPr>
                <w:rFonts w:eastAsiaTheme="minorEastAsia"/>
                <w:color w:val="000000" w:themeColor="text1"/>
                <w:kern w:val="0"/>
                <w:sz w:val="22"/>
                <w14:textFill>
                  <w14:solidFill>
                    <w14:schemeClr w14:val="tx1"/>
                  </w14:solidFill>
                </w14:textFill>
              </w:rPr>
              <w:t>7</w:t>
            </w:r>
          </w:p>
        </w:tc>
        <w:tc>
          <w:tcPr>
            <w:tcW w:w="3276" w:type="pct"/>
            <w:tcBorders>
              <w:top w:val="single" w:color="auto" w:sz="4" w:space="0"/>
              <w:left w:val="single" w:color="auto" w:sz="4" w:space="0"/>
              <w:bottom w:val="single" w:color="auto" w:sz="4" w:space="0"/>
              <w:right w:val="single" w:color="auto" w:sz="4" w:space="0"/>
            </w:tcBorders>
            <w:vAlign w:val="center"/>
          </w:tcPr>
          <w:p>
            <w:pPr>
              <w:pStyle w:val="122"/>
              <w:jc w:val="left"/>
              <w:rPr>
                <w:rFonts w:eastAsiaTheme="minorEastAsia"/>
                <w:color w:val="000000" w:themeColor="text1"/>
                <w:kern w:val="0"/>
                <w:szCs w:val="22"/>
                <w14:textFill>
                  <w14:solidFill>
                    <w14:schemeClr w14:val="tx1"/>
                  </w14:solidFill>
                </w14:textFill>
              </w:rPr>
            </w:pPr>
            <w:r>
              <w:rPr>
                <w:color w:val="000000" w:themeColor="text1"/>
                <w:szCs w:val="22"/>
                <w14:textFill>
                  <w14:solidFill>
                    <w14:schemeClr w14:val="tx1"/>
                  </w14:solidFill>
                </w14:textFill>
              </w:rPr>
              <w:t>第二十一条 禁止在合规园区外新建、扩建钢铁、石化、化工、焦化、建材、有色、制浆造纸等高污染项目。</w:t>
            </w:r>
          </w:p>
        </w:tc>
        <w:tc>
          <w:tcPr>
            <w:tcW w:w="1158" w:type="pct"/>
            <w:tcBorders>
              <w:left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不属于</w:t>
            </w:r>
            <w:r>
              <w:rPr>
                <w:rFonts w:eastAsiaTheme="minorEastAsia"/>
                <w:color w:val="000000" w:themeColor="text1"/>
                <w:kern w:val="0"/>
                <w:sz w:val="22"/>
                <w14:textFill>
                  <w14:solidFill>
                    <w14:schemeClr w14:val="tx1"/>
                  </w14:solidFill>
                </w14:textFill>
              </w:rPr>
              <w:t>高污染</w:t>
            </w:r>
            <w:r>
              <w:rPr>
                <w:rFonts w:hint="eastAsia" w:eastAsiaTheme="minorEastAsia"/>
                <w:color w:val="000000" w:themeColor="text1"/>
                <w:kern w:val="0"/>
                <w:sz w:val="22"/>
                <w14:textFill>
                  <w14:solidFill>
                    <w14:schemeClr w14:val="tx1"/>
                  </w14:solidFill>
                </w14:textFill>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1</w:t>
            </w:r>
            <w:r>
              <w:rPr>
                <w:rFonts w:eastAsiaTheme="minorEastAsia"/>
                <w:color w:val="000000" w:themeColor="text1"/>
                <w:kern w:val="0"/>
                <w:sz w:val="22"/>
                <w14:textFill>
                  <w14:solidFill>
                    <w14:schemeClr w14:val="tx1"/>
                  </w14:solidFill>
                </w14:textFill>
              </w:rPr>
              <w:t>8</w:t>
            </w:r>
          </w:p>
        </w:tc>
        <w:tc>
          <w:tcPr>
            <w:tcW w:w="3276" w:type="pct"/>
            <w:tcBorders>
              <w:top w:val="single" w:color="auto" w:sz="4" w:space="0"/>
              <w:left w:val="single" w:color="auto" w:sz="4" w:space="0"/>
              <w:bottom w:val="single" w:color="auto" w:sz="4" w:space="0"/>
              <w:right w:val="single" w:color="auto" w:sz="4" w:space="0"/>
            </w:tcBorders>
            <w:vAlign w:val="center"/>
          </w:tcPr>
          <w:p>
            <w:pPr>
              <w:pStyle w:val="122"/>
              <w:jc w:val="left"/>
              <w:rPr>
                <w:rFonts w:eastAsiaTheme="minorEastAsia"/>
                <w:color w:val="000000" w:themeColor="text1"/>
                <w:kern w:val="0"/>
                <w:szCs w:val="22"/>
                <w14:textFill>
                  <w14:solidFill>
                    <w14:schemeClr w14:val="tx1"/>
                  </w14:solidFill>
                </w14:textFill>
              </w:rPr>
            </w:pPr>
            <w:r>
              <w:rPr>
                <w:color w:val="000000" w:themeColor="text1"/>
                <w:szCs w:val="22"/>
                <w14:textFill>
                  <w14:solidFill>
                    <w14:schemeClr w14:val="tx1"/>
                  </w14:solidFill>
                </w14:textFill>
              </w:rPr>
              <w:t>第二十二条禁止新建、扩建不符合国家石化、现代煤化工等产业布局规划的项目。</w:t>
            </w:r>
          </w:p>
        </w:tc>
        <w:tc>
          <w:tcPr>
            <w:tcW w:w="1158" w:type="pct"/>
            <w:tcBorders>
              <w:left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不属于</w:t>
            </w:r>
            <w:r>
              <w:rPr>
                <w:rFonts w:eastAsiaTheme="minorEastAsia"/>
                <w:color w:val="000000" w:themeColor="text1"/>
                <w:kern w:val="0"/>
                <w:sz w:val="22"/>
                <w14:textFill>
                  <w14:solidFill>
                    <w14:schemeClr w14:val="tx1"/>
                  </w14:solidFill>
                </w14:textFill>
              </w:rPr>
              <w:t>石化、现代煤化工</w:t>
            </w:r>
            <w:r>
              <w:rPr>
                <w:rFonts w:hint="eastAsia" w:eastAsiaTheme="minorEastAsia"/>
                <w:color w:val="000000" w:themeColor="text1"/>
                <w:kern w:val="0"/>
                <w:sz w:val="22"/>
                <w14:textFill>
                  <w14:solidFill>
                    <w14:schemeClr w14:val="tx1"/>
                  </w14:solidFill>
                </w14:textFill>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1</w:t>
            </w:r>
            <w:r>
              <w:rPr>
                <w:rFonts w:eastAsiaTheme="minorEastAsia"/>
                <w:color w:val="000000" w:themeColor="text1"/>
                <w:kern w:val="0"/>
                <w:sz w:val="22"/>
                <w14:textFill>
                  <w14:solidFill>
                    <w14:schemeClr w14:val="tx1"/>
                  </w14:solidFill>
                </w14:textFill>
              </w:rPr>
              <w:t>9</w:t>
            </w:r>
          </w:p>
        </w:tc>
        <w:tc>
          <w:tcPr>
            <w:tcW w:w="3276" w:type="pct"/>
            <w:tcBorders>
              <w:top w:val="single" w:color="auto" w:sz="4" w:space="0"/>
              <w:left w:val="single" w:color="auto" w:sz="4" w:space="0"/>
              <w:bottom w:val="single" w:color="auto" w:sz="4" w:space="0"/>
              <w:right w:val="single" w:color="auto" w:sz="4" w:space="0"/>
            </w:tcBorders>
            <w:vAlign w:val="center"/>
          </w:tcPr>
          <w:p>
            <w:pPr>
              <w:pStyle w:val="122"/>
              <w:jc w:val="left"/>
              <w:rPr>
                <w:rFonts w:eastAsiaTheme="minorEastAsia"/>
                <w:color w:val="000000" w:themeColor="text1"/>
                <w:kern w:val="0"/>
                <w:szCs w:val="22"/>
                <w14:textFill>
                  <w14:solidFill>
                    <w14:schemeClr w14:val="tx1"/>
                  </w14:solidFill>
                </w14:textFill>
              </w:rPr>
            </w:pPr>
            <w:r>
              <w:rPr>
                <w:color w:val="000000" w:themeColor="text1"/>
                <w:szCs w:val="22"/>
                <w14:textFill>
                  <w14:solidFill>
                    <w14:schemeClr w14:val="tx1"/>
                  </w14:solidFill>
                </w14:textFill>
              </w:rPr>
              <w:t>第二十三条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158" w:type="pct"/>
            <w:tcBorders>
              <w:left w:val="single" w:color="auto" w:sz="4" w:space="0"/>
              <w:right w:val="single" w:color="auto" w:sz="4" w:space="0"/>
            </w:tcBorders>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不属于落后产能项目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2</w:t>
            </w:r>
            <w:r>
              <w:rPr>
                <w:rFonts w:eastAsiaTheme="minorEastAsia"/>
                <w:color w:val="000000" w:themeColor="text1"/>
                <w:kern w:val="0"/>
                <w:sz w:val="22"/>
                <w14:textFill>
                  <w14:solidFill>
                    <w14:schemeClr w14:val="tx1"/>
                  </w14:solidFill>
                </w14:textFill>
              </w:rPr>
              <w:t>0</w:t>
            </w:r>
          </w:p>
        </w:tc>
        <w:tc>
          <w:tcPr>
            <w:tcW w:w="3276" w:type="pct"/>
            <w:tcBorders>
              <w:top w:val="single" w:color="auto" w:sz="4" w:space="0"/>
              <w:left w:val="single" w:color="auto" w:sz="4" w:space="0"/>
              <w:bottom w:val="single" w:color="auto" w:sz="4" w:space="0"/>
              <w:right w:val="single" w:color="auto" w:sz="4" w:space="0"/>
            </w:tcBorders>
            <w:vAlign w:val="center"/>
          </w:tcPr>
          <w:p>
            <w:pPr>
              <w:pStyle w:val="122"/>
              <w:jc w:val="left"/>
              <w:rPr>
                <w:rFonts w:eastAsiaTheme="minorEastAsia"/>
                <w:color w:val="000000" w:themeColor="text1"/>
                <w:kern w:val="0"/>
                <w:szCs w:val="22"/>
                <w14:textFill>
                  <w14:solidFill>
                    <w14:schemeClr w14:val="tx1"/>
                  </w14:solidFill>
                </w14:textFill>
              </w:rPr>
            </w:pPr>
            <w:r>
              <w:rPr>
                <w:color w:val="000000" w:themeColor="text1"/>
                <w:szCs w:val="22"/>
                <w14:textFill>
                  <w14:solidFill>
                    <w14:schemeClr w14:val="tx1"/>
                  </w14:solidFill>
                </w14:textFill>
              </w:rPr>
              <w:t>第二十四条禁止新建、扩建不符合国家产能置换要求的严重过剩产能行业的项目。对于不符合国家产能置换要求的严重过剩产能行业，不得以其他任何名义、任何方式备案新增产能项目。</w:t>
            </w:r>
          </w:p>
        </w:tc>
        <w:tc>
          <w:tcPr>
            <w:tcW w:w="1158" w:type="pct"/>
            <w:tcBorders>
              <w:left w:val="single" w:color="auto" w:sz="4" w:space="0"/>
              <w:right w:val="single" w:color="auto" w:sz="4" w:space="0"/>
            </w:tcBorders>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不属于落后产能项目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2</w:t>
            </w:r>
            <w:r>
              <w:rPr>
                <w:rFonts w:eastAsiaTheme="minorEastAsia"/>
                <w:color w:val="000000" w:themeColor="text1"/>
                <w:kern w:val="0"/>
                <w:sz w:val="22"/>
                <w14:textFill>
                  <w14:solidFill>
                    <w14:schemeClr w14:val="tx1"/>
                  </w14:solidFill>
                </w14:textFill>
              </w:rPr>
              <w:t>1</w:t>
            </w:r>
          </w:p>
        </w:tc>
        <w:tc>
          <w:tcPr>
            <w:tcW w:w="3276" w:type="pct"/>
            <w:tcBorders>
              <w:top w:val="single" w:color="auto" w:sz="4" w:space="0"/>
              <w:left w:val="single" w:color="auto" w:sz="4" w:space="0"/>
              <w:bottom w:val="single" w:color="auto" w:sz="4" w:space="0"/>
              <w:right w:val="single" w:color="auto" w:sz="4" w:space="0"/>
            </w:tcBorders>
            <w:vAlign w:val="center"/>
          </w:tcPr>
          <w:p>
            <w:pPr>
              <w:pStyle w:val="122"/>
              <w:jc w:val="left"/>
              <w:rPr>
                <w:rFonts w:eastAsiaTheme="minorEastAsia"/>
                <w:color w:val="000000" w:themeColor="text1"/>
                <w:kern w:val="0"/>
                <w:szCs w:val="22"/>
                <w14:textFill>
                  <w14:solidFill>
                    <w14:schemeClr w14:val="tx1"/>
                  </w14:solidFill>
                </w14:textFill>
              </w:rPr>
            </w:pPr>
            <w:r>
              <w:rPr>
                <w:color w:val="000000" w:themeColor="text1"/>
                <w:szCs w:val="22"/>
                <w14:textFill>
                  <w14:solidFill>
                    <w14:schemeClr w14:val="tx1"/>
                  </w14:solidFill>
                </w14:textFill>
              </w:rPr>
              <w:t>第二十五条禁止建设以下燃油汽车投资项目（不在中国境内销售产品的投资项目除外）…..</w:t>
            </w:r>
          </w:p>
        </w:tc>
        <w:tc>
          <w:tcPr>
            <w:tcW w:w="1158" w:type="pct"/>
            <w:tcBorders>
              <w:left w:val="single" w:color="auto" w:sz="4" w:space="0"/>
              <w:right w:val="single" w:color="auto" w:sz="4" w:space="0"/>
            </w:tcBorders>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不属于燃油汽车投资项目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hint="eastAsia" w:eastAsiaTheme="minorEastAsia"/>
                <w:color w:val="000000" w:themeColor="text1"/>
                <w:kern w:val="0"/>
                <w:sz w:val="22"/>
                <w14:textFill>
                  <w14:solidFill>
                    <w14:schemeClr w14:val="tx1"/>
                  </w14:solidFill>
                </w14:textFill>
              </w:rPr>
              <w:t>2</w:t>
            </w:r>
            <w:r>
              <w:rPr>
                <w:rFonts w:eastAsiaTheme="minorEastAsia"/>
                <w:color w:val="000000" w:themeColor="text1"/>
                <w:kern w:val="0"/>
                <w:sz w:val="22"/>
                <w14:textFill>
                  <w14:solidFill>
                    <w14:schemeClr w14:val="tx1"/>
                  </w14:solidFill>
                </w14:textFill>
              </w:rPr>
              <w:t>2</w:t>
            </w:r>
          </w:p>
        </w:tc>
        <w:tc>
          <w:tcPr>
            <w:tcW w:w="3276" w:type="pct"/>
            <w:tcBorders>
              <w:top w:val="single" w:color="auto" w:sz="4" w:space="0"/>
              <w:left w:val="single" w:color="auto" w:sz="4" w:space="0"/>
              <w:bottom w:val="single" w:color="auto" w:sz="4" w:space="0"/>
              <w:right w:val="single" w:color="auto" w:sz="4" w:space="0"/>
            </w:tcBorders>
            <w:vAlign w:val="center"/>
          </w:tcPr>
          <w:p>
            <w:pPr>
              <w:pStyle w:val="122"/>
              <w:jc w:val="left"/>
              <w:rPr>
                <w:rFonts w:eastAsiaTheme="minorEastAsia"/>
                <w:color w:val="000000" w:themeColor="text1"/>
                <w:kern w:val="0"/>
                <w:szCs w:val="22"/>
                <w14:textFill>
                  <w14:solidFill>
                    <w14:schemeClr w14:val="tx1"/>
                  </w14:solidFill>
                </w14:textFill>
              </w:rPr>
            </w:pPr>
            <w:r>
              <w:rPr>
                <w:color w:val="000000" w:themeColor="text1"/>
                <w:szCs w:val="22"/>
                <w14:textFill>
                  <w14:solidFill>
                    <w14:schemeClr w14:val="tx1"/>
                  </w14:solidFill>
                </w14:textFill>
              </w:rPr>
              <w:t>第二十六条禁止新建、扩建不符合要求的高耗能、高排放、低水平项目。</w:t>
            </w:r>
          </w:p>
        </w:tc>
        <w:tc>
          <w:tcPr>
            <w:tcW w:w="1158" w:type="pct"/>
            <w:tcBorders>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不属于高耗能、高排放、低水平项目</w:t>
            </w:r>
          </w:p>
        </w:tc>
      </w:tr>
    </w:tbl>
    <w:p>
      <w:pPr>
        <w:pStyle w:val="195"/>
        <w:ind w:firstLine="520"/>
        <w:rPr>
          <w:color w:val="000000" w:themeColor="text1"/>
          <w14:textFill>
            <w14:solidFill>
              <w14:schemeClr w14:val="tx1"/>
            </w14:solidFill>
          </w14:textFill>
        </w:rPr>
      </w:pP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与重庆市固体废物（含危险废物）集中处置设施建设规划（2021-2025）及规划环评的符合性分析</w:t>
      </w:r>
    </w:p>
    <w:p>
      <w:pPr>
        <w:pStyle w:val="5"/>
        <w:jc w:val="both"/>
      </w:pPr>
      <w:r>
        <w:rPr>
          <w:rFonts w:hint="eastAsia"/>
        </w:rPr>
        <w:t>与重庆市固体废物（含危险废物）集中处置设施建设规划（2021-2025）符合性分析</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根据《重庆市固体废物（含危险废物）集中处置设施建设规划（2021-2025）》（渝环</w:t>
      </w:r>
      <w:r>
        <w:rPr>
          <w:rFonts w:hint="eastAsia" w:eastAsia="方正仿宋_GBK"/>
          <w:color w:val="000000" w:themeColor="text1"/>
          <w14:textFill>
            <w14:solidFill>
              <w14:schemeClr w14:val="tx1"/>
            </w14:solidFill>
          </w14:textFill>
        </w:rPr>
        <w:t>〔</w:t>
      </w:r>
      <w:r>
        <w:rPr>
          <w:color w:val="000000" w:themeColor="text1"/>
          <w14:textFill>
            <w14:solidFill>
              <w14:schemeClr w14:val="tx1"/>
            </w14:solidFill>
          </w14:textFill>
        </w:rPr>
        <w:t>2022</w:t>
      </w:r>
      <w:r>
        <w:rPr>
          <w:rFonts w:hint="eastAsia" w:eastAsia="方正仿宋_GBK"/>
          <w:color w:val="000000" w:themeColor="text1"/>
          <w14:textFill>
            <w14:solidFill>
              <w14:schemeClr w14:val="tx1"/>
            </w14:solidFill>
          </w14:textFill>
        </w:rPr>
        <w:t>〕</w:t>
      </w:r>
      <w:r>
        <w:rPr>
          <w:color w:val="000000" w:themeColor="text1"/>
          <w14:textFill>
            <w14:solidFill>
              <w14:schemeClr w14:val="tx1"/>
            </w14:solidFill>
          </w14:textFill>
        </w:rPr>
        <w:t>142</w:t>
      </w:r>
      <w:r>
        <w:rPr>
          <w:rFonts w:hint="eastAsia"/>
          <w:color w:val="000000" w:themeColor="text1"/>
          <w14:textFill>
            <w14:solidFill>
              <w14:schemeClr w14:val="tx1"/>
            </w14:solidFill>
          </w14:textFill>
        </w:rPr>
        <w:t>号），一般工业固体废物的规划目标为：</w:t>
      </w:r>
      <w:r>
        <w:rPr>
          <w:color w:val="000000" w:themeColor="text1"/>
          <w14:textFill>
            <w14:solidFill>
              <w14:schemeClr w14:val="tx1"/>
            </w14:solidFill>
          </w14:textFill>
        </w:rPr>
        <w:t>到2025年，大宗工业固体废物贮存处置总量趋零增长，综合利用水平显著提升，大宗工业固体废物综合利用率达到70%。在万盛</w:t>
      </w:r>
      <w:r>
        <w:rPr>
          <w:rFonts w:hint="eastAsia"/>
          <w:color w:val="000000" w:themeColor="text1"/>
          <w14:textFill>
            <w14:solidFill>
              <w14:schemeClr w14:val="tx1"/>
            </w14:solidFill>
          </w14:textFill>
        </w:rPr>
        <w:t>、荣昌</w:t>
      </w:r>
      <w:r>
        <w:rPr>
          <w:color w:val="000000" w:themeColor="text1"/>
          <w14:textFill>
            <w14:solidFill>
              <w14:schemeClr w14:val="tx1"/>
            </w14:solidFill>
          </w14:textFill>
        </w:rPr>
        <w:t>、涪陵等地</w:t>
      </w:r>
      <w:r>
        <w:rPr>
          <w:rFonts w:hint="eastAsia"/>
          <w:color w:val="000000" w:themeColor="text1"/>
          <w14:textFill>
            <w14:solidFill>
              <w14:schemeClr w14:val="tx1"/>
            </w14:solidFill>
          </w14:textFill>
        </w:rPr>
        <w:t>新改扩建9</w:t>
      </w:r>
      <w:r>
        <w:rPr>
          <w:color w:val="000000" w:themeColor="text1"/>
          <w14:textFill>
            <w14:solidFill>
              <w14:schemeClr w14:val="tx1"/>
            </w14:solidFill>
          </w14:textFill>
        </w:rPr>
        <w:t>座一般工业固体废物处置场，区域一般工业固体废物处置能力大幅提升</w:t>
      </w:r>
      <w:r>
        <w:rPr>
          <w:rFonts w:hint="eastAsia"/>
          <w:color w:val="000000" w:themeColor="text1"/>
          <w14:textFill>
            <w14:solidFill>
              <w14:schemeClr w14:val="tx1"/>
            </w14:solidFill>
          </w14:textFill>
        </w:rPr>
        <w:t>。</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本项目为利用龙桥电厂循环流化床锅炉焚烧处置太极制药产生的醇沉药渣，综合回收药渣的热值，减少一般工业固体废物堆存量，符合规划目标要求。</w:t>
      </w:r>
    </w:p>
    <w:p>
      <w:pPr>
        <w:pStyle w:val="5"/>
        <w:jc w:val="both"/>
      </w:pPr>
      <w:r>
        <w:rPr>
          <w:rFonts w:hint="eastAsia"/>
        </w:rPr>
        <w:t>与重庆市固体废物（含危险废物）集中处置设施建设规划（2021-2025）环评审查意见函的符合性分析</w:t>
      </w:r>
    </w:p>
    <w:p>
      <w:pPr>
        <w:ind w:firstLine="520"/>
        <w:jc w:val="both"/>
        <w:rPr>
          <w:color w:val="000000" w:themeColor="text1"/>
          <w14:textFill>
            <w14:solidFill>
              <w14:schemeClr w14:val="tx1"/>
            </w14:solidFill>
          </w14:textFill>
        </w:rPr>
      </w:pPr>
      <w:r>
        <w:rPr>
          <w:color w:val="000000" w:themeColor="text1"/>
          <w14:textFill>
            <w14:solidFill>
              <w14:schemeClr w14:val="tx1"/>
            </w14:solidFill>
          </w14:textFill>
        </w:rPr>
        <w:t>202</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月</w:t>
      </w:r>
      <w:r>
        <w:rPr>
          <w:rFonts w:hint="eastAsia"/>
          <w:color w:val="000000" w:themeColor="text1"/>
          <w14:textFill>
            <w14:solidFill>
              <w14:schemeClr w14:val="tx1"/>
            </w14:solidFill>
          </w14:textFill>
        </w:rPr>
        <w:t>13</w:t>
      </w:r>
      <w:r>
        <w:rPr>
          <w:color w:val="000000" w:themeColor="text1"/>
          <w14:textFill>
            <w14:solidFill>
              <w14:schemeClr w14:val="tx1"/>
            </w14:solidFill>
          </w14:textFill>
        </w:rPr>
        <w:t>日</w:t>
      </w:r>
      <w:r>
        <w:rPr>
          <w:rFonts w:hint="eastAsia"/>
          <w:color w:val="000000" w:themeColor="text1"/>
          <w14:textFill>
            <w14:solidFill>
              <w14:schemeClr w14:val="tx1"/>
            </w14:solidFill>
          </w14:textFill>
        </w:rPr>
        <w:t>，重庆市生态环境局出具了《关于重庆市固体废物（含危险废物）集中处置设施建设规划（2021-2025年）环境影响报告书审查意见的函》（</w:t>
      </w:r>
      <w:bookmarkStart w:id="44" w:name="gwz"/>
      <w:r>
        <w:rPr>
          <w:rFonts w:hint="eastAsia" w:eastAsia="方正仿宋_GBK"/>
          <w:color w:val="000000" w:themeColor="text1"/>
          <w14:textFill>
            <w14:solidFill>
              <w14:schemeClr w14:val="tx1"/>
            </w14:solidFill>
          </w14:textFill>
        </w:rPr>
        <w:t>渝环函</w:t>
      </w:r>
      <w:bookmarkEnd w:id="44"/>
      <w:r>
        <w:rPr>
          <w:rFonts w:hint="eastAsia" w:eastAsia="方正仿宋_GBK"/>
          <w:color w:val="000000" w:themeColor="text1"/>
          <w14:textFill>
            <w14:solidFill>
              <w14:schemeClr w14:val="tx1"/>
            </w14:solidFill>
          </w14:textFill>
        </w:rPr>
        <w:t>〔</w:t>
      </w:r>
      <w:bookmarkStart w:id="45" w:name="gwnh"/>
      <w:r>
        <w:rPr>
          <w:rFonts w:hint="eastAsia" w:eastAsia="方正仿宋_GBK"/>
          <w:color w:val="000000" w:themeColor="text1"/>
          <w14:textFill>
            <w14:solidFill>
              <w14:schemeClr w14:val="tx1"/>
            </w14:solidFill>
          </w14:textFill>
        </w:rPr>
        <w:t>2023</w:t>
      </w:r>
      <w:bookmarkEnd w:id="45"/>
      <w:r>
        <w:rPr>
          <w:rFonts w:hint="eastAsia" w:eastAsia="方正仿宋_GBK"/>
          <w:color w:val="000000" w:themeColor="text1"/>
          <w14:textFill>
            <w14:solidFill>
              <w14:schemeClr w14:val="tx1"/>
            </w14:solidFill>
          </w14:textFill>
        </w:rPr>
        <w:t>〕</w:t>
      </w:r>
      <w:bookmarkStart w:id="46" w:name="gwqh"/>
      <w:r>
        <w:rPr>
          <w:rFonts w:hint="eastAsia" w:eastAsia="方正仿宋_GBK"/>
          <w:color w:val="000000" w:themeColor="text1"/>
          <w14:textFill>
            <w14:solidFill>
              <w14:schemeClr w14:val="tx1"/>
            </w14:solidFill>
          </w14:textFill>
        </w:rPr>
        <w:t>94</w:t>
      </w:r>
      <w:bookmarkEnd w:id="46"/>
      <w:r>
        <w:rPr>
          <w:rFonts w:hint="eastAsia" w:eastAsia="方正仿宋_GBK"/>
          <w:bCs/>
          <w:color w:val="000000" w:themeColor="text1"/>
          <w14:textFill>
            <w14:solidFill>
              <w14:schemeClr w14:val="tx1"/>
            </w14:solidFill>
          </w14:textFill>
        </w:rPr>
        <w:t>号</w:t>
      </w:r>
      <w:r>
        <w:rPr>
          <w:rFonts w:hint="eastAsia"/>
          <w:color w:val="000000" w:themeColor="text1"/>
          <w14:textFill>
            <w14:solidFill>
              <w14:schemeClr w14:val="tx1"/>
            </w14:solidFill>
          </w14:textFill>
        </w:rPr>
        <w:t>），本项目与审查意见函中一般工业固废处置相关要求的符合性分析见下表。</w:t>
      </w:r>
    </w:p>
    <w:p>
      <w:pPr>
        <w:pStyle w:val="39"/>
        <w:rPr>
          <w:color w:val="000000" w:themeColor="text1"/>
          <w14:textFill>
            <w14:solidFill>
              <w14:schemeClr w14:val="tx1"/>
            </w14:solidFill>
          </w14:textFill>
        </w:rPr>
      </w:pPr>
      <w:r>
        <w:rPr>
          <w:color w:val="000000" w:themeColor="text1"/>
          <w14:textFill>
            <w14:solidFill>
              <w14:schemeClr w14:val="tx1"/>
            </w14:solidFill>
          </w14:textFill>
        </w:rPr>
        <w:t>项目与</w:t>
      </w:r>
      <w:r>
        <w:rPr>
          <w:rFonts w:hint="eastAsia"/>
          <w:color w:val="000000" w:themeColor="text1"/>
          <w14:textFill>
            <w14:solidFill>
              <w14:schemeClr w14:val="tx1"/>
            </w14:solidFill>
          </w14:textFill>
        </w:rPr>
        <w:t>固废集中处置</w:t>
      </w:r>
      <w:r>
        <w:rPr>
          <w:color w:val="000000" w:themeColor="text1"/>
          <w14:textFill>
            <w14:solidFill>
              <w14:schemeClr w14:val="tx1"/>
            </w14:solidFill>
          </w14:textFill>
        </w:rPr>
        <w:t>规划环评审查意见函的符合性分析</w:t>
      </w:r>
    </w:p>
    <w:tbl>
      <w:tblPr>
        <w:tblStyle w:val="43"/>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4982"/>
        <w:gridCol w:w="1377"/>
        <w:gridCol w:w="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6537" w:type="dxa"/>
            <w:gridSpan w:val="2"/>
            <w:vAlign w:val="center"/>
          </w:tcPr>
          <w:p>
            <w:pPr>
              <w:pStyle w:val="202"/>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重庆市固体废物（含危险废物）集中处置设施建设规划（2021-2025年）环境影响报告书</w:t>
            </w:r>
            <w:r>
              <w:rPr>
                <w:color w:val="000000" w:themeColor="text1"/>
                <w14:textFill>
                  <w14:solidFill>
                    <w14:schemeClr w14:val="tx1"/>
                  </w14:solidFill>
                </w14:textFill>
              </w:rPr>
              <w:t>》审查意见函</w:t>
            </w:r>
            <w:r>
              <w:rPr>
                <w:rFonts w:hint="eastAsia"/>
                <w:color w:val="000000" w:themeColor="text1"/>
                <w14:textFill>
                  <w14:solidFill>
                    <w14:schemeClr w14:val="tx1"/>
                  </w14:solidFill>
                </w14:textFill>
              </w:rPr>
              <w:t>相关</w:t>
            </w:r>
            <w:r>
              <w:rPr>
                <w:color w:val="000000" w:themeColor="text1"/>
                <w14:textFill>
                  <w14:solidFill>
                    <w14:schemeClr w14:val="tx1"/>
                  </w14:solidFill>
                </w14:textFill>
              </w:rPr>
              <w:t>内容</w:t>
            </w:r>
          </w:p>
        </w:tc>
        <w:tc>
          <w:tcPr>
            <w:tcW w:w="1377" w:type="dxa"/>
            <w:vAlign w:val="center"/>
          </w:tcPr>
          <w:p>
            <w:pPr>
              <w:pStyle w:val="202"/>
              <w:rPr>
                <w:color w:val="000000" w:themeColor="text1"/>
                <w14:textFill>
                  <w14:solidFill>
                    <w14:schemeClr w14:val="tx1"/>
                  </w14:solidFill>
                </w14:textFill>
              </w:rPr>
            </w:pPr>
            <w:r>
              <w:rPr>
                <w:color w:val="000000" w:themeColor="text1"/>
                <w14:textFill>
                  <w14:solidFill>
                    <w14:schemeClr w14:val="tx1"/>
                  </w14:solidFill>
                </w14:textFill>
              </w:rPr>
              <w:t>本项目情况</w:t>
            </w:r>
          </w:p>
        </w:tc>
        <w:tc>
          <w:tcPr>
            <w:tcW w:w="806" w:type="dxa"/>
            <w:vAlign w:val="center"/>
          </w:tcPr>
          <w:p>
            <w:pPr>
              <w:pStyle w:val="202"/>
              <w:rPr>
                <w:color w:val="000000" w:themeColor="text1"/>
                <w14:textFill>
                  <w14:solidFill>
                    <w14:schemeClr w14:val="tx1"/>
                  </w14:solidFill>
                </w14:textFill>
              </w:rPr>
            </w:pPr>
            <w:r>
              <w:rPr>
                <w:color w:val="000000" w:themeColor="text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55" w:type="dxa"/>
            <w:vAlign w:val="center"/>
          </w:tcPr>
          <w:p>
            <w:pPr>
              <w:pStyle w:val="202"/>
              <w:rPr>
                <w:color w:val="000000" w:themeColor="text1"/>
                <w14:textFill>
                  <w14:solidFill>
                    <w14:schemeClr w14:val="tx1"/>
                  </w14:solidFill>
                </w14:textFill>
              </w:rPr>
            </w:pPr>
            <w:r>
              <w:rPr>
                <w:rFonts w:hint="eastAsia"/>
                <w:bCs/>
                <w:color w:val="000000" w:themeColor="text1"/>
                <w14:textFill>
                  <w14:solidFill>
                    <w14:schemeClr w14:val="tx1"/>
                  </w14:solidFill>
                </w14:textFill>
              </w:rPr>
              <w:t>优化空间布局</w:t>
            </w:r>
          </w:p>
        </w:tc>
        <w:tc>
          <w:tcPr>
            <w:tcW w:w="4982" w:type="dxa"/>
            <w:vAlign w:val="center"/>
          </w:tcPr>
          <w:p>
            <w:pPr>
              <w:pStyle w:val="202"/>
              <w:rPr>
                <w:color w:val="000000" w:themeColor="text1"/>
                <w14:textFill>
                  <w14:solidFill>
                    <w14:schemeClr w14:val="tx1"/>
                  </w14:solidFill>
                </w14:textFill>
              </w:rPr>
            </w:pPr>
            <w:r>
              <w:rPr>
                <w:rFonts w:hint="eastAsia"/>
                <w:color w:val="000000" w:themeColor="text1"/>
                <w14:textFill>
                  <w14:solidFill>
                    <w14:schemeClr w14:val="tx1"/>
                  </w14:solidFill>
                </w14:textFill>
              </w:rPr>
              <w:t>规划项目选址应满足相应法律法规、技术规范以及报告书提出的管控要求。规划所包含的建设项目在项目环评阶段应结合处置厂（场）处理处置类型、厂（场）址环境特征、技术工艺、污染物排放特征及其扩散条件等合理确定与环境保护目标之间的位置关系，设置必要的环境防护距离，尽量减少对外环境的影响。规划项目应避让生态保护红线等生态环境敏感区，确保满足相关管控要求。</w:t>
            </w:r>
          </w:p>
        </w:tc>
        <w:tc>
          <w:tcPr>
            <w:tcW w:w="1377" w:type="dxa"/>
            <w:vAlign w:val="center"/>
          </w:tcPr>
          <w:p>
            <w:pPr>
              <w:pStyle w:val="202"/>
              <w:rPr>
                <w:color w:val="000000" w:themeColor="text1"/>
                <w14:textFill>
                  <w14:solidFill>
                    <w14:schemeClr w14:val="tx1"/>
                  </w14:solidFill>
                </w14:textFill>
              </w:rPr>
            </w:pPr>
            <w:r>
              <w:rPr>
                <w:rFonts w:hint="eastAsia"/>
                <w:color w:val="000000" w:themeColor="text1"/>
                <w14:textFill>
                  <w14:solidFill>
                    <w14:schemeClr w14:val="tx1"/>
                  </w14:solidFill>
                </w14:textFill>
              </w:rPr>
              <w:t>项目位于园区内的陕渝临港热电厂内，不涉及生态环境敏感区</w:t>
            </w:r>
          </w:p>
        </w:tc>
        <w:tc>
          <w:tcPr>
            <w:tcW w:w="806" w:type="dxa"/>
            <w:vAlign w:val="center"/>
          </w:tcPr>
          <w:p>
            <w:pPr>
              <w:pStyle w:val="202"/>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55" w:type="dxa"/>
            <w:vMerge w:val="restart"/>
            <w:vAlign w:val="center"/>
          </w:tcPr>
          <w:p>
            <w:pPr>
              <w:pStyle w:val="202"/>
              <w:rPr>
                <w:color w:val="000000" w:themeColor="text1"/>
                <w14:textFill>
                  <w14:solidFill>
                    <w14:schemeClr w14:val="tx1"/>
                  </w14:solidFill>
                </w14:textFill>
              </w:rPr>
            </w:pPr>
            <w:r>
              <w:rPr>
                <w:rFonts w:hint="eastAsia"/>
                <w:bCs/>
                <w:color w:val="000000" w:themeColor="text1"/>
                <w14:textFill>
                  <w14:solidFill>
                    <w14:schemeClr w14:val="tx1"/>
                  </w14:solidFill>
                </w14:textFill>
              </w:rPr>
              <w:t>加强环境污染防治，确保环境质量底线不突破。</w:t>
            </w:r>
          </w:p>
        </w:tc>
        <w:tc>
          <w:tcPr>
            <w:tcW w:w="4982" w:type="dxa"/>
            <w:vAlign w:val="center"/>
          </w:tcPr>
          <w:p>
            <w:pPr>
              <w:pStyle w:val="202"/>
              <w:rPr>
                <w:color w:val="000000" w:themeColor="text1"/>
                <w14:textFill>
                  <w14:solidFill>
                    <w14:schemeClr w14:val="tx1"/>
                  </w14:solidFill>
                </w14:textFill>
              </w:rPr>
            </w:pPr>
            <w:r>
              <w:rPr>
                <w:rFonts w:hint="eastAsia"/>
                <w:color w:val="000000" w:themeColor="text1"/>
                <w14:textFill>
                  <w14:solidFill>
                    <w14:schemeClr w14:val="tx1"/>
                  </w14:solidFill>
                </w14:textFill>
              </w:rPr>
              <w:t>强化规划项目大气污染防治措施，采取高效的收集措施和技术先进、工艺成熟稳定的大气污染防治技术确保达标排放。严格落实二噁英及重金属等特征污染物的管控对策和措施要求。加强对无组织排放废气的收集与处理，采取密闭空间或局部气体收集、负压收集等有效措施，强化挥发性有机污染物的收集与处理，进一步减少臭气、异味等对周边环境的影响。环境空气不能稳定达标的区域，新改扩建固体废物处置设施时，应按相关要求落实污染物削减方案，确保区域环境空气质量不降低。</w:t>
            </w:r>
          </w:p>
        </w:tc>
        <w:tc>
          <w:tcPr>
            <w:tcW w:w="1377" w:type="dxa"/>
            <w:vAlign w:val="center"/>
          </w:tcPr>
          <w:p>
            <w:pPr>
              <w:pStyle w:val="202"/>
              <w:rPr>
                <w:color w:val="000000" w:themeColor="text1"/>
                <w14:textFill>
                  <w14:solidFill>
                    <w14:schemeClr w14:val="tx1"/>
                  </w14:solidFill>
                </w14:textFill>
              </w:rPr>
            </w:pPr>
            <w:r>
              <w:rPr>
                <w:rFonts w:hint="eastAsia"/>
                <w:color w:val="000000" w:themeColor="text1"/>
                <w14:textFill>
                  <w14:solidFill>
                    <w14:schemeClr w14:val="tx1"/>
                  </w14:solidFill>
                </w14:textFill>
              </w:rPr>
              <w:t>项目不新增污染物排放量，依托陕渝临港热电厂现有循环流化床锅炉配套废气处理设施可满足要求</w:t>
            </w:r>
          </w:p>
        </w:tc>
        <w:tc>
          <w:tcPr>
            <w:tcW w:w="806" w:type="dxa"/>
            <w:vAlign w:val="center"/>
          </w:tcPr>
          <w:p>
            <w:pPr>
              <w:pStyle w:val="202"/>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55" w:type="dxa"/>
            <w:vMerge w:val="continue"/>
            <w:vAlign w:val="center"/>
          </w:tcPr>
          <w:p>
            <w:pPr>
              <w:pStyle w:val="202"/>
              <w:rPr>
                <w:bCs/>
                <w:color w:val="000000" w:themeColor="text1"/>
                <w14:textFill>
                  <w14:solidFill>
                    <w14:schemeClr w14:val="tx1"/>
                  </w14:solidFill>
                </w14:textFill>
              </w:rPr>
            </w:pPr>
          </w:p>
        </w:tc>
        <w:tc>
          <w:tcPr>
            <w:tcW w:w="4982" w:type="dxa"/>
            <w:vAlign w:val="center"/>
          </w:tcPr>
          <w:p>
            <w:pPr>
              <w:pStyle w:val="202"/>
              <w:rPr>
                <w:color w:val="000000" w:themeColor="text1"/>
                <w14:textFill>
                  <w14:solidFill>
                    <w14:schemeClr w14:val="tx1"/>
                  </w14:solidFill>
                </w14:textFill>
              </w:rPr>
            </w:pPr>
            <w:r>
              <w:rPr>
                <w:rFonts w:hint="eastAsia"/>
                <w:color w:val="000000" w:themeColor="text1"/>
                <w14:textFill>
                  <w14:solidFill>
                    <w14:schemeClr w14:val="tx1"/>
                  </w14:solidFill>
                </w14:textFill>
              </w:rPr>
              <w:t>规划项目废水应采取可行性技术，确保重金属、持久性有机物等特征因子的处理满足标准及规范要求，纳入市政管网处理的污水应满足区域集中污水处理设施的接管要求。加强中水回用，严格控制排入地表水体的污染物排放量，确保满足地表水体环境容量控制要求。</w:t>
            </w:r>
          </w:p>
        </w:tc>
        <w:tc>
          <w:tcPr>
            <w:tcW w:w="1377" w:type="dxa"/>
            <w:vAlign w:val="center"/>
          </w:tcPr>
          <w:p>
            <w:pPr>
              <w:pStyle w:val="202"/>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本项目不排放废水</w:t>
            </w:r>
          </w:p>
        </w:tc>
        <w:tc>
          <w:tcPr>
            <w:tcW w:w="806" w:type="dxa"/>
            <w:vAlign w:val="center"/>
          </w:tcPr>
          <w:p>
            <w:pPr>
              <w:pStyle w:val="202"/>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55" w:type="dxa"/>
            <w:vMerge w:val="continue"/>
            <w:vAlign w:val="center"/>
          </w:tcPr>
          <w:p>
            <w:pPr>
              <w:pStyle w:val="202"/>
              <w:rPr>
                <w:bCs/>
                <w:color w:val="000000" w:themeColor="text1"/>
                <w14:textFill>
                  <w14:solidFill>
                    <w14:schemeClr w14:val="tx1"/>
                  </w14:solidFill>
                </w14:textFill>
              </w:rPr>
            </w:pPr>
          </w:p>
        </w:tc>
        <w:tc>
          <w:tcPr>
            <w:tcW w:w="4982" w:type="dxa"/>
            <w:vAlign w:val="center"/>
          </w:tcPr>
          <w:p>
            <w:pPr>
              <w:pStyle w:val="202"/>
              <w:rPr>
                <w:color w:val="000000" w:themeColor="text1"/>
                <w14:textFill>
                  <w14:solidFill>
                    <w14:schemeClr w14:val="tx1"/>
                  </w14:solidFill>
                </w14:textFill>
              </w:rPr>
            </w:pPr>
            <w:r>
              <w:rPr>
                <w:rFonts w:hint="eastAsia"/>
                <w:color w:val="000000" w:themeColor="text1"/>
                <w14:textFill>
                  <w14:solidFill>
                    <w14:schemeClr w14:val="tx1"/>
                  </w14:solidFill>
                </w14:textFill>
              </w:rPr>
              <w:t>落实规划项目地下水、土壤污染防治主体责任，按照源头控制、分区防控、污染监控、应急响应原则确定地下水、土壤环境污染防治措施。项目环评阶段应重点论证有毒有害物质贮存、输送、利用、处置、污水治理等过程的防渗漏、泄漏措施有效性，制定切实可行的自行监测方案，防止造成地下水和土壤污染。</w:t>
            </w:r>
          </w:p>
        </w:tc>
        <w:tc>
          <w:tcPr>
            <w:tcW w:w="1377" w:type="dxa"/>
            <w:vAlign w:val="center"/>
          </w:tcPr>
          <w:p>
            <w:pPr>
              <w:pStyle w:val="202"/>
              <w:rPr>
                <w:color w:val="000000" w:themeColor="text1"/>
                <w14:textFill>
                  <w14:solidFill>
                    <w14:schemeClr w14:val="tx1"/>
                  </w14:solidFill>
                </w14:textFill>
              </w:rPr>
            </w:pPr>
            <w:r>
              <w:rPr>
                <w:rFonts w:hint="eastAsia"/>
                <w:color w:val="000000" w:themeColor="text1"/>
                <w14:textFill>
                  <w14:solidFill>
                    <w14:schemeClr w14:val="tx1"/>
                  </w14:solidFill>
                </w14:textFill>
              </w:rPr>
              <w:t>项目无地下水、土壤污染途径</w:t>
            </w:r>
          </w:p>
        </w:tc>
        <w:tc>
          <w:tcPr>
            <w:tcW w:w="806" w:type="dxa"/>
            <w:vAlign w:val="center"/>
          </w:tcPr>
          <w:p>
            <w:pPr>
              <w:pStyle w:val="202"/>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55" w:type="dxa"/>
            <w:vMerge w:val="continue"/>
            <w:vAlign w:val="center"/>
          </w:tcPr>
          <w:p>
            <w:pPr>
              <w:pStyle w:val="202"/>
              <w:rPr>
                <w:bCs/>
                <w:color w:val="000000" w:themeColor="text1"/>
                <w14:textFill>
                  <w14:solidFill>
                    <w14:schemeClr w14:val="tx1"/>
                  </w14:solidFill>
                </w14:textFill>
              </w:rPr>
            </w:pPr>
          </w:p>
        </w:tc>
        <w:tc>
          <w:tcPr>
            <w:tcW w:w="4982" w:type="dxa"/>
            <w:vAlign w:val="center"/>
          </w:tcPr>
          <w:p>
            <w:pPr>
              <w:pStyle w:val="202"/>
              <w:rPr>
                <w:color w:val="000000" w:themeColor="text1"/>
                <w14:textFill>
                  <w14:solidFill>
                    <w14:schemeClr w14:val="tx1"/>
                  </w14:solidFill>
                </w14:textFill>
              </w:rPr>
            </w:pPr>
            <w:r>
              <w:rPr>
                <w:rFonts w:hint="eastAsia"/>
                <w:color w:val="000000" w:themeColor="text1"/>
                <w14:textFill>
                  <w14:solidFill>
                    <w14:schemeClr w14:val="tx1"/>
                  </w14:solidFill>
                </w14:textFill>
              </w:rPr>
              <w:t>推进分类收运、利用与处置，规范固体废物收集、中转和资源化利用场所建设和运营，尤其关注飞灰、炉渣等次生固体废物的贮存、运输以及末端处置，应确保满足相关技术规范要求，采取填埋方式的应严格控制地下水、土壤等次生污染。</w:t>
            </w:r>
          </w:p>
        </w:tc>
        <w:tc>
          <w:tcPr>
            <w:tcW w:w="1377" w:type="dxa"/>
            <w:vAlign w:val="center"/>
          </w:tcPr>
          <w:p>
            <w:pPr>
              <w:pStyle w:val="202"/>
              <w:rPr>
                <w:color w:val="000000" w:themeColor="text1"/>
                <w14:textFill>
                  <w14:solidFill>
                    <w14:schemeClr w14:val="tx1"/>
                  </w14:solidFill>
                </w14:textFill>
              </w:rPr>
            </w:pPr>
            <w:r>
              <w:rPr>
                <w:rFonts w:hint="eastAsia"/>
                <w:color w:val="000000" w:themeColor="text1"/>
                <w14:textFill>
                  <w14:solidFill>
                    <w14:schemeClr w14:val="tx1"/>
                  </w14:solidFill>
                </w14:textFill>
              </w:rPr>
              <w:t>项目醇沉药渣不在厂区内暂存，项目实施后不增加现有锅炉炉渣产生量，依托现有固废暂存设施满足要求</w:t>
            </w:r>
          </w:p>
        </w:tc>
        <w:tc>
          <w:tcPr>
            <w:tcW w:w="806" w:type="dxa"/>
            <w:vAlign w:val="center"/>
          </w:tcPr>
          <w:p>
            <w:pPr>
              <w:pStyle w:val="202"/>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55" w:type="dxa"/>
            <w:vAlign w:val="center"/>
          </w:tcPr>
          <w:p>
            <w:pPr>
              <w:pStyle w:val="202"/>
              <w:rPr>
                <w:color w:val="000000" w:themeColor="text1"/>
                <w14:textFill>
                  <w14:solidFill>
                    <w14:schemeClr w14:val="tx1"/>
                  </w14:solidFill>
                </w14:textFill>
              </w:rPr>
            </w:pPr>
            <w:r>
              <w:rPr>
                <w:rFonts w:hint="eastAsia"/>
                <w:bCs/>
                <w:color w:val="000000" w:themeColor="text1"/>
                <w14:textFill>
                  <w14:solidFill>
                    <w14:schemeClr w14:val="tx1"/>
                  </w14:solidFill>
                </w14:textFill>
              </w:rPr>
              <w:t>强化环境风险防范</w:t>
            </w:r>
          </w:p>
        </w:tc>
        <w:tc>
          <w:tcPr>
            <w:tcW w:w="4982" w:type="dxa"/>
            <w:vAlign w:val="center"/>
          </w:tcPr>
          <w:p>
            <w:pPr>
              <w:pStyle w:val="202"/>
              <w:rPr>
                <w:color w:val="000000" w:themeColor="text1"/>
                <w14:textFill>
                  <w14:solidFill>
                    <w14:schemeClr w14:val="tx1"/>
                  </w14:solidFill>
                </w14:textFill>
              </w:rPr>
            </w:pPr>
            <w:r>
              <w:rPr>
                <w:rFonts w:hint="eastAsia"/>
                <w:color w:val="000000" w:themeColor="text1"/>
                <w14:textFill>
                  <w14:solidFill>
                    <w14:schemeClr w14:val="tx1"/>
                  </w14:solidFill>
                </w14:textFill>
              </w:rPr>
              <w:t>加强对规划项目环境风险源的监督管理，规划项目应严格落实各项环境风险防范措施，建立完善的环境空气、地表水、地下水、土壤等环境应急防范和监测、监控体系，防范突发性环境风险事故发生。同时重点关注二噁英及重金属等特征污染物对生态环境的累积影响和人群健康的影响。</w:t>
            </w:r>
          </w:p>
        </w:tc>
        <w:tc>
          <w:tcPr>
            <w:tcW w:w="1377" w:type="dxa"/>
            <w:vAlign w:val="center"/>
          </w:tcPr>
          <w:p>
            <w:pPr>
              <w:pStyle w:val="202"/>
              <w:rPr>
                <w:color w:val="000000" w:themeColor="text1"/>
                <w14:textFill>
                  <w14:solidFill>
                    <w14:schemeClr w14:val="tx1"/>
                  </w14:solidFill>
                </w14:textFill>
              </w:rPr>
            </w:pPr>
            <w:r>
              <w:rPr>
                <w:rFonts w:hint="eastAsia"/>
                <w:color w:val="000000" w:themeColor="text1"/>
                <w14:textFill>
                  <w14:solidFill>
                    <w14:schemeClr w14:val="tx1"/>
                  </w14:solidFill>
                </w14:textFill>
              </w:rPr>
              <w:t>依托陕渝临港热电厂现有风险防范体系可满足要求</w:t>
            </w:r>
          </w:p>
        </w:tc>
        <w:tc>
          <w:tcPr>
            <w:tcW w:w="806" w:type="dxa"/>
            <w:vAlign w:val="center"/>
          </w:tcPr>
          <w:p>
            <w:pPr>
              <w:pStyle w:val="202"/>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pPr>
        <w:ind w:firstLine="520"/>
        <w:rPr>
          <w:color w:val="000000" w:themeColor="text1"/>
          <w14:textFill>
            <w14:solidFill>
              <w14:schemeClr w14:val="tx1"/>
            </w14:solidFill>
          </w14:textFill>
        </w:rPr>
      </w:pP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与所在工业园区规划及其规划环评的</w:t>
      </w:r>
      <w:r>
        <w:rPr>
          <w:color w:val="000000" w:themeColor="text1"/>
          <w14:textFill>
            <w14:solidFill>
              <w14:schemeClr w14:val="tx1"/>
            </w14:solidFill>
          </w14:textFill>
        </w:rPr>
        <w:t>符合性分析</w:t>
      </w:r>
    </w:p>
    <w:p>
      <w:pPr>
        <w:pStyle w:val="5"/>
      </w:pPr>
      <w:r>
        <w:rPr>
          <w:rFonts w:hint="eastAsia"/>
        </w:rPr>
        <w:t>与</w:t>
      </w:r>
      <w:bookmarkStart w:id="47" w:name="_Hlk106729187"/>
      <w:r>
        <w:rPr>
          <w:rFonts w:hint="eastAsia"/>
        </w:rPr>
        <w:t>重庆涪陵工业园区龙桥组团规划（调整）</w:t>
      </w:r>
      <w:bookmarkEnd w:id="47"/>
      <w:r>
        <w:rPr>
          <w:rFonts w:hint="eastAsia"/>
        </w:rPr>
        <w:t>符合性分析</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项目位于重庆涪陵工业园区龙桥组团规划南岸浦片区，在陕渝临港热电厂内建设，不新增用地，符合区域用地规划。</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区域规划产业定位为“南岸浦片区</w:t>
      </w:r>
      <w:r>
        <w:rPr>
          <w:color w:val="000000" w:themeColor="text1"/>
          <w14:textFill>
            <w14:solidFill>
              <w14:schemeClr w14:val="tx1"/>
            </w14:solidFill>
          </w14:textFill>
        </w:rPr>
        <w:t>依托蓬威石化PTA项目，发展化纤纺织产业</w:t>
      </w:r>
      <w:r>
        <w:rPr>
          <w:rFonts w:hint="eastAsia"/>
          <w:color w:val="000000" w:themeColor="text1"/>
          <w14:textFill>
            <w14:solidFill>
              <w14:schemeClr w14:val="tx1"/>
            </w14:solidFill>
          </w14:textFill>
        </w:rPr>
        <w:t>，其中长江1公里范围内剩余工业用地规划产业为非化工类化纤下游产业。”本项目与规划产业定位不冲突。</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综上，项目符合区域规划。</w:t>
      </w:r>
    </w:p>
    <w:p>
      <w:pPr>
        <w:pStyle w:val="5"/>
      </w:pPr>
      <w:r>
        <w:rPr>
          <w:rFonts w:hint="eastAsia"/>
        </w:rPr>
        <w:t>与重庆涪陵工业园区龙桥组团规划调整规划环评及其审查意见的符合性分析</w:t>
      </w:r>
    </w:p>
    <w:p>
      <w:pPr>
        <w:pStyle w:val="195"/>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中煤科工重庆设计研究院（集团）有限公司</w:t>
      </w:r>
      <w:r>
        <w:rPr>
          <w:color w:val="000000" w:themeColor="text1"/>
          <w14:textFill>
            <w14:solidFill>
              <w14:schemeClr w14:val="tx1"/>
            </w14:solidFill>
          </w14:textFill>
        </w:rPr>
        <w:t>2021</w:t>
      </w:r>
      <w:r>
        <w:rPr>
          <w:rFonts w:hint="eastAsia"/>
          <w:color w:val="000000" w:themeColor="text1"/>
          <w14:textFill>
            <w14:solidFill>
              <w14:schemeClr w14:val="tx1"/>
            </w14:solidFill>
          </w14:textFill>
        </w:rPr>
        <w:t>年5月编制完成了</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重庆涪陵工业园区龙桥组团规划调整</w:t>
      </w:r>
      <w:r>
        <w:rPr>
          <w:color w:val="000000" w:themeColor="text1"/>
          <w14:textFill>
            <w14:solidFill>
              <w14:schemeClr w14:val="tx1"/>
            </w14:solidFill>
          </w14:textFill>
        </w:rPr>
        <w:t>环境影响报告书》</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021</w:t>
      </w:r>
      <w:r>
        <w:rPr>
          <w:rFonts w:hint="eastAsia"/>
          <w:color w:val="000000" w:themeColor="text1"/>
          <w14:textFill>
            <w14:solidFill>
              <w14:schemeClr w14:val="tx1"/>
            </w14:solidFill>
          </w14:textFill>
        </w:rPr>
        <w:t>年），重庆市生态环境局于2</w:t>
      </w:r>
      <w:r>
        <w:rPr>
          <w:color w:val="000000" w:themeColor="text1"/>
          <w14:textFill>
            <w14:solidFill>
              <w14:schemeClr w14:val="tx1"/>
            </w14:solidFill>
          </w14:textFill>
        </w:rPr>
        <w:t>021</w:t>
      </w:r>
      <w:r>
        <w:rPr>
          <w:rFonts w:hint="eastAsia"/>
          <w:color w:val="000000" w:themeColor="text1"/>
          <w14:textFill>
            <w14:solidFill>
              <w14:schemeClr w14:val="tx1"/>
            </w14:solidFill>
          </w14:textFill>
        </w:rPr>
        <w:t>年6月8日以渝环函[</w:t>
      </w:r>
      <w:r>
        <w:rPr>
          <w:color w:val="000000" w:themeColor="text1"/>
          <w14:textFill>
            <w14:solidFill>
              <w14:schemeClr w14:val="tx1"/>
            </w14:solidFill>
          </w14:textFill>
        </w:rPr>
        <w:t>2021]360</w:t>
      </w:r>
      <w:r>
        <w:rPr>
          <w:rFonts w:hint="eastAsia"/>
          <w:color w:val="000000" w:themeColor="text1"/>
          <w14:textFill>
            <w14:solidFill>
              <w14:schemeClr w14:val="tx1"/>
            </w14:solidFill>
          </w14:textFill>
        </w:rPr>
        <w:t>号出具了审查意见函。</w:t>
      </w:r>
    </w:p>
    <w:p>
      <w:pPr>
        <w:pStyle w:val="195"/>
        <w:ind w:firstLine="52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重庆涪陵工业园区龙桥组团规划调整</w:t>
      </w:r>
      <w:r>
        <w:rPr>
          <w:color w:val="000000" w:themeColor="text1"/>
          <w14:textFill>
            <w14:solidFill>
              <w14:schemeClr w14:val="tx1"/>
            </w14:solidFill>
          </w14:textFill>
        </w:rPr>
        <w:t>环境影响报告书》</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021</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及其审查意见函，项目与其符合性分析见下表。</w:t>
      </w:r>
    </w:p>
    <w:p>
      <w:pPr>
        <w:pStyle w:val="39"/>
        <w:rPr>
          <w:color w:val="000000" w:themeColor="text1"/>
          <w14:textFill>
            <w14:solidFill>
              <w14:schemeClr w14:val="tx1"/>
            </w14:solidFill>
          </w14:textFill>
        </w:rPr>
      </w:pPr>
      <w:r>
        <w:rPr>
          <w:color w:val="000000" w:themeColor="text1"/>
          <w14:textFill>
            <w14:solidFill>
              <w14:schemeClr w14:val="tx1"/>
            </w14:solidFill>
          </w14:textFill>
        </w:rPr>
        <w:t>项目与园区规划环评及其审查意见函的符合性分析</w:t>
      </w:r>
    </w:p>
    <w:tbl>
      <w:tblPr>
        <w:tblStyle w:val="43"/>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996"/>
        <w:gridCol w:w="4444"/>
        <w:gridCol w:w="1377"/>
        <w:gridCol w:w="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6537" w:type="dxa"/>
            <w:gridSpan w:val="3"/>
            <w:vAlign w:val="center"/>
          </w:tcPr>
          <w:p>
            <w:pPr>
              <w:pStyle w:val="202"/>
            </w:pPr>
            <w:r>
              <w:t>《</w:t>
            </w:r>
            <w:r>
              <w:rPr>
                <w:rFonts w:hint="eastAsia"/>
              </w:rPr>
              <w:t>重庆涪陵工业园区龙桥组团规划调整</w:t>
            </w:r>
            <w:r>
              <w:t>环境影响报告书》及其审查意见函内容</w:t>
            </w:r>
          </w:p>
        </w:tc>
        <w:tc>
          <w:tcPr>
            <w:tcW w:w="1377" w:type="dxa"/>
            <w:vAlign w:val="center"/>
          </w:tcPr>
          <w:p>
            <w:pPr>
              <w:pStyle w:val="202"/>
            </w:pPr>
            <w:r>
              <w:t>本项目情况</w:t>
            </w:r>
          </w:p>
        </w:tc>
        <w:tc>
          <w:tcPr>
            <w:tcW w:w="806" w:type="dxa"/>
            <w:vAlign w:val="center"/>
          </w:tcPr>
          <w:p>
            <w:pPr>
              <w:pStyle w:val="202"/>
            </w:pPr>
            <w: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97" w:type="dxa"/>
            <w:vMerge w:val="restart"/>
            <w:vAlign w:val="center"/>
          </w:tcPr>
          <w:p>
            <w:pPr>
              <w:pStyle w:val="202"/>
            </w:pPr>
            <w:r>
              <w:rPr>
                <w:rFonts w:hint="eastAsia"/>
              </w:rPr>
              <w:t>生态环境准入清单</w:t>
            </w:r>
          </w:p>
        </w:tc>
        <w:tc>
          <w:tcPr>
            <w:tcW w:w="996" w:type="dxa"/>
            <w:vAlign w:val="center"/>
          </w:tcPr>
          <w:p>
            <w:pPr>
              <w:pStyle w:val="202"/>
            </w:pPr>
            <w:r>
              <w:rPr>
                <w:rFonts w:hint="eastAsia"/>
              </w:rPr>
              <w:t>空间</w:t>
            </w:r>
            <w:r>
              <w:t>约束</w:t>
            </w:r>
          </w:p>
        </w:tc>
        <w:tc>
          <w:tcPr>
            <w:tcW w:w="4444" w:type="dxa"/>
            <w:vAlign w:val="center"/>
          </w:tcPr>
          <w:p>
            <w:pPr>
              <w:pStyle w:val="202"/>
              <w:jc w:val="left"/>
            </w:pPr>
            <w:bookmarkStart w:id="48" w:name="_Hlk61857774"/>
            <w:r>
              <w:rPr>
                <w:rFonts w:hint="eastAsia"/>
              </w:rPr>
              <w:t>禁止在长江干支流1公里范围内新建、扩建化工项目；安置房周边应设置一定宽度防护绿地（不低于5</w:t>
            </w:r>
            <w:r>
              <w:t>0</w:t>
            </w:r>
            <w:r>
              <w:rPr>
                <w:rFonts w:hint="eastAsia"/>
              </w:rPr>
              <w:t>m）或不得布局二类、三类工业</w:t>
            </w:r>
            <w:bookmarkEnd w:id="48"/>
            <w:r>
              <w:rPr>
                <w:rFonts w:hint="eastAsia"/>
              </w:rPr>
              <w:t>。</w:t>
            </w:r>
          </w:p>
        </w:tc>
        <w:tc>
          <w:tcPr>
            <w:tcW w:w="1377" w:type="dxa"/>
            <w:vAlign w:val="center"/>
          </w:tcPr>
          <w:p>
            <w:pPr>
              <w:pStyle w:val="202"/>
            </w:pPr>
            <w:r>
              <w:rPr>
                <w:rFonts w:hint="eastAsia"/>
              </w:rPr>
              <w:t>不属于化工项目</w:t>
            </w:r>
          </w:p>
        </w:tc>
        <w:tc>
          <w:tcPr>
            <w:tcW w:w="806" w:type="dxa"/>
            <w:vAlign w:val="center"/>
          </w:tcPr>
          <w:p>
            <w:pPr>
              <w:pStyle w:val="20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97" w:type="dxa"/>
            <w:vMerge w:val="continue"/>
            <w:vAlign w:val="center"/>
          </w:tcPr>
          <w:p>
            <w:pPr>
              <w:pStyle w:val="202"/>
              <w:ind w:firstLine="520"/>
            </w:pPr>
          </w:p>
        </w:tc>
        <w:tc>
          <w:tcPr>
            <w:tcW w:w="996" w:type="dxa"/>
            <w:vAlign w:val="center"/>
          </w:tcPr>
          <w:p>
            <w:pPr>
              <w:pStyle w:val="202"/>
            </w:pPr>
            <w:r>
              <w:rPr>
                <w:rFonts w:hint="eastAsia"/>
              </w:rPr>
              <w:t>污染物排放管控</w:t>
            </w:r>
          </w:p>
        </w:tc>
        <w:tc>
          <w:tcPr>
            <w:tcW w:w="4444" w:type="dxa"/>
            <w:vAlign w:val="center"/>
          </w:tcPr>
          <w:p>
            <w:pPr>
              <w:pStyle w:val="202"/>
              <w:numPr>
                <w:ilvl w:val="0"/>
                <w:numId w:val="16"/>
              </w:numPr>
              <w:ind w:left="13" w:firstLine="0"/>
              <w:jc w:val="left"/>
            </w:pPr>
            <w:bookmarkStart w:id="49" w:name="_Hlk61861250"/>
            <w:r>
              <w:rPr>
                <w:rFonts w:hint="eastAsia"/>
              </w:rPr>
              <w:t>持续推进规划区内燃煤锅炉超低排放改造，降低区域大气污染物排放量。</w:t>
            </w:r>
            <w:bookmarkEnd w:id="49"/>
          </w:p>
          <w:p>
            <w:pPr>
              <w:pStyle w:val="202"/>
              <w:numPr>
                <w:ilvl w:val="0"/>
                <w:numId w:val="16"/>
              </w:numPr>
              <w:ind w:left="13" w:firstLine="0"/>
              <w:jc w:val="left"/>
            </w:pPr>
            <w:r>
              <w:rPr>
                <w:rFonts w:hint="eastAsia"/>
              </w:rPr>
              <w:t>江南二水厂、李渡水厂饮用水水源取水口上游20公里范围内的沿岸地区（江河50年一遇洪水位向陆域一侧1公里范围内），禁止新建、扩建排放重金属（铬、镉、汞、砷、铅等五类重金属，下同）、剧毒物质和持久性有机污染物的工业项目。</w:t>
            </w:r>
          </w:p>
          <w:p>
            <w:pPr>
              <w:pStyle w:val="202"/>
              <w:numPr>
                <w:ilvl w:val="0"/>
                <w:numId w:val="16"/>
              </w:numPr>
              <w:ind w:left="13" w:firstLine="0"/>
              <w:jc w:val="left"/>
            </w:pPr>
            <w:r>
              <w:rPr>
                <w:rFonts w:hint="eastAsia"/>
              </w:rPr>
              <w:t>受纳水体长江鸭嘴石断面例行监测数据2019年总磷最大占标率9</w:t>
            </w:r>
            <w:r>
              <w:t>4</w:t>
            </w:r>
            <w:r>
              <w:rPr>
                <w:rFonts w:hint="eastAsia"/>
              </w:rPr>
              <w:t>%（II类水体），如果区域未完成环境质量改善目标，禁止新增涉及工业废水重点污染物（总磷）排放的建设项目（不低于1.5倍实施倍量削减的除外）。</w:t>
            </w:r>
          </w:p>
          <w:p>
            <w:pPr>
              <w:pStyle w:val="202"/>
              <w:numPr>
                <w:ilvl w:val="0"/>
                <w:numId w:val="16"/>
              </w:numPr>
              <w:ind w:left="13" w:firstLine="0"/>
              <w:jc w:val="left"/>
            </w:pPr>
            <w:r>
              <w:rPr>
                <w:rFonts w:hint="eastAsia"/>
              </w:rPr>
              <w:t>持续完善区内企业臭气污染治理。</w:t>
            </w:r>
          </w:p>
          <w:p>
            <w:pPr>
              <w:pStyle w:val="202"/>
              <w:numPr>
                <w:ilvl w:val="0"/>
                <w:numId w:val="16"/>
              </w:numPr>
              <w:ind w:left="13" w:firstLine="0"/>
              <w:jc w:val="left"/>
            </w:pPr>
            <w:r>
              <w:rPr>
                <w:rFonts w:hint="eastAsia"/>
              </w:rPr>
              <w:t>加强规划区大气、地表水、土壤、地下水跟踪监测。</w:t>
            </w:r>
          </w:p>
          <w:p>
            <w:pPr>
              <w:pStyle w:val="202"/>
              <w:numPr>
                <w:ilvl w:val="0"/>
                <w:numId w:val="16"/>
              </w:numPr>
              <w:ind w:left="13" w:firstLine="0"/>
              <w:jc w:val="left"/>
            </w:pPr>
            <w:r>
              <w:rPr>
                <w:rFonts w:hint="eastAsia"/>
              </w:rPr>
              <w:t>龙桥Ⅱ类一般工业固体废物处置场严格各项管理制度，严禁危险废物和生活垃圾混入，加强档案制度，记录入场一般工业固废的种类数量，长期保存相关管理资料。</w:t>
            </w:r>
          </w:p>
          <w:p>
            <w:pPr>
              <w:pStyle w:val="202"/>
              <w:numPr>
                <w:ilvl w:val="0"/>
                <w:numId w:val="16"/>
              </w:numPr>
              <w:ind w:left="13" w:firstLine="0"/>
              <w:jc w:val="left"/>
            </w:pPr>
            <w:r>
              <w:rPr>
                <w:rFonts w:hint="eastAsia"/>
              </w:rPr>
              <w:t>植物油加工项目采取严格废水处理措施，且初期雨水收集并进入污水处理系统；针对来自油料、油脂堆场、精炼车间脱臭工段、烘干工段、污水处理站的臭气，采取严格的收集、除臭措施；应采用密闭化程度较高的生产工艺，且机械化、自动化达到国内同行业最高水平。</w:t>
            </w:r>
          </w:p>
        </w:tc>
        <w:tc>
          <w:tcPr>
            <w:tcW w:w="1377" w:type="dxa"/>
            <w:vAlign w:val="center"/>
          </w:tcPr>
          <w:p>
            <w:pPr>
              <w:pStyle w:val="202"/>
            </w:pPr>
            <w:r>
              <w:t>项目</w:t>
            </w:r>
            <w:r>
              <w:rPr>
                <w:rFonts w:hint="eastAsia"/>
              </w:rPr>
              <w:t>依托</w:t>
            </w:r>
            <w:r>
              <w:t>龙桥电厂燃煤锅炉已完成“超低排放”改造；本项目不属于排放重金属、剧毒物质、持久性污染物的项目；项目</w:t>
            </w:r>
            <w:r>
              <w:rPr>
                <w:rFonts w:hint="eastAsia"/>
              </w:rPr>
              <w:t>不</w:t>
            </w:r>
            <w:r>
              <w:t>排放废水。</w:t>
            </w:r>
          </w:p>
        </w:tc>
        <w:tc>
          <w:tcPr>
            <w:tcW w:w="806" w:type="dxa"/>
            <w:vAlign w:val="center"/>
          </w:tcPr>
          <w:p>
            <w:pPr>
              <w:pStyle w:val="20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97" w:type="dxa"/>
            <w:vMerge w:val="continue"/>
            <w:vAlign w:val="center"/>
          </w:tcPr>
          <w:p>
            <w:pPr>
              <w:pStyle w:val="202"/>
              <w:ind w:firstLine="520"/>
            </w:pPr>
          </w:p>
        </w:tc>
        <w:tc>
          <w:tcPr>
            <w:tcW w:w="996" w:type="dxa"/>
            <w:vAlign w:val="center"/>
          </w:tcPr>
          <w:p>
            <w:pPr>
              <w:pStyle w:val="202"/>
            </w:pPr>
            <w:r>
              <w:rPr>
                <w:rFonts w:hint="eastAsia"/>
              </w:rPr>
              <w:t>环境风险防控</w:t>
            </w:r>
          </w:p>
        </w:tc>
        <w:tc>
          <w:tcPr>
            <w:tcW w:w="4444" w:type="dxa"/>
            <w:vAlign w:val="center"/>
          </w:tcPr>
          <w:p>
            <w:pPr>
              <w:pStyle w:val="202"/>
              <w:numPr>
                <w:ilvl w:val="0"/>
                <w:numId w:val="17"/>
              </w:numPr>
              <w:ind w:left="13" w:hanging="13"/>
              <w:jc w:val="left"/>
            </w:pPr>
            <w:bookmarkStart w:id="50" w:name="_Hlk61860042"/>
            <w:r>
              <w:rPr>
                <w:rFonts w:hint="eastAsia"/>
              </w:rPr>
              <w:t>加强工业园区水环境风险防范。完善水污染事故预警预报与响应程序。</w:t>
            </w:r>
          </w:p>
          <w:p>
            <w:pPr>
              <w:pStyle w:val="202"/>
              <w:numPr>
                <w:ilvl w:val="0"/>
                <w:numId w:val="17"/>
              </w:numPr>
              <w:ind w:left="13" w:hanging="13"/>
              <w:jc w:val="left"/>
            </w:pPr>
            <w:r>
              <w:rPr>
                <w:rFonts w:hint="eastAsia"/>
              </w:rPr>
              <w:t>化工企业厂区必须设置初期雨水池、消防废水池、事故水池，容积满足相关规范要求。</w:t>
            </w:r>
          </w:p>
          <w:p>
            <w:pPr>
              <w:pStyle w:val="202"/>
              <w:numPr>
                <w:ilvl w:val="0"/>
                <w:numId w:val="17"/>
              </w:numPr>
              <w:ind w:left="13" w:hanging="13"/>
              <w:jc w:val="left"/>
            </w:pPr>
            <w:r>
              <w:rPr>
                <w:rFonts w:hint="eastAsia"/>
              </w:rPr>
              <w:t>植物油加工项目应急监测要求：如有周边化工企业发生事故排放，植物油加工企业如未停产，需加密对出厂产品及抽提溶剂的检测，检测污染物项目为发生事故可能产生的事故排放污染物，对于检测不合格的产品按照《食品安全法》的要求不得再进入食品经营领域，对于不合格的抽提溶剂不得再用于生产。</w:t>
            </w:r>
            <w:bookmarkEnd w:id="50"/>
          </w:p>
        </w:tc>
        <w:tc>
          <w:tcPr>
            <w:tcW w:w="1377" w:type="dxa"/>
            <w:vAlign w:val="center"/>
          </w:tcPr>
          <w:p>
            <w:pPr>
              <w:pStyle w:val="202"/>
            </w:pPr>
            <w:r>
              <w:t>项目不</w:t>
            </w:r>
            <w:r>
              <w:rPr>
                <w:rFonts w:hint="eastAsia"/>
              </w:rPr>
              <w:t>排放</w:t>
            </w:r>
            <w:r>
              <w:t>废水</w:t>
            </w:r>
          </w:p>
        </w:tc>
        <w:tc>
          <w:tcPr>
            <w:tcW w:w="806" w:type="dxa"/>
            <w:vAlign w:val="center"/>
          </w:tcPr>
          <w:p>
            <w:pPr>
              <w:pStyle w:val="20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97" w:type="dxa"/>
            <w:vMerge w:val="continue"/>
            <w:vAlign w:val="center"/>
          </w:tcPr>
          <w:p>
            <w:pPr>
              <w:pStyle w:val="202"/>
              <w:ind w:firstLine="520"/>
            </w:pPr>
          </w:p>
        </w:tc>
        <w:tc>
          <w:tcPr>
            <w:tcW w:w="996" w:type="dxa"/>
            <w:vAlign w:val="center"/>
          </w:tcPr>
          <w:p>
            <w:pPr>
              <w:pStyle w:val="202"/>
            </w:pPr>
            <w:r>
              <w:rPr>
                <w:rFonts w:hint="eastAsia"/>
              </w:rPr>
              <w:t>资源开发利用要求</w:t>
            </w:r>
          </w:p>
        </w:tc>
        <w:tc>
          <w:tcPr>
            <w:tcW w:w="4444" w:type="dxa"/>
            <w:vAlign w:val="center"/>
          </w:tcPr>
          <w:p>
            <w:pPr>
              <w:pStyle w:val="202"/>
              <w:numPr>
                <w:ilvl w:val="0"/>
                <w:numId w:val="18"/>
              </w:numPr>
              <w:ind w:left="0" w:hanging="13"/>
              <w:jc w:val="left"/>
            </w:pPr>
            <w:bookmarkStart w:id="51" w:name="_Hlk61860337"/>
            <w:r>
              <w:rPr>
                <w:rFonts w:hint="eastAsia"/>
              </w:rPr>
              <w:t>热电项目满足发电煤耗每千瓦时平均煤耗低于310克。</w:t>
            </w:r>
          </w:p>
          <w:p>
            <w:pPr>
              <w:pStyle w:val="202"/>
              <w:numPr>
                <w:ilvl w:val="0"/>
                <w:numId w:val="18"/>
              </w:numPr>
              <w:ind w:left="0" w:hanging="13"/>
              <w:jc w:val="left"/>
            </w:pPr>
            <w:r>
              <w:rPr>
                <w:rFonts w:hint="eastAsia"/>
              </w:rPr>
              <w:t>除现有批复燃煤项目外，不再新建燃煤项目。</w:t>
            </w:r>
          </w:p>
          <w:p>
            <w:pPr>
              <w:pStyle w:val="202"/>
              <w:numPr>
                <w:ilvl w:val="0"/>
                <w:numId w:val="18"/>
              </w:numPr>
              <w:ind w:left="0" w:hanging="13"/>
              <w:jc w:val="left"/>
            </w:pPr>
            <w:bookmarkStart w:id="52" w:name="_Hlk66273552"/>
            <w:r>
              <w:rPr>
                <w:rFonts w:hint="eastAsia"/>
              </w:rPr>
              <w:t>加强企业煤改气工作，持续优化园区内能源结构，推进燃煤锅炉改燃气锅炉</w:t>
            </w:r>
            <w:bookmarkEnd w:id="52"/>
            <w:r>
              <w:rPr>
                <w:rFonts w:hint="eastAsia"/>
              </w:rPr>
              <w:t>。</w:t>
            </w:r>
            <w:bookmarkEnd w:id="51"/>
          </w:p>
        </w:tc>
        <w:tc>
          <w:tcPr>
            <w:tcW w:w="1377" w:type="dxa"/>
            <w:vAlign w:val="center"/>
          </w:tcPr>
          <w:p>
            <w:pPr>
              <w:pStyle w:val="202"/>
            </w:pPr>
            <w:r>
              <w:t>项目</w:t>
            </w:r>
            <w:r>
              <w:rPr>
                <w:rFonts w:hint="eastAsia"/>
              </w:rPr>
              <w:t>不新增</w:t>
            </w:r>
            <w:r>
              <w:t>燃煤</w:t>
            </w:r>
          </w:p>
        </w:tc>
        <w:tc>
          <w:tcPr>
            <w:tcW w:w="806" w:type="dxa"/>
            <w:vAlign w:val="center"/>
          </w:tcPr>
          <w:p>
            <w:pPr>
              <w:pStyle w:val="20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97" w:type="dxa"/>
            <w:vMerge w:val="restart"/>
            <w:vAlign w:val="center"/>
          </w:tcPr>
          <w:p>
            <w:pPr>
              <w:pStyle w:val="202"/>
            </w:pPr>
            <w:r>
              <w:t>审查意见函（渝环函〔20</w:t>
            </w:r>
            <w:r>
              <w:rPr>
                <w:rFonts w:hint="eastAsia"/>
              </w:rPr>
              <w:t>21</w:t>
            </w:r>
            <w:r>
              <w:t>〕</w:t>
            </w:r>
            <w:r>
              <w:rPr>
                <w:rFonts w:hint="eastAsia"/>
              </w:rPr>
              <w:t>360</w:t>
            </w:r>
            <w:r>
              <w:t>号）要求</w:t>
            </w:r>
          </w:p>
        </w:tc>
        <w:tc>
          <w:tcPr>
            <w:tcW w:w="5440" w:type="dxa"/>
            <w:gridSpan w:val="2"/>
            <w:vAlign w:val="center"/>
          </w:tcPr>
          <w:p>
            <w:pPr>
              <w:pStyle w:val="202"/>
              <w:ind w:firstLine="520"/>
              <w:jc w:val="both"/>
            </w:pPr>
            <w:r>
              <w:t>严格执行环境准入负面清单</w:t>
            </w:r>
            <w:r>
              <w:rPr>
                <w:rFonts w:hint="eastAsia"/>
              </w:rPr>
              <w:t>。</w:t>
            </w:r>
          </w:p>
          <w:p>
            <w:pPr>
              <w:pStyle w:val="202"/>
              <w:ind w:firstLine="520"/>
              <w:jc w:val="both"/>
            </w:pPr>
            <w:r>
              <w:rPr>
                <w:rFonts w:hint="eastAsia"/>
              </w:rPr>
              <w:t>按照</w:t>
            </w:r>
            <w:r>
              <w:t>《报告书》提出的管理要求，以生态保护红线、资源利用上线、环境质量底线为约束，严格</w:t>
            </w:r>
            <w:r>
              <w:rPr>
                <w:rFonts w:hint="eastAsia"/>
              </w:rPr>
              <w:t>建设</w:t>
            </w:r>
            <w:r>
              <w:t>项目环境准入，入驻工业企业应满足《重庆市工业项目环境准入规定（修订）》以及《报告书》确定的生态环境准入清单要求，禁止引进不符合国家产能置换、规划布局等要求的高耗能、高排放项目。</w:t>
            </w:r>
          </w:p>
        </w:tc>
        <w:tc>
          <w:tcPr>
            <w:tcW w:w="1377" w:type="dxa"/>
            <w:vAlign w:val="center"/>
          </w:tcPr>
          <w:p>
            <w:pPr>
              <w:pStyle w:val="202"/>
            </w:pPr>
            <w:r>
              <w:t>项目不属于环境负面清单中的项目</w:t>
            </w:r>
          </w:p>
        </w:tc>
        <w:tc>
          <w:tcPr>
            <w:tcW w:w="806" w:type="dxa"/>
            <w:vAlign w:val="center"/>
          </w:tcPr>
          <w:p>
            <w:pPr>
              <w:pStyle w:val="20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1" w:hRule="atLeast"/>
        </w:trPr>
        <w:tc>
          <w:tcPr>
            <w:tcW w:w="1097" w:type="dxa"/>
            <w:vMerge w:val="continue"/>
            <w:vAlign w:val="center"/>
          </w:tcPr>
          <w:p>
            <w:pPr>
              <w:pStyle w:val="202"/>
              <w:ind w:firstLine="520"/>
            </w:pPr>
          </w:p>
        </w:tc>
        <w:tc>
          <w:tcPr>
            <w:tcW w:w="5440" w:type="dxa"/>
            <w:gridSpan w:val="2"/>
            <w:vAlign w:val="center"/>
          </w:tcPr>
          <w:p>
            <w:pPr>
              <w:pStyle w:val="202"/>
              <w:ind w:firstLine="520"/>
              <w:jc w:val="both"/>
            </w:pPr>
            <w:r>
              <w:rPr>
                <w:rFonts w:hint="eastAsia"/>
              </w:rPr>
              <w:t>强化生态环境空间管控。</w:t>
            </w:r>
          </w:p>
          <w:p>
            <w:pPr>
              <w:pStyle w:val="202"/>
              <w:ind w:firstLine="520"/>
              <w:jc w:val="both"/>
            </w:pPr>
            <w:r>
              <w:rPr>
                <w:rFonts w:hint="eastAsia"/>
              </w:rPr>
              <w:t>规划区范围不涉及生态保护红线和一般生态空间。后续建设的工业企业或项目环境防护距离原则上应控制在规划边界或用地红线内。强化规划区整体与周边生态环境、人文景观协调管理，区内新建工业生产及其他建筑的布置、外观设计和建设应符合国家工业旅游相关要求。规划区安置房周边应设置不低于50米防护绿地或不得布局二类、三类工业，并满足环境防护距离要求。</w:t>
            </w:r>
          </w:p>
        </w:tc>
        <w:tc>
          <w:tcPr>
            <w:tcW w:w="1377" w:type="dxa"/>
            <w:vAlign w:val="center"/>
          </w:tcPr>
          <w:p>
            <w:pPr>
              <w:pStyle w:val="202"/>
              <w:ind w:firstLine="520"/>
              <w:jc w:val="both"/>
            </w:pPr>
            <w:r>
              <w:t>项目在</w:t>
            </w:r>
            <w:r>
              <w:rPr>
                <w:rFonts w:hint="eastAsia"/>
              </w:rPr>
              <w:t>陕渝临港热电厂</w:t>
            </w:r>
            <w:r>
              <w:t>内建设，距离居民点较远</w:t>
            </w:r>
          </w:p>
        </w:tc>
        <w:tc>
          <w:tcPr>
            <w:tcW w:w="806" w:type="dxa"/>
            <w:vAlign w:val="center"/>
          </w:tcPr>
          <w:p>
            <w:pPr>
              <w:pStyle w:val="202"/>
              <w:ind w:firstLine="520"/>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97" w:type="dxa"/>
            <w:vMerge w:val="continue"/>
            <w:vAlign w:val="center"/>
          </w:tcPr>
          <w:p>
            <w:pPr>
              <w:pStyle w:val="202"/>
              <w:ind w:firstLine="520"/>
            </w:pPr>
          </w:p>
        </w:tc>
        <w:tc>
          <w:tcPr>
            <w:tcW w:w="5440" w:type="dxa"/>
            <w:gridSpan w:val="2"/>
            <w:vAlign w:val="center"/>
          </w:tcPr>
          <w:p>
            <w:pPr>
              <w:pStyle w:val="202"/>
              <w:ind w:firstLine="520"/>
              <w:jc w:val="both"/>
            </w:pPr>
            <w:r>
              <w:t>加强大气污染防治</w:t>
            </w:r>
            <w:r>
              <w:rPr>
                <w:rFonts w:hint="eastAsia"/>
              </w:rPr>
              <w:t>。</w:t>
            </w:r>
          </w:p>
          <w:p>
            <w:pPr>
              <w:pStyle w:val="202"/>
              <w:ind w:firstLine="520"/>
              <w:jc w:val="both"/>
            </w:pPr>
            <w:r>
              <w:rPr>
                <w:rFonts w:hint="eastAsia"/>
              </w:rPr>
              <w:t>各入驻企业生产废气应采用高效的收集措施和先进的污染防治设施，确保废气稳定达标排放。新建燃气锅炉应采取低氮燃烧技术。涉及挥发性有机污染物排放的项目应按照《挥发性有机物无组织排放控制标准》(GB3782242019相关要求，通过采用全密闭、连续化、自动化等生产技术以及高效工艺与设备等，减少工艺过程无组织排放。规划区企业应采取更加有效的收集、除臭措施，完善臭气污染治理减少对周环境敏感点的影响。</w:t>
            </w:r>
          </w:p>
        </w:tc>
        <w:tc>
          <w:tcPr>
            <w:tcW w:w="1377" w:type="dxa"/>
            <w:vAlign w:val="center"/>
          </w:tcPr>
          <w:p>
            <w:pPr>
              <w:pStyle w:val="202"/>
              <w:ind w:firstLine="520"/>
              <w:jc w:val="both"/>
            </w:pPr>
            <w:r>
              <w:rPr>
                <w:rFonts w:hint="eastAsia" w:eastAsiaTheme="minorEastAsia"/>
                <w:kern w:val="0"/>
              </w:rPr>
              <w:t>项目依托的龙桥电厂已实施超低排放改造，本项目不新增废气排放量，废气可实现稳定达标排放</w:t>
            </w:r>
          </w:p>
        </w:tc>
        <w:tc>
          <w:tcPr>
            <w:tcW w:w="806" w:type="dxa"/>
            <w:vAlign w:val="center"/>
          </w:tcPr>
          <w:p>
            <w:pPr>
              <w:pStyle w:val="202"/>
              <w:ind w:firstLine="520"/>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97" w:type="dxa"/>
            <w:vMerge w:val="continue"/>
            <w:vAlign w:val="center"/>
          </w:tcPr>
          <w:p>
            <w:pPr>
              <w:pStyle w:val="202"/>
              <w:ind w:firstLine="520"/>
            </w:pPr>
          </w:p>
        </w:tc>
        <w:tc>
          <w:tcPr>
            <w:tcW w:w="5440" w:type="dxa"/>
            <w:gridSpan w:val="2"/>
            <w:vAlign w:val="center"/>
          </w:tcPr>
          <w:p>
            <w:pPr>
              <w:pStyle w:val="202"/>
              <w:ind w:firstLine="520"/>
              <w:jc w:val="both"/>
            </w:pPr>
            <w:r>
              <w:rPr>
                <w:rFonts w:hint="eastAsia"/>
              </w:rPr>
              <w:t>落实水污染防治措施。</w:t>
            </w:r>
          </w:p>
          <w:p>
            <w:pPr>
              <w:pStyle w:val="202"/>
              <w:ind w:firstLine="520"/>
              <w:jc w:val="both"/>
            </w:pPr>
            <w:r>
              <w:rPr>
                <w:rFonts w:hint="eastAsia"/>
              </w:rPr>
              <w:t>规划区入驻企业生产废水有行业排放标准的需处理达到行业排放标准的间接排放标准要求，无行业排放标准的需处理达到《污水综合排放标准》(GB8978-1996）三级标准（其中氨氮、 TP 应执行《污水排入城镇下水道水质标准》( GB /T31962－2015排放标准），经污水收集管网进入龙桥工业园区污水处理厂。</w:t>
            </w:r>
          </w:p>
          <w:p>
            <w:pPr>
              <w:pStyle w:val="202"/>
              <w:ind w:firstLine="520"/>
              <w:jc w:val="both"/>
            </w:pPr>
            <w:r>
              <w:rPr>
                <w:rFonts w:hint="eastAsia"/>
              </w:rPr>
              <w:t>规划区生产生活废水经龙桥工业园区污水处理厂处理用，达到《化工园区主要水污染物排放标准》(DB50/457-2012）中表的规定（表1未规定的指标执行《污水综合排放标准GB8978－1996）中一级标准， COD 执行60mg/ L )，尾水经冉家沟最终汇入长江。</w:t>
            </w:r>
          </w:p>
        </w:tc>
        <w:tc>
          <w:tcPr>
            <w:tcW w:w="1377" w:type="dxa"/>
            <w:vAlign w:val="center"/>
          </w:tcPr>
          <w:p>
            <w:pPr>
              <w:pStyle w:val="202"/>
            </w:pPr>
            <w:r>
              <w:t>项目不排放废水</w:t>
            </w:r>
          </w:p>
        </w:tc>
        <w:tc>
          <w:tcPr>
            <w:tcW w:w="806" w:type="dxa"/>
            <w:vAlign w:val="center"/>
          </w:tcPr>
          <w:p>
            <w:pPr>
              <w:pStyle w:val="20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97" w:type="dxa"/>
            <w:vMerge w:val="continue"/>
            <w:vAlign w:val="center"/>
          </w:tcPr>
          <w:p>
            <w:pPr>
              <w:pStyle w:val="202"/>
              <w:ind w:firstLine="520"/>
            </w:pPr>
          </w:p>
        </w:tc>
        <w:tc>
          <w:tcPr>
            <w:tcW w:w="5440" w:type="dxa"/>
            <w:gridSpan w:val="2"/>
            <w:vAlign w:val="center"/>
          </w:tcPr>
          <w:p>
            <w:pPr>
              <w:pStyle w:val="202"/>
              <w:ind w:firstLine="520"/>
              <w:jc w:val="both"/>
            </w:pPr>
            <w:r>
              <w:rPr>
                <w:rFonts w:hint="eastAsia"/>
              </w:rPr>
              <w:t>强化噪声污染防控。</w:t>
            </w:r>
          </w:p>
          <w:p>
            <w:pPr>
              <w:pStyle w:val="202"/>
              <w:ind w:firstLine="520"/>
              <w:jc w:val="both"/>
            </w:pPr>
            <w:r>
              <w:rPr>
                <w:rFonts w:hint="eastAsia"/>
              </w:rPr>
              <w:t>合理布局企业噪声源，高噪声源企业选址和布局应满足相应的环境防护距离要求；选择低噪声设备，采取消声、隔声、减震等措施，确保厂界噪声达标；合理布局、科学设定建筑物与交通干线的噪声防护距离。</w:t>
            </w:r>
          </w:p>
        </w:tc>
        <w:tc>
          <w:tcPr>
            <w:tcW w:w="1377" w:type="dxa"/>
            <w:vAlign w:val="center"/>
          </w:tcPr>
          <w:p>
            <w:pPr>
              <w:pStyle w:val="202"/>
            </w:pPr>
            <w:r>
              <w:t>项目新增噪声源属于偶发噪声，距离声环境敏感目标较远</w:t>
            </w:r>
          </w:p>
        </w:tc>
        <w:tc>
          <w:tcPr>
            <w:tcW w:w="806" w:type="dxa"/>
            <w:vAlign w:val="center"/>
          </w:tcPr>
          <w:p>
            <w:pPr>
              <w:pStyle w:val="20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97" w:type="dxa"/>
            <w:vMerge w:val="continue"/>
            <w:vAlign w:val="center"/>
          </w:tcPr>
          <w:p>
            <w:pPr>
              <w:pStyle w:val="202"/>
              <w:ind w:firstLine="520"/>
            </w:pPr>
          </w:p>
        </w:tc>
        <w:tc>
          <w:tcPr>
            <w:tcW w:w="5440" w:type="dxa"/>
            <w:gridSpan w:val="2"/>
            <w:vAlign w:val="center"/>
          </w:tcPr>
          <w:p>
            <w:pPr>
              <w:pStyle w:val="202"/>
              <w:ind w:firstLine="520"/>
              <w:jc w:val="both"/>
              <w:rPr>
                <w:color w:val="0070C0"/>
              </w:rPr>
            </w:pPr>
            <w:r>
              <w:rPr>
                <w:rFonts w:hint="eastAsia"/>
                <w:color w:val="0070C0"/>
              </w:rPr>
              <w:t>做好土壤（地下水）和固体废物污染防控。</w:t>
            </w:r>
          </w:p>
          <w:p>
            <w:pPr>
              <w:pStyle w:val="202"/>
              <w:ind w:firstLine="520"/>
              <w:jc w:val="both"/>
              <w:rPr>
                <w:color w:val="0070C0"/>
              </w:rPr>
            </w:pPr>
            <w:r>
              <w:rPr>
                <w:rFonts w:hint="eastAsia"/>
                <w:color w:val="0070C0"/>
              </w:rPr>
              <w:t>固体废物应按资源化、减量化、无害化方式进行妥善收集、处置。生活垃圾经分类收集后由涪陵区环卫部门统一清运处置；餐厨垃圾应妥善收集、处理。一般工业固废综合利用或进入一般工业固废处置场；入园项目应按照《危险废物贮存污染控制标准》(GB18597-2001）以及修改单等规定设置专门的危险废物暂存点，严格落实“防扬散、防流失，防渗漏等要求，不得污染环境；危险废物依法依规交有资质单位处理。园区应定期督促对危废的转移，严禁在区内过量堆存，确保危险废物到妥善处置。</w:t>
            </w:r>
          </w:p>
          <w:p>
            <w:pPr>
              <w:pStyle w:val="202"/>
              <w:ind w:firstLine="520"/>
              <w:jc w:val="both"/>
              <w:rPr>
                <w:color w:val="0070C0"/>
              </w:rPr>
            </w:pPr>
            <w:r>
              <w:rPr>
                <w:rFonts w:hint="eastAsia"/>
                <w:color w:val="0070C0"/>
              </w:rPr>
              <w:t>入园项目采取源头控制的原则，落实分区、分级防渗措施，防止规划实施对区域地下水及土壤的污染。规划区内布设地下水监控井。规划区应定期开展地下水土壤环境跟踪监测工作，根据监测结论动态优化并落实相应的地下水和土壤环境污染防控措施。</w:t>
            </w:r>
          </w:p>
          <w:p>
            <w:pPr>
              <w:pStyle w:val="202"/>
              <w:ind w:firstLine="440"/>
              <w:jc w:val="both"/>
            </w:pPr>
            <w:r>
              <w:rPr>
                <w:rFonts w:hint="eastAsia"/>
                <w:color w:val="0070C0"/>
              </w:rPr>
              <w:t>规划区内土地利用性质调整，应严格执行土壤风险评估和污染土壤修复制度。规划区内工业企业关闭或搬迁完成前需按照国家和重庆市规定开展地块调查和风险评估，经评估确定为污染地块的，应当开展治理修复。园区要建立污染地块目录及其开发利用管控清单，土地开发利用必须满足规划用地土壤环境质量要求，中化重庆涪陵化工有限公司搬迁后的原地块在用途变更前应按照规定进行土壤污染状况调查。未达到土壤污染风险评估报告确定的风险管控、修复目标，不得作为住宅、公共管理与公共服务用地。</w:t>
            </w:r>
          </w:p>
        </w:tc>
        <w:tc>
          <w:tcPr>
            <w:tcW w:w="1377" w:type="dxa"/>
            <w:vAlign w:val="center"/>
          </w:tcPr>
          <w:p>
            <w:pPr>
              <w:pStyle w:val="202"/>
            </w:pPr>
            <w:r>
              <w:t>项目对土壤和地下水影响极小</w:t>
            </w:r>
          </w:p>
        </w:tc>
        <w:tc>
          <w:tcPr>
            <w:tcW w:w="806" w:type="dxa"/>
            <w:vAlign w:val="center"/>
          </w:tcPr>
          <w:p>
            <w:pPr>
              <w:pStyle w:val="20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97" w:type="dxa"/>
            <w:vMerge w:val="continue"/>
            <w:vAlign w:val="center"/>
          </w:tcPr>
          <w:p>
            <w:pPr>
              <w:pStyle w:val="202"/>
              <w:ind w:firstLine="520"/>
            </w:pPr>
          </w:p>
        </w:tc>
        <w:tc>
          <w:tcPr>
            <w:tcW w:w="5440" w:type="dxa"/>
            <w:gridSpan w:val="2"/>
            <w:vAlign w:val="center"/>
          </w:tcPr>
          <w:p>
            <w:pPr>
              <w:pStyle w:val="202"/>
              <w:ind w:firstLine="520"/>
              <w:jc w:val="both"/>
            </w:pPr>
            <w:r>
              <w:rPr>
                <w:rFonts w:hint="eastAsia"/>
              </w:rPr>
              <w:t>强化环境风险防范。</w:t>
            </w:r>
          </w:p>
          <w:p>
            <w:pPr>
              <w:pStyle w:val="202"/>
              <w:ind w:firstLine="520"/>
              <w:jc w:val="both"/>
            </w:pPr>
            <w:r>
              <w:rPr>
                <w:rFonts w:hint="eastAsia"/>
              </w:rPr>
              <w:t>规划区及其企业应严格执行环境风险防范的相关法律法规和政策要求，严格落实各类环境风险防范措施。规划区应当加强环境风险监控，建立环境风险应急机制，修订完善应急预案。督导区内企业应定期开展教育培训和应急演练，全面提升环境风险防范和事故应急处置能力，加强企业环境风险源的监督管理，开展园区老企业治污排查，对现有老旧设备及时检修，不能继续使用的及时更换；根据规划区入驻企业，强化、优化区域环境风险防控措施；加强道路、码头及水运运输环境污染风险防范举措，切实提高环境风险防范意识，防范突性环境风险事故。</w:t>
            </w:r>
          </w:p>
        </w:tc>
        <w:tc>
          <w:tcPr>
            <w:tcW w:w="1377" w:type="dxa"/>
            <w:vAlign w:val="center"/>
          </w:tcPr>
          <w:p>
            <w:pPr>
              <w:pStyle w:val="202"/>
            </w:pPr>
            <w:r>
              <w:t>项目</w:t>
            </w:r>
            <w:r>
              <w:rPr>
                <w:rFonts w:hint="eastAsia"/>
              </w:rPr>
              <w:t>环境风险小，纳入企业现有风险防范体系一并管理</w:t>
            </w:r>
          </w:p>
        </w:tc>
        <w:tc>
          <w:tcPr>
            <w:tcW w:w="806" w:type="dxa"/>
            <w:vAlign w:val="center"/>
          </w:tcPr>
          <w:p>
            <w:pPr>
              <w:pStyle w:val="20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97" w:type="dxa"/>
            <w:vMerge w:val="continue"/>
            <w:vAlign w:val="center"/>
          </w:tcPr>
          <w:p>
            <w:pPr>
              <w:pStyle w:val="202"/>
              <w:ind w:firstLine="520"/>
            </w:pPr>
          </w:p>
        </w:tc>
        <w:tc>
          <w:tcPr>
            <w:tcW w:w="5440" w:type="dxa"/>
            <w:gridSpan w:val="2"/>
            <w:vAlign w:val="center"/>
          </w:tcPr>
          <w:p>
            <w:pPr>
              <w:pStyle w:val="202"/>
              <w:ind w:firstLine="520"/>
              <w:jc w:val="both"/>
            </w:pPr>
            <w:r>
              <w:rPr>
                <w:rFonts w:hint="eastAsia"/>
              </w:rPr>
              <w:t>（八）推行碳排放管控措施。</w:t>
            </w:r>
          </w:p>
          <w:p>
            <w:pPr>
              <w:pStyle w:val="202"/>
              <w:ind w:firstLine="520"/>
              <w:jc w:val="both"/>
            </w:pPr>
            <w:r>
              <w:rPr>
                <w:rFonts w:hint="eastAsia"/>
              </w:rPr>
              <w:t>围绕“碳达峰、碳中和”目标，统筹抓好碳排放控制管理和生态环境保护工作，推动实现减污降碳。优化能源结构，除现已批复燃煤项目外，不再新建燃煤项目；督促园区内重点碳排放企业实施涉碳节能减排举施，并采取清洁生产先进工艺，改进能源利用技术，降低能量损失，提高能源综合利用效率，从源头减少和控制温室气体排放。要探索建立能源利用效率及碳排放强度的核算机制，适应低碳发展的要求，促进园区产业绿色低碳循环发展。</w:t>
            </w:r>
          </w:p>
        </w:tc>
        <w:tc>
          <w:tcPr>
            <w:tcW w:w="1377" w:type="dxa"/>
            <w:vAlign w:val="center"/>
          </w:tcPr>
          <w:p>
            <w:pPr>
              <w:pStyle w:val="202"/>
            </w:pPr>
            <w:r>
              <w:rPr>
                <w:rFonts w:hint="eastAsia"/>
              </w:rPr>
              <w:t>/</w:t>
            </w:r>
          </w:p>
        </w:tc>
        <w:tc>
          <w:tcPr>
            <w:tcW w:w="806" w:type="dxa"/>
            <w:vAlign w:val="center"/>
          </w:tcPr>
          <w:p>
            <w:pPr>
              <w:pStyle w:val="202"/>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97" w:type="dxa"/>
            <w:vMerge w:val="continue"/>
            <w:vAlign w:val="center"/>
          </w:tcPr>
          <w:p>
            <w:pPr>
              <w:pStyle w:val="202"/>
              <w:ind w:firstLine="520"/>
            </w:pPr>
          </w:p>
        </w:tc>
        <w:tc>
          <w:tcPr>
            <w:tcW w:w="5440" w:type="dxa"/>
            <w:gridSpan w:val="2"/>
            <w:vAlign w:val="center"/>
          </w:tcPr>
          <w:p>
            <w:pPr>
              <w:pStyle w:val="202"/>
              <w:ind w:firstLine="520"/>
              <w:jc w:val="both"/>
            </w:pPr>
            <w:r>
              <w:rPr>
                <w:rFonts w:hint="eastAsia"/>
              </w:rPr>
              <w:t>（九）严格执行“三线一单”管控要求和环评管理制度。</w:t>
            </w:r>
          </w:p>
          <w:p>
            <w:pPr>
              <w:pStyle w:val="202"/>
              <w:ind w:firstLine="520"/>
              <w:jc w:val="both"/>
            </w:pPr>
            <w:r>
              <w:rPr>
                <w:rFonts w:hint="eastAsia"/>
              </w:rPr>
              <w:t>建立健全“三线一单”（生态保护红线、环境质量底线、资源利用上线和生态环境准入清单）对规划环评、项目环评的指导和约束机制，严格执行重庆市和涪陵区“三线一单”的有关规定。规划区内建设项目在开展环境影响评价时，应结合生态空间保护与管控要求，在落实环境质量底线的基础上深入论证项目建设可能产生的生态环境影响，严格生态环境准入要求，执行切实可行的污染防治和环境风险防控措施，预防或者减轻建设项目实施可能产生的不良环境影响。对与规划主导产业定位相符的建设项目，环境政策符合性、环境现状调查等环评内容可适当简化。</w:t>
            </w:r>
          </w:p>
          <w:p>
            <w:pPr>
              <w:pStyle w:val="202"/>
              <w:ind w:firstLine="520"/>
              <w:jc w:val="both"/>
            </w:pPr>
            <w:r>
              <w:rPr>
                <w:rFonts w:hint="eastAsia"/>
              </w:rPr>
              <w:t>加强日常环境监管，落实建设项目环境影响评价、固定污染源排污许可、环保三同时制度年，园区应建立包括环境空气、声环境、地表水、地下水、</w:t>
            </w:r>
            <w:r>
              <w:rPr>
                <w:rFonts w:hint="eastAsia"/>
                <w:lang w:eastAsia="zh-CN"/>
              </w:rPr>
              <w:t>土壤</w:t>
            </w:r>
            <w:r>
              <w:rPr>
                <w:rFonts w:hint="eastAsia"/>
              </w:rPr>
              <w:t>等环境要素的监控体系，落实跟踪监测计划。完善环境保护规章制度落实环境管理、污染治理和环境风险防范主体责任，做好日常环境保护工作。适时开展环境影响跟踪评价，规划在实施过程中若规划目标、产业定位、布局等方面进行重大调整或者修订，应重新进行规划环境影响评价。生态环境执法部门应加强对规划区及企业的环境执法日常监管。</w:t>
            </w:r>
          </w:p>
        </w:tc>
        <w:tc>
          <w:tcPr>
            <w:tcW w:w="1377" w:type="dxa"/>
            <w:vAlign w:val="center"/>
          </w:tcPr>
          <w:p>
            <w:pPr>
              <w:pStyle w:val="202"/>
            </w:pPr>
            <w:r>
              <w:rPr>
                <w:rFonts w:hint="eastAsia"/>
              </w:rPr>
              <w:t>项目满足“三线一单”要求</w:t>
            </w:r>
          </w:p>
        </w:tc>
        <w:tc>
          <w:tcPr>
            <w:tcW w:w="806" w:type="dxa"/>
            <w:vAlign w:val="center"/>
          </w:tcPr>
          <w:p>
            <w:pPr>
              <w:pStyle w:val="202"/>
            </w:pPr>
            <w:r>
              <w:t>符合</w:t>
            </w:r>
          </w:p>
        </w:tc>
      </w:tr>
    </w:tbl>
    <w:p>
      <w:pPr>
        <w:ind w:firstLine="520"/>
        <w:rPr>
          <w:color w:val="000000" w:themeColor="text1"/>
          <w14:textFill>
            <w14:solidFill>
              <w14:schemeClr w14:val="tx1"/>
            </w14:solidFill>
          </w14:textFill>
        </w:rPr>
      </w:pPr>
    </w:p>
    <w:bookmarkEnd w:id="42"/>
    <w:p>
      <w:pPr>
        <w:pStyle w:val="4"/>
        <w:rPr>
          <w:color w:val="000000" w:themeColor="text1"/>
          <w14:textFill>
            <w14:solidFill>
              <w14:schemeClr w14:val="tx1"/>
            </w14:solidFill>
          </w14:textFill>
        </w:rPr>
      </w:pPr>
      <w:bookmarkStart w:id="53" w:name="_Toc481664985"/>
      <w:bookmarkStart w:id="54" w:name="_Toc455587072"/>
      <w:r>
        <w:rPr>
          <w:rFonts w:hint="eastAsia"/>
          <w:color w:val="000000" w:themeColor="text1"/>
          <w14:textFill>
            <w14:solidFill>
              <w14:schemeClr w14:val="tx1"/>
            </w14:solidFill>
          </w14:textFill>
        </w:rPr>
        <w:t>与区域“三线一单”管控要求的符合性分析</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生态环境局关于印发&lt;规划环评“三线一单”符合性分析技术要点（试行）&gt;&lt;建设项目环评“三线一单”符合性分析技术要点（试行）&gt;的通知》（渝环函[2022]397号）：“建设项目位于产业园区内，且产业园区规划环境影响评价中已经开展了园区规划与“三线一单”生态环境分区管控的符合性分析，则项目环评只需明确与产业园区的位置关系，并分析与产业园区规划环评提出的生态环境管控要求的符合性”。</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重庆涪陵工业园区龙桥组团南岸浦片区陕渝临港热电厂内，不涉及新增占地。所处产业园区已于2021年6月8日取得了重庆市生态环境局下发的《重庆涪陵工业园区龙桥组团规划调整环境影响报告书》的审查意见（渝环函〔2021〕360号），重庆涪陵工业园区龙桥组团位于环境管控单元编号为“ZH50010220002”的“涪陵区重点管控单元2-长江二桥（涉及李渡、龙桥、马鞍街道）”内。规划环评中已经开展了园区规划与“三线一单”生态环境分区管控的符合性分析。本项目符合规划环评提出的生态环境管控要求。</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综上，本项目符合区域三线一单管控要求。</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选址合理性</w:t>
      </w:r>
      <w:bookmarkEnd w:id="53"/>
      <w:bookmarkEnd w:id="54"/>
    </w:p>
    <w:p>
      <w:pPr>
        <w:pStyle w:val="5"/>
      </w:pPr>
      <w:r>
        <w:t>从区域规划的角度分析</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项目位于重庆涪陵工业园区龙桥组团规划南岸浦片区，在陕渝临港热电厂内建设，不新增用地，符合区域用地规划和规划环评的准入要求。</w:t>
      </w:r>
    </w:p>
    <w:p>
      <w:pPr>
        <w:pStyle w:val="5"/>
      </w:pPr>
      <w:r>
        <w:t>从环境容量</w:t>
      </w:r>
      <w:r>
        <w:rPr>
          <w:rFonts w:hint="eastAsia"/>
        </w:rPr>
        <w:t>和环境影响角度</w:t>
      </w:r>
      <w:r>
        <w:t>分析</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从环境管控单元划分上，项目处于“涪陵工业园区龙桥组团”“大气环境高排放重点管控区”，项目建设符合该管控单元的具体管控要求。区域大气、地表水、地下水、土壤、声环境等均满足功能区划要求，具有一定环境容量。本项目污染较小，不会对区域环境质量产生明显不利影响。</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综上分析，本项目选址具有环境合理性。</w:t>
      </w:r>
    </w:p>
    <w:p>
      <w:pPr>
        <w:ind w:firstLine="520"/>
        <w:rPr>
          <w:color w:val="000000" w:themeColor="text1"/>
          <w14:textFill>
            <w14:solidFill>
              <w14:schemeClr w14:val="tx1"/>
            </w14:solidFill>
          </w14:textFill>
        </w:rPr>
      </w:pPr>
    </w:p>
    <w:p>
      <w:pPr>
        <w:ind w:firstLine="520"/>
        <w:rPr>
          <w:color w:val="000000" w:themeColor="text1"/>
          <w14:textFill>
            <w14:solidFill>
              <w14:schemeClr w14:val="tx1"/>
            </w14:solidFill>
          </w14:textFill>
        </w:rPr>
      </w:pPr>
    </w:p>
    <w:p>
      <w:pPr>
        <w:ind w:firstLine="520"/>
        <w:rPr>
          <w:color w:val="000000" w:themeColor="text1"/>
          <w14:textFill>
            <w14:solidFill>
              <w14:schemeClr w14:val="tx1"/>
            </w14:solidFill>
          </w14:textFill>
        </w:rPr>
      </w:pPr>
    </w:p>
    <w:p>
      <w:pPr>
        <w:ind w:firstLine="520"/>
        <w:rPr>
          <w:color w:val="000000" w:themeColor="text1"/>
          <w14:textFill>
            <w14:solidFill>
              <w14:schemeClr w14:val="tx1"/>
            </w14:solidFill>
          </w14:textFill>
        </w:rPr>
      </w:pPr>
    </w:p>
    <w:p>
      <w:pPr>
        <w:ind w:firstLine="520"/>
        <w:rPr>
          <w:color w:val="000000" w:themeColor="text1"/>
          <w14:textFill>
            <w14:solidFill>
              <w14:schemeClr w14:val="tx1"/>
            </w14:solidFill>
          </w14:textFill>
        </w:rPr>
      </w:pPr>
    </w:p>
    <w:p>
      <w:pPr>
        <w:ind w:firstLine="520"/>
        <w:rPr>
          <w:color w:val="000000" w:themeColor="text1"/>
          <w14:textFill>
            <w14:solidFill>
              <w14:schemeClr w14:val="tx1"/>
            </w14:solidFill>
          </w14:textFill>
        </w:rPr>
      </w:pPr>
    </w:p>
    <w:p>
      <w:pPr>
        <w:ind w:firstLine="520"/>
        <w:rPr>
          <w:color w:val="000000" w:themeColor="text1"/>
          <w14:textFill>
            <w14:solidFill>
              <w14:schemeClr w14:val="tx1"/>
            </w14:solidFill>
          </w14:textFill>
        </w:rPr>
      </w:pPr>
    </w:p>
    <w:p>
      <w:pPr>
        <w:ind w:firstLine="520"/>
        <w:rPr>
          <w:color w:val="000000" w:themeColor="text1"/>
          <w14:textFill>
            <w14:solidFill>
              <w14:schemeClr w14:val="tx1"/>
            </w14:solidFill>
          </w14:textFill>
        </w:rPr>
      </w:pPr>
    </w:p>
    <w:p>
      <w:pPr>
        <w:ind w:firstLine="520"/>
        <w:rPr>
          <w:color w:val="000000" w:themeColor="text1"/>
          <w14:textFill>
            <w14:solidFill>
              <w14:schemeClr w14:val="tx1"/>
            </w14:solidFill>
          </w14:textFill>
        </w:rPr>
      </w:pPr>
    </w:p>
    <w:p>
      <w:pPr>
        <w:ind w:firstLine="520"/>
        <w:rPr>
          <w:color w:val="000000" w:themeColor="text1"/>
          <w14:textFill>
            <w14:solidFill>
              <w14:schemeClr w14:val="tx1"/>
            </w14:solidFill>
          </w14:textFill>
        </w:rPr>
      </w:pPr>
    </w:p>
    <w:p>
      <w:pPr>
        <w:ind w:firstLine="520"/>
        <w:rPr>
          <w:color w:val="000000" w:themeColor="text1"/>
          <w14:textFill>
            <w14:solidFill>
              <w14:schemeClr w14:val="tx1"/>
            </w14:solidFill>
          </w14:textFill>
        </w:rPr>
      </w:pPr>
    </w:p>
    <w:p>
      <w:pPr>
        <w:pStyle w:val="2"/>
      </w:pPr>
      <w:bookmarkStart w:id="55" w:name="_Toc109888245"/>
      <w:r>
        <w:rPr>
          <w:rFonts w:hint="eastAsia"/>
        </w:rPr>
        <w:t>现有工程概况及回顾性分析</w:t>
      </w:r>
      <w:bookmarkEnd w:id="55"/>
    </w:p>
    <w:p>
      <w:pPr>
        <w:pStyle w:val="3"/>
      </w:pPr>
      <w:bookmarkStart w:id="56" w:name="_Toc109888246"/>
      <w:r>
        <w:rPr>
          <w:rFonts w:hint="eastAsia"/>
        </w:rPr>
        <w:t>现有工程概况</w:t>
      </w:r>
      <w:bookmarkEnd w:id="56"/>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发展历程及环保手续履行情况</w:t>
      </w:r>
    </w:p>
    <w:p>
      <w:pPr>
        <w:ind w:firstLine="520"/>
        <w:jc w:val="both"/>
        <w:rPr>
          <w:color w:val="000000" w:themeColor="text1"/>
          <w14:textFill>
            <w14:solidFill>
              <w14:schemeClr w14:val="tx1"/>
            </w14:solidFill>
          </w14:textFill>
        </w:rPr>
      </w:pPr>
      <w:r>
        <w:rPr>
          <w:color w:val="000000" w:themeColor="text1"/>
          <w14:textFill>
            <w14:solidFill>
              <w14:schemeClr w14:val="tx1"/>
            </w14:solidFill>
          </w14:textFill>
        </w:rPr>
        <w:t>重庆中机龙桥热电有限公司（以下简称“龙桥热电厂”）成立于 2011 年 12 月 9 日，</w:t>
      </w:r>
      <w:r>
        <w:rPr>
          <w:rFonts w:hint="eastAsia"/>
          <w:color w:val="000000" w:themeColor="text1"/>
          <w14:textFill>
            <w14:solidFill>
              <w14:schemeClr w14:val="tx1"/>
            </w14:solidFill>
          </w14:textFill>
        </w:rPr>
        <w:t>位于</w:t>
      </w:r>
      <w:r>
        <w:rPr>
          <w:color w:val="000000" w:themeColor="text1"/>
          <w14:textFill>
            <w14:solidFill>
              <w14:schemeClr w14:val="tx1"/>
            </w14:solidFill>
          </w14:textFill>
        </w:rPr>
        <w:t>重庆市涪陵区龙桥街道龙电路 9 号，从事火力发电并为龙桥工业园区提供热蒸汽。规划总装机规模为 1×300MW 抽凝汽轮发电机组+2×50MW 背压发电机组+3×80MW 背压发电机组，</w:t>
      </w:r>
      <w:r>
        <w:rPr>
          <w:rFonts w:hint="eastAsia"/>
          <w:color w:val="000000" w:themeColor="text1"/>
          <w14:textFill>
            <w14:solidFill>
              <w14:schemeClr w14:val="tx1"/>
            </w14:solidFill>
          </w14:textFill>
        </w:rPr>
        <w:t>配套</w:t>
      </w:r>
      <w:r>
        <w:rPr>
          <w:color w:val="000000" w:themeColor="text1"/>
          <w14:textFill>
            <w14:solidFill>
              <w14:schemeClr w14:val="tx1"/>
            </w14:solidFill>
          </w14:textFill>
        </w:rPr>
        <w:t>循环流化床锅炉，分期建设，并由中国气象科学研究院完成了《重庆涪陵聚龙电力有限公司重庆涪陵龙桥热电联产项目环境影响报告书》，取得了重庆市环境保护局下发的批复（渝（市）环准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26号）。2014年4月</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日，龙桥热电一期建设完成了1×300MW 抽凝汽轮发电机组和配套的</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1125t/h</w:t>
      </w:r>
      <w:r>
        <w:rPr>
          <w:color w:val="000000" w:themeColor="text1"/>
          <w14:textFill>
            <w14:solidFill>
              <w14:schemeClr w14:val="tx1"/>
            </w14:solidFill>
          </w14:textFill>
        </w:rPr>
        <w:t>循环流化床锅炉，</w:t>
      </w:r>
      <w:r>
        <w:rPr>
          <w:rFonts w:hint="eastAsia"/>
          <w:color w:val="000000" w:themeColor="text1"/>
          <w14:textFill>
            <w14:solidFill>
              <w14:schemeClr w14:val="tx1"/>
            </w14:solidFill>
          </w14:textFill>
        </w:rPr>
        <w:t>2015年5月</w:t>
      </w:r>
      <w:r>
        <w:rPr>
          <w:color w:val="000000" w:themeColor="text1"/>
          <w14:textFill>
            <w14:solidFill>
              <w14:schemeClr w14:val="tx1"/>
            </w14:solidFill>
          </w14:textFill>
        </w:rPr>
        <w:t>由重庆市生态环境监测中心完成了《重庆中机龙桥热电有限公司一期1×300MW 抽凝机组竣工环境保护验收监测报告》，</w:t>
      </w:r>
      <w:r>
        <w:rPr>
          <w:rFonts w:hint="eastAsia"/>
          <w:color w:val="000000" w:themeColor="text1"/>
          <w14:textFill>
            <w14:solidFill>
              <w14:schemeClr w14:val="tx1"/>
            </w14:solidFill>
          </w14:textFill>
        </w:rPr>
        <w:t>2015年6月2日</w:t>
      </w:r>
      <w:r>
        <w:rPr>
          <w:color w:val="000000" w:themeColor="text1"/>
          <w14:textFill>
            <w14:solidFill>
              <w14:schemeClr w14:val="tx1"/>
            </w14:solidFill>
          </w14:textFill>
        </w:rPr>
        <w:t>取得了重庆市环境保护局下发的批复（渝（市）环</w:t>
      </w:r>
      <w:r>
        <w:rPr>
          <w:rFonts w:hint="eastAsia"/>
          <w:color w:val="000000" w:themeColor="text1"/>
          <w14:textFill>
            <w14:solidFill>
              <w14:schemeClr w14:val="tx1"/>
            </w14:solidFill>
          </w14:textFill>
        </w:rPr>
        <w:t>验[</w:t>
      </w:r>
      <w:r>
        <w:rPr>
          <w:color w:val="000000" w:themeColor="text1"/>
          <w14:textFill>
            <w14:solidFill>
              <w14:schemeClr w14:val="tx1"/>
            </w14:solidFill>
          </w14:textFill>
        </w:rPr>
        <w:t>201</w:t>
      </w:r>
      <w:r>
        <w:rPr>
          <w:rFonts w:hint="eastAsia"/>
          <w:color w:val="000000" w:themeColor="text1"/>
          <w14:textFill>
            <w14:solidFill>
              <w14:schemeClr w14:val="tx1"/>
            </w14:solidFill>
          </w14:textFill>
        </w:rPr>
        <w:t>5]069</w:t>
      </w:r>
      <w:r>
        <w:rPr>
          <w:color w:val="000000" w:themeColor="text1"/>
          <w14:textFill>
            <w14:solidFill>
              <w14:schemeClr w14:val="tx1"/>
            </w14:solidFill>
          </w14:textFill>
        </w:rPr>
        <w:t>号）</w:t>
      </w:r>
      <w:r>
        <w:rPr>
          <w:rFonts w:hint="eastAsia"/>
          <w:color w:val="000000" w:themeColor="text1"/>
          <w14:textFill>
            <w14:solidFill>
              <w14:schemeClr w14:val="tx1"/>
            </w14:solidFill>
          </w14:textFill>
        </w:rPr>
        <w:t>。2019年9~11月实施了</w:t>
      </w:r>
      <w:r>
        <w:rPr>
          <w:color w:val="000000" w:themeColor="text1"/>
          <w14:textFill>
            <w14:solidFill>
              <w14:schemeClr w14:val="tx1"/>
            </w14:solidFill>
          </w14:textFill>
        </w:rPr>
        <w:t>1×300MW机组脱硫、脱硝、除尘超低排放改造工程，对1125t/h 循环流化床锅炉配套的脱硫、脱硝、除尘设施进行改造（项目相关环评、环保验收批复见附件）。</w:t>
      </w:r>
      <w:r>
        <w:rPr>
          <w:rFonts w:hint="eastAsia"/>
          <w:color w:val="000000" w:themeColor="text1"/>
          <w14:textFill>
            <w14:solidFill>
              <w14:schemeClr w14:val="tx1"/>
            </w14:solidFill>
          </w14:textFill>
        </w:rPr>
        <w:t>2021年3月，</w:t>
      </w:r>
      <w:r>
        <w:rPr>
          <w:color w:val="000000" w:themeColor="text1"/>
          <w14:textFill>
            <w14:solidFill>
              <w14:schemeClr w14:val="tx1"/>
            </w14:solidFill>
          </w14:textFill>
        </w:rPr>
        <w:t>为满足龙桥工业园区供热需要，</w:t>
      </w:r>
      <w:r>
        <w:rPr>
          <w:rFonts w:hint="eastAsia"/>
          <w:color w:val="000000" w:themeColor="text1"/>
          <w14:textFill>
            <w14:solidFill>
              <w14:schemeClr w14:val="tx1"/>
            </w14:solidFill>
          </w14:textFill>
        </w:rPr>
        <w:t>在厂区内</w:t>
      </w:r>
      <w:r>
        <w:rPr>
          <w:color w:val="000000" w:themeColor="text1"/>
          <w14:textFill>
            <w14:solidFill>
              <w14:schemeClr w14:val="tx1"/>
            </w14:solidFill>
          </w14:textFill>
        </w:rPr>
        <w:t>新增</w:t>
      </w:r>
      <w:r>
        <w:rPr>
          <w:rFonts w:hint="eastAsia"/>
          <w:color w:val="000000" w:themeColor="text1"/>
          <w14:textFill>
            <w14:solidFill>
              <w14:schemeClr w14:val="tx1"/>
            </w14:solidFill>
          </w14:textFill>
        </w:rPr>
        <w:t>了1</w:t>
      </w:r>
      <w:r>
        <w:rPr>
          <w:color w:val="000000" w:themeColor="text1"/>
          <w14:textFill>
            <w14:solidFill>
              <w14:schemeClr w14:val="tx1"/>
            </w14:solidFill>
          </w14:textFill>
        </w:rPr>
        <w:t xml:space="preserve">台 65 </w:t>
      </w:r>
      <w:r>
        <w:rPr>
          <w:rFonts w:hint="eastAsia"/>
          <w:color w:val="000000" w:themeColor="text1"/>
          <w14:textFill>
            <w14:solidFill>
              <w14:schemeClr w14:val="tx1"/>
            </w14:solidFill>
          </w14:textFill>
        </w:rPr>
        <w:t>t/h的</w:t>
      </w:r>
      <w:r>
        <w:rPr>
          <w:color w:val="000000" w:themeColor="text1"/>
          <w14:textFill>
            <w14:solidFill>
              <w14:schemeClr w14:val="tx1"/>
            </w14:solidFill>
          </w14:textFill>
        </w:rPr>
        <w:t>备用燃气蒸汽锅炉</w:t>
      </w:r>
      <w:r>
        <w:rPr>
          <w:rFonts w:hint="eastAsia"/>
          <w:color w:val="000000" w:themeColor="text1"/>
          <w14:textFill>
            <w14:solidFill>
              <w14:schemeClr w14:val="tx1"/>
            </w14:solidFill>
          </w14:textFill>
        </w:rPr>
        <w:t>。</w:t>
      </w:r>
    </w:p>
    <w:p>
      <w:pPr>
        <w:pStyle w:val="5"/>
        <w:jc w:val="both"/>
      </w:pPr>
      <w:r>
        <w:rPr>
          <w:rFonts w:hint="eastAsia"/>
        </w:rPr>
        <w:t>现有项目环评、竣工环保验收执行情况</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现有工程</w:t>
      </w:r>
      <w:bookmarkStart w:id="57" w:name="_Hlk99457799"/>
      <w:r>
        <w:rPr>
          <w:rFonts w:hint="eastAsia"/>
          <w:color w:val="000000" w:themeColor="text1"/>
          <w14:textFill>
            <w14:solidFill>
              <w14:schemeClr w14:val="tx1"/>
            </w14:solidFill>
          </w14:textFill>
        </w:rPr>
        <w:t>历次</w:t>
      </w:r>
      <w:bookmarkStart w:id="58" w:name="_Hlk114317666"/>
      <w:r>
        <w:rPr>
          <w:rFonts w:hint="eastAsia"/>
          <w:color w:val="000000" w:themeColor="text1"/>
          <w14:textFill>
            <w14:solidFill>
              <w14:schemeClr w14:val="tx1"/>
            </w14:solidFill>
          </w14:textFill>
        </w:rPr>
        <w:t>环评、竣工环保验收情况</w:t>
      </w:r>
      <w:bookmarkEnd w:id="57"/>
      <w:bookmarkEnd w:id="58"/>
      <w:r>
        <w:rPr>
          <w:rFonts w:hint="eastAsia"/>
          <w:color w:val="000000" w:themeColor="text1"/>
          <w14:textFill>
            <w14:solidFill>
              <w14:schemeClr w14:val="tx1"/>
            </w14:solidFill>
          </w14:textFill>
        </w:rPr>
        <w:t>见表2</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现有工程</w:t>
      </w:r>
      <w:r>
        <w:rPr>
          <w:color w:val="000000" w:themeColor="text1"/>
          <w14:textFill>
            <w14:solidFill>
              <w14:schemeClr w14:val="tx1"/>
            </w14:solidFill>
          </w14:textFill>
        </w:rPr>
        <w:t>历次环评、竣工环保验收</w:t>
      </w:r>
      <w:r>
        <w:rPr>
          <w:rFonts w:hint="eastAsia"/>
          <w:color w:val="000000" w:themeColor="text1"/>
          <w14:textFill>
            <w14:solidFill>
              <w14:schemeClr w14:val="tx1"/>
            </w14:solidFill>
          </w14:textFill>
        </w:rPr>
        <w:t>等</w:t>
      </w:r>
      <w:r>
        <w:rPr>
          <w:color w:val="000000" w:themeColor="text1"/>
          <w14:textFill>
            <w14:solidFill>
              <w14:schemeClr w14:val="tx1"/>
            </w14:solidFill>
          </w14:textFill>
        </w:rPr>
        <w:t>情况</w:t>
      </w:r>
    </w:p>
    <w:tbl>
      <w:tblPr>
        <w:tblStyle w:val="42"/>
        <w:tblW w:w="87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5"/>
        <w:gridCol w:w="1517"/>
        <w:gridCol w:w="2145"/>
        <w:gridCol w:w="1155"/>
        <w:gridCol w:w="1908"/>
        <w:gridCol w:w="1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5" w:type="dxa"/>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Ansi="宋体"/>
                <w:bCs/>
                <w:color w:val="000000" w:themeColor="text1"/>
                <w:kern w:val="0"/>
                <w:sz w:val="22"/>
                <w:szCs w:val="24"/>
                <w14:textFill>
                  <w14:solidFill>
                    <w14:schemeClr w14:val="tx1"/>
                  </w14:solidFill>
                </w14:textFill>
              </w:rPr>
              <w:t>序号</w:t>
            </w:r>
          </w:p>
        </w:tc>
        <w:tc>
          <w:tcPr>
            <w:tcW w:w="1517" w:type="dxa"/>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项目</w:t>
            </w:r>
            <w:r>
              <w:rPr>
                <w:bCs/>
                <w:color w:val="000000" w:themeColor="text1"/>
                <w:kern w:val="0"/>
                <w:sz w:val="22"/>
                <w:szCs w:val="24"/>
                <w14:textFill>
                  <w14:solidFill>
                    <w14:schemeClr w14:val="tx1"/>
                  </w14:solidFill>
                </w14:textFill>
              </w:rPr>
              <w:t>名称</w:t>
            </w:r>
          </w:p>
        </w:tc>
        <w:tc>
          <w:tcPr>
            <w:tcW w:w="2145" w:type="dxa"/>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bCs/>
                <w:color w:val="000000" w:themeColor="text1"/>
                <w:kern w:val="0"/>
                <w:sz w:val="22"/>
                <w:szCs w:val="24"/>
                <w14:textFill>
                  <w14:solidFill>
                    <w14:schemeClr w14:val="tx1"/>
                  </w14:solidFill>
                </w14:textFill>
              </w:rPr>
              <w:t>建设规模</w:t>
            </w:r>
          </w:p>
        </w:tc>
        <w:tc>
          <w:tcPr>
            <w:tcW w:w="1155" w:type="dxa"/>
            <w:tcBorders>
              <w:right w:val="single" w:color="auto" w:sz="4" w:space="0"/>
            </w:tcBorders>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环评批复</w:t>
            </w:r>
          </w:p>
        </w:tc>
        <w:tc>
          <w:tcPr>
            <w:tcW w:w="1908" w:type="dxa"/>
            <w:tcBorders>
              <w:right w:val="single" w:color="auto" w:sz="4" w:space="0"/>
            </w:tcBorders>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投运时间及建设内容</w:t>
            </w:r>
          </w:p>
        </w:tc>
        <w:tc>
          <w:tcPr>
            <w:tcW w:w="1540" w:type="dxa"/>
            <w:tcBorders>
              <w:left w:val="single" w:color="auto" w:sz="4" w:space="0"/>
            </w:tcBorders>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竣工环保验收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5" w:type="dxa"/>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bCs/>
                <w:color w:val="000000" w:themeColor="text1"/>
                <w:kern w:val="0"/>
                <w:sz w:val="22"/>
                <w:szCs w:val="24"/>
                <w14:textFill>
                  <w14:solidFill>
                    <w14:schemeClr w14:val="tx1"/>
                  </w14:solidFill>
                </w14:textFill>
              </w:rPr>
              <w:t>1</w:t>
            </w:r>
          </w:p>
        </w:tc>
        <w:tc>
          <w:tcPr>
            <w:tcW w:w="1517" w:type="dxa"/>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bCs/>
                <w:color w:val="000000" w:themeColor="text1"/>
                <w:kern w:val="0"/>
                <w:sz w:val="22"/>
                <w:szCs w:val="24"/>
                <w14:textFill>
                  <w14:solidFill>
                    <w14:schemeClr w14:val="tx1"/>
                  </w14:solidFill>
                </w14:textFill>
              </w:rPr>
              <w:t>重庆涪陵龙桥热电联产项目</w:t>
            </w:r>
          </w:p>
        </w:tc>
        <w:tc>
          <w:tcPr>
            <w:tcW w:w="2145" w:type="dxa"/>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bCs/>
                <w:color w:val="000000" w:themeColor="text1"/>
                <w:kern w:val="0"/>
                <w:sz w:val="22"/>
                <w:szCs w:val="24"/>
                <w14:textFill>
                  <w14:solidFill>
                    <w14:schemeClr w14:val="tx1"/>
                  </w14:solidFill>
                </w14:textFill>
              </w:rPr>
              <w:t>总装机规模为 1×300MW 抽凝汽轮发电机组+2×50MW 背压发电机组+3×80MW 背压发电机组，</w:t>
            </w:r>
            <w:r>
              <w:rPr>
                <w:rFonts w:hint="eastAsia"/>
                <w:bCs/>
                <w:color w:val="000000" w:themeColor="text1"/>
                <w:kern w:val="0"/>
                <w:sz w:val="22"/>
                <w:szCs w:val="24"/>
                <w14:textFill>
                  <w14:solidFill>
                    <w14:schemeClr w14:val="tx1"/>
                  </w14:solidFill>
                </w14:textFill>
              </w:rPr>
              <w:t>配套</w:t>
            </w:r>
            <w:r>
              <w:rPr>
                <w:bCs/>
                <w:color w:val="000000" w:themeColor="text1"/>
                <w:kern w:val="0"/>
                <w:sz w:val="22"/>
                <w:szCs w:val="24"/>
                <w14:textFill>
                  <w14:solidFill>
                    <w14:schemeClr w14:val="tx1"/>
                  </w14:solidFill>
                </w14:textFill>
              </w:rPr>
              <w:t>循环流化床锅炉，分期建设</w:t>
            </w:r>
          </w:p>
        </w:tc>
        <w:tc>
          <w:tcPr>
            <w:tcW w:w="1155" w:type="dxa"/>
            <w:tcBorders>
              <w:right w:val="single" w:color="auto" w:sz="4" w:space="0"/>
            </w:tcBorders>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渝（市）环准[</w:t>
            </w:r>
            <w:r>
              <w:rPr>
                <w:bCs/>
                <w:color w:val="000000" w:themeColor="text1"/>
                <w:kern w:val="0"/>
                <w:sz w:val="22"/>
                <w:szCs w:val="24"/>
                <w14:textFill>
                  <w14:solidFill>
                    <w14:schemeClr w14:val="tx1"/>
                  </w14:solidFill>
                </w14:textFill>
              </w:rPr>
              <w:t>2011</w:t>
            </w:r>
            <w:r>
              <w:rPr>
                <w:rFonts w:hint="eastAsia"/>
                <w:bCs/>
                <w:color w:val="000000" w:themeColor="text1"/>
                <w:kern w:val="0"/>
                <w:sz w:val="22"/>
                <w:szCs w:val="24"/>
                <w14:textFill>
                  <w14:solidFill>
                    <w14:schemeClr w14:val="tx1"/>
                  </w14:solidFill>
                </w14:textFill>
              </w:rPr>
              <w:t>]</w:t>
            </w:r>
            <w:r>
              <w:rPr>
                <w:bCs/>
                <w:color w:val="000000" w:themeColor="text1"/>
                <w:kern w:val="0"/>
                <w:sz w:val="22"/>
                <w:szCs w:val="24"/>
                <w14:textFill>
                  <w14:solidFill>
                    <w14:schemeClr w14:val="tx1"/>
                  </w14:solidFill>
                </w14:textFill>
              </w:rPr>
              <w:t>26</w:t>
            </w:r>
            <w:r>
              <w:rPr>
                <w:rFonts w:hint="eastAsia"/>
                <w:bCs/>
                <w:color w:val="000000" w:themeColor="text1"/>
                <w:kern w:val="0"/>
                <w:sz w:val="22"/>
                <w:szCs w:val="24"/>
                <w14:textFill>
                  <w14:solidFill>
                    <w14:schemeClr w14:val="tx1"/>
                  </w14:solidFill>
                </w14:textFill>
              </w:rPr>
              <w:t>号</w:t>
            </w:r>
          </w:p>
        </w:tc>
        <w:tc>
          <w:tcPr>
            <w:tcW w:w="1908" w:type="dxa"/>
            <w:tcBorders>
              <w:right w:val="single" w:color="auto" w:sz="4" w:space="0"/>
            </w:tcBorders>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bCs/>
                <w:color w:val="000000" w:themeColor="text1"/>
                <w:kern w:val="0"/>
                <w:sz w:val="22"/>
                <w:szCs w:val="24"/>
                <w14:textFill>
                  <w14:solidFill>
                    <w14:schemeClr w14:val="tx1"/>
                  </w14:solidFill>
                </w14:textFill>
              </w:rPr>
              <w:t>2014年4月</w:t>
            </w:r>
            <w:r>
              <w:rPr>
                <w:rFonts w:hint="eastAsia"/>
                <w:bCs/>
                <w:color w:val="000000" w:themeColor="text1"/>
                <w:kern w:val="0"/>
                <w:sz w:val="22"/>
                <w:szCs w:val="24"/>
                <w14:textFill>
                  <w14:solidFill>
                    <w14:schemeClr w14:val="tx1"/>
                  </w14:solidFill>
                </w14:textFill>
              </w:rPr>
              <w:t>1</w:t>
            </w:r>
            <w:r>
              <w:rPr>
                <w:bCs/>
                <w:color w:val="000000" w:themeColor="text1"/>
                <w:kern w:val="0"/>
                <w:sz w:val="22"/>
                <w:szCs w:val="24"/>
                <w14:textFill>
                  <w14:solidFill>
                    <w14:schemeClr w14:val="tx1"/>
                  </w14:solidFill>
                </w14:textFill>
              </w:rPr>
              <w:t>日</w:t>
            </w:r>
            <w:r>
              <w:rPr>
                <w:rFonts w:hint="eastAsia"/>
                <w:bCs/>
                <w:color w:val="000000" w:themeColor="text1"/>
                <w:kern w:val="0"/>
                <w:sz w:val="22"/>
                <w:szCs w:val="24"/>
                <w14:textFill>
                  <w14:solidFill>
                    <w14:schemeClr w14:val="tx1"/>
                  </w14:solidFill>
                </w14:textFill>
              </w:rPr>
              <w:t>，</w:t>
            </w:r>
            <w:r>
              <w:rPr>
                <w:bCs/>
                <w:color w:val="000000" w:themeColor="text1"/>
                <w:kern w:val="0"/>
                <w:sz w:val="22"/>
                <w:szCs w:val="24"/>
                <w14:textFill>
                  <w14:solidFill>
                    <w14:schemeClr w14:val="tx1"/>
                  </w14:solidFill>
                </w14:textFill>
              </w:rPr>
              <w:t>一期建设完成了1×300MW 抽凝汽轮发电机组和配套的</w:t>
            </w:r>
            <w:r>
              <w:rPr>
                <w:rFonts w:hint="eastAsia"/>
                <w:bCs/>
                <w:color w:val="000000" w:themeColor="text1"/>
                <w:kern w:val="0"/>
                <w:sz w:val="22"/>
                <w:szCs w:val="24"/>
                <w14:textFill>
                  <w14:solidFill>
                    <w14:schemeClr w14:val="tx1"/>
                  </w14:solidFill>
                </w14:textFill>
              </w:rPr>
              <w:t>1</w:t>
            </w:r>
            <w:r>
              <w:rPr>
                <w:bCs/>
                <w:color w:val="000000" w:themeColor="text1"/>
                <w:kern w:val="0"/>
                <w:sz w:val="22"/>
                <w:szCs w:val="24"/>
                <w14:textFill>
                  <w14:solidFill>
                    <w14:schemeClr w14:val="tx1"/>
                  </w14:solidFill>
                </w14:textFill>
              </w:rPr>
              <w:t>×</w:t>
            </w:r>
            <w:r>
              <w:rPr>
                <w:rFonts w:hint="eastAsia"/>
                <w:bCs/>
                <w:color w:val="000000" w:themeColor="text1"/>
                <w:kern w:val="0"/>
                <w:sz w:val="22"/>
                <w:szCs w:val="24"/>
                <w14:textFill>
                  <w14:solidFill>
                    <w14:schemeClr w14:val="tx1"/>
                  </w14:solidFill>
                </w14:textFill>
              </w:rPr>
              <w:t>1125t/h</w:t>
            </w:r>
            <w:r>
              <w:rPr>
                <w:bCs/>
                <w:color w:val="000000" w:themeColor="text1"/>
                <w:kern w:val="0"/>
                <w:sz w:val="22"/>
                <w:szCs w:val="24"/>
                <w14:textFill>
                  <w14:solidFill>
                    <w14:schemeClr w14:val="tx1"/>
                  </w14:solidFill>
                </w14:textFill>
              </w:rPr>
              <w:t>循环流化床锅炉</w:t>
            </w:r>
            <w:r>
              <w:rPr>
                <w:rFonts w:hint="eastAsia"/>
                <w:bCs/>
                <w:color w:val="000000" w:themeColor="text1"/>
                <w:kern w:val="0"/>
                <w:sz w:val="22"/>
                <w:szCs w:val="24"/>
                <w14:textFill>
                  <w14:solidFill>
                    <w14:schemeClr w14:val="tx1"/>
                  </w14:solidFill>
                </w14:textFill>
              </w:rPr>
              <w:t>，其余未建</w:t>
            </w:r>
          </w:p>
        </w:tc>
        <w:tc>
          <w:tcPr>
            <w:tcW w:w="1540" w:type="dxa"/>
            <w:tcBorders>
              <w:left w:val="single" w:color="auto" w:sz="4" w:space="0"/>
            </w:tcBorders>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渝（市）环验[201</w:t>
            </w:r>
            <w:r>
              <w:rPr>
                <w:bCs/>
                <w:color w:val="000000" w:themeColor="text1"/>
                <w:kern w:val="0"/>
                <w:sz w:val="22"/>
                <w:szCs w:val="24"/>
                <w14:textFill>
                  <w14:solidFill>
                    <w14:schemeClr w14:val="tx1"/>
                  </w14:solidFill>
                </w14:textFill>
              </w:rPr>
              <w:t>5</w:t>
            </w:r>
            <w:r>
              <w:rPr>
                <w:rFonts w:hint="eastAsia"/>
                <w:bCs/>
                <w:color w:val="000000" w:themeColor="text1"/>
                <w:kern w:val="0"/>
                <w:sz w:val="22"/>
                <w:szCs w:val="24"/>
                <w14:textFill>
                  <w14:solidFill>
                    <w14:schemeClr w14:val="tx1"/>
                  </w14:solidFill>
                </w14:textFill>
              </w:rPr>
              <w:t>]</w:t>
            </w:r>
            <w:r>
              <w:rPr>
                <w:bCs/>
                <w:color w:val="000000" w:themeColor="text1"/>
                <w:kern w:val="0"/>
                <w:sz w:val="22"/>
                <w:szCs w:val="24"/>
                <w14:textFill>
                  <w14:solidFill>
                    <w14:schemeClr w14:val="tx1"/>
                  </w14:solidFill>
                </w14:textFill>
              </w:rPr>
              <w:t>069</w:t>
            </w:r>
            <w:r>
              <w:rPr>
                <w:rFonts w:hint="eastAsia"/>
                <w:bCs/>
                <w:color w:val="000000" w:themeColor="text1"/>
                <w:kern w:val="0"/>
                <w:sz w:val="22"/>
                <w:szCs w:val="24"/>
                <w14:textFill>
                  <w14:solidFill>
                    <w14:schemeClr w14:val="tx1"/>
                  </w14:solidFill>
                </w14:textFill>
              </w:rPr>
              <w:t>号，</w:t>
            </w:r>
            <w:r>
              <w:rPr>
                <w:bCs/>
                <w:color w:val="000000" w:themeColor="text1"/>
                <w:kern w:val="0"/>
                <w:sz w:val="22"/>
                <w:szCs w:val="24"/>
                <w14:textFill>
                  <w14:solidFill>
                    <w14:schemeClr w14:val="tx1"/>
                  </w14:solidFill>
                </w14:textFill>
              </w:rPr>
              <w:t>重庆涪陵龙桥热电联产项目</w:t>
            </w:r>
            <w:r>
              <w:rPr>
                <w:rFonts w:hint="eastAsia"/>
                <w:bCs/>
                <w:color w:val="000000" w:themeColor="text1"/>
                <w:kern w:val="0"/>
                <w:sz w:val="22"/>
                <w:szCs w:val="24"/>
                <w14:textFill>
                  <w14:solidFill>
                    <w14:schemeClr w14:val="tx1"/>
                  </w14:solidFill>
                </w14:textFill>
              </w:rPr>
              <w:t>一期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5" w:type="dxa"/>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2</w:t>
            </w:r>
          </w:p>
        </w:tc>
        <w:tc>
          <w:tcPr>
            <w:tcW w:w="1517" w:type="dxa"/>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bCs/>
                <w:color w:val="000000" w:themeColor="text1"/>
                <w:kern w:val="0"/>
                <w:sz w:val="22"/>
                <w:szCs w:val="24"/>
                <w14:textFill>
                  <w14:solidFill>
                    <w14:schemeClr w14:val="tx1"/>
                  </w14:solidFill>
                </w14:textFill>
              </w:rPr>
              <w:t>1×300MW机组脱硫、脱硝、除尘超低排放改造工程</w:t>
            </w:r>
          </w:p>
        </w:tc>
        <w:tc>
          <w:tcPr>
            <w:tcW w:w="2145" w:type="dxa"/>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bCs/>
                <w:color w:val="000000" w:themeColor="text1"/>
                <w:kern w:val="0"/>
                <w:sz w:val="22"/>
                <w:szCs w:val="24"/>
                <w14:textFill>
                  <w14:solidFill>
                    <w14:schemeClr w14:val="tx1"/>
                  </w14:solidFill>
                </w14:textFill>
              </w:rPr>
              <w:t>对1125t/h 循环流化床锅炉配套的脱硫、脱硝、除尘设施进行改造</w:t>
            </w:r>
          </w:p>
        </w:tc>
        <w:tc>
          <w:tcPr>
            <w:tcW w:w="1155" w:type="dxa"/>
            <w:tcBorders>
              <w:right w:val="single" w:color="auto" w:sz="4" w:space="0"/>
            </w:tcBorders>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渝（涪）环准[</w:t>
            </w:r>
            <w:r>
              <w:rPr>
                <w:bCs/>
                <w:color w:val="000000" w:themeColor="text1"/>
                <w:kern w:val="0"/>
                <w:sz w:val="22"/>
                <w:szCs w:val="24"/>
                <w14:textFill>
                  <w14:solidFill>
                    <w14:schemeClr w14:val="tx1"/>
                  </w14:solidFill>
                </w14:textFill>
              </w:rPr>
              <w:t>2019</w:t>
            </w:r>
            <w:r>
              <w:rPr>
                <w:rFonts w:hint="eastAsia"/>
                <w:bCs/>
                <w:color w:val="000000" w:themeColor="text1"/>
                <w:kern w:val="0"/>
                <w:sz w:val="22"/>
                <w:szCs w:val="24"/>
                <w14:textFill>
                  <w14:solidFill>
                    <w14:schemeClr w14:val="tx1"/>
                  </w14:solidFill>
                </w14:textFill>
              </w:rPr>
              <w:t>]</w:t>
            </w:r>
            <w:r>
              <w:rPr>
                <w:bCs/>
                <w:color w:val="000000" w:themeColor="text1"/>
                <w:kern w:val="0"/>
                <w:sz w:val="22"/>
                <w:szCs w:val="24"/>
                <w14:textFill>
                  <w14:solidFill>
                    <w14:schemeClr w14:val="tx1"/>
                  </w14:solidFill>
                </w14:textFill>
              </w:rPr>
              <w:t>88</w:t>
            </w:r>
            <w:r>
              <w:rPr>
                <w:rFonts w:hint="eastAsia"/>
                <w:bCs/>
                <w:color w:val="000000" w:themeColor="text1"/>
                <w:kern w:val="0"/>
                <w:sz w:val="22"/>
                <w:szCs w:val="24"/>
                <w14:textFill>
                  <w14:solidFill>
                    <w14:schemeClr w14:val="tx1"/>
                  </w14:solidFill>
                </w14:textFill>
              </w:rPr>
              <w:t>号</w:t>
            </w:r>
          </w:p>
        </w:tc>
        <w:tc>
          <w:tcPr>
            <w:tcW w:w="1908" w:type="dxa"/>
            <w:tcBorders>
              <w:right w:val="single" w:color="auto" w:sz="4" w:space="0"/>
            </w:tcBorders>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color w:val="000000" w:themeColor="text1"/>
                <w14:textFill>
                  <w14:solidFill>
                    <w14:schemeClr w14:val="tx1"/>
                  </w14:solidFill>
                </w14:textFill>
              </w:rPr>
              <w:t>2019年1</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月</w:t>
            </w:r>
          </w:p>
        </w:tc>
        <w:tc>
          <w:tcPr>
            <w:tcW w:w="1540" w:type="dxa"/>
            <w:tcBorders>
              <w:left w:val="single" w:color="auto" w:sz="4" w:space="0"/>
            </w:tcBorders>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2</w:t>
            </w:r>
            <w:r>
              <w:rPr>
                <w:bCs/>
                <w:color w:val="000000" w:themeColor="text1"/>
                <w:kern w:val="0"/>
                <w:sz w:val="22"/>
                <w:szCs w:val="24"/>
                <w14:textFill>
                  <w14:solidFill>
                    <w14:schemeClr w14:val="tx1"/>
                  </w14:solidFill>
                </w14:textFill>
              </w:rPr>
              <w:t>020</w:t>
            </w:r>
            <w:r>
              <w:rPr>
                <w:rFonts w:hint="eastAsia"/>
                <w:bCs/>
                <w:color w:val="000000" w:themeColor="text1"/>
                <w:kern w:val="0"/>
                <w:sz w:val="22"/>
                <w:szCs w:val="24"/>
                <w14:textFill>
                  <w14:solidFill>
                    <w14:schemeClr w14:val="tx1"/>
                  </w14:solidFill>
                </w14:textFill>
              </w:rPr>
              <w:t>年4月完成自主验收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5" w:type="dxa"/>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3</w:t>
            </w:r>
          </w:p>
        </w:tc>
        <w:tc>
          <w:tcPr>
            <w:tcW w:w="1517" w:type="dxa"/>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bCs/>
                <w:color w:val="000000" w:themeColor="text1"/>
                <w:kern w:val="0"/>
                <w:sz w:val="22"/>
                <w:szCs w:val="24"/>
                <w14:textFill>
                  <w14:solidFill>
                    <w14:schemeClr w14:val="tx1"/>
                  </w14:solidFill>
                </w14:textFill>
              </w:rPr>
              <w:t>2</w:t>
            </w:r>
            <w:r>
              <w:rPr>
                <w:rFonts w:hint="eastAsia"/>
                <w:bCs/>
                <w:color w:val="000000" w:themeColor="text1"/>
                <w:kern w:val="0"/>
                <w:sz w:val="22"/>
                <w:szCs w:val="24"/>
                <w14:textFill>
                  <w14:solidFill>
                    <w14:schemeClr w14:val="tx1"/>
                  </w14:solidFill>
                </w14:textFill>
              </w:rPr>
              <w:t>×</w:t>
            </w:r>
            <w:r>
              <w:rPr>
                <w:bCs/>
                <w:color w:val="000000" w:themeColor="text1"/>
                <w:kern w:val="0"/>
                <w:sz w:val="22"/>
                <w:szCs w:val="24"/>
                <w14:textFill>
                  <w14:solidFill>
                    <w14:schemeClr w14:val="tx1"/>
                  </w14:solidFill>
                </w14:textFill>
              </w:rPr>
              <w:t xml:space="preserve">65 </w:t>
            </w:r>
            <w:r>
              <w:rPr>
                <w:rFonts w:hint="eastAsia"/>
                <w:bCs/>
                <w:color w:val="000000" w:themeColor="text1"/>
                <w:kern w:val="0"/>
                <w:sz w:val="22"/>
                <w:szCs w:val="24"/>
                <w14:textFill>
                  <w14:solidFill>
                    <w14:schemeClr w14:val="tx1"/>
                  </w14:solidFill>
                </w14:textFill>
              </w:rPr>
              <w:t>t/h供热燃气锅炉建设项目</w:t>
            </w:r>
          </w:p>
        </w:tc>
        <w:tc>
          <w:tcPr>
            <w:tcW w:w="2145" w:type="dxa"/>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新增2台</w:t>
            </w:r>
            <w:r>
              <w:rPr>
                <w:bCs/>
                <w:color w:val="000000" w:themeColor="text1"/>
                <w:kern w:val="0"/>
                <w:sz w:val="22"/>
                <w:szCs w:val="24"/>
                <w14:textFill>
                  <w14:solidFill>
                    <w14:schemeClr w14:val="tx1"/>
                  </w14:solidFill>
                </w14:textFill>
              </w:rPr>
              <w:t xml:space="preserve">65 </w:t>
            </w:r>
            <w:r>
              <w:rPr>
                <w:rFonts w:hint="eastAsia"/>
                <w:bCs/>
                <w:color w:val="000000" w:themeColor="text1"/>
                <w:kern w:val="0"/>
                <w:sz w:val="22"/>
                <w:szCs w:val="24"/>
                <w14:textFill>
                  <w14:solidFill>
                    <w14:schemeClr w14:val="tx1"/>
                  </w14:solidFill>
                </w14:textFill>
              </w:rPr>
              <w:t>t/h天然气锅炉，分二期建设</w:t>
            </w:r>
          </w:p>
        </w:tc>
        <w:tc>
          <w:tcPr>
            <w:tcW w:w="1155" w:type="dxa"/>
            <w:tcBorders>
              <w:right w:val="single" w:color="auto" w:sz="4" w:space="0"/>
            </w:tcBorders>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渝（涪）环准[</w:t>
            </w:r>
            <w:r>
              <w:rPr>
                <w:bCs/>
                <w:color w:val="000000" w:themeColor="text1"/>
                <w:kern w:val="0"/>
                <w:sz w:val="22"/>
                <w:szCs w:val="24"/>
                <w14:textFill>
                  <w14:solidFill>
                    <w14:schemeClr w14:val="tx1"/>
                  </w14:solidFill>
                </w14:textFill>
              </w:rPr>
              <w:t>2018</w:t>
            </w:r>
            <w:r>
              <w:rPr>
                <w:rFonts w:hint="eastAsia"/>
                <w:bCs/>
                <w:color w:val="000000" w:themeColor="text1"/>
                <w:kern w:val="0"/>
                <w:sz w:val="22"/>
                <w:szCs w:val="24"/>
                <w14:textFill>
                  <w14:solidFill>
                    <w14:schemeClr w14:val="tx1"/>
                  </w14:solidFill>
                </w14:textFill>
              </w:rPr>
              <w:t>]</w:t>
            </w:r>
            <w:r>
              <w:rPr>
                <w:bCs/>
                <w:color w:val="000000" w:themeColor="text1"/>
                <w:kern w:val="0"/>
                <w:sz w:val="22"/>
                <w:szCs w:val="24"/>
                <w14:textFill>
                  <w14:solidFill>
                    <w14:schemeClr w14:val="tx1"/>
                  </w14:solidFill>
                </w14:textFill>
              </w:rPr>
              <w:t>44</w:t>
            </w:r>
            <w:r>
              <w:rPr>
                <w:rFonts w:hint="eastAsia"/>
                <w:bCs/>
                <w:color w:val="000000" w:themeColor="text1"/>
                <w:kern w:val="0"/>
                <w:sz w:val="22"/>
                <w:szCs w:val="24"/>
                <w14:textFill>
                  <w14:solidFill>
                    <w14:schemeClr w14:val="tx1"/>
                  </w14:solidFill>
                </w14:textFill>
              </w:rPr>
              <w:t>号</w:t>
            </w:r>
          </w:p>
        </w:tc>
        <w:tc>
          <w:tcPr>
            <w:tcW w:w="1908" w:type="dxa"/>
            <w:tcBorders>
              <w:right w:val="single" w:color="auto" w:sz="4" w:space="0"/>
            </w:tcBorders>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2</w:t>
            </w:r>
            <w:r>
              <w:rPr>
                <w:bCs/>
                <w:color w:val="000000" w:themeColor="text1"/>
                <w:kern w:val="0"/>
                <w:sz w:val="22"/>
                <w:szCs w:val="24"/>
                <w14:textFill>
                  <w14:solidFill>
                    <w14:schemeClr w14:val="tx1"/>
                  </w14:solidFill>
                </w14:textFill>
              </w:rPr>
              <w:t>021</w:t>
            </w:r>
            <w:r>
              <w:rPr>
                <w:rFonts w:hint="eastAsia"/>
                <w:bCs/>
                <w:color w:val="000000" w:themeColor="text1"/>
                <w:kern w:val="0"/>
                <w:sz w:val="22"/>
                <w:szCs w:val="24"/>
                <w14:textFill>
                  <w14:solidFill>
                    <w14:schemeClr w14:val="tx1"/>
                  </w14:solidFill>
                </w14:textFill>
              </w:rPr>
              <w:t>年3月，建成一期1台</w:t>
            </w:r>
            <w:r>
              <w:rPr>
                <w:bCs/>
                <w:color w:val="000000" w:themeColor="text1"/>
                <w:kern w:val="0"/>
                <w:sz w:val="22"/>
                <w:szCs w:val="24"/>
                <w14:textFill>
                  <w14:solidFill>
                    <w14:schemeClr w14:val="tx1"/>
                  </w14:solidFill>
                </w14:textFill>
              </w:rPr>
              <w:t xml:space="preserve">65 </w:t>
            </w:r>
            <w:r>
              <w:rPr>
                <w:rFonts w:hint="eastAsia"/>
                <w:bCs/>
                <w:color w:val="000000" w:themeColor="text1"/>
                <w:kern w:val="0"/>
                <w:sz w:val="22"/>
                <w:szCs w:val="24"/>
                <w14:textFill>
                  <w14:solidFill>
                    <w14:schemeClr w14:val="tx1"/>
                  </w14:solidFill>
                </w14:textFill>
              </w:rPr>
              <w:t>t/h天然气锅炉，其余未建</w:t>
            </w:r>
          </w:p>
        </w:tc>
        <w:tc>
          <w:tcPr>
            <w:tcW w:w="1540" w:type="dxa"/>
            <w:tcBorders>
              <w:left w:val="single" w:color="auto" w:sz="4" w:space="0"/>
            </w:tcBorders>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2</w:t>
            </w:r>
            <w:r>
              <w:rPr>
                <w:bCs/>
                <w:color w:val="000000" w:themeColor="text1"/>
                <w:kern w:val="0"/>
                <w:sz w:val="22"/>
                <w:szCs w:val="24"/>
                <w14:textFill>
                  <w14:solidFill>
                    <w14:schemeClr w14:val="tx1"/>
                  </w14:solidFill>
                </w14:textFill>
              </w:rPr>
              <w:t>021</w:t>
            </w:r>
            <w:r>
              <w:rPr>
                <w:rFonts w:hint="eastAsia"/>
                <w:bCs/>
                <w:color w:val="000000" w:themeColor="text1"/>
                <w:kern w:val="0"/>
                <w:sz w:val="22"/>
                <w:szCs w:val="24"/>
                <w14:textFill>
                  <w14:solidFill>
                    <w14:schemeClr w14:val="tx1"/>
                  </w14:solidFill>
                </w14:textFill>
              </w:rPr>
              <w:t>年</w:t>
            </w:r>
            <w:r>
              <w:rPr>
                <w:bCs/>
                <w:color w:val="000000" w:themeColor="text1"/>
                <w:kern w:val="0"/>
                <w:sz w:val="22"/>
                <w:szCs w:val="24"/>
                <w14:textFill>
                  <w14:solidFill>
                    <w14:schemeClr w14:val="tx1"/>
                  </w14:solidFill>
                </w14:textFill>
              </w:rPr>
              <w:t>9</w:t>
            </w:r>
            <w:r>
              <w:rPr>
                <w:rFonts w:hint="eastAsia"/>
                <w:bCs/>
                <w:color w:val="000000" w:themeColor="text1"/>
                <w:kern w:val="0"/>
                <w:sz w:val="22"/>
                <w:szCs w:val="24"/>
                <w14:textFill>
                  <w14:solidFill>
                    <w14:schemeClr w14:val="tx1"/>
                  </w14:solidFill>
                </w14:textFill>
              </w:rPr>
              <w:t>月完成自主验收</w:t>
            </w:r>
          </w:p>
        </w:tc>
      </w:tr>
    </w:tbl>
    <w:p>
      <w:pPr>
        <w:ind w:firstLine="520"/>
        <w:rPr>
          <w:color w:val="000000" w:themeColor="text1"/>
          <w14:textFill>
            <w14:solidFill>
              <w14:schemeClr w14:val="tx1"/>
            </w14:solidFill>
          </w14:textFill>
        </w:rPr>
      </w:pPr>
    </w:p>
    <w:p>
      <w:pPr>
        <w:pStyle w:val="5"/>
        <w:jc w:val="both"/>
      </w:pPr>
      <w:bookmarkStart w:id="59" w:name="_Toc101019369"/>
      <w:bookmarkStart w:id="60" w:name="_Toc111275399"/>
      <w:r>
        <w:rPr>
          <w:rFonts w:hint="eastAsia"/>
        </w:rPr>
        <w:t>排污许可制度落实情况</w:t>
      </w:r>
      <w:bookmarkEnd w:id="59"/>
      <w:bookmarkEnd w:id="60"/>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（1）排污许可证申领</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20</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日，重庆中机龙桥热电</w:t>
      </w:r>
      <w:r>
        <w:rPr>
          <w:rFonts w:hint="eastAsia"/>
          <w:color w:val="000000" w:themeColor="text1"/>
          <w:lang w:eastAsia="zh-CN"/>
          <w14:textFill>
            <w14:solidFill>
              <w14:schemeClr w14:val="tx1"/>
            </w14:solidFill>
          </w14:textFill>
        </w:rPr>
        <w:t>有限公司</w:t>
      </w:r>
      <w:r>
        <w:rPr>
          <w:rFonts w:hint="eastAsia"/>
          <w:color w:val="000000" w:themeColor="text1"/>
          <w14:textFill>
            <w14:solidFill>
              <w14:schemeClr w14:val="tx1"/>
            </w14:solidFill>
          </w14:textFill>
        </w:rPr>
        <w:t>完成固定污染源排污许可申报，获得涪陵区生态环境局下发的《排污许可证》（编号：915001</w:t>
      </w:r>
      <w:r>
        <w:rPr>
          <w:color w:val="000000" w:themeColor="text1"/>
          <w14:textFill>
            <w14:solidFill>
              <w14:schemeClr w14:val="tx1"/>
            </w14:solidFill>
          </w14:textFill>
        </w:rPr>
        <w:t>02588003295U001P</w:t>
      </w:r>
      <w:r>
        <w:rPr>
          <w:rFonts w:hint="eastAsia"/>
          <w:color w:val="000000" w:themeColor="text1"/>
          <w14:textFill>
            <w14:solidFill>
              <w14:schemeClr w14:val="tx1"/>
            </w14:solidFill>
          </w14:textFill>
        </w:rPr>
        <w:t>）。</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（2）排污许可执行报告</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重庆中机龙桥热电</w:t>
      </w:r>
      <w:r>
        <w:rPr>
          <w:rFonts w:hint="eastAsia"/>
          <w:color w:val="000000" w:themeColor="text1"/>
          <w:lang w:eastAsia="zh-CN"/>
          <w14:textFill>
            <w14:solidFill>
              <w14:schemeClr w14:val="tx1"/>
            </w14:solidFill>
          </w14:textFill>
        </w:rPr>
        <w:t>有限公司</w:t>
      </w:r>
      <w:r>
        <w:rPr>
          <w:rFonts w:hint="eastAsia"/>
          <w:color w:val="000000" w:themeColor="text1"/>
          <w14:textFill>
            <w14:solidFill>
              <w14:schemeClr w14:val="tx1"/>
            </w14:solidFill>
          </w14:textFill>
        </w:rPr>
        <w:t>按照排污许可制度执行及管理有关要求进行自行台账管理等工作，并按时完成了年度执行报告。</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（3）自行监测落实情况</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按照《排污单位自行监测技术指南 火力发电及锅炉》（HJ820-2017）要求，对厂区废气、废水、噪声定期进行自行监测，监测数据统一发布于“排污企业自行监测信息”平台。</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现有工程概况及项目组成</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建设单位：重庆中机龙桥热电有限公司</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建设地点：</w:t>
      </w:r>
      <w:bookmarkStart w:id="61" w:name="_Hlk105750190"/>
      <w:r>
        <w:rPr>
          <w:color w:val="000000" w:themeColor="text1"/>
          <w14:textFill>
            <w14:solidFill>
              <w14:schemeClr w14:val="tx1"/>
            </w14:solidFill>
          </w14:textFill>
        </w:rPr>
        <w:t>重庆市涪陵区龙桥街道龙电路9号</w:t>
      </w:r>
      <w:bookmarkEnd w:id="61"/>
      <w:bookmarkStart w:id="62" w:name="_Hlk105750247"/>
      <w:r>
        <w:rPr>
          <w:rFonts w:hint="eastAsia"/>
          <w:color w:val="000000" w:themeColor="text1"/>
          <w14:textFill>
            <w14:solidFill>
              <w14:schemeClr w14:val="tx1"/>
            </w14:solidFill>
          </w14:textFill>
        </w:rPr>
        <w:t>（涪陵工业园区龙桥组团南岸浦片区）</w:t>
      </w:r>
      <w:bookmarkEnd w:id="62"/>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占地面积：</w:t>
      </w:r>
      <w:r>
        <w:rPr>
          <w:color w:val="000000" w:themeColor="text1"/>
          <w14:textFill>
            <w14:solidFill>
              <w14:schemeClr w14:val="tx1"/>
            </w14:solidFill>
          </w14:textFill>
        </w:rPr>
        <w:t>236000㎡（354.00亩）</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建成规模：</w:t>
      </w:r>
      <w:r>
        <w:rPr>
          <w:color w:val="000000" w:themeColor="text1"/>
          <w14:textFill>
            <w14:solidFill>
              <w14:schemeClr w14:val="tx1"/>
            </w14:solidFill>
          </w14:textFill>
        </w:rPr>
        <w:t>1×300MW抽凝汽轮发电机组</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1125t/h</w:t>
      </w:r>
      <w:r>
        <w:rPr>
          <w:color w:val="000000" w:themeColor="text1"/>
          <w14:textFill>
            <w14:solidFill>
              <w14:schemeClr w14:val="tx1"/>
            </w14:solidFill>
          </w14:textFill>
        </w:rPr>
        <w:t>循环流化床锅炉</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×65 </w:t>
      </w:r>
      <w:r>
        <w:rPr>
          <w:rFonts w:hint="eastAsia"/>
          <w:color w:val="000000" w:themeColor="text1"/>
          <w14:textFill>
            <w14:solidFill>
              <w14:schemeClr w14:val="tx1"/>
            </w14:solidFill>
          </w14:textFill>
        </w:rPr>
        <w:t>t/h的</w:t>
      </w:r>
      <w:r>
        <w:rPr>
          <w:color w:val="000000" w:themeColor="text1"/>
          <w14:textFill>
            <w14:solidFill>
              <w14:schemeClr w14:val="tx1"/>
            </w14:solidFill>
          </w14:textFill>
        </w:rPr>
        <w:t>燃气蒸汽锅炉</w:t>
      </w:r>
      <w:r>
        <w:rPr>
          <w:rFonts w:hint="eastAsia"/>
          <w:color w:val="000000" w:themeColor="text1"/>
          <w14:textFill>
            <w14:solidFill>
              <w14:schemeClr w14:val="tx1"/>
            </w14:solidFill>
          </w14:textFill>
        </w:rPr>
        <w:t>。</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劳动定员：2</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人。</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工作制度：</w:t>
      </w:r>
      <w:bookmarkStart w:id="63" w:name="_Hlk105750333"/>
      <w:r>
        <w:rPr>
          <w:color w:val="000000" w:themeColor="text1"/>
          <w14:textFill>
            <w14:solidFill>
              <w14:schemeClr w14:val="tx1"/>
            </w14:solidFill>
          </w14:textFill>
        </w:rPr>
        <w:t>全年生产300天</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实行每天3班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每班8小时</w:t>
      </w:r>
      <w:r>
        <w:rPr>
          <w:rFonts w:hint="eastAsia"/>
          <w:color w:val="000000" w:themeColor="text1"/>
          <w14:textFill>
            <w14:solidFill>
              <w14:schemeClr w14:val="tx1"/>
            </w14:solidFill>
          </w14:textFill>
        </w:rPr>
        <w:t>工作制，热电机组设计每年工作时间7</w:t>
      </w:r>
      <w:r>
        <w:rPr>
          <w:color w:val="000000" w:themeColor="text1"/>
          <w14:textFill>
            <w14:solidFill>
              <w14:schemeClr w14:val="tx1"/>
            </w14:solidFill>
          </w14:textFill>
        </w:rPr>
        <w:t>500h</w:t>
      </w:r>
      <w:r>
        <w:rPr>
          <w:rFonts w:hint="eastAsia"/>
          <w:color w:val="000000" w:themeColor="text1"/>
          <w14:textFill>
            <w14:solidFill>
              <w14:schemeClr w14:val="tx1"/>
            </w14:solidFill>
          </w14:textFill>
        </w:rPr>
        <w:t>。</w:t>
      </w:r>
      <w:bookmarkEnd w:id="63"/>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现有项目组成</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项目组成见表2</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项目组成一览表</w:t>
      </w:r>
    </w:p>
    <w:tbl>
      <w:tblPr>
        <w:tblStyle w:val="42"/>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92"/>
        <w:gridCol w:w="748"/>
        <w:gridCol w:w="5441"/>
        <w:gridCol w:w="1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340" w:type="dxa"/>
            <w:gridSpan w:val="2"/>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项目组成</w:t>
            </w:r>
          </w:p>
        </w:tc>
        <w:tc>
          <w:tcPr>
            <w:tcW w:w="5441" w:type="dxa"/>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建设内容和规模</w:t>
            </w:r>
          </w:p>
        </w:tc>
        <w:tc>
          <w:tcPr>
            <w:tcW w:w="1939" w:type="dxa"/>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340" w:type="dxa"/>
            <w:gridSpan w:val="2"/>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主体工程</w:t>
            </w:r>
          </w:p>
        </w:tc>
        <w:tc>
          <w:tcPr>
            <w:tcW w:w="5441" w:type="dxa"/>
            <w:vAlign w:val="center"/>
          </w:tcPr>
          <w:p>
            <w:pPr>
              <w:widowControl/>
              <w:adjustRightInd/>
              <w:snapToGrid/>
              <w:spacing w:line="240" w:lineRule="auto"/>
              <w:ind w:firstLine="0" w:firstLineChars="0"/>
              <w:rPr>
                <w:bCs/>
                <w:color w:val="000000" w:themeColor="text1"/>
                <w:kern w:val="0"/>
                <w:sz w:val="22"/>
                <w:szCs w:val="24"/>
                <w14:textFill>
                  <w14:solidFill>
                    <w14:schemeClr w14:val="tx1"/>
                  </w14:solidFill>
                </w14:textFill>
              </w:rPr>
            </w:pPr>
            <w:r>
              <w:rPr>
                <w:bCs/>
                <w:color w:val="000000" w:themeColor="text1"/>
                <w:kern w:val="0"/>
                <w:sz w:val="22"/>
                <w:szCs w:val="24"/>
                <w14:textFill>
                  <w14:solidFill>
                    <w14:schemeClr w14:val="tx1"/>
                  </w14:solidFill>
                </w14:textFill>
              </w:rPr>
              <w:t>1×300MW 抽凝汽轮发电机组、</w:t>
            </w:r>
            <w:r>
              <w:rPr>
                <w:rFonts w:hint="eastAsia"/>
                <w:bCs/>
                <w:color w:val="000000" w:themeColor="text1"/>
                <w:kern w:val="0"/>
                <w:sz w:val="22"/>
                <w:szCs w:val="24"/>
                <w14:textFill>
                  <w14:solidFill>
                    <w14:schemeClr w14:val="tx1"/>
                  </w14:solidFill>
                </w14:textFill>
              </w:rPr>
              <w:t>1</w:t>
            </w:r>
            <w:r>
              <w:rPr>
                <w:bCs/>
                <w:color w:val="000000" w:themeColor="text1"/>
                <w:kern w:val="0"/>
                <w:sz w:val="22"/>
                <w:szCs w:val="24"/>
                <w14:textFill>
                  <w14:solidFill>
                    <w14:schemeClr w14:val="tx1"/>
                  </w14:solidFill>
                </w14:textFill>
              </w:rPr>
              <w:t>×</w:t>
            </w:r>
            <w:r>
              <w:rPr>
                <w:rFonts w:hint="eastAsia"/>
                <w:bCs/>
                <w:color w:val="000000" w:themeColor="text1"/>
                <w:kern w:val="0"/>
                <w:sz w:val="22"/>
                <w:szCs w:val="24"/>
                <w14:textFill>
                  <w14:solidFill>
                    <w14:schemeClr w14:val="tx1"/>
                  </w14:solidFill>
                </w14:textFill>
              </w:rPr>
              <w:t>1125t/h</w:t>
            </w:r>
            <w:r>
              <w:rPr>
                <w:bCs/>
                <w:color w:val="000000" w:themeColor="text1"/>
                <w:kern w:val="0"/>
                <w:sz w:val="22"/>
                <w:szCs w:val="24"/>
                <w14:textFill>
                  <w14:solidFill>
                    <w14:schemeClr w14:val="tx1"/>
                  </w14:solidFill>
                </w14:textFill>
              </w:rPr>
              <w:t>循环流化床锅炉、</w:t>
            </w:r>
            <w:r>
              <w:rPr>
                <w:rFonts w:hint="eastAsia"/>
                <w:bCs/>
                <w:color w:val="000000" w:themeColor="text1"/>
                <w:kern w:val="0"/>
                <w:sz w:val="22"/>
                <w:szCs w:val="24"/>
                <w14:textFill>
                  <w14:solidFill>
                    <w14:schemeClr w14:val="tx1"/>
                  </w14:solidFill>
                </w14:textFill>
              </w:rPr>
              <w:t>1</w:t>
            </w:r>
            <w:r>
              <w:rPr>
                <w:bCs/>
                <w:color w:val="000000" w:themeColor="text1"/>
                <w:kern w:val="0"/>
                <w:sz w:val="22"/>
                <w:szCs w:val="24"/>
                <w14:textFill>
                  <w14:solidFill>
                    <w14:schemeClr w14:val="tx1"/>
                  </w14:solidFill>
                </w14:textFill>
              </w:rPr>
              <w:t xml:space="preserve">×65 </w:t>
            </w:r>
            <w:r>
              <w:rPr>
                <w:rFonts w:hint="eastAsia"/>
                <w:bCs/>
                <w:color w:val="000000" w:themeColor="text1"/>
                <w:kern w:val="0"/>
                <w:sz w:val="22"/>
                <w:szCs w:val="24"/>
                <w14:textFill>
                  <w14:solidFill>
                    <w14:schemeClr w14:val="tx1"/>
                  </w14:solidFill>
                </w14:textFill>
              </w:rPr>
              <w:t>t/h的</w:t>
            </w:r>
            <w:r>
              <w:rPr>
                <w:bCs/>
                <w:color w:val="000000" w:themeColor="text1"/>
                <w:kern w:val="0"/>
                <w:sz w:val="22"/>
                <w:szCs w:val="24"/>
                <w14:textFill>
                  <w14:solidFill>
                    <w14:schemeClr w14:val="tx1"/>
                  </w14:solidFill>
                </w14:textFill>
              </w:rPr>
              <w:t>燃气蒸汽锅炉</w:t>
            </w:r>
            <w:r>
              <w:rPr>
                <w:rFonts w:hint="eastAsia"/>
                <w:bCs/>
                <w:color w:val="000000" w:themeColor="text1"/>
                <w:kern w:val="0"/>
                <w:sz w:val="22"/>
                <w:szCs w:val="24"/>
                <w14:textFill>
                  <w14:solidFill>
                    <w14:schemeClr w14:val="tx1"/>
                  </w14:solidFill>
                </w14:textFill>
              </w:rPr>
              <w:t>。</w:t>
            </w:r>
          </w:p>
        </w:tc>
        <w:tc>
          <w:tcPr>
            <w:tcW w:w="1939" w:type="dxa"/>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本项目依托1125t/h</w:t>
            </w:r>
            <w:r>
              <w:rPr>
                <w:bCs/>
                <w:color w:val="000000" w:themeColor="text1"/>
                <w:kern w:val="0"/>
                <w:sz w:val="22"/>
                <w:szCs w:val="24"/>
                <w14:textFill>
                  <w14:solidFill>
                    <w14:schemeClr w14:val="tx1"/>
                  </w14:solidFill>
                </w14:textFill>
              </w:rPr>
              <w:t>循环流化床锅炉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92" w:type="dxa"/>
            <w:vMerge w:val="restart"/>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储运工程</w:t>
            </w:r>
          </w:p>
        </w:tc>
        <w:tc>
          <w:tcPr>
            <w:tcW w:w="748" w:type="dxa"/>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原料运输</w:t>
            </w:r>
          </w:p>
        </w:tc>
        <w:tc>
          <w:tcPr>
            <w:tcW w:w="5441" w:type="dxa"/>
            <w:vAlign w:val="center"/>
          </w:tcPr>
          <w:p>
            <w:pPr>
              <w:widowControl/>
              <w:adjustRightInd/>
              <w:snapToGrid/>
              <w:spacing w:line="240" w:lineRule="auto"/>
              <w:ind w:firstLine="0" w:firstLineChars="0"/>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原煤及石灰石全部采用水路公路联运或公路运输，电厂建有自备水运煤码头。</w:t>
            </w:r>
          </w:p>
        </w:tc>
        <w:tc>
          <w:tcPr>
            <w:tcW w:w="1939" w:type="dxa"/>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92" w:type="dxa"/>
            <w:vMerge w:val="continue"/>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p>
        </w:tc>
        <w:tc>
          <w:tcPr>
            <w:tcW w:w="748" w:type="dxa"/>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color w:val="000000" w:themeColor="text1"/>
                <w:sz w:val="22"/>
                <w14:textFill>
                  <w14:solidFill>
                    <w14:schemeClr w14:val="tx1"/>
                  </w14:solidFill>
                </w14:textFill>
              </w:rPr>
              <w:t>电气出线</w:t>
            </w:r>
          </w:p>
        </w:tc>
        <w:tc>
          <w:tcPr>
            <w:tcW w:w="5441" w:type="dxa"/>
            <w:vAlign w:val="center"/>
          </w:tcPr>
          <w:p>
            <w:pPr>
              <w:widowControl/>
              <w:adjustRightInd/>
              <w:snapToGrid/>
              <w:spacing w:line="240" w:lineRule="auto"/>
              <w:ind w:firstLine="0" w:firstLineChars="0"/>
              <w:rPr>
                <w:bCs/>
                <w:color w:val="000000" w:themeColor="text1"/>
                <w:kern w:val="0"/>
                <w:sz w:val="22"/>
                <w:szCs w:val="24"/>
                <w14:textFill>
                  <w14:solidFill>
                    <w14:schemeClr w14:val="tx1"/>
                  </w14:solidFill>
                </w14:textFill>
              </w:rPr>
            </w:pPr>
            <w:r>
              <w:rPr>
                <w:rFonts w:hint="eastAsia"/>
                <w:color w:val="000000" w:themeColor="text1"/>
                <w:sz w:val="22"/>
                <w14:textFill>
                  <w14:solidFill>
                    <w14:schemeClr w14:val="tx1"/>
                  </w14:solidFill>
                </w14:textFill>
              </w:rPr>
              <w:t>采用双母线</w:t>
            </w:r>
            <w:r>
              <w:rPr>
                <w:color w:val="000000" w:themeColor="text1"/>
                <w:sz w:val="22"/>
                <w14:textFill>
                  <w14:solidFill>
                    <w14:schemeClr w14:val="tx1"/>
                  </w14:solidFill>
                </w14:textFill>
              </w:rPr>
              <w:t>220kV</w:t>
            </w:r>
            <w:r>
              <w:rPr>
                <w:rFonts w:hint="eastAsia"/>
                <w:color w:val="000000" w:themeColor="text1"/>
                <w:sz w:val="22"/>
                <w14:textFill>
                  <w14:solidFill>
                    <w14:schemeClr w14:val="tx1"/>
                  </w14:solidFill>
                </w14:textFill>
              </w:rPr>
              <w:t>送出，接入厂内</w:t>
            </w:r>
            <w:r>
              <w:rPr>
                <w:color w:val="000000" w:themeColor="text1"/>
                <w:sz w:val="22"/>
                <w14:textFill>
                  <w14:solidFill>
                    <w14:schemeClr w14:val="tx1"/>
                  </w14:solidFill>
                </w14:textFill>
              </w:rPr>
              <w:t>220kV</w:t>
            </w:r>
            <w:r>
              <w:rPr>
                <w:rFonts w:hint="eastAsia"/>
                <w:color w:val="000000" w:themeColor="text1"/>
                <w:sz w:val="22"/>
                <w14:textFill>
                  <w14:solidFill>
                    <w14:schemeClr w14:val="tx1"/>
                  </w14:solidFill>
                </w14:textFill>
              </w:rPr>
              <w:t xml:space="preserve"> GIS配电装置。</w:t>
            </w:r>
          </w:p>
        </w:tc>
        <w:tc>
          <w:tcPr>
            <w:tcW w:w="1939" w:type="dxa"/>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92" w:type="dxa"/>
            <w:vMerge w:val="continue"/>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p>
        </w:tc>
        <w:tc>
          <w:tcPr>
            <w:tcW w:w="748" w:type="dxa"/>
            <w:vAlign w:val="center"/>
          </w:tcPr>
          <w:p>
            <w:pPr>
              <w:widowControl/>
              <w:adjustRightInd/>
              <w:snapToGrid/>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升压站</w:t>
            </w:r>
          </w:p>
        </w:tc>
        <w:tc>
          <w:tcPr>
            <w:tcW w:w="5441" w:type="dxa"/>
            <w:vAlign w:val="center"/>
          </w:tcPr>
          <w:p>
            <w:pPr>
              <w:widowControl/>
              <w:adjustRightInd/>
              <w:snapToGrid/>
              <w:spacing w:line="240" w:lineRule="auto"/>
              <w:ind w:firstLine="0" w:firstLineChars="0"/>
              <w:rPr>
                <w:color w:val="000000" w:themeColor="text1"/>
                <w:sz w:val="22"/>
                <w14:textFill>
                  <w14:solidFill>
                    <w14:schemeClr w14:val="tx1"/>
                  </w14:solidFill>
                </w14:textFill>
              </w:rPr>
            </w:pPr>
            <w:r>
              <w:rPr>
                <w:color w:val="000000" w:themeColor="text1"/>
                <w:sz w:val="22"/>
                <w14:textFill>
                  <w14:solidFill>
                    <w14:schemeClr w14:val="tx1"/>
                  </w14:solidFill>
                </w14:textFill>
              </w:rPr>
              <w:t>采用 220kV 屋内配电装置设备，采用双母线不分段接线</w:t>
            </w:r>
            <w:r>
              <w:rPr>
                <w:rFonts w:hint="eastAsia"/>
                <w:color w:val="000000" w:themeColor="text1"/>
                <w:sz w:val="22"/>
                <w14:textFill>
                  <w14:solidFill>
                    <w14:schemeClr w14:val="tx1"/>
                  </w14:solidFill>
                </w14:textFill>
              </w:rPr>
              <w:t>。</w:t>
            </w:r>
          </w:p>
        </w:tc>
        <w:tc>
          <w:tcPr>
            <w:tcW w:w="1939" w:type="dxa"/>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92" w:type="dxa"/>
            <w:vMerge w:val="continue"/>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p>
        </w:tc>
        <w:tc>
          <w:tcPr>
            <w:tcW w:w="748" w:type="dxa"/>
            <w:vAlign w:val="center"/>
          </w:tcPr>
          <w:p>
            <w:pPr>
              <w:widowControl/>
              <w:adjustRightInd/>
              <w:snapToGrid/>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煤棚</w:t>
            </w:r>
          </w:p>
        </w:tc>
        <w:tc>
          <w:tcPr>
            <w:tcW w:w="5441" w:type="dxa"/>
            <w:vAlign w:val="center"/>
          </w:tcPr>
          <w:p>
            <w:pPr>
              <w:widowControl/>
              <w:adjustRightInd/>
              <w:snapToGrid/>
              <w:spacing w:line="240" w:lineRule="auto"/>
              <w:ind w:firstLine="0" w:firstLineChars="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煤炭经转运站运送至干煤棚堆放，储煤能力约1</w:t>
            </w:r>
            <w:r>
              <w:rPr>
                <w:color w:val="000000" w:themeColor="text1"/>
                <w:sz w:val="22"/>
                <w14:textFill>
                  <w14:solidFill>
                    <w14:schemeClr w14:val="tx1"/>
                  </w14:solidFill>
                </w14:textFill>
              </w:rPr>
              <w:t>6</w:t>
            </w:r>
            <w:r>
              <w:rPr>
                <w:rFonts w:hint="eastAsia"/>
                <w:color w:val="000000" w:themeColor="text1"/>
                <w:sz w:val="22"/>
                <w14:textFill>
                  <w14:solidFill>
                    <w14:schemeClr w14:val="tx1"/>
                  </w14:solidFill>
                </w14:textFill>
              </w:rPr>
              <w:t>万吨，能满足约4</w:t>
            </w:r>
            <w:r>
              <w:rPr>
                <w:color w:val="000000" w:themeColor="text1"/>
                <w:sz w:val="22"/>
                <w14:textFill>
                  <w14:solidFill>
                    <w14:schemeClr w14:val="tx1"/>
                  </w14:solidFill>
                </w14:textFill>
              </w:rPr>
              <w:t>0</w:t>
            </w:r>
            <w:r>
              <w:rPr>
                <w:rFonts w:hint="eastAsia"/>
                <w:color w:val="000000" w:themeColor="text1"/>
                <w:sz w:val="22"/>
                <w14:textFill>
                  <w14:solidFill>
                    <w14:schemeClr w14:val="tx1"/>
                  </w14:solidFill>
                </w14:textFill>
              </w:rPr>
              <w:t>天的用量。</w:t>
            </w:r>
          </w:p>
        </w:tc>
        <w:tc>
          <w:tcPr>
            <w:tcW w:w="1939" w:type="dxa"/>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92" w:type="dxa"/>
            <w:vMerge w:val="continue"/>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p>
        </w:tc>
        <w:tc>
          <w:tcPr>
            <w:tcW w:w="748" w:type="dxa"/>
            <w:vAlign w:val="center"/>
          </w:tcPr>
          <w:p>
            <w:pPr>
              <w:widowControl/>
              <w:adjustRightInd/>
              <w:snapToGrid/>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输煤系统</w:t>
            </w:r>
          </w:p>
        </w:tc>
        <w:tc>
          <w:tcPr>
            <w:tcW w:w="5441" w:type="dxa"/>
            <w:vAlign w:val="center"/>
          </w:tcPr>
          <w:p>
            <w:pPr>
              <w:widowControl/>
              <w:adjustRightInd/>
              <w:snapToGrid/>
              <w:spacing w:line="240" w:lineRule="auto"/>
              <w:ind w:firstLine="0" w:firstLineChars="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采用1</w:t>
            </w:r>
            <w:r>
              <w:rPr>
                <w:color w:val="000000" w:themeColor="text1"/>
                <w:sz w:val="22"/>
                <w14:textFill>
                  <w14:solidFill>
                    <w14:schemeClr w14:val="tx1"/>
                  </w14:solidFill>
                </w14:textFill>
              </w:rPr>
              <w:t>4</w:t>
            </w:r>
            <w:r>
              <w:rPr>
                <w:rFonts w:hint="eastAsia"/>
                <w:color w:val="000000" w:themeColor="text1"/>
                <w:sz w:val="22"/>
                <w14:textFill>
                  <w14:solidFill>
                    <w14:schemeClr w14:val="tx1"/>
                  </w14:solidFill>
                </w14:textFill>
              </w:rPr>
              <w:t>套管带输送机输送，</w:t>
            </w:r>
            <w:r>
              <w:rPr>
                <w:color w:val="000000" w:themeColor="text1"/>
                <w:sz w:val="22"/>
                <w14:textFill>
                  <w14:solidFill>
                    <w14:schemeClr w14:val="tx1"/>
                  </w14:solidFill>
                </w14:textFill>
              </w:rPr>
              <w:t>B=1000~1400mm</w:t>
            </w:r>
            <w:r>
              <w:rPr>
                <w:rFonts w:hint="eastAsia"/>
                <w:color w:val="000000" w:themeColor="text1"/>
                <w:sz w:val="22"/>
                <w14:textFill>
                  <w14:solidFill>
                    <w14:schemeClr w14:val="tx1"/>
                  </w14:solidFill>
                </w14:textFill>
              </w:rPr>
              <w:t>、</w:t>
            </w:r>
            <w:r>
              <w:rPr>
                <w:color w:val="000000" w:themeColor="text1"/>
                <w:sz w:val="22"/>
                <w14:textFill>
                  <w14:solidFill>
                    <w14:schemeClr w14:val="tx1"/>
                  </w14:solidFill>
                </w14:textFill>
              </w:rPr>
              <w:t>V=2.5m/s</w:t>
            </w:r>
            <w:r>
              <w:rPr>
                <w:rFonts w:hint="eastAsia"/>
                <w:color w:val="000000" w:themeColor="text1"/>
                <w:sz w:val="22"/>
                <w14:textFill>
                  <w14:solidFill>
                    <w14:schemeClr w14:val="tx1"/>
                  </w14:solidFill>
                </w14:textFill>
              </w:rPr>
              <w:t>。设有4个转运站，粗细破碎室各1个，煤仓一个</w:t>
            </w:r>
          </w:p>
        </w:tc>
        <w:tc>
          <w:tcPr>
            <w:tcW w:w="1939" w:type="dxa"/>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92" w:type="dxa"/>
            <w:vMerge w:val="continue"/>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p>
        </w:tc>
        <w:tc>
          <w:tcPr>
            <w:tcW w:w="748" w:type="dxa"/>
            <w:vAlign w:val="center"/>
          </w:tcPr>
          <w:p>
            <w:pPr>
              <w:widowControl/>
              <w:adjustRightInd/>
              <w:snapToGrid/>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输灰渣系统</w:t>
            </w:r>
          </w:p>
        </w:tc>
        <w:tc>
          <w:tcPr>
            <w:tcW w:w="5441" w:type="dxa"/>
            <w:vAlign w:val="center"/>
          </w:tcPr>
          <w:p>
            <w:pPr>
              <w:widowControl/>
              <w:adjustRightInd/>
              <w:snapToGrid/>
              <w:spacing w:line="240" w:lineRule="auto"/>
              <w:ind w:firstLine="0" w:firstLineChars="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采用灰、渣分除，干式排渣和干除灰方式，除灰系统采用正压浓相气力输送系统，共设2座灰库（容积各3</w:t>
            </w:r>
            <w:r>
              <w:rPr>
                <w:color w:val="000000" w:themeColor="text1"/>
                <w:sz w:val="22"/>
                <w14:textFill>
                  <w14:solidFill>
                    <w14:schemeClr w14:val="tx1"/>
                  </w14:solidFill>
                </w14:textFill>
              </w:rPr>
              <w:t>500m</w:t>
            </w:r>
            <w:r>
              <w:rPr>
                <w:color w:val="000000" w:themeColor="text1"/>
                <w:sz w:val="22"/>
                <w:vertAlign w:val="superscript"/>
                <w14:textFill>
                  <w14:solidFill>
                    <w14:schemeClr w14:val="tx1"/>
                  </w14:solidFill>
                </w14:textFill>
              </w:rPr>
              <w:t>3</w:t>
            </w:r>
            <w:r>
              <w:rPr>
                <w:rFonts w:hint="eastAsia"/>
                <w:color w:val="000000" w:themeColor="text1"/>
                <w:sz w:val="22"/>
                <w14:textFill>
                  <w14:solidFill>
                    <w14:schemeClr w14:val="tx1"/>
                  </w14:solidFill>
                </w14:textFill>
              </w:rPr>
              <w:t>）、1座渣仓（容积1</w:t>
            </w:r>
            <w:r>
              <w:rPr>
                <w:color w:val="000000" w:themeColor="text1"/>
                <w:sz w:val="22"/>
                <w14:textFill>
                  <w14:solidFill>
                    <w14:schemeClr w14:val="tx1"/>
                  </w14:solidFill>
                </w14:textFill>
              </w:rPr>
              <w:t>300</w:t>
            </w:r>
            <w:r>
              <w:rPr>
                <w:rFonts w:hint="eastAsia"/>
                <w:color w:val="000000" w:themeColor="text1"/>
                <w:sz w:val="22"/>
                <w14:textFill>
                  <w14:solidFill>
                    <w14:schemeClr w14:val="tx1"/>
                  </w14:solidFill>
                </w14:textFill>
              </w:rPr>
              <w:t>m³）</w:t>
            </w:r>
          </w:p>
        </w:tc>
        <w:tc>
          <w:tcPr>
            <w:tcW w:w="1939" w:type="dxa"/>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92" w:type="dxa"/>
            <w:vMerge w:val="continue"/>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p>
        </w:tc>
        <w:tc>
          <w:tcPr>
            <w:tcW w:w="748" w:type="dxa"/>
            <w:vAlign w:val="center"/>
          </w:tcPr>
          <w:p>
            <w:pPr>
              <w:widowControl/>
              <w:adjustRightInd/>
              <w:snapToGrid/>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柴油罐</w:t>
            </w:r>
          </w:p>
        </w:tc>
        <w:tc>
          <w:tcPr>
            <w:tcW w:w="5441" w:type="dxa"/>
            <w:vAlign w:val="center"/>
          </w:tcPr>
          <w:p>
            <w:pPr>
              <w:widowControl/>
              <w:adjustRightInd/>
              <w:snapToGrid/>
              <w:spacing w:line="240" w:lineRule="auto"/>
              <w:ind w:firstLine="0" w:firstLineChars="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2个5</w:t>
            </w:r>
            <w:r>
              <w:rPr>
                <w:color w:val="000000" w:themeColor="text1"/>
                <w:sz w:val="22"/>
                <w14:textFill>
                  <w14:solidFill>
                    <w14:schemeClr w14:val="tx1"/>
                  </w14:solidFill>
                </w14:textFill>
              </w:rPr>
              <w:t>00</w:t>
            </w:r>
            <w:r>
              <w:rPr>
                <w:rFonts w:hint="eastAsia"/>
                <w:color w:val="000000" w:themeColor="text1"/>
                <w:sz w:val="22"/>
                <w14:textFill>
                  <w14:solidFill>
                    <w14:schemeClr w14:val="tx1"/>
                  </w14:solidFill>
                </w14:textFill>
              </w:rPr>
              <w:t>m³的柴油罐（1用1备），四周修建了1</w:t>
            </w:r>
            <w:r>
              <w:rPr>
                <w:color w:val="000000" w:themeColor="text1"/>
                <w:sz w:val="22"/>
                <w14:textFill>
                  <w14:solidFill>
                    <w14:schemeClr w14:val="tx1"/>
                  </w14:solidFill>
                </w14:textFill>
              </w:rPr>
              <w:t>035</w:t>
            </w:r>
            <w:r>
              <w:rPr>
                <w:rFonts w:hint="eastAsia"/>
                <w:color w:val="000000" w:themeColor="text1"/>
                <w:sz w:val="22"/>
                <w14:textFill>
                  <w14:solidFill>
                    <w14:schemeClr w14:val="tx1"/>
                  </w14:solidFill>
                </w14:textFill>
              </w:rPr>
              <w:t>m³的防火堤，围堰旁修建了容积5</w:t>
            </w:r>
            <w:r>
              <w:rPr>
                <w:color w:val="000000" w:themeColor="text1"/>
                <w:sz w:val="22"/>
                <w14:textFill>
                  <w14:solidFill>
                    <w14:schemeClr w14:val="tx1"/>
                  </w14:solidFill>
                </w14:textFill>
              </w:rPr>
              <w:t>0</w:t>
            </w:r>
            <w:r>
              <w:rPr>
                <w:rFonts w:hint="eastAsia"/>
                <w:color w:val="000000" w:themeColor="text1"/>
                <w:sz w:val="22"/>
                <w14:textFill>
                  <w14:solidFill>
                    <w14:schemeClr w14:val="tx1"/>
                  </w14:solidFill>
                </w14:textFill>
              </w:rPr>
              <w:t>m³的事故池。</w:t>
            </w:r>
          </w:p>
        </w:tc>
        <w:tc>
          <w:tcPr>
            <w:tcW w:w="1939" w:type="dxa"/>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92" w:type="dxa"/>
            <w:vMerge w:val="continue"/>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p>
        </w:tc>
        <w:tc>
          <w:tcPr>
            <w:tcW w:w="748" w:type="dxa"/>
            <w:vAlign w:val="center"/>
          </w:tcPr>
          <w:p>
            <w:pPr>
              <w:widowControl/>
              <w:adjustRightInd/>
              <w:snapToGrid/>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储氢</w:t>
            </w:r>
            <w:r>
              <w:rPr>
                <w:rFonts w:hint="eastAsia"/>
                <w:color w:val="000000" w:themeColor="text1"/>
                <w:sz w:val="22"/>
                <w14:textFill>
                  <w14:solidFill>
                    <w14:schemeClr w14:val="tx1"/>
                  </w14:solidFill>
                </w14:textFill>
              </w:rPr>
              <w:t>瓶</w:t>
            </w:r>
          </w:p>
        </w:tc>
        <w:tc>
          <w:tcPr>
            <w:tcW w:w="5441" w:type="dxa"/>
            <w:vAlign w:val="center"/>
          </w:tcPr>
          <w:p>
            <w:pPr>
              <w:widowControl/>
              <w:adjustRightInd/>
              <w:snapToGrid/>
              <w:spacing w:line="240" w:lineRule="auto"/>
              <w:ind w:firstLine="0" w:firstLineChars="0"/>
              <w:rPr>
                <w:color w:val="000000" w:themeColor="text1"/>
                <w:sz w:val="22"/>
                <w14:textFill>
                  <w14:solidFill>
                    <w14:schemeClr w14:val="tx1"/>
                  </w14:solidFill>
                </w14:textFill>
              </w:rPr>
            </w:pPr>
            <w:r>
              <w:rPr>
                <w:rStyle w:val="51"/>
                <w:rFonts w:hint="eastAsia"/>
                <w:color w:val="000000" w:themeColor="text1"/>
                <w14:textFill>
                  <w14:solidFill>
                    <w14:schemeClr w14:val="tx1"/>
                  </w14:solidFill>
                </w14:textFill>
              </w:rPr>
              <w:t>1组氢气瓶组16瓶（1瓶容积4</w:t>
            </w:r>
            <w:r>
              <w:rPr>
                <w:rStyle w:val="51"/>
                <w:color w:val="000000" w:themeColor="text1"/>
                <w14:textFill>
                  <w14:solidFill>
                    <w14:schemeClr w14:val="tx1"/>
                  </w14:solidFill>
                </w14:textFill>
              </w:rPr>
              <w:t>0L</w:t>
            </w:r>
            <w:r>
              <w:rPr>
                <w:rStyle w:val="51"/>
                <w:rFonts w:hint="eastAsia"/>
                <w:color w:val="000000" w:themeColor="text1"/>
                <w14:textFill>
                  <w14:solidFill>
                    <w14:schemeClr w14:val="tx1"/>
                  </w14:solidFill>
                </w14:textFill>
              </w:rPr>
              <w:t>，氢气质量约0</w:t>
            </w:r>
            <w:r>
              <w:rPr>
                <w:rStyle w:val="51"/>
                <w:color w:val="000000" w:themeColor="text1"/>
                <w14:textFill>
                  <w14:solidFill>
                    <w14:schemeClr w14:val="tx1"/>
                  </w14:solidFill>
                </w14:textFill>
              </w:rPr>
              <w:t>.492kg</w:t>
            </w:r>
            <w:r>
              <w:rPr>
                <w:rStyle w:val="51"/>
                <w:rFonts w:hint="eastAsia"/>
                <w:color w:val="000000" w:themeColor="text1"/>
                <w14:textFill>
                  <w14:solidFill>
                    <w14:schemeClr w14:val="tx1"/>
                  </w14:solidFill>
                </w14:textFill>
              </w:rPr>
              <w:t>），储存不超过6组。</w:t>
            </w:r>
          </w:p>
        </w:tc>
        <w:tc>
          <w:tcPr>
            <w:tcW w:w="1939" w:type="dxa"/>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92" w:type="dxa"/>
            <w:vMerge w:val="continue"/>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p>
        </w:tc>
        <w:tc>
          <w:tcPr>
            <w:tcW w:w="748" w:type="dxa"/>
            <w:vAlign w:val="center"/>
          </w:tcPr>
          <w:p>
            <w:pPr>
              <w:widowControl/>
              <w:adjustRightInd/>
              <w:snapToGrid/>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盐酸储罐</w:t>
            </w:r>
          </w:p>
        </w:tc>
        <w:tc>
          <w:tcPr>
            <w:tcW w:w="5441" w:type="dxa"/>
            <w:vAlign w:val="center"/>
          </w:tcPr>
          <w:p>
            <w:pPr>
              <w:widowControl/>
              <w:adjustRightInd/>
              <w:snapToGrid/>
              <w:spacing w:line="240" w:lineRule="auto"/>
              <w:ind w:firstLine="0" w:firstLineChars="0"/>
              <w:rPr>
                <w:color w:val="000000" w:themeColor="text1"/>
                <w:sz w:val="22"/>
                <w14:textFill>
                  <w14:solidFill>
                    <w14:schemeClr w14:val="tx1"/>
                  </w14:solidFill>
                </w14:textFill>
              </w:rPr>
            </w:pPr>
            <w:r>
              <w:rPr>
                <w:color w:val="000000" w:themeColor="text1"/>
                <w:sz w:val="22"/>
                <w14:textFill>
                  <w14:solidFill>
                    <w14:schemeClr w14:val="tx1"/>
                  </w14:solidFill>
                </w14:textFill>
              </w:rPr>
              <w:t>2</w:t>
            </w:r>
            <w:r>
              <w:rPr>
                <w:rFonts w:hint="eastAsia"/>
                <w:color w:val="000000" w:themeColor="text1"/>
                <w:sz w:val="22"/>
                <w14:textFill>
                  <w14:solidFill>
                    <w14:schemeClr w14:val="tx1"/>
                  </w14:solidFill>
                </w14:textFill>
              </w:rPr>
              <w:t>个</w:t>
            </w:r>
            <w:r>
              <w:rPr>
                <w:color w:val="000000" w:themeColor="text1"/>
                <w:sz w:val="22"/>
                <w14:textFill>
                  <w14:solidFill>
                    <w14:schemeClr w14:val="tx1"/>
                  </w14:solidFill>
                </w14:textFill>
              </w:rPr>
              <w:t>50</w:t>
            </w:r>
            <w:r>
              <w:rPr>
                <w:rFonts w:hint="eastAsia"/>
                <w:color w:val="000000" w:themeColor="text1"/>
                <w:sz w:val="22"/>
                <w14:textFill>
                  <w14:solidFill>
                    <w14:schemeClr w14:val="tx1"/>
                  </w14:solidFill>
                </w14:textFill>
              </w:rPr>
              <w:t>m³、1个1</w:t>
            </w:r>
            <w:r>
              <w:rPr>
                <w:color w:val="000000" w:themeColor="text1"/>
                <w:sz w:val="22"/>
                <w14:textFill>
                  <w14:solidFill>
                    <w14:schemeClr w14:val="tx1"/>
                  </w14:solidFill>
                </w14:textFill>
              </w:rPr>
              <w:t>5</w:t>
            </w:r>
            <w:r>
              <w:rPr>
                <w:rFonts w:hint="eastAsia"/>
                <w:color w:val="000000" w:themeColor="text1"/>
                <w:sz w:val="22"/>
                <w14:textFill>
                  <w14:solidFill>
                    <w14:schemeClr w14:val="tx1"/>
                  </w14:solidFill>
                </w14:textFill>
              </w:rPr>
              <w:t>m³，储存</w:t>
            </w:r>
            <w:r>
              <w:rPr>
                <w:color w:val="000000" w:themeColor="text1"/>
                <w:sz w:val="22"/>
                <w14:textFill>
                  <w14:solidFill>
                    <w14:schemeClr w14:val="tx1"/>
                  </w14:solidFill>
                </w14:textFill>
              </w:rPr>
              <w:t>31%</w:t>
            </w:r>
            <w:r>
              <w:rPr>
                <w:rFonts w:hint="eastAsia"/>
                <w:color w:val="000000" w:themeColor="text1"/>
                <w:sz w:val="22"/>
                <w14:textFill>
                  <w14:solidFill>
                    <w14:schemeClr w14:val="tx1"/>
                  </w14:solidFill>
                </w14:textFill>
              </w:rPr>
              <w:t>的盐酸溶液。</w:t>
            </w:r>
          </w:p>
        </w:tc>
        <w:tc>
          <w:tcPr>
            <w:tcW w:w="1939" w:type="dxa"/>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92" w:type="dxa"/>
            <w:vMerge w:val="continue"/>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p>
        </w:tc>
        <w:tc>
          <w:tcPr>
            <w:tcW w:w="748" w:type="dxa"/>
            <w:vAlign w:val="center"/>
          </w:tcPr>
          <w:p>
            <w:pPr>
              <w:widowControl/>
              <w:adjustRightInd/>
              <w:snapToGrid/>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氢氧化钠储罐</w:t>
            </w:r>
          </w:p>
        </w:tc>
        <w:tc>
          <w:tcPr>
            <w:tcW w:w="5441" w:type="dxa"/>
            <w:vAlign w:val="center"/>
          </w:tcPr>
          <w:p>
            <w:pPr>
              <w:widowControl/>
              <w:adjustRightInd/>
              <w:snapToGrid/>
              <w:spacing w:line="240" w:lineRule="auto"/>
              <w:ind w:firstLine="0" w:firstLineChars="0"/>
              <w:rPr>
                <w:color w:val="000000" w:themeColor="text1"/>
                <w:sz w:val="22"/>
                <w14:textFill>
                  <w14:solidFill>
                    <w14:schemeClr w14:val="tx1"/>
                  </w14:solidFill>
                </w14:textFill>
              </w:rPr>
            </w:pPr>
            <w:r>
              <w:rPr>
                <w:color w:val="000000" w:themeColor="text1"/>
                <w:sz w:val="22"/>
                <w14:textFill>
                  <w14:solidFill>
                    <w14:schemeClr w14:val="tx1"/>
                  </w14:solidFill>
                </w14:textFill>
              </w:rPr>
              <w:t>2</w:t>
            </w:r>
            <w:r>
              <w:rPr>
                <w:rFonts w:hint="eastAsia"/>
                <w:color w:val="000000" w:themeColor="text1"/>
                <w:sz w:val="22"/>
                <w14:textFill>
                  <w14:solidFill>
                    <w14:schemeClr w14:val="tx1"/>
                  </w14:solidFill>
                </w14:textFill>
              </w:rPr>
              <w:t>个</w:t>
            </w:r>
            <w:r>
              <w:rPr>
                <w:color w:val="000000" w:themeColor="text1"/>
                <w:sz w:val="22"/>
                <w14:textFill>
                  <w14:solidFill>
                    <w14:schemeClr w14:val="tx1"/>
                  </w14:solidFill>
                </w14:textFill>
              </w:rPr>
              <w:t>50</w:t>
            </w:r>
            <w:r>
              <w:rPr>
                <w:rFonts w:hint="eastAsia"/>
                <w:color w:val="000000" w:themeColor="text1"/>
                <w:sz w:val="22"/>
                <w14:textFill>
                  <w14:solidFill>
                    <w14:schemeClr w14:val="tx1"/>
                  </w14:solidFill>
                </w14:textFill>
              </w:rPr>
              <w:t>m³、1个1</w:t>
            </w:r>
            <w:r>
              <w:rPr>
                <w:color w:val="000000" w:themeColor="text1"/>
                <w:sz w:val="22"/>
                <w14:textFill>
                  <w14:solidFill>
                    <w14:schemeClr w14:val="tx1"/>
                  </w14:solidFill>
                </w14:textFill>
              </w:rPr>
              <w:t>5</w:t>
            </w:r>
            <w:r>
              <w:rPr>
                <w:rFonts w:hint="eastAsia"/>
                <w:color w:val="000000" w:themeColor="text1"/>
                <w:sz w:val="22"/>
                <w14:textFill>
                  <w14:solidFill>
                    <w14:schemeClr w14:val="tx1"/>
                  </w14:solidFill>
                </w14:textFill>
              </w:rPr>
              <w:t>m³，储存4</w:t>
            </w:r>
            <w:r>
              <w:rPr>
                <w:color w:val="000000" w:themeColor="text1"/>
                <w:sz w:val="22"/>
                <w14:textFill>
                  <w14:solidFill>
                    <w14:schemeClr w14:val="tx1"/>
                  </w14:solidFill>
                </w14:textFill>
              </w:rPr>
              <w:t>0%</w:t>
            </w:r>
            <w:r>
              <w:rPr>
                <w:rFonts w:hint="eastAsia"/>
                <w:color w:val="000000" w:themeColor="text1"/>
                <w:sz w:val="22"/>
                <w14:textFill>
                  <w14:solidFill>
                    <w14:schemeClr w14:val="tx1"/>
                  </w14:solidFill>
                </w14:textFill>
              </w:rPr>
              <w:t>的氢氧化钠溶液。</w:t>
            </w:r>
          </w:p>
        </w:tc>
        <w:tc>
          <w:tcPr>
            <w:tcW w:w="1939" w:type="dxa"/>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92" w:type="dxa"/>
            <w:vMerge w:val="continue"/>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p>
        </w:tc>
        <w:tc>
          <w:tcPr>
            <w:tcW w:w="748" w:type="dxa"/>
            <w:vAlign w:val="center"/>
          </w:tcPr>
          <w:p>
            <w:pPr>
              <w:widowControl/>
              <w:adjustRightInd/>
              <w:snapToGrid/>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石灰石粉仓</w:t>
            </w:r>
          </w:p>
        </w:tc>
        <w:tc>
          <w:tcPr>
            <w:tcW w:w="5441" w:type="dxa"/>
            <w:vAlign w:val="center"/>
          </w:tcPr>
          <w:p>
            <w:pPr>
              <w:widowControl/>
              <w:adjustRightInd/>
              <w:snapToGrid/>
              <w:spacing w:line="240" w:lineRule="auto"/>
              <w:ind w:firstLine="0" w:firstLineChars="0"/>
              <w:rPr>
                <w:color w:val="000000" w:themeColor="text1"/>
                <w:sz w:val="22"/>
                <w14:textFill>
                  <w14:solidFill>
                    <w14:schemeClr w14:val="tx1"/>
                  </w14:solidFill>
                </w14:textFill>
              </w:rPr>
            </w:pPr>
            <w:r>
              <w:rPr>
                <w:color w:val="000000" w:themeColor="text1"/>
                <w:sz w:val="22"/>
                <w14:textFill>
                  <w14:solidFill>
                    <w14:schemeClr w14:val="tx1"/>
                  </w14:solidFill>
                </w14:textFill>
              </w:rPr>
              <w:t>1</w:t>
            </w:r>
            <w:r>
              <w:rPr>
                <w:rFonts w:hint="eastAsia"/>
                <w:color w:val="000000" w:themeColor="text1"/>
                <w:sz w:val="22"/>
                <w14:textFill>
                  <w14:solidFill>
                    <w14:schemeClr w14:val="tx1"/>
                  </w14:solidFill>
                </w14:textFill>
              </w:rPr>
              <w:t>座，</w:t>
            </w:r>
            <w:r>
              <w:rPr>
                <w:color w:val="000000" w:themeColor="text1"/>
                <w:sz w:val="22"/>
                <w14:textFill>
                  <w14:solidFill>
                    <w14:schemeClr w14:val="tx1"/>
                  </w14:solidFill>
                </w14:textFill>
              </w:rPr>
              <w:t>Φ=10.0m，V=600m³</w:t>
            </w:r>
          </w:p>
        </w:tc>
        <w:tc>
          <w:tcPr>
            <w:tcW w:w="1939" w:type="dxa"/>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92" w:type="dxa"/>
            <w:vMerge w:val="restart"/>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公辅工程</w:t>
            </w:r>
          </w:p>
        </w:tc>
        <w:tc>
          <w:tcPr>
            <w:tcW w:w="748" w:type="dxa"/>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生活办公区</w:t>
            </w:r>
          </w:p>
        </w:tc>
        <w:tc>
          <w:tcPr>
            <w:tcW w:w="5441" w:type="dxa"/>
            <w:vAlign w:val="center"/>
          </w:tcPr>
          <w:p>
            <w:pPr>
              <w:widowControl/>
              <w:adjustRightInd/>
              <w:snapToGrid/>
              <w:spacing w:line="240" w:lineRule="auto"/>
              <w:ind w:firstLine="0" w:firstLineChars="0"/>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位于厂区西北侧，共4层楼。</w:t>
            </w:r>
          </w:p>
        </w:tc>
        <w:tc>
          <w:tcPr>
            <w:tcW w:w="1939" w:type="dxa"/>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92" w:type="dxa"/>
            <w:vMerge w:val="continue"/>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p>
        </w:tc>
        <w:tc>
          <w:tcPr>
            <w:tcW w:w="748" w:type="dxa"/>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供水系统</w:t>
            </w:r>
          </w:p>
        </w:tc>
        <w:tc>
          <w:tcPr>
            <w:tcW w:w="5441" w:type="dxa"/>
            <w:vAlign w:val="center"/>
          </w:tcPr>
          <w:p>
            <w:pPr>
              <w:widowControl/>
              <w:adjustRightInd/>
              <w:snapToGrid/>
              <w:spacing w:line="240" w:lineRule="auto"/>
              <w:ind w:firstLine="0" w:firstLineChars="0"/>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水源为长江青草背取水口，自备水厂供水能力1</w:t>
            </w:r>
            <w:r>
              <w:rPr>
                <w:bCs/>
                <w:color w:val="000000" w:themeColor="text1"/>
                <w:kern w:val="0"/>
                <w:sz w:val="22"/>
                <w:szCs w:val="24"/>
                <w14:textFill>
                  <w14:solidFill>
                    <w14:schemeClr w14:val="tx1"/>
                  </w14:solidFill>
                </w14:textFill>
              </w:rPr>
              <w:t>800</w:t>
            </w:r>
            <w:r>
              <w:rPr>
                <w:rFonts w:hint="eastAsia"/>
                <w:bCs/>
                <w:color w:val="000000" w:themeColor="text1"/>
                <w:kern w:val="0"/>
                <w:sz w:val="22"/>
                <w:szCs w:val="24"/>
                <w14:textFill>
                  <w14:solidFill>
                    <w14:schemeClr w14:val="tx1"/>
                  </w14:solidFill>
                </w14:textFill>
              </w:rPr>
              <w:t>m³</w:t>
            </w:r>
            <w:r>
              <w:rPr>
                <w:bCs/>
                <w:color w:val="000000" w:themeColor="text1"/>
                <w:kern w:val="0"/>
                <w:sz w:val="22"/>
                <w:szCs w:val="24"/>
                <w14:textFill>
                  <w14:solidFill>
                    <w14:schemeClr w14:val="tx1"/>
                  </w14:solidFill>
                </w14:textFill>
              </w:rPr>
              <w:t>/h</w:t>
            </w:r>
            <w:r>
              <w:rPr>
                <w:rFonts w:hint="eastAsia"/>
                <w:bCs/>
                <w:color w:val="000000" w:themeColor="text1"/>
                <w:kern w:val="0"/>
                <w:sz w:val="22"/>
                <w:szCs w:val="24"/>
                <w14:textFill>
                  <w14:solidFill>
                    <w14:schemeClr w14:val="tx1"/>
                  </w14:solidFill>
                </w14:textFill>
              </w:rPr>
              <w:t>。循环水系统采用自然通风冷却塔循环供水，冷却塔容积5</w:t>
            </w:r>
            <w:r>
              <w:rPr>
                <w:bCs/>
                <w:color w:val="000000" w:themeColor="text1"/>
                <w:kern w:val="0"/>
                <w:sz w:val="22"/>
                <w:szCs w:val="24"/>
                <w14:textFill>
                  <w14:solidFill>
                    <w14:schemeClr w14:val="tx1"/>
                  </w14:solidFill>
                </w14:textFill>
              </w:rPr>
              <w:t>500</w:t>
            </w:r>
            <w:r>
              <w:rPr>
                <w:rFonts w:hint="eastAsia"/>
                <w:bCs/>
                <w:color w:val="000000" w:themeColor="text1"/>
                <w:kern w:val="0"/>
                <w:sz w:val="22"/>
                <w:szCs w:val="24"/>
                <w14:textFill>
                  <w14:solidFill>
                    <w14:schemeClr w14:val="tx1"/>
                  </w14:solidFill>
                </w14:textFill>
              </w:rPr>
              <w:t>m³。锅炉供水由净水站提供，能力2</w:t>
            </w:r>
            <w:r>
              <w:rPr>
                <w:bCs/>
                <w:color w:val="000000" w:themeColor="text1"/>
                <w:kern w:val="0"/>
                <w:sz w:val="22"/>
                <w:szCs w:val="24"/>
                <w14:textFill>
                  <w14:solidFill>
                    <w14:schemeClr w14:val="tx1"/>
                  </w14:solidFill>
                </w14:textFill>
              </w:rPr>
              <w:t>50</w:t>
            </w:r>
            <w:r>
              <w:rPr>
                <w:rFonts w:hint="eastAsia"/>
                <w:bCs/>
                <w:color w:val="000000" w:themeColor="text1"/>
                <w:kern w:val="0"/>
                <w:sz w:val="22"/>
                <w:szCs w:val="24"/>
                <w14:textFill>
                  <w14:solidFill>
                    <w14:schemeClr w14:val="tx1"/>
                  </w14:solidFill>
                </w14:textFill>
              </w:rPr>
              <w:t>m³</w:t>
            </w:r>
            <w:r>
              <w:rPr>
                <w:bCs/>
                <w:color w:val="000000" w:themeColor="text1"/>
                <w:kern w:val="0"/>
                <w:sz w:val="22"/>
                <w:szCs w:val="24"/>
                <w14:textFill>
                  <w14:solidFill>
                    <w14:schemeClr w14:val="tx1"/>
                  </w14:solidFill>
                </w14:textFill>
              </w:rPr>
              <w:t>/h</w:t>
            </w:r>
            <w:r>
              <w:rPr>
                <w:rFonts w:hint="eastAsia"/>
                <w:bCs/>
                <w:color w:val="000000" w:themeColor="text1"/>
                <w:kern w:val="0"/>
                <w:sz w:val="22"/>
                <w:szCs w:val="24"/>
                <w14:textFill>
                  <w14:solidFill>
                    <w14:schemeClr w14:val="tx1"/>
                  </w14:solidFill>
                </w14:textFill>
              </w:rPr>
              <w:t>。</w:t>
            </w:r>
          </w:p>
        </w:tc>
        <w:tc>
          <w:tcPr>
            <w:tcW w:w="1939" w:type="dxa"/>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92" w:type="dxa"/>
            <w:vMerge w:val="continue"/>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p>
        </w:tc>
        <w:tc>
          <w:tcPr>
            <w:tcW w:w="748" w:type="dxa"/>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排水系统</w:t>
            </w:r>
          </w:p>
        </w:tc>
        <w:tc>
          <w:tcPr>
            <w:tcW w:w="5441" w:type="dxa"/>
            <w:vAlign w:val="center"/>
          </w:tcPr>
          <w:p>
            <w:pPr>
              <w:widowControl/>
              <w:adjustRightInd/>
              <w:snapToGrid/>
              <w:spacing w:line="240" w:lineRule="auto"/>
              <w:ind w:firstLine="0" w:firstLineChars="0"/>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厂区已实行“雨污分流、清污分流”排水系统，雨水经雨水管网排入长江，办公区设2个雨水排口、生产区设2个雨水排口。</w:t>
            </w:r>
          </w:p>
        </w:tc>
        <w:tc>
          <w:tcPr>
            <w:tcW w:w="1939" w:type="dxa"/>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92" w:type="dxa"/>
            <w:vMerge w:val="restart"/>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环保工程</w:t>
            </w:r>
          </w:p>
        </w:tc>
        <w:tc>
          <w:tcPr>
            <w:tcW w:w="748" w:type="dxa"/>
            <w:vMerge w:val="restart"/>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废气治理</w:t>
            </w:r>
          </w:p>
        </w:tc>
        <w:tc>
          <w:tcPr>
            <w:tcW w:w="5441" w:type="dxa"/>
            <w:vAlign w:val="center"/>
          </w:tcPr>
          <w:p>
            <w:pPr>
              <w:widowControl/>
              <w:adjustRightInd/>
              <w:snapToGrid/>
              <w:spacing w:line="240" w:lineRule="auto"/>
              <w:ind w:firstLine="0" w:firstLineChars="0"/>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循环流化床锅炉</w:t>
            </w:r>
            <w:r>
              <w:rPr>
                <w:bCs/>
                <w:color w:val="000000" w:themeColor="text1"/>
                <w:kern w:val="0"/>
                <w:sz w:val="22"/>
                <w:szCs w:val="24"/>
                <w14:textFill>
                  <w14:solidFill>
                    <w14:schemeClr w14:val="tx1"/>
                  </w14:solidFill>
                </w14:textFill>
              </w:rPr>
              <w:t>废气：脱硝工艺采用低氮燃烧技术和 SNCR脱硝工艺控制氮氧化物；脱硫工艺采用炉内喷钙固硫和炉外石灰石-石膏湿法脱硫工艺控制二氧化硫；除尘工艺采用布袋除尘和炉外湿法脱硫除尘一体化控制烟尘，最后烟气通过</w:t>
            </w:r>
            <w:r>
              <w:rPr>
                <w:rFonts w:hint="eastAsia"/>
                <w:bCs/>
                <w:color w:val="000000" w:themeColor="text1"/>
                <w:kern w:val="0"/>
                <w:sz w:val="22"/>
                <w:szCs w:val="24"/>
                <w14:textFill>
                  <w14:solidFill>
                    <w14:schemeClr w14:val="tx1"/>
                  </w14:solidFill>
                </w14:textFill>
              </w:rPr>
              <w:t>高</w:t>
            </w:r>
            <w:r>
              <w:rPr>
                <w:bCs/>
                <w:color w:val="000000" w:themeColor="text1"/>
                <w:kern w:val="0"/>
                <w:sz w:val="22"/>
                <w:szCs w:val="24"/>
                <w14:textFill>
                  <w14:solidFill>
                    <w14:schemeClr w14:val="tx1"/>
                  </w14:solidFill>
                </w14:textFill>
              </w:rPr>
              <w:t>210m烟囱</w:t>
            </w:r>
            <w:r>
              <w:rPr>
                <w:rFonts w:hint="eastAsia"/>
                <w:bCs/>
                <w:color w:val="000000" w:themeColor="text1"/>
                <w:kern w:val="0"/>
                <w:sz w:val="22"/>
                <w:szCs w:val="24"/>
                <w14:textFill>
                  <w14:solidFill>
                    <w14:schemeClr w14:val="tx1"/>
                  </w14:solidFill>
                </w14:textFill>
              </w:rPr>
              <w:t>排放。安装有在线监测系统。</w:t>
            </w:r>
          </w:p>
        </w:tc>
        <w:tc>
          <w:tcPr>
            <w:tcW w:w="1939" w:type="dxa"/>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本项目依托循环流化床锅炉</w:t>
            </w:r>
            <w:r>
              <w:rPr>
                <w:bCs/>
                <w:color w:val="000000" w:themeColor="text1"/>
                <w:kern w:val="0"/>
                <w:sz w:val="22"/>
                <w:szCs w:val="24"/>
                <w14:textFill>
                  <w14:solidFill>
                    <w14:schemeClr w14:val="tx1"/>
                  </w14:solidFill>
                </w14:textFill>
              </w:rPr>
              <w:t>废气</w:t>
            </w:r>
            <w:r>
              <w:rPr>
                <w:rFonts w:hint="eastAsia"/>
                <w:bCs/>
                <w:color w:val="000000" w:themeColor="text1"/>
                <w:kern w:val="0"/>
                <w:sz w:val="22"/>
                <w:szCs w:val="24"/>
                <w14:textFill>
                  <w14:solidFill>
                    <w14:schemeClr w14:val="tx1"/>
                  </w14:solidFill>
                </w14:textFill>
              </w:rPr>
              <w:t>处置系统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92" w:type="dxa"/>
            <w:vMerge w:val="continue"/>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p>
        </w:tc>
        <w:tc>
          <w:tcPr>
            <w:tcW w:w="748" w:type="dxa"/>
            <w:vMerge w:val="continue"/>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p>
        </w:tc>
        <w:tc>
          <w:tcPr>
            <w:tcW w:w="5441" w:type="dxa"/>
            <w:vAlign w:val="center"/>
          </w:tcPr>
          <w:p>
            <w:pPr>
              <w:widowControl/>
              <w:adjustRightInd/>
              <w:snapToGrid/>
              <w:spacing w:line="240" w:lineRule="auto"/>
              <w:ind w:firstLine="0" w:firstLineChars="0"/>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燃气锅炉废气：采用低氮燃烧技术，烟气通过高2</w:t>
            </w:r>
            <w:r>
              <w:rPr>
                <w:bCs/>
                <w:color w:val="000000" w:themeColor="text1"/>
                <w:kern w:val="0"/>
                <w:sz w:val="22"/>
                <w:szCs w:val="24"/>
                <w14:textFill>
                  <w14:solidFill>
                    <w14:schemeClr w14:val="tx1"/>
                  </w14:solidFill>
                </w14:textFill>
              </w:rPr>
              <w:t>0m</w:t>
            </w:r>
            <w:r>
              <w:rPr>
                <w:rFonts w:hint="eastAsia"/>
                <w:bCs/>
                <w:color w:val="000000" w:themeColor="text1"/>
                <w:kern w:val="0"/>
                <w:sz w:val="22"/>
                <w:szCs w:val="24"/>
                <w14:textFill>
                  <w14:solidFill>
                    <w14:schemeClr w14:val="tx1"/>
                  </w14:solidFill>
                </w14:textFill>
              </w:rPr>
              <w:t>烟囱排放。安装有在线监测系统。</w:t>
            </w:r>
          </w:p>
        </w:tc>
        <w:tc>
          <w:tcPr>
            <w:tcW w:w="1939" w:type="dxa"/>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92" w:type="dxa"/>
            <w:vMerge w:val="continue"/>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p>
        </w:tc>
        <w:tc>
          <w:tcPr>
            <w:tcW w:w="748" w:type="dxa"/>
            <w:vMerge w:val="continue"/>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p>
        </w:tc>
        <w:tc>
          <w:tcPr>
            <w:tcW w:w="5441" w:type="dxa"/>
            <w:vAlign w:val="center"/>
          </w:tcPr>
          <w:p>
            <w:pPr>
              <w:widowControl/>
              <w:adjustRightInd/>
              <w:snapToGrid/>
              <w:spacing w:line="240" w:lineRule="auto"/>
              <w:ind w:firstLine="0" w:firstLineChars="0"/>
              <w:rPr>
                <w:bCs/>
                <w:color w:val="000000" w:themeColor="text1"/>
                <w:kern w:val="0"/>
                <w:sz w:val="22"/>
                <w:szCs w:val="24"/>
                <w14:textFill>
                  <w14:solidFill>
                    <w14:schemeClr w14:val="tx1"/>
                  </w14:solidFill>
                </w14:textFill>
              </w:rPr>
            </w:pPr>
            <w:r>
              <w:rPr>
                <w:bCs/>
                <w:color w:val="000000" w:themeColor="text1"/>
                <w:kern w:val="0"/>
                <w:sz w:val="22"/>
                <w:szCs w:val="24"/>
                <w14:textFill>
                  <w14:solidFill>
                    <w14:schemeClr w14:val="tx1"/>
                  </w14:solidFill>
                </w14:textFill>
              </w:rPr>
              <w:t>其它废气：</w:t>
            </w:r>
          </w:p>
          <w:p>
            <w:pPr>
              <w:widowControl/>
              <w:adjustRightInd/>
              <w:snapToGrid/>
              <w:spacing w:line="240" w:lineRule="auto"/>
              <w:ind w:firstLine="0" w:firstLineChars="0"/>
              <w:rPr>
                <w:bCs/>
                <w:color w:val="000000" w:themeColor="text1"/>
                <w:kern w:val="0"/>
                <w:sz w:val="22"/>
                <w:szCs w:val="24"/>
                <w14:textFill>
                  <w14:solidFill>
                    <w14:schemeClr w14:val="tx1"/>
                  </w14:solidFill>
                </w14:textFill>
              </w:rPr>
            </w:pPr>
            <w:r>
              <w:rPr>
                <w:bCs/>
                <w:color w:val="000000" w:themeColor="text1"/>
                <w:kern w:val="0"/>
                <w:sz w:val="22"/>
                <w:szCs w:val="24"/>
                <w14:textFill>
                  <w14:solidFill>
                    <w14:schemeClr w14:val="tx1"/>
                  </w14:solidFill>
                </w14:textFill>
              </w:rPr>
              <w:t>输煤系统各个转运站、碎煤室、煤仓落料点设置集气罩，将粉尘引至布袋除尘器除尘后分别经各自的排气筒排放</w:t>
            </w:r>
            <w:r>
              <w:rPr>
                <w:rFonts w:hint="eastAsia"/>
                <w:bCs/>
                <w:color w:val="000000" w:themeColor="text1"/>
                <w:kern w:val="0"/>
                <w:sz w:val="22"/>
                <w:szCs w:val="24"/>
                <w14:textFill>
                  <w14:solidFill>
                    <w14:schemeClr w14:val="tx1"/>
                  </w14:solidFill>
                </w14:textFill>
              </w:rPr>
              <w:t>，共</w:t>
            </w:r>
            <w:r>
              <w:rPr>
                <w:bCs/>
                <w:color w:val="000000" w:themeColor="text1"/>
                <w:kern w:val="0"/>
                <w:sz w:val="22"/>
                <w:szCs w:val="24"/>
                <w14:textFill>
                  <w14:solidFill>
                    <w14:schemeClr w14:val="tx1"/>
                  </w14:solidFill>
                </w14:textFill>
              </w:rPr>
              <w:t>15</w:t>
            </w:r>
            <w:r>
              <w:rPr>
                <w:rFonts w:hint="eastAsia"/>
                <w:bCs/>
                <w:color w:val="000000" w:themeColor="text1"/>
                <w:kern w:val="0"/>
                <w:sz w:val="22"/>
                <w:szCs w:val="24"/>
                <w14:textFill>
                  <w14:solidFill>
                    <w14:schemeClr w14:val="tx1"/>
                  </w14:solidFill>
                </w14:textFill>
              </w:rPr>
              <w:t>台布袋除尘器</w:t>
            </w:r>
            <w:r>
              <w:rPr>
                <w:bCs/>
                <w:color w:val="000000" w:themeColor="text1"/>
                <w:kern w:val="0"/>
                <w:sz w:val="22"/>
                <w:szCs w:val="24"/>
                <w14:textFill>
                  <w14:solidFill>
                    <w14:schemeClr w14:val="tx1"/>
                  </w14:solidFill>
                </w14:textFill>
              </w:rPr>
              <w:t>13</w:t>
            </w:r>
            <w:r>
              <w:rPr>
                <w:rFonts w:hint="eastAsia"/>
                <w:bCs/>
                <w:color w:val="000000" w:themeColor="text1"/>
                <w:kern w:val="0"/>
                <w:sz w:val="22"/>
                <w:szCs w:val="24"/>
                <w14:textFill>
                  <w14:solidFill>
                    <w14:schemeClr w14:val="tx1"/>
                  </w14:solidFill>
                </w14:textFill>
              </w:rPr>
              <w:t>个排气筒</w:t>
            </w:r>
            <w:r>
              <w:rPr>
                <w:bCs/>
                <w:color w:val="000000" w:themeColor="text1"/>
                <w:kern w:val="0"/>
                <w:sz w:val="22"/>
                <w:szCs w:val="24"/>
                <w14:textFill>
                  <w14:solidFill>
                    <w14:schemeClr w14:val="tx1"/>
                  </w14:solidFill>
                </w14:textFill>
              </w:rPr>
              <w:t>；</w:t>
            </w:r>
          </w:p>
          <w:p>
            <w:pPr>
              <w:widowControl/>
              <w:adjustRightInd/>
              <w:snapToGrid/>
              <w:spacing w:line="240" w:lineRule="auto"/>
              <w:ind w:firstLine="0" w:firstLineChars="0"/>
              <w:rPr>
                <w:bCs/>
                <w:color w:val="000000" w:themeColor="text1"/>
                <w:kern w:val="0"/>
                <w:sz w:val="22"/>
                <w:szCs w:val="24"/>
                <w14:textFill>
                  <w14:solidFill>
                    <w14:schemeClr w14:val="tx1"/>
                  </w14:solidFill>
                </w14:textFill>
              </w:rPr>
            </w:pPr>
            <w:r>
              <w:rPr>
                <w:bCs/>
                <w:color w:val="000000" w:themeColor="text1"/>
                <w:kern w:val="0"/>
                <w:sz w:val="22"/>
                <w:szCs w:val="24"/>
                <w14:textFill>
                  <w14:solidFill>
                    <w14:schemeClr w14:val="tx1"/>
                  </w14:solidFill>
                </w14:textFill>
              </w:rPr>
              <w:t>石灰石仓、渣库、灰库顶部均安装布袋除尘器，收集石灰石粉末、锅炉炉渣、炉灰输送到料仓时产生的粉尘</w:t>
            </w:r>
            <w:r>
              <w:rPr>
                <w:rFonts w:hint="eastAsia"/>
                <w:bCs/>
                <w:color w:val="000000" w:themeColor="text1"/>
                <w:kern w:val="0"/>
                <w:sz w:val="22"/>
                <w:szCs w:val="24"/>
                <w14:textFill>
                  <w14:solidFill>
                    <w14:schemeClr w14:val="tx1"/>
                  </w14:solidFill>
                </w14:textFill>
              </w:rPr>
              <w:t>经</w:t>
            </w:r>
            <w:r>
              <w:rPr>
                <w:bCs/>
                <w:color w:val="000000" w:themeColor="text1"/>
                <w:kern w:val="0"/>
                <w:sz w:val="22"/>
                <w:szCs w:val="24"/>
                <w14:textFill>
                  <w14:solidFill>
                    <w14:schemeClr w14:val="tx1"/>
                  </w14:solidFill>
                </w14:textFill>
              </w:rPr>
              <w:t>，布袋除尘后的粉尘分别经</w:t>
            </w:r>
            <w:r>
              <w:rPr>
                <w:rFonts w:hint="eastAsia"/>
                <w:bCs/>
                <w:color w:val="000000" w:themeColor="text1"/>
                <w:kern w:val="0"/>
                <w:sz w:val="22"/>
                <w:szCs w:val="24"/>
                <w14:textFill>
                  <w14:solidFill>
                    <w14:schemeClr w14:val="tx1"/>
                  </w14:solidFill>
                </w14:textFill>
              </w:rPr>
              <w:t>各自</w:t>
            </w:r>
            <w:r>
              <w:rPr>
                <w:bCs/>
                <w:color w:val="000000" w:themeColor="text1"/>
                <w:kern w:val="0"/>
                <w:sz w:val="22"/>
                <w:szCs w:val="24"/>
                <w14:textFill>
                  <w14:solidFill>
                    <w14:schemeClr w14:val="tx1"/>
                  </w14:solidFill>
                </w14:textFill>
              </w:rPr>
              <w:t>排气筒排放</w:t>
            </w:r>
            <w:r>
              <w:rPr>
                <w:rFonts w:hint="eastAsia"/>
                <w:bCs/>
                <w:color w:val="000000" w:themeColor="text1"/>
                <w:kern w:val="0"/>
                <w:sz w:val="22"/>
                <w:szCs w:val="24"/>
                <w14:textFill>
                  <w14:solidFill>
                    <w14:schemeClr w14:val="tx1"/>
                  </w14:solidFill>
                </w14:textFill>
              </w:rPr>
              <w:t>，共4个除尘器4个排气筒</w:t>
            </w:r>
            <w:r>
              <w:rPr>
                <w:bCs/>
                <w:color w:val="000000" w:themeColor="text1"/>
                <w:kern w:val="0"/>
                <w:sz w:val="22"/>
                <w:szCs w:val="24"/>
                <w14:textFill>
                  <w14:solidFill>
                    <w14:schemeClr w14:val="tx1"/>
                  </w14:solidFill>
                </w14:textFill>
              </w:rPr>
              <w:t>；</w:t>
            </w:r>
          </w:p>
          <w:p>
            <w:pPr>
              <w:widowControl/>
              <w:adjustRightInd/>
              <w:snapToGrid/>
              <w:spacing w:line="240" w:lineRule="auto"/>
              <w:ind w:firstLine="0" w:firstLineChars="0"/>
              <w:rPr>
                <w:bCs/>
                <w:color w:val="000000" w:themeColor="text1"/>
                <w:kern w:val="0"/>
                <w:sz w:val="22"/>
                <w:szCs w:val="24"/>
                <w14:textFill>
                  <w14:solidFill>
                    <w14:schemeClr w14:val="tx1"/>
                  </w14:solidFill>
                </w14:textFill>
              </w:rPr>
            </w:pPr>
            <w:r>
              <w:rPr>
                <w:bCs/>
                <w:color w:val="000000" w:themeColor="text1"/>
                <w:kern w:val="0"/>
                <w:sz w:val="22"/>
                <w:szCs w:val="24"/>
                <w14:textFill>
                  <w14:solidFill>
                    <w14:schemeClr w14:val="tx1"/>
                  </w14:solidFill>
                </w14:textFill>
              </w:rPr>
              <w:t>煤棚、车辆卸煤口、灰库、渣库出料口均设置水喷淋设施，减少无</w:t>
            </w:r>
            <w:r>
              <w:rPr>
                <w:rFonts w:hint="eastAsia"/>
                <w:bCs/>
                <w:color w:val="000000" w:themeColor="text1"/>
                <w:kern w:val="0"/>
                <w:sz w:val="22"/>
                <w:szCs w:val="24"/>
                <w:lang w:eastAsia="zh-CN"/>
                <w14:textFill>
                  <w14:solidFill>
                    <w14:schemeClr w14:val="tx1"/>
                  </w14:solidFill>
                </w14:textFill>
              </w:rPr>
              <w:t>组织</w:t>
            </w:r>
            <w:r>
              <w:rPr>
                <w:bCs/>
                <w:color w:val="000000" w:themeColor="text1"/>
                <w:kern w:val="0"/>
                <w:sz w:val="22"/>
                <w:szCs w:val="24"/>
                <w14:textFill>
                  <w14:solidFill>
                    <w14:schemeClr w14:val="tx1"/>
                  </w14:solidFill>
                </w14:textFill>
              </w:rPr>
              <w:t>粉尘的排放，喷淋水经沉煤池收集经沉淀后回 用于煤场水喷淋系统。</w:t>
            </w:r>
          </w:p>
        </w:tc>
        <w:tc>
          <w:tcPr>
            <w:tcW w:w="1939" w:type="dxa"/>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92" w:type="dxa"/>
            <w:vMerge w:val="continue"/>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p>
        </w:tc>
        <w:tc>
          <w:tcPr>
            <w:tcW w:w="748" w:type="dxa"/>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bCs/>
                <w:color w:val="000000" w:themeColor="text1"/>
                <w:kern w:val="0"/>
                <w:sz w:val="22"/>
                <w:szCs w:val="24"/>
                <w14:textFill>
                  <w14:solidFill>
                    <w14:schemeClr w14:val="tx1"/>
                  </w14:solidFill>
                </w14:textFill>
              </w:rPr>
              <w:t>废水</w:t>
            </w:r>
            <w:r>
              <w:rPr>
                <w:rFonts w:hint="eastAsia"/>
                <w:bCs/>
                <w:color w:val="000000" w:themeColor="text1"/>
                <w:kern w:val="0"/>
                <w:sz w:val="22"/>
                <w:szCs w:val="24"/>
                <w14:textFill>
                  <w14:solidFill>
                    <w14:schemeClr w14:val="tx1"/>
                  </w14:solidFill>
                </w14:textFill>
              </w:rPr>
              <w:t>处理</w:t>
            </w:r>
          </w:p>
        </w:tc>
        <w:tc>
          <w:tcPr>
            <w:tcW w:w="5441" w:type="dxa"/>
            <w:vAlign w:val="center"/>
          </w:tcPr>
          <w:p>
            <w:pPr>
              <w:widowControl/>
              <w:adjustRightInd/>
              <w:snapToGrid/>
              <w:spacing w:line="240" w:lineRule="auto"/>
              <w:ind w:firstLine="0" w:firstLineChars="0"/>
              <w:rPr>
                <w:bCs/>
                <w:color w:val="000000" w:themeColor="text1"/>
                <w:kern w:val="0"/>
                <w:sz w:val="22"/>
                <w:szCs w:val="24"/>
                <w14:textFill>
                  <w14:solidFill>
                    <w14:schemeClr w14:val="tx1"/>
                  </w14:solidFill>
                </w14:textFill>
              </w:rPr>
            </w:pPr>
            <w:r>
              <w:rPr>
                <w:bCs/>
                <w:color w:val="000000" w:themeColor="text1"/>
                <w:kern w:val="0"/>
                <w:sz w:val="22"/>
                <w:szCs w:val="24"/>
                <w14:textFill>
                  <w14:solidFill>
                    <w14:schemeClr w14:val="tx1"/>
                  </w14:solidFill>
                </w14:textFill>
              </w:rPr>
              <w:t>办公区生活污水经</w:t>
            </w:r>
            <w:r>
              <w:rPr>
                <w:rFonts w:hint="eastAsia"/>
                <w:bCs/>
                <w:color w:val="000000" w:themeColor="text1"/>
                <w:kern w:val="0"/>
                <w:sz w:val="22"/>
                <w:szCs w:val="24"/>
                <w14:textFill>
                  <w14:solidFill>
                    <w14:schemeClr w14:val="tx1"/>
                  </w14:solidFill>
                </w14:textFill>
              </w:rPr>
              <w:t>1座</w:t>
            </w:r>
            <w:r>
              <w:rPr>
                <w:bCs/>
                <w:color w:val="000000" w:themeColor="text1"/>
                <w:kern w:val="0"/>
                <w:sz w:val="22"/>
                <w:szCs w:val="24"/>
                <w14:textFill>
                  <w14:solidFill>
                    <w14:schemeClr w14:val="tx1"/>
                  </w14:solidFill>
                </w14:textFill>
              </w:rPr>
              <w:t>化粪池</w:t>
            </w:r>
            <w:bookmarkStart w:id="64" w:name="_Hlk108346441"/>
            <w:r>
              <w:rPr>
                <w:rFonts w:hint="eastAsia"/>
                <w:bCs/>
                <w:color w:val="000000" w:themeColor="text1"/>
                <w:kern w:val="0"/>
                <w:sz w:val="22"/>
                <w:szCs w:val="24"/>
                <w14:textFill>
                  <w14:solidFill>
                    <w14:schemeClr w14:val="tx1"/>
                  </w14:solidFill>
                </w14:textFill>
              </w:rPr>
              <w:t>（处理能力10m³/d）</w:t>
            </w:r>
            <w:bookmarkEnd w:id="64"/>
            <w:r>
              <w:rPr>
                <w:bCs/>
                <w:color w:val="000000" w:themeColor="text1"/>
                <w:kern w:val="0"/>
                <w:sz w:val="22"/>
                <w:szCs w:val="24"/>
                <w14:textFill>
                  <w14:solidFill>
                    <w14:schemeClr w14:val="tx1"/>
                  </w14:solidFill>
                </w14:textFill>
              </w:rPr>
              <w:t>处理后经市政污水管网排入龙桥园区污水处理厂</w:t>
            </w:r>
            <w:r>
              <w:rPr>
                <w:rFonts w:hint="eastAsia"/>
                <w:bCs/>
                <w:color w:val="000000" w:themeColor="text1"/>
                <w:kern w:val="0"/>
                <w:sz w:val="22"/>
                <w:szCs w:val="24"/>
                <w14:textFill>
                  <w14:solidFill>
                    <w14:schemeClr w14:val="tx1"/>
                  </w14:solidFill>
                </w14:textFill>
              </w:rPr>
              <w:t>，</w:t>
            </w:r>
            <w:r>
              <w:rPr>
                <w:bCs/>
                <w:color w:val="000000" w:themeColor="text1"/>
                <w:kern w:val="0"/>
                <w:sz w:val="22"/>
                <w:szCs w:val="24"/>
                <w14:textFill>
                  <w14:solidFill>
                    <w14:schemeClr w14:val="tx1"/>
                  </w14:solidFill>
                </w14:textFill>
              </w:rPr>
              <w:t>生产区生活污水经化粪池及</w:t>
            </w:r>
            <w:r>
              <w:rPr>
                <w:rFonts w:hint="eastAsia"/>
                <w:bCs/>
                <w:color w:val="000000" w:themeColor="text1"/>
                <w:kern w:val="0"/>
                <w:sz w:val="22"/>
                <w:szCs w:val="24"/>
                <w14:textFill>
                  <w14:solidFill>
                    <w14:schemeClr w14:val="tx1"/>
                  </w14:solidFill>
                </w14:textFill>
              </w:rPr>
              <w:t>2套</w:t>
            </w:r>
            <w:r>
              <w:rPr>
                <w:bCs/>
                <w:color w:val="000000" w:themeColor="text1"/>
                <w:kern w:val="0"/>
                <w:sz w:val="22"/>
                <w:szCs w:val="24"/>
                <w14:textFill>
                  <w14:solidFill>
                    <w14:schemeClr w14:val="tx1"/>
                  </w14:solidFill>
                </w14:textFill>
              </w:rPr>
              <w:t>一体化污水处理设施处理后绿</w:t>
            </w:r>
            <w:r>
              <w:rPr>
                <w:rFonts w:hint="eastAsia"/>
                <w:bCs/>
                <w:color w:val="000000" w:themeColor="text1"/>
                <w:kern w:val="0"/>
                <w:sz w:val="22"/>
                <w:szCs w:val="24"/>
                <w14:textFill>
                  <w14:solidFill>
                    <w14:schemeClr w14:val="tx1"/>
                  </w14:solidFill>
                </w14:textFill>
              </w:rPr>
              <w:t>化浇灌</w:t>
            </w:r>
            <w:r>
              <w:rPr>
                <w:bCs/>
                <w:color w:val="000000" w:themeColor="text1"/>
                <w:kern w:val="0"/>
                <w:sz w:val="22"/>
                <w:szCs w:val="24"/>
                <w14:textFill>
                  <w14:solidFill>
                    <w14:schemeClr w14:val="tx1"/>
                  </w14:solidFill>
                </w14:textFill>
              </w:rPr>
              <w:t>回用。</w:t>
            </w:r>
          </w:p>
          <w:p>
            <w:pPr>
              <w:widowControl/>
              <w:adjustRightInd/>
              <w:snapToGrid/>
              <w:spacing w:line="240" w:lineRule="auto"/>
              <w:ind w:firstLine="0" w:firstLineChars="0"/>
              <w:rPr>
                <w:bCs/>
                <w:color w:val="000000" w:themeColor="text1"/>
                <w:kern w:val="0"/>
                <w:sz w:val="22"/>
                <w:szCs w:val="24"/>
                <w14:textFill>
                  <w14:solidFill>
                    <w14:schemeClr w14:val="tx1"/>
                  </w14:solidFill>
                </w14:textFill>
              </w:rPr>
            </w:pPr>
            <w:r>
              <w:rPr>
                <w:bCs/>
                <w:color w:val="000000" w:themeColor="text1"/>
                <w:kern w:val="0"/>
                <w:sz w:val="22"/>
                <w:szCs w:val="24"/>
                <w14:textFill>
                  <w14:solidFill>
                    <w14:schemeClr w14:val="tx1"/>
                  </w14:solidFill>
                </w14:textFill>
              </w:rPr>
              <w:t>生产废水全部处理</w:t>
            </w:r>
            <w:r>
              <w:rPr>
                <w:rFonts w:hint="eastAsia"/>
                <w:bCs/>
                <w:color w:val="000000" w:themeColor="text1"/>
                <w:kern w:val="0"/>
                <w:sz w:val="22"/>
                <w:szCs w:val="24"/>
                <w14:textFill>
                  <w14:solidFill>
                    <w14:schemeClr w14:val="tx1"/>
                  </w14:solidFill>
                </w14:textFill>
              </w:rPr>
              <w:t>后</w:t>
            </w:r>
            <w:r>
              <w:rPr>
                <w:bCs/>
                <w:color w:val="000000" w:themeColor="text1"/>
                <w:kern w:val="0"/>
                <w:sz w:val="22"/>
                <w:szCs w:val="24"/>
                <w14:textFill>
                  <w14:solidFill>
                    <w14:schemeClr w14:val="tx1"/>
                  </w14:solidFill>
                </w14:textFill>
              </w:rPr>
              <w:t>回用</w:t>
            </w:r>
            <w:r>
              <w:rPr>
                <w:rFonts w:hint="eastAsia"/>
                <w:bCs/>
                <w:color w:val="000000" w:themeColor="text1"/>
                <w:kern w:val="0"/>
                <w:sz w:val="22"/>
                <w:szCs w:val="24"/>
                <w14:textFill>
                  <w14:solidFill>
                    <w14:schemeClr w14:val="tx1"/>
                  </w14:solidFill>
                </w14:textFill>
              </w:rPr>
              <w:t>不外排，循环冷却水排入龙桥河。</w:t>
            </w:r>
          </w:p>
        </w:tc>
        <w:tc>
          <w:tcPr>
            <w:tcW w:w="1939" w:type="dxa"/>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92" w:type="dxa"/>
            <w:vMerge w:val="continue"/>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p>
        </w:tc>
        <w:tc>
          <w:tcPr>
            <w:tcW w:w="748" w:type="dxa"/>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bCs/>
                <w:color w:val="000000" w:themeColor="text1"/>
                <w:kern w:val="0"/>
                <w:sz w:val="22"/>
                <w:szCs w:val="24"/>
                <w14:textFill>
                  <w14:solidFill>
                    <w14:schemeClr w14:val="tx1"/>
                  </w14:solidFill>
                </w14:textFill>
              </w:rPr>
              <w:t>固废治理</w:t>
            </w:r>
          </w:p>
        </w:tc>
        <w:tc>
          <w:tcPr>
            <w:tcW w:w="5441" w:type="dxa"/>
            <w:vAlign w:val="center"/>
          </w:tcPr>
          <w:p>
            <w:pPr>
              <w:widowControl/>
              <w:adjustRightInd/>
              <w:snapToGrid/>
              <w:spacing w:line="240" w:lineRule="auto"/>
              <w:ind w:firstLine="0" w:firstLineChars="0"/>
              <w:rPr>
                <w:bCs/>
                <w:color w:val="000000" w:themeColor="text1"/>
                <w:kern w:val="0"/>
                <w:sz w:val="22"/>
                <w:szCs w:val="24"/>
                <w14:textFill>
                  <w14:solidFill>
                    <w14:schemeClr w14:val="tx1"/>
                  </w14:solidFill>
                </w14:textFill>
              </w:rPr>
            </w:pPr>
            <w:r>
              <w:rPr>
                <w:bCs/>
                <w:color w:val="000000" w:themeColor="text1"/>
                <w:kern w:val="0"/>
                <w:sz w:val="22"/>
                <w:szCs w:val="24"/>
                <w14:textFill>
                  <w14:solidFill>
                    <w14:schemeClr w14:val="tx1"/>
                  </w14:solidFill>
                </w14:textFill>
              </w:rPr>
              <w:t>固体废物主要有灰、渣、脱硫石膏、生活垃圾及污泥、少量废润滑油等。</w:t>
            </w:r>
            <w:r>
              <w:rPr>
                <w:rFonts w:hint="eastAsia"/>
                <w:bCs/>
                <w:color w:val="000000" w:themeColor="text1"/>
                <w:kern w:val="0"/>
                <w:sz w:val="22"/>
                <w:szCs w:val="24"/>
                <w14:textFill>
                  <w14:solidFill>
                    <w14:schemeClr w14:val="tx1"/>
                  </w14:solidFill>
                </w14:textFill>
              </w:rPr>
              <w:t>厂内建有1个</w:t>
            </w:r>
            <w:r>
              <w:rPr>
                <w:bCs/>
                <w:color w:val="000000" w:themeColor="text1"/>
                <w:kern w:val="0"/>
                <w:sz w:val="22"/>
                <w:szCs w:val="24"/>
                <w14:textFill>
                  <w14:solidFill>
                    <w14:schemeClr w14:val="tx1"/>
                  </w14:solidFill>
                </w14:textFill>
              </w:rPr>
              <w:t>直径10m</w:t>
            </w:r>
            <w:r>
              <w:rPr>
                <w:rFonts w:hint="eastAsia"/>
                <w:bCs/>
                <w:color w:val="000000" w:themeColor="text1"/>
                <w:kern w:val="0"/>
                <w:sz w:val="22"/>
                <w:szCs w:val="24"/>
                <w14:textFill>
                  <w14:solidFill>
                    <w14:schemeClr w14:val="tx1"/>
                  </w14:solidFill>
                </w14:textFill>
              </w:rPr>
              <w:t>、容积1</w:t>
            </w:r>
            <w:r>
              <w:rPr>
                <w:bCs/>
                <w:color w:val="000000" w:themeColor="text1"/>
                <w:kern w:val="0"/>
                <w:sz w:val="22"/>
                <w:szCs w:val="24"/>
                <w14:textFill>
                  <w14:solidFill>
                    <w14:schemeClr w14:val="tx1"/>
                  </w14:solidFill>
                </w14:textFill>
              </w:rPr>
              <w:t>300</w:t>
            </w:r>
            <w:r>
              <w:rPr>
                <w:rFonts w:hint="eastAsia"/>
                <w:bCs/>
                <w:color w:val="000000" w:themeColor="text1"/>
                <w:kern w:val="0"/>
                <w:sz w:val="22"/>
                <w:szCs w:val="24"/>
                <w14:textFill>
                  <w14:solidFill>
                    <w14:schemeClr w14:val="tx1"/>
                  </w14:solidFill>
                </w14:textFill>
              </w:rPr>
              <w:t>m³的炉渣仓，</w:t>
            </w:r>
            <w:r>
              <w:rPr>
                <w:bCs/>
                <w:color w:val="000000" w:themeColor="text1"/>
                <w:kern w:val="0"/>
                <w:sz w:val="22"/>
                <w:szCs w:val="24"/>
                <w14:textFill>
                  <w14:solidFill>
                    <w14:schemeClr w14:val="tx1"/>
                  </w14:solidFill>
                </w14:textFill>
              </w:rPr>
              <w:t>2</w:t>
            </w:r>
            <w:r>
              <w:rPr>
                <w:rFonts w:hint="eastAsia"/>
                <w:bCs/>
                <w:color w:val="000000" w:themeColor="text1"/>
                <w:kern w:val="0"/>
                <w:sz w:val="22"/>
                <w:szCs w:val="24"/>
                <w14:textFill>
                  <w14:solidFill>
                    <w14:schemeClr w14:val="tx1"/>
                  </w14:solidFill>
                </w14:textFill>
              </w:rPr>
              <w:t>个</w:t>
            </w:r>
            <w:r>
              <w:rPr>
                <w:bCs/>
                <w:color w:val="000000" w:themeColor="text1"/>
                <w:kern w:val="0"/>
                <w:sz w:val="22"/>
                <w:szCs w:val="24"/>
                <w14:textFill>
                  <w14:solidFill>
                    <w14:schemeClr w14:val="tx1"/>
                  </w14:solidFill>
                </w14:textFill>
              </w:rPr>
              <w:t>直径15m</w:t>
            </w:r>
            <w:r>
              <w:rPr>
                <w:rFonts w:hint="eastAsia"/>
                <w:bCs/>
                <w:color w:val="000000" w:themeColor="text1"/>
                <w:kern w:val="0"/>
                <w:sz w:val="22"/>
                <w:szCs w:val="24"/>
                <w14:textFill>
                  <w14:solidFill>
                    <w14:schemeClr w14:val="tx1"/>
                  </w14:solidFill>
                </w14:textFill>
              </w:rPr>
              <w:t>、容积3</w:t>
            </w:r>
            <w:r>
              <w:rPr>
                <w:bCs/>
                <w:color w:val="000000" w:themeColor="text1"/>
                <w:kern w:val="0"/>
                <w:sz w:val="22"/>
                <w:szCs w:val="24"/>
                <w14:textFill>
                  <w14:solidFill>
                    <w14:schemeClr w14:val="tx1"/>
                  </w14:solidFill>
                </w14:textFill>
              </w:rPr>
              <w:t>500</w:t>
            </w:r>
            <w:r>
              <w:rPr>
                <w:rFonts w:hint="eastAsia"/>
                <w:bCs/>
                <w:color w:val="000000" w:themeColor="text1"/>
                <w:kern w:val="0"/>
                <w:sz w:val="22"/>
                <w:szCs w:val="24"/>
                <w14:textFill>
                  <w14:solidFill>
                    <w14:schemeClr w14:val="tx1"/>
                  </w14:solidFill>
                </w14:textFill>
              </w:rPr>
              <w:t>m³的灰仓。</w:t>
            </w:r>
            <w:r>
              <w:rPr>
                <w:bCs/>
                <w:color w:val="000000" w:themeColor="text1"/>
                <w:kern w:val="0"/>
                <w:sz w:val="22"/>
                <w:szCs w:val="24"/>
                <w14:textFill>
                  <w14:solidFill>
                    <w14:schemeClr w14:val="tx1"/>
                  </w14:solidFill>
                </w14:textFill>
              </w:rPr>
              <w:t>企业已与具备处置能力及资质单位签订了</w:t>
            </w:r>
            <w:r>
              <w:rPr>
                <w:rFonts w:hint="eastAsia"/>
                <w:bCs/>
                <w:color w:val="000000" w:themeColor="text1"/>
                <w:kern w:val="0"/>
                <w:sz w:val="22"/>
                <w:szCs w:val="24"/>
                <w14:textFill>
                  <w14:solidFill>
                    <w14:schemeClr w14:val="tx1"/>
                  </w14:solidFill>
                </w14:textFill>
              </w:rPr>
              <w:t>外售或</w:t>
            </w:r>
            <w:r>
              <w:rPr>
                <w:bCs/>
                <w:color w:val="000000" w:themeColor="text1"/>
                <w:kern w:val="0"/>
                <w:sz w:val="22"/>
                <w:szCs w:val="24"/>
                <w14:textFill>
                  <w14:solidFill>
                    <w14:schemeClr w14:val="tx1"/>
                  </w14:solidFill>
                </w14:textFill>
              </w:rPr>
              <w:t>处置协议</w:t>
            </w:r>
            <w:r>
              <w:rPr>
                <w:rFonts w:hint="eastAsia"/>
                <w:bCs/>
                <w:color w:val="000000" w:themeColor="text1"/>
                <w:kern w:val="0"/>
                <w:sz w:val="22"/>
                <w:szCs w:val="24"/>
                <w14:textFill>
                  <w14:solidFill>
                    <w14:schemeClr w14:val="tx1"/>
                  </w14:solidFill>
                </w14:textFill>
              </w:rPr>
              <w:t>。危险废物收集暂存在危废间，委托有资质单位处置。</w:t>
            </w:r>
            <w:r>
              <w:rPr>
                <w:bCs/>
                <w:color w:val="000000" w:themeColor="text1"/>
                <w:kern w:val="0"/>
                <w:sz w:val="22"/>
                <w:szCs w:val="24"/>
                <w14:textFill>
                  <w14:solidFill>
                    <w14:schemeClr w14:val="tx1"/>
                  </w14:solidFill>
                </w14:textFill>
              </w:rPr>
              <w:t>生活垃圾及污泥</w:t>
            </w:r>
            <w:r>
              <w:rPr>
                <w:rFonts w:hint="eastAsia"/>
                <w:bCs/>
                <w:color w:val="000000" w:themeColor="text1"/>
                <w:kern w:val="0"/>
                <w:sz w:val="22"/>
                <w:szCs w:val="24"/>
                <w14:textFill>
                  <w14:solidFill>
                    <w14:schemeClr w14:val="tx1"/>
                  </w14:solidFill>
                </w14:textFill>
              </w:rPr>
              <w:t>委托环卫部门清运处置。</w:t>
            </w:r>
          </w:p>
        </w:tc>
        <w:tc>
          <w:tcPr>
            <w:tcW w:w="1939" w:type="dxa"/>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92" w:type="dxa"/>
            <w:vMerge w:val="continue"/>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p>
        </w:tc>
        <w:tc>
          <w:tcPr>
            <w:tcW w:w="748" w:type="dxa"/>
            <w:vAlign w:val="center"/>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bCs/>
                <w:color w:val="000000" w:themeColor="text1"/>
                <w:kern w:val="0"/>
                <w:sz w:val="22"/>
                <w:szCs w:val="24"/>
                <w14:textFill>
                  <w14:solidFill>
                    <w14:schemeClr w14:val="tx1"/>
                  </w14:solidFill>
                </w14:textFill>
              </w:rPr>
              <w:t>噪声治理</w:t>
            </w:r>
          </w:p>
        </w:tc>
        <w:tc>
          <w:tcPr>
            <w:tcW w:w="5441" w:type="dxa"/>
            <w:vAlign w:val="center"/>
          </w:tcPr>
          <w:p>
            <w:pPr>
              <w:widowControl/>
              <w:adjustRightInd/>
              <w:snapToGrid/>
              <w:spacing w:line="240" w:lineRule="auto"/>
              <w:ind w:firstLine="0" w:firstLineChars="0"/>
              <w:rPr>
                <w:bCs/>
                <w:color w:val="000000" w:themeColor="text1"/>
                <w:kern w:val="0"/>
                <w:sz w:val="22"/>
                <w:szCs w:val="24"/>
                <w14:textFill>
                  <w14:solidFill>
                    <w14:schemeClr w14:val="tx1"/>
                  </w14:solidFill>
                </w14:textFill>
              </w:rPr>
            </w:pPr>
            <w:r>
              <w:rPr>
                <w:bCs/>
                <w:color w:val="000000" w:themeColor="text1"/>
                <w:kern w:val="0"/>
                <w:sz w:val="22"/>
                <w:szCs w:val="24"/>
                <w14:textFill>
                  <w14:solidFill>
                    <w14:schemeClr w14:val="tx1"/>
                  </w14:solidFill>
                </w14:textFill>
              </w:rPr>
              <w:t>对高噪设备进行合理布局，并采取隔声、吸声、减 振等噪声治理措施。</w:t>
            </w:r>
          </w:p>
        </w:tc>
        <w:tc>
          <w:tcPr>
            <w:tcW w:w="1939" w:type="dxa"/>
          </w:tcPr>
          <w:p>
            <w:pPr>
              <w:widowControl/>
              <w:adjustRightInd/>
              <w:snapToGrid/>
              <w:spacing w:line="240" w:lineRule="auto"/>
              <w:ind w:firstLine="0" w:firstLineChars="0"/>
              <w:jc w:val="center"/>
              <w:rPr>
                <w:bCs/>
                <w:color w:val="000000" w:themeColor="text1"/>
                <w:kern w:val="0"/>
                <w:sz w:val="22"/>
                <w:szCs w:val="24"/>
                <w14:textFill>
                  <w14:solidFill>
                    <w14:schemeClr w14:val="tx1"/>
                  </w14:solidFill>
                </w14:textFill>
              </w:rPr>
            </w:pPr>
            <w:r>
              <w:rPr>
                <w:rFonts w:hint="eastAsia"/>
                <w:bCs/>
                <w:color w:val="000000" w:themeColor="text1"/>
                <w:kern w:val="0"/>
                <w:sz w:val="22"/>
                <w:szCs w:val="24"/>
                <w14:textFill>
                  <w14:solidFill>
                    <w14:schemeClr w14:val="tx1"/>
                  </w14:solidFill>
                </w14:textFill>
              </w:rPr>
              <w:t>/</w:t>
            </w:r>
          </w:p>
        </w:tc>
      </w:tr>
    </w:tbl>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现有主要设备</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主要设备见表2</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项目组成一览表</w:t>
      </w:r>
    </w:p>
    <w:tbl>
      <w:tblPr>
        <w:tblStyle w:val="110"/>
        <w:tblW w:w="8528"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3"/>
        <w:gridCol w:w="2251"/>
        <w:gridCol w:w="3783"/>
        <w:gridCol w:w="938"/>
        <w:gridCol w:w="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683" w:type="dxa"/>
          </w:tcPr>
          <w:p>
            <w:pPr>
              <w:spacing w:before="73" w:line="185" w:lineRule="auto"/>
              <w:ind w:firstLine="0" w:firstLineChars="0"/>
              <w:jc w:val="center"/>
              <w:rPr>
                <w:rFonts w:eastAsiaTheme="minorEastAsia"/>
                <w:color w:val="000000" w:themeColor="text1"/>
                <w:sz w:val="22"/>
                <w:lang w:eastAsia="en-US"/>
                <w14:textFill>
                  <w14:solidFill>
                    <w14:schemeClr w14:val="tx1"/>
                  </w14:solidFill>
                </w14:textFill>
              </w:rPr>
            </w:pPr>
            <w:r>
              <w:rPr>
                <w:rFonts w:eastAsiaTheme="minorEastAsia"/>
                <w:color w:val="000000" w:themeColor="text1"/>
                <w:spacing w:val="-2"/>
                <w:sz w:val="22"/>
                <w:lang w:eastAsia="en-US"/>
                <w14:textFill>
                  <w14:solidFill>
                    <w14:schemeClr w14:val="tx1"/>
                  </w14:solidFill>
                </w14:textFill>
              </w:rPr>
              <w:t>序号</w:t>
            </w:r>
          </w:p>
        </w:tc>
        <w:tc>
          <w:tcPr>
            <w:tcW w:w="2251" w:type="dxa"/>
          </w:tcPr>
          <w:p>
            <w:pPr>
              <w:spacing w:before="73" w:line="185" w:lineRule="auto"/>
              <w:ind w:firstLine="0" w:firstLineChars="0"/>
              <w:jc w:val="center"/>
              <w:rPr>
                <w:rFonts w:eastAsiaTheme="minorEastAsia"/>
                <w:color w:val="000000" w:themeColor="text1"/>
                <w:spacing w:val="-2"/>
                <w:sz w:val="22"/>
                <w:lang w:eastAsia="en-US"/>
                <w14:textFill>
                  <w14:solidFill>
                    <w14:schemeClr w14:val="tx1"/>
                  </w14:solidFill>
                </w14:textFill>
              </w:rPr>
            </w:pPr>
            <w:r>
              <w:rPr>
                <w:rFonts w:eastAsiaTheme="minorEastAsia"/>
                <w:color w:val="000000" w:themeColor="text1"/>
                <w:spacing w:val="-2"/>
                <w:sz w:val="22"/>
                <w:lang w:eastAsia="en-US"/>
                <w14:textFill>
                  <w14:solidFill>
                    <w14:schemeClr w14:val="tx1"/>
                  </w14:solidFill>
                </w14:textFill>
              </w:rPr>
              <w:t>设备名称</w:t>
            </w:r>
          </w:p>
        </w:tc>
        <w:tc>
          <w:tcPr>
            <w:tcW w:w="3783" w:type="dxa"/>
          </w:tcPr>
          <w:p>
            <w:pPr>
              <w:spacing w:before="73" w:line="185" w:lineRule="auto"/>
              <w:ind w:firstLine="0" w:firstLineChars="0"/>
              <w:jc w:val="center"/>
              <w:rPr>
                <w:rFonts w:eastAsiaTheme="minorEastAsia"/>
                <w:color w:val="000000" w:themeColor="text1"/>
                <w:spacing w:val="-2"/>
                <w:sz w:val="22"/>
                <w:lang w:eastAsia="en-US"/>
                <w14:textFill>
                  <w14:solidFill>
                    <w14:schemeClr w14:val="tx1"/>
                  </w14:solidFill>
                </w14:textFill>
              </w:rPr>
            </w:pPr>
            <w:r>
              <w:rPr>
                <w:rFonts w:eastAsiaTheme="minorEastAsia"/>
                <w:color w:val="000000" w:themeColor="text1"/>
                <w:spacing w:val="-2"/>
                <w:sz w:val="22"/>
                <w:lang w:eastAsia="en-US"/>
                <w14:textFill>
                  <w14:solidFill>
                    <w14:schemeClr w14:val="tx1"/>
                  </w14:solidFill>
                </w14:textFill>
              </w:rPr>
              <w:t>型号规格</w:t>
            </w:r>
          </w:p>
        </w:tc>
        <w:tc>
          <w:tcPr>
            <w:tcW w:w="938" w:type="dxa"/>
          </w:tcPr>
          <w:p>
            <w:pPr>
              <w:spacing w:before="73" w:line="185" w:lineRule="auto"/>
              <w:ind w:firstLine="0" w:firstLineChars="0"/>
              <w:jc w:val="center"/>
              <w:rPr>
                <w:rFonts w:eastAsiaTheme="minorEastAsia"/>
                <w:color w:val="000000" w:themeColor="text1"/>
                <w:spacing w:val="-2"/>
                <w:sz w:val="22"/>
                <w:lang w:eastAsia="en-US"/>
                <w14:textFill>
                  <w14:solidFill>
                    <w14:schemeClr w14:val="tx1"/>
                  </w14:solidFill>
                </w14:textFill>
              </w:rPr>
            </w:pPr>
            <w:r>
              <w:rPr>
                <w:rFonts w:eastAsiaTheme="minorEastAsia"/>
                <w:color w:val="000000" w:themeColor="text1"/>
                <w:spacing w:val="-2"/>
                <w:sz w:val="22"/>
                <w:lang w:eastAsia="en-US"/>
                <w14:textFill>
                  <w14:solidFill>
                    <w14:schemeClr w14:val="tx1"/>
                  </w14:solidFill>
                </w14:textFill>
              </w:rPr>
              <w:t>单位</w:t>
            </w:r>
          </w:p>
        </w:tc>
        <w:tc>
          <w:tcPr>
            <w:tcW w:w="873" w:type="dxa"/>
          </w:tcPr>
          <w:p>
            <w:pPr>
              <w:spacing w:before="73" w:line="185" w:lineRule="auto"/>
              <w:ind w:firstLine="0" w:firstLineChars="0"/>
              <w:jc w:val="center"/>
              <w:rPr>
                <w:rFonts w:eastAsiaTheme="minorEastAsia"/>
                <w:color w:val="000000" w:themeColor="text1"/>
                <w:spacing w:val="-2"/>
                <w:sz w:val="22"/>
                <w:lang w:eastAsia="en-US"/>
                <w14:textFill>
                  <w14:solidFill>
                    <w14:schemeClr w14:val="tx1"/>
                  </w14:solidFill>
                </w14:textFill>
              </w:rPr>
            </w:pPr>
            <w:r>
              <w:rPr>
                <w:rFonts w:eastAsiaTheme="minorEastAsia"/>
                <w:color w:val="000000" w:themeColor="text1"/>
                <w:spacing w:val="-2"/>
                <w:sz w:val="22"/>
                <w:lang w:eastAsia="en-US"/>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rPr>
        <w:tc>
          <w:tcPr>
            <w:tcW w:w="8528" w:type="dxa"/>
            <w:gridSpan w:val="5"/>
          </w:tcPr>
          <w:p>
            <w:pPr>
              <w:spacing w:before="68" w:line="185" w:lineRule="auto"/>
              <w:ind w:firstLine="0" w:firstLineChars="0"/>
              <w:rPr>
                <w:rFonts w:eastAsiaTheme="minorEastAsia"/>
                <w:color w:val="000000" w:themeColor="text1"/>
                <w:sz w:val="22"/>
                <w:lang w:eastAsia="en-US"/>
                <w14:textFill>
                  <w14:solidFill>
                    <w14:schemeClr w14:val="tx1"/>
                  </w14:solidFill>
                </w14:textFill>
              </w:rPr>
            </w:pPr>
            <w:r>
              <w:rPr>
                <w:rFonts w:eastAsiaTheme="minorEastAsia"/>
                <w:color w:val="000000" w:themeColor="text1"/>
                <w:spacing w:val="-2"/>
                <w:sz w:val="22"/>
                <w:lang w:eastAsia="en-US"/>
                <w14:textFill>
                  <w14:solidFill>
                    <w14:schemeClr w14:val="tx1"/>
                  </w14:solidFill>
                </w14:textFill>
              </w:rPr>
              <w:t>一、热机部分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rPr>
        <w:tc>
          <w:tcPr>
            <w:tcW w:w="683" w:type="dxa"/>
          </w:tcPr>
          <w:p>
            <w:pPr>
              <w:spacing w:before="110" w:line="180" w:lineRule="auto"/>
              <w:ind w:firstLine="15" w:firstLineChars="7"/>
              <w:jc w:val="center"/>
              <w:rPr>
                <w:rFonts w:eastAsiaTheme="minorEastAsia"/>
                <w:color w:val="000000" w:themeColor="text1"/>
                <w:sz w:val="22"/>
                <w:lang w:eastAsia="en-US"/>
                <w14:textFill>
                  <w14:solidFill>
                    <w14:schemeClr w14:val="tx1"/>
                  </w14:solidFill>
                </w14:textFill>
              </w:rPr>
            </w:pPr>
            <w:r>
              <w:rPr>
                <w:rFonts w:eastAsiaTheme="minorEastAsia"/>
                <w:color w:val="000000" w:themeColor="text1"/>
                <w:sz w:val="22"/>
                <w:lang w:eastAsia="en-US"/>
                <w14:textFill>
                  <w14:solidFill>
                    <w14:schemeClr w14:val="tx1"/>
                  </w14:solidFill>
                </w14:textFill>
              </w:rPr>
              <w:t>1</w:t>
            </w:r>
          </w:p>
        </w:tc>
        <w:tc>
          <w:tcPr>
            <w:tcW w:w="2251" w:type="dxa"/>
          </w:tcPr>
          <w:p>
            <w:pPr>
              <w:spacing w:before="70" w:line="185" w:lineRule="auto"/>
              <w:ind w:firstLine="36" w:firstLineChars="17"/>
              <w:rPr>
                <w:rFonts w:eastAsiaTheme="minorEastAsia"/>
                <w:color w:val="000000" w:themeColor="text1"/>
                <w:sz w:val="22"/>
                <w:lang w:eastAsia="en-US"/>
                <w14:textFill>
                  <w14:solidFill>
                    <w14:schemeClr w14:val="tx1"/>
                  </w14:solidFill>
                </w14:textFill>
              </w:rPr>
            </w:pPr>
            <w:r>
              <w:rPr>
                <w:rFonts w:eastAsiaTheme="minorEastAsia"/>
                <w:color w:val="000000" w:themeColor="text1"/>
                <w:spacing w:val="-3"/>
                <w:sz w:val="22"/>
                <w:lang w:eastAsia="en-US"/>
                <w14:textFill>
                  <w14:solidFill>
                    <w14:schemeClr w14:val="tx1"/>
                  </w14:solidFill>
                </w14:textFill>
              </w:rPr>
              <w:t>锅炉</w:t>
            </w:r>
          </w:p>
        </w:tc>
        <w:tc>
          <w:tcPr>
            <w:tcW w:w="3783" w:type="dxa"/>
          </w:tcPr>
          <w:p>
            <w:pPr>
              <w:spacing w:before="70" w:line="185" w:lineRule="auto"/>
              <w:ind w:firstLine="0" w:firstLineChars="0"/>
              <w:rPr>
                <w:rFonts w:eastAsiaTheme="minorEastAsia"/>
                <w:color w:val="000000" w:themeColor="text1"/>
                <w:sz w:val="22"/>
                <w:lang w:eastAsia="zh-CN"/>
                <w14:textFill>
                  <w14:solidFill>
                    <w14:schemeClr w14:val="tx1"/>
                  </w14:solidFill>
                </w14:textFill>
              </w:rPr>
            </w:pPr>
            <w:r>
              <w:rPr>
                <w:rFonts w:eastAsiaTheme="minorEastAsia"/>
                <w:color w:val="000000" w:themeColor="text1"/>
                <w:spacing w:val="-12"/>
                <w:sz w:val="22"/>
                <w:lang w:eastAsia="zh-CN"/>
                <w14:textFill>
                  <w14:solidFill>
                    <w14:schemeClr w14:val="tx1"/>
                  </w14:solidFill>
                </w14:textFill>
              </w:rPr>
              <w:t>循环流化床锅炉，1125t/h</w:t>
            </w:r>
          </w:p>
        </w:tc>
        <w:tc>
          <w:tcPr>
            <w:tcW w:w="938" w:type="dxa"/>
          </w:tcPr>
          <w:p>
            <w:pPr>
              <w:spacing w:before="70" w:line="185" w:lineRule="auto"/>
              <w:ind w:firstLine="0" w:firstLineChars="0"/>
              <w:jc w:val="center"/>
              <w:rPr>
                <w:rFonts w:eastAsiaTheme="minorEastAsia"/>
                <w:color w:val="000000" w:themeColor="text1"/>
                <w:sz w:val="22"/>
                <w:lang w:eastAsia="en-US"/>
                <w14:textFill>
                  <w14:solidFill>
                    <w14:schemeClr w14:val="tx1"/>
                  </w14:solidFill>
                </w14:textFill>
              </w:rPr>
            </w:pPr>
            <w:r>
              <w:rPr>
                <w:rFonts w:eastAsiaTheme="minorEastAsia"/>
                <w:color w:val="000000" w:themeColor="text1"/>
                <w:sz w:val="22"/>
                <w:lang w:eastAsia="en-US"/>
                <w14:textFill>
                  <w14:solidFill>
                    <w14:schemeClr w14:val="tx1"/>
                  </w14:solidFill>
                </w14:textFill>
              </w:rPr>
              <w:t>台</w:t>
            </w:r>
          </w:p>
        </w:tc>
        <w:tc>
          <w:tcPr>
            <w:tcW w:w="873" w:type="dxa"/>
          </w:tcPr>
          <w:p>
            <w:pPr>
              <w:spacing w:before="110" w:line="180" w:lineRule="auto"/>
              <w:ind w:firstLine="0" w:firstLineChars="0"/>
              <w:jc w:val="center"/>
              <w:rPr>
                <w:rFonts w:eastAsiaTheme="minorEastAsia"/>
                <w:color w:val="000000" w:themeColor="text1"/>
                <w:sz w:val="22"/>
                <w:lang w:eastAsia="en-US"/>
                <w14:textFill>
                  <w14:solidFill>
                    <w14:schemeClr w14:val="tx1"/>
                  </w14:solidFill>
                </w14:textFill>
              </w:rPr>
            </w:pPr>
            <w:r>
              <w:rPr>
                <w:rFonts w:eastAsiaTheme="minorEastAsia"/>
                <w:color w:val="000000" w:themeColor="text1"/>
                <w:sz w:val="22"/>
                <w:lang w:eastAsia="en-US"/>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rPr>
        <w:tc>
          <w:tcPr>
            <w:tcW w:w="683" w:type="dxa"/>
          </w:tcPr>
          <w:p>
            <w:pPr>
              <w:spacing w:before="112" w:line="180" w:lineRule="auto"/>
              <w:ind w:firstLine="15" w:firstLineChars="7"/>
              <w:jc w:val="center"/>
              <w:rPr>
                <w:rFonts w:eastAsiaTheme="minorEastAsia"/>
                <w:color w:val="000000" w:themeColor="text1"/>
                <w:sz w:val="22"/>
                <w:lang w:eastAsia="en-US"/>
                <w14:textFill>
                  <w14:solidFill>
                    <w14:schemeClr w14:val="tx1"/>
                  </w14:solidFill>
                </w14:textFill>
              </w:rPr>
            </w:pPr>
            <w:r>
              <w:rPr>
                <w:rFonts w:eastAsiaTheme="minorEastAsia"/>
                <w:color w:val="000000" w:themeColor="text1"/>
                <w:sz w:val="22"/>
                <w:lang w:eastAsia="en-US"/>
                <w14:textFill>
                  <w14:solidFill>
                    <w14:schemeClr w14:val="tx1"/>
                  </w14:solidFill>
                </w14:textFill>
              </w:rPr>
              <w:t>2</w:t>
            </w:r>
          </w:p>
        </w:tc>
        <w:tc>
          <w:tcPr>
            <w:tcW w:w="2251" w:type="dxa"/>
          </w:tcPr>
          <w:p>
            <w:pPr>
              <w:spacing w:before="72" w:line="185" w:lineRule="auto"/>
              <w:ind w:firstLine="36" w:firstLineChars="17"/>
              <w:rPr>
                <w:rFonts w:eastAsiaTheme="minorEastAsia"/>
                <w:color w:val="000000" w:themeColor="text1"/>
                <w:sz w:val="22"/>
                <w:lang w:eastAsia="en-US"/>
                <w14:textFill>
                  <w14:solidFill>
                    <w14:schemeClr w14:val="tx1"/>
                  </w14:solidFill>
                </w14:textFill>
              </w:rPr>
            </w:pPr>
            <w:r>
              <w:rPr>
                <w:rFonts w:eastAsiaTheme="minorEastAsia"/>
                <w:color w:val="000000" w:themeColor="text1"/>
                <w:spacing w:val="-2"/>
                <w:sz w:val="22"/>
                <w:lang w:eastAsia="en-US"/>
                <w14:textFill>
                  <w14:solidFill>
                    <w14:schemeClr w14:val="tx1"/>
                  </w14:solidFill>
                </w14:textFill>
              </w:rPr>
              <w:t>汽轮机</w:t>
            </w:r>
          </w:p>
        </w:tc>
        <w:tc>
          <w:tcPr>
            <w:tcW w:w="3783" w:type="dxa"/>
          </w:tcPr>
          <w:p>
            <w:pPr>
              <w:spacing w:before="72" w:line="185" w:lineRule="auto"/>
              <w:ind w:firstLine="0" w:firstLineChars="0"/>
              <w:rPr>
                <w:rFonts w:eastAsiaTheme="minorEastAsia"/>
                <w:color w:val="000000" w:themeColor="text1"/>
                <w:sz w:val="22"/>
                <w:lang w:eastAsia="en-US"/>
                <w14:textFill>
                  <w14:solidFill>
                    <w14:schemeClr w14:val="tx1"/>
                  </w14:solidFill>
                </w14:textFill>
              </w:rPr>
            </w:pPr>
            <w:r>
              <w:rPr>
                <w:rFonts w:eastAsiaTheme="minorEastAsia"/>
                <w:color w:val="000000" w:themeColor="text1"/>
                <w:spacing w:val="-1"/>
                <w:sz w:val="22"/>
                <w:lang w:eastAsia="en-US"/>
                <w14:textFill>
                  <w14:solidFill>
                    <w14:schemeClr w14:val="tx1"/>
                  </w14:solidFill>
                </w14:textFill>
              </w:rPr>
              <w:t>型号:CC300/240-16.67/1.5/1.0/538/538</w:t>
            </w:r>
          </w:p>
        </w:tc>
        <w:tc>
          <w:tcPr>
            <w:tcW w:w="938" w:type="dxa"/>
          </w:tcPr>
          <w:p>
            <w:pPr>
              <w:spacing w:before="72" w:line="185" w:lineRule="auto"/>
              <w:ind w:firstLine="0" w:firstLineChars="0"/>
              <w:jc w:val="center"/>
              <w:rPr>
                <w:rFonts w:eastAsiaTheme="minorEastAsia"/>
                <w:color w:val="000000" w:themeColor="text1"/>
                <w:sz w:val="22"/>
                <w:lang w:eastAsia="en-US"/>
                <w14:textFill>
                  <w14:solidFill>
                    <w14:schemeClr w14:val="tx1"/>
                  </w14:solidFill>
                </w14:textFill>
              </w:rPr>
            </w:pPr>
            <w:r>
              <w:rPr>
                <w:rFonts w:eastAsiaTheme="minorEastAsia"/>
                <w:color w:val="000000" w:themeColor="text1"/>
                <w:sz w:val="22"/>
                <w:lang w:eastAsia="en-US"/>
                <w14:textFill>
                  <w14:solidFill>
                    <w14:schemeClr w14:val="tx1"/>
                  </w14:solidFill>
                </w14:textFill>
              </w:rPr>
              <w:t>台</w:t>
            </w:r>
          </w:p>
        </w:tc>
        <w:tc>
          <w:tcPr>
            <w:tcW w:w="873" w:type="dxa"/>
          </w:tcPr>
          <w:p>
            <w:pPr>
              <w:spacing w:before="112" w:line="180" w:lineRule="auto"/>
              <w:ind w:firstLine="0" w:firstLineChars="0"/>
              <w:jc w:val="center"/>
              <w:rPr>
                <w:rFonts w:eastAsiaTheme="minorEastAsia"/>
                <w:color w:val="000000" w:themeColor="text1"/>
                <w:sz w:val="22"/>
                <w:lang w:eastAsia="en-US"/>
                <w14:textFill>
                  <w14:solidFill>
                    <w14:schemeClr w14:val="tx1"/>
                  </w14:solidFill>
                </w14:textFill>
              </w:rPr>
            </w:pPr>
            <w:r>
              <w:rPr>
                <w:rFonts w:eastAsiaTheme="minorEastAsia"/>
                <w:color w:val="000000" w:themeColor="text1"/>
                <w:sz w:val="22"/>
                <w:lang w:eastAsia="en-US"/>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rPr>
        <w:tc>
          <w:tcPr>
            <w:tcW w:w="683" w:type="dxa"/>
          </w:tcPr>
          <w:p>
            <w:pPr>
              <w:spacing w:before="115" w:line="180" w:lineRule="auto"/>
              <w:ind w:firstLine="15" w:firstLineChars="7"/>
              <w:jc w:val="center"/>
              <w:rPr>
                <w:rFonts w:eastAsiaTheme="minorEastAsia"/>
                <w:color w:val="000000" w:themeColor="text1"/>
                <w:sz w:val="22"/>
                <w:lang w:eastAsia="en-US"/>
                <w14:textFill>
                  <w14:solidFill>
                    <w14:schemeClr w14:val="tx1"/>
                  </w14:solidFill>
                </w14:textFill>
              </w:rPr>
            </w:pPr>
            <w:r>
              <w:rPr>
                <w:rFonts w:eastAsiaTheme="minorEastAsia"/>
                <w:color w:val="000000" w:themeColor="text1"/>
                <w:sz w:val="22"/>
                <w:lang w:eastAsia="en-US"/>
                <w14:textFill>
                  <w14:solidFill>
                    <w14:schemeClr w14:val="tx1"/>
                  </w14:solidFill>
                </w14:textFill>
              </w:rPr>
              <w:t>3</w:t>
            </w:r>
          </w:p>
        </w:tc>
        <w:tc>
          <w:tcPr>
            <w:tcW w:w="2251" w:type="dxa"/>
          </w:tcPr>
          <w:p>
            <w:pPr>
              <w:spacing w:before="74" w:line="185" w:lineRule="auto"/>
              <w:ind w:firstLine="36" w:firstLineChars="17"/>
              <w:rPr>
                <w:rFonts w:eastAsiaTheme="minorEastAsia"/>
                <w:color w:val="000000" w:themeColor="text1"/>
                <w:sz w:val="22"/>
                <w:lang w:eastAsia="en-US"/>
                <w14:textFill>
                  <w14:solidFill>
                    <w14:schemeClr w14:val="tx1"/>
                  </w14:solidFill>
                </w14:textFill>
              </w:rPr>
            </w:pPr>
            <w:r>
              <w:rPr>
                <w:rFonts w:eastAsiaTheme="minorEastAsia"/>
                <w:color w:val="000000" w:themeColor="text1"/>
                <w:spacing w:val="-3"/>
                <w:sz w:val="22"/>
                <w:lang w:eastAsia="en-US"/>
                <w14:textFill>
                  <w14:solidFill>
                    <w14:schemeClr w14:val="tx1"/>
                  </w14:solidFill>
                </w14:textFill>
              </w:rPr>
              <w:t>发电机</w:t>
            </w:r>
          </w:p>
        </w:tc>
        <w:tc>
          <w:tcPr>
            <w:tcW w:w="3783" w:type="dxa"/>
          </w:tcPr>
          <w:p>
            <w:pPr>
              <w:spacing w:before="74" w:line="195" w:lineRule="auto"/>
              <w:ind w:firstLine="0" w:firstLineChars="0"/>
              <w:rPr>
                <w:rFonts w:eastAsiaTheme="minorEastAsia"/>
                <w:color w:val="000000" w:themeColor="text1"/>
                <w:sz w:val="22"/>
                <w:lang w:eastAsia="en-US"/>
                <w14:textFill>
                  <w14:solidFill>
                    <w14:schemeClr w14:val="tx1"/>
                  </w14:solidFill>
                </w14:textFill>
              </w:rPr>
            </w:pPr>
            <w:r>
              <w:rPr>
                <w:rFonts w:eastAsiaTheme="minorEastAsia"/>
                <w:color w:val="000000" w:themeColor="text1"/>
                <w:spacing w:val="-1"/>
                <w:sz w:val="22"/>
                <w:lang w:eastAsia="en-US"/>
                <w14:textFill>
                  <w14:solidFill>
                    <w14:schemeClr w14:val="tx1"/>
                  </w14:solidFill>
                </w14:textFill>
              </w:rPr>
              <w:t>QFSN-300-2-20B型</w:t>
            </w:r>
          </w:p>
        </w:tc>
        <w:tc>
          <w:tcPr>
            <w:tcW w:w="938" w:type="dxa"/>
          </w:tcPr>
          <w:p>
            <w:pPr>
              <w:spacing w:before="74" w:line="185" w:lineRule="auto"/>
              <w:ind w:firstLine="0" w:firstLineChars="0"/>
              <w:jc w:val="center"/>
              <w:rPr>
                <w:rFonts w:eastAsiaTheme="minorEastAsia"/>
                <w:color w:val="000000" w:themeColor="text1"/>
                <w:sz w:val="22"/>
                <w:lang w:eastAsia="en-US"/>
                <w14:textFill>
                  <w14:solidFill>
                    <w14:schemeClr w14:val="tx1"/>
                  </w14:solidFill>
                </w14:textFill>
              </w:rPr>
            </w:pPr>
            <w:r>
              <w:rPr>
                <w:rFonts w:eastAsiaTheme="minorEastAsia"/>
                <w:color w:val="000000" w:themeColor="text1"/>
                <w:sz w:val="22"/>
                <w:lang w:eastAsia="en-US"/>
                <w14:textFill>
                  <w14:solidFill>
                    <w14:schemeClr w14:val="tx1"/>
                  </w14:solidFill>
                </w14:textFill>
              </w:rPr>
              <w:t>台</w:t>
            </w:r>
          </w:p>
        </w:tc>
        <w:tc>
          <w:tcPr>
            <w:tcW w:w="873" w:type="dxa"/>
          </w:tcPr>
          <w:p>
            <w:pPr>
              <w:spacing w:before="114" w:line="180" w:lineRule="auto"/>
              <w:ind w:firstLine="0" w:firstLineChars="0"/>
              <w:jc w:val="center"/>
              <w:rPr>
                <w:rFonts w:eastAsiaTheme="minorEastAsia"/>
                <w:color w:val="000000" w:themeColor="text1"/>
                <w:sz w:val="22"/>
                <w:lang w:eastAsia="en-US"/>
                <w14:textFill>
                  <w14:solidFill>
                    <w14:schemeClr w14:val="tx1"/>
                  </w14:solidFill>
                </w14:textFill>
              </w:rPr>
            </w:pPr>
            <w:r>
              <w:rPr>
                <w:rFonts w:eastAsiaTheme="minorEastAsia"/>
                <w:color w:val="000000" w:themeColor="text1"/>
                <w:sz w:val="22"/>
                <w:lang w:eastAsia="en-US"/>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trPr>
        <w:tc>
          <w:tcPr>
            <w:tcW w:w="683" w:type="dxa"/>
          </w:tcPr>
          <w:p>
            <w:pPr>
              <w:spacing w:before="192" w:line="180" w:lineRule="auto"/>
              <w:ind w:firstLine="15" w:firstLineChars="7"/>
              <w:jc w:val="center"/>
              <w:rPr>
                <w:rFonts w:eastAsiaTheme="minorEastAsia"/>
                <w:color w:val="000000" w:themeColor="text1"/>
                <w:sz w:val="22"/>
                <w:lang w:eastAsia="en-US"/>
                <w14:textFill>
                  <w14:solidFill>
                    <w14:schemeClr w14:val="tx1"/>
                  </w14:solidFill>
                </w14:textFill>
              </w:rPr>
            </w:pPr>
            <w:r>
              <w:rPr>
                <w:rFonts w:eastAsiaTheme="minorEastAsia"/>
                <w:color w:val="000000" w:themeColor="text1"/>
                <w:sz w:val="22"/>
                <w:lang w:eastAsia="en-US"/>
                <w14:textFill>
                  <w14:solidFill>
                    <w14:schemeClr w14:val="tx1"/>
                  </w14:solidFill>
                </w14:textFill>
              </w:rPr>
              <w:t>4</w:t>
            </w:r>
          </w:p>
        </w:tc>
        <w:tc>
          <w:tcPr>
            <w:tcW w:w="2251" w:type="dxa"/>
          </w:tcPr>
          <w:p>
            <w:pPr>
              <w:spacing w:before="152" w:line="185" w:lineRule="auto"/>
              <w:ind w:firstLine="35" w:firstLineChars="17"/>
              <w:rPr>
                <w:rFonts w:eastAsiaTheme="minorEastAsia"/>
                <w:color w:val="000000" w:themeColor="text1"/>
                <w:sz w:val="22"/>
                <w:lang w:eastAsia="en-US"/>
                <w14:textFill>
                  <w14:solidFill>
                    <w14:schemeClr w14:val="tx1"/>
                  </w14:solidFill>
                </w14:textFill>
              </w:rPr>
            </w:pPr>
            <w:r>
              <w:rPr>
                <w:rFonts w:eastAsiaTheme="minorEastAsia"/>
                <w:color w:val="000000" w:themeColor="text1"/>
                <w:spacing w:val="-6"/>
                <w:sz w:val="22"/>
                <w:lang w:eastAsia="en-US"/>
                <w14:textFill>
                  <w14:solidFill>
                    <w14:schemeClr w14:val="tx1"/>
                  </w14:solidFill>
                </w14:textFill>
              </w:rPr>
              <w:t>引风机</w:t>
            </w:r>
          </w:p>
        </w:tc>
        <w:tc>
          <w:tcPr>
            <w:tcW w:w="3783" w:type="dxa"/>
          </w:tcPr>
          <w:p>
            <w:pPr>
              <w:spacing w:line="278" w:lineRule="exact"/>
              <w:ind w:firstLine="0" w:firstLineChars="0"/>
              <w:rPr>
                <w:rFonts w:eastAsiaTheme="minorEastAsia"/>
                <w:color w:val="000000" w:themeColor="text1"/>
                <w:sz w:val="22"/>
                <w:lang w:eastAsia="zh-CN"/>
                <w14:textFill>
                  <w14:solidFill>
                    <w14:schemeClr w14:val="tx1"/>
                  </w14:solidFill>
                </w14:textFill>
              </w:rPr>
            </w:pPr>
            <w:r>
              <w:rPr>
                <w:rFonts w:eastAsiaTheme="minorEastAsia"/>
                <w:color w:val="000000" w:themeColor="text1"/>
                <w:spacing w:val="3"/>
                <w:sz w:val="22"/>
                <w:lang w:eastAsia="zh-CN"/>
                <w14:textFill>
                  <w14:solidFill>
                    <w14:schemeClr w14:val="tx1"/>
                  </w14:solidFill>
                </w14:textFill>
              </w:rPr>
              <w:t>双吸双支撑离心式</w:t>
            </w:r>
            <w:r>
              <w:rPr>
                <w:rFonts w:eastAsiaTheme="minorEastAsia"/>
                <w:color w:val="000000" w:themeColor="text1"/>
                <w:spacing w:val="-21"/>
                <w:sz w:val="22"/>
                <w:lang w:eastAsia="zh-CN"/>
                <w14:textFill>
                  <w14:solidFill>
                    <w14:schemeClr w14:val="tx1"/>
                  </w14:solidFill>
                </w14:textFill>
              </w:rPr>
              <w:t xml:space="preserve"> </w:t>
            </w:r>
            <w:r>
              <w:rPr>
                <w:rFonts w:eastAsiaTheme="minorEastAsia"/>
                <w:color w:val="000000" w:themeColor="text1"/>
                <w:spacing w:val="3"/>
                <w:sz w:val="22"/>
                <w:lang w:eastAsia="zh-CN"/>
                <w14:textFill>
                  <w14:solidFill>
                    <w14:schemeClr w14:val="tx1"/>
                  </w14:solidFill>
                </w14:textFill>
              </w:rPr>
              <w:t>Q=</w:t>
            </w:r>
            <w:r>
              <w:rPr>
                <w:rFonts w:eastAsiaTheme="minorEastAsia"/>
                <w:color w:val="000000" w:themeColor="text1"/>
                <w:spacing w:val="7"/>
                <w:sz w:val="22"/>
                <w:lang w:eastAsia="zh-CN"/>
                <w14:textFill>
                  <w14:solidFill>
                    <w14:schemeClr w14:val="tx1"/>
                  </w14:solidFill>
                </w14:textFill>
              </w:rPr>
              <w:t xml:space="preserve"> </w:t>
            </w:r>
            <w:r>
              <w:rPr>
                <w:rFonts w:eastAsiaTheme="minorEastAsia"/>
                <w:color w:val="000000" w:themeColor="text1"/>
                <w:spacing w:val="3"/>
                <w:sz w:val="22"/>
                <w:lang w:eastAsia="zh-CN"/>
                <w14:textFill>
                  <w14:solidFill>
                    <w14:schemeClr w14:val="tx1"/>
                  </w14:solidFill>
                </w14:textFill>
              </w:rPr>
              <w:t>Q=889690</w:t>
            </w:r>
            <w:r>
              <w:rPr>
                <w:rFonts w:hint="eastAsia" w:eastAsiaTheme="minorEastAsia"/>
                <w:color w:val="000000" w:themeColor="text1"/>
                <w:spacing w:val="-3"/>
                <w:sz w:val="22"/>
                <w:lang w:eastAsia="zh-CN"/>
                <w14:textFill>
                  <w14:solidFill>
                    <w14:schemeClr w14:val="tx1"/>
                  </w14:solidFill>
                </w14:textFill>
              </w:rPr>
              <w:t>m³</w:t>
            </w:r>
            <w:r>
              <w:rPr>
                <w:rFonts w:eastAsiaTheme="minorEastAsia"/>
                <w:color w:val="000000" w:themeColor="text1"/>
                <w:spacing w:val="3"/>
                <w:sz w:val="22"/>
                <w:lang w:eastAsia="zh-CN"/>
                <w14:textFill>
                  <w14:solidFill>
                    <w14:schemeClr w14:val="tx1"/>
                  </w14:solidFill>
                </w14:textFill>
              </w:rPr>
              <w:t>/h，</w:t>
            </w:r>
            <w:r>
              <w:rPr>
                <w:rFonts w:eastAsiaTheme="minorEastAsia"/>
                <w:color w:val="000000" w:themeColor="text1"/>
                <w:spacing w:val="-1"/>
                <w:sz w:val="22"/>
                <w:lang w:eastAsia="zh-CN"/>
                <w14:textFill>
                  <w14:solidFill>
                    <w14:schemeClr w14:val="tx1"/>
                  </w14:solidFill>
                </w14:textFill>
              </w:rPr>
              <w:t>H=8.95kPa</w:t>
            </w:r>
          </w:p>
        </w:tc>
        <w:tc>
          <w:tcPr>
            <w:tcW w:w="938" w:type="dxa"/>
          </w:tcPr>
          <w:p>
            <w:pPr>
              <w:spacing w:before="152" w:line="185" w:lineRule="auto"/>
              <w:ind w:firstLine="0" w:firstLineChars="0"/>
              <w:jc w:val="center"/>
              <w:rPr>
                <w:rFonts w:eastAsiaTheme="minorEastAsia"/>
                <w:color w:val="000000" w:themeColor="text1"/>
                <w:sz w:val="22"/>
                <w:lang w:eastAsia="en-US"/>
                <w14:textFill>
                  <w14:solidFill>
                    <w14:schemeClr w14:val="tx1"/>
                  </w14:solidFill>
                </w14:textFill>
              </w:rPr>
            </w:pPr>
            <w:r>
              <w:rPr>
                <w:rFonts w:eastAsiaTheme="minorEastAsia"/>
                <w:color w:val="000000" w:themeColor="text1"/>
                <w:sz w:val="22"/>
                <w:lang w:eastAsia="en-US"/>
                <w14:textFill>
                  <w14:solidFill>
                    <w14:schemeClr w14:val="tx1"/>
                  </w14:solidFill>
                </w14:textFill>
              </w:rPr>
              <w:t>台</w:t>
            </w:r>
          </w:p>
        </w:tc>
        <w:tc>
          <w:tcPr>
            <w:tcW w:w="873" w:type="dxa"/>
          </w:tcPr>
          <w:p>
            <w:pPr>
              <w:spacing w:before="192" w:line="180" w:lineRule="auto"/>
              <w:ind w:firstLine="0" w:firstLineChars="0"/>
              <w:jc w:val="center"/>
              <w:rPr>
                <w:rFonts w:eastAsiaTheme="minorEastAsia"/>
                <w:color w:val="000000" w:themeColor="text1"/>
                <w:sz w:val="22"/>
                <w:lang w:eastAsia="en-US"/>
                <w14:textFill>
                  <w14:solidFill>
                    <w14:schemeClr w14:val="tx1"/>
                  </w14:solidFill>
                </w14:textFill>
              </w:rPr>
            </w:pPr>
            <w:r>
              <w:rPr>
                <w:rFonts w:eastAsiaTheme="minorEastAsia"/>
                <w:color w:val="000000" w:themeColor="text1"/>
                <w:sz w:val="22"/>
                <w:lang w:eastAsia="en-US"/>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trPr>
        <w:tc>
          <w:tcPr>
            <w:tcW w:w="683" w:type="dxa"/>
          </w:tcPr>
          <w:p>
            <w:pPr>
              <w:spacing w:before="198" w:line="180" w:lineRule="auto"/>
              <w:ind w:firstLine="15" w:firstLineChars="7"/>
              <w:jc w:val="center"/>
              <w:rPr>
                <w:rFonts w:eastAsiaTheme="minorEastAsia"/>
                <w:color w:val="000000" w:themeColor="text1"/>
                <w:sz w:val="22"/>
                <w:lang w:eastAsia="en-US"/>
                <w14:textFill>
                  <w14:solidFill>
                    <w14:schemeClr w14:val="tx1"/>
                  </w14:solidFill>
                </w14:textFill>
              </w:rPr>
            </w:pPr>
            <w:r>
              <w:rPr>
                <w:rFonts w:eastAsiaTheme="minorEastAsia"/>
                <w:color w:val="000000" w:themeColor="text1"/>
                <w:sz w:val="22"/>
                <w:lang w:eastAsia="en-US"/>
                <w14:textFill>
                  <w14:solidFill>
                    <w14:schemeClr w14:val="tx1"/>
                  </w14:solidFill>
                </w14:textFill>
              </w:rPr>
              <w:t>5</w:t>
            </w:r>
          </w:p>
        </w:tc>
        <w:tc>
          <w:tcPr>
            <w:tcW w:w="2251" w:type="dxa"/>
          </w:tcPr>
          <w:p>
            <w:pPr>
              <w:spacing w:before="155" w:line="185" w:lineRule="auto"/>
              <w:ind w:firstLine="36" w:firstLineChars="17"/>
              <w:rPr>
                <w:rFonts w:eastAsiaTheme="minorEastAsia"/>
                <w:color w:val="000000" w:themeColor="text1"/>
                <w:sz w:val="22"/>
                <w:lang w:eastAsia="en-US"/>
                <w14:textFill>
                  <w14:solidFill>
                    <w14:schemeClr w14:val="tx1"/>
                  </w14:solidFill>
                </w14:textFill>
              </w:rPr>
            </w:pPr>
            <w:r>
              <w:rPr>
                <w:rFonts w:eastAsiaTheme="minorEastAsia"/>
                <w:color w:val="000000" w:themeColor="text1"/>
                <w:spacing w:val="-2"/>
                <w:sz w:val="22"/>
                <w:lang w:eastAsia="en-US"/>
                <w14:textFill>
                  <w14:solidFill>
                    <w14:schemeClr w14:val="tx1"/>
                  </w14:solidFill>
                </w14:textFill>
              </w:rPr>
              <w:t>一次送风机</w:t>
            </w:r>
          </w:p>
        </w:tc>
        <w:tc>
          <w:tcPr>
            <w:tcW w:w="3783" w:type="dxa"/>
          </w:tcPr>
          <w:p>
            <w:pPr>
              <w:spacing w:line="281" w:lineRule="exact"/>
              <w:ind w:firstLine="0" w:firstLineChars="0"/>
              <w:rPr>
                <w:rFonts w:eastAsiaTheme="minorEastAsia"/>
                <w:color w:val="000000" w:themeColor="text1"/>
                <w:sz w:val="22"/>
                <w:lang w:eastAsia="zh-CN"/>
                <w14:textFill>
                  <w14:solidFill>
                    <w14:schemeClr w14:val="tx1"/>
                  </w14:solidFill>
                </w14:textFill>
              </w:rPr>
            </w:pPr>
            <w:r>
              <w:rPr>
                <w:rFonts w:eastAsiaTheme="minorEastAsia"/>
                <w:color w:val="000000" w:themeColor="text1"/>
                <w:spacing w:val="7"/>
                <w:w w:val="103"/>
                <w:sz w:val="22"/>
                <w:lang w:eastAsia="zh-CN"/>
                <w14:textFill>
                  <w14:solidFill>
                    <w14:schemeClr w14:val="tx1"/>
                  </w14:solidFill>
                </w14:textFill>
              </w:rPr>
              <w:t>双吸双支撑离心式</w:t>
            </w:r>
            <w:r>
              <w:rPr>
                <w:rFonts w:eastAsiaTheme="minorEastAsia"/>
                <w:color w:val="000000" w:themeColor="text1"/>
                <w:spacing w:val="-16"/>
                <w:sz w:val="22"/>
                <w:lang w:eastAsia="zh-CN"/>
                <w14:textFill>
                  <w14:solidFill>
                    <w14:schemeClr w14:val="tx1"/>
                  </w14:solidFill>
                </w14:textFill>
              </w:rPr>
              <w:t xml:space="preserve"> </w:t>
            </w:r>
            <w:r>
              <w:rPr>
                <w:rFonts w:eastAsiaTheme="minorEastAsia"/>
                <w:color w:val="000000" w:themeColor="text1"/>
                <w:spacing w:val="7"/>
                <w:w w:val="103"/>
                <w:sz w:val="22"/>
                <w:lang w:eastAsia="zh-CN"/>
                <w14:textFill>
                  <w14:solidFill>
                    <w14:schemeClr w14:val="tx1"/>
                  </w14:solidFill>
                </w14:textFill>
              </w:rPr>
              <w:t>Q=303747</w:t>
            </w:r>
            <w:r>
              <w:rPr>
                <w:rFonts w:hint="eastAsia" w:eastAsiaTheme="minorEastAsia"/>
                <w:color w:val="000000" w:themeColor="text1"/>
                <w:spacing w:val="-3"/>
                <w:sz w:val="22"/>
                <w:lang w:eastAsia="zh-CN"/>
                <w14:textFill>
                  <w14:solidFill>
                    <w14:schemeClr w14:val="tx1"/>
                  </w14:solidFill>
                </w14:textFill>
              </w:rPr>
              <w:t>m³</w:t>
            </w:r>
            <w:r>
              <w:rPr>
                <w:rFonts w:eastAsiaTheme="minorEastAsia"/>
                <w:color w:val="000000" w:themeColor="text1"/>
                <w:spacing w:val="7"/>
                <w:w w:val="103"/>
                <w:sz w:val="22"/>
                <w:lang w:eastAsia="zh-CN"/>
                <w14:textFill>
                  <w14:solidFill>
                    <w14:schemeClr w14:val="tx1"/>
                  </w14:solidFill>
                </w14:textFill>
              </w:rPr>
              <w:t>/h，</w:t>
            </w:r>
          </w:p>
          <w:p>
            <w:pPr>
              <w:spacing w:before="40" w:line="164" w:lineRule="auto"/>
              <w:ind w:firstLine="0" w:firstLineChars="0"/>
              <w:rPr>
                <w:rFonts w:eastAsiaTheme="minorEastAsia"/>
                <w:color w:val="000000" w:themeColor="text1"/>
                <w:sz w:val="22"/>
                <w:lang w:eastAsia="en-US"/>
                <w14:textFill>
                  <w14:solidFill>
                    <w14:schemeClr w14:val="tx1"/>
                  </w14:solidFill>
                </w14:textFill>
              </w:rPr>
            </w:pPr>
            <w:r>
              <w:rPr>
                <w:rFonts w:eastAsiaTheme="minorEastAsia"/>
                <w:color w:val="000000" w:themeColor="text1"/>
                <w:spacing w:val="-1"/>
                <w:sz w:val="22"/>
                <w:lang w:eastAsia="en-US"/>
                <w14:textFill>
                  <w14:solidFill>
                    <w14:schemeClr w14:val="tx1"/>
                  </w14:solidFill>
                </w14:textFill>
              </w:rPr>
              <w:t>H=12.40kPa</w:t>
            </w:r>
          </w:p>
        </w:tc>
        <w:tc>
          <w:tcPr>
            <w:tcW w:w="938" w:type="dxa"/>
          </w:tcPr>
          <w:p>
            <w:pPr>
              <w:spacing w:before="155" w:line="185" w:lineRule="auto"/>
              <w:ind w:firstLine="0" w:firstLineChars="0"/>
              <w:jc w:val="center"/>
              <w:rPr>
                <w:rFonts w:eastAsiaTheme="minorEastAsia"/>
                <w:color w:val="000000" w:themeColor="text1"/>
                <w:sz w:val="22"/>
                <w:lang w:eastAsia="en-US"/>
                <w14:textFill>
                  <w14:solidFill>
                    <w14:schemeClr w14:val="tx1"/>
                  </w14:solidFill>
                </w14:textFill>
              </w:rPr>
            </w:pPr>
            <w:r>
              <w:rPr>
                <w:rFonts w:eastAsiaTheme="minorEastAsia"/>
                <w:color w:val="000000" w:themeColor="text1"/>
                <w:sz w:val="22"/>
                <w:lang w:eastAsia="en-US"/>
                <w14:textFill>
                  <w14:solidFill>
                    <w14:schemeClr w14:val="tx1"/>
                  </w14:solidFill>
                </w14:textFill>
              </w:rPr>
              <w:t>台</w:t>
            </w:r>
          </w:p>
        </w:tc>
        <w:tc>
          <w:tcPr>
            <w:tcW w:w="873" w:type="dxa"/>
          </w:tcPr>
          <w:p>
            <w:pPr>
              <w:spacing w:before="195" w:line="180" w:lineRule="auto"/>
              <w:ind w:firstLine="0" w:firstLineChars="0"/>
              <w:jc w:val="center"/>
              <w:rPr>
                <w:rFonts w:eastAsiaTheme="minorEastAsia"/>
                <w:color w:val="000000" w:themeColor="text1"/>
                <w:sz w:val="22"/>
                <w:lang w:eastAsia="en-US"/>
                <w14:textFill>
                  <w14:solidFill>
                    <w14:schemeClr w14:val="tx1"/>
                  </w14:solidFill>
                </w14:textFill>
              </w:rPr>
            </w:pPr>
            <w:r>
              <w:rPr>
                <w:rFonts w:eastAsiaTheme="minorEastAsia"/>
                <w:color w:val="000000" w:themeColor="text1"/>
                <w:sz w:val="22"/>
                <w:lang w:eastAsia="en-US"/>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trPr>
        <w:tc>
          <w:tcPr>
            <w:tcW w:w="683" w:type="dxa"/>
          </w:tcPr>
          <w:p>
            <w:pPr>
              <w:spacing w:before="198" w:line="180" w:lineRule="auto"/>
              <w:ind w:firstLine="15" w:firstLineChars="7"/>
              <w:jc w:val="center"/>
              <w:rPr>
                <w:rFonts w:eastAsiaTheme="minorEastAsia"/>
                <w:color w:val="000000" w:themeColor="text1"/>
                <w:sz w:val="22"/>
                <w:lang w:eastAsia="en-US"/>
                <w14:textFill>
                  <w14:solidFill>
                    <w14:schemeClr w14:val="tx1"/>
                  </w14:solidFill>
                </w14:textFill>
              </w:rPr>
            </w:pPr>
            <w:r>
              <w:rPr>
                <w:rFonts w:eastAsiaTheme="minorEastAsia"/>
                <w:color w:val="000000" w:themeColor="text1"/>
                <w:sz w:val="22"/>
                <w:lang w:eastAsia="en-US"/>
                <w14:textFill>
                  <w14:solidFill>
                    <w14:schemeClr w14:val="tx1"/>
                  </w14:solidFill>
                </w14:textFill>
              </w:rPr>
              <w:t>6</w:t>
            </w:r>
          </w:p>
        </w:tc>
        <w:tc>
          <w:tcPr>
            <w:tcW w:w="2251" w:type="dxa"/>
          </w:tcPr>
          <w:p>
            <w:pPr>
              <w:spacing w:before="158" w:line="185" w:lineRule="auto"/>
              <w:ind w:firstLine="36" w:firstLineChars="17"/>
              <w:rPr>
                <w:rFonts w:eastAsiaTheme="minorEastAsia"/>
                <w:color w:val="000000" w:themeColor="text1"/>
                <w:sz w:val="22"/>
                <w:lang w:eastAsia="en-US"/>
                <w14:textFill>
                  <w14:solidFill>
                    <w14:schemeClr w14:val="tx1"/>
                  </w14:solidFill>
                </w14:textFill>
              </w:rPr>
            </w:pPr>
            <w:r>
              <w:rPr>
                <w:rFonts w:eastAsiaTheme="minorEastAsia"/>
                <w:color w:val="000000" w:themeColor="text1"/>
                <w:spacing w:val="-2"/>
                <w:sz w:val="22"/>
                <w:lang w:eastAsia="en-US"/>
                <w14:textFill>
                  <w14:solidFill>
                    <w14:schemeClr w14:val="tx1"/>
                  </w14:solidFill>
                </w14:textFill>
              </w:rPr>
              <w:t>二次送风机</w:t>
            </w:r>
          </w:p>
        </w:tc>
        <w:tc>
          <w:tcPr>
            <w:tcW w:w="3783" w:type="dxa"/>
          </w:tcPr>
          <w:p>
            <w:pPr>
              <w:spacing w:line="238" w:lineRule="auto"/>
              <w:ind w:firstLine="0" w:firstLineChars="0"/>
              <w:rPr>
                <w:rFonts w:eastAsiaTheme="minorEastAsia"/>
                <w:color w:val="000000" w:themeColor="text1"/>
                <w:sz w:val="22"/>
                <w:lang w:eastAsia="zh-CN"/>
                <w14:textFill>
                  <w14:solidFill>
                    <w14:schemeClr w14:val="tx1"/>
                  </w14:solidFill>
                </w14:textFill>
              </w:rPr>
            </w:pPr>
            <w:r>
              <w:rPr>
                <w:rFonts w:eastAsiaTheme="minorEastAsia"/>
                <w:color w:val="000000" w:themeColor="text1"/>
                <w:spacing w:val="4"/>
                <w:sz w:val="22"/>
                <w:lang w:eastAsia="zh-CN"/>
                <w14:textFill>
                  <w14:solidFill>
                    <w14:schemeClr w14:val="tx1"/>
                  </w14:solidFill>
                </w14:textFill>
              </w:rPr>
              <w:t>双吸双支撑离心式</w:t>
            </w:r>
            <w:r>
              <w:rPr>
                <w:rFonts w:eastAsiaTheme="minorEastAsia"/>
                <w:color w:val="000000" w:themeColor="text1"/>
                <w:spacing w:val="-30"/>
                <w:sz w:val="22"/>
                <w:lang w:eastAsia="zh-CN"/>
                <w14:textFill>
                  <w14:solidFill>
                    <w14:schemeClr w14:val="tx1"/>
                  </w14:solidFill>
                </w14:textFill>
              </w:rPr>
              <w:t xml:space="preserve"> </w:t>
            </w:r>
            <w:r>
              <w:rPr>
                <w:rFonts w:eastAsiaTheme="minorEastAsia"/>
                <w:color w:val="000000" w:themeColor="text1"/>
                <w:spacing w:val="4"/>
                <w:sz w:val="22"/>
                <w:lang w:eastAsia="zh-CN"/>
                <w14:textFill>
                  <w14:solidFill>
                    <w14:schemeClr w14:val="tx1"/>
                  </w14:solidFill>
                </w14:textFill>
              </w:rPr>
              <w:t>Q=286389</w:t>
            </w:r>
            <w:r>
              <w:rPr>
                <w:rFonts w:hint="eastAsia" w:eastAsiaTheme="minorEastAsia"/>
                <w:color w:val="000000" w:themeColor="text1"/>
                <w:spacing w:val="-3"/>
                <w:sz w:val="22"/>
                <w:lang w:eastAsia="zh-CN"/>
                <w14:textFill>
                  <w14:solidFill>
                    <w14:schemeClr w14:val="tx1"/>
                  </w14:solidFill>
                </w14:textFill>
              </w:rPr>
              <w:t>m³</w:t>
            </w:r>
            <w:r>
              <w:rPr>
                <w:rFonts w:eastAsiaTheme="minorEastAsia"/>
                <w:color w:val="000000" w:themeColor="text1"/>
                <w:spacing w:val="4"/>
                <w:sz w:val="22"/>
                <w:lang w:eastAsia="zh-CN"/>
                <w14:textFill>
                  <w14:solidFill>
                    <w14:schemeClr w14:val="tx1"/>
                  </w14:solidFill>
                </w14:textFill>
              </w:rPr>
              <w:t>/h，</w:t>
            </w:r>
          </w:p>
          <w:p>
            <w:pPr>
              <w:spacing w:before="39" w:line="162" w:lineRule="auto"/>
              <w:ind w:firstLine="0" w:firstLineChars="0"/>
              <w:rPr>
                <w:rFonts w:eastAsiaTheme="minorEastAsia"/>
                <w:color w:val="000000" w:themeColor="text1"/>
                <w:sz w:val="22"/>
                <w:lang w:eastAsia="en-US"/>
                <w14:textFill>
                  <w14:solidFill>
                    <w14:schemeClr w14:val="tx1"/>
                  </w14:solidFill>
                </w14:textFill>
              </w:rPr>
            </w:pPr>
            <w:r>
              <w:rPr>
                <w:rFonts w:eastAsiaTheme="minorEastAsia"/>
                <w:color w:val="000000" w:themeColor="text1"/>
                <w:spacing w:val="-1"/>
                <w:sz w:val="22"/>
                <w:lang w:eastAsia="en-US"/>
                <w14:textFill>
                  <w14:solidFill>
                    <w14:schemeClr w14:val="tx1"/>
                  </w14:solidFill>
                </w14:textFill>
              </w:rPr>
              <w:t>H=18.05kPa</w:t>
            </w:r>
          </w:p>
        </w:tc>
        <w:tc>
          <w:tcPr>
            <w:tcW w:w="938" w:type="dxa"/>
          </w:tcPr>
          <w:p>
            <w:pPr>
              <w:spacing w:before="158" w:line="185" w:lineRule="auto"/>
              <w:ind w:firstLine="0" w:firstLineChars="0"/>
              <w:jc w:val="center"/>
              <w:rPr>
                <w:rFonts w:eastAsiaTheme="minorEastAsia"/>
                <w:color w:val="000000" w:themeColor="text1"/>
                <w:sz w:val="22"/>
                <w:lang w:eastAsia="en-US"/>
                <w14:textFill>
                  <w14:solidFill>
                    <w14:schemeClr w14:val="tx1"/>
                  </w14:solidFill>
                </w14:textFill>
              </w:rPr>
            </w:pPr>
            <w:r>
              <w:rPr>
                <w:rFonts w:eastAsiaTheme="minorEastAsia"/>
                <w:color w:val="000000" w:themeColor="text1"/>
                <w:sz w:val="22"/>
                <w:lang w:eastAsia="en-US"/>
                <w14:textFill>
                  <w14:solidFill>
                    <w14:schemeClr w14:val="tx1"/>
                  </w14:solidFill>
                </w14:textFill>
              </w:rPr>
              <w:t>台</w:t>
            </w:r>
          </w:p>
        </w:tc>
        <w:tc>
          <w:tcPr>
            <w:tcW w:w="873" w:type="dxa"/>
          </w:tcPr>
          <w:p>
            <w:pPr>
              <w:spacing w:before="198" w:line="180" w:lineRule="auto"/>
              <w:ind w:firstLine="0" w:firstLineChars="0"/>
              <w:jc w:val="center"/>
              <w:rPr>
                <w:rFonts w:eastAsiaTheme="minorEastAsia"/>
                <w:color w:val="000000" w:themeColor="text1"/>
                <w:sz w:val="22"/>
                <w:lang w:eastAsia="en-US"/>
                <w14:textFill>
                  <w14:solidFill>
                    <w14:schemeClr w14:val="tx1"/>
                  </w14:solidFill>
                </w14:textFill>
              </w:rPr>
            </w:pPr>
            <w:r>
              <w:rPr>
                <w:rFonts w:eastAsiaTheme="minorEastAsia"/>
                <w:color w:val="000000" w:themeColor="text1"/>
                <w:sz w:val="22"/>
                <w:lang w:eastAsia="en-US"/>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rPr>
        <w:tc>
          <w:tcPr>
            <w:tcW w:w="683" w:type="dxa"/>
          </w:tcPr>
          <w:p>
            <w:pPr>
              <w:spacing w:before="128" w:line="180" w:lineRule="auto"/>
              <w:ind w:firstLine="15" w:firstLineChars="7"/>
              <w:jc w:val="center"/>
              <w:rPr>
                <w:rFonts w:eastAsiaTheme="minorEastAsia"/>
                <w:color w:val="000000" w:themeColor="text1"/>
                <w:sz w:val="22"/>
                <w:lang w:eastAsia="en-US"/>
                <w14:textFill>
                  <w14:solidFill>
                    <w14:schemeClr w14:val="tx1"/>
                  </w14:solidFill>
                </w14:textFill>
              </w:rPr>
            </w:pPr>
            <w:r>
              <w:rPr>
                <w:rFonts w:eastAsiaTheme="minorEastAsia"/>
                <w:color w:val="000000" w:themeColor="text1"/>
                <w:sz w:val="22"/>
                <w:lang w:eastAsia="en-US"/>
                <w14:textFill>
                  <w14:solidFill>
                    <w14:schemeClr w14:val="tx1"/>
                  </w14:solidFill>
                </w14:textFill>
              </w:rPr>
              <w:t>7</w:t>
            </w:r>
          </w:p>
        </w:tc>
        <w:tc>
          <w:tcPr>
            <w:tcW w:w="2251" w:type="dxa"/>
          </w:tcPr>
          <w:p>
            <w:pPr>
              <w:spacing w:before="85" w:line="185" w:lineRule="auto"/>
              <w:ind w:firstLine="36" w:firstLineChars="17"/>
              <w:rPr>
                <w:rFonts w:eastAsiaTheme="minorEastAsia"/>
                <w:color w:val="000000" w:themeColor="text1"/>
                <w:sz w:val="22"/>
                <w:lang w:eastAsia="en-US"/>
                <w14:textFill>
                  <w14:solidFill>
                    <w14:schemeClr w14:val="tx1"/>
                  </w14:solidFill>
                </w14:textFill>
              </w:rPr>
            </w:pPr>
            <w:r>
              <w:rPr>
                <w:rFonts w:eastAsiaTheme="minorEastAsia"/>
                <w:color w:val="000000" w:themeColor="text1"/>
                <w:spacing w:val="-2"/>
                <w:sz w:val="22"/>
                <w:lang w:eastAsia="en-US"/>
                <w14:textFill>
                  <w14:solidFill>
                    <w14:schemeClr w14:val="tx1"/>
                  </w14:solidFill>
                </w14:textFill>
              </w:rPr>
              <w:t>螺杆式空压机</w:t>
            </w:r>
          </w:p>
        </w:tc>
        <w:tc>
          <w:tcPr>
            <w:tcW w:w="3783" w:type="dxa"/>
          </w:tcPr>
          <w:p>
            <w:pPr>
              <w:spacing w:before="53" w:line="242" w:lineRule="auto"/>
              <w:ind w:firstLine="0" w:firstLineChars="0"/>
              <w:rPr>
                <w:rFonts w:eastAsiaTheme="minorEastAsia"/>
                <w:color w:val="000000" w:themeColor="text1"/>
                <w:sz w:val="22"/>
                <w:lang w:eastAsia="en-US"/>
                <w14:textFill>
                  <w14:solidFill>
                    <w14:schemeClr w14:val="tx1"/>
                  </w14:solidFill>
                </w14:textFill>
              </w:rPr>
            </w:pPr>
            <w:r>
              <w:rPr>
                <w:rFonts w:eastAsiaTheme="minorEastAsia"/>
                <w:color w:val="000000" w:themeColor="text1"/>
                <w:spacing w:val="-3"/>
                <w:sz w:val="22"/>
                <w:lang w:eastAsia="en-US"/>
                <w14:textFill>
                  <w14:solidFill>
                    <w14:schemeClr w14:val="tx1"/>
                  </w14:solidFill>
                </w14:textFill>
              </w:rPr>
              <w:t>50N</w:t>
            </w:r>
            <w:r>
              <w:rPr>
                <w:rFonts w:hint="eastAsia" w:eastAsiaTheme="minorEastAsia"/>
                <w:color w:val="000000" w:themeColor="text1"/>
                <w:spacing w:val="-3"/>
                <w:sz w:val="22"/>
                <w:lang w:eastAsia="en-US"/>
                <w14:textFill>
                  <w14:solidFill>
                    <w14:schemeClr w14:val="tx1"/>
                  </w14:solidFill>
                </w14:textFill>
              </w:rPr>
              <w:t>m³</w:t>
            </w:r>
            <w:r>
              <w:rPr>
                <w:rFonts w:eastAsiaTheme="minorEastAsia"/>
                <w:color w:val="000000" w:themeColor="text1"/>
                <w:spacing w:val="-3"/>
                <w:sz w:val="22"/>
                <w:lang w:eastAsia="en-US"/>
                <w14:textFill>
                  <w14:solidFill>
                    <w14:schemeClr w14:val="tx1"/>
                  </w14:solidFill>
                </w14:textFill>
              </w:rPr>
              <w:t>/min</w:t>
            </w:r>
            <w:r>
              <w:rPr>
                <w:rFonts w:eastAsiaTheme="minorEastAsia"/>
                <w:color w:val="000000" w:themeColor="text1"/>
                <w:spacing w:val="-17"/>
                <w:sz w:val="22"/>
                <w:lang w:eastAsia="en-US"/>
                <w14:textFill>
                  <w14:solidFill>
                    <w14:schemeClr w14:val="tx1"/>
                  </w14:solidFill>
                </w14:textFill>
              </w:rPr>
              <w:t xml:space="preserve"> </w:t>
            </w:r>
            <w:r>
              <w:rPr>
                <w:rFonts w:eastAsiaTheme="minorEastAsia"/>
                <w:color w:val="000000" w:themeColor="text1"/>
                <w:spacing w:val="-3"/>
                <w:sz w:val="22"/>
                <w:lang w:eastAsia="en-US"/>
                <w14:textFill>
                  <w14:solidFill>
                    <w14:schemeClr w14:val="tx1"/>
                  </w14:solidFill>
                </w14:textFill>
              </w:rPr>
              <w:t>，0.8MPa</w:t>
            </w:r>
          </w:p>
        </w:tc>
        <w:tc>
          <w:tcPr>
            <w:tcW w:w="938" w:type="dxa"/>
          </w:tcPr>
          <w:p>
            <w:pPr>
              <w:spacing w:before="85" w:line="185" w:lineRule="auto"/>
              <w:ind w:firstLine="0" w:firstLineChars="0"/>
              <w:jc w:val="center"/>
              <w:rPr>
                <w:rFonts w:eastAsiaTheme="minorEastAsia"/>
                <w:color w:val="000000" w:themeColor="text1"/>
                <w:sz w:val="22"/>
                <w:lang w:eastAsia="en-US"/>
                <w14:textFill>
                  <w14:solidFill>
                    <w14:schemeClr w14:val="tx1"/>
                  </w14:solidFill>
                </w14:textFill>
              </w:rPr>
            </w:pPr>
            <w:r>
              <w:rPr>
                <w:rFonts w:eastAsiaTheme="minorEastAsia"/>
                <w:color w:val="000000" w:themeColor="text1"/>
                <w:sz w:val="22"/>
                <w:lang w:eastAsia="en-US"/>
                <w14:textFill>
                  <w14:solidFill>
                    <w14:schemeClr w14:val="tx1"/>
                  </w14:solidFill>
                </w14:textFill>
              </w:rPr>
              <w:t>台</w:t>
            </w:r>
          </w:p>
        </w:tc>
        <w:tc>
          <w:tcPr>
            <w:tcW w:w="873" w:type="dxa"/>
          </w:tcPr>
          <w:p>
            <w:pPr>
              <w:spacing w:before="129" w:line="180" w:lineRule="auto"/>
              <w:ind w:firstLine="0" w:firstLineChars="0"/>
              <w:jc w:val="center"/>
              <w:rPr>
                <w:rFonts w:eastAsiaTheme="minorEastAsia"/>
                <w:color w:val="000000" w:themeColor="text1"/>
                <w:sz w:val="22"/>
                <w:lang w:eastAsia="en-US"/>
                <w14:textFill>
                  <w14:solidFill>
                    <w14:schemeClr w14:val="tx1"/>
                  </w14:solidFill>
                </w14:textFill>
              </w:rPr>
            </w:pPr>
            <w:r>
              <w:rPr>
                <w:rFonts w:eastAsiaTheme="minorEastAsia"/>
                <w:color w:val="000000" w:themeColor="text1"/>
                <w:sz w:val="22"/>
                <w:lang w:eastAsia="en-US"/>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rPr>
        <w:tc>
          <w:tcPr>
            <w:tcW w:w="8528" w:type="dxa"/>
            <w:gridSpan w:val="5"/>
          </w:tcPr>
          <w:p>
            <w:pPr>
              <w:spacing w:before="87" w:line="185" w:lineRule="auto"/>
              <w:ind w:firstLine="0" w:firstLineChars="0"/>
              <w:rPr>
                <w:rFonts w:eastAsiaTheme="minorEastAsia"/>
                <w:color w:val="000000" w:themeColor="text1"/>
                <w:sz w:val="22"/>
                <w:lang w:eastAsia="en-US"/>
                <w14:textFill>
                  <w14:solidFill>
                    <w14:schemeClr w14:val="tx1"/>
                  </w14:solidFill>
                </w14:textFill>
              </w:rPr>
            </w:pPr>
            <w:r>
              <w:rPr>
                <w:rFonts w:eastAsiaTheme="minorEastAsia"/>
                <w:color w:val="000000" w:themeColor="text1"/>
                <w:spacing w:val="-2"/>
                <w:sz w:val="22"/>
                <w:lang w:eastAsia="en-US"/>
                <w14:textFill>
                  <w14:solidFill>
                    <w14:schemeClr w14:val="tx1"/>
                  </w14:solidFill>
                </w14:textFill>
              </w:rPr>
              <w:t>二、煤炭运输部分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rPr>
        <w:tc>
          <w:tcPr>
            <w:tcW w:w="683" w:type="dxa"/>
          </w:tcPr>
          <w:p>
            <w:pPr>
              <w:spacing w:before="129" w:line="180" w:lineRule="auto"/>
              <w:ind w:firstLine="0" w:firstLineChars="0"/>
              <w:jc w:val="center"/>
              <w:rPr>
                <w:rFonts w:eastAsiaTheme="minorEastAsia"/>
                <w:color w:val="000000" w:themeColor="text1"/>
                <w:sz w:val="22"/>
                <w:lang w:eastAsia="en-US"/>
                <w14:textFill>
                  <w14:solidFill>
                    <w14:schemeClr w14:val="tx1"/>
                  </w14:solidFill>
                </w14:textFill>
              </w:rPr>
            </w:pPr>
            <w:r>
              <w:rPr>
                <w:rFonts w:eastAsiaTheme="minorEastAsia"/>
                <w:color w:val="000000" w:themeColor="text1"/>
                <w:sz w:val="22"/>
                <w:lang w:eastAsia="en-US"/>
                <w14:textFill>
                  <w14:solidFill>
                    <w14:schemeClr w14:val="tx1"/>
                  </w14:solidFill>
                </w14:textFill>
              </w:rPr>
              <w:t>1</w:t>
            </w:r>
          </w:p>
        </w:tc>
        <w:tc>
          <w:tcPr>
            <w:tcW w:w="2251" w:type="dxa"/>
          </w:tcPr>
          <w:p>
            <w:pPr>
              <w:spacing w:before="98" w:line="185" w:lineRule="auto"/>
              <w:ind w:firstLine="0" w:firstLineChars="0"/>
              <w:rPr>
                <w:rFonts w:eastAsiaTheme="minorEastAsia"/>
                <w:color w:val="000000" w:themeColor="text1"/>
                <w:sz w:val="22"/>
                <w:lang w:eastAsia="en-US"/>
                <w14:textFill>
                  <w14:solidFill>
                    <w14:schemeClr w14:val="tx1"/>
                  </w14:solidFill>
                </w14:textFill>
              </w:rPr>
            </w:pPr>
            <w:r>
              <w:rPr>
                <w:rFonts w:eastAsiaTheme="minorEastAsia"/>
                <w:color w:val="000000" w:themeColor="text1"/>
                <w:spacing w:val="-2"/>
                <w:sz w:val="22"/>
                <w:lang w:eastAsia="en-US"/>
                <w14:textFill>
                  <w14:solidFill>
                    <w14:schemeClr w14:val="tx1"/>
                  </w14:solidFill>
                </w14:textFill>
              </w:rPr>
              <w:t>螺旋给煤机</w:t>
            </w:r>
          </w:p>
        </w:tc>
        <w:tc>
          <w:tcPr>
            <w:tcW w:w="3783" w:type="dxa"/>
          </w:tcPr>
          <w:p>
            <w:pPr>
              <w:spacing w:before="97" w:line="195" w:lineRule="auto"/>
              <w:ind w:firstLine="0" w:firstLineChars="0"/>
              <w:rPr>
                <w:rFonts w:eastAsiaTheme="minorEastAsia"/>
                <w:color w:val="000000" w:themeColor="text1"/>
                <w:sz w:val="22"/>
                <w:lang w:eastAsia="en-US"/>
                <w14:textFill>
                  <w14:solidFill>
                    <w14:schemeClr w14:val="tx1"/>
                  </w14:solidFill>
                </w14:textFill>
              </w:rPr>
            </w:pPr>
            <w:r>
              <w:rPr>
                <w:rFonts w:eastAsiaTheme="minorEastAsia"/>
                <w:color w:val="000000" w:themeColor="text1"/>
                <w:spacing w:val="-1"/>
                <w:sz w:val="22"/>
                <w:lang w:eastAsia="en-US"/>
                <w14:textFill>
                  <w14:solidFill>
                    <w14:schemeClr w14:val="tx1"/>
                  </w14:solidFill>
                </w14:textFill>
              </w:rPr>
              <w:t>Q=300~600t/h，变频</w:t>
            </w:r>
          </w:p>
        </w:tc>
        <w:tc>
          <w:tcPr>
            <w:tcW w:w="938" w:type="dxa"/>
          </w:tcPr>
          <w:p>
            <w:pPr>
              <w:spacing w:before="89" w:line="185" w:lineRule="auto"/>
              <w:ind w:firstLine="0" w:firstLineChars="0"/>
              <w:jc w:val="center"/>
              <w:rPr>
                <w:rFonts w:eastAsiaTheme="minorEastAsia"/>
                <w:color w:val="000000" w:themeColor="text1"/>
                <w:sz w:val="22"/>
                <w:lang w:eastAsia="en-US"/>
                <w14:textFill>
                  <w14:solidFill>
                    <w14:schemeClr w14:val="tx1"/>
                  </w14:solidFill>
                </w14:textFill>
              </w:rPr>
            </w:pPr>
            <w:r>
              <w:rPr>
                <w:rFonts w:eastAsiaTheme="minorEastAsia"/>
                <w:color w:val="000000" w:themeColor="text1"/>
                <w:sz w:val="22"/>
                <w:lang w:eastAsia="en-US"/>
                <w14:textFill>
                  <w14:solidFill>
                    <w14:schemeClr w14:val="tx1"/>
                  </w14:solidFill>
                </w14:textFill>
              </w:rPr>
              <w:t>台</w:t>
            </w:r>
          </w:p>
        </w:tc>
        <w:tc>
          <w:tcPr>
            <w:tcW w:w="873" w:type="dxa"/>
          </w:tcPr>
          <w:p>
            <w:pPr>
              <w:spacing w:before="129" w:line="180" w:lineRule="auto"/>
              <w:ind w:firstLine="0" w:firstLineChars="0"/>
              <w:jc w:val="center"/>
              <w:rPr>
                <w:rFonts w:eastAsiaTheme="minorEastAsia"/>
                <w:color w:val="000000" w:themeColor="text1"/>
                <w:sz w:val="22"/>
                <w:lang w:eastAsia="en-US"/>
                <w14:textFill>
                  <w14:solidFill>
                    <w14:schemeClr w14:val="tx1"/>
                  </w14:solidFill>
                </w14:textFill>
              </w:rPr>
            </w:pPr>
            <w:r>
              <w:rPr>
                <w:rFonts w:eastAsiaTheme="minorEastAsia"/>
                <w:color w:val="000000" w:themeColor="text1"/>
                <w:sz w:val="22"/>
                <w:lang w:eastAsia="en-US"/>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rPr>
        <w:tc>
          <w:tcPr>
            <w:tcW w:w="683" w:type="dxa"/>
          </w:tcPr>
          <w:p>
            <w:pPr>
              <w:spacing w:before="131" w:line="180" w:lineRule="auto"/>
              <w:ind w:firstLine="0" w:firstLineChars="0"/>
              <w:jc w:val="center"/>
              <w:rPr>
                <w:rFonts w:eastAsiaTheme="minorEastAsia"/>
                <w:color w:val="000000" w:themeColor="text1"/>
                <w:sz w:val="22"/>
                <w:lang w:eastAsia="en-US"/>
                <w14:textFill>
                  <w14:solidFill>
                    <w14:schemeClr w14:val="tx1"/>
                  </w14:solidFill>
                </w14:textFill>
              </w:rPr>
            </w:pPr>
            <w:r>
              <w:rPr>
                <w:rFonts w:eastAsiaTheme="minorEastAsia"/>
                <w:color w:val="000000" w:themeColor="text1"/>
                <w:sz w:val="22"/>
                <w:lang w:eastAsia="en-US"/>
                <w14:textFill>
                  <w14:solidFill>
                    <w14:schemeClr w14:val="tx1"/>
                  </w14:solidFill>
                </w14:textFill>
              </w:rPr>
              <w:t>2</w:t>
            </w:r>
          </w:p>
        </w:tc>
        <w:tc>
          <w:tcPr>
            <w:tcW w:w="2251" w:type="dxa"/>
          </w:tcPr>
          <w:p>
            <w:pPr>
              <w:spacing w:before="100" w:line="185" w:lineRule="auto"/>
              <w:ind w:firstLine="0" w:firstLineChars="0"/>
              <w:rPr>
                <w:rFonts w:eastAsiaTheme="minorEastAsia"/>
                <w:color w:val="000000" w:themeColor="text1"/>
                <w:sz w:val="22"/>
                <w:lang w:eastAsia="en-US"/>
                <w14:textFill>
                  <w14:solidFill>
                    <w14:schemeClr w14:val="tx1"/>
                  </w14:solidFill>
                </w14:textFill>
              </w:rPr>
            </w:pPr>
            <w:r>
              <w:rPr>
                <w:rFonts w:eastAsiaTheme="minorEastAsia"/>
                <w:color w:val="000000" w:themeColor="text1"/>
                <w:spacing w:val="-2"/>
                <w:sz w:val="22"/>
                <w:lang w:eastAsia="en-US"/>
                <w14:textFill>
                  <w14:solidFill>
                    <w14:schemeClr w14:val="tx1"/>
                  </w14:solidFill>
                </w14:textFill>
              </w:rPr>
              <w:t>管带输送机</w:t>
            </w:r>
          </w:p>
        </w:tc>
        <w:tc>
          <w:tcPr>
            <w:tcW w:w="3783" w:type="dxa"/>
          </w:tcPr>
          <w:p>
            <w:pPr>
              <w:spacing w:before="134" w:line="180" w:lineRule="auto"/>
              <w:ind w:firstLine="0" w:firstLineChars="0"/>
              <w:rPr>
                <w:rFonts w:eastAsiaTheme="minorEastAsia"/>
                <w:color w:val="000000" w:themeColor="text1"/>
                <w:sz w:val="22"/>
                <w:lang w:eastAsia="en-US"/>
                <w14:textFill>
                  <w14:solidFill>
                    <w14:schemeClr w14:val="tx1"/>
                  </w14:solidFill>
                </w14:textFill>
              </w:rPr>
            </w:pPr>
            <w:r>
              <w:rPr>
                <w:rFonts w:eastAsiaTheme="minorEastAsia"/>
                <w:color w:val="000000" w:themeColor="text1"/>
                <w:spacing w:val="-2"/>
                <w:sz w:val="22"/>
                <w:lang w:eastAsia="en-US"/>
                <w14:textFill>
                  <w14:solidFill>
                    <w14:schemeClr w14:val="tx1"/>
                  </w14:solidFill>
                </w14:textFill>
              </w:rPr>
              <w:t>B=1000~1400mm，V=2.5m/s</w:t>
            </w:r>
          </w:p>
        </w:tc>
        <w:tc>
          <w:tcPr>
            <w:tcW w:w="938" w:type="dxa"/>
          </w:tcPr>
          <w:p>
            <w:pPr>
              <w:spacing w:before="91" w:line="185" w:lineRule="auto"/>
              <w:ind w:firstLine="0" w:firstLineChars="0"/>
              <w:jc w:val="center"/>
              <w:rPr>
                <w:rFonts w:eastAsiaTheme="minorEastAsia"/>
                <w:color w:val="000000" w:themeColor="text1"/>
                <w:sz w:val="22"/>
                <w:lang w:eastAsia="en-US"/>
                <w14:textFill>
                  <w14:solidFill>
                    <w14:schemeClr w14:val="tx1"/>
                  </w14:solidFill>
                </w14:textFill>
              </w:rPr>
            </w:pPr>
            <w:r>
              <w:rPr>
                <w:rFonts w:eastAsiaTheme="minorEastAsia"/>
                <w:color w:val="000000" w:themeColor="text1"/>
                <w:sz w:val="22"/>
                <w:lang w:eastAsia="en-US"/>
                <w14:textFill>
                  <w14:solidFill>
                    <w14:schemeClr w14:val="tx1"/>
                  </w14:solidFill>
                </w14:textFill>
              </w:rPr>
              <w:t>套</w:t>
            </w:r>
          </w:p>
        </w:tc>
        <w:tc>
          <w:tcPr>
            <w:tcW w:w="873" w:type="dxa"/>
          </w:tcPr>
          <w:p>
            <w:pPr>
              <w:spacing w:before="131" w:line="180" w:lineRule="auto"/>
              <w:ind w:firstLine="0" w:firstLineChars="0"/>
              <w:jc w:val="center"/>
              <w:rPr>
                <w:rFonts w:eastAsiaTheme="minorEastAsia"/>
                <w:color w:val="000000" w:themeColor="text1"/>
                <w:sz w:val="22"/>
                <w:lang w:eastAsia="en-US"/>
                <w14:textFill>
                  <w14:solidFill>
                    <w14:schemeClr w14:val="tx1"/>
                  </w14:solidFill>
                </w14:textFill>
              </w:rPr>
            </w:pPr>
            <w:r>
              <w:rPr>
                <w:rFonts w:eastAsiaTheme="minorEastAsia"/>
                <w:color w:val="000000" w:themeColor="text1"/>
                <w:spacing w:val="-7"/>
                <w:sz w:val="22"/>
                <w:lang w:eastAsia="en-US"/>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atLeast"/>
        </w:trPr>
        <w:tc>
          <w:tcPr>
            <w:tcW w:w="683" w:type="dxa"/>
          </w:tcPr>
          <w:p>
            <w:pPr>
              <w:spacing w:before="69" w:line="195" w:lineRule="auto"/>
              <w:ind w:firstLine="0" w:firstLineChars="0"/>
              <w:jc w:val="center"/>
              <w:rPr>
                <w:rFonts w:eastAsiaTheme="minorEastAsia"/>
                <w:color w:val="000000" w:themeColor="text1"/>
                <w:spacing w:val="-4"/>
                <w:sz w:val="22"/>
                <w:lang w:eastAsia="en-US"/>
                <w14:textFill>
                  <w14:solidFill>
                    <w14:schemeClr w14:val="tx1"/>
                  </w14:solidFill>
                </w14:textFill>
              </w:rPr>
            </w:pPr>
            <w:r>
              <w:rPr>
                <w:rFonts w:eastAsiaTheme="minorEastAsia"/>
                <w:color w:val="000000" w:themeColor="text1"/>
                <w:spacing w:val="-4"/>
                <w:sz w:val="22"/>
                <w:lang w:eastAsia="en-US"/>
                <w14:textFill>
                  <w14:solidFill>
                    <w14:schemeClr w14:val="tx1"/>
                  </w14:solidFill>
                </w14:textFill>
              </w:rPr>
              <w:t>3</w:t>
            </w:r>
          </w:p>
        </w:tc>
        <w:tc>
          <w:tcPr>
            <w:tcW w:w="2251" w:type="dxa"/>
          </w:tcPr>
          <w:p>
            <w:pPr>
              <w:spacing w:before="69" w:line="195" w:lineRule="auto"/>
              <w:ind w:firstLine="0" w:firstLineChars="0"/>
              <w:rPr>
                <w:rFonts w:eastAsiaTheme="minorEastAsia"/>
                <w:color w:val="000000" w:themeColor="text1"/>
                <w:spacing w:val="-4"/>
                <w:sz w:val="22"/>
                <w:lang w:eastAsia="en-US"/>
                <w14:textFill>
                  <w14:solidFill>
                    <w14:schemeClr w14:val="tx1"/>
                  </w14:solidFill>
                </w14:textFill>
              </w:rPr>
            </w:pPr>
            <w:r>
              <w:rPr>
                <w:rFonts w:eastAsiaTheme="minorEastAsia"/>
                <w:color w:val="000000" w:themeColor="text1"/>
                <w:spacing w:val="-4"/>
                <w:sz w:val="22"/>
                <w:lang w:eastAsia="en-US"/>
                <w14:textFill>
                  <w14:solidFill>
                    <w14:schemeClr w14:val="tx1"/>
                  </w14:solidFill>
                </w14:textFill>
              </w:rPr>
              <w:t>重型环锤破碎机</w:t>
            </w:r>
          </w:p>
        </w:tc>
        <w:tc>
          <w:tcPr>
            <w:tcW w:w="3783" w:type="dxa"/>
          </w:tcPr>
          <w:p>
            <w:pPr>
              <w:spacing w:before="69" w:line="195" w:lineRule="auto"/>
              <w:ind w:firstLine="0" w:firstLineChars="0"/>
              <w:rPr>
                <w:rFonts w:eastAsiaTheme="minorEastAsia"/>
                <w:color w:val="000000" w:themeColor="text1"/>
                <w:spacing w:val="-4"/>
                <w:sz w:val="22"/>
                <w:lang w:eastAsia="en-US"/>
                <w14:textFill>
                  <w14:solidFill>
                    <w14:schemeClr w14:val="tx1"/>
                  </w14:solidFill>
                </w14:textFill>
              </w:rPr>
            </w:pPr>
            <w:r>
              <w:rPr>
                <w:rFonts w:eastAsiaTheme="minorEastAsia"/>
                <w:color w:val="000000" w:themeColor="text1"/>
                <w:spacing w:val="-4"/>
                <w:sz w:val="22"/>
                <w:lang w:eastAsia="en-US"/>
                <w14:textFill>
                  <w14:solidFill>
                    <w14:schemeClr w14:val="tx1"/>
                  </w14:solidFill>
                </w14:textFill>
              </w:rPr>
              <w:t>Q=400t/h，进料粒度 ≤300mm，出料 ≤30mm</w:t>
            </w:r>
          </w:p>
        </w:tc>
        <w:tc>
          <w:tcPr>
            <w:tcW w:w="938" w:type="dxa"/>
          </w:tcPr>
          <w:p>
            <w:pPr>
              <w:spacing w:before="69" w:line="195" w:lineRule="auto"/>
              <w:ind w:firstLine="0" w:firstLineChars="0"/>
              <w:rPr>
                <w:rFonts w:eastAsiaTheme="minorEastAsia"/>
                <w:color w:val="000000" w:themeColor="text1"/>
                <w:spacing w:val="-4"/>
                <w:sz w:val="22"/>
                <w:lang w:eastAsia="en-US"/>
                <w14:textFill>
                  <w14:solidFill>
                    <w14:schemeClr w14:val="tx1"/>
                  </w14:solidFill>
                </w14:textFill>
              </w:rPr>
            </w:pPr>
            <w:r>
              <w:rPr>
                <w:rFonts w:eastAsiaTheme="minorEastAsia"/>
                <w:color w:val="000000" w:themeColor="text1"/>
                <w:spacing w:val="-4"/>
                <w:sz w:val="22"/>
                <w:lang w:eastAsia="en-US"/>
                <w14:textFill>
                  <w14:solidFill>
                    <w14:schemeClr w14:val="tx1"/>
                  </w14:solidFill>
                </w14:textFill>
              </w:rPr>
              <w:t>台</w:t>
            </w:r>
          </w:p>
        </w:tc>
        <w:tc>
          <w:tcPr>
            <w:tcW w:w="873" w:type="dxa"/>
          </w:tcPr>
          <w:p>
            <w:pPr>
              <w:spacing w:before="69" w:line="195" w:lineRule="auto"/>
              <w:ind w:firstLine="0" w:firstLineChars="0"/>
              <w:jc w:val="center"/>
              <w:rPr>
                <w:rFonts w:eastAsiaTheme="minorEastAsia"/>
                <w:color w:val="000000" w:themeColor="text1"/>
                <w:spacing w:val="-4"/>
                <w:sz w:val="22"/>
                <w:lang w:eastAsia="en-US"/>
                <w14:textFill>
                  <w14:solidFill>
                    <w14:schemeClr w14:val="tx1"/>
                  </w14:solidFill>
                </w14:textFill>
              </w:rPr>
            </w:pPr>
            <w:r>
              <w:rPr>
                <w:rFonts w:eastAsiaTheme="minorEastAsia"/>
                <w:color w:val="000000" w:themeColor="text1"/>
                <w:spacing w:val="-4"/>
                <w:sz w:val="22"/>
                <w:lang w:eastAsia="en-US"/>
                <w14:textFill>
                  <w14:solidFill>
                    <w14:schemeClr w14:val="tx1"/>
                  </w14:solidFill>
                </w14:textFill>
              </w:rPr>
              <w:t>2</w:t>
            </w:r>
          </w:p>
        </w:tc>
      </w:tr>
    </w:tbl>
    <w:tbl>
      <w:tblPr>
        <w:tblStyle w:val="205"/>
        <w:tblW w:w="8528"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3"/>
        <w:gridCol w:w="2251"/>
        <w:gridCol w:w="3783"/>
        <w:gridCol w:w="938"/>
        <w:gridCol w:w="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683" w:type="dxa"/>
          </w:tcPr>
          <w:p>
            <w:pPr>
              <w:spacing w:before="69" w:line="195" w:lineRule="auto"/>
              <w:ind w:firstLine="0" w:firstLineChars="0"/>
              <w:jc w:val="center"/>
              <w:rPr>
                <w:rFonts w:cs="Arial" w:eastAsiaTheme="minorEastAsia"/>
                <w:snapToGrid w:val="0"/>
                <w:color w:val="000000" w:themeColor="text1"/>
                <w:spacing w:val="-4"/>
                <w:sz w:val="22"/>
                <w14:textFill>
                  <w14:solidFill>
                    <w14:schemeClr w14:val="tx1"/>
                  </w14:solidFill>
                </w14:textFill>
              </w:rPr>
            </w:pPr>
            <w:r>
              <w:rPr>
                <w:rFonts w:cs="Arial" w:eastAsiaTheme="minorEastAsia"/>
                <w:snapToGrid w:val="0"/>
                <w:color w:val="000000" w:themeColor="text1"/>
                <w:spacing w:val="-4"/>
                <w:sz w:val="22"/>
                <w14:textFill>
                  <w14:solidFill>
                    <w14:schemeClr w14:val="tx1"/>
                  </w14:solidFill>
                </w14:textFill>
              </w:rPr>
              <w:t>4</w:t>
            </w:r>
          </w:p>
        </w:tc>
        <w:tc>
          <w:tcPr>
            <w:tcW w:w="2251" w:type="dxa"/>
          </w:tcPr>
          <w:p>
            <w:pPr>
              <w:spacing w:before="69" w:line="195" w:lineRule="auto"/>
              <w:ind w:firstLine="0" w:firstLineChars="0"/>
              <w:rPr>
                <w:rFonts w:cs="Arial" w:eastAsiaTheme="minorEastAsia"/>
                <w:snapToGrid w:val="0"/>
                <w:color w:val="000000" w:themeColor="text1"/>
                <w:spacing w:val="-4"/>
                <w:sz w:val="22"/>
                <w14:textFill>
                  <w14:solidFill>
                    <w14:schemeClr w14:val="tx1"/>
                  </w14:solidFill>
                </w14:textFill>
              </w:rPr>
            </w:pPr>
            <w:r>
              <w:rPr>
                <w:rFonts w:cs="Arial" w:eastAsiaTheme="minorEastAsia"/>
                <w:snapToGrid w:val="0"/>
                <w:color w:val="000000" w:themeColor="text1"/>
                <w:spacing w:val="-4"/>
                <w:sz w:val="22"/>
                <w14:textFill>
                  <w14:solidFill>
                    <w14:schemeClr w14:val="tx1"/>
                  </w14:solidFill>
                </w14:textFill>
              </w:rPr>
              <w:t>可逆锤击细碎机</w:t>
            </w:r>
          </w:p>
        </w:tc>
        <w:tc>
          <w:tcPr>
            <w:tcW w:w="3783" w:type="dxa"/>
          </w:tcPr>
          <w:p>
            <w:pPr>
              <w:spacing w:before="69" w:line="195" w:lineRule="auto"/>
              <w:ind w:firstLine="0" w:firstLineChars="0"/>
              <w:rPr>
                <w:rFonts w:cs="Arial" w:eastAsiaTheme="minorEastAsia"/>
                <w:snapToGrid w:val="0"/>
                <w:color w:val="000000" w:themeColor="text1"/>
                <w:spacing w:val="-4"/>
                <w:sz w:val="22"/>
                <w14:textFill>
                  <w14:solidFill>
                    <w14:schemeClr w14:val="tx1"/>
                  </w14:solidFill>
                </w14:textFill>
              </w:rPr>
            </w:pPr>
            <w:r>
              <w:rPr>
                <w:rFonts w:cs="Arial" w:eastAsiaTheme="minorEastAsia"/>
                <w:snapToGrid w:val="0"/>
                <w:color w:val="000000" w:themeColor="text1"/>
                <w:spacing w:val="-4"/>
                <w:sz w:val="22"/>
                <w14:textFill>
                  <w14:solidFill>
                    <w14:schemeClr w14:val="tx1"/>
                  </w14:solidFill>
                </w14:textFill>
              </w:rPr>
              <w:t>Q=400t/h，进料粒度≤50mm；出料≤10mm</w:t>
            </w:r>
          </w:p>
        </w:tc>
        <w:tc>
          <w:tcPr>
            <w:tcW w:w="938" w:type="dxa"/>
          </w:tcPr>
          <w:p>
            <w:pPr>
              <w:spacing w:before="69" w:line="195" w:lineRule="auto"/>
              <w:ind w:firstLine="0" w:firstLineChars="0"/>
              <w:rPr>
                <w:rFonts w:cs="Arial" w:eastAsiaTheme="minorEastAsia"/>
                <w:snapToGrid w:val="0"/>
                <w:color w:val="000000" w:themeColor="text1"/>
                <w:spacing w:val="-4"/>
                <w:sz w:val="22"/>
                <w14:textFill>
                  <w14:solidFill>
                    <w14:schemeClr w14:val="tx1"/>
                  </w14:solidFill>
                </w14:textFill>
              </w:rPr>
            </w:pPr>
            <w:r>
              <w:rPr>
                <w:rFonts w:cs="Arial" w:eastAsiaTheme="minorEastAsia"/>
                <w:snapToGrid w:val="0"/>
                <w:color w:val="000000" w:themeColor="text1"/>
                <w:spacing w:val="-4"/>
                <w:sz w:val="22"/>
                <w14:textFill>
                  <w14:solidFill>
                    <w14:schemeClr w14:val="tx1"/>
                  </w14:solidFill>
                </w14:textFill>
              </w:rPr>
              <w:t>台</w:t>
            </w:r>
          </w:p>
        </w:tc>
        <w:tc>
          <w:tcPr>
            <w:tcW w:w="873" w:type="dxa"/>
          </w:tcPr>
          <w:p>
            <w:pPr>
              <w:spacing w:before="69" w:line="195" w:lineRule="auto"/>
              <w:ind w:firstLine="0" w:firstLineChars="0"/>
              <w:jc w:val="center"/>
              <w:rPr>
                <w:rFonts w:cs="Arial" w:eastAsiaTheme="minorEastAsia"/>
                <w:snapToGrid w:val="0"/>
                <w:color w:val="000000" w:themeColor="text1"/>
                <w:spacing w:val="-4"/>
                <w:sz w:val="22"/>
                <w14:textFill>
                  <w14:solidFill>
                    <w14:schemeClr w14:val="tx1"/>
                  </w14:solidFill>
                </w14:textFill>
              </w:rPr>
            </w:pPr>
            <w:r>
              <w:rPr>
                <w:rFonts w:cs="Arial" w:eastAsiaTheme="minorEastAsia"/>
                <w:snapToGrid w:val="0"/>
                <w:color w:val="000000" w:themeColor="text1"/>
                <w:spacing w:val="-4"/>
                <w:sz w:val="22"/>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rPr>
        <w:tc>
          <w:tcPr>
            <w:tcW w:w="683" w:type="dxa"/>
          </w:tcPr>
          <w:p>
            <w:pPr>
              <w:spacing w:before="113" w:line="18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5</w:t>
            </w:r>
          </w:p>
        </w:tc>
        <w:tc>
          <w:tcPr>
            <w:tcW w:w="2251" w:type="dxa"/>
          </w:tcPr>
          <w:p>
            <w:pPr>
              <w:spacing w:before="69" w:line="185" w:lineRule="auto"/>
              <w:ind w:firstLine="0" w:firstLineChars="0"/>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齿辊式碎煤机</w:t>
            </w:r>
          </w:p>
        </w:tc>
        <w:tc>
          <w:tcPr>
            <w:tcW w:w="3783" w:type="dxa"/>
          </w:tcPr>
          <w:p>
            <w:pPr>
              <w:spacing w:before="69" w:line="195" w:lineRule="auto"/>
              <w:ind w:firstLine="0" w:firstLineChars="0"/>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4"/>
                <w:sz w:val="22"/>
                <w14:textFill>
                  <w14:solidFill>
                    <w14:schemeClr w14:val="tx1"/>
                  </w14:solidFill>
                </w14:textFill>
              </w:rPr>
              <w:t>Q=400t/h，入料</w:t>
            </w:r>
            <w:r>
              <w:rPr>
                <w:rFonts w:cs="Arial" w:eastAsiaTheme="minorEastAsia"/>
                <w:snapToGrid w:val="0"/>
                <w:color w:val="000000" w:themeColor="text1"/>
                <w:spacing w:val="-46"/>
                <w:sz w:val="22"/>
                <w14:textFill>
                  <w14:solidFill>
                    <w14:schemeClr w14:val="tx1"/>
                  </w14:solidFill>
                </w14:textFill>
              </w:rPr>
              <w:t xml:space="preserve"> </w:t>
            </w:r>
            <w:r>
              <w:rPr>
                <w:rFonts w:cs="Arial" w:eastAsiaTheme="minorEastAsia"/>
                <w:snapToGrid w:val="0"/>
                <w:color w:val="000000" w:themeColor="text1"/>
                <w:spacing w:val="-4"/>
                <w:sz w:val="22"/>
                <w14:textFill>
                  <w14:solidFill>
                    <w14:schemeClr w14:val="tx1"/>
                  </w14:solidFill>
                </w14:textFill>
              </w:rPr>
              <w:t>30mm</w:t>
            </w:r>
            <w:r>
              <w:rPr>
                <w:rFonts w:cs="Arial" w:eastAsiaTheme="minorEastAsia"/>
                <w:snapToGrid w:val="0"/>
                <w:color w:val="000000" w:themeColor="text1"/>
                <w:spacing w:val="-31"/>
                <w:sz w:val="22"/>
                <w14:textFill>
                  <w14:solidFill>
                    <w14:schemeClr w14:val="tx1"/>
                  </w14:solidFill>
                </w14:textFill>
              </w:rPr>
              <w:t xml:space="preserve"> </w:t>
            </w:r>
            <w:r>
              <w:rPr>
                <w:rFonts w:cs="Arial" w:eastAsiaTheme="minorEastAsia"/>
                <w:snapToGrid w:val="0"/>
                <w:color w:val="000000" w:themeColor="text1"/>
                <w:spacing w:val="-4"/>
                <w:sz w:val="22"/>
                <w14:textFill>
                  <w14:solidFill>
                    <w14:schemeClr w14:val="tx1"/>
                  </w14:solidFill>
                </w14:textFill>
              </w:rPr>
              <w:t>，出料</w:t>
            </w:r>
            <w:r>
              <w:rPr>
                <w:rFonts w:cs="Arial" w:eastAsiaTheme="minorEastAsia"/>
                <w:snapToGrid w:val="0"/>
                <w:color w:val="000000" w:themeColor="text1"/>
                <w:spacing w:val="-29"/>
                <w:sz w:val="22"/>
                <w14:textFill>
                  <w14:solidFill>
                    <w14:schemeClr w14:val="tx1"/>
                  </w14:solidFill>
                </w14:textFill>
              </w:rPr>
              <w:t xml:space="preserve"> </w:t>
            </w:r>
            <w:r>
              <w:rPr>
                <w:rFonts w:cs="Arial" w:eastAsiaTheme="minorEastAsia"/>
                <w:snapToGrid w:val="0"/>
                <w:color w:val="000000" w:themeColor="text1"/>
                <w:spacing w:val="-4"/>
                <w:sz w:val="22"/>
                <w14:textFill>
                  <w14:solidFill>
                    <w14:schemeClr w14:val="tx1"/>
                  </w14:solidFill>
                </w14:textFill>
              </w:rPr>
              <w:t>10mm</w:t>
            </w:r>
          </w:p>
        </w:tc>
        <w:tc>
          <w:tcPr>
            <w:tcW w:w="938" w:type="dxa"/>
          </w:tcPr>
          <w:p>
            <w:pPr>
              <w:spacing w:before="69" w:line="185"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套</w:t>
            </w:r>
          </w:p>
        </w:tc>
        <w:tc>
          <w:tcPr>
            <w:tcW w:w="873" w:type="dxa"/>
          </w:tcPr>
          <w:p>
            <w:pPr>
              <w:spacing w:before="109" w:line="18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rPr>
        <w:tc>
          <w:tcPr>
            <w:tcW w:w="683" w:type="dxa"/>
          </w:tcPr>
          <w:p>
            <w:pPr>
              <w:spacing w:before="112" w:line="18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6</w:t>
            </w:r>
          </w:p>
        </w:tc>
        <w:tc>
          <w:tcPr>
            <w:tcW w:w="2251" w:type="dxa"/>
          </w:tcPr>
          <w:p>
            <w:pPr>
              <w:spacing w:before="71" w:line="185" w:lineRule="auto"/>
              <w:ind w:firstLine="0" w:firstLineChars="0"/>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3"/>
                <w:sz w:val="22"/>
                <w14:textFill>
                  <w14:solidFill>
                    <w14:schemeClr w14:val="tx1"/>
                  </w14:solidFill>
                </w14:textFill>
              </w:rPr>
              <w:t>正弦滚轴筛</w:t>
            </w:r>
          </w:p>
        </w:tc>
        <w:tc>
          <w:tcPr>
            <w:tcW w:w="3783" w:type="dxa"/>
          </w:tcPr>
          <w:p>
            <w:pPr>
              <w:spacing w:before="114" w:line="186" w:lineRule="auto"/>
              <w:ind w:firstLine="0" w:firstLineChars="0"/>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1"/>
                <w:sz w:val="22"/>
                <w14:textFill>
                  <w14:solidFill>
                    <w14:schemeClr w14:val="tx1"/>
                  </w14:solidFill>
                </w14:textFill>
              </w:rPr>
              <w:t>Q=600t/h</w:t>
            </w:r>
          </w:p>
        </w:tc>
        <w:tc>
          <w:tcPr>
            <w:tcW w:w="938" w:type="dxa"/>
          </w:tcPr>
          <w:p>
            <w:pPr>
              <w:spacing w:before="71" w:line="185"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台</w:t>
            </w:r>
          </w:p>
        </w:tc>
        <w:tc>
          <w:tcPr>
            <w:tcW w:w="873" w:type="dxa"/>
          </w:tcPr>
          <w:p>
            <w:pPr>
              <w:spacing w:before="111" w:line="18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rPr>
        <w:tc>
          <w:tcPr>
            <w:tcW w:w="8528" w:type="dxa"/>
            <w:gridSpan w:val="5"/>
          </w:tcPr>
          <w:p>
            <w:pPr>
              <w:spacing w:before="73" w:line="185" w:lineRule="auto"/>
              <w:ind w:firstLine="0" w:firstLineChars="0"/>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三、除渣系统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rPr>
        <w:tc>
          <w:tcPr>
            <w:tcW w:w="683" w:type="dxa"/>
          </w:tcPr>
          <w:p>
            <w:pPr>
              <w:spacing w:before="115" w:line="18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1</w:t>
            </w:r>
          </w:p>
        </w:tc>
        <w:tc>
          <w:tcPr>
            <w:tcW w:w="2251" w:type="dxa"/>
          </w:tcPr>
          <w:p>
            <w:pPr>
              <w:spacing w:before="84" w:line="185" w:lineRule="auto"/>
              <w:ind w:firstLine="0" w:firstLineChars="0"/>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3"/>
                <w:sz w:val="22"/>
                <w14:textFill>
                  <w14:solidFill>
                    <w14:schemeClr w14:val="tx1"/>
                  </w14:solidFill>
                </w14:textFill>
              </w:rPr>
              <w:t>冷渣机</w:t>
            </w:r>
          </w:p>
        </w:tc>
        <w:tc>
          <w:tcPr>
            <w:tcW w:w="3783" w:type="dxa"/>
          </w:tcPr>
          <w:p>
            <w:pPr>
              <w:spacing w:before="118" w:line="186" w:lineRule="auto"/>
              <w:ind w:firstLine="0" w:firstLineChars="0"/>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1"/>
                <w:sz w:val="22"/>
                <w14:textFill>
                  <w14:solidFill>
                    <w14:schemeClr w14:val="tx1"/>
                  </w14:solidFill>
                </w14:textFill>
              </w:rPr>
              <w:t>Q=25t/h</w:t>
            </w:r>
          </w:p>
        </w:tc>
        <w:tc>
          <w:tcPr>
            <w:tcW w:w="938" w:type="dxa"/>
          </w:tcPr>
          <w:p>
            <w:pPr>
              <w:spacing w:before="75" w:line="185"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台</w:t>
            </w:r>
          </w:p>
        </w:tc>
        <w:tc>
          <w:tcPr>
            <w:tcW w:w="873" w:type="dxa"/>
          </w:tcPr>
          <w:p>
            <w:pPr>
              <w:spacing w:before="116" w:line="18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trPr>
        <w:tc>
          <w:tcPr>
            <w:tcW w:w="683" w:type="dxa"/>
          </w:tcPr>
          <w:p>
            <w:pPr>
              <w:spacing w:before="117" w:line="18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2</w:t>
            </w:r>
          </w:p>
        </w:tc>
        <w:tc>
          <w:tcPr>
            <w:tcW w:w="2251" w:type="dxa"/>
          </w:tcPr>
          <w:p>
            <w:pPr>
              <w:spacing w:before="86" w:line="185" w:lineRule="auto"/>
              <w:ind w:firstLine="0" w:firstLineChars="0"/>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链斗输送机</w:t>
            </w:r>
          </w:p>
        </w:tc>
        <w:tc>
          <w:tcPr>
            <w:tcW w:w="3783" w:type="dxa"/>
          </w:tcPr>
          <w:p>
            <w:pPr>
              <w:spacing w:before="55" w:line="242" w:lineRule="auto"/>
              <w:ind w:firstLine="0" w:firstLineChars="0"/>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3"/>
                <w:sz w:val="22"/>
                <w14:textFill>
                  <w14:solidFill>
                    <w14:schemeClr w14:val="tx1"/>
                  </w14:solidFill>
                </w14:textFill>
              </w:rPr>
              <w:t>出力:150t/h</w:t>
            </w:r>
            <w:r>
              <w:rPr>
                <w:rFonts w:hint="eastAsia" w:cs="Arial" w:eastAsiaTheme="minorEastAsia"/>
                <w:snapToGrid w:val="0"/>
                <w:color w:val="000000" w:themeColor="text1"/>
                <w:spacing w:val="-3"/>
                <w:sz w:val="22"/>
                <w14:textFill>
                  <w14:solidFill>
                    <w14:schemeClr w14:val="tx1"/>
                  </w14:solidFill>
                </w14:textFill>
              </w:rPr>
              <w:t>，</w:t>
            </w:r>
            <w:r>
              <w:rPr>
                <w:rFonts w:cs="Arial" w:eastAsiaTheme="minorEastAsia"/>
                <w:snapToGrid w:val="0"/>
                <w:color w:val="000000" w:themeColor="text1"/>
                <w:spacing w:val="-3"/>
                <w:sz w:val="22"/>
                <w14:textFill>
                  <w14:solidFill>
                    <w14:schemeClr w14:val="tx1"/>
                  </w14:solidFill>
                </w14:textFill>
              </w:rPr>
              <w:t>斗宽</w:t>
            </w:r>
            <w:r>
              <w:rPr>
                <w:rFonts w:cs="Arial" w:eastAsiaTheme="minorEastAsia"/>
                <w:snapToGrid w:val="0"/>
                <w:color w:val="000000" w:themeColor="text1"/>
                <w:spacing w:val="-9"/>
                <w:sz w:val="22"/>
                <w14:textFill>
                  <w14:solidFill>
                    <w14:schemeClr w14:val="tx1"/>
                  </w14:solidFill>
                </w14:textFill>
              </w:rPr>
              <w:t xml:space="preserve"> </w:t>
            </w:r>
            <w:r>
              <w:rPr>
                <w:rFonts w:cs="Arial" w:eastAsiaTheme="minorEastAsia"/>
                <w:snapToGrid w:val="0"/>
                <w:color w:val="000000" w:themeColor="text1"/>
                <w:spacing w:val="-3"/>
                <w:sz w:val="22"/>
                <w14:textFill>
                  <w14:solidFill>
                    <w14:schemeClr w14:val="tx1"/>
                  </w14:solidFill>
                </w14:textFill>
              </w:rPr>
              <w:t>1000mm,长约</w:t>
            </w:r>
            <w:r>
              <w:rPr>
                <w:rFonts w:cs="Arial" w:eastAsiaTheme="minorEastAsia"/>
                <w:snapToGrid w:val="0"/>
                <w:color w:val="000000" w:themeColor="text1"/>
                <w:spacing w:val="-49"/>
                <w:sz w:val="22"/>
                <w14:textFill>
                  <w14:solidFill>
                    <w14:schemeClr w14:val="tx1"/>
                  </w14:solidFill>
                </w14:textFill>
              </w:rPr>
              <w:t xml:space="preserve"> </w:t>
            </w:r>
            <w:r>
              <w:rPr>
                <w:rFonts w:cs="Arial" w:eastAsiaTheme="minorEastAsia"/>
                <w:snapToGrid w:val="0"/>
                <w:color w:val="000000" w:themeColor="text1"/>
                <w:spacing w:val="-3"/>
                <w:sz w:val="22"/>
                <w14:textFill>
                  <w14:solidFill>
                    <w14:schemeClr w14:val="tx1"/>
                  </w14:solidFill>
                </w14:textFill>
              </w:rPr>
              <w:t>45m</w:t>
            </w:r>
          </w:p>
        </w:tc>
        <w:tc>
          <w:tcPr>
            <w:tcW w:w="938" w:type="dxa"/>
          </w:tcPr>
          <w:p>
            <w:pPr>
              <w:spacing w:before="77" w:line="185"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台</w:t>
            </w:r>
          </w:p>
        </w:tc>
        <w:tc>
          <w:tcPr>
            <w:tcW w:w="873" w:type="dxa"/>
          </w:tcPr>
          <w:p>
            <w:pPr>
              <w:spacing w:before="117" w:line="18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trPr>
        <w:tc>
          <w:tcPr>
            <w:tcW w:w="683" w:type="dxa"/>
          </w:tcPr>
          <w:p>
            <w:pPr>
              <w:spacing w:before="119" w:line="18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3</w:t>
            </w:r>
          </w:p>
        </w:tc>
        <w:tc>
          <w:tcPr>
            <w:tcW w:w="2251" w:type="dxa"/>
          </w:tcPr>
          <w:p>
            <w:pPr>
              <w:spacing w:before="87" w:line="185" w:lineRule="auto"/>
              <w:ind w:firstLine="0" w:firstLineChars="0"/>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3"/>
                <w:sz w:val="22"/>
                <w14:textFill>
                  <w14:solidFill>
                    <w14:schemeClr w14:val="tx1"/>
                  </w14:solidFill>
                </w14:textFill>
              </w:rPr>
              <w:t>斗式提升机</w:t>
            </w:r>
          </w:p>
        </w:tc>
        <w:tc>
          <w:tcPr>
            <w:tcW w:w="3783" w:type="dxa"/>
          </w:tcPr>
          <w:p>
            <w:pPr>
              <w:spacing w:before="56" w:line="242" w:lineRule="auto"/>
              <w:ind w:firstLine="0" w:firstLineChars="0"/>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3"/>
                <w:sz w:val="22"/>
                <w14:textFill>
                  <w14:solidFill>
                    <w14:schemeClr w14:val="tx1"/>
                  </w14:solidFill>
                </w14:textFill>
              </w:rPr>
              <w:t>出力:150t/h</w:t>
            </w:r>
            <w:r>
              <w:rPr>
                <w:rFonts w:hint="eastAsia" w:cs="Arial" w:eastAsiaTheme="minorEastAsia"/>
                <w:snapToGrid w:val="0"/>
                <w:color w:val="000000" w:themeColor="text1"/>
                <w:spacing w:val="-3"/>
                <w:sz w:val="22"/>
                <w14:textFill>
                  <w14:solidFill>
                    <w14:schemeClr w14:val="tx1"/>
                  </w14:solidFill>
                </w14:textFill>
              </w:rPr>
              <w:t>，</w:t>
            </w:r>
            <w:r>
              <w:rPr>
                <w:rFonts w:cs="Arial" w:eastAsiaTheme="minorEastAsia"/>
                <w:snapToGrid w:val="0"/>
                <w:color w:val="000000" w:themeColor="text1"/>
                <w:spacing w:val="-3"/>
                <w:sz w:val="22"/>
                <w14:textFill>
                  <w14:solidFill>
                    <w14:schemeClr w14:val="tx1"/>
                  </w14:solidFill>
                </w14:textFill>
              </w:rPr>
              <w:t>高约</w:t>
            </w:r>
            <w:r>
              <w:rPr>
                <w:rFonts w:cs="Arial" w:eastAsiaTheme="minorEastAsia"/>
                <w:snapToGrid w:val="0"/>
                <w:color w:val="000000" w:themeColor="text1"/>
                <w:spacing w:val="-30"/>
                <w:sz w:val="22"/>
                <w14:textFill>
                  <w14:solidFill>
                    <w14:schemeClr w14:val="tx1"/>
                  </w14:solidFill>
                </w14:textFill>
              </w:rPr>
              <w:t xml:space="preserve"> </w:t>
            </w:r>
            <w:r>
              <w:rPr>
                <w:rFonts w:cs="Arial" w:eastAsiaTheme="minorEastAsia"/>
                <w:snapToGrid w:val="0"/>
                <w:color w:val="000000" w:themeColor="text1"/>
                <w:spacing w:val="-3"/>
                <w:sz w:val="22"/>
                <w14:textFill>
                  <w14:solidFill>
                    <w14:schemeClr w14:val="tx1"/>
                  </w14:solidFill>
                </w14:textFill>
              </w:rPr>
              <w:t>32m</w:t>
            </w:r>
          </w:p>
        </w:tc>
        <w:tc>
          <w:tcPr>
            <w:tcW w:w="938" w:type="dxa"/>
          </w:tcPr>
          <w:p>
            <w:pPr>
              <w:spacing w:before="78" w:line="185"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台</w:t>
            </w:r>
          </w:p>
        </w:tc>
        <w:tc>
          <w:tcPr>
            <w:tcW w:w="873" w:type="dxa"/>
          </w:tcPr>
          <w:p>
            <w:pPr>
              <w:spacing w:before="118" w:line="18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rPr>
        <w:tc>
          <w:tcPr>
            <w:tcW w:w="683" w:type="dxa"/>
          </w:tcPr>
          <w:p>
            <w:pPr>
              <w:spacing w:before="119" w:line="18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4</w:t>
            </w:r>
          </w:p>
        </w:tc>
        <w:tc>
          <w:tcPr>
            <w:tcW w:w="2251" w:type="dxa"/>
          </w:tcPr>
          <w:p>
            <w:pPr>
              <w:spacing w:before="88" w:line="185" w:lineRule="auto"/>
              <w:ind w:firstLine="0" w:firstLineChars="0"/>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3"/>
                <w:sz w:val="22"/>
                <w14:textFill>
                  <w14:solidFill>
                    <w14:schemeClr w14:val="tx1"/>
                  </w14:solidFill>
                </w14:textFill>
              </w:rPr>
              <w:t>渣仓</w:t>
            </w:r>
          </w:p>
        </w:tc>
        <w:tc>
          <w:tcPr>
            <w:tcW w:w="3783" w:type="dxa"/>
          </w:tcPr>
          <w:p>
            <w:pPr>
              <w:spacing w:before="88" w:line="185" w:lineRule="auto"/>
              <w:ind w:firstLine="0" w:firstLineChars="0"/>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5"/>
                <w:sz w:val="22"/>
                <w14:textFill>
                  <w14:solidFill>
                    <w14:schemeClr w14:val="tx1"/>
                  </w14:solidFill>
                </w14:textFill>
              </w:rPr>
              <w:t>直径</w:t>
            </w:r>
            <w:r>
              <w:rPr>
                <w:rFonts w:cs="Arial" w:eastAsiaTheme="minorEastAsia"/>
                <w:snapToGrid w:val="0"/>
                <w:color w:val="000000" w:themeColor="text1"/>
                <w:spacing w:val="-28"/>
                <w:sz w:val="22"/>
                <w14:textFill>
                  <w14:solidFill>
                    <w14:schemeClr w14:val="tx1"/>
                  </w14:solidFill>
                </w14:textFill>
              </w:rPr>
              <w:t xml:space="preserve"> </w:t>
            </w:r>
            <w:r>
              <w:rPr>
                <w:rFonts w:cs="Arial" w:eastAsiaTheme="minorEastAsia"/>
                <w:snapToGrid w:val="0"/>
                <w:color w:val="000000" w:themeColor="text1"/>
                <w:spacing w:val="-5"/>
                <w:sz w:val="22"/>
                <w14:textFill>
                  <w14:solidFill>
                    <w14:schemeClr w14:val="tx1"/>
                  </w14:solidFill>
                </w14:textFill>
              </w:rPr>
              <w:t>10m</w:t>
            </w:r>
            <w:r>
              <w:rPr>
                <w:rFonts w:cs="Arial" w:eastAsiaTheme="minorEastAsia"/>
                <w:snapToGrid w:val="0"/>
                <w:color w:val="000000" w:themeColor="text1"/>
                <w:spacing w:val="-29"/>
                <w:sz w:val="22"/>
                <w14:textFill>
                  <w14:solidFill>
                    <w14:schemeClr w14:val="tx1"/>
                  </w14:solidFill>
                </w14:textFill>
              </w:rPr>
              <w:t xml:space="preserve"> </w:t>
            </w:r>
            <w:r>
              <w:rPr>
                <w:rFonts w:cs="Arial" w:eastAsiaTheme="minorEastAsia"/>
                <w:snapToGrid w:val="0"/>
                <w:color w:val="000000" w:themeColor="text1"/>
                <w:spacing w:val="-5"/>
                <w:sz w:val="22"/>
                <w14:textFill>
                  <w14:solidFill>
                    <w14:schemeClr w14:val="tx1"/>
                  </w14:solidFill>
                </w14:textFill>
              </w:rPr>
              <w:t>，有效容积</w:t>
            </w:r>
            <w:r>
              <w:rPr>
                <w:rFonts w:cs="Arial" w:eastAsiaTheme="minorEastAsia"/>
                <w:snapToGrid w:val="0"/>
                <w:color w:val="000000" w:themeColor="text1"/>
                <w:spacing w:val="-28"/>
                <w:sz w:val="22"/>
                <w14:textFill>
                  <w14:solidFill>
                    <w14:schemeClr w14:val="tx1"/>
                  </w14:solidFill>
                </w14:textFill>
              </w:rPr>
              <w:t xml:space="preserve"> </w:t>
            </w:r>
            <w:r>
              <w:rPr>
                <w:rFonts w:cs="Arial" w:eastAsiaTheme="minorEastAsia"/>
                <w:snapToGrid w:val="0"/>
                <w:color w:val="000000" w:themeColor="text1"/>
                <w:spacing w:val="-5"/>
                <w:sz w:val="22"/>
                <w14:textFill>
                  <w14:solidFill>
                    <w14:schemeClr w14:val="tx1"/>
                  </w14:solidFill>
                </w14:textFill>
              </w:rPr>
              <w:t>1300m³</w:t>
            </w:r>
          </w:p>
        </w:tc>
        <w:tc>
          <w:tcPr>
            <w:tcW w:w="938" w:type="dxa"/>
          </w:tcPr>
          <w:p>
            <w:pPr>
              <w:spacing w:before="79" w:line="185"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座</w:t>
            </w:r>
          </w:p>
        </w:tc>
        <w:tc>
          <w:tcPr>
            <w:tcW w:w="873" w:type="dxa"/>
          </w:tcPr>
          <w:p>
            <w:pPr>
              <w:spacing w:before="119" w:line="18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trPr>
        <w:tc>
          <w:tcPr>
            <w:tcW w:w="683" w:type="dxa"/>
          </w:tcPr>
          <w:p>
            <w:pPr>
              <w:spacing w:before="125" w:line="18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5</w:t>
            </w:r>
          </w:p>
        </w:tc>
        <w:tc>
          <w:tcPr>
            <w:tcW w:w="2251" w:type="dxa"/>
          </w:tcPr>
          <w:p>
            <w:pPr>
              <w:spacing w:before="90" w:line="185" w:lineRule="auto"/>
              <w:ind w:firstLine="0" w:firstLineChars="0"/>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双轴搅拌机</w:t>
            </w:r>
          </w:p>
        </w:tc>
        <w:tc>
          <w:tcPr>
            <w:tcW w:w="3783" w:type="dxa"/>
          </w:tcPr>
          <w:p>
            <w:pPr>
              <w:spacing w:before="59" w:line="242" w:lineRule="auto"/>
              <w:ind w:firstLine="0" w:firstLineChars="0"/>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3"/>
                <w:sz w:val="22"/>
                <w14:textFill>
                  <w14:solidFill>
                    <w14:schemeClr w14:val="tx1"/>
                  </w14:solidFill>
                </w14:textFill>
              </w:rPr>
              <w:t>出力:100t/h</w:t>
            </w:r>
          </w:p>
        </w:tc>
        <w:tc>
          <w:tcPr>
            <w:tcW w:w="938" w:type="dxa"/>
          </w:tcPr>
          <w:p>
            <w:pPr>
              <w:spacing w:before="81" w:line="185"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台</w:t>
            </w:r>
          </w:p>
        </w:tc>
        <w:tc>
          <w:tcPr>
            <w:tcW w:w="873" w:type="dxa"/>
          </w:tcPr>
          <w:p>
            <w:pPr>
              <w:spacing w:before="121" w:line="18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rPr>
        <w:tc>
          <w:tcPr>
            <w:tcW w:w="683" w:type="dxa"/>
          </w:tcPr>
          <w:p>
            <w:pPr>
              <w:spacing w:before="123" w:line="18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6</w:t>
            </w:r>
          </w:p>
        </w:tc>
        <w:tc>
          <w:tcPr>
            <w:tcW w:w="2251" w:type="dxa"/>
          </w:tcPr>
          <w:p>
            <w:pPr>
              <w:spacing w:before="91" w:line="185" w:lineRule="auto"/>
              <w:ind w:firstLine="0" w:firstLineChars="0"/>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干灰散装机</w:t>
            </w:r>
          </w:p>
        </w:tc>
        <w:tc>
          <w:tcPr>
            <w:tcW w:w="3783" w:type="dxa"/>
          </w:tcPr>
          <w:p>
            <w:pPr>
              <w:spacing w:before="60" w:line="242" w:lineRule="auto"/>
              <w:ind w:firstLine="0" w:firstLineChars="0"/>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3"/>
                <w:sz w:val="22"/>
                <w14:textFill>
                  <w14:solidFill>
                    <w14:schemeClr w14:val="tx1"/>
                  </w14:solidFill>
                </w14:textFill>
              </w:rPr>
              <w:t>出力:100t/h</w:t>
            </w:r>
          </w:p>
        </w:tc>
        <w:tc>
          <w:tcPr>
            <w:tcW w:w="938" w:type="dxa"/>
          </w:tcPr>
          <w:p>
            <w:pPr>
              <w:spacing w:before="82" w:line="185"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台</w:t>
            </w:r>
          </w:p>
        </w:tc>
        <w:tc>
          <w:tcPr>
            <w:tcW w:w="873" w:type="dxa"/>
          </w:tcPr>
          <w:p>
            <w:pPr>
              <w:spacing w:before="122" w:line="18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trPr>
        <w:tc>
          <w:tcPr>
            <w:tcW w:w="8528" w:type="dxa"/>
            <w:gridSpan w:val="5"/>
          </w:tcPr>
          <w:p>
            <w:pPr>
              <w:spacing w:before="84" w:line="185" w:lineRule="auto"/>
              <w:ind w:firstLine="0" w:firstLineChars="0"/>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5"/>
                <w:sz w:val="22"/>
                <w14:textFill>
                  <w14:solidFill>
                    <w14:schemeClr w14:val="tx1"/>
                  </w14:solidFill>
                </w14:textFill>
              </w:rPr>
              <w:t>四、除灰系统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trPr>
        <w:tc>
          <w:tcPr>
            <w:tcW w:w="683" w:type="dxa"/>
          </w:tcPr>
          <w:p>
            <w:pPr>
              <w:spacing w:before="125" w:line="180" w:lineRule="auto"/>
              <w:ind w:firstLine="15" w:firstLineChars="7"/>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1</w:t>
            </w:r>
          </w:p>
        </w:tc>
        <w:tc>
          <w:tcPr>
            <w:tcW w:w="2251" w:type="dxa"/>
          </w:tcPr>
          <w:p>
            <w:pPr>
              <w:spacing w:before="94" w:line="185" w:lineRule="auto"/>
              <w:ind w:firstLine="15" w:firstLineChars="7"/>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灰库双轴搅拌机</w:t>
            </w:r>
          </w:p>
        </w:tc>
        <w:tc>
          <w:tcPr>
            <w:tcW w:w="3783" w:type="dxa"/>
          </w:tcPr>
          <w:p>
            <w:pPr>
              <w:spacing w:before="128" w:line="186" w:lineRule="auto"/>
              <w:ind w:firstLine="15" w:firstLineChars="7"/>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1"/>
                <w:sz w:val="22"/>
                <w14:textFill>
                  <w14:solidFill>
                    <w14:schemeClr w14:val="tx1"/>
                  </w14:solidFill>
                </w14:textFill>
              </w:rPr>
              <w:t>Q=200t/h</w:t>
            </w:r>
          </w:p>
        </w:tc>
        <w:tc>
          <w:tcPr>
            <w:tcW w:w="938" w:type="dxa"/>
          </w:tcPr>
          <w:p>
            <w:pPr>
              <w:spacing w:before="85" w:line="185" w:lineRule="auto"/>
              <w:ind w:firstLine="15" w:firstLineChars="7"/>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套</w:t>
            </w:r>
          </w:p>
        </w:tc>
        <w:tc>
          <w:tcPr>
            <w:tcW w:w="873" w:type="dxa"/>
          </w:tcPr>
          <w:p>
            <w:pPr>
              <w:spacing w:before="125" w:line="180" w:lineRule="auto"/>
              <w:ind w:firstLine="15" w:firstLineChars="7"/>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rPr>
        <w:tc>
          <w:tcPr>
            <w:tcW w:w="683" w:type="dxa"/>
          </w:tcPr>
          <w:p>
            <w:pPr>
              <w:spacing w:before="126" w:line="180" w:lineRule="auto"/>
              <w:ind w:firstLine="15" w:firstLineChars="7"/>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2</w:t>
            </w:r>
          </w:p>
        </w:tc>
        <w:tc>
          <w:tcPr>
            <w:tcW w:w="2251" w:type="dxa"/>
          </w:tcPr>
          <w:p>
            <w:pPr>
              <w:spacing w:before="95" w:line="185" w:lineRule="auto"/>
              <w:ind w:firstLine="15" w:firstLineChars="7"/>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灰库干灰散装机</w:t>
            </w:r>
          </w:p>
        </w:tc>
        <w:tc>
          <w:tcPr>
            <w:tcW w:w="3783" w:type="dxa"/>
          </w:tcPr>
          <w:p>
            <w:pPr>
              <w:spacing w:before="129" w:line="186" w:lineRule="auto"/>
              <w:ind w:firstLine="15" w:firstLineChars="7"/>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1"/>
                <w:sz w:val="22"/>
                <w14:textFill>
                  <w14:solidFill>
                    <w14:schemeClr w14:val="tx1"/>
                  </w14:solidFill>
                </w14:textFill>
              </w:rPr>
              <w:t>Q=200t/h</w:t>
            </w:r>
          </w:p>
        </w:tc>
        <w:tc>
          <w:tcPr>
            <w:tcW w:w="938" w:type="dxa"/>
          </w:tcPr>
          <w:p>
            <w:pPr>
              <w:spacing w:before="86" w:line="185" w:lineRule="auto"/>
              <w:ind w:firstLine="15" w:firstLineChars="7"/>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套</w:t>
            </w:r>
          </w:p>
        </w:tc>
        <w:tc>
          <w:tcPr>
            <w:tcW w:w="873" w:type="dxa"/>
          </w:tcPr>
          <w:p>
            <w:pPr>
              <w:spacing w:before="126" w:line="180" w:lineRule="auto"/>
              <w:ind w:firstLine="15" w:firstLineChars="7"/>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trPr>
        <w:tc>
          <w:tcPr>
            <w:tcW w:w="683" w:type="dxa"/>
          </w:tcPr>
          <w:p>
            <w:pPr>
              <w:spacing w:before="129" w:line="180" w:lineRule="auto"/>
              <w:ind w:firstLine="15" w:firstLineChars="7"/>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3</w:t>
            </w:r>
          </w:p>
        </w:tc>
        <w:tc>
          <w:tcPr>
            <w:tcW w:w="2251" w:type="dxa"/>
          </w:tcPr>
          <w:p>
            <w:pPr>
              <w:spacing w:before="97" w:line="185" w:lineRule="auto"/>
              <w:ind w:firstLine="14" w:firstLineChars="7"/>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3"/>
                <w:sz w:val="22"/>
                <w14:textFill>
                  <w14:solidFill>
                    <w14:schemeClr w14:val="tx1"/>
                  </w14:solidFill>
                </w14:textFill>
              </w:rPr>
              <w:t>灰仓</w:t>
            </w:r>
          </w:p>
        </w:tc>
        <w:tc>
          <w:tcPr>
            <w:tcW w:w="3783" w:type="dxa"/>
          </w:tcPr>
          <w:p>
            <w:pPr>
              <w:spacing w:before="97" w:line="185" w:lineRule="auto"/>
              <w:ind w:firstLine="14" w:firstLineChars="7"/>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5"/>
                <w:sz w:val="22"/>
                <w14:textFill>
                  <w14:solidFill>
                    <w14:schemeClr w14:val="tx1"/>
                  </w14:solidFill>
                </w14:textFill>
              </w:rPr>
              <w:t>直径</w:t>
            </w:r>
            <w:r>
              <w:rPr>
                <w:rFonts w:cs="Arial" w:eastAsiaTheme="minorEastAsia"/>
                <w:snapToGrid w:val="0"/>
                <w:color w:val="000000" w:themeColor="text1"/>
                <w:spacing w:val="-13"/>
                <w:sz w:val="22"/>
                <w14:textFill>
                  <w14:solidFill>
                    <w14:schemeClr w14:val="tx1"/>
                  </w14:solidFill>
                </w14:textFill>
              </w:rPr>
              <w:t xml:space="preserve"> </w:t>
            </w:r>
            <w:r>
              <w:rPr>
                <w:rFonts w:cs="Arial" w:eastAsiaTheme="minorEastAsia"/>
                <w:snapToGrid w:val="0"/>
                <w:color w:val="000000" w:themeColor="text1"/>
                <w:spacing w:val="-5"/>
                <w:sz w:val="22"/>
                <w14:textFill>
                  <w14:solidFill>
                    <w14:schemeClr w14:val="tx1"/>
                  </w14:solidFill>
                </w14:textFill>
              </w:rPr>
              <w:t>15m</w:t>
            </w:r>
            <w:r>
              <w:rPr>
                <w:rFonts w:cs="Arial" w:eastAsiaTheme="minorEastAsia"/>
                <w:snapToGrid w:val="0"/>
                <w:color w:val="000000" w:themeColor="text1"/>
                <w:spacing w:val="-30"/>
                <w:sz w:val="22"/>
                <w14:textFill>
                  <w14:solidFill>
                    <w14:schemeClr w14:val="tx1"/>
                  </w14:solidFill>
                </w14:textFill>
              </w:rPr>
              <w:t xml:space="preserve"> </w:t>
            </w:r>
            <w:r>
              <w:rPr>
                <w:rFonts w:cs="Arial" w:eastAsiaTheme="minorEastAsia"/>
                <w:snapToGrid w:val="0"/>
                <w:color w:val="000000" w:themeColor="text1"/>
                <w:spacing w:val="-5"/>
                <w:sz w:val="22"/>
                <w14:textFill>
                  <w14:solidFill>
                    <w14:schemeClr w14:val="tx1"/>
                  </w14:solidFill>
                </w14:textFill>
              </w:rPr>
              <w:t>，有效容积</w:t>
            </w:r>
            <w:r>
              <w:rPr>
                <w:rFonts w:cs="Arial" w:eastAsiaTheme="minorEastAsia"/>
                <w:snapToGrid w:val="0"/>
                <w:color w:val="000000" w:themeColor="text1"/>
                <w:spacing w:val="-44"/>
                <w:sz w:val="22"/>
                <w14:textFill>
                  <w14:solidFill>
                    <w14:schemeClr w14:val="tx1"/>
                  </w14:solidFill>
                </w14:textFill>
              </w:rPr>
              <w:t xml:space="preserve"> </w:t>
            </w:r>
            <w:r>
              <w:rPr>
                <w:rFonts w:cs="Arial" w:eastAsiaTheme="minorEastAsia"/>
                <w:snapToGrid w:val="0"/>
                <w:color w:val="000000" w:themeColor="text1"/>
                <w:spacing w:val="-5"/>
                <w:sz w:val="22"/>
                <w14:textFill>
                  <w14:solidFill>
                    <w14:schemeClr w14:val="tx1"/>
                  </w14:solidFill>
                </w14:textFill>
              </w:rPr>
              <w:t>3500m³</w:t>
            </w:r>
          </w:p>
        </w:tc>
        <w:tc>
          <w:tcPr>
            <w:tcW w:w="938" w:type="dxa"/>
          </w:tcPr>
          <w:p>
            <w:pPr>
              <w:spacing w:before="88" w:line="185" w:lineRule="auto"/>
              <w:ind w:firstLine="15" w:firstLineChars="7"/>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座</w:t>
            </w:r>
          </w:p>
        </w:tc>
        <w:tc>
          <w:tcPr>
            <w:tcW w:w="873" w:type="dxa"/>
          </w:tcPr>
          <w:p>
            <w:pPr>
              <w:spacing w:before="128" w:line="180" w:lineRule="auto"/>
              <w:ind w:firstLine="15" w:firstLineChars="7"/>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rPr>
        <w:tc>
          <w:tcPr>
            <w:tcW w:w="8528" w:type="dxa"/>
            <w:gridSpan w:val="5"/>
          </w:tcPr>
          <w:p>
            <w:pPr>
              <w:spacing w:before="89" w:line="185" w:lineRule="auto"/>
              <w:ind w:firstLine="0" w:firstLineChars="0"/>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五、石灰石粉输送系统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trPr>
        <w:tc>
          <w:tcPr>
            <w:tcW w:w="683" w:type="dxa"/>
          </w:tcPr>
          <w:p>
            <w:pPr>
              <w:spacing w:before="131" w:line="18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1</w:t>
            </w:r>
          </w:p>
        </w:tc>
        <w:tc>
          <w:tcPr>
            <w:tcW w:w="2251" w:type="dxa"/>
          </w:tcPr>
          <w:p>
            <w:pPr>
              <w:spacing w:before="100" w:line="185" w:lineRule="auto"/>
              <w:ind w:firstLine="0" w:firstLineChars="0"/>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石灰石输送管道</w:t>
            </w:r>
          </w:p>
        </w:tc>
        <w:tc>
          <w:tcPr>
            <w:tcW w:w="3783" w:type="dxa"/>
          </w:tcPr>
          <w:p>
            <w:pPr>
              <w:spacing w:before="91" w:line="185" w:lineRule="auto"/>
              <w:ind w:firstLine="0" w:firstLineChars="0"/>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输送管径</w:t>
            </w:r>
            <w:r>
              <w:rPr>
                <w:rFonts w:cs="Arial" w:eastAsiaTheme="minorEastAsia"/>
                <w:snapToGrid w:val="0"/>
                <w:color w:val="000000" w:themeColor="text1"/>
                <w:spacing w:val="-43"/>
                <w:sz w:val="22"/>
                <w14:textFill>
                  <w14:solidFill>
                    <w14:schemeClr w14:val="tx1"/>
                  </w14:solidFill>
                </w14:textFill>
              </w:rPr>
              <w:t xml:space="preserve"> </w:t>
            </w:r>
            <w:r>
              <w:rPr>
                <w:rFonts w:cs="Arial" w:eastAsiaTheme="minorEastAsia"/>
                <w:snapToGrid w:val="0"/>
                <w:color w:val="000000" w:themeColor="text1"/>
                <w:spacing w:val="-2"/>
                <w:sz w:val="22"/>
                <w14:textFill>
                  <w14:solidFill>
                    <w14:schemeClr w14:val="tx1"/>
                  </w14:solidFill>
                </w14:textFill>
              </w:rPr>
              <w:t>DN150</w:t>
            </w:r>
          </w:p>
        </w:tc>
        <w:tc>
          <w:tcPr>
            <w:tcW w:w="938" w:type="dxa"/>
          </w:tcPr>
          <w:p>
            <w:pPr>
              <w:spacing w:before="91" w:line="185"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套</w:t>
            </w:r>
          </w:p>
        </w:tc>
        <w:tc>
          <w:tcPr>
            <w:tcW w:w="873" w:type="dxa"/>
          </w:tcPr>
          <w:p>
            <w:pPr>
              <w:spacing w:before="131" w:line="18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trPr>
        <w:tc>
          <w:tcPr>
            <w:tcW w:w="683" w:type="dxa"/>
          </w:tcPr>
          <w:p>
            <w:pPr>
              <w:spacing w:before="132" w:line="18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2</w:t>
            </w:r>
          </w:p>
        </w:tc>
        <w:tc>
          <w:tcPr>
            <w:tcW w:w="2251" w:type="dxa"/>
          </w:tcPr>
          <w:p>
            <w:pPr>
              <w:spacing w:before="101" w:line="185" w:lineRule="auto"/>
              <w:ind w:firstLine="0" w:firstLineChars="0"/>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石灰石粉仓</w:t>
            </w:r>
          </w:p>
        </w:tc>
        <w:tc>
          <w:tcPr>
            <w:tcW w:w="3783" w:type="dxa"/>
          </w:tcPr>
          <w:p>
            <w:pPr>
              <w:spacing w:before="137" w:line="180" w:lineRule="auto"/>
              <w:ind w:firstLine="0" w:firstLineChars="0"/>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Φ=10.0m</w:t>
            </w:r>
            <w:r>
              <w:rPr>
                <w:rFonts w:cs="Arial" w:eastAsiaTheme="minorEastAsia"/>
                <w:snapToGrid w:val="0"/>
                <w:color w:val="000000" w:themeColor="text1"/>
                <w:spacing w:val="-30"/>
                <w:sz w:val="22"/>
                <w14:textFill>
                  <w14:solidFill>
                    <w14:schemeClr w14:val="tx1"/>
                  </w14:solidFill>
                </w14:textFill>
              </w:rPr>
              <w:t xml:space="preserve"> </w:t>
            </w:r>
            <w:r>
              <w:rPr>
                <w:rFonts w:cs="Arial" w:eastAsiaTheme="minorEastAsia"/>
                <w:snapToGrid w:val="0"/>
                <w:color w:val="000000" w:themeColor="text1"/>
                <w:spacing w:val="-2"/>
                <w:sz w:val="22"/>
                <w14:textFill>
                  <w14:solidFill>
                    <w14:schemeClr w14:val="tx1"/>
                  </w14:solidFill>
                </w14:textFill>
              </w:rPr>
              <w:t>，V=600m³</w:t>
            </w:r>
          </w:p>
        </w:tc>
        <w:tc>
          <w:tcPr>
            <w:tcW w:w="938" w:type="dxa"/>
          </w:tcPr>
          <w:p>
            <w:pPr>
              <w:spacing w:before="92" w:line="185"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座</w:t>
            </w:r>
          </w:p>
        </w:tc>
        <w:tc>
          <w:tcPr>
            <w:tcW w:w="873" w:type="dxa"/>
          </w:tcPr>
          <w:p>
            <w:pPr>
              <w:spacing w:before="132" w:line="18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trPr>
        <w:tc>
          <w:tcPr>
            <w:tcW w:w="8528" w:type="dxa"/>
            <w:gridSpan w:val="5"/>
          </w:tcPr>
          <w:p>
            <w:pPr>
              <w:spacing w:before="132" w:line="180" w:lineRule="auto"/>
              <w:ind w:firstLine="0" w:firstLineChars="0"/>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六、脱硫、脱销、除尘烟气净化系统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trPr>
        <w:tc>
          <w:tcPr>
            <w:tcW w:w="683" w:type="dxa"/>
          </w:tcPr>
          <w:p>
            <w:pPr>
              <w:spacing w:before="132" w:line="18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1</w:t>
            </w:r>
          </w:p>
        </w:tc>
        <w:tc>
          <w:tcPr>
            <w:tcW w:w="2251" w:type="dxa"/>
          </w:tcPr>
          <w:p>
            <w:pPr>
              <w:spacing w:before="101" w:line="185" w:lineRule="auto"/>
              <w:ind w:firstLine="0" w:firstLineChars="0"/>
              <w:rPr>
                <w:rFonts w:cs="Arial" w:eastAsiaTheme="minorEastAsia"/>
                <w:snapToGrid w:val="0"/>
                <w:color w:val="000000" w:themeColor="text1"/>
                <w:spacing w:val="-2"/>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吸收塔</w:t>
            </w:r>
          </w:p>
        </w:tc>
        <w:tc>
          <w:tcPr>
            <w:tcW w:w="3783" w:type="dxa"/>
          </w:tcPr>
          <w:p>
            <w:pPr>
              <w:spacing w:before="137" w:line="180" w:lineRule="auto"/>
              <w:ind w:firstLine="0" w:firstLineChars="0"/>
              <w:rPr>
                <w:rFonts w:cs="Arial" w:eastAsiaTheme="minorEastAsia"/>
                <w:snapToGrid w:val="0"/>
                <w:color w:val="000000" w:themeColor="text1"/>
                <w:spacing w:val="-2"/>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Ф16.0m/12.3m；H=42.8m；壁厚： 8mm~16mm</w:t>
            </w:r>
          </w:p>
        </w:tc>
        <w:tc>
          <w:tcPr>
            <w:tcW w:w="938" w:type="dxa"/>
          </w:tcPr>
          <w:p>
            <w:pPr>
              <w:spacing w:before="92" w:line="185"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台</w:t>
            </w:r>
          </w:p>
        </w:tc>
        <w:tc>
          <w:tcPr>
            <w:tcW w:w="873" w:type="dxa"/>
          </w:tcPr>
          <w:p>
            <w:pPr>
              <w:spacing w:before="132" w:line="18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trPr>
        <w:tc>
          <w:tcPr>
            <w:tcW w:w="683" w:type="dxa"/>
          </w:tcPr>
          <w:p>
            <w:pPr>
              <w:spacing w:before="132" w:line="18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2</w:t>
            </w:r>
          </w:p>
        </w:tc>
        <w:tc>
          <w:tcPr>
            <w:tcW w:w="2251" w:type="dxa"/>
          </w:tcPr>
          <w:p>
            <w:pPr>
              <w:spacing w:before="101" w:line="185" w:lineRule="auto"/>
              <w:ind w:firstLine="0" w:firstLineChars="0"/>
              <w:rPr>
                <w:rFonts w:cs="Arial" w:eastAsiaTheme="minorEastAsia"/>
                <w:snapToGrid w:val="0"/>
                <w:color w:val="000000" w:themeColor="text1"/>
                <w:spacing w:val="-2"/>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浆液循环泵</w:t>
            </w:r>
          </w:p>
        </w:tc>
        <w:tc>
          <w:tcPr>
            <w:tcW w:w="3783" w:type="dxa"/>
          </w:tcPr>
          <w:p>
            <w:pPr>
              <w:spacing w:before="137" w:line="180" w:lineRule="auto"/>
              <w:ind w:firstLine="0" w:firstLineChars="0"/>
              <w:rPr>
                <w:rFonts w:cs="Arial" w:eastAsiaTheme="minorEastAsia"/>
                <w:snapToGrid w:val="0"/>
                <w:color w:val="000000" w:themeColor="text1"/>
                <w:spacing w:val="-2"/>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离心泵，Q=5000m</w:t>
            </w:r>
            <w:r>
              <w:rPr>
                <w:rFonts w:cs="Arial" w:eastAsiaTheme="minorEastAsia"/>
                <w:snapToGrid w:val="0"/>
                <w:color w:val="000000" w:themeColor="text1"/>
                <w:spacing w:val="-2"/>
                <w:sz w:val="22"/>
                <w:vertAlign w:val="superscript"/>
                <w14:textFill>
                  <w14:solidFill>
                    <w14:schemeClr w14:val="tx1"/>
                  </w14:solidFill>
                </w14:textFill>
              </w:rPr>
              <w:t>3</w:t>
            </w:r>
            <w:r>
              <w:rPr>
                <w:rFonts w:cs="Arial" w:eastAsiaTheme="minorEastAsia"/>
                <w:snapToGrid w:val="0"/>
                <w:color w:val="000000" w:themeColor="text1"/>
                <w:spacing w:val="-2"/>
                <w:sz w:val="22"/>
                <w14:textFill>
                  <w14:solidFill>
                    <w14:schemeClr w14:val="tx1"/>
                  </w14:solidFill>
                </w14:textFill>
              </w:rPr>
              <w:t>/h；H=26m 电机功 率 630KW，轴功率：645.9kW</w:t>
            </w:r>
          </w:p>
        </w:tc>
        <w:tc>
          <w:tcPr>
            <w:tcW w:w="938" w:type="dxa"/>
          </w:tcPr>
          <w:p>
            <w:pPr>
              <w:spacing w:before="92" w:line="185"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台</w:t>
            </w:r>
          </w:p>
        </w:tc>
        <w:tc>
          <w:tcPr>
            <w:tcW w:w="873" w:type="dxa"/>
          </w:tcPr>
          <w:p>
            <w:pPr>
              <w:spacing w:before="132" w:line="18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trPr>
        <w:tc>
          <w:tcPr>
            <w:tcW w:w="683" w:type="dxa"/>
          </w:tcPr>
          <w:p>
            <w:pPr>
              <w:spacing w:before="132" w:line="18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3</w:t>
            </w:r>
          </w:p>
        </w:tc>
        <w:tc>
          <w:tcPr>
            <w:tcW w:w="2251" w:type="dxa"/>
          </w:tcPr>
          <w:p>
            <w:pPr>
              <w:spacing w:before="137" w:line="180" w:lineRule="auto"/>
              <w:ind w:firstLine="0" w:firstLineChars="0"/>
              <w:rPr>
                <w:rFonts w:cs="Arial" w:eastAsiaTheme="minorEastAsia"/>
                <w:snapToGrid w:val="0"/>
                <w:color w:val="000000" w:themeColor="text1"/>
                <w:spacing w:val="-2"/>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氧化风机</w:t>
            </w:r>
          </w:p>
        </w:tc>
        <w:tc>
          <w:tcPr>
            <w:tcW w:w="3783" w:type="dxa"/>
          </w:tcPr>
          <w:p>
            <w:pPr>
              <w:spacing w:before="137" w:line="180" w:lineRule="auto"/>
              <w:ind w:firstLine="0" w:firstLineChars="0"/>
              <w:rPr>
                <w:rFonts w:cs="Arial" w:eastAsiaTheme="minorEastAsia"/>
                <w:snapToGrid w:val="0"/>
                <w:color w:val="000000" w:themeColor="text1"/>
                <w:spacing w:val="-2"/>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离心风机型号：JED19020-2.14，Q=317m</w:t>
            </w:r>
            <w:r>
              <w:rPr>
                <w:rFonts w:cs="Arial" w:eastAsiaTheme="minorEastAsia"/>
                <w:snapToGrid w:val="0"/>
                <w:color w:val="000000" w:themeColor="text1"/>
                <w:spacing w:val="-2"/>
                <w:sz w:val="22"/>
                <w:vertAlign w:val="superscript"/>
                <w14:textFill>
                  <w14:solidFill>
                    <w14:schemeClr w14:val="tx1"/>
                  </w14:solidFill>
                </w14:textFill>
              </w:rPr>
              <w:t>3</w:t>
            </w:r>
            <w:r>
              <w:rPr>
                <w:rFonts w:cs="Arial" w:eastAsiaTheme="minorEastAsia"/>
                <w:snapToGrid w:val="0"/>
                <w:color w:val="000000" w:themeColor="text1"/>
                <w:spacing w:val="-2"/>
                <w:sz w:val="22"/>
                <w14:textFill>
                  <w14:solidFill>
                    <w14:schemeClr w14:val="tx1"/>
                  </w14:solidFill>
                </w14:textFill>
              </w:rPr>
              <w:t>/h，P=208.21kPa，电机功率630kw</w:t>
            </w:r>
          </w:p>
        </w:tc>
        <w:tc>
          <w:tcPr>
            <w:tcW w:w="938" w:type="dxa"/>
          </w:tcPr>
          <w:p>
            <w:pPr>
              <w:spacing w:before="137" w:line="180" w:lineRule="auto"/>
              <w:ind w:firstLine="0" w:firstLineChars="0"/>
              <w:jc w:val="center"/>
              <w:rPr>
                <w:rFonts w:cs="Arial" w:eastAsiaTheme="minorEastAsia"/>
                <w:snapToGrid w:val="0"/>
                <w:color w:val="000000" w:themeColor="text1"/>
                <w:spacing w:val="-2"/>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台</w:t>
            </w:r>
          </w:p>
        </w:tc>
        <w:tc>
          <w:tcPr>
            <w:tcW w:w="873" w:type="dxa"/>
          </w:tcPr>
          <w:p>
            <w:pPr>
              <w:spacing w:before="137" w:line="180" w:lineRule="auto"/>
              <w:ind w:firstLine="0" w:firstLineChars="0"/>
              <w:jc w:val="center"/>
              <w:rPr>
                <w:rFonts w:cs="Arial" w:eastAsiaTheme="minorEastAsia"/>
                <w:snapToGrid w:val="0"/>
                <w:color w:val="000000" w:themeColor="text1"/>
                <w:spacing w:val="-2"/>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trPr>
        <w:tc>
          <w:tcPr>
            <w:tcW w:w="683" w:type="dxa"/>
          </w:tcPr>
          <w:p>
            <w:pPr>
              <w:spacing w:before="132" w:line="18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4</w:t>
            </w:r>
          </w:p>
        </w:tc>
        <w:tc>
          <w:tcPr>
            <w:tcW w:w="2251" w:type="dxa"/>
          </w:tcPr>
          <w:p>
            <w:pPr>
              <w:spacing w:before="137" w:line="180" w:lineRule="auto"/>
              <w:ind w:firstLine="0" w:firstLineChars="0"/>
              <w:rPr>
                <w:rFonts w:cs="Arial" w:eastAsiaTheme="minorEastAsia"/>
                <w:snapToGrid w:val="0"/>
                <w:color w:val="000000" w:themeColor="text1"/>
                <w:spacing w:val="-2"/>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脱硫废水系统</w:t>
            </w:r>
            <w:r>
              <w:rPr>
                <w:rFonts w:cs="Arial" w:eastAsiaTheme="minorEastAsia"/>
                <w:snapToGrid w:val="0"/>
                <w:color w:val="000000" w:themeColor="text1"/>
                <w:spacing w:val="-2"/>
                <w:sz w:val="22"/>
                <w14:textFill>
                  <w14:solidFill>
                    <w14:schemeClr w14:val="tx1"/>
                  </w14:solidFill>
                </w14:textFill>
              </w:rPr>
              <w:tab/>
            </w:r>
          </w:p>
        </w:tc>
        <w:tc>
          <w:tcPr>
            <w:tcW w:w="3783" w:type="dxa"/>
          </w:tcPr>
          <w:p>
            <w:pPr>
              <w:spacing w:before="137" w:line="180" w:lineRule="auto"/>
              <w:ind w:right="753" w:firstLine="0" w:firstLineChars="0"/>
              <w:rPr>
                <w:rFonts w:cs="Arial" w:eastAsiaTheme="minorEastAsia"/>
                <w:snapToGrid w:val="0"/>
                <w:color w:val="000000" w:themeColor="text1"/>
                <w:spacing w:val="-2"/>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 xml:space="preserve">型号：HDC-A- 10- 1(s) </w:t>
            </w:r>
            <w:r>
              <w:rPr>
                <w:rFonts w:hint="eastAsia" w:cs="Arial" w:eastAsiaTheme="minorEastAsia"/>
                <w:snapToGrid w:val="0"/>
                <w:color w:val="000000" w:themeColor="text1"/>
                <w:spacing w:val="-2"/>
                <w:sz w:val="22"/>
                <w14:textFill>
                  <w14:solidFill>
                    <w14:schemeClr w14:val="tx1"/>
                  </w14:solidFill>
                </w14:textFill>
              </w:rPr>
              <w:t>，</w:t>
            </w:r>
            <w:r>
              <w:rPr>
                <w:rFonts w:cs="Arial" w:eastAsiaTheme="minorEastAsia"/>
                <w:snapToGrid w:val="0"/>
                <w:color w:val="000000" w:themeColor="text1"/>
                <w:spacing w:val="-2"/>
                <w:sz w:val="22"/>
                <w14:textFill>
                  <w14:solidFill>
                    <w14:schemeClr w14:val="tx1"/>
                  </w14:solidFill>
                </w14:textFill>
              </w:rPr>
              <w:t>处理</w:t>
            </w:r>
            <w:r>
              <w:rPr>
                <w:rFonts w:hint="eastAsia" w:cs="Arial" w:eastAsiaTheme="minorEastAsia"/>
                <w:snapToGrid w:val="0"/>
                <w:color w:val="000000" w:themeColor="text1"/>
                <w:spacing w:val="-2"/>
                <w:sz w:val="22"/>
                <w14:textFill>
                  <w14:solidFill>
                    <w14:schemeClr w14:val="tx1"/>
                  </w14:solidFill>
                </w14:textFill>
              </w:rPr>
              <w:t>能力</w:t>
            </w:r>
            <w:r>
              <w:rPr>
                <w:rFonts w:cs="Arial" w:eastAsiaTheme="minorEastAsia"/>
                <w:snapToGrid w:val="0"/>
                <w:color w:val="000000" w:themeColor="text1"/>
                <w:spacing w:val="-2"/>
                <w:sz w:val="22"/>
                <w14:textFill>
                  <w14:solidFill>
                    <w14:schemeClr w14:val="tx1"/>
                  </w14:solidFill>
                </w14:textFill>
              </w:rPr>
              <w:t>10m</w:t>
            </w:r>
            <w:r>
              <w:rPr>
                <w:rFonts w:cs="Arial" w:eastAsiaTheme="minorEastAsia"/>
                <w:snapToGrid w:val="0"/>
                <w:color w:val="000000" w:themeColor="text1"/>
                <w:spacing w:val="-2"/>
                <w:sz w:val="22"/>
                <w:vertAlign w:val="superscript"/>
                <w14:textFill>
                  <w14:solidFill>
                    <w14:schemeClr w14:val="tx1"/>
                  </w14:solidFill>
                </w14:textFill>
              </w:rPr>
              <w:t>3</w:t>
            </w:r>
            <w:r>
              <w:rPr>
                <w:rFonts w:cs="Arial" w:eastAsiaTheme="minorEastAsia"/>
                <w:snapToGrid w:val="0"/>
                <w:color w:val="000000" w:themeColor="text1"/>
                <w:spacing w:val="-2"/>
                <w:sz w:val="22"/>
                <w14:textFill>
                  <w14:solidFill>
                    <w14:schemeClr w14:val="tx1"/>
                  </w14:solidFill>
                </w14:textFill>
              </w:rPr>
              <w:t xml:space="preserve">/h </w:t>
            </w:r>
            <w:r>
              <w:rPr>
                <w:rFonts w:cs="Arial" w:eastAsiaTheme="minorEastAsia"/>
                <w:snapToGrid w:val="0"/>
                <w:color w:val="000000" w:themeColor="text1"/>
                <w:spacing w:val="-2"/>
                <w:sz w:val="22"/>
                <w14:textFill>
                  <w14:solidFill>
                    <w14:schemeClr w14:val="tx1"/>
                  </w14:solidFill>
                </w14:textFill>
              </w:rPr>
              <w:drawing>
                <wp:inline distT="0" distB="0" distL="0" distR="0">
                  <wp:extent cx="0" cy="635"/>
                  <wp:effectExtent l="0" t="0" r="0" b="0"/>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r:embed="rId31"/>
                          <a:stretch>
                            <a:fillRect/>
                          </a:stretch>
                        </pic:blipFill>
                        <pic:spPr>
                          <a:xfrm>
                            <a:off x="0" y="0"/>
                            <a:ext cx="432" cy="761"/>
                          </a:xfrm>
                          <a:prstGeom prst="rect">
                            <a:avLst/>
                          </a:prstGeom>
                        </pic:spPr>
                      </pic:pic>
                    </a:graphicData>
                  </a:graphic>
                </wp:inline>
              </w:drawing>
            </w:r>
          </w:p>
        </w:tc>
        <w:tc>
          <w:tcPr>
            <w:tcW w:w="938" w:type="dxa"/>
          </w:tcPr>
          <w:p>
            <w:pPr>
              <w:spacing w:before="137" w:line="180" w:lineRule="auto"/>
              <w:ind w:firstLine="0" w:firstLineChars="0"/>
              <w:jc w:val="center"/>
              <w:rPr>
                <w:rFonts w:cs="Arial" w:eastAsiaTheme="minorEastAsia"/>
                <w:snapToGrid w:val="0"/>
                <w:color w:val="000000" w:themeColor="text1"/>
                <w:spacing w:val="-2"/>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套</w:t>
            </w:r>
          </w:p>
        </w:tc>
        <w:tc>
          <w:tcPr>
            <w:tcW w:w="873" w:type="dxa"/>
          </w:tcPr>
          <w:p>
            <w:pPr>
              <w:spacing w:before="137" w:line="180" w:lineRule="auto"/>
              <w:ind w:firstLine="0" w:firstLineChars="0"/>
              <w:jc w:val="center"/>
              <w:rPr>
                <w:rFonts w:cs="Arial" w:eastAsiaTheme="minorEastAsia"/>
                <w:snapToGrid w:val="0"/>
                <w:color w:val="000000" w:themeColor="text1"/>
                <w:spacing w:val="-2"/>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trPr>
        <w:tc>
          <w:tcPr>
            <w:tcW w:w="683" w:type="dxa"/>
          </w:tcPr>
          <w:p>
            <w:pPr>
              <w:spacing w:before="132" w:line="18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5</w:t>
            </w:r>
          </w:p>
        </w:tc>
        <w:tc>
          <w:tcPr>
            <w:tcW w:w="2251" w:type="dxa"/>
          </w:tcPr>
          <w:p>
            <w:pPr>
              <w:spacing w:before="101" w:line="185" w:lineRule="auto"/>
              <w:ind w:firstLine="0" w:firstLineChars="0"/>
              <w:rPr>
                <w:rFonts w:cs="Arial" w:eastAsiaTheme="minorEastAsia"/>
                <w:snapToGrid w:val="0"/>
                <w:color w:val="000000" w:themeColor="text1"/>
                <w:spacing w:val="-4"/>
                <w:sz w:val="22"/>
                <w14:textFill>
                  <w14:solidFill>
                    <w14:schemeClr w14:val="tx1"/>
                  </w14:solidFill>
                </w14:textFill>
              </w:rPr>
            </w:pPr>
            <w:r>
              <w:rPr>
                <w:rFonts w:cs="Arial" w:eastAsiaTheme="minorEastAsia"/>
                <w:snapToGrid w:val="0"/>
                <w:color w:val="000000" w:themeColor="text1"/>
                <w:spacing w:val="-4"/>
                <w:sz w:val="22"/>
                <w14:textFill>
                  <w14:solidFill>
                    <w14:schemeClr w14:val="tx1"/>
                  </w14:solidFill>
                </w14:textFill>
              </w:rPr>
              <w:t>SNCR脱硝厂房</w:t>
            </w:r>
          </w:p>
        </w:tc>
        <w:tc>
          <w:tcPr>
            <w:tcW w:w="3783" w:type="dxa"/>
          </w:tcPr>
          <w:p>
            <w:pPr>
              <w:spacing w:before="32" w:line="219" w:lineRule="auto"/>
              <w:ind w:firstLine="0" w:firstLineChars="0"/>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利用尿素做还原剂</w:t>
            </w:r>
          </w:p>
        </w:tc>
        <w:tc>
          <w:tcPr>
            <w:tcW w:w="938" w:type="dxa"/>
          </w:tcPr>
          <w:p>
            <w:pPr>
              <w:spacing w:before="92" w:line="185"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套</w:t>
            </w:r>
          </w:p>
        </w:tc>
        <w:tc>
          <w:tcPr>
            <w:tcW w:w="873" w:type="dxa"/>
          </w:tcPr>
          <w:p>
            <w:pPr>
              <w:spacing w:before="92" w:line="185"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trPr>
        <w:tc>
          <w:tcPr>
            <w:tcW w:w="683" w:type="dxa"/>
          </w:tcPr>
          <w:p>
            <w:pPr>
              <w:spacing w:before="132" w:line="18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6</w:t>
            </w:r>
          </w:p>
        </w:tc>
        <w:tc>
          <w:tcPr>
            <w:tcW w:w="2251" w:type="dxa"/>
          </w:tcPr>
          <w:p>
            <w:pPr>
              <w:spacing w:before="101" w:line="185" w:lineRule="auto"/>
              <w:ind w:firstLine="0" w:firstLineChars="0"/>
              <w:rPr>
                <w:rFonts w:cs="Arial" w:eastAsiaTheme="minorEastAsia"/>
                <w:snapToGrid w:val="0"/>
                <w:color w:val="000000" w:themeColor="text1"/>
                <w:spacing w:val="-4"/>
                <w:sz w:val="22"/>
                <w14:textFill>
                  <w14:solidFill>
                    <w14:schemeClr w14:val="tx1"/>
                  </w14:solidFill>
                </w14:textFill>
              </w:rPr>
            </w:pPr>
            <w:r>
              <w:rPr>
                <w:rFonts w:cs="Arial" w:eastAsiaTheme="minorEastAsia"/>
                <w:snapToGrid w:val="0"/>
                <w:color w:val="000000" w:themeColor="text1"/>
                <w:spacing w:val="-4"/>
                <w:sz w:val="22"/>
                <w14:textFill>
                  <w14:solidFill>
                    <w14:schemeClr w14:val="tx1"/>
                  </w14:solidFill>
                </w14:textFill>
              </w:rPr>
              <w:t>除尘系统</w:t>
            </w:r>
          </w:p>
        </w:tc>
        <w:tc>
          <w:tcPr>
            <w:tcW w:w="3783" w:type="dxa"/>
          </w:tcPr>
          <w:p>
            <w:pPr>
              <w:spacing w:before="32" w:line="219" w:lineRule="auto"/>
              <w:ind w:firstLine="0" w:firstLineChars="0"/>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分为AB两侧，共16个灰斗32个滤室</w:t>
            </w:r>
          </w:p>
        </w:tc>
        <w:tc>
          <w:tcPr>
            <w:tcW w:w="938" w:type="dxa"/>
          </w:tcPr>
          <w:p>
            <w:pPr>
              <w:spacing w:before="92" w:line="185"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套</w:t>
            </w:r>
          </w:p>
        </w:tc>
        <w:tc>
          <w:tcPr>
            <w:tcW w:w="873" w:type="dxa"/>
          </w:tcPr>
          <w:p>
            <w:pPr>
              <w:spacing w:before="92" w:line="185"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rPr>
        <w:tc>
          <w:tcPr>
            <w:tcW w:w="8528" w:type="dxa"/>
            <w:gridSpan w:val="5"/>
          </w:tcPr>
          <w:p>
            <w:pPr>
              <w:spacing w:before="93" w:line="185" w:lineRule="auto"/>
              <w:ind w:firstLine="0" w:firstLineChars="0"/>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七、循环水系统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trPr>
        <w:tc>
          <w:tcPr>
            <w:tcW w:w="683" w:type="dxa"/>
          </w:tcPr>
          <w:p>
            <w:pPr>
              <w:spacing w:before="135" w:line="180" w:lineRule="auto"/>
              <w:ind w:firstLine="15" w:firstLineChars="7"/>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1</w:t>
            </w:r>
          </w:p>
        </w:tc>
        <w:tc>
          <w:tcPr>
            <w:tcW w:w="2251" w:type="dxa"/>
          </w:tcPr>
          <w:p>
            <w:pPr>
              <w:spacing w:before="95" w:line="185" w:lineRule="auto"/>
              <w:ind w:firstLine="14" w:firstLineChars="7"/>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6"/>
                <w:sz w:val="22"/>
                <w14:textFill>
                  <w14:solidFill>
                    <w14:schemeClr w14:val="tx1"/>
                  </w14:solidFill>
                </w14:textFill>
              </w:rPr>
              <w:t>自然通风冷却塔</w:t>
            </w:r>
          </w:p>
        </w:tc>
        <w:tc>
          <w:tcPr>
            <w:tcW w:w="3783" w:type="dxa"/>
          </w:tcPr>
          <w:p>
            <w:pPr>
              <w:spacing w:before="142" w:line="180" w:lineRule="auto"/>
              <w:ind w:firstLine="15" w:firstLineChars="7"/>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5500m</w:t>
            </w:r>
            <w:r>
              <w:rPr>
                <w:rFonts w:cs="Arial" w:eastAsiaTheme="minorEastAsia"/>
                <w:snapToGrid w:val="0"/>
                <w:color w:val="000000" w:themeColor="text1"/>
                <w:spacing w:val="-2"/>
                <w:sz w:val="22"/>
                <w:vertAlign w:val="superscript"/>
                <w14:textFill>
                  <w14:solidFill>
                    <w14:schemeClr w14:val="tx1"/>
                  </w14:solidFill>
                </w14:textFill>
              </w:rPr>
              <w:t>3</w:t>
            </w:r>
          </w:p>
        </w:tc>
        <w:tc>
          <w:tcPr>
            <w:tcW w:w="938" w:type="dxa"/>
          </w:tcPr>
          <w:p>
            <w:pPr>
              <w:spacing w:before="95" w:line="185" w:lineRule="auto"/>
              <w:ind w:firstLine="15" w:firstLineChars="7"/>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座</w:t>
            </w:r>
          </w:p>
        </w:tc>
        <w:tc>
          <w:tcPr>
            <w:tcW w:w="873" w:type="dxa"/>
          </w:tcPr>
          <w:p>
            <w:pPr>
              <w:spacing w:before="135" w:line="180" w:lineRule="auto"/>
              <w:ind w:firstLine="15" w:firstLineChars="7"/>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trPr>
        <w:tc>
          <w:tcPr>
            <w:tcW w:w="8528" w:type="dxa"/>
            <w:gridSpan w:val="5"/>
          </w:tcPr>
          <w:p>
            <w:pPr>
              <w:spacing w:before="135" w:line="180" w:lineRule="auto"/>
              <w:ind w:firstLine="15" w:firstLineChars="7"/>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八、燃气锅炉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trPr>
        <w:tc>
          <w:tcPr>
            <w:tcW w:w="683" w:type="dxa"/>
          </w:tcPr>
          <w:p>
            <w:pPr>
              <w:spacing w:before="135" w:line="180" w:lineRule="auto"/>
              <w:ind w:firstLine="15" w:firstLineChars="7"/>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1</w:t>
            </w:r>
          </w:p>
        </w:tc>
        <w:tc>
          <w:tcPr>
            <w:tcW w:w="2251" w:type="dxa"/>
          </w:tcPr>
          <w:p>
            <w:pPr>
              <w:spacing w:before="95" w:line="185" w:lineRule="auto"/>
              <w:ind w:firstLine="14" w:firstLineChars="7"/>
              <w:rPr>
                <w:rFonts w:cs="Arial" w:eastAsiaTheme="minorEastAsia"/>
                <w:snapToGrid w:val="0"/>
                <w:color w:val="000000" w:themeColor="text1"/>
                <w:spacing w:val="-6"/>
                <w:sz w:val="22"/>
                <w14:textFill>
                  <w14:solidFill>
                    <w14:schemeClr w14:val="tx1"/>
                  </w14:solidFill>
                </w14:textFill>
              </w:rPr>
            </w:pPr>
            <w:r>
              <w:rPr>
                <w:rFonts w:cs="Arial" w:eastAsiaTheme="minorEastAsia"/>
                <w:snapToGrid w:val="0"/>
                <w:color w:val="000000" w:themeColor="text1"/>
                <w:spacing w:val="-6"/>
                <w:sz w:val="22"/>
                <w14:textFill>
                  <w14:solidFill>
                    <w14:schemeClr w14:val="tx1"/>
                  </w14:solidFill>
                </w14:textFill>
              </w:rPr>
              <w:t>燃气蒸汽锅炉</w:t>
            </w:r>
          </w:p>
        </w:tc>
        <w:tc>
          <w:tcPr>
            <w:tcW w:w="3783" w:type="dxa"/>
          </w:tcPr>
          <w:p>
            <w:pPr>
              <w:spacing w:before="142" w:line="180" w:lineRule="auto"/>
              <w:ind w:firstLine="14" w:firstLineChars="7"/>
              <w:rPr>
                <w:rFonts w:cs="Arial" w:eastAsiaTheme="minorEastAsia"/>
                <w:snapToGrid w:val="0"/>
                <w:color w:val="000000" w:themeColor="text1"/>
                <w:spacing w:val="-2"/>
                <w:sz w:val="22"/>
                <w14:textFill>
                  <w14:solidFill>
                    <w14:schemeClr w14:val="tx1"/>
                  </w14:solidFill>
                </w14:textFill>
              </w:rPr>
            </w:pPr>
            <w:r>
              <w:rPr>
                <w:rFonts w:cs="Arial" w:eastAsiaTheme="minorEastAsia"/>
                <w:snapToGrid w:val="0"/>
                <w:color w:val="000000" w:themeColor="text1"/>
                <w:spacing w:val="-6"/>
                <w:sz w:val="22"/>
                <w14:textFill>
                  <w14:solidFill>
                    <w14:schemeClr w14:val="tx1"/>
                  </w14:solidFill>
                </w14:textFill>
              </w:rPr>
              <w:t>65t/h，压力1.6MPa、温度320℃</w:t>
            </w:r>
          </w:p>
        </w:tc>
        <w:tc>
          <w:tcPr>
            <w:tcW w:w="938" w:type="dxa"/>
          </w:tcPr>
          <w:p>
            <w:pPr>
              <w:spacing w:before="95" w:line="185" w:lineRule="auto"/>
              <w:ind w:firstLine="15" w:firstLineChars="7"/>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台</w:t>
            </w:r>
          </w:p>
        </w:tc>
        <w:tc>
          <w:tcPr>
            <w:tcW w:w="873" w:type="dxa"/>
          </w:tcPr>
          <w:p>
            <w:pPr>
              <w:spacing w:before="135" w:line="180" w:lineRule="auto"/>
              <w:ind w:firstLine="15" w:firstLineChars="7"/>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trPr>
        <w:tc>
          <w:tcPr>
            <w:tcW w:w="683" w:type="dxa"/>
          </w:tcPr>
          <w:p>
            <w:pPr>
              <w:spacing w:before="135" w:line="180" w:lineRule="auto"/>
              <w:ind w:firstLine="15" w:firstLineChars="7"/>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2</w:t>
            </w:r>
          </w:p>
        </w:tc>
        <w:tc>
          <w:tcPr>
            <w:tcW w:w="2251" w:type="dxa"/>
          </w:tcPr>
          <w:p>
            <w:pPr>
              <w:spacing w:before="95" w:line="185" w:lineRule="auto"/>
              <w:ind w:firstLine="14" w:firstLineChars="7"/>
              <w:rPr>
                <w:rFonts w:cs="Arial" w:eastAsiaTheme="minorEastAsia"/>
                <w:snapToGrid w:val="0"/>
                <w:color w:val="000000" w:themeColor="text1"/>
                <w:spacing w:val="-6"/>
                <w:sz w:val="22"/>
                <w14:textFill>
                  <w14:solidFill>
                    <w14:schemeClr w14:val="tx1"/>
                  </w14:solidFill>
                </w14:textFill>
              </w:rPr>
            </w:pPr>
            <w:r>
              <w:rPr>
                <w:rFonts w:cs="Arial" w:eastAsiaTheme="minorEastAsia"/>
                <w:snapToGrid w:val="0"/>
                <w:color w:val="000000" w:themeColor="text1"/>
                <w:spacing w:val="-6"/>
                <w:sz w:val="22"/>
                <w14:textFill>
                  <w14:solidFill>
                    <w14:schemeClr w14:val="tx1"/>
                  </w14:solidFill>
                </w14:textFill>
              </w:rPr>
              <w:t>除盐给水泵</w:t>
            </w:r>
          </w:p>
        </w:tc>
        <w:tc>
          <w:tcPr>
            <w:tcW w:w="3783" w:type="dxa"/>
          </w:tcPr>
          <w:p>
            <w:pPr>
              <w:spacing w:before="142" w:line="180" w:lineRule="auto"/>
              <w:ind w:firstLine="15" w:firstLineChars="7"/>
              <w:rPr>
                <w:rFonts w:cs="Arial" w:eastAsiaTheme="minorEastAsia"/>
                <w:snapToGrid w:val="0"/>
                <w:color w:val="000000" w:themeColor="text1"/>
                <w:spacing w:val="-2"/>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85m³/h</w:t>
            </w:r>
          </w:p>
        </w:tc>
        <w:tc>
          <w:tcPr>
            <w:tcW w:w="938" w:type="dxa"/>
          </w:tcPr>
          <w:p>
            <w:pPr>
              <w:spacing w:before="95" w:line="185" w:lineRule="auto"/>
              <w:ind w:firstLine="15" w:firstLineChars="7"/>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台</w:t>
            </w:r>
          </w:p>
        </w:tc>
        <w:tc>
          <w:tcPr>
            <w:tcW w:w="873" w:type="dxa"/>
          </w:tcPr>
          <w:p>
            <w:pPr>
              <w:spacing w:before="135" w:line="180" w:lineRule="auto"/>
              <w:ind w:firstLine="15" w:firstLineChars="7"/>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trPr>
        <w:tc>
          <w:tcPr>
            <w:tcW w:w="683" w:type="dxa"/>
          </w:tcPr>
          <w:p>
            <w:pPr>
              <w:spacing w:before="135" w:line="180" w:lineRule="auto"/>
              <w:ind w:firstLine="15" w:firstLineChars="7"/>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3</w:t>
            </w:r>
          </w:p>
        </w:tc>
        <w:tc>
          <w:tcPr>
            <w:tcW w:w="2251" w:type="dxa"/>
          </w:tcPr>
          <w:p>
            <w:pPr>
              <w:spacing w:before="95" w:line="185" w:lineRule="auto"/>
              <w:ind w:firstLine="14" w:firstLineChars="7"/>
              <w:rPr>
                <w:rFonts w:cs="Arial" w:eastAsiaTheme="minorEastAsia"/>
                <w:snapToGrid w:val="0"/>
                <w:color w:val="000000" w:themeColor="text1"/>
                <w:spacing w:val="-6"/>
                <w:sz w:val="22"/>
                <w14:textFill>
                  <w14:solidFill>
                    <w14:schemeClr w14:val="tx1"/>
                  </w14:solidFill>
                </w14:textFill>
              </w:rPr>
            </w:pPr>
            <w:r>
              <w:rPr>
                <w:rFonts w:cs="Arial" w:eastAsiaTheme="minorEastAsia"/>
                <w:snapToGrid w:val="0"/>
                <w:color w:val="000000" w:themeColor="text1"/>
                <w:spacing w:val="-6"/>
                <w:sz w:val="22"/>
                <w14:textFill>
                  <w14:solidFill>
                    <w14:schemeClr w14:val="tx1"/>
                  </w14:solidFill>
                </w14:textFill>
              </w:rPr>
              <w:t>循环冷却塔</w:t>
            </w:r>
          </w:p>
        </w:tc>
        <w:tc>
          <w:tcPr>
            <w:tcW w:w="3783" w:type="dxa"/>
          </w:tcPr>
          <w:p>
            <w:pPr>
              <w:spacing w:before="142" w:line="180" w:lineRule="auto"/>
              <w:ind w:firstLine="15" w:firstLineChars="7"/>
              <w:rPr>
                <w:rFonts w:cs="Arial" w:eastAsiaTheme="minorEastAsia"/>
                <w:snapToGrid w:val="0"/>
                <w:color w:val="000000" w:themeColor="text1"/>
                <w:spacing w:val="-2"/>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30m³/h</w:t>
            </w:r>
          </w:p>
        </w:tc>
        <w:tc>
          <w:tcPr>
            <w:tcW w:w="938" w:type="dxa"/>
          </w:tcPr>
          <w:p>
            <w:pPr>
              <w:spacing w:before="95" w:line="185" w:lineRule="auto"/>
              <w:ind w:firstLine="15" w:firstLineChars="7"/>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pacing w:val="-2"/>
                <w:sz w:val="22"/>
                <w14:textFill>
                  <w14:solidFill>
                    <w14:schemeClr w14:val="tx1"/>
                  </w14:solidFill>
                </w14:textFill>
              </w:rPr>
              <w:t>台</w:t>
            </w:r>
          </w:p>
        </w:tc>
        <w:tc>
          <w:tcPr>
            <w:tcW w:w="873" w:type="dxa"/>
          </w:tcPr>
          <w:p>
            <w:pPr>
              <w:spacing w:before="135" w:line="180" w:lineRule="auto"/>
              <w:ind w:firstLine="15" w:firstLineChars="7"/>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1</w:t>
            </w:r>
          </w:p>
        </w:tc>
      </w:tr>
    </w:tbl>
    <w:p>
      <w:pPr>
        <w:ind w:firstLine="520"/>
        <w:rPr>
          <w:color w:val="000000" w:themeColor="text1"/>
          <w14:textFill>
            <w14:solidFill>
              <w14:schemeClr w14:val="tx1"/>
            </w14:solidFill>
          </w14:textFill>
        </w:rPr>
      </w:pP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现有工程主要原、燃材料消耗</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根据《</w:t>
      </w:r>
      <w:r>
        <w:rPr>
          <w:color w:val="000000" w:themeColor="text1"/>
          <w14:textFill>
            <w14:solidFill>
              <w14:schemeClr w14:val="tx1"/>
            </w14:solidFill>
          </w14:textFill>
        </w:rPr>
        <w:t>重庆涪陵龙桥热电联产项目</w:t>
      </w:r>
      <w:r>
        <w:rPr>
          <w:rFonts w:hint="eastAsia"/>
          <w:color w:val="000000" w:themeColor="text1"/>
          <w14:textFill>
            <w14:solidFill>
              <w14:schemeClr w14:val="tx1"/>
            </w14:solidFill>
          </w14:textFill>
        </w:rPr>
        <w:t>环境影响报告书》，112</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t/h</w:t>
      </w:r>
      <w:r>
        <w:rPr>
          <w:color w:val="000000" w:themeColor="text1"/>
          <w14:textFill>
            <w14:solidFill>
              <w14:schemeClr w14:val="tx1"/>
            </w14:solidFill>
          </w14:textFill>
        </w:rPr>
        <w:t>循环流化床锅炉</w:t>
      </w:r>
      <w:r>
        <w:rPr>
          <w:rFonts w:hint="eastAsia"/>
          <w:color w:val="000000" w:themeColor="text1"/>
          <w14:textFill>
            <w14:solidFill>
              <w14:schemeClr w14:val="tx1"/>
            </w14:solidFill>
          </w14:textFill>
        </w:rPr>
        <w:t>系统主要原辅材料见表2</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-4。</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主要原辅材料消耗一览表</w:t>
      </w:r>
    </w:p>
    <w:tbl>
      <w:tblPr>
        <w:tblStyle w:val="43"/>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934"/>
        <w:gridCol w:w="1106"/>
        <w:gridCol w:w="2072"/>
        <w:gridCol w:w="2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名称</w:t>
            </w:r>
          </w:p>
        </w:tc>
        <w:tc>
          <w:tcPr>
            <w:tcW w:w="3040" w:type="dxa"/>
            <w:gridSpan w:val="2"/>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用量（设计煤种）</w:t>
            </w:r>
          </w:p>
        </w:tc>
        <w:tc>
          <w:tcPr>
            <w:tcW w:w="2072"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特性（设计煤种）</w:t>
            </w:r>
          </w:p>
        </w:tc>
        <w:tc>
          <w:tcPr>
            <w:tcW w:w="2396"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Merge w:val="restart"/>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烟煤（设计煤种）</w:t>
            </w:r>
          </w:p>
        </w:tc>
        <w:tc>
          <w:tcPr>
            <w:tcW w:w="1934" w:type="dxa"/>
            <w:vAlign w:val="center"/>
          </w:tcPr>
          <w:p>
            <w:pPr>
              <w:spacing w:line="240" w:lineRule="auto"/>
              <w:ind w:firstLine="0" w:firstLineChars="0"/>
              <w:jc w:val="center"/>
              <w:rPr>
                <w:color w:val="000000" w:themeColor="text1"/>
                <w:sz w:val="22"/>
                <w14:textFill>
                  <w14:solidFill>
                    <w14:schemeClr w14:val="tx1"/>
                  </w14:solidFill>
                </w14:textFill>
              </w:rPr>
            </w:pPr>
            <w:r>
              <w:rPr>
                <w:rFonts w:ascii="宋体" w:hAnsi="宋体" w:cs="宋体"/>
                <w:color w:val="000000" w:themeColor="text1"/>
                <w:spacing w:val="4"/>
                <w:sz w:val="22"/>
                <w14:textFill>
                  <w14:solidFill>
                    <w14:schemeClr w14:val="tx1"/>
                  </w14:solidFill>
                </w14:textFill>
              </w:rPr>
              <w:t>小时耗煤量</w:t>
            </w:r>
            <w:r>
              <w:rPr>
                <w:rFonts w:hint="eastAsia" w:ascii="宋体" w:hAnsi="宋体" w:cs="宋体"/>
                <w:color w:val="000000" w:themeColor="text1"/>
                <w:spacing w:val="4"/>
                <w:sz w:val="22"/>
                <w14:textFill>
                  <w14:solidFill>
                    <w14:schemeClr w14:val="tx1"/>
                  </w14:solidFill>
                </w14:textFill>
              </w:rPr>
              <w:t>，</w:t>
            </w:r>
            <w:r>
              <w:rPr>
                <w:rFonts w:eastAsia="Times New Roman"/>
                <w:color w:val="000000" w:themeColor="text1"/>
                <w:spacing w:val="4"/>
                <w:sz w:val="22"/>
                <w14:textFill>
                  <w14:solidFill>
                    <w14:schemeClr w14:val="tx1"/>
                  </w14:solidFill>
                </w14:textFill>
              </w:rPr>
              <w:t>t/h</w:t>
            </w:r>
          </w:p>
        </w:tc>
        <w:tc>
          <w:tcPr>
            <w:tcW w:w="1106" w:type="dxa"/>
            <w:vAlign w:val="center"/>
          </w:tcPr>
          <w:p>
            <w:pPr>
              <w:spacing w:line="240" w:lineRule="auto"/>
              <w:ind w:firstLine="0" w:firstLineChars="0"/>
              <w:jc w:val="center"/>
              <w:rPr>
                <w:color w:val="000000" w:themeColor="text1"/>
                <w:sz w:val="22"/>
                <w14:textFill>
                  <w14:solidFill>
                    <w14:schemeClr w14:val="tx1"/>
                  </w14:solidFill>
                </w14:textFill>
              </w:rPr>
            </w:pPr>
            <w:r>
              <w:rPr>
                <w:rFonts w:eastAsia="Times New Roman"/>
                <w:color w:val="000000" w:themeColor="text1"/>
                <w:spacing w:val="-4"/>
                <w:sz w:val="22"/>
                <w14:textFill>
                  <w14:solidFill>
                    <w14:schemeClr w14:val="tx1"/>
                  </w14:solidFill>
                </w14:textFill>
              </w:rPr>
              <w:t>171.03</w:t>
            </w:r>
          </w:p>
        </w:tc>
        <w:tc>
          <w:tcPr>
            <w:tcW w:w="2072" w:type="dxa"/>
            <w:vMerge w:val="restart"/>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含硫量2.78%</w:t>
            </w:r>
          </w:p>
        </w:tc>
        <w:tc>
          <w:tcPr>
            <w:tcW w:w="2396" w:type="dxa"/>
            <w:vMerge w:val="restart"/>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112</w:t>
            </w:r>
            <w:r>
              <w:rPr>
                <w:color w:val="000000" w:themeColor="text1"/>
                <w:sz w:val="22"/>
                <w14:textFill>
                  <w14:solidFill>
                    <w14:schemeClr w14:val="tx1"/>
                  </w14:solidFill>
                </w14:textFill>
              </w:rPr>
              <w:t>5</w:t>
            </w:r>
            <w:r>
              <w:rPr>
                <w:rFonts w:hint="eastAsia"/>
                <w:color w:val="000000" w:themeColor="text1"/>
                <w:sz w:val="22"/>
                <w14:textFill>
                  <w14:solidFill>
                    <w14:schemeClr w14:val="tx1"/>
                  </w14:solidFill>
                </w14:textFill>
              </w:rPr>
              <w:t>t/h</w:t>
            </w:r>
            <w:r>
              <w:rPr>
                <w:color w:val="000000" w:themeColor="text1"/>
                <w:sz w:val="22"/>
                <w14:textFill>
                  <w14:solidFill>
                    <w14:schemeClr w14:val="tx1"/>
                  </w14:solidFill>
                </w14:textFill>
              </w:rPr>
              <w:t>循环流化床锅炉</w:t>
            </w:r>
            <w:r>
              <w:rPr>
                <w:rFonts w:hint="eastAsia"/>
                <w:color w:val="000000" w:themeColor="text1"/>
                <w:sz w:val="22"/>
                <w14:textFill>
                  <w14:solidFill>
                    <w14:schemeClr w14:val="tx1"/>
                  </w14:solidFill>
                </w14:textFill>
              </w:rPr>
              <w:t>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Merge w:val="continue"/>
            <w:vAlign w:val="center"/>
          </w:tcPr>
          <w:p>
            <w:pPr>
              <w:spacing w:line="240" w:lineRule="auto"/>
              <w:ind w:firstLine="0" w:firstLineChars="0"/>
              <w:rPr>
                <w:color w:val="000000" w:themeColor="text1"/>
                <w:sz w:val="22"/>
                <w14:textFill>
                  <w14:solidFill>
                    <w14:schemeClr w14:val="tx1"/>
                  </w14:solidFill>
                </w14:textFill>
              </w:rPr>
            </w:pPr>
          </w:p>
        </w:tc>
        <w:tc>
          <w:tcPr>
            <w:tcW w:w="1934" w:type="dxa"/>
            <w:vAlign w:val="center"/>
          </w:tcPr>
          <w:p>
            <w:pPr>
              <w:spacing w:line="240" w:lineRule="auto"/>
              <w:ind w:firstLine="0" w:firstLineChars="0"/>
              <w:jc w:val="center"/>
              <w:rPr>
                <w:color w:val="000000" w:themeColor="text1"/>
                <w:sz w:val="22"/>
                <w14:textFill>
                  <w14:solidFill>
                    <w14:schemeClr w14:val="tx1"/>
                  </w14:solidFill>
                </w14:textFill>
              </w:rPr>
            </w:pPr>
            <w:r>
              <w:rPr>
                <w:rFonts w:ascii="宋体" w:hAnsi="宋体" w:cs="宋体"/>
                <w:color w:val="000000" w:themeColor="text1"/>
                <w:spacing w:val="1"/>
                <w:sz w:val="22"/>
                <w14:textFill>
                  <w14:solidFill>
                    <w14:schemeClr w14:val="tx1"/>
                  </w14:solidFill>
                </w14:textFill>
              </w:rPr>
              <w:t>日耗煤量</w:t>
            </w:r>
            <w:r>
              <w:rPr>
                <w:rFonts w:hint="eastAsia" w:ascii="宋体" w:hAnsi="宋体" w:cs="宋体"/>
                <w:color w:val="000000" w:themeColor="text1"/>
                <w:spacing w:val="1"/>
                <w:sz w:val="22"/>
                <w14:textFill>
                  <w14:solidFill>
                    <w14:schemeClr w14:val="tx1"/>
                  </w14:solidFill>
                </w14:textFill>
              </w:rPr>
              <w:t>，</w:t>
            </w:r>
            <w:r>
              <w:rPr>
                <w:rFonts w:eastAsia="Times New Roman"/>
                <w:color w:val="000000" w:themeColor="text1"/>
                <w:spacing w:val="1"/>
                <w:sz w:val="22"/>
                <w14:textFill>
                  <w14:solidFill>
                    <w14:schemeClr w14:val="tx1"/>
                  </w14:solidFill>
                </w14:textFill>
              </w:rPr>
              <w:t>t/d</w:t>
            </w:r>
          </w:p>
        </w:tc>
        <w:tc>
          <w:tcPr>
            <w:tcW w:w="1106" w:type="dxa"/>
            <w:vAlign w:val="center"/>
          </w:tcPr>
          <w:p>
            <w:pPr>
              <w:spacing w:line="240" w:lineRule="auto"/>
              <w:ind w:firstLine="0" w:firstLineChars="0"/>
              <w:jc w:val="center"/>
              <w:rPr>
                <w:color w:val="000000" w:themeColor="text1"/>
                <w:sz w:val="22"/>
                <w14:textFill>
                  <w14:solidFill>
                    <w14:schemeClr w14:val="tx1"/>
                  </w14:solidFill>
                </w14:textFill>
              </w:rPr>
            </w:pPr>
            <w:r>
              <w:rPr>
                <w:rFonts w:eastAsia="Times New Roman"/>
                <w:color w:val="000000" w:themeColor="text1"/>
                <w:spacing w:val="-2"/>
                <w:sz w:val="22"/>
                <w14:textFill>
                  <w14:solidFill>
                    <w14:schemeClr w14:val="tx1"/>
                  </w14:solidFill>
                </w14:textFill>
              </w:rPr>
              <w:t>3420.60</w:t>
            </w:r>
          </w:p>
        </w:tc>
        <w:tc>
          <w:tcPr>
            <w:tcW w:w="2072" w:type="dxa"/>
            <w:vMerge w:val="continue"/>
            <w:vAlign w:val="center"/>
          </w:tcPr>
          <w:p>
            <w:pPr>
              <w:spacing w:line="240" w:lineRule="auto"/>
              <w:ind w:firstLine="0" w:firstLineChars="0"/>
              <w:rPr>
                <w:color w:val="000000" w:themeColor="text1"/>
                <w:sz w:val="22"/>
                <w14:textFill>
                  <w14:solidFill>
                    <w14:schemeClr w14:val="tx1"/>
                  </w14:solidFill>
                </w14:textFill>
              </w:rPr>
            </w:pPr>
          </w:p>
        </w:tc>
        <w:tc>
          <w:tcPr>
            <w:tcW w:w="2396" w:type="dxa"/>
            <w:vMerge w:val="continue"/>
            <w:vAlign w:val="center"/>
          </w:tcPr>
          <w:p>
            <w:pPr>
              <w:spacing w:line="240" w:lineRule="auto"/>
              <w:ind w:firstLine="0" w:firstLineChars="0"/>
              <w:rPr>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Merge w:val="continue"/>
            <w:vAlign w:val="center"/>
          </w:tcPr>
          <w:p>
            <w:pPr>
              <w:spacing w:line="240" w:lineRule="auto"/>
              <w:ind w:firstLine="0" w:firstLineChars="0"/>
              <w:rPr>
                <w:color w:val="000000" w:themeColor="text1"/>
                <w:sz w:val="22"/>
                <w14:textFill>
                  <w14:solidFill>
                    <w14:schemeClr w14:val="tx1"/>
                  </w14:solidFill>
                </w14:textFill>
              </w:rPr>
            </w:pPr>
          </w:p>
        </w:tc>
        <w:tc>
          <w:tcPr>
            <w:tcW w:w="1934" w:type="dxa"/>
            <w:vAlign w:val="center"/>
          </w:tcPr>
          <w:p>
            <w:pPr>
              <w:spacing w:line="240" w:lineRule="auto"/>
              <w:ind w:firstLine="0" w:firstLineChars="0"/>
              <w:jc w:val="center"/>
              <w:rPr>
                <w:color w:val="000000" w:themeColor="text1"/>
                <w:sz w:val="22"/>
                <w14:textFill>
                  <w14:solidFill>
                    <w14:schemeClr w14:val="tx1"/>
                  </w14:solidFill>
                </w14:textFill>
              </w:rPr>
            </w:pPr>
            <w:r>
              <w:rPr>
                <w:rFonts w:ascii="宋体" w:hAnsi="宋体" w:cs="宋体"/>
                <w:color w:val="000000" w:themeColor="text1"/>
                <w:spacing w:val="6"/>
                <w:sz w:val="22"/>
                <w14:textFill>
                  <w14:solidFill>
                    <w14:schemeClr w14:val="tx1"/>
                  </w14:solidFill>
                </w14:textFill>
              </w:rPr>
              <w:t>年耗量</w:t>
            </w:r>
            <w:r>
              <w:rPr>
                <w:rFonts w:hint="eastAsia" w:ascii="宋体" w:hAnsi="宋体" w:cs="宋体"/>
                <w:color w:val="000000" w:themeColor="text1"/>
                <w:spacing w:val="6"/>
                <w:sz w:val="22"/>
                <w14:textFill>
                  <w14:solidFill>
                    <w14:schemeClr w14:val="tx1"/>
                  </w14:solidFill>
                </w14:textFill>
              </w:rPr>
              <w:t>，</w:t>
            </w:r>
            <w:r>
              <w:rPr>
                <w:rFonts w:ascii="宋体" w:hAnsi="宋体" w:cs="宋体"/>
                <w:color w:val="000000" w:themeColor="text1"/>
                <w:spacing w:val="6"/>
                <w:sz w:val="22"/>
                <w14:textFill>
                  <w14:solidFill>
                    <w14:schemeClr w14:val="tx1"/>
                  </w14:solidFill>
                </w14:textFill>
              </w:rPr>
              <w:t>万</w:t>
            </w:r>
            <w:r>
              <w:rPr>
                <w:rFonts w:eastAsia="Times New Roman"/>
                <w:color w:val="000000" w:themeColor="text1"/>
                <w:spacing w:val="6"/>
                <w:sz w:val="22"/>
                <w14:textFill>
                  <w14:solidFill>
                    <w14:schemeClr w14:val="tx1"/>
                  </w14:solidFill>
                </w14:textFill>
              </w:rPr>
              <w:t>t/a</w:t>
            </w:r>
          </w:p>
        </w:tc>
        <w:tc>
          <w:tcPr>
            <w:tcW w:w="1106" w:type="dxa"/>
            <w:vAlign w:val="center"/>
          </w:tcPr>
          <w:p>
            <w:pPr>
              <w:spacing w:line="240" w:lineRule="auto"/>
              <w:ind w:firstLine="0" w:firstLineChars="0"/>
              <w:jc w:val="center"/>
              <w:rPr>
                <w:color w:val="000000" w:themeColor="text1"/>
                <w:sz w:val="22"/>
                <w14:textFill>
                  <w14:solidFill>
                    <w14:schemeClr w14:val="tx1"/>
                  </w14:solidFill>
                </w14:textFill>
              </w:rPr>
            </w:pPr>
            <w:r>
              <w:rPr>
                <w:rFonts w:eastAsia="Times New Roman"/>
                <w:color w:val="000000" w:themeColor="text1"/>
                <w:spacing w:val="-4"/>
                <w:sz w:val="22"/>
                <w14:textFill>
                  <w14:solidFill>
                    <w14:schemeClr w14:val="tx1"/>
                  </w14:solidFill>
                </w14:textFill>
              </w:rPr>
              <w:t>128.475</w:t>
            </w:r>
          </w:p>
        </w:tc>
        <w:tc>
          <w:tcPr>
            <w:tcW w:w="2072" w:type="dxa"/>
            <w:vMerge w:val="continue"/>
            <w:vAlign w:val="center"/>
          </w:tcPr>
          <w:p>
            <w:pPr>
              <w:spacing w:line="240" w:lineRule="auto"/>
              <w:ind w:firstLine="0" w:firstLineChars="0"/>
              <w:rPr>
                <w:color w:val="000000" w:themeColor="text1"/>
                <w:sz w:val="22"/>
                <w14:textFill>
                  <w14:solidFill>
                    <w14:schemeClr w14:val="tx1"/>
                  </w14:solidFill>
                </w14:textFill>
              </w:rPr>
            </w:pPr>
          </w:p>
        </w:tc>
        <w:tc>
          <w:tcPr>
            <w:tcW w:w="2396" w:type="dxa"/>
            <w:vMerge w:val="continue"/>
            <w:vAlign w:val="center"/>
          </w:tcPr>
          <w:p>
            <w:pPr>
              <w:spacing w:line="240" w:lineRule="auto"/>
              <w:ind w:firstLine="0" w:firstLineChars="0"/>
              <w:rPr>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柴油</w:t>
            </w:r>
          </w:p>
        </w:tc>
        <w:tc>
          <w:tcPr>
            <w:tcW w:w="1934" w:type="dxa"/>
            <w:vAlign w:val="center"/>
          </w:tcPr>
          <w:p>
            <w:pPr>
              <w:spacing w:line="240" w:lineRule="auto"/>
              <w:ind w:firstLine="0" w:firstLineChars="0"/>
              <w:jc w:val="center"/>
              <w:rPr>
                <w:rFonts w:ascii="宋体" w:hAnsi="宋体" w:cs="宋体"/>
                <w:color w:val="000000" w:themeColor="text1"/>
                <w:spacing w:val="6"/>
                <w:sz w:val="22"/>
                <w14:textFill>
                  <w14:solidFill>
                    <w14:schemeClr w14:val="tx1"/>
                  </w14:solidFill>
                </w14:textFill>
              </w:rPr>
            </w:pPr>
            <w:r>
              <w:rPr>
                <w:rFonts w:hint="eastAsia" w:ascii="宋体" w:hAnsi="宋体" w:cs="宋体"/>
                <w:color w:val="000000" w:themeColor="text1"/>
                <w:spacing w:val="6"/>
                <w:sz w:val="22"/>
                <w14:textFill>
                  <w14:solidFill>
                    <w14:schemeClr w14:val="tx1"/>
                  </w14:solidFill>
                </w14:textFill>
              </w:rPr>
              <w:t>/</w:t>
            </w:r>
          </w:p>
        </w:tc>
        <w:tc>
          <w:tcPr>
            <w:tcW w:w="1106" w:type="dxa"/>
            <w:vAlign w:val="center"/>
          </w:tcPr>
          <w:p>
            <w:pPr>
              <w:spacing w:line="240" w:lineRule="auto"/>
              <w:ind w:firstLine="0" w:firstLineChars="0"/>
              <w:jc w:val="center"/>
              <w:rPr>
                <w:rFonts w:eastAsiaTheme="minorEastAsia"/>
                <w:color w:val="000000" w:themeColor="text1"/>
                <w:spacing w:val="-4"/>
                <w:sz w:val="22"/>
                <w14:textFill>
                  <w14:solidFill>
                    <w14:schemeClr w14:val="tx1"/>
                  </w14:solidFill>
                </w14:textFill>
              </w:rPr>
            </w:pPr>
            <w:r>
              <w:rPr>
                <w:rFonts w:hint="eastAsia" w:eastAsiaTheme="minorEastAsia"/>
                <w:color w:val="000000" w:themeColor="text1"/>
                <w:spacing w:val="-4"/>
                <w:sz w:val="22"/>
                <w14:textFill>
                  <w14:solidFill>
                    <w14:schemeClr w14:val="tx1"/>
                  </w14:solidFill>
                </w14:textFill>
              </w:rPr>
              <w:t>/</w:t>
            </w:r>
          </w:p>
        </w:tc>
        <w:tc>
          <w:tcPr>
            <w:tcW w:w="2072"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0号柴油</w:t>
            </w:r>
          </w:p>
        </w:tc>
        <w:tc>
          <w:tcPr>
            <w:tcW w:w="2396"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锅炉启动点火和助燃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天然气</w:t>
            </w:r>
          </w:p>
        </w:tc>
        <w:tc>
          <w:tcPr>
            <w:tcW w:w="1934" w:type="dxa"/>
            <w:vAlign w:val="center"/>
          </w:tcPr>
          <w:p>
            <w:pPr>
              <w:spacing w:line="240" w:lineRule="auto"/>
              <w:ind w:firstLine="0" w:firstLineChars="0"/>
              <w:jc w:val="center"/>
              <w:rPr>
                <w:rFonts w:ascii="宋体" w:hAnsi="宋体" w:cs="宋体"/>
                <w:color w:val="000000" w:themeColor="text1"/>
                <w:spacing w:val="6"/>
                <w:sz w:val="22"/>
                <w14:textFill>
                  <w14:solidFill>
                    <w14:schemeClr w14:val="tx1"/>
                  </w14:solidFill>
                </w14:textFill>
              </w:rPr>
            </w:pPr>
            <w:r>
              <w:rPr>
                <w:rFonts w:hint="eastAsia" w:ascii="宋体" w:hAnsi="宋体" w:cs="宋体"/>
                <w:color w:val="000000" w:themeColor="text1"/>
                <w:spacing w:val="6"/>
                <w:sz w:val="22"/>
                <w14:textFill>
                  <w14:solidFill>
                    <w14:schemeClr w14:val="tx1"/>
                  </w14:solidFill>
                </w14:textFill>
              </w:rPr>
              <w:t>/</w:t>
            </w:r>
          </w:p>
        </w:tc>
        <w:tc>
          <w:tcPr>
            <w:tcW w:w="1106" w:type="dxa"/>
            <w:vAlign w:val="center"/>
          </w:tcPr>
          <w:p>
            <w:pPr>
              <w:spacing w:line="240" w:lineRule="auto"/>
              <w:ind w:firstLine="0" w:firstLineChars="0"/>
              <w:jc w:val="center"/>
              <w:rPr>
                <w:rFonts w:eastAsiaTheme="minorEastAsia"/>
                <w:color w:val="000000" w:themeColor="text1"/>
                <w:spacing w:val="-4"/>
                <w:sz w:val="22"/>
                <w14:textFill>
                  <w14:solidFill>
                    <w14:schemeClr w14:val="tx1"/>
                  </w14:solidFill>
                </w14:textFill>
              </w:rPr>
            </w:pPr>
            <w:r>
              <w:rPr>
                <w:rFonts w:hint="eastAsia" w:eastAsiaTheme="minorEastAsia"/>
                <w:color w:val="000000" w:themeColor="text1"/>
                <w:spacing w:val="-4"/>
                <w:sz w:val="22"/>
                <w14:textFill>
                  <w14:solidFill>
                    <w14:schemeClr w14:val="tx1"/>
                  </w14:solidFill>
                </w14:textFill>
              </w:rPr>
              <w:t>/</w:t>
            </w:r>
          </w:p>
        </w:tc>
        <w:tc>
          <w:tcPr>
            <w:tcW w:w="2072"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管道天然气</w:t>
            </w:r>
          </w:p>
        </w:tc>
        <w:tc>
          <w:tcPr>
            <w:tcW w:w="2396"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备用燃气锅炉燃料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Align w:val="center"/>
          </w:tcPr>
          <w:p>
            <w:pPr>
              <w:spacing w:line="240" w:lineRule="auto"/>
              <w:ind w:firstLine="0" w:firstLineChars="0"/>
              <w:jc w:val="center"/>
              <w:rPr>
                <w:color w:val="000000" w:themeColor="text1"/>
                <w:sz w:val="22"/>
                <w14:textFill>
                  <w14:solidFill>
                    <w14:schemeClr w14:val="tx1"/>
                  </w14:solidFill>
                </w14:textFill>
              </w:rPr>
            </w:pPr>
            <w:r>
              <w:rPr>
                <w:rFonts w:ascii="宋体" w:hAnsi="宋体" w:cs="宋体"/>
                <w:color w:val="000000" w:themeColor="text1"/>
                <w:spacing w:val="-4"/>
                <w:sz w:val="22"/>
                <w14:textFill>
                  <w14:solidFill>
                    <w14:schemeClr w14:val="tx1"/>
                  </w14:solidFill>
                </w14:textFill>
              </w:rPr>
              <w:t>石灰石</w:t>
            </w:r>
            <w:r>
              <w:rPr>
                <w:rFonts w:hint="eastAsia" w:ascii="宋体" w:hAnsi="宋体" w:cs="宋体"/>
                <w:color w:val="000000" w:themeColor="text1"/>
                <w:spacing w:val="-4"/>
                <w:sz w:val="22"/>
                <w14:textFill>
                  <w14:solidFill>
                    <w14:schemeClr w14:val="tx1"/>
                  </w14:solidFill>
                </w14:textFill>
              </w:rPr>
              <w:t>粉</w:t>
            </w:r>
          </w:p>
        </w:tc>
        <w:tc>
          <w:tcPr>
            <w:tcW w:w="3040" w:type="dxa"/>
            <w:gridSpan w:val="2"/>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w:t>
            </w:r>
            <w:r>
              <w:rPr>
                <w:color w:val="000000" w:themeColor="text1"/>
                <w:sz w:val="22"/>
                <w14:textFill>
                  <w14:solidFill>
                    <w14:schemeClr w14:val="tx1"/>
                  </w14:solidFill>
                </w14:textFill>
              </w:rPr>
              <w:t>5</w:t>
            </w:r>
            <w:r>
              <w:rPr>
                <w:rFonts w:ascii="宋体" w:hAnsi="宋体" w:cs="宋体"/>
                <w:color w:val="000000" w:themeColor="text1"/>
                <w:spacing w:val="-4"/>
                <w:sz w:val="22"/>
                <w14:textFill>
                  <w14:solidFill>
                    <w14:schemeClr w14:val="tx1"/>
                  </w14:solidFill>
                </w14:textFill>
              </w:rPr>
              <w:t>万</w:t>
            </w:r>
            <w:r>
              <w:rPr>
                <w:rFonts w:ascii="宋体" w:hAnsi="宋体" w:cs="宋体"/>
                <w:color w:val="000000" w:themeColor="text1"/>
                <w:spacing w:val="-48"/>
                <w:sz w:val="22"/>
                <w14:textFill>
                  <w14:solidFill>
                    <w14:schemeClr w14:val="tx1"/>
                  </w14:solidFill>
                </w14:textFill>
              </w:rPr>
              <w:t xml:space="preserve"> </w:t>
            </w:r>
            <w:r>
              <w:rPr>
                <w:rFonts w:eastAsia="Times New Roman"/>
                <w:color w:val="000000" w:themeColor="text1"/>
                <w:spacing w:val="-4"/>
                <w:sz w:val="22"/>
                <w14:textFill>
                  <w14:solidFill>
                    <w14:schemeClr w14:val="tx1"/>
                  </w14:solidFill>
                </w14:textFill>
              </w:rPr>
              <w:t>t/a</w:t>
            </w:r>
          </w:p>
        </w:tc>
        <w:tc>
          <w:tcPr>
            <w:tcW w:w="2072"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ascii="宋体" w:hAnsi="宋体" w:cs="宋体"/>
                <w:color w:val="000000" w:themeColor="text1"/>
                <w:spacing w:val="-4"/>
                <w:sz w:val="22"/>
                <w14:textFill>
                  <w14:solidFill>
                    <w14:schemeClr w14:val="tx1"/>
                  </w14:solidFill>
                </w14:textFill>
              </w:rPr>
              <w:t>粉状，</w:t>
            </w:r>
            <w:r>
              <w:rPr>
                <w:rFonts w:ascii="宋体" w:hAnsi="宋体" w:cs="宋体"/>
                <w:color w:val="000000" w:themeColor="text1"/>
                <w:spacing w:val="-4"/>
                <w:sz w:val="22"/>
                <w14:textFill>
                  <w14:solidFill>
                    <w14:schemeClr w14:val="tx1"/>
                  </w14:solidFill>
                </w14:textFill>
              </w:rPr>
              <w:t>粒径≤1mm</w:t>
            </w:r>
            <w:r>
              <w:rPr>
                <w:rFonts w:hint="eastAsia" w:ascii="宋体" w:hAnsi="宋体" w:cs="宋体"/>
                <w:color w:val="000000" w:themeColor="text1"/>
                <w:spacing w:val="-4"/>
                <w:sz w:val="22"/>
                <w14:textFill>
                  <w14:solidFill>
                    <w14:schemeClr w14:val="tx1"/>
                  </w14:solidFill>
                </w14:textFill>
              </w:rPr>
              <w:t>，</w:t>
            </w:r>
            <w:r>
              <w:rPr>
                <w:rFonts w:ascii="宋体" w:hAnsi="宋体" w:cs="宋体"/>
                <w:color w:val="000000" w:themeColor="text1"/>
                <w:spacing w:val="-4"/>
                <w:sz w:val="22"/>
                <w14:textFill>
                  <w14:solidFill>
                    <w14:schemeClr w14:val="tx1"/>
                  </w14:solidFill>
                </w14:textFill>
              </w:rPr>
              <w:t>CaCO</w:t>
            </w:r>
            <w:r>
              <w:rPr>
                <w:rFonts w:ascii="宋体" w:hAnsi="宋体" w:cs="宋体"/>
                <w:color w:val="000000" w:themeColor="text1"/>
                <w:spacing w:val="-4"/>
                <w:sz w:val="22"/>
                <w:vertAlign w:val="subscript"/>
                <w14:textFill>
                  <w14:solidFill>
                    <w14:schemeClr w14:val="tx1"/>
                  </w14:solidFill>
                </w14:textFill>
              </w:rPr>
              <w:t>3</w:t>
            </w:r>
            <w:r>
              <w:rPr>
                <w:rFonts w:ascii="宋体" w:hAnsi="宋体" w:cs="宋体"/>
                <w:color w:val="000000" w:themeColor="text1"/>
                <w:spacing w:val="-4"/>
                <w:sz w:val="22"/>
                <w14:textFill>
                  <w14:solidFill>
                    <w14:schemeClr w14:val="tx1"/>
                  </w14:solidFill>
                </w14:textFill>
              </w:rPr>
              <w:t>纯度</w:t>
            </w:r>
            <w:r>
              <w:rPr>
                <w:rFonts w:ascii="宋体" w:hAnsi="宋体" w:cs="宋体"/>
                <w:color w:val="000000" w:themeColor="text1"/>
                <w:spacing w:val="-39"/>
                <w:sz w:val="22"/>
                <w14:textFill>
                  <w14:solidFill>
                    <w14:schemeClr w14:val="tx1"/>
                  </w14:solidFill>
                </w14:textFill>
              </w:rPr>
              <w:t xml:space="preserve"> </w:t>
            </w:r>
            <w:r>
              <w:rPr>
                <w:rFonts w:eastAsia="Times New Roman"/>
                <w:color w:val="000000" w:themeColor="text1"/>
                <w:spacing w:val="-4"/>
                <w:sz w:val="22"/>
                <w14:textFill>
                  <w14:solidFill>
                    <w14:schemeClr w14:val="tx1"/>
                  </w14:solidFill>
                </w14:textFill>
              </w:rPr>
              <w:t>95%</w:t>
            </w:r>
          </w:p>
        </w:tc>
        <w:tc>
          <w:tcPr>
            <w:tcW w:w="2396"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锅炉烟气脱硫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Align w:val="center"/>
          </w:tcPr>
          <w:p>
            <w:pPr>
              <w:spacing w:line="240" w:lineRule="auto"/>
              <w:ind w:firstLine="0" w:firstLineChars="0"/>
              <w:jc w:val="center"/>
              <w:rPr>
                <w:color w:val="000000" w:themeColor="text1"/>
                <w:sz w:val="22"/>
                <w14:textFill>
                  <w14:solidFill>
                    <w14:schemeClr w14:val="tx1"/>
                  </w14:solidFill>
                </w14:textFill>
              </w:rPr>
            </w:pPr>
            <w:r>
              <w:rPr>
                <w:rFonts w:ascii="宋体" w:hAnsi="宋体" w:cs="宋体"/>
                <w:color w:val="000000" w:themeColor="text1"/>
                <w:spacing w:val="-5"/>
                <w:sz w:val="22"/>
                <w14:textFill>
                  <w14:solidFill>
                    <w14:schemeClr w14:val="tx1"/>
                  </w14:solidFill>
                </w14:textFill>
              </w:rPr>
              <w:t>氢气</w:t>
            </w:r>
          </w:p>
        </w:tc>
        <w:tc>
          <w:tcPr>
            <w:tcW w:w="3040" w:type="dxa"/>
            <w:gridSpan w:val="2"/>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0.</w:t>
            </w:r>
            <w:r>
              <w:rPr>
                <w:rFonts w:hint="eastAsia"/>
                <w:color w:val="000000" w:themeColor="text1"/>
                <w:sz w:val="22"/>
                <w14:textFill>
                  <w14:solidFill>
                    <w14:schemeClr w14:val="tx1"/>
                  </w14:solidFill>
                </w14:textFill>
              </w:rPr>
              <w:t>2</w:t>
            </w:r>
            <w:r>
              <w:rPr>
                <w:rFonts w:ascii="宋体" w:hAnsi="宋体" w:cs="宋体"/>
                <w:color w:val="000000" w:themeColor="text1"/>
                <w:spacing w:val="-2"/>
                <w:sz w:val="22"/>
                <w14:textFill>
                  <w14:solidFill>
                    <w14:schemeClr w14:val="tx1"/>
                  </w14:solidFill>
                </w14:textFill>
              </w:rPr>
              <w:t>万</w:t>
            </w:r>
            <w:r>
              <w:rPr>
                <w:rFonts w:ascii="宋体" w:hAnsi="宋体" w:cs="宋体"/>
                <w:color w:val="000000" w:themeColor="text1"/>
                <w:spacing w:val="-52"/>
                <w:sz w:val="22"/>
                <w14:textFill>
                  <w14:solidFill>
                    <w14:schemeClr w14:val="tx1"/>
                  </w14:solidFill>
                </w14:textFill>
              </w:rPr>
              <w:t xml:space="preserve"> </w:t>
            </w:r>
            <w:r>
              <w:rPr>
                <w:rFonts w:eastAsia="Times New Roman"/>
                <w:color w:val="000000" w:themeColor="text1"/>
                <w:spacing w:val="-2"/>
                <w:sz w:val="22"/>
                <w14:textFill>
                  <w14:solidFill>
                    <w14:schemeClr w14:val="tx1"/>
                  </w14:solidFill>
                </w14:textFill>
              </w:rPr>
              <w:t>Nm</w:t>
            </w:r>
            <w:r>
              <w:rPr>
                <w:rFonts w:eastAsia="Times New Roman"/>
                <w:color w:val="000000" w:themeColor="text1"/>
                <w:spacing w:val="-2"/>
                <w:sz w:val="22"/>
                <w:vertAlign w:val="superscript"/>
                <w14:textFill>
                  <w14:solidFill>
                    <w14:schemeClr w14:val="tx1"/>
                  </w14:solidFill>
                </w14:textFill>
              </w:rPr>
              <w:t>3</w:t>
            </w:r>
            <w:r>
              <w:rPr>
                <w:rFonts w:eastAsia="Times New Roman"/>
                <w:color w:val="000000" w:themeColor="text1"/>
                <w:spacing w:val="-2"/>
                <w:sz w:val="22"/>
                <w14:textFill>
                  <w14:solidFill>
                    <w14:schemeClr w14:val="tx1"/>
                  </w14:solidFill>
                </w14:textFill>
              </w:rPr>
              <w:t>/a</w:t>
            </w:r>
          </w:p>
        </w:tc>
        <w:tc>
          <w:tcPr>
            <w:tcW w:w="2072"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压力0.25Mpa</w:t>
            </w:r>
            <w:r>
              <w:rPr>
                <w:rFonts w:hint="eastAsia"/>
                <w:color w:val="000000" w:themeColor="text1"/>
                <w:sz w:val="22"/>
                <w14:textFill>
                  <w14:solidFill>
                    <w14:schemeClr w14:val="tx1"/>
                  </w14:solidFill>
                </w14:textFill>
              </w:rPr>
              <w:t>，</w:t>
            </w:r>
            <w:r>
              <w:rPr>
                <w:color w:val="000000" w:themeColor="text1"/>
                <w:sz w:val="22"/>
                <w14:textFill>
                  <w14:solidFill>
                    <w14:schemeClr w14:val="tx1"/>
                  </w14:solidFill>
                </w14:textFill>
              </w:rPr>
              <w:t>纯度99.8%</w:t>
            </w:r>
          </w:p>
        </w:tc>
        <w:tc>
          <w:tcPr>
            <w:tcW w:w="2396"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300MW亚临界抽凝汽轮发电机组的发电机转子冷却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Align w:val="center"/>
          </w:tcPr>
          <w:p>
            <w:pPr>
              <w:spacing w:line="240" w:lineRule="auto"/>
              <w:ind w:firstLine="0" w:firstLineChars="0"/>
              <w:jc w:val="center"/>
              <w:rPr>
                <w:rFonts w:ascii="宋体" w:hAnsi="宋体" w:cs="宋体"/>
                <w:color w:val="000000" w:themeColor="text1"/>
                <w:spacing w:val="-5"/>
                <w:sz w:val="22"/>
                <w14:textFill>
                  <w14:solidFill>
                    <w14:schemeClr w14:val="tx1"/>
                  </w14:solidFill>
                </w14:textFill>
              </w:rPr>
            </w:pPr>
            <w:r>
              <w:rPr>
                <w:rFonts w:ascii="宋体" w:hAnsi="宋体" w:cs="宋体"/>
                <w:color w:val="000000" w:themeColor="text1"/>
                <w:spacing w:val="-4"/>
                <w:sz w:val="22"/>
                <w14:textFill>
                  <w14:solidFill>
                    <w14:schemeClr w14:val="tx1"/>
                  </w14:solidFill>
                </w14:textFill>
              </w:rPr>
              <w:t>尿素</w:t>
            </w:r>
          </w:p>
        </w:tc>
        <w:tc>
          <w:tcPr>
            <w:tcW w:w="3040" w:type="dxa"/>
            <w:gridSpan w:val="2"/>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w:t>
            </w:r>
            <w:r>
              <w:rPr>
                <w:color w:val="000000" w:themeColor="text1"/>
                <w:sz w:val="22"/>
                <w14:textFill>
                  <w14:solidFill>
                    <w14:schemeClr w14:val="tx1"/>
                  </w14:solidFill>
                </w14:textFill>
              </w:rPr>
              <w:t>750 t/a</w:t>
            </w:r>
          </w:p>
        </w:tc>
        <w:tc>
          <w:tcPr>
            <w:tcW w:w="2072" w:type="dxa"/>
            <w:vAlign w:val="center"/>
          </w:tcPr>
          <w:p>
            <w:pPr>
              <w:spacing w:line="240" w:lineRule="auto"/>
              <w:ind w:firstLine="0" w:firstLineChars="0"/>
              <w:jc w:val="center"/>
              <w:rPr>
                <w:rFonts w:ascii="宋体" w:hAnsi="宋体" w:cs="宋体"/>
                <w:color w:val="000000" w:themeColor="text1"/>
                <w:spacing w:val="-9"/>
                <w:sz w:val="22"/>
                <w14:textFill>
                  <w14:solidFill>
                    <w14:schemeClr w14:val="tx1"/>
                  </w14:solidFill>
                </w14:textFill>
              </w:rPr>
            </w:pPr>
            <w:r>
              <w:rPr>
                <w:rFonts w:hint="eastAsia" w:ascii="宋体" w:hAnsi="宋体" w:cs="宋体"/>
                <w:color w:val="000000" w:themeColor="text1"/>
                <w:spacing w:val="-9"/>
                <w:sz w:val="22"/>
                <w14:textFill>
                  <w14:solidFill>
                    <w14:schemeClr w14:val="tx1"/>
                  </w14:solidFill>
                </w14:textFill>
              </w:rPr>
              <w:t>外购袋装尿素</w:t>
            </w:r>
          </w:p>
        </w:tc>
        <w:tc>
          <w:tcPr>
            <w:tcW w:w="2396" w:type="dxa"/>
            <w:vAlign w:val="center"/>
          </w:tcPr>
          <w:p>
            <w:pPr>
              <w:spacing w:line="240" w:lineRule="auto"/>
              <w:ind w:firstLine="0" w:firstLineChars="0"/>
              <w:jc w:val="center"/>
              <w:rPr>
                <w:color w:val="000000" w:themeColor="text1"/>
                <w:sz w:val="22"/>
                <w14:textFill>
                  <w14:solidFill>
                    <w14:schemeClr w14:val="tx1"/>
                  </w14:solidFill>
                </w14:textFill>
              </w:rPr>
            </w:pPr>
            <w:r>
              <w:rPr>
                <w:rFonts w:ascii="宋体" w:hAnsi="宋体" w:cs="宋体"/>
                <w:color w:val="000000" w:themeColor="text1"/>
                <w:spacing w:val="-2"/>
                <w:sz w:val="22"/>
                <w14:textFill>
                  <w14:solidFill>
                    <w14:schemeClr w14:val="tx1"/>
                  </w14:solidFill>
                </w14:textFill>
              </w:rPr>
              <w:t>氮含量</w:t>
            </w:r>
            <w:r>
              <w:rPr>
                <w:rFonts w:ascii="宋体" w:hAnsi="宋体" w:cs="宋体"/>
                <w:color w:val="000000" w:themeColor="text1"/>
                <w:spacing w:val="-49"/>
                <w:sz w:val="22"/>
                <w14:textFill>
                  <w14:solidFill>
                    <w14:schemeClr w14:val="tx1"/>
                  </w14:solidFill>
                </w14:textFill>
              </w:rPr>
              <w:t xml:space="preserve"> </w:t>
            </w:r>
            <w:r>
              <w:rPr>
                <w:rFonts w:eastAsia="Times New Roman"/>
                <w:color w:val="000000" w:themeColor="text1"/>
                <w:spacing w:val="-2"/>
                <w:sz w:val="22"/>
                <w14:textFill>
                  <w14:solidFill>
                    <w14:schemeClr w14:val="tx1"/>
                  </w14:solidFill>
                </w14:textFill>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Align w:val="center"/>
          </w:tcPr>
          <w:p>
            <w:pPr>
              <w:spacing w:line="240" w:lineRule="auto"/>
              <w:ind w:firstLine="0" w:firstLineChars="0"/>
              <w:jc w:val="center"/>
              <w:rPr>
                <w:rFonts w:ascii="宋体" w:hAnsi="宋体" w:cs="宋体"/>
                <w:color w:val="000000" w:themeColor="text1"/>
                <w:spacing w:val="-4"/>
                <w:sz w:val="22"/>
                <w14:textFill>
                  <w14:solidFill>
                    <w14:schemeClr w14:val="tx1"/>
                  </w14:solidFill>
                </w14:textFill>
              </w:rPr>
            </w:pPr>
            <w:r>
              <w:rPr>
                <w:rFonts w:hint="eastAsia" w:ascii="宋体" w:hAnsi="宋体" w:cs="宋体"/>
                <w:color w:val="000000" w:themeColor="text1"/>
                <w:spacing w:val="-4"/>
                <w:sz w:val="22"/>
                <w14:textFill>
                  <w14:solidFill>
                    <w14:schemeClr w14:val="tx1"/>
                  </w14:solidFill>
                </w14:textFill>
              </w:rPr>
              <w:t>生产水</w:t>
            </w:r>
          </w:p>
        </w:tc>
        <w:tc>
          <w:tcPr>
            <w:tcW w:w="3040" w:type="dxa"/>
            <w:gridSpan w:val="2"/>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w:t>
            </w:r>
            <w:r>
              <w:rPr>
                <w:color w:val="000000" w:themeColor="text1"/>
                <w:sz w:val="22"/>
                <w14:textFill>
                  <w14:solidFill>
                    <w14:schemeClr w14:val="tx1"/>
                  </w14:solidFill>
                </w14:textFill>
              </w:rPr>
              <w:t>50</w:t>
            </w:r>
            <w:r>
              <w:rPr>
                <w:rFonts w:hint="eastAsia"/>
                <w:color w:val="000000" w:themeColor="text1"/>
                <w:sz w:val="22"/>
                <w14:textFill>
                  <w14:solidFill>
                    <w14:schemeClr w14:val="tx1"/>
                  </w14:solidFill>
                </w14:textFill>
              </w:rPr>
              <w:t>万</w:t>
            </w:r>
            <w:r>
              <w:rPr>
                <w:rFonts w:eastAsia="Times New Roman"/>
                <w:color w:val="000000" w:themeColor="text1"/>
                <w:spacing w:val="-4"/>
                <w:sz w:val="22"/>
                <w14:textFill>
                  <w14:solidFill>
                    <w14:schemeClr w14:val="tx1"/>
                  </w14:solidFill>
                </w14:textFill>
              </w:rPr>
              <w:t>t/a</w:t>
            </w:r>
          </w:p>
        </w:tc>
        <w:tc>
          <w:tcPr>
            <w:tcW w:w="2072" w:type="dxa"/>
            <w:vAlign w:val="center"/>
          </w:tcPr>
          <w:p>
            <w:pPr>
              <w:spacing w:line="240" w:lineRule="auto"/>
              <w:ind w:firstLine="0" w:firstLineChars="0"/>
              <w:jc w:val="center"/>
              <w:rPr>
                <w:rFonts w:ascii="宋体" w:hAnsi="宋体" w:cs="宋体"/>
                <w:color w:val="000000" w:themeColor="text1"/>
                <w:spacing w:val="-9"/>
                <w:sz w:val="22"/>
                <w14:textFill>
                  <w14:solidFill>
                    <w14:schemeClr w14:val="tx1"/>
                  </w14:solidFill>
                </w14:textFill>
              </w:rPr>
            </w:pPr>
            <w:r>
              <w:rPr>
                <w:rFonts w:hint="eastAsia" w:ascii="宋体" w:hAnsi="宋体" w:cs="宋体"/>
                <w:color w:val="000000" w:themeColor="text1"/>
                <w:spacing w:val="-9"/>
                <w:sz w:val="22"/>
                <w14:textFill>
                  <w14:solidFill>
                    <w14:schemeClr w14:val="tx1"/>
                  </w14:solidFill>
                </w14:textFill>
              </w:rPr>
              <w:t>抽取长江水</w:t>
            </w:r>
          </w:p>
        </w:tc>
        <w:tc>
          <w:tcPr>
            <w:tcW w:w="2396" w:type="dxa"/>
            <w:vAlign w:val="center"/>
          </w:tcPr>
          <w:p>
            <w:pPr>
              <w:spacing w:line="240" w:lineRule="auto"/>
              <w:ind w:firstLine="0" w:firstLineChars="0"/>
              <w:jc w:val="center"/>
              <w:rPr>
                <w:rFonts w:ascii="宋体" w:hAnsi="宋体" w:cs="宋体"/>
                <w:color w:val="000000" w:themeColor="text1"/>
                <w:spacing w:val="-2"/>
                <w:sz w:val="22"/>
                <w14:textFill>
                  <w14:solidFill>
                    <w14:schemeClr w14:val="tx1"/>
                  </w14:solidFill>
                </w14:textFill>
              </w:rPr>
            </w:pPr>
            <w:r>
              <w:rPr>
                <w:rFonts w:hint="eastAsia" w:ascii="宋体" w:hAnsi="宋体" w:cs="宋体"/>
                <w:color w:val="000000" w:themeColor="text1"/>
                <w:spacing w:val="-2"/>
                <w:sz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Align w:val="center"/>
          </w:tcPr>
          <w:p>
            <w:pPr>
              <w:spacing w:line="240" w:lineRule="auto"/>
              <w:ind w:firstLine="0" w:firstLineChars="0"/>
              <w:jc w:val="center"/>
              <w:rPr>
                <w:rFonts w:ascii="宋体" w:hAnsi="宋体" w:cs="宋体"/>
                <w:color w:val="000000" w:themeColor="text1"/>
                <w:spacing w:val="-4"/>
                <w:sz w:val="22"/>
                <w14:textFill>
                  <w14:solidFill>
                    <w14:schemeClr w14:val="tx1"/>
                  </w14:solidFill>
                </w14:textFill>
              </w:rPr>
            </w:pPr>
            <w:r>
              <w:rPr>
                <w:rFonts w:hint="eastAsia" w:ascii="宋体" w:hAnsi="宋体" w:cs="宋体"/>
                <w:color w:val="000000" w:themeColor="text1"/>
                <w:spacing w:val="-4"/>
                <w:sz w:val="22"/>
                <w14:textFill>
                  <w14:solidFill>
                    <w14:schemeClr w14:val="tx1"/>
                  </w14:solidFill>
                </w14:textFill>
              </w:rPr>
              <w:t>循环冷却水</w:t>
            </w:r>
          </w:p>
        </w:tc>
        <w:tc>
          <w:tcPr>
            <w:tcW w:w="3040" w:type="dxa"/>
            <w:gridSpan w:val="2"/>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80</w:t>
            </w:r>
            <w:r>
              <w:rPr>
                <w:rFonts w:hint="eastAsia"/>
                <w:color w:val="000000" w:themeColor="text1"/>
                <w:sz w:val="22"/>
                <w14:textFill>
                  <w14:solidFill>
                    <w14:schemeClr w14:val="tx1"/>
                  </w14:solidFill>
                </w14:textFill>
              </w:rPr>
              <w:t>万</w:t>
            </w:r>
            <w:r>
              <w:rPr>
                <w:rFonts w:eastAsia="Times New Roman"/>
                <w:color w:val="000000" w:themeColor="text1"/>
                <w:spacing w:val="-4"/>
                <w:sz w:val="22"/>
                <w14:textFill>
                  <w14:solidFill>
                    <w14:schemeClr w14:val="tx1"/>
                  </w14:solidFill>
                </w14:textFill>
              </w:rPr>
              <w:t>t/a</w:t>
            </w:r>
          </w:p>
        </w:tc>
        <w:tc>
          <w:tcPr>
            <w:tcW w:w="2072" w:type="dxa"/>
            <w:vAlign w:val="center"/>
          </w:tcPr>
          <w:p>
            <w:pPr>
              <w:spacing w:line="240" w:lineRule="auto"/>
              <w:ind w:firstLine="0" w:firstLineChars="0"/>
              <w:jc w:val="center"/>
              <w:rPr>
                <w:rFonts w:ascii="宋体" w:hAnsi="宋体" w:cs="宋体"/>
                <w:color w:val="000000" w:themeColor="text1"/>
                <w:spacing w:val="-9"/>
                <w:sz w:val="22"/>
                <w14:textFill>
                  <w14:solidFill>
                    <w14:schemeClr w14:val="tx1"/>
                  </w14:solidFill>
                </w14:textFill>
              </w:rPr>
            </w:pPr>
            <w:r>
              <w:rPr>
                <w:rFonts w:hint="eastAsia" w:ascii="宋体" w:hAnsi="宋体" w:cs="宋体"/>
                <w:color w:val="000000" w:themeColor="text1"/>
                <w:spacing w:val="-9"/>
                <w:sz w:val="22"/>
                <w14:textFill>
                  <w14:solidFill>
                    <w14:schemeClr w14:val="tx1"/>
                  </w14:solidFill>
                </w14:textFill>
              </w:rPr>
              <w:t>抽取长江水</w:t>
            </w:r>
          </w:p>
        </w:tc>
        <w:tc>
          <w:tcPr>
            <w:tcW w:w="2396" w:type="dxa"/>
            <w:vAlign w:val="center"/>
          </w:tcPr>
          <w:p>
            <w:pPr>
              <w:spacing w:line="240" w:lineRule="auto"/>
              <w:ind w:firstLine="0" w:firstLineChars="0"/>
              <w:jc w:val="center"/>
              <w:rPr>
                <w:rFonts w:ascii="宋体" w:hAnsi="宋体" w:cs="宋体"/>
                <w:color w:val="000000" w:themeColor="text1"/>
                <w:spacing w:val="-2"/>
                <w:sz w:val="22"/>
                <w14:textFill>
                  <w14:solidFill>
                    <w14:schemeClr w14:val="tx1"/>
                  </w14:solidFill>
                </w14:textFill>
              </w:rPr>
            </w:pPr>
            <w:r>
              <w:rPr>
                <w:rFonts w:hint="eastAsia" w:ascii="宋体" w:hAnsi="宋体" w:cs="宋体"/>
                <w:color w:val="000000" w:themeColor="text1"/>
                <w:spacing w:val="-2"/>
                <w:sz w:val="22"/>
                <w14:textFill>
                  <w14:solidFill>
                    <w14:schemeClr w14:val="tx1"/>
                  </w14:solidFill>
                </w14:textFill>
              </w:rPr>
              <w:t>冷却塔</w:t>
            </w:r>
          </w:p>
        </w:tc>
      </w:tr>
    </w:tbl>
    <w:p>
      <w:pPr>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*备注：机组年运行时间按</w:t>
      </w:r>
      <w:r>
        <w:rPr>
          <w:color w:val="000000" w:themeColor="text1"/>
          <w:sz w:val="22"/>
          <w14:textFill>
            <w14:solidFill>
              <w14:schemeClr w14:val="tx1"/>
            </w14:solidFill>
          </w14:textFill>
        </w:rPr>
        <w:t>7500h</w:t>
      </w:r>
      <w:r>
        <w:rPr>
          <w:rFonts w:hint="eastAsia"/>
          <w:color w:val="000000" w:themeColor="text1"/>
          <w:sz w:val="22"/>
          <w14:textFill>
            <w14:solidFill>
              <w14:schemeClr w14:val="tx1"/>
            </w14:solidFill>
          </w14:textFill>
        </w:rPr>
        <w:t>计。</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设计煤质和燃料油特性见表2.1-5和表2.1-6。</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燃煤机组设计煤种煤质</w:t>
      </w:r>
    </w:p>
    <w:tbl>
      <w:tblPr>
        <w:tblStyle w:val="42"/>
        <w:tblW w:w="87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01"/>
        <w:gridCol w:w="1456"/>
        <w:gridCol w:w="1249"/>
        <w:gridCol w:w="1318"/>
        <w:gridCol w:w="18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trPr>
        <w:tc>
          <w:tcPr>
            <w:tcW w:w="2801"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项 目</w:t>
            </w:r>
          </w:p>
        </w:tc>
        <w:tc>
          <w:tcPr>
            <w:tcW w:w="1456"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符 号</w:t>
            </w:r>
          </w:p>
        </w:tc>
        <w:tc>
          <w:tcPr>
            <w:tcW w:w="1249"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单 位</w:t>
            </w:r>
          </w:p>
        </w:tc>
        <w:tc>
          <w:tcPr>
            <w:tcW w:w="1318"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设计煤种</w:t>
            </w:r>
          </w:p>
        </w:tc>
        <w:tc>
          <w:tcPr>
            <w:tcW w:w="1896"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校核煤种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2801"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全水分</w:t>
            </w:r>
          </w:p>
        </w:tc>
        <w:tc>
          <w:tcPr>
            <w:tcW w:w="1456"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Mt</w:t>
            </w:r>
          </w:p>
        </w:tc>
        <w:tc>
          <w:tcPr>
            <w:tcW w:w="1249"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w:t>
            </w:r>
          </w:p>
        </w:tc>
        <w:tc>
          <w:tcPr>
            <w:tcW w:w="1318"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3.96</w:t>
            </w:r>
          </w:p>
        </w:tc>
        <w:tc>
          <w:tcPr>
            <w:tcW w:w="1896"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7.10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2801"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收到基灰分</w:t>
            </w:r>
          </w:p>
        </w:tc>
        <w:tc>
          <w:tcPr>
            <w:tcW w:w="1456"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Aad</w:t>
            </w:r>
          </w:p>
        </w:tc>
        <w:tc>
          <w:tcPr>
            <w:tcW w:w="1249"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w:t>
            </w:r>
          </w:p>
        </w:tc>
        <w:tc>
          <w:tcPr>
            <w:tcW w:w="1318"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35.30</w:t>
            </w:r>
          </w:p>
        </w:tc>
        <w:tc>
          <w:tcPr>
            <w:tcW w:w="1896"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38.30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2801"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干燥无灰基挥发分</w:t>
            </w:r>
          </w:p>
        </w:tc>
        <w:tc>
          <w:tcPr>
            <w:tcW w:w="1456"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Vdaf</w:t>
            </w:r>
          </w:p>
        </w:tc>
        <w:tc>
          <w:tcPr>
            <w:tcW w:w="1249"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w:t>
            </w:r>
          </w:p>
        </w:tc>
        <w:tc>
          <w:tcPr>
            <w:tcW w:w="1318"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16.38</w:t>
            </w:r>
          </w:p>
        </w:tc>
        <w:tc>
          <w:tcPr>
            <w:tcW w:w="1896"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14.30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2801"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固定碳</w:t>
            </w:r>
          </w:p>
        </w:tc>
        <w:tc>
          <w:tcPr>
            <w:tcW w:w="1456"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car</w:t>
            </w:r>
          </w:p>
        </w:tc>
        <w:tc>
          <w:tcPr>
            <w:tcW w:w="1249"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w:t>
            </w:r>
          </w:p>
        </w:tc>
        <w:tc>
          <w:tcPr>
            <w:tcW w:w="1318"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46.5</w:t>
            </w:r>
          </w:p>
        </w:tc>
        <w:tc>
          <w:tcPr>
            <w:tcW w:w="1896"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48.08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2801"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全硫</w:t>
            </w:r>
          </w:p>
        </w:tc>
        <w:tc>
          <w:tcPr>
            <w:tcW w:w="1456"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St.ad</w:t>
            </w:r>
          </w:p>
        </w:tc>
        <w:tc>
          <w:tcPr>
            <w:tcW w:w="1249"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w:t>
            </w:r>
          </w:p>
        </w:tc>
        <w:tc>
          <w:tcPr>
            <w:tcW w:w="1318"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2.78</w:t>
            </w:r>
          </w:p>
        </w:tc>
        <w:tc>
          <w:tcPr>
            <w:tcW w:w="1896"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2.93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2801"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焦渣特性</w:t>
            </w:r>
          </w:p>
        </w:tc>
        <w:tc>
          <w:tcPr>
            <w:tcW w:w="1456" w:type="dxa"/>
            <w:vAlign w:val="center"/>
          </w:tcPr>
          <w:p>
            <w:pPr>
              <w:spacing w:line="240" w:lineRule="auto"/>
              <w:ind w:firstLine="0" w:firstLineChars="0"/>
              <w:jc w:val="center"/>
              <w:rPr>
                <w:color w:val="000000" w:themeColor="text1"/>
                <w:sz w:val="22"/>
                <w14:textFill>
                  <w14:solidFill>
                    <w14:schemeClr w14:val="tx1"/>
                  </w14:solidFill>
                </w14:textFill>
              </w:rPr>
            </w:pPr>
          </w:p>
        </w:tc>
        <w:tc>
          <w:tcPr>
            <w:tcW w:w="1249" w:type="dxa"/>
            <w:vAlign w:val="center"/>
          </w:tcPr>
          <w:p>
            <w:pPr>
              <w:spacing w:line="240" w:lineRule="auto"/>
              <w:ind w:firstLine="0" w:firstLineChars="0"/>
              <w:jc w:val="center"/>
              <w:rPr>
                <w:color w:val="000000" w:themeColor="text1"/>
                <w:sz w:val="22"/>
                <w14:textFill>
                  <w14:solidFill>
                    <w14:schemeClr w14:val="tx1"/>
                  </w14:solidFill>
                </w14:textFill>
              </w:rPr>
            </w:pPr>
          </w:p>
        </w:tc>
        <w:tc>
          <w:tcPr>
            <w:tcW w:w="1318"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2</w:t>
            </w:r>
          </w:p>
        </w:tc>
        <w:tc>
          <w:tcPr>
            <w:tcW w:w="1896"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trPr>
        <w:tc>
          <w:tcPr>
            <w:tcW w:w="2801"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收到基低位发热量</w:t>
            </w:r>
          </w:p>
        </w:tc>
        <w:tc>
          <w:tcPr>
            <w:tcW w:w="1456"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Qnet.ar</w:t>
            </w:r>
          </w:p>
        </w:tc>
        <w:tc>
          <w:tcPr>
            <w:tcW w:w="1249"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Kcal/kg</w:t>
            </w:r>
          </w:p>
        </w:tc>
        <w:tc>
          <w:tcPr>
            <w:tcW w:w="1318"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4549</w:t>
            </w:r>
          </w:p>
        </w:tc>
        <w:tc>
          <w:tcPr>
            <w:tcW w:w="1896"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4391</w:t>
            </w:r>
          </w:p>
        </w:tc>
      </w:tr>
    </w:tbl>
    <w:p>
      <w:pPr>
        <w:pStyle w:val="39"/>
        <w:numPr>
          <w:ilvl w:val="4"/>
          <w:numId w:val="0"/>
        </w:numPr>
        <w:jc w:val="both"/>
        <w:rPr>
          <w:color w:val="000000" w:themeColor="text1"/>
          <w14:textFill>
            <w14:solidFill>
              <w14:schemeClr w14:val="tx1"/>
            </w14:solidFill>
          </w14:textFill>
        </w:rPr>
      </w:pPr>
    </w:p>
    <w:p>
      <w:pPr>
        <w:pStyle w:val="39"/>
        <w:rPr>
          <w:color w:val="000000" w:themeColor="text1"/>
          <w14:textFill>
            <w14:solidFill>
              <w14:schemeClr w14:val="tx1"/>
            </w14:solidFill>
          </w14:textFill>
        </w:rPr>
      </w:pPr>
      <w:r>
        <w:rPr>
          <w:color w:val="000000" w:themeColor="text1"/>
          <w14:textFill>
            <w14:solidFill>
              <w14:schemeClr w14:val="tx1"/>
            </w14:solidFill>
          </w14:textFill>
        </w:rPr>
        <w:t>燃料油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0号柴油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特性</w:t>
      </w:r>
    </w:p>
    <w:tbl>
      <w:tblPr>
        <w:tblStyle w:val="206"/>
        <w:tblW w:w="8805" w:type="dxa"/>
        <w:tblInd w:w="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0"/>
        <w:gridCol w:w="1984"/>
        <w:gridCol w:w="1132"/>
        <w:gridCol w:w="993"/>
        <w:gridCol w:w="1463"/>
        <w:gridCol w:w="14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760"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指标</w:t>
            </w:r>
          </w:p>
        </w:tc>
        <w:tc>
          <w:tcPr>
            <w:tcW w:w="1984"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特性</w:t>
            </w:r>
          </w:p>
        </w:tc>
        <w:tc>
          <w:tcPr>
            <w:tcW w:w="1132"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指标</w:t>
            </w:r>
          </w:p>
        </w:tc>
        <w:tc>
          <w:tcPr>
            <w:tcW w:w="993"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特性</w:t>
            </w:r>
          </w:p>
        </w:tc>
        <w:tc>
          <w:tcPr>
            <w:tcW w:w="1463"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指标</w:t>
            </w:r>
          </w:p>
        </w:tc>
        <w:tc>
          <w:tcPr>
            <w:tcW w:w="1473"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特性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760"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恩氏</w:t>
            </w:r>
            <w:r>
              <w:rPr>
                <w:rFonts w:hint="eastAsia" w:cs="Arial" w:eastAsiaTheme="minorEastAsia"/>
                <w:snapToGrid w:val="0"/>
                <w:color w:val="000000" w:themeColor="text1"/>
                <w:sz w:val="22"/>
                <w14:textFill>
                  <w14:solidFill>
                    <w14:schemeClr w14:val="tx1"/>
                  </w14:solidFill>
                </w14:textFill>
              </w:rPr>
              <w:t>黏度</w:t>
            </w:r>
            <w:r>
              <w:rPr>
                <w:rFonts w:cs="Arial" w:eastAsiaTheme="minorEastAsia"/>
                <w:snapToGrid w:val="0"/>
                <w:color w:val="000000" w:themeColor="text1"/>
                <w:sz w:val="22"/>
                <w14:textFill>
                  <w14:solidFill>
                    <w14:schemeClr w14:val="tx1"/>
                  </w14:solidFill>
                </w14:textFill>
              </w:rPr>
              <w:t>(20℃时)</w:t>
            </w:r>
          </w:p>
        </w:tc>
        <w:tc>
          <w:tcPr>
            <w:tcW w:w="1984" w:type="dxa"/>
            <w:vAlign w:val="center"/>
          </w:tcPr>
          <w:p>
            <w:pPr>
              <w:spacing w:line="18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1.2～1.67OE</w:t>
            </w:r>
          </w:p>
        </w:tc>
        <w:tc>
          <w:tcPr>
            <w:tcW w:w="1132" w:type="dxa"/>
            <w:vAlign w:val="center"/>
          </w:tcPr>
          <w:p>
            <w:pPr>
              <w:spacing w:line="183"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灰分</w:t>
            </w:r>
          </w:p>
        </w:tc>
        <w:tc>
          <w:tcPr>
            <w:tcW w:w="993"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≤0.025%</w:t>
            </w:r>
          </w:p>
        </w:tc>
        <w:tc>
          <w:tcPr>
            <w:tcW w:w="1463" w:type="dxa"/>
            <w:vAlign w:val="center"/>
          </w:tcPr>
          <w:p>
            <w:pPr>
              <w:spacing w:line="183"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硫</w:t>
            </w:r>
          </w:p>
        </w:tc>
        <w:tc>
          <w:tcPr>
            <w:tcW w:w="1473"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760"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动力</w:t>
            </w:r>
            <w:r>
              <w:rPr>
                <w:rFonts w:hint="eastAsia" w:cs="Arial" w:eastAsiaTheme="minorEastAsia"/>
                <w:snapToGrid w:val="0"/>
                <w:color w:val="000000" w:themeColor="text1"/>
                <w:sz w:val="22"/>
                <w14:textFill>
                  <w14:solidFill>
                    <w14:schemeClr w14:val="tx1"/>
                  </w14:solidFill>
                </w14:textFill>
              </w:rPr>
              <w:t>黏度</w:t>
            </w:r>
          </w:p>
        </w:tc>
        <w:tc>
          <w:tcPr>
            <w:tcW w:w="1984"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3.0～8.0×10-6 ㎡/S</w:t>
            </w:r>
          </w:p>
        </w:tc>
        <w:tc>
          <w:tcPr>
            <w:tcW w:w="1132"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水</w:t>
            </w:r>
            <w:r>
              <w:rPr>
                <w:rFonts w:hint="eastAsia" w:cs="Arial" w:eastAsiaTheme="minorEastAsia"/>
                <w:snapToGrid w:val="0"/>
                <w:color w:val="000000" w:themeColor="text1"/>
                <w:sz w:val="22"/>
                <w14:textFill>
                  <w14:solidFill>
                    <w14:schemeClr w14:val="tx1"/>
                  </w14:solidFill>
                </w14:textFill>
              </w:rPr>
              <w:t>分</w:t>
            </w:r>
          </w:p>
        </w:tc>
        <w:tc>
          <w:tcPr>
            <w:tcW w:w="993"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痕迹</w:t>
            </w:r>
          </w:p>
        </w:tc>
        <w:tc>
          <w:tcPr>
            <w:tcW w:w="1463"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10%蒸发物残炭</w:t>
            </w:r>
          </w:p>
        </w:tc>
        <w:tc>
          <w:tcPr>
            <w:tcW w:w="1473"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760"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闭口闪点</w:t>
            </w:r>
          </w:p>
        </w:tc>
        <w:tc>
          <w:tcPr>
            <w:tcW w:w="1984"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大于 55℃</w:t>
            </w:r>
          </w:p>
        </w:tc>
        <w:tc>
          <w:tcPr>
            <w:tcW w:w="1132"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机械杂质</w:t>
            </w:r>
          </w:p>
        </w:tc>
        <w:tc>
          <w:tcPr>
            <w:tcW w:w="993"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无</w:t>
            </w:r>
          </w:p>
        </w:tc>
        <w:tc>
          <w:tcPr>
            <w:tcW w:w="1463"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p>
        </w:tc>
        <w:tc>
          <w:tcPr>
            <w:tcW w:w="1473"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760"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低位发热值</w:t>
            </w:r>
          </w:p>
        </w:tc>
        <w:tc>
          <w:tcPr>
            <w:tcW w:w="1984"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41868kJ/kg</w:t>
            </w:r>
          </w:p>
        </w:tc>
        <w:tc>
          <w:tcPr>
            <w:tcW w:w="1132"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凝固点</w:t>
            </w:r>
          </w:p>
        </w:tc>
        <w:tc>
          <w:tcPr>
            <w:tcW w:w="993"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≤0℃</w:t>
            </w:r>
          </w:p>
        </w:tc>
        <w:tc>
          <w:tcPr>
            <w:tcW w:w="1463"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p>
        </w:tc>
        <w:tc>
          <w:tcPr>
            <w:tcW w:w="1473"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p>
        </w:tc>
      </w:tr>
    </w:tbl>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根据龙桥热电厂运行记录，1125t/h循环流化床锅炉近</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年实际用煤量及煤质见表2</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，燃煤发电机组近</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年实际运行时间、发电量、供热量、平均负荷率见表2</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循环流化床锅炉近</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年实际用煤量及煤质一览表</w:t>
      </w:r>
    </w:p>
    <w:tbl>
      <w:tblPr>
        <w:tblStyle w:val="206"/>
        <w:tblW w:w="8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6"/>
        <w:gridCol w:w="1291"/>
        <w:gridCol w:w="1966"/>
        <w:gridCol w:w="1043"/>
        <w:gridCol w:w="1043"/>
        <w:gridCol w:w="1253"/>
        <w:gridCol w:w="14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706" w:type="dxa"/>
            <w:vMerge w:val="restart"/>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年份</w:t>
            </w:r>
          </w:p>
        </w:tc>
        <w:tc>
          <w:tcPr>
            <w:tcW w:w="1291" w:type="dxa"/>
            <w:vMerge w:val="restart"/>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实际运行时间</w:t>
            </w:r>
          </w:p>
        </w:tc>
        <w:tc>
          <w:tcPr>
            <w:tcW w:w="1966" w:type="dxa"/>
            <w:vMerge w:val="restart"/>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实际耗煤量（万t/a）</w:t>
            </w:r>
          </w:p>
        </w:tc>
        <w:tc>
          <w:tcPr>
            <w:tcW w:w="4761" w:type="dxa"/>
            <w:gridSpan w:val="4"/>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煤质</w:t>
            </w:r>
            <w:r>
              <w:rPr>
                <w:rFonts w:hint="eastAsia" w:cs="Arial" w:eastAsiaTheme="minorEastAsia"/>
                <w:snapToGrid w:val="0"/>
                <w:color w:val="000000" w:themeColor="text1"/>
                <w:sz w:val="22"/>
                <w14:textFill>
                  <w14:solidFill>
                    <w14:schemeClr w14:val="tx1"/>
                  </w14:solidFill>
                </w14:textFill>
              </w:rPr>
              <w:t>（烟煤）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706" w:type="dxa"/>
            <w:vMerge w:val="continue"/>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p>
        </w:tc>
        <w:tc>
          <w:tcPr>
            <w:tcW w:w="1291" w:type="dxa"/>
            <w:vMerge w:val="continue"/>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p>
        </w:tc>
        <w:tc>
          <w:tcPr>
            <w:tcW w:w="1966" w:type="dxa"/>
            <w:vMerge w:val="continue"/>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p>
        </w:tc>
        <w:tc>
          <w:tcPr>
            <w:tcW w:w="1043"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硫分（%）</w:t>
            </w:r>
          </w:p>
        </w:tc>
        <w:tc>
          <w:tcPr>
            <w:tcW w:w="1043"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灰分（%）</w:t>
            </w:r>
          </w:p>
        </w:tc>
        <w:tc>
          <w:tcPr>
            <w:tcW w:w="1253"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挥发分（%）</w:t>
            </w:r>
          </w:p>
        </w:tc>
        <w:tc>
          <w:tcPr>
            <w:tcW w:w="1422"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热值（MJ/kg）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706"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2020年</w:t>
            </w:r>
          </w:p>
        </w:tc>
        <w:tc>
          <w:tcPr>
            <w:tcW w:w="1291" w:type="dxa"/>
            <w:vAlign w:val="center"/>
          </w:tcPr>
          <w:p>
            <w:pPr>
              <w:spacing w:line="18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8147.92</w:t>
            </w:r>
          </w:p>
        </w:tc>
        <w:tc>
          <w:tcPr>
            <w:tcW w:w="1966" w:type="dxa"/>
            <w:vAlign w:val="center"/>
          </w:tcPr>
          <w:p>
            <w:pPr>
              <w:spacing w:line="183"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98.6526</w:t>
            </w:r>
          </w:p>
        </w:tc>
        <w:tc>
          <w:tcPr>
            <w:tcW w:w="1043"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hint="eastAsia" w:cs="Arial" w:eastAsiaTheme="minorEastAsia"/>
                <w:snapToGrid w:val="0"/>
                <w:color w:val="000000" w:themeColor="text1"/>
                <w:sz w:val="22"/>
                <w14:textFill>
                  <w14:solidFill>
                    <w14:schemeClr w14:val="tx1"/>
                  </w14:solidFill>
                </w14:textFill>
              </w:rPr>
              <w:t>3</w:t>
            </w:r>
            <w:r>
              <w:rPr>
                <w:rFonts w:cs="Arial" w:eastAsiaTheme="minorEastAsia"/>
                <w:snapToGrid w:val="0"/>
                <w:color w:val="000000" w:themeColor="text1"/>
                <w:sz w:val="22"/>
                <w14:textFill>
                  <w14:solidFill>
                    <w14:schemeClr w14:val="tx1"/>
                  </w14:solidFill>
                </w14:textFill>
              </w:rPr>
              <w:t>.1</w:t>
            </w:r>
          </w:p>
        </w:tc>
        <w:tc>
          <w:tcPr>
            <w:tcW w:w="1043" w:type="dxa"/>
            <w:vAlign w:val="center"/>
          </w:tcPr>
          <w:p>
            <w:pPr>
              <w:spacing w:line="183" w:lineRule="auto"/>
              <w:ind w:firstLine="0" w:firstLineChars="0"/>
              <w:jc w:val="center"/>
              <w:rPr>
                <w:rFonts w:cs="Arial" w:eastAsiaTheme="minorEastAsia"/>
                <w:snapToGrid w:val="0"/>
                <w:color w:val="000000" w:themeColor="text1"/>
                <w:sz w:val="22"/>
                <w14:textFill>
                  <w14:solidFill>
                    <w14:schemeClr w14:val="tx1"/>
                  </w14:solidFill>
                </w14:textFill>
              </w:rPr>
            </w:pPr>
            <w:r>
              <w:rPr>
                <w:rFonts w:hint="eastAsia" w:cs="Arial" w:eastAsiaTheme="minorEastAsia"/>
                <w:snapToGrid w:val="0"/>
                <w:color w:val="000000" w:themeColor="text1"/>
                <w:sz w:val="22"/>
                <w14:textFill>
                  <w14:solidFill>
                    <w14:schemeClr w14:val="tx1"/>
                  </w14:solidFill>
                </w14:textFill>
              </w:rPr>
              <w:t>3</w:t>
            </w:r>
            <w:r>
              <w:rPr>
                <w:rFonts w:cs="Arial" w:eastAsiaTheme="minorEastAsia"/>
                <w:snapToGrid w:val="0"/>
                <w:color w:val="000000" w:themeColor="text1"/>
                <w:sz w:val="22"/>
                <w14:textFill>
                  <w14:solidFill>
                    <w14:schemeClr w14:val="tx1"/>
                  </w14:solidFill>
                </w14:textFill>
              </w:rPr>
              <w:t>3.87</w:t>
            </w:r>
          </w:p>
        </w:tc>
        <w:tc>
          <w:tcPr>
            <w:tcW w:w="1253"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hint="eastAsia" w:cs="Arial" w:eastAsiaTheme="minorEastAsia"/>
                <w:snapToGrid w:val="0"/>
                <w:color w:val="000000" w:themeColor="text1"/>
                <w:sz w:val="22"/>
                <w14:textFill>
                  <w14:solidFill>
                    <w14:schemeClr w14:val="tx1"/>
                  </w14:solidFill>
                </w14:textFill>
              </w:rPr>
              <w:t>2</w:t>
            </w:r>
            <w:r>
              <w:rPr>
                <w:rFonts w:cs="Arial" w:eastAsiaTheme="minorEastAsia"/>
                <w:snapToGrid w:val="0"/>
                <w:color w:val="000000" w:themeColor="text1"/>
                <w:sz w:val="22"/>
                <w14:textFill>
                  <w14:solidFill>
                    <w14:schemeClr w14:val="tx1"/>
                  </w14:solidFill>
                </w14:textFill>
              </w:rPr>
              <w:t>1.09</w:t>
            </w:r>
          </w:p>
        </w:tc>
        <w:tc>
          <w:tcPr>
            <w:tcW w:w="1422"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hint="eastAsia" w:cs="Arial" w:eastAsiaTheme="minorEastAsia"/>
                <w:snapToGrid w:val="0"/>
                <w:color w:val="000000" w:themeColor="text1"/>
                <w:sz w:val="22"/>
                <w14:textFill>
                  <w14:solidFill>
                    <w14:schemeClr w14:val="tx1"/>
                  </w14:solidFill>
                </w14:textFill>
              </w:rPr>
              <w:t>1</w:t>
            </w:r>
            <w:r>
              <w:rPr>
                <w:rFonts w:cs="Arial" w:eastAsiaTheme="minorEastAsia"/>
                <w:snapToGrid w:val="0"/>
                <w:color w:val="000000" w:themeColor="text1"/>
                <w:sz w:val="22"/>
                <w14:textFill>
                  <w14:solidFill>
                    <w14:schemeClr w14:val="tx1"/>
                  </w14:solidFill>
                </w14:textFill>
              </w:rPr>
              <w:t>8.76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06"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2021年</w:t>
            </w:r>
          </w:p>
        </w:tc>
        <w:tc>
          <w:tcPr>
            <w:tcW w:w="1291"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hint="eastAsia" w:cs="Arial" w:eastAsiaTheme="minorEastAsia"/>
                <w:snapToGrid w:val="0"/>
                <w:color w:val="000000" w:themeColor="text1"/>
                <w:sz w:val="22"/>
                <w14:textFill>
                  <w14:solidFill>
                    <w14:schemeClr w14:val="tx1"/>
                  </w14:solidFill>
                </w14:textFill>
              </w:rPr>
              <w:t>4</w:t>
            </w:r>
            <w:r>
              <w:rPr>
                <w:rFonts w:cs="Arial" w:eastAsiaTheme="minorEastAsia"/>
                <w:snapToGrid w:val="0"/>
                <w:color w:val="000000" w:themeColor="text1"/>
                <w:sz w:val="22"/>
                <w14:textFill>
                  <w14:solidFill>
                    <w14:schemeClr w14:val="tx1"/>
                  </w14:solidFill>
                </w14:textFill>
              </w:rPr>
              <w:t>943.5</w:t>
            </w:r>
          </w:p>
        </w:tc>
        <w:tc>
          <w:tcPr>
            <w:tcW w:w="1966"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hint="eastAsia" w:cs="Arial" w:eastAsiaTheme="minorEastAsia"/>
                <w:snapToGrid w:val="0"/>
                <w:color w:val="000000" w:themeColor="text1"/>
                <w:sz w:val="22"/>
                <w14:textFill>
                  <w14:solidFill>
                    <w14:schemeClr w14:val="tx1"/>
                  </w14:solidFill>
                </w14:textFill>
              </w:rPr>
              <w:t>5</w:t>
            </w:r>
            <w:r>
              <w:rPr>
                <w:rFonts w:cs="Arial" w:eastAsiaTheme="minorEastAsia"/>
                <w:snapToGrid w:val="0"/>
                <w:color w:val="000000" w:themeColor="text1"/>
                <w:sz w:val="22"/>
                <w14:textFill>
                  <w14:solidFill>
                    <w14:schemeClr w14:val="tx1"/>
                  </w14:solidFill>
                </w14:textFill>
              </w:rPr>
              <w:t>8.2187</w:t>
            </w:r>
          </w:p>
        </w:tc>
        <w:tc>
          <w:tcPr>
            <w:tcW w:w="1043"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hint="eastAsia" w:cs="Arial" w:eastAsiaTheme="minorEastAsia"/>
                <w:snapToGrid w:val="0"/>
                <w:color w:val="000000" w:themeColor="text1"/>
                <w:sz w:val="22"/>
                <w14:textFill>
                  <w14:solidFill>
                    <w14:schemeClr w14:val="tx1"/>
                  </w14:solidFill>
                </w14:textFill>
              </w:rPr>
              <w:t>3</w:t>
            </w:r>
            <w:r>
              <w:rPr>
                <w:rFonts w:cs="Arial" w:eastAsiaTheme="minorEastAsia"/>
                <w:snapToGrid w:val="0"/>
                <w:color w:val="000000" w:themeColor="text1"/>
                <w:sz w:val="22"/>
                <w14:textFill>
                  <w14:solidFill>
                    <w14:schemeClr w14:val="tx1"/>
                  </w14:solidFill>
                </w14:textFill>
              </w:rPr>
              <w:t>.18</w:t>
            </w:r>
          </w:p>
        </w:tc>
        <w:tc>
          <w:tcPr>
            <w:tcW w:w="1043"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hint="eastAsia" w:cs="Arial" w:eastAsiaTheme="minorEastAsia"/>
                <w:snapToGrid w:val="0"/>
                <w:color w:val="000000" w:themeColor="text1"/>
                <w:sz w:val="22"/>
                <w14:textFill>
                  <w14:solidFill>
                    <w14:schemeClr w14:val="tx1"/>
                  </w14:solidFill>
                </w14:textFill>
              </w:rPr>
              <w:t>3</w:t>
            </w:r>
            <w:r>
              <w:rPr>
                <w:rFonts w:cs="Arial" w:eastAsiaTheme="minorEastAsia"/>
                <w:snapToGrid w:val="0"/>
                <w:color w:val="000000" w:themeColor="text1"/>
                <w:sz w:val="22"/>
                <w14:textFill>
                  <w14:solidFill>
                    <w14:schemeClr w14:val="tx1"/>
                  </w14:solidFill>
                </w14:textFill>
              </w:rPr>
              <w:t>2.65</w:t>
            </w:r>
          </w:p>
        </w:tc>
        <w:tc>
          <w:tcPr>
            <w:tcW w:w="1253"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hint="eastAsia" w:cs="Arial" w:eastAsiaTheme="minorEastAsia"/>
                <w:snapToGrid w:val="0"/>
                <w:color w:val="000000" w:themeColor="text1"/>
                <w:sz w:val="22"/>
                <w14:textFill>
                  <w14:solidFill>
                    <w14:schemeClr w14:val="tx1"/>
                  </w14:solidFill>
                </w14:textFill>
              </w:rPr>
              <w:t>1</w:t>
            </w:r>
            <w:r>
              <w:rPr>
                <w:rFonts w:cs="Arial" w:eastAsiaTheme="minorEastAsia"/>
                <w:snapToGrid w:val="0"/>
                <w:color w:val="000000" w:themeColor="text1"/>
                <w:sz w:val="22"/>
                <w14:textFill>
                  <w14:solidFill>
                    <w14:schemeClr w14:val="tx1"/>
                  </w14:solidFill>
                </w14:textFill>
              </w:rPr>
              <w:t>3.31</w:t>
            </w:r>
          </w:p>
        </w:tc>
        <w:tc>
          <w:tcPr>
            <w:tcW w:w="1422"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hint="eastAsia" w:cs="Arial" w:eastAsiaTheme="minorEastAsia"/>
                <w:snapToGrid w:val="0"/>
                <w:color w:val="000000" w:themeColor="text1"/>
                <w:sz w:val="22"/>
                <w14:textFill>
                  <w14:solidFill>
                    <w14:schemeClr w14:val="tx1"/>
                  </w14:solidFill>
                </w14:textFill>
              </w:rPr>
              <w:t>1</w:t>
            </w:r>
            <w:r>
              <w:rPr>
                <w:rFonts w:cs="Arial" w:eastAsiaTheme="minorEastAsia"/>
                <w:snapToGrid w:val="0"/>
                <w:color w:val="000000" w:themeColor="text1"/>
                <w:sz w:val="22"/>
                <w14:textFill>
                  <w14:solidFill>
                    <w14:schemeClr w14:val="tx1"/>
                  </w14:solidFill>
                </w14:textFill>
              </w:rPr>
              <w:t>9.189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06"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hint="eastAsia" w:cs="Arial" w:eastAsiaTheme="minorEastAsia"/>
                <w:snapToGrid w:val="0"/>
                <w:color w:val="000000" w:themeColor="text1"/>
                <w:sz w:val="22"/>
                <w14:textFill>
                  <w14:solidFill>
                    <w14:schemeClr w14:val="tx1"/>
                  </w14:solidFill>
                </w14:textFill>
              </w:rPr>
              <w:t>2</w:t>
            </w:r>
            <w:r>
              <w:rPr>
                <w:rFonts w:cs="Arial" w:eastAsiaTheme="minorEastAsia"/>
                <w:snapToGrid w:val="0"/>
                <w:color w:val="000000" w:themeColor="text1"/>
                <w:sz w:val="22"/>
                <w14:textFill>
                  <w14:solidFill>
                    <w14:schemeClr w14:val="tx1"/>
                  </w14:solidFill>
                </w14:textFill>
              </w:rPr>
              <w:t>022</w:t>
            </w:r>
            <w:r>
              <w:rPr>
                <w:rFonts w:hint="eastAsia" w:cs="Arial" w:eastAsiaTheme="minorEastAsia"/>
                <w:snapToGrid w:val="0"/>
                <w:color w:val="000000" w:themeColor="text1"/>
                <w:sz w:val="22"/>
                <w14:textFill>
                  <w14:solidFill>
                    <w14:schemeClr w14:val="tx1"/>
                  </w14:solidFill>
                </w14:textFill>
              </w:rPr>
              <w:t>年</w:t>
            </w:r>
          </w:p>
        </w:tc>
        <w:tc>
          <w:tcPr>
            <w:tcW w:w="1291"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hint="eastAsia" w:cs="Arial" w:eastAsiaTheme="minorEastAsia"/>
                <w:snapToGrid w:val="0"/>
                <w:color w:val="000000" w:themeColor="text1"/>
                <w:sz w:val="22"/>
                <w14:textFill>
                  <w14:solidFill>
                    <w14:schemeClr w14:val="tx1"/>
                  </w14:solidFill>
                </w14:textFill>
              </w:rPr>
              <w:t>7</w:t>
            </w:r>
            <w:r>
              <w:rPr>
                <w:rFonts w:cs="Arial" w:eastAsiaTheme="minorEastAsia"/>
                <w:snapToGrid w:val="0"/>
                <w:color w:val="000000" w:themeColor="text1"/>
                <w:sz w:val="22"/>
                <w14:textFill>
                  <w14:solidFill>
                    <w14:schemeClr w14:val="tx1"/>
                  </w14:solidFill>
                </w14:textFill>
              </w:rPr>
              <w:t>235.5</w:t>
            </w:r>
          </w:p>
        </w:tc>
        <w:tc>
          <w:tcPr>
            <w:tcW w:w="1966"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hint="eastAsia" w:cs="Arial" w:eastAsiaTheme="minorEastAsia"/>
                <w:snapToGrid w:val="0"/>
                <w:color w:val="000000" w:themeColor="text1"/>
                <w:sz w:val="22"/>
                <w14:textFill>
                  <w14:solidFill>
                    <w14:schemeClr w14:val="tx1"/>
                  </w14:solidFill>
                </w14:textFill>
              </w:rPr>
              <w:t>9</w:t>
            </w:r>
            <w:r>
              <w:rPr>
                <w:rFonts w:cs="Arial" w:eastAsiaTheme="minorEastAsia"/>
                <w:snapToGrid w:val="0"/>
                <w:color w:val="000000" w:themeColor="text1"/>
                <w:sz w:val="22"/>
                <w14:textFill>
                  <w14:solidFill>
                    <w14:schemeClr w14:val="tx1"/>
                  </w14:solidFill>
                </w14:textFill>
              </w:rPr>
              <w:t>1.6502</w:t>
            </w:r>
          </w:p>
        </w:tc>
        <w:tc>
          <w:tcPr>
            <w:tcW w:w="1043"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hint="eastAsia" w:cs="Arial" w:eastAsiaTheme="minorEastAsia"/>
                <w:snapToGrid w:val="0"/>
                <w:color w:val="000000" w:themeColor="text1"/>
                <w:sz w:val="22"/>
                <w14:textFill>
                  <w14:solidFill>
                    <w14:schemeClr w14:val="tx1"/>
                  </w14:solidFill>
                </w14:textFill>
              </w:rPr>
              <w:t>2</w:t>
            </w:r>
            <w:r>
              <w:rPr>
                <w:rFonts w:cs="Arial" w:eastAsiaTheme="minorEastAsia"/>
                <w:snapToGrid w:val="0"/>
                <w:color w:val="000000" w:themeColor="text1"/>
                <w:sz w:val="22"/>
                <w14:textFill>
                  <w14:solidFill>
                    <w14:schemeClr w14:val="tx1"/>
                  </w14:solidFill>
                </w14:textFill>
              </w:rPr>
              <w:t>.97</w:t>
            </w:r>
          </w:p>
        </w:tc>
        <w:tc>
          <w:tcPr>
            <w:tcW w:w="1043"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hint="eastAsia" w:cs="Arial" w:eastAsiaTheme="minorEastAsia"/>
                <w:snapToGrid w:val="0"/>
                <w:color w:val="000000" w:themeColor="text1"/>
                <w:sz w:val="22"/>
                <w14:textFill>
                  <w14:solidFill>
                    <w14:schemeClr w14:val="tx1"/>
                  </w14:solidFill>
                </w14:textFill>
              </w:rPr>
              <w:t>3</w:t>
            </w:r>
            <w:r>
              <w:rPr>
                <w:rFonts w:cs="Arial" w:eastAsiaTheme="minorEastAsia"/>
                <w:snapToGrid w:val="0"/>
                <w:color w:val="000000" w:themeColor="text1"/>
                <w:sz w:val="22"/>
                <w14:textFill>
                  <w14:solidFill>
                    <w14:schemeClr w14:val="tx1"/>
                  </w14:solidFill>
                </w14:textFill>
              </w:rPr>
              <w:t>2.34</w:t>
            </w:r>
          </w:p>
        </w:tc>
        <w:tc>
          <w:tcPr>
            <w:tcW w:w="1253"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hint="eastAsia" w:cs="Arial" w:eastAsiaTheme="minorEastAsia"/>
                <w:snapToGrid w:val="0"/>
                <w:color w:val="000000" w:themeColor="text1"/>
                <w:sz w:val="22"/>
                <w14:textFill>
                  <w14:solidFill>
                    <w14:schemeClr w14:val="tx1"/>
                  </w14:solidFill>
                </w14:textFill>
              </w:rPr>
              <w:t>2</w:t>
            </w:r>
            <w:r>
              <w:rPr>
                <w:rFonts w:cs="Arial" w:eastAsiaTheme="minorEastAsia"/>
                <w:snapToGrid w:val="0"/>
                <w:color w:val="000000" w:themeColor="text1"/>
                <w:sz w:val="22"/>
                <w14:textFill>
                  <w14:solidFill>
                    <w14:schemeClr w14:val="tx1"/>
                  </w14:solidFill>
                </w14:textFill>
              </w:rPr>
              <w:t>6.49</w:t>
            </w:r>
          </w:p>
        </w:tc>
        <w:tc>
          <w:tcPr>
            <w:tcW w:w="1422"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hint="eastAsia" w:cs="Arial" w:eastAsiaTheme="minorEastAsia"/>
                <w:snapToGrid w:val="0"/>
                <w:color w:val="000000" w:themeColor="text1"/>
                <w:sz w:val="22"/>
                <w14:textFill>
                  <w14:solidFill>
                    <w14:schemeClr w14:val="tx1"/>
                  </w14:solidFill>
                </w14:textFill>
              </w:rPr>
              <w:t>1</w:t>
            </w:r>
            <w:r>
              <w:rPr>
                <w:rFonts w:cs="Arial" w:eastAsiaTheme="minorEastAsia"/>
                <w:snapToGrid w:val="0"/>
                <w:color w:val="000000" w:themeColor="text1"/>
                <w:sz w:val="22"/>
                <w14:textFill>
                  <w14:solidFill>
                    <w14:schemeClr w14:val="tx1"/>
                  </w14:solidFill>
                </w14:textFill>
              </w:rPr>
              <w:t>8.469</w:t>
            </w:r>
          </w:p>
        </w:tc>
      </w:tr>
    </w:tbl>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燃煤发电机组近</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年实际运行情况表</w:t>
      </w:r>
    </w:p>
    <w:tbl>
      <w:tblPr>
        <w:tblStyle w:val="206"/>
        <w:tblW w:w="8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8"/>
        <w:gridCol w:w="1921"/>
        <w:gridCol w:w="2260"/>
        <w:gridCol w:w="1809"/>
        <w:gridCol w:w="19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38"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年份</w:t>
            </w:r>
          </w:p>
        </w:tc>
        <w:tc>
          <w:tcPr>
            <w:tcW w:w="1921"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实际运行时间（h）</w:t>
            </w:r>
          </w:p>
        </w:tc>
        <w:tc>
          <w:tcPr>
            <w:tcW w:w="2260"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发电量（万千瓦时）</w:t>
            </w:r>
          </w:p>
        </w:tc>
        <w:tc>
          <w:tcPr>
            <w:tcW w:w="1809"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供热量（万吉焦）</w:t>
            </w:r>
          </w:p>
        </w:tc>
        <w:tc>
          <w:tcPr>
            <w:tcW w:w="1996"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年平均负荷率（%）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738"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2020年</w:t>
            </w:r>
          </w:p>
        </w:tc>
        <w:tc>
          <w:tcPr>
            <w:tcW w:w="1921" w:type="dxa"/>
            <w:vAlign w:val="center"/>
          </w:tcPr>
          <w:p>
            <w:pPr>
              <w:spacing w:line="18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8147.92</w:t>
            </w:r>
          </w:p>
        </w:tc>
        <w:tc>
          <w:tcPr>
            <w:tcW w:w="2260" w:type="dxa"/>
            <w:vAlign w:val="center"/>
          </w:tcPr>
          <w:p>
            <w:pPr>
              <w:spacing w:line="183" w:lineRule="auto"/>
              <w:ind w:firstLine="0" w:firstLineChars="0"/>
              <w:jc w:val="center"/>
              <w:rPr>
                <w:rFonts w:cs="Arial" w:eastAsiaTheme="minorEastAsia"/>
                <w:snapToGrid w:val="0"/>
                <w:color w:val="000000" w:themeColor="text1"/>
                <w:sz w:val="22"/>
                <w14:textFill>
                  <w14:solidFill>
                    <w14:schemeClr w14:val="tx1"/>
                  </w14:solidFill>
                </w14:textFill>
              </w:rPr>
            </w:pPr>
            <w:r>
              <w:rPr>
                <w:rFonts w:hint="eastAsia" w:cs="Arial" w:eastAsiaTheme="minorEastAsia"/>
                <w:snapToGrid w:val="0"/>
                <w:color w:val="000000" w:themeColor="text1"/>
                <w:sz w:val="22"/>
                <w14:textFill>
                  <w14:solidFill>
                    <w14:schemeClr w14:val="tx1"/>
                  </w14:solidFill>
                </w14:textFill>
              </w:rPr>
              <w:t>1</w:t>
            </w:r>
            <w:r>
              <w:rPr>
                <w:rFonts w:cs="Arial" w:eastAsiaTheme="minorEastAsia"/>
                <w:snapToGrid w:val="0"/>
                <w:color w:val="000000" w:themeColor="text1"/>
                <w:sz w:val="22"/>
                <w14:textFill>
                  <w14:solidFill>
                    <w14:schemeClr w14:val="tx1"/>
                  </w14:solidFill>
                </w14:textFill>
              </w:rPr>
              <w:t>85797.64</w:t>
            </w:r>
          </w:p>
        </w:tc>
        <w:tc>
          <w:tcPr>
            <w:tcW w:w="1809" w:type="dxa"/>
            <w:vAlign w:val="center"/>
          </w:tcPr>
          <w:p>
            <w:pPr>
              <w:spacing w:line="183"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101.84</w:t>
            </w:r>
          </w:p>
        </w:tc>
        <w:tc>
          <w:tcPr>
            <w:tcW w:w="1996" w:type="dxa"/>
            <w:vAlign w:val="center"/>
          </w:tcPr>
          <w:p>
            <w:pPr>
              <w:spacing w:line="183"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79.48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38"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2021年</w:t>
            </w:r>
          </w:p>
        </w:tc>
        <w:tc>
          <w:tcPr>
            <w:tcW w:w="1921"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hint="eastAsia" w:cs="Arial" w:eastAsiaTheme="minorEastAsia"/>
                <w:snapToGrid w:val="0"/>
                <w:color w:val="000000" w:themeColor="text1"/>
                <w:sz w:val="22"/>
                <w14:textFill>
                  <w14:solidFill>
                    <w14:schemeClr w14:val="tx1"/>
                  </w14:solidFill>
                </w14:textFill>
              </w:rPr>
              <w:t>4</w:t>
            </w:r>
            <w:r>
              <w:rPr>
                <w:rFonts w:cs="Arial" w:eastAsiaTheme="minorEastAsia"/>
                <w:snapToGrid w:val="0"/>
                <w:color w:val="000000" w:themeColor="text1"/>
                <w:sz w:val="22"/>
                <w14:textFill>
                  <w14:solidFill>
                    <w14:schemeClr w14:val="tx1"/>
                  </w14:solidFill>
                </w14:textFill>
              </w:rPr>
              <w:t>943.5</w:t>
            </w:r>
          </w:p>
        </w:tc>
        <w:tc>
          <w:tcPr>
            <w:tcW w:w="2260"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hint="eastAsia" w:cs="Arial" w:eastAsiaTheme="minorEastAsia"/>
                <w:snapToGrid w:val="0"/>
                <w:color w:val="000000" w:themeColor="text1"/>
                <w:sz w:val="22"/>
                <w14:textFill>
                  <w14:solidFill>
                    <w14:schemeClr w14:val="tx1"/>
                  </w14:solidFill>
                </w14:textFill>
              </w:rPr>
              <w:t>1</w:t>
            </w:r>
            <w:r>
              <w:rPr>
                <w:rFonts w:cs="Arial" w:eastAsiaTheme="minorEastAsia"/>
                <w:snapToGrid w:val="0"/>
                <w:color w:val="000000" w:themeColor="text1"/>
                <w:sz w:val="22"/>
                <w14:textFill>
                  <w14:solidFill>
                    <w14:schemeClr w14:val="tx1"/>
                  </w14:solidFill>
                </w14:textFill>
              </w:rPr>
              <w:t>09732</w:t>
            </w:r>
          </w:p>
        </w:tc>
        <w:tc>
          <w:tcPr>
            <w:tcW w:w="1809"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hint="eastAsia" w:cs="Arial" w:eastAsiaTheme="minorEastAsia"/>
                <w:snapToGrid w:val="0"/>
                <w:color w:val="000000" w:themeColor="text1"/>
                <w:sz w:val="22"/>
                <w14:textFill>
                  <w14:solidFill>
                    <w14:schemeClr w14:val="tx1"/>
                  </w14:solidFill>
                </w14:textFill>
              </w:rPr>
              <w:t>5</w:t>
            </w:r>
            <w:r>
              <w:rPr>
                <w:rFonts w:cs="Arial" w:eastAsiaTheme="minorEastAsia"/>
                <w:snapToGrid w:val="0"/>
                <w:color w:val="000000" w:themeColor="text1"/>
                <w:sz w:val="22"/>
                <w14:textFill>
                  <w14:solidFill>
                    <w14:schemeClr w14:val="tx1"/>
                  </w14:solidFill>
                </w14:textFill>
              </w:rPr>
              <w:t>9.16</w:t>
            </w:r>
          </w:p>
        </w:tc>
        <w:tc>
          <w:tcPr>
            <w:tcW w:w="1996"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hint="eastAsia" w:cs="Arial" w:eastAsiaTheme="minorEastAsia"/>
                <w:snapToGrid w:val="0"/>
                <w:color w:val="000000" w:themeColor="text1"/>
                <w:sz w:val="22"/>
                <w14:textFill>
                  <w14:solidFill>
                    <w14:schemeClr w14:val="tx1"/>
                  </w14:solidFill>
                </w14:textFill>
              </w:rPr>
              <w:t>7</w:t>
            </w:r>
            <w:r>
              <w:rPr>
                <w:rFonts w:cs="Arial" w:eastAsiaTheme="minorEastAsia"/>
                <w:snapToGrid w:val="0"/>
                <w:color w:val="000000" w:themeColor="text1"/>
                <w:sz w:val="22"/>
                <w14:textFill>
                  <w14:solidFill>
                    <w14:schemeClr w14:val="tx1"/>
                  </w14:solidFill>
                </w14:textFill>
              </w:rPr>
              <w:t>7.32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38"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hint="eastAsia" w:cs="Arial" w:eastAsiaTheme="minorEastAsia"/>
                <w:snapToGrid w:val="0"/>
                <w:color w:val="000000" w:themeColor="text1"/>
                <w:sz w:val="22"/>
                <w14:textFill>
                  <w14:solidFill>
                    <w14:schemeClr w14:val="tx1"/>
                  </w14:solidFill>
                </w14:textFill>
              </w:rPr>
              <w:t>2</w:t>
            </w:r>
            <w:r>
              <w:rPr>
                <w:rFonts w:cs="Arial" w:eastAsiaTheme="minorEastAsia"/>
                <w:snapToGrid w:val="0"/>
                <w:color w:val="000000" w:themeColor="text1"/>
                <w:sz w:val="22"/>
                <w14:textFill>
                  <w14:solidFill>
                    <w14:schemeClr w14:val="tx1"/>
                  </w14:solidFill>
                </w14:textFill>
              </w:rPr>
              <w:t>022</w:t>
            </w:r>
            <w:r>
              <w:rPr>
                <w:rFonts w:hint="eastAsia" w:cs="Arial" w:eastAsiaTheme="minorEastAsia"/>
                <w:snapToGrid w:val="0"/>
                <w:color w:val="000000" w:themeColor="text1"/>
                <w:sz w:val="22"/>
                <w14:textFill>
                  <w14:solidFill>
                    <w14:schemeClr w14:val="tx1"/>
                  </w14:solidFill>
                </w14:textFill>
              </w:rPr>
              <w:t>年</w:t>
            </w:r>
          </w:p>
        </w:tc>
        <w:tc>
          <w:tcPr>
            <w:tcW w:w="1921"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hint="eastAsia" w:cs="Arial" w:eastAsiaTheme="minorEastAsia"/>
                <w:snapToGrid w:val="0"/>
                <w:color w:val="000000" w:themeColor="text1"/>
                <w:sz w:val="22"/>
                <w14:textFill>
                  <w14:solidFill>
                    <w14:schemeClr w14:val="tx1"/>
                  </w14:solidFill>
                </w14:textFill>
              </w:rPr>
              <w:t>7</w:t>
            </w:r>
            <w:r>
              <w:rPr>
                <w:rFonts w:cs="Arial" w:eastAsiaTheme="minorEastAsia"/>
                <w:snapToGrid w:val="0"/>
                <w:color w:val="000000" w:themeColor="text1"/>
                <w:sz w:val="22"/>
                <w14:textFill>
                  <w14:solidFill>
                    <w14:schemeClr w14:val="tx1"/>
                  </w14:solidFill>
                </w14:textFill>
              </w:rPr>
              <w:t>235.5</w:t>
            </w:r>
          </w:p>
        </w:tc>
        <w:tc>
          <w:tcPr>
            <w:tcW w:w="2260"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174081</w:t>
            </w:r>
          </w:p>
        </w:tc>
        <w:tc>
          <w:tcPr>
            <w:tcW w:w="1809"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72.75</w:t>
            </w:r>
          </w:p>
        </w:tc>
        <w:tc>
          <w:tcPr>
            <w:tcW w:w="1996" w:type="dxa"/>
            <w:vAlign w:val="center"/>
          </w:tcPr>
          <w:p>
            <w:pPr>
              <w:spacing w:line="240" w:lineRule="auto"/>
              <w:ind w:firstLine="0" w:firstLineChars="0"/>
              <w:jc w:val="center"/>
              <w:rPr>
                <w:rFonts w:cs="Arial" w:eastAsiaTheme="minorEastAsia"/>
                <w:snapToGrid w:val="0"/>
                <w:color w:val="000000" w:themeColor="text1"/>
                <w:sz w:val="22"/>
                <w14:textFill>
                  <w14:solidFill>
                    <w14:schemeClr w14:val="tx1"/>
                  </w14:solidFill>
                </w14:textFill>
              </w:rPr>
            </w:pPr>
            <w:r>
              <w:rPr>
                <w:rFonts w:cs="Arial" w:eastAsiaTheme="minorEastAsia"/>
                <w:snapToGrid w:val="0"/>
                <w:color w:val="000000" w:themeColor="text1"/>
                <w:sz w:val="22"/>
                <w14:textFill>
                  <w14:solidFill>
                    <w14:schemeClr w14:val="tx1"/>
                  </w14:solidFill>
                </w14:textFill>
              </w:rPr>
              <w:t>82.99</w:t>
            </w:r>
          </w:p>
        </w:tc>
      </w:tr>
    </w:tbl>
    <w:p>
      <w:pPr>
        <w:ind w:firstLine="520"/>
        <w:rPr>
          <w:color w:val="000000" w:themeColor="text1"/>
          <w14:textFill>
            <w14:solidFill>
              <w14:schemeClr w14:val="tx1"/>
            </w14:solidFill>
          </w14:textFill>
        </w:rPr>
      </w:pPr>
    </w:p>
    <w:p>
      <w:pPr>
        <w:pStyle w:val="3"/>
      </w:pPr>
      <w:bookmarkStart w:id="65" w:name="_Toc109888247"/>
      <w:r>
        <w:rPr>
          <w:rFonts w:hint="eastAsia"/>
        </w:rPr>
        <w:t>现有工程工艺流程及产排污环节</w:t>
      </w:r>
      <w:bookmarkEnd w:id="65"/>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现有项目为燃煤发电厂，工艺流程见图2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48655" cy="362077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750857" cy="3622447"/>
                    </a:xfrm>
                    <a:prstGeom prst="rect">
                      <a:avLst/>
                    </a:prstGeom>
                    <a:noFill/>
                    <a:ln>
                      <a:noFill/>
                    </a:ln>
                  </pic:spPr>
                </pic:pic>
              </a:graphicData>
            </a:graphic>
          </wp:inline>
        </w:drawing>
      </w:r>
      <w:r>
        <w:rPr>
          <w:color w:val="000000" w:themeColor="text1"/>
          <w14:textFill>
            <w14:solidFill>
              <w14:schemeClr w14:val="tx1"/>
            </w14:solidFill>
          </w14:textFill>
        </w:rPr>
        <w:t>图2.2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  热电联产工艺流程及产污</w:t>
      </w:r>
      <w:r>
        <w:rPr>
          <w:rFonts w:hint="eastAsia"/>
          <w:color w:val="000000" w:themeColor="text1"/>
          <w14:textFill>
            <w14:solidFill>
              <w14:schemeClr w14:val="tx1"/>
            </w14:solidFill>
          </w14:textFill>
        </w:rPr>
        <w:t>环节示意</w:t>
      </w:r>
      <w:r>
        <w:rPr>
          <w:color w:val="000000" w:themeColor="text1"/>
          <w14:textFill>
            <w14:solidFill>
              <w14:schemeClr w14:val="tx1"/>
            </w14:solidFill>
          </w14:textFill>
        </w:rPr>
        <w:t>图</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现有项目主要生产工艺流程简述如下：</w:t>
      </w:r>
    </w:p>
    <w:p>
      <w:pPr>
        <w:pStyle w:val="66"/>
        <w:keepNext/>
        <w:keepLines/>
        <w:numPr>
          <w:ilvl w:val="0"/>
          <w:numId w:val="19"/>
        </w:numPr>
        <w:ind w:firstLineChars="0"/>
        <w:textAlignment w:val="baseline"/>
        <w:outlineLvl w:val="2"/>
        <w:rPr>
          <w:b/>
          <w:vanish/>
          <w:color w:val="000000" w:themeColor="text1"/>
          <w:szCs w:val="20"/>
          <w14:textFill>
            <w14:solidFill>
              <w14:schemeClr w14:val="tx1"/>
            </w14:solidFill>
          </w14:textFill>
        </w:rPr>
      </w:pPr>
    </w:p>
    <w:p>
      <w:pPr>
        <w:pStyle w:val="66"/>
        <w:keepNext/>
        <w:keepLines/>
        <w:numPr>
          <w:ilvl w:val="0"/>
          <w:numId w:val="19"/>
        </w:numPr>
        <w:ind w:firstLineChars="0"/>
        <w:textAlignment w:val="baseline"/>
        <w:outlineLvl w:val="2"/>
        <w:rPr>
          <w:b/>
          <w:vanish/>
          <w:color w:val="000000" w:themeColor="text1"/>
          <w:szCs w:val="20"/>
          <w14:textFill>
            <w14:solidFill>
              <w14:schemeClr w14:val="tx1"/>
            </w14:solidFill>
          </w14:textFill>
        </w:rPr>
      </w:pPr>
    </w:p>
    <w:p>
      <w:pPr>
        <w:pStyle w:val="66"/>
        <w:keepNext/>
        <w:keepLines/>
        <w:numPr>
          <w:ilvl w:val="1"/>
          <w:numId w:val="19"/>
        </w:numPr>
        <w:ind w:firstLineChars="0"/>
        <w:textAlignment w:val="baseline"/>
        <w:outlineLvl w:val="2"/>
        <w:rPr>
          <w:b/>
          <w:vanish/>
          <w:color w:val="000000" w:themeColor="text1"/>
          <w:szCs w:val="20"/>
          <w14:textFill>
            <w14:solidFill>
              <w14:schemeClr w14:val="tx1"/>
            </w14:solidFill>
          </w14:textFill>
        </w:rPr>
      </w:pPr>
    </w:p>
    <w:p>
      <w:pPr>
        <w:pStyle w:val="66"/>
        <w:keepNext/>
        <w:keepLines/>
        <w:numPr>
          <w:ilvl w:val="1"/>
          <w:numId w:val="19"/>
        </w:numPr>
        <w:ind w:firstLineChars="0"/>
        <w:textAlignment w:val="baseline"/>
        <w:outlineLvl w:val="2"/>
        <w:rPr>
          <w:b/>
          <w:vanish/>
          <w:color w:val="000000" w:themeColor="text1"/>
          <w:szCs w:val="20"/>
          <w14:textFill>
            <w14:solidFill>
              <w14:schemeClr w14:val="tx1"/>
            </w14:solidFill>
          </w14:textFill>
        </w:rPr>
      </w:pP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备煤系统</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现有项目备煤系统由卸煤装置、煤堆场、封闭式皮带输送机、碎煤机、煤仓等组成。</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现有项目燃煤通过自卸汽车运输至厂区，经采样、计量后卸入煤堆场，现有项目共设置1#、2#煤堆场。堆场原煤经斗轮机取料后，经封闭式皮带输送机送至破碎区，经碎煤机破碎后进入煤仓，经给煤机输送送入锅炉燃烧。现有项目设置1个煤仓间4个煤斗，用于破碎后的原煤暂存。</w:t>
      </w:r>
    </w:p>
    <w:p>
      <w:pPr>
        <w:pStyle w:val="4"/>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燃煤发电系统</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经破碎后的原煤送锅炉燃烧，现有项目建成1台型号DG-1120/17.4-Ⅱ1，亚临界、一次中间再热、单汽包自然循环、单炉膛、平衡通风、固态排渣、全钢架悬吊结构、汽冷式旋风分离器、露天布置的循环流化床锅炉。锅炉最大连续蒸发量为1120t/h，锅炉将给水加热成 17.4MPa/541℃的蒸汽（化学能变成热能），经过热器进一步加热成为过热蒸汽，然后经管道送入汽轮机，现有项目设置1台型号CC300/240 -16.67/1.5/0.98/538/538 ，亚临界、一次中间再热、单</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轴、双缸双排汽、双抽凝汽式汽轮机。在汽轮机中，蒸汽不断膨胀，高速流动的蒸汽冲动汽轮机的转子，带动发电机发电。现有项目设置1台300MW水-氢-氢冷却三相两极同步汽轮发电机。</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蒸汽在汽轮机中膨胀做功，热能转换成机械能，汽轮机带动发电机发电，使机械能转换成电能，电能进入厂区电网，然后送用户使用。</w:t>
      </w:r>
    </w:p>
    <w:p>
      <w:pPr>
        <w:pStyle w:val="4"/>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烟气治理系统</w:t>
      </w:r>
    </w:p>
    <w:p>
      <w:pPr>
        <w:ind w:firstLine="500"/>
        <w:jc w:val="both"/>
        <w:rPr>
          <w:color w:val="000000" w:themeColor="text1"/>
          <w14:textFill>
            <w14:solidFill>
              <w14:schemeClr w14:val="tx1"/>
            </w14:solidFill>
          </w14:textFill>
        </w:rPr>
      </w:pPr>
      <w:r>
        <w:rPr>
          <w:rFonts w:hint="eastAsia"/>
          <w:color w:val="000000" w:themeColor="text1"/>
          <w:spacing w:val="-5"/>
          <w14:textFill>
            <w14:solidFill>
              <w14:schemeClr w14:val="tx1"/>
            </w14:solidFill>
          </w14:textFill>
        </w:rPr>
        <w:t>锅炉炉膛内采用平衡通风，炉膛内烟气进入锅炉尾部过热器、省煤器，在旋风分离器入口或炉膛出口烟气与SNCR装置喷入的尿素溶液进行脱硝反应，烟气再进入空气预热器后，含尘烟气进入布袋除尘器除尘，经石灰石-石膏湿法脱硫后，通过1座 210m高烟囱排放。工程除灰渣系统采用灰渣分除，除尘器截留的灰用气力输送到灰库，锅炉产生的炉渣储存至渣仓。</w:t>
      </w:r>
    </w:p>
    <w:p>
      <w:pPr>
        <w:pStyle w:val="3"/>
      </w:pPr>
      <w:bookmarkStart w:id="66" w:name="_Toc109888248"/>
      <w:r>
        <w:rPr>
          <w:rFonts w:hint="eastAsia"/>
        </w:rPr>
        <w:t>现有项目污染物达标排放</w:t>
      </w:r>
      <w:bookmarkEnd w:id="66"/>
      <w:r>
        <w:rPr>
          <w:rFonts w:hint="eastAsia"/>
        </w:rPr>
        <w:t>情况</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根据《环境影响评价技术导则 大气环境》（</w:t>
      </w:r>
      <w:r>
        <w:rPr>
          <w:color w:val="000000" w:themeColor="text1"/>
          <w14:textFill>
            <w14:solidFill>
              <w14:schemeClr w14:val="tx1"/>
            </w14:solidFill>
          </w14:textFill>
        </w:rPr>
        <w:t>HJ2.2-2018</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 xml:space="preserve">.2.2 </w:t>
      </w:r>
      <w:r>
        <w:rPr>
          <w:rFonts w:hint="eastAsia"/>
          <w:color w:val="000000" w:themeColor="text1"/>
          <w14:textFill>
            <w14:solidFill>
              <w14:schemeClr w14:val="tx1"/>
            </w14:solidFill>
          </w14:textFill>
        </w:rPr>
        <w:t>改建扩建项目现状工程的污染源和评价范围内拟替代的污染源调查，可根据数据的可获得性，依次优先使用项目监督性监测数据、在线监测数据、年度排污许可执行报告、自主验收报告、排污许可证数据、环评数据或者补充污染源监测数据等。</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现有项目有组织废气主要来源于锅炉燃烧产生的二氧化硫、氮氧化物、烟尘等，煤炭破碎（粗碎、细碎）、储存、转运（</w:t>
      </w:r>
      <w:r>
        <w:rPr>
          <w:color w:val="000000" w:themeColor="text1"/>
          <w14:textFill>
            <w14:solidFill>
              <w14:schemeClr w14:val="tx1"/>
            </w14:solidFill>
          </w14:textFill>
        </w:rPr>
        <w:t>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T4</w:t>
      </w:r>
      <w:r>
        <w:rPr>
          <w:rFonts w:hint="eastAsia"/>
          <w:color w:val="000000" w:themeColor="text1"/>
          <w14:textFill>
            <w14:solidFill>
              <w14:schemeClr w14:val="tx1"/>
            </w14:solidFill>
          </w14:textFill>
        </w:rPr>
        <w:t>转运站）粉尘，以及石灰石粉仓、渣库、灰库等产生的粉尘。</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本项目存在2个主要排放口，即循环流化床锅炉尾气排放口和备用燃气锅炉尾气排放口。根据企业排污许可证（副本），现有工程各废气污染物排放总量指标见表2</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pPr>
        <w:ind w:firstLine="520"/>
        <w:rPr>
          <w:color w:val="000000" w:themeColor="text1"/>
          <w14:textFill>
            <w14:solidFill>
              <w14:schemeClr w14:val="tx1"/>
            </w14:solidFill>
          </w14:textFill>
        </w:rPr>
        <w:sectPr>
          <w:footerReference r:id="rId19" w:type="default"/>
          <w:pgSz w:w="11906" w:h="16838"/>
          <w:pgMar w:top="1701" w:right="1588" w:bottom="1588" w:left="1588" w:header="1191" w:footer="1134" w:gutter="0"/>
          <w:cols w:space="425" w:num="1"/>
          <w:docGrid w:type="lines" w:linePitch="312" w:charSpace="0"/>
        </w:sectPr>
      </w:pP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现有工程各废气污染物排放总量指标表</w:t>
      </w:r>
    </w:p>
    <w:tbl>
      <w:tblPr>
        <w:tblStyle w:val="43"/>
        <w:tblW w:w="135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3626"/>
        <w:gridCol w:w="1600"/>
        <w:gridCol w:w="1798"/>
        <w:gridCol w:w="2892"/>
        <w:gridCol w:w="2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847" w:type="dxa"/>
            <w:gridSpan w:val="2"/>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排气筒名称和编号</w:t>
            </w:r>
          </w:p>
        </w:tc>
        <w:tc>
          <w:tcPr>
            <w:tcW w:w="1600"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污染物名称</w:t>
            </w:r>
          </w:p>
        </w:tc>
        <w:tc>
          <w:tcPr>
            <w:tcW w:w="1798"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排放总量（t/a）</w:t>
            </w:r>
          </w:p>
        </w:tc>
        <w:tc>
          <w:tcPr>
            <w:tcW w:w="2892"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排放浓度限值（</w:t>
            </w:r>
            <w:r>
              <w:rPr>
                <w:rFonts w:eastAsiaTheme="minorEastAsia"/>
                <w:color w:val="000000" w:themeColor="text1"/>
                <w:sz w:val="22"/>
                <w:shd w:val="clear" w:color="auto" w:fill="FFFFFF"/>
                <w14:textFill>
                  <w14:solidFill>
                    <w14:schemeClr w14:val="tx1"/>
                  </w14:solidFill>
                </w14:textFill>
              </w:rPr>
              <w:t>mg/Nm</w:t>
            </w:r>
            <w:r>
              <w:rPr>
                <w:rFonts w:eastAsiaTheme="minorEastAsia"/>
                <w:color w:val="000000" w:themeColor="text1"/>
                <w:sz w:val="22"/>
                <w:shd w:val="clear" w:color="auto" w:fill="FFFFFF"/>
                <w:vertAlign w:val="superscript"/>
                <w14:textFill>
                  <w14:solidFill>
                    <w14:schemeClr w14:val="tx1"/>
                  </w14:solidFill>
                </w14:textFill>
              </w:rPr>
              <w:t>3</w:t>
            </w:r>
            <w:r>
              <w:rPr>
                <w:rFonts w:eastAsiaTheme="minorEastAsia"/>
                <w:color w:val="000000" w:themeColor="text1"/>
                <w:sz w:val="22"/>
                <w14:textFill>
                  <w14:solidFill>
                    <w14:schemeClr w14:val="tx1"/>
                  </w14:solidFill>
                </w14:textFill>
              </w:rPr>
              <w:t>）</w:t>
            </w:r>
          </w:p>
        </w:tc>
        <w:tc>
          <w:tcPr>
            <w:tcW w:w="2402"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排放速率限值（kg/h）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restart"/>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主要排放口</w:t>
            </w:r>
          </w:p>
        </w:tc>
        <w:tc>
          <w:tcPr>
            <w:tcW w:w="3626" w:type="dxa"/>
            <w:vMerge w:val="restart"/>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循环流化床锅炉烟囱（DA001）</w:t>
            </w:r>
          </w:p>
        </w:tc>
        <w:tc>
          <w:tcPr>
            <w:tcW w:w="1600"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SO</w:t>
            </w:r>
            <w:r>
              <w:rPr>
                <w:rFonts w:eastAsiaTheme="minorEastAsia"/>
                <w:color w:val="000000" w:themeColor="text1"/>
                <w:sz w:val="22"/>
                <w:vertAlign w:val="subscript"/>
                <w14:textFill>
                  <w14:solidFill>
                    <w14:schemeClr w14:val="tx1"/>
                  </w14:solidFill>
                </w14:textFill>
              </w:rPr>
              <w:t>2</w:t>
            </w:r>
          </w:p>
        </w:tc>
        <w:tc>
          <w:tcPr>
            <w:tcW w:w="1798"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hint="eastAsia" w:eastAsiaTheme="minorEastAsia"/>
                <w:color w:val="000000" w:themeColor="text1"/>
                <w:sz w:val="22"/>
                <w14:textFill>
                  <w14:solidFill>
                    <w14:schemeClr w14:val="tx1"/>
                  </w14:solidFill>
                </w14:textFill>
              </w:rPr>
              <w:t>2304.44</w:t>
            </w:r>
          </w:p>
        </w:tc>
        <w:tc>
          <w:tcPr>
            <w:tcW w:w="2892"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shd w:val="clear" w:color="auto" w:fill="FFFFFF"/>
                <w14:textFill>
                  <w14:solidFill>
                    <w14:schemeClr w14:val="tx1"/>
                  </w14:solidFill>
                </w14:textFill>
              </w:rPr>
              <w:t>35</w:t>
            </w:r>
          </w:p>
        </w:tc>
        <w:tc>
          <w:tcPr>
            <w:tcW w:w="2402"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3626"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1600"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NO</w:t>
            </w:r>
            <w:r>
              <w:rPr>
                <w:rFonts w:eastAsiaTheme="minorEastAsia"/>
                <w:color w:val="000000" w:themeColor="text1"/>
                <w:sz w:val="22"/>
                <w:vertAlign w:val="subscript"/>
                <w14:textFill>
                  <w14:solidFill>
                    <w14:schemeClr w14:val="tx1"/>
                  </w14:solidFill>
                </w14:textFill>
              </w:rPr>
              <w:t>X</w:t>
            </w:r>
          </w:p>
        </w:tc>
        <w:tc>
          <w:tcPr>
            <w:tcW w:w="1798"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hint="eastAsia" w:eastAsiaTheme="minorEastAsia"/>
                <w:color w:val="000000" w:themeColor="text1"/>
                <w:sz w:val="22"/>
                <w14:textFill>
                  <w14:solidFill>
                    <w14:schemeClr w14:val="tx1"/>
                  </w14:solidFill>
                </w14:textFill>
              </w:rPr>
              <w:t>1160.73</w:t>
            </w:r>
          </w:p>
        </w:tc>
        <w:tc>
          <w:tcPr>
            <w:tcW w:w="2892"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shd w:val="clear" w:color="auto" w:fill="FFFFFF"/>
                <w14:textFill>
                  <w14:solidFill>
                    <w14:schemeClr w14:val="tx1"/>
                  </w14:solidFill>
                </w14:textFill>
              </w:rPr>
              <w:t>50</w:t>
            </w:r>
          </w:p>
        </w:tc>
        <w:tc>
          <w:tcPr>
            <w:tcW w:w="2402"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3626"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1600"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颗粒物</w:t>
            </w:r>
          </w:p>
        </w:tc>
        <w:tc>
          <w:tcPr>
            <w:tcW w:w="1798"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hint="eastAsia" w:eastAsiaTheme="minorEastAsia"/>
                <w:color w:val="000000" w:themeColor="text1"/>
                <w:sz w:val="22"/>
                <w14:textFill>
                  <w14:solidFill>
                    <w14:schemeClr w14:val="tx1"/>
                  </w14:solidFill>
                </w14:textFill>
              </w:rPr>
              <w:t>182.72</w:t>
            </w:r>
          </w:p>
        </w:tc>
        <w:tc>
          <w:tcPr>
            <w:tcW w:w="2892"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shd w:val="clear" w:color="auto" w:fill="FFFFFF"/>
                <w14:textFill>
                  <w14:solidFill>
                    <w14:schemeClr w14:val="tx1"/>
                  </w14:solidFill>
                </w14:textFill>
              </w:rPr>
              <w:t>10</w:t>
            </w:r>
          </w:p>
        </w:tc>
        <w:tc>
          <w:tcPr>
            <w:tcW w:w="2402"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3626"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1600"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氨气</w:t>
            </w:r>
          </w:p>
        </w:tc>
        <w:tc>
          <w:tcPr>
            <w:tcW w:w="1798"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w:t>
            </w:r>
          </w:p>
        </w:tc>
        <w:tc>
          <w:tcPr>
            <w:tcW w:w="2892"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w:t>
            </w:r>
          </w:p>
        </w:tc>
        <w:tc>
          <w:tcPr>
            <w:tcW w:w="2402"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3626"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1600"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shd w:val="clear" w:color="auto" w:fill="FFFFFF"/>
                <w14:textFill>
                  <w14:solidFill>
                    <w14:schemeClr w14:val="tx1"/>
                  </w14:solidFill>
                </w14:textFill>
              </w:rPr>
              <w:t>林格曼黑度</w:t>
            </w:r>
          </w:p>
        </w:tc>
        <w:tc>
          <w:tcPr>
            <w:tcW w:w="1798"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w:t>
            </w:r>
          </w:p>
        </w:tc>
        <w:tc>
          <w:tcPr>
            <w:tcW w:w="2892"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shd w:val="clear" w:color="auto" w:fill="FFFFFF"/>
                <w14:textFill>
                  <w14:solidFill>
                    <w14:schemeClr w14:val="tx1"/>
                  </w14:solidFill>
                </w14:textFill>
              </w:rPr>
              <w:t>1级</w:t>
            </w:r>
          </w:p>
        </w:tc>
        <w:tc>
          <w:tcPr>
            <w:tcW w:w="2402"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3626"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1600"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shd w:val="clear" w:color="auto" w:fill="FFFFFF"/>
                <w14:textFill>
                  <w14:solidFill>
                    <w14:schemeClr w14:val="tx1"/>
                  </w14:solidFill>
                </w14:textFill>
              </w:rPr>
              <w:t>汞及其化合物</w:t>
            </w:r>
          </w:p>
        </w:tc>
        <w:tc>
          <w:tcPr>
            <w:tcW w:w="1798"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w:t>
            </w:r>
          </w:p>
        </w:tc>
        <w:tc>
          <w:tcPr>
            <w:tcW w:w="2892"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shd w:val="clear" w:color="auto" w:fill="FFFFFF"/>
                <w14:textFill>
                  <w14:solidFill>
                    <w14:schemeClr w14:val="tx1"/>
                  </w14:solidFill>
                </w14:textFill>
              </w:rPr>
              <w:t>0.03</w:t>
            </w:r>
          </w:p>
        </w:tc>
        <w:tc>
          <w:tcPr>
            <w:tcW w:w="2402"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3626" w:type="dxa"/>
            <w:vMerge w:val="restart"/>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燃气锅炉烟囱（</w:t>
            </w:r>
            <w:r>
              <w:rPr>
                <w:rFonts w:eastAsiaTheme="minorEastAsia"/>
                <w:color w:val="000000" w:themeColor="text1"/>
                <w:sz w:val="22"/>
                <w:shd w:val="clear" w:color="auto" w:fill="FFFFFF"/>
                <w14:textFill>
                  <w14:solidFill>
                    <w14:schemeClr w14:val="tx1"/>
                  </w14:solidFill>
                </w14:textFill>
              </w:rPr>
              <w:t>DA018</w:t>
            </w:r>
            <w:r>
              <w:rPr>
                <w:rFonts w:eastAsiaTheme="minorEastAsia"/>
                <w:color w:val="000000" w:themeColor="text1"/>
                <w:sz w:val="22"/>
                <w14:textFill>
                  <w14:solidFill>
                    <w14:schemeClr w14:val="tx1"/>
                  </w14:solidFill>
                </w14:textFill>
              </w:rPr>
              <w:t>）</w:t>
            </w:r>
          </w:p>
        </w:tc>
        <w:tc>
          <w:tcPr>
            <w:tcW w:w="1600"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SO</w:t>
            </w:r>
            <w:r>
              <w:rPr>
                <w:rFonts w:eastAsiaTheme="minorEastAsia"/>
                <w:color w:val="000000" w:themeColor="text1"/>
                <w:sz w:val="22"/>
                <w:vertAlign w:val="subscript"/>
                <w14:textFill>
                  <w14:solidFill>
                    <w14:schemeClr w14:val="tx1"/>
                  </w14:solidFill>
                </w14:textFill>
              </w:rPr>
              <w:t>2</w:t>
            </w:r>
          </w:p>
        </w:tc>
        <w:tc>
          <w:tcPr>
            <w:tcW w:w="1798"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hint="eastAsia" w:eastAsiaTheme="minorEastAsia"/>
                <w:color w:val="000000" w:themeColor="text1"/>
                <w:sz w:val="22"/>
                <w14:textFill>
                  <w14:solidFill>
                    <w14:schemeClr w14:val="tx1"/>
                  </w14:solidFill>
                </w14:textFill>
              </w:rPr>
              <w:t>5.56</w:t>
            </w:r>
          </w:p>
        </w:tc>
        <w:tc>
          <w:tcPr>
            <w:tcW w:w="2892"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50</w:t>
            </w:r>
          </w:p>
        </w:tc>
        <w:tc>
          <w:tcPr>
            <w:tcW w:w="2402"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3626"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1600"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NO</w:t>
            </w:r>
            <w:r>
              <w:rPr>
                <w:rFonts w:eastAsiaTheme="minorEastAsia"/>
                <w:color w:val="000000" w:themeColor="text1"/>
                <w:sz w:val="22"/>
                <w:vertAlign w:val="subscript"/>
                <w14:textFill>
                  <w14:solidFill>
                    <w14:schemeClr w14:val="tx1"/>
                  </w14:solidFill>
                </w14:textFill>
              </w:rPr>
              <w:t>X</w:t>
            </w:r>
          </w:p>
        </w:tc>
        <w:tc>
          <w:tcPr>
            <w:tcW w:w="1798"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hint="eastAsia" w:eastAsiaTheme="minorEastAsia"/>
                <w:color w:val="000000" w:themeColor="text1"/>
                <w:sz w:val="22"/>
                <w14:textFill>
                  <w14:solidFill>
                    <w14:schemeClr w14:val="tx1"/>
                  </w14:solidFill>
                </w14:textFill>
              </w:rPr>
              <w:t>30.44</w:t>
            </w:r>
          </w:p>
        </w:tc>
        <w:tc>
          <w:tcPr>
            <w:tcW w:w="2892"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50</w:t>
            </w:r>
          </w:p>
        </w:tc>
        <w:tc>
          <w:tcPr>
            <w:tcW w:w="2402"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3626"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1600"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颗粒物</w:t>
            </w:r>
          </w:p>
        </w:tc>
        <w:tc>
          <w:tcPr>
            <w:tcW w:w="1798"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hint="eastAsia" w:eastAsiaTheme="minorEastAsia"/>
                <w:color w:val="000000" w:themeColor="text1"/>
                <w:sz w:val="22"/>
                <w14:textFill>
                  <w14:solidFill>
                    <w14:schemeClr w14:val="tx1"/>
                  </w14:solidFill>
                </w14:textFill>
              </w:rPr>
              <w:t>3.28</w:t>
            </w:r>
          </w:p>
        </w:tc>
        <w:tc>
          <w:tcPr>
            <w:tcW w:w="2892"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20</w:t>
            </w:r>
          </w:p>
        </w:tc>
        <w:tc>
          <w:tcPr>
            <w:tcW w:w="2402"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3626"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1600"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shd w:val="clear" w:color="auto" w:fill="FFFFFF"/>
                <w14:textFill>
                  <w14:solidFill>
                    <w14:schemeClr w14:val="tx1"/>
                  </w14:solidFill>
                </w14:textFill>
              </w:rPr>
              <w:t>烟气黑度</w:t>
            </w:r>
          </w:p>
        </w:tc>
        <w:tc>
          <w:tcPr>
            <w:tcW w:w="1798"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w:t>
            </w:r>
          </w:p>
        </w:tc>
        <w:tc>
          <w:tcPr>
            <w:tcW w:w="2892"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shd w:val="clear" w:color="auto" w:fill="FFFFFF"/>
                <w14:textFill>
                  <w14:solidFill>
                    <w14:schemeClr w14:val="tx1"/>
                  </w14:solidFill>
                </w14:textFill>
              </w:rPr>
              <w:t>1级</w:t>
            </w:r>
          </w:p>
        </w:tc>
        <w:tc>
          <w:tcPr>
            <w:tcW w:w="2402"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restart"/>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一般排放口</w:t>
            </w:r>
          </w:p>
        </w:tc>
        <w:tc>
          <w:tcPr>
            <w:tcW w:w="3626"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转运站T1排放口（DA002）</w:t>
            </w:r>
          </w:p>
        </w:tc>
        <w:tc>
          <w:tcPr>
            <w:tcW w:w="1600" w:type="dxa"/>
            <w:vMerge w:val="restart"/>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颗粒物</w:t>
            </w:r>
          </w:p>
        </w:tc>
        <w:tc>
          <w:tcPr>
            <w:tcW w:w="1798" w:type="dxa"/>
            <w:vMerge w:val="restart"/>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40.1</w:t>
            </w:r>
          </w:p>
        </w:tc>
        <w:tc>
          <w:tcPr>
            <w:tcW w:w="2892" w:type="dxa"/>
            <w:vMerge w:val="restart"/>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120</w:t>
            </w:r>
          </w:p>
        </w:tc>
        <w:tc>
          <w:tcPr>
            <w:tcW w:w="2402" w:type="dxa"/>
            <w:vMerge w:val="restart"/>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3626"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转运站T2排放口1（DA003）</w:t>
            </w:r>
          </w:p>
        </w:tc>
        <w:tc>
          <w:tcPr>
            <w:tcW w:w="1600"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1798"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2892"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2402"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3626"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转运站T2排放口2（DA004）</w:t>
            </w:r>
          </w:p>
        </w:tc>
        <w:tc>
          <w:tcPr>
            <w:tcW w:w="1600"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1798"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2892"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2402"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3626"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转运站T3排放口1（DA005）</w:t>
            </w:r>
          </w:p>
        </w:tc>
        <w:tc>
          <w:tcPr>
            <w:tcW w:w="1600"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1798"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2892"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2402"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3626"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转运站T3排放口2（DA006）</w:t>
            </w:r>
          </w:p>
        </w:tc>
        <w:tc>
          <w:tcPr>
            <w:tcW w:w="1600"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1798"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2892"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2402"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3626"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粗碎室粉尘排放口1（DA007）</w:t>
            </w:r>
          </w:p>
        </w:tc>
        <w:tc>
          <w:tcPr>
            <w:tcW w:w="1600"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1798"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2892"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2402"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3626"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粗碎室粉尘排放口2（DA008）</w:t>
            </w:r>
          </w:p>
        </w:tc>
        <w:tc>
          <w:tcPr>
            <w:tcW w:w="1600"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1798"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2892"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2402"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3626"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转运站T4排放口（DA009）</w:t>
            </w:r>
          </w:p>
        </w:tc>
        <w:tc>
          <w:tcPr>
            <w:tcW w:w="1600"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1798"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2892"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2402"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3626"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细碎室排放口1（DA010）</w:t>
            </w:r>
          </w:p>
        </w:tc>
        <w:tc>
          <w:tcPr>
            <w:tcW w:w="1600"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1798"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2892"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2402"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3626"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细碎室排放口2（DA011）</w:t>
            </w:r>
          </w:p>
        </w:tc>
        <w:tc>
          <w:tcPr>
            <w:tcW w:w="1600"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1798"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2892"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2402"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3626"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pacing w:val="-3"/>
                <w:sz w:val="22"/>
                <w14:textFill>
                  <w14:solidFill>
                    <w14:schemeClr w14:val="tx1"/>
                  </w14:solidFill>
                </w14:textFill>
              </w:rPr>
              <w:t>灰库</w:t>
            </w:r>
            <w:r>
              <w:rPr>
                <w:rFonts w:eastAsiaTheme="minorEastAsia"/>
                <w:color w:val="000000" w:themeColor="text1"/>
                <w:sz w:val="22"/>
                <w14:textFill>
                  <w14:solidFill>
                    <w14:schemeClr w14:val="tx1"/>
                  </w14:solidFill>
                </w14:textFill>
              </w:rPr>
              <w:t>排放口</w:t>
            </w:r>
            <w:r>
              <w:rPr>
                <w:rFonts w:eastAsiaTheme="minorEastAsia"/>
                <w:color w:val="000000" w:themeColor="text1"/>
                <w:spacing w:val="-29"/>
                <w:sz w:val="22"/>
                <w14:textFill>
                  <w14:solidFill>
                    <w14:schemeClr w14:val="tx1"/>
                  </w14:solidFill>
                </w14:textFill>
              </w:rPr>
              <w:t xml:space="preserve"> </w:t>
            </w:r>
            <w:r>
              <w:rPr>
                <w:rFonts w:eastAsiaTheme="minorEastAsia"/>
                <w:color w:val="000000" w:themeColor="text1"/>
                <w:spacing w:val="-3"/>
                <w:sz w:val="22"/>
                <w14:textFill>
                  <w14:solidFill>
                    <w14:schemeClr w14:val="tx1"/>
                  </w14:solidFill>
                </w14:textFill>
              </w:rPr>
              <w:t>1</w:t>
            </w:r>
            <w:r>
              <w:rPr>
                <w:rFonts w:eastAsiaTheme="minorEastAsia"/>
                <w:color w:val="000000" w:themeColor="text1"/>
                <w:sz w:val="22"/>
                <w14:textFill>
                  <w14:solidFill>
                    <w14:schemeClr w14:val="tx1"/>
                  </w14:solidFill>
                </w14:textFill>
              </w:rPr>
              <w:t>（DA01</w:t>
            </w:r>
            <w:r>
              <w:rPr>
                <w:rFonts w:hint="eastAsia" w:eastAsiaTheme="minorEastAsia"/>
                <w:color w:val="000000" w:themeColor="text1"/>
                <w:sz w:val="22"/>
                <w14:textFill>
                  <w14:solidFill>
                    <w14:schemeClr w14:val="tx1"/>
                  </w14:solidFill>
                </w14:textFill>
              </w:rPr>
              <w:t>2</w:t>
            </w:r>
            <w:r>
              <w:rPr>
                <w:rFonts w:eastAsiaTheme="minorEastAsia"/>
                <w:color w:val="000000" w:themeColor="text1"/>
                <w:sz w:val="22"/>
                <w14:textFill>
                  <w14:solidFill>
                    <w14:schemeClr w14:val="tx1"/>
                  </w14:solidFill>
                </w14:textFill>
              </w:rPr>
              <w:t>）</w:t>
            </w:r>
          </w:p>
        </w:tc>
        <w:tc>
          <w:tcPr>
            <w:tcW w:w="1600"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1798"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2892"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2402"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3626"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pacing w:val="-3"/>
                <w:sz w:val="22"/>
                <w14:textFill>
                  <w14:solidFill>
                    <w14:schemeClr w14:val="tx1"/>
                  </w14:solidFill>
                </w14:textFill>
              </w:rPr>
              <w:t>灰库</w:t>
            </w:r>
            <w:r>
              <w:rPr>
                <w:rFonts w:eastAsiaTheme="minorEastAsia"/>
                <w:color w:val="000000" w:themeColor="text1"/>
                <w:sz w:val="22"/>
                <w14:textFill>
                  <w14:solidFill>
                    <w14:schemeClr w14:val="tx1"/>
                  </w14:solidFill>
                </w14:textFill>
              </w:rPr>
              <w:t>排放口</w:t>
            </w:r>
            <w:r>
              <w:rPr>
                <w:rFonts w:eastAsiaTheme="minorEastAsia"/>
                <w:color w:val="000000" w:themeColor="text1"/>
                <w:spacing w:val="-52"/>
                <w:sz w:val="22"/>
                <w14:textFill>
                  <w14:solidFill>
                    <w14:schemeClr w14:val="tx1"/>
                  </w14:solidFill>
                </w14:textFill>
              </w:rPr>
              <w:t xml:space="preserve"> </w:t>
            </w:r>
            <w:r>
              <w:rPr>
                <w:rFonts w:eastAsiaTheme="minorEastAsia"/>
                <w:color w:val="000000" w:themeColor="text1"/>
                <w:spacing w:val="-3"/>
                <w:sz w:val="22"/>
                <w14:textFill>
                  <w14:solidFill>
                    <w14:schemeClr w14:val="tx1"/>
                  </w14:solidFill>
                </w14:textFill>
              </w:rPr>
              <w:t>2</w:t>
            </w:r>
            <w:r>
              <w:rPr>
                <w:rFonts w:eastAsiaTheme="minorEastAsia"/>
                <w:color w:val="000000" w:themeColor="text1"/>
                <w:sz w:val="22"/>
                <w14:textFill>
                  <w14:solidFill>
                    <w14:schemeClr w14:val="tx1"/>
                  </w14:solidFill>
                </w14:textFill>
              </w:rPr>
              <w:t>（DA01</w:t>
            </w:r>
            <w:r>
              <w:rPr>
                <w:rFonts w:hint="eastAsia" w:eastAsiaTheme="minorEastAsia"/>
                <w:color w:val="000000" w:themeColor="text1"/>
                <w:sz w:val="22"/>
                <w14:textFill>
                  <w14:solidFill>
                    <w14:schemeClr w14:val="tx1"/>
                  </w14:solidFill>
                </w14:textFill>
              </w:rPr>
              <w:t>3</w:t>
            </w:r>
            <w:r>
              <w:rPr>
                <w:rFonts w:eastAsiaTheme="minorEastAsia"/>
                <w:color w:val="000000" w:themeColor="text1"/>
                <w:sz w:val="22"/>
                <w14:textFill>
                  <w14:solidFill>
                    <w14:schemeClr w14:val="tx1"/>
                  </w14:solidFill>
                </w14:textFill>
              </w:rPr>
              <w:t>）</w:t>
            </w:r>
          </w:p>
        </w:tc>
        <w:tc>
          <w:tcPr>
            <w:tcW w:w="1600"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1798"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2892"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2402"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3626"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pacing w:val="-2"/>
                <w:sz w:val="22"/>
                <w14:textFill>
                  <w14:solidFill>
                    <w14:schemeClr w14:val="tx1"/>
                  </w14:solidFill>
                </w14:textFill>
              </w:rPr>
              <w:t>脱硫石灰石粉仓</w:t>
            </w:r>
            <w:r>
              <w:rPr>
                <w:rFonts w:eastAsiaTheme="minorEastAsia"/>
                <w:color w:val="000000" w:themeColor="text1"/>
                <w:sz w:val="22"/>
                <w14:textFill>
                  <w14:solidFill>
                    <w14:schemeClr w14:val="tx1"/>
                  </w14:solidFill>
                </w14:textFill>
              </w:rPr>
              <w:t>排放口（DA01</w:t>
            </w:r>
            <w:r>
              <w:rPr>
                <w:rFonts w:hint="eastAsia" w:eastAsiaTheme="minorEastAsia"/>
                <w:color w:val="000000" w:themeColor="text1"/>
                <w:sz w:val="22"/>
                <w14:textFill>
                  <w14:solidFill>
                    <w14:schemeClr w14:val="tx1"/>
                  </w14:solidFill>
                </w14:textFill>
              </w:rPr>
              <w:t>4</w:t>
            </w:r>
            <w:r>
              <w:rPr>
                <w:rFonts w:eastAsiaTheme="minorEastAsia"/>
                <w:color w:val="000000" w:themeColor="text1"/>
                <w:sz w:val="22"/>
                <w14:textFill>
                  <w14:solidFill>
                    <w14:schemeClr w14:val="tx1"/>
                  </w14:solidFill>
                </w14:textFill>
              </w:rPr>
              <w:t>）</w:t>
            </w:r>
          </w:p>
        </w:tc>
        <w:tc>
          <w:tcPr>
            <w:tcW w:w="1600"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1798"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2892"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2402"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3626"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pacing w:val="-2"/>
                <w:sz w:val="22"/>
                <w14:textFill>
                  <w14:solidFill>
                    <w14:schemeClr w14:val="tx1"/>
                  </w14:solidFill>
                </w14:textFill>
              </w:rPr>
              <w:t>储渣仓</w:t>
            </w:r>
            <w:r>
              <w:rPr>
                <w:rFonts w:eastAsiaTheme="minorEastAsia"/>
                <w:color w:val="000000" w:themeColor="text1"/>
                <w:sz w:val="22"/>
                <w14:textFill>
                  <w14:solidFill>
                    <w14:schemeClr w14:val="tx1"/>
                  </w14:solidFill>
                </w14:textFill>
              </w:rPr>
              <w:t>排放口（DA01</w:t>
            </w:r>
            <w:r>
              <w:rPr>
                <w:rFonts w:hint="eastAsia" w:eastAsiaTheme="minorEastAsia"/>
                <w:color w:val="000000" w:themeColor="text1"/>
                <w:sz w:val="22"/>
                <w14:textFill>
                  <w14:solidFill>
                    <w14:schemeClr w14:val="tx1"/>
                  </w14:solidFill>
                </w14:textFill>
              </w:rPr>
              <w:t>5</w:t>
            </w:r>
            <w:r>
              <w:rPr>
                <w:rFonts w:eastAsiaTheme="minorEastAsia"/>
                <w:color w:val="000000" w:themeColor="text1"/>
                <w:sz w:val="22"/>
                <w14:textFill>
                  <w14:solidFill>
                    <w14:schemeClr w14:val="tx1"/>
                  </w14:solidFill>
                </w14:textFill>
              </w:rPr>
              <w:t>）</w:t>
            </w:r>
          </w:p>
        </w:tc>
        <w:tc>
          <w:tcPr>
            <w:tcW w:w="1600"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1798"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2892"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2402"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3626" w:type="dxa"/>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pacing w:val="-2"/>
                <w:sz w:val="22"/>
                <w14:textFill>
                  <w14:solidFill>
                    <w14:schemeClr w14:val="tx1"/>
                  </w14:solidFill>
                </w14:textFill>
              </w:rPr>
              <w:t>石灰石粉仓</w:t>
            </w:r>
            <w:r>
              <w:rPr>
                <w:rFonts w:eastAsiaTheme="minorEastAsia"/>
                <w:color w:val="000000" w:themeColor="text1"/>
                <w:sz w:val="22"/>
                <w14:textFill>
                  <w14:solidFill>
                    <w14:schemeClr w14:val="tx1"/>
                  </w14:solidFill>
                </w14:textFill>
              </w:rPr>
              <w:t>排放口（DA01</w:t>
            </w:r>
            <w:r>
              <w:rPr>
                <w:rFonts w:hint="eastAsia" w:eastAsiaTheme="minorEastAsia"/>
                <w:color w:val="000000" w:themeColor="text1"/>
                <w:sz w:val="22"/>
                <w14:textFill>
                  <w14:solidFill>
                    <w14:schemeClr w14:val="tx1"/>
                  </w14:solidFill>
                </w14:textFill>
              </w:rPr>
              <w:t>6</w:t>
            </w:r>
            <w:r>
              <w:rPr>
                <w:rFonts w:eastAsiaTheme="minorEastAsia"/>
                <w:color w:val="000000" w:themeColor="text1"/>
                <w:sz w:val="22"/>
                <w14:textFill>
                  <w14:solidFill>
                    <w14:schemeClr w14:val="tx1"/>
                  </w14:solidFill>
                </w14:textFill>
              </w:rPr>
              <w:t>）</w:t>
            </w:r>
          </w:p>
        </w:tc>
        <w:tc>
          <w:tcPr>
            <w:tcW w:w="1600"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1798"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2892"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2402"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3626" w:type="dxa"/>
            <w:vAlign w:val="center"/>
          </w:tcPr>
          <w:p>
            <w:pPr>
              <w:spacing w:line="240" w:lineRule="auto"/>
              <w:ind w:firstLine="0" w:firstLineChars="0"/>
              <w:jc w:val="center"/>
              <w:rPr>
                <w:rFonts w:eastAsiaTheme="minorEastAsia"/>
                <w:color w:val="000000" w:themeColor="text1"/>
                <w:spacing w:val="-3"/>
                <w:sz w:val="22"/>
                <w14:textFill>
                  <w14:solidFill>
                    <w14:schemeClr w14:val="tx1"/>
                  </w14:solidFill>
                </w14:textFill>
              </w:rPr>
            </w:pPr>
            <w:r>
              <w:rPr>
                <w:rFonts w:eastAsiaTheme="minorEastAsia"/>
                <w:color w:val="000000" w:themeColor="text1"/>
                <w:spacing w:val="-2"/>
                <w:sz w:val="22"/>
                <w14:textFill>
                  <w14:solidFill>
                    <w14:schemeClr w14:val="tx1"/>
                  </w14:solidFill>
                </w14:textFill>
              </w:rPr>
              <w:t>储煤仓间</w:t>
            </w:r>
            <w:r>
              <w:rPr>
                <w:rFonts w:eastAsiaTheme="minorEastAsia"/>
                <w:color w:val="000000" w:themeColor="text1"/>
                <w:sz w:val="22"/>
                <w14:textFill>
                  <w14:solidFill>
                    <w14:schemeClr w14:val="tx1"/>
                  </w14:solidFill>
                </w14:textFill>
              </w:rPr>
              <w:t>排放口（DA017）</w:t>
            </w:r>
          </w:p>
        </w:tc>
        <w:tc>
          <w:tcPr>
            <w:tcW w:w="1600"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1798"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2892"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c>
          <w:tcPr>
            <w:tcW w:w="2402" w:type="dxa"/>
            <w:vMerge w:val="continue"/>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p>
        </w:tc>
      </w:tr>
    </w:tbl>
    <w:p>
      <w:pPr>
        <w:ind w:firstLine="52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（1）循环流化床锅炉废气达标排放情况</w:t>
      </w:r>
    </w:p>
    <w:p>
      <w:pPr>
        <w:ind w:firstLine="520"/>
        <w:rPr>
          <w:rFonts w:eastAsiaTheme="minorEastAsia"/>
          <w:color w:val="000000" w:themeColor="text1"/>
          <w:szCs w:val="26"/>
          <w14:textFill>
            <w14:solidFill>
              <w14:schemeClr w14:val="tx1"/>
            </w14:solidFill>
          </w14:textFill>
        </w:rPr>
      </w:pPr>
      <w:r>
        <w:rPr>
          <w:rFonts w:hint="eastAsia"/>
          <w:bCs/>
          <w:color w:val="000000" w:themeColor="text1"/>
          <w14:textFill>
            <w14:solidFill>
              <w14:schemeClr w14:val="tx1"/>
            </w14:solidFill>
          </w14:textFill>
        </w:rPr>
        <w:t>循环流化床锅炉于2</w:t>
      </w:r>
      <w:r>
        <w:rPr>
          <w:bCs/>
          <w:color w:val="000000" w:themeColor="text1"/>
          <w14:textFill>
            <w14:solidFill>
              <w14:schemeClr w14:val="tx1"/>
            </w14:solidFill>
          </w14:textFill>
        </w:rPr>
        <w:t>019</w:t>
      </w:r>
      <w:r>
        <w:rPr>
          <w:rFonts w:hint="eastAsia"/>
          <w:bCs/>
          <w:color w:val="000000" w:themeColor="text1"/>
          <w14:textFill>
            <w14:solidFill>
              <w14:schemeClr w14:val="tx1"/>
            </w14:solidFill>
          </w14:textFill>
        </w:rPr>
        <w:t>年9月实施超低排放改造，2</w:t>
      </w:r>
      <w:r>
        <w:rPr>
          <w:bCs/>
          <w:color w:val="000000" w:themeColor="text1"/>
          <w14:textFill>
            <w14:solidFill>
              <w14:schemeClr w14:val="tx1"/>
            </w14:solidFill>
          </w14:textFill>
        </w:rPr>
        <w:t>019</w:t>
      </w:r>
      <w:r>
        <w:rPr>
          <w:rFonts w:hint="eastAsia"/>
          <w:bCs/>
          <w:color w:val="000000" w:themeColor="text1"/>
          <w14:textFill>
            <w14:solidFill>
              <w14:schemeClr w14:val="tx1"/>
            </w14:solidFill>
          </w14:textFill>
        </w:rPr>
        <w:t>年1</w:t>
      </w:r>
      <w:r>
        <w:rPr>
          <w:bCs/>
          <w:color w:val="000000" w:themeColor="text1"/>
          <w14:textFill>
            <w14:solidFill>
              <w14:schemeClr w14:val="tx1"/>
            </w14:solidFill>
          </w14:textFill>
        </w:rPr>
        <w:t>1</w:t>
      </w:r>
      <w:r>
        <w:rPr>
          <w:rFonts w:hint="eastAsia"/>
          <w:bCs/>
          <w:color w:val="000000" w:themeColor="text1"/>
          <w14:textFill>
            <w14:solidFill>
              <w14:schemeClr w14:val="tx1"/>
            </w14:solidFill>
          </w14:textFill>
        </w:rPr>
        <w:t>月投入调试运行，2</w:t>
      </w:r>
      <w:r>
        <w:rPr>
          <w:bCs/>
          <w:color w:val="000000" w:themeColor="text1"/>
          <w14:textFill>
            <w14:solidFill>
              <w14:schemeClr w14:val="tx1"/>
            </w14:solidFill>
          </w14:textFill>
        </w:rPr>
        <w:t>020</w:t>
      </w:r>
      <w:r>
        <w:rPr>
          <w:rFonts w:hint="eastAsia"/>
          <w:bCs/>
          <w:color w:val="000000" w:themeColor="text1"/>
          <w14:textFill>
            <w14:solidFill>
              <w14:schemeClr w14:val="tx1"/>
            </w14:solidFill>
          </w14:textFill>
        </w:rPr>
        <w:t>年</w:t>
      </w:r>
      <w:r>
        <w:rPr>
          <w:bCs/>
          <w:color w:val="000000" w:themeColor="text1"/>
          <w14:textFill>
            <w14:solidFill>
              <w14:schemeClr w14:val="tx1"/>
            </w14:solidFill>
          </w14:textFill>
        </w:rPr>
        <w:t>4</w:t>
      </w:r>
      <w:r>
        <w:rPr>
          <w:rFonts w:hint="eastAsia"/>
          <w:bCs/>
          <w:color w:val="000000" w:themeColor="text1"/>
          <w14:textFill>
            <w14:solidFill>
              <w14:schemeClr w14:val="tx1"/>
            </w14:solidFill>
          </w14:textFill>
        </w:rPr>
        <w:t>月通过竣工环保验收。根据2</w:t>
      </w:r>
      <w:r>
        <w:rPr>
          <w:bCs/>
          <w:color w:val="000000" w:themeColor="text1"/>
          <w14:textFill>
            <w14:solidFill>
              <w14:schemeClr w14:val="tx1"/>
            </w14:solidFill>
          </w14:textFill>
        </w:rPr>
        <w:t>020</w:t>
      </w:r>
      <w:r>
        <w:rPr>
          <w:rFonts w:hint="eastAsia"/>
          <w:bCs/>
          <w:color w:val="000000" w:themeColor="text1"/>
          <w14:textFill>
            <w14:solidFill>
              <w14:schemeClr w14:val="tx1"/>
            </w14:solidFill>
          </w14:textFill>
        </w:rPr>
        <w:t>年、2</w:t>
      </w:r>
      <w:r>
        <w:rPr>
          <w:bCs/>
          <w:color w:val="000000" w:themeColor="text1"/>
          <w14:textFill>
            <w14:solidFill>
              <w14:schemeClr w14:val="tx1"/>
            </w14:solidFill>
          </w14:textFill>
        </w:rPr>
        <w:t>021</w:t>
      </w:r>
      <w:r>
        <w:rPr>
          <w:rFonts w:hint="eastAsia"/>
          <w:bCs/>
          <w:color w:val="000000" w:themeColor="text1"/>
          <w14:textFill>
            <w14:solidFill>
              <w14:schemeClr w14:val="tx1"/>
            </w14:solidFill>
          </w14:textFill>
        </w:rPr>
        <w:t>年、2</w:t>
      </w:r>
      <w:r>
        <w:rPr>
          <w:bCs/>
          <w:color w:val="000000" w:themeColor="text1"/>
          <w14:textFill>
            <w14:solidFill>
              <w14:schemeClr w14:val="tx1"/>
            </w14:solidFill>
          </w14:textFill>
        </w:rPr>
        <w:t>022</w:t>
      </w:r>
      <w:r>
        <w:rPr>
          <w:rFonts w:hint="eastAsia"/>
          <w:bCs/>
          <w:color w:val="000000" w:themeColor="text1"/>
          <w14:textFill>
            <w14:solidFill>
              <w14:schemeClr w14:val="tx1"/>
            </w14:solidFill>
          </w14:textFill>
        </w:rPr>
        <w:t>年在线监测结果统计</w:t>
      </w:r>
      <w:r>
        <w:rPr>
          <w:rFonts w:hint="eastAsia"/>
          <w:bCs/>
          <w:color w:val="000000" w:themeColor="text1"/>
          <w:szCs w:val="26"/>
          <w14:textFill>
            <w14:solidFill>
              <w14:schemeClr w14:val="tx1"/>
            </w14:solidFill>
          </w14:textFill>
        </w:rPr>
        <w:t>，</w:t>
      </w:r>
      <w:bookmarkStart w:id="67" w:name="_Hlk99634117"/>
      <w:r>
        <w:rPr>
          <w:rFonts w:hint="eastAsia"/>
          <w:bCs/>
          <w:color w:val="000000" w:themeColor="text1"/>
          <w:szCs w:val="26"/>
          <w14:textFill>
            <w14:solidFill>
              <w14:schemeClr w14:val="tx1"/>
            </w14:solidFill>
          </w14:textFill>
        </w:rPr>
        <w:t>循环流化床锅炉烟囱</w:t>
      </w:r>
      <w:bookmarkEnd w:id="67"/>
      <w:r>
        <w:rPr>
          <w:rFonts w:hint="eastAsia"/>
          <w:bCs/>
          <w:color w:val="000000" w:themeColor="text1"/>
          <w:szCs w:val="26"/>
          <w14:textFill>
            <w14:solidFill>
              <w14:schemeClr w14:val="tx1"/>
            </w14:solidFill>
          </w14:textFill>
        </w:rPr>
        <w:t>排放的</w:t>
      </w:r>
      <w:r>
        <w:rPr>
          <w:rFonts w:eastAsiaTheme="minorEastAsia"/>
          <w:color w:val="000000" w:themeColor="text1"/>
          <w:szCs w:val="26"/>
          <w14:textFill>
            <w14:solidFill>
              <w14:schemeClr w14:val="tx1"/>
            </w14:solidFill>
          </w14:textFill>
        </w:rPr>
        <w:t>SO</w:t>
      </w:r>
      <w:r>
        <w:rPr>
          <w:rFonts w:eastAsiaTheme="minorEastAsia"/>
          <w:color w:val="000000" w:themeColor="text1"/>
          <w:szCs w:val="26"/>
          <w:vertAlign w:val="subscript"/>
          <w14:textFill>
            <w14:solidFill>
              <w14:schemeClr w14:val="tx1"/>
            </w14:solidFill>
          </w14:textFill>
        </w:rPr>
        <w:t>2</w:t>
      </w:r>
      <w:r>
        <w:rPr>
          <w:rFonts w:hint="eastAsia" w:eastAsiaTheme="minorEastAsia"/>
          <w:color w:val="000000" w:themeColor="text1"/>
          <w:szCs w:val="26"/>
          <w14:textFill>
            <w14:solidFill>
              <w14:schemeClr w14:val="tx1"/>
            </w14:solidFill>
          </w14:textFill>
        </w:rPr>
        <w:t>、</w:t>
      </w:r>
      <w:r>
        <w:rPr>
          <w:rFonts w:eastAsiaTheme="minorEastAsia"/>
          <w:color w:val="000000" w:themeColor="text1"/>
          <w:szCs w:val="26"/>
          <w14:textFill>
            <w14:solidFill>
              <w14:schemeClr w14:val="tx1"/>
            </w14:solidFill>
          </w14:textFill>
        </w:rPr>
        <w:t>NO</w:t>
      </w:r>
      <w:r>
        <w:rPr>
          <w:rFonts w:eastAsiaTheme="minorEastAsia"/>
          <w:color w:val="000000" w:themeColor="text1"/>
          <w:szCs w:val="26"/>
          <w:vertAlign w:val="subscript"/>
          <w14:textFill>
            <w14:solidFill>
              <w14:schemeClr w14:val="tx1"/>
            </w14:solidFill>
          </w14:textFill>
        </w:rPr>
        <w:t>X</w:t>
      </w:r>
      <w:r>
        <w:rPr>
          <w:rFonts w:hint="eastAsia" w:eastAsiaTheme="minorEastAsia"/>
          <w:color w:val="000000" w:themeColor="text1"/>
          <w:szCs w:val="26"/>
          <w14:textFill>
            <w14:solidFill>
              <w14:schemeClr w14:val="tx1"/>
            </w14:solidFill>
          </w14:textFill>
        </w:rPr>
        <w:t>、</w:t>
      </w:r>
      <w:r>
        <w:rPr>
          <w:rFonts w:eastAsiaTheme="minorEastAsia"/>
          <w:color w:val="000000" w:themeColor="text1"/>
          <w:szCs w:val="26"/>
          <w14:textFill>
            <w14:solidFill>
              <w14:schemeClr w14:val="tx1"/>
            </w14:solidFill>
          </w14:textFill>
        </w:rPr>
        <w:t>颗粒物</w:t>
      </w:r>
      <w:r>
        <w:rPr>
          <w:rFonts w:hint="eastAsia" w:eastAsiaTheme="minorEastAsia"/>
          <w:color w:val="000000" w:themeColor="text1"/>
          <w:szCs w:val="26"/>
          <w14:textFill>
            <w14:solidFill>
              <w14:schemeClr w14:val="tx1"/>
            </w14:solidFill>
          </w14:textFill>
        </w:rPr>
        <w:t>情况见表2</w:t>
      </w:r>
      <w:r>
        <w:rPr>
          <w:rFonts w:eastAsiaTheme="minorEastAsia"/>
          <w:color w:val="000000" w:themeColor="text1"/>
          <w:szCs w:val="26"/>
          <w14:textFill>
            <w14:solidFill>
              <w14:schemeClr w14:val="tx1"/>
            </w14:solidFill>
          </w14:textFill>
        </w:rPr>
        <w:t>.3</w:t>
      </w:r>
      <w:r>
        <w:rPr>
          <w:rFonts w:hint="eastAsia" w:eastAsiaTheme="minorEastAsia"/>
          <w:color w:val="000000" w:themeColor="text1"/>
          <w:szCs w:val="26"/>
          <w14:textFill>
            <w14:solidFill>
              <w14:schemeClr w14:val="tx1"/>
            </w14:solidFill>
          </w14:textFill>
        </w:rPr>
        <w:t>-</w:t>
      </w:r>
      <w:r>
        <w:rPr>
          <w:rFonts w:eastAsiaTheme="minorEastAsia"/>
          <w:color w:val="000000" w:themeColor="text1"/>
          <w:szCs w:val="26"/>
          <w14:textFill>
            <w14:solidFill>
              <w14:schemeClr w14:val="tx1"/>
            </w14:solidFill>
          </w14:textFill>
        </w:rPr>
        <w:t>2</w:t>
      </w:r>
      <w:r>
        <w:rPr>
          <w:rFonts w:hint="eastAsia" w:eastAsiaTheme="minorEastAsia"/>
          <w:color w:val="000000" w:themeColor="text1"/>
          <w:szCs w:val="26"/>
          <w14:textFill>
            <w14:solidFill>
              <w14:schemeClr w14:val="tx1"/>
            </w14:solidFill>
          </w14:textFill>
        </w:rPr>
        <w:t>。</w:t>
      </w:r>
    </w:p>
    <w:p>
      <w:pPr>
        <w:ind w:firstLine="520"/>
        <w:rPr>
          <w:bCs/>
          <w:color w:val="000000" w:themeColor="text1"/>
          <w:szCs w:val="26"/>
          <w14:textFill>
            <w14:solidFill>
              <w14:schemeClr w14:val="tx1"/>
            </w14:solidFill>
          </w14:textFill>
        </w:rPr>
      </w:pPr>
      <w:r>
        <w:rPr>
          <w:rFonts w:hint="eastAsia"/>
          <w:color w:val="000000" w:themeColor="text1"/>
          <w14:textFill>
            <w14:solidFill>
              <w14:schemeClr w14:val="tx1"/>
            </w14:solidFill>
          </w14:textFill>
        </w:rPr>
        <w:t>同时，根据《</w:t>
      </w:r>
      <w:r>
        <w:rPr>
          <w:bCs/>
          <w:color w:val="000000" w:themeColor="text1"/>
          <w14:textFill>
            <w14:solidFill>
              <w14:schemeClr w14:val="tx1"/>
            </w14:solidFill>
          </w14:textFill>
        </w:rPr>
        <w:t>1×300MW机组脱硫、脱硝、除尘</w:t>
      </w:r>
      <w:bookmarkStart w:id="68" w:name="_Hlk99635868"/>
      <w:r>
        <w:rPr>
          <w:bCs/>
          <w:color w:val="000000" w:themeColor="text1"/>
          <w14:textFill>
            <w14:solidFill>
              <w14:schemeClr w14:val="tx1"/>
            </w14:solidFill>
          </w14:textFill>
        </w:rPr>
        <w:t>超低排放改造</w:t>
      </w:r>
      <w:bookmarkEnd w:id="68"/>
      <w:r>
        <w:rPr>
          <w:bCs/>
          <w:color w:val="000000" w:themeColor="text1"/>
          <w14:textFill>
            <w14:solidFill>
              <w14:schemeClr w14:val="tx1"/>
            </w14:solidFill>
          </w14:textFill>
        </w:rPr>
        <w:t>工程</w:t>
      </w:r>
      <w:r>
        <w:rPr>
          <w:rFonts w:hint="eastAsia"/>
          <w:bCs/>
          <w:color w:val="000000" w:themeColor="text1"/>
          <w14:textFill>
            <w14:solidFill>
              <w14:schemeClr w14:val="tx1"/>
            </w14:solidFill>
          </w14:textFill>
        </w:rPr>
        <w:t>竣工环保验收监测报告</w:t>
      </w:r>
      <w:r>
        <w:rPr>
          <w:rFonts w:hint="eastAsia"/>
          <w:color w:val="000000" w:themeColor="text1"/>
          <w14:textFill>
            <w14:solidFill>
              <w14:schemeClr w14:val="tx1"/>
            </w14:solidFill>
          </w14:textFill>
        </w:rPr>
        <w:t>》中</w:t>
      </w:r>
      <w:r>
        <w:rPr>
          <w:rFonts w:hint="eastAsia"/>
          <w:bCs/>
          <w:color w:val="000000" w:themeColor="text1"/>
          <w:szCs w:val="26"/>
          <w14:textFill>
            <w14:solidFill>
              <w14:schemeClr w14:val="tx1"/>
            </w14:solidFill>
          </w14:textFill>
        </w:rPr>
        <w:t>循环流化床锅炉烟囱出口监测结果（监测时间2</w:t>
      </w:r>
      <w:r>
        <w:rPr>
          <w:bCs/>
          <w:color w:val="000000" w:themeColor="text1"/>
          <w:szCs w:val="26"/>
          <w14:textFill>
            <w14:solidFill>
              <w14:schemeClr w14:val="tx1"/>
            </w14:solidFill>
          </w14:textFill>
        </w:rPr>
        <w:t>020</w:t>
      </w:r>
      <w:r>
        <w:rPr>
          <w:rFonts w:hint="eastAsia"/>
          <w:bCs/>
          <w:color w:val="000000" w:themeColor="text1"/>
          <w:szCs w:val="26"/>
          <w14:textFill>
            <w14:solidFill>
              <w14:schemeClr w14:val="tx1"/>
            </w14:solidFill>
          </w14:textFill>
        </w:rPr>
        <w:t>年1月9日-</w:t>
      </w:r>
      <w:r>
        <w:rPr>
          <w:bCs/>
          <w:color w:val="000000" w:themeColor="text1"/>
          <w:szCs w:val="26"/>
          <w14:textFill>
            <w14:solidFill>
              <w14:schemeClr w14:val="tx1"/>
            </w14:solidFill>
          </w14:textFill>
        </w:rPr>
        <w:t>10</w:t>
      </w:r>
      <w:r>
        <w:rPr>
          <w:rFonts w:hint="eastAsia"/>
          <w:bCs/>
          <w:color w:val="000000" w:themeColor="text1"/>
          <w:szCs w:val="26"/>
          <w14:textFill>
            <w14:solidFill>
              <w14:schemeClr w14:val="tx1"/>
            </w14:solidFill>
          </w14:textFill>
        </w:rPr>
        <w:t>日生产负荷9</w:t>
      </w:r>
      <w:r>
        <w:rPr>
          <w:bCs/>
          <w:color w:val="000000" w:themeColor="text1"/>
          <w:szCs w:val="26"/>
          <w14:textFill>
            <w14:solidFill>
              <w14:schemeClr w14:val="tx1"/>
            </w14:solidFill>
          </w14:textFill>
        </w:rPr>
        <w:t>0</w:t>
      </w:r>
      <w:r>
        <w:rPr>
          <w:rFonts w:hint="eastAsia"/>
          <w:bCs/>
          <w:color w:val="000000" w:themeColor="text1"/>
          <w:szCs w:val="26"/>
          <w14:textFill>
            <w14:solidFill>
              <w14:schemeClr w14:val="tx1"/>
            </w14:solidFill>
          </w14:textFill>
        </w:rPr>
        <w:t>%）和近</w:t>
      </w:r>
      <w:r>
        <w:rPr>
          <w:bCs/>
          <w:color w:val="000000" w:themeColor="text1"/>
          <w:szCs w:val="26"/>
          <w14:textFill>
            <w14:solidFill>
              <w14:schemeClr w14:val="tx1"/>
            </w14:solidFill>
          </w14:textFill>
        </w:rPr>
        <w:t>3</w:t>
      </w:r>
      <w:r>
        <w:rPr>
          <w:rFonts w:hint="eastAsia"/>
          <w:bCs/>
          <w:color w:val="000000" w:themeColor="text1"/>
          <w:szCs w:val="26"/>
          <w14:textFill>
            <w14:solidFill>
              <w14:schemeClr w14:val="tx1"/>
            </w14:solidFill>
          </w14:textFill>
        </w:rPr>
        <w:t>年企业排污许可执行报告数据（见表2</w:t>
      </w:r>
      <w:r>
        <w:rPr>
          <w:bCs/>
          <w:color w:val="000000" w:themeColor="text1"/>
          <w:szCs w:val="26"/>
          <w14:textFill>
            <w14:solidFill>
              <w14:schemeClr w14:val="tx1"/>
            </w14:solidFill>
          </w14:textFill>
        </w:rPr>
        <w:t>.3</w:t>
      </w:r>
      <w:r>
        <w:rPr>
          <w:rFonts w:hint="eastAsia"/>
          <w:bCs/>
          <w:color w:val="000000" w:themeColor="text1"/>
          <w:szCs w:val="26"/>
          <w14:textFill>
            <w14:solidFill>
              <w14:schemeClr w14:val="tx1"/>
            </w14:solidFill>
          </w14:textFill>
        </w:rPr>
        <w:t>-</w:t>
      </w:r>
      <w:r>
        <w:rPr>
          <w:bCs/>
          <w:color w:val="000000" w:themeColor="text1"/>
          <w:szCs w:val="26"/>
          <w14:textFill>
            <w14:solidFill>
              <w14:schemeClr w14:val="tx1"/>
            </w14:solidFill>
          </w14:textFill>
        </w:rPr>
        <w:t>3</w:t>
      </w:r>
      <w:r>
        <w:rPr>
          <w:rFonts w:hint="eastAsia"/>
          <w:bCs/>
          <w:color w:val="000000" w:themeColor="text1"/>
          <w:szCs w:val="26"/>
          <w14:textFill>
            <w14:solidFill>
              <w14:schemeClr w14:val="tx1"/>
            </w14:solidFill>
          </w14:textFill>
        </w:rPr>
        <w:t>），其他污染因子满足排污许可控制要求。</w:t>
      </w:r>
    </w:p>
    <w:p>
      <w:pPr>
        <w:ind w:firstLine="520"/>
        <w:rPr>
          <w:rFonts w:eastAsiaTheme="minorEastAsia"/>
          <w:color w:val="000000" w:themeColor="text1"/>
          <w:sz w:val="22"/>
          <w14:textFill>
            <w14:solidFill>
              <w14:schemeClr w14:val="tx1"/>
            </w14:solidFill>
          </w14:textFill>
        </w:rPr>
      </w:pPr>
      <w:r>
        <w:rPr>
          <w:rFonts w:hint="eastAsia" w:eastAsiaTheme="minorEastAsia"/>
          <w:color w:val="000000" w:themeColor="text1"/>
          <w:szCs w:val="26"/>
          <w14:textFill>
            <w14:solidFill>
              <w14:schemeClr w14:val="tx1"/>
            </w14:solidFill>
          </w14:textFill>
        </w:rPr>
        <w:t>可见现有工程循环流化床锅炉废气排放满足排污许可控制要求。</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近两年循环流化床锅炉烟囱在线监测结果统计和达标判定</w:t>
      </w:r>
    </w:p>
    <w:tbl>
      <w:tblPr>
        <w:tblStyle w:val="43"/>
        <w:tblW w:w="135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7"/>
        <w:gridCol w:w="2254"/>
        <w:gridCol w:w="1470"/>
        <w:gridCol w:w="2254"/>
        <w:gridCol w:w="1470"/>
        <w:gridCol w:w="2254"/>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367" w:type="dxa"/>
            <w:vMerge w:val="restar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年 度</w:t>
            </w:r>
          </w:p>
        </w:tc>
        <w:tc>
          <w:tcPr>
            <w:tcW w:w="3724" w:type="dxa"/>
            <w:gridSpan w:val="2"/>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SO</w:t>
            </w:r>
            <w:r>
              <w:rPr>
                <w:rFonts w:hint="eastAsia"/>
                <w:color w:val="000000" w:themeColor="text1"/>
                <w:kern w:val="0"/>
                <w:sz w:val="22"/>
                <w:vertAlign w:val="subscript"/>
                <w14:textFill>
                  <w14:solidFill>
                    <w14:schemeClr w14:val="tx1"/>
                  </w14:solidFill>
                </w14:textFill>
              </w:rPr>
              <w:t>2</w:t>
            </w:r>
          </w:p>
        </w:tc>
        <w:tc>
          <w:tcPr>
            <w:tcW w:w="3724" w:type="dxa"/>
            <w:gridSpan w:val="2"/>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NO</w:t>
            </w:r>
            <w:r>
              <w:rPr>
                <w:rFonts w:hint="eastAsia"/>
                <w:color w:val="000000" w:themeColor="text1"/>
                <w:kern w:val="0"/>
                <w:sz w:val="22"/>
                <w:vertAlign w:val="subscript"/>
                <w14:textFill>
                  <w14:solidFill>
                    <w14:schemeClr w14:val="tx1"/>
                  </w14:solidFill>
                </w14:textFill>
              </w:rPr>
              <w:t>X</w:t>
            </w:r>
          </w:p>
        </w:tc>
        <w:tc>
          <w:tcPr>
            <w:tcW w:w="3724" w:type="dxa"/>
            <w:gridSpan w:val="2"/>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烟尘（颗粒物）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367" w:type="dxa"/>
            <w:vMerge w:val="continue"/>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c>
          <w:tcPr>
            <w:tcW w:w="2254"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月均排放浓度</w:t>
            </w:r>
            <w:r>
              <w:rPr>
                <w:rFonts w:eastAsiaTheme="minorEastAsia"/>
                <w:color w:val="000000" w:themeColor="text1"/>
                <w:sz w:val="22"/>
                <w14:textFill>
                  <w14:solidFill>
                    <w14:schemeClr w14:val="tx1"/>
                  </w14:solidFill>
                </w14:textFill>
              </w:rPr>
              <w:t>（</w:t>
            </w:r>
            <w:r>
              <w:rPr>
                <w:rFonts w:eastAsiaTheme="minorEastAsia"/>
                <w:color w:val="000000" w:themeColor="text1"/>
                <w:sz w:val="22"/>
                <w:shd w:val="clear" w:color="auto" w:fill="FFFFFF"/>
                <w14:textFill>
                  <w14:solidFill>
                    <w14:schemeClr w14:val="tx1"/>
                  </w14:solidFill>
                </w14:textFill>
              </w:rPr>
              <w:t>mg/Nm</w:t>
            </w:r>
            <w:r>
              <w:rPr>
                <w:rFonts w:eastAsiaTheme="minorEastAsia"/>
                <w:color w:val="000000" w:themeColor="text1"/>
                <w:sz w:val="22"/>
                <w:shd w:val="clear" w:color="auto" w:fill="FFFFFF"/>
                <w:vertAlign w:val="superscript"/>
                <w14:textFill>
                  <w14:solidFill>
                    <w14:schemeClr w14:val="tx1"/>
                  </w14:solidFill>
                </w14:textFill>
              </w:rPr>
              <w:t>3</w:t>
            </w:r>
            <w:r>
              <w:rPr>
                <w:rFonts w:eastAsiaTheme="minorEastAsia"/>
                <w:color w:val="000000" w:themeColor="text1"/>
                <w:sz w:val="22"/>
                <w14:textFill>
                  <w14:solidFill>
                    <w14:schemeClr w14:val="tx1"/>
                  </w14:solidFill>
                </w14:textFill>
              </w:rPr>
              <w:t>）</w:t>
            </w:r>
          </w:p>
        </w:tc>
        <w:tc>
          <w:tcPr>
            <w:tcW w:w="1470"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排放总量</w:t>
            </w:r>
            <w:r>
              <w:rPr>
                <w:rFonts w:eastAsiaTheme="minorEastAsia"/>
                <w:color w:val="000000" w:themeColor="text1"/>
                <w:sz w:val="22"/>
                <w14:textFill>
                  <w14:solidFill>
                    <w14:schemeClr w14:val="tx1"/>
                  </w14:solidFill>
                </w14:textFill>
              </w:rPr>
              <w:t>（t/a）</w:t>
            </w:r>
          </w:p>
        </w:tc>
        <w:tc>
          <w:tcPr>
            <w:tcW w:w="2254"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月均排放浓度</w:t>
            </w:r>
            <w:r>
              <w:rPr>
                <w:rFonts w:eastAsiaTheme="minorEastAsia"/>
                <w:color w:val="000000" w:themeColor="text1"/>
                <w:sz w:val="22"/>
                <w14:textFill>
                  <w14:solidFill>
                    <w14:schemeClr w14:val="tx1"/>
                  </w14:solidFill>
                </w14:textFill>
              </w:rPr>
              <w:t>（</w:t>
            </w:r>
            <w:r>
              <w:rPr>
                <w:rFonts w:eastAsiaTheme="minorEastAsia"/>
                <w:color w:val="000000" w:themeColor="text1"/>
                <w:sz w:val="22"/>
                <w:shd w:val="clear" w:color="auto" w:fill="FFFFFF"/>
                <w14:textFill>
                  <w14:solidFill>
                    <w14:schemeClr w14:val="tx1"/>
                  </w14:solidFill>
                </w14:textFill>
              </w:rPr>
              <w:t>mg/Nm</w:t>
            </w:r>
            <w:r>
              <w:rPr>
                <w:rFonts w:eastAsiaTheme="minorEastAsia"/>
                <w:color w:val="000000" w:themeColor="text1"/>
                <w:sz w:val="22"/>
                <w:shd w:val="clear" w:color="auto" w:fill="FFFFFF"/>
                <w:vertAlign w:val="superscript"/>
                <w14:textFill>
                  <w14:solidFill>
                    <w14:schemeClr w14:val="tx1"/>
                  </w14:solidFill>
                </w14:textFill>
              </w:rPr>
              <w:t>3</w:t>
            </w:r>
            <w:r>
              <w:rPr>
                <w:rFonts w:eastAsiaTheme="minorEastAsia"/>
                <w:color w:val="000000" w:themeColor="text1"/>
                <w:sz w:val="22"/>
                <w14:textFill>
                  <w14:solidFill>
                    <w14:schemeClr w14:val="tx1"/>
                  </w14:solidFill>
                </w14:textFill>
              </w:rPr>
              <w:t>）</w:t>
            </w:r>
          </w:p>
        </w:tc>
        <w:tc>
          <w:tcPr>
            <w:tcW w:w="1470"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排放总量</w:t>
            </w:r>
            <w:r>
              <w:rPr>
                <w:rFonts w:eastAsiaTheme="minorEastAsia"/>
                <w:color w:val="000000" w:themeColor="text1"/>
                <w:sz w:val="22"/>
                <w14:textFill>
                  <w14:solidFill>
                    <w14:schemeClr w14:val="tx1"/>
                  </w14:solidFill>
                </w14:textFill>
              </w:rPr>
              <w:t>（t/a）</w:t>
            </w:r>
          </w:p>
        </w:tc>
        <w:tc>
          <w:tcPr>
            <w:tcW w:w="2254"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月均排放浓度</w:t>
            </w:r>
            <w:r>
              <w:rPr>
                <w:rFonts w:eastAsiaTheme="minorEastAsia"/>
                <w:color w:val="000000" w:themeColor="text1"/>
                <w:sz w:val="22"/>
                <w14:textFill>
                  <w14:solidFill>
                    <w14:schemeClr w14:val="tx1"/>
                  </w14:solidFill>
                </w14:textFill>
              </w:rPr>
              <w:t>（</w:t>
            </w:r>
            <w:r>
              <w:rPr>
                <w:rFonts w:eastAsiaTheme="minorEastAsia"/>
                <w:color w:val="000000" w:themeColor="text1"/>
                <w:sz w:val="22"/>
                <w:shd w:val="clear" w:color="auto" w:fill="FFFFFF"/>
                <w14:textFill>
                  <w14:solidFill>
                    <w14:schemeClr w14:val="tx1"/>
                  </w14:solidFill>
                </w14:textFill>
              </w:rPr>
              <w:t>mg/Nm</w:t>
            </w:r>
            <w:r>
              <w:rPr>
                <w:rFonts w:eastAsiaTheme="minorEastAsia"/>
                <w:color w:val="000000" w:themeColor="text1"/>
                <w:sz w:val="22"/>
                <w:shd w:val="clear" w:color="auto" w:fill="FFFFFF"/>
                <w:vertAlign w:val="superscript"/>
                <w14:textFill>
                  <w14:solidFill>
                    <w14:schemeClr w14:val="tx1"/>
                  </w14:solidFill>
                </w14:textFill>
              </w:rPr>
              <w:t>3</w:t>
            </w:r>
            <w:r>
              <w:rPr>
                <w:rFonts w:eastAsiaTheme="minorEastAsia"/>
                <w:color w:val="000000" w:themeColor="text1"/>
                <w:sz w:val="22"/>
                <w14:textFill>
                  <w14:solidFill>
                    <w14:schemeClr w14:val="tx1"/>
                  </w14:solidFill>
                </w14:textFill>
              </w:rPr>
              <w:t>）</w:t>
            </w:r>
          </w:p>
        </w:tc>
        <w:tc>
          <w:tcPr>
            <w:tcW w:w="1470"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排放总量</w:t>
            </w:r>
            <w:r>
              <w:rPr>
                <w:rFonts w:eastAsiaTheme="minorEastAsia"/>
                <w:color w:val="000000" w:themeColor="text1"/>
                <w:sz w:val="22"/>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367"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2020年</w:t>
            </w:r>
          </w:p>
        </w:tc>
        <w:tc>
          <w:tcPr>
            <w:tcW w:w="2254"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18.7</w:t>
            </w:r>
          </w:p>
        </w:tc>
        <w:tc>
          <w:tcPr>
            <w:tcW w:w="1470"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 xml:space="preserve">107.601 </w:t>
            </w:r>
          </w:p>
        </w:tc>
        <w:tc>
          <w:tcPr>
            <w:tcW w:w="2254"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36.6</w:t>
            </w:r>
          </w:p>
        </w:tc>
        <w:tc>
          <w:tcPr>
            <w:tcW w:w="1470"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 xml:space="preserve">212.530 </w:t>
            </w:r>
          </w:p>
        </w:tc>
        <w:tc>
          <w:tcPr>
            <w:tcW w:w="2254"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3.12</w:t>
            </w:r>
          </w:p>
        </w:tc>
        <w:tc>
          <w:tcPr>
            <w:tcW w:w="1470"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 xml:space="preserve">18.984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367"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2021年</w:t>
            </w:r>
          </w:p>
        </w:tc>
        <w:tc>
          <w:tcPr>
            <w:tcW w:w="2254"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21.6</w:t>
            </w:r>
          </w:p>
        </w:tc>
        <w:tc>
          <w:tcPr>
            <w:tcW w:w="1470"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 xml:space="preserve">70.544 </w:t>
            </w:r>
          </w:p>
        </w:tc>
        <w:tc>
          <w:tcPr>
            <w:tcW w:w="2254"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37.4</w:t>
            </w:r>
          </w:p>
        </w:tc>
        <w:tc>
          <w:tcPr>
            <w:tcW w:w="1470"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 xml:space="preserve">121.818 </w:t>
            </w:r>
          </w:p>
        </w:tc>
        <w:tc>
          <w:tcPr>
            <w:tcW w:w="2254"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2.75</w:t>
            </w:r>
          </w:p>
        </w:tc>
        <w:tc>
          <w:tcPr>
            <w:tcW w:w="1470"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 xml:space="preserve">8.391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367"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2</w:t>
            </w:r>
            <w:r>
              <w:rPr>
                <w:color w:val="000000" w:themeColor="text1"/>
                <w:kern w:val="0"/>
                <w:sz w:val="22"/>
                <w14:textFill>
                  <w14:solidFill>
                    <w14:schemeClr w14:val="tx1"/>
                  </w14:solidFill>
                </w14:textFill>
              </w:rPr>
              <w:t>022</w:t>
            </w:r>
            <w:r>
              <w:rPr>
                <w:rFonts w:hint="eastAsia"/>
                <w:color w:val="000000" w:themeColor="text1"/>
                <w:kern w:val="0"/>
                <w:sz w:val="22"/>
                <w14:textFill>
                  <w14:solidFill>
                    <w14:schemeClr w14:val="tx1"/>
                  </w14:solidFill>
                </w14:textFill>
              </w:rPr>
              <w:t>年</w:t>
            </w:r>
          </w:p>
        </w:tc>
        <w:tc>
          <w:tcPr>
            <w:tcW w:w="2254"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2</w:t>
            </w:r>
            <w:r>
              <w:rPr>
                <w:color w:val="000000" w:themeColor="text1"/>
                <w:kern w:val="0"/>
                <w:sz w:val="22"/>
                <w14:textFill>
                  <w14:solidFill>
                    <w14:schemeClr w14:val="tx1"/>
                  </w14:solidFill>
                </w14:textFill>
              </w:rPr>
              <w:t>2.71</w:t>
            </w:r>
          </w:p>
        </w:tc>
        <w:tc>
          <w:tcPr>
            <w:tcW w:w="1470"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1</w:t>
            </w:r>
            <w:r>
              <w:rPr>
                <w:color w:val="000000" w:themeColor="text1"/>
                <w:kern w:val="0"/>
                <w:sz w:val="22"/>
                <w14:textFill>
                  <w14:solidFill>
                    <w14:schemeClr w14:val="tx1"/>
                  </w14:solidFill>
                </w14:textFill>
              </w:rPr>
              <w:t>22.7</w:t>
            </w:r>
          </w:p>
        </w:tc>
        <w:tc>
          <w:tcPr>
            <w:tcW w:w="2254"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4</w:t>
            </w:r>
            <w:r>
              <w:rPr>
                <w:color w:val="000000" w:themeColor="text1"/>
                <w:kern w:val="0"/>
                <w:sz w:val="22"/>
                <w14:textFill>
                  <w14:solidFill>
                    <w14:schemeClr w14:val="tx1"/>
                  </w14:solidFill>
                </w14:textFill>
              </w:rPr>
              <w:t>0.66</w:t>
            </w:r>
          </w:p>
        </w:tc>
        <w:tc>
          <w:tcPr>
            <w:tcW w:w="1470"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2</w:t>
            </w:r>
            <w:r>
              <w:rPr>
                <w:color w:val="000000" w:themeColor="text1"/>
                <w:kern w:val="0"/>
                <w:sz w:val="22"/>
                <w14:textFill>
                  <w14:solidFill>
                    <w14:schemeClr w14:val="tx1"/>
                  </w14:solidFill>
                </w14:textFill>
              </w:rPr>
              <w:t>17.59</w:t>
            </w:r>
          </w:p>
        </w:tc>
        <w:tc>
          <w:tcPr>
            <w:tcW w:w="2254"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4</w:t>
            </w:r>
            <w:r>
              <w:rPr>
                <w:color w:val="000000" w:themeColor="text1"/>
                <w:kern w:val="0"/>
                <w:sz w:val="22"/>
                <w14:textFill>
                  <w14:solidFill>
                    <w14:schemeClr w14:val="tx1"/>
                  </w14:solidFill>
                </w14:textFill>
              </w:rPr>
              <w:t>.2</w:t>
            </w:r>
          </w:p>
        </w:tc>
        <w:tc>
          <w:tcPr>
            <w:tcW w:w="1470"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2</w:t>
            </w:r>
            <w:r>
              <w:rPr>
                <w:color w:val="000000" w:themeColor="text1"/>
                <w:kern w:val="0"/>
                <w:sz w:val="22"/>
                <w14:textFill>
                  <w14:solidFill>
                    <w14:schemeClr w14:val="tx1"/>
                  </w14:solidFill>
                </w14:textFill>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367"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排污许可总量指标</w:t>
            </w:r>
          </w:p>
        </w:tc>
        <w:tc>
          <w:tcPr>
            <w:tcW w:w="2254"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≤35</w:t>
            </w:r>
          </w:p>
        </w:tc>
        <w:tc>
          <w:tcPr>
            <w:tcW w:w="1470"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2304.44</w:t>
            </w:r>
          </w:p>
        </w:tc>
        <w:tc>
          <w:tcPr>
            <w:tcW w:w="2254"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 xml:space="preserve">≤50 </w:t>
            </w:r>
          </w:p>
        </w:tc>
        <w:tc>
          <w:tcPr>
            <w:tcW w:w="1470"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1160.73</w:t>
            </w:r>
          </w:p>
        </w:tc>
        <w:tc>
          <w:tcPr>
            <w:tcW w:w="2254"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 xml:space="preserve">≤10 </w:t>
            </w:r>
          </w:p>
        </w:tc>
        <w:tc>
          <w:tcPr>
            <w:tcW w:w="1470"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182.72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367"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bCs/>
                <w:color w:val="000000" w:themeColor="text1"/>
                <w:kern w:val="0"/>
                <w:sz w:val="22"/>
                <w14:textFill>
                  <w14:solidFill>
                    <w14:schemeClr w14:val="tx1"/>
                  </w14:solidFill>
                </w14:textFill>
              </w:rPr>
              <w:t>超低排放改造</w:t>
            </w:r>
            <w:r>
              <w:rPr>
                <w:rFonts w:hint="eastAsia"/>
                <w:color w:val="000000" w:themeColor="text1"/>
                <w:kern w:val="0"/>
                <w:sz w:val="22"/>
                <w14:textFill>
                  <w14:solidFill>
                    <w14:schemeClr w14:val="tx1"/>
                  </w14:solidFill>
                </w14:textFill>
              </w:rPr>
              <w:t>环评核算总量</w:t>
            </w:r>
          </w:p>
        </w:tc>
        <w:tc>
          <w:tcPr>
            <w:tcW w:w="2254"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≤35</w:t>
            </w:r>
          </w:p>
        </w:tc>
        <w:tc>
          <w:tcPr>
            <w:tcW w:w="1470"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4</w:t>
            </w:r>
            <w:r>
              <w:rPr>
                <w:color w:val="000000" w:themeColor="text1"/>
                <w:kern w:val="0"/>
                <w:sz w:val="22"/>
                <w14:textFill>
                  <w14:solidFill>
                    <w14:schemeClr w14:val="tx1"/>
                  </w14:solidFill>
                </w14:textFill>
              </w:rPr>
              <w:t>13</w:t>
            </w:r>
          </w:p>
        </w:tc>
        <w:tc>
          <w:tcPr>
            <w:tcW w:w="2254"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≤50</w:t>
            </w:r>
          </w:p>
        </w:tc>
        <w:tc>
          <w:tcPr>
            <w:tcW w:w="1470"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2</w:t>
            </w:r>
            <w:r>
              <w:rPr>
                <w:color w:val="000000" w:themeColor="text1"/>
                <w:kern w:val="0"/>
                <w:sz w:val="22"/>
                <w14:textFill>
                  <w14:solidFill>
                    <w14:schemeClr w14:val="tx1"/>
                  </w14:solidFill>
                </w14:textFill>
              </w:rPr>
              <w:t>52.7</w:t>
            </w:r>
          </w:p>
        </w:tc>
        <w:tc>
          <w:tcPr>
            <w:tcW w:w="2254"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≤10</w:t>
            </w:r>
          </w:p>
        </w:tc>
        <w:tc>
          <w:tcPr>
            <w:tcW w:w="1470"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7</w:t>
            </w:r>
            <w:r>
              <w:rPr>
                <w:color w:val="000000" w:themeColor="text1"/>
                <w:kern w:val="0"/>
                <w:sz w:val="22"/>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367"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达标情况</w:t>
            </w:r>
          </w:p>
        </w:tc>
        <w:tc>
          <w:tcPr>
            <w:tcW w:w="2254"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c>
          <w:tcPr>
            <w:tcW w:w="1470"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c>
          <w:tcPr>
            <w:tcW w:w="2254"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c>
          <w:tcPr>
            <w:tcW w:w="1470"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c>
          <w:tcPr>
            <w:tcW w:w="2254"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c>
          <w:tcPr>
            <w:tcW w:w="1470"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r>
    </w:tbl>
    <w:p>
      <w:pPr>
        <w:widowControl/>
        <w:adjustRightInd/>
        <w:snapToGrid/>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*备注：2</w:t>
      </w:r>
      <w:r>
        <w:rPr>
          <w:color w:val="000000" w:themeColor="text1"/>
          <w:sz w:val="22"/>
          <w14:textFill>
            <w14:solidFill>
              <w14:schemeClr w14:val="tx1"/>
            </w14:solidFill>
          </w14:textFill>
        </w:rPr>
        <w:t>020</w:t>
      </w:r>
      <w:r>
        <w:rPr>
          <w:rFonts w:hint="eastAsia"/>
          <w:color w:val="000000" w:themeColor="text1"/>
          <w:sz w:val="22"/>
          <w14:textFill>
            <w14:solidFill>
              <w14:schemeClr w14:val="tx1"/>
            </w14:solidFill>
          </w14:textFill>
        </w:rPr>
        <w:t>年起</w:t>
      </w:r>
      <w:r>
        <w:rPr>
          <w:color w:val="000000" w:themeColor="text1"/>
          <w:sz w:val="22"/>
          <w14:textFill>
            <w14:solidFill>
              <w14:schemeClr w14:val="tx1"/>
            </w14:solidFill>
          </w14:textFill>
        </w:rPr>
        <w:t>烟尘、二氧化硫、氮氧化物排放浓度执行《</w:t>
      </w:r>
      <w:r>
        <w:rPr>
          <w:rFonts w:hint="eastAsia"/>
          <w:color w:val="000000" w:themeColor="text1"/>
          <w:sz w:val="22"/>
          <w14:textFill>
            <w14:solidFill>
              <w14:schemeClr w14:val="tx1"/>
            </w14:solidFill>
          </w14:textFill>
        </w:rPr>
        <w:t>全面实施燃煤电厂超低排放和节能改造工作方案</w:t>
      </w:r>
      <w:r>
        <w:rPr>
          <w:color w:val="000000" w:themeColor="text1"/>
          <w:sz w:val="22"/>
          <w14:textFill>
            <w14:solidFill>
              <w14:schemeClr w14:val="tx1"/>
            </w14:solidFill>
          </w14:textFill>
        </w:rPr>
        <w:t>》</w:t>
      </w:r>
      <w:r>
        <w:rPr>
          <w:rFonts w:hint="eastAsia"/>
          <w:color w:val="000000" w:themeColor="text1"/>
          <w:sz w:val="22"/>
          <w14:textFill>
            <w14:solidFill>
              <w14:schemeClr w14:val="tx1"/>
            </w14:solidFill>
          </w14:textFill>
        </w:rPr>
        <w:t>（环发[</w:t>
      </w:r>
      <w:r>
        <w:rPr>
          <w:color w:val="000000" w:themeColor="text1"/>
          <w:sz w:val="22"/>
          <w14:textFill>
            <w14:solidFill>
              <w14:schemeClr w14:val="tx1"/>
            </w14:solidFill>
          </w14:textFill>
        </w:rPr>
        <w:t>2015]164号</w:t>
      </w:r>
      <w:r>
        <w:rPr>
          <w:rFonts w:hint="eastAsia"/>
          <w:color w:val="000000" w:themeColor="text1"/>
          <w:sz w:val="22"/>
          <w14:textFill>
            <w14:solidFill>
              <w14:schemeClr w14:val="tx1"/>
            </w14:solidFill>
          </w14:textFill>
        </w:rPr>
        <w:t>）</w:t>
      </w:r>
      <w:r>
        <w:rPr>
          <w:color w:val="000000" w:themeColor="text1"/>
          <w:sz w:val="22"/>
          <w14:textFill>
            <w14:solidFill>
              <w14:schemeClr w14:val="tx1"/>
            </w14:solidFill>
          </w14:textFill>
        </w:rPr>
        <w:t>超低排放限值</w:t>
      </w:r>
      <w:r>
        <w:rPr>
          <w:rFonts w:hint="eastAsia"/>
          <w:color w:val="000000" w:themeColor="text1"/>
          <w:sz w:val="22"/>
          <w14:textFill>
            <w14:solidFill>
              <w14:schemeClr w14:val="tx1"/>
            </w14:solidFill>
          </w14:textFill>
        </w:rPr>
        <w:t>。</w:t>
      </w:r>
    </w:p>
    <w:p>
      <w:pPr>
        <w:widowControl/>
        <w:adjustRightInd/>
        <w:snapToGrid/>
        <w:spacing w:line="240" w:lineRule="auto"/>
        <w:ind w:firstLine="440"/>
        <w:rPr>
          <w:color w:val="000000" w:themeColor="text1"/>
          <w:sz w:val="22"/>
          <w14:textFill>
            <w14:solidFill>
              <w14:schemeClr w14:val="tx1"/>
            </w14:solidFill>
          </w14:textFill>
        </w:rPr>
      </w:pPr>
    </w:p>
    <w:p>
      <w:pPr>
        <w:widowControl/>
        <w:adjustRightInd/>
        <w:snapToGrid/>
        <w:spacing w:line="240" w:lineRule="auto"/>
        <w:ind w:firstLine="440"/>
        <w:rPr>
          <w:color w:val="000000" w:themeColor="text1"/>
          <w:sz w:val="22"/>
          <w14:textFill>
            <w14:solidFill>
              <w14:schemeClr w14:val="tx1"/>
            </w14:solidFill>
          </w14:textFill>
        </w:rPr>
      </w:pP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循环流化床锅炉烟囱出口其他污染因子验收监测结果和达标判定</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1715"/>
        <w:gridCol w:w="1594"/>
        <w:gridCol w:w="1880"/>
        <w:gridCol w:w="1872"/>
        <w:gridCol w:w="1872"/>
        <w:gridCol w:w="1443"/>
        <w:gridCol w:w="1154"/>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22" w:type="pct"/>
            <w:vMerge w:val="restar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污染因子</w:t>
            </w:r>
          </w:p>
        </w:tc>
        <w:tc>
          <w:tcPr>
            <w:tcW w:w="1202" w:type="pct"/>
            <w:gridSpan w:val="2"/>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竣工环保验收监测结果</w:t>
            </w:r>
          </w:p>
        </w:tc>
        <w:tc>
          <w:tcPr>
            <w:tcW w:w="2043" w:type="pct"/>
            <w:gridSpan w:val="3"/>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排污许可执行报告</w:t>
            </w:r>
          </w:p>
        </w:tc>
        <w:tc>
          <w:tcPr>
            <w:tcW w:w="943" w:type="pct"/>
            <w:gridSpan w:val="2"/>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排污许可总量控制要求</w:t>
            </w:r>
          </w:p>
        </w:tc>
        <w:tc>
          <w:tcPr>
            <w:tcW w:w="290" w:type="pct"/>
            <w:vMerge w:val="restar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22" w:type="pct"/>
            <w:vMerge w:val="continue"/>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c>
          <w:tcPr>
            <w:tcW w:w="623"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排放浓度</w:t>
            </w:r>
            <w:r>
              <w:rPr>
                <w:rFonts w:eastAsiaTheme="minorEastAsia"/>
                <w:color w:val="000000" w:themeColor="text1"/>
                <w:sz w:val="22"/>
                <w14:textFill>
                  <w14:solidFill>
                    <w14:schemeClr w14:val="tx1"/>
                  </w14:solidFill>
                </w14:textFill>
              </w:rPr>
              <w:t>（</w:t>
            </w:r>
            <w:r>
              <w:rPr>
                <w:rFonts w:eastAsiaTheme="minorEastAsia"/>
                <w:color w:val="000000" w:themeColor="text1"/>
                <w:sz w:val="22"/>
                <w:shd w:val="clear" w:color="auto" w:fill="FFFFFF"/>
                <w14:textFill>
                  <w14:solidFill>
                    <w14:schemeClr w14:val="tx1"/>
                  </w14:solidFill>
                </w14:textFill>
              </w:rPr>
              <w:t>mg/Nm</w:t>
            </w:r>
            <w:r>
              <w:rPr>
                <w:rFonts w:eastAsiaTheme="minorEastAsia"/>
                <w:color w:val="000000" w:themeColor="text1"/>
                <w:sz w:val="22"/>
                <w:shd w:val="clear" w:color="auto" w:fill="FFFFFF"/>
                <w:vertAlign w:val="superscript"/>
                <w14:textFill>
                  <w14:solidFill>
                    <w14:schemeClr w14:val="tx1"/>
                  </w14:solidFill>
                </w14:textFill>
              </w:rPr>
              <w:t>3</w:t>
            </w:r>
            <w:r>
              <w:rPr>
                <w:rFonts w:eastAsiaTheme="minorEastAsia"/>
                <w:color w:val="000000" w:themeColor="text1"/>
                <w:sz w:val="22"/>
                <w14:textFill>
                  <w14:solidFill>
                    <w14:schemeClr w14:val="tx1"/>
                  </w14:solidFill>
                </w14:textFill>
              </w:rPr>
              <w:t>）</w:t>
            </w:r>
          </w:p>
        </w:tc>
        <w:tc>
          <w:tcPr>
            <w:tcW w:w="579"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排放速率</w:t>
            </w:r>
            <w:r>
              <w:rPr>
                <w:rFonts w:eastAsiaTheme="minorEastAsia"/>
                <w:color w:val="000000" w:themeColor="text1"/>
                <w:sz w:val="22"/>
                <w14:textFill>
                  <w14:solidFill>
                    <w14:schemeClr w14:val="tx1"/>
                  </w14:solidFill>
                </w14:textFill>
              </w:rPr>
              <w:t>（kg/h）</w:t>
            </w:r>
          </w:p>
        </w:tc>
        <w:tc>
          <w:tcPr>
            <w:tcW w:w="683"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2</w:t>
            </w:r>
            <w:r>
              <w:rPr>
                <w:color w:val="000000" w:themeColor="text1"/>
                <w:kern w:val="0"/>
                <w:sz w:val="22"/>
                <w14:textFill>
                  <w14:solidFill>
                    <w14:schemeClr w14:val="tx1"/>
                  </w14:solidFill>
                </w14:textFill>
              </w:rPr>
              <w:t>020</w:t>
            </w:r>
            <w:r>
              <w:rPr>
                <w:rFonts w:hint="eastAsia"/>
                <w:color w:val="000000" w:themeColor="text1"/>
                <w:kern w:val="0"/>
                <w:sz w:val="22"/>
                <w14:textFill>
                  <w14:solidFill>
                    <w14:schemeClr w14:val="tx1"/>
                  </w14:solidFill>
                </w14:textFill>
              </w:rPr>
              <w:t>年（小时浓度，</w:t>
            </w:r>
            <w:r>
              <w:rPr>
                <w:color w:val="000000" w:themeColor="text1"/>
                <w:kern w:val="0"/>
                <w:sz w:val="22"/>
                <w14:textFill>
                  <w14:solidFill>
                    <w14:schemeClr w14:val="tx1"/>
                  </w14:solidFill>
                </w14:textFill>
              </w:rPr>
              <w:t>mg/Nm</w:t>
            </w:r>
            <w:r>
              <w:rPr>
                <w:color w:val="000000" w:themeColor="text1"/>
                <w:kern w:val="0"/>
                <w:sz w:val="22"/>
                <w:vertAlign w:val="superscript"/>
                <w14:textFill>
                  <w14:solidFill>
                    <w14:schemeClr w14:val="tx1"/>
                  </w14:solidFill>
                </w14:textFill>
              </w:rPr>
              <w:t>3</w:t>
            </w:r>
            <w:r>
              <w:rPr>
                <w:rFonts w:hint="eastAsia"/>
                <w:color w:val="000000" w:themeColor="text1"/>
                <w:kern w:val="0"/>
                <w:sz w:val="22"/>
                <w14:textFill>
                  <w14:solidFill>
                    <w14:schemeClr w14:val="tx1"/>
                  </w14:solidFill>
                </w14:textFill>
              </w:rPr>
              <w:t>）</w:t>
            </w:r>
          </w:p>
        </w:tc>
        <w:tc>
          <w:tcPr>
            <w:tcW w:w="68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2</w:t>
            </w:r>
            <w:r>
              <w:rPr>
                <w:color w:val="000000" w:themeColor="text1"/>
                <w:kern w:val="0"/>
                <w:sz w:val="22"/>
                <w14:textFill>
                  <w14:solidFill>
                    <w14:schemeClr w14:val="tx1"/>
                  </w14:solidFill>
                </w14:textFill>
              </w:rPr>
              <w:t>021</w:t>
            </w:r>
            <w:r>
              <w:rPr>
                <w:rFonts w:hint="eastAsia"/>
                <w:color w:val="000000" w:themeColor="text1"/>
                <w:kern w:val="0"/>
                <w:sz w:val="22"/>
                <w14:textFill>
                  <w14:solidFill>
                    <w14:schemeClr w14:val="tx1"/>
                  </w14:solidFill>
                </w14:textFill>
              </w:rPr>
              <w:t>年（小时浓度，</w:t>
            </w:r>
            <w:r>
              <w:rPr>
                <w:color w:val="000000" w:themeColor="text1"/>
                <w:kern w:val="0"/>
                <w:sz w:val="22"/>
                <w14:textFill>
                  <w14:solidFill>
                    <w14:schemeClr w14:val="tx1"/>
                  </w14:solidFill>
                </w14:textFill>
              </w:rPr>
              <w:t>mg/Nm</w:t>
            </w:r>
            <w:r>
              <w:rPr>
                <w:color w:val="000000" w:themeColor="text1"/>
                <w:kern w:val="0"/>
                <w:sz w:val="22"/>
                <w:vertAlign w:val="superscript"/>
                <w14:textFill>
                  <w14:solidFill>
                    <w14:schemeClr w14:val="tx1"/>
                  </w14:solidFill>
                </w14:textFill>
              </w:rPr>
              <w:t>3</w:t>
            </w:r>
            <w:r>
              <w:rPr>
                <w:rFonts w:hint="eastAsia"/>
                <w:color w:val="000000" w:themeColor="text1"/>
                <w:kern w:val="0"/>
                <w:sz w:val="22"/>
                <w14:textFill>
                  <w14:solidFill>
                    <w14:schemeClr w14:val="tx1"/>
                  </w14:solidFill>
                </w14:textFill>
              </w:rPr>
              <w:t>）</w:t>
            </w:r>
          </w:p>
        </w:tc>
        <w:tc>
          <w:tcPr>
            <w:tcW w:w="68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2</w:t>
            </w:r>
            <w:r>
              <w:rPr>
                <w:color w:val="000000" w:themeColor="text1"/>
                <w:kern w:val="0"/>
                <w:sz w:val="22"/>
                <w14:textFill>
                  <w14:solidFill>
                    <w14:schemeClr w14:val="tx1"/>
                  </w14:solidFill>
                </w14:textFill>
              </w:rPr>
              <w:t>022</w:t>
            </w:r>
            <w:r>
              <w:rPr>
                <w:rFonts w:hint="eastAsia"/>
                <w:color w:val="000000" w:themeColor="text1"/>
                <w:kern w:val="0"/>
                <w:sz w:val="22"/>
                <w14:textFill>
                  <w14:solidFill>
                    <w14:schemeClr w14:val="tx1"/>
                  </w14:solidFill>
                </w14:textFill>
              </w:rPr>
              <w:t>年（小时浓度，</w:t>
            </w:r>
            <w:r>
              <w:rPr>
                <w:color w:val="000000" w:themeColor="text1"/>
                <w:kern w:val="0"/>
                <w:sz w:val="22"/>
                <w14:textFill>
                  <w14:solidFill>
                    <w14:schemeClr w14:val="tx1"/>
                  </w14:solidFill>
                </w14:textFill>
              </w:rPr>
              <w:t>mg/Nm</w:t>
            </w:r>
            <w:r>
              <w:rPr>
                <w:color w:val="000000" w:themeColor="text1"/>
                <w:kern w:val="0"/>
                <w:sz w:val="22"/>
                <w:vertAlign w:val="superscript"/>
                <w14:textFill>
                  <w14:solidFill>
                    <w14:schemeClr w14:val="tx1"/>
                  </w14:solidFill>
                </w14:textFill>
              </w:rPr>
              <w:t>3</w:t>
            </w:r>
            <w:r>
              <w:rPr>
                <w:rFonts w:hint="eastAsia"/>
                <w:color w:val="000000" w:themeColor="text1"/>
                <w:kern w:val="0"/>
                <w:sz w:val="22"/>
                <w14:textFill>
                  <w14:solidFill>
                    <w14:schemeClr w14:val="tx1"/>
                  </w14:solidFill>
                </w14:textFill>
              </w:rPr>
              <w:t>）</w:t>
            </w:r>
          </w:p>
        </w:tc>
        <w:tc>
          <w:tcPr>
            <w:tcW w:w="524"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浓度</w:t>
            </w:r>
            <w:r>
              <w:rPr>
                <w:rFonts w:eastAsiaTheme="minorEastAsia"/>
                <w:color w:val="000000" w:themeColor="text1"/>
                <w:sz w:val="22"/>
                <w14:textFill>
                  <w14:solidFill>
                    <w14:schemeClr w14:val="tx1"/>
                  </w14:solidFill>
                </w14:textFill>
              </w:rPr>
              <w:t>（</w:t>
            </w:r>
            <w:r>
              <w:rPr>
                <w:rFonts w:eastAsiaTheme="minorEastAsia"/>
                <w:color w:val="000000" w:themeColor="text1"/>
                <w:sz w:val="22"/>
                <w:shd w:val="clear" w:color="auto" w:fill="FFFFFF"/>
                <w14:textFill>
                  <w14:solidFill>
                    <w14:schemeClr w14:val="tx1"/>
                  </w14:solidFill>
                </w14:textFill>
              </w:rPr>
              <w:t>mg/Nm</w:t>
            </w:r>
            <w:r>
              <w:rPr>
                <w:rFonts w:eastAsiaTheme="minorEastAsia"/>
                <w:color w:val="000000" w:themeColor="text1"/>
                <w:sz w:val="22"/>
                <w:shd w:val="clear" w:color="auto" w:fill="FFFFFF"/>
                <w:vertAlign w:val="superscript"/>
                <w14:textFill>
                  <w14:solidFill>
                    <w14:schemeClr w14:val="tx1"/>
                  </w14:solidFill>
                </w14:textFill>
              </w:rPr>
              <w:t>3</w:t>
            </w:r>
            <w:r>
              <w:rPr>
                <w:rFonts w:eastAsiaTheme="minorEastAsia"/>
                <w:color w:val="000000" w:themeColor="text1"/>
                <w:sz w:val="22"/>
                <w14:textFill>
                  <w14:solidFill>
                    <w14:schemeClr w14:val="tx1"/>
                  </w14:solidFill>
                </w14:textFill>
              </w:rPr>
              <w:t>）</w:t>
            </w:r>
          </w:p>
        </w:tc>
        <w:tc>
          <w:tcPr>
            <w:tcW w:w="419"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速率</w:t>
            </w:r>
            <w:r>
              <w:rPr>
                <w:rFonts w:eastAsiaTheme="minorEastAsia"/>
                <w:color w:val="000000" w:themeColor="text1"/>
                <w:sz w:val="22"/>
                <w14:textFill>
                  <w14:solidFill>
                    <w14:schemeClr w14:val="tx1"/>
                  </w14:solidFill>
                </w14:textFill>
              </w:rPr>
              <w:t>（kg/h）</w:t>
            </w:r>
          </w:p>
        </w:tc>
        <w:tc>
          <w:tcPr>
            <w:tcW w:w="290" w:type="pct"/>
            <w:vMerge w:val="continue"/>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22"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汞及其化合物</w:t>
            </w:r>
          </w:p>
        </w:tc>
        <w:tc>
          <w:tcPr>
            <w:tcW w:w="623"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未检出</w:t>
            </w:r>
          </w:p>
        </w:tc>
        <w:tc>
          <w:tcPr>
            <w:tcW w:w="579"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w:t>
            </w:r>
          </w:p>
        </w:tc>
        <w:tc>
          <w:tcPr>
            <w:tcW w:w="683" w:type="pct"/>
            <w:vAlign w:val="center"/>
          </w:tcPr>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hint="eastAsia"/>
                <w:color w:val="000000" w:themeColor="text1"/>
                <w:kern w:val="0"/>
                <w:sz w:val="22"/>
                <w14:textFill>
                  <w14:solidFill>
                    <w14:schemeClr w14:val="tx1"/>
                  </w14:solidFill>
                </w14:textFill>
              </w:rPr>
              <w:t>未检出</w:t>
            </w:r>
          </w:p>
        </w:tc>
        <w:tc>
          <w:tcPr>
            <w:tcW w:w="680" w:type="pct"/>
            <w:vAlign w:val="center"/>
          </w:tcPr>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hint="eastAsia"/>
                <w:color w:val="000000" w:themeColor="text1"/>
                <w:kern w:val="0"/>
                <w:sz w:val="22"/>
                <w14:textFill>
                  <w14:solidFill>
                    <w14:schemeClr w14:val="tx1"/>
                  </w14:solidFill>
                </w14:textFill>
              </w:rPr>
              <w:t>未检出</w:t>
            </w:r>
          </w:p>
        </w:tc>
        <w:tc>
          <w:tcPr>
            <w:tcW w:w="680" w:type="pct"/>
            <w:vAlign w:val="center"/>
          </w:tcPr>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hint="eastAsia"/>
                <w:color w:val="000000" w:themeColor="text1"/>
                <w:kern w:val="0"/>
                <w:sz w:val="22"/>
                <w14:textFill>
                  <w14:solidFill>
                    <w14:schemeClr w14:val="tx1"/>
                  </w14:solidFill>
                </w14:textFill>
              </w:rPr>
              <w:t>未检出</w:t>
            </w:r>
          </w:p>
        </w:tc>
        <w:tc>
          <w:tcPr>
            <w:tcW w:w="524"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eastAsiaTheme="minorEastAsia"/>
                <w:color w:val="000000" w:themeColor="text1"/>
                <w:sz w:val="22"/>
                <w:shd w:val="clear" w:color="auto" w:fill="FFFFFF"/>
                <w14:textFill>
                  <w14:solidFill>
                    <w14:schemeClr w14:val="tx1"/>
                  </w14:solidFill>
                </w14:textFill>
              </w:rPr>
              <w:t>0.03</w:t>
            </w:r>
          </w:p>
        </w:tc>
        <w:tc>
          <w:tcPr>
            <w:tcW w:w="419"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eastAsiaTheme="minorEastAsia"/>
                <w:color w:val="000000" w:themeColor="text1"/>
                <w:sz w:val="22"/>
                <w14:textFill>
                  <w14:solidFill>
                    <w14:schemeClr w14:val="tx1"/>
                  </w14:solidFill>
                </w14:textFill>
              </w:rPr>
              <w:t>/</w:t>
            </w:r>
          </w:p>
        </w:tc>
        <w:tc>
          <w:tcPr>
            <w:tcW w:w="29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22"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氨气</w:t>
            </w:r>
          </w:p>
        </w:tc>
        <w:tc>
          <w:tcPr>
            <w:tcW w:w="623"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0</w:t>
            </w:r>
            <w:r>
              <w:rPr>
                <w:color w:val="000000" w:themeColor="text1"/>
                <w:kern w:val="0"/>
                <w:sz w:val="22"/>
                <w14:textFill>
                  <w14:solidFill>
                    <w14:schemeClr w14:val="tx1"/>
                  </w14:solidFill>
                </w14:textFill>
              </w:rPr>
              <w:t>.336~0.510</w:t>
            </w:r>
          </w:p>
        </w:tc>
        <w:tc>
          <w:tcPr>
            <w:tcW w:w="579"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0</w:t>
            </w:r>
            <w:r>
              <w:rPr>
                <w:color w:val="000000" w:themeColor="text1"/>
                <w:kern w:val="0"/>
                <w:sz w:val="22"/>
                <w14:textFill>
                  <w14:solidFill>
                    <w14:schemeClr w14:val="tx1"/>
                  </w14:solidFill>
                </w14:textFill>
              </w:rPr>
              <w:t>.328~0.490</w:t>
            </w:r>
          </w:p>
        </w:tc>
        <w:tc>
          <w:tcPr>
            <w:tcW w:w="683" w:type="pct"/>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w:t>
            </w:r>
          </w:p>
        </w:tc>
        <w:tc>
          <w:tcPr>
            <w:tcW w:w="680" w:type="pct"/>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3.48</w:t>
            </w:r>
            <w:r>
              <w:rPr>
                <w:rFonts w:hint="eastAsia" w:eastAsiaTheme="minorEastAsia"/>
                <w:color w:val="000000" w:themeColor="text1"/>
                <w:sz w:val="22"/>
                <w14:textFill>
                  <w14:solidFill>
                    <w14:schemeClr w14:val="tx1"/>
                  </w14:solidFill>
                </w14:textFill>
              </w:rPr>
              <w:t>~</w:t>
            </w:r>
            <w:r>
              <w:rPr>
                <w:rFonts w:eastAsiaTheme="minorEastAsia"/>
                <w:color w:val="000000" w:themeColor="text1"/>
                <w:sz w:val="22"/>
                <w14:textFill>
                  <w14:solidFill>
                    <w14:schemeClr w14:val="tx1"/>
                  </w14:solidFill>
                </w14:textFill>
              </w:rPr>
              <w:t>5.01</w:t>
            </w:r>
          </w:p>
        </w:tc>
        <w:tc>
          <w:tcPr>
            <w:tcW w:w="680" w:type="pct"/>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hint="eastAsia"/>
                <w:color w:val="000000" w:themeColor="text1"/>
                <w:kern w:val="0"/>
                <w:sz w:val="22"/>
                <w14:textFill>
                  <w14:solidFill>
                    <w14:schemeClr w14:val="tx1"/>
                  </w14:solidFill>
                </w14:textFill>
              </w:rPr>
              <w:t>未检出</w:t>
            </w:r>
          </w:p>
        </w:tc>
        <w:tc>
          <w:tcPr>
            <w:tcW w:w="524"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eastAsiaTheme="minorEastAsia"/>
                <w:color w:val="000000" w:themeColor="text1"/>
                <w:sz w:val="22"/>
                <w14:textFill>
                  <w14:solidFill>
                    <w14:schemeClr w14:val="tx1"/>
                  </w14:solidFill>
                </w14:textFill>
              </w:rPr>
              <w:t>/</w:t>
            </w:r>
          </w:p>
        </w:tc>
        <w:tc>
          <w:tcPr>
            <w:tcW w:w="419"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7</w:t>
            </w:r>
            <w:r>
              <w:rPr>
                <w:color w:val="000000" w:themeColor="text1"/>
                <w:kern w:val="0"/>
                <w:sz w:val="22"/>
                <w14:textFill>
                  <w14:solidFill>
                    <w14:schemeClr w14:val="tx1"/>
                  </w14:solidFill>
                </w14:textFill>
              </w:rPr>
              <w:t>5</w:t>
            </w:r>
          </w:p>
        </w:tc>
        <w:tc>
          <w:tcPr>
            <w:tcW w:w="29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522" w:type="pct"/>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eastAsiaTheme="minorEastAsia"/>
                <w:color w:val="000000" w:themeColor="text1"/>
                <w:sz w:val="22"/>
                <w:shd w:val="clear" w:color="auto" w:fill="FFFFFF"/>
                <w14:textFill>
                  <w14:solidFill>
                    <w14:schemeClr w14:val="tx1"/>
                  </w14:solidFill>
                </w14:textFill>
              </w:rPr>
              <w:t>林格曼黑度</w:t>
            </w:r>
          </w:p>
        </w:tc>
        <w:tc>
          <w:tcPr>
            <w:tcW w:w="623"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eastAsiaTheme="minorEastAsia"/>
                <w:color w:val="000000" w:themeColor="text1"/>
                <w:sz w:val="22"/>
                <w:shd w:val="clear" w:color="auto" w:fill="FFFFFF"/>
                <w14:textFill>
                  <w14:solidFill>
                    <w14:schemeClr w14:val="tx1"/>
                  </w14:solidFill>
                </w14:textFill>
              </w:rPr>
              <w:t>＜</w:t>
            </w:r>
            <w:r>
              <w:rPr>
                <w:rFonts w:eastAsiaTheme="minorEastAsia"/>
                <w:color w:val="000000" w:themeColor="text1"/>
                <w:sz w:val="22"/>
                <w:shd w:val="clear" w:color="auto" w:fill="FFFFFF"/>
                <w14:textFill>
                  <w14:solidFill>
                    <w14:schemeClr w14:val="tx1"/>
                  </w14:solidFill>
                </w14:textFill>
              </w:rPr>
              <w:t>1级</w:t>
            </w:r>
          </w:p>
        </w:tc>
        <w:tc>
          <w:tcPr>
            <w:tcW w:w="579"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eastAsiaTheme="minorEastAsia"/>
                <w:color w:val="000000" w:themeColor="text1"/>
                <w:sz w:val="22"/>
                <w14:textFill>
                  <w14:solidFill>
                    <w14:schemeClr w14:val="tx1"/>
                  </w14:solidFill>
                </w14:textFill>
              </w:rPr>
              <w:t>/</w:t>
            </w:r>
          </w:p>
        </w:tc>
        <w:tc>
          <w:tcPr>
            <w:tcW w:w="683" w:type="pct"/>
            <w:vAlign w:val="center"/>
          </w:tcPr>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hint="eastAsia" w:eastAsiaTheme="minorEastAsia"/>
                <w:color w:val="000000" w:themeColor="text1"/>
                <w:sz w:val="22"/>
                <w:shd w:val="clear" w:color="auto" w:fill="FFFFFF"/>
                <w14:textFill>
                  <w14:solidFill>
                    <w14:schemeClr w14:val="tx1"/>
                  </w14:solidFill>
                </w14:textFill>
              </w:rPr>
              <w:t>＜</w:t>
            </w:r>
            <w:r>
              <w:rPr>
                <w:rFonts w:eastAsiaTheme="minorEastAsia"/>
                <w:color w:val="000000" w:themeColor="text1"/>
                <w:sz w:val="22"/>
                <w:shd w:val="clear" w:color="auto" w:fill="FFFFFF"/>
                <w14:textFill>
                  <w14:solidFill>
                    <w14:schemeClr w14:val="tx1"/>
                  </w14:solidFill>
                </w14:textFill>
              </w:rPr>
              <w:t>1级</w:t>
            </w:r>
          </w:p>
        </w:tc>
        <w:tc>
          <w:tcPr>
            <w:tcW w:w="680" w:type="pct"/>
            <w:vAlign w:val="center"/>
          </w:tcPr>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hint="eastAsia" w:eastAsiaTheme="minorEastAsia"/>
                <w:color w:val="000000" w:themeColor="text1"/>
                <w:sz w:val="22"/>
                <w:shd w:val="clear" w:color="auto" w:fill="FFFFFF"/>
                <w14:textFill>
                  <w14:solidFill>
                    <w14:schemeClr w14:val="tx1"/>
                  </w14:solidFill>
                </w14:textFill>
              </w:rPr>
              <w:t>＜</w:t>
            </w:r>
            <w:r>
              <w:rPr>
                <w:rFonts w:eastAsiaTheme="minorEastAsia"/>
                <w:color w:val="000000" w:themeColor="text1"/>
                <w:sz w:val="22"/>
                <w:shd w:val="clear" w:color="auto" w:fill="FFFFFF"/>
                <w14:textFill>
                  <w14:solidFill>
                    <w14:schemeClr w14:val="tx1"/>
                  </w14:solidFill>
                </w14:textFill>
              </w:rPr>
              <w:t>1级</w:t>
            </w:r>
          </w:p>
        </w:tc>
        <w:tc>
          <w:tcPr>
            <w:tcW w:w="680" w:type="pct"/>
            <w:vAlign w:val="center"/>
          </w:tcPr>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hint="eastAsia" w:eastAsiaTheme="minorEastAsia"/>
                <w:color w:val="000000" w:themeColor="text1"/>
                <w:sz w:val="22"/>
                <w:shd w:val="clear" w:color="auto" w:fill="FFFFFF"/>
                <w14:textFill>
                  <w14:solidFill>
                    <w14:schemeClr w14:val="tx1"/>
                  </w14:solidFill>
                </w14:textFill>
              </w:rPr>
              <w:t>＜</w:t>
            </w:r>
            <w:r>
              <w:rPr>
                <w:rFonts w:eastAsiaTheme="minorEastAsia"/>
                <w:color w:val="000000" w:themeColor="text1"/>
                <w:sz w:val="22"/>
                <w:shd w:val="clear" w:color="auto" w:fill="FFFFFF"/>
                <w14:textFill>
                  <w14:solidFill>
                    <w14:schemeClr w14:val="tx1"/>
                  </w14:solidFill>
                </w14:textFill>
              </w:rPr>
              <w:t>1级</w:t>
            </w:r>
          </w:p>
        </w:tc>
        <w:tc>
          <w:tcPr>
            <w:tcW w:w="524"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eastAsiaTheme="minorEastAsia"/>
                <w:color w:val="000000" w:themeColor="text1"/>
                <w:sz w:val="22"/>
                <w:shd w:val="clear" w:color="auto" w:fill="FFFFFF"/>
                <w14:textFill>
                  <w14:solidFill>
                    <w14:schemeClr w14:val="tx1"/>
                  </w14:solidFill>
                </w14:textFill>
              </w:rPr>
              <w:t>1级</w:t>
            </w:r>
          </w:p>
        </w:tc>
        <w:tc>
          <w:tcPr>
            <w:tcW w:w="419"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eastAsiaTheme="minorEastAsia"/>
                <w:color w:val="000000" w:themeColor="text1"/>
                <w:sz w:val="22"/>
                <w14:textFill>
                  <w14:solidFill>
                    <w14:schemeClr w14:val="tx1"/>
                  </w14:solidFill>
                </w14:textFill>
              </w:rPr>
              <w:t>/</w:t>
            </w:r>
          </w:p>
        </w:tc>
        <w:tc>
          <w:tcPr>
            <w:tcW w:w="29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r>
    </w:tbl>
    <w:p>
      <w:pPr>
        <w:ind w:firstLine="520"/>
        <w:rPr>
          <w:color w:val="000000" w:themeColor="text1"/>
          <w14:textFill>
            <w14:solidFill>
              <w14:schemeClr w14:val="tx1"/>
            </w14:solidFill>
          </w14:textFill>
        </w:rPr>
      </w:pPr>
      <w:r>
        <w:rPr>
          <w:color w:val="000000" w:themeColor="text1"/>
          <w14:textFill>
            <w14:solidFill>
              <w14:schemeClr w14:val="tx1"/>
            </w14:solidFill>
          </w14:textFill>
        </w:rPr>
        <w:t>锅炉烟气处理效率详见表2.3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p>
    <w:p>
      <w:pPr>
        <w:pStyle w:val="39"/>
        <w:rPr>
          <w:color w:val="000000" w:themeColor="text1"/>
          <w14:textFill>
            <w14:solidFill>
              <w14:schemeClr w14:val="tx1"/>
            </w14:solidFill>
          </w14:textFill>
        </w:rPr>
      </w:pPr>
      <w:r>
        <w:rPr>
          <w:color w:val="000000" w:themeColor="text1"/>
          <w14:textFill>
            <w14:solidFill>
              <w14:schemeClr w14:val="tx1"/>
            </w14:solidFill>
          </w14:textFill>
        </w:rPr>
        <w:t>项目锅炉烟气处理效率一览表</w:t>
      </w:r>
    </w:p>
    <w:tbl>
      <w:tblPr>
        <w:tblStyle w:val="42"/>
        <w:tblW w:w="135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5"/>
        <w:gridCol w:w="3341"/>
        <w:gridCol w:w="3341"/>
        <w:gridCol w:w="3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45" w:type="dxa"/>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项目</w:t>
            </w:r>
          </w:p>
        </w:tc>
        <w:tc>
          <w:tcPr>
            <w:tcW w:w="3341" w:type="dxa"/>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除尘效率(%)</w:t>
            </w:r>
          </w:p>
        </w:tc>
        <w:tc>
          <w:tcPr>
            <w:tcW w:w="3341" w:type="dxa"/>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脱硫效率(%)</w:t>
            </w:r>
          </w:p>
        </w:tc>
        <w:tc>
          <w:tcPr>
            <w:tcW w:w="3512" w:type="dxa"/>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脱硝效率(%)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45" w:type="dxa"/>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1#机组平均效率</w:t>
            </w:r>
          </w:p>
        </w:tc>
        <w:tc>
          <w:tcPr>
            <w:tcW w:w="3341" w:type="dxa"/>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99.98</w:t>
            </w:r>
          </w:p>
        </w:tc>
        <w:tc>
          <w:tcPr>
            <w:tcW w:w="3341" w:type="dxa"/>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99.73</w:t>
            </w:r>
          </w:p>
        </w:tc>
        <w:tc>
          <w:tcPr>
            <w:tcW w:w="3512" w:type="dxa"/>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45" w:type="dxa"/>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环评及批复要求</w:t>
            </w:r>
          </w:p>
        </w:tc>
        <w:tc>
          <w:tcPr>
            <w:tcW w:w="3341" w:type="dxa"/>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99.98</w:t>
            </w:r>
          </w:p>
        </w:tc>
        <w:tc>
          <w:tcPr>
            <w:tcW w:w="3341" w:type="dxa"/>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99.68</w:t>
            </w:r>
          </w:p>
        </w:tc>
        <w:tc>
          <w:tcPr>
            <w:tcW w:w="3512" w:type="dxa"/>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539" w:type="dxa"/>
            <w:gridSpan w:val="4"/>
          </w:tcPr>
          <w:p>
            <w:pPr>
              <w:widowControl/>
              <w:adjustRightInd/>
              <w:snapToGrid/>
              <w:spacing w:line="240" w:lineRule="auto"/>
              <w:ind w:firstLine="0" w:firstLineChars="0"/>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验收监测期间，项目1#机组锅炉废气处理设施除尘效率、脱硫、脱硝平均效率分别为</w:t>
            </w:r>
            <w:r>
              <w:rPr>
                <w:rFonts w:hint="eastAsia"/>
                <w:color w:val="000000" w:themeColor="text1"/>
                <w:kern w:val="0"/>
                <w:sz w:val="22"/>
                <w14:textFill>
                  <w14:solidFill>
                    <w14:schemeClr w14:val="tx1"/>
                  </w14:solidFill>
                </w14:textFill>
              </w:rPr>
              <w:t>：</w:t>
            </w:r>
            <w:r>
              <w:rPr>
                <w:color w:val="000000" w:themeColor="text1"/>
                <w:kern w:val="0"/>
                <w:sz w:val="22"/>
                <w14:textFill>
                  <w14:solidFill>
                    <w14:schemeClr w14:val="tx1"/>
                  </w14:solidFill>
                </w14:textFill>
              </w:rPr>
              <w:t>99.98% 、99.73% 、85%，均符合环评要求。</w:t>
            </w:r>
          </w:p>
        </w:tc>
      </w:tr>
    </w:tbl>
    <w:p>
      <w:pPr>
        <w:ind w:firstLine="520"/>
        <w:rPr>
          <w:color w:val="000000" w:themeColor="text1"/>
          <w14:textFill>
            <w14:solidFill>
              <w14:schemeClr w14:val="tx1"/>
            </w14:solidFill>
          </w14:textFill>
        </w:rPr>
        <w:sectPr>
          <w:pgSz w:w="16838" w:h="11906" w:orient="landscape"/>
          <w:pgMar w:top="1588" w:right="1701" w:bottom="1588" w:left="1588" w:header="1191" w:footer="1134" w:gutter="0"/>
          <w:cols w:space="425" w:num="1"/>
          <w:docGrid w:type="lines" w:linePitch="354" w:charSpace="0"/>
        </w:sectPr>
      </w:pP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（2）燃气锅炉废气达标排放情况</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根据</w:t>
      </w:r>
      <w:r>
        <w:rPr>
          <w:color w:val="000000" w:themeColor="text1"/>
          <w14:textFill>
            <w14:solidFill>
              <w14:schemeClr w14:val="tx1"/>
            </w14:solidFill>
          </w14:textFill>
        </w:rPr>
        <w:t>《重庆中机龙桥热电有限公司</w:t>
      </w:r>
      <w:r>
        <w:rPr>
          <w:rFonts w:hint="eastAsia"/>
          <w:color w:val="000000" w:themeColor="text1"/>
          <w14:textFill>
            <w14:solidFill>
              <w14:schemeClr w14:val="tx1"/>
            </w14:solidFill>
          </w14:textFill>
        </w:rPr>
        <w:t>2×65t/h供热燃气蒸汽锅炉建设项目（一阶段）</w:t>
      </w:r>
      <w:r>
        <w:rPr>
          <w:color w:val="000000" w:themeColor="text1"/>
          <w14:textFill>
            <w14:solidFill>
              <w14:schemeClr w14:val="tx1"/>
            </w14:solidFill>
          </w14:textFill>
        </w:rPr>
        <w:t>竣工环境</w:t>
      </w:r>
      <w:r>
        <w:rPr>
          <w:rFonts w:hint="eastAsia"/>
          <w:color w:val="000000" w:themeColor="text1"/>
          <w14:textFill>
            <w14:solidFill>
              <w14:schemeClr w14:val="tx1"/>
            </w14:solidFill>
          </w14:textFill>
        </w:rPr>
        <w:t>保护</w:t>
      </w:r>
      <w:r>
        <w:rPr>
          <w:color w:val="000000" w:themeColor="text1"/>
          <w14:textFill>
            <w14:solidFill>
              <w14:schemeClr w14:val="tx1"/>
            </w14:solidFill>
          </w14:textFill>
        </w:rPr>
        <w:t>验收监测报告》</w:t>
      </w:r>
      <w:r>
        <w:rPr>
          <w:rFonts w:hint="eastAsia"/>
          <w:color w:val="000000" w:themeColor="text1"/>
          <w14:textFill>
            <w14:solidFill>
              <w14:schemeClr w14:val="tx1"/>
            </w14:solidFill>
          </w14:textFill>
        </w:rPr>
        <w:t>中燃气锅炉废气监测结果</w:t>
      </w:r>
      <w:r>
        <w:rPr>
          <w:rFonts w:hint="eastAsia"/>
          <w:bCs/>
          <w:color w:val="000000" w:themeColor="text1"/>
          <w:szCs w:val="26"/>
          <w14:textFill>
            <w14:solidFill>
              <w14:schemeClr w14:val="tx1"/>
            </w14:solidFill>
          </w14:textFill>
        </w:rPr>
        <w:t>（监测时间2</w:t>
      </w:r>
      <w:r>
        <w:rPr>
          <w:bCs/>
          <w:color w:val="000000" w:themeColor="text1"/>
          <w:szCs w:val="26"/>
          <w14:textFill>
            <w14:solidFill>
              <w14:schemeClr w14:val="tx1"/>
            </w14:solidFill>
          </w14:textFill>
        </w:rPr>
        <w:t>021</w:t>
      </w:r>
      <w:r>
        <w:rPr>
          <w:rFonts w:hint="eastAsia"/>
          <w:bCs/>
          <w:color w:val="000000" w:themeColor="text1"/>
          <w:szCs w:val="26"/>
          <w14:textFill>
            <w14:solidFill>
              <w14:schemeClr w14:val="tx1"/>
            </w14:solidFill>
          </w14:textFill>
        </w:rPr>
        <w:t>年</w:t>
      </w:r>
      <w:r>
        <w:rPr>
          <w:bCs/>
          <w:color w:val="000000" w:themeColor="text1"/>
          <w:szCs w:val="26"/>
          <w14:textFill>
            <w14:solidFill>
              <w14:schemeClr w14:val="tx1"/>
            </w14:solidFill>
          </w14:textFill>
        </w:rPr>
        <w:t>7</w:t>
      </w:r>
      <w:r>
        <w:rPr>
          <w:rFonts w:hint="eastAsia"/>
          <w:bCs/>
          <w:color w:val="000000" w:themeColor="text1"/>
          <w:szCs w:val="26"/>
          <w14:textFill>
            <w14:solidFill>
              <w14:schemeClr w14:val="tx1"/>
            </w14:solidFill>
          </w14:textFill>
        </w:rPr>
        <w:t>月</w:t>
      </w:r>
      <w:r>
        <w:rPr>
          <w:bCs/>
          <w:color w:val="000000" w:themeColor="text1"/>
          <w:szCs w:val="26"/>
          <w14:textFill>
            <w14:solidFill>
              <w14:schemeClr w14:val="tx1"/>
            </w14:solidFill>
          </w14:textFill>
        </w:rPr>
        <w:t>14</w:t>
      </w:r>
      <w:r>
        <w:rPr>
          <w:rFonts w:hint="eastAsia"/>
          <w:bCs/>
          <w:color w:val="000000" w:themeColor="text1"/>
          <w:szCs w:val="26"/>
          <w14:textFill>
            <w14:solidFill>
              <w14:schemeClr w14:val="tx1"/>
            </w14:solidFill>
          </w14:textFill>
        </w:rPr>
        <w:t>日-</w:t>
      </w:r>
      <w:r>
        <w:rPr>
          <w:bCs/>
          <w:color w:val="000000" w:themeColor="text1"/>
          <w:szCs w:val="26"/>
          <w14:textFill>
            <w14:solidFill>
              <w14:schemeClr w14:val="tx1"/>
            </w14:solidFill>
          </w14:textFill>
        </w:rPr>
        <w:t>15</w:t>
      </w:r>
      <w:r>
        <w:rPr>
          <w:rFonts w:hint="eastAsia"/>
          <w:bCs/>
          <w:color w:val="000000" w:themeColor="text1"/>
          <w:szCs w:val="26"/>
          <w14:textFill>
            <w14:solidFill>
              <w14:schemeClr w14:val="tx1"/>
            </w14:solidFill>
          </w14:textFill>
        </w:rPr>
        <w:t>日，见表2</w:t>
      </w:r>
      <w:r>
        <w:rPr>
          <w:bCs/>
          <w:color w:val="000000" w:themeColor="text1"/>
          <w:szCs w:val="26"/>
          <w14:textFill>
            <w14:solidFill>
              <w14:schemeClr w14:val="tx1"/>
            </w14:solidFill>
          </w14:textFill>
        </w:rPr>
        <w:t>.3</w:t>
      </w:r>
      <w:r>
        <w:rPr>
          <w:rFonts w:hint="eastAsia"/>
          <w:bCs/>
          <w:color w:val="000000" w:themeColor="text1"/>
          <w:szCs w:val="26"/>
          <w14:textFill>
            <w14:solidFill>
              <w14:schemeClr w14:val="tx1"/>
            </w14:solidFill>
          </w14:textFill>
        </w:rPr>
        <w:t>-</w:t>
      </w:r>
      <w:r>
        <w:rPr>
          <w:bCs/>
          <w:color w:val="000000" w:themeColor="text1"/>
          <w:szCs w:val="26"/>
          <w14:textFill>
            <w14:solidFill>
              <w14:schemeClr w14:val="tx1"/>
            </w14:solidFill>
          </w14:textFill>
        </w:rPr>
        <w:t>5</w:t>
      </w:r>
      <w:r>
        <w:rPr>
          <w:rFonts w:hint="eastAsia"/>
          <w:bCs/>
          <w:color w:val="000000" w:themeColor="text1"/>
          <w:szCs w:val="26"/>
          <w14:textFill>
            <w14:solidFill>
              <w14:schemeClr w14:val="tx1"/>
            </w14:solidFill>
          </w14:textFill>
        </w:rPr>
        <w:t>），各污染因子满足排污许可控制要求。</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燃气锅炉烟囱出口其他污染因子验收监测结果和达标判定</w:t>
      </w:r>
    </w:p>
    <w:tbl>
      <w:tblPr>
        <w:tblStyle w:val="42"/>
        <w:tblW w:w="135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5"/>
        <w:gridCol w:w="2440"/>
        <w:gridCol w:w="2096"/>
        <w:gridCol w:w="2586"/>
        <w:gridCol w:w="2161"/>
        <w:gridCol w:w="2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095" w:type="dxa"/>
            <w:vMerge w:val="restar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污染因子</w:t>
            </w:r>
          </w:p>
        </w:tc>
        <w:tc>
          <w:tcPr>
            <w:tcW w:w="4536" w:type="dxa"/>
            <w:gridSpan w:val="2"/>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竣工环保验收监测结果</w:t>
            </w:r>
          </w:p>
        </w:tc>
        <w:tc>
          <w:tcPr>
            <w:tcW w:w="4747" w:type="dxa"/>
            <w:gridSpan w:val="2"/>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排污许可总量控制要求</w:t>
            </w:r>
          </w:p>
        </w:tc>
        <w:tc>
          <w:tcPr>
            <w:tcW w:w="2161" w:type="dxa"/>
            <w:vMerge w:val="restar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095" w:type="dxa"/>
            <w:vMerge w:val="continue"/>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c>
          <w:tcPr>
            <w:tcW w:w="2440" w:type="dxa"/>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排放浓度</w:t>
            </w:r>
            <w:r>
              <w:rPr>
                <w:rFonts w:eastAsiaTheme="minorEastAsia"/>
                <w:color w:val="000000" w:themeColor="text1"/>
                <w:sz w:val="22"/>
                <w14:textFill>
                  <w14:solidFill>
                    <w14:schemeClr w14:val="tx1"/>
                  </w14:solidFill>
                </w14:textFill>
              </w:rPr>
              <w:t>（</w:t>
            </w:r>
            <w:r>
              <w:rPr>
                <w:rFonts w:eastAsiaTheme="minorEastAsia"/>
                <w:color w:val="000000" w:themeColor="text1"/>
                <w:sz w:val="22"/>
                <w:shd w:val="clear" w:color="auto" w:fill="FFFFFF"/>
                <w14:textFill>
                  <w14:solidFill>
                    <w14:schemeClr w14:val="tx1"/>
                  </w14:solidFill>
                </w14:textFill>
              </w:rPr>
              <w:t>mg/Nm</w:t>
            </w:r>
            <w:r>
              <w:rPr>
                <w:rFonts w:eastAsiaTheme="minorEastAsia"/>
                <w:color w:val="000000" w:themeColor="text1"/>
                <w:sz w:val="22"/>
                <w:shd w:val="clear" w:color="auto" w:fill="FFFFFF"/>
                <w:vertAlign w:val="superscript"/>
                <w14:textFill>
                  <w14:solidFill>
                    <w14:schemeClr w14:val="tx1"/>
                  </w14:solidFill>
                </w14:textFill>
              </w:rPr>
              <w:t>3</w:t>
            </w:r>
            <w:r>
              <w:rPr>
                <w:rFonts w:eastAsiaTheme="minorEastAsia"/>
                <w:color w:val="000000" w:themeColor="text1"/>
                <w:sz w:val="22"/>
                <w14:textFill>
                  <w14:solidFill>
                    <w14:schemeClr w14:val="tx1"/>
                  </w14:solidFill>
                </w14:textFill>
              </w:rPr>
              <w:t>）</w:t>
            </w:r>
          </w:p>
        </w:tc>
        <w:tc>
          <w:tcPr>
            <w:tcW w:w="2096" w:type="dxa"/>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排放速率</w:t>
            </w:r>
            <w:r>
              <w:rPr>
                <w:rFonts w:eastAsiaTheme="minorEastAsia"/>
                <w:color w:val="000000" w:themeColor="text1"/>
                <w:sz w:val="22"/>
                <w14:textFill>
                  <w14:solidFill>
                    <w14:schemeClr w14:val="tx1"/>
                  </w14:solidFill>
                </w14:textFill>
              </w:rPr>
              <w:t>（kg/h）</w:t>
            </w:r>
          </w:p>
        </w:tc>
        <w:tc>
          <w:tcPr>
            <w:tcW w:w="2586" w:type="dxa"/>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浓度</w:t>
            </w:r>
            <w:r>
              <w:rPr>
                <w:rFonts w:eastAsiaTheme="minorEastAsia"/>
                <w:color w:val="000000" w:themeColor="text1"/>
                <w:sz w:val="22"/>
                <w14:textFill>
                  <w14:solidFill>
                    <w14:schemeClr w14:val="tx1"/>
                  </w14:solidFill>
                </w14:textFill>
              </w:rPr>
              <w:t>（</w:t>
            </w:r>
            <w:r>
              <w:rPr>
                <w:rFonts w:eastAsiaTheme="minorEastAsia"/>
                <w:color w:val="000000" w:themeColor="text1"/>
                <w:sz w:val="22"/>
                <w:shd w:val="clear" w:color="auto" w:fill="FFFFFF"/>
                <w14:textFill>
                  <w14:solidFill>
                    <w14:schemeClr w14:val="tx1"/>
                  </w14:solidFill>
                </w14:textFill>
              </w:rPr>
              <w:t>mg/Nm</w:t>
            </w:r>
            <w:r>
              <w:rPr>
                <w:rFonts w:eastAsiaTheme="minorEastAsia"/>
                <w:color w:val="000000" w:themeColor="text1"/>
                <w:sz w:val="22"/>
                <w:shd w:val="clear" w:color="auto" w:fill="FFFFFF"/>
                <w:vertAlign w:val="superscript"/>
                <w14:textFill>
                  <w14:solidFill>
                    <w14:schemeClr w14:val="tx1"/>
                  </w14:solidFill>
                </w14:textFill>
              </w:rPr>
              <w:t>3</w:t>
            </w:r>
            <w:r>
              <w:rPr>
                <w:rFonts w:eastAsiaTheme="minorEastAsia"/>
                <w:color w:val="000000" w:themeColor="text1"/>
                <w:sz w:val="22"/>
                <w14:textFill>
                  <w14:solidFill>
                    <w14:schemeClr w14:val="tx1"/>
                  </w14:solidFill>
                </w14:textFill>
              </w:rPr>
              <w:t>）</w:t>
            </w:r>
          </w:p>
        </w:tc>
        <w:tc>
          <w:tcPr>
            <w:tcW w:w="2161"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速率</w:t>
            </w:r>
            <w:r>
              <w:rPr>
                <w:rFonts w:eastAsiaTheme="minorEastAsia"/>
                <w:color w:val="000000" w:themeColor="text1"/>
                <w:sz w:val="22"/>
                <w14:textFill>
                  <w14:solidFill>
                    <w14:schemeClr w14:val="tx1"/>
                  </w14:solidFill>
                </w14:textFill>
              </w:rPr>
              <w:t>（kg/h）</w:t>
            </w:r>
          </w:p>
        </w:tc>
        <w:tc>
          <w:tcPr>
            <w:tcW w:w="2161" w:type="dxa"/>
            <w:vMerge w:val="continue"/>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095" w:type="dxa"/>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SO</w:t>
            </w:r>
            <w:r>
              <w:rPr>
                <w:rFonts w:hint="eastAsia"/>
                <w:color w:val="000000" w:themeColor="text1"/>
                <w:kern w:val="0"/>
                <w:sz w:val="22"/>
                <w:vertAlign w:val="subscript"/>
                <w14:textFill>
                  <w14:solidFill>
                    <w14:schemeClr w14:val="tx1"/>
                  </w14:solidFill>
                </w14:textFill>
              </w:rPr>
              <w:t>2</w:t>
            </w:r>
          </w:p>
        </w:tc>
        <w:tc>
          <w:tcPr>
            <w:tcW w:w="2440" w:type="dxa"/>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未检出</w:t>
            </w:r>
          </w:p>
        </w:tc>
        <w:tc>
          <w:tcPr>
            <w:tcW w:w="2096" w:type="dxa"/>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未检出</w:t>
            </w:r>
          </w:p>
        </w:tc>
        <w:tc>
          <w:tcPr>
            <w:tcW w:w="2586" w:type="dxa"/>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5</w:t>
            </w:r>
            <w:r>
              <w:rPr>
                <w:color w:val="000000" w:themeColor="text1"/>
                <w:kern w:val="0"/>
                <w:sz w:val="22"/>
                <w14:textFill>
                  <w14:solidFill>
                    <w14:schemeClr w14:val="tx1"/>
                  </w14:solidFill>
                </w14:textFill>
              </w:rPr>
              <w:t>0</w:t>
            </w:r>
          </w:p>
        </w:tc>
        <w:tc>
          <w:tcPr>
            <w:tcW w:w="2161"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w:t>
            </w:r>
          </w:p>
        </w:tc>
        <w:tc>
          <w:tcPr>
            <w:tcW w:w="2161"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095" w:type="dxa"/>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NO</w:t>
            </w:r>
            <w:r>
              <w:rPr>
                <w:rFonts w:hint="eastAsia"/>
                <w:color w:val="000000" w:themeColor="text1"/>
                <w:kern w:val="0"/>
                <w:sz w:val="22"/>
                <w:vertAlign w:val="subscript"/>
                <w14:textFill>
                  <w14:solidFill>
                    <w14:schemeClr w14:val="tx1"/>
                  </w14:solidFill>
                </w14:textFill>
              </w:rPr>
              <w:t>X</w:t>
            </w:r>
          </w:p>
        </w:tc>
        <w:tc>
          <w:tcPr>
            <w:tcW w:w="2440" w:type="dxa"/>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1</w:t>
            </w:r>
            <w:r>
              <w:rPr>
                <w:color w:val="000000" w:themeColor="text1"/>
                <w:kern w:val="0"/>
                <w:sz w:val="22"/>
                <w14:textFill>
                  <w14:solidFill>
                    <w14:schemeClr w14:val="tx1"/>
                  </w14:solidFill>
                </w14:textFill>
              </w:rPr>
              <w:t>0</w:t>
            </w:r>
            <w:r>
              <w:rPr>
                <w:rFonts w:hint="eastAsia"/>
                <w:color w:val="000000" w:themeColor="text1"/>
                <w:kern w:val="0"/>
                <w:sz w:val="22"/>
                <w14:textFill>
                  <w14:solidFill>
                    <w14:schemeClr w14:val="tx1"/>
                  </w14:solidFill>
                </w14:textFill>
              </w:rPr>
              <w:t>~</w:t>
            </w:r>
            <w:r>
              <w:rPr>
                <w:color w:val="000000" w:themeColor="text1"/>
                <w:kern w:val="0"/>
                <w:sz w:val="22"/>
                <w14:textFill>
                  <w14:solidFill>
                    <w14:schemeClr w14:val="tx1"/>
                  </w14:solidFill>
                </w14:textFill>
              </w:rPr>
              <w:t>17</w:t>
            </w:r>
          </w:p>
        </w:tc>
        <w:tc>
          <w:tcPr>
            <w:tcW w:w="2096" w:type="dxa"/>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0</w:t>
            </w:r>
            <w:r>
              <w:rPr>
                <w:color w:val="000000" w:themeColor="text1"/>
                <w:kern w:val="0"/>
                <w:sz w:val="22"/>
                <w14:textFill>
                  <w14:solidFill>
                    <w14:schemeClr w14:val="tx1"/>
                  </w14:solidFill>
                </w14:textFill>
              </w:rPr>
              <w:t>.304</w:t>
            </w:r>
            <w:r>
              <w:rPr>
                <w:rFonts w:hint="eastAsia"/>
                <w:color w:val="000000" w:themeColor="text1"/>
                <w:kern w:val="0"/>
                <w:sz w:val="22"/>
                <w14:textFill>
                  <w14:solidFill>
                    <w14:schemeClr w14:val="tx1"/>
                  </w14:solidFill>
                </w14:textFill>
              </w:rPr>
              <w:t>~</w:t>
            </w:r>
            <w:r>
              <w:rPr>
                <w:color w:val="000000" w:themeColor="text1"/>
                <w:kern w:val="0"/>
                <w:sz w:val="22"/>
                <w14:textFill>
                  <w14:solidFill>
                    <w14:schemeClr w14:val="tx1"/>
                  </w14:solidFill>
                </w14:textFill>
              </w:rPr>
              <w:t>0.546</w:t>
            </w:r>
          </w:p>
        </w:tc>
        <w:tc>
          <w:tcPr>
            <w:tcW w:w="2586" w:type="dxa"/>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50(</w:t>
            </w:r>
            <w:r>
              <w:rPr>
                <w:rFonts w:hint="eastAsia"/>
                <w:color w:val="000000" w:themeColor="text1"/>
                <w:kern w:val="0"/>
                <w:sz w:val="22"/>
                <w14:textFill>
                  <w14:solidFill>
                    <w14:schemeClr w14:val="tx1"/>
                  </w14:solidFill>
                </w14:textFill>
              </w:rPr>
              <w:t>8</w:t>
            </w:r>
            <w:r>
              <w:rPr>
                <w:color w:val="000000" w:themeColor="text1"/>
                <w:kern w:val="0"/>
                <w:sz w:val="22"/>
                <w14:textFill>
                  <w14:solidFill>
                    <w14:schemeClr w14:val="tx1"/>
                  </w14:solidFill>
                </w14:textFill>
              </w:rPr>
              <w:t>0) *</w:t>
            </w:r>
          </w:p>
        </w:tc>
        <w:tc>
          <w:tcPr>
            <w:tcW w:w="2161"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w:t>
            </w:r>
          </w:p>
        </w:tc>
        <w:tc>
          <w:tcPr>
            <w:tcW w:w="2161"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095" w:type="dxa"/>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hint="eastAsia"/>
                <w:color w:val="000000" w:themeColor="text1"/>
                <w:kern w:val="0"/>
                <w:sz w:val="22"/>
                <w14:textFill>
                  <w14:solidFill>
                    <w14:schemeClr w14:val="tx1"/>
                  </w14:solidFill>
                </w14:textFill>
              </w:rPr>
              <w:t>颗粒物</w:t>
            </w:r>
          </w:p>
        </w:tc>
        <w:tc>
          <w:tcPr>
            <w:tcW w:w="2440" w:type="dxa"/>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7</w:t>
            </w:r>
            <w:r>
              <w:rPr>
                <w:color w:val="000000" w:themeColor="text1"/>
                <w:kern w:val="0"/>
                <w:sz w:val="22"/>
                <w14:textFill>
                  <w14:solidFill>
                    <w14:schemeClr w14:val="tx1"/>
                  </w14:solidFill>
                </w14:textFill>
              </w:rPr>
              <w:t>.3</w:t>
            </w:r>
            <w:r>
              <w:rPr>
                <w:rFonts w:hint="eastAsia"/>
                <w:color w:val="000000" w:themeColor="text1"/>
                <w:kern w:val="0"/>
                <w:sz w:val="22"/>
                <w14:textFill>
                  <w14:solidFill>
                    <w14:schemeClr w14:val="tx1"/>
                  </w14:solidFill>
                </w14:textFill>
              </w:rPr>
              <w:t>~</w:t>
            </w:r>
            <w:r>
              <w:rPr>
                <w:color w:val="000000" w:themeColor="text1"/>
                <w:kern w:val="0"/>
                <w:sz w:val="22"/>
                <w14:textFill>
                  <w14:solidFill>
                    <w14:schemeClr w14:val="tx1"/>
                  </w14:solidFill>
                </w14:textFill>
              </w:rPr>
              <w:t>8.4</w:t>
            </w:r>
          </w:p>
        </w:tc>
        <w:tc>
          <w:tcPr>
            <w:tcW w:w="2096" w:type="dxa"/>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0</w:t>
            </w:r>
            <w:r>
              <w:rPr>
                <w:color w:val="000000" w:themeColor="text1"/>
                <w:kern w:val="0"/>
                <w:sz w:val="22"/>
                <w14:textFill>
                  <w14:solidFill>
                    <w14:schemeClr w14:val="tx1"/>
                  </w14:solidFill>
                </w14:textFill>
              </w:rPr>
              <w:t>.234</w:t>
            </w:r>
            <w:r>
              <w:rPr>
                <w:rFonts w:hint="eastAsia"/>
                <w:color w:val="000000" w:themeColor="text1"/>
                <w:kern w:val="0"/>
                <w:sz w:val="22"/>
                <w14:textFill>
                  <w14:solidFill>
                    <w14:schemeClr w14:val="tx1"/>
                  </w14:solidFill>
                </w14:textFill>
              </w:rPr>
              <w:t>~</w:t>
            </w:r>
            <w:r>
              <w:rPr>
                <w:color w:val="000000" w:themeColor="text1"/>
                <w:kern w:val="0"/>
                <w:sz w:val="22"/>
                <w14:textFill>
                  <w14:solidFill>
                    <w14:schemeClr w14:val="tx1"/>
                  </w14:solidFill>
                </w14:textFill>
              </w:rPr>
              <w:t>0.266</w:t>
            </w:r>
          </w:p>
        </w:tc>
        <w:tc>
          <w:tcPr>
            <w:tcW w:w="2586" w:type="dxa"/>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2</w:t>
            </w:r>
            <w:r>
              <w:rPr>
                <w:color w:val="000000" w:themeColor="text1"/>
                <w:kern w:val="0"/>
                <w:sz w:val="22"/>
                <w14:textFill>
                  <w14:solidFill>
                    <w14:schemeClr w14:val="tx1"/>
                  </w14:solidFill>
                </w14:textFill>
              </w:rPr>
              <w:t>0</w:t>
            </w:r>
          </w:p>
        </w:tc>
        <w:tc>
          <w:tcPr>
            <w:tcW w:w="2161"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w:t>
            </w:r>
          </w:p>
        </w:tc>
        <w:tc>
          <w:tcPr>
            <w:tcW w:w="2161"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095" w:type="dxa"/>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hint="eastAsia" w:eastAsiaTheme="minorEastAsia"/>
                <w:color w:val="000000" w:themeColor="text1"/>
                <w:sz w:val="22"/>
                <w:shd w:val="clear" w:color="auto" w:fill="FFFFFF"/>
                <w14:textFill>
                  <w14:solidFill>
                    <w14:schemeClr w14:val="tx1"/>
                  </w14:solidFill>
                </w14:textFill>
              </w:rPr>
              <w:t>烟气</w:t>
            </w:r>
            <w:r>
              <w:rPr>
                <w:rFonts w:eastAsiaTheme="minorEastAsia"/>
                <w:color w:val="000000" w:themeColor="text1"/>
                <w:sz w:val="22"/>
                <w:shd w:val="clear" w:color="auto" w:fill="FFFFFF"/>
                <w14:textFill>
                  <w14:solidFill>
                    <w14:schemeClr w14:val="tx1"/>
                  </w14:solidFill>
                </w14:textFill>
              </w:rPr>
              <w:t>黑度</w:t>
            </w:r>
          </w:p>
        </w:tc>
        <w:tc>
          <w:tcPr>
            <w:tcW w:w="2440" w:type="dxa"/>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hint="eastAsia" w:eastAsiaTheme="minorEastAsia"/>
                <w:color w:val="000000" w:themeColor="text1"/>
                <w:sz w:val="22"/>
                <w:shd w:val="clear" w:color="auto" w:fill="FFFFFF"/>
                <w14:textFill>
                  <w14:solidFill>
                    <w14:schemeClr w14:val="tx1"/>
                  </w14:solidFill>
                </w14:textFill>
              </w:rPr>
              <w:t>＜</w:t>
            </w:r>
            <w:r>
              <w:rPr>
                <w:rFonts w:eastAsiaTheme="minorEastAsia"/>
                <w:color w:val="000000" w:themeColor="text1"/>
                <w:sz w:val="22"/>
                <w:shd w:val="clear" w:color="auto" w:fill="FFFFFF"/>
                <w14:textFill>
                  <w14:solidFill>
                    <w14:schemeClr w14:val="tx1"/>
                  </w14:solidFill>
                </w14:textFill>
              </w:rPr>
              <w:t>1级</w:t>
            </w:r>
          </w:p>
        </w:tc>
        <w:tc>
          <w:tcPr>
            <w:tcW w:w="2096" w:type="dxa"/>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w:t>
            </w:r>
          </w:p>
        </w:tc>
        <w:tc>
          <w:tcPr>
            <w:tcW w:w="2586" w:type="dxa"/>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eastAsiaTheme="minorEastAsia"/>
                <w:color w:val="000000" w:themeColor="text1"/>
                <w:sz w:val="22"/>
                <w:shd w:val="clear" w:color="auto" w:fill="FFFFFF"/>
                <w14:textFill>
                  <w14:solidFill>
                    <w14:schemeClr w14:val="tx1"/>
                  </w14:solidFill>
                </w14:textFill>
              </w:rPr>
              <w:t>1级</w:t>
            </w:r>
          </w:p>
        </w:tc>
        <w:tc>
          <w:tcPr>
            <w:tcW w:w="2161" w:type="dxa"/>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w:t>
            </w:r>
          </w:p>
        </w:tc>
        <w:tc>
          <w:tcPr>
            <w:tcW w:w="2161" w:type="dxa"/>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r>
    </w:tbl>
    <w:p>
      <w:pPr>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*备注：根据《锅炉大气污染物排放标准》（D</w:t>
      </w:r>
      <w:r>
        <w:rPr>
          <w:color w:val="000000" w:themeColor="text1"/>
          <w:sz w:val="22"/>
          <w14:textFill>
            <w14:solidFill>
              <w14:schemeClr w14:val="tx1"/>
            </w14:solidFill>
          </w14:textFill>
        </w:rPr>
        <w:t>B50/658-2016</w:t>
      </w:r>
      <w:r>
        <w:rPr>
          <w:rFonts w:hint="eastAsia"/>
          <w:color w:val="000000" w:themeColor="text1"/>
          <w:sz w:val="22"/>
          <w14:textFill>
            <w14:solidFill>
              <w14:schemeClr w14:val="tx1"/>
            </w14:solidFill>
          </w14:textFill>
        </w:rPr>
        <w:t>）1号修改单：氮氧化物排放标准自2</w:t>
      </w:r>
      <w:r>
        <w:rPr>
          <w:color w:val="000000" w:themeColor="text1"/>
          <w:sz w:val="22"/>
          <w14:textFill>
            <w14:solidFill>
              <w14:schemeClr w14:val="tx1"/>
            </w14:solidFill>
          </w14:textFill>
        </w:rPr>
        <w:t>022</w:t>
      </w:r>
      <w:r>
        <w:rPr>
          <w:rFonts w:hint="eastAsia"/>
          <w:color w:val="000000" w:themeColor="text1"/>
          <w:sz w:val="22"/>
          <w14:textFill>
            <w14:solidFill>
              <w14:schemeClr w14:val="tx1"/>
            </w14:solidFill>
          </w14:textFill>
        </w:rPr>
        <w:t>年1月1日起执行5</w:t>
      </w:r>
      <w:r>
        <w:rPr>
          <w:color w:val="000000" w:themeColor="text1"/>
          <w:sz w:val="22"/>
          <w14:textFill>
            <w14:solidFill>
              <w14:schemeClr w14:val="tx1"/>
            </w14:solidFill>
          </w14:textFill>
        </w:rPr>
        <w:t>0</w:t>
      </w:r>
      <w:r>
        <w:rPr>
          <w:rFonts w:eastAsiaTheme="minorEastAsia"/>
          <w:color w:val="000000" w:themeColor="text1"/>
          <w:sz w:val="22"/>
          <w:shd w:val="clear" w:color="auto" w:fill="FFFFFF"/>
          <w14:textFill>
            <w14:solidFill>
              <w14:schemeClr w14:val="tx1"/>
            </w14:solidFill>
          </w14:textFill>
        </w:rPr>
        <w:t xml:space="preserve"> </w:t>
      </w:r>
      <w:r>
        <w:rPr>
          <w:color w:val="000000" w:themeColor="text1"/>
          <w:sz w:val="22"/>
          <w14:textFill>
            <w14:solidFill>
              <w14:schemeClr w14:val="tx1"/>
            </w14:solidFill>
          </w14:textFill>
        </w:rPr>
        <w:t>mg/Nm</w:t>
      </w:r>
      <w:r>
        <w:rPr>
          <w:color w:val="000000" w:themeColor="text1"/>
          <w:sz w:val="22"/>
          <w:vertAlign w:val="superscript"/>
          <w14:textFill>
            <w14:solidFill>
              <w14:schemeClr w14:val="tx1"/>
            </w14:solidFill>
          </w14:textFill>
        </w:rPr>
        <w:t>3</w:t>
      </w:r>
      <w:r>
        <w:rPr>
          <w:rFonts w:hint="eastAsia"/>
          <w:color w:val="000000" w:themeColor="text1"/>
          <w:sz w:val="22"/>
          <w14:textFill>
            <w14:solidFill>
              <w14:schemeClr w14:val="tx1"/>
            </w14:solidFill>
          </w14:textFill>
        </w:rPr>
        <w:t>。</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（3）其他有组织排放废气达标排放情况</w:t>
      </w:r>
      <w:bookmarkStart w:id="69" w:name="_Hlk99699065"/>
      <w:r>
        <w:rPr>
          <w:rFonts w:hint="eastAsia"/>
          <w:color w:val="000000" w:themeColor="text1"/>
          <w14:textFill>
            <w14:solidFill>
              <w14:schemeClr w14:val="tx1"/>
            </w14:solidFill>
          </w14:textFill>
        </w:rPr>
        <w:t>（一般排放口）</w:t>
      </w:r>
      <w:bookmarkEnd w:id="69"/>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根据2</w:t>
      </w:r>
      <w:r>
        <w:rPr>
          <w:color w:val="000000" w:themeColor="text1"/>
          <w14:textFill>
            <w14:solidFill>
              <w14:schemeClr w14:val="tx1"/>
            </w14:solidFill>
          </w14:textFill>
        </w:rPr>
        <w:t>020</w:t>
      </w:r>
      <w:r>
        <w:rPr>
          <w:rFonts w:hint="eastAsia"/>
          <w:color w:val="000000" w:themeColor="text1"/>
          <w14:textFill>
            <w14:solidFill>
              <w14:schemeClr w14:val="tx1"/>
            </w14:solidFill>
          </w14:textFill>
        </w:rPr>
        <w:t>年、2</w:t>
      </w:r>
      <w:r>
        <w:rPr>
          <w:color w:val="000000" w:themeColor="text1"/>
          <w14:textFill>
            <w14:solidFill>
              <w14:schemeClr w14:val="tx1"/>
            </w14:solidFill>
          </w14:textFill>
        </w:rPr>
        <w:t>021</w:t>
      </w:r>
      <w:r>
        <w:rPr>
          <w:rFonts w:hint="eastAsia"/>
          <w:color w:val="000000" w:themeColor="text1"/>
          <w14:textFill>
            <w14:solidFill>
              <w14:schemeClr w14:val="tx1"/>
            </w14:solidFill>
          </w14:textFill>
        </w:rPr>
        <w:t>年、2</w:t>
      </w:r>
      <w:r>
        <w:rPr>
          <w:color w:val="000000" w:themeColor="text1"/>
          <w14:textFill>
            <w14:solidFill>
              <w14:schemeClr w14:val="tx1"/>
            </w14:solidFill>
          </w14:textFill>
        </w:rPr>
        <w:t>022</w:t>
      </w:r>
      <w:r>
        <w:rPr>
          <w:rFonts w:hint="eastAsia"/>
          <w:color w:val="000000" w:themeColor="text1"/>
          <w14:textFill>
            <w14:solidFill>
              <w14:schemeClr w14:val="tx1"/>
            </w14:solidFill>
          </w14:textFill>
        </w:rPr>
        <w:t>年年度排污许可执行报告，各一般排放口颗粒物排放浓度满足排污许可控制要求，具体见表2</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其他有组织排放废气排放口（一般排放口）监测结果和达标判定</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1"/>
        <w:gridCol w:w="879"/>
        <w:gridCol w:w="2266"/>
        <w:gridCol w:w="2266"/>
        <w:gridCol w:w="2266"/>
        <w:gridCol w:w="1400"/>
        <w:gridCol w:w="1048"/>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0" w:type="auto"/>
            <w:vMerge w:val="restar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污染源及排气筒编号</w:t>
            </w:r>
          </w:p>
        </w:tc>
        <w:tc>
          <w:tcPr>
            <w:tcW w:w="0" w:type="auto"/>
            <w:vMerge w:val="restar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污染因子</w:t>
            </w:r>
          </w:p>
        </w:tc>
        <w:tc>
          <w:tcPr>
            <w:tcW w:w="0" w:type="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2</w:t>
            </w:r>
            <w:r>
              <w:rPr>
                <w:color w:val="000000" w:themeColor="text1"/>
                <w:kern w:val="0"/>
                <w:sz w:val="22"/>
                <w14:textFill>
                  <w14:solidFill>
                    <w14:schemeClr w14:val="tx1"/>
                  </w14:solidFill>
                </w14:textFill>
              </w:rPr>
              <w:t>020</w:t>
            </w:r>
            <w:r>
              <w:rPr>
                <w:rFonts w:hint="eastAsia"/>
                <w:color w:val="000000" w:themeColor="text1"/>
                <w:kern w:val="0"/>
                <w:sz w:val="22"/>
                <w14:textFill>
                  <w14:solidFill>
                    <w14:schemeClr w14:val="tx1"/>
                  </w14:solidFill>
                </w14:textFill>
              </w:rPr>
              <w:t>年排污许可执行报告</w:t>
            </w:r>
          </w:p>
        </w:tc>
        <w:tc>
          <w:tcPr>
            <w:tcW w:w="0" w:type="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2</w:t>
            </w:r>
            <w:r>
              <w:rPr>
                <w:color w:val="000000" w:themeColor="text1"/>
                <w:kern w:val="0"/>
                <w:sz w:val="22"/>
                <w14:textFill>
                  <w14:solidFill>
                    <w14:schemeClr w14:val="tx1"/>
                  </w14:solidFill>
                </w14:textFill>
              </w:rPr>
              <w:t>021</w:t>
            </w:r>
            <w:r>
              <w:rPr>
                <w:rFonts w:hint="eastAsia"/>
                <w:color w:val="000000" w:themeColor="text1"/>
                <w:kern w:val="0"/>
                <w:sz w:val="22"/>
                <w14:textFill>
                  <w14:solidFill>
                    <w14:schemeClr w14:val="tx1"/>
                  </w14:solidFill>
                </w14:textFill>
              </w:rPr>
              <w:t>年排污许可执行报告</w:t>
            </w:r>
          </w:p>
        </w:tc>
        <w:tc>
          <w:tcPr>
            <w:tcW w:w="0" w:type="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2</w:t>
            </w:r>
            <w:r>
              <w:rPr>
                <w:color w:val="000000" w:themeColor="text1"/>
                <w:kern w:val="0"/>
                <w:sz w:val="22"/>
                <w14:textFill>
                  <w14:solidFill>
                    <w14:schemeClr w14:val="tx1"/>
                  </w14:solidFill>
                </w14:textFill>
              </w:rPr>
              <w:t>022</w:t>
            </w:r>
            <w:r>
              <w:rPr>
                <w:rFonts w:hint="eastAsia"/>
                <w:color w:val="000000" w:themeColor="text1"/>
                <w:kern w:val="0"/>
                <w:sz w:val="22"/>
                <w14:textFill>
                  <w14:solidFill>
                    <w14:schemeClr w14:val="tx1"/>
                  </w14:solidFill>
                </w14:textFill>
              </w:rPr>
              <w:t>年排污许可执行报告</w:t>
            </w:r>
          </w:p>
        </w:tc>
        <w:tc>
          <w:tcPr>
            <w:tcW w:w="2447" w:type="dxa"/>
            <w:gridSpan w:val="2"/>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排污许可总量控制要求</w:t>
            </w:r>
          </w:p>
        </w:tc>
        <w:tc>
          <w:tcPr>
            <w:tcW w:w="0" w:type="auto"/>
            <w:vMerge w:val="restar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0" w:type="auto"/>
            <w:vMerge w:val="continue"/>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c>
          <w:tcPr>
            <w:tcW w:w="0" w:type="auto"/>
            <w:vMerge w:val="continue"/>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c>
          <w:tcPr>
            <w:tcW w:w="0" w:type="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小时浓度（</w:t>
            </w:r>
            <w:r>
              <w:rPr>
                <w:color w:val="000000" w:themeColor="text1"/>
                <w:kern w:val="0"/>
                <w:sz w:val="22"/>
                <w14:textFill>
                  <w14:solidFill>
                    <w14:schemeClr w14:val="tx1"/>
                  </w14:solidFill>
                </w14:textFill>
              </w:rPr>
              <w:t>mg/Nm</w:t>
            </w:r>
            <w:r>
              <w:rPr>
                <w:color w:val="000000" w:themeColor="text1"/>
                <w:kern w:val="0"/>
                <w:sz w:val="22"/>
                <w:vertAlign w:val="superscript"/>
                <w14:textFill>
                  <w14:solidFill>
                    <w14:schemeClr w14:val="tx1"/>
                  </w14:solidFill>
                </w14:textFill>
              </w:rPr>
              <w:t>3</w:t>
            </w:r>
            <w:r>
              <w:rPr>
                <w:rFonts w:hint="eastAsia"/>
                <w:color w:val="000000" w:themeColor="text1"/>
                <w:kern w:val="0"/>
                <w:sz w:val="22"/>
                <w14:textFill>
                  <w14:solidFill>
                    <w14:schemeClr w14:val="tx1"/>
                  </w14:solidFill>
                </w14:textFill>
              </w:rPr>
              <w:t>）</w:t>
            </w:r>
          </w:p>
        </w:tc>
        <w:tc>
          <w:tcPr>
            <w:tcW w:w="0" w:type="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小时浓度（</w:t>
            </w:r>
            <w:r>
              <w:rPr>
                <w:color w:val="000000" w:themeColor="text1"/>
                <w:kern w:val="0"/>
                <w:sz w:val="22"/>
                <w14:textFill>
                  <w14:solidFill>
                    <w14:schemeClr w14:val="tx1"/>
                  </w14:solidFill>
                </w14:textFill>
              </w:rPr>
              <w:t>mg/Nm</w:t>
            </w:r>
            <w:r>
              <w:rPr>
                <w:color w:val="000000" w:themeColor="text1"/>
                <w:kern w:val="0"/>
                <w:sz w:val="22"/>
                <w:vertAlign w:val="superscript"/>
                <w14:textFill>
                  <w14:solidFill>
                    <w14:schemeClr w14:val="tx1"/>
                  </w14:solidFill>
                </w14:textFill>
              </w:rPr>
              <w:t>3</w:t>
            </w:r>
            <w:r>
              <w:rPr>
                <w:rFonts w:hint="eastAsia"/>
                <w:color w:val="000000" w:themeColor="text1"/>
                <w:kern w:val="0"/>
                <w:sz w:val="22"/>
                <w14:textFill>
                  <w14:solidFill>
                    <w14:schemeClr w14:val="tx1"/>
                  </w14:solidFill>
                </w14:textFill>
              </w:rPr>
              <w:t>）</w:t>
            </w:r>
          </w:p>
        </w:tc>
        <w:tc>
          <w:tcPr>
            <w:tcW w:w="0" w:type="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小时浓度（</w:t>
            </w:r>
            <w:r>
              <w:rPr>
                <w:color w:val="000000" w:themeColor="text1"/>
                <w:kern w:val="0"/>
                <w:sz w:val="22"/>
                <w14:textFill>
                  <w14:solidFill>
                    <w14:schemeClr w14:val="tx1"/>
                  </w14:solidFill>
                </w14:textFill>
              </w:rPr>
              <w:t>mg/Nm</w:t>
            </w:r>
            <w:r>
              <w:rPr>
                <w:color w:val="000000" w:themeColor="text1"/>
                <w:kern w:val="0"/>
                <w:sz w:val="22"/>
                <w:vertAlign w:val="superscript"/>
                <w14:textFill>
                  <w14:solidFill>
                    <w14:schemeClr w14:val="tx1"/>
                  </w14:solidFill>
                </w14:textFill>
              </w:rPr>
              <w:t>3</w:t>
            </w:r>
            <w:r>
              <w:rPr>
                <w:rFonts w:hint="eastAsia"/>
                <w:color w:val="000000" w:themeColor="text1"/>
                <w:kern w:val="0"/>
                <w:sz w:val="22"/>
                <w14:textFill>
                  <w14:solidFill>
                    <w14:schemeClr w14:val="tx1"/>
                  </w14:solidFill>
                </w14:textFill>
              </w:rPr>
              <w:t>）</w:t>
            </w:r>
          </w:p>
        </w:tc>
        <w:tc>
          <w:tcPr>
            <w:tcW w:w="0" w:type="auto"/>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浓度</w:t>
            </w:r>
          </w:p>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eastAsiaTheme="minorEastAsia"/>
                <w:color w:val="000000" w:themeColor="text1"/>
                <w:sz w:val="22"/>
                <w14:textFill>
                  <w14:solidFill>
                    <w14:schemeClr w14:val="tx1"/>
                  </w14:solidFill>
                </w14:textFill>
              </w:rPr>
              <w:t>（</w:t>
            </w:r>
            <w:r>
              <w:rPr>
                <w:rFonts w:eastAsiaTheme="minorEastAsia"/>
                <w:color w:val="000000" w:themeColor="text1"/>
                <w:sz w:val="22"/>
                <w:shd w:val="clear" w:color="auto" w:fill="FFFFFF"/>
                <w14:textFill>
                  <w14:solidFill>
                    <w14:schemeClr w14:val="tx1"/>
                  </w14:solidFill>
                </w14:textFill>
              </w:rPr>
              <w:t>mg/Nm</w:t>
            </w:r>
            <w:r>
              <w:rPr>
                <w:rFonts w:eastAsiaTheme="minorEastAsia"/>
                <w:color w:val="000000" w:themeColor="text1"/>
                <w:sz w:val="22"/>
                <w:shd w:val="clear" w:color="auto" w:fill="FFFFFF"/>
                <w:vertAlign w:val="superscript"/>
                <w14:textFill>
                  <w14:solidFill>
                    <w14:schemeClr w14:val="tx1"/>
                  </w14:solidFill>
                </w14:textFill>
              </w:rPr>
              <w:t>3</w:t>
            </w:r>
            <w:r>
              <w:rPr>
                <w:rFonts w:eastAsiaTheme="minorEastAsia"/>
                <w:color w:val="000000" w:themeColor="text1"/>
                <w:sz w:val="22"/>
                <w14:textFill>
                  <w14:solidFill>
                    <w14:schemeClr w14:val="tx1"/>
                  </w14:solidFill>
                </w14:textFill>
              </w:rPr>
              <w:t>）</w:t>
            </w:r>
          </w:p>
        </w:tc>
        <w:tc>
          <w:tcPr>
            <w:tcW w:w="0" w:type="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速率</w:t>
            </w:r>
          </w:p>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eastAsiaTheme="minorEastAsia"/>
                <w:color w:val="000000" w:themeColor="text1"/>
                <w:sz w:val="22"/>
                <w14:textFill>
                  <w14:solidFill>
                    <w14:schemeClr w14:val="tx1"/>
                  </w14:solidFill>
                </w14:textFill>
              </w:rPr>
              <w:t>（kg/h）</w:t>
            </w:r>
          </w:p>
        </w:tc>
        <w:tc>
          <w:tcPr>
            <w:tcW w:w="0" w:type="auto"/>
            <w:vMerge w:val="continue"/>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转运站T1排放口</w:t>
            </w:r>
          </w:p>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eastAsiaTheme="minorEastAsia"/>
                <w:color w:val="000000" w:themeColor="text1"/>
                <w:sz w:val="22"/>
                <w14:textFill>
                  <w14:solidFill>
                    <w14:schemeClr w14:val="tx1"/>
                  </w14:solidFill>
                </w14:textFill>
              </w:rPr>
              <w:t>（DA002）</w:t>
            </w:r>
          </w:p>
        </w:tc>
        <w:tc>
          <w:tcPr>
            <w:tcW w:w="0" w:type="auto"/>
            <w:vMerge w:val="restar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颗粒物</w:t>
            </w: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31.05</w:t>
            </w:r>
          </w:p>
        </w:tc>
        <w:tc>
          <w:tcPr>
            <w:tcW w:w="0" w:type="auto"/>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hint="eastAsia" w:eastAsiaTheme="minorEastAsia"/>
                <w:color w:val="000000" w:themeColor="text1"/>
                <w:sz w:val="22"/>
                <w14:textFill>
                  <w14:solidFill>
                    <w14:schemeClr w14:val="tx1"/>
                  </w14:solidFill>
                </w14:textFill>
              </w:rPr>
              <w:t>2</w:t>
            </w:r>
            <w:r>
              <w:rPr>
                <w:rFonts w:eastAsiaTheme="minorEastAsia"/>
                <w:color w:val="000000" w:themeColor="text1"/>
                <w:sz w:val="22"/>
                <w14:textFill>
                  <w14:solidFill>
                    <w14:schemeClr w14:val="tx1"/>
                  </w14:solidFill>
                </w14:textFill>
              </w:rPr>
              <w:t>7.28</w:t>
            </w:r>
          </w:p>
        </w:tc>
        <w:tc>
          <w:tcPr>
            <w:tcW w:w="0" w:type="auto"/>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24.54</w:t>
            </w:r>
          </w:p>
        </w:tc>
        <w:tc>
          <w:tcPr>
            <w:tcW w:w="0" w:type="auto"/>
            <w:shd w:val="clear" w:color="auto" w:fill="auto"/>
            <w:vAlign w:val="center"/>
          </w:tcPr>
          <w:p>
            <w:pPr>
              <w:spacing w:line="240" w:lineRule="auto"/>
              <w:ind w:firstLine="0" w:firstLineChars="0"/>
              <w:jc w:val="center"/>
              <w:rPr>
                <w:color w:val="000000" w:themeColor="text1"/>
                <w:kern w:val="0"/>
                <w:sz w:val="22"/>
                <w14:textFill>
                  <w14:solidFill>
                    <w14:schemeClr w14:val="tx1"/>
                  </w14:solidFill>
                </w14:textFill>
              </w:rPr>
            </w:pPr>
            <w:r>
              <w:rPr>
                <w:rFonts w:eastAsiaTheme="minorEastAsia"/>
                <w:color w:val="000000" w:themeColor="text1"/>
                <w:sz w:val="22"/>
                <w14:textFill>
                  <w14:solidFill>
                    <w14:schemeClr w14:val="tx1"/>
                  </w14:solidFill>
                </w14:textFill>
              </w:rPr>
              <w:t>120</w:t>
            </w:r>
          </w:p>
        </w:tc>
        <w:tc>
          <w:tcPr>
            <w:tcW w:w="0" w:type="auto"/>
            <w:vAlign w:val="center"/>
          </w:tcPr>
          <w:p>
            <w:pPr>
              <w:spacing w:line="240" w:lineRule="auto"/>
              <w:ind w:firstLine="0" w:firstLineChars="0"/>
              <w:jc w:val="center"/>
              <w:rPr>
                <w:color w:val="000000" w:themeColor="text1"/>
                <w:kern w:val="0"/>
                <w:sz w:val="22"/>
                <w14:textFill>
                  <w14:solidFill>
                    <w14:schemeClr w14:val="tx1"/>
                  </w14:solidFill>
                </w14:textFill>
              </w:rPr>
            </w:pPr>
            <w:r>
              <w:rPr>
                <w:rFonts w:eastAsiaTheme="minorEastAsia"/>
                <w:color w:val="000000" w:themeColor="text1"/>
                <w:sz w:val="22"/>
                <w14:textFill>
                  <w14:solidFill>
                    <w14:schemeClr w14:val="tx1"/>
                  </w14:solidFill>
                </w14:textFill>
              </w:rPr>
              <w:t>3.5</w:t>
            </w:r>
          </w:p>
        </w:tc>
        <w:tc>
          <w:tcPr>
            <w:tcW w:w="0" w:type="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转运站T2排放口1</w:t>
            </w:r>
          </w:p>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eastAsiaTheme="minorEastAsia"/>
                <w:color w:val="000000" w:themeColor="text1"/>
                <w:sz w:val="22"/>
                <w14:textFill>
                  <w14:solidFill>
                    <w14:schemeClr w14:val="tx1"/>
                  </w14:solidFill>
                </w14:textFill>
              </w:rPr>
              <w:t>（DA003）</w:t>
            </w:r>
          </w:p>
        </w:tc>
        <w:tc>
          <w:tcPr>
            <w:tcW w:w="0" w:type="auto"/>
            <w:vMerge w:val="continue"/>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24.33</w:t>
            </w:r>
          </w:p>
        </w:tc>
        <w:tc>
          <w:tcPr>
            <w:tcW w:w="0" w:type="auto"/>
            <w:vAlign w:val="center"/>
          </w:tcPr>
          <w:p>
            <w:pPr>
              <w:spacing w:line="240" w:lineRule="auto"/>
              <w:ind w:firstLine="33" w:firstLineChars="15"/>
              <w:jc w:val="center"/>
              <w:rPr>
                <w:rFonts w:eastAsiaTheme="minorEastAsia"/>
                <w:color w:val="000000" w:themeColor="text1"/>
                <w:sz w:val="22"/>
                <w14:textFill>
                  <w14:solidFill>
                    <w14:schemeClr w14:val="tx1"/>
                  </w14:solidFill>
                </w14:textFill>
              </w:rPr>
            </w:pPr>
            <w:r>
              <w:rPr>
                <w:rFonts w:hint="eastAsia" w:eastAsiaTheme="minorEastAsia"/>
                <w:color w:val="000000" w:themeColor="text1"/>
                <w:sz w:val="22"/>
                <w14:textFill>
                  <w14:solidFill>
                    <w14:schemeClr w14:val="tx1"/>
                  </w14:solidFill>
                </w14:textFill>
              </w:rPr>
              <w:t>2</w:t>
            </w:r>
            <w:r>
              <w:rPr>
                <w:rFonts w:eastAsiaTheme="minorEastAsia"/>
                <w:color w:val="000000" w:themeColor="text1"/>
                <w:sz w:val="22"/>
                <w14:textFill>
                  <w14:solidFill>
                    <w14:schemeClr w14:val="tx1"/>
                  </w14:solidFill>
                </w14:textFill>
              </w:rPr>
              <w:t>6.13</w:t>
            </w:r>
          </w:p>
        </w:tc>
        <w:tc>
          <w:tcPr>
            <w:tcW w:w="0" w:type="auto"/>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24.02</w:t>
            </w:r>
          </w:p>
        </w:tc>
        <w:tc>
          <w:tcPr>
            <w:tcW w:w="0" w:type="auto"/>
            <w:shd w:val="clear" w:color="auto" w:fill="auto"/>
            <w:vAlign w:val="center"/>
          </w:tcPr>
          <w:p>
            <w:pPr>
              <w:spacing w:line="240" w:lineRule="auto"/>
              <w:ind w:firstLine="33" w:firstLineChars="15"/>
              <w:jc w:val="center"/>
              <w:rPr>
                <w:color w:val="000000" w:themeColor="text1"/>
                <w:kern w:val="0"/>
                <w:sz w:val="22"/>
                <w14:textFill>
                  <w14:solidFill>
                    <w14:schemeClr w14:val="tx1"/>
                  </w14:solidFill>
                </w14:textFill>
              </w:rPr>
            </w:pPr>
            <w:r>
              <w:rPr>
                <w:rFonts w:eastAsiaTheme="minorEastAsia"/>
                <w:color w:val="000000" w:themeColor="text1"/>
                <w:sz w:val="22"/>
                <w14:textFill>
                  <w14:solidFill>
                    <w14:schemeClr w14:val="tx1"/>
                  </w14:solidFill>
                </w14:textFill>
              </w:rPr>
              <w:t>120</w:t>
            </w:r>
          </w:p>
        </w:tc>
        <w:tc>
          <w:tcPr>
            <w:tcW w:w="0" w:type="auto"/>
            <w:vAlign w:val="center"/>
          </w:tcPr>
          <w:p>
            <w:pPr>
              <w:spacing w:line="240" w:lineRule="auto"/>
              <w:ind w:firstLine="33" w:firstLineChars="15"/>
              <w:jc w:val="center"/>
              <w:rPr>
                <w:color w:val="000000" w:themeColor="text1"/>
                <w:kern w:val="0"/>
                <w:sz w:val="22"/>
                <w14:textFill>
                  <w14:solidFill>
                    <w14:schemeClr w14:val="tx1"/>
                  </w14:solidFill>
                </w14:textFill>
              </w:rPr>
            </w:pPr>
            <w:r>
              <w:rPr>
                <w:rFonts w:eastAsiaTheme="minorEastAsia"/>
                <w:color w:val="000000" w:themeColor="text1"/>
                <w:sz w:val="22"/>
                <w14:textFill>
                  <w14:solidFill>
                    <w14:schemeClr w14:val="tx1"/>
                  </w14:solidFill>
                </w14:textFill>
              </w:rPr>
              <w:t>3.5</w:t>
            </w:r>
          </w:p>
        </w:tc>
        <w:tc>
          <w:tcPr>
            <w:tcW w:w="0" w:type="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转运站T2排放口2</w:t>
            </w:r>
          </w:p>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eastAsiaTheme="minorEastAsia"/>
                <w:color w:val="000000" w:themeColor="text1"/>
                <w:sz w:val="22"/>
                <w14:textFill>
                  <w14:solidFill>
                    <w14:schemeClr w14:val="tx1"/>
                  </w14:solidFill>
                </w14:textFill>
              </w:rPr>
              <w:t>（DA004）</w:t>
            </w:r>
          </w:p>
        </w:tc>
        <w:tc>
          <w:tcPr>
            <w:tcW w:w="0" w:type="auto"/>
            <w:vMerge w:val="continue"/>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26.31</w:t>
            </w: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hint="eastAsia" w:eastAsiaTheme="minorEastAsia"/>
                <w:color w:val="000000" w:themeColor="text1"/>
                <w:sz w:val="22"/>
                <w14:textFill>
                  <w14:solidFill>
                    <w14:schemeClr w14:val="tx1"/>
                  </w14:solidFill>
                </w14:textFill>
              </w:rPr>
              <w:t>2</w:t>
            </w:r>
            <w:r>
              <w:rPr>
                <w:rFonts w:eastAsiaTheme="minorEastAsia"/>
                <w:color w:val="000000" w:themeColor="text1"/>
                <w:sz w:val="22"/>
                <w14:textFill>
                  <w14:solidFill>
                    <w14:schemeClr w14:val="tx1"/>
                  </w14:solidFill>
                </w14:textFill>
              </w:rPr>
              <w:t>5.43</w:t>
            </w:r>
          </w:p>
        </w:tc>
        <w:tc>
          <w:tcPr>
            <w:tcW w:w="0" w:type="auto"/>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24.4</w:t>
            </w:r>
          </w:p>
        </w:tc>
        <w:tc>
          <w:tcPr>
            <w:tcW w:w="0" w:type="auto"/>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eastAsiaTheme="minorEastAsia"/>
                <w:color w:val="000000" w:themeColor="text1"/>
                <w:sz w:val="22"/>
                <w14:textFill>
                  <w14:solidFill>
                    <w14:schemeClr w14:val="tx1"/>
                  </w14:solidFill>
                </w14:textFill>
              </w:rPr>
              <w:t>120</w:t>
            </w:r>
          </w:p>
        </w:tc>
        <w:tc>
          <w:tcPr>
            <w:tcW w:w="0" w:type="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eastAsiaTheme="minorEastAsia"/>
                <w:color w:val="000000" w:themeColor="text1"/>
                <w:sz w:val="22"/>
                <w14:textFill>
                  <w14:solidFill>
                    <w14:schemeClr w14:val="tx1"/>
                  </w14:solidFill>
                </w14:textFill>
              </w:rPr>
              <w:t>3.5</w:t>
            </w:r>
          </w:p>
        </w:tc>
        <w:tc>
          <w:tcPr>
            <w:tcW w:w="0" w:type="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转运站T3排放口1</w:t>
            </w:r>
          </w:p>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eastAsiaTheme="minorEastAsia"/>
                <w:color w:val="000000" w:themeColor="text1"/>
                <w:sz w:val="22"/>
                <w14:textFill>
                  <w14:solidFill>
                    <w14:schemeClr w14:val="tx1"/>
                  </w14:solidFill>
                </w14:textFill>
              </w:rPr>
              <w:t>（DA005）</w:t>
            </w:r>
          </w:p>
        </w:tc>
        <w:tc>
          <w:tcPr>
            <w:tcW w:w="0" w:type="auto"/>
            <w:vMerge w:val="continue"/>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44.68</w:t>
            </w: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hint="eastAsia" w:eastAsiaTheme="minorEastAsia"/>
                <w:color w:val="000000" w:themeColor="text1"/>
                <w:sz w:val="22"/>
                <w14:textFill>
                  <w14:solidFill>
                    <w14:schemeClr w14:val="tx1"/>
                  </w14:solidFill>
                </w14:textFill>
              </w:rPr>
              <w:t>3</w:t>
            </w:r>
            <w:r>
              <w:rPr>
                <w:rFonts w:eastAsiaTheme="minorEastAsia"/>
                <w:color w:val="000000" w:themeColor="text1"/>
                <w:sz w:val="22"/>
                <w14:textFill>
                  <w14:solidFill>
                    <w14:schemeClr w14:val="tx1"/>
                  </w14:solidFill>
                </w14:textFill>
              </w:rPr>
              <w:t>0.37</w:t>
            </w:r>
          </w:p>
        </w:tc>
        <w:tc>
          <w:tcPr>
            <w:tcW w:w="0" w:type="auto"/>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24.38</w:t>
            </w:r>
          </w:p>
        </w:tc>
        <w:tc>
          <w:tcPr>
            <w:tcW w:w="0" w:type="auto"/>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eastAsiaTheme="minorEastAsia"/>
                <w:color w:val="000000" w:themeColor="text1"/>
                <w:sz w:val="22"/>
                <w14:textFill>
                  <w14:solidFill>
                    <w14:schemeClr w14:val="tx1"/>
                  </w14:solidFill>
                </w14:textFill>
              </w:rPr>
              <w:t>120</w:t>
            </w: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3.5</w:t>
            </w:r>
          </w:p>
        </w:tc>
        <w:tc>
          <w:tcPr>
            <w:tcW w:w="0" w:type="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转运站T3排放口2</w:t>
            </w:r>
          </w:p>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eastAsiaTheme="minorEastAsia"/>
                <w:color w:val="000000" w:themeColor="text1"/>
                <w:sz w:val="22"/>
                <w14:textFill>
                  <w14:solidFill>
                    <w14:schemeClr w14:val="tx1"/>
                  </w14:solidFill>
                </w14:textFill>
              </w:rPr>
              <w:t>（DA006）</w:t>
            </w:r>
          </w:p>
        </w:tc>
        <w:tc>
          <w:tcPr>
            <w:tcW w:w="0" w:type="auto"/>
            <w:vMerge w:val="continue"/>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45.13</w:t>
            </w: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hint="eastAsia" w:eastAsiaTheme="minorEastAsia"/>
                <w:color w:val="000000" w:themeColor="text1"/>
                <w:sz w:val="22"/>
                <w14:textFill>
                  <w14:solidFill>
                    <w14:schemeClr w14:val="tx1"/>
                  </w14:solidFill>
                </w14:textFill>
              </w:rPr>
              <w:t>4</w:t>
            </w:r>
            <w:r>
              <w:rPr>
                <w:rFonts w:eastAsiaTheme="minorEastAsia"/>
                <w:color w:val="000000" w:themeColor="text1"/>
                <w:sz w:val="22"/>
                <w14:textFill>
                  <w14:solidFill>
                    <w14:schemeClr w14:val="tx1"/>
                  </w14:solidFill>
                </w14:textFill>
              </w:rPr>
              <w:t>1.95</w:t>
            </w:r>
          </w:p>
        </w:tc>
        <w:tc>
          <w:tcPr>
            <w:tcW w:w="0" w:type="auto"/>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26.36</w:t>
            </w:r>
          </w:p>
        </w:tc>
        <w:tc>
          <w:tcPr>
            <w:tcW w:w="0" w:type="auto"/>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eastAsiaTheme="minorEastAsia"/>
                <w:color w:val="000000" w:themeColor="text1"/>
                <w:sz w:val="22"/>
                <w14:textFill>
                  <w14:solidFill>
                    <w14:schemeClr w14:val="tx1"/>
                  </w14:solidFill>
                </w14:textFill>
              </w:rPr>
              <w:t>120</w:t>
            </w: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3.5</w:t>
            </w:r>
          </w:p>
        </w:tc>
        <w:tc>
          <w:tcPr>
            <w:tcW w:w="0" w:type="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粗碎室粉尘排放口1</w:t>
            </w:r>
          </w:p>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eastAsiaTheme="minorEastAsia"/>
                <w:color w:val="000000" w:themeColor="text1"/>
                <w:sz w:val="22"/>
                <w14:textFill>
                  <w14:solidFill>
                    <w14:schemeClr w14:val="tx1"/>
                  </w14:solidFill>
                </w14:textFill>
              </w:rPr>
              <w:t>（DA007）</w:t>
            </w:r>
          </w:p>
        </w:tc>
        <w:tc>
          <w:tcPr>
            <w:tcW w:w="0" w:type="auto"/>
            <w:vMerge w:val="continue"/>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38.2</w:t>
            </w: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hint="eastAsia" w:eastAsiaTheme="minorEastAsia"/>
                <w:color w:val="000000" w:themeColor="text1"/>
                <w:sz w:val="22"/>
                <w14:textFill>
                  <w14:solidFill>
                    <w14:schemeClr w14:val="tx1"/>
                  </w14:solidFill>
                </w14:textFill>
              </w:rPr>
              <w:t>3</w:t>
            </w:r>
            <w:r>
              <w:rPr>
                <w:rFonts w:eastAsiaTheme="minorEastAsia"/>
                <w:color w:val="000000" w:themeColor="text1"/>
                <w:sz w:val="22"/>
                <w14:textFill>
                  <w14:solidFill>
                    <w14:schemeClr w14:val="tx1"/>
                  </w14:solidFill>
                </w14:textFill>
              </w:rPr>
              <w:t>3.48</w:t>
            </w:r>
          </w:p>
        </w:tc>
        <w:tc>
          <w:tcPr>
            <w:tcW w:w="0" w:type="auto"/>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25.57</w:t>
            </w:r>
          </w:p>
        </w:tc>
        <w:tc>
          <w:tcPr>
            <w:tcW w:w="0" w:type="auto"/>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eastAsiaTheme="minorEastAsia"/>
                <w:color w:val="000000" w:themeColor="text1"/>
                <w:sz w:val="22"/>
                <w14:textFill>
                  <w14:solidFill>
                    <w14:schemeClr w14:val="tx1"/>
                  </w14:solidFill>
                </w14:textFill>
              </w:rPr>
              <w:t>120</w:t>
            </w: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3.5</w:t>
            </w:r>
          </w:p>
        </w:tc>
        <w:tc>
          <w:tcPr>
            <w:tcW w:w="0" w:type="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粗碎室粉尘排放口2</w:t>
            </w:r>
          </w:p>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eastAsiaTheme="minorEastAsia"/>
                <w:color w:val="000000" w:themeColor="text1"/>
                <w:sz w:val="22"/>
                <w14:textFill>
                  <w14:solidFill>
                    <w14:schemeClr w14:val="tx1"/>
                  </w14:solidFill>
                </w14:textFill>
              </w:rPr>
              <w:t>（DA008）</w:t>
            </w:r>
          </w:p>
        </w:tc>
        <w:tc>
          <w:tcPr>
            <w:tcW w:w="0" w:type="auto"/>
            <w:vMerge w:val="continue"/>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39.99</w:t>
            </w: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hint="eastAsia" w:eastAsiaTheme="minorEastAsia"/>
                <w:color w:val="000000" w:themeColor="text1"/>
                <w:sz w:val="22"/>
                <w14:textFill>
                  <w14:solidFill>
                    <w14:schemeClr w14:val="tx1"/>
                  </w14:solidFill>
                </w14:textFill>
              </w:rPr>
              <w:t>3</w:t>
            </w:r>
            <w:r>
              <w:rPr>
                <w:rFonts w:eastAsiaTheme="minorEastAsia"/>
                <w:color w:val="000000" w:themeColor="text1"/>
                <w:sz w:val="22"/>
                <w14:textFill>
                  <w14:solidFill>
                    <w14:schemeClr w14:val="tx1"/>
                  </w14:solidFill>
                </w14:textFill>
              </w:rPr>
              <w:t>5.15</w:t>
            </w:r>
          </w:p>
        </w:tc>
        <w:tc>
          <w:tcPr>
            <w:tcW w:w="0" w:type="auto"/>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27.8</w:t>
            </w:r>
          </w:p>
        </w:tc>
        <w:tc>
          <w:tcPr>
            <w:tcW w:w="0" w:type="auto"/>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eastAsiaTheme="minorEastAsia"/>
                <w:color w:val="000000" w:themeColor="text1"/>
                <w:sz w:val="22"/>
                <w14:textFill>
                  <w14:solidFill>
                    <w14:schemeClr w14:val="tx1"/>
                  </w14:solidFill>
                </w14:textFill>
              </w:rPr>
              <w:t>120</w:t>
            </w: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3.5</w:t>
            </w:r>
          </w:p>
        </w:tc>
        <w:tc>
          <w:tcPr>
            <w:tcW w:w="0" w:type="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eastAsiaTheme="minorEastAsia"/>
                <w:color w:val="000000" w:themeColor="text1"/>
                <w:sz w:val="22"/>
                <w14:textFill>
                  <w14:solidFill>
                    <w14:schemeClr w14:val="tx1"/>
                  </w14:solidFill>
                </w14:textFill>
              </w:rPr>
              <w:t>转运站T4排放口（DA009）</w:t>
            </w:r>
          </w:p>
        </w:tc>
        <w:tc>
          <w:tcPr>
            <w:tcW w:w="0" w:type="auto"/>
            <w:vMerge w:val="continue"/>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38.89</w:t>
            </w: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hint="eastAsia" w:eastAsiaTheme="minorEastAsia"/>
                <w:color w:val="000000" w:themeColor="text1"/>
                <w:sz w:val="22"/>
                <w14:textFill>
                  <w14:solidFill>
                    <w14:schemeClr w14:val="tx1"/>
                  </w14:solidFill>
                </w14:textFill>
              </w:rPr>
              <w:t>3</w:t>
            </w:r>
            <w:r>
              <w:rPr>
                <w:rFonts w:eastAsiaTheme="minorEastAsia"/>
                <w:color w:val="000000" w:themeColor="text1"/>
                <w:sz w:val="22"/>
                <w14:textFill>
                  <w14:solidFill>
                    <w14:schemeClr w14:val="tx1"/>
                  </w14:solidFill>
                </w14:textFill>
              </w:rPr>
              <w:t>1.42</w:t>
            </w:r>
          </w:p>
        </w:tc>
        <w:tc>
          <w:tcPr>
            <w:tcW w:w="0" w:type="auto"/>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27.68</w:t>
            </w:r>
          </w:p>
        </w:tc>
        <w:tc>
          <w:tcPr>
            <w:tcW w:w="0" w:type="auto"/>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eastAsiaTheme="minorEastAsia"/>
                <w:color w:val="000000" w:themeColor="text1"/>
                <w:sz w:val="22"/>
                <w14:textFill>
                  <w14:solidFill>
                    <w14:schemeClr w14:val="tx1"/>
                  </w14:solidFill>
                </w14:textFill>
              </w:rPr>
              <w:t>120</w:t>
            </w: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3.5</w:t>
            </w:r>
          </w:p>
        </w:tc>
        <w:tc>
          <w:tcPr>
            <w:tcW w:w="0" w:type="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eastAsiaTheme="minorEastAsia"/>
                <w:color w:val="000000" w:themeColor="text1"/>
                <w:sz w:val="22"/>
                <w14:textFill>
                  <w14:solidFill>
                    <w14:schemeClr w14:val="tx1"/>
                  </w14:solidFill>
                </w14:textFill>
              </w:rPr>
              <w:t>细碎室排放口1（DA010）</w:t>
            </w:r>
          </w:p>
        </w:tc>
        <w:tc>
          <w:tcPr>
            <w:tcW w:w="0" w:type="auto"/>
            <w:vMerge w:val="continue"/>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40.19</w:t>
            </w: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hint="eastAsia" w:eastAsiaTheme="minorEastAsia"/>
                <w:color w:val="000000" w:themeColor="text1"/>
                <w:sz w:val="22"/>
                <w14:textFill>
                  <w14:solidFill>
                    <w14:schemeClr w14:val="tx1"/>
                  </w14:solidFill>
                </w14:textFill>
              </w:rPr>
              <w:t>3</w:t>
            </w:r>
            <w:r>
              <w:rPr>
                <w:rFonts w:eastAsiaTheme="minorEastAsia"/>
                <w:color w:val="000000" w:themeColor="text1"/>
                <w:sz w:val="22"/>
                <w14:textFill>
                  <w14:solidFill>
                    <w14:schemeClr w14:val="tx1"/>
                  </w14:solidFill>
                </w14:textFill>
              </w:rPr>
              <w:t>3.88</w:t>
            </w:r>
          </w:p>
        </w:tc>
        <w:tc>
          <w:tcPr>
            <w:tcW w:w="0" w:type="auto"/>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25.49</w:t>
            </w:r>
          </w:p>
        </w:tc>
        <w:tc>
          <w:tcPr>
            <w:tcW w:w="0" w:type="auto"/>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eastAsiaTheme="minorEastAsia"/>
                <w:color w:val="000000" w:themeColor="text1"/>
                <w:sz w:val="22"/>
                <w14:textFill>
                  <w14:solidFill>
                    <w14:schemeClr w14:val="tx1"/>
                  </w14:solidFill>
                </w14:textFill>
              </w:rPr>
              <w:t>120</w:t>
            </w: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3.5</w:t>
            </w:r>
          </w:p>
        </w:tc>
        <w:tc>
          <w:tcPr>
            <w:tcW w:w="0" w:type="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eastAsiaTheme="minorEastAsia"/>
                <w:color w:val="000000" w:themeColor="text1"/>
                <w:sz w:val="22"/>
                <w14:textFill>
                  <w14:solidFill>
                    <w14:schemeClr w14:val="tx1"/>
                  </w14:solidFill>
                </w14:textFill>
              </w:rPr>
              <w:t>细碎室排放口2（DA011）</w:t>
            </w:r>
          </w:p>
        </w:tc>
        <w:tc>
          <w:tcPr>
            <w:tcW w:w="0" w:type="auto"/>
            <w:vMerge w:val="continue"/>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39.61</w:t>
            </w: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hint="eastAsia" w:eastAsiaTheme="minorEastAsia"/>
                <w:color w:val="000000" w:themeColor="text1"/>
                <w:sz w:val="22"/>
                <w14:textFill>
                  <w14:solidFill>
                    <w14:schemeClr w14:val="tx1"/>
                  </w14:solidFill>
                </w14:textFill>
              </w:rPr>
              <w:t>3</w:t>
            </w:r>
            <w:r>
              <w:rPr>
                <w:rFonts w:eastAsiaTheme="minorEastAsia"/>
                <w:color w:val="000000" w:themeColor="text1"/>
                <w:sz w:val="22"/>
                <w14:textFill>
                  <w14:solidFill>
                    <w14:schemeClr w14:val="tx1"/>
                  </w14:solidFill>
                </w14:textFill>
              </w:rPr>
              <w:t>1.22</w:t>
            </w:r>
          </w:p>
        </w:tc>
        <w:tc>
          <w:tcPr>
            <w:tcW w:w="0" w:type="auto"/>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24.79</w:t>
            </w:r>
          </w:p>
        </w:tc>
        <w:tc>
          <w:tcPr>
            <w:tcW w:w="0" w:type="auto"/>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eastAsiaTheme="minorEastAsia"/>
                <w:color w:val="000000" w:themeColor="text1"/>
                <w:sz w:val="22"/>
                <w14:textFill>
                  <w14:solidFill>
                    <w14:schemeClr w14:val="tx1"/>
                  </w14:solidFill>
                </w14:textFill>
              </w:rPr>
              <w:t>120</w:t>
            </w: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3.5</w:t>
            </w:r>
          </w:p>
        </w:tc>
        <w:tc>
          <w:tcPr>
            <w:tcW w:w="0" w:type="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eastAsiaTheme="minorEastAsia"/>
                <w:color w:val="000000" w:themeColor="text1"/>
                <w:spacing w:val="-2"/>
                <w:sz w:val="22"/>
                <w14:textFill>
                  <w14:solidFill>
                    <w14:schemeClr w14:val="tx1"/>
                  </w14:solidFill>
                </w14:textFill>
              </w:rPr>
              <w:t>脱硫石灰石粉仓</w:t>
            </w:r>
            <w:r>
              <w:rPr>
                <w:rFonts w:eastAsiaTheme="minorEastAsia"/>
                <w:color w:val="000000" w:themeColor="text1"/>
                <w:sz w:val="22"/>
                <w14:textFill>
                  <w14:solidFill>
                    <w14:schemeClr w14:val="tx1"/>
                  </w14:solidFill>
                </w14:textFill>
              </w:rPr>
              <w:t>排放口（DA012）</w:t>
            </w:r>
          </w:p>
        </w:tc>
        <w:tc>
          <w:tcPr>
            <w:tcW w:w="0" w:type="auto"/>
            <w:vMerge w:val="continue"/>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35.51</w:t>
            </w: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34.05</w:t>
            </w:r>
          </w:p>
        </w:tc>
        <w:tc>
          <w:tcPr>
            <w:tcW w:w="0" w:type="auto"/>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24.89</w:t>
            </w:r>
          </w:p>
        </w:tc>
        <w:tc>
          <w:tcPr>
            <w:tcW w:w="0" w:type="auto"/>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eastAsiaTheme="minorEastAsia"/>
                <w:color w:val="000000" w:themeColor="text1"/>
                <w:sz w:val="22"/>
                <w14:textFill>
                  <w14:solidFill>
                    <w14:schemeClr w14:val="tx1"/>
                  </w14:solidFill>
                </w14:textFill>
              </w:rPr>
              <w:t>120</w:t>
            </w: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3.5</w:t>
            </w:r>
          </w:p>
        </w:tc>
        <w:tc>
          <w:tcPr>
            <w:tcW w:w="0" w:type="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pacing w:val="-2"/>
                <w:sz w:val="22"/>
                <w14:textFill>
                  <w14:solidFill>
                    <w14:schemeClr w14:val="tx1"/>
                  </w14:solidFill>
                </w14:textFill>
              </w:rPr>
              <w:t>储渣仓</w:t>
            </w:r>
            <w:r>
              <w:rPr>
                <w:rFonts w:eastAsiaTheme="minorEastAsia"/>
                <w:color w:val="000000" w:themeColor="text1"/>
                <w:sz w:val="22"/>
                <w14:textFill>
                  <w14:solidFill>
                    <w14:schemeClr w14:val="tx1"/>
                  </w14:solidFill>
                </w14:textFill>
              </w:rPr>
              <w:t>排放口</w:t>
            </w:r>
          </w:p>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eastAsiaTheme="minorEastAsia"/>
                <w:color w:val="000000" w:themeColor="text1"/>
                <w:sz w:val="22"/>
                <w14:textFill>
                  <w14:solidFill>
                    <w14:schemeClr w14:val="tx1"/>
                  </w14:solidFill>
                </w14:textFill>
              </w:rPr>
              <w:t>（DA013）</w:t>
            </w:r>
          </w:p>
        </w:tc>
        <w:tc>
          <w:tcPr>
            <w:tcW w:w="0" w:type="auto"/>
            <w:vMerge w:val="continue"/>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36.26</w:t>
            </w: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hint="eastAsia" w:eastAsiaTheme="minorEastAsia"/>
                <w:color w:val="000000" w:themeColor="text1"/>
                <w:sz w:val="22"/>
                <w14:textFill>
                  <w14:solidFill>
                    <w14:schemeClr w14:val="tx1"/>
                  </w14:solidFill>
                </w14:textFill>
              </w:rPr>
              <w:t>2</w:t>
            </w:r>
            <w:r>
              <w:rPr>
                <w:rFonts w:eastAsiaTheme="minorEastAsia"/>
                <w:color w:val="000000" w:themeColor="text1"/>
                <w:sz w:val="22"/>
                <w14:textFill>
                  <w14:solidFill>
                    <w14:schemeClr w14:val="tx1"/>
                  </w14:solidFill>
                </w14:textFill>
              </w:rPr>
              <w:t>7.02</w:t>
            </w:r>
          </w:p>
        </w:tc>
        <w:tc>
          <w:tcPr>
            <w:tcW w:w="0" w:type="auto"/>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26.52</w:t>
            </w:r>
          </w:p>
        </w:tc>
        <w:tc>
          <w:tcPr>
            <w:tcW w:w="0" w:type="auto"/>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eastAsiaTheme="minorEastAsia"/>
                <w:color w:val="000000" w:themeColor="text1"/>
                <w:sz w:val="22"/>
                <w14:textFill>
                  <w14:solidFill>
                    <w14:schemeClr w14:val="tx1"/>
                  </w14:solidFill>
                </w14:textFill>
              </w:rPr>
              <w:t>120</w:t>
            </w: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3.5</w:t>
            </w:r>
          </w:p>
        </w:tc>
        <w:tc>
          <w:tcPr>
            <w:tcW w:w="0" w:type="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pacing w:val="-2"/>
                <w:sz w:val="22"/>
                <w14:textFill>
                  <w14:solidFill>
                    <w14:schemeClr w14:val="tx1"/>
                  </w14:solidFill>
                </w14:textFill>
              </w:rPr>
              <w:t>石灰石粉仓</w:t>
            </w:r>
            <w:r>
              <w:rPr>
                <w:rFonts w:eastAsiaTheme="minorEastAsia"/>
                <w:color w:val="000000" w:themeColor="text1"/>
                <w:sz w:val="22"/>
                <w14:textFill>
                  <w14:solidFill>
                    <w14:schemeClr w14:val="tx1"/>
                  </w14:solidFill>
                </w14:textFill>
              </w:rPr>
              <w:t>排放口</w:t>
            </w:r>
          </w:p>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eastAsiaTheme="minorEastAsia"/>
                <w:color w:val="000000" w:themeColor="text1"/>
                <w:sz w:val="22"/>
                <w14:textFill>
                  <w14:solidFill>
                    <w14:schemeClr w14:val="tx1"/>
                  </w14:solidFill>
                </w14:textFill>
              </w:rPr>
              <w:t>（DA014）</w:t>
            </w:r>
          </w:p>
        </w:tc>
        <w:tc>
          <w:tcPr>
            <w:tcW w:w="0" w:type="auto"/>
            <w:vMerge w:val="continue"/>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36.27</w:t>
            </w: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hint="eastAsia" w:eastAsiaTheme="minorEastAsia"/>
                <w:color w:val="000000" w:themeColor="text1"/>
                <w:sz w:val="22"/>
                <w14:textFill>
                  <w14:solidFill>
                    <w14:schemeClr w14:val="tx1"/>
                  </w14:solidFill>
                </w14:textFill>
              </w:rPr>
              <w:t>2</w:t>
            </w:r>
            <w:r>
              <w:rPr>
                <w:rFonts w:eastAsiaTheme="minorEastAsia"/>
                <w:color w:val="000000" w:themeColor="text1"/>
                <w:sz w:val="22"/>
                <w14:textFill>
                  <w14:solidFill>
                    <w14:schemeClr w14:val="tx1"/>
                  </w14:solidFill>
                </w14:textFill>
              </w:rPr>
              <w:t>7.03</w:t>
            </w:r>
          </w:p>
        </w:tc>
        <w:tc>
          <w:tcPr>
            <w:tcW w:w="0" w:type="auto"/>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24.8</w:t>
            </w:r>
          </w:p>
        </w:tc>
        <w:tc>
          <w:tcPr>
            <w:tcW w:w="0" w:type="auto"/>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eastAsiaTheme="minorEastAsia"/>
                <w:color w:val="000000" w:themeColor="text1"/>
                <w:sz w:val="22"/>
                <w14:textFill>
                  <w14:solidFill>
                    <w14:schemeClr w14:val="tx1"/>
                  </w14:solidFill>
                </w14:textFill>
              </w:rPr>
              <w:t>120</w:t>
            </w: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3.5</w:t>
            </w:r>
          </w:p>
        </w:tc>
        <w:tc>
          <w:tcPr>
            <w:tcW w:w="0" w:type="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auto" w:fill="auto"/>
            <w:vAlign w:val="center"/>
          </w:tcPr>
          <w:p>
            <w:pPr>
              <w:widowControl/>
              <w:adjustRightInd/>
              <w:snapToGrid/>
              <w:spacing w:line="240" w:lineRule="auto"/>
              <w:ind w:firstLine="0" w:firstLineChars="0"/>
              <w:jc w:val="center"/>
              <w:rPr>
                <w:rFonts w:eastAsiaTheme="minorEastAsia"/>
                <w:color w:val="000000" w:themeColor="text1"/>
                <w:spacing w:val="-3"/>
                <w:sz w:val="22"/>
                <w14:textFill>
                  <w14:solidFill>
                    <w14:schemeClr w14:val="tx1"/>
                  </w14:solidFill>
                </w14:textFill>
              </w:rPr>
            </w:pPr>
            <w:r>
              <w:rPr>
                <w:rFonts w:eastAsiaTheme="minorEastAsia"/>
                <w:color w:val="000000" w:themeColor="text1"/>
                <w:spacing w:val="-3"/>
                <w:sz w:val="22"/>
                <w14:textFill>
                  <w14:solidFill>
                    <w14:schemeClr w14:val="tx1"/>
                  </w14:solidFill>
                </w14:textFill>
              </w:rPr>
              <w:t>灰库</w:t>
            </w:r>
            <w:r>
              <w:rPr>
                <w:rFonts w:eastAsiaTheme="minorEastAsia"/>
                <w:color w:val="000000" w:themeColor="text1"/>
                <w:sz w:val="22"/>
                <w14:textFill>
                  <w14:solidFill>
                    <w14:schemeClr w14:val="tx1"/>
                  </w14:solidFill>
                </w14:textFill>
              </w:rPr>
              <w:t>排放口</w:t>
            </w:r>
            <w:r>
              <w:rPr>
                <w:rFonts w:eastAsiaTheme="minorEastAsia"/>
                <w:color w:val="000000" w:themeColor="text1"/>
                <w:spacing w:val="-29"/>
                <w:sz w:val="22"/>
                <w14:textFill>
                  <w14:solidFill>
                    <w14:schemeClr w14:val="tx1"/>
                  </w14:solidFill>
                </w14:textFill>
              </w:rPr>
              <w:t xml:space="preserve"> </w:t>
            </w:r>
            <w:r>
              <w:rPr>
                <w:rFonts w:eastAsiaTheme="minorEastAsia"/>
                <w:color w:val="000000" w:themeColor="text1"/>
                <w:spacing w:val="-3"/>
                <w:sz w:val="22"/>
                <w14:textFill>
                  <w14:solidFill>
                    <w14:schemeClr w14:val="tx1"/>
                  </w14:solidFill>
                </w14:textFill>
              </w:rPr>
              <w:t>1</w:t>
            </w:r>
          </w:p>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eastAsiaTheme="minorEastAsia"/>
                <w:color w:val="000000" w:themeColor="text1"/>
                <w:sz w:val="22"/>
                <w14:textFill>
                  <w14:solidFill>
                    <w14:schemeClr w14:val="tx1"/>
                  </w14:solidFill>
                </w14:textFill>
              </w:rPr>
              <w:t>（DA015）</w:t>
            </w:r>
          </w:p>
        </w:tc>
        <w:tc>
          <w:tcPr>
            <w:tcW w:w="0" w:type="auto"/>
            <w:vMerge w:val="continue"/>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33.36</w:t>
            </w: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hint="eastAsia" w:eastAsiaTheme="minorEastAsia"/>
                <w:color w:val="000000" w:themeColor="text1"/>
                <w:sz w:val="22"/>
                <w14:textFill>
                  <w14:solidFill>
                    <w14:schemeClr w14:val="tx1"/>
                  </w14:solidFill>
                </w14:textFill>
              </w:rPr>
              <w:t>3</w:t>
            </w:r>
            <w:r>
              <w:rPr>
                <w:rFonts w:eastAsiaTheme="minorEastAsia"/>
                <w:color w:val="000000" w:themeColor="text1"/>
                <w:sz w:val="22"/>
                <w14:textFill>
                  <w14:solidFill>
                    <w14:schemeClr w14:val="tx1"/>
                  </w14:solidFill>
                </w14:textFill>
              </w:rPr>
              <w:t>1.42</w:t>
            </w:r>
          </w:p>
        </w:tc>
        <w:tc>
          <w:tcPr>
            <w:tcW w:w="0" w:type="auto"/>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26.19</w:t>
            </w:r>
          </w:p>
        </w:tc>
        <w:tc>
          <w:tcPr>
            <w:tcW w:w="0" w:type="auto"/>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eastAsiaTheme="minorEastAsia"/>
                <w:color w:val="000000" w:themeColor="text1"/>
                <w:sz w:val="22"/>
                <w14:textFill>
                  <w14:solidFill>
                    <w14:schemeClr w14:val="tx1"/>
                  </w14:solidFill>
                </w14:textFill>
              </w:rPr>
              <w:t>120</w:t>
            </w: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3.5</w:t>
            </w:r>
          </w:p>
        </w:tc>
        <w:tc>
          <w:tcPr>
            <w:tcW w:w="0" w:type="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auto" w:fill="auto"/>
            <w:vAlign w:val="center"/>
          </w:tcPr>
          <w:p>
            <w:pPr>
              <w:widowControl/>
              <w:adjustRightInd/>
              <w:snapToGrid/>
              <w:spacing w:line="240" w:lineRule="auto"/>
              <w:ind w:firstLine="0" w:firstLineChars="0"/>
              <w:jc w:val="center"/>
              <w:rPr>
                <w:rFonts w:eastAsiaTheme="minorEastAsia"/>
                <w:color w:val="000000" w:themeColor="text1"/>
                <w:spacing w:val="-3"/>
                <w:sz w:val="22"/>
                <w14:textFill>
                  <w14:solidFill>
                    <w14:schemeClr w14:val="tx1"/>
                  </w14:solidFill>
                </w14:textFill>
              </w:rPr>
            </w:pPr>
            <w:r>
              <w:rPr>
                <w:rFonts w:eastAsiaTheme="minorEastAsia"/>
                <w:color w:val="000000" w:themeColor="text1"/>
                <w:spacing w:val="-3"/>
                <w:sz w:val="22"/>
                <w14:textFill>
                  <w14:solidFill>
                    <w14:schemeClr w14:val="tx1"/>
                  </w14:solidFill>
                </w14:textFill>
              </w:rPr>
              <w:t>灰库</w:t>
            </w:r>
            <w:r>
              <w:rPr>
                <w:rFonts w:eastAsiaTheme="minorEastAsia"/>
                <w:color w:val="000000" w:themeColor="text1"/>
                <w:sz w:val="22"/>
                <w14:textFill>
                  <w14:solidFill>
                    <w14:schemeClr w14:val="tx1"/>
                  </w14:solidFill>
                </w14:textFill>
              </w:rPr>
              <w:t>排放口</w:t>
            </w:r>
            <w:r>
              <w:rPr>
                <w:rFonts w:eastAsiaTheme="minorEastAsia"/>
                <w:color w:val="000000" w:themeColor="text1"/>
                <w:spacing w:val="-52"/>
                <w:sz w:val="22"/>
                <w14:textFill>
                  <w14:solidFill>
                    <w14:schemeClr w14:val="tx1"/>
                  </w14:solidFill>
                </w14:textFill>
              </w:rPr>
              <w:t xml:space="preserve"> </w:t>
            </w:r>
            <w:r>
              <w:rPr>
                <w:rFonts w:eastAsiaTheme="minorEastAsia"/>
                <w:color w:val="000000" w:themeColor="text1"/>
                <w:spacing w:val="-3"/>
                <w:sz w:val="22"/>
                <w14:textFill>
                  <w14:solidFill>
                    <w14:schemeClr w14:val="tx1"/>
                  </w14:solidFill>
                </w14:textFill>
              </w:rPr>
              <w:t>2</w:t>
            </w:r>
          </w:p>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eastAsiaTheme="minorEastAsia"/>
                <w:color w:val="000000" w:themeColor="text1"/>
                <w:sz w:val="22"/>
                <w14:textFill>
                  <w14:solidFill>
                    <w14:schemeClr w14:val="tx1"/>
                  </w14:solidFill>
                </w14:textFill>
              </w:rPr>
              <w:t>（DA016）</w:t>
            </w:r>
          </w:p>
        </w:tc>
        <w:tc>
          <w:tcPr>
            <w:tcW w:w="0" w:type="auto"/>
            <w:vMerge w:val="continue"/>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35.95</w:t>
            </w: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hint="eastAsia" w:eastAsiaTheme="minorEastAsia"/>
                <w:color w:val="000000" w:themeColor="text1"/>
                <w:sz w:val="22"/>
                <w14:textFill>
                  <w14:solidFill>
                    <w14:schemeClr w14:val="tx1"/>
                  </w14:solidFill>
                </w14:textFill>
              </w:rPr>
              <w:t>2</w:t>
            </w:r>
            <w:r>
              <w:rPr>
                <w:rFonts w:eastAsiaTheme="minorEastAsia"/>
                <w:color w:val="000000" w:themeColor="text1"/>
                <w:sz w:val="22"/>
                <w14:textFill>
                  <w14:solidFill>
                    <w14:schemeClr w14:val="tx1"/>
                  </w14:solidFill>
                </w14:textFill>
              </w:rPr>
              <w:t>6.15</w:t>
            </w:r>
          </w:p>
        </w:tc>
        <w:tc>
          <w:tcPr>
            <w:tcW w:w="0" w:type="auto"/>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27.45</w:t>
            </w:r>
          </w:p>
        </w:tc>
        <w:tc>
          <w:tcPr>
            <w:tcW w:w="0" w:type="auto"/>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eastAsiaTheme="minorEastAsia"/>
                <w:color w:val="000000" w:themeColor="text1"/>
                <w:sz w:val="22"/>
                <w14:textFill>
                  <w14:solidFill>
                    <w14:schemeClr w14:val="tx1"/>
                  </w14:solidFill>
                </w14:textFill>
              </w:rPr>
              <w:t>120</w:t>
            </w: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3.5</w:t>
            </w:r>
          </w:p>
        </w:tc>
        <w:tc>
          <w:tcPr>
            <w:tcW w:w="0" w:type="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eastAsiaTheme="minorEastAsia"/>
                <w:color w:val="000000" w:themeColor="text1"/>
                <w:spacing w:val="-2"/>
                <w:sz w:val="22"/>
                <w14:textFill>
                  <w14:solidFill>
                    <w14:schemeClr w14:val="tx1"/>
                  </w14:solidFill>
                </w14:textFill>
              </w:rPr>
              <w:t>储煤仓间</w:t>
            </w:r>
            <w:r>
              <w:rPr>
                <w:rFonts w:eastAsiaTheme="minorEastAsia"/>
                <w:color w:val="000000" w:themeColor="text1"/>
                <w:sz w:val="22"/>
                <w14:textFill>
                  <w14:solidFill>
                    <w14:schemeClr w14:val="tx1"/>
                  </w14:solidFill>
                </w14:textFill>
              </w:rPr>
              <w:t>排放口（DA017）</w:t>
            </w:r>
          </w:p>
        </w:tc>
        <w:tc>
          <w:tcPr>
            <w:tcW w:w="0" w:type="auto"/>
            <w:vMerge w:val="continue"/>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31.98</w:t>
            </w: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hint="eastAsia" w:eastAsiaTheme="minorEastAsia"/>
                <w:color w:val="000000" w:themeColor="text1"/>
                <w:sz w:val="22"/>
                <w14:textFill>
                  <w14:solidFill>
                    <w14:schemeClr w14:val="tx1"/>
                  </w14:solidFill>
                </w14:textFill>
              </w:rPr>
              <w:t>2</w:t>
            </w:r>
            <w:r>
              <w:rPr>
                <w:rFonts w:eastAsiaTheme="minorEastAsia"/>
                <w:color w:val="000000" w:themeColor="text1"/>
                <w:sz w:val="22"/>
                <w14:textFill>
                  <w14:solidFill>
                    <w14:schemeClr w14:val="tx1"/>
                  </w14:solidFill>
                </w14:textFill>
              </w:rPr>
              <w:t>7.4</w:t>
            </w:r>
          </w:p>
        </w:tc>
        <w:tc>
          <w:tcPr>
            <w:tcW w:w="0" w:type="auto"/>
            <w:vAlign w:val="center"/>
          </w:tcPr>
          <w:p>
            <w:pPr>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28.64</w:t>
            </w:r>
          </w:p>
        </w:tc>
        <w:tc>
          <w:tcPr>
            <w:tcW w:w="0" w:type="auto"/>
            <w:shd w:val="clear" w:color="auto" w:fill="auto"/>
            <w:vAlign w:val="center"/>
          </w:tcPr>
          <w:p>
            <w:pPr>
              <w:widowControl/>
              <w:adjustRightInd/>
              <w:snapToGrid/>
              <w:spacing w:line="240" w:lineRule="auto"/>
              <w:ind w:firstLine="0" w:firstLineChars="0"/>
              <w:jc w:val="center"/>
              <w:rPr>
                <w:rFonts w:eastAsiaTheme="minorEastAsia"/>
                <w:color w:val="000000" w:themeColor="text1"/>
                <w:sz w:val="22"/>
                <w:shd w:val="clear" w:color="auto" w:fill="FFFFFF"/>
                <w14:textFill>
                  <w14:solidFill>
                    <w14:schemeClr w14:val="tx1"/>
                  </w14:solidFill>
                </w14:textFill>
              </w:rPr>
            </w:pPr>
            <w:r>
              <w:rPr>
                <w:rFonts w:eastAsiaTheme="minorEastAsia"/>
                <w:color w:val="000000" w:themeColor="text1"/>
                <w:sz w:val="22"/>
                <w14:textFill>
                  <w14:solidFill>
                    <w14:schemeClr w14:val="tx1"/>
                  </w14:solidFill>
                </w14:textFill>
              </w:rPr>
              <w:t>120</w:t>
            </w:r>
          </w:p>
        </w:tc>
        <w:tc>
          <w:tcPr>
            <w:tcW w:w="0" w:type="auto"/>
            <w:vAlign w:val="center"/>
          </w:tcPr>
          <w:p>
            <w:pPr>
              <w:widowControl/>
              <w:adjustRightInd/>
              <w:snapToGrid/>
              <w:spacing w:line="240" w:lineRule="auto"/>
              <w:ind w:firstLine="0" w:firstLineChars="0"/>
              <w:jc w:val="center"/>
              <w:rPr>
                <w:rFonts w:eastAsiaTheme="minorEastAsia"/>
                <w:color w:val="000000" w:themeColor="text1"/>
                <w:sz w:val="22"/>
                <w14:textFill>
                  <w14:solidFill>
                    <w14:schemeClr w14:val="tx1"/>
                  </w14:solidFill>
                </w14:textFill>
              </w:rPr>
            </w:pPr>
            <w:r>
              <w:rPr>
                <w:rFonts w:eastAsiaTheme="minorEastAsia"/>
                <w:color w:val="000000" w:themeColor="text1"/>
                <w:sz w:val="22"/>
                <w14:textFill>
                  <w14:solidFill>
                    <w14:schemeClr w14:val="tx1"/>
                  </w14:solidFill>
                </w14:textFill>
              </w:rPr>
              <w:t>3.5</w:t>
            </w:r>
          </w:p>
        </w:tc>
        <w:tc>
          <w:tcPr>
            <w:tcW w:w="0" w:type="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r>
    </w:tbl>
    <w:p>
      <w:pPr>
        <w:ind w:firstLine="520"/>
        <w:rPr>
          <w:color w:val="000000" w:themeColor="text1"/>
          <w14:textFill>
            <w14:solidFill>
              <w14:schemeClr w14:val="tx1"/>
            </w14:solidFill>
          </w14:textFill>
        </w:rPr>
      </w:pP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）无组织排放废气厂界达标情况</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根据2</w:t>
      </w:r>
      <w:r>
        <w:rPr>
          <w:color w:val="000000" w:themeColor="text1"/>
          <w14:textFill>
            <w14:solidFill>
              <w14:schemeClr w14:val="tx1"/>
            </w14:solidFill>
          </w14:textFill>
        </w:rPr>
        <w:t>020</w:t>
      </w:r>
      <w:r>
        <w:rPr>
          <w:rFonts w:hint="eastAsia"/>
          <w:color w:val="000000" w:themeColor="text1"/>
          <w14:textFill>
            <w14:solidFill>
              <w14:schemeClr w14:val="tx1"/>
            </w14:solidFill>
          </w14:textFill>
        </w:rPr>
        <w:t>年、2</w:t>
      </w:r>
      <w:r>
        <w:rPr>
          <w:color w:val="000000" w:themeColor="text1"/>
          <w14:textFill>
            <w14:solidFill>
              <w14:schemeClr w14:val="tx1"/>
            </w14:solidFill>
          </w14:textFill>
        </w:rPr>
        <w:t>021</w:t>
      </w:r>
      <w:r>
        <w:rPr>
          <w:rFonts w:hint="eastAsia"/>
          <w:color w:val="000000" w:themeColor="text1"/>
          <w14:textFill>
            <w14:solidFill>
              <w14:schemeClr w14:val="tx1"/>
            </w14:solidFill>
          </w14:textFill>
        </w:rPr>
        <w:t>年、2</w:t>
      </w:r>
      <w:r>
        <w:rPr>
          <w:color w:val="000000" w:themeColor="text1"/>
          <w14:textFill>
            <w14:solidFill>
              <w14:schemeClr w14:val="tx1"/>
            </w14:solidFill>
          </w14:textFill>
        </w:rPr>
        <w:t>022</w:t>
      </w:r>
      <w:r>
        <w:rPr>
          <w:rFonts w:hint="eastAsia"/>
          <w:color w:val="000000" w:themeColor="text1"/>
          <w14:textFill>
            <w14:solidFill>
              <w14:schemeClr w14:val="tx1"/>
            </w14:solidFill>
          </w14:textFill>
        </w:rPr>
        <w:t>年年度排污许可执行报告，厂界颗粒物、氨气浓度满足排污许可控制要求，具体见表2</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厂界无组织排放污染物监测结果和达标判定</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2508"/>
        <w:gridCol w:w="2508"/>
        <w:gridCol w:w="2376"/>
        <w:gridCol w:w="2277"/>
        <w:gridCol w:w="997"/>
        <w:gridCol w:w="2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62" w:type="pct"/>
            <w:vMerge w:val="restar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污染因子</w:t>
            </w:r>
          </w:p>
        </w:tc>
        <w:tc>
          <w:tcPr>
            <w:tcW w:w="911"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2</w:t>
            </w:r>
            <w:r>
              <w:rPr>
                <w:color w:val="000000" w:themeColor="text1"/>
                <w:kern w:val="0"/>
                <w:sz w:val="22"/>
                <w14:textFill>
                  <w14:solidFill>
                    <w14:schemeClr w14:val="tx1"/>
                  </w14:solidFill>
                </w14:textFill>
              </w:rPr>
              <w:t>020年排污许可执行报告</w:t>
            </w:r>
          </w:p>
        </w:tc>
        <w:tc>
          <w:tcPr>
            <w:tcW w:w="911"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2</w:t>
            </w:r>
            <w:r>
              <w:rPr>
                <w:color w:val="000000" w:themeColor="text1"/>
                <w:kern w:val="0"/>
                <w:sz w:val="22"/>
                <w14:textFill>
                  <w14:solidFill>
                    <w14:schemeClr w14:val="tx1"/>
                  </w14:solidFill>
                </w14:textFill>
              </w:rPr>
              <w:t>021年排污许可执行报告</w:t>
            </w:r>
          </w:p>
        </w:tc>
        <w:tc>
          <w:tcPr>
            <w:tcW w:w="863" w:type="pct"/>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2</w:t>
            </w:r>
            <w:r>
              <w:rPr>
                <w:color w:val="000000" w:themeColor="text1"/>
                <w:kern w:val="0"/>
                <w:sz w:val="22"/>
                <w14:textFill>
                  <w14:solidFill>
                    <w14:schemeClr w14:val="tx1"/>
                  </w14:solidFill>
                </w14:textFill>
              </w:rPr>
              <w:t>022年排污许可执行报告</w:t>
            </w:r>
          </w:p>
        </w:tc>
        <w:tc>
          <w:tcPr>
            <w:tcW w:w="827"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排污许可总量控制要求</w:t>
            </w:r>
          </w:p>
        </w:tc>
        <w:tc>
          <w:tcPr>
            <w:tcW w:w="362" w:type="pct"/>
            <w:vMerge w:val="restar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达标分析</w:t>
            </w:r>
          </w:p>
        </w:tc>
        <w:tc>
          <w:tcPr>
            <w:tcW w:w="765" w:type="pct"/>
            <w:vMerge w:val="restar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监测点位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62" w:type="pct"/>
            <w:vMerge w:val="continue"/>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c>
          <w:tcPr>
            <w:tcW w:w="911"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小时浓度（</w:t>
            </w:r>
            <w:r>
              <w:rPr>
                <w:color w:val="000000" w:themeColor="text1"/>
                <w:kern w:val="0"/>
                <w:sz w:val="22"/>
                <w14:textFill>
                  <w14:solidFill>
                    <w14:schemeClr w14:val="tx1"/>
                  </w14:solidFill>
                </w14:textFill>
              </w:rPr>
              <w:t>mg/Nm</w:t>
            </w:r>
            <w:r>
              <w:rPr>
                <w:color w:val="000000" w:themeColor="text1"/>
                <w:kern w:val="0"/>
                <w:sz w:val="22"/>
                <w:vertAlign w:val="superscript"/>
                <w14:textFill>
                  <w14:solidFill>
                    <w14:schemeClr w14:val="tx1"/>
                  </w14:solidFill>
                </w14:textFill>
              </w:rPr>
              <w:t>3</w:t>
            </w:r>
            <w:r>
              <w:rPr>
                <w:rFonts w:hint="eastAsia"/>
                <w:color w:val="000000" w:themeColor="text1"/>
                <w:kern w:val="0"/>
                <w:sz w:val="22"/>
                <w14:textFill>
                  <w14:solidFill>
                    <w14:schemeClr w14:val="tx1"/>
                  </w14:solidFill>
                </w14:textFill>
              </w:rPr>
              <w:t>）</w:t>
            </w:r>
          </w:p>
        </w:tc>
        <w:tc>
          <w:tcPr>
            <w:tcW w:w="911"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小时浓度（</w:t>
            </w:r>
            <w:r>
              <w:rPr>
                <w:color w:val="000000" w:themeColor="text1"/>
                <w:kern w:val="0"/>
                <w:sz w:val="22"/>
                <w14:textFill>
                  <w14:solidFill>
                    <w14:schemeClr w14:val="tx1"/>
                  </w14:solidFill>
                </w14:textFill>
              </w:rPr>
              <w:t>mg/Nm</w:t>
            </w:r>
            <w:r>
              <w:rPr>
                <w:color w:val="000000" w:themeColor="text1"/>
                <w:kern w:val="0"/>
                <w:sz w:val="22"/>
                <w:vertAlign w:val="superscript"/>
                <w14:textFill>
                  <w14:solidFill>
                    <w14:schemeClr w14:val="tx1"/>
                  </w14:solidFill>
                </w14:textFill>
              </w:rPr>
              <w:t>3</w:t>
            </w:r>
            <w:r>
              <w:rPr>
                <w:rFonts w:hint="eastAsia"/>
                <w:color w:val="000000" w:themeColor="text1"/>
                <w:kern w:val="0"/>
                <w:sz w:val="22"/>
                <w14:textFill>
                  <w14:solidFill>
                    <w14:schemeClr w14:val="tx1"/>
                  </w14:solidFill>
                </w14:textFill>
              </w:rPr>
              <w:t>）</w:t>
            </w:r>
          </w:p>
        </w:tc>
        <w:tc>
          <w:tcPr>
            <w:tcW w:w="863" w:type="pct"/>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小时浓度（</w:t>
            </w:r>
            <w:r>
              <w:rPr>
                <w:color w:val="000000" w:themeColor="text1"/>
                <w:kern w:val="0"/>
                <w:sz w:val="22"/>
                <w14:textFill>
                  <w14:solidFill>
                    <w14:schemeClr w14:val="tx1"/>
                  </w14:solidFill>
                </w14:textFill>
              </w:rPr>
              <w:t>mg/Nm</w:t>
            </w:r>
            <w:r>
              <w:rPr>
                <w:color w:val="000000" w:themeColor="text1"/>
                <w:kern w:val="0"/>
                <w:sz w:val="22"/>
                <w:vertAlign w:val="superscript"/>
                <w14:textFill>
                  <w14:solidFill>
                    <w14:schemeClr w14:val="tx1"/>
                  </w14:solidFill>
                </w14:textFill>
              </w:rPr>
              <w:t>3</w:t>
            </w:r>
            <w:r>
              <w:rPr>
                <w:rFonts w:hint="eastAsia"/>
                <w:color w:val="000000" w:themeColor="text1"/>
                <w:kern w:val="0"/>
                <w:sz w:val="22"/>
                <w14:textFill>
                  <w14:solidFill>
                    <w14:schemeClr w14:val="tx1"/>
                  </w14:solidFill>
                </w14:textFill>
              </w:rPr>
              <w:t>）</w:t>
            </w:r>
          </w:p>
        </w:tc>
        <w:tc>
          <w:tcPr>
            <w:tcW w:w="827"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浓度</w:t>
            </w:r>
            <w:r>
              <w:rPr>
                <w:rFonts w:eastAsiaTheme="minorEastAsia"/>
                <w:color w:val="000000" w:themeColor="text1"/>
                <w:sz w:val="22"/>
                <w14:textFill>
                  <w14:solidFill>
                    <w14:schemeClr w14:val="tx1"/>
                  </w14:solidFill>
                </w14:textFill>
              </w:rPr>
              <w:t>（</w:t>
            </w:r>
            <w:r>
              <w:rPr>
                <w:rFonts w:eastAsiaTheme="minorEastAsia"/>
                <w:color w:val="000000" w:themeColor="text1"/>
                <w:sz w:val="22"/>
                <w:shd w:val="clear" w:color="auto" w:fill="FFFFFF"/>
                <w14:textFill>
                  <w14:solidFill>
                    <w14:schemeClr w14:val="tx1"/>
                  </w14:solidFill>
                </w14:textFill>
              </w:rPr>
              <w:t>mg/Nm</w:t>
            </w:r>
            <w:r>
              <w:rPr>
                <w:rFonts w:eastAsiaTheme="minorEastAsia"/>
                <w:color w:val="000000" w:themeColor="text1"/>
                <w:sz w:val="22"/>
                <w:shd w:val="clear" w:color="auto" w:fill="FFFFFF"/>
                <w:vertAlign w:val="superscript"/>
                <w14:textFill>
                  <w14:solidFill>
                    <w14:schemeClr w14:val="tx1"/>
                  </w14:solidFill>
                </w14:textFill>
              </w:rPr>
              <w:t>3</w:t>
            </w:r>
            <w:r>
              <w:rPr>
                <w:rFonts w:eastAsiaTheme="minorEastAsia"/>
                <w:color w:val="000000" w:themeColor="text1"/>
                <w:sz w:val="22"/>
                <w14:textFill>
                  <w14:solidFill>
                    <w14:schemeClr w14:val="tx1"/>
                  </w14:solidFill>
                </w14:textFill>
              </w:rPr>
              <w:t>）</w:t>
            </w:r>
          </w:p>
        </w:tc>
        <w:tc>
          <w:tcPr>
            <w:tcW w:w="362" w:type="pct"/>
            <w:vMerge w:val="continue"/>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c>
          <w:tcPr>
            <w:tcW w:w="765" w:type="pct"/>
            <w:vMerge w:val="continue"/>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62"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颗粒物</w:t>
            </w:r>
          </w:p>
        </w:tc>
        <w:tc>
          <w:tcPr>
            <w:tcW w:w="911"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0</w:t>
            </w:r>
            <w:r>
              <w:rPr>
                <w:color w:val="000000" w:themeColor="text1"/>
                <w:kern w:val="0"/>
                <w:sz w:val="22"/>
                <w14:textFill>
                  <w14:solidFill>
                    <w14:schemeClr w14:val="tx1"/>
                  </w14:solidFill>
                </w14:textFill>
              </w:rPr>
              <w:t>.464</w:t>
            </w:r>
          </w:p>
        </w:tc>
        <w:tc>
          <w:tcPr>
            <w:tcW w:w="911"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0.443</w:t>
            </w:r>
          </w:p>
        </w:tc>
        <w:tc>
          <w:tcPr>
            <w:tcW w:w="863" w:type="pct"/>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0</w:t>
            </w:r>
            <w:r>
              <w:rPr>
                <w:color w:val="000000" w:themeColor="text1"/>
                <w:kern w:val="0"/>
                <w:sz w:val="22"/>
                <w14:textFill>
                  <w14:solidFill>
                    <w14:schemeClr w14:val="tx1"/>
                  </w14:solidFill>
                </w14:textFill>
              </w:rPr>
              <w:t>.451- 0.577</w:t>
            </w:r>
          </w:p>
        </w:tc>
        <w:tc>
          <w:tcPr>
            <w:tcW w:w="827"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1</w:t>
            </w:r>
            <w:r>
              <w:rPr>
                <w:color w:val="000000" w:themeColor="text1"/>
                <w:kern w:val="0"/>
                <w:sz w:val="22"/>
                <w14:textFill>
                  <w14:solidFill>
                    <w14:schemeClr w14:val="tx1"/>
                  </w14:solidFill>
                </w14:textFill>
              </w:rPr>
              <w:t>.0</w:t>
            </w:r>
          </w:p>
        </w:tc>
        <w:tc>
          <w:tcPr>
            <w:tcW w:w="362"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c>
          <w:tcPr>
            <w:tcW w:w="765" w:type="pct"/>
            <w:vMerge w:val="restar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厂界东西北侧三个点位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62"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氨气</w:t>
            </w:r>
          </w:p>
        </w:tc>
        <w:tc>
          <w:tcPr>
            <w:tcW w:w="911"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0</w:t>
            </w:r>
            <w:r>
              <w:rPr>
                <w:color w:val="000000" w:themeColor="text1"/>
                <w:kern w:val="0"/>
                <w:sz w:val="22"/>
                <w14:textFill>
                  <w14:solidFill>
                    <w14:schemeClr w14:val="tx1"/>
                  </w14:solidFill>
                </w14:textFill>
              </w:rPr>
              <w:t>.27</w:t>
            </w:r>
          </w:p>
        </w:tc>
        <w:tc>
          <w:tcPr>
            <w:tcW w:w="911"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0</w:t>
            </w:r>
            <w:r>
              <w:rPr>
                <w:color w:val="000000" w:themeColor="text1"/>
                <w:kern w:val="0"/>
                <w:sz w:val="22"/>
                <w14:textFill>
                  <w14:solidFill>
                    <w14:schemeClr w14:val="tx1"/>
                  </w14:solidFill>
                </w14:textFill>
              </w:rPr>
              <w:t>.57</w:t>
            </w:r>
          </w:p>
        </w:tc>
        <w:tc>
          <w:tcPr>
            <w:tcW w:w="863" w:type="pct"/>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0</w:t>
            </w:r>
            <w:r>
              <w:rPr>
                <w:color w:val="000000" w:themeColor="text1"/>
                <w:kern w:val="0"/>
                <w:sz w:val="22"/>
                <w14:textFill>
                  <w14:solidFill>
                    <w14:schemeClr w14:val="tx1"/>
                  </w14:solidFill>
                </w14:textFill>
              </w:rPr>
              <w:t>.3-0.36</w:t>
            </w:r>
          </w:p>
        </w:tc>
        <w:tc>
          <w:tcPr>
            <w:tcW w:w="827"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1</w:t>
            </w:r>
            <w:r>
              <w:rPr>
                <w:color w:val="000000" w:themeColor="text1"/>
                <w:kern w:val="0"/>
                <w:sz w:val="22"/>
                <w14:textFill>
                  <w14:solidFill>
                    <w14:schemeClr w14:val="tx1"/>
                  </w14:solidFill>
                </w14:textFill>
              </w:rPr>
              <w:t>.5</w:t>
            </w:r>
          </w:p>
        </w:tc>
        <w:tc>
          <w:tcPr>
            <w:tcW w:w="362"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c>
          <w:tcPr>
            <w:tcW w:w="765" w:type="pct"/>
            <w:vMerge w:val="continue"/>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r>
    </w:tbl>
    <w:p>
      <w:pPr>
        <w:ind w:firstLine="52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sectPr>
          <w:pgSz w:w="16838" w:h="11906" w:orient="landscape"/>
          <w:pgMar w:top="1588" w:right="1701" w:bottom="1588" w:left="1588" w:header="1191" w:footer="1134" w:gutter="0"/>
          <w:cols w:space="425" w:num="1"/>
          <w:docGrid w:type="lines" w:linePitch="354" w:charSpace="0"/>
        </w:sectPr>
      </w:pP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现有工程废水包括生产废水和生活污水。</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）生产废水</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主要是锅炉补给水处理系统酸碱废水、脱硫系统废水、机组凝结水、运煤系统冲洗水、煤场喷淋水。</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锅炉补给水处理系统酸碱废水经中和、沉淀处理后回用于灰库调湿及地面清洁；运煤系统冲洗、防尘水经沉煤池沉淀过滤后用于煤棚洒水降尘和地面清洁；冷却塔循环系统排污水部分用于脱硫、部分用于输煤系统洒水降尘；脱硫系统废水经脱硫废水处理系统处理后回用，脱硝系统凝结水循环至尿素溶解罐最终喷入炉膛。</w:t>
      </w:r>
    </w:p>
    <w:p>
      <w:pPr>
        <w:ind w:firstLine="197" w:firstLineChars="76"/>
        <w:rPr>
          <w:color w:val="000000" w:themeColor="text1"/>
          <w14:textFill>
            <w14:solidFill>
              <w14:schemeClr w14:val="tx1"/>
            </w14:solidFill>
          </w14:textFill>
        </w:rPr>
      </w:pPr>
      <w:r>
        <w:rPr>
          <w:rFonts w:hint="eastAsia"/>
          <w:color w:val="000000" w:themeColor="text1"/>
          <w14:textFill>
            <w14:solidFill>
              <w14:schemeClr w14:val="tx1"/>
            </w14:solidFill>
          </w14:textFill>
        </w:rPr>
        <w:t>（2）生活污水</w:t>
      </w:r>
    </w:p>
    <w:p>
      <w:pPr>
        <w:ind w:firstLine="520"/>
        <w:rPr>
          <w:bCs/>
          <w:color w:val="000000" w:themeColor="text1"/>
          <w14:textFill>
            <w14:solidFill>
              <w14:schemeClr w14:val="tx1"/>
            </w14:solidFill>
          </w14:textFill>
        </w:rPr>
      </w:pPr>
      <w:r>
        <w:rPr>
          <w:rFonts w:hint="eastAsia"/>
          <w:color w:val="000000" w:themeColor="text1"/>
          <w14:textFill>
            <w14:solidFill>
              <w14:schemeClr w14:val="tx1"/>
            </w14:solidFill>
          </w14:textFill>
        </w:rPr>
        <w:t>办公区生活污水经</w:t>
      </w:r>
      <w:r>
        <w:rPr>
          <w:bCs/>
          <w:color w:val="000000" w:themeColor="text1"/>
          <w14:textFill>
            <w14:solidFill>
              <w14:schemeClr w14:val="tx1"/>
            </w14:solidFill>
          </w14:textFill>
        </w:rPr>
        <w:t>化粪池（</w:t>
      </w:r>
      <w:r>
        <w:rPr>
          <w:rFonts w:hint="eastAsia"/>
          <w:bCs/>
          <w:color w:val="000000" w:themeColor="text1"/>
          <w14:textFill>
            <w14:solidFill>
              <w14:schemeClr w14:val="tx1"/>
            </w14:solidFill>
          </w14:textFill>
        </w:rPr>
        <w:t>处理能力10m³/d</w:t>
      </w:r>
      <w:r>
        <w:rPr>
          <w:bCs/>
          <w:color w:val="000000" w:themeColor="text1"/>
          <w14:textFill>
            <w14:solidFill>
              <w14:schemeClr w14:val="tx1"/>
            </w14:solidFill>
          </w14:textFill>
        </w:rPr>
        <w:t>）处理后经市政污水管网排入龙桥园区污水处理厂，生产区生活污水经化粪池及</w:t>
      </w:r>
      <w:r>
        <w:rPr>
          <w:rFonts w:hint="eastAsia"/>
          <w:bCs/>
          <w:color w:val="000000" w:themeColor="text1"/>
          <w14:textFill>
            <w14:solidFill>
              <w14:schemeClr w14:val="tx1"/>
            </w14:solidFill>
          </w14:textFill>
        </w:rPr>
        <w:t>2</w:t>
      </w:r>
      <w:r>
        <w:rPr>
          <w:bCs/>
          <w:color w:val="000000" w:themeColor="text1"/>
          <w14:textFill>
            <w14:solidFill>
              <w14:schemeClr w14:val="tx1"/>
            </w14:solidFill>
          </w14:textFill>
        </w:rPr>
        <w:t>套一体化污水处理设施处理后绿化</w:t>
      </w:r>
      <w:r>
        <w:rPr>
          <w:rFonts w:hint="eastAsia"/>
          <w:bCs/>
          <w:color w:val="000000" w:themeColor="text1"/>
          <w14:textFill>
            <w14:solidFill>
              <w14:schemeClr w14:val="tx1"/>
            </w14:solidFill>
          </w14:textFill>
        </w:rPr>
        <w:t>浇灌</w:t>
      </w:r>
      <w:r>
        <w:rPr>
          <w:bCs/>
          <w:color w:val="000000" w:themeColor="text1"/>
          <w14:textFill>
            <w14:solidFill>
              <w14:schemeClr w14:val="tx1"/>
            </w14:solidFill>
          </w14:textFill>
        </w:rPr>
        <w:t>回用</w:t>
      </w:r>
      <w:r>
        <w:rPr>
          <w:rFonts w:hint="eastAsia"/>
          <w:bCs/>
          <w:color w:val="000000" w:themeColor="text1"/>
          <w14:textFill>
            <w14:solidFill>
              <w14:schemeClr w14:val="tx1"/>
            </w14:solidFill>
          </w14:textFill>
        </w:rPr>
        <w:t>，燃气锅炉区生活污水</w:t>
      </w:r>
      <w:r>
        <w:rPr>
          <w:bCs/>
          <w:color w:val="000000" w:themeColor="text1"/>
          <w14:textFill>
            <w14:solidFill>
              <w14:schemeClr w14:val="tx1"/>
            </w14:solidFill>
          </w14:textFill>
        </w:rPr>
        <w:t>经</w:t>
      </w:r>
      <w:r>
        <w:rPr>
          <w:rFonts w:hint="eastAsia"/>
          <w:bCs/>
          <w:color w:val="000000" w:themeColor="text1"/>
          <w14:textFill>
            <w14:solidFill>
              <w14:schemeClr w14:val="tx1"/>
            </w14:solidFill>
          </w14:textFill>
        </w:rPr>
        <w:t>1</w:t>
      </w:r>
      <w:r>
        <w:rPr>
          <w:bCs/>
          <w:color w:val="000000" w:themeColor="text1"/>
          <w14:textFill>
            <w14:solidFill>
              <w14:schemeClr w14:val="tx1"/>
            </w14:solidFill>
          </w14:textFill>
        </w:rPr>
        <w:t>套一体化污水处理设施处理</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一体化污水处理设施</w:t>
      </w:r>
      <w:r>
        <w:rPr>
          <w:rFonts w:hint="eastAsia"/>
          <w:bCs/>
          <w:color w:val="000000" w:themeColor="text1"/>
          <w14:textFill>
            <w14:solidFill>
              <w14:schemeClr w14:val="tx1"/>
            </w14:solidFill>
          </w14:textFill>
        </w:rPr>
        <w:t>处理工艺为厌氧+生物接触氧化+沉淀，处理后</w:t>
      </w:r>
      <w:r>
        <w:rPr>
          <w:bCs/>
          <w:color w:val="000000" w:themeColor="text1"/>
          <w14:textFill>
            <w14:solidFill>
              <w14:schemeClr w14:val="tx1"/>
            </w14:solidFill>
          </w14:textFill>
        </w:rPr>
        <w:t>绿化</w:t>
      </w:r>
      <w:r>
        <w:rPr>
          <w:rFonts w:hint="eastAsia"/>
          <w:bCs/>
          <w:color w:val="000000" w:themeColor="text1"/>
          <w14:textFill>
            <w14:solidFill>
              <w14:schemeClr w14:val="tx1"/>
            </w14:solidFill>
          </w14:textFill>
        </w:rPr>
        <w:t>浇灌</w:t>
      </w:r>
      <w:r>
        <w:rPr>
          <w:bCs/>
          <w:color w:val="000000" w:themeColor="text1"/>
          <w14:textFill>
            <w14:solidFill>
              <w14:schemeClr w14:val="tx1"/>
            </w14:solidFill>
          </w14:textFill>
        </w:rPr>
        <w:t>回用</w:t>
      </w:r>
      <w:r>
        <w:rPr>
          <w:rFonts w:hint="eastAsia"/>
          <w:bCs/>
          <w:color w:val="000000" w:themeColor="text1"/>
          <w14:textFill>
            <w14:solidFill>
              <w14:schemeClr w14:val="tx1"/>
            </w14:solidFill>
          </w14:textFill>
        </w:rPr>
        <w:t>。</w:t>
      </w:r>
    </w:p>
    <w:p>
      <w:pPr>
        <w:ind w:firstLine="520"/>
        <w:rPr>
          <w:bCs/>
          <w:color w:val="000000" w:themeColor="text1"/>
          <w14:textFill>
            <w14:solidFill>
              <w14:schemeClr w14:val="tx1"/>
            </w14:solidFill>
          </w14:textFill>
        </w:rPr>
      </w:pPr>
      <w:r>
        <w:rPr>
          <w:rFonts w:hint="eastAsia"/>
          <w:color w:val="000000" w:themeColor="text1"/>
          <w14:textFill>
            <w14:solidFill>
              <w14:schemeClr w14:val="tx1"/>
            </w14:solidFill>
          </w14:textFill>
        </w:rPr>
        <w:t>生产废水种类、处置方式和去向见表2</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-8。</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废水种类、处置方式和去向一览表</w:t>
      </w:r>
    </w:p>
    <w:tbl>
      <w:tblPr>
        <w:tblStyle w:val="43"/>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543"/>
        <w:gridCol w:w="3209"/>
        <w:gridCol w:w="2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废水种类</w:t>
            </w:r>
          </w:p>
        </w:tc>
        <w:tc>
          <w:tcPr>
            <w:tcW w:w="1543"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主要污染因子</w:t>
            </w:r>
          </w:p>
        </w:tc>
        <w:tc>
          <w:tcPr>
            <w:tcW w:w="3209"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处理方式</w:t>
            </w:r>
          </w:p>
        </w:tc>
        <w:tc>
          <w:tcPr>
            <w:tcW w:w="2442"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锅炉供水系统酸碱废水</w:t>
            </w:r>
          </w:p>
        </w:tc>
        <w:tc>
          <w:tcPr>
            <w:tcW w:w="1543"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p</w:t>
            </w:r>
            <w:r>
              <w:rPr>
                <w:color w:val="000000" w:themeColor="text1"/>
                <w:sz w:val="22"/>
                <w14:textFill>
                  <w14:solidFill>
                    <w14:schemeClr w14:val="tx1"/>
                  </w14:solidFill>
                </w14:textFill>
              </w:rPr>
              <w:t>H</w:t>
            </w:r>
            <w:r>
              <w:rPr>
                <w:rFonts w:hint="eastAsia"/>
                <w:color w:val="000000" w:themeColor="text1"/>
                <w:sz w:val="22"/>
                <w14:textFill>
                  <w14:solidFill>
                    <w14:schemeClr w14:val="tx1"/>
                  </w14:solidFill>
                </w14:textFill>
              </w:rPr>
              <w:t>、S</w:t>
            </w:r>
            <w:r>
              <w:rPr>
                <w:color w:val="000000" w:themeColor="text1"/>
                <w:sz w:val="22"/>
                <w14:textFill>
                  <w14:solidFill>
                    <w14:schemeClr w14:val="tx1"/>
                  </w14:solidFill>
                </w14:textFill>
              </w:rPr>
              <w:t>S</w:t>
            </w:r>
            <w:r>
              <w:rPr>
                <w:rFonts w:hint="eastAsia"/>
                <w:color w:val="000000" w:themeColor="text1"/>
                <w:sz w:val="22"/>
                <w14:textFill>
                  <w14:solidFill>
                    <w14:schemeClr w14:val="tx1"/>
                  </w14:solidFill>
                </w14:textFill>
              </w:rPr>
              <w:t>等</w:t>
            </w:r>
          </w:p>
        </w:tc>
        <w:tc>
          <w:tcPr>
            <w:tcW w:w="3209" w:type="dxa"/>
            <w:vMerge w:val="restart"/>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中和、沉淀</w:t>
            </w:r>
          </w:p>
        </w:tc>
        <w:tc>
          <w:tcPr>
            <w:tcW w:w="2442" w:type="dxa"/>
            <w:vMerge w:val="restart"/>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用于灰库调湿及地面清洁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凝结水、锅炉酸洗废水</w:t>
            </w:r>
          </w:p>
        </w:tc>
        <w:tc>
          <w:tcPr>
            <w:tcW w:w="1543"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p</w:t>
            </w:r>
            <w:r>
              <w:rPr>
                <w:color w:val="000000" w:themeColor="text1"/>
                <w:sz w:val="22"/>
                <w14:textFill>
                  <w14:solidFill>
                    <w14:schemeClr w14:val="tx1"/>
                  </w14:solidFill>
                </w14:textFill>
              </w:rPr>
              <w:t>H</w:t>
            </w:r>
            <w:r>
              <w:rPr>
                <w:rFonts w:hint="eastAsia"/>
                <w:color w:val="000000" w:themeColor="text1"/>
                <w:sz w:val="22"/>
                <w14:textFill>
                  <w14:solidFill>
                    <w14:schemeClr w14:val="tx1"/>
                  </w14:solidFill>
                </w14:textFill>
              </w:rPr>
              <w:t>、S</w:t>
            </w:r>
            <w:r>
              <w:rPr>
                <w:color w:val="000000" w:themeColor="text1"/>
                <w:sz w:val="22"/>
                <w14:textFill>
                  <w14:solidFill>
                    <w14:schemeClr w14:val="tx1"/>
                  </w14:solidFill>
                </w14:textFill>
              </w:rPr>
              <w:t>S</w:t>
            </w:r>
            <w:r>
              <w:rPr>
                <w:rFonts w:hint="eastAsia"/>
                <w:color w:val="000000" w:themeColor="text1"/>
                <w:sz w:val="22"/>
                <w14:textFill>
                  <w14:solidFill>
                    <w14:schemeClr w14:val="tx1"/>
                  </w14:solidFill>
                </w14:textFill>
              </w:rPr>
              <w:t>等</w:t>
            </w:r>
          </w:p>
        </w:tc>
        <w:tc>
          <w:tcPr>
            <w:tcW w:w="3209" w:type="dxa"/>
            <w:vMerge w:val="continue"/>
            <w:vAlign w:val="center"/>
          </w:tcPr>
          <w:p>
            <w:pPr>
              <w:spacing w:line="240" w:lineRule="auto"/>
              <w:ind w:firstLine="0" w:firstLineChars="0"/>
              <w:jc w:val="center"/>
              <w:rPr>
                <w:color w:val="000000" w:themeColor="text1"/>
                <w:sz w:val="22"/>
                <w14:textFill>
                  <w14:solidFill>
                    <w14:schemeClr w14:val="tx1"/>
                  </w14:solidFill>
                </w14:textFill>
              </w:rPr>
            </w:pPr>
          </w:p>
        </w:tc>
        <w:tc>
          <w:tcPr>
            <w:tcW w:w="2442" w:type="dxa"/>
            <w:vMerge w:val="continue"/>
            <w:vAlign w:val="center"/>
          </w:tcPr>
          <w:p>
            <w:pPr>
              <w:spacing w:line="240" w:lineRule="auto"/>
              <w:ind w:firstLine="0" w:firstLineChars="0"/>
              <w:jc w:val="center"/>
              <w:rPr>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运煤系统冲洗、防尘水</w:t>
            </w:r>
          </w:p>
        </w:tc>
        <w:tc>
          <w:tcPr>
            <w:tcW w:w="1543"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S</w:t>
            </w:r>
            <w:r>
              <w:rPr>
                <w:color w:val="000000" w:themeColor="text1"/>
                <w:sz w:val="22"/>
                <w14:textFill>
                  <w14:solidFill>
                    <w14:schemeClr w14:val="tx1"/>
                  </w14:solidFill>
                </w14:textFill>
              </w:rPr>
              <w:t>S</w:t>
            </w:r>
          </w:p>
        </w:tc>
        <w:tc>
          <w:tcPr>
            <w:tcW w:w="3209"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沉煤池沉淀过滤</w:t>
            </w:r>
          </w:p>
        </w:tc>
        <w:tc>
          <w:tcPr>
            <w:tcW w:w="2442"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用于煤棚洒水降尘和地面清洁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冷却塔循环系统排污水</w:t>
            </w:r>
          </w:p>
        </w:tc>
        <w:tc>
          <w:tcPr>
            <w:tcW w:w="1543"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PH、COD、总磷</w:t>
            </w:r>
          </w:p>
        </w:tc>
        <w:tc>
          <w:tcPr>
            <w:tcW w:w="3209"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w:t>
            </w:r>
          </w:p>
        </w:tc>
        <w:tc>
          <w:tcPr>
            <w:tcW w:w="2442"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部分用于脱硫、部分用于输煤系统洒水降尘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脱硫废水</w:t>
            </w:r>
          </w:p>
        </w:tc>
        <w:tc>
          <w:tcPr>
            <w:tcW w:w="1543"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p</w:t>
            </w:r>
            <w:r>
              <w:rPr>
                <w:color w:val="000000" w:themeColor="text1"/>
                <w:sz w:val="22"/>
                <w14:textFill>
                  <w14:solidFill>
                    <w14:schemeClr w14:val="tx1"/>
                  </w14:solidFill>
                </w14:textFill>
              </w:rPr>
              <w:t>H</w:t>
            </w:r>
            <w:r>
              <w:rPr>
                <w:rFonts w:hint="eastAsia"/>
                <w:color w:val="000000" w:themeColor="text1"/>
                <w:sz w:val="22"/>
                <w14:textFill>
                  <w14:solidFill>
                    <w14:schemeClr w14:val="tx1"/>
                  </w14:solidFill>
                </w14:textFill>
              </w:rPr>
              <w:t>、S</w:t>
            </w:r>
            <w:r>
              <w:rPr>
                <w:color w:val="000000" w:themeColor="text1"/>
                <w:sz w:val="22"/>
                <w14:textFill>
                  <w14:solidFill>
                    <w14:schemeClr w14:val="tx1"/>
                  </w14:solidFill>
                </w14:textFill>
              </w:rPr>
              <w:t>S</w:t>
            </w:r>
            <w:r>
              <w:rPr>
                <w:rFonts w:hint="eastAsia"/>
                <w:color w:val="000000" w:themeColor="text1"/>
                <w:sz w:val="22"/>
                <w14:textFill>
                  <w14:solidFill>
                    <w14:schemeClr w14:val="tx1"/>
                  </w14:solidFill>
                </w14:textFill>
              </w:rPr>
              <w:t>、氟化物、重金属等</w:t>
            </w:r>
          </w:p>
        </w:tc>
        <w:tc>
          <w:tcPr>
            <w:tcW w:w="3209"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脱硫废水处理系统（中和、絮凝、沉淀，处理能力1</w:t>
            </w:r>
            <w:r>
              <w:rPr>
                <w:color w:val="000000" w:themeColor="text1"/>
                <w:sz w:val="22"/>
                <w14:textFill>
                  <w14:solidFill>
                    <w14:schemeClr w14:val="tx1"/>
                  </w14:solidFill>
                </w14:textFill>
              </w:rPr>
              <w:t>0</w:t>
            </w:r>
            <w:r>
              <w:rPr>
                <w:rFonts w:hint="eastAsia"/>
                <w:color w:val="000000" w:themeColor="text1"/>
                <w:sz w:val="22"/>
                <w14:textFill>
                  <w14:solidFill>
                    <w14:schemeClr w14:val="tx1"/>
                  </w14:solidFill>
                </w14:textFill>
              </w:rPr>
              <w:t>m³</w:t>
            </w:r>
            <w:r>
              <w:rPr>
                <w:color w:val="000000" w:themeColor="text1"/>
                <w:sz w:val="22"/>
                <w14:textFill>
                  <w14:solidFill>
                    <w14:schemeClr w14:val="tx1"/>
                  </w14:solidFill>
                </w14:textFill>
              </w:rPr>
              <w:t>/h</w:t>
            </w:r>
            <w:r>
              <w:rPr>
                <w:rFonts w:hint="eastAsia"/>
                <w:color w:val="000000" w:themeColor="text1"/>
                <w:sz w:val="22"/>
                <w14:textFill>
                  <w14:solidFill>
                    <w14:schemeClr w14:val="tx1"/>
                  </w14:solidFill>
                </w14:textFill>
              </w:rPr>
              <w:t>）</w:t>
            </w:r>
          </w:p>
        </w:tc>
        <w:tc>
          <w:tcPr>
            <w:tcW w:w="2442"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系统内循环使用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办公生活区生活污水</w:t>
            </w:r>
          </w:p>
        </w:tc>
        <w:tc>
          <w:tcPr>
            <w:tcW w:w="1543" w:type="dxa"/>
            <w:vMerge w:val="restart"/>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p</w:t>
            </w:r>
            <w:r>
              <w:rPr>
                <w:color w:val="000000" w:themeColor="text1"/>
                <w:sz w:val="22"/>
                <w14:textFill>
                  <w14:solidFill>
                    <w14:schemeClr w14:val="tx1"/>
                  </w14:solidFill>
                </w14:textFill>
              </w:rPr>
              <w:t>H</w:t>
            </w:r>
            <w:r>
              <w:rPr>
                <w:rFonts w:hint="eastAsia"/>
                <w:color w:val="000000" w:themeColor="text1"/>
                <w:sz w:val="22"/>
                <w14:textFill>
                  <w14:solidFill>
                    <w14:schemeClr w14:val="tx1"/>
                  </w14:solidFill>
                </w14:textFill>
              </w:rPr>
              <w:t>、C</w:t>
            </w:r>
            <w:r>
              <w:rPr>
                <w:color w:val="000000" w:themeColor="text1"/>
                <w:sz w:val="22"/>
                <w14:textFill>
                  <w14:solidFill>
                    <w14:schemeClr w14:val="tx1"/>
                  </w14:solidFill>
                </w14:textFill>
              </w:rPr>
              <w:t>OD</w:t>
            </w:r>
            <w:r>
              <w:rPr>
                <w:rFonts w:hint="eastAsia"/>
                <w:color w:val="000000" w:themeColor="text1"/>
                <w:sz w:val="22"/>
                <w14:textFill>
                  <w14:solidFill>
                    <w14:schemeClr w14:val="tx1"/>
                  </w14:solidFill>
                </w14:textFill>
              </w:rPr>
              <w:t>、S</w:t>
            </w:r>
            <w:r>
              <w:rPr>
                <w:color w:val="000000" w:themeColor="text1"/>
                <w:sz w:val="22"/>
                <w14:textFill>
                  <w14:solidFill>
                    <w14:schemeClr w14:val="tx1"/>
                  </w14:solidFill>
                </w14:textFill>
              </w:rPr>
              <w:t>S</w:t>
            </w:r>
            <w:r>
              <w:rPr>
                <w:rFonts w:hint="eastAsia"/>
                <w:color w:val="000000" w:themeColor="text1"/>
                <w:sz w:val="22"/>
                <w14:textFill>
                  <w14:solidFill>
                    <w14:schemeClr w14:val="tx1"/>
                  </w14:solidFill>
                </w14:textFill>
              </w:rPr>
              <w:t>、氨氮、动植物油等</w:t>
            </w:r>
          </w:p>
        </w:tc>
        <w:tc>
          <w:tcPr>
            <w:tcW w:w="3209"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1</w:t>
            </w:r>
            <w:r>
              <w:rPr>
                <w:bCs/>
                <w:color w:val="000000" w:themeColor="text1"/>
                <w:sz w:val="22"/>
                <w14:textFill>
                  <w14:solidFill>
                    <w14:schemeClr w14:val="tx1"/>
                  </w14:solidFill>
                </w14:textFill>
              </w:rPr>
              <w:t>座化粪池（</w:t>
            </w:r>
            <w:r>
              <w:rPr>
                <w:rFonts w:hint="eastAsia"/>
                <w:bCs/>
                <w:color w:val="000000" w:themeColor="text1"/>
                <w:sz w:val="22"/>
                <w14:textFill>
                  <w14:solidFill>
                    <w14:schemeClr w14:val="tx1"/>
                  </w14:solidFill>
                </w14:textFill>
              </w:rPr>
              <w:t>处理能力10m³/d</w:t>
            </w:r>
            <w:r>
              <w:rPr>
                <w:bCs/>
                <w:color w:val="000000" w:themeColor="text1"/>
                <w:sz w:val="22"/>
                <w14:textFill>
                  <w14:solidFill>
                    <w14:schemeClr w14:val="tx1"/>
                  </w14:solidFill>
                </w14:textFill>
              </w:rPr>
              <w:t>）</w:t>
            </w:r>
          </w:p>
        </w:tc>
        <w:tc>
          <w:tcPr>
            <w:tcW w:w="2442" w:type="dxa"/>
            <w:vAlign w:val="center"/>
          </w:tcPr>
          <w:p>
            <w:pPr>
              <w:spacing w:line="240" w:lineRule="auto"/>
              <w:ind w:firstLine="0" w:firstLineChars="0"/>
              <w:jc w:val="center"/>
              <w:rPr>
                <w:color w:val="000000" w:themeColor="text1"/>
                <w:sz w:val="22"/>
                <w14:textFill>
                  <w14:solidFill>
                    <w14:schemeClr w14:val="tx1"/>
                  </w14:solidFill>
                </w14:textFill>
              </w:rPr>
            </w:pPr>
            <w:r>
              <w:rPr>
                <w:bCs/>
                <w:color w:val="000000" w:themeColor="text1"/>
                <w:sz w:val="22"/>
                <w14:textFill>
                  <w14:solidFill>
                    <w14:schemeClr w14:val="tx1"/>
                  </w14:solidFill>
                </w14:textFill>
              </w:rPr>
              <w:t>经市政污水管网排入龙桥园区污水处理厂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生产区</w:t>
            </w:r>
            <w:r>
              <w:rPr>
                <w:rFonts w:hint="eastAsia"/>
                <w:color w:val="000000" w:themeColor="text1"/>
                <w:sz w:val="22"/>
                <w14:textFill>
                  <w14:solidFill>
                    <w14:schemeClr w14:val="tx1"/>
                  </w14:solidFill>
                </w14:textFill>
              </w:rPr>
              <w:t>生活污水</w:t>
            </w:r>
          </w:p>
        </w:tc>
        <w:tc>
          <w:tcPr>
            <w:tcW w:w="1543" w:type="dxa"/>
            <w:vMerge w:val="continue"/>
            <w:vAlign w:val="center"/>
          </w:tcPr>
          <w:p>
            <w:pPr>
              <w:spacing w:line="240" w:lineRule="auto"/>
              <w:ind w:firstLine="0" w:firstLineChars="0"/>
              <w:jc w:val="center"/>
              <w:rPr>
                <w:color w:val="000000" w:themeColor="text1"/>
                <w:sz w:val="22"/>
                <w14:textFill>
                  <w14:solidFill>
                    <w14:schemeClr w14:val="tx1"/>
                  </w14:solidFill>
                </w14:textFill>
              </w:rPr>
            </w:pPr>
          </w:p>
        </w:tc>
        <w:tc>
          <w:tcPr>
            <w:tcW w:w="3209" w:type="dxa"/>
            <w:vAlign w:val="center"/>
          </w:tcPr>
          <w:p>
            <w:pPr>
              <w:spacing w:line="240" w:lineRule="auto"/>
              <w:ind w:firstLine="0" w:firstLineChars="0"/>
              <w:jc w:val="center"/>
              <w:rPr>
                <w:color w:val="000000" w:themeColor="text1"/>
                <w:sz w:val="22"/>
                <w14:textFill>
                  <w14:solidFill>
                    <w14:schemeClr w14:val="tx1"/>
                  </w14:solidFill>
                </w14:textFill>
              </w:rPr>
            </w:pPr>
            <w:r>
              <w:rPr>
                <w:bCs/>
                <w:color w:val="000000" w:themeColor="text1"/>
                <w:sz w:val="22"/>
                <w14:textFill>
                  <w14:solidFill>
                    <w14:schemeClr w14:val="tx1"/>
                  </w14:solidFill>
                </w14:textFill>
              </w:rPr>
              <w:t>经化粪池及</w:t>
            </w:r>
            <w:r>
              <w:rPr>
                <w:rFonts w:hint="eastAsia"/>
                <w:bCs/>
                <w:color w:val="000000" w:themeColor="text1"/>
                <w:sz w:val="22"/>
                <w14:textFill>
                  <w14:solidFill>
                    <w14:schemeClr w14:val="tx1"/>
                  </w14:solidFill>
                </w14:textFill>
              </w:rPr>
              <w:t>2</w:t>
            </w:r>
            <w:r>
              <w:rPr>
                <w:bCs/>
                <w:color w:val="000000" w:themeColor="text1"/>
                <w:sz w:val="22"/>
                <w14:textFill>
                  <w14:solidFill>
                    <w14:schemeClr w14:val="tx1"/>
                  </w14:solidFill>
                </w14:textFill>
              </w:rPr>
              <w:t>套一体化污水处理设施处理</w:t>
            </w:r>
            <w:r>
              <w:rPr>
                <w:rFonts w:hint="eastAsia"/>
                <w:bCs/>
                <w:color w:val="000000" w:themeColor="text1"/>
                <w:sz w:val="22"/>
                <w14:textFill>
                  <w14:solidFill>
                    <w14:schemeClr w14:val="tx1"/>
                  </w14:solidFill>
                </w14:textFill>
              </w:rPr>
              <w:t>，处理能力</w:t>
            </w:r>
            <w:r>
              <w:rPr>
                <w:rFonts w:hint="eastAsia"/>
                <w:color w:val="000000" w:themeColor="text1"/>
                <w:sz w:val="22"/>
                <w14:textFill>
                  <w14:solidFill>
                    <w14:schemeClr w14:val="tx1"/>
                  </w14:solidFill>
                </w14:textFill>
              </w:rPr>
              <w:t>1</w:t>
            </w:r>
            <w:r>
              <w:rPr>
                <w:color w:val="000000" w:themeColor="text1"/>
                <w:sz w:val="22"/>
                <w14:textFill>
                  <w14:solidFill>
                    <w14:schemeClr w14:val="tx1"/>
                  </w14:solidFill>
                </w14:textFill>
              </w:rPr>
              <w:t>0</w:t>
            </w:r>
            <w:r>
              <w:rPr>
                <w:rFonts w:hint="eastAsia"/>
                <w:color w:val="000000" w:themeColor="text1"/>
                <w:sz w:val="22"/>
                <w14:textFill>
                  <w14:solidFill>
                    <w14:schemeClr w14:val="tx1"/>
                  </w14:solidFill>
                </w14:textFill>
              </w:rPr>
              <w:t>m³</w:t>
            </w:r>
            <w:r>
              <w:rPr>
                <w:color w:val="000000" w:themeColor="text1"/>
                <w:sz w:val="22"/>
                <w14:textFill>
                  <w14:solidFill>
                    <w14:schemeClr w14:val="tx1"/>
                  </w14:solidFill>
                </w14:textFill>
              </w:rPr>
              <w:t>/d</w:t>
            </w:r>
          </w:p>
        </w:tc>
        <w:tc>
          <w:tcPr>
            <w:tcW w:w="2442"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厂内</w:t>
            </w:r>
            <w:r>
              <w:rPr>
                <w:bCs/>
                <w:color w:val="000000" w:themeColor="text1"/>
                <w:sz w:val="22"/>
                <w14:textFill>
                  <w14:solidFill>
                    <w14:schemeClr w14:val="tx1"/>
                  </w14:solidFill>
                </w14:textFill>
              </w:rPr>
              <w:t>绿化</w:t>
            </w:r>
            <w:r>
              <w:rPr>
                <w:rFonts w:hint="eastAsia"/>
                <w:bCs/>
                <w:color w:val="000000" w:themeColor="text1"/>
                <w:sz w:val="22"/>
                <w14:textFill>
                  <w14:solidFill>
                    <w14:schemeClr w14:val="tx1"/>
                  </w14:solidFill>
                </w14:textFill>
              </w:rPr>
              <w:t>浇灌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燃气锅炉区</w:t>
            </w:r>
            <w:r>
              <w:rPr>
                <w:rFonts w:hint="eastAsia"/>
                <w:color w:val="000000" w:themeColor="text1"/>
                <w:sz w:val="22"/>
                <w14:textFill>
                  <w14:solidFill>
                    <w14:schemeClr w14:val="tx1"/>
                  </w14:solidFill>
                </w14:textFill>
              </w:rPr>
              <w:t>生活污水</w:t>
            </w:r>
          </w:p>
        </w:tc>
        <w:tc>
          <w:tcPr>
            <w:tcW w:w="1543" w:type="dxa"/>
            <w:vMerge w:val="continue"/>
            <w:vAlign w:val="center"/>
          </w:tcPr>
          <w:p>
            <w:pPr>
              <w:spacing w:line="240" w:lineRule="auto"/>
              <w:ind w:firstLine="0" w:firstLineChars="0"/>
              <w:jc w:val="center"/>
              <w:rPr>
                <w:color w:val="000000" w:themeColor="text1"/>
                <w:sz w:val="22"/>
                <w14:textFill>
                  <w14:solidFill>
                    <w14:schemeClr w14:val="tx1"/>
                  </w14:solidFill>
                </w14:textFill>
              </w:rPr>
            </w:pPr>
          </w:p>
        </w:tc>
        <w:tc>
          <w:tcPr>
            <w:tcW w:w="3209" w:type="dxa"/>
            <w:vAlign w:val="center"/>
          </w:tcPr>
          <w:p>
            <w:pPr>
              <w:spacing w:line="240" w:lineRule="auto"/>
              <w:ind w:firstLine="0" w:firstLineChars="0"/>
              <w:jc w:val="center"/>
              <w:rPr>
                <w:bCs/>
                <w:color w:val="000000" w:themeColor="text1"/>
                <w:sz w:val="22"/>
                <w14:textFill>
                  <w14:solidFill>
                    <w14:schemeClr w14:val="tx1"/>
                  </w14:solidFill>
                </w14:textFill>
              </w:rPr>
            </w:pPr>
            <w:bookmarkStart w:id="70" w:name="_Hlk99712092"/>
            <w:r>
              <w:rPr>
                <w:bCs/>
                <w:color w:val="000000" w:themeColor="text1"/>
                <w:sz w:val="22"/>
                <w14:textFill>
                  <w14:solidFill>
                    <w14:schemeClr w14:val="tx1"/>
                  </w14:solidFill>
                </w14:textFill>
              </w:rPr>
              <w:t>经</w:t>
            </w:r>
            <w:r>
              <w:rPr>
                <w:rFonts w:hint="eastAsia"/>
                <w:bCs/>
                <w:color w:val="000000" w:themeColor="text1"/>
                <w:sz w:val="22"/>
                <w14:textFill>
                  <w14:solidFill>
                    <w14:schemeClr w14:val="tx1"/>
                  </w14:solidFill>
                </w14:textFill>
              </w:rPr>
              <w:t>1套</w:t>
            </w:r>
            <w:r>
              <w:rPr>
                <w:bCs/>
                <w:color w:val="000000" w:themeColor="text1"/>
                <w:sz w:val="22"/>
                <w14:textFill>
                  <w14:solidFill>
                    <w14:schemeClr w14:val="tx1"/>
                  </w14:solidFill>
                </w14:textFill>
              </w:rPr>
              <w:t>一体化污水处理设施处理</w:t>
            </w:r>
            <w:r>
              <w:rPr>
                <w:rFonts w:hint="eastAsia"/>
                <w:bCs/>
                <w:color w:val="000000" w:themeColor="text1"/>
                <w:sz w:val="22"/>
                <w14:textFill>
                  <w14:solidFill>
                    <w14:schemeClr w14:val="tx1"/>
                  </w14:solidFill>
                </w14:textFill>
              </w:rPr>
              <w:t>，处理能力</w:t>
            </w:r>
            <w:r>
              <w:rPr>
                <w:color w:val="000000" w:themeColor="text1"/>
                <w:sz w:val="22"/>
                <w14:textFill>
                  <w14:solidFill>
                    <w14:schemeClr w14:val="tx1"/>
                  </w14:solidFill>
                </w14:textFill>
              </w:rPr>
              <w:t>5</w:t>
            </w:r>
            <w:r>
              <w:rPr>
                <w:rFonts w:hint="eastAsia"/>
                <w:color w:val="000000" w:themeColor="text1"/>
                <w:sz w:val="22"/>
                <w14:textFill>
                  <w14:solidFill>
                    <w14:schemeClr w14:val="tx1"/>
                  </w14:solidFill>
                </w14:textFill>
              </w:rPr>
              <w:t>m³</w:t>
            </w:r>
            <w:r>
              <w:rPr>
                <w:color w:val="000000" w:themeColor="text1"/>
                <w:sz w:val="22"/>
                <w14:textFill>
                  <w14:solidFill>
                    <w14:schemeClr w14:val="tx1"/>
                  </w14:solidFill>
                </w14:textFill>
              </w:rPr>
              <w:t>/d</w:t>
            </w:r>
            <w:bookmarkEnd w:id="70"/>
          </w:p>
        </w:tc>
        <w:tc>
          <w:tcPr>
            <w:tcW w:w="2442" w:type="dxa"/>
            <w:vAlign w:val="center"/>
          </w:tcPr>
          <w:p>
            <w:pPr>
              <w:spacing w:line="240" w:lineRule="auto"/>
              <w:ind w:firstLine="0" w:firstLineChars="0"/>
              <w:jc w:val="center"/>
              <w:rPr>
                <w:bCs/>
                <w:color w:val="000000" w:themeColor="text1"/>
                <w:sz w:val="22"/>
                <w14:textFill>
                  <w14:solidFill>
                    <w14:schemeClr w14:val="tx1"/>
                  </w14:solidFill>
                </w14:textFill>
              </w:rPr>
            </w:pPr>
            <w:r>
              <w:rPr>
                <w:rFonts w:hint="eastAsia"/>
                <w:bCs/>
                <w:color w:val="000000" w:themeColor="text1"/>
                <w:sz w:val="22"/>
                <w14:textFill>
                  <w14:solidFill>
                    <w14:schemeClr w14:val="tx1"/>
                  </w14:solidFill>
                </w14:textFill>
              </w:rPr>
              <w:t>厂内</w:t>
            </w:r>
            <w:r>
              <w:rPr>
                <w:bCs/>
                <w:color w:val="000000" w:themeColor="text1"/>
                <w:sz w:val="22"/>
                <w14:textFill>
                  <w14:solidFill>
                    <w14:schemeClr w14:val="tx1"/>
                  </w14:solidFill>
                </w14:textFill>
              </w:rPr>
              <w:t>绿化</w:t>
            </w:r>
            <w:r>
              <w:rPr>
                <w:rFonts w:hint="eastAsia"/>
                <w:bCs/>
                <w:color w:val="000000" w:themeColor="text1"/>
                <w:sz w:val="22"/>
                <w14:textFill>
                  <w14:solidFill>
                    <w14:schemeClr w14:val="tx1"/>
                  </w14:solidFill>
                </w14:textFill>
              </w:rPr>
              <w:t>浇灌</w:t>
            </w:r>
          </w:p>
        </w:tc>
      </w:tr>
    </w:tbl>
    <w:p>
      <w:pPr>
        <w:ind w:firstLine="520"/>
        <w:jc w:val="both"/>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根据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重庆中机龙桥热电有限公司 1×300MW 机组脱硫、脱硝、除尘超低排放改造工程竣工环境</w:t>
      </w:r>
      <w:r>
        <w:rPr>
          <w:rFonts w:hint="eastAsia"/>
          <w:color w:val="000000" w:themeColor="text1"/>
          <w14:textFill>
            <w14:solidFill>
              <w14:schemeClr w14:val="tx1"/>
            </w14:solidFill>
          </w14:textFill>
        </w:rPr>
        <w:t>保护</w:t>
      </w:r>
      <w:r>
        <w:rPr>
          <w:color w:val="000000" w:themeColor="text1"/>
          <w14:textFill>
            <w14:solidFill>
              <w14:schemeClr w14:val="tx1"/>
            </w14:solidFill>
          </w14:textFill>
        </w:rPr>
        <w:t>验收监测报告</w:t>
      </w:r>
      <w:r>
        <w:rPr>
          <w:rFonts w:hint="eastAsia"/>
          <w:color w:val="000000" w:themeColor="text1"/>
          <w14:textFill>
            <w14:solidFill>
              <w14:schemeClr w14:val="tx1"/>
            </w14:solidFill>
          </w14:textFill>
        </w:rPr>
        <w:t>》</w:t>
      </w:r>
      <w:r>
        <w:rPr>
          <w:rFonts w:hint="eastAsia"/>
          <w:bCs/>
          <w:color w:val="000000" w:themeColor="text1"/>
          <w14:textFill>
            <w14:solidFill>
              <w14:schemeClr w14:val="tx1"/>
            </w14:solidFill>
          </w14:textFill>
        </w:rPr>
        <w:t>中对脱硫废水处理设施出口处水质监测结果（监测时间：2</w:t>
      </w:r>
      <w:r>
        <w:rPr>
          <w:bCs/>
          <w:color w:val="000000" w:themeColor="text1"/>
          <w14:textFill>
            <w14:solidFill>
              <w14:schemeClr w14:val="tx1"/>
            </w14:solidFill>
          </w14:textFill>
        </w:rPr>
        <w:t>020年</w:t>
      </w:r>
      <w:r>
        <w:rPr>
          <w:rFonts w:hint="eastAsia"/>
          <w:bCs/>
          <w:color w:val="000000" w:themeColor="text1"/>
          <w14:textFill>
            <w14:solidFill>
              <w14:schemeClr w14:val="tx1"/>
            </w14:solidFill>
          </w14:textFill>
        </w:rPr>
        <w:t>1</w:t>
      </w:r>
      <w:r>
        <w:rPr>
          <w:bCs/>
          <w:color w:val="000000" w:themeColor="text1"/>
          <w14:textFill>
            <w14:solidFill>
              <w14:schemeClr w14:val="tx1"/>
            </w14:solidFill>
          </w14:textFill>
        </w:rPr>
        <w:t>月</w:t>
      </w:r>
      <w:r>
        <w:rPr>
          <w:rFonts w:hint="eastAsia"/>
          <w:bCs/>
          <w:color w:val="000000" w:themeColor="text1"/>
          <w14:textFill>
            <w14:solidFill>
              <w14:schemeClr w14:val="tx1"/>
            </w14:solidFill>
          </w14:textFill>
        </w:rPr>
        <w:t>9日</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1</w:t>
      </w:r>
      <w:r>
        <w:rPr>
          <w:bCs/>
          <w:color w:val="000000" w:themeColor="text1"/>
          <w14:textFill>
            <w14:solidFill>
              <w14:schemeClr w14:val="tx1"/>
            </w14:solidFill>
          </w14:textFill>
        </w:rPr>
        <w:t>0日</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验收监测期间，脱硫废水处理装置出口pH 为 6.01～6.11，其余各污染物最大日均浓度分别为COD192mg/L、</w:t>
      </w:r>
      <w:r>
        <w:rPr>
          <w:rFonts w:hint="eastAsia"/>
          <w:bCs/>
          <w:color w:val="000000" w:themeColor="text1"/>
          <w14:textFill>
            <w14:solidFill>
              <w14:schemeClr w14:val="tx1"/>
            </w14:solidFill>
          </w14:textFill>
        </w:rPr>
        <w:t>S</w:t>
      </w:r>
      <w:r>
        <w:rPr>
          <w:bCs/>
          <w:color w:val="000000" w:themeColor="text1"/>
          <w14:textFill>
            <w14:solidFill>
              <w14:schemeClr w14:val="tx1"/>
            </w14:solidFill>
          </w14:textFill>
        </w:rPr>
        <w:t>S35mg/L、氟化物29.3mg/L、硫化物未检出、总铅0.370mg/L、总汞2.04×10</w:t>
      </w:r>
      <w:r>
        <w:rPr>
          <w:bCs/>
          <w:color w:val="000000" w:themeColor="text1"/>
          <w:vertAlign w:val="superscript"/>
          <w14:textFill>
            <w14:solidFill>
              <w14:schemeClr w14:val="tx1"/>
            </w14:solidFill>
          </w14:textFill>
        </w:rPr>
        <w:t>-5</w:t>
      </w:r>
      <w:r>
        <w:rPr>
          <w:bCs/>
          <w:color w:val="000000" w:themeColor="text1"/>
          <w14:textFill>
            <w14:solidFill>
              <w14:schemeClr w14:val="tx1"/>
            </w14:solidFill>
          </w14:textFill>
        </w:rPr>
        <w:t>mg/L、总砷3.10×10</w:t>
      </w:r>
      <w:r>
        <w:rPr>
          <w:bCs/>
          <w:color w:val="000000" w:themeColor="text1"/>
          <w:vertAlign w:val="superscript"/>
          <w14:textFill>
            <w14:solidFill>
              <w14:schemeClr w14:val="tx1"/>
            </w14:solidFill>
          </w14:textFill>
        </w:rPr>
        <w:t>-3</w:t>
      </w:r>
      <w:r>
        <w:rPr>
          <w:bCs/>
          <w:color w:val="000000" w:themeColor="text1"/>
          <w14:textFill>
            <w14:solidFill>
              <w14:schemeClr w14:val="tx1"/>
            </w14:solidFill>
          </w14:textFill>
        </w:rPr>
        <w:t>mg/L，其中总砷、总汞、总铅满足《污水综合排放标准》(GB8978- 1996)中表1第一类污染物标准限值要求。</w:t>
      </w:r>
      <w:r>
        <w:rPr>
          <w:rFonts w:hint="eastAsia"/>
          <w:bCs/>
          <w:color w:val="000000" w:themeColor="text1"/>
          <w14:textFill>
            <w14:solidFill>
              <w14:schemeClr w14:val="tx1"/>
            </w14:solidFill>
          </w14:textFill>
        </w:rPr>
        <w:t>具体见表2</w:t>
      </w:r>
      <w:r>
        <w:rPr>
          <w:bCs/>
          <w:color w:val="000000" w:themeColor="text1"/>
          <w14:textFill>
            <w14:solidFill>
              <w14:schemeClr w14:val="tx1"/>
            </w14:solidFill>
          </w14:textFill>
        </w:rPr>
        <w:t>.3</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9</w:t>
      </w:r>
      <w:r>
        <w:rPr>
          <w:rFonts w:hint="eastAsia"/>
          <w:bCs/>
          <w:color w:val="000000" w:themeColor="text1"/>
          <w14:textFill>
            <w14:solidFill>
              <w14:schemeClr w14:val="tx1"/>
            </w14:solidFill>
          </w14:textFill>
        </w:rPr>
        <w:t>。</w:t>
      </w:r>
    </w:p>
    <w:p>
      <w:pPr>
        <w:pStyle w:val="39"/>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 xml:space="preserve"> </w:t>
      </w:r>
      <w:r>
        <w:rPr>
          <w:snapToGrid w:val="0"/>
          <w:color w:val="000000" w:themeColor="text1"/>
          <w14:textFill>
            <w14:solidFill>
              <w14:schemeClr w14:val="tx1"/>
            </w14:solidFill>
          </w14:textFill>
        </w:rPr>
        <w:t>脱硫废水监测结果</w:t>
      </w:r>
    </w:p>
    <w:p>
      <w:pPr>
        <w:widowControl/>
        <w:kinsoku w:val="0"/>
        <w:autoSpaceDE w:val="0"/>
        <w:autoSpaceDN w:val="0"/>
        <w:spacing w:line="43" w:lineRule="exact"/>
        <w:ind w:firstLine="0" w:firstLineChars="0"/>
        <w:textAlignment w:val="baseline"/>
        <w:rPr>
          <w:rFonts w:ascii="Arial" w:hAnsi="Arial" w:eastAsia="等线" w:cs="Arial"/>
          <w:snapToGrid w:val="0"/>
          <w:color w:val="000000" w:themeColor="text1"/>
          <w:kern w:val="0"/>
          <w:sz w:val="21"/>
          <w:szCs w:val="21"/>
          <w14:textFill>
            <w14:solidFill>
              <w14:schemeClr w14:val="tx1"/>
            </w14:solidFill>
          </w14:textFill>
        </w:rPr>
      </w:pPr>
    </w:p>
    <w:tbl>
      <w:tblPr>
        <w:tblStyle w:val="207"/>
        <w:tblW w:w="8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5"/>
        <w:gridCol w:w="1080"/>
        <w:gridCol w:w="858"/>
        <w:gridCol w:w="635"/>
        <w:gridCol w:w="874"/>
        <w:gridCol w:w="482"/>
        <w:gridCol w:w="635"/>
        <w:gridCol w:w="635"/>
        <w:gridCol w:w="501"/>
        <w:gridCol w:w="921"/>
        <w:gridCol w:w="9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3123" w:type="dxa"/>
            <w:gridSpan w:val="3"/>
            <w:vMerge w:val="restart"/>
            <w:tcBorders>
              <w:bottom w:val="nil"/>
            </w:tcBorders>
            <w:vAlign w:val="center"/>
          </w:tcPr>
          <w:p>
            <w:pPr>
              <w:spacing w:before="63" w:line="186" w:lineRule="auto"/>
              <w:ind w:firstLine="0" w:firstLineChars="0"/>
              <w:jc w:val="right"/>
              <w:rPr>
                <w:rFonts w:cs="Arial" w:eastAsiaTheme="minorEastAsia"/>
                <w:snapToGrid w:val="0"/>
                <w:color w:val="000000" w:themeColor="text1"/>
                <w:kern w:val="0"/>
                <w:sz w:val="22"/>
                <w14:textFill>
                  <w14:solidFill>
                    <w14:schemeClr w14:val="tx1"/>
                  </w14:solidFill>
                </w14:textFill>
              </w:rPr>
            </w:pPr>
            <w:r>
              <w:rPr>
                <w:rFonts w:hint="eastAsia" w:cs="Arial" w:eastAsiaTheme="minorEastAsia"/>
                <w:snapToGrid w:val="0"/>
                <w:color w:val="000000" w:themeColor="text1"/>
                <w:kern w:val="0"/>
                <w:sz w:val="22"/>
                <w14:textFill>
                  <w14:solidFill>
                    <w14:schemeClr w14:val="tx1"/>
                  </w14:solidFill>
                </w14:textFill>
              </w:rPr>
              <w:t>污染因子</w:t>
            </w:r>
          </w:p>
          <w:p>
            <w:pPr>
              <w:widowControl/>
              <w:kinsoku w:val="0"/>
              <w:autoSpaceDE w:val="0"/>
              <w:autoSpaceDN w:val="0"/>
              <w:spacing w:line="240" w:lineRule="auto"/>
              <w:ind w:firstLine="136" w:firstLineChars="0"/>
              <w:textAlignment w:val="baseline"/>
              <w:rPr>
                <w:rFonts w:cs="Arial" w:eastAsiaTheme="minorEastAsia"/>
                <w:snapToGrid w:val="0"/>
                <w:color w:val="000000" w:themeColor="text1"/>
                <w:kern w:val="0"/>
                <w:sz w:val="22"/>
                <w14:textFill>
                  <w14:solidFill>
                    <w14:schemeClr w14:val="tx1"/>
                  </w14:solidFill>
                </w14:textFill>
              </w:rPr>
            </w:pPr>
            <w:r>
              <w:rPr>
                <w:rFonts w:hint="eastAsia" w:cs="Arial" w:eastAsiaTheme="minorEastAsia"/>
                <w:snapToGrid w:val="0"/>
                <w:color w:val="000000" w:themeColor="text1"/>
                <w:spacing w:val="-5"/>
                <w:kern w:val="0"/>
                <w:sz w:val="22"/>
                <w14:textFill>
                  <w14:solidFill>
                    <w14:schemeClr w14:val="tx1"/>
                  </w14:solidFill>
                </w14:textFill>
              </w:rPr>
              <w:t>监测</w:t>
            </w:r>
            <w:r>
              <w:rPr>
                <w:rFonts w:cs="Arial" w:eastAsiaTheme="minorEastAsia"/>
                <w:snapToGrid w:val="0"/>
                <w:color w:val="000000" w:themeColor="text1"/>
                <w:spacing w:val="-5"/>
                <w:kern w:val="0"/>
                <w:sz w:val="22"/>
                <w14:textFill>
                  <w14:solidFill>
                    <w14:schemeClr w14:val="tx1"/>
                  </w14:solidFill>
                </w14:textFill>
              </w:rPr>
              <w:t>点</w:t>
            </w:r>
            <w:r>
              <w:rPr>
                <w:rFonts w:cs="Arial" w:eastAsiaTheme="minorEastAsia"/>
                <w:snapToGrid w:val="0"/>
                <w:color w:val="000000" w:themeColor="text1"/>
                <w:kern w:val="0"/>
                <w:sz w:val="22"/>
                <w14:textFill>
                  <w14:solidFill>
                    <w14:schemeClr w14:val="tx1"/>
                  </w14:solidFill>
                </w14:textFill>
              </w:rPr>
              <w:t>位及时间</w:t>
            </w:r>
          </w:p>
        </w:tc>
        <w:tc>
          <w:tcPr>
            <w:tcW w:w="635"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pH</w:t>
            </w:r>
          </w:p>
        </w:tc>
        <w:tc>
          <w:tcPr>
            <w:tcW w:w="874"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COD</w:t>
            </w:r>
          </w:p>
        </w:tc>
        <w:tc>
          <w:tcPr>
            <w:tcW w:w="482"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SS</w:t>
            </w:r>
          </w:p>
        </w:tc>
        <w:tc>
          <w:tcPr>
            <w:tcW w:w="635"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氟化物</w:t>
            </w:r>
          </w:p>
        </w:tc>
        <w:tc>
          <w:tcPr>
            <w:tcW w:w="635"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硫化物</w:t>
            </w:r>
          </w:p>
        </w:tc>
        <w:tc>
          <w:tcPr>
            <w:tcW w:w="501"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总铅</w:t>
            </w:r>
          </w:p>
        </w:tc>
        <w:tc>
          <w:tcPr>
            <w:tcW w:w="921"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总汞</w:t>
            </w:r>
          </w:p>
        </w:tc>
        <w:tc>
          <w:tcPr>
            <w:tcW w:w="918"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总砷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3123" w:type="dxa"/>
            <w:gridSpan w:val="3"/>
            <w:vMerge w:val="continue"/>
            <w:tcBorders>
              <w:top w:val="nil"/>
            </w:tcBorders>
            <w:vAlign w:val="center"/>
          </w:tcPr>
          <w:p>
            <w:pPr>
              <w:widowControl/>
              <w:kinsoku w:val="0"/>
              <w:autoSpaceDE w:val="0"/>
              <w:autoSpaceDN w:val="0"/>
              <w:spacing w:line="240" w:lineRule="auto"/>
              <w:ind w:firstLine="0" w:firstLineChars="0"/>
              <w:textAlignment w:val="baseline"/>
              <w:rPr>
                <w:rFonts w:cs="Arial" w:eastAsiaTheme="minorEastAsia"/>
                <w:snapToGrid w:val="0"/>
                <w:color w:val="000000" w:themeColor="text1"/>
                <w:kern w:val="0"/>
                <w:sz w:val="22"/>
                <w14:textFill>
                  <w14:solidFill>
                    <w14:schemeClr w14:val="tx1"/>
                  </w14:solidFill>
                </w14:textFill>
              </w:rPr>
            </w:pPr>
          </w:p>
        </w:tc>
        <w:tc>
          <w:tcPr>
            <w:tcW w:w="635"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无量纲</w:t>
            </w:r>
          </w:p>
        </w:tc>
        <w:tc>
          <w:tcPr>
            <w:tcW w:w="874"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mg/L</w:t>
            </w:r>
          </w:p>
        </w:tc>
        <w:tc>
          <w:tcPr>
            <w:tcW w:w="482"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mg/L</w:t>
            </w:r>
          </w:p>
        </w:tc>
        <w:tc>
          <w:tcPr>
            <w:tcW w:w="635"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mg/L</w:t>
            </w:r>
          </w:p>
        </w:tc>
        <w:tc>
          <w:tcPr>
            <w:tcW w:w="635"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mg/L</w:t>
            </w:r>
          </w:p>
        </w:tc>
        <w:tc>
          <w:tcPr>
            <w:tcW w:w="501"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mg/L</w:t>
            </w:r>
          </w:p>
        </w:tc>
        <w:tc>
          <w:tcPr>
            <w:tcW w:w="921"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mg/L</w:t>
            </w:r>
          </w:p>
        </w:tc>
        <w:tc>
          <w:tcPr>
            <w:tcW w:w="918"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185" w:type="dxa"/>
            <w:vMerge w:val="restart"/>
            <w:tcBorders>
              <w:top w:val="nil"/>
            </w:tcBorders>
            <w:vAlign w:val="center"/>
          </w:tcPr>
          <w:p>
            <w:pPr>
              <w:spacing w:line="240"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脱硫废水处理设施</w:t>
            </w:r>
          </w:p>
          <w:p>
            <w:pPr>
              <w:spacing w:line="240"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进口 A1</w:t>
            </w:r>
          </w:p>
        </w:tc>
        <w:tc>
          <w:tcPr>
            <w:tcW w:w="1080" w:type="dxa"/>
            <w:tcBorders>
              <w:top w:val="nil"/>
            </w:tcBorders>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2020</w:t>
            </w:r>
            <w:r>
              <w:rPr>
                <w:rFonts w:hint="eastAsia" w:cs="Arial" w:eastAsiaTheme="minorEastAsia"/>
                <w:snapToGrid w:val="0"/>
                <w:color w:val="000000" w:themeColor="text1"/>
                <w:kern w:val="0"/>
                <w:sz w:val="22"/>
                <w14:textFill>
                  <w14:solidFill>
                    <w14:schemeClr w14:val="tx1"/>
                  </w14:solidFill>
                </w14:textFill>
              </w:rPr>
              <w:t>.</w:t>
            </w:r>
            <w:r>
              <w:rPr>
                <w:rFonts w:cs="Arial" w:eastAsiaTheme="minorEastAsia"/>
                <w:snapToGrid w:val="0"/>
                <w:color w:val="000000" w:themeColor="text1"/>
                <w:kern w:val="0"/>
                <w:sz w:val="22"/>
                <w14:textFill>
                  <w14:solidFill>
                    <w14:schemeClr w14:val="tx1"/>
                  </w14:solidFill>
                </w14:textFill>
              </w:rPr>
              <w:t>1</w:t>
            </w:r>
            <w:r>
              <w:rPr>
                <w:rFonts w:hint="eastAsia" w:cs="Arial" w:eastAsiaTheme="minorEastAsia"/>
                <w:snapToGrid w:val="0"/>
                <w:color w:val="000000" w:themeColor="text1"/>
                <w:kern w:val="0"/>
                <w:sz w:val="22"/>
                <w14:textFill>
                  <w14:solidFill>
                    <w14:schemeClr w14:val="tx1"/>
                  </w14:solidFill>
                </w14:textFill>
              </w:rPr>
              <w:t>.</w:t>
            </w:r>
            <w:r>
              <w:rPr>
                <w:rFonts w:cs="Arial" w:eastAsiaTheme="minorEastAsia"/>
                <w:snapToGrid w:val="0"/>
                <w:color w:val="000000" w:themeColor="text1"/>
                <w:kern w:val="0"/>
                <w:sz w:val="22"/>
                <w14:textFill>
                  <w14:solidFill>
                    <w14:schemeClr w14:val="tx1"/>
                  </w14:solidFill>
                </w14:textFill>
              </w:rPr>
              <w:t>9</w:t>
            </w:r>
          </w:p>
        </w:tc>
        <w:tc>
          <w:tcPr>
            <w:tcW w:w="858"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日均值</w:t>
            </w:r>
          </w:p>
        </w:tc>
        <w:tc>
          <w:tcPr>
            <w:tcW w:w="635"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w:t>
            </w:r>
          </w:p>
        </w:tc>
        <w:tc>
          <w:tcPr>
            <w:tcW w:w="874" w:type="dxa"/>
            <w:vAlign w:val="center"/>
          </w:tcPr>
          <w:p>
            <w:pPr>
              <w:widowControl/>
              <w:kinsoku w:val="0"/>
              <w:autoSpaceDE w:val="0"/>
              <w:autoSpaceDN w:val="0"/>
              <w:spacing w:before="12" w:line="283" w:lineRule="exact"/>
              <w:ind w:firstLine="0" w:firstLineChars="0"/>
              <w:jc w:val="center"/>
              <w:textAlignment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3.94 × 10</w:t>
            </w:r>
            <w:r>
              <w:rPr>
                <w:rFonts w:cs="Arial" w:eastAsiaTheme="minorEastAsia"/>
                <w:snapToGrid w:val="0"/>
                <w:color w:val="000000" w:themeColor="text1"/>
                <w:kern w:val="0"/>
                <w:sz w:val="22"/>
                <w:vertAlign w:val="superscript"/>
                <w14:textFill>
                  <w14:solidFill>
                    <w14:schemeClr w14:val="tx1"/>
                  </w14:solidFill>
                </w14:textFill>
              </w:rPr>
              <w:t>3</w:t>
            </w:r>
          </w:p>
        </w:tc>
        <w:tc>
          <w:tcPr>
            <w:tcW w:w="482"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90</w:t>
            </w:r>
          </w:p>
        </w:tc>
        <w:tc>
          <w:tcPr>
            <w:tcW w:w="635"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w:t>
            </w:r>
          </w:p>
        </w:tc>
        <w:tc>
          <w:tcPr>
            <w:tcW w:w="635"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0.005L</w:t>
            </w:r>
          </w:p>
        </w:tc>
        <w:tc>
          <w:tcPr>
            <w:tcW w:w="501"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w:t>
            </w:r>
          </w:p>
        </w:tc>
        <w:tc>
          <w:tcPr>
            <w:tcW w:w="921"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w:t>
            </w:r>
          </w:p>
        </w:tc>
        <w:tc>
          <w:tcPr>
            <w:tcW w:w="918"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185" w:type="dxa"/>
            <w:vMerge w:val="continue"/>
            <w:vAlign w:val="center"/>
          </w:tcPr>
          <w:p>
            <w:pPr>
              <w:spacing w:line="240" w:lineRule="auto"/>
              <w:ind w:firstLine="0" w:firstLineChars="0"/>
              <w:jc w:val="center"/>
              <w:rPr>
                <w:rFonts w:cs="Arial" w:eastAsiaTheme="minorEastAsia"/>
                <w:snapToGrid w:val="0"/>
                <w:color w:val="000000" w:themeColor="text1"/>
                <w:kern w:val="0"/>
                <w:sz w:val="22"/>
                <w14:textFill>
                  <w14:solidFill>
                    <w14:schemeClr w14:val="tx1"/>
                  </w14:solidFill>
                </w14:textFill>
              </w:rPr>
            </w:pPr>
          </w:p>
        </w:tc>
        <w:tc>
          <w:tcPr>
            <w:tcW w:w="1080" w:type="dxa"/>
            <w:tcBorders>
              <w:top w:val="nil"/>
            </w:tcBorders>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2020</w:t>
            </w:r>
            <w:r>
              <w:rPr>
                <w:rFonts w:hint="eastAsia" w:cs="Arial" w:eastAsiaTheme="minorEastAsia"/>
                <w:snapToGrid w:val="0"/>
                <w:color w:val="000000" w:themeColor="text1"/>
                <w:kern w:val="0"/>
                <w:sz w:val="22"/>
                <w14:textFill>
                  <w14:solidFill>
                    <w14:schemeClr w14:val="tx1"/>
                  </w14:solidFill>
                </w14:textFill>
              </w:rPr>
              <w:t>.</w:t>
            </w:r>
            <w:r>
              <w:rPr>
                <w:rFonts w:cs="Arial" w:eastAsiaTheme="minorEastAsia"/>
                <w:snapToGrid w:val="0"/>
                <w:color w:val="000000" w:themeColor="text1"/>
                <w:kern w:val="0"/>
                <w:sz w:val="22"/>
                <w14:textFill>
                  <w14:solidFill>
                    <w14:schemeClr w14:val="tx1"/>
                  </w14:solidFill>
                </w14:textFill>
              </w:rPr>
              <w:t>1</w:t>
            </w:r>
            <w:r>
              <w:rPr>
                <w:rFonts w:hint="eastAsia" w:cs="Arial" w:eastAsiaTheme="minorEastAsia"/>
                <w:snapToGrid w:val="0"/>
                <w:color w:val="000000" w:themeColor="text1"/>
                <w:kern w:val="0"/>
                <w:sz w:val="22"/>
                <w14:textFill>
                  <w14:solidFill>
                    <w14:schemeClr w14:val="tx1"/>
                  </w14:solidFill>
                </w14:textFill>
              </w:rPr>
              <w:t>.</w:t>
            </w:r>
            <w:r>
              <w:rPr>
                <w:rFonts w:cs="Arial" w:eastAsiaTheme="minorEastAsia"/>
                <w:snapToGrid w:val="0"/>
                <w:color w:val="000000" w:themeColor="text1"/>
                <w:kern w:val="0"/>
                <w:sz w:val="22"/>
                <w14:textFill>
                  <w14:solidFill>
                    <w14:schemeClr w14:val="tx1"/>
                  </w14:solidFill>
                </w14:textFill>
              </w:rPr>
              <w:t>10</w:t>
            </w:r>
          </w:p>
        </w:tc>
        <w:tc>
          <w:tcPr>
            <w:tcW w:w="858"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日均值</w:t>
            </w:r>
          </w:p>
        </w:tc>
        <w:tc>
          <w:tcPr>
            <w:tcW w:w="635"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w:t>
            </w:r>
          </w:p>
        </w:tc>
        <w:tc>
          <w:tcPr>
            <w:tcW w:w="874" w:type="dxa"/>
            <w:vAlign w:val="center"/>
          </w:tcPr>
          <w:p>
            <w:pPr>
              <w:widowControl/>
              <w:kinsoku w:val="0"/>
              <w:autoSpaceDE w:val="0"/>
              <w:autoSpaceDN w:val="0"/>
              <w:spacing w:before="12" w:line="283" w:lineRule="exact"/>
              <w:ind w:firstLine="0" w:firstLineChars="0"/>
              <w:jc w:val="center"/>
              <w:textAlignment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3.66 × 10</w:t>
            </w:r>
            <w:r>
              <w:rPr>
                <w:rFonts w:cs="Arial" w:eastAsiaTheme="minorEastAsia"/>
                <w:snapToGrid w:val="0"/>
                <w:color w:val="000000" w:themeColor="text1"/>
                <w:kern w:val="0"/>
                <w:sz w:val="22"/>
                <w:vertAlign w:val="superscript"/>
                <w14:textFill>
                  <w14:solidFill>
                    <w14:schemeClr w14:val="tx1"/>
                  </w14:solidFill>
                </w14:textFill>
              </w:rPr>
              <w:t>3</w:t>
            </w:r>
          </w:p>
        </w:tc>
        <w:tc>
          <w:tcPr>
            <w:tcW w:w="482"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79</w:t>
            </w:r>
          </w:p>
        </w:tc>
        <w:tc>
          <w:tcPr>
            <w:tcW w:w="635"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w:t>
            </w:r>
          </w:p>
        </w:tc>
        <w:tc>
          <w:tcPr>
            <w:tcW w:w="635"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0.005L</w:t>
            </w:r>
          </w:p>
        </w:tc>
        <w:tc>
          <w:tcPr>
            <w:tcW w:w="501"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w:t>
            </w:r>
          </w:p>
        </w:tc>
        <w:tc>
          <w:tcPr>
            <w:tcW w:w="921" w:type="dxa"/>
            <w:tcBorders>
              <w:bottom w:val="single" w:color="000000" w:sz="2" w:space="0"/>
            </w:tcBorders>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w:t>
            </w:r>
          </w:p>
        </w:tc>
        <w:tc>
          <w:tcPr>
            <w:tcW w:w="918" w:type="dxa"/>
            <w:tcBorders>
              <w:bottom w:val="single" w:color="000000" w:sz="2" w:space="0"/>
            </w:tcBorders>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185" w:type="dxa"/>
            <w:vMerge w:val="restart"/>
            <w:tcBorders>
              <w:top w:val="nil"/>
            </w:tcBorders>
            <w:vAlign w:val="center"/>
          </w:tcPr>
          <w:p>
            <w:pPr>
              <w:spacing w:line="240"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脱硫废水处理设施</w:t>
            </w:r>
          </w:p>
          <w:p>
            <w:pPr>
              <w:spacing w:line="240"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出口 A2</w:t>
            </w:r>
          </w:p>
        </w:tc>
        <w:tc>
          <w:tcPr>
            <w:tcW w:w="1080" w:type="dxa"/>
            <w:tcBorders>
              <w:top w:val="nil"/>
            </w:tcBorders>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2020</w:t>
            </w:r>
            <w:r>
              <w:rPr>
                <w:rFonts w:hint="eastAsia" w:cs="Arial" w:eastAsiaTheme="minorEastAsia"/>
                <w:snapToGrid w:val="0"/>
                <w:color w:val="000000" w:themeColor="text1"/>
                <w:kern w:val="0"/>
                <w:sz w:val="22"/>
                <w14:textFill>
                  <w14:solidFill>
                    <w14:schemeClr w14:val="tx1"/>
                  </w14:solidFill>
                </w14:textFill>
              </w:rPr>
              <w:t>.</w:t>
            </w:r>
            <w:r>
              <w:rPr>
                <w:rFonts w:cs="Arial" w:eastAsiaTheme="minorEastAsia"/>
                <w:snapToGrid w:val="0"/>
                <w:color w:val="000000" w:themeColor="text1"/>
                <w:kern w:val="0"/>
                <w:sz w:val="22"/>
                <w14:textFill>
                  <w14:solidFill>
                    <w14:schemeClr w14:val="tx1"/>
                  </w14:solidFill>
                </w14:textFill>
              </w:rPr>
              <w:t>1</w:t>
            </w:r>
            <w:r>
              <w:rPr>
                <w:rFonts w:hint="eastAsia" w:cs="Arial" w:eastAsiaTheme="minorEastAsia"/>
                <w:snapToGrid w:val="0"/>
                <w:color w:val="000000" w:themeColor="text1"/>
                <w:kern w:val="0"/>
                <w:sz w:val="22"/>
                <w14:textFill>
                  <w14:solidFill>
                    <w14:schemeClr w14:val="tx1"/>
                  </w14:solidFill>
                </w14:textFill>
              </w:rPr>
              <w:t>.</w:t>
            </w:r>
            <w:r>
              <w:rPr>
                <w:rFonts w:cs="Arial" w:eastAsiaTheme="minorEastAsia"/>
                <w:snapToGrid w:val="0"/>
                <w:color w:val="000000" w:themeColor="text1"/>
                <w:kern w:val="0"/>
                <w:sz w:val="22"/>
                <w14:textFill>
                  <w14:solidFill>
                    <w14:schemeClr w14:val="tx1"/>
                  </w14:solidFill>
                </w14:textFill>
              </w:rPr>
              <w:t>9</w:t>
            </w:r>
          </w:p>
        </w:tc>
        <w:tc>
          <w:tcPr>
            <w:tcW w:w="858"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日均值</w:t>
            </w:r>
          </w:p>
        </w:tc>
        <w:tc>
          <w:tcPr>
            <w:tcW w:w="635"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w:t>
            </w:r>
          </w:p>
        </w:tc>
        <w:tc>
          <w:tcPr>
            <w:tcW w:w="874" w:type="dxa"/>
            <w:vAlign w:val="center"/>
          </w:tcPr>
          <w:p>
            <w:pPr>
              <w:widowControl/>
              <w:kinsoku w:val="0"/>
              <w:autoSpaceDE w:val="0"/>
              <w:autoSpaceDN w:val="0"/>
              <w:spacing w:before="12" w:line="283" w:lineRule="exact"/>
              <w:ind w:firstLine="0" w:firstLineChars="0"/>
              <w:jc w:val="center"/>
              <w:textAlignment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1.92 × 10</w:t>
            </w:r>
            <w:r>
              <w:rPr>
                <w:rFonts w:cs="Arial" w:eastAsiaTheme="minorEastAsia"/>
                <w:snapToGrid w:val="0"/>
                <w:color w:val="000000" w:themeColor="text1"/>
                <w:kern w:val="0"/>
                <w:sz w:val="22"/>
                <w:vertAlign w:val="superscript"/>
                <w14:textFill>
                  <w14:solidFill>
                    <w14:schemeClr w14:val="tx1"/>
                  </w14:solidFill>
                </w14:textFill>
              </w:rPr>
              <w:t>2</w:t>
            </w:r>
          </w:p>
        </w:tc>
        <w:tc>
          <w:tcPr>
            <w:tcW w:w="482"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34</w:t>
            </w:r>
          </w:p>
        </w:tc>
        <w:tc>
          <w:tcPr>
            <w:tcW w:w="635"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29.3</w:t>
            </w:r>
          </w:p>
        </w:tc>
        <w:tc>
          <w:tcPr>
            <w:tcW w:w="635"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0.005L</w:t>
            </w:r>
          </w:p>
        </w:tc>
        <w:tc>
          <w:tcPr>
            <w:tcW w:w="501"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0.265</w:t>
            </w:r>
          </w:p>
        </w:tc>
        <w:tc>
          <w:tcPr>
            <w:tcW w:w="921" w:type="dxa"/>
            <w:shd w:val="clear" w:color="auto" w:fill="auto"/>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2.02×</w:t>
            </w:r>
          </w:p>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10</w:t>
            </w:r>
            <w:r>
              <w:rPr>
                <w:rFonts w:cs="Arial" w:eastAsiaTheme="minorEastAsia"/>
                <w:snapToGrid w:val="0"/>
                <w:color w:val="000000" w:themeColor="text1"/>
                <w:kern w:val="0"/>
                <w:sz w:val="22"/>
                <w:vertAlign w:val="superscript"/>
                <w14:textFill>
                  <w14:solidFill>
                    <w14:schemeClr w14:val="tx1"/>
                  </w14:solidFill>
                </w14:textFill>
              </w:rPr>
              <w:t>-5</w:t>
            </w:r>
          </w:p>
        </w:tc>
        <w:tc>
          <w:tcPr>
            <w:tcW w:w="918" w:type="dxa"/>
            <w:shd w:val="clear" w:color="auto" w:fill="auto"/>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2.51×</w:t>
            </w:r>
          </w:p>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 xml:space="preserve"> 10</w:t>
            </w:r>
            <w:r>
              <w:rPr>
                <w:rFonts w:cs="Arial" w:eastAsiaTheme="minorEastAsia"/>
                <w:snapToGrid w:val="0"/>
                <w:color w:val="000000" w:themeColor="text1"/>
                <w:kern w:val="0"/>
                <w:sz w:val="22"/>
                <w:vertAlign w:val="superscript"/>
                <w14:textFill>
                  <w14:solidFill>
                    <w14:schemeClr w14:val="tx1"/>
                  </w14:solidFill>
                </w14:textFill>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185" w:type="dxa"/>
            <w:vMerge w:val="continue"/>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p>
        </w:tc>
        <w:tc>
          <w:tcPr>
            <w:tcW w:w="1080" w:type="dxa"/>
            <w:tcBorders>
              <w:top w:val="nil"/>
            </w:tcBorders>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2020</w:t>
            </w:r>
            <w:r>
              <w:rPr>
                <w:rFonts w:hint="eastAsia" w:cs="Arial" w:eastAsiaTheme="minorEastAsia"/>
                <w:snapToGrid w:val="0"/>
                <w:color w:val="000000" w:themeColor="text1"/>
                <w:kern w:val="0"/>
                <w:sz w:val="22"/>
                <w14:textFill>
                  <w14:solidFill>
                    <w14:schemeClr w14:val="tx1"/>
                  </w14:solidFill>
                </w14:textFill>
              </w:rPr>
              <w:t>.</w:t>
            </w:r>
            <w:r>
              <w:rPr>
                <w:rFonts w:cs="Arial" w:eastAsiaTheme="minorEastAsia"/>
                <w:snapToGrid w:val="0"/>
                <w:color w:val="000000" w:themeColor="text1"/>
                <w:kern w:val="0"/>
                <w:sz w:val="22"/>
                <w14:textFill>
                  <w14:solidFill>
                    <w14:schemeClr w14:val="tx1"/>
                  </w14:solidFill>
                </w14:textFill>
              </w:rPr>
              <w:t>1</w:t>
            </w:r>
            <w:r>
              <w:rPr>
                <w:rFonts w:hint="eastAsia" w:cs="Arial" w:eastAsiaTheme="minorEastAsia"/>
                <w:snapToGrid w:val="0"/>
                <w:color w:val="000000" w:themeColor="text1"/>
                <w:kern w:val="0"/>
                <w:sz w:val="22"/>
                <w14:textFill>
                  <w14:solidFill>
                    <w14:schemeClr w14:val="tx1"/>
                  </w14:solidFill>
                </w14:textFill>
              </w:rPr>
              <w:t>.</w:t>
            </w:r>
            <w:r>
              <w:rPr>
                <w:rFonts w:cs="Arial" w:eastAsiaTheme="minorEastAsia"/>
                <w:snapToGrid w:val="0"/>
                <w:color w:val="000000" w:themeColor="text1"/>
                <w:kern w:val="0"/>
                <w:sz w:val="22"/>
                <w14:textFill>
                  <w14:solidFill>
                    <w14:schemeClr w14:val="tx1"/>
                  </w14:solidFill>
                </w14:textFill>
              </w:rPr>
              <w:t>10</w:t>
            </w:r>
          </w:p>
        </w:tc>
        <w:tc>
          <w:tcPr>
            <w:tcW w:w="858"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日均值</w:t>
            </w:r>
          </w:p>
        </w:tc>
        <w:tc>
          <w:tcPr>
            <w:tcW w:w="635"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w:t>
            </w:r>
          </w:p>
        </w:tc>
        <w:tc>
          <w:tcPr>
            <w:tcW w:w="874" w:type="dxa"/>
            <w:vAlign w:val="center"/>
          </w:tcPr>
          <w:p>
            <w:pPr>
              <w:widowControl/>
              <w:kinsoku w:val="0"/>
              <w:autoSpaceDE w:val="0"/>
              <w:autoSpaceDN w:val="0"/>
              <w:spacing w:before="12" w:line="283" w:lineRule="exact"/>
              <w:ind w:firstLine="0" w:firstLineChars="0"/>
              <w:jc w:val="center"/>
              <w:textAlignment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1.74 × 10</w:t>
            </w:r>
            <w:r>
              <w:rPr>
                <w:rFonts w:cs="Arial" w:eastAsiaTheme="minorEastAsia"/>
                <w:snapToGrid w:val="0"/>
                <w:color w:val="000000" w:themeColor="text1"/>
                <w:kern w:val="0"/>
                <w:sz w:val="22"/>
                <w:vertAlign w:val="superscript"/>
                <w14:textFill>
                  <w14:solidFill>
                    <w14:schemeClr w14:val="tx1"/>
                  </w14:solidFill>
                </w14:textFill>
              </w:rPr>
              <w:t>2</w:t>
            </w:r>
          </w:p>
        </w:tc>
        <w:tc>
          <w:tcPr>
            <w:tcW w:w="482"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35</w:t>
            </w:r>
          </w:p>
        </w:tc>
        <w:tc>
          <w:tcPr>
            <w:tcW w:w="635"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29.0</w:t>
            </w:r>
          </w:p>
        </w:tc>
        <w:tc>
          <w:tcPr>
            <w:tcW w:w="635"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0.005L</w:t>
            </w:r>
          </w:p>
        </w:tc>
        <w:tc>
          <w:tcPr>
            <w:tcW w:w="501"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0.370</w:t>
            </w:r>
          </w:p>
        </w:tc>
        <w:tc>
          <w:tcPr>
            <w:tcW w:w="921" w:type="dxa"/>
            <w:shd w:val="clear" w:color="auto" w:fill="auto"/>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 xml:space="preserve">2.04× </w:t>
            </w:r>
          </w:p>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10</w:t>
            </w:r>
            <w:r>
              <w:rPr>
                <w:rFonts w:cs="Arial" w:eastAsiaTheme="minorEastAsia"/>
                <w:snapToGrid w:val="0"/>
                <w:color w:val="000000" w:themeColor="text1"/>
                <w:kern w:val="0"/>
                <w:sz w:val="22"/>
                <w:vertAlign w:val="superscript"/>
                <w14:textFill>
                  <w14:solidFill>
                    <w14:schemeClr w14:val="tx1"/>
                  </w14:solidFill>
                </w14:textFill>
              </w:rPr>
              <w:t>-5</w:t>
            </w:r>
          </w:p>
        </w:tc>
        <w:tc>
          <w:tcPr>
            <w:tcW w:w="918" w:type="dxa"/>
            <w:shd w:val="clear" w:color="auto" w:fill="auto"/>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3.10×</w:t>
            </w:r>
          </w:p>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 xml:space="preserve"> 10</w:t>
            </w:r>
            <w:r>
              <w:rPr>
                <w:rFonts w:cs="Arial" w:eastAsiaTheme="minorEastAsia"/>
                <w:snapToGrid w:val="0"/>
                <w:color w:val="000000" w:themeColor="text1"/>
                <w:kern w:val="0"/>
                <w:sz w:val="22"/>
                <w:vertAlign w:val="superscript"/>
                <w14:textFill>
                  <w14:solidFill>
                    <w14:schemeClr w14:val="tx1"/>
                  </w14:solidFill>
                </w14:textFill>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3123" w:type="dxa"/>
            <w:gridSpan w:val="3"/>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标准限值</w:t>
            </w:r>
          </w:p>
        </w:tc>
        <w:tc>
          <w:tcPr>
            <w:tcW w:w="635"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w:t>
            </w:r>
          </w:p>
        </w:tc>
        <w:tc>
          <w:tcPr>
            <w:tcW w:w="874" w:type="dxa"/>
            <w:vAlign w:val="center"/>
          </w:tcPr>
          <w:p>
            <w:pPr>
              <w:widowControl/>
              <w:kinsoku w:val="0"/>
              <w:autoSpaceDE w:val="0"/>
              <w:autoSpaceDN w:val="0"/>
              <w:spacing w:before="72" w:line="214" w:lineRule="auto"/>
              <w:ind w:firstLine="602" w:firstLineChars="0"/>
              <w:textAlignment w:val="baseline"/>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w:t>
            </w:r>
          </w:p>
        </w:tc>
        <w:tc>
          <w:tcPr>
            <w:tcW w:w="482"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w:t>
            </w:r>
          </w:p>
        </w:tc>
        <w:tc>
          <w:tcPr>
            <w:tcW w:w="635"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w:t>
            </w:r>
          </w:p>
        </w:tc>
        <w:tc>
          <w:tcPr>
            <w:tcW w:w="635"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w:t>
            </w:r>
          </w:p>
        </w:tc>
        <w:tc>
          <w:tcPr>
            <w:tcW w:w="501"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1.0</w:t>
            </w:r>
          </w:p>
        </w:tc>
        <w:tc>
          <w:tcPr>
            <w:tcW w:w="921"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0.05</w:t>
            </w:r>
          </w:p>
        </w:tc>
        <w:tc>
          <w:tcPr>
            <w:tcW w:w="918" w:type="dxa"/>
            <w:vAlign w:val="center"/>
          </w:tcPr>
          <w:p>
            <w:pPr>
              <w:spacing w:before="63" w:line="186" w:lineRule="auto"/>
              <w:ind w:firstLine="0" w:firstLineChars="0"/>
              <w:jc w:val="center"/>
              <w:rPr>
                <w:rFonts w:cs="Arial" w:eastAsiaTheme="minorEastAsia"/>
                <w:snapToGrid w:val="0"/>
                <w:color w:val="000000" w:themeColor="text1"/>
                <w:kern w:val="0"/>
                <w:sz w:val="22"/>
                <w14:textFill>
                  <w14:solidFill>
                    <w14:schemeClr w14:val="tx1"/>
                  </w14:solidFill>
                </w14:textFill>
              </w:rPr>
            </w:pPr>
            <w:r>
              <w:rPr>
                <w:rFonts w:cs="Arial" w:eastAsiaTheme="minorEastAsia"/>
                <w:snapToGrid w:val="0"/>
                <w:color w:val="000000" w:themeColor="text1"/>
                <w:kern w:val="0"/>
                <w:sz w:val="22"/>
                <w14:textFill>
                  <w14:solidFill>
                    <w14:schemeClr w14:val="tx1"/>
                  </w14:solidFill>
                </w14:textFill>
              </w:rPr>
              <w:t>0.5</w:t>
            </w:r>
          </w:p>
        </w:tc>
      </w:tr>
    </w:tbl>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根据近三年年度排污许可执行报告，</w:t>
      </w:r>
      <w:bookmarkStart w:id="71" w:name="_Hlk99711499"/>
      <w:r>
        <w:rPr>
          <w:rFonts w:hint="eastAsia"/>
          <w:color w:val="000000" w:themeColor="text1"/>
          <w14:textFill>
            <w14:solidFill>
              <w14:schemeClr w14:val="tx1"/>
            </w14:solidFill>
          </w14:textFill>
        </w:rPr>
        <w:t>生活污水排放口</w:t>
      </w:r>
      <w:bookmarkEnd w:id="71"/>
      <w:r>
        <w:rPr>
          <w:rFonts w:hint="eastAsia"/>
          <w:color w:val="000000" w:themeColor="text1"/>
          <w14:textFill>
            <w14:solidFill>
              <w14:schemeClr w14:val="tx1"/>
            </w14:solidFill>
          </w14:textFill>
        </w:rPr>
        <w:t>各污染因子满足《污水综合排放标准》（G</w:t>
      </w:r>
      <w:r>
        <w:rPr>
          <w:color w:val="000000" w:themeColor="text1"/>
          <w14:textFill>
            <w14:solidFill>
              <w14:schemeClr w14:val="tx1"/>
            </w14:solidFill>
          </w14:textFill>
        </w:rPr>
        <w:t>B8978-1996</w:t>
      </w:r>
      <w:r>
        <w:rPr>
          <w:rFonts w:hint="eastAsia"/>
          <w:color w:val="000000" w:themeColor="text1"/>
          <w14:textFill>
            <w14:solidFill>
              <w14:schemeClr w14:val="tx1"/>
            </w14:solidFill>
          </w14:textFill>
        </w:rPr>
        <w:t>）三级标准，见表2</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生活污水排放口污染物监测结果和达标判定</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
        <w:gridCol w:w="1700"/>
        <w:gridCol w:w="1455"/>
        <w:gridCol w:w="1601"/>
        <w:gridCol w:w="1521"/>
        <w:gridCol w:w="793"/>
        <w:gridCol w:w="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10" w:type="pct"/>
            <w:vMerge w:val="restar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污染因子</w:t>
            </w:r>
          </w:p>
        </w:tc>
        <w:tc>
          <w:tcPr>
            <w:tcW w:w="95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2</w:t>
            </w:r>
            <w:r>
              <w:rPr>
                <w:color w:val="000000" w:themeColor="text1"/>
                <w:kern w:val="0"/>
                <w:sz w:val="22"/>
                <w14:textFill>
                  <w14:solidFill>
                    <w14:schemeClr w14:val="tx1"/>
                  </w14:solidFill>
                </w14:textFill>
              </w:rPr>
              <w:t>020年排污许可执行报告</w:t>
            </w:r>
          </w:p>
        </w:tc>
        <w:tc>
          <w:tcPr>
            <w:tcW w:w="813"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2</w:t>
            </w:r>
            <w:r>
              <w:rPr>
                <w:color w:val="000000" w:themeColor="text1"/>
                <w:kern w:val="0"/>
                <w:sz w:val="22"/>
                <w14:textFill>
                  <w14:solidFill>
                    <w14:schemeClr w14:val="tx1"/>
                  </w14:solidFill>
                </w14:textFill>
              </w:rPr>
              <w:t>021年排污许可执行报告</w:t>
            </w:r>
          </w:p>
        </w:tc>
        <w:tc>
          <w:tcPr>
            <w:tcW w:w="895"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2</w:t>
            </w:r>
            <w:r>
              <w:rPr>
                <w:color w:val="000000" w:themeColor="text1"/>
                <w:kern w:val="0"/>
                <w:sz w:val="22"/>
                <w14:textFill>
                  <w14:solidFill>
                    <w14:schemeClr w14:val="tx1"/>
                  </w14:solidFill>
                </w14:textFill>
              </w:rPr>
              <w:t>022年排污许可执行报告</w:t>
            </w:r>
          </w:p>
        </w:tc>
        <w:tc>
          <w:tcPr>
            <w:tcW w:w="850"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排污许可浓度限值</w:t>
            </w:r>
          </w:p>
        </w:tc>
        <w:tc>
          <w:tcPr>
            <w:tcW w:w="443" w:type="pct"/>
            <w:vMerge w:val="restar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达标分析</w:t>
            </w:r>
          </w:p>
        </w:tc>
        <w:tc>
          <w:tcPr>
            <w:tcW w:w="539" w:type="pct"/>
            <w:vMerge w:val="restar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监测点位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10" w:type="pct"/>
            <w:vMerge w:val="continue"/>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c>
          <w:tcPr>
            <w:tcW w:w="95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日均浓度（</w:t>
            </w:r>
            <w:r>
              <w:rPr>
                <w:color w:val="000000" w:themeColor="text1"/>
                <w:kern w:val="0"/>
                <w:sz w:val="22"/>
                <w14:textFill>
                  <w14:solidFill>
                    <w14:schemeClr w14:val="tx1"/>
                  </w14:solidFill>
                </w14:textFill>
              </w:rPr>
              <w:t>mg/L</w:t>
            </w:r>
            <w:r>
              <w:rPr>
                <w:rFonts w:hint="eastAsia"/>
                <w:color w:val="000000" w:themeColor="text1"/>
                <w:kern w:val="0"/>
                <w:sz w:val="22"/>
                <w14:textFill>
                  <w14:solidFill>
                    <w14:schemeClr w14:val="tx1"/>
                  </w14:solidFill>
                </w14:textFill>
              </w:rPr>
              <w:t>）</w:t>
            </w:r>
          </w:p>
        </w:tc>
        <w:tc>
          <w:tcPr>
            <w:tcW w:w="813"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日均浓度（</w:t>
            </w:r>
            <w:r>
              <w:rPr>
                <w:color w:val="000000" w:themeColor="text1"/>
                <w:kern w:val="0"/>
                <w:sz w:val="22"/>
                <w14:textFill>
                  <w14:solidFill>
                    <w14:schemeClr w14:val="tx1"/>
                  </w14:solidFill>
                </w14:textFill>
              </w:rPr>
              <w:t>mg/L</w:t>
            </w:r>
            <w:r>
              <w:rPr>
                <w:rFonts w:hint="eastAsia"/>
                <w:color w:val="000000" w:themeColor="text1"/>
                <w:kern w:val="0"/>
                <w:sz w:val="22"/>
                <w14:textFill>
                  <w14:solidFill>
                    <w14:schemeClr w14:val="tx1"/>
                  </w14:solidFill>
                </w14:textFill>
              </w:rPr>
              <w:t>）</w:t>
            </w:r>
          </w:p>
        </w:tc>
        <w:tc>
          <w:tcPr>
            <w:tcW w:w="895"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日均浓度（</w:t>
            </w:r>
            <w:r>
              <w:rPr>
                <w:color w:val="000000" w:themeColor="text1"/>
                <w:kern w:val="0"/>
                <w:sz w:val="22"/>
                <w14:textFill>
                  <w14:solidFill>
                    <w14:schemeClr w14:val="tx1"/>
                  </w14:solidFill>
                </w14:textFill>
              </w:rPr>
              <w:t>mg/L</w:t>
            </w:r>
            <w:r>
              <w:rPr>
                <w:rFonts w:hint="eastAsia"/>
                <w:color w:val="000000" w:themeColor="text1"/>
                <w:kern w:val="0"/>
                <w:sz w:val="22"/>
                <w14:textFill>
                  <w14:solidFill>
                    <w14:schemeClr w14:val="tx1"/>
                  </w14:solidFill>
                </w14:textFill>
              </w:rPr>
              <w:t>）</w:t>
            </w:r>
          </w:p>
        </w:tc>
        <w:tc>
          <w:tcPr>
            <w:tcW w:w="850"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浓度</w:t>
            </w:r>
            <w:r>
              <w:rPr>
                <w:rFonts w:hint="eastAsia"/>
                <w:color w:val="000000" w:themeColor="text1"/>
                <w:kern w:val="0"/>
                <w:sz w:val="22"/>
                <w14:textFill>
                  <w14:solidFill>
                    <w14:schemeClr w14:val="tx1"/>
                  </w14:solidFill>
                </w14:textFill>
              </w:rPr>
              <w:t>（</w:t>
            </w:r>
            <w:r>
              <w:rPr>
                <w:color w:val="000000" w:themeColor="text1"/>
                <w:kern w:val="0"/>
                <w:sz w:val="22"/>
                <w14:textFill>
                  <w14:solidFill>
                    <w14:schemeClr w14:val="tx1"/>
                  </w14:solidFill>
                </w14:textFill>
              </w:rPr>
              <w:t>mg/L</w:t>
            </w:r>
            <w:r>
              <w:rPr>
                <w:rFonts w:hint="eastAsia"/>
                <w:color w:val="000000" w:themeColor="text1"/>
                <w:kern w:val="0"/>
                <w:sz w:val="22"/>
                <w14:textFill>
                  <w14:solidFill>
                    <w14:schemeClr w14:val="tx1"/>
                  </w14:solidFill>
                </w14:textFill>
              </w:rPr>
              <w:t>）</w:t>
            </w:r>
          </w:p>
        </w:tc>
        <w:tc>
          <w:tcPr>
            <w:tcW w:w="443" w:type="pct"/>
            <w:vMerge w:val="continue"/>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c>
          <w:tcPr>
            <w:tcW w:w="539" w:type="pct"/>
            <w:vMerge w:val="continue"/>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10"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p</w:t>
            </w:r>
            <w:r>
              <w:rPr>
                <w:color w:val="000000" w:themeColor="text1"/>
                <w:kern w:val="0"/>
                <w:sz w:val="22"/>
                <w14:textFill>
                  <w14:solidFill>
                    <w14:schemeClr w14:val="tx1"/>
                  </w14:solidFill>
                </w14:textFill>
              </w:rPr>
              <w:t>H</w:t>
            </w:r>
          </w:p>
        </w:tc>
        <w:tc>
          <w:tcPr>
            <w:tcW w:w="95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7.05</w:t>
            </w:r>
          </w:p>
        </w:tc>
        <w:tc>
          <w:tcPr>
            <w:tcW w:w="813"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7</w:t>
            </w:r>
            <w:r>
              <w:rPr>
                <w:color w:val="000000" w:themeColor="text1"/>
                <w:kern w:val="0"/>
                <w:sz w:val="22"/>
                <w14:textFill>
                  <w14:solidFill>
                    <w14:schemeClr w14:val="tx1"/>
                  </w14:solidFill>
                </w14:textFill>
              </w:rPr>
              <w:t>.2</w:t>
            </w:r>
          </w:p>
        </w:tc>
        <w:tc>
          <w:tcPr>
            <w:tcW w:w="895"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7.43</w:t>
            </w:r>
          </w:p>
        </w:tc>
        <w:tc>
          <w:tcPr>
            <w:tcW w:w="850"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6</w:t>
            </w:r>
            <w:r>
              <w:rPr>
                <w:rFonts w:hint="eastAsia"/>
                <w:color w:val="000000" w:themeColor="text1"/>
                <w:kern w:val="0"/>
                <w:sz w:val="22"/>
                <w14:textFill>
                  <w14:solidFill>
                    <w14:schemeClr w14:val="tx1"/>
                  </w14:solidFill>
                </w14:textFill>
              </w:rPr>
              <w:t>~</w:t>
            </w:r>
            <w:r>
              <w:rPr>
                <w:color w:val="000000" w:themeColor="text1"/>
                <w:kern w:val="0"/>
                <w:sz w:val="22"/>
                <w14:textFill>
                  <w14:solidFill>
                    <w14:schemeClr w14:val="tx1"/>
                  </w14:solidFill>
                </w14:textFill>
              </w:rPr>
              <w:t>9</w:t>
            </w:r>
          </w:p>
        </w:tc>
        <w:tc>
          <w:tcPr>
            <w:tcW w:w="443"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c>
          <w:tcPr>
            <w:tcW w:w="539" w:type="pct"/>
            <w:vMerge w:val="restar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办公生活区化粪池出口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10"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C</w:t>
            </w:r>
            <w:r>
              <w:rPr>
                <w:color w:val="000000" w:themeColor="text1"/>
                <w:kern w:val="0"/>
                <w:sz w:val="22"/>
                <w14:textFill>
                  <w14:solidFill>
                    <w14:schemeClr w14:val="tx1"/>
                  </w14:solidFill>
                </w14:textFill>
              </w:rPr>
              <w:t>OD</w:t>
            </w:r>
          </w:p>
        </w:tc>
        <w:tc>
          <w:tcPr>
            <w:tcW w:w="95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22.67</w:t>
            </w:r>
          </w:p>
        </w:tc>
        <w:tc>
          <w:tcPr>
            <w:tcW w:w="813"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1</w:t>
            </w:r>
            <w:r>
              <w:rPr>
                <w:color w:val="000000" w:themeColor="text1"/>
                <w:kern w:val="0"/>
                <w:sz w:val="22"/>
                <w14:textFill>
                  <w14:solidFill>
                    <w14:schemeClr w14:val="tx1"/>
                  </w14:solidFill>
                </w14:textFill>
              </w:rPr>
              <w:t>7.67</w:t>
            </w:r>
          </w:p>
        </w:tc>
        <w:tc>
          <w:tcPr>
            <w:tcW w:w="895"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22.0</w:t>
            </w:r>
          </w:p>
        </w:tc>
        <w:tc>
          <w:tcPr>
            <w:tcW w:w="850"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100</w:t>
            </w:r>
          </w:p>
        </w:tc>
        <w:tc>
          <w:tcPr>
            <w:tcW w:w="443"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c>
          <w:tcPr>
            <w:tcW w:w="539" w:type="pct"/>
            <w:vMerge w:val="continue"/>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10"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氨氮</w:t>
            </w:r>
          </w:p>
        </w:tc>
        <w:tc>
          <w:tcPr>
            <w:tcW w:w="95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w:t>
            </w:r>
          </w:p>
        </w:tc>
        <w:tc>
          <w:tcPr>
            <w:tcW w:w="813"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w:t>
            </w:r>
          </w:p>
        </w:tc>
        <w:tc>
          <w:tcPr>
            <w:tcW w:w="895"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w:t>
            </w:r>
          </w:p>
        </w:tc>
        <w:tc>
          <w:tcPr>
            <w:tcW w:w="850"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1</w:t>
            </w:r>
            <w:r>
              <w:rPr>
                <w:color w:val="000000" w:themeColor="text1"/>
                <w:kern w:val="0"/>
                <w:sz w:val="22"/>
                <w14:textFill>
                  <w14:solidFill>
                    <w14:schemeClr w14:val="tx1"/>
                  </w14:solidFill>
                </w14:textFill>
              </w:rPr>
              <w:t>5</w:t>
            </w:r>
          </w:p>
        </w:tc>
        <w:tc>
          <w:tcPr>
            <w:tcW w:w="443"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w:t>
            </w:r>
          </w:p>
        </w:tc>
        <w:tc>
          <w:tcPr>
            <w:tcW w:w="539" w:type="pct"/>
            <w:vMerge w:val="continue"/>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10"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总磷</w:t>
            </w:r>
          </w:p>
        </w:tc>
        <w:tc>
          <w:tcPr>
            <w:tcW w:w="95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0</w:t>
            </w:r>
            <w:r>
              <w:rPr>
                <w:color w:val="000000" w:themeColor="text1"/>
                <w:kern w:val="0"/>
                <w:sz w:val="22"/>
                <w14:textFill>
                  <w14:solidFill>
                    <w14:schemeClr w14:val="tx1"/>
                  </w14:solidFill>
                </w14:textFill>
              </w:rPr>
              <w:t>.31</w:t>
            </w:r>
          </w:p>
        </w:tc>
        <w:tc>
          <w:tcPr>
            <w:tcW w:w="813"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0</w:t>
            </w:r>
            <w:r>
              <w:rPr>
                <w:color w:val="000000" w:themeColor="text1"/>
                <w:kern w:val="0"/>
                <w:sz w:val="22"/>
                <w14:textFill>
                  <w14:solidFill>
                    <w14:schemeClr w14:val="tx1"/>
                  </w14:solidFill>
                </w14:textFill>
              </w:rPr>
              <w:t>.14</w:t>
            </w:r>
          </w:p>
        </w:tc>
        <w:tc>
          <w:tcPr>
            <w:tcW w:w="895"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0.41</w:t>
            </w:r>
          </w:p>
        </w:tc>
        <w:tc>
          <w:tcPr>
            <w:tcW w:w="850"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0</w:t>
            </w:r>
            <w:r>
              <w:rPr>
                <w:color w:val="000000" w:themeColor="text1"/>
                <w:kern w:val="0"/>
                <w:sz w:val="22"/>
                <w14:textFill>
                  <w14:solidFill>
                    <w14:schemeClr w14:val="tx1"/>
                  </w14:solidFill>
                </w14:textFill>
              </w:rPr>
              <w:t>.5</w:t>
            </w:r>
          </w:p>
        </w:tc>
        <w:tc>
          <w:tcPr>
            <w:tcW w:w="443"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达标</w:t>
            </w:r>
          </w:p>
        </w:tc>
        <w:tc>
          <w:tcPr>
            <w:tcW w:w="539" w:type="pct"/>
            <w:vMerge w:val="continue"/>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10"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SS</w:t>
            </w:r>
          </w:p>
        </w:tc>
        <w:tc>
          <w:tcPr>
            <w:tcW w:w="95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w:t>
            </w:r>
          </w:p>
        </w:tc>
        <w:tc>
          <w:tcPr>
            <w:tcW w:w="813"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w:t>
            </w:r>
          </w:p>
        </w:tc>
        <w:tc>
          <w:tcPr>
            <w:tcW w:w="895"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c>
          <w:tcPr>
            <w:tcW w:w="850"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7</w:t>
            </w:r>
            <w:r>
              <w:rPr>
                <w:color w:val="000000" w:themeColor="text1"/>
                <w:kern w:val="0"/>
                <w:sz w:val="22"/>
                <w14:textFill>
                  <w14:solidFill>
                    <w14:schemeClr w14:val="tx1"/>
                  </w14:solidFill>
                </w14:textFill>
              </w:rPr>
              <w:t>0</w:t>
            </w:r>
          </w:p>
        </w:tc>
        <w:tc>
          <w:tcPr>
            <w:tcW w:w="443"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w:t>
            </w:r>
          </w:p>
        </w:tc>
        <w:tc>
          <w:tcPr>
            <w:tcW w:w="539" w:type="pct"/>
            <w:vMerge w:val="continue"/>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r>
    </w:tbl>
    <w:p>
      <w:pPr>
        <w:ind w:firstLine="520"/>
        <w:rPr>
          <w:color w:val="000000" w:themeColor="text1"/>
          <w14:textFill>
            <w14:solidFill>
              <w14:schemeClr w14:val="tx1"/>
            </w14:solidFill>
          </w14:textFill>
        </w:rPr>
      </w:pPr>
    </w:p>
    <w:p>
      <w:pPr>
        <w:ind w:firstLine="520"/>
        <w:rPr>
          <w:color w:val="000000" w:themeColor="text1"/>
          <w14:textFill>
            <w14:solidFill>
              <w14:schemeClr w14:val="tx1"/>
            </w14:solidFill>
          </w14:textFill>
        </w:rPr>
      </w:pP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固体废物</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（1）一般固体废物</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一般固体废物污染物有燃煤锅炉炉渣、各布袋除尘器产生的除尘灰、脱硫系统产生的脱硫石膏，以及污泥。产生量和处置情况见表2</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1。</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（2）危险废物</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主要是机修废物（废机油、废润滑油、废含油棉纱手套等），交有资质单位统一处置。</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（3）生活垃圾</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生活垃圾产生量约6</w:t>
      </w:r>
      <w:r>
        <w:rPr>
          <w:color w:val="000000" w:themeColor="text1"/>
          <w14:textFill>
            <w14:solidFill>
              <w14:schemeClr w14:val="tx1"/>
            </w14:solidFill>
          </w14:textFill>
        </w:rPr>
        <w:t>0t/a</w:t>
      </w:r>
      <w:r>
        <w:rPr>
          <w:rFonts w:hint="eastAsia"/>
          <w:color w:val="000000" w:themeColor="text1"/>
          <w14:textFill>
            <w14:solidFill>
              <w14:schemeClr w14:val="tx1"/>
            </w14:solidFill>
          </w14:textFill>
        </w:rPr>
        <w:t>，厂内设置垃圾桶收集，委托环卫部门清运处置。</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固体废物产生、处置情况一览表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7"/>
        <w:gridCol w:w="816"/>
        <w:gridCol w:w="1181"/>
        <w:gridCol w:w="1181"/>
        <w:gridCol w:w="1181"/>
        <w:gridCol w:w="3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36" w:type="pct"/>
            <w:vMerge w:val="restar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固废名称</w:t>
            </w:r>
          </w:p>
        </w:tc>
        <w:tc>
          <w:tcPr>
            <w:tcW w:w="456" w:type="pct"/>
            <w:vMerge w:val="restar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属性</w:t>
            </w:r>
          </w:p>
        </w:tc>
        <w:tc>
          <w:tcPr>
            <w:tcW w:w="1980" w:type="pct"/>
            <w:gridSpan w:val="3"/>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产生量（t</w:t>
            </w:r>
            <w:r>
              <w:rPr>
                <w:color w:val="000000" w:themeColor="text1"/>
                <w:kern w:val="0"/>
                <w:sz w:val="22"/>
                <w14:textFill>
                  <w14:solidFill>
                    <w14:schemeClr w14:val="tx1"/>
                  </w14:solidFill>
                </w14:textFill>
              </w:rPr>
              <w:t>/a</w:t>
            </w:r>
            <w:r>
              <w:rPr>
                <w:rFonts w:hint="eastAsia"/>
                <w:color w:val="000000" w:themeColor="text1"/>
                <w:kern w:val="0"/>
                <w:sz w:val="22"/>
                <w14:textFill>
                  <w14:solidFill>
                    <w14:schemeClr w14:val="tx1"/>
                  </w14:solidFill>
                </w14:textFill>
              </w:rPr>
              <w:t>）</w:t>
            </w:r>
          </w:p>
        </w:tc>
        <w:tc>
          <w:tcPr>
            <w:tcW w:w="1928" w:type="pct"/>
            <w:vMerge w:val="restar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处置情况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36" w:type="pct"/>
            <w:vMerge w:val="continue"/>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c>
          <w:tcPr>
            <w:tcW w:w="456" w:type="pct"/>
            <w:vMerge w:val="continue"/>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c>
          <w:tcPr>
            <w:tcW w:w="66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2</w:t>
            </w:r>
            <w:r>
              <w:rPr>
                <w:color w:val="000000" w:themeColor="text1"/>
                <w:kern w:val="0"/>
                <w:sz w:val="22"/>
                <w14:textFill>
                  <w14:solidFill>
                    <w14:schemeClr w14:val="tx1"/>
                  </w14:solidFill>
                </w14:textFill>
              </w:rPr>
              <w:t>020年</w:t>
            </w:r>
          </w:p>
        </w:tc>
        <w:tc>
          <w:tcPr>
            <w:tcW w:w="66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2</w:t>
            </w:r>
            <w:r>
              <w:rPr>
                <w:color w:val="000000" w:themeColor="text1"/>
                <w:kern w:val="0"/>
                <w:sz w:val="22"/>
                <w14:textFill>
                  <w14:solidFill>
                    <w14:schemeClr w14:val="tx1"/>
                  </w14:solidFill>
                </w14:textFill>
              </w:rPr>
              <w:t>021年</w:t>
            </w:r>
          </w:p>
        </w:tc>
        <w:tc>
          <w:tcPr>
            <w:tcW w:w="66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2</w:t>
            </w:r>
            <w:r>
              <w:rPr>
                <w:color w:val="000000" w:themeColor="text1"/>
                <w:kern w:val="0"/>
                <w:sz w:val="22"/>
                <w14:textFill>
                  <w14:solidFill>
                    <w14:schemeClr w14:val="tx1"/>
                  </w14:solidFill>
                </w14:textFill>
              </w:rPr>
              <w:t>022年</w:t>
            </w:r>
          </w:p>
        </w:tc>
        <w:tc>
          <w:tcPr>
            <w:tcW w:w="1928" w:type="pct"/>
            <w:vMerge w:val="continue"/>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36"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炉渣</w:t>
            </w:r>
          </w:p>
        </w:tc>
        <w:tc>
          <w:tcPr>
            <w:tcW w:w="456" w:type="pct"/>
            <w:vMerge w:val="restar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一般工业固废</w:t>
            </w:r>
          </w:p>
        </w:tc>
        <w:tc>
          <w:tcPr>
            <w:tcW w:w="66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187812.85</w:t>
            </w:r>
          </w:p>
        </w:tc>
        <w:tc>
          <w:tcPr>
            <w:tcW w:w="66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1</w:t>
            </w:r>
            <w:r>
              <w:rPr>
                <w:color w:val="000000" w:themeColor="text1"/>
                <w:kern w:val="0"/>
                <w:sz w:val="22"/>
                <w14:textFill>
                  <w14:solidFill>
                    <w14:schemeClr w14:val="tx1"/>
                  </w14:solidFill>
                </w14:textFill>
              </w:rPr>
              <w:t>08759.91</w:t>
            </w:r>
          </w:p>
        </w:tc>
        <w:tc>
          <w:tcPr>
            <w:tcW w:w="66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157225.36</w:t>
            </w:r>
          </w:p>
        </w:tc>
        <w:tc>
          <w:tcPr>
            <w:tcW w:w="1928"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渣仓</w:t>
            </w:r>
            <w:r>
              <w:rPr>
                <w:rFonts w:hint="eastAsia"/>
                <w:color w:val="000000" w:themeColor="text1"/>
                <w:kern w:val="0"/>
                <w:sz w:val="22"/>
                <w14:textFill>
                  <w14:solidFill>
                    <w14:schemeClr w14:val="tx1"/>
                  </w14:solidFill>
                </w14:textFill>
              </w:rPr>
              <w:t>储存，厂内设1</w:t>
            </w:r>
            <w:r>
              <w:rPr>
                <w:color w:val="000000" w:themeColor="text1"/>
                <w:kern w:val="0"/>
                <w:sz w:val="22"/>
                <w14:textFill>
                  <w14:solidFill>
                    <w14:schemeClr w14:val="tx1"/>
                  </w14:solidFill>
                </w14:textFill>
              </w:rPr>
              <w:t>座渣仓（</w:t>
            </w:r>
            <w:r>
              <w:rPr>
                <w:rFonts w:hint="eastAsia"/>
                <w:color w:val="000000" w:themeColor="text1"/>
                <w:kern w:val="0"/>
                <w:sz w:val="22"/>
                <w14:textFill>
                  <w14:solidFill>
                    <w14:schemeClr w14:val="tx1"/>
                  </w14:solidFill>
                </w14:textFill>
              </w:rPr>
              <w:t>容积1</w:t>
            </w:r>
            <w:r>
              <w:rPr>
                <w:color w:val="000000" w:themeColor="text1"/>
                <w:kern w:val="0"/>
                <w:sz w:val="22"/>
                <w14:textFill>
                  <w14:solidFill>
                    <w14:schemeClr w14:val="tx1"/>
                  </w14:solidFill>
                </w14:textFill>
              </w:rPr>
              <w:t>300m³）</w:t>
            </w:r>
            <w:r>
              <w:rPr>
                <w:rFonts w:hint="eastAsia"/>
                <w:color w:val="000000" w:themeColor="text1"/>
                <w:kern w:val="0"/>
                <w:sz w:val="22"/>
                <w14:textFill>
                  <w14:solidFill>
                    <w14:schemeClr w14:val="tx1"/>
                  </w14:solidFill>
                </w14:textFill>
              </w:rPr>
              <w:t>。外售综合利用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36"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除尘灰</w:t>
            </w:r>
          </w:p>
        </w:tc>
        <w:tc>
          <w:tcPr>
            <w:tcW w:w="456" w:type="pct"/>
            <w:vMerge w:val="continue"/>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c>
          <w:tcPr>
            <w:tcW w:w="66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228504.79</w:t>
            </w:r>
          </w:p>
        </w:tc>
        <w:tc>
          <w:tcPr>
            <w:tcW w:w="66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1</w:t>
            </w:r>
            <w:r>
              <w:rPr>
                <w:color w:val="000000" w:themeColor="text1"/>
                <w:kern w:val="0"/>
                <w:sz w:val="22"/>
                <w14:textFill>
                  <w14:solidFill>
                    <w14:schemeClr w14:val="tx1"/>
                  </w14:solidFill>
                </w14:textFill>
              </w:rPr>
              <w:t>51473.91</w:t>
            </w:r>
          </w:p>
        </w:tc>
        <w:tc>
          <w:tcPr>
            <w:tcW w:w="66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227914.34</w:t>
            </w:r>
          </w:p>
        </w:tc>
        <w:tc>
          <w:tcPr>
            <w:tcW w:w="1928"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灰仓储存，厂内设2</w:t>
            </w:r>
            <w:r>
              <w:rPr>
                <w:color w:val="000000" w:themeColor="text1"/>
                <w:kern w:val="0"/>
                <w:sz w:val="22"/>
                <w14:textFill>
                  <w14:solidFill>
                    <w14:schemeClr w14:val="tx1"/>
                  </w14:solidFill>
                </w14:textFill>
              </w:rPr>
              <w:t>座灰库</w:t>
            </w:r>
            <w:r>
              <w:rPr>
                <w:rFonts w:hint="eastAsia"/>
                <w:color w:val="000000" w:themeColor="text1"/>
                <w:kern w:val="0"/>
                <w:sz w:val="22"/>
                <w14:textFill>
                  <w14:solidFill>
                    <w14:schemeClr w14:val="tx1"/>
                  </w14:solidFill>
                </w14:textFill>
              </w:rPr>
              <w:t>（</w:t>
            </w:r>
            <w:r>
              <w:rPr>
                <w:color w:val="000000" w:themeColor="text1"/>
                <w:kern w:val="0"/>
                <w:sz w:val="22"/>
                <w14:textFill>
                  <w14:solidFill>
                    <w14:schemeClr w14:val="tx1"/>
                  </w14:solidFill>
                </w14:textFill>
              </w:rPr>
              <w:t>容积各</w:t>
            </w:r>
            <w:r>
              <w:rPr>
                <w:rFonts w:hint="eastAsia"/>
                <w:color w:val="000000" w:themeColor="text1"/>
                <w:kern w:val="0"/>
                <w:sz w:val="22"/>
                <w14:textFill>
                  <w14:solidFill>
                    <w14:schemeClr w14:val="tx1"/>
                  </w14:solidFill>
                </w14:textFill>
              </w:rPr>
              <w:t>3</w:t>
            </w:r>
            <w:r>
              <w:rPr>
                <w:color w:val="000000" w:themeColor="text1"/>
                <w:kern w:val="0"/>
                <w:sz w:val="22"/>
                <w14:textFill>
                  <w14:solidFill>
                    <w14:schemeClr w14:val="tx1"/>
                  </w14:solidFill>
                </w14:textFill>
              </w:rPr>
              <w:t>500m</w:t>
            </w:r>
            <w:r>
              <w:rPr>
                <w:color w:val="000000" w:themeColor="text1"/>
                <w:kern w:val="0"/>
                <w:sz w:val="22"/>
                <w:vertAlign w:val="superscript"/>
                <w14:textFill>
                  <w14:solidFill>
                    <w14:schemeClr w14:val="tx1"/>
                  </w14:solidFill>
                </w14:textFill>
              </w:rPr>
              <w:t>3</w:t>
            </w:r>
            <w:r>
              <w:rPr>
                <w:rFonts w:hint="eastAsia"/>
                <w:color w:val="000000" w:themeColor="text1"/>
                <w:kern w:val="0"/>
                <w:sz w:val="22"/>
                <w14:textFill>
                  <w14:solidFill>
                    <w14:schemeClr w14:val="tx1"/>
                  </w14:solidFill>
                </w14:textFill>
              </w:rPr>
              <w:t>）。外售综合利用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36"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脱硫石膏</w:t>
            </w:r>
          </w:p>
        </w:tc>
        <w:tc>
          <w:tcPr>
            <w:tcW w:w="456" w:type="pct"/>
            <w:vMerge w:val="continue"/>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c>
          <w:tcPr>
            <w:tcW w:w="66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15.45</w:t>
            </w:r>
          </w:p>
        </w:tc>
        <w:tc>
          <w:tcPr>
            <w:tcW w:w="66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1</w:t>
            </w:r>
            <w:r>
              <w:rPr>
                <w:color w:val="000000" w:themeColor="text1"/>
                <w:kern w:val="0"/>
                <w:sz w:val="22"/>
                <w14:textFill>
                  <w14:solidFill>
                    <w14:schemeClr w14:val="tx1"/>
                  </w14:solidFill>
                </w14:textFill>
              </w:rPr>
              <w:t>3.0</w:t>
            </w:r>
          </w:p>
        </w:tc>
        <w:tc>
          <w:tcPr>
            <w:tcW w:w="66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1</w:t>
            </w:r>
            <w:r>
              <w:rPr>
                <w:color w:val="000000" w:themeColor="text1"/>
                <w:kern w:val="0"/>
                <w:sz w:val="22"/>
                <w14:textFill>
                  <w14:solidFill>
                    <w14:schemeClr w14:val="tx1"/>
                  </w14:solidFill>
                </w14:textFill>
              </w:rPr>
              <w:t>4.5</w:t>
            </w:r>
          </w:p>
        </w:tc>
        <w:tc>
          <w:tcPr>
            <w:tcW w:w="1928"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场内暂存（脱硫石膏暂存库），外卖多吉再生资源公司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36"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污泥</w:t>
            </w:r>
          </w:p>
        </w:tc>
        <w:tc>
          <w:tcPr>
            <w:tcW w:w="456" w:type="pct"/>
            <w:vMerge w:val="continue"/>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p>
        </w:tc>
        <w:tc>
          <w:tcPr>
            <w:tcW w:w="66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30</w:t>
            </w:r>
          </w:p>
        </w:tc>
        <w:tc>
          <w:tcPr>
            <w:tcW w:w="66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3</w:t>
            </w:r>
            <w:r>
              <w:rPr>
                <w:color w:val="000000" w:themeColor="text1"/>
                <w:kern w:val="0"/>
                <w:sz w:val="22"/>
                <w14:textFill>
                  <w14:solidFill>
                    <w14:schemeClr w14:val="tx1"/>
                  </w14:solidFill>
                </w14:textFill>
              </w:rPr>
              <w:t>0</w:t>
            </w:r>
          </w:p>
        </w:tc>
        <w:tc>
          <w:tcPr>
            <w:tcW w:w="66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3</w:t>
            </w:r>
            <w:r>
              <w:rPr>
                <w:color w:val="000000" w:themeColor="text1"/>
                <w:kern w:val="0"/>
                <w:sz w:val="22"/>
                <w14:textFill>
                  <w14:solidFill>
                    <w14:schemeClr w14:val="tx1"/>
                  </w14:solidFill>
                </w14:textFill>
              </w:rPr>
              <w:t>0</w:t>
            </w:r>
          </w:p>
        </w:tc>
        <w:tc>
          <w:tcPr>
            <w:tcW w:w="1928"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委托环卫部门清运处置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36"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废机油、废润滑油、废含油棉纱手套等</w:t>
            </w:r>
          </w:p>
        </w:tc>
        <w:tc>
          <w:tcPr>
            <w:tcW w:w="456"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危险废物</w:t>
            </w:r>
          </w:p>
        </w:tc>
        <w:tc>
          <w:tcPr>
            <w:tcW w:w="66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10</w:t>
            </w:r>
          </w:p>
        </w:tc>
        <w:tc>
          <w:tcPr>
            <w:tcW w:w="66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10</w:t>
            </w:r>
          </w:p>
        </w:tc>
        <w:tc>
          <w:tcPr>
            <w:tcW w:w="66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10</w:t>
            </w:r>
          </w:p>
        </w:tc>
        <w:tc>
          <w:tcPr>
            <w:tcW w:w="1928"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交有资质单位统一处置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92" w:type="pct"/>
            <w:gridSpan w:val="2"/>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生活垃圾</w:t>
            </w:r>
          </w:p>
        </w:tc>
        <w:tc>
          <w:tcPr>
            <w:tcW w:w="66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60</w:t>
            </w:r>
          </w:p>
        </w:tc>
        <w:tc>
          <w:tcPr>
            <w:tcW w:w="66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60</w:t>
            </w:r>
          </w:p>
        </w:tc>
        <w:tc>
          <w:tcPr>
            <w:tcW w:w="660" w:type="pct"/>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r>
              <w:rPr>
                <w:rFonts w:hint="eastAsia"/>
                <w:color w:val="000000" w:themeColor="text1"/>
                <w:kern w:val="0"/>
                <w:sz w:val="22"/>
                <w14:textFill>
                  <w14:solidFill>
                    <w14:schemeClr w14:val="tx1"/>
                  </w14:solidFill>
                </w14:textFill>
              </w:rPr>
              <w:t>6</w:t>
            </w:r>
            <w:r>
              <w:rPr>
                <w:color w:val="000000" w:themeColor="text1"/>
                <w:kern w:val="0"/>
                <w:sz w:val="22"/>
                <w14:textFill>
                  <w14:solidFill>
                    <w14:schemeClr w14:val="tx1"/>
                  </w14:solidFill>
                </w14:textFill>
              </w:rPr>
              <w:t>0</w:t>
            </w:r>
          </w:p>
        </w:tc>
        <w:tc>
          <w:tcPr>
            <w:tcW w:w="1928" w:type="pct"/>
            <w:shd w:val="clear" w:color="auto" w:fill="auto"/>
            <w:vAlign w:val="center"/>
          </w:tcPr>
          <w:p>
            <w:pPr>
              <w:widowControl/>
              <w:adjustRightInd/>
              <w:snapToGrid/>
              <w:spacing w:line="240" w:lineRule="auto"/>
              <w:ind w:firstLine="0" w:firstLineChars="0"/>
              <w:jc w:val="center"/>
              <w:rPr>
                <w:color w:val="000000" w:themeColor="text1"/>
                <w:kern w:val="0"/>
                <w:sz w:val="22"/>
                <w14:textFill>
                  <w14:solidFill>
                    <w14:schemeClr w14:val="tx1"/>
                  </w14:solidFill>
                </w14:textFill>
              </w:rPr>
            </w:pPr>
            <w:bookmarkStart w:id="72" w:name="_Hlk99713539"/>
            <w:r>
              <w:rPr>
                <w:rFonts w:hint="eastAsia"/>
                <w:color w:val="000000" w:themeColor="text1"/>
                <w:kern w:val="0"/>
                <w:sz w:val="22"/>
                <w14:textFill>
                  <w14:solidFill>
                    <w14:schemeClr w14:val="tx1"/>
                  </w14:solidFill>
                </w14:textFill>
              </w:rPr>
              <w:t>垃圾桶收集，委托环卫部门清运处置</w:t>
            </w:r>
            <w:bookmarkEnd w:id="72"/>
          </w:p>
        </w:tc>
      </w:tr>
    </w:tbl>
    <w:p>
      <w:pPr>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*备注：炉渣量、除尘灰量来源于企业排污许可年度执行报告，其他量来源于建设单位估算。</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r>
        <w:rPr>
          <w:rFonts w:hint="eastAsia"/>
          <w:color w:val="000000" w:themeColor="text1"/>
          <w:lang w:eastAsia="zh-CN"/>
          <w14:textFill>
            <w14:solidFill>
              <w14:schemeClr w14:val="tx1"/>
            </w14:solidFill>
          </w14:textFill>
        </w:rPr>
        <w:t>主要</w:t>
      </w:r>
      <w:r>
        <w:rPr>
          <w:rFonts w:hint="eastAsia"/>
          <w:color w:val="000000" w:themeColor="text1"/>
          <w14:textFill>
            <w14:solidFill>
              <w14:schemeClr w14:val="tx1"/>
            </w14:solidFill>
          </w14:textFill>
        </w:rPr>
        <w:t>来源于锅炉风机、水泵、物料运输等，现有工程主要通过建筑隔声、距离衰减控制噪声影响。根据《</w:t>
      </w:r>
      <w:r>
        <w:rPr>
          <w:color w:val="000000" w:themeColor="text1"/>
          <w14:textFill>
            <w14:solidFill>
              <w14:schemeClr w14:val="tx1"/>
            </w14:solidFill>
          </w14:textFill>
        </w:rPr>
        <w:t>重庆中机龙桥热电有限公司 1×300MW 机组脱硫、脱硝、除尘超低排放改造工程</w:t>
      </w:r>
      <w:r>
        <w:rPr>
          <w:rFonts w:hint="eastAsia"/>
          <w:color w:val="000000" w:themeColor="text1"/>
          <w14:textFill>
            <w14:solidFill>
              <w14:schemeClr w14:val="tx1"/>
            </w14:solidFill>
          </w14:textFill>
        </w:rPr>
        <w:t>环评监测报告》对西北侧、东侧、南侧厂界噪声监测结果（监测时间：2</w:t>
      </w:r>
      <w:r>
        <w:rPr>
          <w:color w:val="000000" w:themeColor="text1"/>
          <w14:textFill>
            <w14:solidFill>
              <w14:schemeClr w14:val="tx1"/>
            </w14:solidFill>
          </w14:textFill>
        </w:rPr>
        <w:t>019</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日、</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日）、</w:t>
      </w:r>
      <w:r>
        <w:rPr>
          <w:color w:val="000000" w:themeColor="text1"/>
          <w14:textFill>
            <w14:solidFill>
              <w14:schemeClr w14:val="tx1"/>
            </w14:solidFill>
          </w14:textFill>
        </w:rPr>
        <w:t>《重庆中机龙桥热电有限公司</w:t>
      </w:r>
      <w:r>
        <w:rPr>
          <w:rFonts w:hint="eastAsia"/>
          <w:color w:val="000000" w:themeColor="text1"/>
          <w14:textFill>
            <w14:solidFill>
              <w14:schemeClr w14:val="tx1"/>
            </w14:solidFill>
          </w14:textFill>
        </w:rPr>
        <w:t>2×65t/h供热燃气蒸汽锅炉建设项目（一阶段）</w:t>
      </w:r>
      <w:r>
        <w:rPr>
          <w:color w:val="000000" w:themeColor="text1"/>
          <w14:textFill>
            <w14:solidFill>
              <w14:schemeClr w14:val="tx1"/>
            </w14:solidFill>
          </w14:textFill>
        </w:rPr>
        <w:t>竣工环境</w:t>
      </w:r>
      <w:r>
        <w:rPr>
          <w:rFonts w:hint="eastAsia"/>
          <w:color w:val="000000" w:themeColor="text1"/>
          <w14:textFill>
            <w14:solidFill>
              <w14:schemeClr w14:val="tx1"/>
            </w14:solidFill>
          </w14:textFill>
        </w:rPr>
        <w:t>保护</w:t>
      </w:r>
      <w:r>
        <w:rPr>
          <w:color w:val="000000" w:themeColor="text1"/>
          <w14:textFill>
            <w14:solidFill>
              <w14:schemeClr w14:val="tx1"/>
            </w14:solidFill>
          </w14:textFill>
        </w:rPr>
        <w:t>验收监测报告》</w:t>
      </w:r>
      <w:r>
        <w:rPr>
          <w:rFonts w:hint="eastAsia"/>
          <w:color w:val="000000" w:themeColor="text1"/>
          <w14:textFill>
            <w14:solidFill>
              <w14:schemeClr w14:val="tx1"/>
            </w14:solidFill>
          </w14:textFill>
        </w:rPr>
        <w:t>对东侧和南侧厂界噪声监测结果（监测时间：2</w:t>
      </w:r>
      <w:r>
        <w:rPr>
          <w:color w:val="000000" w:themeColor="text1"/>
          <w14:textFill>
            <w14:solidFill>
              <w14:schemeClr w14:val="tx1"/>
            </w14:solidFill>
          </w14:textFill>
        </w:rPr>
        <w:t>020</w:t>
      </w:r>
      <w:r>
        <w:rPr>
          <w:rFonts w:hint="eastAsia"/>
          <w:color w:val="000000" w:themeColor="text1"/>
          <w14:textFill>
            <w14:solidFill>
              <w14:schemeClr w14:val="tx1"/>
            </w14:solidFill>
          </w14:textFill>
        </w:rPr>
        <w:t>年1月9日、1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日），以及《</w:t>
      </w:r>
      <w:r>
        <w:rPr>
          <w:bCs/>
          <w:color w:val="000000" w:themeColor="text1"/>
          <w14:textFill>
            <w14:solidFill>
              <w14:schemeClr w14:val="tx1"/>
            </w14:solidFill>
          </w14:textFill>
        </w:rPr>
        <w:t>1×300MW机组脱硫、脱硝、除尘超低排放改造工程</w:t>
      </w:r>
      <w:r>
        <w:rPr>
          <w:rFonts w:hint="eastAsia"/>
          <w:bCs/>
          <w:color w:val="000000" w:themeColor="text1"/>
          <w14:textFill>
            <w14:solidFill>
              <w14:schemeClr w14:val="tx1"/>
            </w14:solidFill>
          </w14:textFill>
        </w:rPr>
        <w:t>竣工环保验收监测</w:t>
      </w:r>
      <w:r>
        <w:rPr>
          <w:bCs/>
          <w:color w:val="000000" w:themeColor="text1"/>
          <w14:textFill>
            <w14:solidFill>
              <w14:schemeClr w14:val="tx1"/>
            </w14:solidFill>
          </w14:textFill>
        </w:rPr>
        <w:t>报告</w:t>
      </w:r>
      <w:r>
        <w:rPr>
          <w:rFonts w:hint="eastAsia"/>
          <w:color w:val="000000" w:themeColor="text1"/>
          <w14:textFill>
            <w14:solidFill>
              <w14:schemeClr w14:val="tx1"/>
            </w14:solidFill>
          </w14:textFill>
        </w:rPr>
        <w:t>》对北侧和东侧厂界噪声监测结果（监测时间：2</w:t>
      </w:r>
      <w:r>
        <w:rPr>
          <w:color w:val="000000" w:themeColor="text1"/>
          <w14:textFill>
            <w14:solidFill>
              <w14:schemeClr w14:val="tx1"/>
            </w14:solidFill>
          </w14:textFill>
        </w:rPr>
        <w:t>021</w:t>
      </w:r>
      <w:r>
        <w:rPr>
          <w:rFonts w:hint="eastAsia"/>
          <w:color w:val="000000" w:themeColor="text1"/>
          <w14:textFill>
            <w14:solidFill>
              <w14:schemeClr w14:val="tx1"/>
            </w14:solidFill>
          </w14:textFill>
        </w:rPr>
        <w:t>年7月1</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日、1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日），现有工程厂界噪声满足</w:t>
      </w:r>
      <w:r>
        <w:rPr>
          <w:color w:val="000000" w:themeColor="text1"/>
          <w14:textFill>
            <w14:solidFill>
              <w14:schemeClr w14:val="tx1"/>
            </w14:solidFill>
          </w14:textFill>
        </w:rPr>
        <w:t>《工业企业厂界环境噪声排放标准》（GB12348-2008）中3类标准</w:t>
      </w:r>
      <w:r>
        <w:rPr>
          <w:rFonts w:hint="eastAsia"/>
          <w:color w:val="000000" w:themeColor="text1"/>
          <w14:textFill>
            <w14:solidFill>
              <w14:schemeClr w14:val="tx1"/>
            </w14:solidFill>
          </w14:textFill>
        </w:rPr>
        <w:t>。具体见表2</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厂界噪声监测结果和达标判定</w:t>
      </w:r>
    </w:p>
    <w:tbl>
      <w:tblPr>
        <w:tblStyle w:val="43"/>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1407"/>
        <w:gridCol w:w="1409"/>
        <w:gridCol w:w="1196"/>
        <w:gridCol w:w="821"/>
        <w:gridCol w:w="884"/>
        <w:gridCol w:w="884"/>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Merge w:val="restart"/>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监测点位</w:t>
            </w:r>
          </w:p>
        </w:tc>
        <w:tc>
          <w:tcPr>
            <w:tcW w:w="2816" w:type="dxa"/>
            <w:gridSpan w:val="2"/>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w:t>
            </w:r>
            <w:r>
              <w:rPr>
                <w:color w:val="000000" w:themeColor="text1"/>
                <w:sz w:val="22"/>
                <w14:textFill>
                  <w14:solidFill>
                    <w14:schemeClr w14:val="tx1"/>
                  </w14:solidFill>
                </w14:textFill>
              </w:rPr>
              <w:t>019年2月2日、3日</w:t>
            </w:r>
            <w:r>
              <w:rPr>
                <w:rFonts w:hint="eastAsia"/>
                <w:color w:val="000000" w:themeColor="text1"/>
                <w:sz w:val="22"/>
                <w14:textFill>
                  <w14:solidFill>
                    <w14:schemeClr w14:val="tx1"/>
                  </w14:solidFill>
                </w14:textFill>
              </w:rPr>
              <w:t>监测结果</w:t>
            </w:r>
          </w:p>
        </w:tc>
        <w:tc>
          <w:tcPr>
            <w:tcW w:w="2017" w:type="dxa"/>
            <w:gridSpan w:val="2"/>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w:t>
            </w:r>
            <w:r>
              <w:rPr>
                <w:color w:val="000000" w:themeColor="text1"/>
                <w:sz w:val="22"/>
                <w14:textFill>
                  <w14:solidFill>
                    <w14:schemeClr w14:val="tx1"/>
                  </w14:solidFill>
                </w14:textFill>
              </w:rPr>
              <w:t>020年</w:t>
            </w:r>
            <w:r>
              <w:rPr>
                <w:rFonts w:hint="eastAsia"/>
                <w:color w:val="000000" w:themeColor="text1"/>
                <w:sz w:val="22"/>
                <w14:textFill>
                  <w14:solidFill>
                    <w14:schemeClr w14:val="tx1"/>
                  </w14:solidFill>
                </w14:textFill>
              </w:rPr>
              <w:t>1</w:t>
            </w:r>
            <w:r>
              <w:rPr>
                <w:color w:val="000000" w:themeColor="text1"/>
                <w:sz w:val="22"/>
                <w14:textFill>
                  <w14:solidFill>
                    <w14:schemeClr w14:val="tx1"/>
                  </w14:solidFill>
                </w14:textFill>
              </w:rPr>
              <w:t>月</w:t>
            </w:r>
            <w:r>
              <w:rPr>
                <w:rFonts w:hint="eastAsia"/>
                <w:color w:val="000000" w:themeColor="text1"/>
                <w:sz w:val="22"/>
                <w14:textFill>
                  <w14:solidFill>
                    <w14:schemeClr w14:val="tx1"/>
                  </w14:solidFill>
                </w14:textFill>
              </w:rPr>
              <w:t>9日</w:t>
            </w:r>
            <w:r>
              <w:rPr>
                <w:color w:val="000000" w:themeColor="text1"/>
                <w:sz w:val="22"/>
                <w14:textFill>
                  <w14:solidFill>
                    <w14:schemeClr w14:val="tx1"/>
                  </w14:solidFill>
                </w14:textFill>
              </w:rPr>
              <w:t>、</w:t>
            </w:r>
            <w:r>
              <w:rPr>
                <w:rFonts w:hint="eastAsia"/>
                <w:color w:val="000000" w:themeColor="text1"/>
                <w:sz w:val="22"/>
                <w14:textFill>
                  <w14:solidFill>
                    <w14:schemeClr w14:val="tx1"/>
                  </w14:solidFill>
                </w14:textFill>
              </w:rPr>
              <w:t>1</w:t>
            </w:r>
            <w:r>
              <w:rPr>
                <w:color w:val="000000" w:themeColor="text1"/>
                <w:sz w:val="22"/>
                <w14:textFill>
                  <w14:solidFill>
                    <w14:schemeClr w14:val="tx1"/>
                  </w14:solidFill>
                </w14:textFill>
              </w:rPr>
              <w:t>0日</w:t>
            </w:r>
            <w:r>
              <w:rPr>
                <w:rFonts w:hint="eastAsia"/>
                <w:color w:val="000000" w:themeColor="text1"/>
                <w:sz w:val="22"/>
                <w14:textFill>
                  <w14:solidFill>
                    <w14:schemeClr w14:val="tx1"/>
                  </w14:solidFill>
                </w14:textFill>
              </w:rPr>
              <w:t>监测结果</w:t>
            </w:r>
          </w:p>
        </w:tc>
        <w:tc>
          <w:tcPr>
            <w:tcW w:w="1768" w:type="dxa"/>
            <w:gridSpan w:val="2"/>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w:t>
            </w:r>
            <w:r>
              <w:rPr>
                <w:color w:val="000000" w:themeColor="text1"/>
                <w:sz w:val="22"/>
                <w14:textFill>
                  <w14:solidFill>
                    <w14:schemeClr w14:val="tx1"/>
                  </w14:solidFill>
                </w14:textFill>
              </w:rPr>
              <w:t>021年</w:t>
            </w:r>
            <w:r>
              <w:rPr>
                <w:rFonts w:hint="eastAsia"/>
                <w:color w:val="000000" w:themeColor="text1"/>
                <w:sz w:val="22"/>
                <w14:textFill>
                  <w14:solidFill>
                    <w14:schemeClr w14:val="tx1"/>
                  </w14:solidFill>
                </w14:textFill>
              </w:rPr>
              <w:t>7</w:t>
            </w:r>
            <w:r>
              <w:rPr>
                <w:color w:val="000000" w:themeColor="text1"/>
                <w:sz w:val="22"/>
                <w14:textFill>
                  <w14:solidFill>
                    <w14:schemeClr w14:val="tx1"/>
                  </w14:solidFill>
                </w14:textFill>
              </w:rPr>
              <w:t>月</w:t>
            </w:r>
            <w:r>
              <w:rPr>
                <w:rFonts w:hint="eastAsia"/>
                <w:color w:val="000000" w:themeColor="text1"/>
                <w:sz w:val="22"/>
                <w14:textFill>
                  <w14:solidFill>
                    <w14:schemeClr w14:val="tx1"/>
                  </w14:solidFill>
                </w14:textFill>
              </w:rPr>
              <w:t>1</w:t>
            </w:r>
            <w:r>
              <w:rPr>
                <w:color w:val="000000" w:themeColor="text1"/>
                <w:sz w:val="22"/>
                <w14:textFill>
                  <w14:solidFill>
                    <w14:schemeClr w14:val="tx1"/>
                  </w14:solidFill>
                </w14:textFill>
              </w:rPr>
              <w:t>4日、</w:t>
            </w:r>
            <w:r>
              <w:rPr>
                <w:rFonts w:hint="eastAsia"/>
                <w:color w:val="000000" w:themeColor="text1"/>
                <w:sz w:val="22"/>
                <w14:textFill>
                  <w14:solidFill>
                    <w14:schemeClr w14:val="tx1"/>
                  </w14:solidFill>
                </w14:textFill>
              </w:rPr>
              <w:t>1</w:t>
            </w:r>
            <w:r>
              <w:rPr>
                <w:color w:val="000000" w:themeColor="text1"/>
                <w:sz w:val="22"/>
                <w14:textFill>
                  <w14:solidFill>
                    <w14:schemeClr w14:val="tx1"/>
                  </w14:solidFill>
                </w14:textFill>
              </w:rPr>
              <w:t>5日</w:t>
            </w:r>
            <w:r>
              <w:rPr>
                <w:rFonts w:hint="eastAsia"/>
                <w:color w:val="000000" w:themeColor="text1"/>
                <w:sz w:val="22"/>
                <w14:textFill>
                  <w14:solidFill>
                    <w14:schemeClr w14:val="tx1"/>
                  </w14:solidFill>
                </w14:textFill>
              </w:rPr>
              <w:t>监测结果</w:t>
            </w:r>
          </w:p>
        </w:tc>
        <w:tc>
          <w:tcPr>
            <w:tcW w:w="705" w:type="dxa"/>
            <w:vMerge w:val="restart"/>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Merge w:val="continue"/>
            <w:vAlign w:val="center"/>
          </w:tcPr>
          <w:p>
            <w:pPr>
              <w:spacing w:line="240" w:lineRule="auto"/>
              <w:ind w:firstLine="0" w:firstLineChars="0"/>
              <w:jc w:val="center"/>
              <w:rPr>
                <w:color w:val="000000" w:themeColor="text1"/>
                <w:sz w:val="22"/>
                <w14:textFill>
                  <w14:solidFill>
                    <w14:schemeClr w14:val="tx1"/>
                  </w14:solidFill>
                </w14:textFill>
              </w:rPr>
            </w:pPr>
          </w:p>
        </w:tc>
        <w:tc>
          <w:tcPr>
            <w:tcW w:w="1407"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昼间</w:t>
            </w:r>
          </w:p>
        </w:tc>
        <w:tc>
          <w:tcPr>
            <w:tcW w:w="1409"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夜间</w:t>
            </w:r>
          </w:p>
        </w:tc>
        <w:tc>
          <w:tcPr>
            <w:tcW w:w="1196"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昼间</w:t>
            </w:r>
          </w:p>
        </w:tc>
        <w:tc>
          <w:tcPr>
            <w:tcW w:w="821"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夜间</w:t>
            </w:r>
          </w:p>
        </w:tc>
        <w:tc>
          <w:tcPr>
            <w:tcW w:w="884"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昼间</w:t>
            </w:r>
          </w:p>
        </w:tc>
        <w:tc>
          <w:tcPr>
            <w:tcW w:w="884"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夜间</w:t>
            </w:r>
          </w:p>
        </w:tc>
        <w:tc>
          <w:tcPr>
            <w:tcW w:w="705" w:type="dxa"/>
            <w:vMerge w:val="continue"/>
            <w:vAlign w:val="center"/>
          </w:tcPr>
          <w:p>
            <w:pPr>
              <w:spacing w:line="240" w:lineRule="auto"/>
              <w:ind w:firstLine="0" w:firstLineChars="0"/>
              <w:jc w:val="center"/>
              <w:rPr>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西北侧厂界</w:t>
            </w:r>
          </w:p>
        </w:tc>
        <w:tc>
          <w:tcPr>
            <w:tcW w:w="1407"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57.9</w:t>
            </w:r>
            <w:r>
              <w:rPr>
                <w:rFonts w:hint="eastAsia"/>
                <w:color w:val="000000" w:themeColor="text1"/>
                <w:sz w:val="22"/>
                <w14:textFill>
                  <w14:solidFill>
                    <w14:schemeClr w14:val="tx1"/>
                  </w14:solidFill>
                </w14:textFill>
              </w:rPr>
              <w:t>~</w:t>
            </w:r>
            <w:r>
              <w:rPr>
                <w:color w:val="000000" w:themeColor="text1"/>
                <w:sz w:val="22"/>
                <w14:textFill>
                  <w14:solidFill>
                    <w14:schemeClr w14:val="tx1"/>
                  </w14:solidFill>
                </w14:textFill>
              </w:rPr>
              <w:t>58.3</w:t>
            </w:r>
          </w:p>
        </w:tc>
        <w:tc>
          <w:tcPr>
            <w:tcW w:w="1409"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w:t>
            </w:r>
            <w:r>
              <w:rPr>
                <w:color w:val="000000" w:themeColor="text1"/>
                <w:sz w:val="22"/>
                <w14:textFill>
                  <w14:solidFill>
                    <w14:schemeClr w14:val="tx1"/>
                  </w14:solidFill>
                </w14:textFill>
              </w:rPr>
              <w:t>9.6</w:t>
            </w:r>
            <w:r>
              <w:rPr>
                <w:rFonts w:hint="eastAsia"/>
                <w:color w:val="000000" w:themeColor="text1"/>
                <w:sz w:val="22"/>
                <w14:textFill>
                  <w14:solidFill>
                    <w14:schemeClr w14:val="tx1"/>
                  </w14:solidFill>
                </w14:textFill>
              </w:rPr>
              <w:t>~</w:t>
            </w:r>
            <w:r>
              <w:rPr>
                <w:color w:val="000000" w:themeColor="text1"/>
                <w:sz w:val="22"/>
                <w14:textFill>
                  <w14:solidFill>
                    <w14:schemeClr w14:val="tx1"/>
                  </w14:solidFill>
                </w14:textFill>
              </w:rPr>
              <w:t>50.6</w:t>
            </w:r>
          </w:p>
        </w:tc>
        <w:tc>
          <w:tcPr>
            <w:tcW w:w="1196"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w:t>
            </w:r>
          </w:p>
        </w:tc>
        <w:tc>
          <w:tcPr>
            <w:tcW w:w="821"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w:t>
            </w:r>
          </w:p>
        </w:tc>
        <w:tc>
          <w:tcPr>
            <w:tcW w:w="884"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w:t>
            </w:r>
          </w:p>
        </w:tc>
        <w:tc>
          <w:tcPr>
            <w:tcW w:w="884"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w:t>
            </w:r>
          </w:p>
        </w:tc>
        <w:tc>
          <w:tcPr>
            <w:tcW w:w="705"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东侧厂界</w:t>
            </w:r>
          </w:p>
        </w:tc>
        <w:tc>
          <w:tcPr>
            <w:tcW w:w="1407"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57.3</w:t>
            </w:r>
            <w:r>
              <w:rPr>
                <w:rFonts w:hint="eastAsia"/>
                <w:color w:val="000000" w:themeColor="text1"/>
                <w:sz w:val="22"/>
                <w14:textFill>
                  <w14:solidFill>
                    <w14:schemeClr w14:val="tx1"/>
                  </w14:solidFill>
                </w14:textFill>
              </w:rPr>
              <w:t>~</w:t>
            </w:r>
            <w:r>
              <w:rPr>
                <w:color w:val="000000" w:themeColor="text1"/>
                <w:sz w:val="22"/>
                <w14:textFill>
                  <w14:solidFill>
                    <w14:schemeClr w14:val="tx1"/>
                  </w14:solidFill>
                </w14:textFill>
              </w:rPr>
              <w:t>57.4</w:t>
            </w:r>
          </w:p>
        </w:tc>
        <w:tc>
          <w:tcPr>
            <w:tcW w:w="1409"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49.3</w:t>
            </w:r>
            <w:r>
              <w:rPr>
                <w:rFonts w:hint="eastAsia"/>
                <w:color w:val="000000" w:themeColor="text1"/>
                <w:sz w:val="22"/>
                <w14:textFill>
                  <w14:solidFill>
                    <w14:schemeClr w14:val="tx1"/>
                  </w14:solidFill>
                </w14:textFill>
              </w:rPr>
              <w:t>~</w:t>
            </w:r>
            <w:r>
              <w:rPr>
                <w:color w:val="000000" w:themeColor="text1"/>
                <w:sz w:val="22"/>
                <w14:textFill>
                  <w14:solidFill>
                    <w14:schemeClr w14:val="tx1"/>
                  </w14:solidFill>
                </w14:textFill>
              </w:rPr>
              <w:t>50.8</w:t>
            </w:r>
          </w:p>
        </w:tc>
        <w:tc>
          <w:tcPr>
            <w:tcW w:w="1196"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w:t>
            </w:r>
            <w:r>
              <w:rPr>
                <w:color w:val="000000" w:themeColor="text1"/>
                <w:sz w:val="22"/>
                <w14:textFill>
                  <w14:solidFill>
                    <w14:schemeClr w14:val="tx1"/>
                  </w14:solidFill>
                </w14:textFill>
              </w:rPr>
              <w:t>0~51</w:t>
            </w:r>
          </w:p>
        </w:tc>
        <w:tc>
          <w:tcPr>
            <w:tcW w:w="821"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w:t>
            </w:r>
            <w:r>
              <w:rPr>
                <w:color w:val="000000" w:themeColor="text1"/>
                <w:sz w:val="22"/>
                <w14:textFill>
                  <w14:solidFill>
                    <w14:schemeClr w14:val="tx1"/>
                  </w14:solidFill>
                </w14:textFill>
              </w:rPr>
              <w:t>9</w:t>
            </w:r>
          </w:p>
        </w:tc>
        <w:tc>
          <w:tcPr>
            <w:tcW w:w="884"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w:t>
            </w:r>
            <w:r>
              <w:rPr>
                <w:color w:val="000000" w:themeColor="text1"/>
                <w:sz w:val="22"/>
                <w14:textFill>
                  <w14:solidFill>
                    <w14:schemeClr w14:val="tx1"/>
                  </w14:solidFill>
                </w14:textFill>
              </w:rPr>
              <w:t>7</w:t>
            </w:r>
          </w:p>
        </w:tc>
        <w:tc>
          <w:tcPr>
            <w:tcW w:w="884"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w:t>
            </w:r>
            <w:r>
              <w:rPr>
                <w:color w:val="000000" w:themeColor="text1"/>
                <w:sz w:val="22"/>
                <w14:textFill>
                  <w14:solidFill>
                    <w14:schemeClr w14:val="tx1"/>
                  </w14:solidFill>
                </w14:textFill>
              </w:rPr>
              <w:t>4</w:t>
            </w:r>
          </w:p>
        </w:tc>
        <w:tc>
          <w:tcPr>
            <w:tcW w:w="705"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南侧厂界（输煤系统南侧）</w:t>
            </w:r>
          </w:p>
        </w:tc>
        <w:tc>
          <w:tcPr>
            <w:tcW w:w="1407"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w:t>
            </w:r>
            <w:r>
              <w:rPr>
                <w:color w:val="000000" w:themeColor="text1"/>
                <w:sz w:val="22"/>
                <w14:textFill>
                  <w14:solidFill>
                    <w14:schemeClr w14:val="tx1"/>
                  </w14:solidFill>
                </w14:textFill>
              </w:rPr>
              <w:t>8.9</w:t>
            </w:r>
            <w:r>
              <w:rPr>
                <w:rFonts w:hint="eastAsia"/>
                <w:color w:val="000000" w:themeColor="text1"/>
                <w:sz w:val="22"/>
                <w14:textFill>
                  <w14:solidFill>
                    <w14:schemeClr w14:val="tx1"/>
                  </w14:solidFill>
                </w14:textFill>
              </w:rPr>
              <w:t>~</w:t>
            </w:r>
            <w:r>
              <w:rPr>
                <w:color w:val="000000" w:themeColor="text1"/>
                <w:sz w:val="22"/>
                <w14:textFill>
                  <w14:solidFill>
                    <w14:schemeClr w14:val="tx1"/>
                  </w14:solidFill>
                </w14:textFill>
              </w:rPr>
              <w:t>59.2</w:t>
            </w:r>
          </w:p>
        </w:tc>
        <w:tc>
          <w:tcPr>
            <w:tcW w:w="1409"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w:t>
            </w:r>
            <w:r>
              <w:rPr>
                <w:color w:val="000000" w:themeColor="text1"/>
                <w:sz w:val="22"/>
                <w14:textFill>
                  <w14:solidFill>
                    <w14:schemeClr w14:val="tx1"/>
                  </w14:solidFill>
                </w14:textFill>
              </w:rPr>
              <w:t>1.9</w:t>
            </w:r>
          </w:p>
        </w:tc>
        <w:tc>
          <w:tcPr>
            <w:tcW w:w="1196"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w:t>
            </w:r>
          </w:p>
        </w:tc>
        <w:tc>
          <w:tcPr>
            <w:tcW w:w="821"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w:t>
            </w:r>
          </w:p>
        </w:tc>
        <w:tc>
          <w:tcPr>
            <w:tcW w:w="884"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w:t>
            </w:r>
            <w:r>
              <w:rPr>
                <w:color w:val="000000" w:themeColor="text1"/>
                <w:sz w:val="22"/>
                <w14:textFill>
                  <w14:solidFill>
                    <w14:schemeClr w14:val="tx1"/>
                  </w14:solidFill>
                </w14:textFill>
              </w:rPr>
              <w:t>6</w:t>
            </w:r>
          </w:p>
        </w:tc>
        <w:tc>
          <w:tcPr>
            <w:tcW w:w="884"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w:t>
            </w:r>
            <w:r>
              <w:rPr>
                <w:color w:val="000000" w:themeColor="text1"/>
                <w:sz w:val="22"/>
                <w14:textFill>
                  <w14:solidFill>
                    <w14:schemeClr w14:val="tx1"/>
                  </w14:solidFill>
                </w14:textFill>
              </w:rPr>
              <w:t>3</w:t>
            </w:r>
          </w:p>
        </w:tc>
        <w:tc>
          <w:tcPr>
            <w:tcW w:w="705"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0" w:type="dxa"/>
            <w:gridSpan w:val="8"/>
            <w:vAlign w:val="center"/>
          </w:tcPr>
          <w:p>
            <w:pPr>
              <w:spacing w:line="240" w:lineRule="auto"/>
              <w:ind w:firstLine="0" w:firstLineChars="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标准限值：</w:t>
            </w:r>
            <w:r>
              <w:rPr>
                <w:color w:val="000000" w:themeColor="text1"/>
                <w:sz w:val="22"/>
                <w14:textFill>
                  <w14:solidFill>
                    <w14:schemeClr w14:val="tx1"/>
                  </w14:solidFill>
                </w14:textFill>
              </w:rPr>
              <w:t>昼间65dB，夜间55dB</w:t>
            </w:r>
            <w:r>
              <w:rPr>
                <w:rFonts w:hint="eastAsia"/>
                <w:color w:val="000000" w:themeColor="text1"/>
                <w:sz w:val="22"/>
                <w14:textFill>
                  <w14:solidFill>
                    <w14:schemeClr w14:val="tx1"/>
                  </w14:solidFill>
                </w14:textFill>
              </w:rPr>
              <w:t>。</w:t>
            </w:r>
          </w:p>
        </w:tc>
      </w:tr>
    </w:tbl>
    <w:p>
      <w:pPr>
        <w:pStyle w:val="3"/>
      </w:pPr>
      <w:bookmarkStart w:id="73" w:name="_Toc109888249"/>
      <w:r>
        <w:rPr>
          <w:rFonts w:hint="eastAsia"/>
        </w:rPr>
        <w:t>主要环保问题及 “以新带老”措施</w:t>
      </w:r>
      <w:bookmarkEnd w:id="73"/>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根据调查，现有工程已完成排污许可申报、通过竣工环保验收，并按要求完成了例行监测和排污许可执行报告。现场环保措施落实到位，污染治理设施运行正常，未发现企业有明显环保遗留问题。</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本项目为利用现有循环流化床锅炉处置太极制药产生的醇沉药渣，依托现有的设施，能够满足达标排放需求，不新增污染物排放总量，因此本项目无“以新带老”的环保措施。</w:t>
      </w:r>
    </w:p>
    <w:p>
      <w:pPr>
        <w:ind w:firstLine="520"/>
        <w:rPr>
          <w:color w:val="000000" w:themeColor="text1"/>
          <w14:textFill>
            <w14:solidFill>
              <w14:schemeClr w14:val="tx1"/>
            </w14:solidFill>
          </w14:textFill>
        </w:rPr>
        <w:sectPr>
          <w:pgSz w:w="11906" w:h="16838"/>
          <w:pgMar w:top="1701" w:right="1588" w:bottom="1588" w:left="1588" w:header="1191" w:footer="1134" w:gutter="0"/>
          <w:cols w:space="425" w:num="1"/>
          <w:docGrid w:type="lines" w:linePitch="312" w:charSpace="0"/>
        </w:sectPr>
      </w:pPr>
    </w:p>
    <w:p>
      <w:pPr>
        <w:pStyle w:val="2"/>
        <w:sectPr>
          <w:headerReference r:id="rId20" w:type="even"/>
          <w:type w:val="continuous"/>
          <w:pgSz w:w="11906" w:h="16838"/>
          <w:pgMar w:top="1418" w:right="1418" w:bottom="1418" w:left="1701" w:header="851" w:footer="992" w:gutter="0"/>
          <w:cols w:space="425" w:num="1"/>
          <w:docGrid w:type="linesAndChars" w:linePitch="312" w:charSpace="0"/>
        </w:sectPr>
      </w:pPr>
    </w:p>
    <w:p>
      <w:pPr>
        <w:pStyle w:val="2"/>
      </w:pPr>
      <w:bookmarkStart w:id="74" w:name="_Toc109888250"/>
      <w:r>
        <w:rPr>
          <w:rFonts w:hint="eastAsia"/>
        </w:rPr>
        <w:t>建设项目工程分析</w:t>
      </w:r>
      <w:bookmarkEnd w:id="74"/>
    </w:p>
    <w:p>
      <w:pPr>
        <w:pStyle w:val="3"/>
      </w:pPr>
      <w:bookmarkStart w:id="75" w:name="_Toc109888251"/>
      <w:r>
        <w:rPr>
          <w:rFonts w:hint="eastAsia"/>
        </w:rPr>
        <w:t>建设项目概况</w:t>
      </w:r>
      <w:bookmarkEnd w:id="75"/>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基本情况</w:t>
      </w:r>
    </w:p>
    <w:p>
      <w:pPr>
        <w:ind w:firstLine="520"/>
        <w:rPr>
          <w:color w:val="000000" w:themeColor="text1"/>
          <w14:textFill>
            <w14:solidFill>
              <w14:schemeClr w14:val="tx1"/>
            </w14:solidFill>
          </w14:textFill>
        </w:rPr>
      </w:pPr>
      <w:r>
        <w:rPr>
          <w:color w:val="000000" w:themeColor="text1"/>
          <w14:textFill>
            <w14:solidFill>
              <w14:schemeClr w14:val="tx1"/>
            </w14:solidFill>
          </w14:textFill>
        </w:rPr>
        <w:t>项目名称：</w:t>
      </w:r>
      <w:r>
        <w:rPr>
          <w:rFonts w:hint="eastAsia"/>
          <w:color w:val="000000" w:themeColor="text1"/>
          <w14:textFill>
            <w14:solidFill>
              <w14:schemeClr w14:val="tx1"/>
            </w14:solidFill>
          </w14:textFill>
        </w:rPr>
        <w:t>涪陵太极制药醇沉药渣焚烧处置项目</w:t>
      </w:r>
    </w:p>
    <w:p>
      <w:pPr>
        <w:ind w:firstLine="520"/>
        <w:rPr>
          <w:bCs/>
          <w:color w:val="000000" w:themeColor="text1"/>
          <w14:textFill>
            <w14:solidFill>
              <w14:schemeClr w14:val="tx1"/>
            </w14:solidFill>
          </w14:textFill>
        </w:rPr>
      </w:pPr>
      <w:r>
        <w:rPr>
          <w:color w:val="000000" w:themeColor="text1"/>
          <w14:textFill>
            <w14:solidFill>
              <w14:schemeClr w14:val="tx1"/>
            </w14:solidFill>
          </w14:textFill>
        </w:rPr>
        <w:t>建设单位：</w:t>
      </w:r>
      <w:bookmarkStart w:id="76" w:name="_Hlk108363031"/>
      <w:r>
        <w:rPr>
          <w:bCs/>
          <w:color w:val="000000" w:themeColor="text1"/>
          <w14:textFill>
            <w14:solidFill>
              <w14:schemeClr w14:val="tx1"/>
            </w14:solidFill>
          </w14:textFill>
        </w:rPr>
        <w:t>重庆中机龙桥热电有限公司</w:t>
      </w:r>
      <w:bookmarkEnd w:id="76"/>
    </w:p>
    <w:p>
      <w:pPr>
        <w:ind w:firstLine="520"/>
        <w:rPr>
          <w:color w:val="000000" w:themeColor="text1"/>
          <w14:textFill>
            <w14:solidFill>
              <w14:schemeClr w14:val="tx1"/>
            </w14:solidFill>
          </w14:textFill>
        </w:rPr>
      </w:pPr>
      <w:r>
        <w:rPr>
          <w:color w:val="000000" w:themeColor="text1"/>
          <w14:textFill>
            <w14:solidFill>
              <w14:schemeClr w14:val="tx1"/>
            </w14:solidFill>
          </w14:textFill>
        </w:rPr>
        <w:t>建设性质：</w:t>
      </w:r>
      <w:r>
        <w:rPr>
          <w:rFonts w:hint="eastAsia"/>
          <w:color w:val="000000" w:themeColor="text1"/>
          <w14:textFill>
            <w14:solidFill>
              <w14:schemeClr w14:val="tx1"/>
            </w14:solidFill>
          </w14:textFill>
        </w:rPr>
        <w:t>技改</w:t>
      </w:r>
    </w:p>
    <w:p>
      <w:pPr>
        <w:ind w:firstLine="520"/>
        <w:rPr>
          <w:color w:val="000000" w:themeColor="text1"/>
          <w14:textFill>
            <w14:solidFill>
              <w14:schemeClr w14:val="tx1"/>
            </w14:solidFill>
          </w14:textFill>
        </w:rPr>
      </w:pPr>
      <w:r>
        <w:rPr>
          <w:color w:val="000000" w:themeColor="text1"/>
          <w14:textFill>
            <w14:solidFill>
              <w14:schemeClr w14:val="tx1"/>
            </w14:solidFill>
          </w14:textFill>
        </w:rPr>
        <w:t>建设地点：</w:t>
      </w:r>
      <w:bookmarkStart w:id="77" w:name="_Hlk108362944"/>
      <w:r>
        <w:rPr>
          <w:color w:val="000000" w:themeColor="text1"/>
          <w14:textFill>
            <w14:solidFill>
              <w14:schemeClr w14:val="tx1"/>
            </w14:solidFill>
          </w14:textFill>
        </w:rPr>
        <w:t>重庆市涪陵区龙桥街道龙电路9号</w:t>
      </w:r>
      <w:bookmarkEnd w:id="77"/>
      <w:r>
        <w:rPr>
          <w:rFonts w:hint="eastAsia"/>
          <w:color w:val="000000" w:themeColor="text1"/>
          <w14:textFill>
            <w14:solidFill>
              <w14:schemeClr w14:val="tx1"/>
            </w14:solidFill>
          </w14:textFill>
        </w:rPr>
        <w:t>（涪陵工业园区龙桥组团南岸浦片区）</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建设周期：</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个月</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处置</w:t>
      </w:r>
      <w:r>
        <w:rPr>
          <w:color w:val="000000" w:themeColor="text1"/>
          <w14:textFill>
            <w14:solidFill>
              <w14:schemeClr w14:val="tx1"/>
            </w14:solidFill>
          </w14:textFill>
        </w:rPr>
        <w:t>规模：年</w:t>
      </w:r>
      <w:r>
        <w:rPr>
          <w:rFonts w:hint="eastAsia"/>
          <w:color w:val="000000" w:themeColor="text1"/>
          <w14:textFill>
            <w14:solidFill>
              <w14:schemeClr w14:val="tx1"/>
            </w14:solidFill>
          </w14:textFill>
        </w:rPr>
        <w:t>处置醇沉药渣1</w:t>
      </w:r>
      <w:r>
        <w:rPr>
          <w:color w:val="000000" w:themeColor="text1"/>
          <w14:textFill>
            <w14:solidFill>
              <w14:schemeClr w14:val="tx1"/>
            </w14:solidFill>
          </w14:textFill>
        </w:rPr>
        <w:t>.2万吨</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劳动定员：不新增（现有2</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人）</w:t>
      </w:r>
    </w:p>
    <w:p>
      <w:pPr>
        <w:ind w:firstLine="520"/>
        <w:rPr>
          <w:color w:val="000000" w:themeColor="text1"/>
          <w14:textFill>
            <w14:solidFill>
              <w14:schemeClr w14:val="tx1"/>
            </w14:solidFill>
          </w14:textFill>
        </w:rPr>
      </w:pPr>
      <w:r>
        <w:rPr>
          <w:rFonts w:hint="eastAsia"/>
          <w:color w:val="000000" w:themeColor="text1"/>
          <w:szCs w:val="28"/>
          <w14:textFill>
            <w14:solidFill>
              <w14:schemeClr w14:val="tx1"/>
            </w14:solidFill>
          </w14:textFill>
        </w:rPr>
        <w:t>工作制度：</w:t>
      </w:r>
      <w:r>
        <w:rPr>
          <w:rFonts w:hint="eastAsia"/>
          <w:color w:val="000000" w:themeColor="text1"/>
          <w14:textFill>
            <w14:solidFill>
              <w14:schemeClr w14:val="tx1"/>
            </w14:solidFill>
          </w14:textFill>
        </w:rPr>
        <w:t>不改变原有工作制度（</w:t>
      </w:r>
      <w:r>
        <w:rPr>
          <w:color w:val="000000" w:themeColor="text1"/>
          <w14:textFill>
            <w14:solidFill>
              <w14:schemeClr w14:val="tx1"/>
            </w14:solidFill>
          </w14:textFill>
        </w:rPr>
        <w:t>全年生产300天</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每天3班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每班8小时</w:t>
      </w:r>
      <w:r>
        <w:rPr>
          <w:rFonts w:hint="eastAsia"/>
          <w:color w:val="000000" w:themeColor="text1"/>
          <w14:textFill>
            <w14:solidFill>
              <w14:schemeClr w14:val="tx1"/>
            </w14:solidFill>
          </w14:textFill>
        </w:rPr>
        <w:t>工作制，热电机组设计每年工作时间7</w:t>
      </w:r>
      <w:r>
        <w:rPr>
          <w:color w:val="000000" w:themeColor="text1"/>
          <w14:textFill>
            <w14:solidFill>
              <w14:schemeClr w14:val="tx1"/>
            </w14:solidFill>
          </w14:textFill>
        </w:rPr>
        <w:t>500h</w:t>
      </w:r>
      <w:r>
        <w:rPr>
          <w:rFonts w:hint="eastAsia"/>
          <w:color w:val="000000" w:themeColor="text1"/>
          <w14:textFill>
            <w14:solidFill>
              <w14:schemeClr w14:val="tx1"/>
            </w14:solidFill>
          </w14:textFill>
        </w:rPr>
        <w:t>），本项目醇沉药渣系统年运行时间约2</w:t>
      </w:r>
      <w:r>
        <w:rPr>
          <w:color w:val="000000" w:themeColor="text1"/>
          <w14:textFill>
            <w14:solidFill>
              <w14:schemeClr w14:val="tx1"/>
            </w14:solidFill>
          </w14:textFill>
        </w:rPr>
        <w:t>000h</w:t>
      </w:r>
      <w:r>
        <w:rPr>
          <w:rFonts w:hint="eastAsia"/>
          <w:color w:val="000000" w:themeColor="text1"/>
          <w14:textFill>
            <w14:solidFill>
              <w14:schemeClr w14:val="tx1"/>
            </w14:solidFill>
          </w14:textFill>
        </w:rPr>
        <w:t>（每小时处理6吨，间歇运行）</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新增投资：新增投资</w:t>
      </w:r>
      <w:r>
        <w:rPr>
          <w:color w:val="000000" w:themeColor="text1"/>
          <w14:textFill>
            <w14:solidFill>
              <w14:schemeClr w14:val="tx1"/>
            </w14:solidFill>
          </w14:textFill>
        </w:rPr>
        <w:t>82</w:t>
      </w:r>
      <w:r>
        <w:rPr>
          <w:rFonts w:hint="eastAsia"/>
          <w:color w:val="000000" w:themeColor="text1"/>
          <w14:textFill>
            <w14:solidFill>
              <w14:schemeClr w14:val="tx1"/>
            </w14:solidFill>
          </w14:textFill>
        </w:rPr>
        <w:t>万元，其中环保投资5万元</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项目组成</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本项目依托陕渝临港热电厂现有</w:t>
      </w:r>
      <w:r>
        <w:rPr>
          <w:rFonts w:hint="eastAsia"/>
          <w:bCs/>
          <w:color w:val="000000" w:themeColor="text1"/>
          <w14:textFill>
            <w14:solidFill>
              <w14:schemeClr w14:val="tx1"/>
            </w14:solidFill>
          </w14:textFill>
        </w:rPr>
        <w:t>1125t/h</w:t>
      </w:r>
      <w:r>
        <w:rPr>
          <w:bCs/>
          <w:color w:val="000000" w:themeColor="text1"/>
          <w14:textFill>
            <w14:solidFill>
              <w14:schemeClr w14:val="tx1"/>
            </w14:solidFill>
          </w14:textFill>
        </w:rPr>
        <w:t>循环流化床锅炉</w:t>
      </w:r>
      <w:r>
        <w:rPr>
          <w:rFonts w:hint="eastAsia"/>
          <w:bCs/>
          <w:color w:val="000000" w:themeColor="text1"/>
          <w14:textFill>
            <w14:solidFill>
              <w14:schemeClr w14:val="tx1"/>
            </w14:solidFill>
          </w14:textFill>
        </w:rPr>
        <w:t>焚烧处置太极制药公司产生的醇沉药渣，处置能力</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.2万吨</w:t>
      </w:r>
      <w:r>
        <w:rPr>
          <w:rFonts w:hint="eastAsia"/>
          <w:color w:val="000000" w:themeColor="text1"/>
          <w14:textFill>
            <w14:solidFill>
              <w14:schemeClr w14:val="tx1"/>
            </w14:solidFill>
          </w14:textFill>
        </w:rPr>
        <w:t>/年。本项目仅新建醇沉药渣投加系统及配套设施，不建设暂存设施。焚烧系统和尾气处理等均依托陕渝临港热电厂现有工程。</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主要建设内容见表3.1-1。</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组成一览表</w:t>
      </w:r>
    </w:p>
    <w:tbl>
      <w:tblPr>
        <w:tblStyle w:val="42"/>
        <w:tblW w:w="8675"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1126"/>
        <w:gridCol w:w="5881"/>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1730" w:type="dxa"/>
            <w:gridSpan w:val="2"/>
            <w:shd w:val="clear" w:color="auto" w:fill="auto"/>
            <w:vAlign w:val="center"/>
          </w:tcPr>
          <w:p>
            <w:pPr>
              <w:pStyle w:val="200"/>
              <w:rPr>
                <w:color w:val="000000" w:themeColor="text1"/>
                <w14:textFill>
                  <w14:solidFill>
                    <w14:schemeClr w14:val="tx1"/>
                  </w14:solidFill>
                </w14:textFill>
              </w:rPr>
            </w:pPr>
            <w:bookmarkStart w:id="78" w:name="_Toc460866631"/>
            <w:bookmarkStart w:id="79" w:name="_Toc450634997"/>
            <w:r>
              <w:rPr>
                <w:color w:val="000000" w:themeColor="text1"/>
                <w14:textFill>
                  <w14:solidFill>
                    <w14:schemeClr w14:val="tx1"/>
                  </w14:solidFill>
                </w14:textFill>
              </w:rPr>
              <w:t>项目</w:t>
            </w:r>
          </w:p>
        </w:tc>
        <w:tc>
          <w:tcPr>
            <w:tcW w:w="5881"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建设内容及</w:t>
            </w:r>
            <w:r>
              <w:rPr>
                <w:rFonts w:hint="eastAsia"/>
                <w:color w:val="000000" w:themeColor="text1"/>
                <w14:textFill>
                  <w14:solidFill>
                    <w14:schemeClr w14:val="tx1"/>
                  </w14:solidFill>
                </w14:textFill>
              </w:rPr>
              <w:t>规模</w:t>
            </w:r>
          </w:p>
        </w:tc>
        <w:tc>
          <w:tcPr>
            <w:tcW w:w="1064"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04" w:type="dxa"/>
            <w:vMerge w:val="restart"/>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主体工程</w:t>
            </w:r>
          </w:p>
        </w:tc>
        <w:tc>
          <w:tcPr>
            <w:tcW w:w="1126"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投加系统</w:t>
            </w:r>
          </w:p>
        </w:tc>
        <w:tc>
          <w:tcPr>
            <w:tcW w:w="5881"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含与槽车相连的快装接头1个、供浆泵2个、输送管道、喷枪2个。</w:t>
            </w:r>
          </w:p>
        </w:tc>
        <w:tc>
          <w:tcPr>
            <w:tcW w:w="1064"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新</w:t>
            </w:r>
            <w:r>
              <w:rPr>
                <w:color w:val="000000" w:themeColor="text1"/>
                <w14:textFill>
                  <w14:solidFill>
                    <w14:schemeClr w14:val="tx1"/>
                  </w14:solidFill>
                </w14:textFill>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04" w:type="dxa"/>
            <w:vMerge w:val="continue"/>
            <w:vAlign w:val="center"/>
          </w:tcPr>
          <w:p>
            <w:pPr>
              <w:pStyle w:val="200"/>
              <w:rPr>
                <w:color w:val="000000" w:themeColor="text1"/>
                <w14:textFill>
                  <w14:solidFill>
                    <w14:schemeClr w14:val="tx1"/>
                  </w14:solidFill>
                </w14:textFill>
              </w:rPr>
            </w:pPr>
          </w:p>
        </w:tc>
        <w:tc>
          <w:tcPr>
            <w:tcW w:w="1126"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焚烧</w:t>
            </w:r>
            <w:r>
              <w:rPr>
                <w:rFonts w:hint="eastAsia"/>
                <w:color w:val="000000" w:themeColor="text1"/>
                <w14:textFill>
                  <w14:solidFill>
                    <w14:schemeClr w14:val="tx1"/>
                  </w14:solidFill>
                </w14:textFill>
              </w:rPr>
              <w:t>装置</w:t>
            </w:r>
          </w:p>
        </w:tc>
        <w:tc>
          <w:tcPr>
            <w:tcW w:w="5881"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依托现有</w:t>
            </w:r>
            <w:r>
              <w:rPr>
                <w:rFonts w:hint="eastAsia"/>
                <w:bCs/>
                <w:color w:val="000000" w:themeColor="text1"/>
                <w14:textFill>
                  <w14:solidFill>
                    <w14:schemeClr w14:val="tx1"/>
                  </w14:solidFill>
                </w14:textFill>
              </w:rPr>
              <w:t>1125t/h</w:t>
            </w:r>
            <w:r>
              <w:rPr>
                <w:bCs/>
                <w:color w:val="000000" w:themeColor="text1"/>
                <w14:textFill>
                  <w14:solidFill>
                    <w14:schemeClr w14:val="tx1"/>
                  </w14:solidFill>
                </w14:textFill>
              </w:rPr>
              <w:t>循环流化床锅炉焚烧处置</w:t>
            </w:r>
            <w:r>
              <w:rPr>
                <w:color w:val="000000" w:themeColor="text1"/>
                <w14:textFill>
                  <w14:solidFill>
                    <w14:schemeClr w14:val="tx1"/>
                  </w14:solidFill>
                </w14:textFill>
              </w:rPr>
              <w:t>，处理量为1.2</w:t>
            </w:r>
            <w:r>
              <w:rPr>
                <w:rFonts w:hint="eastAsia"/>
                <w:color w:val="000000" w:themeColor="text1"/>
                <w14:textFill>
                  <w14:solidFill>
                    <w14:schemeClr w14:val="tx1"/>
                  </w14:solidFill>
                </w14:textFill>
              </w:rPr>
              <w:t>万</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w:t>
            </w:r>
          </w:p>
        </w:tc>
        <w:tc>
          <w:tcPr>
            <w:tcW w:w="1064"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04" w:type="dxa"/>
            <w:vMerge w:val="restart"/>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辅助工程</w:t>
            </w:r>
          </w:p>
        </w:tc>
        <w:tc>
          <w:tcPr>
            <w:tcW w:w="1126"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吹扫及喷射系统（压缩空气）</w:t>
            </w:r>
          </w:p>
        </w:tc>
        <w:tc>
          <w:tcPr>
            <w:tcW w:w="5881"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吹扫及喷射系统介质为压缩空气，在锅炉本体压缩空气管道引接两路管道，一路至喷枪，管道规格为φ38*3，作为物料喷射用气，起到醇沉药渣助吹作用，管道全长约35米；一路至供浆泵出口管道，管道规格为φ51*3.5，作为输送管道吹扫用气，管道全长约42米。</w:t>
            </w:r>
          </w:p>
        </w:tc>
        <w:tc>
          <w:tcPr>
            <w:tcW w:w="1064"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新</w:t>
            </w:r>
            <w:r>
              <w:rPr>
                <w:color w:val="000000" w:themeColor="text1"/>
                <w14:textFill>
                  <w14:solidFill>
                    <w14:schemeClr w14:val="tx1"/>
                  </w14:solidFill>
                </w14:textFill>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04" w:type="dxa"/>
            <w:vMerge w:val="continue"/>
            <w:vAlign w:val="center"/>
          </w:tcPr>
          <w:p>
            <w:pPr>
              <w:pStyle w:val="200"/>
              <w:rPr>
                <w:color w:val="000000" w:themeColor="text1"/>
                <w14:textFill>
                  <w14:solidFill>
                    <w14:schemeClr w14:val="tx1"/>
                  </w14:solidFill>
                </w14:textFill>
              </w:rPr>
            </w:pPr>
          </w:p>
        </w:tc>
        <w:tc>
          <w:tcPr>
            <w:tcW w:w="1126"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干燥风及冷却风系统</w:t>
            </w:r>
          </w:p>
        </w:tc>
        <w:tc>
          <w:tcPr>
            <w:tcW w:w="5881"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干燥及冷却风系统介质采用锅炉高压流化风，风温80-90℃，管道规格为φ51*3.5。干燥风由高压流风机出口主管道引出至供浆泵出口输送管道（长约</w:t>
            </w:r>
            <w:r>
              <w:rPr>
                <w:color w:val="000000" w:themeColor="text1"/>
                <w14:textFill>
                  <w14:solidFill>
                    <w14:schemeClr w14:val="tx1"/>
                  </w14:solidFill>
                </w14:textFill>
              </w:rPr>
              <w:t>55</w:t>
            </w:r>
            <w:r>
              <w:rPr>
                <w:rFonts w:hint="eastAsia"/>
                <w:color w:val="000000" w:themeColor="text1"/>
                <w14:textFill>
                  <w14:solidFill>
                    <w14:schemeClr w14:val="tx1"/>
                  </w14:solidFill>
                </w14:textFill>
              </w:rPr>
              <w:t>米），干燥风在输送管道吹扫完毕后开启，对管道进行热风干燥。冷却风由脱销氨枪冷却风主管道引出至喷枪（长约</w:t>
            </w:r>
            <w:r>
              <w:rPr>
                <w:color w:val="000000" w:themeColor="text1"/>
                <w14:textFill>
                  <w14:solidFill>
                    <w14:schemeClr w14:val="tx1"/>
                  </w14:solidFill>
                </w14:textFill>
              </w:rPr>
              <w:t>28</w:t>
            </w:r>
            <w:r>
              <w:rPr>
                <w:rFonts w:hint="eastAsia"/>
                <w:color w:val="000000" w:themeColor="text1"/>
                <w14:textFill>
                  <w14:solidFill>
                    <w14:schemeClr w14:val="tx1"/>
                  </w14:solidFill>
                </w14:textFill>
              </w:rPr>
              <w:t>米），冷却风为常开，以防止在该系统停运时喷枪烧坏。</w:t>
            </w:r>
          </w:p>
        </w:tc>
        <w:tc>
          <w:tcPr>
            <w:tcW w:w="1064"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新</w:t>
            </w:r>
            <w:r>
              <w:rPr>
                <w:color w:val="000000" w:themeColor="text1"/>
                <w14:textFill>
                  <w14:solidFill>
                    <w14:schemeClr w14:val="tx1"/>
                  </w14:solidFill>
                </w14:textFill>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04" w:type="dxa"/>
            <w:vMerge w:val="continue"/>
            <w:vAlign w:val="center"/>
          </w:tcPr>
          <w:p>
            <w:pPr>
              <w:pStyle w:val="200"/>
              <w:rPr>
                <w:color w:val="000000" w:themeColor="text1"/>
                <w14:textFill>
                  <w14:solidFill>
                    <w14:schemeClr w14:val="tx1"/>
                  </w14:solidFill>
                </w14:textFill>
              </w:rPr>
            </w:pPr>
          </w:p>
        </w:tc>
        <w:tc>
          <w:tcPr>
            <w:tcW w:w="1126"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冲洗水系统</w:t>
            </w:r>
          </w:p>
        </w:tc>
        <w:tc>
          <w:tcPr>
            <w:tcW w:w="5881"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新增1个3m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水箱，和DN50、长5</w:t>
            </w:r>
            <w:r>
              <w:rPr>
                <w:color w:val="000000" w:themeColor="text1"/>
                <w14:textFill>
                  <w14:solidFill>
                    <w14:schemeClr w14:val="tx1"/>
                  </w14:solidFill>
                </w14:textFill>
              </w:rPr>
              <w:t>0m</w:t>
            </w:r>
            <w:r>
              <w:rPr>
                <w:rFonts w:hint="eastAsia"/>
                <w:color w:val="000000" w:themeColor="text1"/>
                <w14:textFill>
                  <w14:solidFill>
                    <w14:schemeClr w14:val="tx1"/>
                  </w14:solidFill>
                </w14:textFill>
              </w:rPr>
              <w:t>的管道，全程保温。水箱上接一溢流管至机组排水槽，水箱下部开孔安装冲洗水管至供浆泵进口，同时在供浆泵出口主管道上开孔安装3/4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管道，用作槽车冲洗水。</w:t>
            </w:r>
          </w:p>
        </w:tc>
        <w:tc>
          <w:tcPr>
            <w:tcW w:w="1064"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新</w:t>
            </w:r>
            <w:r>
              <w:rPr>
                <w:color w:val="000000" w:themeColor="text1"/>
                <w14:textFill>
                  <w14:solidFill>
                    <w14:schemeClr w14:val="tx1"/>
                  </w14:solidFill>
                </w14:textFill>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04" w:type="dxa"/>
            <w:vMerge w:val="continue"/>
            <w:vAlign w:val="center"/>
          </w:tcPr>
          <w:p>
            <w:pPr>
              <w:pStyle w:val="200"/>
              <w:rPr>
                <w:color w:val="000000" w:themeColor="text1"/>
                <w14:textFill>
                  <w14:solidFill>
                    <w14:schemeClr w14:val="tx1"/>
                  </w14:solidFill>
                </w14:textFill>
              </w:rPr>
            </w:pPr>
          </w:p>
        </w:tc>
        <w:tc>
          <w:tcPr>
            <w:tcW w:w="1126"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电仪控制系统</w:t>
            </w:r>
          </w:p>
        </w:tc>
        <w:tc>
          <w:tcPr>
            <w:tcW w:w="5881"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系统控制尽量采用连锁启停方式，设远程与就地控制相结合。</w:t>
            </w:r>
          </w:p>
        </w:tc>
        <w:tc>
          <w:tcPr>
            <w:tcW w:w="1064"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新</w:t>
            </w:r>
            <w:r>
              <w:rPr>
                <w:color w:val="000000" w:themeColor="text1"/>
                <w14:textFill>
                  <w14:solidFill>
                    <w14:schemeClr w14:val="tx1"/>
                  </w14:solidFill>
                </w14:textFill>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04" w:type="dxa"/>
            <w:vMerge w:val="continue"/>
            <w:vAlign w:val="center"/>
          </w:tcPr>
          <w:p>
            <w:pPr>
              <w:pStyle w:val="200"/>
              <w:rPr>
                <w:color w:val="000000" w:themeColor="text1"/>
                <w14:textFill>
                  <w14:solidFill>
                    <w14:schemeClr w14:val="tx1"/>
                  </w14:solidFill>
                </w14:textFill>
              </w:rPr>
            </w:pPr>
          </w:p>
        </w:tc>
        <w:tc>
          <w:tcPr>
            <w:tcW w:w="1126"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地面硬化</w:t>
            </w:r>
          </w:p>
        </w:tc>
        <w:tc>
          <w:tcPr>
            <w:tcW w:w="5881"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槽罐车卸料、供浆泵、冲洗水箱布置在锅炉扩建端脱销尿素制备车间与机组排水槽之间巡检大门外侧。修建硬化一条醇沉药渣运输道路，同时将脱硝厂房旁地面硬化，用于布置冲洗水箱、供浆泵。硬化地面面积约3</w:t>
            </w:r>
            <w:r>
              <w:rPr>
                <w:color w:val="000000" w:themeColor="text1"/>
                <w14:textFill>
                  <w14:solidFill>
                    <w14:schemeClr w14:val="tx1"/>
                  </w14:solidFill>
                </w14:textFill>
              </w:rPr>
              <w:t>9m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tc>
        <w:tc>
          <w:tcPr>
            <w:tcW w:w="1064"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新</w:t>
            </w:r>
            <w:r>
              <w:rPr>
                <w:color w:val="000000" w:themeColor="text1"/>
                <w14:textFill>
                  <w14:solidFill>
                    <w14:schemeClr w14:val="tx1"/>
                  </w14:solidFill>
                </w14:textFill>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04" w:type="dxa"/>
            <w:vMerge w:val="continue"/>
            <w:vAlign w:val="center"/>
          </w:tcPr>
          <w:p>
            <w:pPr>
              <w:pStyle w:val="200"/>
              <w:rPr>
                <w:color w:val="000000" w:themeColor="text1"/>
                <w14:textFill>
                  <w14:solidFill>
                    <w14:schemeClr w14:val="tx1"/>
                  </w14:solidFill>
                </w14:textFill>
              </w:rPr>
            </w:pPr>
          </w:p>
        </w:tc>
        <w:tc>
          <w:tcPr>
            <w:tcW w:w="1126"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防雨设施</w:t>
            </w:r>
          </w:p>
        </w:tc>
        <w:tc>
          <w:tcPr>
            <w:tcW w:w="5881"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针对电机、电动执行器、冲洗水箱等设备设施布置区域建设防雨棚，采用型钢及彩钢板制作。面积约35</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tc>
        <w:tc>
          <w:tcPr>
            <w:tcW w:w="1064"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新</w:t>
            </w:r>
            <w:r>
              <w:rPr>
                <w:color w:val="000000" w:themeColor="text1"/>
                <w14:textFill>
                  <w14:solidFill>
                    <w14:schemeClr w14:val="tx1"/>
                  </w14:solidFill>
                </w14:textFill>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04" w:type="dxa"/>
            <w:vMerge w:val="restart"/>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公用工程</w:t>
            </w:r>
          </w:p>
        </w:tc>
        <w:tc>
          <w:tcPr>
            <w:tcW w:w="1126"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供水</w:t>
            </w:r>
          </w:p>
        </w:tc>
        <w:tc>
          <w:tcPr>
            <w:tcW w:w="5881"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主要是冲洗水系统用水，冲洗水由连排扩容器排水连续供给，温度80-100℃左右。</w:t>
            </w:r>
          </w:p>
        </w:tc>
        <w:tc>
          <w:tcPr>
            <w:tcW w:w="1064"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04" w:type="dxa"/>
            <w:vMerge w:val="continue"/>
            <w:vAlign w:val="center"/>
          </w:tcPr>
          <w:p>
            <w:pPr>
              <w:pStyle w:val="200"/>
              <w:rPr>
                <w:color w:val="000000" w:themeColor="text1"/>
                <w14:textFill>
                  <w14:solidFill>
                    <w14:schemeClr w14:val="tx1"/>
                  </w14:solidFill>
                </w14:textFill>
              </w:rPr>
            </w:pPr>
          </w:p>
        </w:tc>
        <w:tc>
          <w:tcPr>
            <w:tcW w:w="1126"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供电</w:t>
            </w:r>
          </w:p>
        </w:tc>
        <w:tc>
          <w:tcPr>
            <w:tcW w:w="5881"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依托现有</w:t>
            </w:r>
            <w:r>
              <w:rPr>
                <w:color w:val="000000" w:themeColor="text1"/>
                <w14:textFill>
                  <w14:solidFill>
                    <w14:schemeClr w14:val="tx1"/>
                  </w14:solidFill>
                </w14:textFill>
              </w:rPr>
              <w:t>供电设施</w:t>
            </w:r>
            <w:r>
              <w:rPr>
                <w:rFonts w:hint="eastAsia"/>
                <w:color w:val="000000" w:themeColor="text1"/>
                <w14:textFill>
                  <w14:solidFill>
                    <w14:schemeClr w14:val="tx1"/>
                  </w14:solidFill>
                </w14:textFill>
              </w:rPr>
              <w:t>，铺设各设备电缆线路</w:t>
            </w:r>
          </w:p>
        </w:tc>
        <w:tc>
          <w:tcPr>
            <w:tcW w:w="1064"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04" w:type="dxa"/>
            <w:vMerge w:val="continue"/>
            <w:vAlign w:val="center"/>
          </w:tcPr>
          <w:p>
            <w:pPr>
              <w:pStyle w:val="200"/>
              <w:rPr>
                <w:color w:val="000000" w:themeColor="text1"/>
                <w14:textFill>
                  <w14:solidFill>
                    <w14:schemeClr w14:val="tx1"/>
                  </w14:solidFill>
                </w14:textFill>
              </w:rPr>
            </w:pPr>
          </w:p>
        </w:tc>
        <w:tc>
          <w:tcPr>
            <w:tcW w:w="1126"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排水</w:t>
            </w:r>
          </w:p>
        </w:tc>
        <w:tc>
          <w:tcPr>
            <w:tcW w:w="5881"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冲洗水经醇沉药渣输送管道和喷枪喷入流化床锅炉炉膛内，不外排。</w:t>
            </w:r>
          </w:p>
        </w:tc>
        <w:tc>
          <w:tcPr>
            <w:tcW w:w="1064"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04" w:type="dxa"/>
            <w:vMerge w:val="continue"/>
            <w:vAlign w:val="center"/>
          </w:tcPr>
          <w:p>
            <w:pPr>
              <w:pStyle w:val="200"/>
              <w:rPr>
                <w:color w:val="000000" w:themeColor="text1"/>
                <w14:textFill>
                  <w14:solidFill>
                    <w14:schemeClr w14:val="tx1"/>
                  </w14:solidFill>
                </w14:textFill>
              </w:rPr>
            </w:pPr>
          </w:p>
        </w:tc>
        <w:tc>
          <w:tcPr>
            <w:tcW w:w="1126"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压缩空气</w:t>
            </w:r>
          </w:p>
        </w:tc>
        <w:tc>
          <w:tcPr>
            <w:tcW w:w="5881"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在锅炉本体压缩空气管道引接两路管道为本项目供应压缩空气。</w:t>
            </w:r>
          </w:p>
        </w:tc>
        <w:tc>
          <w:tcPr>
            <w:tcW w:w="1064"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04" w:type="dxa"/>
            <w:vMerge w:val="continue"/>
            <w:vAlign w:val="center"/>
          </w:tcPr>
          <w:p>
            <w:pPr>
              <w:pStyle w:val="200"/>
              <w:rPr>
                <w:color w:val="000000" w:themeColor="text1"/>
                <w14:textFill>
                  <w14:solidFill>
                    <w14:schemeClr w14:val="tx1"/>
                  </w14:solidFill>
                </w14:textFill>
              </w:rPr>
            </w:pPr>
          </w:p>
        </w:tc>
        <w:tc>
          <w:tcPr>
            <w:tcW w:w="1126"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供风系统</w:t>
            </w:r>
          </w:p>
        </w:tc>
        <w:tc>
          <w:tcPr>
            <w:tcW w:w="5881"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干燥及冷却风系统介质采用锅炉高压流化风，风温80-90℃。</w:t>
            </w:r>
          </w:p>
        </w:tc>
        <w:tc>
          <w:tcPr>
            <w:tcW w:w="1064"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04"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储运工程</w:t>
            </w:r>
          </w:p>
        </w:tc>
        <w:tc>
          <w:tcPr>
            <w:tcW w:w="1126"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醇沉药渣场内运输道路</w:t>
            </w:r>
          </w:p>
        </w:tc>
        <w:tc>
          <w:tcPr>
            <w:tcW w:w="5881"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在机组排水槽外部尿素运输道路边开口，修建硬化一条醇沉药渣运输道路，道路长55m、路面宽6</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p>
        </w:tc>
        <w:tc>
          <w:tcPr>
            <w:tcW w:w="1064"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604" w:type="dxa"/>
            <w:vMerge w:val="restart"/>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环保工程</w:t>
            </w:r>
          </w:p>
        </w:tc>
        <w:tc>
          <w:tcPr>
            <w:tcW w:w="1126"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污水</w:t>
            </w:r>
            <w:r>
              <w:rPr>
                <w:rFonts w:hint="eastAsia"/>
                <w:color w:val="000000" w:themeColor="text1"/>
                <w14:textFill>
                  <w14:solidFill>
                    <w14:schemeClr w14:val="tx1"/>
                  </w14:solidFill>
                </w14:textFill>
              </w:rPr>
              <w:t>处理</w:t>
            </w:r>
          </w:p>
        </w:tc>
        <w:tc>
          <w:tcPr>
            <w:tcW w:w="5881"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系统冲洗废水喷入炉膛焚烧，转化成水蒸气。</w:t>
            </w:r>
          </w:p>
        </w:tc>
        <w:tc>
          <w:tcPr>
            <w:tcW w:w="1064"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604" w:type="dxa"/>
            <w:vMerge w:val="continue"/>
            <w:vAlign w:val="center"/>
          </w:tcPr>
          <w:p>
            <w:pPr>
              <w:pStyle w:val="200"/>
              <w:rPr>
                <w:color w:val="000000" w:themeColor="text1"/>
                <w14:textFill>
                  <w14:solidFill>
                    <w14:schemeClr w14:val="tx1"/>
                  </w14:solidFill>
                </w14:textFill>
              </w:rPr>
            </w:pPr>
          </w:p>
        </w:tc>
        <w:tc>
          <w:tcPr>
            <w:tcW w:w="1126"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废气</w:t>
            </w:r>
            <w:r>
              <w:rPr>
                <w:rFonts w:hint="eastAsia"/>
                <w:color w:val="000000" w:themeColor="text1"/>
                <w14:textFill>
                  <w14:solidFill>
                    <w14:schemeClr w14:val="tx1"/>
                  </w14:solidFill>
                </w14:textFill>
              </w:rPr>
              <w:t>处理</w:t>
            </w:r>
          </w:p>
        </w:tc>
        <w:tc>
          <w:tcPr>
            <w:tcW w:w="5881" w:type="dxa"/>
            <w:shd w:val="clear" w:color="auto" w:fill="auto"/>
            <w:vAlign w:val="center"/>
          </w:tcPr>
          <w:p>
            <w:pPr>
              <w:pStyle w:val="200"/>
              <w:rPr>
                <w:color w:val="000000" w:themeColor="text1"/>
                <w14:textFill>
                  <w14:solidFill>
                    <w14:schemeClr w14:val="tx1"/>
                  </w14:solidFill>
                </w14:textFill>
              </w:rPr>
            </w:pPr>
            <w:r>
              <w:rPr>
                <w:rFonts w:hint="eastAsia"/>
                <w:bCs/>
                <w:color w:val="000000" w:themeColor="text1"/>
                <w14:textFill>
                  <w14:solidFill>
                    <w14:schemeClr w14:val="tx1"/>
                  </w14:solidFill>
                </w14:textFill>
              </w:rPr>
              <w:t>依托现有循环流化床锅炉</w:t>
            </w:r>
            <w:r>
              <w:rPr>
                <w:bCs/>
                <w:color w:val="000000" w:themeColor="text1"/>
                <w14:textFill>
                  <w14:solidFill>
                    <w14:schemeClr w14:val="tx1"/>
                  </w14:solidFill>
                </w14:textFill>
              </w:rPr>
              <w:t>废气</w:t>
            </w:r>
            <w:r>
              <w:rPr>
                <w:rFonts w:hint="eastAsia"/>
                <w:bCs/>
                <w:color w:val="000000" w:themeColor="text1"/>
                <w14:textFill>
                  <w14:solidFill>
                    <w14:schemeClr w14:val="tx1"/>
                  </w14:solidFill>
                </w14:textFill>
              </w:rPr>
              <w:t>治理系统</w:t>
            </w:r>
            <w:r>
              <w:rPr>
                <w:bCs/>
                <w:color w:val="000000" w:themeColor="text1"/>
                <w14:textFill>
                  <w14:solidFill>
                    <w14:schemeClr w14:val="tx1"/>
                  </w14:solidFill>
                </w14:textFill>
              </w:rPr>
              <w:t>：脱硝工艺采用低氮燃烧技术和 SNCR脱硝工艺控制氮氧化物；脱硫工艺采用炉内喷钙固硫和炉外石灰石-石膏湿法脱硫工艺控制二氧化硫；除尘工艺采用布袋除尘和炉外湿法脱硫除尘一体化控制烟尘，最后烟气通过</w:t>
            </w:r>
            <w:r>
              <w:rPr>
                <w:rFonts w:hint="eastAsia"/>
                <w:bCs/>
                <w:color w:val="000000" w:themeColor="text1"/>
                <w14:textFill>
                  <w14:solidFill>
                    <w14:schemeClr w14:val="tx1"/>
                  </w14:solidFill>
                </w14:textFill>
              </w:rPr>
              <w:t>高</w:t>
            </w:r>
            <w:r>
              <w:rPr>
                <w:bCs/>
                <w:color w:val="000000" w:themeColor="text1"/>
                <w14:textFill>
                  <w14:solidFill>
                    <w14:schemeClr w14:val="tx1"/>
                  </w14:solidFill>
                </w14:textFill>
              </w:rPr>
              <w:t>210m 烟囱</w:t>
            </w:r>
            <w:r>
              <w:rPr>
                <w:rFonts w:hint="eastAsia"/>
                <w:bCs/>
                <w:color w:val="000000" w:themeColor="text1"/>
                <w14:textFill>
                  <w14:solidFill>
                    <w14:schemeClr w14:val="tx1"/>
                  </w14:solidFill>
                </w14:textFill>
              </w:rPr>
              <w:t>排放。</w:t>
            </w:r>
          </w:p>
        </w:tc>
        <w:tc>
          <w:tcPr>
            <w:tcW w:w="1064"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依托</w:t>
            </w:r>
          </w:p>
        </w:tc>
      </w:tr>
      <w:bookmarkEnd w:id="78"/>
      <w:bookmarkEnd w:id="79"/>
    </w:tbl>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焚烧方案及其可行性分析论证</w:t>
      </w:r>
    </w:p>
    <w:p>
      <w:pPr>
        <w:pStyle w:val="5"/>
        <w:jc w:val="both"/>
      </w:pPr>
      <w:r>
        <w:rPr>
          <w:rFonts w:hint="eastAsia"/>
        </w:rPr>
        <w:t>醇沉药渣特性分析</w:t>
      </w:r>
    </w:p>
    <w:p>
      <w:pPr>
        <w:ind w:firstLine="5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（1）物理特性和有害成分分析</w:t>
      </w:r>
    </w:p>
    <w:p>
      <w:pPr>
        <w:ind w:firstLine="520" w:firstLineChars="0"/>
        <w:jc w:val="both"/>
        <w:rPr>
          <w:color w:val="000000" w:themeColor="text1"/>
          <w14:textFill>
            <w14:solidFill>
              <w14:schemeClr w14:val="tx1"/>
            </w14:solidFill>
          </w14:textFill>
        </w:rPr>
      </w:pPr>
      <w:r>
        <w:rPr>
          <w:color w:val="000000" w:themeColor="text1"/>
          <w14:textFill>
            <w14:solidFill>
              <w14:schemeClr w14:val="tx1"/>
            </w14:solidFill>
          </w14:textFill>
        </w:rPr>
        <w:t>太极</w:t>
      </w:r>
      <w:r>
        <w:rPr>
          <w:rFonts w:hint="eastAsia"/>
          <w:color w:val="000000" w:themeColor="text1"/>
          <w14:textFill>
            <w14:solidFill>
              <w14:schemeClr w14:val="tx1"/>
            </w14:solidFill>
          </w14:textFill>
        </w:rPr>
        <w:t>涪陵</w:t>
      </w:r>
      <w:r>
        <w:rPr>
          <w:color w:val="000000" w:themeColor="text1"/>
          <w14:textFill>
            <w14:solidFill>
              <w14:schemeClr w14:val="tx1"/>
            </w14:solidFill>
          </w14:textFill>
        </w:rPr>
        <w:t>制药厂</w:t>
      </w:r>
      <w:r>
        <w:rPr>
          <w:rFonts w:hint="eastAsia"/>
          <w:color w:val="000000" w:themeColor="text1"/>
          <w14:textFill>
            <w14:solidFill>
              <w14:schemeClr w14:val="tx1"/>
            </w14:solidFill>
          </w14:textFill>
        </w:rPr>
        <w:t>使用的中药材主要有苍术、陈皮、厚朴、白芷、茯苓、腹皮、甘草、鱼腥草、金荞麦、四季青、麻黄、</w:t>
      </w:r>
      <w:r>
        <w:rPr>
          <w:rFonts w:hint="eastAsia"/>
          <w:color w:val="000000" w:themeColor="text1"/>
          <w:lang w:eastAsia="zh-CN"/>
          <w14:textFill>
            <w14:solidFill>
              <w14:schemeClr w14:val="tx1"/>
            </w14:solidFill>
          </w14:textFill>
        </w:rPr>
        <w:t>黄芩</w:t>
      </w:r>
      <w:r>
        <w:rPr>
          <w:rFonts w:hint="eastAsia"/>
          <w:color w:val="000000" w:themeColor="text1"/>
          <w14:textFill>
            <w14:solidFill>
              <w14:schemeClr w14:val="tx1"/>
            </w14:solidFill>
          </w14:textFill>
        </w:rPr>
        <w:t>、天麻等，利用黄酒、蜂蜜、麦麸、干姜进行中药材炮制，然后浓缩，清膏放入醇沉罐，使用9</w:t>
      </w:r>
      <w:r>
        <w:rPr>
          <w:color w:val="000000" w:themeColor="text1"/>
          <w14:textFill>
            <w14:solidFill>
              <w14:schemeClr w14:val="tx1"/>
            </w14:solidFill>
          </w14:textFill>
        </w:rPr>
        <w:t>5%食用酒精</w:t>
      </w:r>
      <w:r>
        <w:rPr>
          <w:rFonts w:hint="eastAsia"/>
          <w:color w:val="000000" w:themeColor="text1"/>
          <w14:textFill>
            <w14:solidFill>
              <w14:schemeClr w14:val="tx1"/>
            </w14:solidFill>
          </w14:textFill>
        </w:rPr>
        <w:t>（乙醇）进行搅拌，然后沉淀。醇沉工序产生的药渣再经蒸汽蒸馏回收乙醇后剩余的药渣即为醇沉药渣。</w:t>
      </w:r>
    </w:p>
    <w:p>
      <w:pPr>
        <w:ind w:firstLine="5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醇沉药渣主要成分为较细颗粒的植物纤维，在</w:t>
      </w:r>
      <w:r>
        <w:rPr>
          <w:color w:val="000000" w:themeColor="text1"/>
          <w14:textFill>
            <w14:solidFill>
              <w14:schemeClr w14:val="tx1"/>
            </w14:solidFill>
          </w14:textFill>
        </w:rPr>
        <w:t>60℃</w:t>
      </w:r>
      <w:r>
        <w:rPr>
          <w:rFonts w:hint="eastAsia"/>
          <w:color w:val="000000" w:themeColor="text1"/>
          <w14:textFill>
            <w14:solidFill>
              <w14:schemeClr w14:val="tx1"/>
            </w14:solidFill>
          </w14:textFill>
        </w:rPr>
        <w:t>以上时是一种黏稠状膏体，温度低于</w:t>
      </w:r>
      <w:r>
        <w:rPr>
          <w:color w:val="000000" w:themeColor="text1"/>
          <w14:textFill>
            <w14:solidFill>
              <w14:schemeClr w14:val="tx1"/>
            </w14:solidFill>
          </w14:textFill>
        </w:rPr>
        <w:t>40℃</w:t>
      </w:r>
      <w:r>
        <w:rPr>
          <w:rFonts w:hint="eastAsia"/>
          <w:color w:val="000000" w:themeColor="text1"/>
          <w14:textFill>
            <w14:solidFill>
              <w14:schemeClr w14:val="tx1"/>
            </w14:solidFill>
          </w14:textFill>
        </w:rPr>
        <w:t>时会凝固成固体。由于生产过程使用的重要及辅料均为无毒无害原料的中药材和可食用的辅料，因此，醇沉药渣不具有毒性，有害成分也极低。</w:t>
      </w:r>
    </w:p>
    <w:p>
      <w:pPr>
        <w:ind w:firstLine="5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根据建设单位提供的醇沉药渣的测试结果及本次环评委托监测单位对其中有害物质的检测结果，醇沉药渣的热值、有害物质含量与陕渝临港热电厂燃煤对比，见下表。</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醇沉药渣的有害物质含量一览表</w:t>
      </w:r>
    </w:p>
    <w:tbl>
      <w:tblPr>
        <w:tblStyle w:val="43"/>
        <w:tblW w:w="87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3"/>
        <w:gridCol w:w="2189"/>
        <w:gridCol w:w="2203"/>
        <w:gridCol w:w="2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3" w:type="dxa"/>
            <w:vMerge w:val="restart"/>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tc>
          <w:tcPr>
            <w:tcW w:w="2189" w:type="dxa"/>
            <w:vMerge w:val="restart"/>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p>
        </w:tc>
        <w:tc>
          <w:tcPr>
            <w:tcW w:w="4415" w:type="dxa"/>
            <w:gridSpan w:val="2"/>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3" w:type="dxa"/>
            <w:vMerge w:val="continue"/>
            <w:vAlign w:val="center"/>
          </w:tcPr>
          <w:p>
            <w:pPr>
              <w:pStyle w:val="122"/>
              <w:rPr>
                <w:color w:val="000000" w:themeColor="text1"/>
                <w14:textFill>
                  <w14:solidFill>
                    <w14:schemeClr w14:val="tx1"/>
                  </w14:solidFill>
                </w14:textFill>
              </w:rPr>
            </w:pPr>
          </w:p>
        </w:tc>
        <w:tc>
          <w:tcPr>
            <w:tcW w:w="2189" w:type="dxa"/>
            <w:vMerge w:val="continue"/>
            <w:vAlign w:val="center"/>
          </w:tcPr>
          <w:p>
            <w:pPr>
              <w:pStyle w:val="122"/>
              <w:rPr>
                <w:color w:val="000000" w:themeColor="text1"/>
                <w14:textFill>
                  <w14:solidFill>
                    <w14:schemeClr w14:val="tx1"/>
                  </w14:solidFill>
                </w14:textFill>
              </w:rPr>
            </w:pPr>
          </w:p>
        </w:tc>
        <w:tc>
          <w:tcPr>
            <w:tcW w:w="220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醇沉药渣</w:t>
            </w:r>
          </w:p>
        </w:tc>
        <w:tc>
          <w:tcPr>
            <w:tcW w:w="221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燃料煤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3"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硫分</w:t>
            </w:r>
          </w:p>
        </w:tc>
        <w:tc>
          <w:tcPr>
            <w:tcW w:w="2189"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20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.59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0.92</w:t>
            </w:r>
          </w:p>
        </w:tc>
        <w:tc>
          <w:tcPr>
            <w:tcW w:w="2212"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1.7~</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灰分</w:t>
            </w:r>
          </w:p>
        </w:tc>
        <w:tc>
          <w:tcPr>
            <w:tcW w:w="2189"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20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.42</w:t>
            </w:r>
          </w:p>
        </w:tc>
        <w:tc>
          <w:tcPr>
            <w:tcW w:w="221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2.65</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3"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氟化物</w:t>
            </w:r>
          </w:p>
        </w:tc>
        <w:tc>
          <w:tcPr>
            <w:tcW w:w="2189" w:type="dxa"/>
            <w:vAlign w:val="center"/>
          </w:tcPr>
          <w:p>
            <w:pPr>
              <w:pStyle w:val="122"/>
              <w:rPr>
                <w:color w:val="000000" w:themeColor="text1"/>
                <w14:textFill>
                  <w14:solidFill>
                    <w14:schemeClr w14:val="tx1"/>
                  </w14:solidFill>
                </w14:textFill>
              </w:rPr>
            </w:pPr>
            <w:r>
              <w:rPr>
                <w:color w:val="000000" w:themeColor="text1"/>
                <w:kern w:val="0"/>
                <w:szCs w:val="21"/>
                <w14:textFill>
                  <w14:solidFill>
                    <w14:schemeClr w14:val="tx1"/>
                  </w14:solidFill>
                </w14:textFill>
              </w:rPr>
              <w:t>mg/kg</w:t>
            </w:r>
          </w:p>
        </w:tc>
        <w:tc>
          <w:tcPr>
            <w:tcW w:w="2203"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N</w:t>
            </w:r>
            <w:r>
              <w:rPr>
                <w:color w:val="000000" w:themeColor="text1"/>
                <w:szCs w:val="21"/>
                <w14:textFill>
                  <w14:solidFill>
                    <w14:schemeClr w14:val="tx1"/>
                  </w14:solidFill>
                </w14:textFill>
              </w:rPr>
              <w:t>D</w:t>
            </w:r>
          </w:p>
        </w:tc>
        <w:tc>
          <w:tcPr>
            <w:tcW w:w="2212" w:type="dxa"/>
            <w:vAlign w:val="center"/>
          </w:tcPr>
          <w:p>
            <w:pPr>
              <w:pStyle w:val="122"/>
              <w:rPr>
                <w:color w:val="000000" w:themeColor="text1"/>
                <w14:textFill>
                  <w14:solidFill>
                    <w14:schemeClr w14:val="tx1"/>
                  </w14:solidFill>
                </w14:textFill>
              </w:rPr>
            </w:pPr>
            <w:r>
              <w:rPr>
                <w:color w:val="000000" w:themeColor="text1"/>
                <w:szCs w:val="21"/>
                <w14:textFill>
                  <w14:solidFill>
                    <w14:schemeClr w14:val="tx1"/>
                  </w14:solidFill>
                </w14:textFill>
              </w:rPr>
              <w:t>130~266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3" w:type="dxa"/>
            <w:vAlign w:val="center"/>
          </w:tcPr>
          <w:p>
            <w:pPr>
              <w:pStyle w:val="122"/>
              <w:rPr>
                <w:color w:val="000000" w:themeColor="text1"/>
                <w14:textFill>
                  <w14:solidFill>
                    <w14:schemeClr w14:val="tx1"/>
                  </w14:solidFill>
                </w14:textFill>
              </w:rPr>
            </w:pPr>
            <w:r>
              <w:rPr>
                <w:color w:val="000000" w:themeColor="text1"/>
                <w:szCs w:val="21"/>
                <w14:textFill>
                  <w14:solidFill>
                    <w14:schemeClr w14:val="tx1"/>
                  </w14:solidFill>
                </w14:textFill>
              </w:rPr>
              <w:t>汞</w:t>
            </w:r>
          </w:p>
        </w:tc>
        <w:tc>
          <w:tcPr>
            <w:tcW w:w="2189" w:type="dxa"/>
            <w:vAlign w:val="center"/>
          </w:tcPr>
          <w:p>
            <w:pPr>
              <w:pStyle w:val="122"/>
              <w:rPr>
                <w:color w:val="000000" w:themeColor="text1"/>
                <w14:textFill>
                  <w14:solidFill>
                    <w14:schemeClr w14:val="tx1"/>
                  </w14:solidFill>
                </w14:textFill>
              </w:rPr>
            </w:pPr>
            <w:r>
              <w:rPr>
                <w:color w:val="000000" w:themeColor="text1"/>
                <w:kern w:val="0"/>
                <w:szCs w:val="21"/>
                <w14:textFill>
                  <w14:solidFill>
                    <w14:schemeClr w14:val="tx1"/>
                  </w14:solidFill>
                </w14:textFill>
              </w:rPr>
              <w:t>mg/kg</w:t>
            </w:r>
          </w:p>
        </w:tc>
        <w:tc>
          <w:tcPr>
            <w:tcW w:w="2203"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.005</w:t>
            </w:r>
          </w:p>
        </w:tc>
        <w:tc>
          <w:tcPr>
            <w:tcW w:w="2212"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3"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锑</w:t>
            </w:r>
          </w:p>
        </w:tc>
        <w:tc>
          <w:tcPr>
            <w:tcW w:w="2189" w:type="dxa"/>
            <w:vAlign w:val="center"/>
          </w:tcPr>
          <w:p>
            <w:pPr>
              <w:pStyle w:val="122"/>
              <w:rPr>
                <w:color w:val="000000" w:themeColor="text1"/>
                <w14:textFill>
                  <w14:solidFill>
                    <w14:schemeClr w14:val="tx1"/>
                  </w14:solidFill>
                </w14:textFill>
              </w:rPr>
            </w:pPr>
            <w:r>
              <w:rPr>
                <w:color w:val="000000" w:themeColor="text1"/>
                <w:kern w:val="0"/>
                <w:szCs w:val="21"/>
                <w14:textFill>
                  <w14:solidFill>
                    <w14:schemeClr w14:val="tx1"/>
                  </w14:solidFill>
                </w14:textFill>
              </w:rPr>
              <w:t>mg/kg</w:t>
            </w:r>
          </w:p>
        </w:tc>
        <w:tc>
          <w:tcPr>
            <w:tcW w:w="2203"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.016</w:t>
            </w:r>
          </w:p>
        </w:tc>
        <w:tc>
          <w:tcPr>
            <w:tcW w:w="2212"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3"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砷</w:t>
            </w:r>
          </w:p>
        </w:tc>
        <w:tc>
          <w:tcPr>
            <w:tcW w:w="2189" w:type="dxa"/>
            <w:vAlign w:val="center"/>
          </w:tcPr>
          <w:p>
            <w:pPr>
              <w:pStyle w:val="122"/>
              <w:rPr>
                <w:color w:val="000000" w:themeColor="text1"/>
                <w14:textFill>
                  <w14:solidFill>
                    <w14:schemeClr w14:val="tx1"/>
                  </w14:solidFill>
                </w14:textFill>
              </w:rPr>
            </w:pPr>
            <w:r>
              <w:rPr>
                <w:color w:val="000000" w:themeColor="text1"/>
                <w:kern w:val="0"/>
                <w:szCs w:val="21"/>
                <w14:textFill>
                  <w14:solidFill>
                    <w14:schemeClr w14:val="tx1"/>
                  </w14:solidFill>
                </w14:textFill>
              </w:rPr>
              <w:t>mg/kg</w:t>
            </w:r>
          </w:p>
        </w:tc>
        <w:tc>
          <w:tcPr>
            <w:tcW w:w="2203"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.042</w:t>
            </w:r>
          </w:p>
        </w:tc>
        <w:tc>
          <w:tcPr>
            <w:tcW w:w="2212"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3"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铬</w:t>
            </w:r>
          </w:p>
        </w:tc>
        <w:tc>
          <w:tcPr>
            <w:tcW w:w="2189" w:type="dxa"/>
            <w:vAlign w:val="center"/>
          </w:tcPr>
          <w:p>
            <w:pPr>
              <w:pStyle w:val="122"/>
              <w:rPr>
                <w:color w:val="000000" w:themeColor="text1"/>
                <w14:textFill>
                  <w14:solidFill>
                    <w14:schemeClr w14:val="tx1"/>
                  </w14:solidFill>
                </w14:textFill>
              </w:rPr>
            </w:pPr>
            <w:r>
              <w:rPr>
                <w:color w:val="000000" w:themeColor="text1"/>
                <w:kern w:val="0"/>
                <w:szCs w:val="21"/>
                <w14:textFill>
                  <w14:solidFill>
                    <w14:schemeClr w14:val="tx1"/>
                  </w14:solidFill>
                </w14:textFill>
              </w:rPr>
              <w:t>mg/kg</w:t>
            </w:r>
          </w:p>
        </w:tc>
        <w:tc>
          <w:tcPr>
            <w:tcW w:w="2203"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N</w:t>
            </w:r>
            <w:r>
              <w:rPr>
                <w:color w:val="000000" w:themeColor="text1"/>
                <w:szCs w:val="21"/>
                <w14:textFill>
                  <w14:solidFill>
                    <w14:schemeClr w14:val="tx1"/>
                  </w14:solidFill>
                </w14:textFill>
              </w:rPr>
              <w:t>D</w:t>
            </w:r>
          </w:p>
        </w:tc>
        <w:tc>
          <w:tcPr>
            <w:tcW w:w="2212"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3"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锰</w:t>
            </w:r>
          </w:p>
        </w:tc>
        <w:tc>
          <w:tcPr>
            <w:tcW w:w="2189" w:type="dxa"/>
            <w:vAlign w:val="center"/>
          </w:tcPr>
          <w:p>
            <w:pPr>
              <w:pStyle w:val="122"/>
              <w:rPr>
                <w:color w:val="000000" w:themeColor="text1"/>
                <w14:textFill>
                  <w14:solidFill>
                    <w14:schemeClr w14:val="tx1"/>
                  </w14:solidFill>
                </w14:textFill>
              </w:rPr>
            </w:pPr>
            <w:r>
              <w:rPr>
                <w:color w:val="000000" w:themeColor="text1"/>
                <w:kern w:val="0"/>
                <w:szCs w:val="21"/>
                <w14:textFill>
                  <w14:solidFill>
                    <w14:schemeClr w14:val="tx1"/>
                  </w14:solidFill>
                </w14:textFill>
              </w:rPr>
              <w:t>mg/kg</w:t>
            </w:r>
          </w:p>
        </w:tc>
        <w:tc>
          <w:tcPr>
            <w:tcW w:w="2203"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9.4</w:t>
            </w:r>
          </w:p>
        </w:tc>
        <w:tc>
          <w:tcPr>
            <w:tcW w:w="2212"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3"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镍</w:t>
            </w:r>
          </w:p>
        </w:tc>
        <w:tc>
          <w:tcPr>
            <w:tcW w:w="2189" w:type="dxa"/>
            <w:vAlign w:val="center"/>
          </w:tcPr>
          <w:p>
            <w:pPr>
              <w:pStyle w:val="122"/>
              <w:rPr>
                <w:color w:val="000000" w:themeColor="text1"/>
                <w14:textFill>
                  <w14:solidFill>
                    <w14:schemeClr w14:val="tx1"/>
                  </w14:solidFill>
                </w14:textFill>
              </w:rPr>
            </w:pPr>
            <w:r>
              <w:rPr>
                <w:color w:val="000000" w:themeColor="text1"/>
                <w:kern w:val="0"/>
                <w:szCs w:val="21"/>
                <w14:textFill>
                  <w14:solidFill>
                    <w14:schemeClr w14:val="tx1"/>
                  </w14:solidFill>
                </w14:textFill>
              </w:rPr>
              <w:t>mg/kg</w:t>
            </w:r>
          </w:p>
        </w:tc>
        <w:tc>
          <w:tcPr>
            <w:tcW w:w="2203"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N</w:t>
            </w:r>
            <w:r>
              <w:rPr>
                <w:color w:val="000000" w:themeColor="text1"/>
                <w:szCs w:val="21"/>
                <w14:textFill>
                  <w14:solidFill>
                    <w14:schemeClr w14:val="tx1"/>
                  </w14:solidFill>
                </w14:textFill>
              </w:rPr>
              <w:t>D</w:t>
            </w:r>
          </w:p>
        </w:tc>
        <w:tc>
          <w:tcPr>
            <w:tcW w:w="2212" w:type="dxa"/>
            <w:vAlign w:val="center"/>
          </w:tcPr>
          <w:p>
            <w:pPr>
              <w:pStyle w:val="122"/>
              <w:rPr>
                <w:color w:val="000000" w:themeColor="text1"/>
                <w14:textFill>
                  <w14:solidFill>
                    <w14:schemeClr w14:val="tx1"/>
                  </w14:solidFill>
                </w14:textFill>
              </w:rPr>
            </w:pPr>
            <w:r>
              <w:rPr>
                <w:color w:val="000000" w:themeColor="text1"/>
                <w:szCs w:val="21"/>
                <w14:textFill>
                  <w14:solidFill>
                    <w14:schemeClr w14:val="tx1"/>
                  </w14:solidFill>
                </w14:textFill>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3"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铜</w:t>
            </w:r>
          </w:p>
        </w:tc>
        <w:tc>
          <w:tcPr>
            <w:tcW w:w="2189" w:type="dxa"/>
            <w:vAlign w:val="center"/>
          </w:tcPr>
          <w:p>
            <w:pPr>
              <w:pStyle w:val="122"/>
              <w:rPr>
                <w:color w:val="000000" w:themeColor="text1"/>
                <w14:textFill>
                  <w14:solidFill>
                    <w14:schemeClr w14:val="tx1"/>
                  </w14:solidFill>
                </w14:textFill>
              </w:rPr>
            </w:pPr>
            <w:r>
              <w:rPr>
                <w:color w:val="000000" w:themeColor="text1"/>
                <w:kern w:val="0"/>
                <w:szCs w:val="21"/>
                <w14:textFill>
                  <w14:solidFill>
                    <w14:schemeClr w14:val="tx1"/>
                  </w14:solidFill>
                </w14:textFill>
              </w:rPr>
              <w:t>mg/kg</w:t>
            </w:r>
          </w:p>
        </w:tc>
        <w:tc>
          <w:tcPr>
            <w:tcW w:w="2203"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.8</w:t>
            </w:r>
          </w:p>
        </w:tc>
        <w:tc>
          <w:tcPr>
            <w:tcW w:w="2212"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3"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镉</w:t>
            </w:r>
          </w:p>
        </w:tc>
        <w:tc>
          <w:tcPr>
            <w:tcW w:w="2189" w:type="dxa"/>
            <w:vAlign w:val="center"/>
          </w:tcPr>
          <w:p>
            <w:pPr>
              <w:pStyle w:val="122"/>
              <w:rPr>
                <w:color w:val="000000" w:themeColor="text1"/>
                <w14:textFill>
                  <w14:solidFill>
                    <w14:schemeClr w14:val="tx1"/>
                  </w14:solidFill>
                </w14:textFill>
              </w:rPr>
            </w:pPr>
            <w:r>
              <w:rPr>
                <w:color w:val="000000" w:themeColor="text1"/>
                <w:kern w:val="0"/>
                <w:szCs w:val="21"/>
                <w14:textFill>
                  <w14:solidFill>
                    <w14:schemeClr w14:val="tx1"/>
                  </w14:solidFill>
                </w14:textFill>
              </w:rPr>
              <w:t>mg/kg</w:t>
            </w:r>
          </w:p>
        </w:tc>
        <w:tc>
          <w:tcPr>
            <w:tcW w:w="2203"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N</w:t>
            </w:r>
            <w:r>
              <w:rPr>
                <w:color w:val="000000" w:themeColor="text1"/>
                <w:szCs w:val="21"/>
                <w14:textFill>
                  <w14:solidFill>
                    <w14:schemeClr w14:val="tx1"/>
                  </w14:solidFill>
                </w14:textFill>
              </w:rPr>
              <w:t>D</w:t>
            </w:r>
          </w:p>
        </w:tc>
        <w:tc>
          <w:tcPr>
            <w:tcW w:w="2212"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N</w:t>
            </w:r>
            <w:r>
              <w:rPr>
                <w:color w:val="000000" w:themeColor="text1"/>
                <w:szCs w:val="21"/>
                <w14:textFill>
                  <w14:solidFill>
                    <w14:schemeClr w14:val="tx1"/>
                  </w14:solidFill>
                </w14:textFill>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3"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铅</w:t>
            </w:r>
          </w:p>
        </w:tc>
        <w:tc>
          <w:tcPr>
            <w:tcW w:w="2189" w:type="dxa"/>
            <w:vAlign w:val="center"/>
          </w:tcPr>
          <w:p>
            <w:pPr>
              <w:pStyle w:val="122"/>
              <w:rPr>
                <w:color w:val="000000" w:themeColor="text1"/>
                <w14:textFill>
                  <w14:solidFill>
                    <w14:schemeClr w14:val="tx1"/>
                  </w14:solidFill>
                </w14:textFill>
              </w:rPr>
            </w:pPr>
            <w:r>
              <w:rPr>
                <w:color w:val="000000" w:themeColor="text1"/>
                <w:kern w:val="0"/>
                <w:szCs w:val="21"/>
                <w14:textFill>
                  <w14:solidFill>
                    <w14:schemeClr w14:val="tx1"/>
                  </w14:solidFill>
                </w14:textFill>
              </w:rPr>
              <w:t>mg/kg</w:t>
            </w:r>
          </w:p>
        </w:tc>
        <w:tc>
          <w:tcPr>
            <w:tcW w:w="2203"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N</w:t>
            </w:r>
            <w:r>
              <w:rPr>
                <w:color w:val="000000" w:themeColor="text1"/>
                <w:szCs w:val="21"/>
                <w14:textFill>
                  <w14:solidFill>
                    <w14:schemeClr w14:val="tx1"/>
                  </w14:solidFill>
                </w14:textFill>
              </w:rPr>
              <w:t>D</w:t>
            </w:r>
          </w:p>
        </w:tc>
        <w:tc>
          <w:tcPr>
            <w:tcW w:w="2212"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3"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钴</w:t>
            </w:r>
          </w:p>
        </w:tc>
        <w:tc>
          <w:tcPr>
            <w:tcW w:w="2189" w:type="dxa"/>
            <w:vAlign w:val="center"/>
          </w:tcPr>
          <w:p>
            <w:pPr>
              <w:pStyle w:val="122"/>
              <w:rPr>
                <w:color w:val="000000" w:themeColor="text1"/>
                <w14:textFill>
                  <w14:solidFill>
                    <w14:schemeClr w14:val="tx1"/>
                  </w14:solidFill>
                </w14:textFill>
              </w:rPr>
            </w:pPr>
            <w:r>
              <w:rPr>
                <w:color w:val="000000" w:themeColor="text1"/>
                <w:kern w:val="0"/>
                <w:szCs w:val="21"/>
                <w14:textFill>
                  <w14:solidFill>
                    <w14:schemeClr w14:val="tx1"/>
                  </w14:solidFill>
                </w14:textFill>
              </w:rPr>
              <w:t>mg/kg</w:t>
            </w:r>
          </w:p>
        </w:tc>
        <w:tc>
          <w:tcPr>
            <w:tcW w:w="2203"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N</w:t>
            </w:r>
            <w:r>
              <w:rPr>
                <w:color w:val="000000" w:themeColor="text1"/>
                <w:szCs w:val="21"/>
                <w14:textFill>
                  <w14:solidFill>
                    <w14:schemeClr w14:val="tx1"/>
                  </w14:solidFill>
                </w14:textFill>
              </w:rPr>
              <w:t>D</w:t>
            </w:r>
          </w:p>
        </w:tc>
        <w:tc>
          <w:tcPr>
            <w:tcW w:w="2212"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3"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铊</w:t>
            </w:r>
          </w:p>
        </w:tc>
        <w:tc>
          <w:tcPr>
            <w:tcW w:w="2189" w:type="dxa"/>
            <w:vAlign w:val="center"/>
          </w:tcPr>
          <w:p>
            <w:pPr>
              <w:pStyle w:val="122"/>
              <w:rPr>
                <w:color w:val="000000" w:themeColor="text1"/>
                <w14:textFill>
                  <w14:solidFill>
                    <w14:schemeClr w14:val="tx1"/>
                  </w14:solidFill>
                </w14:textFill>
              </w:rPr>
            </w:pPr>
            <w:r>
              <w:rPr>
                <w:color w:val="000000" w:themeColor="text1"/>
                <w:kern w:val="0"/>
                <w:szCs w:val="21"/>
                <w14:textFill>
                  <w14:solidFill>
                    <w14:schemeClr w14:val="tx1"/>
                  </w14:solidFill>
                </w14:textFill>
              </w:rPr>
              <w:t>mg/kg</w:t>
            </w:r>
          </w:p>
        </w:tc>
        <w:tc>
          <w:tcPr>
            <w:tcW w:w="2203"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N</w:t>
            </w:r>
            <w:r>
              <w:rPr>
                <w:color w:val="000000" w:themeColor="text1"/>
                <w:szCs w:val="21"/>
                <w14:textFill>
                  <w14:solidFill>
                    <w14:schemeClr w14:val="tx1"/>
                  </w14:solidFill>
                </w14:textFill>
              </w:rPr>
              <w:t>D</w:t>
            </w:r>
          </w:p>
        </w:tc>
        <w:tc>
          <w:tcPr>
            <w:tcW w:w="2212"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N</w:t>
            </w:r>
            <w:r>
              <w:rPr>
                <w:color w:val="000000" w:themeColor="text1"/>
                <w:szCs w:val="21"/>
                <w14:textFill>
                  <w14:solidFill>
                    <w14:schemeClr w14:val="tx1"/>
                  </w14:solidFill>
                </w14:textFill>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3" w:type="dxa"/>
            <w:vAlign w:val="center"/>
          </w:tcPr>
          <w:p>
            <w:pPr>
              <w:pStyle w:val="122"/>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氯</w:t>
            </w:r>
          </w:p>
        </w:tc>
        <w:tc>
          <w:tcPr>
            <w:tcW w:w="2189" w:type="dxa"/>
            <w:vAlign w:val="center"/>
          </w:tcPr>
          <w:p>
            <w:pPr>
              <w:pStyle w:val="122"/>
              <w:rPr>
                <w:color w:val="000000" w:themeColor="text1"/>
                <w14:textFill>
                  <w14:solidFill>
                    <w14:schemeClr w14:val="tx1"/>
                  </w14:solidFill>
                </w14:textFill>
              </w:rPr>
            </w:pPr>
            <w:r>
              <w:rPr>
                <w:color w:val="000000" w:themeColor="text1"/>
                <w:kern w:val="0"/>
                <w:szCs w:val="21"/>
                <w14:textFill>
                  <w14:solidFill>
                    <w14:schemeClr w14:val="tx1"/>
                  </w14:solidFill>
                </w14:textFill>
              </w:rPr>
              <w:t>mg/kg</w:t>
            </w:r>
          </w:p>
        </w:tc>
        <w:tc>
          <w:tcPr>
            <w:tcW w:w="220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660</w:t>
            </w:r>
          </w:p>
        </w:tc>
        <w:tc>
          <w:tcPr>
            <w:tcW w:w="2212" w:type="dxa"/>
            <w:vAlign w:val="center"/>
          </w:tcPr>
          <w:p>
            <w:pPr>
              <w:pStyle w:val="122"/>
              <w:rPr>
                <w:color w:val="000000" w:themeColor="text1"/>
                <w14:textFill>
                  <w14:solidFill>
                    <w14:schemeClr w14:val="tx1"/>
                  </w14:solidFill>
                </w14:textFill>
              </w:rPr>
            </w:pPr>
            <w:r>
              <w:rPr>
                <w:color w:val="000000" w:themeColor="text1"/>
                <w:szCs w:val="21"/>
                <w14:textFill>
                  <w14:solidFill>
                    <w14:schemeClr w14:val="tx1"/>
                  </w14:solidFill>
                </w14:textFill>
              </w:rPr>
              <w:t>446</w:t>
            </w:r>
          </w:p>
        </w:tc>
      </w:tr>
    </w:tbl>
    <w:p>
      <w:pPr>
        <w:ind w:firstLine="5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由上表可知，</w:t>
      </w:r>
      <w:bookmarkStart w:id="80" w:name="_Hlk106011390"/>
      <w:r>
        <w:rPr>
          <w:rFonts w:hint="eastAsia"/>
          <w:color w:val="000000" w:themeColor="text1"/>
          <w14:textFill>
            <w14:solidFill>
              <w14:schemeClr w14:val="tx1"/>
            </w14:solidFill>
          </w14:textFill>
        </w:rPr>
        <w:t>醇沉药渣中有害物质含量极低，除氯元素外，均明显低于龙桥电厂燃煤中的有害物质含量</w:t>
      </w:r>
      <w:bookmarkEnd w:id="80"/>
      <w:r>
        <w:rPr>
          <w:rFonts w:hint="eastAsia"/>
          <w:color w:val="000000" w:themeColor="text1"/>
          <w14:textFill>
            <w14:solidFill>
              <w14:schemeClr w14:val="tx1"/>
            </w14:solidFill>
          </w14:textFill>
        </w:rPr>
        <w:t>。</w:t>
      </w:r>
    </w:p>
    <w:p>
      <w:pPr>
        <w:ind w:firstLine="52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根据太极集团重庆涪陵制药厂有限公司《龙桥A3一号提取大楼及附属工程环境影响报告表》（2</w:t>
      </w:r>
      <w:r>
        <w:rPr>
          <w:color w:val="000000" w:themeColor="text1"/>
          <w14:textFill>
            <w14:solidFill>
              <w14:schemeClr w14:val="tx1"/>
            </w14:solidFill>
          </w14:textFill>
        </w:rPr>
        <w:t>022</w:t>
      </w:r>
      <w:r>
        <w:rPr>
          <w:rFonts w:hint="eastAsia"/>
          <w:color w:val="000000" w:themeColor="text1"/>
          <w14:textFill>
            <w14:solidFill>
              <w14:schemeClr w14:val="tx1"/>
            </w14:solidFill>
          </w14:textFill>
        </w:rPr>
        <w:t>年）及其环评批准书（渝（涪）环准[</w:t>
      </w:r>
      <w:r>
        <w:rPr>
          <w:color w:val="000000" w:themeColor="text1"/>
          <w14:textFill>
            <w14:solidFill>
              <w14:schemeClr w14:val="tx1"/>
            </w14:solidFill>
          </w14:textFill>
        </w:rPr>
        <w:t>2022]081</w:t>
      </w:r>
      <w:r>
        <w:rPr>
          <w:rFonts w:hint="eastAsia"/>
          <w:color w:val="000000" w:themeColor="text1"/>
          <w14:textFill>
            <w14:solidFill>
              <w14:schemeClr w14:val="tx1"/>
            </w14:solidFill>
          </w14:textFill>
        </w:rPr>
        <w:t>号），醇沉药渣属于一般工业固体废物。</w:t>
      </w:r>
    </w:p>
    <w:p>
      <w:pPr>
        <w:ind w:firstLine="5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（2）焚烧特性分析</w:t>
      </w:r>
    </w:p>
    <w:p>
      <w:pPr>
        <w:ind w:firstLine="5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根据焚烧特性对比，醇沉药渣的热值相当于电厂燃煤热值的</w:t>
      </w:r>
      <w:r>
        <w:rPr>
          <w:color w:val="000000" w:themeColor="text1"/>
          <w14:textFill>
            <w14:solidFill>
              <w14:schemeClr w14:val="tx1"/>
            </w14:solidFill>
          </w14:textFill>
        </w:rPr>
        <w:t>46.5</w:t>
      </w:r>
      <w:r>
        <w:rPr>
          <w:rFonts w:hint="eastAsia"/>
          <w:color w:val="000000" w:themeColor="text1"/>
          <w14:textFill>
            <w14:solidFill>
              <w14:schemeClr w14:val="tx1"/>
            </w14:solidFill>
          </w14:textFill>
        </w:rPr>
        <w:t>%，可见其热值较高。且根据上述分析可知，醇沉药渣中有害物质含量极低。且太极制药在更换燃气锅炉之前，也是利用其燃煤锅炉焚烧醇沉药渣，可见醇沉药渣具有较好的焚烧特性。</w:t>
      </w:r>
    </w:p>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表3</w:t>
      </w:r>
      <w:r>
        <w:rPr>
          <w:color w:val="000000" w:themeColor="text1"/>
          <w14:textFill>
            <w14:solidFill>
              <w14:schemeClr w14:val="tx1"/>
            </w14:solidFill>
          </w14:textFill>
        </w:rPr>
        <w:t xml:space="preserve">.1-3 </w:t>
      </w:r>
      <w:r>
        <w:rPr>
          <w:rFonts w:hint="eastAsia"/>
          <w:color w:val="000000" w:themeColor="text1"/>
          <w14:textFill>
            <w14:solidFill>
              <w14:schemeClr w14:val="tx1"/>
            </w14:solidFill>
          </w14:textFill>
        </w:rPr>
        <w:t>醇沉药渣与常用煤燃烧特性对比表</w:t>
      </w:r>
    </w:p>
    <w:tbl>
      <w:tblPr>
        <w:tblStyle w:val="4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925"/>
        <w:gridCol w:w="1520"/>
        <w:gridCol w:w="1520"/>
        <w:gridCol w:w="1520"/>
        <w:gridCol w:w="15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trPr>
        <w:tc>
          <w:tcPr>
            <w:tcW w:w="1625" w:type="pct"/>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项 目</w:t>
            </w:r>
          </w:p>
        </w:tc>
        <w:tc>
          <w:tcPr>
            <w:tcW w:w="844" w:type="pct"/>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符 号</w:t>
            </w:r>
          </w:p>
        </w:tc>
        <w:tc>
          <w:tcPr>
            <w:tcW w:w="844" w:type="pct"/>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单位</w:t>
            </w:r>
          </w:p>
        </w:tc>
        <w:tc>
          <w:tcPr>
            <w:tcW w:w="844" w:type="pct"/>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醇沉药渣</w:t>
            </w:r>
          </w:p>
        </w:tc>
        <w:tc>
          <w:tcPr>
            <w:tcW w:w="843" w:type="pct"/>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常用煤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625" w:type="pct"/>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全水分</w:t>
            </w:r>
          </w:p>
        </w:tc>
        <w:tc>
          <w:tcPr>
            <w:tcW w:w="844" w:type="pct"/>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Mt</w:t>
            </w:r>
          </w:p>
        </w:tc>
        <w:tc>
          <w:tcPr>
            <w:tcW w:w="844" w:type="pct"/>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w:t>
            </w:r>
          </w:p>
        </w:tc>
        <w:tc>
          <w:tcPr>
            <w:tcW w:w="844" w:type="pct"/>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w:t>
            </w:r>
            <w:r>
              <w:rPr>
                <w:color w:val="000000" w:themeColor="text1"/>
                <w:sz w:val="22"/>
                <w14:textFill>
                  <w14:solidFill>
                    <w14:schemeClr w14:val="tx1"/>
                  </w14:solidFill>
                </w14:textFill>
              </w:rPr>
              <w:t>1</w:t>
            </w:r>
          </w:p>
        </w:tc>
        <w:tc>
          <w:tcPr>
            <w:tcW w:w="843" w:type="pct"/>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w:t>
            </w:r>
            <w:r>
              <w:rPr>
                <w:color w:val="000000" w:themeColor="text1"/>
                <w:sz w:val="22"/>
                <w14:textFill>
                  <w14:solidFill>
                    <w14:schemeClr w14:val="tx1"/>
                  </w14:solidFill>
                </w14:textFill>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625" w:type="pct"/>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收到基灰分</w:t>
            </w:r>
          </w:p>
        </w:tc>
        <w:tc>
          <w:tcPr>
            <w:tcW w:w="844" w:type="pct"/>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Aad</w:t>
            </w:r>
          </w:p>
        </w:tc>
        <w:tc>
          <w:tcPr>
            <w:tcW w:w="844" w:type="pct"/>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w:t>
            </w:r>
          </w:p>
        </w:tc>
        <w:tc>
          <w:tcPr>
            <w:tcW w:w="844" w:type="pct"/>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8</w:t>
            </w:r>
            <w:r>
              <w:rPr>
                <w:color w:val="000000" w:themeColor="text1"/>
                <w:sz w:val="22"/>
                <w14:textFill>
                  <w14:solidFill>
                    <w14:schemeClr w14:val="tx1"/>
                  </w14:solidFill>
                </w14:textFill>
              </w:rPr>
              <w:t>.42</w:t>
            </w:r>
          </w:p>
        </w:tc>
        <w:tc>
          <w:tcPr>
            <w:tcW w:w="843" w:type="pct"/>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w:t>
            </w:r>
            <w:r>
              <w:rPr>
                <w:color w:val="000000" w:themeColor="text1"/>
                <w:sz w:val="22"/>
                <w14:textFill>
                  <w14:solidFill>
                    <w14:schemeClr w14:val="tx1"/>
                  </w14:solidFill>
                </w14:textFill>
              </w:rPr>
              <w:t>4.78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625" w:type="pct"/>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收到基</w:t>
            </w:r>
            <w:r>
              <w:rPr>
                <w:color w:val="000000" w:themeColor="text1"/>
                <w:sz w:val="22"/>
                <w14:textFill>
                  <w14:solidFill>
                    <w14:schemeClr w14:val="tx1"/>
                  </w14:solidFill>
                </w14:textFill>
              </w:rPr>
              <w:t>挥发分</w:t>
            </w:r>
          </w:p>
        </w:tc>
        <w:tc>
          <w:tcPr>
            <w:tcW w:w="844" w:type="pct"/>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Vdaf</w:t>
            </w:r>
          </w:p>
        </w:tc>
        <w:tc>
          <w:tcPr>
            <w:tcW w:w="844" w:type="pct"/>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w:t>
            </w:r>
          </w:p>
        </w:tc>
        <w:tc>
          <w:tcPr>
            <w:tcW w:w="844" w:type="pct"/>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w:t>
            </w:r>
          </w:p>
        </w:tc>
        <w:tc>
          <w:tcPr>
            <w:tcW w:w="843" w:type="pct"/>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w:t>
            </w:r>
            <w:r>
              <w:rPr>
                <w:color w:val="000000" w:themeColor="text1"/>
                <w:sz w:val="22"/>
                <w14:textFill>
                  <w14:solidFill>
                    <w14:schemeClr w14:val="tx1"/>
                  </w14:solidFill>
                </w14:textFill>
              </w:rPr>
              <w:t>2.81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625" w:type="pct"/>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收到基碳</w:t>
            </w:r>
          </w:p>
        </w:tc>
        <w:tc>
          <w:tcPr>
            <w:tcW w:w="844" w:type="pct"/>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Car</w:t>
            </w:r>
          </w:p>
        </w:tc>
        <w:tc>
          <w:tcPr>
            <w:tcW w:w="844" w:type="pct"/>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w:t>
            </w:r>
          </w:p>
        </w:tc>
        <w:tc>
          <w:tcPr>
            <w:tcW w:w="844" w:type="pct"/>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w:t>
            </w:r>
          </w:p>
        </w:tc>
        <w:tc>
          <w:tcPr>
            <w:tcW w:w="843" w:type="pct"/>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50.86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625" w:type="pct"/>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收到基硫</w:t>
            </w:r>
          </w:p>
        </w:tc>
        <w:tc>
          <w:tcPr>
            <w:tcW w:w="844" w:type="pct"/>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St.ad</w:t>
            </w:r>
          </w:p>
        </w:tc>
        <w:tc>
          <w:tcPr>
            <w:tcW w:w="844" w:type="pct"/>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w:t>
            </w:r>
          </w:p>
        </w:tc>
        <w:tc>
          <w:tcPr>
            <w:tcW w:w="844" w:type="pct"/>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0.92</w:t>
            </w:r>
          </w:p>
        </w:tc>
        <w:tc>
          <w:tcPr>
            <w:tcW w:w="843" w:type="pct"/>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w:t>
            </w:r>
            <w:r>
              <w:rPr>
                <w:color w:val="000000" w:themeColor="text1"/>
                <w:sz w:val="22"/>
                <w14:textFill>
                  <w14:solidFill>
                    <w14:schemeClr w14:val="tx1"/>
                  </w14:solidFill>
                </w14:textFill>
              </w:rPr>
              <w:t>.58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625" w:type="pct"/>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收到基氢</w:t>
            </w:r>
          </w:p>
        </w:tc>
        <w:tc>
          <w:tcPr>
            <w:tcW w:w="844" w:type="pct"/>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Har</w:t>
            </w:r>
          </w:p>
        </w:tc>
        <w:tc>
          <w:tcPr>
            <w:tcW w:w="844" w:type="pct"/>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w:t>
            </w:r>
          </w:p>
        </w:tc>
        <w:tc>
          <w:tcPr>
            <w:tcW w:w="844" w:type="pct"/>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0</w:t>
            </w:r>
          </w:p>
        </w:tc>
        <w:tc>
          <w:tcPr>
            <w:tcW w:w="843" w:type="pct"/>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w:t>
            </w:r>
            <w:r>
              <w:rPr>
                <w:color w:val="000000" w:themeColor="text1"/>
                <w:sz w:val="22"/>
                <w14:textFill>
                  <w14:solidFill>
                    <w14:schemeClr w14:val="tx1"/>
                  </w14:solidFill>
                </w14:textFill>
              </w:rPr>
              <w:t>.87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625" w:type="pct"/>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收到基氮</w:t>
            </w:r>
          </w:p>
        </w:tc>
        <w:tc>
          <w:tcPr>
            <w:tcW w:w="844" w:type="pct"/>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Nar</w:t>
            </w:r>
          </w:p>
        </w:tc>
        <w:tc>
          <w:tcPr>
            <w:tcW w:w="844" w:type="pct"/>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w:t>
            </w:r>
          </w:p>
        </w:tc>
        <w:tc>
          <w:tcPr>
            <w:tcW w:w="844" w:type="pct"/>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w:t>
            </w:r>
          </w:p>
        </w:tc>
        <w:tc>
          <w:tcPr>
            <w:tcW w:w="843" w:type="pct"/>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w:t>
            </w:r>
            <w:r>
              <w:rPr>
                <w:color w:val="000000" w:themeColor="text1"/>
                <w:sz w:val="22"/>
                <w14:textFill>
                  <w14:solidFill>
                    <w14:schemeClr w14:val="tx1"/>
                  </w14:solidFill>
                </w14:textFill>
              </w:rPr>
              <w:t>.66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625" w:type="pct"/>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收到基氧</w:t>
            </w:r>
          </w:p>
        </w:tc>
        <w:tc>
          <w:tcPr>
            <w:tcW w:w="844" w:type="pct"/>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Oar</w:t>
            </w:r>
          </w:p>
        </w:tc>
        <w:tc>
          <w:tcPr>
            <w:tcW w:w="844" w:type="pct"/>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w:t>
            </w:r>
          </w:p>
        </w:tc>
        <w:tc>
          <w:tcPr>
            <w:tcW w:w="844" w:type="pct"/>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w:t>
            </w:r>
          </w:p>
        </w:tc>
        <w:tc>
          <w:tcPr>
            <w:tcW w:w="843" w:type="pct"/>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6</w:t>
            </w:r>
            <w:r>
              <w:rPr>
                <w:color w:val="000000" w:themeColor="text1"/>
                <w:sz w:val="22"/>
                <w14:textFill>
                  <w14:solidFill>
                    <w14:schemeClr w14:val="tx1"/>
                  </w14:solidFill>
                </w14:textFill>
              </w:rPr>
              <w:t>.76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trPr>
        <w:tc>
          <w:tcPr>
            <w:tcW w:w="1625" w:type="pct"/>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收到基低位发热量</w:t>
            </w:r>
          </w:p>
        </w:tc>
        <w:tc>
          <w:tcPr>
            <w:tcW w:w="844" w:type="pct"/>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Qnet.ar</w:t>
            </w:r>
          </w:p>
        </w:tc>
        <w:tc>
          <w:tcPr>
            <w:tcW w:w="844" w:type="pct"/>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MJ/kg</w:t>
            </w:r>
          </w:p>
        </w:tc>
        <w:tc>
          <w:tcPr>
            <w:tcW w:w="844" w:type="pct"/>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9.23</w:t>
            </w:r>
          </w:p>
        </w:tc>
        <w:tc>
          <w:tcPr>
            <w:tcW w:w="843" w:type="pct"/>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w:t>
            </w:r>
            <w:r>
              <w:rPr>
                <w:color w:val="000000" w:themeColor="text1"/>
                <w:sz w:val="22"/>
                <w14:textFill>
                  <w14:solidFill>
                    <w14:schemeClr w14:val="tx1"/>
                  </w14:solidFill>
                </w14:textFill>
              </w:rPr>
              <w:t>9.83</w:t>
            </w:r>
          </w:p>
        </w:tc>
      </w:tr>
    </w:tbl>
    <w:p>
      <w:pPr>
        <w:ind w:firstLine="520" w:firstLineChars="0"/>
        <w:rPr>
          <w:color w:val="000000" w:themeColor="text1"/>
          <w14:textFill>
            <w14:solidFill>
              <w14:schemeClr w14:val="tx1"/>
            </w14:solidFill>
          </w14:textFill>
        </w:rPr>
      </w:pPr>
    </w:p>
    <w:p>
      <w:pPr>
        <w:pStyle w:val="5"/>
        <w:jc w:val="both"/>
      </w:pPr>
      <w:r>
        <w:rPr>
          <w:rFonts w:hint="eastAsia"/>
        </w:rPr>
        <w:t>协同焚烧工作时间</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太极制药利用一辆专用载重6</w:t>
      </w:r>
      <w:r>
        <w:rPr>
          <w:color w:val="000000" w:themeColor="text1"/>
          <w14:textFill>
            <w14:solidFill>
              <w14:schemeClr w14:val="tx1"/>
            </w14:solidFill>
          </w14:textFill>
        </w:rPr>
        <w:t>吨的</w:t>
      </w:r>
      <w:r>
        <w:rPr>
          <w:rFonts w:hint="eastAsia"/>
          <w:color w:val="000000" w:themeColor="text1"/>
          <w14:textFill>
            <w14:solidFill>
              <w14:schemeClr w14:val="tx1"/>
            </w14:solidFill>
          </w14:textFill>
        </w:rPr>
        <w:t>恒温槽车将醇沉药渣运输至陕渝临港热电厂循环流化床锅炉旁的卸料平台，随即与供浆泵的进口连接，通过供浆泵将醇沉药渣泵入循环流化床焚烧处理，不在厂内暂存。每车上料、焚烧时间1</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，间歇运行。设计年最大焚烧处置量1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万吨，年运行时间2</w:t>
      </w:r>
      <w:r>
        <w:rPr>
          <w:color w:val="000000" w:themeColor="text1"/>
          <w14:textFill>
            <w14:solidFill>
              <w14:schemeClr w14:val="tx1"/>
            </w14:solidFill>
          </w14:textFill>
        </w:rPr>
        <w:t>000h</w:t>
      </w:r>
      <w:r>
        <w:rPr>
          <w:rFonts w:hint="eastAsia"/>
          <w:color w:val="000000" w:themeColor="text1"/>
          <w14:textFill>
            <w14:solidFill>
              <w14:schemeClr w14:val="tx1"/>
            </w14:solidFill>
          </w14:textFill>
        </w:rPr>
        <w:t>（每小时处理6吨，间歇运行）。</w:t>
      </w:r>
    </w:p>
    <w:p>
      <w:pPr>
        <w:pStyle w:val="5"/>
        <w:jc w:val="both"/>
      </w:pPr>
      <w:r>
        <w:rPr>
          <w:rFonts w:hint="eastAsia"/>
        </w:rPr>
        <w:t>协同焚烧掺烧比例</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根据龙桥电厂近3年运行记录，循环流化床锅炉小时耗煤量约为</w:t>
      </w:r>
      <w:r>
        <w:rPr>
          <w:color w:val="000000" w:themeColor="text1"/>
          <w14:textFill>
            <w14:solidFill>
              <w14:schemeClr w14:val="tx1"/>
            </w14:solidFill>
          </w14:textFill>
        </w:rPr>
        <w:t>120t/h</w:t>
      </w:r>
      <w:r>
        <w:rPr>
          <w:rFonts w:hint="eastAsia"/>
          <w:color w:val="000000" w:themeColor="text1"/>
          <w14:textFill>
            <w14:solidFill>
              <w14:schemeClr w14:val="tx1"/>
            </w14:solidFill>
          </w14:textFill>
        </w:rPr>
        <w:t>。间歇焚烧醇沉药渣，上料速度为6</w:t>
      </w:r>
      <w:r>
        <w:rPr>
          <w:color w:val="000000" w:themeColor="text1"/>
          <w14:textFill>
            <w14:solidFill>
              <w14:schemeClr w14:val="tx1"/>
            </w14:solidFill>
          </w14:textFill>
        </w:rPr>
        <w:t xml:space="preserve"> t/h</w:t>
      </w:r>
      <w:r>
        <w:rPr>
          <w:rFonts w:hint="eastAsia"/>
          <w:color w:val="000000" w:themeColor="text1"/>
          <w14:textFill>
            <w14:solidFill>
              <w14:schemeClr w14:val="tx1"/>
            </w14:solidFill>
          </w14:textFill>
        </w:rPr>
        <w:t>。最大掺烧比例约4</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w:t>
      </w:r>
    </w:p>
    <w:p>
      <w:pPr>
        <w:pStyle w:val="5"/>
        <w:jc w:val="both"/>
      </w:pPr>
      <w:r>
        <w:rPr>
          <w:rFonts w:hint="eastAsia"/>
        </w:rPr>
        <w:t>协同焚烧对机组耗煤量的影响</w:t>
      </w:r>
    </w:p>
    <w:p>
      <w:pPr>
        <w:ind w:firstLine="5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本项目利用循环流化床锅炉协同处置太极制药产生的醇沉药渣，年处置能力1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万吨。根据建设单位提供的</w:t>
      </w:r>
      <w:bookmarkStart w:id="81" w:name="_Hlk105766194"/>
      <w:r>
        <w:rPr>
          <w:rFonts w:hint="eastAsia"/>
          <w:color w:val="000000" w:themeColor="text1"/>
          <w14:textFill>
            <w14:solidFill>
              <w14:schemeClr w14:val="tx1"/>
            </w14:solidFill>
          </w14:textFill>
        </w:rPr>
        <w:t>燃煤、醇沉药渣的热值</w:t>
      </w:r>
      <w:bookmarkEnd w:id="81"/>
      <w:r>
        <w:rPr>
          <w:rFonts w:hint="eastAsia"/>
          <w:color w:val="000000" w:themeColor="text1"/>
          <w14:textFill>
            <w14:solidFill>
              <w14:schemeClr w14:val="tx1"/>
            </w14:solidFill>
          </w14:textFill>
        </w:rPr>
        <w:t>测试结果（见表3</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醇沉药渣、燃煤的热值一览表</w:t>
      </w:r>
    </w:p>
    <w:tbl>
      <w:tblPr>
        <w:tblStyle w:val="43"/>
        <w:tblW w:w="87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7"/>
        <w:gridCol w:w="2200"/>
        <w:gridCol w:w="2193"/>
        <w:gridCol w:w="2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7" w:type="dxa"/>
            <w:vMerge w:val="restart"/>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tc>
          <w:tcPr>
            <w:tcW w:w="2200" w:type="dxa"/>
            <w:vMerge w:val="restart"/>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p>
        </w:tc>
        <w:tc>
          <w:tcPr>
            <w:tcW w:w="4390" w:type="dxa"/>
            <w:gridSpan w:val="2"/>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7" w:type="dxa"/>
            <w:vMerge w:val="continue"/>
            <w:vAlign w:val="center"/>
          </w:tcPr>
          <w:p>
            <w:pPr>
              <w:pStyle w:val="122"/>
              <w:rPr>
                <w:color w:val="000000" w:themeColor="text1"/>
                <w14:textFill>
                  <w14:solidFill>
                    <w14:schemeClr w14:val="tx1"/>
                  </w14:solidFill>
                </w14:textFill>
              </w:rPr>
            </w:pPr>
          </w:p>
        </w:tc>
        <w:tc>
          <w:tcPr>
            <w:tcW w:w="2200" w:type="dxa"/>
            <w:vMerge w:val="continue"/>
            <w:vAlign w:val="center"/>
          </w:tcPr>
          <w:p>
            <w:pPr>
              <w:pStyle w:val="122"/>
              <w:rPr>
                <w:color w:val="000000" w:themeColor="text1"/>
                <w14:textFill>
                  <w14:solidFill>
                    <w14:schemeClr w14:val="tx1"/>
                  </w14:solidFill>
                </w14:textFill>
              </w:rPr>
            </w:pPr>
          </w:p>
        </w:tc>
        <w:tc>
          <w:tcPr>
            <w:tcW w:w="219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醇沉药渣</w:t>
            </w:r>
          </w:p>
        </w:tc>
        <w:tc>
          <w:tcPr>
            <w:tcW w:w="2197"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燃料煤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7"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收到基水分</w:t>
            </w:r>
          </w:p>
        </w:tc>
        <w:tc>
          <w:tcPr>
            <w:tcW w:w="2200"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19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1.0</w:t>
            </w:r>
          </w:p>
        </w:tc>
        <w:tc>
          <w:tcPr>
            <w:tcW w:w="2197"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7"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低位发热值</w:t>
            </w:r>
          </w:p>
        </w:tc>
        <w:tc>
          <w:tcPr>
            <w:tcW w:w="2200"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MJ/kg</w:t>
            </w:r>
          </w:p>
        </w:tc>
        <w:tc>
          <w:tcPr>
            <w:tcW w:w="2193"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9.23</w:t>
            </w:r>
          </w:p>
        </w:tc>
        <w:tc>
          <w:tcPr>
            <w:tcW w:w="2197"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19.83</w:t>
            </w:r>
          </w:p>
        </w:tc>
      </w:tr>
    </w:tbl>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由上表可知，与电厂实际耗煤比较：</w:t>
      </w:r>
    </w:p>
    <w:p>
      <w:pPr>
        <w:ind w:firstLine="5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醇沉药渣的热值相当于电厂燃料煤热值的</w:t>
      </w:r>
      <w:r>
        <w:rPr>
          <w:color w:val="000000" w:themeColor="text1"/>
          <w14:textFill>
            <w14:solidFill>
              <w14:schemeClr w14:val="tx1"/>
            </w14:solidFill>
          </w14:textFill>
        </w:rPr>
        <w:t>46.5</w:t>
      </w:r>
      <w:r>
        <w:rPr>
          <w:rFonts w:hint="eastAsia"/>
          <w:color w:val="000000" w:themeColor="text1"/>
          <w14:textFill>
            <w14:solidFill>
              <w14:schemeClr w14:val="tx1"/>
            </w14:solidFill>
          </w14:textFill>
        </w:rPr>
        <w:t>%，年处理1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万吨醇沉药渣的热值相当于5</w:t>
      </w:r>
      <w:r>
        <w:rPr>
          <w:color w:val="000000" w:themeColor="text1"/>
          <w14:textFill>
            <w14:solidFill>
              <w14:schemeClr w14:val="tx1"/>
            </w14:solidFill>
          </w14:textFill>
        </w:rPr>
        <w:t>585.48</w:t>
      </w:r>
      <w:r>
        <w:rPr>
          <w:rFonts w:hint="eastAsia"/>
          <w:color w:val="000000" w:themeColor="text1"/>
          <w14:textFill>
            <w14:solidFill>
              <w14:schemeClr w14:val="tx1"/>
            </w14:solidFill>
          </w14:textFill>
        </w:rPr>
        <w:t>吨煤的热值。</w:t>
      </w:r>
    </w:p>
    <w:p>
      <w:pPr>
        <w:ind w:firstLine="5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此外，醇沉药渣中水分及上料系统冲洗水喷入锅炉焚烧，均将消耗热量。醇沉药渣温度约70℃，水分3</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%，年处理醇沉药渣1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万吨，其中水分含量为3</w:t>
      </w:r>
      <w:r>
        <w:rPr>
          <w:color w:val="000000" w:themeColor="text1"/>
          <w14:textFill>
            <w14:solidFill>
              <w14:schemeClr w14:val="tx1"/>
            </w14:solidFill>
          </w14:textFill>
        </w:rPr>
        <w:t>720</w:t>
      </w:r>
      <w:r>
        <w:rPr>
          <w:rFonts w:hint="eastAsia"/>
          <w:color w:val="000000" w:themeColor="text1"/>
          <w14:textFill>
            <w14:solidFill>
              <w14:schemeClr w14:val="tx1"/>
            </w14:solidFill>
          </w14:textFill>
        </w:rPr>
        <w:t>吨。每一槽车醇沉药渣量6吨，年上料次数2</w:t>
      </w:r>
      <w:r>
        <w:rPr>
          <w:color w:val="000000" w:themeColor="text1"/>
          <w14:textFill>
            <w14:solidFill>
              <w14:schemeClr w14:val="tx1"/>
            </w14:solidFill>
          </w14:textFill>
        </w:rPr>
        <w:t>000</w:t>
      </w:r>
      <w:r>
        <w:rPr>
          <w:rFonts w:hint="eastAsia"/>
          <w:color w:val="000000" w:themeColor="text1"/>
          <w14:textFill>
            <w14:solidFill>
              <w14:schemeClr w14:val="tx1"/>
            </w14:solidFill>
          </w14:textFill>
        </w:rPr>
        <w:t>次，一次上料完成后系统冲洗用水量0.17吨，则年冲洗水量3</w:t>
      </w:r>
      <w:r>
        <w:rPr>
          <w:color w:val="000000" w:themeColor="text1"/>
          <w14:textFill>
            <w14:solidFill>
              <w14:schemeClr w14:val="tx1"/>
            </w14:solidFill>
          </w14:textFill>
        </w:rPr>
        <w:t>40</w:t>
      </w:r>
      <w:r>
        <w:rPr>
          <w:rFonts w:hint="eastAsia"/>
          <w:color w:val="000000" w:themeColor="text1"/>
          <w14:textFill>
            <w14:solidFill>
              <w14:schemeClr w14:val="tx1"/>
            </w14:solidFill>
          </w14:textFill>
        </w:rPr>
        <w:t>吨，冲洗水温度9</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100</w:t>
      </w:r>
      <w:r>
        <w:rPr>
          <w:rFonts w:hint="eastAsia"/>
          <w:color w:val="000000" w:themeColor="text1"/>
          <w14:textFill>
            <w14:solidFill>
              <w14:schemeClr w14:val="tx1"/>
            </w14:solidFill>
          </w14:textFill>
        </w:rPr>
        <w:t>℃（按9</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℃计）。</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根据理论热值分析（</w:t>
      </w:r>
      <w:r>
        <w:rPr>
          <w:color w:val="000000" w:themeColor="text1"/>
          <w14:textFill>
            <w14:solidFill>
              <w14:schemeClr w14:val="tx1"/>
            </w14:solidFill>
          </w14:textFill>
        </w:rPr>
        <w:t>水的比热容是4.2×10³</w:t>
      </w:r>
      <w:r>
        <w:rPr>
          <w:rFonts w:hint="eastAsia"/>
          <w:color w:val="000000" w:themeColor="text1"/>
          <w14:textFill>
            <w14:solidFill>
              <w14:schemeClr w14:val="tx1"/>
            </w14:solidFill>
          </w14:textFill>
        </w:rPr>
        <w:t>J</w:t>
      </w:r>
      <w:r>
        <w:rPr>
          <w:color w:val="000000" w:themeColor="text1"/>
          <w14:textFill>
            <w14:solidFill>
              <w14:schemeClr w14:val="tx1"/>
            </w14:solidFill>
          </w14:textFill>
        </w:rPr>
        <w:t>/kg·</w:t>
      </w:r>
      <w:r>
        <w:rPr>
          <w:rFonts w:hint="eastAsia"/>
          <w:color w:val="000000" w:themeColor="text1"/>
          <w14:textFill>
            <w14:solidFill>
              <w14:schemeClr w14:val="tx1"/>
            </w14:solidFill>
          </w14:textFill>
        </w:rPr>
        <w:t>℃），将上述水分加热至1</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℃蒸发需要的热量为4</w:t>
      </w:r>
      <w:r>
        <w:rPr>
          <w:color w:val="000000" w:themeColor="text1"/>
          <w14:textFill>
            <w14:solidFill>
              <w14:schemeClr w14:val="tx1"/>
            </w14:solidFill>
          </w14:textFill>
        </w:rPr>
        <w:t>.83×10</w:t>
      </w:r>
      <w:r>
        <w:rPr>
          <w:color w:val="000000" w:themeColor="text1"/>
          <w:vertAlign w:val="superscript"/>
          <w14:textFill>
            <w14:solidFill>
              <w14:schemeClr w14:val="tx1"/>
            </w14:solidFill>
          </w14:textFill>
        </w:rPr>
        <w:t>5</w:t>
      </w:r>
      <w:r>
        <w:rPr>
          <w:color w:val="000000" w:themeColor="text1"/>
          <w14:textFill>
            <w14:solidFill>
              <w14:schemeClr w14:val="tx1"/>
            </w14:solidFill>
          </w14:textFill>
        </w:rPr>
        <w:t xml:space="preserve"> MJ</w:t>
      </w:r>
      <w:r>
        <w:rPr>
          <w:rFonts w:hint="eastAsia"/>
          <w:color w:val="000000" w:themeColor="text1"/>
          <w14:textFill>
            <w14:solidFill>
              <w14:schemeClr w14:val="tx1"/>
            </w14:solidFill>
          </w14:textFill>
        </w:rPr>
        <w:t>，理论需消耗的燃煤量约</w:t>
      </w:r>
      <w:r>
        <w:rPr>
          <w:color w:val="000000" w:themeColor="text1"/>
          <w14:textFill>
            <w14:solidFill>
              <w14:schemeClr w14:val="tx1"/>
            </w14:solidFill>
          </w14:textFill>
        </w:rPr>
        <w:t>24.36</w:t>
      </w:r>
      <w:r>
        <w:rPr>
          <w:rFonts w:hint="eastAsia"/>
          <w:color w:val="000000" w:themeColor="text1"/>
          <w14:textFill>
            <w14:solidFill>
              <w14:schemeClr w14:val="tx1"/>
            </w14:solidFill>
          </w14:textFill>
        </w:rPr>
        <w:t>吨/年。</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综上，本项目实施后理论可节约燃煤约</w:t>
      </w:r>
      <w:bookmarkStart w:id="82" w:name="_Hlk106032030"/>
      <w:r>
        <w:rPr>
          <w:rFonts w:hint="eastAsia"/>
          <w:color w:val="000000" w:themeColor="text1"/>
          <w14:textFill>
            <w14:solidFill>
              <w14:schemeClr w14:val="tx1"/>
            </w14:solidFill>
          </w14:textFill>
        </w:rPr>
        <w:t>5</w:t>
      </w:r>
      <w:r>
        <w:rPr>
          <w:color w:val="000000" w:themeColor="text1"/>
          <w14:textFill>
            <w14:solidFill>
              <w14:schemeClr w14:val="tx1"/>
            </w14:solidFill>
          </w14:textFill>
        </w:rPr>
        <w:t>585.48</w:t>
      </w:r>
      <w:r>
        <w:rPr>
          <w:rFonts w:hint="eastAsia"/>
          <w:color w:val="000000" w:themeColor="text1"/>
          <w14:textFill>
            <w14:solidFill>
              <w14:schemeClr w14:val="tx1"/>
            </w14:solidFill>
          </w14:textFill>
        </w:rPr>
        <w:t>吨-</w:t>
      </w:r>
      <w:r>
        <w:rPr>
          <w:color w:val="000000" w:themeColor="text1"/>
          <w14:textFill>
            <w14:solidFill>
              <w14:schemeClr w14:val="tx1"/>
            </w14:solidFill>
          </w14:textFill>
        </w:rPr>
        <w:t>24.36</w:t>
      </w:r>
      <w:r>
        <w:rPr>
          <w:rFonts w:hint="eastAsia"/>
          <w:color w:val="000000" w:themeColor="text1"/>
          <w14:textFill>
            <w14:solidFill>
              <w14:schemeClr w14:val="tx1"/>
            </w14:solidFill>
          </w14:textFill>
        </w:rPr>
        <w:t>吨=</w:t>
      </w:r>
      <w:r>
        <w:rPr>
          <w:color w:val="000000" w:themeColor="text1"/>
          <w14:textFill>
            <w14:solidFill>
              <w14:schemeClr w14:val="tx1"/>
            </w14:solidFill>
          </w14:textFill>
        </w:rPr>
        <w:t>5561.12</w:t>
      </w:r>
      <w:r>
        <w:rPr>
          <w:rFonts w:hint="eastAsia"/>
          <w:color w:val="000000" w:themeColor="text1"/>
          <w14:textFill>
            <w14:solidFill>
              <w14:schemeClr w14:val="tx1"/>
            </w14:solidFill>
          </w14:textFill>
        </w:rPr>
        <w:t>吨/年</w:t>
      </w:r>
      <w:bookmarkEnd w:id="82"/>
      <w:r>
        <w:rPr>
          <w:rFonts w:hint="eastAsia"/>
          <w:color w:val="000000" w:themeColor="text1"/>
          <w14:textFill>
            <w14:solidFill>
              <w14:schemeClr w14:val="tx1"/>
            </w14:solidFill>
          </w14:textFill>
        </w:rPr>
        <w:t>。</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醇沉药渣运输</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太极涪陵药厂配一辆专用载重6</w:t>
      </w:r>
      <w:r>
        <w:rPr>
          <w:color w:val="000000" w:themeColor="text1"/>
          <w14:textFill>
            <w14:solidFill>
              <w14:schemeClr w14:val="tx1"/>
            </w14:solidFill>
          </w14:textFill>
        </w:rPr>
        <w:t>吨的</w:t>
      </w:r>
      <w:r>
        <w:rPr>
          <w:rFonts w:hint="eastAsia"/>
          <w:color w:val="000000" w:themeColor="text1"/>
          <w14:textFill>
            <w14:solidFill>
              <w14:schemeClr w14:val="tx1"/>
            </w14:solidFill>
          </w14:textFill>
        </w:rPr>
        <w:t>恒温槽车将醇沉药渣由金峰村经Y</w:t>
      </w:r>
      <w:r>
        <w:rPr>
          <w:color w:val="000000" w:themeColor="text1"/>
          <w14:textFill>
            <w14:solidFill>
              <w14:schemeClr w14:val="tx1"/>
            </w14:solidFill>
          </w14:textFill>
        </w:rPr>
        <w:t>031</w:t>
      </w:r>
      <w:r>
        <w:rPr>
          <w:rFonts w:hint="eastAsia"/>
          <w:color w:val="000000" w:themeColor="text1"/>
          <w14:textFill>
            <w14:solidFill>
              <w14:schemeClr w14:val="tx1"/>
            </w14:solidFill>
          </w14:textFill>
        </w:rPr>
        <w:t>乡道运输至陕渝临港热电厂循环流化床锅炉旁的卸料平台，运输距离约1</w:t>
      </w:r>
      <w:r>
        <w:rPr>
          <w:color w:val="000000" w:themeColor="text1"/>
          <w14:textFill>
            <w14:solidFill>
              <w14:schemeClr w14:val="tx1"/>
            </w14:solidFill>
          </w14:textFill>
        </w:rPr>
        <w:t>.7km</w:t>
      </w:r>
      <w:r>
        <w:rPr>
          <w:rFonts w:hint="eastAsia"/>
          <w:color w:val="000000" w:themeColor="text1"/>
          <w14:textFill>
            <w14:solidFill>
              <w14:schemeClr w14:val="tx1"/>
            </w14:solidFill>
          </w14:textFill>
        </w:rPr>
        <w:t>，年运输2</w:t>
      </w:r>
      <w:r>
        <w:rPr>
          <w:color w:val="000000" w:themeColor="text1"/>
          <w14:textFill>
            <w14:solidFill>
              <w14:schemeClr w14:val="tx1"/>
            </w14:solidFill>
          </w14:textFill>
        </w:rPr>
        <w:t>000</w:t>
      </w:r>
      <w:r>
        <w:rPr>
          <w:rFonts w:hint="eastAsia"/>
          <w:color w:val="000000" w:themeColor="text1"/>
          <w14:textFill>
            <w14:solidFill>
              <w14:schemeClr w14:val="tx1"/>
            </w14:solidFill>
          </w14:textFill>
        </w:rPr>
        <w:t>车次，平均每天运输6</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车次。运输过程由太极涪陵药厂负责，不属于本项目评价范围。由于运输距离仅1</w:t>
      </w:r>
      <w:r>
        <w:rPr>
          <w:color w:val="000000" w:themeColor="text1"/>
          <w14:textFill>
            <w14:solidFill>
              <w14:schemeClr w14:val="tx1"/>
            </w14:solidFill>
          </w14:textFill>
        </w:rPr>
        <w:t>.7km</w:t>
      </w:r>
      <w:r>
        <w:rPr>
          <w:rFonts w:hint="eastAsia"/>
          <w:color w:val="000000" w:themeColor="text1"/>
          <w14:textFill>
            <w14:solidFill>
              <w14:schemeClr w14:val="tx1"/>
            </w14:solidFill>
          </w14:textFill>
        </w:rPr>
        <w:t>，运输路径未跨越河流，且使用的是全密闭的恒温槽车，运输过程发生侧翻的可能性较小，由于醇沉药渣的物理特性，即使侧翻也不会发生物料撒漏，因此运输过程不存在环境风险。</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主要设备清单</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本项目新增设备清单见表3</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本主要设备和材料一览表</w:t>
      </w:r>
    </w:p>
    <w:tbl>
      <w:tblPr>
        <w:tblStyle w:val="42"/>
        <w:tblW w:w="8671"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1462"/>
        <w:gridCol w:w="3222"/>
        <w:gridCol w:w="523"/>
        <w:gridCol w:w="651"/>
        <w:gridCol w:w="2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508" w:type="dxa"/>
            <w:vAlign w:val="center"/>
          </w:tcPr>
          <w:p>
            <w:pPr>
              <w:pStyle w:val="122"/>
              <w:rPr>
                <w:color w:val="000000" w:themeColor="text1"/>
                <w14:textFill>
                  <w14:solidFill>
                    <w14:schemeClr w14:val="tx1"/>
                  </w14:solidFill>
                </w14:textFill>
              </w:rPr>
            </w:pPr>
            <w:bookmarkStart w:id="83" w:name="OLE_LINK1"/>
            <w:r>
              <w:rPr>
                <w:rFonts w:hint="eastAsia"/>
                <w:color w:val="000000" w:themeColor="text1"/>
                <w14:textFill>
                  <w14:solidFill>
                    <w14:schemeClr w14:val="tx1"/>
                  </w14:solidFill>
                </w14:textFill>
              </w:rPr>
              <w:t>序号</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材料名称</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规格型号</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数量</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锅炉水冷壁让管定制</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Φ57*6.5  材质：SA210C</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套</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GB5310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供浆泵</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40-32-250  流量6</w:t>
            </w:r>
            <w:r>
              <w:rPr>
                <w:color w:val="000000" w:themeColor="text1"/>
                <w14:textFill>
                  <w14:solidFill>
                    <w14:schemeClr w14:val="tx1"/>
                  </w14:solidFill>
                </w14:textFill>
              </w:rPr>
              <w:t>.3t</w:t>
            </w:r>
            <w:r>
              <w:rPr>
                <w:rFonts w:hint="eastAsia"/>
                <w:color w:val="000000" w:themeColor="text1"/>
                <w14:textFill>
                  <w14:solidFill>
                    <w14:schemeClr w14:val="tx1"/>
                  </w14:solidFill>
                </w14:textFill>
              </w:rPr>
              <w:t>/h，扬程120m，15KW</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台</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一用一备，带电机及底座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变径大小头</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Φ108/Φ51*5</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个</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泵进口大小头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变径大小头</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Φ51/Φ38*5</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个</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305" w:type="dxa"/>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不锈钢管</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Φ38*3  20#</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米</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77</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压缩空气管GB3087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不锈钢管</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Φ57*3.5  20#</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米</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83</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冲洗水进水管GB3087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不锈钢管</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Φ51*3.5  20#</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米</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220</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冷却干燥风GB3087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不锈钢管</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Φ108*5  20#</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米</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冲洗水箱出口管GB3087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不锈钢管</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Φ159*7  20#</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米</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地埋套管GB3087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90°热轧弯头</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Φ159*7  20#</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只</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GB3087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90°热轧弯头</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Φ38*3  20#</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只</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GB3087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90°热轧弯头</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Φ51*3.5  20#</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只</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GB3087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90°热轧弯头</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Φ57*3.5  20#</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只</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GB3087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90°热轧弯头</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Φ108*5  20#</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只</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GB3087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电动闸阀</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Z941H-16  DN40</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台</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泵出口门、配反法兰、螺栓与垫片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16</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电动截止阀</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J941H-16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DN32</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台</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压缩空气二次门、配反法兰、螺栓与垫片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电动截止阀</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J941H-16</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DN50</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台</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冲洗水箱进水二次门、配反法兰曼妙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电动闸阀</w:t>
            </w:r>
          </w:p>
        </w:tc>
        <w:tc>
          <w:tcPr>
            <w:tcW w:w="3222"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Z</w:t>
            </w:r>
            <w:r>
              <w:rPr>
                <w:rFonts w:hint="eastAsia"/>
                <w:color w:val="000000" w:themeColor="text1"/>
                <w14:textFill>
                  <w14:solidFill>
                    <w14:schemeClr w14:val="tx1"/>
                  </w14:solidFill>
                </w14:textFill>
              </w:rPr>
              <w:t>941H-16</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DN100</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台</w:t>
            </w:r>
          </w:p>
        </w:tc>
        <w:tc>
          <w:tcPr>
            <w:tcW w:w="651"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2</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泵前进口门、配反法兰、螺栓与垫片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19</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电动截止阀</w:t>
            </w:r>
          </w:p>
        </w:tc>
        <w:tc>
          <w:tcPr>
            <w:tcW w:w="3222"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J</w:t>
            </w:r>
            <w:r>
              <w:rPr>
                <w:rFonts w:hint="eastAsia"/>
                <w:color w:val="000000" w:themeColor="text1"/>
                <w14:textFill>
                  <w14:solidFill>
                    <w14:schemeClr w14:val="tx1"/>
                  </w14:solidFill>
                </w14:textFill>
              </w:rPr>
              <w:t>941H-16</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DN100</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台</w:t>
            </w:r>
          </w:p>
        </w:tc>
        <w:tc>
          <w:tcPr>
            <w:tcW w:w="651"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2</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泵前冲洗水门、配反法兰、螺栓与垫片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手动截止阀</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J41H-16</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DN32</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台</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压缩空气一次门、配反法兰、螺栓与垫片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21</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手动截止阀</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J41H-16</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DN40</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台</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冷却风门、配反法兰、螺栓与垫片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22</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手动截止阀</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J41H-16</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DN50</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台</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冲洗水箱一次门、配反法兰、螺栓与垫片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23</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手动截止阀</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J41H-16</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DN100</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台</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水箱出口隔离门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球阀</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3/4</w:t>
            </w:r>
            <w:r>
              <w:rPr>
                <w:color w:val="000000" w:themeColor="text1"/>
                <w14:textFill>
                  <w14:solidFill>
                    <w14:schemeClr w14:val="tx1"/>
                  </w14:solidFill>
                </w14:textFill>
              </w:rPr>
              <w:t>’</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个</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槽罐车冲洗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金属软管</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DN32  PN1.6</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根</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每根4米（喷枪用）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26</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金属软管</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DN40  PN1.6</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根</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每根4米（喷枪用）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27</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喷枪</w:t>
            </w:r>
          </w:p>
        </w:tc>
        <w:tc>
          <w:tcPr>
            <w:tcW w:w="3222" w:type="dxa"/>
            <w:vAlign w:val="center"/>
          </w:tcPr>
          <w:p>
            <w:pPr>
              <w:pStyle w:val="122"/>
              <w:rPr>
                <w:color w:val="000000" w:themeColor="text1"/>
                <w14:textFill>
                  <w14:solidFill>
                    <w14:schemeClr w14:val="tx1"/>
                  </w14:solidFill>
                </w14:textFill>
              </w:rPr>
            </w:pP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支</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锅炉原有喷枪利旧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28</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水箱</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3m</w:t>
            </w:r>
            <w:r>
              <w:rPr>
                <w:rFonts w:hint="eastAsia"/>
                <w:color w:val="000000" w:themeColor="text1"/>
                <w:vertAlign w:val="superscript"/>
                <w14:textFill>
                  <w14:solidFill>
                    <w14:schemeClr w14:val="tx1"/>
                  </w14:solidFill>
                </w14:textFill>
              </w:rPr>
              <w:t>3</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个</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包括水箱架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29</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卡箍接头</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DN100</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个</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与槽罐车匹配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管壳</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DN32  厚度50mm</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米</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输送管道保温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31</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管壳</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DN50  厚度50mm</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米</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冲洗水管道保温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32</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硅酸铝纤维毯</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厚度50mm</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2.3</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冲洗水箱保温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33</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角钢</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30*30*3</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kg</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120</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防雨设施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34</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彩钢板</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δ=0.5</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管道及水箱保温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执行器</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智能一体化</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台</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杰成逊、上海行力、常州施耐德（已含在阀门内）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36</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控制电缆</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ZRC-KVVP14×1.5</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米</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920</w:t>
            </w:r>
          </w:p>
        </w:tc>
        <w:tc>
          <w:tcPr>
            <w:tcW w:w="2305" w:type="dxa"/>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37</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控制电缆</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ZRC-KVVP7×1.5</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米</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1100</w:t>
            </w:r>
          </w:p>
        </w:tc>
        <w:tc>
          <w:tcPr>
            <w:tcW w:w="2305" w:type="dxa"/>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38</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控制电缆</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ZRC-KVVP4×2.5</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米</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620</w:t>
            </w:r>
          </w:p>
        </w:tc>
        <w:tc>
          <w:tcPr>
            <w:tcW w:w="2305" w:type="dxa"/>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39</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电力电缆</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ZR-YJV 3×25+2×16</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米</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260</w:t>
            </w:r>
          </w:p>
        </w:tc>
        <w:tc>
          <w:tcPr>
            <w:tcW w:w="2305" w:type="dxa"/>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单芯多股铜芯线</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1平方毫米</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米</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就地控制箱用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41</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DCS卡件</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SM618</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块</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305" w:type="dxa"/>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42</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DCS卡件</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SM 3610</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块</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305" w:type="dxa"/>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43</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DCS卡件</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SM711</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块</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305" w:type="dxa"/>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44</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DCS卡件</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SM3610</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块</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305" w:type="dxa"/>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就地控制箱</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厚1.5mm不锈钢带防雨700mm（长）×500mm（宽）×300mm（高）</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个</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305"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带内板、双层门、外层门带玻璃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46</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带灯按钮</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NP2带两常开、两常闭、绿色、Φ22</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个</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2305" w:type="dxa"/>
            <w:vMerge w:val="restart"/>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就地控制箱用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47</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带灯按钮</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NP2带两常开、两常闭、红色、Φ22</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个</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2305" w:type="dxa"/>
            <w:vMerge w:val="continue"/>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48</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三位置选择开关</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NP2三挡自锁、二常开、Φ22</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个</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2305" w:type="dxa"/>
            <w:vMerge w:val="continue"/>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49</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3P空开</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C16</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个</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2305" w:type="dxa"/>
            <w:vMerge w:val="continue"/>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2P空开</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C10</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个</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305" w:type="dxa"/>
            <w:vMerge w:val="continue"/>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51</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继电器</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JZX-22F(D)/2Z、220V、14脚、配继电器座子</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个</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2305" w:type="dxa"/>
            <w:vMerge w:val="continue"/>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52</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端子</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UK3N</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个</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230</w:t>
            </w:r>
          </w:p>
        </w:tc>
        <w:tc>
          <w:tcPr>
            <w:tcW w:w="2305" w:type="dxa"/>
            <w:vMerge w:val="continue"/>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53</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接线端子导轨</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C45</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米</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305" w:type="dxa"/>
            <w:vMerge w:val="continue"/>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54</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PVC配电箱U型线槽</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50mm×30mm</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米</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305" w:type="dxa"/>
            <w:vMerge w:val="continue"/>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11KW电机电力配电控制箱</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11KW配电子式综合保护器</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个</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305" w:type="dxa"/>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56</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镀锌钢管</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6分</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米</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2305" w:type="dxa"/>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57</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角钢</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米</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2305" w:type="dxa"/>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58</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镀锌槽盒</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100×100</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米</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2305" w:type="dxa"/>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59</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接地镀锌扁铁</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25×4</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米</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2305" w:type="dxa"/>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包塑金属软管</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6分</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米</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2305" w:type="dxa"/>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61</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软管三柱自固管接头</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6分软管—6分镀锌管</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个</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c>
          <w:tcPr>
            <w:tcW w:w="2305" w:type="dxa"/>
            <w:vAlign w:val="center"/>
          </w:tcPr>
          <w:p>
            <w:pPr>
              <w:pStyle w:val="122"/>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08"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62</w:t>
            </w:r>
          </w:p>
        </w:tc>
        <w:tc>
          <w:tcPr>
            <w:tcW w:w="146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软管外丝端接头</w:t>
            </w:r>
          </w:p>
        </w:tc>
        <w:tc>
          <w:tcPr>
            <w:tcW w:w="3222"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M25×1.5—6分</w:t>
            </w:r>
          </w:p>
        </w:tc>
        <w:tc>
          <w:tcPr>
            <w:tcW w:w="523"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个</w:t>
            </w:r>
          </w:p>
        </w:tc>
        <w:tc>
          <w:tcPr>
            <w:tcW w:w="6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c>
          <w:tcPr>
            <w:tcW w:w="2305" w:type="dxa"/>
            <w:vAlign w:val="center"/>
          </w:tcPr>
          <w:p>
            <w:pPr>
              <w:pStyle w:val="122"/>
              <w:rPr>
                <w:color w:val="000000" w:themeColor="text1"/>
                <w14:textFill>
                  <w14:solidFill>
                    <w14:schemeClr w14:val="tx1"/>
                  </w14:solidFill>
                </w14:textFill>
              </w:rPr>
            </w:pPr>
          </w:p>
        </w:tc>
      </w:tr>
      <w:bookmarkEnd w:id="83"/>
    </w:tbl>
    <w:p>
      <w:pPr>
        <w:pStyle w:val="80"/>
      </w:pP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主要原辅材料及能源消耗</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本项目实施后仅增加少量电耗和水耗，不会导致燃煤量增加。见下表。</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项目新增原辅材料消耗一览表</w:t>
      </w:r>
    </w:p>
    <w:tbl>
      <w:tblPr>
        <w:tblStyle w:val="43"/>
        <w:tblW w:w="87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7"/>
        <w:gridCol w:w="2926"/>
        <w:gridCol w:w="2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7" w:type="dxa"/>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名称</w:t>
            </w:r>
          </w:p>
        </w:tc>
        <w:tc>
          <w:tcPr>
            <w:tcW w:w="2926" w:type="dxa"/>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p>
        </w:tc>
        <w:tc>
          <w:tcPr>
            <w:tcW w:w="2924" w:type="dxa"/>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年新增用量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7" w:type="dxa"/>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压缩空气</w:t>
            </w:r>
          </w:p>
        </w:tc>
        <w:tc>
          <w:tcPr>
            <w:tcW w:w="2926" w:type="dxa"/>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万m</w:t>
            </w:r>
            <w:r>
              <w:rPr>
                <w:color w:val="000000" w:themeColor="text1"/>
                <w:vertAlign w:val="superscript"/>
                <w14:textFill>
                  <w14:solidFill>
                    <w14:schemeClr w14:val="tx1"/>
                  </w14:solidFill>
                </w14:textFill>
              </w:rPr>
              <w:t>3</w:t>
            </w:r>
          </w:p>
        </w:tc>
        <w:tc>
          <w:tcPr>
            <w:tcW w:w="2924" w:type="dxa"/>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7" w:type="dxa"/>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电</w:t>
            </w:r>
          </w:p>
        </w:tc>
        <w:tc>
          <w:tcPr>
            <w:tcW w:w="2926" w:type="dxa"/>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万k</w:t>
            </w:r>
            <w:r>
              <w:rPr>
                <w:color w:val="000000" w:themeColor="text1"/>
                <w14:textFill>
                  <w14:solidFill>
                    <w14:schemeClr w14:val="tx1"/>
                  </w14:solidFill>
                </w14:textFill>
              </w:rPr>
              <w:t>wh</w:t>
            </w:r>
          </w:p>
        </w:tc>
        <w:tc>
          <w:tcPr>
            <w:tcW w:w="2924" w:type="dxa"/>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7" w:type="dxa"/>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水</w:t>
            </w:r>
          </w:p>
        </w:tc>
        <w:tc>
          <w:tcPr>
            <w:tcW w:w="2926" w:type="dxa"/>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吨</w:t>
            </w:r>
          </w:p>
        </w:tc>
        <w:tc>
          <w:tcPr>
            <w:tcW w:w="2924" w:type="dxa"/>
          </w:tcPr>
          <w:p>
            <w:pPr>
              <w:pStyle w:val="200"/>
              <w:rPr>
                <w:color w:val="000000" w:themeColor="text1"/>
                <w14:textFill>
                  <w14:solidFill>
                    <w14:schemeClr w14:val="tx1"/>
                  </w14:solidFill>
                </w14:textFill>
              </w:rPr>
            </w:pPr>
            <w:r>
              <w:rPr>
                <w:color w:val="000000" w:themeColor="text1"/>
                <w14:textFill>
                  <w14:solidFill>
                    <w14:schemeClr w14:val="tx1"/>
                  </w14:solidFill>
                </w14:textFill>
              </w:rPr>
              <w:t>340</w:t>
            </w:r>
          </w:p>
        </w:tc>
      </w:tr>
    </w:tbl>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项目平面布置及合理性分析</w:t>
      </w:r>
    </w:p>
    <w:p>
      <w:pPr>
        <w:ind w:firstLine="52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槽罐车卸料、供浆泵、冲洗水箱布置在锅炉扩建端脱硝尿素制备车间与机组排水槽之间巡检大门外侧。在机组排水槽外部尿素运输道路边开口，修建硬化一条醇沉药渣运输道路（长</w:t>
      </w:r>
      <w:r>
        <w:rPr>
          <w:rFonts w:hint="eastAsia"/>
          <w:color w:val="000000" w:themeColor="text1"/>
          <w14:textFill>
            <w14:solidFill>
              <w14:schemeClr w14:val="tx1"/>
            </w14:solidFill>
          </w14:textFill>
        </w:rPr>
        <w:t>55m、宽6m</w:t>
      </w:r>
      <w:r>
        <w:rPr>
          <w:rFonts w:hint="eastAsia"/>
          <w:color w:val="000000" w:themeColor="text1"/>
          <w:lang w:val="zh-CN"/>
          <w14:textFill>
            <w14:solidFill>
              <w14:schemeClr w14:val="tx1"/>
            </w14:solidFill>
          </w14:textFill>
        </w:rPr>
        <w:t>），同时将脱硝厂房旁地面硬化（硬化面积</w:t>
      </w:r>
      <w:r>
        <w:rPr>
          <w:rFonts w:hint="eastAsia"/>
          <w:color w:val="000000" w:themeColor="text1"/>
          <w14:textFill>
            <w14:solidFill>
              <w14:schemeClr w14:val="tx1"/>
            </w14:solidFill>
          </w14:textFill>
        </w:rPr>
        <w:t>39m</w:t>
      </w:r>
      <w:r>
        <w:rPr>
          <w:rFonts w:hint="eastAsia"/>
          <w:color w:val="000000" w:themeColor="text1"/>
          <w:vertAlign w:val="superscript"/>
          <w14:textFill>
            <w14:solidFill>
              <w14:schemeClr w14:val="tx1"/>
            </w14:solidFill>
          </w14:textFill>
        </w:rPr>
        <w:t>2</w:t>
      </w:r>
      <w:r>
        <w:rPr>
          <w:rFonts w:hint="eastAsia"/>
          <w:color w:val="000000" w:themeColor="text1"/>
          <w:lang w:val="zh-CN"/>
          <w14:textFill>
            <w14:solidFill>
              <w14:schemeClr w14:val="tx1"/>
            </w14:solidFill>
          </w14:textFill>
        </w:rPr>
        <w:t>），用于布置冲洗水箱、供浆泵。</w:t>
      </w:r>
    </w:p>
    <w:p>
      <w:pPr>
        <w:ind w:firstLine="52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项目平面布置紧凑，占地面积很小（</w:t>
      </w:r>
      <w:r>
        <w:rPr>
          <w:rFonts w:hint="eastAsia"/>
          <w:color w:val="000000" w:themeColor="text1"/>
          <w14:textFill>
            <w14:solidFill>
              <w14:schemeClr w14:val="tx1"/>
            </w14:solidFill>
          </w14:textFill>
        </w:rPr>
        <w:t>39m</w:t>
      </w:r>
      <w:r>
        <w:rPr>
          <w:rFonts w:hint="eastAsia"/>
          <w:color w:val="000000" w:themeColor="text1"/>
          <w:vertAlign w:val="superscript"/>
          <w14:textFill>
            <w14:solidFill>
              <w14:schemeClr w14:val="tx1"/>
            </w14:solidFill>
          </w14:textFill>
        </w:rPr>
        <w:t>2</w:t>
      </w:r>
      <w:r>
        <w:rPr>
          <w:rFonts w:hint="eastAsia"/>
          <w:color w:val="000000" w:themeColor="text1"/>
          <w:lang w:val="zh-CN"/>
          <w14:textFill>
            <w14:solidFill>
              <w14:schemeClr w14:val="tx1"/>
            </w14:solidFill>
          </w14:textFill>
        </w:rPr>
        <w:t>），且不会对企业现有生产和物流造成任何影响，平面布置合理。</w:t>
      </w:r>
    </w:p>
    <w:p>
      <w:pPr>
        <w:ind w:firstLine="520"/>
        <w:rPr>
          <w:color w:val="000000" w:themeColor="text1"/>
          <w:lang w:val="zh-CN"/>
          <w14:textFill>
            <w14:solidFill>
              <w14:schemeClr w14:val="tx1"/>
            </w14:solidFill>
          </w14:textFill>
        </w:rPr>
      </w:pPr>
    </w:p>
    <w:p>
      <w:pPr>
        <w:pStyle w:val="3"/>
      </w:pPr>
      <w:bookmarkStart w:id="84" w:name="_Toc109888252"/>
      <w:r>
        <w:rPr>
          <w:rFonts w:hint="eastAsia"/>
        </w:rPr>
        <w:t>工艺流程与影响因素分析</w:t>
      </w:r>
      <w:bookmarkEnd w:id="84"/>
    </w:p>
    <w:p>
      <w:pPr>
        <w:pStyle w:val="4"/>
        <w:rPr>
          <w:color w:val="000000" w:themeColor="text1"/>
          <w:lang w:val="zh-CN"/>
          <w14:textFill>
            <w14:solidFill>
              <w14:schemeClr w14:val="tx1"/>
            </w14:solidFill>
          </w14:textFill>
        </w:rPr>
      </w:pPr>
      <w:bookmarkStart w:id="85" w:name="_Toc532274807"/>
      <w:r>
        <w:rPr>
          <w:color w:val="000000" w:themeColor="text1"/>
          <w14:textFill>
            <w14:solidFill>
              <w14:schemeClr w14:val="tx1"/>
            </w14:solidFill>
          </w14:textFill>
        </w:rPr>
        <w:t>施工期</w:t>
      </w:r>
      <w:bookmarkEnd w:id="85"/>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施工期主要是场地硬化、设备安装，工程量小。主要污染因素是施工扬尘、噪声和少量施工废水，以及施工人员产生的生活污水、生活垃圾等。</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运营期</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项目运营期工艺流程见图3</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和附图4工艺系统图。</w:t>
      </w:r>
    </w:p>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47005" cy="178689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47005" cy="1786890"/>
                    </a:xfrm>
                    <a:prstGeom prst="rect">
                      <a:avLst/>
                    </a:prstGeom>
                    <a:noFill/>
                    <a:ln>
                      <a:noFill/>
                    </a:ln>
                  </pic:spPr>
                </pic:pic>
              </a:graphicData>
            </a:graphic>
          </wp:inline>
        </w:drawing>
      </w: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图3</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   运营期工艺流程</w:t>
      </w:r>
      <w:r>
        <w:rPr>
          <w:rFonts w:hint="eastAsia"/>
          <w:color w:val="000000" w:themeColor="text1"/>
          <w14:textFill>
            <w14:solidFill>
              <w14:schemeClr w14:val="tx1"/>
            </w14:solidFill>
          </w14:textFill>
        </w:rPr>
        <w:t>图</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（1）工艺流程简述</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1、醇沉药渣接收</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鉴于醇沉药渣特性，处置方案采用随到随处置。太极制药恒温槽车将醇沉药渣运至厂区后随即与供浆泵的进口连接。供浆泵的进口安装一变径大小头和电动闸阀，闸阀入口端焊接一快装接头与槽罐车相匹配。并在闸阀出口处安装一根冲洗水管，冲洗水管连接到冲洗水箱上。</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醇沉药渣槽车来料不连续，每车卸料完毕，需对槽车、泵及管道系统进行冲洗。冲洗流程为：冲洗水箱</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供浆泵</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输送管道</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喷枪</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炉膛。冲洗完毕后，采用压缩空气对管路吹扫，使输送管道内积水直接进入锅炉炉膛，杜绝污水的排放。</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2、协同焚烧</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醇沉药渣由喷枪从炉膛高22米高处喷入炉膛，在下降的过程中经炉膛高温气化、燃烧，达到焚烧的效果，同时避免或减少低温物料进入床层造成床层扰动。循环流化床锅炉烟气中</w:t>
      </w: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 xml:space="preserve">2 </w:t>
      </w:r>
      <w:r>
        <w:rPr>
          <w:rFonts w:hint="eastAsia"/>
          <w:color w:val="000000" w:themeColor="text1"/>
          <w14:textFill>
            <w14:solidFill>
              <w14:schemeClr w14:val="tx1"/>
            </w14:solidFill>
          </w14:textFill>
        </w:rPr>
        <w:t>的浓度处于</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左右，焚烧温度均值</w:t>
      </w:r>
      <w:r>
        <w:rPr>
          <w:color w:val="000000" w:themeColor="text1"/>
          <w14:textFill>
            <w14:solidFill>
              <w14:schemeClr w14:val="tx1"/>
            </w14:solidFill>
          </w14:textFill>
        </w:rPr>
        <w:t>900-950</w:t>
      </w:r>
      <w:r>
        <w:rPr>
          <w:rFonts w:hint="eastAsia"/>
          <w:color w:val="000000" w:themeColor="text1"/>
          <w14:textFill>
            <w14:solidFill>
              <w14:schemeClr w14:val="tx1"/>
            </w14:solidFill>
          </w14:textFill>
        </w:rPr>
        <w:t>℃，烟气在炉膛内停留时间为约2</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s。焚烧烟气进入循环流化床烟气净化系统净化后通过高2</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米烟囱排放。</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（2）污染因素分析</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运营期系统冲洗废水全部经喷枪喷入炉膛，无废水排放。本项目不会导致锅炉炉渣产生量增加，不会导致锅炉废气种类及排污量的增加。炉渣清运至炉渣仓暂存，锅炉废气经净化处理后达标排放。</w:t>
      </w:r>
    </w:p>
    <w:p>
      <w:pPr>
        <w:pStyle w:val="3"/>
      </w:pPr>
      <w:bookmarkStart w:id="86" w:name="_Toc109888253"/>
      <w:r>
        <w:rPr>
          <w:rFonts w:hint="eastAsia"/>
        </w:rPr>
        <w:t>污染物源强核算</w:t>
      </w:r>
      <w:bookmarkEnd w:id="86"/>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物料平衡分析</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醇沉药渣入炉焚烧后大部分转化为灰渣（炉渣）、汽化热，少部分转化成废气。由于本项目实施后可一定程度减少耗煤量，且醇沉药渣中有害物质含量极低，低于龙桥电厂燃煤中的有害物质含量，因此项目实施后不会导致锅炉排放废气中污染物种类和排放量的增加，本次环评不进行入炉物料有害元素平衡分析。</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技改项目产排污情况</w:t>
      </w:r>
    </w:p>
    <w:p>
      <w:pPr>
        <w:pStyle w:val="5"/>
        <w:jc w:val="both"/>
      </w:pPr>
      <w:r>
        <w:rPr>
          <w:rFonts w:hint="eastAsia"/>
        </w:rPr>
        <w:t>废气</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（1）二噁英的分析</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二噁英的形成需要具备以下条件：</w:t>
      </w:r>
    </w:p>
    <w:p>
      <w:pPr>
        <w:ind w:firstLine="52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不完全燃烧，尤其是</w:t>
      </w:r>
      <w:r>
        <w:rPr>
          <w:color w:val="000000" w:themeColor="text1"/>
          <w14:textFill>
            <w14:solidFill>
              <w14:schemeClr w14:val="tx1"/>
            </w14:solidFill>
          </w14:textFill>
        </w:rPr>
        <w:t xml:space="preserve"> 200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500</w:t>
      </w:r>
      <w:r>
        <w:rPr>
          <w:rFonts w:hint="eastAsia"/>
          <w:color w:val="000000" w:themeColor="text1"/>
          <w14:textFill>
            <w14:solidFill>
              <w14:schemeClr w14:val="tx1"/>
            </w14:solidFill>
          </w14:textFill>
        </w:rPr>
        <w:t>℃下的低温不完全燃烧反应的存在；</w:t>
      </w:r>
    </w:p>
    <w:p>
      <w:pPr>
        <w:ind w:firstLine="52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有机氯化合物、有机苯环化合物的存在；</w:t>
      </w:r>
    </w:p>
    <w:p>
      <w:pPr>
        <w:ind w:firstLine="52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催化剂的存在，主要是铜、钴等副族元素化合物。</w:t>
      </w:r>
      <w:r>
        <w:rPr>
          <w:color w:val="000000" w:themeColor="text1"/>
          <w14:textFill>
            <w14:solidFill>
              <w14:schemeClr w14:val="tx1"/>
            </w14:solidFill>
          </w14:textFill>
        </w:rPr>
        <w:t xml:space="preserve"> </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对比上述形成条件，本项目情况分析如下：</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目前，控制锅炉烟气中二噁英类的排放，可从控制来源、减少炉内形成、避免炉外低温区再合成以及提高尾气净化效率四个方面着手。</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①控制来源。避免含二噁英类物质（如多氯联苯）以及含有机氯(</w:t>
      </w:r>
      <w:r>
        <w:rPr>
          <w:color w:val="000000" w:themeColor="text1"/>
          <w14:textFill>
            <w14:solidFill>
              <w14:schemeClr w14:val="tx1"/>
            </w14:solidFill>
          </w14:textFill>
        </w:rPr>
        <w:t>PVC)</w:t>
      </w:r>
      <w:r>
        <w:rPr>
          <w:rFonts w:hint="eastAsia"/>
          <w:color w:val="000000" w:themeColor="text1"/>
          <w:lang w:eastAsia="zh-CN"/>
          <w14:textFill>
            <w14:solidFill>
              <w14:schemeClr w14:val="tx1"/>
            </w14:solidFill>
          </w14:textFill>
        </w:rPr>
        <w:t>高</w:t>
      </w:r>
      <w:r>
        <w:rPr>
          <w:rFonts w:hint="eastAsia"/>
          <w:color w:val="000000" w:themeColor="text1"/>
          <w14:textFill>
            <w14:solidFill>
              <w14:schemeClr w14:val="tx1"/>
            </w14:solidFill>
          </w14:textFill>
        </w:rPr>
        <w:t>的废物进入焚烧炉。</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本项目主要燃料为煤和醇沉药渣，醇沉药渣中有机物、氯化物含量较生活垃圾及工业固体废物少。根据检测结果，焚烧处置的醇沉药渣中氯元素质量百分数0</w:t>
      </w:r>
      <w:r>
        <w:rPr>
          <w:color w:val="000000" w:themeColor="text1"/>
          <w14:textFill>
            <w14:solidFill>
              <w14:schemeClr w14:val="tx1"/>
            </w14:solidFill>
          </w14:textFill>
        </w:rPr>
        <w:t>.366%</w:t>
      </w:r>
      <w:r>
        <w:rPr>
          <w:rFonts w:hint="eastAsia"/>
          <w:color w:val="000000" w:themeColor="text1"/>
          <w14:textFill>
            <w14:solidFill>
              <w14:schemeClr w14:val="tx1"/>
            </w14:solidFill>
          </w14:textFill>
        </w:rPr>
        <w:t>，燃料煤中氯元素质量百分数0</w:t>
      </w:r>
      <w:r>
        <w:rPr>
          <w:color w:val="000000" w:themeColor="text1"/>
          <w14:textFill>
            <w14:solidFill>
              <w14:schemeClr w14:val="tx1"/>
            </w14:solidFill>
          </w14:textFill>
        </w:rPr>
        <w:t>.0446%</w:t>
      </w:r>
      <w:r>
        <w:rPr>
          <w:rFonts w:hint="eastAsia"/>
          <w:color w:val="000000" w:themeColor="text1"/>
          <w14:textFill>
            <w14:solidFill>
              <w14:schemeClr w14:val="tx1"/>
            </w14:solidFill>
          </w14:textFill>
        </w:rPr>
        <w:t>。醇沉药渣掺烧比例很低（最大4</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），掺烧后燃料中氯元素质量百分数0</w:t>
      </w:r>
      <w:r>
        <w:rPr>
          <w:color w:val="000000" w:themeColor="text1"/>
          <w14:textFill>
            <w14:solidFill>
              <w14:schemeClr w14:val="tx1"/>
            </w14:solidFill>
          </w14:textFill>
        </w:rPr>
        <w:t>.0579%</w:t>
      </w:r>
      <w:r>
        <w:rPr>
          <w:rFonts w:hint="eastAsia"/>
          <w:color w:val="000000" w:themeColor="text1"/>
          <w14:textFill>
            <w14:solidFill>
              <w14:schemeClr w14:val="tx1"/>
            </w14:solidFill>
          </w14:textFill>
        </w:rPr>
        <w:t>，与不掺烧前比，仅增加0</w:t>
      </w:r>
      <w:r>
        <w:rPr>
          <w:color w:val="000000" w:themeColor="text1"/>
          <w14:textFill>
            <w14:solidFill>
              <w14:schemeClr w14:val="tx1"/>
            </w14:solidFill>
          </w14:textFill>
        </w:rPr>
        <w:t>.0133%</w:t>
      </w:r>
      <w:r>
        <w:rPr>
          <w:rFonts w:hint="eastAsia"/>
          <w:color w:val="000000" w:themeColor="text1"/>
          <w14:textFill>
            <w14:solidFill>
              <w14:schemeClr w14:val="tx1"/>
            </w14:solidFill>
          </w14:textFill>
        </w:rPr>
        <w:t>，增加量非常有限，因此掺烧醇沉药渣产生的二噁英较少。</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②减少炉内合成。保持燃烧温度在</w:t>
      </w:r>
      <w:r>
        <w:rPr>
          <w:color w:val="000000" w:themeColor="text1"/>
          <w14:textFill>
            <w14:solidFill>
              <w14:schemeClr w14:val="tx1"/>
            </w14:solidFill>
          </w14:textFill>
        </w:rPr>
        <w:t xml:space="preserve"> 850</w:t>
      </w:r>
      <w:r>
        <w:rPr>
          <w:rFonts w:hint="eastAsia"/>
          <w:color w:val="000000" w:themeColor="text1"/>
          <w14:textFill>
            <w14:solidFill>
              <w14:schemeClr w14:val="tx1"/>
            </w14:solidFill>
          </w14:textFill>
        </w:rPr>
        <w:t>℃以上，烟气停留时间大于</w:t>
      </w:r>
      <w:r>
        <w:rPr>
          <w:color w:val="000000" w:themeColor="text1"/>
          <w14:textFill>
            <w14:solidFill>
              <w14:schemeClr w14:val="tx1"/>
            </w14:solidFill>
          </w14:textFill>
        </w:rPr>
        <w:t xml:space="preserve"> 2s</w:t>
      </w:r>
      <w:r>
        <w:rPr>
          <w:rFonts w:hint="eastAsia"/>
          <w:color w:val="000000" w:themeColor="text1"/>
          <w14:textFill>
            <w14:solidFill>
              <w14:schemeClr w14:val="tx1"/>
            </w14:solidFill>
          </w14:textFill>
        </w:rPr>
        <w:t>，实现</w:t>
      </w:r>
      <w:r>
        <w:rPr>
          <w:color w:val="000000" w:themeColor="text1"/>
          <w14:textFill>
            <w14:solidFill>
              <w14:schemeClr w14:val="tx1"/>
            </w14:solidFill>
          </w14:textFill>
        </w:rPr>
        <w:t>“3T+E”</w:t>
      </w:r>
      <w:r>
        <w:rPr>
          <w:rFonts w:hint="eastAsia"/>
          <w:color w:val="000000" w:themeColor="text1"/>
          <w14:textFill>
            <w14:solidFill>
              <w14:schemeClr w14:val="tx1"/>
            </w14:solidFill>
          </w14:textFill>
        </w:rPr>
        <w:t>工作原则，</w:t>
      </w:r>
      <w:r>
        <w:rPr>
          <w:color w:val="000000" w:themeColor="text1"/>
          <w14:textFill>
            <w14:solidFill>
              <w14:schemeClr w14:val="tx1"/>
            </w14:solidFill>
          </w14:textFill>
        </w:rPr>
        <w:t>1T</w:t>
      </w:r>
      <w:r>
        <w:rPr>
          <w:rFonts w:hint="eastAsia"/>
          <w:color w:val="000000" w:themeColor="text1"/>
          <w14:textFill>
            <w14:solidFill>
              <w14:schemeClr w14:val="tx1"/>
            </w14:solidFill>
          </w14:textFill>
        </w:rPr>
        <w:t>：燃烧温度（</w:t>
      </w:r>
      <w:r>
        <w:rPr>
          <w:color w:val="000000" w:themeColor="text1"/>
          <w14:textFill>
            <w14:solidFill>
              <w14:schemeClr w14:val="tx1"/>
            </w14:solidFill>
          </w14:textFill>
        </w:rPr>
        <w:t>Temperature</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2T</w:t>
      </w:r>
      <w:r>
        <w:rPr>
          <w:rFonts w:hint="eastAsia"/>
          <w:color w:val="000000" w:themeColor="text1"/>
          <w14:textFill>
            <w14:solidFill>
              <w14:schemeClr w14:val="tx1"/>
            </w14:solidFill>
          </w14:textFill>
        </w:rPr>
        <w:t>：停留时间</w:t>
      </w:r>
      <w:r>
        <w:rPr>
          <w:color w:val="000000" w:themeColor="text1"/>
          <w14:textFill>
            <w14:solidFill>
              <w14:schemeClr w14:val="tx1"/>
            </w14:solidFill>
          </w14:textFill>
        </w:rPr>
        <w:t>(Time)</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紊流度</w:t>
      </w:r>
      <w:r>
        <w:rPr>
          <w:color w:val="000000" w:themeColor="text1"/>
          <w14:textFill>
            <w14:solidFill>
              <w14:schemeClr w14:val="tx1"/>
            </w14:solidFill>
          </w14:textFill>
        </w:rPr>
        <w:t>(Turbulence)</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E</w:t>
      </w:r>
      <w:r>
        <w:rPr>
          <w:rFonts w:hint="eastAsia"/>
          <w:color w:val="000000" w:themeColor="text1"/>
          <w14:textFill>
            <w14:solidFill>
              <w14:schemeClr w14:val="tx1"/>
            </w14:solidFill>
          </w14:textFill>
        </w:rPr>
        <w:t>：过氧控制</w:t>
      </w:r>
      <w:r>
        <w:rPr>
          <w:color w:val="000000" w:themeColor="text1"/>
          <w14:textFill>
            <w14:solidFill>
              <w14:schemeClr w14:val="tx1"/>
            </w14:solidFill>
          </w14:textFill>
        </w:rPr>
        <w:t>(Excess)</w:t>
      </w:r>
      <w:r>
        <w:rPr>
          <w:rFonts w:hint="eastAsia"/>
          <w:color w:val="000000" w:themeColor="text1"/>
          <w14:textFill>
            <w14:solidFill>
              <w14:schemeClr w14:val="tx1"/>
            </w14:solidFill>
          </w14:textFill>
        </w:rPr>
        <w:t>，过氧环境中二噁英的浓度大大增加，一般工程中控制氧量在</w:t>
      </w:r>
      <w:r>
        <w:rPr>
          <w:color w:val="000000" w:themeColor="text1"/>
          <w14:textFill>
            <w14:solidFill>
              <w14:schemeClr w14:val="tx1"/>
            </w14:solidFill>
          </w14:textFill>
        </w:rPr>
        <w:t xml:space="preserve"> 8%</w:t>
      </w:r>
      <w:r>
        <w:rPr>
          <w:rFonts w:hint="eastAsia"/>
          <w:color w:val="000000" w:themeColor="text1"/>
          <w14:textFill>
            <w14:solidFill>
              <w14:schemeClr w14:val="tx1"/>
            </w14:solidFill>
          </w14:textFill>
        </w:rPr>
        <w:t>以下。</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本项目龙桥电厂</w:t>
      </w:r>
      <w:bookmarkStart w:id="87" w:name="_Hlk137571458"/>
      <w:r>
        <w:rPr>
          <w:rFonts w:hint="eastAsia"/>
          <w:color w:val="000000" w:themeColor="text1"/>
          <w14:textFill>
            <w14:solidFill>
              <w14:schemeClr w14:val="tx1"/>
            </w14:solidFill>
          </w14:textFill>
        </w:rPr>
        <w:t>循环流化床锅炉烟气中</w:t>
      </w: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 xml:space="preserve">2 </w:t>
      </w:r>
      <w:r>
        <w:rPr>
          <w:rFonts w:hint="eastAsia"/>
          <w:color w:val="000000" w:themeColor="text1"/>
          <w14:textFill>
            <w14:solidFill>
              <w14:schemeClr w14:val="tx1"/>
            </w14:solidFill>
          </w14:textFill>
        </w:rPr>
        <w:t>的浓度处于</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左右，焚烧温度均值</w:t>
      </w:r>
      <w:r>
        <w:rPr>
          <w:color w:val="000000" w:themeColor="text1"/>
          <w14:textFill>
            <w14:solidFill>
              <w14:schemeClr w14:val="tx1"/>
            </w14:solidFill>
          </w14:textFill>
        </w:rPr>
        <w:t>900-950</w:t>
      </w:r>
      <w:r>
        <w:rPr>
          <w:rFonts w:hint="eastAsia"/>
          <w:color w:val="000000" w:themeColor="text1"/>
          <w14:textFill>
            <w14:solidFill>
              <w14:schemeClr w14:val="tx1"/>
            </w14:solidFill>
          </w14:textFill>
        </w:rPr>
        <w:t>℃，</w:t>
      </w:r>
      <w:bookmarkStart w:id="88" w:name="_Hlk109224318"/>
      <w:r>
        <w:rPr>
          <w:rFonts w:hint="eastAsia"/>
          <w:color w:val="000000" w:themeColor="text1"/>
          <w14:textFill>
            <w14:solidFill>
              <w14:schemeClr w14:val="tx1"/>
            </w14:solidFill>
          </w14:textFill>
        </w:rPr>
        <w:t>烟气在炉膛内停留时间为约2</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s，</w:t>
      </w:r>
      <w:bookmarkEnd w:id="87"/>
      <w:bookmarkEnd w:id="88"/>
      <w:r>
        <w:rPr>
          <w:rFonts w:hint="eastAsia"/>
          <w:color w:val="000000" w:themeColor="text1"/>
          <w14:textFill>
            <w14:solidFill>
              <w14:schemeClr w14:val="tx1"/>
            </w14:solidFill>
          </w14:textFill>
        </w:rPr>
        <w:t>能有效抑制二噁英的产生。</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③减少炉外低温再合成。炉外低温再合成现象多发生在锅炉内（尤其在节热器的部位）以及粒状污染物控制设备之前。已有研究指出，二噁英炉外低温再合成的最佳温度区间为</w:t>
      </w:r>
      <w:r>
        <w:rPr>
          <w:color w:val="000000" w:themeColor="text1"/>
          <w14:textFill>
            <w14:solidFill>
              <w14:schemeClr w14:val="tx1"/>
            </w14:solidFill>
          </w14:textFill>
        </w:rPr>
        <w:t xml:space="preserve"> 250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400</w:t>
      </w:r>
      <w:r>
        <w:rPr>
          <w:rFonts w:hint="eastAsia"/>
          <w:color w:val="000000" w:themeColor="text1"/>
          <w14:textFill>
            <w14:solidFill>
              <w14:schemeClr w14:val="tx1"/>
            </w14:solidFill>
          </w14:textFill>
        </w:rPr>
        <w:t>℃，主要生成机制为铜、钴等的化合物在飞灰的表面催化了二噁英类的前驱体物质（如苯、氯苯、酚类、烃类等）而合成二噁英类。在工程上一般采取以下措施减少二噁英的炉外再次合成，如减少烟气在</w:t>
      </w:r>
      <w:r>
        <w:rPr>
          <w:color w:val="000000" w:themeColor="text1"/>
          <w14:textFill>
            <w14:solidFill>
              <w14:schemeClr w14:val="tx1"/>
            </w14:solidFill>
          </w14:textFill>
        </w:rPr>
        <w:t>200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400</w:t>
      </w:r>
      <w:r>
        <w:rPr>
          <w:rFonts w:hint="eastAsia"/>
          <w:color w:val="000000" w:themeColor="text1"/>
          <w14:textFill>
            <w14:solidFill>
              <w14:schemeClr w14:val="tx1"/>
            </w14:solidFill>
          </w14:textFill>
        </w:rPr>
        <w:t>℃之间的停留时间，减少二噁英生成所需要的催化剂载体，等等。</w:t>
      </w:r>
    </w:p>
    <w:p>
      <w:pPr>
        <w:ind w:firstLine="520"/>
        <w:jc w:val="both"/>
        <w:rPr>
          <w:color w:val="000000" w:themeColor="text1"/>
          <w14:textFill>
            <w14:solidFill>
              <w14:schemeClr w14:val="tx1"/>
            </w14:solidFill>
          </w14:textFill>
        </w:rPr>
      </w:pPr>
      <w:r>
        <w:rPr>
          <w:color w:val="000000" w:themeColor="text1"/>
          <w14:textFill>
            <w14:solidFill>
              <w14:schemeClr w14:val="tx1"/>
            </w14:solidFill>
          </w14:textFill>
        </w:rPr>
        <w:t>因醇沉药渣</w:t>
      </w:r>
      <w:r>
        <w:rPr>
          <w:rFonts w:hint="eastAsia"/>
          <w:color w:val="000000" w:themeColor="text1"/>
          <w14:textFill>
            <w14:solidFill>
              <w14:schemeClr w14:val="tx1"/>
            </w14:solidFill>
          </w14:textFill>
        </w:rPr>
        <w:t>和燃煤中铜、钴等金属含量均极低（小于万分之一），且</w:t>
      </w:r>
      <w:r>
        <w:rPr>
          <w:color w:val="000000" w:themeColor="text1"/>
          <w14:textFill>
            <w14:solidFill>
              <w14:schemeClr w14:val="tx1"/>
            </w14:solidFill>
          </w14:textFill>
        </w:rPr>
        <w:t>醇沉药渣</w:t>
      </w:r>
      <w:r>
        <w:rPr>
          <w:rFonts w:hint="eastAsia"/>
          <w:color w:val="000000" w:themeColor="text1"/>
          <w14:textFill>
            <w14:solidFill>
              <w14:schemeClr w14:val="tx1"/>
            </w14:solidFill>
          </w14:textFill>
        </w:rPr>
        <w:t>中的含量又远低于燃煤中各金属成分含量，因此循环流化床掺烧醇沉药渣不会促成二噁英的产生。</w:t>
      </w:r>
    </w:p>
    <w:p>
      <w:pPr>
        <w:ind w:firstLine="520"/>
        <w:rPr>
          <w:color w:val="000000" w:themeColor="text1"/>
          <w:szCs w:val="26"/>
          <w14:textFill>
            <w14:solidFill>
              <w14:schemeClr w14:val="tx1"/>
            </w14:solidFill>
          </w14:textFill>
        </w:rPr>
      </w:pPr>
      <w:r>
        <w:rPr>
          <w:rFonts w:hint="eastAsia"/>
          <w:color w:val="000000" w:themeColor="text1"/>
          <w14:textFill>
            <w14:solidFill>
              <w14:schemeClr w14:val="tx1"/>
            </w14:solidFill>
          </w14:textFill>
        </w:rPr>
        <w:t>④提高尾气净化效率。二噁英主要以颗粒状态存在于烟气中或者吸附在飞灰颗粒上</w:t>
      </w:r>
      <w:r>
        <w:rPr>
          <w:rFonts w:hint="eastAsia"/>
          <w:color w:val="000000" w:themeColor="text1"/>
          <w:szCs w:val="26"/>
          <w14:textFill>
            <w14:solidFill>
              <w14:schemeClr w14:val="tx1"/>
            </w14:solidFill>
          </w14:textFill>
        </w:rPr>
        <w:t>，因此为了降低烟气中二噁英的排放量，就必须严格控制粉尘的排放量。</w:t>
      </w:r>
    </w:p>
    <w:p>
      <w:pPr>
        <w:ind w:firstLine="520"/>
        <w:rPr>
          <w:color w:val="000000" w:themeColor="text1"/>
          <w14:textFill>
            <w14:solidFill>
              <w14:schemeClr w14:val="tx1"/>
            </w14:solidFill>
          </w14:textFill>
        </w:rPr>
      </w:pPr>
      <w:r>
        <w:rPr>
          <w:rFonts w:hint="eastAsia"/>
          <w:color w:val="000000" w:themeColor="text1"/>
          <w:szCs w:val="26"/>
          <w14:textFill>
            <w14:solidFill>
              <w14:schemeClr w14:val="tx1"/>
            </w14:solidFill>
          </w14:textFill>
        </w:rPr>
        <w:t>本项目依托的烟气治理系统对烟尘处理效率达</w:t>
      </w:r>
      <w:r>
        <w:rPr>
          <w:color w:val="000000" w:themeColor="text1"/>
          <w:szCs w:val="26"/>
          <w14:textFill>
            <w14:solidFill>
              <w14:schemeClr w14:val="tx1"/>
            </w14:solidFill>
          </w14:textFill>
        </w:rPr>
        <w:t xml:space="preserve"> 99.98%</w:t>
      </w:r>
      <w:r>
        <w:rPr>
          <w:rFonts w:hint="eastAsia"/>
          <w:color w:val="000000" w:themeColor="text1"/>
          <w:szCs w:val="26"/>
          <w14:textFill>
            <w14:solidFill>
              <w14:schemeClr w14:val="tx1"/>
            </w14:solidFill>
          </w14:textFill>
        </w:rPr>
        <w:t>，排放烟气中烟尘浓度约3</w:t>
      </w:r>
      <w:r>
        <w:rPr>
          <w:color w:val="000000" w:themeColor="text1"/>
          <w:szCs w:val="26"/>
          <w14:textFill>
            <w14:solidFill>
              <w14:schemeClr w14:val="tx1"/>
            </w14:solidFill>
          </w14:textFill>
        </w:rPr>
        <w:t>~4</w:t>
      </w:r>
      <w:r>
        <w:rPr>
          <w:rFonts w:eastAsiaTheme="minorEastAsia"/>
          <w:color w:val="000000" w:themeColor="text1"/>
          <w:szCs w:val="26"/>
          <w:shd w:val="clear" w:color="auto" w:fill="FFFFFF"/>
          <w14:textFill>
            <w14:solidFill>
              <w14:schemeClr w14:val="tx1"/>
            </w14:solidFill>
          </w14:textFill>
        </w:rPr>
        <w:t xml:space="preserve"> mg/Nm</w:t>
      </w:r>
      <w:r>
        <w:rPr>
          <w:rFonts w:eastAsiaTheme="minorEastAsia"/>
          <w:color w:val="000000" w:themeColor="text1"/>
          <w:szCs w:val="26"/>
          <w:shd w:val="clear" w:color="auto" w:fill="FFFFFF"/>
          <w:vertAlign w:val="superscript"/>
          <w14:textFill>
            <w14:solidFill>
              <w14:schemeClr w14:val="tx1"/>
            </w14:solidFill>
          </w14:textFill>
        </w:rPr>
        <w:t>3</w:t>
      </w:r>
      <w:r>
        <w:rPr>
          <w:rFonts w:hint="eastAsia" w:eastAsiaTheme="minorEastAsia"/>
          <w:color w:val="000000" w:themeColor="text1"/>
          <w:szCs w:val="26"/>
          <w:shd w:val="clear" w:color="auto" w:fill="FFFFFF"/>
          <w14:textFill>
            <w14:solidFill>
              <w14:schemeClr w14:val="tx1"/>
            </w14:solidFill>
          </w14:textFill>
        </w:rPr>
        <w:t>，因此</w:t>
      </w:r>
      <w:r>
        <w:rPr>
          <w:rFonts w:hint="eastAsia"/>
          <w:color w:val="000000" w:themeColor="text1"/>
          <w:szCs w:val="26"/>
          <w14:textFill>
            <w14:solidFill>
              <w14:schemeClr w14:val="tx1"/>
            </w14:solidFill>
          </w14:textFill>
        </w:rPr>
        <w:t>能有效</w:t>
      </w:r>
      <w:r>
        <w:rPr>
          <w:rFonts w:hint="eastAsia"/>
          <w:color w:val="000000" w:themeColor="text1"/>
          <w14:textFill>
            <w14:solidFill>
              <w14:schemeClr w14:val="tx1"/>
            </w14:solidFill>
          </w14:textFill>
        </w:rPr>
        <w:t>控制粉尘的排放量，从而有效处理烟气中的二噁英。</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因未查询到燃煤电厂焚烧处置醇沉药渣同类项目的相关资料，但燃煤电厂焚烧处置生活污泥项目较多，且燃煤电厂焚烧处置生活污泥与焚烧处置醇沉药渣原理相同，因此，本项目类比燃煤电厂焚烧处置污泥项目产生二噁英</w:t>
      </w:r>
      <w:r>
        <w:rPr>
          <w:rFonts w:hint="eastAsia"/>
          <w:color w:val="000000" w:themeColor="text1"/>
          <w:lang w:eastAsia="zh-CN"/>
          <w14:textFill>
            <w14:solidFill>
              <w14:schemeClr w14:val="tx1"/>
            </w14:solidFill>
          </w14:textFill>
        </w:rPr>
        <w:t>的情况</w:t>
      </w:r>
      <w:r>
        <w:rPr>
          <w:rFonts w:hint="eastAsia"/>
          <w:color w:val="000000" w:themeColor="text1"/>
          <w14:textFill>
            <w14:solidFill>
              <w14:schemeClr w14:val="tx1"/>
            </w14:solidFill>
          </w14:textFill>
        </w:rPr>
        <w:t>。根据燃煤电厂协同处置生活污泥项目的验收监测数据（见表3</w:t>
      </w:r>
      <w:r>
        <w:rPr>
          <w:color w:val="000000" w:themeColor="text1"/>
          <w14:textFill>
            <w14:solidFill>
              <w14:schemeClr w14:val="tx1"/>
            </w14:solidFill>
          </w14:textFill>
        </w:rPr>
        <w:t>.3-1</w:t>
      </w:r>
      <w:r>
        <w:rPr>
          <w:rFonts w:hint="eastAsia"/>
          <w:color w:val="000000" w:themeColor="text1"/>
          <w14:textFill>
            <w14:solidFill>
              <w14:schemeClr w14:val="tx1"/>
            </w14:solidFill>
          </w14:textFill>
        </w:rPr>
        <w:t>），二噁英排放浓度在0</w:t>
      </w:r>
      <w:r>
        <w:rPr>
          <w:color w:val="000000" w:themeColor="text1"/>
          <w14:textFill>
            <w14:solidFill>
              <w14:schemeClr w14:val="tx1"/>
            </w14:solidFill>
          </w14:textFill>
        </w:rPr>
        <w:t>.00019~0.02ng TEQ /</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，均远低于排放浓度限值要求（</w:t>
      </w:r>
      <w:r>
        <w:rPr>
          <w:rFonts w:hint="eastAsia" w:cs="宋体"/>
          <w:color w:val="000000" w:themeColor="text1"/>
          <w:szCs w:val="26"/>
          <w14:textFill>
            <w14:solidFill>
              <w14:schemeClr w14:val="tx1"/>
            </w14:solidFill>
          </w14:textFill>
        </w:rPr>
        <w:t>0</w:t>
      </w:r>
      <w:r>
        <w:rPr>
          <w:rFonts w:cs="宋体"/>
          <w:color w:val="000000" w:themeColor="text1"/>
          <w:szCs w:val="26"/>
          <w14:textFill>
            <w14:solidFill>
              <w14:schemeClr w14:val="tx1"/>
            </w14:solidFill>
          </w14:textFill>
        </w:rPr>
        <w:t>.01ngTEQ/m</w:t>
      </w:r>
      <w:r>
        <w:rPr>
          <w:rFonts w:cs="宋体"/>
          <w:color w:val="000000" w:themeColor="text1"/>
          <w:szCs w:val="26"/>
          <w:vertAlign w:val="superscript"/>
          <w14:textFill>
            <w14:solidFill>
              <w14:schemeClr w14:val="tx1"/>
            </w14:solidFill>
          </w14:textFill>
        </w:rPr>
        <w:t>3</w:t>
      </w:r>
      <w:r>
        <w:rPr>
          <w:rFonts w:hint="eastAsia"/>
          <w:color w:val="000000" w:themeColor="text1"/>
          <w14:textFill>
            <w14:solidFill>
              <w14:schemeClr w14:val="tx1"/>
            </w14:solidFill>
          </w14:textFill>
        </w:rPr>
        <w:t>）。</w:t>
      </w:r>
    </w:p>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表3</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焚烧生活污泥项目二噁英产生情况表</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567"/>
        <w:gridCol w:w="1843"/>
        <w:gridCol w:w="5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s="宋体"/>
                <w:color w:val="000000" w:themeColor="text1"/>
                <w:sz w:val="22"/>
                <w14:textFill>
                  <w14:solidFill>
                    <w14:schemeClr w14:val="tx1"/>
                  </w14:solidFill>
                </w14:textFill>
              </w:rPr>
              <w:t>运营单位</w:t>
            </w:r>
          </w:p>
        </w:tc>
        <w:tc>
          <w:tcPr>
            <w:tcW w:w="567"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s="宋体"/>
                <w:color w:val="000000" w:themeColor="text1"/>
                <w:sz w:val="22"/>
                <w14:textFill>
                  <w14:solidFill>
                    <w14:schemeClr w14:val="tx1"/>
                  </w14:solidFill>
                </w14:textFill>
              </w:rPr>
              <w:t>污染物</w:t>
            </w:r>
          </w:p>
        </w:tc>
        <w:tc>
          <w:tcPr>
            <w:tcW w:w="1843"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s="宋体"/>
                <w:color w:val="000000" w:themeColor="text1"/>
                <w:sz w:val="22"/>
                <w14:textFill>
                  <w14:solidFill>
                    <w14:schemeClr w14:val="tx1"/>
                  </w14:solidFill>
                </w14:textFill>
              </w:rPr>
              <w:t>竣工环保验收监测数据</w:t>
            </w:r>
          </w:p>
        </w:tc>
        <w:tc>
          <w:tcPr>
            <w:tcW w:w="5238"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s="宋体"/>
                <w:color w:val="000000" w:themeColor="text1"/>
                <w:sz w:val="22"/>
                <w14:textFill>
                  <w14:solidFill>
                    <w14:schemeClr w14:val="tx1"/>
                  </w14:solidFill>
                </w14:textFill>
              </w:rPr>
              <w:t>处置规模等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s="宋体"/>
                <w:color w:val="000000" w:themeColor="text1"/>
                <w:sz w:val="22"/>
                <w14:textFill>
                  <w14:solidFill>
                    <w14:schemeClr w14:val="tx1"/>
                  </w14:solidFill>
                </w14:textFill>
              </w:rPr>
              <w:t>南京绿威环保科技有限公司</w:t>
            </w:r>
          </w:p>
        </w:tc>
        <w:tc>
          <w:tcPr>
            <w:tcW w:w="567" w:type="dxa"/>
            <w:vMerge w:val="restart"/>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s="宋体"/>
                <w:color w:val="000000" w:themeColor="text1"/>
                <w:sz w:val="22"/>
                <w14:textFill>
                  <w14:solidFill>
                    <w14:schemeClr w14:val="tx1"/>
                  </w14:solidFill>
                </w14:textFill>
              </w:rPr>
              <w:t>二噁英</w:t>
            </w:r>
          </w:p>
        </w:tc>
        <w:tc>
          <w:tcPr>
            <w:tcW w:w="1843"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s="宋体"/>
                <w:color w:val="000000" w:themeColor="text1"/>
                <w:sz w:val="22"/>
                <w14:textFill>
                  <w14:solidFill>
                    <w14:schemeClr w14:val="tx1"/>
                  </w14:solidFill>
                </w14:textFill>
              </w:rPr>
              <w:t>0</w:t>
            </w:r>
            <w:r>
              <w:rPr>
                <w:rFonts w:cs="宋体"/>
                <w:color w:val="000000" w:themeColor="text1"/>
                <w:sz w:val="22"/>
                <w14:textFill>
                  <w14:solidFill>
                    <w14:schemeClr w14:val="tx1"/>
                  </w14:solidFill>
                </w14:textFill>
              </w:rPr>
              <w:t>.001ngTEQ/m</w:t>
            </w:r>
            <w:r>
              <w:rPr>
                <w:rFonts w:cs="宋体"/>
                <w:color w:val="000000" w:themeColor="text1"/>
                <w:sz w:val="22"/>
                <w:vertAlign w:val="superscript"/>
                <w14:textFill>
                  <w14:solidFill>
                    <w14:schemeClr w14:val="tx1"/>
                  </w14:solidFill>
                </w14:textFill>
              </w:rPr>
              <w:t>3</w:t>
            </w:r>
          </w:p>
        </w:tc>
        <w:tc>
          <w:tcPr>
            <w:tcW w:w="5238" w:type="dxa"/>
            <w:vAlign w:val="center"/>
          </w:tcPr>
          <w:p>
            <w:pPr>
              <w:spacing w:line="240" w:lineRule="auto"/>
              <w:ind w:firstLine="0" w:firstLineChars="0"/>
              <w:jc w:val="both"/>
              <w:rPr>
                <w:color w:val="000000" w:themeColor="text1"/>
                <w:sz w:val="22"/>
                <w14:textFill>
                  <w14:solidFill>
                    <w14:schemeClr w14:val="tx1"/>
                  </w14:solidFill>
                </w14:textFill>
              </w:rPr>
            </w:pPr>
            <w:r>
              <w:rPr>
                <w:rFonts w:hint="eastAsia" w:cs="宋体"/>
                <w:color w:val="000000" w:themeColor="text1"/>
                <w:sz w:val="22"/>
                <w14:textFill>
                  <w14:solidFill>
                    <w14:schemeClr w14:val="tx1"/>
                  </w14:solidFill>
                </w14:textFill>
              </w:rPr>
              <w:t>利用2台3</w:t>
            </w:r>
            <w:r>
              <w:rPr>
                <w:rFonts w:cs="宋体"/>
                <w:color w:val="000000" w:themeColor="text1"/>
                <w:sz w:val="22"/>
                <w14:textFill>
                  <w14:solidFill>
                    <w14:schemeClr w14:val="tx1"/>
                  </w14:solidFill>
                </w14:textFill>
              </w:rPr>
              <w:t>00MW</w:t>
            </w:r>
            <w:r>
              <w:rPr>
                <w:rFonts w:hint="eastAsia" w:cs="宋体"/>
                <w:color w:val="000000" w:themeColor="text1"/>
                <w:sz w:val="22"/>
                <w14:textFill>
                  <w14:solidFill>
                    <w14:schemeClr w14:val="tx1"/>
                  </w14:solidFill>
                </w14:textFill>
              </w:rPr>
              <w:t>，燃煤抽凝式供热发电机组，处置含水率8</w:t>
            </w:r>
            <w:r>
              <w:rPr>
                <w:rFonts w:cs="宋体"/>
                <w:color w:val="000000" w:themeColor="text1"/>
                <w:sz w:val="22"/>
                <w14:textFill>
                  <w14:solidFill>
                    <w14:schemeClr w14:val="tx1"/>
                  </w14:solidFill>
                </w14:textFill>
              </w:rPr>
              <w:t>0%</w:t>
            </w:r>
            <w:r>
              <w:rPr>
                <w:rFonts w:hint="eastAsia" w:cs="宋体"/>
                <w:color w:val="000000" w:themeColor="text1"/>
                <w:sz w:val="22"/>
                <w14:textFill>
                  <w14:solidFill>
                    <w14:schemeClr w14:val="tx1"/>
                  </w14:solidFill>
                </w14:textFill>
              </w:rPr>
              <w:t>的污泥1</w:t>
            </w:r>
            <w:r>
              <w:rPr>
                <w:rFonts w:cs="宋体"/>
                <w:color w:val="000000" w:themeColor="text1"/>
                <w:sz w:val="22"/>
                <w14:textFill>
                  <w14:solidFill>
                    <w14:schemeClr w14:val="tx1"/>
                  </w14:solidFill>
                </w14:textFill>
              </w:rPr>
              <w:t>50t/d</w:t>
            </w:r>
            <w:r>
              <w:rPr>
                <w:rFonts w:hint="eastAsia" w:cs="宋体"/>
                <w:color w:val="000000" w:themeColor="text1"/>
                <w:sz w:val="22"/>
                <w14:textFill>
                  <w14:solidFill>
                    <w14:schemeClr w14:val="tx1"/>
                  </w14:solidFill>
                </w14:textFill>
              </w:rPr>
              <w:t>（兼具处理含水率6</w:t>
            </w:r>
            <w:r>
              <w:rPr>
                <w:rFonts w:cs="宋体"/>
                <w:color w:val="000000" w:themeColor="text1"/>
                <w:sz w:val="22"/>
                <w14:textFill>
                  <w14:solidFill>
                    <w14:schemeClr w14:val="tx1"/>
                  </w14:solidFill>
                </w14:textFill>
              </w:rPr>
              <w:t>0%</w:t>
            </w:r>
            <w:r>
              <w:rPr>
                <w:rFonts w:hint="eastAsia" w:cs="宋体"/>
                <w:color w:val="000000" w:themeColor="text1"/>
                <w:sz w:val="22"/>
                <w14:textFill>
                  <w14:solidFill>
                    <w14:schemeClr w14:val="tx1"/>
                  </w14:solidFill>
                </w14:textFill>
              </w:rPr>
              <w:t>的生活污泥），掺烧比不大于</w:t>
            </w:r>
            <w:r>
              <w:rPr>
                <w:rFonts w:cs="宋体"/>
                <w:color w:val="000000" w:themeColor="text1"/>
                <w:sz w:val="22"/>
                <w14:textFill>
                  <w14:solidFill>
                    <w14:schemeClr w14:val="tx1"/>
                  </w14:solidFill>
                </w14:textFill>
              </w:rPr>
              <w:t>3%</w:t>
            </w:r>
            <w:r>
              <w:rPr>
                <w:rFonts w:hint="eastAsia" w:cs="宋体"/>
                <w:color w:val="000000" w:themeColor="text1"/>
                <w:sz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s="宋体"/>
                <w:color w:val="000000" w:themeColor="text1"/>
                <w:sz w:val="22"/>
                <w14:textFill>
                  <w14:solidFill>
                    <w14:schemeClr w14:val="tx1"/>
                  </w14:solidFill>
                </w14:textFill>
              </w:rPr>
              <w:t>国能达州发电有限公司</w:t>
            </w:r>
          </w:p>
        </w:tc>
        <w:tc>
          <w:tcPr>
            <w:tcW w:w="567" w:type="dxa"/>
            <w:vMerge w:val="continue"/>
            <w:vAlign w:val="center"/>
          </w:tcPr>
          <w:p>
            <w:pPr>
              <w:spacing w:line="240" w:lineRule="auto"/>
              <w:ind w:firstLine="0" w:firstLineChars="0"/>
              <w:jc w:val="center"/>
              <w:rPr>
                <w:color w:val="000000" w:themeColor="text1"/>
                <w:sz w:val="22"/>
                <w14:textFill>
                  <w14:solidFill>
                    <w14:schemeClr w14:val="tx1"/>
                  </w14:solidFill>
                </w14:textFill>
              </w:rPr>
            </w:pPr>
          </w:p>
        </w:tc>
        <w:tc>
          <w:tcPr>
            <w:tcW w:w="1843"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s="宋体"/>
                <w:color w:val="000000" w:themeColor="text1"/>
                <w:sz w:val="22"/>
                <w14:textFill>
                  <w14:solidFill>
                    <w14:schemeClr w14:val="tx1"/>
                  </w14:solidFill>
                </w14:textFill>
              </w:rPr>
              <w:t>0</w:t>
            </w:r>
            <w:r>
              <w:rPr>
                <w:rFonts w:cs="宋体"/>
                <w:color w:val="000000" w:themeColor="text1"/>
                <w:sz w:val="22"/>
                <w14:textFill>
                  <w14:solidFill>
                    <w14:schemeClr w14:val="tx1"/>
                  </w14:solidFill>
                </w14:textFill>
              </w:rPr>
              <w:t>.00045~0</w:t>
            </w:r>
            <w:r>
              <w:rPr>
                <w:rFonts w:hint="eastAsia" w:cs="宋体"/>
                <w:color w:val="000000" w:themeColor="text1"/>
                <w:sz w:val="22"/>
                <w14:textFill>
                  <w14:solidFill>
                    <w14:schemeClr w14:val="tx1"/>
                  </w14:solidFill>
                </w14:textFill>
              </w:rPr>
              <w:t>.</w:t>
            </w:r>
            <w:r>
              <w:rPr>
                <w:rFonts w:cs="宋体"/>
                <w:color w:val="000000" w:themeColor="text1"/>
                <w:sz w:val="22"/>
                <w14:textFill>
                  <w14:solidFill>
                    <w14:schemeClr w14:val="tx1"/>
                  </w14:solidFill>
                </w14:textFill>
              </w:rPr>
              <w:t>0017 ngTEQ/m</w:t>
            </w:r>
            <w:r>
              <w:rPr>
                <w:rFonts w:cs="宋体"/>
                <w:color w:val="000000" w:themeColor="text1"/>
                <w:sz w:val="22"/>
                <w:vertAlign w:val="superscript"/>
                <w14:textFill>
                  <w14:solidFill>
                    <w14:schemeClr w14:val="tx1"/>
                  </w14:solidFill>
                </w14:textFill>
              </w:rPr>
              <w:t>3</w:t>
            </w:r>
          </w:p>
        </w:tc>
        <w:tc>
          <w:tcPr>
            <w:tcW w:w="5238" w:type="dxa"/>
            <w:vAlign w:val="center"/>
          </w:tcPr>
          <w:p>
            <w:pPr>
              <w:spacing w:line="240" w:lineRule="auto"/>
              <w:ind w:firstLine="0" w:firstLineChars="0"/>
              <w:jc w:val="both"/>
              <w:rPr>
                <w:color w:val="000000" w:themeColor="text1"/>
                <w:sz w:val="22"/>
                <w14:textFill>
                  <w14:solidFill>
                    <w14:schemeClr w14:val="tx1"/>
                  </w14:solidFill>
                </w14:textFill>
              </w:rPr>
            </w:pPr>
            <w:r>
              <w:rPr>
                <w:rFonts w:hint="eastAsia" w:cs="宋体"/>
                <w:color w:val="000000" w:themeColor="text1"/>
                <w:sz w:val="22"/>
                <w14:textFill>
                  <w14:solidFill>
                    <w14:schemeClr w14:val="tx1"/>
                  </w14:solidFill>
                </w14:textFill>
              </w:rPr>
              <w:t>利用2台3</w:t>
            </w:r>
            <w:r>
              <w:rPr>
                <w:rFonts w:cs="宋体"/>
                <w:color w:val="000000" w:themeColor="text1"/>
                <w:sz w:val="22"/>
                <w14:textFill>
                  <w14:solidFill>
                    <w14:schemeClr w14:val="tx1"/>
                  </w14:solidFill>
                </w14:textFill>
              </w:rPr>
              <w:t>00MW</w:t>
            </w:r>
            <w:r>
              <w:rPr>
                <w:rFonts w:hint="eastAsia" w:cs="宋体"/>
                <w:color w:val="000000" w:themeColor="text1"/>
                <w:sz w:val="22"/>
                <w14:textFill>
                  <w14:solidFill>
                    <w14:schemeClr w14:val="tx1"/>
                  </w14:solidFill>
                </w14:textFill>
              </w:rPr>
              <w:t>，燃煤抽凝式供热发电机组，处置市政污泥</w:t>
            </w:r>
            <w:r>
              <w:rPr>
                <w:rFonts w:cs="宋体"/>
                <w:color w:val="000000" w:themeColor="text1"/>
                <w:sz w:val="22"/>
                <w14:textFill>
                  <w14:solidFill>
                    <w14:schemeClr w14:val="tx1"/>
                  </w14:solidFill>
                </w14:textFill>
              </w:rPr>
              <w:t>150t/d</w:t>
            </w:r>
            <w:r>
              <w:rPr>
                <w:rFonts w:hint="eastAsia" w:cs="宋体"/>
                <w:color w:val="000000" w:themeColor="text1"/>
                <w:sz w:val="22"/>
                <w14:textFill>
                  <w14:solidFill>
                    <w14:schemeClr w14:val="tx1"/>
                  </w14:solidFill>
                </w14:textFill>
              </w:rPr>
              <w:t>，建设1条掺烧含水率80%的湿污泥，最大掺烧量为150t/d；建设1条掺烧60%~65%的半干污泥，最大掺烧量为100t/d，掺烧比</w:t>
            </w:r>
            <w:r>
              <w:rPr>
                <w:rFonts w:cs="宋体"/>
                <w:color w:val="000000" w:themeColor="text1"/>
                <w:sz w:val="22"/>
                <w14:textFill>
                  <w14:solidFill>
                    <w14:schemeClr w14:val="tx1"/>
                  </w14:solidFill>
                </w14:textFill>
              </w:rPr>
              <w:t>3.92%</w:t>
            </w:r>
            <w:r>
              <w:rPr>
                <w:rFonts w:hint="eastAsia" w:cs="宋体"/>
                <w:color w:val="000000" w:themeColor="text1"/>
                <w:sz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s="宋体"/>
                <w:color w:val="000000" w:themeColor="text1"/>
                <w:sz w:val="22"/>
                <w14:textFill>
                  <w14:solidFill>
                    <w14:schemeClr w14:val="tx1"/>
                  </w14:solidFill>
                </w14:textFill>
              </w:rPr>
              <w:t>国家能源集团谏壁发电厂</w:t>
            </w:r>
          </w:p>
        </w:tc>
        <w:tc>
          <w:tcPr>
            <w:tcW w:w="567" w:type="dxa"/>
            <w:vMerge w:val="continue"/>
            <w:vAlign w:val="center"/>
          </w:tcPr>
          <w:p>
            <w:pPr>
              <w:spacing w:line="240" w:lineRule="auto"/>
              <w:ind w:firstLine="0" w:firstLineChars="0"/>
              <w:jc w:val="center"/>
              <w:rPr>
                <w:color w:val="000000" w:themeColor="text1"/>
                <w:sz w:val="22"/>
                <w14:textFill>
                  <w14:solidFill>
                    <w14:schemeClr w14:val="tx1"/>
                  </w14:solidFill>
                </w14:textFill>
              </w:rPr>
            </w:pPr>
          </w:p>
        </w:tc>
        <w:tc>
          <w:tcPr>
            <w:tcW w:w="1843" w:type="dxa"/>
            <w:vAlign w:val="center"/>
          </w:tcPr>
          <w:p>
            <w:pPr>
              <w:spacing w:line="240" w:lineRule="auto"/>
              <w:ind w:firstLine="0" w:firstLineChars="0"/>
              <w:jc w:val="center"/>
              <w:rPr>
                <w:color w:val="000000" w:themeColor="text1"/>
                <w:sz w:val="22"/>
                <w14:textFill>
                  <w14:solidFill>
                    <w14:schemeClr w14:val="tx1"/>
                  </w14:solidFill>
                </w14:textFill>
              </w:rPr>
            </w:pPr>
            <w:r>
              <w:rPr>
                <w:rFonts w:cs="宋体"/>
                <w:color w:val="000000" w:themeColor="text1"/>
                <w:sz w:val="22"/>
                <w14:textFill>
                  <w14:solidFill>
                    <w14:schemeClr w14:val="tx1"/>
                  </w14:solidFill>
                </w14:textFill>
              </w:rPr>
              <w:t>0.00019~0.02 ngTEQ/m</w:t>
            </w:r>
            <w:r>
              <w:rPr>
                <w:rFonts w:cs="宋体"/>
                <w:color w:val="000000" w:themeColor="text1"/>
                <w:sz w:val="22"/>
                <w:vertAlign w:val="superscript"/>
                <w14:textFill>
                  <w14:solidFill>
                    <w14:schemeClr w14:val="tx1"/>
                  </w14:solidFill>
                </w14:textFill>
              </w:rPr>
              <w:t>3</w:t>
            </w:r>
          </w:p>
        </w:tc>
        <w:tc>
          <w:tcPr>
            <w:tcW w:w="5238" w:type="dxa"/>
            <w:vAlign w:val="center"/>
          </w:tcPr>
          <w:p>
            <w:pPr>
              <w:spacing w:line="240" w:lineRule="auto"/>
              <w:ind w:firstLine="0" w:firstLineChars="0"/>
              <w:jc w:val="both"/>
              <w:rPr>
                <w:color w:val="000000" w:themeColor="text1"/>
                <w:sz w:val="22"/>
                <w14:textFill>
                  <w14:solidFill>
                    <w14:schemeClr w14:val="tx1"/>
                  </w14:solidFill>
                </w14:textFill>
              </w:rPr>
            </w:pPr>
            <w:r>
              <w:rPr>
                <w:rFonts w:hint="eastAsia" w:cs="宋体"/>
                <w:color w:val="000000" w:themeColor="text1"/>
                <w:sz w:val="22"/>
                <w14:textFill>
                  <w14:solidFill>
                    <w14:schemeClr w14:val="tx1"/>
                  </w14:solidFill>
                </w14:textFill>
              </w:rPr>
              <w:t>利用2台3</w:t>
            </w:r>
            <w:r>
              <w:rPr>
                <w:rFonts w:cs="宋体"/>
                <w:color w:val="000000" w:themeColor="text1"/>
                <w:sz w:val="22"/>
                <w14:textFill>
                  <w14:solidFill>
                    <w14:schemeClr w14:val="tx1"/>
                  </w14:solidFill>
                </w14:textFill>
              </w:rPr>
              <w:t>30MW</w:t>
            </w:r>
            <w:r>
              <w:rPr>
                <w:rFonts w:hint="eastAsia" w:cs="宋体"/>
                <w:color w:val="000000" w:themeColor="text1"/>
                <w:sz w:val="22"/>
                <w14:textFill>
                  <w14:solidFill>
                    <w14:schemeClr w14:val="tx1"/>
                  </w14:solidFill>
                </w14:textFill>
              </w:rPr>
              <w:t>、2台1</w:t>
            </w:r>
            <w:r>
              <w:rPr>
                <w:rFonts w:cs="宋体"/>
                <w:color w:val="000000" w:themeColor="text1"/>
                <w:sz w:val="22"/>
                <w14:textFill>
                  <w14:solidFill>
                    <w14:schemeClr w14:val="tx1"/>
                  </w14:solidFill>
                </w14:textFill>
              </w:rPr>
              <w:t>000MW</w:t>
            </w:r>
            <w:r>
              <w:rPr>
                <w:rFonts w:hint="eastAsia" w:cs="宋体"/>
                <w:color w:val="000000" w:themeColor="text1"/>
                <w:sz w:val="22"/>
                <w14:textFill>
                  <w14:solidFill>
                    <w14:schemeClr w14:val="tx1"/>
                  </w14:solidFill>
                </w14:textFill>
              </w:rPr>
              <w:t>燃煤发电机组处置含水率80%的湿污泥</w:t>
            </w:r>
            <w:r>
              <w:rPr>
                <w:rFonts w:cs="宋体"/>
                <w:color w:val="000000" w:themeColor="text1"/>
                <w:sz w:val="22"/>
                <w14:textFill>
                  <w14:solidFill>
                    <w14:schemeClr w14:val="tx1"/>
                  </w14:solidFill>
                </w14:textFill>
              </w:rPr>
              <w:t>200t/d</w:t>
            </w:r>
            <w:r>
              <w:rPr>
                <w:rFonts w:hint="eastAsia" w:cs="宋体"/>
                <w:color w:val="000000" w:themeColor="text1"/>
                <w:sz w:val="22"/>
                <w14:textFill>
                  <w14:solidFill>
                    <w14:schemeClr w14:val="tx1"/>
                  </w14:solidFill>
                </w14:textFill>
              </w:rPr>
              <w:t>的掺烧生产线，掺烧比</w:t>
            </w:r>
            <w:r>
              <w:rPr>
                <w:rFonts w:cs="宋体"/>
                <w:color w:val="000000" w:themeColor="text1"/>
                <w:sz w:val="22"/>
                <w14:textFill>
                  <w14:solidFill>
                    <w14:schemeClr w14:val="tx1"/>
                  </w14:solidFill>
                </w14:textFill>
              </w:rPr>
              <w:t>1%</w:t>
            </w:r>
            <w:r>
              <w:rPr>
                <w:rFonts w:hint="eastAsia" w:cs="宋体"/>
                <w:color w:val="000000" w:themeColor="text1"/>
                <w:sz w:val="22"/>
                <w14:textFill>
                  <w14:solidFill>
                    <w14:schemeClr w14:val="tx1"/>
                  </w14:solidFill>
                </w14:textFill>
              </w:rPr>
              <w:t>。</w:t>
            </w:r>
          </w:p>
        </w:tc>
      </w:tr>
    </w:tbl>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（2）氯化氢的分析</w:t>
      </w:r>
    </w:p>
    <w:p>
      <w:pPr>
        <w:ind w:firstLine="483" w:firstLineChars="189"/>
        <w:jc w:val="both"/>
        <w:rPr>
          <w:rFonts w:cs="宋体"/>
          <w:color w:val="000000" w:themeColor="text1"/>
          <w:szCs w:val="24"/>
          <w14:textFill>
            <w14:solidFill>
              <w14:schemeClr w14:val="tx1"/>
            </w14:solidFill>
          </w14:textFill>
        </w:rPr>
      </w:pPr>
      <w:r>
        <w:rPr>
          <w:rFonts w:hint="eastAsia" w:cs="宋体"/>
          <w:color w:val="000000" w:themeColor="text1"/>
          <w:spacing w:val="-2"/>
          <w:szCs w:val="24"/>
          <w14:textFill>
            <w14:solidFill>
              <w14:schemeClr w14:val="tx1"/>
            </w14:solidFill>
          </w14:textFill>
        </w:rPr>
        <w:t>根据检测报告，燃煤中氯含量为</w:t>
      </w:r>
      <w:r>
        <w:rPr>
          <w:color w:val="000000" w:themeColor="text1"/>
          <w:szCs w:val="24"/>
          <w14:textFill>
            <w14:solidFill>
              <w14:schemeClr w14:val="tx1"/>
            </w14:solidFill>
          </w14:textFill>
        </w:rPr>
        <w:t>446</w:t>
      </w:r>
      <w:r>
        <w:rPr>
          <w:color w:val="000000" w:themeColor="text1"/>
          <w:szCs w:val="21"/>
          <w14:textFill>
            <w14:solidFill>
              <w14:schemeClr w14:val="tx1"/>
            </w14:solidFill>
          </w14:textFill>
        </w:rPr>
        <w:t xml:space="preserve"> mg/kg</w:t>
      </w:r>
      <w:r>
        <w:rPr>
          <w:rFonts w:hint="eastAsia" w:cs="宋体"/>
          <w:color w:val="000000" w:themeColor="text1"/>
          <w:spacing w:val="-2"/>
          <w:szCs w:val="24"/>
          <w14:textFill>
            <w14:solidFill>
              <w14:schemeClr w14:val="tx1"/>
            </w14:solidFill>
          </w14:textFill>
        </w:rPr>
        <w:t>，</w:t>
      </w:r>
      <w:r>
        <w:rPr>
          <w:rFonts w:hint="eastAsia" w:cs="宋体"/>
          <w:color w:val="000000" w:themeColor="text1"/>
          <w:spacing w:val="9"/>
          <w:szCs w:val="24"/>
          <w14:textFill>
            <w14:solidFill>
              <w14:schemeClr w14:val="tx1"/>
            </w14:solidFill>
          </w14:textFill>
        </w:rPr>
        <w:t>醇沉药渣</w:t>
      </w:r>
      <w:r>
        <w:rPr>
          <w:rFonts w:hint="eastAsia" w:cs="宋体"/>
          <w:color w:val="000000" w:themeColor="text1"/>
          <w:spacing w:val="-2"/>
          <w:szCs w:val="24"/>
          <w14:textFill>
            <w14:solidFill>
              <w14:schemeClr w14:val="tx1"/>
            </w14:solidFill>
          </w14:textFill>
        </w:rPr>
        <w:t>中氯含量为</w:t>
      </w:r>
      <w:r>
        <w:rPr>
          <w:color w:val="000000" w:themeColor="text1"/>
          <w:szCs w:val="24"/>
          <w14:textFill>
            <w14:solidFill>
              <w14:schemeClr w14:val="tx1"/>
            </w14:solidFill>
          </w14:textFill>
        </w:rPr>
        <w:t>3660</w:t>
      </w:r>
      <w:r>
        <w:rPr>
          <w:color w:val="000000" w:themeColor="text1"/>
          <w:szCs w:val="21"/>
          <w14:textFill>
            <w14:solidFill>
              <w14:schemeClr w14:val="tx1"/>
            </w14:solidFill>
          </w14:textFill>
        </w:rPr>
        <w:t xml:space="preserve"> mg/kg</w:t>
      </w:r>
      <w:r>
        <w:rPr>
          <w:color w:val="000000" w:themeColor="text1"/>
          <w:szCs w:val="24"/>
          <w14:textFill>
            <w14:solidFill>
              <w14:schemeClr w14:val="tx1"/>
            </w14:solidFill>
          </w14:textFill>
        </w:rPr>
        <w:t xml:space="preserve"> </w:t>
      </w:r>
      <w:r>
        <w:rPr>
          <w:rFonts w:hint="eastAsia" w:cs="宋体"/>
          <w:color w:val="000000" w:themeColor="text1"/>
          <w:spacing w:val="-1"/>
          <w:szCs w:val="24"/>
          <w14:textFill>
            <w14:solidFill>
              <w14:schemeClr w14:val="tx1"/>
            </w14:solidFill>
          </w14:textFill>
        </w:rPr>
        <w:t>，</w:t>
      </w:r>
      <w:r>
        <w:rPr>
          <w:rFonts w:hint="eastAsia" w:cs="宋体"/>
          <w:color w:val="000000" w:themeColor="text1"/>
          <w:spacing w:val="-2"/>
          <w:szCs w:val="24"/>
          <w14:textFill>
            <w14:solidFill>
              <w14:schemeClr w14:val="tx1"/>
            </w14:solidFill>
          </w14:textFill>
        </w:rPr>
        <w:t>本次保守考虑氯元素6</w:t>
      </w:r>
      <w:r>
        <w:rPr>
          <w:rFonts w:cs="宋体"/>
          <w:color w:val="000000" w:themeColor="text1"/>
          <w:spacing w:val="-2"/>
          <w:szCs w:val="24"/>
          <w14:textFill>
            <w14:solidFill>
              <w14:schemeClr w14:val="tx1"/>
            </w14:solidFill>
          </w14:textFill>
        </w:rPr>
        <w:t>0%</w:t>
      </w:r>
      <w:r>
        <w:rPr>
          <w:rFonts w:hint="eastAsia" w:cs="宋体"/>
          <w:color w:val="000000" w:themeColor="text1"/>
          <w:spacing w:val="-2"/>
          <w:szCs w:val="24"/>
          <w14:textFill>
            <w14:solidFill>
              <w14:schemeClr w14:val="tx1"/>
            </w14:solidFill>
          </w14:textFill>
        </w:rPr>
        <w:t>转化为氯化</w:t>
      </w:r>
      <w:r>
        <w:rPr>
          <w:rFonts w:hint="eastAsia" w:cs="宋体"/>
          <w:color w:val="000000" w:themeColor="text1"/>
          <w:szCs w:val="24"/>
          <w14:textFill>
            <w14:solidFill>
              <w14:schemeClr w14:val="tx1"/>
            </w14:solidFill>
          </w14:textFill>
        </w:rPr>
        <w:t>氢，</w:t>
      </w:r>
      <w:r>
        <w:rPr>
          <w:rFonts w:hint="eastAsia"/>
          <w:color w:val="000000" w:themeColor="text1"/>
          <w14:textFill>
            <w14:solidFill>
              <w14:schemeClr w14:val="tx1"/>
            </w14:solidFill>
          </w14:textFill>
        </w:rPr>
        <w:t>循环流化床锅炉小时耗煤量约为</w:t>
      </w:r>
      <w:r>
        <w:rPr>
          <w:color w:val="000000" w:themeColor="text1"/>
          <w14:textFill>
            <w14:solidFill>
              <w14:schemeClr w14:val="tx1"/>
            </w14:solidFill>
          </w14:textFill>
        </w:rPr>
        <w:t>120t/h</w:t>
      </w:r>
      <w:r>
        <w:rPr>
          <w:rFonts w:hint="eastAsia"/>
          <w:color w:val="000000" w:themeColor="text1"/>
          <w14:textFill>
            <w14:solidFill>
              <w14:schemeClr w14:val="tx1"/>
            </w14:solidFill>
          </w14:textFill>
        </w:rPr>
        <w:t>，每小时</w:t>
      </w:r>
      <w:r>
        <w:rPr>
          <w:rFonts w:hint="eastAsia" w:cs="宋体"/>
          <w:color w:val="000000" w:themeColor="text1"/>
          <w:spacing w:val="9"/>
          <w:szCs w:val="24"/>
          <w14:textFill>
            <w14:solidFill>
              <w14:schemeClr w14:val="tx1"/>
            </w14:solidFill>
          </w14:textFill>
        </w:rPr>
        <w:t>醇沉药渣焚烧处置量6</w:t>
      </w:r>
      <w:r>
        <w:rPr>
          <w:rFonts w:cs="宋体"/>
          <w:color w:val="000000" w:themeColor="text1"/>
          <w:spacing w:val="9"/>
          <w:szCs w:val="24"/>
          <w14:textFill>
            <w14:solidFill>
              <w14:schemeClr w14:val="tx1"/>
            </w14:solidFill>
          </w14:textFill>
        </w:rPr>
        <w:t>t/h</w:t>
      </w:r>
      <w:r>
        <w:rPr>
          <w:rFonts w:hint="eastAsia" w:cs="宋体"/>
          <w:color w:val="000000" w:themeColor="text1"/>
          <w:spacing w:val="9"/>
          <w:szCs w:val="24"/>
          <w14:textFill>
            <w14:solidFill>
              <w14:schemeClr w14:val="tx1"/>
            </w14:solidFill>
          </w14:textFill>
        </w:rPr>
        <w:t>，</w:t>
      </w:r>
      <w:r>
        <w:rPr>
          <w:rFonts w:hint="eastAsia"/>
          <w:color w:val="000000" w:themeColor="text1"/>
          <w14:textFill>
            <w14:solidFill>
              <w14:schemeClr w14:val="tx1"/>
            </w14:solidFill>
          </w14:textFill>
        </w:rPr>
        <w:t>每年掺烧</w:t>
      </w:r>
      <w:r>
        <w:rPr>
          <w:rFonts w:hint="eastAsia" w:cs="宋体"/>
          <w:color w:val="000000" w:themeColor="text1"/>
          <w:spacing w:val="9"/>
          <w:szCs w:val="24"/>
          <w14:textFill>
            <w14:solidFill>
              <w14:schemeClr w14:val="tx1"/>
            </w14:solidFill>
          </w14:textFill>
        </w:rPr>
        <w:t>2</w:t>
      </w:r>
      <w:r>
        <w:rPr>
          <w:rFonts w:cs="宋体"/>
          <w:color w:val="000000" w:themeColor="text1"/>
          <w:spacing w:val="9"/>
          <w:szCs w:val="24"/>
          <w14:textFill>
            <w14:solidFill>
              <w14:schemeClr w14:val="tx1"/>
            </w14:solidFill>
          </w14:textFill>
        </w:rPr>
        <w:t>000h</w:t>
      </w:r>
      <w:r>
        <w:rPr>
          <w:rFonts w:hint="eastAsia"/>
          <w:color w:val="000000" w:themeColor="text1"/>
          <w14:textFill>
            <w14:solidFill>
              <w14:schemeClr w14:val="tx1"/>
            </w14:solidFill>
          </w14:textFill>
        </w:rPr>
        <w:t>。</w:t>
      </w:r>
      <w:r>
        <w:rPr>
          <w:rFonts w:hint="eastAsia" w:cs="宋体"/>
          <w:color w:val="000000" w:themeColor="text1"/>
          <w:szCs w:val="24"/>
          <w14:textFill>
            <w14:solidFill>
              <w14:schemeClr w14:val="tx1"/>
            </w14:solidFill>
          </w14:textFill>
        </w:rPr>
        <w:t>根据理论计算，在掺烧</w:t>
      </w:r>
      <w:r>
        <w:rPr>
          <w:rFonts w:hint="eastAsia" w:cs="宋体"/>
          <w:color w:val="000000" w:themeColor="text1"/>
          <w:spacing w:val="9"/>
          <w:szCs w:val="24"/>
          <w14:textFill>
            <w14:solidFill>
              <w14:schemeClr w14:val="tx1"/>
            </w14:solidFill>
          </w14:textFill>
        </w:rPr>
        <w:t>醇沉药渣的情况下，</w:t>
      </w:r>
      <w:r>
        <w:rPr>
          <w:rFonts w:hint="eastAsia" w:cs="宋体"/>
          <w:color w:val="000000" w:themeColor="text1"/>
          <w:szCs w:val="24"/>
          <w14:textFill>
            <w14:solidFill>
              <w14:schemeClr w14:val="tx1"/>
            </w14:solidFill>
          </w14:textFill>
        </w:rPr>
        <w:t>燃煤机组的氯化氢的产生速率为</w:t>
      </w:r>
      <w:r>
        <w:rPr>
          <w:rFonts w:cs="宋体"/>
          <w:color w:val="000000" w:themeColor="text1"/>
          <w:szCs w:val="24"/>
          <w14:textFill>
            <w14:solidFill>
              <w14:schemeClr w14:val="tx1"/>
            </w14:solidFill>
          </w14:textFill>
        </w:rPr>
        <w:t>47.95</w:t>
      </w:r>
      <w:r>
        <w:rPr>
          <w:rFonts w:hint="eastAsia" w:cs="宋体"/>
          <w:color w:val="000000" w:themeColor="text1"/>
          <w:szCs w:val="24"/>
          <w14:textFill>
            <w14:solidFill>
              <w14:schemeClr w14:val="tx1"/>
            </w14:solidFill>
          </w14:textFill>
        </w:rPr>
        <w:t>kg/h。现有电厂燃煤机组的烟气处理采用低氮燃烧</w:t>
      </w:r>
      <w:r>
        <w:rPr>
          <w:color w:val="000000" w:themeColor="text1"/>
          <w:szCs w:val="24"/>
          <w14:textFill>
            <w14:solidFill>
              <w14:schemeClr w14:val="tx1"/>
            </w14:solidFill>
          </w14:textFill>
        </w:rPr>
        <w:t>+</w:t>
      </w:r>
      <w:r>
        <w:rPr>
          <w:bCs/>
          <w:color w:val="000000" w:themeColor="text1"/>
          <w:szCs w:val="24"/>
          <w14:textFill>
            <w14:solidFill>
              <w14:schemeClr w14:val="tx1"/>
            </w14:solidFill>
          </w14:textFill>
        </w:rPr>
        <w:t xml:space="preserve"> SNCR脱硝</w:t>
      </w:r>
      <w:r>
        <w:rPr>
          <w:rFonts w:hint="eastAsia"/>
          <w:bCs/>
          <w:color w:val="000000" w:themeColor="text1"/>
          <w:szCs w:val="24"/>
          <w14:textFill>
            <w14:solidFill>
              <w14:schemeClr w14:val="tx1"/>
            </w14:solidFill>
          </w14:textFill>
        </w:rPr>
        <w:t>+</w:t>
      </w:r>
      <w:r>
        <w:rPr>
          <w:bCs/>
          <w:color w:val="000000" w:themeColor="text1"/>
          <w:szCs w:val="24"/>
          <w14:textFill>
            <w14:solidFill>
              <w14:schemeClr w14:val="tx1"/>
            </w14:solidFill>
          </w14:textFill>
        </w:rPr>
        <w:t>布袋除尘</w:t>
      </w:r>
      <w:r>
        <w:rPr>
          <w:rFonts w:hint="eastAsia"/>
          <w:bCs/>
          <w:color w:val="000000" w:themeColor="text1"/>
          <w:szCs w:val="24"/>
          <w14:textFill>
            <w14:solidFill>
              <w14:schemeClr w14:val="tx1"/>
            </w14:solidFill>
          </w14:textFill>
        </w:rPr>
        <w:t>+</w:t>
      </w:r>
      <w:r>
        <w:rPr>
          <w:bCs/>
          <w:color w:val="000000" w:themeColor="text1"/>
          <w:szCs w:val="24"/>
          <w14:textFill>
            <w14:solidFill>
              <w14:schemeClr w14:val="tx1"/>
            </w14:solidFill>
          </w14:textFill>
        </w:rPr>
        <w:t>炉外湿法脱硫</w:t>
      </w:r>
      <w:r>
        <w:rPr>
          <w:rFonts w:hint="eastAsia"/>
          <w:bCs/>
          <w:color w:val="000000" w:themeColor="text1"/>
          <w:szCs w:val="24"/>
          <w14:textFill>
            <w14:solidFill>
              <w14:schemeClr w14:val="tx1"/>
            </w14:solidFill>
          </w14:textFill>
        </w:rPr>
        <w:t>，</w:t>
      </w:r>
      <w:r>
        <w:rPr>
          <w:rFonts w:hint="eastAsia" w:cs="宋体"/>
          <w:color w:val="000000" w:themeColor="text1"/>
          <w:szCs w:val="24"/>
          <w14:textFill>
            <w14:solidFill>
              <w14:schemeClr w14:val="tx1"/>
            </w14:solidFill>
          </w14:textFill>
        </w:rPr>
        <w:t>燃煤机组处理后的烟气通过</w:t>
      </w:r>
      <w:r>
        <w:rPr>
          <w:rFonts w:cs="宋体"/>
          <w:color w:val="000000" w:themeColor="text1"/>
          <w:spacing w:val="-49"/>
          <w:szCs w:val="24"/>
          <w14:textFill>
            <w14:solidFill>
              <w14:schemeClr w14:val="tx1"/>
            </w14:solidFill>
          </w14:textFill>
        </w:rPr>
        <w:t xml:space="preserve"> </w:t>
      </w:r>
      <w:r>
        <w:rPr>
          <w:color w:val="000000" w:themeColor="text1"/>
          <w:szCs w:val="24"/>
          <w14:textFill>
            <w14:solidFill>
              <w14:schemeClr w14:val="tx1"/>
            </w14:solidFill>
          </w14:textFill>
        </w:rPr>
        <w:t>1</w:t>
      </w:r>
      <w:r>
        <w:rPr>
          <w:rFonts w:hint="eastAsia" w:cs="宋体"/>
          <w:color w:val="000000" w:themeColor="text1"/>
          <w:szCs w:val="24"/>
          <w14:textFill>
            <w14:solidFill>
              <w14:schemeClr w14:val="tx1"/>
            </w14:solidFill>
          </w14:textFill>
        </w:rPr>
        <w:t>根</w:t>
      </w:r>
      <w:r>
        <w:rPr>
          <w:rFonts w:cs="宋体"/>
          <w:color w:val="000000" w:themeColor="text1"/>
          <w:spacing w:val="-52"/>
          <w:szCs w:val="24"/>
          <w14:textFill>
            <w14:solidFill>
              <w14:schemeClr w14:val="tx1"/>
            </w14:solidFill>
          </w14:textFill>
        </w:rPr>
        <w:t xml:space="preserve"> </w:t>
      </w:r>
      <w:r>
        <w:rPr>
          <w:color w:val="000000" w:themeColor="text1"/>
          <w:szCs w:val="24"/>
          <w14:textFill>
            <w14:solidFill>
              <w14:schemeClr w14:val="tx1"/>
            </w14:solidFill>
          </w14:textFill>
        </w:rPr>
        <w:t>210m</w:t>
      </w:r>
      <w:r>
        <w:rPr>
          <w:rFonts w:hint="eastAsia" w:cs="宋体"/>
          <w:color w:val="000000" w:themeColor="text1"/>
          <w:szCs w:val="24"/>
          <w14:textFill>
            <w14:solidFill>
              <w14:schemeClr w14:val="tx1"/>
            </w14:solidFill>
          </w14:textFill>
        </w:rPr>
        <w:t>高的烟囱外排至大气。</w:t>
      </w:r>
      <w:r>
        <w:rPr>
          <w:rFonts w:hint="eastAsia" w:cs="宋体"/>
          <w:color w:val="000000" w:themeColor="text1"/>
          <w:spacing w:val="2"/>
          <w:szCs w:val="24"/>
          <w14:textFill>
            <w14:solidFill>
              <w14:schemeClr w14:val="tx1"/>
            </w14:solidFill>
          </w14:textFill>
        </w:rPr>
        <w:t>电厂采用石灰石</w:t>
      </w:r>
      <w:r>
        <w:rPr>
          <w:color w:val="000000" w:themeColor="text1"/>
          <w:spacing w:val="2"/>
          <w:szCs w:val="24"/>
          <w14:textFill>
            <w14:solidFill>
              <w14:schemeClr w14:val="tx1"/>
            </w14:solidFill>
          </w14:textFill>
        </w:rPr>
        <w:t>/</w:t>
      </w:r>
      <w:r>
        <w:rPr>
          <w:rFonts w:hint="eastAsia" w:cs="宋体"/>
          <w:color w:val="000000" w:themeColor="text1"/>
          <w:spacing w:val="2"/>
          <w:szCs w:val="24"/>
          <w14:textFill>
            <w14:solidFill>
              <w14:schemeClr w14:val="tx1"/>
            </w14:solidFill>
          </w14:textFill>
        </w:rPr>
        <w:t>石膏湿法脱硫，对氯化氢具有较好的吸收效果，</w:t>
      </w:r>
      <w:r>
        <w:rPr>
          <w:color w:val="000000" w:themeColor="text1"/>
          <w:spacing w:val="2"/>
          <w:szCs w:val="24"/>
          <w14:textFill>
            <w14:solidFill>
              <w14:schemeClr w14:val="tx1"/>
            </w14:solidFill>
          </w14:textFill>
        </w:rPr>
        <w:t>HCl</w:t>
      </w:r>
      <w:r>
        <w:rPr>
          <w:rFonts w:hint="eastAsia" w:cs="宋体"/>
          <w:color w:val="000000" w:themeColor="text1"/>
          <w:szCs w:val="24"/>
          <w14:textFill>
            <w14:solidFill>
              <w14:schemeClr w14:val="tx1"/>
            </w14:solidFill>
          </w14:textFill>
        </w:rPr>
        <w:t>脱除效率按照</w:t>
      </w:r>
      <w:r>
        <w:rPr>
          <w:rFonts w:cs="宋体"/>
          <w:color w:val="000000" w:themeColor="text1"/>
          <w:szCs w:val="24"/>
          <w14:textFill>
            <w14:solidFill>
              <w14:schemeClr w14:val="tx1"/>
            </w14:solidFill>
          </w14:textFill>
        </w:rPr>
        <w:t>97%</w:t>
      </w:r>
      <w:r>
        <w:rPr>
          <w:rFonts w:hint="eastAsia" w:cs="宋体"/>
          <w:color w:val="000000" w:themeColor="text1"/>
          <w:szCs w:val="24"/>
          <w14:textFill>
            <w14:solidFill>
              <w14:schemeClr w14:val="tx1"/>
            </w14:solidFill>
          </w14:textFill>
        </w:rPr>
        <w:t>计算，因此，氯化氢的排放速率为</w:t>
      </w:r>
      <w:r>
        <w:rPr>
          <w:rFonts w:cs="宋体"/>
          <w:color w:val="000000" w:themeColor="text1"/>
          <w:szCs w:val="24"/>
          <w14:textFill>
            <w14:solidFill>
              <w14:schemeClr w14:val="tx1"/>
            </w14:solidFill>
          </w14:textFill>
        </w:rPr>
        <w:t>1.44</w:t>
      </w:r>
      <w:r>
        <w:rPr>
          <w:rFonts w:hint="eastAsia" w:cs="宋体"/>
          <w:color w:val="000000" w:themeColor="text1"/>
          <w:szCs w:val="24"/>
          <w14:textFill>
            <w14:solidFill>
              <w14:schemeClr w14:val="tx1"/>
            </w14:solidFill>
          </w14:textFill>
        </w:rPr>
        <w:t>kg/h（年排放2</w:t>
      </w:r>
      <w:r>
        <w:rPr>
          <w:rFonts w:cs="宋体"/>
          <w:color w:val="000000" w:themeColor="text1"/>
          <w:szCs w:val="24"/>
          <w14:textFill>
            <w14:solidFill>
              <w14:schemeClr w14:val="tx1"/>
            </w14:solidFill>
          </w14:textFill>
        </w:rPr>
        <w:t>000h</w:t>
      </w:r>
      <w:r>
        <w:rPr>
          <w:rFonts w:hint="eastAsia" w:cs="宋体"/>
          <w:color w:val="000000" w:themeColor="text1"/>
          <w:szCs w:val="24"/>
          <w14:textFill>
            <w14:solidFill>
              <w14:schemeClr w14:val="tx1"/>
            </w14:solidFill>
          </w14:textFill>
        </w:rPr>
        <w:t>），排放浓度</w:t>
      </w:r>
      <w:r>
        <w:rPr>
          <w:rFonts w:cs="宋体"/>
          <w:color w:val="000000" w:themeColor="text1"/>
          <w:szCs w:val="24"/>
          <w14:textFill>
            <w14:solidFill>
              <w14:schemeClr w14:val="tx1"/>
            </w14:solidFill>
          </w14:textFill>
        </w:rPr>
        <w:t>1.23</w:t>
      </w:r>
      <w:r>
        <w:rPr>
          <w:color w:val="000000" w:themeColor="text1"/>
          <w:spacing w:val="-8"/>
          <w:szCs w:val="24"/>
          <w14:textFill>
            <w14:solidFill>
              <w14:schemeClr w14:val="tx1"/>
            </w14:solidFill>
          </w14:textFill>
        </w:rPr>
        <w:t>mg/m</w:t>
      </w:r>
      <w:r>
        <w:rPr>
          <w:color w:val="000000" w:themeColor="text1"/>
          <w:spacing w:val="-8"/>
          <w:szCs w:val="24"/>
          <w:vertAlign w:val="superscript"/>
          <w14:textFill>
            <w14:solidFill>
              <w14:schemeClr w14:val="tx1"/>
            </w14:solidFill>
          </w14:textFill>
        </w:rPr>
        <w:t>3</w:t>
      </w:r>
      <w:r>
        <w:rPr>
          <w:rFonts w:hint="eastAsia" w:cs="宋体"/>
          <w:color w:val="000000" w:themeColor="text1"/>
          <w:szCs w:val="24"/>
          <w14:textFill>
            <w14:solidFill>
              <w14:schemeClr w14:val="tx1"/>
            </w14:solidFill>
          </w14:textFill>
        </w:rPr>
        <w:t>，远低于《生活垃圾焚烧污染控制标准》（</w:t>
      </w:r>
      <w:r>
        <w:rPr>
          <w:rFonts w:cs="宋体"/>
          <w:color w:val="000000" w:themeColor="text1"/>
          <w:szCs w:val="24"/>
          <w14:textFill>
            <w14:solidFill>
              <w14:schemeClr w14:val="tx1"/>
            </w14:solidFill>
          </w14:textFill>
        </w:rPr>
        <w:t>GB18485-2014</w:t>
      </w:r>
      <w:r>
        <w:rPr>
          <w:rFonts w:hint="eastAsia" w:cs="宋体"/>
          <w:color w:val="000000" w:themeColor="text1"/>
          <w:szCs w:val="24"/>
          <w14:textFill>
            <w14:solidFill>
              <w14:schemeClr w14:val="tx1"/>
            </w14:solidFill>
          </w14:textFill>
        </w:rPr>
        <w:t>）及修改单中氯化</w:t>
      </w:r>
      <w:r>
        <w:rPr>
          <w:rFonts w:cs="宋体"/>
          <w:color w:val="000000" w:themeColor="text1"/>
          <w:szCs w:val="24"/>
          <w14:textFill>
            <w14:solidFill>
              <w14:schemeClr w14:val="tx1"/>
            </w14:solidFill>
          </w14:textFill>
        </w:rPr>
        <w:t xml:space="preserve"> </w:t>
      </w:r>
      <w:r>
        <w:rPr>
          <w:rFonts w:hint="eastAsia" w:cs="宋体"/>
          <w:color w:val="000000" w:themeColor="text1"/>
          <w:szCs w:val="24"/>
          <w14:textFill>
            <w14:solidFill>
              <w14:schemeClr w14:val="tx1"/>
            </w14:solidFill>
          </w14:textFill>
        </w:rPr>
        <w:t>氢</w:t>
      </w:r>
      <w:r>
        <w:rPr>
          <w:rFonts w:cs="宋体"/>
          <w:color w:val="000000" w:themeColor="text1"/>
          <w:szCs w:val="24"/>
          <w14:textFill>
            <w14:solidFill>
              <w14:schemeClr w14:val="tx1"/>
            </w14:solidFill>
          </w14:textFill>
        </w:rPr>
        <w:t xml:space="preserve"> 24</w:t>
      </w:r>
      <w:r>
        <w:rPr>
          <w:rFonts w:hint="eastAsia" w:cs="宋体"/>
          <w:color w:val="000000" w:themeColor="text1"/>
          <w:szCs w:val="24"/>
          <w14:textFill>
            <w14:solidFill>
              <w14:schemeClr w14:val="tx1"/>
            </w14:solidFill>
          </w14:textFill>
        </w:rPr>
        <w:t>小时均值限值（≤</w:t>
      </w:r>
      <w:r>
        <w:rPr>
          <w:rFonts w:cs="宋体"/>
          <w:color w:val="000000" w:themeColor="text1"/>
          <w:szCs w:val="24"/>
          <w14:textFill>
            <w14:solidFill>
              <w14:schemeClr w14:val="tx1"/>
            </w14:solidFill>
          </w14:textFill>
        </w:rPr>
        <w:t>50mg/Nm</w:t>
      </w:r>
      <w:r>
        <w:rPr>
          <w:rFonts w:cs="宋体"/>
          <w:color w:val="000000" w:themeColor="text1"/>
          <w:szCs w:val="24"/>
          <w:vertAlign w:val="superscript"/>
          <w14:textFill>
            <w14:solidFill>
              <w14:schemeClr w14:val="tx1"/>
            </w14:solidFill>
          </w14:textFill>
        </w:rPr>
        <w:t>3</w:t>
      </w:r>
      <w:r>
        <w:rPr>
          <w:rFonts w:hint="eastAsia" w:cs="宋体"/>
          <w:color w:val="000000" w:themeColor="text1"/>
          <w:szCs w:val="24"/>
          <w14:textFill>
            <w14:solidFill>
              <w14:schemeClr w14:val="tx1"/>
            </w14:solidFill>
          </w14:textFill>
        </w:rPr>
        <w:t>）。</w:t>
      </w:r>
    </w:p>
    <w:p>
      <w:pPr>
        <w:ind w:firstLine="491" w:firstLineChars="189"/>
        <w:jc w:val="both"/>
        <w:rPr>
          <w:rFonts w:cs="宋体"/>
          <w:color w:val="000000" w:themeColor="text1"/>
          <w:szCs w:val="24"/>
          <w14:textFill>
            <w14:solidFill>
              <w14:schemeClr w14:val="tx1"/>
            </w14:solidFill>
          </w14:textFill>
        </w:rPr>
      </w:pPr>
      <w:r>
        <w:rPr>
          <w:rFonts w:hint="eastAsia" w:cs="宋体"/>
          <w:color w:val="000000" w:themeColor="text1"/>
          <w:szCs w:val="24"/>
          <w14:textFill>
            <w14:solidFill>
              <w14:schemeClr w14:val="tx1"/>
            </w14:solidFill>
          </w14:textFill>
        </w:rPr>
        <w:t>不掺烧</w:t>
      </w:r>
      <w:r>
        <w:rPr>
          <w:rFonts w:hint="eastAsia" w:cs="宋体"/>
          <w:color w:val="000000" w:themeColor="text1"/>
          <w:spacing w:val="9"/>
          <w:szCs w:val="24"/>
          <w14:textFill>
            <w14:solidFill>
              <w14:schemeClr w14:val="tx1"/>
            </w14:solidFill>
          </w14:textFill>
        </w:rPr>
        <w:t>醇沉药渣的情况下，燃煤机组氯化氢排放速率为1</w:t>
      </w:r>
      <w:r>
        <w:rPr>
          <w:rFonts w:cs="宋体"/>
          <w:color w:val="000000" w:themeColor="text1"/>
          <w:spacing w:val="9"/>
          <w:szCs w:val="24"/>
          <w14:textFill>
            <w14:solidFill>
              <w14:schemeClr w14:val="tx1"/>
            </w14:solidFill>
          </w14:textFill>
        </w:rPr>
        <w:t>.02</w:t>
      </w:r>
      <w:r>
        <w:rPr>
          <w:rFonts w:hint="eastAsia" w:cs="宋体"/>
          <w:color w:val="000000" w:themeColor="text1"/>
          <w:szCs w:val="24"/>
          <w14:textFill>
            <w14:solidFill>
              <w14:schemeClr w14:val="tx1"/>
            </w14:solidFill>
          </w14:textFill>
        </w:rPr>
        <w:t xml:space="preserve"> kg/h（年排放</w:t>
      </w:r>
      <w:r>
        <w:rPr>
          <w:rFonts w:cs="宋体"/>
          <w:color w:val="000000" w:themeColor="text1"/>
          <w:szCs w:val="24"/>
          <w14:textFill>
            <w14:solidFill>
              <w14:schemeClr w14:val="tx1"/>
            </w14:solidFill>
          </w14:textFill>
        </w:rPr>
        <w:t>7500-2000=5500h</w:t>
      </w:r>
      <w:r>
        <w:rPr>
          <w:rFonts w:hint="eastAsia" w:cs="宋体"/>
          <w:color w:val="000000" w:themeColor="text1"/>
          <w:szCs w:val="24"/>
          <w14:textFill>
            <w14:solidFill>
              <w14:schemeClr w14:val="tx1"/>
            </w14:solidFill>
          </w14:textFill>
        </w:rPr>
        <w:t>）</w:t>
      </w:r>
      <w:r>
        <w:rPr>
          <w:rFonts w:hint="eastAsia" w:cs="宋体"/>
          <w:color w:val="000000" w:themeColor="text1"/>
          <w:spacing w:val="9"/>
          <w:szCs w:val="24"/>
          <w14:textFill>
            <w14:solidFill>
              <w14:schemeClr w14:val="tx1"/>
            </w14:solidFill>
          </w14:textFill>
        </w:rPr>
        <w:t>。掺烧醇沉药渣后，合计氯化氢排放量</w:t>
      </w:r>
      <w:r>
        <w:rPr>
          <w:rFonts w:cs="宋体"/>
          <w:color w:val="000000" w:themeColor="text1"/>
          <w:spacing w:val="9"/>
          <w:szCs w:val="24"/>
          <w14:textFill>
            <w14:solidFill>
              <w14:schemeClr w14:val="tx1"/>
            </w14:solidFill>
          </w14:textFill>
        </w:rPr>
        <w:t>6.45</w:t>
      </w:r>
      <w:r>
        <w:rPr>
          <w:rFonts w:cs="宋体"/>
          <w:color w:val="000000" w:themeColor="text1"/>
          <w:szCs w:val="24"/>
          <w14:textFill>
            <w14:solidFill>
              <w14:schemeClr w14:val="tx1"/>
            </w14:solidFill>
          </w14:textFill>
        </w:rPr>
        <w:t xml:space="preserve"> t/a</w:t>
      </w:r>
      <w:r>
        <w:rPr>
          <w:rFonts w:hint="eastAsia" w:cs="宋体"/>
          <w:color w:val="000000" w:themeColor="text1"/>
          <w:szCs w:val="24"/>
          <w14:textFill>
            <w14:solidFill>
              <w14:schemeClr w14:val="tx1"/>
            </w14:solidFill>
          </w14:textFill>
        </w:rPr>
        <w:t>。掺烧</w:t>
      </w:r>
      <w:r>
        <w:rPr>
          <w:rFonts w:hint="eastAsia" w:cs="宋体"/>
          <w:color w:val="000000" w:themeColor="text1"/>
          <w:spacing w:val="9"/>
          <w:szCs w:val="24"/>
          <w14:textFill>
            <w14:solidFill>
              <w14:schemeClr w14:val="tx1"/>
            </w14:solidFill>
          </w14:textFill>
        </w:rPr>
        <w:t>醇沉药渣后氯化氢排放量增加0</w:t>
      </w:r>
      <w:r>
        <w:rPr>
          <w:rFonts w:cs="宋体"/>
          <w:color w:val="000000" w:themeColor="text1"/>
          <w:spacing w:val="9"/>
          <w:szCs w:val="24"/>
          <w14:textFill>
            <w14:solidFill>
              <w14:schemeClr w14:val="tx1"/>
            </w14:solidFill>
          </w14:textFill>
        </w:rPr>
        <w:t>.42</w:t>
      </w:r>
      <w:r>
        <w:rPr>
          <w:rFonts w:hint="eastAsia" w:cs="宋体"/>
          <w:color w:val="000000" w:themeColor="text1"/>
          <w:szCs w:val="24"/>
          <w14:textFill>
            <w14:solidFill>
              <w14:schemeClr w14:val="tx1"/>
            </w14:solidFill>
          </w14:textFill>
        </w:rPr>
        <w:t>kg/h（</w:t>
      </w:r>
      <w:r>
        <w:rPr>
          <w:rFonts w:cs="宋体"/>
          <w:color w:val="000000" w:themeColor="text1"/>
          <w:szCs w:val="24"/>
          <w14:textFill>
            <w14:solidFill>
              <w14:schemeClr w14:val="tx1"/>
            </w14:solidFill>
          </w14:textFill>
        </w:rPr>
        <w:t>0.84t/a</w:t>
      </w:r>
      <w:r>
        <w:rPr>
          <w:rFonts w:hint="eastAsia" w:cs="宋体"/>
          <w:color w:val="000000" w:themeColor="text1"/>
          <w:szCs w:val="24"/>
          <w14:textFill>
            <w14:solidFill>
              <w14:schemeClr w14:val="tx1"/>
            </w14:solidFill>
          </w14:textFill>
        </w:rPr>
        <w:t>），增加量非常有限。</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（3）汞及其化合物的分析</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根据检测报告，</w:t>
      </w:r>
      <w:r>
        <w:rPr>
          <w:rFonts w:hint="eastAsia" w:cs="宋体"/>
          <w:color w:val="000000" w:themeColor="text1"/>
          <w:spacing w:val="9"/>
          <w:szCs w:val="24"/>
          <w14:textFill>
            <w14:solidFill>
              <w14:schemeClr w14:val="tx1"/>
            </w14:solidFill>
          </w14:textFill>
        </w:rPr>
        <w:t>醇沉药渣中汞含量</w:t>
      </w: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.005mg/kg</w:t>
      </w:r>
      <w:r>
        <w:rPr>
          <w:rFonts w:hint="eastAsia" w:cs="宋体"/>
          <w:color w:val="000000" w:themeColor="text1"/>
          <w:spacing w:val="9"/>
          <w:szCs w:val="24"/>
          <w14:textFill>
            <w14:solidFill>
              <w14:schemeClr w14:val="tx1"/>
            </w14:solidFill>
          </w14:textFill>
        </w:rPr>
        <w:t>，燃料煤中汞含量0</w:t>
      </w:r>
      <w:r>
        <w:rPr>
          <w:rFonts w:cs="宋体"/>
          <w:color w:val="000000" w:themeColor="text1"/>
          <w:spacing w:val="9"/>
          <w:szCs w:val="24"/>
          <w14:textFill>
            <w14:solidFill>
              <w14:schemeClr w14:val="tx1"/>
            </w14:solidFill>
          </w14:textFill>
        </w:rPr>
        <w:t>.283</w:t>
      </w:r>
      <w:r>
        <w:rPr>
          <w:color w:val="000000" w:themeColor="text1"/>
          <w:szCs w:val="21"/>
          <w14:textFill>
            <w14:solidFill>
              <w14:schemeClr w14:val="tx1"/>
            </w14:solidFill>
          </w14:textFill>
        </w:rPr>
        <w:t xml:space="preserve"> mg/kg</w:t>
      </w:r>
      <w:r>
        <w:rPr>
          <w:rFonts w:hint="eastAsia" w:cs="宋体"/>
          <w:color w:val="000000" w:themeColor="text1"/>
          <w:spacing w:val="9"/>
          <w:szCs w:val="24"/>
          <w14:textFill>
            <w14:solidFill>
              <w14:schemeClr w14:val="tx1"/>
            </w14:solidFill>
          </w14:textFill>
        </w:rPr>
        <w:t>。根据</w:t>
      </w:r>
      <w:r>
        <w:rPr>
          <w:rFonts w:hint="eastAsia"/>
          <w:color w:val="000000" w:themeColor="text1"/>
          <w14:textFill>
            <w14:solidFill>
              <w14:schemeClr w14:val="tx1"/>
            </w14:solidFill>
          </w14:textFill>
        </w:rPr>
        <w:t>报告3</w:t>
      </w:r>
      <w:r>
        <w:rPr>
          <w:color w:val="000000" w:themeColor="text1"/>
          <w14:textFill>
            <w14:solidFill>
              <w14:schemeClr w14:val="tx1"/>
            </w14:solidFill>
          </w14:textFill>
        </w:rPr>
        <w:t>.1.3.4</w:t>
      </w:r>
      <w:r>
        <w:rPr>
          <w:rFonts w:hint="eastAsia"/>
          <w:color w:val="000000" w:themeColor="text1"/>
          <w14:textFill>
            <w14:solidFill>
              <w14:schemeClr w14:val="tx1"/>
            </w14:solidFill>
          </w14:textFill>
        </w:rPr>
        <w:t>节分析，掺烧</w:t>
      </w:r>
      <w:r>
        <w:rPr>
          <w:rFonts w:hint="eastAsia" w:cs="宋体"/>
          <w:color w:val="000000" w:themeColor="text1"/>
          <w:spacing w:val="9"/>
          <w:szCs w:val="24"/>
          <w14:textFill>
            <w14:solidFill>
              <w14:schemeClr w14:val="tx1"/>
            </w14:solidFill>
          </w14:textFill>
        </w:rPr>
        <w:t>醇沉药渣后理论可以节约燃煤量为</w:t>
      </w:r>
      <w:r>
        <w:rPr>
          <w:color w:val="000000" w:themeColor="text1"/>
          <w14:textFill>
            <w14:solidFill>
              <w14:schemeClr w14:val="tx1"/>
            </w14:solidFill>
          </w14:textFill>
        </w:rPr>
        <w:t>5561.12</w:t>
      </w:r>
      <w:r>
        <w:rPr>
          <w:rFonts w:hint="eastAsia"/>
          <w:color w:val="000000" w:themeColor="text1"/>
          <w14:textFill>
            <w14:solidFill>
              <w14:schemeClr w14:val="tx1"/>
            </w14:solidFill>
          </w14:textFill>
        </w:rPr>
        <w:t>吨/年，可见理论可以减少入炉物料汞元素量为1</w:t>
      </w:r>
      <w:r>
        <w:rPr>
          <w:color w:val="000000" w:themeColor="text1"/>
          <w14:textFill>
            <w14:solidFill>
              <w14:schemeClr w14:val="tx1"/>
            </w14:solidFill>
          </w14:textFill>
        </w:rPr>
        <w:t>.57kg</w:t>
      </w:r>
      <w:r>
        <w:rPr>
          <w:rFonts w:hint="eastAsia"/>
          <w:color w:val="000000" w:themeColor="text1"/>
          <w14:textFill>
            <w14:solidFill>
              <w14:schemeClr w14:val="tx1"/>
            </w14:solidFill>
          </w14:textFill>
        </w:rPr>
        <w:t>/年，变化量极少，忽略不计。根据电厂近三年燃煤机组废气监测结果，汞及其化合物均为未检出。</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（4）臭气分析</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醇沉药渣在敞开的环境中会散发异味，但本项目运输过程和上料过程全部为密闭空间，醇沉药渣与外部空间无接触，因此不会有异味气体排放。</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（5）其他污染物分析</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排污许可证申请与核发技术规范 </w:t>
      </w:r>
      <w:r>
        <w:rPr>
          <w:color w:val="000000" w:themeColor="text1"/>
          <w14:textFill>
            <w14:solidFill>
              <w14:schemeClr w14:val="tx1"/>
            </w14:solidFill>
          </w14:textFill>
        </w:rPr>
        <w:t>工业固体废物和危险废物治理》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HJ1033</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19</w:t>
      </w:r>
      <w:r>
        <w:rPr>
          <w:rFonts w:hint="eastAsia"/>
          <w:color w:val="000000" w:themeColor="text1"/>
          <w14:textFill>
            <w14:solidFill>
              <w14:schemeClr w14:val="tx1"/>
            </w14:solidFill>
          </w14:textFill>
        </w:rPr>
        <w:t>）：一般工业固体废物贮存、处置排污单位在贮存、处置环节的污染物类别为颗粒物、二氧化硫（其中仅煤矸石堆场需控制二氧化硫）。根据《污染源源强核算技术指南 火电》（HJ888-2018）及</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排污许可证申请与核发技术规范 锅炉</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HJ953</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18</w:t>
      </w:r>
      <w:r>
        <w:rPr>
          <w:rFonts w:hint="eastAsia"/>
          <w:color w:val="000000" w:themeColor="text1"/>
          <w14:textFill>
            <w14:solidFill>
              <w14:schemeClr w14:val="tx1"/>
            </w14:solidFill>
          </w14:textFill>
        </w:rPr>
        <w:t>），废气有组织排放主要污染因子有：烟尘（颗粒物）、二氧化硫、氮氧化物、汞及其化合物、烟气黑度。</w:t>
      </w:r>
    </w:p>
    <w:p>
      <w:pPr>
        <w:ind w:firstLine="556"/>
        <w:jc w:val="both"/>
        <w:rPr>
          <w:color w:val="000000" w:themeColor="text1"/>
          <w14:textFill>
            <w14:solidFill>
              <w14:schemeClr w14:val="tx1"/>
            </w14:solidFill>
          </w14:textFill>
        </w:rPr>
      </w:pPr>
      <w:r>
        <w:rPr>
          <w:rFonts w:hint="eastAsia" w:cs="宋体"/>
          <w:color w:val="000000" w:themeColor="text1"/>
          <w:spacing w:val="9"/>
          <w:szCs w:val="24"/>
          <w14:textFill>
            <w14:solidFill>
              <w14:schemeClr w14:val="tx1"/>
            </w14:solidFill>
          </w14:textFill>
        </w:rPr>
        <w:t>根据</w:t>
      </w:r>
      <w:r>
        <w:rPr>
          <w:rFonts w:hint="eastAsia"/>
          <w:color w:val="000000" w:themeColor="text1"/>
          <w14:textFill>
            <w14:solidFill>
              <w14:schemeClr w14:val="tx1"/>
            </w14:solidFill>
          </w14:textFill>
        </w:rPr>
        <w:t>报告3</w:t>
      </w:r>
      <w:r>
        <w:rPr>
          <w:color w:val="000000" w:themeColor="text1"/>
          <w14:textFill>
            <w14:solidFill>
              <w14:schemeClr w14:val="tx1"/>
            </w14:solidFill>
          </w14:textFill>
        </w:rPr>
        <w:t>.1.3.4</w:t>
      </w:r>
      <w:r>
        <w:rPr>
          <w:rFonts w:hint="eastAsia"/>
          <w:color w:val="000000" w:themeColor="text1"/>
          <w14:textFill>
            <w14:solidFill>
              <w14:schemeClr w14:val="tx1"/>
            </w14:solidFill>
          </w14:textFill>
        </w:rPr>
        <w:t>节分析，</w:t>
      </w:r>
      <w:bookmarkStart w:id="89" w:name="_Hlk106697449"/>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实施后理论可节约燃煤</w:t>
      </w:r>
      <w:r>
        <w:rPr>
          <w:color w:val="000000" w:themeColor="text1"/>
          <w14:textFill>
            <w14:solidFill>
              <w14:schemeClr w14:val="tx1"/>
            </w14:solidFill>
          </w14:textFill>
        </w:rPr>
        <w:t>5561.12吨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，且醇沉药渣中有害物质含量极低，低于龙桥电厂燃煤中的有害物质含量，因此项目实施后不会导致锅炉排放废气中污染物排放量的增加，反而一定程度削减二氧化硫的产生和排放量。</w:t>
      </w:r>
      <w:bookmarkEnd w:id="89"/>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由于本项目处置醇沉药渣的量较少（年最大处置量1.2万吨，年最大节约煤量</w:t>
      </w:r>
      <w:r>
        <w:rPr>
          <w:color w:val="000000" w:themeColor="text1"/>
          <w14:textFill>
            <w14:solidFill>
              <w14:schemeClr w14:val="tx1"/>
            </w14:solidFill>
          </w14:textFill>
        </w:rPr>
        <w:t>5561.12吨</w:t>
      </w:r>
      <w:r>
        <w:rPr>
          <w:rFonts w:hint="eastAsia"/>
          <w:color w:val="000000" w:themeColor="text1"/>
          <w14:textFill>
            <w14:solidFill>
              <w14:schemeClr w14:val="tx1"/>
            </w14:solidFill>
          </w14:textFill>
        </w:rPr>
        <w:t>），根据理论核算，可减少烟尘排放量0</w:t>
      </w:r>
      <w:r>
        <w:rPr>
          <w:color w:val="000000" w:themeColor="text1"/>
          <w14:textFill>
            <w14:solidFill>
              <w14:schemeClr w14:val="tx1"/>
            </w14:solidFill>
          </w14:textFill>
        </w:rPr>
        <w:t>.4t/a</w:t>
      </w:r>
      <w:r>
        <w:rPr>
          <w:rFonts w:hint="eastAsia"/>
          <w:color w:val="000000" w:themeColor="text1"/>
          <w14:textFill>
            <w14:solidFill>
              <w14:schemeClr w14:val="tx1"/>
            </w14:solidFill>
          </w14:textFill>
        </w:rPr>
        <w:t>、减少二氧化硫排放量0</w:t>
      </w:r>
      <w:r>
        <w:rPr>
          <w:color w:val="000000" w:themeColor="text1"/>
          <w14:textFill>
            <w14:solidFill>
              <w14:schemeClr w14:val="tx1"/>
            </w14:solidFill>
          </w14:textFill>
        </w:rPr>
        <w:t>.6t/a</w:t>
      </w:r>
      <w:r>
        <w:rPr>
          <w:rFonts w:hint="eastAsia"/>
          <w:color w:val="000000" w:themeColor="text1"/>
          <w14:textFill>
            <w14:solidFill>
              <w14:schemeClr w14:val="tx1"/>
            </w14:solidFill>
          </w14:textFill>
        </w:rPr>
        <w:t>，引起的废气污染物排放量减少的量极少，本次环评忽略不计。</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（6）燃煤机组废气排放量</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根据上述分析，掺烧醇沉药渣后，燃煤机组废气污染物排放量变化很小，根据《</w:t>
      </w:r>
      <w:r>
        <w:rPr>
          <w:color w:val="000000" w:themeColor="text1"/>
          <w14:textFill>
            <w14:solidFill>
              <w14:schemeClr w14:val="tx1"/>
            </w14:solidFill>
          </w14:textFill>
        </w:rPr>
        <w:t>重庆中机龙桥热电有限公司1×300MW机组脱硫、脱硝、除尘超低排放改造工程环境影响报告表</w:t>
      </w:r>
      <w:r>
        <w:rPr>
          <w:rFonts w:hint="eastAsia"/>
          <w:color w:val="000000" w:themeColor="text1"/>
          <w14:textFill>
            <w14:solidFill>
              <w14:schemeClr w14:val="tx1"/>
            </w14:solidFill>
          </w14:textFill>
        </w:rPr>
        <w:t>》核算结果，循环流化床锅炉废气排放强度和排放总量见下表。</w:t>
      </w:r>
      <w:r>
        <w:rPr>
          <w:rFonts w:hint="eastAsia" w:cs="宋体"/>
          <w:color w:val="000000" w:themeColor="text1"/>
          <w:spacing w:val="9"/>
          <w:szCs w:val="24"/>
          <w14:textFill>
            <w14:solidFill>
              <w14:schemeClr w14:val="tx1"/>
            </w14:solidFill>
          </w14:textFill>
        </w:rPr>
        <w:t>氯化氢排放量</w:t>
      </w:r>
      <w:r>
        <w:rPr>
          <w:rFonts w:cs="宋体"/>
          <w:color w:val="000000" w:themeColor="text1"/>
          <w:spacing w:val="9"/>
          <w:szCs w:val="24"/>
          <w14:textFill>
            <w14:solidFill>
              <w14:schemeClr w14:val="tx1"/>
            </w14:solidFill>
          </w14:textFill>
        </w:rPr>
        <w:t>6.45</w:t>
      </w:r>
      <w:r>
        <w:rPr>
          <w:rFonts w:cs="宋体"/>
          <w:color w:val="000000" w:themeColor="text1"/>
          <w:szCs w:val="24"/>
          <w14:textFill>
            <w14:solidFill>
              <w14:schemeClr w14:val="tx1"/>
            </w14:solidFill>
          </w14:textFill>
        </w:rPr>
        <w:t xml:space="preserve"> t/a</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循环流化床锅炉废气排放情况一览表</w:t>
      </w:r>
    </w:p>
    <w:tbl>
      <w:tblPr>
        <w:tblStyle w:val="43"/>
        <w:tblW w:w="87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786"/>
        <w:gridCol w:w="849"/>
        <w:gridCol w:w="894"/>
        <w:gridCol w:w="894"/>
        <w:gridCol w:w="894"/>
        <w:gridCol w:w="855"/>
        <w:gridCol w:w="1048"/>
        <w:gridCol w:w="888"/>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污染源</w:t>
            </w:r>
          </w:p>
        </w:tc>
        <w:tc>
          <w:tcPr>
            <w:tcW w:w="786"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排放方式</w:t>
            </w:r>
          </w:p>
        </w:tc>
        <w:tc>
          <w:tcPr>
            <w:tcW w:w="849"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污染物</w:t>
            </w:r>
          </w:p>
        </w:tc>
        <w:tc>
          <w:tcPr>
            <w:tcW w:w="894" w:type="dxa"/>
            <w:vAlign w:val="center"/>
          </w:tcPr>
          <w:p>
            <w:pPr>
              <w:spacing w:line="240" w:lineRule="auto"/>
              <w:ind w:firstLine="0" w:firstLineChars="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产生量（t</w:t>
            </w:r>
            <w:r>
              <w:rPr>
                <w:color w:val="000000" w:themeColor="text1"/>
                <w:sz w:val="22"/>
                <w14:textFill>
                  <w14:solidFill>
                    <w14:schemeClr w14:val="tx1"/>
                  </w14:solidFill>
                </w14:textFill>
              </w:rPr>
              <w:t>/a</w:t>
            </w:r>
            <w:r>
              <w:rPr>
                <w:rFonts w:hint="eastAsia"/>
                <w:color w:val="000000" w:themeColor="text1"/>
                <w:sz w:val="22"/>
                <w14:textFill>
                  <w14:solidFill>
                    <w14:schemeClr w14:val="tx1"/>
                  </w14:solidFill>
                </w14:textFill>
              </w:rPr>
              <w:t>）</w:t>
            </w:r>
          </w:p>
        </w:tc>
        <w:tc>
          <w:tcPr>
            <w:tcW w:w="894" w:type="dxa"/>
            <w:vAlign w:val="center"/>
          </w:tcPr>
          <w:p>
            <w:pPr>
              <w:spacing w:line="240" w:lineRule="auto"/>
              <w:ind w:firstLine="0" w:firstLineChars="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处理量（t</w:t>
            </w:r>
            <w:r>
              <w:rPr>
                <w:color w:val="000000" w:themeColor="text1"/>
                <w:sz w:val="22"/>
                <w14:textFill>
                  <w14:solidFill>
                    <w14:schemeClr w14:val="tx1"/>
                  </w14:solidFill>
                </w14:textFill>
              </w:rPr>
              <w:t>/a</w:t>
            </w:r>
            <w:r>
              <w:rPr>
                <w:rFonts w:hint="eastAsia"/>
                <w:color w:val="000000" w:themeColor="text1"/>
                <w:sz w:val="22"/>
                <w14:textFill>
                  <w14:solidFill>
                    <w14:schemeClr w14:val="tx1"/>
                  </w14:solidFill>
                </w14:textFill>
              </w:rPr>
              <w:t>）</w:t>
            </w:r>
          </w:p>
        </w:tc>
        <w:tc>
          <w:tcPr>
            <w:tcW w:w="894" w:type="dxa"/>
            <w:vAlign w:val="center"/>
          </w:tcPr>
          <w:p>
            <w:pPr>
              <w:spacing w:line="240" w:lineRule="auto"/>
              <w:ind w:firstLine="0" w:firstLineChars="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排放量（t</w:t>
            </w:r>
            <w:r>
              <w:rPr>
                <w:color w:val="000000" w:themeColor="text1"/>
                <w:sz w:val="22"/>
                <w14:textFill>
                  <w14:solidFill>
                    <w14:schemeClr w14:val="tx1"/>
                  </w14:solidFill>
                </w14:textFill>
              </w:rPr>
              <w:t>/a</w:t>
            </w:r>
            <w:r>
              <w:rPr>
                <w:rFonts w:hint="eastAsia"/>
                <w:color w:val="000000" w:themeColor="text1"/>
                <w:sz w:val="22"/>
                <w14:textFill>
                  <w14:solidFill>
                    <w14:schemeClr w14:val="tx1"/>
                  </w14:solidFill>
                </w14:textFill>
              </w:rPr>
              <w:t>）</w:t>
            </w:r>
          </w:p>
        </w:tc>
        <w:tc>
          <w:tcPr>
            <w:tcW w:w="855"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排放浓度（</w:t>
            </w:r>
            <w:r>
              <w:rPr>
                <w:color w:val="000000" w:themeColor="text1"/>
                <w:sz w:val="22"/>
                <w14:textFill>
                  <w14:solidFill>
                    <w14:schemeClr w14:val="tx1"/>
                  </w14:solidFill>
                </w14:textFill>
              </w:rPr>
              <w:t>mg /</w:t>
            </w:r>
            <w:r>
              <w:rPr>
                <w:rFonts w:hint="eastAsia"/>
                <w:color w:val="000000" w:themeColor="text1"/>
                <w:sz w:val="22"/>
                <w14:textFill>
                  <w14:solidFill>
                    <w14:schemeClr w14:val="tx1"/>
                  </w14:solidFill>
                </w14:textFill>
              </w:rPr>
              <w:t xml:space="preserve"> m</w:t>
            </w:r>
            <w:r>
              <w:rPr>
                <w:color w:val="000000" w:themeColor="text1"/>
                <w:sz w:val="22"/>
                <w:vertAlign w:val="superscript"/>
                <w14:textFill>
                  <w14:solidFill>
                    <w14:schemeClr w14:val="tx1"/>
                  </w14:solidFill>
                </w14:textFill>
              </w:rPr>
              <w:t>3</w:t>
            </w:r>
            <w:r>
              <w:rPr>
                <w:rFonts w:hint="eastAsia"/>
                <w:color w:val="000000" w:themeColor="text1"/>
                <w:sz w:val="22"/>
                <w14:textFill>
                  <w14:solidFill>
                    <w14:schemeClr w14:val="tx1"/>
                  </w14:solidFill>
                </w14:textFill>
              </w:rPr>
              <w:t>）</w:t>
            </w:r>
          </w:p>
        </w:tc>
        <w:tc>
          <w:tcPr>
            <w:tcW w:w="1048"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排放速率（k</w:t>
            </w:r>
            <w:r>
              <w:rPr>
                <w:color w:val="000000" w:themeColor="text1"/>
                <w:sz w:val="22"/>
                <w14:textFill>
                  <w14:solidFill>
                    <w14:schemeClr w14:val="tx1"/>
                  </w14:solidFill>
                </w14:textFill>
              </w:rPr>
              <w:t>g/h</w:t>
            </w:r>
            <w:r>
              <w:rPr>
                <w:rFonts w:hint="eastAsia"/>
                <w:color w:val="000000" w:themeColor="text1"/>
                <w:sz w:val="22"/>
                <w14:textFill>
                  <w14:solidFill>
                    <w14:schemeClr w14:val="tx1"/>
                  </w14:solidFill>
                </w14:textFill>
              </w:rPr>
              <w:t>）</w:t>
            </w:r>
          </w:p>
        </w:tc>
        <w:tc>
          <w:tcPr>
            <w:tcW w:w="888"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风量（万m</w:t>
            </w:r>
            <w:r>
              <w:rPr>
                <w:color w:val="000000" w:themeColor="text1"/>
                <w:sz w:val="22"/>
                <w:vertAlign w:val="superscript"/>
                <w14:textFill>
                  <w14:solidFill>
                    <w14:schemeClr w14:val="tx1"/>
                  </w14:solidFill>
                </w14:textFill>
              </w:rPr>
              <w:t>3</w:t>
            </w:r>
            <w:r>
              <w:rPr>
                <w:color w:val="000000" w:themeColor="text1"/>
                <w:sz w:val="22"/>
                <w14:textFill>
                  <w14:solidFill>
                    <w14:schemeClr w14:val="tx1"/>
                  </w14:solidFill>
                </w14:textFill>
              </w:rPr>
              <w:t>/h</w:t>
            </w:r>
            <w:r>
              <w:rPr>
                <w:rFonts w:hint="eastAsia"/>
                <w:color w:val="000000" w:themeColor="text1"/>
                <w:sz w:val="22"/>
                <w14:textFill>
                  <w14:solidFill>
                    <w14:schemeClr w14:val="tx1"/>
                  </w14:solidFill>
                </w14:textFill>
              </w:rPr>
              <w:t>）</w:t>
            </w:r>
          </w:p>
        </w:tc>
        <w:tc>
          <w:tcPr>
            <w:tcW w:w="883"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排气筒高度（m）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restart"/>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循环流化床锅炉</w:t>
            </w:r>
          </w:p>
        </w:tc>
        <w:tc>
          <w:tcPr>
            <w:tcW w:w="786" w:type="dxa"/>
            <w:vMerge w:val="restart"/>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有组织</w:t>
            </w:r>
          </w:p>
        </w:tc>
        <w:tc>
          <w:tcPr>
            <w:tcW w:w="849"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颗粒物</w:t>
            </w:r>
          </w:p>
        </w:tc>
        <w:tc>
          <w:tcPr>
            <w:tcW w:w="894"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w:t>
            </w:r>
            <w:r>
              <w:rPr>
                <w:color w:val="000000" w:themeColor="text1"/>
                <w:sz w:val="22"/>
                <w14:textFill>
                  <w14:solidFill>
                    <w14:schemeClr w14:val="tx1"/>
                  </w14:solidFill>
                </w14:textFill>
              </w:rPr>
              <w:t>93184</w:t>
            </w:r>
          </w:p>
        </w:tc>
        <w:tc>
          <w:tcPr>
            <w:tcW w:w="894"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w:t>
            </w:r>
            <w:r>
              <w:rPr>
                <w:color w:val="000000" w:themeColor="text1"/>
                <w:sz w:val="22"/>
                <w14:textFill>
                  <w14:solidFill>
                    <w14:schemeClr w14:val="tx1"/>
                  </w14:solidFill>
                </w14:textFill>
              </w:rPr>
              <w:t>93105</w:t>
            </w:r>
          </w:p>
        </w:tc>
        <w:tc>
          <w:tcPr>
            <w:tcW w:w="894"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7</w:t>
            </w:r>
            <w:r>
              <w:rPr>
                <w:color w:val="000000" w:themeColor="text1"/>
                <w:sz w:val="22"/>
                <w14:textFill>
                  <w14:solidFill>
                    <w14:schemeClr w14:val="tx1"/>
                  </w14:solidFill>
                </w14:textFill>
              </w:rPr>
              <w:t>9</w:t>
            </w:r>
          </w:p>
        </w:tc>
        <w:tc>
          <w:tcPr>
            <w:tcW w:w="855"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9</w:t>
            </w:r>
          </w:p>
        </w:tc>
        <w:tc>
          <w:tcPr>
            <w:tcW w:w="1048"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w:t>
            </w:r>
            <w:r>
              <w:rPr>
                <w:color w:val="000000" w:themeColor="text1"/>
                <w:sz w:val="22"/>
                <w14:textFill>
                  <w14:solidFill>
                    <w14:schemeClr w14:val="tx1"/>
                  </w14:solidFill>
                </w14:textFill>
              </w:rPr>
              <w:t>0.5</w:t>
            </w:r>
          </w:p>
        </w:tc>
        <w:tc>
          <w:tcPr>
            <w:tcW w:w="888" w:type="dxa"/>
            <w:vMerge w:val="restart"/>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w:t>
            </w:r>
            <w:r>
              <w:rPr>
                <w:color w:val="000000" w:themeColor="text1"/>
                <w:sz w:val="22"/>
                <w14:textFill>
                  <w14:solidFill>
                    <w14:schemeClr w14:val="tx1"/>
                  </w14:solidFill>
                </w14:textFill>
              </w:rPr>
              <w:t>17</w:t>
            </w:r>
          </w:p>
        </w:tc>
        <w:tc>
          <w:tcPr>
            <w:tcW w:w="883" w:type="dxa"/>
            <w:vMerge w:val="restart"/>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w:t>
            </w:r>
            <w:r>
              <w:rPr>
                <w:color w:val="000000" w:themeColor="text1"/>
                <w:sz w:val="22"/>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spacing w:line="240" w:lineRule="auto"/>
              <w:ind w:firstLine="0" w:firstLineChars="0"/>
              <w:jc w:val="center"/>
              <w:rPr>
                <w:color w:val="000000" w:themeColor="text1"/>
                <w:sz w:val="22"/>
                <w14:textFill>
                  <w14:solidFill>
                    <w14:schemeClr w14:val="tx1"/>
                  </w14:solidFill>
                </w14:textFill>
              </w:rPr>
            </w:pPr>
          </w:p>
        </w:tc>
        <w:tc>
          <w:tcPr>
            <w:tcW w:w="786" w:type="dxa"/>
            <w:vMerge w:val="continue"/>
            <w:vAlign w:val="center"/>
          </w:tcPr>
          <w:p>
            <w:pPr>
              <w:spacing w:line="240" w:lineRule="auto"/>
              <w:ind w:firstLine="0" w:firstLineChars="0"/>
              <w:jc w:val="center"/>
              <w:rPr>
                <w:color w:val="000000" w:themeColor="text1"/>
                <w:sz w:val="22"/>
                <w14:textFill>
                  <w14:solidFill>
                    <w14:schemeClr w14:val="tx1"/>
                  </w14:solidFill>
                </w14:textFill>
              </w:rPr>
            </w:pPr>
          </w:p>
        </w:tc>
        <w:tc>
          <w:tcPr>
            <w:tcW w:w="849"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S</w:t>
            </w:r>
            <w:r>
              <w:rPr>
                <w:color w:val="000000" w:themeColor="text1"/>
                <w:sz w:val="22"/>
                <w14:textFill>
                  <w14:solidFill>
                    <w14:schemeClr w14:val="tx1"/>
                  </w14:solidFill>
                </w14:textFill>
              </w:rPr>
              <w:t>O</w:t>
            </w:r>
            <w:r>
              <w:rPr>
                <w:color w:val="000000" w:themeColor="text1"/>
                <w:sz w:val="22"/>
                <w:vertAlign w:val="subscript"/>
                <w14:textFill>
                  <w14:solidFill>
                    <w14:schemeClr w14:val="tx1"/>
                  </w14:solidFill>
                </w14:textFill>
              </w:rPr>
              <w:t>2</w:t>
            </w:r>
          </w:p>
        </w:tc>
        <w:tc>
          <w:tcPr>
            <w:tcW w:w="894"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7</w:t>
            </w:r>
            <w:r>
              <w:rPr>
                <w:color w:val="000000" w:themeColor="text1"/>
                <w:sz w:val="22"/>
                <w14:textFill>
                  <w14:solidFill>
                    <w14:schemeClr w14:val="tx1"/>
                  </w14:solidFill>
                </w14:textFill>
              </w:rPr>
              <w:t>8975</w:t>
            </w:r>
          </w:p>
        </w:tc>
        <w:tc>
          <w:tcPr>
            <w:tcW w:w="894"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7</w:t>
            </w:r>
            <w:r>
              <w:rPr>
                <w:color w:val="000000" w:themeColor="text1"/>
                <w:sz w:val="22"/>
                <w14:textFill>
                  <w14:solidFill>
                    <w14:schemeClr w14:val="tx1"/>
                  </w14:solidFill>
                </w14:textFill>
              </w:rPr>
              <w:t>8722</w:t>
            </w:r>
          </w:p>
        </w:tc>
        <w:tc>
          <w:tcPr>
            <w:tcW w:w="894"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w:t>
            </w:r>
            <w:r>
              <w:rPr>
                <w:color w:val="000000" w:themeColor="text1"/>
                <w:sz w:val="22"/>
                <w14:textFill>
                  <w14:solidFill>
                    <w14:schemeClr w14:val="tx1"/>
                  </w14:solidFill>
                </w14:textFill>
              </w:rPr>
              <w:t>52.7</w:t>
            </w:r>
          </w:p>
        </w:tc>
        <w:tc>
          <w:tcPr>
            <w:tcW w:w="855"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w:t>
            </w:r>
            <w:r>
              <w:rPr>
                <w:color w:val="000000" w:themeColor="text1"/>
                <w:sz w:val="22"/>
                <w14:textFill>
                  <w14:solidFill>
                    <w14:schemeClr w14:val="tx1"/>
                  </w14:solidFill>
                </w14:textFill>
              </w:rPr>
              <w:t>8.8</w:t>
            </w:r>
          </w:p>
        </w:tc>
        <w:tc>
          <w:tcPr>
            <w:tcW w:w="1048"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w:t>
            </w:r>
            <w:r>
              <w:rPr>
                <w:color w:val="000000" w:themeColor="text1"/>
                <w:sz w:val="22"/>
                <w14:textFill>
                  <w14:solidFill>
                    <w14:schemeClr w14:val="tx1"/>
                  </w14:solidFill>
                </w14:textFill>
              </w:rPr>
              <w:t>3.7</w:t>
            </w:r>
          </w:p>
        </w:tc>
        <w:tc>
          <w:tcPr>
            <w:tcW w:w="888" w:type="dxa"/>
            <w:vMerge w:val="continue"/>
            <w:vAlign w:val="center"/>
          </w:tcPr>
          <w:p>
            <w:pPr>
              <w:spacing w:line="240" w:lineRule="auto"/>
              <w:ind w:firstLine="0" w:firstLineChars="0"/>
              <w:rPr>
                <w:color w:val="000000" w:themeColor="text1"/>
                <w:sz w:val="22"/>
                <w14:textFill>
                  <w14:solidFill>
                    <w14:schemeClr w14:val="tx1"/>
                  </w14:solidFill>
                </w14:textFill>
              </w:rPr>
            </w:pPr>
          </w:p>
        </w:tc>
        <w:tc>
          <w:tcPr>
            <w:tcW w:w="883" w:type="dxa"/>
            <w:vMerge w:val="continue"/>
            <w:vAlign w:val="center"/>
          </w:tcPr>
          <w:p>
            <w:pPr>
              <w:spacing w:line="240" w:lineRule="auto"/>
              <w:ind w:firstLine="0" w:firstLineChars="0"/>
              <w:rPr>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spacing w:line="240" w:lineRule="auto"/>
              <w:ind w:firstLine="0" w:firstLineChars="0"/>
              <w:jc w:val="center"/>
              <w:rPr>
                <w:color w:val="000000" w:themeColor="text1"/>
                <w:sz w:val="22"/>
                <w14:textFill>
                  <w14:solidFill>
                    <w14:schemeClr w14:val="tx1"/>
                  </w14:solidFill>
                </w14:textFill>
              </w:rPr>
            </w:pPr>
          </w:p>
        </w:tc>
        <w:tc>
          <w:tcPr>
            <w:tcW w:w="786" w:type="dxa"/>
            <w:vMerge w:val="continue"/>
            <w:vAlign w:val="center"/>
          </w:tcPr>
          <w:p>
            <w:pPr>
              <w:spacing w:line="240" w:lineRule="auto"/>
              <w:ind w:firstLine="0" w:firstLineChars="0"/>
              <w:jc w:val="center"/>
              <w:rPr>
                <w:color w:val="000000" w:themeColor="text1"/>
                <w:sz w:val="22"/>
                <w14:textFill>
                  <w14:solidFill>
                    <w14:schemeClr w14:val="tx1"/>
                  </w14:solidFill>
                </w14:textFill>
              </w:rPr>
            </w:pPr>
          </w:p>
        </w:tc>
        <w:tc>
          <w:tcPr>
            <w:tcW w:w="849"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N</w:t>
            </w:r>
            <w:r>
              <w:rPr>
                <w:color w:val="000000" w:themeColor="text1"/>
                <w:sz w:val="22"/>
                <w14:textFill>
                  <w14:solidFill>
                    <w14:schemeClr w14:val="tx1"/>
                  </w14:solidFill>
                </w14:textFill>
              </w:rPr>
              <w:t>Ox</w:t>
            </w:r>
          </w:p>
        </w:tc>
        <w:tc>
          <w:tcPr>
            <w:tcW w:w="894"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w:t>
            </w:r>
            <w:r>
              <w:rPr>
                <w:color w:val="000000" w:themeColor="text1"/>
                <w:sz w:val="22"/>
                <w14:textFill>
                  <w14:solidFill>
                    <w14:schemeClr w14:val="tx1"/>
                  </w14:solidFill>
                </w14:textFill>
              </w:rPr>
              <w:t>652</w:t>
            </w:r>
          </w:p>
        </w:tc>
        <w:tc>
          <w:tcPr>
            <w:tcW w:w="894"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w:t>
            </w:r>
            <w:r>
              <w:rPr>
                <w:color w:val="000000" w:themeColor="text1"/>
                <w:sz w:val="22"/>
                <w14:textFill>
                  <w14:solidFill>
                    <w14:schemeClr w14:val="tx1"/>
                  </w14:solidFill>
                </w14:textFill>
              </w:rPr>
              <w:t>239</w:t>
            </w:r>
          </w:p>
        </w:tc>
        <w:tc>
          <w:tcPr>
            <w:tcW w:w="894"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w:t>
            </w:r>
            <w:r>
              <w:rPr>
                <w:color w:val="000000" w:themeColor="text1"/>
                <w:sz w:val="22"/>
                <w14:textFill>
                  <w14:solidFill>
                    <w14:schemeClr w14:val="tx1"/>
                  </w14:solidFill>
                </w14:textFill>
              </w:rPr>
              <w:t>13</w:t>
            </w:r>
          </w:p>
        </w:tc>
        <w:tc>
          <w:tcPr>
            <w:tcW w:w="855"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w:t>
            </w:r>
            <w:r>
              <w:rPr>
                <w:color w:val="000000" w:themeColor="text1"/>
                <w:sz w:val="22"/>
                <w14:textFill>
                  <w14:solidFill>
                    <w14:schemeClr w14:val="tx1"/>
                  </w14:solidFill>
                </w14:textFill>
              </w:rPr>
              <w:t>7.1</w:t>
            </w:r>
          </w:p>
        </w:tc>
        <w:tc>
          <w:tcPr>
            <w:tcW w:w="1048"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w:t>
            </w:r>
            <w:r>
              <w:rPr>
                <w:color w:val="000000" w:themeColor="text1"/>
                <w:sz w:val="22"/>
                <w14:textFill>
                  <w14:solidFill>
                    <w14:schemeClr w14:val="tx1"/>
                  </w14:solidFill>
                </w14:textFill>
              </w:rPr>
              <w:t>5.1</w:t>
            </w:r>
          </w:p>
        </w:tc>
        <w:tc>
          <w:tcPr>
            <w:tcW w:w="888" w:type="dxa"/>
            <w:vMerge w:val="continue"/>
            <w:vAlign w:val="center"/>
          </w:tcPr>
          <w:p>
            <w:pPr>
              <w:spacing w:line="240" w:lineRule="auto"/>
              <w:ind w:firstLine="0" w:firstLineChars="0"/>
              <w:rPr>
                <w:color w:val="000000" w:themeColor="text1"/>
                <w:sz w:val="22"/>
                <w14:textFill>
                  <w14:solidFill>
                    <w14:schemeClr w14:val="tx1"/>
                  </w14:solidFill>
                </w14:textFill>
              </w:rPr>
            </w:pPr>
          </w:p>
        </w:tc>
        <w:tc>
          <w:tcPr>
            <w:tcW w:w="883" w:type="dxa"/>
            <w:vMerge w:val="continue"/>
            <w:vAlign w:val="center"/>
          </w:tcPr>
          <w:p>
            <w:pPr>
              <w:spacing w:line="240" w:lineRule="auto"/>
              <w:ind w:firstLine="0" w:firstLineChars="0"/>
              <w:rPr>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spacing w:line="240" w:lineRule="auto"/>
              <w:ind w:firstLine="0" w:firstLineChars="0"/>
              <w:jc w:val="center"/>
              <w:rPr>
                <w:color w:val="000000" w:themeColor="text1"/>
                <w:sz w:val="22"/>
                <w14:textFill>
                  <w14:solidFill>
                    <w14:schemeClr w14:val="tx1"/>
                  </w14:solidFill>
                </w14:textFill>
              </w:rPr>
            </w:pPr>
          </w:p>
        </w:tc>
        <w:tc>
          <w:tcPr>
            <w:tcW w:w="786" w:type="dxa"/>
            <w:vMerge w:val="continue"/>
            <w:vAlign w:val="center"/>
          </w:tcPr>
          <w:p>
            <w:pPr>
              <w:spacing w:line="240" w:lineRule="auto"/>
              <w:ind w:firstLine="0" w:firstLineChars="0"/>
              <w:jc w:val="center"/>
              <w:rPr>
                <w:color w:val="000000" w:themeColor="text1"/>
                <w:sz w:val="22"/>
                <w14:textFill>
                  <w14:solidFill>
                    <w14:schemeClr w14:val="tx1"/>
                  </w14:solidFill>
                </w14:textFill>
              </w:rPr>
            </w:pPr>
          </w:p>
        </w:tc>
        <w:tc>
          <w:tcPr>
            <w:tcW w:w="849"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*N</w:t>
            </w:r>
            <w:r>
              <w:rPr>
                <w:color w:val="000000" w:themeColor="text1"/>
                <w:sz w:val="22"/>
                <w14:textFill>
                  <w14:solidFill>
                    <w14:schemeClr w14:val="tx1"/>
                  </w14:solidFill>
                </w14:textFill>
              </w:rPr>
              <w:t>H</w:t>
            </w:r>
            <w:r>
              <w:rPr>
                <w:color w:val="000000" w:themeColor="text1"/>
                <w:sz w:val="22"/>
                <w:vertAlign w:val="subscript"/>
                <w14:textFill>
                  <w14:solidFill>
                    <w14:schemeClr w14:val="tx1"/>
                  </w14:solidFill>
                </w14:textFill>
              </w:rPr>
              <w:t>3</w:t>
            </w:r>
          </w:p>
        </w:tc>
        <w:tc>
          <w:tcPr>
            <w:tcW w:w="894"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w:t>
            </w:r>
            <w:r>
              <w:rPr>
                <w:color w:val="000000" w:themeColor="text1"/>
                <w:sz w:val="22"/>
                <w14:textFill>
                  <w14:solidFill>
                    <w14:schemeClr w14:val="tx1"/>
                  </w14:solidFill>
                </w14:textFill>
              </w:rPr>
              <w:t>0</w:t>
            </w:r>
          </w:p>
        </w:tc>
        <w:tc>
          <w:tcPr>
            <w:tcW w:w="894"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w:t>
            </w:r>
            <w:r>
              <w:rPr>
                <w:color w:val="000000" w:themeColor="text1"/>
                <w:sz w:val="22"/>
                <w14:textFill>
                  <w14:solidFill>
                    <w14:schemeClr w14:val="tx1"/>
                  </w14:solidFill>
                </w14:textFill>
              </w:rPr>
              <w:t>8</w:t>
            </w:r>
          </w:p>
        </w:tc>
        <w:tc>
          <w:tcPr>
            <w:tcW w:w="894"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w:t>
            </w:r>
          </w:p>
        </w:tc>
        <w:tc>
          <w:tcPr>
            <w:tcW w:w="855"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w:t>
            </w:r>
            <w:r>
              <w:rPr>
                <w:color w:val="000000" w:themeColor="text1"/>
                <w:sz w:val="22"/>
                <w14:textFill>
                  <w14:solidFill>
                    <w14:schemeClr w14:val="tx1"/>
                  </w14:solidFill>
                </w14:textFill>
              </w:rPr>
              <w:t>.25</w:t>
            </w:r>
          </w:p>
        </w:tc>
        <w:tc>
          <w:tcPr>
            <w:tcW w:w="1048"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w:t>
            </w:r>
            <w:r>
              <w:rPr>
                <w:color w:val="000000" w:themeColor="text1"/>
                <w:sz w:val="22"/>
                <w14:textFill>
                  <w14:solidFill>
                    <w14:schemeClr w14:val="tx1"/>
                  </w14:solidFill>
                </w14:textFill>
              </w:rPr>
              <w:t>.27</w:t>
            </w:r>
          </w:p>
        </w:tc>
        <w:tc>
          <w:tcPr>
            <w:tcW w:w="888" w:type="dxa"/>
            <w:vMerge w:val="continue"/>
            <w:vAlign w:val="center"/>
          </w:tcPr>
          <w:p>
            <w:pPr>
              <w:spacing w:line="240" w:lineRule="auto"/>
              <w:ind w:firstLine="0" w:firstLineChars="0"/>
              <w:rPr>
                <w:color w:val="000000" w:themeColor="text1"/>
                <w:sz w:val="22"/>
                <w14:textFill>
                  <w14:solidFill>
                    <w14:schemeClr w14:val="tx1"/>
                  </w14:solidFill>
                </w14:textFill>
              </w:rPr>
            </w:pPr>
          </w:p>
        </w:tc>
        <w:tc>
          <w:tcPr>
            <w:tcW w:w="883" w:type="dxa"/>
            <w:vMerge w:val="continue"/>
            <w:vAlign w:val="center"/>
          </w:tcPr>
          <w:p>
            <w:pPr>
              <w:spacing w:line="240" w:lineRule="auto"/>
              <w:ind w:firstLine="0" w:firstLineChars="0"/>
              <w:rPr>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spacing w:line="240" w:lineRule="auto"/>
              <w:ind w:firstLine="0" w:firstLineChars="0"/>
              <w:jc w:val="center"/>
              <w:rPr>
                <w:color w:val="000000" w:themeColor="text1"/>
                <w:sz w:val="22"/>
                <w14:textFill>
                  <w14:solidFill>
                    <w14:schemeClr w14:val="tx1"/>
                  </w14:solidFill>
                </w14:textFill>
              </w:rPr>
            </w:pPr>
          </w:p>
        </w:tc>
        <w:tc>
          <w:tcPr>
            <w:tcW w:w="786" w:type="dxa"/>
            <w:vMerge w:val="continue"/>
            <w:vAlign w:val="center"/>
          </w:tcPr>
          <w:p>
            <w:pPr>
              <w:spacing w:line="240" w:lineRule="auto"/>
              <w:ind w:firstLine="0" w:firstLineChars="0"/>
              <w:jc w:val="center"/>
              <w:rPr>
                <w:color w:val="000000" w:themeColor="text1"/>
                <w:sz w:val="22"/>
                <w14:textFill>
                  <w14:solidFill>
                    <w14:schemeClr w14:val="tx1"/>
                  </w14:solidFill>
                </w14:textFill>
              </w:rPr>
            </w:pPr>
          </w:p>
        </w:tc>
        <w:tc>
          <w:tcPr>
            <w:tcW w:w="849"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H</w:t>
            </w:r>
            <w:r>
              <w:rPr>
                <w:color w:val="000000" w:themeColor="text1"/>
                <w:sz w:val="22"/>
                <w14:textFill>
                  <w14:solidFill>
                    <w14:schemeClr w14:val="tx1"/>
                  </w14:solidFill>
                </w14:textFill>
              </w:rPr>
              <w:t>Cl</w:t>
            </w:r>
          </w:p>
        </w:tc>
        <w:tc>
          <w:tcPr>
            <w:tcW w:w="894"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w:t>
            </w:r>
            <w:r>
              <w:rPr>
                <w:color w:val="000000" w:themeColor="text1"/>
                <w:sz w:val="22"/>
                <w14:textFill>
                  <w14:solidFill>
                    <w14:schemeClr w14:val="tx1"/>
                  </w14:solidFill>
                </w14:textFill>
              </w:rPr>
              <w:t>14.9</w:t>
            </w:r>
          </w:p>
        </w:tc>
        <w:tc>
          <w:tcPr>
            <w:tcW w:w="894"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w:t>
            </w:r>
            <w:r>
              <w:rPr>
                <w:color w:val="000000" w:themeColor="text1"/>
                <w:sz w:val="22"/>
                <w14:textFill>
                  <w14:solidFill>
                    <w14:schemeClr w14:val="tx1"/>
                  </w14:solidFill>
                </w14:textFill>
              </w:rPr>
              <w:t>08.46</w:t>
            </w:r>
          </w:p>
        </w:tc>
        <w:tc>
          <w:tcPr>
            <w:tcW w:w="894"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6.45</w:t>
            </w:r>
          </w:p>
        </w:tc>
        <w:tc>
          <w:tcPr>
            <w:tcW w:w="855" w:type="dxa"/>
            <w:vAlign w:val="center"/>
          </w:tcPr>
          <w:p>
            <w:pPr>
              <w:spacing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1.23</w:t>
            </w:r>
          </w:p>
        </w:tc>
        <w:tc>
          <w:tcPr>
            <w:tcW w:w="1048"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w:t>
            </w:r>
            <w:r>
              <w:rPr>
                <w:color w:val="000000" w:themeColor="text1"/>
                <w:sz w:val="22"/>
                <w14:textFill>
                  <w14:solidFill>
                    <w14:schemeClr w14:val="tx1"/>
                  </w14:solidFill>
                </w14:textFill>
              </w:rPr>
              <w:t>.02~1.44</w:t>
            </w:r>
          </w:p>
        </w:tc>
        <w:tc>
          <w:tcPr>
            <w:tcW w:w="888" w:type="dxa"/>
            <w:vMerge w:val="continue"/>
            <w:vAlign w:val="center"/>
          </w:tcPr>
          <w:p>
            <w:pPr>
              <w:spacing w:line="240" w:lineRule="auto"/>
              <w:ind w:firstLine="0" w:firstLineChars="0"/>
              <w:rPr>
                <w:color w:val="000000" w:themeColor="text1"/>
                <w:sz w:val="22"/>
                <w14:textFill>
                  <w14:solidFill>
                    <w14:schemeClr w14:val="tx1"/>
                  </w14:solidFill>
                </w14:textFill>
              </w:rPr>
            </w:pPr>
          </w:p>
        </w:tc>
        <w:tc>
          <w:tcPr>
            <w:tcW w:w="883" w:type="dxa"/>
            <w:vMerge w:val="continue"/>
            <w:vAlign w:val="center"/>
          </w:tcPr>
          <w:p>
            <w:pPr>
              <w:spacing w:line="240" w:lineRule="auto"/>
              <w:ind w:firstLine="0" w:firstLineChars="0"/>
              <w:rPr>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spacing w:line="240" w:lineRule="auto"/>
              <w:ind w:firstLine="0" w:firstLineChars="0"/>
              <w:jc w:val="center"/>
              <w:rPr>
                <w:color w:val="000000" w:themeColor="text1"/>
                <w:sz w:val="22"/>
                <w14:textFill>
                  <w14:solidFill>
                    <w14:schemeClr w14:val="tx1"/>
                  </w14:solidFill>
                </w14:textFill>
              </w:rPr>
            </w:pPr>
          </w:p>
        </w:tc>
        <w:tc>
          <w:tcPr>
            <w:tcW w:w="786" w:type="dxa"/>
            <w:vMerge w:val="continue"/>
            <w:vAlign w:val="center"/>
          </w:tcPr>
          <w:p>
            <w:pPr>
              <w:spacing w:line="240" w:lineRule="auto"/>
              <w:ind w:firstLine="0" w:firstLineChars="0"/>
              <w:jc w:val="center"/>
              <w:rPr>
                <w:color w:val="000000" w:themeColor="text1"/>
                <w:sz w:val="22"/>
                <w14:textFill>
                  <w14:solidFill>
                    <w14:schemeClr w14:val="tx1"/>
                  </w14:solidFill>
                </w14:textFill>
              </w:rPr>
            </w:pPr>
          </w:p>
        </w:tc>
        <w:tc>
          <w:tcPr>
            <w:tcW w:w="849"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二噁英</w:t>
            </w:r>
          </w:p>
        </w:tc>
        <w:tc>
          <w:tcPr>
            <w:tcW w:w="894"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w:t>
            </w:r>
          </w:p>
        </w:tc>
        <w:tc>
          <w:tcPr>
            <w:tcW w:w="894"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w:t>
            </w:r>
          </w:p>
        </w:tc>
        <w:tc>
          <w:tcPr>
            <w:tcW w:w="894"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w:t>
            </w:r>
          </w:p>
        </w:tc>
        <w:tc>
          <w:tcPr>
            <w:tcW w:w="855"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w:t>
            </w:r>
            <w:r>
              <w:rPr>
                <w:color w:val="000000" w:themeColor="text1"/>
                <w:sz w:val="22"/>
                <w14:textFill>
                  <w14:solidFill>
                    <w14:schemeClr w14:val="tx1"/>
                  </w14:solidFill>
                </w14:textFill>
              </w:rPr>
              <w:t>0.02ng TEQ /</w:t>
            </w:r>
            <w:r>
              <w:rPr>
                <w:rFonts w:hint="eastAsia"/>
                <w:color w:val="000000" w:themeColor="text1"/>
                <w:sz w:val="22"/>
                <w14:textFill>
                  <w14:solidFill>
                    <w14:schemeClr w14:val="tx1"/>
                  </w14:solidFill>
                </w14:textFill>
              </w:rPr>
              <w:t>m</w:t>
            </w:r>
            <w:r>
              <w:rPr>
                <w:color w:val="000000" w:themeColor="text1"/>
                <w:sz w:val="22"/>
                <w:vertAlign w:val="superscript"/>
                <w14:textFill>
                  <w14:solidFill>
                    <w14:schemeClr w14:val="tx1"/>
                  </w14:solidFill>
                </w14:textFill>
              </w:rPr>
              <w:t>3</w:t>
            </w:r>
          </w:p>
        </w:tc>
        <w:tc>
          <w:tcPr>
            <w:tcW w:w="1048" w:type="dxa"/>
            <w:vAlign w:val="center"/>
          </w:tcPr>
          <w:p>
            <w:pPr>
              <w:spacing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w:t>
            </w:r>
          </w:p>
        </w:tc>
        <w:tc>
          <w:tcPr>
            <w:tcW w:w="888" w:type="dxa"/>
            <w:vMerge w:val="continue"/>
            <w:vAlign w:val="center"/>
          </w:tcPr>
          <w:p>
            <w:pPr>
              <w:spacing w:line="240" w:lineRule="auto"/>
              <w:ind w:firstLine="0" w:firstLineChars="0"/>
              <w:rPr>
                <w:color w:val="000000" w:themeColor="text1"/>
                <w:sz w:val="22"/>
                <w14:textFill>
                  <w14:solidFill>
                    <w14:schemeClr w14:val="tx1"/>
                  </w14:solidFill>
                </w14:textFill>
              </w:rPr>
            </w:pPr>
          </w:p>
        </w:tc>
        <w:tc>
          <w:tcPr>
            <w:tcW w:w="883" w:type="dxa"/>
            <w:vMerge w:val="continue"/>
            <w:vAlign w:val="center"/>
          </w:tcPr>
          <w:p>
            <w:pPr>
              <w:spacing w:line="240" w:lineRule="auto"/>
              <w:ind w:firstLine="0" w:firstLineChars="0"/>
              <w:rPr>
                <w:color w:val="000000" w:themeColor="text1"/>
                <w:sz w:val="22"/>
                <w14:textFill>
                  <w14:solidFill>
                    <w14:schemeClr w14:val="tx1"/>
                  </w14:solidFill>
                </w14:textFill>
              </w:rPr>
            </w:pPr>
          </w:p>
        </w:tc>
      </w:tr>
    </w:tbl>
    <w:p>
      <w:pPr>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*备注：“氨”产生环节为尾气</w:t>
      </w:r>
      <w:r>
        <w:rPr>
          <w:rFonts w:hint="eastAsia"/>
          <w:color w:val="000000" w:themeColor="text1"/>
          <w:sz w:val="22"/>
          <w:lang w:eastAsia="zh-CN"/>
          <w14:textFill>
            <w14:solidFill>
              <w14:schemeClr w14:val="tx1"/>
            </w14:solidFill>
          </w14:textFill>
        </w:rPr>
        <w:t>脱硝系统</w:t>
      </w:r>
      <w:r>
        <w:rPr>
          <w:rFonts w:hint="eastAsia"/>
          <w:color w:val="000000" w:themeColor="text1"/>
          <w:sz w:val="22"/>
          <w14:textFill>
            <w14:solidFill>
              <w14:schemeClr w14:val="tx1"/>
            </w14:solidFill>
          </w14:textFill>
        </w:rPr>
        <w:t>产生。</w:t>
      </w:r>
    </w:p>
    <w:p>
      <w:pPr>
        <w:pStyle w:val="5"/>
      </w:pPr>
      <w:r>
        <w:rPr>
          <w:rFonts w:hint="eastAsia"/>
        </w:rPr>
        <w:t>废水</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本项目醇沉药渣上料系统为序批次上料，</w:t>
      </w:r>
      <w:r>
        <w:rPr>
          <w:rFonts w:hint="eastAsia"/>
          <w:color w:val="000000" w:themeColor="text1"/>
          <w:kern w:val="0"/>
          <w14:textFill>
            <w14:solidFill>
              <w14:schemeClr w14:val="tx1"/>
            </w14:solidFill>
          </w14:textFill>
        </w:rPr>
        <w:t>由于醇沉药渣主要成分为有机物，且粘性大，因此为了避免管道、阀门堵塞，</w:t>
      </w:r>
      <w:bookmarkStart w:id="90" w:name="_Hlk106555905"/>
      <w:r>
        <w:rPr>
          <w:rFonts w:hint="eastAsia"/>
          <w:color w:val="000000" w:themeColor="text1"/>
          <w:kern w:val="0"/>
          <w14:textFill>
            <w14:solidFill>
              <w14:schemeClr w14:val="tx1"/>
            </w14:solidFill>
          </w14:textFill>
        </w:rPr>
        <w:t>每一槽车上料完毕后均需使用高温（9</w:t>
      </w:r>
      <w:r>
        <w:rPr>
          <w:color w:val="000000" w:themeColor="text1"/>
          <w:kern w:val="0"/>
          <w14:textFill>
            <w14:solidFill>
              <w14:schemeClr w14:val="tx1"/>
            </w14:solidFill>
          </w14:textFill>
        </w:rPr>
        <w:t>0~100℃</w:t>
      </w:r>
      <w:r>
        <w:rPr>
          <w:rFonts w:hint="eastAsia"/>
          <w:color w:val="000000" w:themeColor="text1"/>
          <w:kern w:val="0"/>
          <w14:textFill>
            <w14:solidFill>
              <w14:schemeClr w14:val="tx1"/>
            </w14:solidFill>
          </w14:textFill>
        </w:rPr>
        <w:t>）热水清洗槽车和上料系统（</w:t>
      </w:r>
      <w:r>
        <w:rPr>
          <w:rFonts w:hint="eastAsia"/>
          <w:color w:val="000000" w:themeColor="text1"/>
          <w14:textFill>
            <w14:solidFill>
              <w14:schemeClr w14:val="tx1"/>
            </w14:solidFill>
          </w14:textFill>
        </w:rPr>
        <w:t>泵、管道</w:t>
      </w:r>
      <w:r>
        <w:rPr>
          <w:rFonts w:hint="eastAsia"/>
          <w:color w:val="000000" w:themeColor="text1"/>
          <w:kern w:val="0"/>
          <w14:textFill>
            <w14:solidFill>
              <w14:schemeClr w14:val="tx1"/>
            </w14:solidFill>
          </w14:textFill>
        </w:rPr>
        <w:t>），每次清洗水量</w:t>
      </w:r>
      <w:r>
        <w:rPr>
          <w:color w:val="000000" w:themeColor="text1"/>
          <w:kern w:val="0"/>
          <w14:textFill>
            <w14:solidFill>
              <w14:schemeClr w14:val="tx1"/>
            </w14:solidFill>
          </w14:textFill>
        </w:rPr>
        <w:t>0.17</w:t>
      </w:r>
      <w:r>
        <w:rPr>
          <w:rFonts w:hint="eastAsia"/>
          <w:color w:val="000000" w:themeColor="text1"/>
          <w:kern w:val="0"/>
          <w14:textFill>
            <w14:solidFill>
              <w14:schemeClr w14:val="tx1"/>
            </w14:solidFill>
          </w14:textFill>
        </w:rPr>
        <w:t>m³，</w:t>
      </w:r>
      <w:r>
        <w:rPr>
          <w:rFonts w:hint="eastAsia"/>
          <w:color w:val="000000" w:themeColor="text1"/>
          <w14:textFill>
            <w14:solidFill>
              <w14:schemeClr w14:val="tx1"/>
            </w14:solidFill>
          </w14:textFill>
        </w:rPr>
        <w:t>年用水量</w:t>
      </w:r>
      <w:r>
        <w:rPr>
          <w:color w:val="000000" w:themeColor="text1"/>
          <w14:textFill>
            <w14:solidFill>
              <w14:schemeClr w14:val="tx1"/>
            </w14:solidFill>
          </w14:textFill>
        </w:rPr>
        <w:t>340</w:t>
      </w:r>
      <w:r>
        <w:rPr>
          <w:rFonts w:hint="eastAsia"/>
          <w:color w:val="000000" w:themeColor="text1"/>
          <w14:textFill>
            <w14:solidFill>
              <w14:schemeClr w14:val="tx1"/>
            </w14:solidFill>
          </w14:textFill>
        </w:rPr>
        <w:t>m³。冲洗水直接经喷枪喷入锅炉炉膛燃烧转化成水蒸气，无废水排放。</w:t>
      </w:r>
      <w:bookmarkEnd w:id="90"/>
    </w:p>
    <w:p>
      <w:pPr>
        <w:pStyle w:val="5"/>
        <w:jc w:val="both"/>
      </w:pPr>
      <w:r>
        <w:rPr>
          <w:rFonts w:hint="eastAsia"/>
        </w:rPr>
        <w:t>噪声</w:t>
      </w:r>
    </w:p>
    <w:p>
      <w:pPr>
        <w:ind w:firstLine="520"/>
        <w:jc w:val="both"/>
        <w:rPr>
          <w:color w:val="000000" w:themeColor="text1"/>
          <w14:textFill>
            <w14:solidFill>
              <w14:schemeClr w14:val="tx1"/>
            </w14:solidFill>
          </w14:textFill>
        </w:rPr>
      </w:pPr>
      <w:bookmarkStart w:id="91" w:name="_Hlk106555940"/>
      <w:r>
        <w:rPr>
          <w:rFonts w:hint="eastAsia"/>
          <w:color w:val="000000" w:themeColor="text1"/>
          <w14:textFill>
            <w14:solidFill>
              <w14:schemeClr w14:val="tx1"/>
            </w14:solidFill>
          </w14:textFill>
        </w:rPr>
        <w:t>本项目新增噪声源为2台供浆泵（一用一备）</w:t>
      </w:r>
      <w:r>
        <w:rPr>
          <w:color w:val="000000" w:themeColor="text1"/>
          <w14:textFill>
            <w14:solidFill>
              <w14:schemeClr w14:val="tx1"/>
            </w14:solidFill>
          </w14:textFill>
        </w:rPr>
        <w:t>，噪声</w:t>
      </w:r>
      <w:r>
        <w:rPr>
          <w:rFonts w:hint="eastAsia"/>
          <w:color w:val="000000" w:themeColor="text1"/>
          <w14:textFill>
            <w14:solidFill>
              <w14:schemeClr w14:val="tx1"/>
            </w14:solidFill>
          </w14:textFill>
        </w:rPr>
        <w:t>产生</w:t>
      </w:r>
      <w:r>
        <w:rPr>
          <w:color w:val="000000" w:themeColor="text1"/>
          <w14:textFill>
            <w14:solidFill>
              <w14:schemeClr w14:val="tx1"/>
            </w14:solidFill>
          </w14:textFill>
        </w:rPr>
        <w:t>源强约85</w:t>
      </w:r>
      <w:bookmarkStart w:id="92" w:name="_Hlk106348198"/>
      <w:r>
        <w:rPr>
          <w:color w:val="000000" w:themeColor="text1"/>
          <w14:textFill>
            <w14:solidFill>
              <w14:schemeClr w14:val="tx1"/>
            </w14:solidFill>
          </w14:textFill>
        </w:rPr>
        <w:t>dB</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w:t>
      </w:r>
      <w:bookmarkEnd w:id="92"/>
      <w:r>
        <w:rPr>
          <w:color w:val="000000" w:themeColor="text1"/>
          <w14:textFill>
            <w14:solidFill>
              <w14:schemeClr w14:val="tx1"/>
            </w14:solidFill>
          </w14:textFill>
        </w:rPr>
        <w:t>，</w:t>
      </w:r>
      <w:r>
        <w:rPr>
          <w:rFonts w:hint="eastAsia"/>
          <w:color w:val="000000" w:themeColor="text1"/>
          <w14:textFill>
            <w14:solidFill>
              <w14:schemeClr w14:val="tx1"/>
            </w14:solidFill>
          </w14:textFill>
        </w:rPr>
        <w:t>通过采取减震基座可降低噪声源强1</w:t>
      </w:r>
      <w:r>
        <w:rPr>
          <w:color w:val="000000" w:themeColor="text1"/>
          <w14:textFill>
            <w14:solidFill>
              <w14:schemeClr w14:val="tx1"/>
            </w14:solidFill>
          </w14:textFill>
        </w:rPr>
        <w:t>5 dB</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)以上，排放源强以7</w:t>
      </w:r>
      <w:r>
        <w:rPr>
          <w:color w:val="000000" w:themeColor="text1"/>
          <w14:textFill>
            <w14:solidFill>
              <w14:schemeClr w14:val="tx1"/>
            </w14:solidFill>
          </w14:textFill>
        </w:rPr>
        <w:t>0 dB</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)计。</w:t>
      </w:r>
      <w:bookmarkEnd w:id="91"/>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本项目新增</w:t>
      </w:r>
      <w:r>
        <w:rPr>
          <w:rStyle w:val="57"/>
          <w:rFonts w:hint="eastAsia"/>
          <w:b/>
          <w:bCs w:val="0"/>
          <w:color w:val="000000" w:themeColor="text1"/>
          <w14:textFill>
            <w14:solidFill>
              <w14:schemeClr w14:val="tx1"/>
            </w14:solidFill>
          </w14:textFill>
        </w:rPr>
        <w:t>噪声源及源强</w:t>
      </w:r>
    </w:p>
    <w:tbl>
      <w:tblPr>
        <w:tblStyle w:val="42"/>
        <w:tblW w:w="8777" w:type="dxa"/>
        <w:tblInd w:w="0" w:type="dxa"/>
        <w:tblLayout w:type="fixed"/>
        <w:tblCellMar>
          <w:top w:w="0" w:type="dxa"/>
          <w:left w:w="108" w:type="dxa"/>
          <w:bottom w:w="0" w:type="dxa"/>
          <w:right w:w="108" w:type="dxa"/>
        </w:tblCellMar>
      </w:tblPr>
      <w:tblGrid>
        <w:gridCol w:w="1756"/>
        <w:gridCol w:w="1755"/>
        <w:gridCol w:w="1755"/>
        <w:gridCol w:w="1755"/>
        <w:gridCol w:w="1756"/>
      </w:tblGrid>
      <w:tr>
        <w:tblPrEx>
          <w:tblCellMar>
            <w:top w:w="0" w:type="dxa"/>
            <w:left w:w="108" w:type="dxa"/>
            <w:bottom w:w="0" w:type="dxa"/>
            <w:right w:w="108" w:type="dxa"/>
          </w:tblCellMar>
        </w:tblPrEx>
        <w:trPr>
          <w:trHeight w:val="280" w:hRule="atLeast"/>
        </w:trPr>
        <w:tc>
          <w:tcPr>
            <w:tcW w:w="175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噪声源名称</w:t>
            </w:r>
          </w:p>
        </w:tc>
        <w:tc>
          <w:tcPr>
            <w:tcW w:w="1755" w:type="dxa"/>
            <w:tcBorders>
              <w:top w:val="single" w:color="auto" w:sz="4" w:space="0"/>
              <w:left w:val="nil"/>
              <w:bottom w:val="single" w:color="auto" w:sz="4" w:space="0"/>
              <w:right w:val="single" w:color="auto" w:sz="4" w:space="0"/>
            </w:tcBorders>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同时运行数量</w:t>
            </w:r>
          </w:p>
        </w:tc>
        <w:tc>
          <w:tcPr>
            <w:tcW w:w="1755" w:type="dxa"/>
            <w:tcBorders>
              <w:top w:val="single" w:color="auto" w:sz="4" w:space="0"/>
              <w:left w:val="nil"/>
              <w:bottom w:val="single" w:color="auto" w:sz="4" w:space="0"/>
              <w:right w:val="single" w:color="auto" w:sz="4" w:space="0"/>
            </w:tcBorders>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源强</w:t>
            </w:r>
          </w:p>
        </w:tc>
        <w:tc>
          <w:tcPr>
            <w:tcW w:w="1755" w:type="dxa"/>
            <w:tcBorders>
              <w:top w:val="single" w:color="auto" w:sz="4" w:space="0"/>
              <w:left w:val="nil"/>
              <w:bottom w:val="single" w:color="auto" w:sz="4" w:space="0"/>
              <w:right w:val="single" w:color="auto" w:sz="4" w:space="0"/>
            </w:tcBorders>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措施</w:t>
            </w:r>
          </w:p>
        </w:tc>
        <w:tc>
          <w:tcPr>
            <w:tcW w:w="1756" w:type="dxa"/>
            <w:tcBorders>
              <w:top w:val="single" w:color="auto" w:sz="4" w:space="0"/>
              <w:left w:val="nil"/>
              <w:bottom w:val="single" w:color="auto" w:sz="4" w:space="0"/>
              <w:right w:val="single" w:color="auto" w:sz="4" w:space="0"/>
            </w:tcBorders>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措施后噪声源强</w:t>
            </w:r>
          </w:p>
        </w:tc>
      </w:tr>
      <w:tr>
        <w:tblPrEx>
          <w:tblCellMar>
            <w:top w:w="0" w:type="dxa"/>
            <w:left w:w="108" w:type="dxa"/>
            <w:bottom w:w="0" w:type="dxa"/>
            <w:right w:w="108" w:type="dxa"/>
          </w:tblCellMar>
        </w:tblPrEx>
        <w:trPr>
          <w:trHeight w:val="280" w:hRule="atLeast"/>
        </w:trPr>
        <w:tc>
          <w:tcPr>
            <w:tcW w:w="1756" w:type="dxa"/>
            <w:tcBorders>
              <w:top w:val="nil"/>
              <w:left w:val="single" w:color="auto" w:sz="4" w:space="0"/>
              <w:bottom w:val="single" w:color="auto" w:sz="4" w:space="0"/>
              <w:right w:val="single" w:color="auto" w:sz="4" w:space="0"/>
            </w:tcBorders>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供浆泵</w:t>
            </w:r>
          </w:p>
        </w:tc>
        <w:tc>
          <w:tcPr>
            <w:tcW w:w="1755" w:type="dxa"/>
            <w:tcBorders>
              <w:top w:val="nil"/>
              <w:left w:val="nil"/>
              <w:bottom w:val="single" w:color="auto" w:sz="4" w:space="0"/>
              <w:right w:val="single" w:color="auto" w:sz="4" w:space="0"/>
            </w:tcBorders>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755" w:type="dxa"/>
            <w:tcBorders>
              <w:top w:val="nil"/>
              <w:left w:val="nil"/>
              <w:bottom w:val="single" w:color="auto" w:sz="4" w:space="0"/>
              <w:right w:val="single" w:color="auto" w:sz="4" w:space="0"/>
            </w:tcBorders>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1755" w:type="dxa"/>
            <w:tcBorders>
              <w:top w:val="nil"/>
              <w:left w:val="nil"/>
              <w:bottom w:val="single" w:color="auto" w:sz="4" w:space="0"/>
              <w:right w:val="single" w:color="auto" w:sz="4" w:space="0"/>
            </w:tcBorders>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减震机座</w:t>
            </w:r>
          </w:p>
        </w:tc>
        <w:tc>
          <w:tcPr>
            <w:tcW w:w="1756" w:type="dxa"/>
            <w:tcBorders>
              <w:top w:val="nil"/>
              <w:left w:val="nil"/>
              <w:bottom w:val="single" w:color="auto" w:sz="4" w:space="0"/>
              <w:right w:val="single" w:color="auto" w:sz="4" w:space="0"/>
            </w:tcBorders>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r>
    </w:tbl>
    <w:p>
      <w:pPr>
        <w:ind w:firstLine="520"/>
        <w:rPr>
          <w:color w:val="000000" w:themeColor="text1"/>
          <w14:textFill>
            <w14:solidFill>
              <w14:schemeClr w14:val="tx1"/>
            </w14:solidFill>
          </w14:textFill>
        </w:rPr>
      </w:pPr>
    </w:p>
    <w:p>
      <w:pPr>
        <w:pStyle w:val="5"/>
      </w:pPr>
      <w:r>
        <w:rPr>
          <w:rFonts w:hint="eastAsia"/>
        </w:rPr>
        <w:t>固体废物</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本项目年处置沉醇膏1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万吨，其中水分3</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%，灰分8</w:t>
      </w:r>
      <w:r>
        <w:rPr>
          <w:color w:val="000000" w:themeColor="text1"/>
          <w14:textFill>
            <w14:solidFill>
              <w14:schemeClr w14:val="tx1"/>
            </w14:solidFill>
          </w14:textFill>
        </w:rPr>
        <w:t>.42</w:t>
      </w:r>
      <w:r>
        <w:rPr>
          <w:rFonts w:hint="eastAsia"/>
          <w:color w:val="000000" w:themeColor="text1"/>
          <w14:textFill>
            <w14:solidFill>
              <w14:schemeClr w14:val="tx1"/>
            </w14:solidFill>
          </w14:textFill>
        </w:rPr>
        <w:t>%（远低于原煤灰分），焚烧处置后渣量极少（忽略不计）。根据3</w:t>
      </w:r>
      <w:r>
        <w:rPr>
          <w:color w:val="000000" w:themeColor="text1"/>
          <w14:textFill>
            <w14:solidFill>
              <w14:schemeClr w14:val="tx1"/>
            </w14:solidFill>
          </w14:textFill>
        </w:rPr>
        <w:t>.1.5</w:t>
      </w:r>
      <w:r>
        <w:rPr>
          <w:rFonts w:hint="eastAsia"/>
          <w:color w:val="000000" w:themeColor="text1"/>
          <w14:textFill>
            <w14:solidFill>
              <w14:schemeClr w14:val="tx1"/>
            </w14:solidFill>
          </w14:textFill>
        </w:rPr>
        <w:t>节分析，</w:t>
      </w: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实施后理论可节约燃煤约</w:t>
      </w:r>
      <w:r>
        <w:rPr>
          <w:color w:val="000000" w:themeColor="text1"/>
          <w14:textFill>
            <w14:solidFill>
              <w14:schemeClr w14:val="tx1"/>
            </w14:solidFill>
          </w14:textFill>
        </w:rPr>
        <w:t>5561.12吨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，因此可一定程度减少炉渣产生量。</w:t>
      </w:r>
    </w:p>
    <w:p>
      <w:pPr>
        <w:ind w:firstLine="520"/>
        <w:rPr>
          <w:color w:val="000000" w:themeColor="text1"/>
          <w14:textFill>
            <w14:solidFill>
              <w14:schemeClr w14:val="tx1"/>
            </w14:solidFill>
          </w14:textFill>
        </w:rPr>
      </w:pPr>
      <w:bookmarkStart w:id="93" w:name="_Hlk106556050"/>
      <w:r>
        <w:rPr>
          <w:rFonts w:hint="eastAsia"/>
          <w:color w:val="000000" w:themeColor="text1"/>
          <w14:textFill>
            <w14:solidFill>
              <w14:schemeClr w14:val="tx1"/>
            </w14:solidFill>
          </w14:textFill>
        </w:rPr>
        <w:t>项目不新增劳动定员，不会导致生活垃圾产生量增加。</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综上，本技改项目无固体废物产生。</w:t>
      </w:r>
    </w:p>
    <w:bookmarkEnd w:id="93"/>
    <w:p>
      <w:pPr>
        <w:pStyle w:val="3"/>
        <w:tabs>
          <w:tab w:val="clear" w:pos="0"/>
        </w:tabs>
        <w:adjustRightInd/>
        <w:snapToGrid/>
        <w:spacing w:before="156" w:beforeLines="50" w:after="0" w:line="480" w:lineRule="exact"/>
      </w:pPr>
      <w:bookmarkStart w:id="94" w:name="_Toc478586510"/>
      <w:bookmarkStart w:id="95" w:name="_Toc109888254"/>
      <w:r>
        <w:rPr>
          <w:rFonts w:hint="eastAsia"/>
        </w:rPr>
        <w:t>技改项目污染物排放汇总</w:t>
      </w:r>
      <w:bookmarkEnd w:id="94"/>
      <w:bookmarkEnd w:id="95"/>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综上分析，本技改项目不新增废气、废水、固体废物排放，不改变现有工程废气、废水、固废的产生和排放量。</w:t>
      </w:r>
    </w:p>
    <w:p>
      <w:pPr>
        <w:pStyle w:val="3"/>
      </w:pPr>
      <w:bookmarkStart w:id="96" w:name="_Toc478586511"/>
      <w:bookmarkStart w:id="97" w:name="_Toc109888255"/>
      <w:r>
        <w:rPr>
          <w:rFonts w:hint="eastAsia"/>
        </w:rPr>
        <w:t>技改项目实施后污染物排放变化情况</w:t>
      </w:r>
      <w:bookmarkEnd w:id="96"/>
      <w:bookmarkEnd w:id="97"/>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技改项目实施后污染物排放变化情况见下表。</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技改项目实施后污染物排放变化情况一览表</w:t>
      </w:r>
    </w:p>
    <w:tbl>
      <w:tblPr>
        <w:tblStyle w:val="42"/>
        <w:tblW w:w="8674"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3"/>
        <w:gridCol w:w="1278"/>
        <w:gridCol w:w="633"/>
        <w:gridCol w:w="1149"/>
        <w:gridCol w:w="989"/>
        <w:gridCol w:w="989"/>
        <w:gridCol w:w="1238"/>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871" w:type="dxa"/>
            <w:gridSpan w:val="2"/>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tc>
          <w:tcPr>
            <w:tcW w:w="633"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p>
        </w:tc>
        <w:tc>
          <w:tcPr>
            <w:tcW w:w="1149" w:type="dxa"/>
            <w:shd w:val="clear" w:color="auto" w:fill="auto"/>
            <w:vAlign w:val="center"/>
          </w:tcPr>
          <w:p>
            <w:pPr>
              <w:pStyle w:val="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现有工程排放量</w:t>
            </w:r>
          </w:p>
        </w:tc>
        <w:tc>
          <w:tcPr>
            <w:tcW w:w="989" w:type="dxa"/>
            <w:shd w:val="clear" w:color="auto" w:fill="auto"/>
            <w:vAlign w:val="center"/>
          </w:tcPr>
          <w:p>
            <w:pPr>
              <w:pStyle w:val="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技改项目排放量</w:t>
            </w:r>
          </w:p>
        </w:tc>
        <w:tc>
          <w:tcPr>
            <w:tcW w:w="989" w:type="dxa"/>
            <w:shd w:val="clear" w:color="auto" w:fill="auto"/>
            <w:vAlign w:val="center"/>
          </w:tcPr>
          <w:p>
            <w:pPr>
              <w:pStyle w:val="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以新带老削减量</w:t>
            </w:r>
          </w:p>
        </w:tc>
        <w:tc>
          <w:tcPr>
            <w:tcW w:w="1238" w:type="dxa"/>
            <w:shd w:val="clear" w:color="auto" w:fill="auto"/>
            <w:vAlign w:val="center"/>
          </w:tcPr>
          <w:p>
            <w:pPr>
              <w:pStyle w:val="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全厂排放量</w:t>
            </w:r>
          </w:p>
        </w:tc>
        <w:tc>
          <w:tcPr>
            <w:tcW w:w="805" w:type="dxa"/>
            <w:shd w:val="clear" w:color="auto" w:fill="auto"/>
            <w:vAlign w:val="center"/>
          </w:tcPr>
          <w:p>
            <w:pPr>
              <w:pStyle w:val="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排放增减量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93" w:type="dxa"/>
            <w:vMerge w:val="restart"/>
            <w:shd w:val="clear" w:color="auto" w:fill="auto"/>
            <w:vAlign w:val="center"/>
          </w:tcPr>
          <w:p>
            <w:pPr>
              <w:pStyle w:val="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废气有组织（循环流化床锅炉排气筒）</w:t>
            </w:r>
          </w:p>
        </w:tc>
        <w:tc>
          <w:tcPr>
            <w:tcW w:w="1278"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633"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t/a</w:t>
            </w:r>
          </w:p>
        </w:tc>
        <w:tc>
          <w:tcPr>
            <w:tcW w:w="1149"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9</w:t>
            </w:r>
          </w:p>
        </w:tc>
        <w:tc>
          <w:tcPr>
            <w:tcW w:w="989"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89"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38"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9</w:t>
            </w:r>
          </w:p>
        </w:tc>
        <w:tc>
          <w:tcPr>
            <w:tcW w:w="805"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93" w:type="dxa"/>
            <w:vMerge w:val="continue"/>
            <w:vAlign w:val="center"/>
          </w:tcPr>
          <w:p>
            <w:pPr>
              <w:pStyle w:val="200"/>
              <w:rPr>
                <w:rFonts w:cs="宋体"/>
                <w:color w:val="000000" w:themeColor="text1"/>
                <w14:textFill>
                  <w14:solidFill>
                    <w14:schemeClr w14:val="tx1"/>
                  </w14:solidFill>
                </w14:textFill>
              </w:rPr>
            </w:pPr>
          </w:p>
        </w:tc>
        <w:tc>
          <w:tcPr>
            <w:tcW w:w="1278"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633"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t/a</w:t>
            </w:r>
          </w:p>
        </w:tc>
        <w:tc>
          <w:tcPr>
            <w:tcW w:w="1149"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52.7</w:t>
            </w:r>
          </w:p>
        </w:tc>
        <w:tc>
          <w:tcPr>
            <w:tcW w:w="989"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89"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38"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52.7</w:t>
            </w:r>
          </w:p>
        </w:tc>
        <w:tc>
          <w:tcPr>
            <w:tcW w:w="805"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93" w:type="dxa"/>
            <w:vMerge w:val="continue"/>
            <w:vAlign w:val="center"/>
          </w:tcPr>
          <w:p>
            <w:pPr>
              <w:pStyle w:val="200"/>
              <w:rPr>
                <w:rFonts w:cs="宋体"/>
                <w:color w:val="000000" w:themeColor="text1"/>
                <w14:textFill>
                  <w14:solidFill>
                    <w14:schemeClr w14:val="tx1"/>
                  </w14:solidFill>
                </w14:textFill>
              </w:rPr>
            </w:pPr>
          </w:p>
        </w:tc>
        <w:tc>
          <w:tcPr>
            <w:tcW w:w="1278"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NOx</w:t>
            </w:r>
          </w:p>
        </w:tc>
        <w:tc>
          <w:tcPr>
            <w:tcW w:w="633"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t/a</w:t>
            </w:r>
          </w:p>
        </w:tc>
        <w:tc>
          <w:tcPr>
            <w:tcW w:w="1149"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13</w:t>
            </w:r>
          </w:p>
        </w:tc>
        <w:tc>
          <w:tcPr>
            <w:tcW w:w="989"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89"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38"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13</w:t>
            </w:r>
          </w:p>
        </w:tc>
        <w:tc>
          <w:tcPr>
            <w:tcW w:w="805"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93" w:type="dxa"/>
            <w:vMerge w:val="continue"/>
            <w:vAlign w:val="center"/>
          </w:tcPr>
          <w:p>
            <w:pPr>
              <w:pStyle w:val="200"/>
              <w:rPr>
                <w:rFonts w:cs="宋体"/>
                <w:color w:val="000000" w:themeColor="text1"/>
                <w14:textFill>
                  <w14:solidFill>
                    <w14:schemeClr w14:val="tx1"/>
                  </w14:solidFill>
                </w14:textFill>
              </w:rPr>
            </w:pPr>
          </w:p>
        </w:tc>
        <w:tc>
          <w:tcPr>
            <w:tcW w:w="1278"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氨</w:t>
            </w:r>
          </w:p>
        </w:tc>
        <w:tc>
          <w:tcPr>
            <w:tcW w:w="633"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t/a</w:t>
            </w:r>
          </w:p>
        </w:tc>
        <w:tc>
          <w:tcPr>
            <w:tcW w:w="1149"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989"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89"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38"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805"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93" w:type="dxa"/>
            <w:vMerge w:val="continue"/>
            <w:vAlign w:val="center"/>
          </w:tcPr>
          <w:p>
            <w:pPr>
              <w:pStyle w:val="200"/>
              <w:rPr>
                <w:rFonts w:cs="宋体"/>
                <w:color w:val="000000" w:themeColor="text1"/>
                <w14:textFill>
                  <w14:solidFill>
                    <w14:schemeClr w14:val="tx1"/>
                  </w14:solidFill>
                </w14:textFill>
              </w:rPr>
            </w:pPr>
          </w:p>
        </w:tc>
        <w:tc>
          <w:tcPr>
            <w:tcW w:w="1278"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H</w:t>
            </w:r>
            <w:r>
              <w:rPr>
                <w:color w:val="000000" w:themeColor="text1"/>
                <w14:textFill>
                  <w14:solidFill>
                    <w14:schemeClr w14:val="tx1"/>
                  </w14:solidFill>
                </w14:textFill>
              </w:rPr>
              <w:t>CL</w:t>
            </w:r>
          </w:p>
        </w:tc>
        <w:tc>
          <w:tcPr>
            <w:tcW w:w="633"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t/a</w:t>
            </w:r>
          </w:p>
        </w:tc>
        <w:tc>
          <w:tcPr>
            <w:tcW w:w="1149"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.61</w:t>
            </w:r>
          </w:p>
        </w:tc>
        <w:tc>
          <w:tcPr>
            <w:tcW w:w="989" w:type="dxa"/>
            <w:shd w:val="clear" w:color="auto" w:fill="auto"/>
            <w:vAlign w:val="center"/>
          </w:tcPr>
          <w:p>
            <w:pPr>
              <w:pStyle w:val="200"/>
              <w:rPr>
                <w:color w:val="000000" w:themeColor="text1"/>
                <w14:textFill>
                  <w14:solidFill>
                    <w14:schemeClr w14:val="tx1"/>
                  </w14:solidFill>
                </w14:textFill>
              </w:rPr>
            </w:pPr>
            <w:r>
              <w:rPr>
                <w:color w:val="000000" w:themeColor="text1"/>
                <w:szCs w:val="22"/>
                <w14:textFill>
                  <w14:solidFill>
                    <w14:schemeClr w14:val="tx1"/>
                  </w14:solidFill>
                </w14:textFill>
              </w:rPr>
              <w:t>0.84</w:t>
            </w:r>
          </w:p>
        </w:tc>
        <w:tc>
          <w:tcPr>
            <w:tcW w:w="989"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238"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.45</w:t>
            </w:r>
          </w:p>
        </w:tc>
        <w:tc>
          <w:tcPr>
            <w:tcW w:w="805"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93" w:type="dxa"/>
            <w:vAlign w:val="center"/>
          </w:tcPr>
          <w:p>
            <w:pPr>
              <w:pStyle w:val="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废气有组织（粉尘）</w:t>
            </w:r>
          </w:p>
        </w:tc>
        <w:tc>
          <w:tcPr>
            <w:tcW w:w="1278"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633"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t/a</w:t>
            </w:r>
          </w:p>
        </w:tc>
        <w:tc>
          <w:tcPr>
            <w:tcW w:w="1149"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40.1</w:t>
            </w:r>
          </w:p>
        </w:tc>
        <w:tc>
          <w:tcPr>
            <w:tcW w:w="989"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989"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238"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40.1</w:t>
            </w:r>
          </w:p>
        </w:tc>
        <w:tc>
          <w:tcPr>
            <w:tcW w:w="805"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93" w:type="dxa"/>
            <w:vMerge w:val="restart"/>
            <w:vAlign w:val="center"/>
          </w:tcPr>
          <w:p>
            <w:pPr>
              <w:pStyle w:val="200"/>
              <w:rPr>
                <w:rFonts w:cs="宋体"/>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tc>
        <w:tc>
          <w:tcPr>
            <w:tcW w:w="1278"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生产废水</w:t>
            </w:r>
          </w:p>
        </w:tc>
        <w:tc>
          <w:tcPr>
            <w:tcW w:w="633"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tc>
        <w:tc>
          <w:tcPr>
            <w:tcW w:w="1149"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989"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989"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238"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805"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593" w:type="dxa"/>
            <w:vMerge w:val="continue"/>
            <w:shd w:val="clear" w:color="auto" w:fill="auto"/>
            <w:vAlign w:val="center"/>
          </w:tcPr>
          <w:p>
            <w:pPr>
              <w:pStyle w:val="200"/>
              <w:rPr>
                <w:color w:val="000000" w:themeColor="text1"/>
                <w14:textFill>
                  <w14:solidFill>
                    <w14:schemeClr w14:val="tx1"/>
                  </w14:solidFill>
                </w14:textFill>
              </w:rPr>
            </w:pPr>
          </w:p>
        </w:tc>
        <w:tc>
          <w:tcPr>
            <w:tcW w:w="1278"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w:t>
            </w:r>
          </w:p>
        </w:tc>
        <w:tc>
          <w:tcPr>
            <w:tcW w:w="633"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tc>
        <w:tc>
          <w:tcPr>
            <w:tcW w:w="1149"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000</w:t>
            </w:r>
          </w:p>
        </w:tc>
        <w:tc>
          <w:tcPr>
            <w:tcW w:w="989"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0</w:t>
            </w:r>
          </w:p>
        </w:tc>
        <w:tc>
          <w:tcPr>
            <w:tcW w:w="989"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0</w:t>
            </w:r>
          </w:p>
        </w:tc>
        <w:tc>
          <w:tcPr>
            <w:tcW w:w="1238"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000</w:t>
            </w:r>
          </w:p>
        </w:tc>
        <w:tc>
          <w:tcPr>
            <w:tcW w:w="805"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593" w:type="dxa"/>
            <w:vMerge w:val="restart"/>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固体废物*</w:t>
            </w:r>
          </w:p>
        </w:tc>
        <w:tc>
          <w:tcPr>
            <w:tcW w:w="1278"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炉渣</w:t>
            </w:r>
          </w:p>
        </w:tc>
        <w:tc>
          <w:tcPr>
            <w:tcW w:w="633"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t/a</w:t>
            </w:r>
          </w:p>
        </w:tc>
        <w:tc>
          <w:tcPr>
            <w:tcW w:w="1149"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20</w:t>
            </w:r>
          </w:p>
        </w:tc>
        <w:tc>
          <w:tcPr>
            <w:tcW w:w="989"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989"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238"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20</w:t>
            </w:r>
          </w:p>
        </w:tc>
        <w:tc>
          <w:tcPr>
            <w:tcW w:w="805"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593" w:type="dxa"/>
            <w:vMerge w:val="continue"/>
            <w:shd w:val="clear" w:color="auto" w:fill="auto"/>
            <w:vAlign w:val="center"/>
          </w:tcPr>
          <w:p>
            <w:pPr>
              <w:pStyle w:val="200"/>
              <w:rPr>
                <w:color w:val="000000" w:themeColor="text1"/>
                <w14:textFill>
                  <w14:solidFill>
                    <w14:schemeClr w14:val="tx1"/>
                  </w14:solidFill>
                </w14:textFill>
              </w:rPr>
            </w:pPr>
          </w:p>
        </w:tc>
        <w:tc>
          <w:tcPr>
            <w:tcW w:w="1278"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除尘灰</w:t>
            </w:r>
          </w:p>
        </w:tc>
        <w:tc>
          <w:tcPr>
            <w:tcW w:w="633"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t/a</w:t>
            </w:r>
          </w:p>
        </w:tc>
        <w:tc>
          <w:tcPr>
            <w:tcW w:w="1149"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23</w:t>
            </w:r>
          </w:p>
        </w:tc>
        <w:tc>
          <w:tcPr>
            <w:tcW w:w="989"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0</w:t>
            </w:r>
          </w:p>
        </w:tc>
        <w:tc>
          <w:tcPr>
            <w:tcW w:w="989"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0</w:t>
            </w:r>
          </w:p>
        </w:tc>
        <w:tc>
          <w:tcPr>
            <w:tcW w:w="1238"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23</w:t>
            </w:r>
          </w:p>
        </w:tc>
        <w:tc>
          <w:tcPr>
            <w:tcW w:w="805"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593" w:type="dxa"/>
            <w:vMerge w:val="continue"/>
            <w:shd w:val="clear" w:color="auto" w:fill="auto"/>
            <w:vAlign w:val="center"/>
          </w:tcPr>
          <w:p>
            <w:pPr>
              <w:pStyle w:val="200"/>
              <w:rPr>
                <w:color w:val="000000" w:themeColor="text1"/>
                <w14:textFill>
                  <w14:solidFill>
                    <w14:schemeClr w14:val="tx1"/>
                  </w14:solidFill>
                </w14:textFill>
              </w:rPr>
            </w:pPr>
          </w:p>
        </w:tc>
        <w:tc>
          <w:tcPr>
            <w:tcW w:w="1278"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危险废物（机修废物）</w:t>
            </w:r>
          </w:p>
        </w:tc>
        <w:tc>
          <w:tcPr>
            <w:tcW w:w="633"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t/a</w:t>
            </w:r>
          </w:p>
        </w:tc>
        <w:tc>
          <w:tcPr>
            <w:tcW w:w="1149"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10</w:t>
            </w:r>
          </w:p>
        </w:tc>
        <w:tc>
          <w:tcPr>
            <w:tcW w:w="989"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989"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238"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10</w:t>
            </w:r>
          </w:p>
        </w:tc>
        <w:tc>
          <w:tcPr>
            <w:tcW w:w="805"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593" w:type="dxa"/>
            <w:vMerge w:val="continue"/>
            <w:shd w:val="clear" w:color="auto" w:fill="auto"/>
            <w:vAlign w:val="center"/>
          </w:tcPr>
          <w:p>
            <w:pPr>
              <w:pStyle w:val="200"/>
              <w:rPr>
                <w:color w:val="000000" w:themeColor="text1"/>
                <w14:textFill>
                  <w14:solidFill>
                    <w14:schemeClr w14:val="tx1"/>
                  </w14:solidFill>
                </w14:textFill>
              </w:rPr>
            </w:pPr>
          </w:p>
        </w:tc>
        <w:tc>
          <w:tcPr>
            <w:tcW w:w="1278"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w:t>
            </w:r>
          </w:p>
        </w:tc>
        <w:tc>
          <w:tcPr>
            <w:tcW w:w="633"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t/a</w:t>
            </w:r>
          </w:p>
        </w:tc>
        <w:tc>
          <w:tcPr>
            <w:tcW w:w="1149"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0</w:t>
            </w:r>
          </w:p>
        </w:tc>
        <w:tc>
          <w:tcPr>
            <w:tcW w:w="989"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0</w:t>
            </w:r>
          </w:p>
        </w:tc>
        <w:tc>
          <w:tcPr>
            <w:tcW w:w="989"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0</w:t>
            </w:r>
          </w:p>
        </w:tc>
        <w:tc>
          <w:tcPr>
            <w:tcW w:w="1238"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0</w:t>
            </w:r>
          </w:p>
        </w:tc>
        <w:tc>
          <w:tcPr>
            <w:tcW w:w="805" w:type="dxa"/>
            <w:shd w:val="clear" w:color="auto" w:fill="auto"/>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0</w:t>
            </w:r>
          </w:p>
        </w:tc>
      </w:tr>
    </w:tbl>
    <w:p>
      <w:pPr>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*备注：固体废物量为产生量。</w:t>
      </w:r>
    </w:p>
    <w:p>
      <w:pPr>
        <w:pStyle w:val="3"/>
      </w:pPr>
      <w:bookmarkStart w:id="98" w:name="_Toc109888256"/>
      <w:bookmarkStart w:id="99" w:name="_Toc478482059"/>
      <w:r>
        <w:rPr>
          <w:rFonts w:hint="eastAsia"/>
        </w:rPr>
        <w:t>清洁生产分析</w:t>
      </w:r>
      <w:bookmarkEnd w:id="98"/>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根据产排污分析可知，本技改项目不仅能消耗太极制药产生的工业物体废物醇沉药渣，且本项目的实施可节约燃煤</w:t>
      </w:r>
      <w:r>
        <w:rPr>
          <w:color w:val="000000" w:themeColor="text1"/>
          <w14:textFill>
            <w14:solidFill>
              <w14:schemeClr w14:val="tx1"/>
            </w14:solidFill>
          </w14:textFill>
        </w:rPr>
        <w:t>5561.12吨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，减少废气、炉渣产生量，具有节能、减排的综合效果，符合清洁生产要求。</w:t>
      </w:r>
    </w:p>
    <w:bookmarkEnd w:id="99"/>
    <w:p>
      <w:pPr>
        <w:ind w:firstLine="520"/>
        <w:rPr>
          <w:color w:val="000000" w:themeColor="text1"/>
          <w14:textFill>
            <w14:solidFill>
              <w14:schemeClr w14:val="tx1"/>
            </w14:solidFill>
          </w14:textFill>
        </w:rPr>
        <w:sectPr>
          <w:footerReference r:id="rId21" w:type="default"/>
          <w:pgSz w:w="11906" w:h="16838"/>
          <w:pgMar w:top="1418" w:right="1418" w:bottom="1418" w:left="1701" w:header="851" w:footer="992" w:gutter="0"/>
          <w:cols w:space="425" w:num="1"/>
          <w:docGrid w:type="linesAndChars" w:linePitch="312" w:charSpace="0"/>
        </w:sectPr>
      </w:pPr>
    </w:p>
    <w:p>
      <w:pPr>
        <w:pStyle w:val="2"/>
      </w:pPr>
      <w:bookmarkStart w:id="100" w:name="_Toc109888257"/>
      <w:r>
        <w:rPr>
          <w:rFonts w:hint="eastAsia"/>
        </w:rPr>
        <w:t>环境现状调查与</w:t>
      </w:r>
      <w:r>
        <w:t>评价</w:t>
      </w:r>
      <w:bookmarkEnd w:id="100"/>
    </w:p>
    <w:p>
      <w:pPr>
        <w:pStyle w:val="3"/>
      </w:pPr>
      <w:bookmarkStart w:id="101" w:name="_Toc109888258"/>
      <w:r>
        <w:rPr>
          <w:rFonts w:hint="eastAsia"/>
        </w:rPr>
        <w:t>自然环境现状调查与评价</w:t>
      </w:r>
      <w:bookmarkEnd w:id="101"/>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地理位置</w:t>
      </w:r>
    </w:p>
    <w:p>
      <w:pPr>
        <w:ind w:firstLine="520"/>
        <w:jc w:val="both"/>
        <w:rPr>
          <w:color w:val="000000" w:themeColor="text1"/>
          <w14:textFill>
            <w14:solidFill>
              <w14:schemeClr w14:val="tx1"/>
            </w14:solidFill>
          </w14:textFill>
        </w:rPr>
      </w:pPr>
      <w:r>
        <w:rPr>
          <w:color w:val="000000" w:themeColor="text1"/>
          <w14:textFill>
            <w14:solidFill>
              <w14:schemeClr w14:val="tx1"/>
            </w14:solidFill>
          </w14:textFill>
        </w:rPr>
        <w:t>涪陵区地处长江与乌江交汇处，位于重庆市主城区下游120km，地理坐标为东经106°56′~107°43′，北纬29°21′~30°01′。东邻丰都，南接武隆，西接巴南区。经319国道涪长公路、涪南公路与长寿、南川及湘鄂边区连接，出三峡与武汉、南京、上海一衣带水。东西长76km，南北宽67km，幅员面积2941.46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项目位于涪陵区龙桥街道，属于涪陵工业园区</w:t>
      </w:r>
      <w:r>
        <w:rPr>
          <w:color w:val="000000" w:themeColor="text1"/>
          <w14:textFill>
            <w14:solidFill>
              <w14:schemeClr w14:val="tx1"/>
            </w14:solidFill>
          </w14:textFill>
        </w:rPr>
        <w:t>龙桥</w:t>
      </w:r>
      <w:r>
        <w:rPr>
          <w:rFonts w:hint="eastAsia"/>
          <w:color w:val="000000" w:themeColor="text1"/>
          <w14:textFill>
            <w14:solidFill>
              <w14:schemeClr w14:val="tx1"/>
            </w14:solidFill>
          </w14:textFill>
        </w:rPr>
        <w:t>组团南岸浦片区，南岸浦片区</w:t>
      </w:r>
      <w:r>
        <w:rPr>
          <w:color w:val="000000" w:themeColor="text1"/>
          <w14:textFill>
            <w14:solidFill>
              <w14:schemeClr w14:val="tx1"/>
            </w14:solidFill>
          </w14:textFill>
        </w:rPr>
        <w:t>东距涪陵城区12km，与李渡工业园区隔长江而望。渝怀铁路、渝湘高速穿越其中， 渝怀铁路从其东侧过境，地理位置十分优越。</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地理位置见附图 1。</w:t>
      </w:r>
    </w:p>
    <w:p>
      <w:pPr>
        <w:pStyle w:val="4"/>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地形、地貌</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涪陵区地貌属川东平行岭谷区，以中低山、丘陵为主，丘陵占幅员面积44.2%，中低山区占32.7%，低山占23.1%。地质构造属新华夏系第三沉降带，出露岩层为基石、沙石、页石及灰石。</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涪陵区地质构造属于新华厦构造体系，出露岩层为基岩、砂岩、页岩及灰岩。岩层地质属侏罗系珍珠沉淀和自流井沉积的泥（页）岩和突砂岩组成，场地处于自然稳定状态，周围未发现构造裂缝和滑坡迹象及其他不利于项目建设的地质问题。涪陵地处于渝东平行岭谷区，地形以丘陵为主，地面坡度10°～25°。</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所在区域岩层属侏罗系中统上沙溪庙组第三层，以暗紫色、紫红色及灰白色砂岩互层，据勘探结果，厂址地层主要由第四系残坡积粘土，红棕色，一般1～3m。工程区地下水碎屑岩类裂隙孔隙水或红土承压水，水量贫乏无侵蚀性，地下水埋藏较浅，一般为0.8m～1.45m。</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根据《中国地震烈度区划图》，项目所在区域地震基本烈度为6度。</w:t>
      </w:r>
    </w:p>
    <w:p>
      <w:pPr>
        <w:pStyle w:val="4"/>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气候气象</w:t>
      </w:r>
    </w:p>
    <w:p>
      <w:pPr>
        <w:ind w:firstLine="520"/>
        <w:jc w:val="both"/>
        <w:rPr>
          <w:color w:val="000000" w:themeColor="text1"/>
          <w14:textFill>
            <w14:solidFill>
              <w14:schemeClr w14:val="tx1"/>
            </w14:solidFill>
          </w14:textFill>
        </w:rPr>
      </w:pPr>
      <w:r>
        <w:rPr>
          <w:color w:val="000000" w:themeColor="text1"/>
          <w14:textFill>
            <w14:solidFill>
              <w14:schemeClr w14:val="tx1"/>
            </w14:solidFill>
          </w14:textFill>
        </w:rPr>
        <w:t>根据涪陵气象站1953至今的实测地面气象资料统计，多年平均气温18.2℃，历年最高气温42.2℃，最低气温-2.7℃。属于中亚热带湿润季风气候，常年平均气温18.2℃，年均降水量为1170mm，无霜期300天，日照1297小时，多年平均相对湿度79%，年均雾日数32天。4月至10月降水量占全年降水量的87%，尤其以7月降水最为集中，12月至次年2月降水为最小，仅占全年降水的5%。多年平均风速1.4m/s，多年平均最大风速12.2m/s，实测最大风速24.4m/s，年主导风向：NE、频率7%，年次主导风向：N、频率6%。</w:t>
      </w:r>
    </w:p>
    <w:p>
      <w:pPr>
        <w:pStyle w:val="4"/>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河流水系</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涪陵区境内河流总归长江水系。涪陵位于长江与乌江交汇的河谷地带，从地形、地貌和水位、流量的特征来看，两江均属典型的山区河流。两江把全区分割成江南、江北和江东三片，涪陵城坐落于长江、乌江交汇处。除长江、乌江外区境内有大小河流147条，其中，流域面积大于50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的河流19条，在147条河流中，按自然流向交汇后有34条河流流入长江，10条河流注入乌江。区境内河流切割，山谷相间，相对高差大，水系发育，均具山区水文特征，径流丰富，暴涨暴落，洪枯变幅大。涪陵区多年平均径流量14.92亿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，当地地表水资源多年平均可利用量为5.97亿m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，地下水可开采量为1.26亿m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长江在西部与长寿区交界的黄草峡入境，由西向东流经石和、石沱、镇安、蔺市、义和、李渡、龙桥、涪陵城区、清溪、百胜、珍溪、南沱、中峰、仁义等集镇后出境，涪陵段长77km，成库前河床平均宽度844m，境内流域面积2946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，据清溪水文监测站多年观测，历年最大流量为99000m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/s，历年最小流量为3500m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/s，多年平均流量为11200m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/s，多年平均输沙率为14600kg/s，枯水期时水面宽500m，多年平均流量为8600m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/s，主河槽水深10m左右；丰水期河宽900～1000m。沿岸支流有乌江、梨香溪、龙潭河、渠溪河、碧溪河、上桥河、清溪沟河、龙桥河、珍溪河、岔河、羊石溪河、同乐河等。</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本项目所在地附近地表水体为</w:t>
      </w:r>
      <w:r>
        <w:rPr>
          <w:color w:val="000000" w:themeColor="text1"/>
          <w14:textFill>
            <w14:solidFill>
              <w14:schemeClr w14:val="tx1"/>
            </w14:solidFill>
          </w14:textFill>
        </w:rPr>
        <w:t>龙桥河</w:t>
      </w:r>
      <w:r>
        <w:rPr>
          <w:rFonts w:hint="eastAsia"/>
          <w:color w:val="000000" w:themeColor="text1"/>
          <w14:textFill>
            <w14:solidFill>
              <w14:schemeClr w14:val="tx1"/>
            </w14:solidFill>
          </w14:textFill>
        </w:rPr>
        <w:t>，从厂区中部穿越，将厂区分为东、西两部分，龙桥河为长江一级支流。</w:t>
      </w:r>
    </w:p>
    <w:p>
      <w:pPr>
        <w:pStyle w:val="4"/>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水文地质</w:t>
      </w:r>
    </w:p>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2017年龙桥组团在编制《重庆市涪陵工业园区龙桥组团规划环境影响评价报告书》时，委托武汉地质工程勘察院对重庆市龙桥组团规划园区进行水文地质调查，并提交了调查报告，根据调查报告，评价区水文地质情况如下：</w:t>
      </w:r>
    </w:p>
    <w:p>
      <w:pPr>
        <w:pStyle w:val="5"/>
        <w:jc w:val="both"/>
      </w:pPr>
      <w:r>
        <w:rPr>
          <w:rFonts w:hint="eastAsia"/>
        </w:rPr>
        <w:t>主要地下水类型</w:t>
      </w:r>
    </w:p>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根据地下水赋存条件、含水介质和水动力特征等条件，南岸浦片区水文地质单元地下水类型主要为第四系孔隙潜水、红层裂隙承压水和基岩裂隙水。</w:t>
      </w:r>
    </w:p>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）第四系孔隙水</w:t>
      </w:r>
    </w:p>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第四系孔隙水主要分布于第四系孔隙含水层，主要集中于区域内河流、溪沟沿岸，山麓坡地，岩性为残、坡积物粉质粘土，冲洪积物的沙砾石，亚砂土，耕植土等。分布零散，厚度变化大，一般2~5m。水量有限，富水性弱，且随季节性变化大，属水量贫乏的含水岩组。</w:t>
      </w:r>
    </w:p>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第四系残坡积层中地下水埋藏于粘土、亚砂土、耕植土中，地下水具有孔隙潜水性质，主要接受地表水、大气降水的垂直补给，但因出露面积小，分布零星，水量较小，实测其井、泉流量均小于0.05L/S。</w:t>
      </w:r>
    </w:p>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第四系冲洪积层中地下水埋藏于砂土中，为孔隙潜水。受河（溪）水的影响大，具互补关系。在丰水期，接受地表水、大气降水的垂直补给和溪流的横向反补，水量较大；在枯水期，砂土层中的地下水得不到地表水、大气降水以及溪流补给时，水量贫乏。根据《1：20万区域水文地质普查报告（涪陵幅）》该类地下水富水性极弱，单井涌水量小于100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/d，水量贫乏。水质类型属重碳酸钙型水，矿化度0.1～0.5g/L。该类地下水的补给主要为降水，其次局部地段还接受地表水体（库、塘、堰、稻田、河流等）的补给。具就地补给，就地排泄，径流短的特点。</w:t>
      </w:r>
    </w:p>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（2）一般构造孔隙水</w:t>
      </w:r>
    </w:p>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一般构造孔隙水赋存于中等风化及弱风化的上沙溪庙组的砂岩中，单井出水量0.02～0.03 6L/S，富水性极贫乏～贫乏，水位及水量随季节和地形变化明显，水位受微地貌形态控制。据钻孔简易水文观测，水文地质勘察期间对各个钻孔均进行水位观测，地下水位埋深在0～9.2m。</w:t>
      </w:r>
    </w:p>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（3）风化裂隙水</w:t>
      </w:r>
    </w:p>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风化裂隙水赋存于强～中风化的遂宁组的砂、泥岩中，根据已有水文资料，该组地层中单井出水量0.02～0.04L/S，富水性贫乏，水位及水量随季节和地形变化明显，水位受微地貌形态控制。</w:t>
      </w:r>
    </w:p>
    <w:p>
      <w:pPr>
        <w:pStyle w:val="5"/>
        <w:jc w:val="both"/>
      </w:pPr>
      <w:r>
        <w:rPr>
          <w:rFonts w:hint="eastAsia"/>
        </w:rPr>
        <w:t>含、隔水层特征</w:t>
      </w:r>
    </w:p>
    <w:p>
      <w:pPr>
        <w:spacing w:before="24"/>
        <w:ind w:firstLine="520"/>
        <w:jc w:val="both"/>
        <w:rPr>
          <w:color w:val="000000" w:themeColor="text1"/>
          <w:lang w:bidi="en-US"/>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bidi="en-US"/>
          <w14:textFill>
            <w14:solidFill>
              <w14:schemeClr w14:val="tx1"/>
            </w14:solidFill>
          </w14:textFill>
        </w:rPr>
        <w:t>第四系松散岩类孔隙水含水层</w:t>
      </w:r>
    </w:p>
    <w:p>
      <w:pPr>
        <w:spacing w:before="24"/>
        <w:ind w:firstLine="520"/>
        <w:jc w:val="both"/>
        <w:rPr>
          <w:color w:val="000000" w:themeColor="text1"/>
          <w:lang w:bidi="en-US"/>
          <w14:textFill>
            <w14:solidFill>
              <w14:schemeClr w14:val="tx1"/>
            </w14:solidFill>
          </w14:textFill>
        </w:rPr>
      </w:pPr>
      <w:r>
        <w:rPr>
          <w:rFonts w:hint="eastAsia"/>
          <w:color w:val="000000" w:themeColor="text1"/>
          <w:lang w:bidi="en-US"/>
          <w14:textFill>
            <w14:solidFill>
              <w14:schemeClr w14:val="tx1"/>
            </w14:solidFill>
          </w14:textFill>
        </w:rPr>
        <w:t>据调查结果及区域水文地质资料，第四系松散岩类孔隙水含水层主要为分布于长江两岸的冲洪积层，岩性以砂土为主，为孔隙潜水，弱透水层，受河（溪）水的影响大，具互补关系。在丰水期，接受地表水、大气降水的垂直补给和溪流的横向反补，水量较大；在枯水期，砂土层中的地下水得不到地表水、大气降水补给时，水量贫乏。根据区域内已有包气带渗透试验结果，其渗透系数0.4223～0.5855m/d，属弱透水层，根据《1:20万区域水文地质普查报告（涪陵幅）》该类地下水富水性弱，单井涌水量小于100m³/d，水量贫乏。</w:t>
      </w:r>
    </w:p>
    <w:p>
      <w:pPr>
        <w:spacing w:before="24"/>
        <w:ind w:firstLine="520"/>
        <w:jc w:val="both"/>
        <w:rPr>
          <w:color w:val="000000" w:themeColor="text1"/>
          <w:lang w:bidi="en-US"/>
          <w14:textFill>
            <w14:solidFill>
              <w14:schemeClr w14:val="tx1"/>
            </w14:solidFill>
          </w14:textFill>
        </w:rPr>
      </w:pPr>
      <w:r>
        <w:rPr>
          <w:rFonts w:hint="eastAsia"/>
          <w:color w:val="000000" w:themeColor="text1"/>
          <w:lang w:bidi="en-US"/>
          <w14:textFill>
            <w14:solidFill>
              <w14:schemeClr w14:val="tx1"/>
            </w14:solidFill>
          </w14:textFill>
        </w:rPr>
        <w:t xml:space="preserve">（2）一般构造孔隙水含水层 </w:t>
      </w:r>
    </w:p>
    <w:p>
      <w:pPr>
        <w:spacing w:before="24"/>
        <w:ind w:firstLine="520"/>
        <w:jc w:val="both"/>
        <w:rPr>
          <w:color w:val="000000" w:themeColor="text1"/>
          <w:lang w:bidi="en-US"/>
          <w14:textFill>
            <w14:solidFill>
              <w14:schemeClr w14:val="tx1"/>
            </w14:solidFill>
          </w14:textFill>
        </w:rPr>
      </w:pPr>
      <w:r>
        <w:rPr>
          <w:rFonts w:hint="eastAsia"/>
          <w:color w:val="000000" w:themeColor="text1"/>
          <w:lang w:bidi="en-US"/>
          <w14:textFill>
            <w14:solidFill>
              <w14:schemeClr w14:val="tx1"/>
            </w14:solidFill>
          </w14:textFill>
        </w:rPr>
        <w:t>一般构造孔隙水含水层主要为侏罗系中统上沙溪庙组（J</w:t>
      </w:r>
      <w:r>
        <w:rPr>
          <w:rFonts w:hint="eastAsia"/>
          <w:color w:val="000000" w:themeColor="text1"/>
          <w:vertAlign w:val="subscript"/>
          <w:lang w:bidi="en-US"/>
          <w14:textFill>
            <w14:solidFill>
              <w14:schemeClr w14:val="tx1"/>
            </w14:solidFill>
          </w14:textFill>
        </w:rPr>
        <w:t>2</w:t>
      </w:r>
      <w:r>
        <w:rPr>
          <w:rFonts w:hint="eastAsia"/>
          <w:color w:val="000000" w:themeColor="text1"/>
          <w:lang w:bidi="en-US"/>
          <w14:textFill>
            <w14:solidFill>
              <w14:schemeClr w14:val="tx1"/>
            </w14:solidFill>
          </w14:textFill>
        </w:rPr>
        <w:t>s）中的砂岩层及砂、泥岩不等厚互层，后者中实际上也仅砂岩含水，泥岩为相对隔水岩层。在构造作用下，由于岩石物理性质的差异，砂岩较泥岩易于产生裂隙。据钻孔资料显示，在钻孔钻进到含水砂岩裂隙带时，回次水位有循环液漏失现象。</w:t>
      </w:r>
    </w:p>
    <w:p>
      <w:pPr>
        <w:spacing w:before="24"/>
        <w:ind w:firstLine="520"/>
        <w:jc w:val="both"/>
        <w:rPr>
          <w:color w:val="000000" w:themeColor="text1"/>
          <w:lang w:bidi="en-US"/>
          <w14:textFill>
            <w14:solidFill>
              <w14:schemeClr w14:val="tx1"/>
            </w14:solidFill>
          </w14:textFill>
        </w:rPr>
      </w:pPr>
      <w:r>
        <w:rPr>
          <w:rFonts w:hint="eastAsia"/>
          <w:color w:val="000000" w:themeColor="text1"/>
          <w:lang w:bidi="en-US"/>
          <w14:textFill>
            <w14:solidFill>
              <w14:schemeClr w14:val="tx1"/>
            </w14:solidFill>
          </w14:textFill>
        </w:rPr>
        <w:t>水文地质单元砂岩层，厚度及岩相变化较大，受地质构造变动较轻，裂隙不甚发育。钻孔揭露的砂岩岩芯完整，裂隙少见。在岩层倾角平缓之丘陵区，地表径流稀少，砂岩与泥岩相互叠置，露头区补给条件不良。而在岩层倾角稍陡处，常形成宽、窄谷的斜面状、脊状中、深丘地貌，露头分布狭窄，加之横向沟谷的切割，岩层连续性较差，故水量贫乏。</w:t>
      </w:r>
    </w:p>
    <w:p>
      <w:pPr>
        <w:spacing w:before="24"/>
        <w:ind w:firstLine="520"/>
        <w:jc w:val="both"/>
        <w:rPr>
          <w:color w:val="000000" w:themeColor="text1"/>
          <w:lang w:bidi="en-US"/>
          <w14:textFill>
            <w14:solidFill>
              <w14:schemeClr w14:val="tx1"/>
            </w14:solidFill>
          </w14:textFill>
        </w:rPr>
      </w:pPr>
      <w:r>
        <w:rPr>
          <w:rFonts w:hint="eastAsia"/>
          <w:color w:val="000000" w:themeColor="text1"/>
          <w:lang w:bidi="en-US"/>
          <w14:textFill>
            <w14:solidFill>
              <w14:schemeClr w14:val="tx1"/>
            </w14:solidFill>
          </w14:textFill>
        </w:rPr>
        <w:t>（3）风化裂隙水含水层</w:t>
      </w:r>
    </w:p>
    <w:p>
      <w:pPr>
        <w:spacing w:before="24"/>
        <w:ind w:firstLine="520"/>
        <w:jc w:val="both"/>
        <w:rPr>
          <w:color w:val="000000" w:themeColor="text1"/>
          <w:lang w:bidi="en-US"/>
          <w14:textFill>
            <w14:solidFill>
              <w14:schemeClr w14:val="tx1"/>
            </w14:solidFill>
          </w14:textFill>
        </w:rPr>
      </w:pPr>
      <w:r>
        <w:rPr>
          <w:rFonts w:hint="eastAsia"/>
          <w:color w:val="000000" w:themeColor="text1"/>
          <w:lang w:bidi="en-US"/>
          <w14:textFill>
            <w14:solidFill>
              <w14:schemeClr w14:val="tx1"/>
            </w14:solidFill>
          </w14:textFill>
        </w:rPr>
        <w:t>风化裂隙水含水层主要为侏罗系上统遂宁组（J</w:t>
      </w:r>
      <w:r>
        <w:rPr>
          <w:rFonts w:hint="eastAsia"/>
          <w:color w:val="000000" w:themeColor="text1"/>
          <w:vertAlign w:val="subscript"/>
          <w:lang w:bidi="en-US"/>
          <w14:textFill>
            <w14:solidFill>
              <w14:schemeClr w14:val="tx1"/>
            </w14:solidFill>
          </w14:textFill>
        </w:rPr>
        <w:t>3</w:t>
      </w:r>
      <w:r>
        <w:rPr>
          <w:rFonts w:hint="eastAsia"/>
          <w:color w:val="000000" w:themeColor="text1"/>
          <w:lang w:bidi="en-US"/>
          <w14:textFill>
            <w14:solidFill>
              <w14:schemeClr w14:val="tx1"/>
            </w14:solidFill>
          </w14:textFill>
        </w:rPr>
        <w:t>s）中砂岩、泥岩浅部的风化裂隙带。根据已有资料：该类地下水主要集中于上部出露，下部地下水水量贫乏，渗透系数0.0223m/d，属弱透水层。</w:t>
      </w:r>
    </w:p>
    <w:p>
      <w:pPr>
        <w:spacing w:before="24"/>
        <w:ind w:firstLine="520"/>
        <w:jc w:val="both"/>
        <w:rPr>
          <w:color w:val="000000" w:themeColor="text1"/>
          <w:lang w:bidi="en-US"/>
          <w14:textFill>
            <w14:solidFill>
              <w14:schemeClr w14:val="tx1"/>
            </w14:solidFill>
          </w14:textFill>
        </w:rPr>
      </w:pPr>
      <w:r>
        <w:rPr>
          <w:rFonts w:hint="eastAsia"/>
          <w:color w:val="000000" w:themeColor="text1"/>
          <w:lang w:bidi="en-US"/>
          <w14:textFill>
            <w14:solidFill>
              <w14:schemeClr w14:val="tx1"/>
            </w14:solidFill>
          </w14:textFill>
        </w:rPr>
        <w:t>（4）</w:t>
      </w:r>
      <w:r>
        <w:rPr>
          <w:color w:val="000000" w:themeColor="text1"/>
          <w:lang w:bidi="en-US"/>
          <w14:textFill>
            <w14:solidFill>
              <w14:schemeClr w14:val="tx1"/>
            </w14:solidFill>
          </w14:textFill>
        </w:rPr>
        <w:t>相对隔水层</w:t>
      </w:r>
    </w:p>
    <w:p>
      <w:pPr>
        <w:spacing w:before="24"/>
        <w:ind w:firstLine="520"/>
        <w:jc w:val="both"/>
        <w:rPr>
          <w:color w:val="000000" w:themeColor="text1"/>
          <w:lang w:bidi="en-US"/>
          <w14:textFill>
            <w14:solidFill>
              <w14:schemeClr w14:val="tx1"/>
            </w14:solidFill>
          </w14:textFill>
        </w:rPr>
      </w:pPr>
      <w:r>
        <w:rPr>
          <w:rFonts w:hint="eastAsia"/>
          <w:color w:val="000000" w:themeColor="text1"/>
          <w:lang w:bidi="en-US"/>
          <w14:textFill>
            <w14:solidFill>
              <w14:schemeClr w14:val="tx1"/>
            </w14:solidFill>
          </w14:textFill>
        </w:rPr>
        <w:t>水文地质单元</w:t>
      </w:r>
      <w:r>
        <w:rPr>
          <w:color w:val="000000" w:themeColor="text1"/>
          <w:lang w:bidi="en-US"/>
          <w14:textFill>
            <w14:solidFill>
              <w14:schemeClr w14:val="tx1"/>
            </w14:solidFill>
          </w14:textFill>
        </w:rPr>
        <w:t>主要的隔水层有：第四系全新统粉质粘土层、弱风化泥岩相对隔水层。</w:t>
      </w:r>
    </w:p>
    <w:p>
      <w:pPr>
        <w:spacing w:before="24"/>
        <w:ind w:firstLine="520"/>
        <w:jc w:val="both"/>
        <w:rPr>
          <w:color w:val="000000" w:themeColor="text1"/>
          <w:lang w:bidi="en-US"/>
          <w14:textFill>
            <w14:solidFill>
              <w14:schemeClr w14:val="tx1"/>
            </w14:solidFill>
          </w14:textFill>
        </w:rPr>
      </w:pPr>
      <w:r>
        <w:rPr>
          <w:color w:val="000000" w:themeColor="text1"/>
          <w:lang w:bidi="en-US"/>
          <w14:textFill>
            <w14:solidFill>
              <w14:schemeClr w14:val="tx1"/>
            </w14:solidFill>
          </w14:textFill>
        </w:rPr>
        <w:t>①第四系全新统粉质粘土隔水层</w:t>
      </w:r>
    </w:p>
    <w:p>
      <w:pPr>
        <w:spacing w:before="24"/>
        <w:ind w:firstLine="520"/>
        <w:jc w:val="both"/>
        <w:rPr>
          <w:color w:val="000000" w:themeColor="text1"/>
          <w:lang w:bidi="en-US"/>
          <w14:textFill>
            <w14:solidFill>
              <w14:schemeClr w14:val="tx1"/>
            </w14:solidFill>
          </w14:textFill>
        </w:rPr>
      </w:pPr>
      <w:r>
        <w:rPr>
          <w:color w:val="000000" w:themeColor="text1"/>
          <w:lang w:bidi="en-US"/>
          <w14:textFill>
            <w14:solidFill>
              <w14:schemeClr w14:val="tx1"/>
            </w14:solidFill>
          </w14:textFill>
        </w:rPr>
        <w:t>主要为第四系粉质粘土层，广布分布于沟谷、斜坡上，厚度一般在0.5～5m，根据已有资料：该类粘土层渗透系数0.0072～0.0372m/</w:t>
      </w:r>
      <w:r>
        <w:rPr>
          <w:rFonts w:hint="eastAsia"/>
          <w:color w:val="000000" w:themeColor="text1"/>
          <w:lang w:bidi="en-US"/>
          <w14:textFill>
            <w14:solidFill>
              <w14:schemeClr w14:val="tx1"/>
            </w14:solidFill>
          </w14:textFill>
        </w:rPr>
        <w:t>d</w:t>
      </w:r>
      <w:r>
        <w:rPr>
          <w:color w:val="000000" w:themeColor="text1"/>
          <w:lang w:bidi="en-US"/>
          <w14:textFill>
            <w14:solidFill>
              <w14:schemeClr w14:val="tx1"/>
            </w14:solidFill>
          </w14:textFill>
        </w:rPr>
        <w:t>，属微透水～弱透水层，可视为相对隔水层。该层在低洼地段分布基本连续，其整体隔水性能相对较好。</w:t>
      </w:r>
    </w:p>
    <w:p>
      <w:pPr>
        <w:spacing w:before="24"/>
        <w:ind w:firstLine="520"/>
        <w:jc w:val="both"/>
        <w:rPr>
          <w:color w:val="000000" w:themeColor="text1"/>
          <w:lang w:bidi="en-US"/>
          <w14:textFill>
            <w14:solidFill>
              <w14:schemeClr w14:val="tx1"/>
            </w14:solidFill>
          </w14:textFill>
        </w:rPr>
      </w:pPr>
      <w:r>
        <w:rPr>
          <w:color w:val="000000" w:themeColor="text1"/>
          <w:lang w:bidi="en-US"/>
          <w14:textFill>
            <w14:solidFill>
              <w14:schemeClr w14:val="tx1"/>
            </w14:solidFill>
          </w14:textFill>
        </w:rPr>
        <w:t>②弱风化泥岩相对隔水层</w:t>
      </w:r>
    </w:p>
    <w:p>
      <w:pPr>
        <w:spacing w:before="24"/>
        <w:ind w:firstLine="520"/>
        <w:jc w:val="both"/>
        <w:rPr>
          <w:color w:val="000000" w:themeColor="text1"/>
          <w14:textFill>
            <w14:solidFill>
              <w14:schemeClr w14:val="tx1"/>
            </w14:solidFill>
          </w14:textFill>
        </w:rPr>
      </w:pPr>
      <w:r>
        <w:rPr>
          <w:color w:val="000000" w:themeColor="text1"/>
          <w:lang w:bidi="en-US"/>
          <w14:textFill>
            <w14:solidFill>
              <w14:schemeClr w14:val="tx1"/>
            </w14:solidFill>
          </w14:textFill>
        </w:rPr>
        <w:t>评价区内大面积出露该层，它与砂岩含水层以互层关系出现。据钻孔资料，该层岩石裂隙不发育，导水性能差，可视为相对隔水层，该层分布连续稳定，其整体隔水性能好，但埋藏较深</w:t>
      </w:r>
      <w:r>
        <w:rPr>
          <w:color w:val="000000" w:themeColor="text1"/>
          <w14:textFill>
            <w14:solidFill>
              <w14:schemeClr w14:val="tx1"/>
            </w14:solidFill>
          </w14:textFill>
        </w:rPr>
        <w:t>。</w:t>
      </w:r>
    </w:p>
    <w:p>
      <w:pPr>
        <w:pStyle w:val="5"/>
        <w:jc w:val="both"/>
      </w:pPr>
      <w:r>
        <w:rPr>
          <w:rFonts w:hint="eastAsia"/>
        </w:rPr>
        <w:t>地下水补给、径流、排泄条件及供水意义。</w:t>
      </w:r>
    </w:p>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eastAsia" w:ascii="宋体" w:hAnsi="宋体"/>
          <w:color w:val="000000" w:themeColor="text1"/>
          <w14:textFill>
            <w14:solidFill>
              <w14:schemeClr w14:val="tx1"/>
            </w14:solidFill>
          </w14:textFill>
        </w:rPr>
        <w:t>补给条件</w:t>
      </w:r>
    </w:p>
    <w:p>
      <w:pPr>
        <w:spacing w:before="24"/>
        <w:ind w:firstLine="520"/>
        <w:jc w:val="both"/>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地下水的补给来源主要为大气降水及地表水体。各含水层地下水，是由大气降水通过地面及溪流、堰塘、水沟、农田等地表水体垂直补给。评价区内降水丰沛，为地下水的补给提供了充足的补给源。但在降雨强度与时间分配上很不均匀。其特点是：冬春少雨，每年的</w:t>
      </w:r>
      <w:r>
        <w:rPr>
          <w:color w:val="000000" w:themeColor="text1"/>
          <w14:textFill>
            <w14:solidFill>
              <w14:schemeClr w14:val="tx1"/>
            </w14:solidFill>
          </w14:textFill>
        </w:rPr>
        <w:t>12</w:t>
      </w:r>
      <w:r>
        <w:rPr>
          <w:rFonts w:hint="eastAsia" w:ascii="宋体" w:hAnsi="宋体"/>
          <w:color w:val="000000" w:themeColor="text1"/>
          <w14:textFill>
            <w14:solidFill>
              <w14:schemeClr w14:val="tx1"/>
            </w14:solidFill>
          </w14:textFill>
        </w:rPr>
        <w:t>月到次年的</w:t>
      </w:r>
      <w:r>
        <w:rPr>
          <w:color w:val="000000" w:themeColor="text1"/>
          <w14:textFill>
            <w14:solidFill>
              <w14:schemeClr w14:val="tx1"/>
            </w14:solidFill>
          </w14:textFill>
        </w:rPr>
        <w:t>2</w:t>
      </w:r>
      <w:r>
        <w:rPr>
          <w:rFonts w:hint="eastAsia" w:ascii="宋体" w:hAnsi="宋体"/>
          <w:color w:val="000000" w:themeColor="text1"/>
          <w14:textFill>
            <w14:solidFill>
              <w14:schemeClr w14:val="tx1"/>
            </w14:solidFill>
          </w14:textFill>
        </w:rPr>
        <w:t>月是一年中的最枯季，雨量甚小，强度低，降雨量多消耗在包气带和植被的蒸发上，对地下水补给微弱；秋季多雨，持续时间较长，降雨强度不大，不易形成大的地表径流，对地下水的补给十分有利。夏季时节，降雨常以大雨或特大暴雨形式出现，降雨时间短，强度大，易形成强大的地表径流，来不及渗入地下便汇入江河，对地下水补给几率也不高，在伏旱中，连续多日无雨，加之气温高，地面蒸发大，部分河流甚至断流，塘、库干枯，从而造成地下水的补给极少或中断。</w:t>
      </w:r>
    </w:p>
    <w:p>
      <w:pPr>
        <w:spacing w:before="24"/>
        <w:ind w:firstLine="520"/>
        <w:jc w:val="both"/>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地形地貌与植被发育状况，对地下水补给渗入有较明显的控制作用。顺向坡低洼处地表水易汇集，对地下水补给有利；地形坡度不大，地表径流速度较慢，在含水层表面滞留时间较长有利地表水沿裂隙渗入补给。植被发育地带，地表水流速减慢，不易形成强大的地表径流，亦有利于降雨的入渗。</w:t>
      </w:r>
    </w:p>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rFonts w:hint="eastAsia" w:ascii="宋体" w:hAnsi="宋体"/>
          <w:color w:val="000000" w:themeColor="text1"/>
          <w14:textFill>
            <w14:solidFill>
              <w14:schemeClr w14:val="tx1"/>
            </w14:solidFill>
          </w14:textFill>
        </w:rPr>
        <w:t>径流、排泄条件</w:t>
      </w:r>
    </w:p>
    <w:p>
      <w:pPr>
        <w:spacing w:before="24"/>
        <w:ind w:firstLine="520"/>
        <w:jc w:val="both"/>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岩性组合为砂岩与泥岩互层，砂岩为含水层，泥岩为相对隔水层。受岩性、构造与地形条件控制，各含水层自成补给、径流、排泄系统，相互间一般无水力联系。砂岩中的裂隙控制着地下水的运移和储存，向深部渗透能力也随裂隙的减少和裂隙张开度变小逐渐转弱。径流方向受裂隙发育方向限制，从区域上来说，即沿着裂隙最发育的方向。地下水的径流存在两种方式：在浅部受横向沟谷控制，往往在相邻的沟谷间作短途运移，由高处往低处运移，在沟谷或低洼处排泄，以下降泉或是低洼处的渗水形式出现；在深部运移途径较长，具有一定的区域性，与构造展布方向和地形变化的总趋势相一致，向横切构造线的主要河流运移、排泄，当在条件适宜时，在与隔水层的接触带呈上升泉的形式排泄。地下水的循环还受地貌的影响，一般在切割较剧烈的窄谷地带，径流短，流速快，泉水动态明显受降水影响；而在地形平缓的浅丘宽谷地带，径流长，流速也缓慢。</w:t>
      </w:r>
    </w:p>
    <w:p>
      <w:pPr>
        <w:spacing w:before="24"/>
        <w:ind w:firstLine="520"/>
        <w:jc w:val="both"/>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砂岩含水层中的地下水，从接受大气降水起，在较高的水头作用下，一部分或全部向含水层倾斜方向径流，在含水层顶界面露头地带前缘一线，遇地势相对低洼地点，逐以泉的形式或从现有民井中溢出，构成这种单斜型含水构造的溢出排泄带；另一部分或全部顺层沿走向向两侧运移至地形凹处的横沟或斜沟排泄；或者含水层露头接受降水补给后，地下水顺倾斜方向运移向纵沟排泄。</w:t>
      </w:r>
    </w:p>
    <w:p>
      <w:pPr>
        <w:pStyle w:val="5"/>
        <w:jc w:val="both"/>
      </w:pPr>
      <w:r>
        <w:rPr>
          <w:rFonts w:hint="eastAsia"/>
        </w:rPr>
        <w:t>地下水埋藏特征</w:t>
      </w:r>
    </w:p>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（1）地下水多以潜水为主</w:t>
      </w:r>
    </w:p>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砂岩含水层多为较厚的泥岩隔水层（相对隔水层）隔离，各含水层相互间无水力联系，形成了相互叠置的无水力联系的多层含水层，当处于褶皱翼部时，易构成承压水斜地。调查区内岩层倾角缓，因此构成承压水的条件稍好，以层间承压水状态出露较多，其地下水位随季节变化较大，旱季水位深，雨季水位浅。</w:t>
      </w:r>
    </w:p>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（2）地下水位埋藏浅，成纵向径流，并呈带状分布</w:t>
      </w:r>
    </w:p>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地下水的埋藏分布直接受控于岩性及裂隙发育程度，一般具有埋藏浅，顺层带状分布，纵向径流等特点。因岩石风化强度向深部减弱，风化裂隙率向深部降低；据钻孔和收集资料表明，风化裂隙发育深度大部分在10～30m，构造裂隙发育深度一般在20～90m，并随深度增加而减弱，含水裂隙均出现在砂岩层或砂、泥岩交接带，泥岩中裂隙基本不发育，且多呈闭合状，无含水显示，因此地下水主要富集在80m以上，埋深浅。</w:t>
      </w:r>
    </w:p>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（3）地下水主要储存于砂岩裂隙中</w:t>
      </w:r>
    </w:p>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地下水主要储存于砂岩裂隙中，以风化后的构造裂隙及层面裂隙为主。据钻孔资料及地面调查资料，出水部位大部分位于砂岩与泥岩接触处的层面裂隙发育段。</w:t>
      </w:r>
    </w:p>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（4）地下水分布不均匀</w:t>
      </w:r>
    </w:p>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由于各控水因素具有多变性，导致地下水分布极不均匀，如在地下裂隙发育且联通性较好的部位，富水性相对较好；含水层露头延伸长度大，切割小，补给面宽的地带，富水性相对较好。而不具备这些条件时，则相对贫水。总体上，地下水富水性极贫乏～贫乏。</w:t>
      </w:r>
    </w:p>
    <w:p>
      <w:pPr>
        <w:pStyle w:val="5"/>
        <w:jc w:val="both"/>
      </w:pPr>
      <w:r>
        <w:t>包气带特征</w:t>
      </w:r>
    </w:p>
    <w:p>
      <w:pPr>
        <w:spacing w:before="24"/>
        <w:ind w:firstLine="520"/>
        <w:jc w:val="both"/>
        <w:rPr>
          <w:color w:val="000000" w:themeColor="text1"/>
          <w14:textFill>
            <w14:solidFill>
              <w14:schemeClr w14:val="tx1"/>
            </w14:solidFill>
          </w14:textFill>
        </w:rPr>
      </w:pPr>
      <w:r>
        <w:rPr>
          <w:color w:val="000000" w:themeColor="text1"/>
          <w14:textFill>
            <w14:solidFill>
              <w14:schemeClr w14:val="tx1"/>
            </w14:solidFill>
          </w14:textFill>
        </w:rPr>
        <w:t>包气带岩性主要为第四系残坡积层，岩性主要为黄色或褐色粉砂岩、砂岩、泥岩碎块、粘土、粉砂质粘土、亚粘土、砂砾构成，结构较松散，主要分布于调查区的山麓、河床及缓坡地带等地势低洼地带，结构松散，不整合覆盖于各老地层之上，厚一般1～5m。土层的透水性差，旱季一般透水而不含水，雨季局部地形低洼处含季节性孔隙水，具有就地补给、排泄、径流短的特点。根据区内已有包气带渗水试验结果：砂类土土层的渗透系数k在0.42231～0.58552m/d之间，平均值为0.5447m/d；粘性土土层的渗透系数k在0.00591m/d～0.00258m/d之间，平均值为0.0228m/d。区域出露形式一般以人工开挖民井为主，流量小于0.05L/S，与下伏地层因基底岩性及风化程度不同具有一定的水力联系。但富水性弱，季节性变化大，由于厚度小，分布面积有限，其水文地质意义不大。</w:t>
      </w:r>
    </w:p>
    <w:p>
      <w:pPr>
        <w:pStyle w:val="5"/>
        <w:jc w:val="both"/>
      </w:pPr>
      <w:r>
        <w:t>地下水动态变化特征</w:t>
      </w:r>
    </w:p>
    <w:p>
      <w:pPr>
        <w:spacing w:before="24"/>
        <w:ind w:firstLine="520"/>
        <w:jc w:val="both"/>
        <w:rPr>
          <w:color w:val="000000" w:themeColor="text1"/>
          <w14:textFill>
            <w14:solidFill>
              <w14:schemeClr w14:val="tx1"/>
            </w14:solidFill>
          </w14:textFill>
        </w:rPr>
      </w:pPr>
      <w:r>
        <w:rPr>
          <w:color w:val="000000" w:themeColor="text1"/>
          <w14:textFill>
            <w14:solidFill>
              <w14:schemeClr w14:val="tx1"/>
            </w14:solidFill>
          </w14:textFill>
        </w:rPr>
        <w:t>地下水流量或水位的动态变化是含水岩组含水介质组合特征、地下水水力坡度大小、人工开采地下水等综合因素的体现，是地下水接受补给与消耗的直观反映。根据影响地下水动态的主导因素进行分类，</w:t>
      </w:r>
      <w:r>
        <w:rPr>
          <w:rFonts w:hint="eastAsia"/>
          <w:color w:val="000000" w:themeColor="text1"/>
          <w14:textFill>
            <w14:solidFill>
              <w14:schemeClr w14:val="tx1"/>
            </w14:solidFill>
          </w14:textFill>
        </w:rPr>
        <w:t>评价区域</w:t>
      </w:r>
      <w:r>
        <w:rPr>
          <w:color w:val="000000" w:themeColor="text1"/>
          <w14:textFill>
            <w14:solidFill>
              <w14:schemeClr w14:val="tx1"/>
            </w14:solidFill>
          </w14:textFill>
        </w:rPr>
        <w:t>地下水动态类型为径流型。地形高差相对较大，水位埋藏较浅，以径流排泄为主，蒸发排泄次之。雨季接受入渗补给，各处水位抬升幅度不等。接近排泄区的低地，水位上升幅度小，远离排泄点的高处，水位上升幅度大，因此，水力梯度增大，径流排泄加强。补给停止后，径流排泄使各处水位逐渐趋平。径流型动态的特点是：年水位变幅大而不均（由分水岭到排泄区，年水位变幅由大到小），水质季节变化不明显，长期则不断趋于淡化。</w:t>
      </w:r>
    </w:p>
    <w:p>
      <w:pPr>
        <w:pStyle w:val="5"/>
        <w:jc w:val="both"/>
      </w:pPr>
      <w:r>
        <w:rPr>
          <w:rFonts w:hint="eastAsia"/>
        </w:rPr>
        <w:t>水文地质单元划分</w:t>
      </w:r>
    </w:p>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根据水文地质调查报告，龙桥组团南岸浦片区划分为一个完整水文地质单元，具体情况如下：</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南岸浦片区位于长江右岸（南岸），所在区域地层分布主要为临近长江区域的第四系孔隙水，基岩为上沙溪庙组基岩风化裂隙水，地下水基本沿地形从高至低径流，在长江或溪沟以渗流形式排泄。</w:t>
      </w:r>
      <w:r>
        <w:rPr>
          <w:color w:val="000000" w:themeColor="text1"/>
          <w14:textFill>
            <w14:solidFill>
              <w14:schemeClr w14:val="tx1"/>
            </w14:solidFill>
          </w14:textFill>
        </w:rPr>
        <w:t>南部</w:t>
      </w:r>
      <w:r>
        <w:rPr>
          <w:rFonts w:hint="eastAsia"/>
          <w:color w:val="000000" w:themeColor="text1"/>
          <w14:textFill>
            <w14:solidFill>
              <w14:schemeClr w14:val="tx1"/>
            </w14:solidFill>
          </w14:textFill>
        </w:rPr>
        <w:t>（上游）</w:t>
      </w:r>
      <w:r>
        <w:rPr>
          <w:color w:val="000000" w:themeColor="text1"/>
          <w14:textFill>
            <w14:solidFill>
              <w14:schemeClr w14:val="tx1"/>
            </w14:solidFill>
          </w14:textFill>
        </w:rPr>
        <w:t>区域以</w:t>
      </w:r>
      <w:r>
        <w:rPr>
          <w:rFonts w:hint="eastAsia"/>
          <w:color w:val="000000" w:themeColor="text1"/>
          <w14:textFill>
            <w14:solidFill>
              <w14:schemeClr w14:val="tx1"/>
            </w14:solidFill>
          </w14:textFill>
        </w:rPr>
        <w:t>第一排山体</w:t>
      </w:r>
      <w:r>
        <w:rPr>
          <w:color w:val="000000" w:themeColor="text1"/>
          <w14:textFill>
            <w14:solidFill>
              <w14:schemeClr w14:val="tx1"/>
            </w14:solidFill>
          </w14:textFill>
        </w:rPr>
        <w:t>分水岭</w:t>
      </w:r>
      <w:r>
        <w:rPr>
          <w:rFonts w:hint="eastAsia"/>
          <w:color w:val="000000" w:themeColor="text1"/>
          <w14:textFill>
            <w14:solidFill>
              <w14:schemeClr w14:val="tx1"/>
            </w14:solidFill>
          </w14:textFill>
        </w:rPr>
        <w:t>或鞍部</w:t>
      </w:r>
      <w:r>
        <w:rPr>
          <w:color w:val="000000" w:themeColor="text1"/>
          <w14:textFill>
            <w14:solidFill>
              <w14:schemeClr w14:val="tx1"/>
            </w14:solidFill>
          </w14:textFill>
        </w:rPr>
        <w:t>作为边界，</w:t>
      </w:r>
      <w:r>
        <w:rPr>
          <w:rFonts w:hint="eastAsia"/>
          <w:color w:val="000000" w:themeColor="text1"/>
          <w14:textFill>
            <w14:solidFill>
              <w14:schemeClr w14:val="tx1"/>
            </w14:solidFill>
          </w14:textFill>
        </w:rPr>
        <w:t>北部以长江为界，西南以清溪沟为界，东北</w:t>
      </w:r>
      <w:r>
        <w:rPr>
          <w:color w:val="000000" w:themeColor="text1"/>
          <w14:textFill>
            <w14:solidFill>
              <w14:schemeClr w14:val="tx1"/>
            </w14:solidFill>
          </w14:textFill>
        </w:rPr>
        <w:t>部</w:t>
      </w:r>
      <w:r>
        <w:rPr>
          <w:rFonts w:hint="eastAsia"/>
          <w:color w:val="000000" w:themeColor="text1"/>
          <w14:textFill>
            <w14:solidFill>
              <w14:schemeClr w14:val="tx1"/>
            </w14:solidFill>
          </w14:textFill>
        </w:rPr>
        <w:t>以南岸浦片区东部山体分水岭</w:t>
      </w:r>
      <w:r>
        <w:rPr>
          <w:color w:val="000000" w:themeColor="text1"/>
          <w14:textFill>
            <w14:solidFill>
              <w14:schemeClr w14:val="tx1"/>
            </w14:solidFill>
          </w14:textFill>
        </w:rPr>
        <w:t>作为边界，面积共42.0km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p>
    <w:p>
      <w:pPr>
        <w:pStyle w:val="4"/>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生态环境现状</w:t>
      </w:r>
    </w:p>
    <w:p>
      <w:pPr>
        <w:pStyle w:val="5"/>
        <w:jc w:val="both"/>
      </w:pPr>
      <w:r>
        <w:rPr>
          <w:rFonts w:hint="eastAsia"/>
        </w:rPr>
        <w:t>土壤</w:t>
      </w:r>
    </w:p>
    <w:p>
      <w:pPr>
        <w:spacing w:before="31" w:beforeLines="10" w:line="460" w:lineRule="atLeast"/>
        <w:ind w:firstLine="520"/>
        <w:jc w:val="both"/>
        <w:rPr>
          <w:rFonts w:eastAsiaTheme="minorEastAsia"/>
          <w:snapToGrid w:val="0"/>
          <w:color w:val="000000" w:themeColor="text1"/>
          <w:kern w:val="0"/>
          <w:szCs w:val="24"/>
          <w14:textFill>
            <w14:solidFill>
              <w14:schemeClr w14:val="tx1"/>
            </w14:solidFill>
          </w14:textFill>
        </w:rPr>
      </w:pPr>
      <w:r>
        <w:rPr>
          <w:rFonts w:eastAsiaTheme="minorEastAsia"/>
          <w:snapToGrid w:val="0"/>
          <w:color w:val="000000" w:themeColor="text1"/>
          <w:kern w:val="0"/>
          <w:szCs w:val="24"/>
          <w14:textFill>
            <w14:solidFill>
              <w14:schemeClr w14:val="tx1"/>
            </w14:solidFill>
          </w14:textFill>
        </w:rPr>
        <w:t>土壤属性并按成土条件和成土过程的分类原则，涪陵土壤分为4个土类，6个亚类，18个土属，64个土种：一是水稻土，面积59533.3hm</w:t>
      </w:r>
      <w:r>
        <w:rPr>
          <w:rFonts w:eastAsiaTheme="minorEastAsia"/>
          <w:snapToGrid w:val="0"/>
          <w:color w:val="000000" w:themeColor="text1"/>
          <w:kern w:val="0"/>
          <w:szCs w:val="24"/>
          <w:vertAlign w:val="superscript"/>
          <w14:textFill>
            <w14:solidFill>
              <w14:schemeClr w14:val="tx1"/>
            </w14:solidFill>
          </w14:textFill>
        </w:rPr>
        <w:t>2</w:t>
      </w:r>
      <w:r>
        <w:rPr>
          <w:rFonts w:eastAsiaTheme="minorEastAsia"/>
          <w:snapToGrid w:val="0"/>
          <w:color w:val="000000" w:themeColor="text1"/>
          <w:kern w:val="0"/>
          <w:szCs w:val="24"/>
          <w14:textFill>
            <w14:solidFill>
              <w14:schemeClr w14:val="tx1"/>
            </w14:solidFill>
          </w14:textFill>
        </w:rPr>
        <w:t>，分为3个亚类，9个土属，28个土种；二是冲积土类，面积498.1hm</w:t>
      </w:r>
      <w:r>
        <w:rPr>
          <w:rFonts w:eastAsiaTheme="minorEastAsia"/>
          <w:snapToGrid w:val="0"/>
          <w:color w:val="000000" w:themeColor="text1"/>
          <w:kern w:val="0"/>
          <w:szCs w:val="24"/>
          <w:vertAlign w:val="superscript"/>
          <w14:textFill>
            <w14:solidFill>
              <w14:schemeClr w14:val="tx1"/>
            </w14:solidFill>
          </w14:textFill>
        </w:rPr>
        <w:t>2</w:t>
      </w:r>
      <w:r>
        <w:rPr>
          <w:rFonts w:eastAsiaTheme="minorEastAsia"/>
          <w:snapToGrid w:val="0"/>
          <w:color w:val="000000" w:themeColor="text1"/>
          <w:kern w:val="0"/>
          <w:szCs w:val="24"/>
          <w14:textFill>
            <w14:solidFill>
              <w14:schemeClr w14:val="tx1"/>
            </w14:solidFill>
          </w14:textFill>
        </w:rPr>
        <w:t>，又名潮土，归为河流冲积土亚类，有2个土属，4个土种；三是紫色土类，面积45512.1hm</w:t>
      </w:r>
      <w:r>
        <w:rPr>
          <w:rFonts w:eastAsiaTheme="minorEastAsia"/>
          <w:snapToGrid w:val="0"/>
          <w:color w:val="000000" w:themeColor="text1"/>
          <w:kern w:val="0"/>
          <w:szCs w:val="24"/>
          <w:vertAlign w:val="superscript"/>
          <w14:textFill>
            <w14:solidFill>
              <w14:schemeClr w14:val="tx1"/>
            </w14:solidFill>
          </w14:textFill>
        </w:rPr>
        <w:t>2</w:t>
      </w:r>
      <w:r>
        <w:rPr>
          <w:rFonts w:eastAsiaTheme="minorEastAsia"/>
          <w:snapToGrid w:val="0"/>
          <w:color w:val="000000" w:themeColor="text1"/>
          <w:kern w:val="0"/>
          <w:szCs w:val="24"/>
          <w14:textFill>
            <w14:solidFill>
              <w14:schemeClr w14:val="tx1"/>
            </w14:solidFill>
          </w14:textFill>
        </w:rPr>
        <w:t>，归为棕紫泥土亚类，有4个土属，21个土种；四是山地黄壤类，面积16249.8hm</w:t>
      </w:r>
      <w:r>
        <w:rPr>
          <w:rFonts w:eastAsiaTheme="minorEastAsia"/>
          <w:snapToGrid w:val="0"/>
          <w:color w:val="000000" w:themeColor="text1"/>
          <w:kern w:val="0"/>
          <w:szCs w:val="24"/>
          <w:vertAlign w:val="superscript"/>
          <w14:textFill>
            <w14:solidFill>
              <w14:schemeClr w14:val="tx1"/>
            </w14:solidFill>
          </w14:textFill>
        </w:rPr>
        <w:t>2</w:t>
      </w:r>
      <w:r>
        <w:rPr>
          <w:rFonts w:eastAsiaTheme="minorEastAsia"/>
          <w:snapToGrid w:val="0"/>
          <w:color w:val="000000" w:themeColor="text1"/>
          <w:kern w:val="0"/>
          <w:szCs w:val="24"/>
          <w14:textFill>
            <w14:solidFill>
              <w14:schemeClr w14:val="tx1"/>
            </w14:solidFill>
          </w14:textFill>
        </w:rPr>
        <w:t>，归为山地黄壤类，有3个土属，11个土种。</w:t>
      </w:r>
    </w:p>
    <w:p>
      <w:pPr>
        <w:spacing w:before="31" w:beforeLines="10" w:line="460" w:lineRule="atLeast"/>
        <w:ind w:firstLine="520"/>
        <w:jc w:val="both"/>
        <w:rPr>
          <w:rFonts w:eastAsiaTheme="minorEastAsia"/>
          <w:snapToGrid w:val="0"/>
          <w:color w:val="000000" w:themeColor="text1"/>
          <w:kern w:val="0"/>
          <w:szCs w:val="24"/>
          <w14:textFill>
            <w14:solidFill>
              <w14:schemeClr w14:val="tx1"/>
            </w14:solidFill>
          </w14:textFill>
        </w:rPr>
      </w:pPr>
      <w:r>
        <w:rPr>
          <w:rFonts w:hint="eastAsia" w:eastAsiaTheme="minorEastAsia"/>
          <w:snapToGrid w:val="0"/>
          <w:color w:val="000000" w:themeColor="text1"/>
          <w:kern w:val="0"/>
          <w:szCs w:val="24"/>
          <w14:textFill>
            <w14:solidFill>
              <w14:schemeClr w14:val="tx1"/>
            </w14:solidFill>
          </w14:textFill>
        </w:rPr>
        <w:t>项目所在区域</w:t>
      </w:r>
      <w:r>
        <w:rPr>
          <w:rFonts w:eastAsiaTheme="minorEastAsia"/>
          <w:snapToGrid w:val="0"/>
          <w:color w:val="000000" w:themeColor="text1"/>
          <w:kern w:val="0"/>
          <w:szCs w:val="24"/>
          <w14:textFill>
            <w14:solidFill>
              <w14:schemeClr w14:val="tx1"/>
            </w14:solidFill>
          </w14:textFill>
        </w:rPr>
        <w:t>土壤主要有紫色土、水稻土、黄壤土等类型。</w:t>
      </w:r>
    </w:p>
    <w:p>
      <w:pPr>
        <w:pStyle w:val="5"/>
        <w:jc w:val="both"/>
      </w:pPr>
      <w:r>
        <w:rPr>
          <w:rFonts w:hint="eastAsia"/>
        </w:rPr>
        <w:t>植被</w:t>
      </w:r>
    </w:p>
    <w:p>
      <w:pPr>
        <w:spacing w:before="31" w:beforeLines="10" w:line="460" w:lineRule="atLeast"/>
        <w:ind w:firstLine="520"/>
        <w:jc w:val="both"/>
        <w:rPr>
          <w:rFonts w:eastAsiaTheme="minorEastAsia"/>
          <w:snapToGrid w:val="0"/>
          <w:color w:val="000000" w:themeColor="text1"/>
          <w:kern w:val="0"/>
          <w:szCs w:val="24"/>
          <w14:textFill>
            <w14:solidFill>
              <w14:schemeClr w14:val="tx1"/>
            </w14:solidFill>
          </w14:textFill>
        </w:rPr>
      </w:pPr>
      <w:r>
        <w:rPr>
          <w:rFonts w:hint="eastAsia" w:eastAsiaTheme="minorEastAsia"/>
          <w:snapToGrid w:val="0"/>
          <w:color w:val="000000" w:themeColor="text1"/>
          <w:kern w:val="0"/>
          <w:szCs w:val="24"/>
          <w14:textFill>
            <w14:solidFill>
              <w14:schemeClr w14:val="tx1"/>
            </w14:solidFill>
          </w14:textFill>
        </w:rPr>
        <w:t>涪陵区境内植物种类丰富，类型多样，据粗约统计，孢子植物和种子植物共有330余科1500余属4000多种。其中粮食作物有水稻、玉米、红苕、洋芋、胡豆、豌豆、黄豆、高粱等10多种，300余种品种；经济作物有油菜、花生、芝麻、青菜头、萝卜、白菜、西红柿、豌豆、芋头、莲藕、高笋、烟草、苎麻、西瓜、荸荠等数十种。</w:t>
      </w:r>
    </w:p>
    <w:p>
      <w:pPr>
        <w:spacing w:before="31" w:beforeLines="10" w:line="460" w:lineRule="atLeast"/>
        <w:ind w:firstLine="520"/>
        <w:jc w:val="both"/>
        <w:rPr>
          <w:rFonts w:eastAsiaTheme="minorEastAsia"/>
          <w:snapToGrid w:val="0"/>
          <w:color w:val="000000" w:themeColor="text1"/>
          <w:kern w:val="0"/>
          <w:szCs w:val="24"/>
          <w14:textFill>
            <w14:solidFill>
              <w14:schemeClr w14:val="tx1"/>
            </w14:solidFill>
          </w14:textFill>
        </w:rPr>
      </w:pPr>
      <w:r>
        <w:rPr>
          <w:rFonts w:hint="eastAsia" w:eastAsiaTheme="minorEastAsia"/>
          <w:snapToGrid w:val="0"/>
          <w:color w:val="000000" w:themeColor="text1"/>
          <w:kern w:val="0"/>
          <w:szCs w:val="24"/>
          <w14:textFill>
            <w14:solidFill>
              <w14:schemeClr w14:val="tx1"/>
            </w14:solidFill>
          </w14:textFill>
        </w:rPr>
        <w:t>项目所在区域分布有乔木、灌木及草本植物。农作物以稻麦、薯类、玉米为主，“四旁”树木主要为泡桐、刺槐、柏树等，经济林有桑、果木等，荒地广生灌、藤植物。</w:t>
      </w:r>
    </w:p>
    <w:p>
      <w:pPr>
        <w:pStyle w:val="5"/>
        <w:jc w:val="both"/>
      </w:pPr>
      <w:r>
        <w:rPr>
          <w:rFonts w:hint="eastAsia"/>
        </w:rPr>
        <w:t>水生生物</w:t>
      </w:r>
    </w:p>
    <w:p>
      <w:pPr>
        <w:spacing w:before="31" w:beforeLines="10" w:line="460" w:lineRule="atLeast"/>
        <w:ind w:firstLine="520"/>
        <w:jc w:val="both"/>
        <w:rPr>
          <w:rFonts w:eastAsiaTheme="minorEastAsia"/>
          <w:snapToGrid w:val="0"/>
          <w:color w:val="000000" w:themeColor="text1"/>
          <w:kern w:val="0"/>
          <w:szCs w:val="24"/>
          <w14:textFill>
            <w14:solidFill>
              <w14:schemeClr w14:val="tx1"/>
            </w14:solidFill>
          </w14:textFill>
        </w:rPr>
      </w:pPr>
      <w:r>
        <w:rPr>
          <w:rFonts w:hint="eastAsia" w:eastAsiaTheme="minorEastAsia"/>
          <w:snapToGrid w:val="0"/>
          <w:color w:val="000000" w:themeColor="text1"/>
          <w:kern w:val="0"/>
          <w:szCs w:val="24"/>
          <w14:textFill>
            <w14:solidFill>
              <w14:schemeClr w14:val="tx1"/>
            </w14:solidFill>
          </w14:textFill>
        </w:rPr>
        <w:t>根据涪陵区渔政部门提供的资料，全区长江流域中现有鱼类145种（含亚种），分隶于7目，17科（不包括近年来引进的叉尾鮰、云斑鮰、虹鳟、俄罗斯鲟、匙吻鲟、加州鲈鱼、锦鲤等品种）。属国家一级保护的水生野生动物有中华鲟、乌江鲟、白鲟3种；属国家二级保护的水生野生动物有胭脂鱼、大鲵、水獭3种；属市级重点保护的水生野生动物有鲈鲤、岩原鲤、鯮、鳤、中华间吸鳅、四川华吸鳅、长薄鳅、乌龟等8种；乌江上游特有的经济鱼类有中华鲟、乌江鲟、白鲟、胭脂鱼、长吻鮠、鳗鲡、鯮、鱤、青鱼、铜鱼、白甲鱼、吻鮈、</w:t>
      </w:r>
      <w:r>
        <w:rPr>
          <w:rFonts w:hint="eastAsia" w:eastAsiaTheme="minorEastAsia"/>
          <w:snapToGrid w:val="0"/>
          <w:color w:val="000000" w:themeColor="text1"/>
          <w:kern w:val="0"/>
          <w:szCs w:val="24"/>
          <w:lang w:eastAsia="zh-CN"/>
          <w14:textFill>
            <w14:solidFill>
              <w14:schemeClr w14:val="tx1"/>
            </w14:solidFill>
          </w14:textFill>
        </w:rPr>
        <w:t>圆筒</w:t>
      </w:r>
      <w:r>
        <w:rPr>
          <w:rFonts w:hint="eastAsia" w:eastAsiaTheme="minorEastAsia"/>
          <w:snapToGrid w:val="0"/>
          <w:color w:val="000000" w:themeColor="text1"/>
          <w:kern w:val="0"/>
          <w:szCs w:val="24"/>
          <w14:textFill>
            <w14:solidFill>
              <w14:schemeClr w14:val="tx1"/>
            </w14:solidFill>
          </w14:textFill>
        </w:rPr>
        <w:t>吻鮈、长鳍吻鮈等；江河渔获物中有重要经济价值的鱼类30多种，常见的主要经济鱼类20多种；最有“三峡特色”品牌开发价值的土著鱼类有长吻鮠（江团）、南方大口鲶、岩原鲤、胭脂鱼（黄排、一帆风顺）、中华倒刺鲃（青波）、黄颡鱼（黄腊丁）、细鳞裂腹鱼（贵妃剑鱼、洋鱼）、齐口裂腹鱼（雅鱼、齐口）、重口裂腹鱼（雅鱼、重口）、墨头鱼（东坡墨鱼）、鲈鲤（鳇鱼、花鲤）、铜鱼（尖头、水密子）、沙鳅（泫鱼子,包括沙鳅属和副沙鳅属的几种鱼类）、鳜鱼（母猪壳）等十多种；有较大品牌开发价值的土著鱼类有白甲鱼（突吻鱼、毛白甲）、泉水鱼（油筒子、油鱼）、华鲮（青龙棒）、云南光唇鱼（赤尾仔）、长薄鳅（花鳅、华南虎）、翘咀红鲌（翘壳、鸭咀子）、拟尖头红鮊、瓦氏黄颡鱼（江黄颡鱼、黄腊丁）、三角鲂（乌鳊）、鳊鱼（长春鳊、草鳊）等十多种；有一定品牌开发价值的土著鱼类有多鳞铲颌鱼（泰山赤鳞鱼）、赤眼鳟（红眼棒）、鲴鱼（类）、马口鱼（桃花鱼）、四川白甲鱼（腊棕））、鲇鱼（土鲇）、乌鱧（乌棒、财鱼）等十多种。</w:t>
      </w:r>
    </w:p>
    <w:p>
      <w:pPr>
        <w:spacing w:before="31" w:beforeLines="10" w:line="460" w:lineRule="atLeast"/>
        <w:ind w:firstLine="520"/>
        <w:jc w:val="both"/>
        <w:rPr>
          <w:rFonts w:eastAsiaTheme="minorEastAsia"/>
          <w:snapToGrid w:val="0"/>
          <w:color w:val="000000" w:themeColor="text1"/>
          <w:kern w:val="0"/>
          <w:szCs w:val="24"/>
          <w14:textFill>
            <w14:solidFill>
              <w14:schemeClr w14:val="tx1"/>
            </w14:solidFill>
          </w14:textFill>
        </w:rPr>
      </w:pPr>
      <w:r>
        <w:rPr>
          <w:rFonts w:hint="eastAsia" w:eastAsiaTheme="minorEastAsia"/>
          <w:snapToGrid w:val="0"/>
          <w:color w:val="000000" w:themeColor="text1"/>
          <w:kern w:val="0"/>
          <w:szCs w:val="24"/>
          <w14:textFill>
            <w14:solidFill>
              <w14:schemeClr w14:val="tx1"/>
            </w14:solidFill>
          </w14:textFill>
        </w:rPr>
        <w:t>涪陵区所在长江段鱼类129种，鲤形目为该区的主要类群，有103种，鲇形目15种，鲈形目8种，鲟形目3种，鳉形目2种，鲱形目、合鳃目各1种。长江上游特有的经济鱼类有长吻鮠、瓦氏黄颡鱼、铜鱼、大口鲶、大鳍鳠、中华倒刺鲃等；江河渔获物中有重要经济价值的鱼类30多种，常见的主要经济鱼类20多种。三峡水库蓄水前的长江涪陵段鱼类资源具有独特的长江上游鱼类群落组成特点。适应流水或激流生活、底栖生活，以底栖无脊椎动物为主要食物的鱼类种类最多，占有很大比例，呈现出丰富的、特有的种质资源多样性特点。其中底栖性鱼类79种，占总数的63.7%；凶猛性鱼类和以底栖软体动物及水生昆虫幼虫为食谱的中小型鱼类共有54种，占本地区鱼类种类数量的43.5%；杂食性鱼类48种，占地区鱼类种类数量的38.7%。</w:t>
      </w:r>
    </w:p>
    <w:p>
      <w:pPr>
        <w:ind w:firstLine="520"/>
        <w:jc w:val="both"/>
        <w:rPr>
          <w:color w:val="000000" w:themeColor="text1"/>
          <w14:textFill>
            <w14:solidFill>
              <w14:schemeClr w14:val="tx1"/>
            </w14:solidFill>
          </w14:textFill>
        </w:rPr>
      </w:pPr>
      <w:r>
        <w:rPr>
          <w:rFonts w:hint="eastAsia" w:eastAsiaTheme="minorEastAsia"/>
          <w:snapToGrid w:val="0"/>
          <w:color w:val="000000" w:themeColor="text1"/>
          <w:kern w:val="0"/>
          <w:szCs w:val="24"/>
          <w14:textFill>
            <w14:solidFill>
              <w14:schemeClr w14:val="tx1"/>
            </w14:solidFill>
          </w14:textFill>
        </w:rPr>
        <w:t>本项目不排放废水。</w:t>
      </w:r>
    </w:p>
    <w:p>
      <w:pPr>
        <w:pStyle w:val="3"/>
        <w:jc w:val="both"/>
      </w:pPr>
      <w:bookmarkStart w:id="102" w:name="_Toc109888259"/>
      <w:bookmarkStart w:id="103" w:name="_Toc500182382"/>
      <w:bookmarkStart w:id="104" w:name="_Toc500182381"/>
      <w:r>
        <w:rPr>
          <w:rFonts w:hint="eastAsia"/>
        </w:rPr>
        <w:t>环境质量现状调查与评价</w:t>
      </w:r>
      <w:bookmarkEnd w:id="102"/>
      <w:bookmarkEnd w:id="103"/>
    </w:p>
    <w:p>
      <w:pPr>
        <w:pStyle w:val="4"/>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环境空气质量现状</w:t>
      </w:r>
    </w:p>
    <w:p>
      <w:pPr>
        <w:pStyle w:val="5"/>
        <w:jc w:val="both"/>
      </w:pPr>
      <w:r>
        <w:rPr>
          <w:rFonts w:hint="eastAsia"/>
        </w:rPr>
        <w:t>基本污染物质量现状及达标区判定</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根据《环境影响评价技术导则　大气环境》（HJ 2.2-2018）：城市环境空气质量达标情况评价指标为SO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、NO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2.5</w:t>
      </w:r>
      <w:r>
        <w:rPr>
          <w:rFonts w:hint="eastAsia"/>
          <w:color w:val="000000" w:themeColor="text1"/>
          <w14:textFill>
            <w14:solidFill>
              <w14:schemeClr w14:val="tx1"/>
            </w14:solidFill>
          </w14:textFill>
        </w:rPr>
        <w:t>、CO和O</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，六项污染物全部达标即为城市环境空气质量达标，据此可以判定项目所在区域为达标区。</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本次评价采用《</w:t>
      </w:r>
      <w:r>
        <w:rPr>
          <w:color w:val="000000" w:themeColor="text1"/>
          <w14:textFill>
            <w14:solidFill>
              <w14:schemeClr w14:val="tx1"/>
            </w14:solidFill>
          </w14:textFill>
        </w:rPr>
        <w:t>2022</w:t>
      </w:r>
      <w:r>
        <w:rPr>
          <w:rFonts w:hint="eastAsia"/>
          <w:color w:val="000000" w:themeColor="text1"/>
          <w14:textFill>
            <w14:solidFill>
              <w14:schemeClr w14:val="tx1"/>
            </w14:solidFill>
          </w14:textFill>
        </w:rPr>
        <w:t>年重庆市生态环境状况公报》中涪陵区环境空气中常规污染物质量数据，见表4</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涪陵区环境空气基本项目现状评价表</w:t>
      </w:r>
    </w:p>
    <w:tbl>
      <w:tblPr>
        <w:tblStyle w:val="42"/>
        <w:tblW w:w="87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2187"/>
        <w:gridCol w:w="1406"/>
        <w:gridCol w:w="1406"/>
        <w:gridCol w:w="1250"/>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污染物</w:t>
            </w:r>
          </w:p>
        </w:tc>
        <w:tc>
          <w:tcPr>
            <w:tcW w:w="218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年评价指标</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现状浓度</w:t>
            </w:r>
            <w:r>
              <w:rPr>
                <w:color w:val="000000" w:themeColor="text1"/>
                <w:sz w:val="22"/>
                <w:szCs w:val="22"/>
                <w14:textFill>
                  <w14:solidFill>
                    <w14:schemeClr w14:val="tx1"/>
                  </w14:solidFill>
                </w14:textFill>
              </w:rPr>
              <w:t>µg/m</w:t>
            </w:r>
            <w:r>
              <w:rPr>
                <w:color w:val="000000" w:themeColor="text1"/>
                <w:sz w:val="22"/>
                <w:szCs w:val="22"/>
                <w:vertAlign w:val="superscript"/>
                <w14:textFill>
                  <w14:solidFill>
                    <w14:schemeClr w14:val="tx1"/>
                  </w14:solidFill>
                </w14:textFill>
              </w:rPr>
              <w:t>3</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评价标准</w:t>
            </w:r>
            <w:r>
              <w:rPr>
                <w:color w:val="000000" w:themeColor="text1"/>
                <w:sz w:val="22"/>
                <w:szCs w:val="22"/>
                <w14:textFill>
                  <w14:solidFill>
                    <w14:schemeClr w14:val="tx1"/>
                  </w14:solidFill>
                </w14:textFill>
              </w:rPr>
              <w:t>µg/m</w:t>
            </w:r>
            <w:r>
              <w:rPr>
                <w:color w:val="000000" w:themeColor="text1"/>
                <w:sz w:val="22"/>
                <w:szCs w:val="22"/>
                <w:vertAlign w:val="superscript"/>
                <w14:textFill>
                  <w14:solidFill>
                    <w14:schemeClr w14:val="tx1"/>
                  </w14:solidFill>
                </w14:textFill>
              </w:rPr>
              <w:t>3</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占标率</w:t>
            </w:r>
            <w:r>
              <w:rPr>
                <w:color w:val="000000" w:themeColor="text1"/>
                <w:sz w:val="22"/>
                <w:szCs w:val="22"/>
                <w14:textFill>
                  <w14:solidFill>
                    <w14:schemeClr w14:val="tx1"/>
                  </w14:solidFill>
                </w14:textFill>
              </w:rPr>
              <w:t>%</w:t>
            </w:r>
          </w:p>
        </w:tc>
        <w:tc>
          <w:tcPr>
            <w:tcW w:w="12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SO</w:t>
            </w:r>
            <w:r>
              <w:rPr>
                <w:color w:val="000000" w:themeColor="text1"/>
                <w:sz w:val="22"/>
                <w:szCs w:val="22"/>
                <w:vertAlign w:val="subscript"/>
                <w14:textFill>
                  <w14:solidFill>
                    <w14:schemeClr w14:val="tx1"/>
                  </w14:solidFill>
                </w14:textFill>
              </w:rPr>
              <w:t>2</w:t>
            </w:r>
          </w:p>
        </w:tc>
        <w:tc>
          <w:tcPr>
            <w:tcW w:w="21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年平均浓度</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11</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60</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 xml:space="preserve">18.3 </w:t>
            </w:r>
          </w:p>
        </w:tc>
        <w:tc>
          <w:tcPr>
            <w:tcW w:w="12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NO</w:t>
            </w:r>
            <w:r>
              <w:rPr>
                <w:color w:val="000000" w:themeColor="text1"/>
                <w:sz w:val="22"/>
                <w:szCs w:val="22"/>
                <w:vertAlign w:val="subscript"/>
                <w14:textFill>
                  <w14:solidFill>
                    <w14:schemeClr w14:val="tx1"/>
                  </w14:solidFill>
                </w14:textFill>
              </w:rPr>
              <w:t>2</w:t>
            </w:r>
          </w:p>
        </w:tc>
        <w:tc>
          <w:tcPr>
            <w:tcW w:w="21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26</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40</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 xml:space="preserve">65.0 </w:t>
            </w:r>
          </w:p>
        </w:tc>
        <w:tc>
          <w:tcPr>
            <w:tcW w:w="12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PM</w:t>
            </w:r>
            <w:r>
              <w:rPr>
                <w:color w:val="000000" w:themeColor="text1"/>
                <w:sz w:val="22"/>
                <w:szCs w:val="22"/>
                <w:vertAlign w:val="subscript"/>
                <w14:textFill>
                  <w14:solidFill>
                    <w14:schemeClr w14:val="tx1"/>
                  </w14:solidFill>
                </w14:textFill>
              </w:rPr>
              <w:t>10</w:t>
            </w:r>
          </w:p>
        </w:tc>
        <w:tc>
          <w:tcPr>
            <w:tcW w:w="21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47</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70</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 xml:space="preserve">67.1 </w:t>
            </w:r>
          </w:p>
        </w:tc>
        <w:tc>
          <w:tcPr>
            <w:tcW w:w="12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PM</w:t>
            </w:r>
            <w:r>
              <w:rPr>
                <w:color w:val="000000" w:themeColor="text1"/>
                <w:sz w:val="22"/>
                <w:szCs w:val="22"/>
                <w:vertAlign w:val="subscript"/>
                <w14:textFill>
                  <w14:solidFill>
                    <w14:schemeClr w14:val="tx1"/>
                  </w14:solidFill>
                </w14:textFill>
              </w:rPr>
              <w:t>2.5</w:t>
            </w:r>
          </w:p>
        </w:tc>
        <w:tc>
          <w:tcPr>
            <w:tcW w:w="21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33</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35</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 xml:space="preserve">94.3 </w:t>
            </w:r>
          </w:p>
        </w:tc>
        <w:tc>
          <w:tcPr>
            <w:tcW w:w="12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O</w:t>
            </w:r>
            <w:r>
              <w:rPr>
                <w:color w:val="000000" w:themeColor="text1"/>
                <w:sz w:val="22"/>
                <w:szCs w:val="22"/>
                <w:vertAlign w:val="subscript"/>
                <w14:textFill>
                  <w14:solidFill>
                    <w14:schemeClr w14:val="tx1"/>
                  </w14:solidFill>
                </w14:textFill>
              </w:rPr>
              <w:t>3</w:t>
            </w:r>
          </w:p>
        </w:tc>
        <w:tc>
          <w:tcPr>
            <w:tcW w:w="218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最大</w:t>
            </w:r>
            <w:r>
              <w:rPr>
                <w:color w:val="000000" w:themeColor="text1"/>
                <w:sz w:val="22"/>
                <w:szCs w:val="22"/>
                <w14:textFill>
                  <w14:solidFill>
                    <w14:schemeClr w14:val="tx1"/>
                  </w14:solidFill>
                </w14:textFill>
              </w:rPr>
              <w:t>8</w:t>
            </w:r>
            <w:r>
              <w:rPr>
                <w:rFonts w:hint="eastAsia"/>
                <w:color w:val="000000" w:themeColor="text1"/>
                <w:sz w:val="22"/>
                <w:szCs w:val="22"/>
                <w14:textFill>
                  <w14:solidFill>
                    <w14:schemeClr w14:val="tx1"/>
                  </w14:solidFill>
                </w14:textFill>
              </w:rPr>
              <w:t>小时平均浓度的第</w:t>
            </w:r>
            <w:r>
              <w:rPr>
                <w:color w:val="000000" w:themeColor="text1"/>
                <w:sz w:val="22"/>
                <w:szCs w:val="22"/>
                <w14:textFill>
                  <w14:solidFill>
                    <w14:schemeClr w14:val="tx1"/>
                  </w14:solidFill>
                </w14:textFill>
              </w:rPr>
              <w:t>90</w:t>
            </w:r>
            <w:r>
              <w:rPr>
                <w:rFonts w:hint="eastAsia"/>
                <w:color w:val="000000" w:themeColor="text1"/>
                <w:sz w:val="22"/>
                <w:szCs w:val="22"/>
                <w14:textFill>
                  <w14:solidFill>
                    <w14:schemeClr w14:val="tx1"/>
                  </w14:solidFill>
                </w14:textFill>
              </w:rPr>
              <w:t>百分位数</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142</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160</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 xml:space="preserve">88.8 </w:t>
            </w:r>
          </w:p>
        </w:tc>
        <w:tc>
          <w:tcPr>
            <w:tcW w:w="12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CO</w:t>
            </w:r>
          </w:p>
        </w:tc>
        <w:tc>
          <w:tcPr>
            <w:tcW w:w="218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24</w:t>
            </w:r>
            <w:r>
              <w:rPr>
                <w:rFonts w:hint="eastAsia"/>
                <w:color w:val="000000" w:themeColor="text1"/>
                <w:sz w:val="22"/>
                <w:szCs w:val="22"/>
                <w14:textFill>
                  <w14:solidFill>
                    <w14:schemeClr w14:val="tx1"/>
                  </w14:solidFill>
                </w14:textFill>
              </w:rPr>
              <w:t>小时平均浓度的第</w:t>
            </w:r>
            <w:r>
              <w:rPr>
                <w:color w:val="000000" w:themeColor="text1"/>
                <w:sz w:val="22"/>
                <w:szCs w:val="22"/>
                <w14:textFill>
                  <w14:solidFill>
                    <w14:schemeClr w14:val="tx1"/>
                  </w14:solidFill>
                </w14:textFill>
              </w:rPr>
              <w:t>95</w:t>
            </w:r>
            <w:r>
              <w:rPr>
                <w:rFonts w:hint="eastAsia"/>
                <w:color w:val="000000" w:themeColor="text1"/>
                <w:sz w:val="22"/>
                <w:szCs w:val="22"/>
                <w14:textFill>
                  <w14:solidFill>
                    <w14:schemeClr w14:val="tx1"/>
                  </w14:solidFill>
                </w14:textFill>
              </w:rPr>
              <w:t>百分位数</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1000</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4000</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 xml:space="preserve">25.0 </w:t>
            </w:r>
          </w:p>
        </w:tc>
        <w:tc>
          <w:tcPr>
            <w:tcW w:w="12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9"/>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达标</w:t>
            </w:r>
          </w:p>
        </w:tc>
      </w:tr>
    </w:tbl>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由上表可知，涪陵区基本污染物均</w:t>
      </w:r>
      <w:r>
        <w:rPr>
          <w:color w:val="000000" w:themeColor="text1"/>
          <w14:textFill>
            <w14:solidFill>
              <w14:schemeClr w14:val="tx1"/>
            </w14:solidFill>
          </w14:textFill>
        </w:rPr>
        <w:t>满足《环境空气质量标准》（GB3095-2012）二级标准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环境空气</w:t>
      </w:r>
      <w:r>
        <w:rPr>
          <w:rFonts w:hint="eastAsia"/>
          <w:color w:val="000000" w:themeColor="text1"/>
          <w14:textFill>
            <w14:solidFill>
              <w14:schemeClr w14:val="tx1"/>
            </w14:solidFill>
          </w14:textFill>
        </w:rPr>
        <w:t>质量现状</w:t>
      </w:r>
      <w:r>
        <w:rPr>
          <w:color w:val="000000" w:themeColor="text1"/>
          <w14:textFill>
            <w14:solidFill>
              <w14:schemeClr w14:val="tx1"/>
            </w14:solidFill>
          </w14:textFill>
        </w:rPr>
        <w:t>良好</w:t>
      </w:r>
      <w:r>
        <w:rPr>
          <w:rFonts w:hint="eastAsia"/>
          <w:color w:val="000000" w:themeColor="text1"/>
          <w14:textFill>
            <w14:solidFill>
              <w14:schemeClr w14:val="tx1"/>
            </w14:solidFill>
          </w14:textFill>
        </w:rPr>
        <w:t>。涪陵区为环境空气达标区。</w:t>
      </w:r>
    </w:p>
    <w:p>
      <w:pPr>
        <w:pStyle w:val="5"/>
        <w:jc w:val="both"/>
      </w:pPr>
      <w:r>
        <w:rPr>
          <w:rFonts w:hint="eastAsia"/>
        </w:rPr>
        <w:t>其他污染物监测数据现状评价</w:t>
      </w:r>
    </w:p>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根据《环境影响评价技术导则 大气环境》（HJ2.2-2018）中环境质量现状监测布点原则（以近20年统计的当地主导风向为轴向，在厂址及主导风向下风向5km范围内设置1-2个监测点）。评价在收集区域已有监测资料的基础上进行补充监测。</w:t>
      </w:r>
    </w:p>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“非甲烷总烃、氨、硫化氢、氯气、氯化氢、酚类、总挥发性有机物”引用《重庆涪陵工业园区龙桥组团规划调整环境影响报告书》大气环境监测数据，监测点位于龙桥中学（位于本项目西北侧（下风向）约1</w:t>
      </w:r>
      <w:r>
        <w:rPr>
          <w:color w:val="000000" w:themeColor="text1"/>
          <w14:textFill>
            <w14:solidFill>
              <w14:schemeClr w14:val="tx1"/>
            </w14:solidFill>
          </w14:textFill>
        </w:rPr>
        <w:t>.2km</w:t>
      </w:r>
      <w:r>
        <w:rPr>
          <w:rFonts w:hint="eastAsia"/>
          <w:color w:val="000000" w:themeColor="text1"/>
          <w14:textFill>
            <w14:solidFill>
              <w14:schemeClr w14:val="tx1"/>
            </w14:solidFill>
          </w14:textFill>
        </w:rPr>
        <w:t>处）。监测数据未超过三年，引用监测数据可行。</w:t>
      </w:r>
    </w:p>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“铅、镉、汞、砷、六价铬、氟化物”委托有资质监测公司开展7天监测，监测点位于龙桥小学（北侧紧邻龙桥中学）。</w:t>
      </w:r>
    </w:p>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（1）监测布点</w:t>
      </w:r>
    </w:p>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引用监测资料和补充监测点位均位于龙桥中学（G1）、龙桥小学（G</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），处于本项目西北侧约1</w:t>
      </w:r>
      <w:r>
        <w:rPr>
          <w:color w:val="000000" w:themeColor="text1"/>
          <w14:textFill>
            <w14:solidFill>
              <w14:schemeClr w14:val="tx1"/>
            </w14:solidFill>
          </w14:textFill>
        </w:rPr>
        <w:t>.2km</w:t>
      </w:r>
      <w:r>
        <w:rPr>
          <w:rFonts w:hint="eastAsia"/>
          <w:color w:val="000000" w:themeColor="text1"/>
          <w14:textFill>
            <w14:solidFill>
              <w14:schemeClr w14:val="tx1"/>
            </w14:solidFill>
          </w14:textFill>
        </w:rPr>
        <w:t>处，处于下风向。</w:t>
      </w:r>
    </w:p>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（2）监测因子、监测周期及监测频率</w:t>
      </w:r>
    </w:p>
    <w:p>
      <w:pPr>
        <w:spacing w:before="24"/>
        <w:ind w:firstLine="520"/>
        <w:jc w:val="both"/>
        <w:rPr>
          <w:color w:val="000000" w:themeColor="text1"/>
          <w14:textFill>
            <w14:solidFill>
              <w14:schemeClr w14:val="tx1"/>
            </w14:solidFill>
          </w14:textFill>
        </w:rPr>
      </w:pPr>
      <w:bookmarkStart w:id="105" w:name="_Hlk63012464"/>
      <w:r>
        <w:rPr>
          <w:rFonts w:hint="eastAsia"/>
          <w:color w:val="000000" w:themeColor="text1"/>
          <w14:textFill>
            <w14:solidFill>
              <w14:schemeClr w14:val="tx1"/>
            </w14:solidFill>
          </w14:textFill>
        </w:rPr>
        <w:t>监测因子、监测周期及监测频率基本信息详见表</w:t>
      </w:r>
      <w:bookmarkEnd w:id="105"/>
      <w:r>
        <w:rPr>
          <w:rFonts w:hint="eastAsia"/>
          <w:color w:val="000000" w:themeColor="text1"/>
          <w14:textFill>
            <w14:solidFill>
              <w14:schemeClr w14:val="tx1"/>
            </w14:solidFill>
          </w14:textFill>
        </w:rPr>
        <w:t>4</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p>
    <w:p>
      <w:pPr>
        <w:spacing w:before="24"/>
        <w:ind w:firstLine="520"/>
        <w:jc w:val="both"/>
        <w:rPr>
          <w:color w:val="000000" w:themeColor="text1"/>
          <w14:textFill>
            <w14:solidFill>
              <w14:schemeClr w14:val="tx1"/>
            </w14:solidFill>
          </w14:textFill>
        </w:rPr>
      </w:pPr>
    </w:p>
    <w:p>
      <w:pPr>
        <w:spacing w:before="24"/>
        <w:ind w:firstLine="520"/>
        <w:jc w:val="both"/>
        <w:rPr>
          <w:color w:val="000000" w:themeColor="text1"/>
          <w14:textFill>
            <w14:solidFill>
              <w14:schemeClr w14:val="tx1"/>
            </w14:solidFill>
          </w14:textFill>
        </w:rPr>
      </w:pPr>
    </w:p>
    <w:p>
      <w:pPr>
        <w:pStyle w:val="39"/>
        <w:rPr>
          <w:color w:val="000000" w:themeColor="text1"/>
          <w14:textFill>
            <w14:solidFill>
              <w14:schemeClr w14:val="tx1"/>
            </w14:solidFill>
          </w14:textFill>
        </w:rPr>
      </w:pPr>
      <w:bookmarkStart w:id="106" w:name="_Hlk63012486"/>
      <w:r>
        <w:rPr>
          <w:rFonts w:hint="eastAsia"/>
          <w:color w:val="000000" w:themeColor="text1"/>
          <w14:textFill>
            <w14:solidFill>
              <w14:schemeClr w14:val="tx1"/>
            </w14:solidFill>
          </w14:textFill>
        </w:rPr>
        <w:t xml:space="preserve"> 环境空气补充监测点位基本信息表</w:t>
      </w:r>
      <w:bookmarkEnd w:id="106"/>
    </w:p>
    <w:tbl>
      <w:tblPr>
        <w:tblStyle w:val="42"/>
        <w:tblW w:w="87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3271"/>
        <w:gridCol w:w="2668"/>
        <w:gridCol w:w="1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75" w:type="dxa"/>
            <w:vAlign w:val="center"/>
          </w:tcPr>
          <w:p>
            <w:pPr>
              <w:adjustRightInd/>
              <w:spacing w:line="240" w:lineRule="auto"/>
              <w:ind w:firstLine="0" w:firstLineChars="0"/>
              <w:jc w:val="both"/>
              <w:rPr>
                <w:color w:val="000000" w:themeColor="text1"/>
                <w:sz w:val="21"/>
                <w:szCs w:val="24"/>
                <w14:textFill>
                  <w14:solidFill>
                    <w14:schemeClr w14:val="tx1"/>
                  </w14:solidFill>
                </w14:textFill>
              </w:rPr>
            </w:pPr>
            <w:bookmarkStart w:id="107" w:name="_Hlk63012472"/>
            <w:r>
              <w:rPr>
                <w:color w:val="000000" w:themeColor="text1"/>
                <w:sz w:val="21"/>
                <w:szCs w:val="24"/>
                <w14:textFill>
                  <w14:solidFill>
                    <w14:schemeClr w14:val="tx1"/>
                  </w14:solidFill>
                </w14:textFill>
              </w:rPr>
              <w:t>监测点位</w:t>
            </w:r>
          </w:p>
        </w:tc>
        <w:tc>
          <w:tcPr>
            <w:tcW w:w="3271" w:type="dxa"/>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监测因子</w:t>
            </w:r>
          </w:p>
        </w:tc>
        <w:tc>
          <w:tcPr>
            <w:tcW w:w="2668" w:type="dxa"/>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频次</w:t>
            </w:r>
          </w:p>
        </w:tc>
        <w:tc>
          <w:tcPr>
            <w:tcW w:w="1963" w:type="dxa"/>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75" w:type="dxa"/>
            <w:vMerge w:val="restart"/>
            <w:vAlign w:val="center"/>
          </w:tcPr>
          <w:p>
            <w:pPr>
              <w:adjustRightInd/>
              <w:spacing w:line="240" w:lineRule="auto"/>
              <w:ind w:firstLine="0" w:firstLineChars="0"/>
              <w:jc w:val="center"/>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G1龙桥中学</w:t>
            </w:r>
          </w:p>
        </w:tc>
        <w:tc>
          <w:tcPr>
            <w:tcW w:w="3271" w:type="dxa"/>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TVOC</w:t>
            </w:r>
          </w:p>
        </w:tc>
        <w:tc>
          <w:tcPr>
            <w:tcW w:w="2668" w:type="dxa"/>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连续监测7天，8小时值</w:t>
            </w:r>
          </w:p>
        </w:tc>
        <w:tc>
          <w:tcPr>
            <w:tcW w:w="1963" w:type="dxa"/>
            <w:vMerge w:val="restart"/>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2020年7月6日~7月12日</w:t>
            </w:r>
            <w:r>
              <w:rPr>
                <w:rFonts w:hint="eastAsia"/>
                <w:color w:val="000000" w:themeColor="text1"/>
                <w:sz w:val="21"/>
                <w:szCs w:val="24"/>
                <w14:textFill>
                  <w14:solidFill>
                    <w14:schemeClr w14:val="tx1"/>
                  </w14:solidFill>
                </w14:textFill>
              </w:rPr>
              <w:t>（引用）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75" w:type="dxa"/>
            <w:vMerge w:val="continue"/>
            <w:vAlign w:val="center"/>
          </w:tcPr>
          <w:p>
            <w:pPr>
              <w:adjustRightInd/>
              <w:spacing w:line="240" w:lineRule="auto"/>
              <w:ind w:firstLine="0" w:firstLineChars="0"/>
              <w:jc w:val="center"/>
              <w:rPr>
                <w:color w:val="000000" w:themeColor="text1"/>
                <w:sz w:val="21"/>
                <w:szCs w:val="24"/>
                <w14:textFill>
                  <w14:solidFill>
                    <w14:schemeClr w14:val="tx1"/>
                  </w14:solidFill>
                </w14:textFill>
              </w:rPr>
            </w:pPr>
          </w:p>
        </w:tc>
        <w:tc>
          <w:tcPr>
            <w:tcW w:w="3271" w:type="dxa"/>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氯化氢、氨、硫化氢、氯气、非甲烷总烃、酚类</w:t>
            </w:r>
            <w:r>
              <w:rPr>
                <w:rFonts w:hint="eastAsia"/>
                <w:color w:val="000000" w:themeColor="text1"/>
                <w:sz w:val="21"/>
                <w:szCs w:val="24"/>
                <w14:textFill>
                  <w14:solidFill>
                    <w14:schemeClr w14:val="tx1"/>
                  </w14:solidFill>
                </w14:textFill>
              </w:rPr>
              <w:t>、总挥发性有机物</w:t>
            </w:r>
          </w:p>
        </w:tc>
        <w:tc>
          <w:tcPr>
            <w:tcW w:w="2668" w:type="dxa"/>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连续监测7天，</w:t>
            </w:r>
            <w:r>
              <w:rPr>
                <w:rFonts w:hint="eastAsia"/>
                <w:color w:val="000000" w:themeColor="text1"/>
                <w:sz w:val="21"/>
                <w:szCs w:val="24"/>
                <w14:textFill>
                  <w14:solidFill>
                    <w14:schemeClr w14:val="tx1"/>
                  </w14:solidFill>
                </w14:textFill>
              </w:rPr>
              <w:t>监测小时值</w:t>
            </w:r>
          </w:p>
        </w:tc>
        <w:tc>
          <w:tcPr>
            <w:tcW w:w="1963" w:type="dxa"/>
            <w:vMerge w:val="continue"/>
            <w:vAlign w:val="center"/>
          </w:tcPr>
          <w:p>
            <w:pPr>
              <w:adjustRightInd/>
              <w:spacing w:line="240" w:lineRule="auto"/>
              <w:ind w:firstLine="0" w:firstLineChars="0"/>
              <w:jc w:val="both"/>
              <w:rPr>
                <w:color w:val="000000" w:themeColor="text1"/>
                <w:sz w:val="2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75" w:type="dxa"/>
            <w:vAlign w:val="center"/>
          </w:tcPr>
          <w:p>
            <w:pPr>
              <w:adjustRightInd/>
              <w:spacing w:line="240" w:lineRule="auto"/>
              <w:ind w:firstLine="0" w:firstLineChars="0"/>
              <w:jc w:val="center"/>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G2龙桥</w:t>
            </w:r>
            <w:r>
              <w:rPr>
                <w:rFonts w:hint="eastAsia"/>
                <w:color w:val="000000" w:themeColor="text1"/>
                <w:sz w:val="21"/>
                <w:szCs w:val="24"/>
                <w14:textFill>
                  <w14:solidFill>
                    <w14:schemeClr w14:val="tx1"/>
                  </w14:solidFill>
                </w14:textFill>
              </w:rPr>
              <w:t>小</w:t>
            </w:r>
            <w:r>
              <w:rPr>
                <w:color w:val="000000" w:themeColor="text1"/>
                <w:sz w:val="21"/>
                <w:szCs w:val="24"/>
                <w14:textFill>
                  <w14:solidFill>
                    <w14:schemeClr w14:val="tx1"/>
                  </w14:solidFill>
                </w14:textFill>
              </w:rPr>
              <w:t>学</w:t>
            </w:r>
          </w:p>
        </w:tc>
        <w:tc>
          <w:tcPr>
            <w:tcW w:w="3271" w:type="dxa"/>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铅、镉、汞、砷、六价铬、氟化物</w:t>
            </w:r>
          </w:p>
        </w:tc>
        <w:tc>
          <w:tcPr>
            <w:tcW w:w="2668" w:type="dxa"/>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连续监测7天，</w:t>
            </w:r>
            <w:r>
              <w:rPr>
                <w:rFonts w:hint="eastAsia"/>
                <w:color w:val="000000" w:themeColor="text1"/>
                <w:sz w:val="21"/>
                <w:szCs w:val="24"/>
                <w14:textFill>
                  <w14:solidFill>
                    <w14:schemeClr w14:val="tx1"/>
                  </w14:solidFill>
                </w14:textFill>
              </w:rPr>
              <w:t>监测日均值（</w:t>
            </w:r>
            <w:r>
              <w:rPr>
                <w:color w:val="000000" w:themeColor="text1"/>
                <w:sz w:val="21"/>
                <w:szCs w:val="24"/>
                <w14:textFill>
                  <w14:solidFill>
                    <w14:schemeClr w14:val="tx1"/>
                  </w14:solidFill>
                </w14:textFill>
              </w:rPr>
              <w:t>连续采样20小时以上</w:t>
            </w:r>
            <w:r>
              <w:rPr>
                <w:rFonts w:hint="eastAsia"/>
                <w:color w:val="000000" w:themeColor="text1"/>
                <w:sz w:val="21"/>
                <w:szCs w:val="24"/>
                <w14:textFill>
                  <w14:solidFill>
                    <w14:schemeClr w14:val="tx1"/>
                  </w14:solidFill>
                </w14:textFill>
              </w:rPr>
              <w:t>）</w:t>
            </w:r>
          </w:p>
        </w:tc>
        <w:tc>
          <w:tcPr>
            <w:tcW w:w="1963" w:type="dxa"/>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2</w:t>
            </w:r>
            <w:r>
              <w:rPr>
                <w:color w:val="000000" w:themeColor="text1"/>
                <w:sz w:val="21"/>
                <w:szCs w:val="24"/>
                <w14:textFill>
                  <w14:solidFill>
                    <w14:schemeClr w14:val="tx1"/>
                  </w14:solidFill>
                </w14:textFill>
              </w:rPr>
              <w:t>022</w:t>
            </w:r>
            <w:r>
              <w:rPr>
                <w:rFonts w:hint="eastAsia"/>
                <w:color w:val="000000" w:themeColor="text1"/>
                <w:sz w:val="21"/>
                <w:szCs w:val="24"/>
                <w14:textFill>
                  <w14:solidFill>
                    <w14:schemeClr w14:val="tx1"/>
                  </w14:solidFill>
                </w14:textFill>
              </w:rPr>
              <w:t>年3月9日~</w:t>
            </w:r>
            <w:r>
              <w:rPr>
                <w:color w:val="000000" w:themeColor="text1"/>
                <w:sz w:val="21"/>
                <w:szCs w:val="24"/>
                <w14:textFill>
                  <w14:solidFill>
                    <w14:schemeClr w14:val="tx1"/>
                  </w14:solidFill>
                </w14:textFill>
              </w:rPr>
              <w:t>16</w:t>
            </w:r>
            <w:r>
              <w:rPr>
                <w:rFonts w:hint="eastAsia"/>
                <w:color w:val="000000" w:themeColor="text1"/>
                <w:sz w:val="21"/>
                <w:szCs w:val="24"/>
                <w14:textFill>
                  <w14:solidFill>
                    <w14:schemeClr w14:val="tx1"/>
                  </w14:solidFill>
                </w14:textFill>
              </w:rPr>
              <w:t>日（实测）</w:t>
            </w:r>
          </w:p>
        </w:tc>
      </w:tr>
      <w:bookmarkEnd w:id="107"/>
    </w:tbl>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）环境空气质量现状评价</w:t>
      </w:r>
    </w:p>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评价方法及模式：采用占标率法大气环境质量现状进行评价。计算公式：</w:t>
      </w:r>
    </w:p>
    <w:p>
      <w:pPr>
        <w:spacing w:before="24"/>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P</w:t>
      </w:r>
      <w:r>
        <w:rPr>
          <w:rFonts w:hint="eastAsia"/>
          <w:color w:val="000000" w:themeColor="text1"/>
          <w:vertAlign w:val="subscript"/>
          <w14:textFill>
            <w14:solidFill>
              <w14:schemeClr w14:val="tx1"/>
            </w14:solidFill>
          </w14:textFill>
        </w:rPr>
        <w:t>i</w:t>
      </w:r>
      <w:r>
        <w:rPr>
          <w:rFonts w:hint="eastAsia"/>
          <w:color w:val="000000" w:themeColor="text1"/>
          <w14:textFill>
            <w14:solidFill>
              <w14:schemeClr w14:val="tx1"/>
            </w14:solidFill>
          </w14:textFill>
        </w:rPr>
        <w:t xml:space="preserve"> =C</w:t>
      </w:r>
      <w:r>
        <w:rPr>
          <w:rFonts w:hint="eastAsia"/>
          <w:color w:val="000000" w:themeColor="text1"/>
          <w:vertAlign w:val="subscript"/>
          <w14:textFill>
            <w14:solidFill>
              <w14:schemeClr w14:val="tx1"/>
            </w14:solidFill>
          </w14:textFill>
        </w:rPr>
        <w:t>i</w:t>
      </w:r>
      <w:r>
        <w:rPr>
          <w:rFonts w:hint="eastAsia"/>
          <w:color w:val="000000" w:themeColor="text1"/>
          <w14:textFill>
            <w14:solidFill>
              <w14:schemeClr w14:val="tx1"/>
            </w14:solidFill>
          </w14:textFill>
        </w:rPr>
        <w:t>/C</w:t>
      </w:r>
      <w:r>
        <w:rPr>
          <w:rFonts w:hint="eastAsia"/>
          <w:color w:val="000000" w:themeColor="text1"/>
          <w:vertAlign w:val="subscript"/>
          <w14:textFill>
            <w14:solidFill>
              <w14:schemeClr w14:val="tx1"/>
            </w14:solidFill>
          </w14:textFill>
        </w:rPr>
        <w:t>0i</w:t>
      </w:r>
      <w:r>
        <w:rPr>
          <w:rFonts w:hint="eastAsia"/>
          <w:color w:val="000000" w:themeColor="text1"/>
          <w14:textFill>
            <w14:solidFill>
              <w14:schemeClr w14:val="tx1"/>
            </w14:solidFill>
          </w14:textFill>
        </w:rPr>
        <w:t>*100%</w:t>
      </w:r>
    </w:p>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P</w:t>
      </w:r>
      <w:r>
        <w:rPr>
          <w:rFonts w:hint="eastAsia"/>
          <w:color w:val="000000" w:themeColor="text1"/>
          <w:vertAlign w:val="subscript"/>
          <w14:textFill>
            <w14:solidFill>
              <w14:schemeClr w14:val="tx1"/>
            </w14:solidFill>
          </w14:textFill>
        </w:rPr>
        <w:t>i</w:t>
      </w:r>
      <w:r>
        <w:rPr>
          <w:rFonts w:hint="eastAsia"/>
          <w:color w:val="000000" w:themeColor="text1"/>
          <w14:textFill>
            <w14:solidFill>
              <w14:schemeClr w14:val="tx1"/>
            </w14:solidFill>
          </w14:textFill>
        </w:rPr>
        <w:t>——第i个污染物的最大地面浓度占标率，%；</w:t>
      </w:r>
    </w:p>
    <w:p>
      <w:pPr>
        <w:spacing w:before="24"/>
        <w:ind w:firstLine="910" w:firstLineChars="35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C</w:t>
      </w:r>
      <w:r>
        <w:rPr>
          <w:rFonts w:hint="eastAsia"/>
          <w:color w:val="000000" w:themeColor="text1"/>
          <w:vertAlign w:val="subscript"/>
          <w14:textFill>
            <w14:solidFill>
              <w14:schemeClr w14:val="tx1"/>
            </w14:solidFill>
          </w14:textFill>
        </w:rPr>
        <w:t>i</w:t>
      </w:r>
      <w:r>
        <w:rPr>
          <w:rFonts w:hint="eastAsia"/>
          <w:color w:val="000000" w:themeColor="text1"/>
          <w14:textFill>
            <w14:solidFill>
              <w14:schemeClr w14:val="tx1"/>
            </w14:solidFill>
          </w14:textFill>
        </w:rPr>
        <w:t>——采用估算模式计算出的第i个污染物的最大地面浓度，mg/m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pPr>
        <w:spacing w:before="24"/>
        <w:ind w:firstLine="1040" w:firstLineChars="4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C</w:t>
      </w:r>
      <w:r>
        <w:rPr>
          <w:rFonts w:hint="eastAsia"/>
          <w:color w:val="000000" w:themeColor="text1"/>
          <w:vertAlign w:val="subscript"/>
          <w14:textFill>
            <w14:solidFill>
              <w14:schemeClr w14:val="tx1"/>
            </w14:solidFill>
          </w14:textFill>
        </w:rPr>
        <w:t>0i</w:t>
      </w:r>
      <w:r>
        <w:rPr>
          <w:rFonts w:hint="eastAsia"/>
          <w:color w:val="000000" w:themeColor="text1"/>
          <w14:textFill>
            <w14:solidFill>
              <w14:schemeClr w14:val="tx1"/>
            </w14:solidFill>
          </w14:textFill>
        </w:rPr>
        <w:t>——第i个污染物的环境空气质量标准，mg/m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）环境质量现状分析及评价</w:t>
      </w:r>
    </w:p>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由表4</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可知，评价区域各监测因子满足相应标准要求；非甲烷总烃满足《环境空气质量非甲烷总烃限值》（DB13/1577-2012）要求。</w:t>
      </w:r>
    </w:p>
    <w:p>
      <w:pPr>
        <w:pStyle w:val="39"/>
        <w:rPr>
          <w:color w:val="000000" w:themeColor="text1"/>
          <w14:textFill>
            <w14:solidFill>
              <w14:schemeClr w14:val="tx1"/>
            </w14:solidFill>
          </w14:textFill>
        </w:rPr>
      </w:pPr>
      <w:r>
        <w:rPr>
          <w:color w:val="000000" w:themeColor="text1"/>
          <w14:textFill>
            <w14:solidFill>
              <w14:schemeClr w14:val="tx1"/>
            </w14:solidFill>
          </w14:textFill>
        </w:rPr>
        <w:t>环境空气质量现状监测结果及评价</w:t>
      </w:r>
    </w:p>
    <w:tbl>
      <w:tblPr>
        <w:tblStyle w:val="42"/>
        <w:tblW w:w="8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599"/>
        <w:gridCol w:w="1320"/>
        <w:gridCol w:w="1025"/>
        <w:gridCol w:w="1322"/>
        <w:gridCol w:w="1617"/>
        <w:gridCol w:w="815"/>
        <w:gridCol w:w="653"/>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13"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监测点位</w:t>
            </w:r>
          </w:p>
        </w:tc>
        <w:tc>
          <w:tcPr>
            <w:tcW w:w="599" w:type="dxa"/>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坐标</w:t>
            </w:r>
          </w:p>
        </w:tc>
        <w:tc>
          <w:tcPr>
            <w:tcW w:w="1320"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污染物</w:t>
            </w:r>
          </w:p>
        </w:tc>
        <w:tc>
          <w:tcPr>
            <w:tcW w:w="1025"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平均时间</w:t>
            </w:r>
          </w:p>
        </w:tc>
        <w:tc>
          <w:tcPr>
            <w:tcW w:w="1322"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评价标准/（mg/m</w:t>
            </w:r>
            <w:r>
              <w:rPr>
                <w:color w:val="000000" w:themeColor="text1"/>
                <w:sz w:val="21"/>
                <w:szCs w:val="24"/>
                <w:vertAlign w:val="superscript"/>
                <w14:textFill>
                  <w14:solidFill>
                    <w14:schemeClr w14:val="tx1"/>
                  </w14:solidFill>
                </w14:textFill>
              </w:rPr>
              <w:t>3</w:t>
            </w:r>
            <w:r>
              <w:rPr>
                <w:color w:val="000000" w:themeColor="text1"/>
                <w:sz w:val="21"/>
                <w:szCs w:val="24"/>
                <w14:textFill>
                  <w14:solidFill>
                    <w14:schemeClr w14:val="tx1"/>
                  </w14:solidFill>
                </w14:textFill>
              </w:rPr>
              <w:t>）</w:t>
            </w:r>
          </w:p>
        </w:tc>
        <w:tc>
          <w:tcPr>
            <w:tcW w:w="1617"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监测浓度范围/（mg/m</w:t>
            </w:r>
            <w:r>
              <w:rPr>
                <w:color w:val="000000" w:themeColor="text1"/>
                <w:sz w:val="21"/>
                <w:szCs w:val="24"/>
                <w:vertAlign w:val="superscript"/>
                <w14:textFill>
                  <w14:solidFill>
                    <w14:schemeClr w14:val="tx1"/>
                  </w14:solidFill>
                </w14:textFill>
              </w:rPr>
              <w:t>3</w:t>
            </w:r>
            <w:r>
              <w:rPr>
                <w:color w:val="000000" w:themeColor="text1"/>
                <w:sz w:val="21"/>
                <w:szCs w:val="24"/>
                <w14:textFill>
                  <w14:solidFill>
                    <w14:schemeClr w14:val="tx1"/>
                  </w14:solidFill>
                </w14:textFill>
              </w:rPr>
              <w:t>）</w:t>
            </w:r>
          </w:p>
        </w:tc>
        <w:tc>
          <w:tcPr>
            <w:tcW w:w="815"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最大浓度占标率/%</w:t>
            </w:r>
          </w:p>
        </w:tc>
        <w:tc>
          <w:tcPr>
            <w:tcW w:w="653"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超标率/%</w:t>
            </w:r>
          </w:p>
        </w:tc>
        <w:tc>
          <w:tcPr>
            <w:tcW w:w="713"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13" w:type="dxa"/>
            <w:vMerge w:val="restart"/>
            <w:shd w:val="clear" w:color="auto" w:fill="auto"/>
            <w:vAlign w:val="center"/>
          </w:tcPr>
          <w:p>
            <w:pPr>
              <w:adjustRightInd/>
              <w:spacing w:line="240" w:lineRule="auto"/>
              <w:ind w:firstLine="0" w:firstLineChars="0"/>
              <w:jc w:val="center"/>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G1龙桥中学</w:t>
            </w:r>
          </w:p>
        </w:tc>
        <w:tc>
          <w:tcPr>
            <w:tcW w:w="599" w:type="dxa"/>
            <w:vMerge w:val="restart"/>
            <w:vAlign w:val="center"/>
          </w:tcPr>
          <w:p>
            <w:pPr>
              <w:adjustRightInd/>
              <w:spacing w:line="240" w:lineRule="auto"/>
              <w:ind w:firstLine="0" w:firstLineChars="0"/>
              <w:jc w:val="both"/>
              <w:rPr>
                <w:color w:val="000000" w:themeColor="text1"/>
                <w:sz w:val="21"/>
                <w:szCs w:val="24"/>
                <w14:textFill>
                  <w14:solidFill>
                    <w14:schemeClr w14:val="tx1"/>
                  </w14:solidFill>
                </w14:textFill>
              </w:rPr>
            </w:pPr>
          </w:p>
        </w:tc>
        <w:tc>
          <w:tcPr>
            <w:tcW w:w="1320"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非甲烷总烃</w:t>
            </w:r>
          </w:p>
        </w:tc>
        <w:tc>
          <w:tcPr>
            <w:tcW w:w="1025"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小时值</w:t>
            </w:r>
          </w:p>
        </w:tc>
        <w:tc>
          <w:tcPr>
            <w:tcW w:w="1322"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2</w:t>
            </w:r>
          </w:p>
        </w:tc>
        <w:tc>
          <w:tcPr>
            <w:tcW w:w="1617"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0.31~0.52</w:t>
            </w:r>
          </w:p>
        </w:tc>
        <w:tc>
          <w:tcPr>
            <w:tcW w:w="815"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26</w:t>
            </w:r>
          </w:p>
        </w:tc>
        <w:tc>
          <w:tcPr>
            <w:tcW w:w="653"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0</w:t>
            </w:r>
          </w:p>
        </w:tc>
        <w:tc>
          <w:tcPr>
            <w:tcW w:w="713"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13" w:type="dxa"/>
            <w:vMerge w:val="continue"/>
            <w:shd w:val="clear" w:color="auto" w:fill="auto"/>
            <w:vAlign w:val="center"/>
          </w:tcPr>
          <w:p>
            <w:pPr>
              <w:adjustRightInd/>
              <w:spacing w:line="240" w:lineRule="auto"/>
              <w:ind w:firstLine="0" w:firstLineChars="0"/>
              <w:jc w:val="center"/>
              <w:rPr>
                <w:color w:val="000000" w:themeColor="text1"/>
                <w:sz w:val="21"/>
                <w:szCs w:val="24"/>
                <w14:textFill>
                  <w14:solidFill>
                    <w14:schemeClr w14:val="tx1"/>
                  </w14:solidFill>
                </w14:textFill>
              </w:rPr>
            </w:pPr>
          </w:p>
        </w:tc>
        <w:tc>
          <w:tcPr>
            <w:tcW w:w="599" w:type="dxa"/>
            <w:vMerge w:val="continue"/>
            <w:vAlign w:val="center"/>
          </w:tcPr>
          <w:p>
            <w:pPr>
              <w:adjustRightInd/>
              <w:spacing w:line="240" w:lineRule="auto"/>
              <w:ind w:firstLine="0" w:firstLineChars="0"/>
              <w:jc w:val="both"/>
              <w:rPr>
                <w:color w:val="000000" w:themeColor="text1"/>
                <w:sz w:val="21"/>
                <w:szCs w:val="24"/>
                <w14:textFill>
                  <w14:solidFill>
                    <w14:schemeClr w14:val="tx1"/>
                  </w14:solidFill>
                </w14:textFill>
              </w:rPr>
            </w:pPr>
          </w:p>
        </w:tc>
        <w:tc>
          <w:tcPr>
            <w:tcW w:w="1320"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氨</w:t>
            </w:r>
          </w:p>
        </w:tc>
        <w:tc>
          <w:tcPr>
            <w:tcW w:w="1025"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小时值</w:t>
            </w:r>
          </w:p>
        </w:tc>
        <w:tc>
          <w:tcPr>
            <w:tcW w:w="1322"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0.2</w:t>
            </w:r>
          </w:p>
        </w:tc>
        <w:tc>
          <w:tcPr>
            <w:tcW w:w="1617"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0.02~0.05</w:t>
            </w:r>
          </w:p>
        </w:tc>
        <w:tc>
          <w:tcPr>
            <w:tcW w:w="815"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25</w:t>
            </w:r>
          </w:p>
        </w:tc>
        <w:tc>
          <w:tcPr>
            <w:tcW w:w="653"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0</w:t>
            </w:r>
          </w:p>
        </w:tc>
        <w:tc>
          <w:tcPr>
            <w:tcW w:w="713"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13" w:type="dxa"/>
            <w:vMerge w:val="continue"/>
            <w:shd w:val="clear" w:color="auto" w:fill="auto"/>
            <w:vAlign w:val="center"/>
          </w:tcPr>
          <w:p>
            <w:pPr>
              <w:pStyle w:val="198"/>
              <w:ind w:firstLine="520"/>
              <w:rPr>
                <w:color w:val="000000" w:themeColor="text1"/>
                <w14:textFill>
                  <w14:solidFill>
                    <w14:schemeClr w14:val="tx1"/>
                  </w14:solidFill>
                </w14:textFill>
              </w:rPr>
            </w:pPr>
          </w:p>
        </w:tc>
        <w:tc>
          <w:tcPr>
            <w:tcW w:w="599" w:type="dxa"/>
            <w:vMerge w:val="continue"/>
            <w:vAlign w:val="center"/>
          </w:tcPr>
          <w:p>
            <w:pPr>
              <w:pStyle w:val="198"/>
              <w:ind w:firstLine="520"/>
              <w:jc w:val="both"/>
              <w:rPr>
                <w:color w:val="000000" w:themeColor="text1"/>
                <w14:textFill>
                  <w14:solidFill>
                    <w14:schemeClr w14:val="tx1"/>
                  </w14:solidFill>
                </w14:textFill>
              </w:rPr>
            </w:pPr>
          </w:p>
        </w:tc>
        <w:tc>
          <w:tcPr>
            <w:tcW w:w="1320"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硫化氢</w:t>
            </w:r>
          </w:p>
        </w:tc>
        <w:tc>
          <w:tcPr>
            <w:tcW w:w="1025"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小时值</w:t>
            </w:r>
          </w:p>
        </w:tc>
        <w:tc>
          <w:tcPr>
            <w:tcW w:w="1322"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0.01</w:t>
            </w:r>
          </w:p>
        </w:tc>
        <w:tc>
          <w:tcPr>
            <w:tcW w:w="1617"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0.002~0.007</w:t>
            </w:r>
          </w:p>
        </w:tc>
        <w:tc>
          <w:tcPr>
            <w:tcW w:w="815"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70</w:t>
            </w:r>
          </w:p>
        </w:tc>
        <w:tc>
          <w:tcPr>
            <w:tcW w:w="653"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0</w:t>
            </w:r>
          </w:p>
        </w:tc>
        <w:tc>
          <w:tcPr>
            <w:tcW w:w="713"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13" w:type="dxa"/>
            <w:vMerge w:val="continue"/>
            <w:shd w:val="clear" w:color="auto" w:fill="auto"/>
            <w:vAlign w:val="center"/>
          </w:tcPr>
          <w:p>
            <w:pPr>
              <w:pStyle w:val="198"/>
              <w:ind w:firstLine="520"/>
              <w:rPr>
                <w:color w:val="000000" w:themeColor="text1"/>
                <w14:textFill>
                  <w14:solidFill>
                    <w14:schemeClr w14:val="tx1"/>
                  </w14:solidFill>
                </w14:textFill>
              </w:rPr>
            </w:pPr>
          </w:p>
        </w:tc>
        <w:tc>
          <w:tcPr>
            <w:tcW w:w="599" w:type="dxa"/>
            <w:vMerge w:val="continue"/>
            <w:vAlign w:val="center"/>
          </w:tcPr>
          <w:p>
            <w:pPr>
              <w:pStyle w:val="198"/>
              <w:ind w:firstLine="520"/>
              <w:jc w:val="both"/>
              <w:rPr>
                <w:color w:val="000000" w:themeColor="text1"/>
                <w14:textFill>
                  <w14:solidFill>
                    <w14:schemeClr w14:val="tx1"/>
                  </w14:solidFill>
                </w14:textFill>
              </w:rPr>
            </w:pPr>
          </w:p>
        </w:tc>
        <w:tc>
          <w:tcPr>
            <w:tcW w:w="1320"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氯气</w:t>
            </w:r>
          </w:p>
        </w:tc>
        <w:tc>
          <w:tcPr>
            <w:tcW w:w="1025"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小时值</w:t>
            </w:r>
          </w:p>
        </w:tc>
        <w:tc>
          <w:tcPr>
            <w:tcW w:w="1322"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0.1</w:t>
            </w:r>
          </w:p>
        </w:tc>
        <w:tc>
          <w:tcPr>
            <w:tcW w:w="1617"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0.03L-0.05</w:t>
            </w:r>
          </w:p>
        </w:tc>
        <w:tc>
          <w:tcPr>
            <w:tcW w:w="815"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50</w:t>
            </w:r>
          </w:p>
        </w:tc>
        <w:tc>
          <w:tcPr>
            <w:tcW w:w="653"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0</w:t>
            </w:r>
          </w:p>
        </w:tc>
        <w:tc>
          <w:tcPr>
            <w:tcW w:w="713"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3" w:type="dxa"/>
            <w:vMerge w:val="continue"/>
            <w:shd w:val="clear" w:color="auto" w:fill="auto"/>
            <w:vAlign w:val="center"/>
          </w:tcPr>
          <w:p>
            <w:pPr>
              <w:pStyle w:val="198"/>
              <w:ind w:firstLine="520"/>
              <w:rPr>
                <w:color w:val="000000" w:themeColor="text1"/>
                <w14:textFill>
                  <w14:solidFill>
                    <w14:schemeClr w14:val="tx1"/>
                  </w14:solidFill>
                </w14:textFill>
              </w:rPr>
            </w:pPr>
          </w:p>
        </w:tc>
        <w:tc>
          <w:tcPr>
            <w:tcW w:w="599" w:type="dxa"/>
            <w:vMerge w:val="continue"/>
            <w:vAlign w:val="center"/>
          </w:tcPr>
          <w:p>
            <w:pPr>
              <w:pStyle w:val="198"/>
              <w:ind w:firstLine="520"/>
              <w:jc w:val="both"/>
              <w:rPr>
                <w:color w:val="000000" w:themeColor="text1"/>
                <w14:textFill>
                  <w14:solidFill>
                    <w14:schemeClr w14:val="tx1"/>
                  </w14:solidFill>
                </w14:textFill>
              </w:rPr>
            </w:pPr>
          </w:p>
        </w:tc>
        <w:tc>
          <w:tcPr>
            <w:tcW w:w="1320"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氯化氢</w:t>
            </w:r>
          </w:p>
        </w:tc>
        <w:tc>
          <w:tcPr>
            <w:tcW w:w="1025"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小时值</w:t>
            </w:r>
          </w:p>
        </w:tc>
        <w:tc>
          <w:tcPr>
            <w:tcW w:w="1322"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0.05</w:t>
            </w:r>
          </w:p>
        </w:tc>
        <w:tc>
          <w:tcPr>
            <w:tcW w:w="1617"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0.002L</w:t>
            </w:r>
          </w:p>
        </w:tc>
        <w:tc>
          <w:tcPr>
            <w:tcW w:w="815"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w:t>
            </w:r>
          </w:p>
        </w:tc>
        <w:tc>
          <w:tcPr>
            <w:tcW w:w="653"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0</w:t>
            </w:r>
          </w:p>
        </w:tc>
        <w:tc>
          <w:tcPr>
            <w:tcW w:w="713"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3" w:type="dxa"/>
            <w:vMerge w:val="continue"/>
            <w:shd w:val="clear" w:color="auto" w:fill="auto"/>
            <w:vAlign w:val="center"/>
          </w:tcPr>
          <w:p>
            <w:pPr>
              <w:pStyle w:val="198"/>
              <w:ind w:firstLine="520"/>
              <w:rPr>
                <w:color w:val="000000" w:themeColor="text1"/>
                <w14:textFill>
                  <w14:solidFill>
                    <w14:schemeClr w14:val="tx1"/>
                  </w14:solidFill>
                </w14:textFill>
              </w:rPr>
            </w:pPr>
          </w:p>
        </w:tc>
        <w:tc>
          <w:tcPr>
            <w:tcW w:w="599" w:type="dxa"/>
            <w:vMerge w:val="continue"/>
            <w:vAlign w:val="center"/>
          </w:tcPr>
          <w:p>
            <w:pPr>
              <w:pStyle w:val="198"/>
              <w:ind w:firstLine="520"/>
              <w:jc w:val="both"/>
              <w:rPr>
                <w:color w:val="000000" w:themeColor="text1"/>
                <w14:textFill>
                  <w14:solidFill>
                    <w14:schemeClr w14:val="tx1"/>
                  </w14:solidFill>
                </w14:textFill>
              </w:rPr>
            </w:pPr>
          </w:p>
        </w:tc>
        <w:tc>
          <w:tcPr>
            <w:tcW w:w="1320"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酚类</w:t>
            </w:r>
          </w:p>
        </w:tc>
        <w:tc>
          <w:tcPr>
            <w:tcW w:w="1025"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小时值</w:t>
            </w:r>
          </w:p>
        </w:tc>
        <w:tc>
          <w:tcPr>
            <w:tcW w:w="1322"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0.02</w:t>
            </w:r>
          </w:p>
        </w:tc>
        <w:tc>
          <w:tcPr>
            <w:tcW w:w="1617"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0.01L</w:t>
            </w:r>
          </w:p>
        </w:tc>
        <w:tc>
          <w:tcPr>
            <w:tcW w:w="815"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w:t>
            </w:r>
          </w:p>
        </w:tc>
        <w:tc>
          <w:tcPr>
            <w:tcW w:w="653"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0</w:t>
            </w:r>
          </w:p>
        </w:tc>
        <w:tc>
          <w:tcPr>
            <w:tcW w:w="713"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3" w:type="dxa"/>
            <w:vMerge w:val="continue"/>
            <w:shd w:val="clear" w:color="auto" w:fill="auto"/>
            <w:vAlign w:val="center"/>
          </w:tcPr>
          <w:p>
            <w:pPr>
              <w:pStyle w:val="198"/>
              <w:ind w:firstLine="520"/>
              <w:rPr>
                <w:color w:val="000000" w:themeColor="text1"/>
                <w14:textFill>
                  <w14:solidFill>
                    <w14:schemeClr w14:val="tx1"/>
                  </w14:solidFill>
                </w14:textFill>
              </w:rPr>
            </w:pPr>
          </w:p>
        </w:tc>
        <w:tc>
          <w:tcPr>
            <w:tcW w:w="599" w:type="dxa"/>
            <w:vMerge w:val="continue"/>
            <w:vAlign w:val="center"/>
          </w:tcPr>
          <w:p>
            <w:pPr>
              <w:pStyle w:val="198"/>
              <w:ind w:firstLine="520"/>
              <w:jc w:val="both"/>
              <w:rPr>
                <w:color w:val="000000" w:themeColor="text1"/>
                <w14:textFill>
                  <w14:solidFill>
                    <w14:schemeClr w14:val="tx1"/>
                  </w14:solidFill>
                </w14:textFill>
              </w:rPr>
            </w:pPr>
          </w:p>
        </w:tc>
        <w:tc>
          <w:tcPr>
            <w:tcW w:w="1320"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TVOC</w:t>
            </w:r>
          </w:p>
        </w:tc>
        <w:tc>
          <w:tcPr>
            <w:tcW w:w="1025"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8小时均值</w:t>
            </w:r>
          </w:p>
        </w:tc>
        <w:tc>
          <w:tcPr>
            <w:tcW w:w="1322"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0.6</w:t>
            </w:r>
          </w:p>
        </w:tc>
        <w:tc>
          <w:tcPr>
            <w:tcW w:w="1617"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0.0017~0.012</w:t>
            </w:r>
          </w:p>
        </w:tc>
        <w:tc>
          <w:tcPr>
            <w:tcW w:w="815"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2.0</w:t>
            </w:r>
          </w:p>
        </w:tc>
        <w:tc>
          <w:tcPr>
            <w:tcW w:w="653"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0</w:t>
            </w:r>
          </w:p>
        </w:tc>
        <w:tc>
          <w:tcPr>
            <w:tcW w:w="713"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3" w:type="dxa"/>
            <w:vMerge w:val="restart"/>
            <w:shd w:val="clear" w:color="auto" w:fill="auto"/>
            <w:vAlign w:val="center"/>
          </w:tcPr>
          <w:p>
            <w:pPr>
              <w:pStyle w:val="198"/>
              <w:rPr>
                <w:color w:val="000000" w:themeColor="text1"/>
                <w14:textFill>
                  <w14:solidFill>
                    <w14:schemeClr w14:val="tx1"/>
                  </w14:solidFill>
                </w14:textFill>
              </w:rPr>
            </w:pPr>
            <w:r>
              <w:rPr>
                <w:color w:val="000000" w:themeColor="text1"/>
                <w:sz w:val="21"/>
                <w14:textFill>
                  <w14:solidFill>
                    <w14:schemeClr w14:val="tx1"/>
                  </w14:solidFill>
                </w14:textFill>
              </w:rPr>
              <w:t>G2龙桥</w:t>
            </w:r>
            <w:r>
              <w:rPr>
                <w:rFonts w:hint="eastAsia"/>
                <w:color w:val="000000" w:themeColor="text1"/>
                <w:sz w:val="21"/>
                <w14:textFill>
                  <w14:solidFill>
                    <w14:schemeClr w14:val="tx1"/>
                  </w14:solidFill>
                </w14:textFill>
              </w:rPr>
              <w:t>小</w:t>
            </w:r>
            <w:r>
              <w:rPr>
                <w:color w:val="000000" w:themeColor="text1"/>
                <w:sz w:val="21"/>
                <w14:textFill>
                  <w14:solidFill>
                    <w14:schemeClr w14:val="tx1"/>
                  </w14:solidFill>
                </w14:textFill>
              </w:rPr>
              <w:t>学</w:t>
            </w:r>
          </w:p>
        </w:tc>
        <w:tc>
          <w:tcPr>
            <w:tcW w:w="599" w:type="dxa"/>
            <w:vMerge w:val="restart"/>
            <w:vAlign w:val="center"/>
          </w:tcPr>
          <w:p>
            <w:pPr>
              <w:pStyle w:val="198"/>
              <w:ind w:firstLine="520"/>
              <w:jc w:val="both"/>
              <w:rPr>
                <w:color w:val="000000" w:themeColor="text1"/>
                <w14:textFill>
                  <w14:solidFill>
                    <w14:schemeClr w14:val="tx1"/>
                  </w14:solidFill>
                </w14:textFill>
              </w:rPr>
            </w:pPr>
          </w:p>
        </w:tc>
        <w:tc>
          <w:tcPr>
            <w:tcW w:w="1320"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氟化物</w:t>
            </w:r>
          </w:p>
        </w:tc>
        <w:tc>
          <w:tcPr>
            <w:tcW w:w="1025"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日均</w:t>
            </w:r>
            <w:r>
              <w:rPr>
                <w:color w:val="000000" w:themeColor="text1"/>
                <w:sz w:val="21"/>
                <w:szCs w:val="24"/>
                <w14:textFill>
                  <w14:solidFill>
                    <w14:schemeClr w14:val="tx1"/>
                  </w14:solidFill>
                </w14:textFill>
              </w:rPr>
              <w:t>值</w:t>
            </w:r>
          </w:p>
        </w:tc>
        <w:tc>
          <w:tcPr>
            <w:tcW w:w="1322"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7</w:t>
            </w:r>
          </w:p>
        </w:tc>
        <w:tc>
          <w:tcPr>
            <w:tcW w:w="1617"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未检出</w:t>
            </w:r>
          </w:p>
        </w:tc>
        <w:tc>
          <w:tcPr>
            <w:tcW w:w="815"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w:t>
            </w:r>
          </w:p>
        </w:tc>
        <w:tc>
          <w:tcPr>
            <w:tcW w:w="653"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0</w:t>
            </w:r>
          </w:p>
        </w:tc>
        <w:tc>
          <w:tcPr>
            <w:tcW w:w="713"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3" w:type="dxa"/>
            <w:vMerge w:val="continue"/>
            <w:shd w:val="clear" w:color="auto" w:fill="auto"/>
            <w:vAlign w:val="center"/>
          </w:tcPr>
          <w:p>
            <w:pPr>
              <w:pStyle w:val="198"/>
              <w:ind w:firstLine="520"/>
              <w:jc w:val="both"/>
              <w:rPr>
                <w:color w:val="000000" w:themeColor="text1"/>
                <w14:textFill>
                  <w14:solidFill>
                    <w14:schemeClr w14:val="tx1"/>
                  </w14:solidFill>
                </w14:textFill>
              </w:rPr>
            </w:pPr>
          </w:p>
        </w:tc>
        <w:tc>
          <w:tcPr>
            <w:tcW w:w="599" w:type="dxa"/>
            <w:vMerge w:val="continue"/>
            <w:vAlign w:val="center"/>
          </w:tcPr>
          <w:p>
            <w:pPr>
              <w:pStyle w:val="198"/>
              <w:ind w:firstLine="520"/>
              <w:jc w:val="both"/>
              <w:rPr>
                <w:color w:val="000000" w:themeColor="text1"/>
                <w14:textFill>
                  <w14:solidFill>
                    <w14:schemeClr w14:val="tx1"/>
                  </w14:solidFill>
                </w14:textFill>
              </w:rPr>
            </w:pPr>
          </w:p>
        </w:tc>
        <w:tc>
          <w:tcPr>
            <w:tcW w:w="1320"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汞</w:t>
            </w:r>
          </w:p>
        </w:tc>
        <w:tc>
          <w:tcPr>
            <w:tcW w:w="1025" w:type="dxa"/>
            <w:shd w:val="clear" w:color="auto" w:fill="auto"/>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日均</w:t>
            </w:r>
            <w:r>
              <w:rPr>
                <w:color w:val="000000" w:themeColor="text1"/>
                <w:sz w:val="21"/>
                <w:szCs w:val="24"/>
                <w14:textFill>
                  <w14:solidFill>
                    <w14:schemeClr w14:val="tx1"/>
                  </w14:solidFill>
                </w14:textFill>
              </w:rPr>
              <w:t>值</w:t>
            </w:r>
          </w:p>
        </w:tc>
        <w:tc>
          <w:tcPr>
            <w:tcW w:w="1322"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w:t>
            </w:r>
          </w:p>
        </w:tc>
        <w:tc>
          <w:tcPr>
            <w:tcW w:w="1617"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未检出</w:t>
            </w:r>
          </w:p>
        </w:tc>
        <w:tc>
          <w:tcPr>
            <w:tcW w:w="815"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w:t>
            </w:r>
          </w:p>
        </w:tc>
        <w:tc>
          <w:tcPr>
            <w:tcW w:w="653"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0</w:t>
            </w:r>
          </w:p>
        </w:tc>
        <w:tc>
          <w:tcPr>
            <w:tcW w:w="713"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3" w:type="dxa"/>
            <w:vMerge w:val="continue"/>
            <w:shd w:val="clear" w:color="auto" w:fill="auto"/>
            <w:vAlign w:val="center"/>
          </w:tcPr>
          <w:p>
            <w:pPr>
              <w:pStyle w:val="198"/>
              <w:ind w:firstLine="520"/>
              <w:jc w:val="both"/>
              <w:rPr>
                <w:color w:val="000000" w:themeColor="text1"/>
                <w14:textFill>
                  <w14:solidFill>
                    <w14:schemeClr w14:val="tx1"/>
                  </w14:solidFill>
                </w14:textFill>
              </w:rPr>
            </w:pPr>
          </w:p>
        </w:tc>
        <w:tc>
          <w:tcPr>
            <w:tcW w:w="599" w:type="dxa"/>
            <w:vMerge w:val="continue"/>
            <w:vAlign w:val="center"/>
          </w:tcPr>
          <w:p>
            <w:pPr>
              <w:pStyle w:val="198"/>
              <w:ind w:firstLine="520"/>
              <w:jc w:val="both"/>
              <w:rPr>
                <w:color w:val="000000" w:themeColor="text1"/>
                <w14:textFill>
                  <w14:solidFill>
                    <w14:schemeClr w14:val="tx1"/>
                  </w14:solidFill>
                </w14:textFill>
              </w:rPr>
            </w:pPr>
          </w:p>
        </w:tc>
        <w:tc>
          <w:tcPr>
            <w:tcW w:w="1320"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铅</w:t>
            </w:r>
          </w:p>
        </w:tc>
        <w:tc>
          <w:tcPr>
            <w:tcW w:w="1025" w:type="dxa"/>
            <w:shd w:val="clear" w:color="auto" w:fill="auto"/>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日均</w:t>
            </w:r>
            <w:r>
              <w:rPr>
                <w:color w:val="000000" w:themeColor="text1"/>
                <w:sz w:val="21"/>
                <w:szCs w:val="24"/>
                <w14:textFill>
                  <w14:solidFill>
                    <w14:schemeClr w14:val="tx1"/>
                  </w14:solidFill>
                </w14:textFill>
              </w:rPr>
              <w:t>值</w:t>
            </w:r>
          </w:p>
        </w:tc>
        <w:tc>
          <w:tcPr>
            <w:tcW w:w="1322"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w:t>
            </w:r>
          </w:p>
        </w:tc>
        <w:tc>
          <w:tcPr>
            <w:tcW w:w="1617"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1.90</w:t>
            </w:r>
            <w:r>
              <w:rPr>
                <w:color w:val="000000" w:themeColor="text1"/>
                <w:sz w:val="21"/>
                <w:szCs w:val="24"/>
                <w14:textFill>
                  <w14:solidFill>
                    <w14:schemeClr w14:val="tx1"/>
                  </w14:solidFill>
                </w14:textFill>
              </w:rPr>
              <w:t>×</w:t>
            </w:r>
            <w:r>
              <w:rPr>
                <w:rFonts w:hint="eastAsia"/>
                <w:color w:val="000000" w:themeColor="text1"/>
                <w:sz w:val="21"/>
                <w:szCs w:val="24"/>
                <w14:textFill>
                  <w14:solidFill>
                    <w14:schemeClr w14:val="tx1"/>
                  </w14:solidFill>
                </w14:textFill>
              </w:rPr>
              <w:t>10</w:t>
            </w:r>
            <w:r>
              <w:rPr>
                <w:rFonts w:hint="eastAsia"/>
                <w:color w:val="000000" w:themeColor="text1"/>
                <w:sz w:val="21"/>
                <w:szCs w:val="24"/>
                <w:vertAlign w:val="superscript"/>
                <w14:textFill>
                  <w14:solidFill>
                    <w14:schemeClr w14:val="tx1"/>
                  </w14:solidFill>
                </w14:textFill>
              </w:rPr>
              <w:t>-5</w:t>
            </w:r>
            <w:r>
              <w:rPr>
                <w:rFonts w:hint="eastAsia"/>
                <w:color w:val="000000" w:themeColor="text1"/>
                <w:sz w:val="21"/>
                <w:szCs w:val="24"/>
                <w14:textFill>
                  <w14:solidFill>
                    <w14:schemeClr w14:val="tx1"/>
                  </w14:solidFill>
                </w14:textFill>
              </w:rPr>
              <w:t>~4.17</w:t>
            </w:r>
            <w:r>
              <w:rPr>
                <w:color w:val="000000" w:themeColor="text1"/>
                <w:sz w:val="21"/>
                <w:szCs w:val="24"/>
                <w14:textFill>
                  <w14:solidFill>
                    <w14:schemeClr w14:val="tx1"/>
                  </w14:solidFill>
                </w14:textFill>
              </w:rPr>
              <w:t>×</w:t>
            </w:r>
            <w:r>
              <w:rPr>
                <w:rFonts w:hint="eastAsia"/>
                <w:color w:val="000000" w:themeColor="text1"/>
                <w:sz w:val="21"/>
                <w:szCs w:val="24"/>
                <w14:textFill>
                  <w14:solidFill>
                    <w14:schemeClr w14:val="tx1"/>
                  </w14:solidFill>
                </w14:textFill>
              </w:rPr>
              <w:t>10</w:t>
            </w:r>
            <w:r>
              <w:rPr>
                <w:rFonts w:hint="eastAsia"/>
                <w:color w:val="000000" w:themeColor="text1"/>
                <w:sz w:val="21"/>
                <w:szCs w:val="24"/>
                <w:vertAlign w:val="superscript"/>
                <w14:textFill>
                  <w14:solidFill>
                    <w14:schemeClr w14:val="tx1"/>
                  </w14:solidFill>
                </w14:textFill>
              </w:rPr>
              <w:t>-5</w:t>
            </w:r>
          </w:p>
        </w:tc>
        <w:tc>
          <w:tcPr>
            <w:tcW w:w="815"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w:t>
            </w:r>
          </w:p>
        </w:tc>
        <w:tc>
          <w:tcPr>
            <w:tcW w:w="653"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0</w:t>
            </w:r>
          </w:p>
        </w:tc>
        <w:tc>
          <w:tcPr>
            <w:tcW w:w="713"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3" w:type="dxa"/>
            <w:vMerge w:val="continue"/>
            <w:shd w:val="clear" w:color="auto" w:fill="auto"/>
            <w:vAlign w:val="center"/>
          </w:tcPr>
          <w:p>
            <w:pPr>
              <w:pStyle w:val="198"/>
              <w:ind w:firstLine="520"/>
              <w:jc w:val="both"/>
              <w:rPr>
                <w:color w:val="000000" w:themeColor="text1"/>
                <w14:textFill>
                  <w14:solidFill>
                    <w14:schemeClr w14:val="tx1"/>
                  </w14:solidFill>
                </w14:textFill>
              </w:rPr>
            </w:pPr>
          </w:p>
        </w:tc>
        <w:tc>
          <w:tcPr>
            <w:tcW w:w="599" w:type="dxa"/>
            <w:vMerge w:val="continue"/>
            <w:vAlign w:val="center"/>
          </w:tcPr>
          <w:p>
            <w:pPr>
              <w:pStyle w:val="198"/>
              <w:ind w:firstLine="520"/>
              <w:jc w:val="both"/>
              <w:rPr>
                <w:color w:val="000000" w:themeColor="text1"/>
                <w14:textFill>
                  <w14:solidFill>
                    <w14:schemeClr w14:val="tx1"/>
                  </w14:solidFill>
                </w14:textFill>
              </w:rPr>
            </w:pPr>
          </w:p>
        </w:tc>
        <w:tc>
          <w:tcPr>
            <w:tcW w:w="1320"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砷</w:t>
            </w:r>
          </w:p>
        </w:tc>
        <w:tc>
          <w:tcPr>
            <w:tcW w:w="1025" w:type="dxa"/>
            <w:shd w:val="clear" w:color="auto" w:fill="auto"/>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日均</w:t>
            </w:r>
            <w:r>
              <w:rPr>
                <w:color w:val="000000" w:themeColor="text1"/>
                <w:sz w:val="21"/>
                <w:szCs w:val="24"/>
                <w14:textFill>
                  <w14:solidFill>
                    <w14:schemeClr w14:val="tx1"/>
                  </w14:solidFill>
                </w14:textFill>
              </w:rPr>
              <w:t>值</w:t>
            </w:r>
          </w:p>
        </w:tc>
        <w:tc>
          <w:tcPr>
            <w:tcW w:w="1322"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w:t>
            </w:r>
          </w:p>
        </w:tc>
        <w:tc>
          <w:tcPr>
            <w:tcW w:w="1617"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1.7</w:t>
            </w:r>
            <w:r>
              <w:rPr>
                <w:color w:val="000000" w:themeColor="text1"/>
                <w:sz w:val="21"/>
                <w:szCs w:val="24"/>
                <w14:textFill>
                  <w14:solidFill>
                    <w14:schemeClr w14:val="tx1"/>
                  </w14:solidFill>
                </w14:textFill>
              </w:rPr>
              <w:t>×</w:t>
            </w:r>
            <w:r>
              <w:rPr>
                <w:rFonts w:hint="eastAsia"/>
                <w:color w:val="000000" w:themeColor="text1"/>
                <w:sz w:val="21"/>
                <w:szCs w:val="24"/>
                <w14:textFill>
                  <w14:solidFill>
                    <w14:schemeClr w14:val="tx1"/>
                  </w14:solidFill>
                </w14:textFill>
              </w:rPr>
              <w:t>10</w:t>
            </w:r>
            <w:r>
              <w:rPr>
                <w:rFonts w:hint="eastAsia"/>
                <w:color w:val="000000" w:themeColor="text1"/>
                <w:sz w:val="21"/>
                <w:szCs w:val="24"/>
                <w:vertAlign w:val="superscript"/>
                <w14:textFill>
                  <w14:solidFill>
                    <w14:schemeClr w14:val="tx1"/>
                  </w14:solidFill>
                </w14:textFill>
              </w:rPr>
              <w:t>-6</w:t>
            </w:r>
            <w:r>
              <w:rPr>
                <w:rFonts w:hint="eastAsia"/>
                <w:color w:val="000000" w:themeColor="text1"/>
                <w:sz w:val="21"/>
                <w:szCs w:val="24"/>
                <w14:textFill>
                  <w14:solidFill>
                    <w14:schemeClr w14:val="tx1"/>
                  </w14:solidFill>
                </w14:textFill>
              </w:rPr>
              <w:t>~1.65</w:t>
            </w:r>
            <w:r>
              <w:rPr>
                <w:color w:val="000000" w:themeColor="text1"/>
                <w:sz w:val="21"/>
                <w:szCs w:val="24"/>
                <w14:textFill>
                  <w14:solidFill>
                    <w14:schemeClr w14:val="tx1"/>
                  </w14:solidFill>
                </w14:textFill>
              </w:rPr>
              <w:t>×</w:t>
            </w:r>
            <w:r>
              <w:rPr>
                <w:rFonts w:hint="eastAsia"/>
                <w:color w:val="000000" w:themeColor="text1"/>
                <w:sz w:val="21"/>
                <w:szCs w:val="24"/>
                <w14:textFill>
                  <w14:solidFill>
                    <w14:schemeClr w14:val="tx1"/>
                  </w14:solidFill>
                </w14:textFill>
              </w:rPr>
              <w:t>10</w:t>
            </w:r>
            <w:r>
              <w:rPr>
                <w:rFonts w:hint="eastAsia"/>
                <w:color w:val="000000" w:themeColor="text1"/>
                <w:sz w:val="21"/>
                <w:szCs w:val="24"/>
                <w:vertAlign w:val="superscript"/>
                <w14:textFill>
                  <w14:solidFill>
                    <w14:schemeClr w14:val="tx1"/>
                  </w14:solidFill>
                </w14:textFill>
              </w:rPr>
              <w:t>-5</w:t>
            </w:r>
          </w:p>
        </w:tc>
        <w:tc>
          <w:tcPr>
            <w:tcW w:w="815"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w:t>
            </w:r>
          </w:p>
        </w:tc>
        <w:tc>
          <w:tcPr>
            <w:tcW w:w="653"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0</w:t>
            </w:r>
          </w:p>
        </w:tc>
        <w:tc>
          <w:tcPr>
            <w:tcW w:w="713"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3" w:type="dxa"/>
            <w:vMerge w:val="continue"/>
            <w:shd w:val="clear" w:color="auto" w:fill="auto"/>
            <w:vAlign w:val="center"/>
          </w:tcPr>
          <w:p>
            <w:pPr>
              <w:pStyle w:val="198"/>
              <w:ind w:firstLine="520"/>
              <w:jc w:val="both"/>
              <w:rPr>
                <w:color w:val="000000" w:themeColor="text1"/>
                <w14:textFill>
                  <w14:solidFill>
                    <w14:schemeClr w14:val="tx1"/>
                  </w14:solidFill>
                </w14:textFill>
              </w:rPr>
            </w:pPr>
          </w:p>
        </w:tc>
        <w:tc>
          <w:tcPr>
            <w:tcW w:w="599" w:type="dxa"/>
            <w:vMerge w:val="continue"/>
            <w:vAlign w:val="center"/>
          </w:tcPr>
          <w:p>
            <w:pPr>
              <w:pStyle w:val="198"/>
              <w:ind w:firstLine="520"/>
              <w:jc w:val="both"/>
              <w:rPr>
                <w:color w:val="000000" w:themeColor="text1"/>
                <w14:textFill>
                  <w14:solidFill>
                    <w14:schemeClr w14:val="tx1"/>
                  </w14:solidFill>
                </w14:textFill>
              </w:rPr>
            </w:pPr>
          </w:p>
        </w:tc>
        <w:tc>
          <w:tcPr>
            <w:tcW w:w="1320"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镉</w:t>
            </w:r>
          </w:p>
        </w:tc>
        <w:tc>
          <w:tcPr>
            <w:tcW w:w="1025" w:type="dxa"/>
            <w:shd w:val="clear" w:color="auto" w:fill="auto"/>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日均</w:t>
            </w:r>
            <w:r>
              <w:rPr>
                <w:color w:val="000000" w:themeColor="text1"/>
                <w:sz w:val="21"/>
                <w:szCs w:val="24"/>
                <w14:textFill>
                  <w14:solidFill>
                    <w14:schemeClr w14:val="tx1"/>
                  </w14:solidFill>
                </w14:textFill>
              </w:rPr>
              <w:t>值</w:t>
            </w:r>
          </w:p>
        </w:tc>
        <w:tc>
          <w:tcPr>
            <w:tcW w:w="1322"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w:t>
            </w:r>
          </w:p>
        </w:tc>
        <w:tc>
          <w:tcPr>
            <w:tcW w:w="1617"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9</w:t>
            </w:r>
            <w:r>
              <w:rPr>
                <w:color w:val="000000" w:themeColor="text1"/>
                <w:sz w:val="21"/>
                <w:szCs w:val="24"/>
                <w14:textFill>
                  <w14:solidFill>
                    <w14:schemeClr w14:val="tx1"/>
                  </w14:solidFill>
                </w14:textFill>
              </w:rPr>
              <w:t>.6×10</w:t>
            </w:r>
            <w:r>
              <w:rPr>
                <w:color w:val="000000" w:themeColor="text1"/>
                <w:sz w:val="21"/>
                <w:szCs w:val="24"/>
                <w:vertAlign w:val="superscript"/>
                <w14:textFill>
                  <w14:solidFill>
                    <w14:schemeClr w14:val="tx1"/>
                  </w14:solidFill>
                </w14:textFill>
              </w:rPr>
              <w:t>-7</w:t>
            </w:r>
            <w:r>
              <w:rPr>
                <w:color w:val="000000" w:themeColor="text1"/>
                <w:sz w:val="21"/>
                <w:szCs w:val="24"/>
                <w14:textFill>
                  <w14:solidFill>
                    <w14:schemeClr w14:val="tx1"/>
                  </w14:solidFill>
                </w14:textFill>
              </w:rPr>
              <w:t>~</w:t>
            </w:r>
            <w:r>
              <w:rPr>
                <w:rFonts w:hint="eastAsia"/>
                <w:color w:val="000000" w:themeColor="text1"/>
                <w:sz w:val="21"/>
                <w:szCs w:val="24"/>
                <w14:textFill>
                  <w14:solidFill>
                    <w14:schemeClr w14:val="tx1"/>
                  </w14:solidFill>
                </w14:textFill>
              </w:rPr>
              <w:t>3</w:t>
            </w:r>
            <w:r>
              <w:rPr>
                <w:color w:val="000000" w:themeColor="text1"/>
                <w:sz w:val="21"/>
                <w:szCs w:val="24"/>
                <w14:textFill>
                  <w14:solidFill>
                    <w14:schemeClr w14:val="tx1"/>
                  </w14:solidFill>
                </w14:textFill>
              </w:rPr>
              <w:t>.04×10</w:t>
            </w:r>
            <w:r>
              <w:rPr>
                <w:color w:val="000000" w:themeColor="text1"/>
                <w:sz w:val="21"/>
                <w:szCs w:val="24"/>
                <w:vertAlign w:val="superscript"/>
                <w14:textFill>
                  <w14:solidFill>
                    <w14:schemeClr w14:val="tx1"/>
                  </w14:solidFill>
                </w14:textFill>
              </w:rPr>
              <w:t>-6</w:t>
            </w:r>
          </w:p>
        </w:tc>
        <w:tc>
          <w:tcPr>
            <w:tcW w:w="815"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w:t>
            </w:r>
          </w:p>
        </w:tc>
        <w:tc>
          <w:tcPr>
            <w:tcW w:w="653"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0</w:t>
            </w:r>
          </w:p>
        </w:tc>
        <w:tc>
          <w:tcPr>
            <w:tcW w:w="713"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3" w:type="dxa"/>
            <w:vMerge w:val="continue"/>
            <w:shd w:val="clear" w:color="auto" w:fill="auto"/>
            <w:vAlign w:val="center"/>
          </w:tcPr>
          <w:p>
            <w:pPr>
              <w:pStyle w:val="198"/>
              <w:ind w:firstLine="520"/>
              <w:jc w:val="both"/>
              <w:rPr>
                <w:color w:val="000000" w:themeColor="text1"/>
                <w14:textFill>
                  <w14:solidFill>
                    <w14:schemeClr w14:val="tx1"/>
                  </w14:solidFill>
                </w14:textFill>
              </w:rPr>
            </w:pPr>
          </w:p>
        </w:tc>
        <w:tc>
          <w:tcPr>
            <w:tcW w:w="599" w:type="dxa"/>
            <w:vMerge w:val="continue"/>
            <w:vAlign w:val="center"/>
          </w:tcPr>
          <w:p>
            <w:pPr>
              <w:pStyle w:val="198"/>
              <w:ind w:firstLine="520"/>
              <w:jc w:val="both"/>
              <w:rPr>
                <w:color w:val="000000" w:themeColor="text1"/>
                <w14:textFill>
                  <w14:solidFill>
                    <w14:schemeClr w14:val="tx1"/>
                  </w14:solidFill>
                </w14:textFill>
              </w:rPr>
            </w:pPr>
          </w:p>
        </w:tc>
        <w:tc>
          <w:tcPr>
            <w:tcW w:w="1320"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六价</w:t>
            </w:r>
            <w:r>
              <w:rPr>
                <w:rFonts w:hint="eastAsia"/>
                <w:color w:val="000000" w:themeColor="text1"/>
                <w:sz w:val="21"/>
                <w:szCs w:val="24"/>
                <w14:textFill>
                  <w14:solidFill>
                    <w14:schemeClr w14:val="tx1"/>
                  </w14:solidFill>
                </w14:textFill>
              </w:rPr>
              <w:t>铬</w:t>
            </w:r>
          </w:p>
        </w:tc>
        <w:tc>
          <w:tcPr>
            <w:tcW w:w="1025" w:type="dxa"/>
            <w:shd w:val="clear" w:color="auto" w:fill="auto"/>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日均</w:t>
            </w:r>
            <w:r>
              <w:rPr>
                <w:color w:val="000000" w:themeColor="text1"/>
                <w:sz w:val="21"/>
                <w:szCs w:val="24"/>
                <w14:textFill>
                  <w14:solidFill>
                    <w14:schemeClr w14:val="tx1"/>
                  </w14:solidFill>
                </w14:textFill>
              </w:rPr>
              <w:t>值</w:t>
            </w:r>
          </w:p>
        </w:tc>
        <w:tc>
          <w:tcPr>
            <w:tcW w:w="1322"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w:t>
            </w:r>
          </w:p>
        </w:tc>
        <w:tc>
          <w:tcPr>
            <w:tcW w:w="1617"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未检出</w:t>
            </w:r>
          </w:p>
        </w:tc>
        <w:tc>
          <w:tcPr>
            <w:tcW w:w="815"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w:t>
            </w:r>
          </w:p>
        </w:tc>
        <w:tc>
          <w:tcPr>
            <w:tcW w:w="653"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0</w:t>
            </w:r>
          </w:p>
        </w:tc>
        <w:tc>
          <w:tcPr>
            <w:tcW w:w="713" w:type="dxa"/>
            <w:shd w:val="clear" w:color="auto" w:fill="auto"/>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达标</w:t>
            </w:r>
          </w:p>
        </w:tc>
      </w:tr>
    </w:tbl>
    <w:p>
      <w:pPr>
        <w:adjustRightInd/>
        <w:spacing w:line="240" w:lineRule="auto"/>
        <w:ind w:firstLine="420"/>
        <w:jc w:val="both"/>
        <w:rPr>
          <w:color w:val="000000" w:themeColor="text1"/>
          <w:sz w:val="21"/>
          <w:szCs w:val="24"/>
          <w14:textFill>
            <w14:solidFill>
              <w14:schemeClr w14:val="tx1"/>
            </w14:solidFill>
          </w14:textFill>
        </w:rPr>
      </w:pPr>
    </w:p>
    <w:p>
      <w:pPr>
        <w:pStyle w:val="4"/>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地表水环境质量现状</w:t>
      </w:r>
    </w:p>
    <w:p>
      <w:pPr>
        <w:ind w:firstLine="520"/>
        <w:jc w:val="both"/>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根据《202</w:t>
      </w:r>
      <w:r>
        <w:rPr>
          <w:color w:val="000000" w:themeColor="text1"/>
          <w:szCs w:val="26"/>
          <w14:textFill>
            <w14:solidFill>
              <w14:schemeClr w14:val="tx1"/>
            </w14:solidFill>
          </w14:textFill>
        </w:rPr>
        <w:t>2</w:t>
      </w:r>
      <w:r>
        <w:rPr>
          <w:rFonts w:hint="eastAsia"/>
          <w:color w:val="000000" w:themeColor="text1"/>
          <w:szCs w:val="26"/>
          <w14:textFill>
            <w14:solidFill>
              <w14:schemeClr w14:val="tx1"/>
            </w14:solidFill>
          </w14:textFill>
        </w:rPr>
        <w:t>年重庆市生态环境状况公报》，长江干流重庆段总体水质为优，</w:t>
      </w:r>
      <w:r>
        <w:rPr>
          <w:color w:val="000000" w:themeColor="text1"/>
          <w:szCs w:val="26"/>
          <w14:textFill>
            <w14:solidFill>
              <w14:schemeClr w14:val="tx1"/>
            </w14:solidFill>
          </w14:textFill>
        </w:rPr>
        <w:t>20</w:t>
      </w:r>
      <w:r>
        <w:rPr>
          <w:rFonts w:hint="eastAsia"/>
          <w:color w:val="000000" w:themeColor="text1"/>
          <w:szCs w:val="26"/>
          <w14:textFill>
            <w14:solidFill>
              <w14:schemeClr w14:val="tx1"/>
            </w14:solidFill>
          </w14:textFill>
        </w:rPr>
        <w:t>个监测断面水质均达到II类水质。</w:t>
      </w:r>
    </w:p>
    <w:p>
      <w:pPr>
        <w:ind w:firstLine="520"/>
        <w:jc w:val="both"/>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此外，</w:t>
      </w:r>
      <w:r>
        <w:rPr>
          <w:color w:val="000000" w:themeColor="text1"/>
          <w:szCs w:val="26"/>
          <w14:textFill>
            <w14:solidFill>
              <w14:schemeClr w14:val="tx1"/>
            </w14:solidFill>
          </w14:textFill>
        </w:rPr>
        <w:t>本评价引用</w:t>
      </w:r>
      <w:r>
        <w:rPr>
          <w:rFonts w:hint="eastAsia"/>
          <w:color w:val="000000" w:themeColor="text1"/>
          <w:szCs w:val="26"/>
          <w14:textFill>
            <w14:solidFill>
              <w14:schemeClr w14:val="tx1"/>
            </w14:solidFill>
          </w14:textFill>
        </w:rPr>
        <w:t>《重庆涪陵工业园区龙桥组团规划调整环境影响报告书》中长江干流龙桥下游500m处监测断面的监测数据。</w:t>
      </w:r>
      <w:bookmarkStart w:id="108" w:name="_Hlk63012585"/>
      <w:r>
        <w:rPr>
          <w:color w:val="000000" w:themeColor="text1"/>
          <w:szCs w:val="26"/>
          <w14:textFill>
            <w14:solidFill>
              <w14:schemeClr w14:val="tx1"/>
            </w14:solidFill>
          </w14:textFill>
        </w:rPr>
        <w:t>监测布点及监测因子情况见</w:t>
      </w:r>
      <w:r>
        <w:rPr>
          <w:rFonts w:hint="eastAsia"/>
          <w:color w:val="000000" w:themeColor="text1"/>
          <w:szCs w:val="26"/>
          <w14:textFill>
            <w14:solidFill>
              <w14:schemeClr w14:val="tx1"/>
            </w14:solidFill>
          </w14:textFill>
        </w:rPr>
        <w:t>表</w:t>
      </w:r>
      <w:bookmarkEnd w:id="108"/>
      <w:r>
        <w:rPr>
          <w:rFonts w:hint="eastAsia"/>
          <w:color w:val="000000" w:themeColor="text1"/>
          <w:szCs w:val="26"/>
          <w14:textFill>
            <w14:solidFill>
              <w14:schemeClr w14:val="tx1"/>
            </w14:solidFill>
          </w14:textFill>
        </w:rPr>
        <w:t>4</w:t>
      </w:r>
      <w:r>
        <w:rPr>
          <w:color w:val="000000" w:themeColor="text1"/>
          <w:szCs w:val="26"/>
          <w14:textFill>
            <w14:solidFill>
              <w14:schemeClr w14:val="tx1"/>
            </w14:solidFill>
          </w14:textFill>
        </w:rPr>
        <w:t>.2</w:t>
      </w:r>
      <w:r>
        <w:rPr>
          <w:rFonts w:hint="eastAsia"/>
          <w:color w:val="000000" w:themeColor="text1"/>
          <w:szCs w:val="26"/>
          <w14:textFill>
            <w14:solidFill>
              <w14:schemeClr w14:val="tx1"/>
            </w14:solidFill>
          </w14:textFill>
        </w:rPr>
        <w:t>-</w:t>
      </w:r>
      <w:r>
        <w:rPr>
          <w:color w:val="000000" w:themeColor="text1"/>
          <w:szCs w:val="26"/>
          <w14:textFill>
            <w14:solidFill>
              <w14:schemeClr w14:val="tx1"/>
            </w14:solidFill>
          </w14:textFill>
        </w:rPr>
        <w:t>4。</w:t>
      </w:r>
    </w:p>
    <w:p>
      <w:pPr>
        <w:pStyle w:val="39"/>
        <w:rPr>
          <w:color w:val="000000" w:themeColor="text1"/>
          <w14:textFill>
            <w14:solidFill>
              <w14:schemeClr w14:val="tx1"/>
            </w14:solidFill>
          </w14:textFill>
        </w:rPr>
      </w:pPr>
      <w:bookmarkStart w:id="109" w:name="_Ref46526939"/>
      <w:bookmarkStart w:id="110" w:name="_Hlk63012596"/>
      <w:r>
        <w:rPr>
          <w:rFonts w:hint="eastAsia"/>
          <w:color w:val="000000" w:themeColor="text1"/>
          <w14:textFill>
            <w14:solidFill>
              <w14:schemeClr w14:val="tx1"/>
            </w14:solidFill>
          </w14:textFill>
        </w:rPr>
        <w:t>地表水补充监测断面布置情况</w:t>
      </w:r>
      <w:bookmarkEnd w:id="109"/>
    </w:p>
    <w:bookmarkEnd w:id="110"/>
    <w:tbl>
      <w:tblPr>
        <w:tblStyle w:val="42"/>
        <w:tblW w:w="81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276"/>
        <w:gridCol w:w="4110"/>
        <w:gridCol w:w="851"/>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992" w:type="dxa"/>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监测河流</w:t>
            </w:r>
          </w:p>
        </w:tc>
        <w:tc>
          <w:tcPr>
            <w:tcW w:w="1276" w:type="dxa"/>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采样断面</w:t>
            </w:r>
          </w:p>
        </w:tc>
        <w:tc>
          <w:tcPr>
            <w:tcW w:w="4110" w:type="dxa"/>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监测因子</w:t>
            </w:r>
          </w:p>
        </w:tc>
        <w:tc>
          <w:tcPr>
            <w:tcW w:w="851" w:type="dxa"/>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监测频次</w:t>
            </w:r>
          </w:p>
        </w:tc>
        <w:tc>
          <w:tcPr>
            <w:tcW w:w="963" w:type="dxa"/>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2" w:type="dxa"/>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长江干流</w:t>
            </w:r>
          </w:p>
        </w:tc>
        <w:tc>
          <w:tcPr>
            <w:tcW w:w="1276" w:type="dxa"/>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W1龙桥镇下游500m</w:t>
            </w:r>
          </w:p>
        </w:tc>
        <w:tc>
          <w:tcPr>
            <w:tcW w:w="4110" w:type="dxa"/>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color w:val="000000" w:themeColor="text1"/>
                <w:sz w:val="21"/>
                <w:szCs w:val="24"/>
                <w14:textFill>
                  <w14:solidFill>
                    <w14:schemeClr w14:val="tx1"/>
                  </w14:solidFill>
                </w14:textFill>
              </w:rPr>
              <w:t>流量、SS、DO、pH、石油类、BOD</w:t>
            </w:r>
            <w:r>
              <w:rPr>
                <w:color w:val="000000" w:themeColor="text1"/>
                <w:sz w:val="21"/>
                <w:szCs w:val="24"/>
                <w:vertAlign w:val="subscript"/>
                <w14:textFill>
                  <w14:solidFill>
                    <w14:schemeClr w14:val="tx1"/>
                  </w14:solidFill>
                </w14:textFill>
              </w:rPr>
              <w:t>5</w:t>
            </w:r>
            <w:r>
              <w:rPr>
                <w:color w:val="000000" w:themeColor="text1"/>
                <w:sz w:val="21"/>
                <w:szCs w:val="24"/>
                <w14:textFill>
                  <w14:solidFill>
                    <w14:schemeClr w14:val="tx1"/>
                  </w14:solidFill>
                </w14:textFill>
              </w:rPr>
              <w:t>、COD、总氮、高锰酸盐指数、氟化物、氨氮、总磷、镍、铜、铅、锰、氰化物、挥发</w:t>
            </w:r>
            <w:r>
              <w:rPr>
                <w:rFonts w:hint="eastAsia"/>
                <w:color w:val="000000" w:themeColor="text1"/>
                <w:sz w:val="21"/>
                <w:szCs w:val="24"/>
                <w14:textFill>
                  <w14:solidFill>
                    <w14:schemeClr w14:val="tx1"/>
                  </w14:solidFill>
                </w14:textFill>
              </w:rPr>
              <w:t>酚</w:t>
            </w:r>
            <w:r>
              <w:rPr>
                <w:color w:val="000000" w:themeColor="text1"/>
                <w:sz w:val="21"/>
                <w:szCs w:val="24"/>
                <w14:textFill>
                  <w14:solidFill>
                    <w14:schemeClr w14:val="tx1"/>
                  </w14:solidFill>
                </w14:textFill>
              </w:rPr>
              <w:t>、锌、水温、水位、电导率、硒、砷、汞、镉、六价铬、阴离子表面活性剂、硫化物、粪大肠菌群、钴、苯胺、苯、甲苯、二甲苯、二氯甲烷</w:t>
            </w:r>
          </w:p>
        </w:tc>
        <w:tc>
          <w:tcPr>
            <w:tcW w:w="851" w:type="dxa"/>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采样3天，每天1次</w:t>
            </w:r>
          </w:p>
        </w:tc>
        <w:tc>
          <w:tcPr>
            <w:tcW w:w="963" w:type="dxa"/>
            <w:vAlign w:val="center"/>
          </w:tcPr>
          <w:p>
            <w:pPr>
              <w:adjustRightInd/>
              <w:spacing w:line="240" w:lineRule="auto"/>
              <w:ind w:firstLine="0" w:firstLineChars="0"/>
              <w:jc w:val="both"/>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2020年7月2日~7月4日</w:t>
            </w:r>
          </w:p>
        </w:tc>
      </w:tr>
    </w:tbl>
    <w:p>
      <w:pPr>
        <w:ind w:firstLine="520"/>
        <w:jc w:val="both"/>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评价段执行《地表水环境质量标准》（GB3838-2002）中III类标准限值。</w:t>
      </w:r>
      <w:r>
        <w:rPr>
          <w:rFonts w:hint="eastAsia"/>
          <w:color w:val="000000" w:themeColor="text1"/>
          <w14:textFill>
            <w14:solidFill>
              <w14:schemeClr w14:val="tx1"/>
            </w14:solidFill>
          </w14:textFill>
        </w:rPr>
        <w:t>根据《环境影响评价技术导则 地表水环境》（HJ/T2.3-2018），采用单因子指数法进行评价。</w:t>
      </w:r>
      <w:r>
        <w:rPr>
          <w:color w:val="000000" w:themeColor="text1"/>
          <w:szCs w:val="26"/>
          <w14:textFill>
            <w14:solidFill>
              <w14:schemeClr w14:val="tx1"/>
            </w14:solidFill>
          </w14:textFill>
        </w:rPr>
        <w:t>计算公式如下：</w:t>
      </w:r>
    </w:p>
    <w:p>
      <w:pPr>
        <w:spacing w:line="360" w:lineRule="auto"/>
        <w:ind w:right="14" w:firstLine="3684" w:firstLineChars="1417"/>
        <w:jc w:val="both"/>
        <w:rPr>
          <w:color w:val="000000" w:themeColor="text1"/>
          <w:szCs w:val="26"/>
          <w14:textFill>
            <w14:solidFill>
              <w14:schemeClr w14:val="tx1"/>
            </w14:solidFill>
          </w14:textFill>
        </w:rPr>
      </w:pPr>
      <w:r>
        <w:rPr>
          <w:color w:val="000000" w:themeColor="text1"/>
          <w:position w:val="-30"/>
          <w:szCs w:val="26"/>
          <w14:textFill>
            <w14:solidFill>
              <w14:schemeClr w14:val="tx1"/>
            </w14:solidFill>
          </w14:textFill>
        </w:rPr>
        <w:object>
          <v:shape id="_x0000_i1025" o:spt="75" type="#_x0000_t75" style="height:36.9pt;width:51.95pt;" o:ole="t" filled="f" o:preferrelative="t" stroked="f" coordsize="21600,21600">
            <v:path/>
            <v:fill on="f" focussize="0,0"/>
            <v:stroke on="f" joinstyle="miter"/>
            <v:imagedata r:id="rId35" o:title=""/>
            <o:lock v:ext="edit" aspectratio="t"/>
            <w10:wrap type="none"/>
            <w10:anchorlock/>
          </v:shape>
          <o:OLEObject Type="Embed" ProgID="Equation.3" ShapeID="_x0000_i1025" DrawAspect="Content" ObjectID="_1468075725" r:id="rId34">
            <o:LockedField>false</o:LockedField>
          </o:OLEObject>
        </w:object>
      </w:r>
    </w:p>
    <w:p>
      <w:pPr>
        <w:ind w:firstLine="520"/>
        <w:jc w:val="both"/>
        <w:rPr>
          <w:color w:val="000000" w:themeColor="text1"/>
          <w:szCs w:val="26"/>
          <w14:textFill>
            <w14:solidFill>
              <w14:schemeClr w14:val="tx1"/>
            </w14:solidFill>
          </w14:textFill>
        </w:rPr>
      </w:pPr>
      <w:r>
        <w:rPr>
          <w:color w:val="000000" w:themeColor="text1"/>
          <w:szCs w:val="26"/>
          <w14:textFill>
            <w14:solidFill>
              <w14:schemeClr w14:val="tx1"/>
            </w14:solidFill>
          </w14:textFill>
        </w:rPr>
        <w:t>pH评价模式：</w:t>
      </w:r>
    </w:p>
    <w:p>
      <w:pPr>
        <w:spacing w:line="360" w:lineRule="auto"/>
        <w:ind w:right="14" w:firstLine="1866" w:firstLineChars="718"/>
        <w:jc w:val="both"/>
        <w:rPr>
          <w:color w:val="000000" w:themeColor="text1"/>
          <w:szCs w:val="26"/>
          <w14:textFill>
            <w14:solidFill>
              <w14:schemeClr w14:val="tx1"/>
            </w14:solidFill>
          </w14:textFill>
        </w:rPr>
      </w:pPr>
      <w:r>
        <w:rPr>
          <w:color w:val="000000" w:themeColor="text1"/>
          <w:position w:val="-30"/>
          <w:szCs w:val="26"/>
          <w14:textFill>
            <w14:solidFill>
              <w14:schemeClr w14:val="tx1"/>
            </w14:solidFill>
          </w14:textFill>
        </w:rPr>
        <w:object>
          <v:shape id="_x0000_i1026" o:spt="75" type="#_x0000_t75" style="height:36.9pt;width:86.6pt;" o:ole="t" filled="f" o:preferrelative="t" stroked="f" coordsize="21600,21600">
            <v:path/>
            <v:fill on="f" focussize="0,0"/>
            <v:stroke on="f" joinstyle="miter"/>
            <v:imagedata r:id="rId37" o:title=""/>
            <o:lock v:ext="edit" aspectratio="t"/>
            <w10:wrap type="none"/>
            <w10:anchorlock/>
          </v:shape>
          <o:OLEObject Type="Embed" ProgID="Equation.3" ShapeID="_x0000_i1026" DrawAspect="Content" ObjectID="_1468075726" r:id="rId36">
            <o:LockedField>false</o:LockedField>
          </o:OLEObject>
        </w:object>
      </w:r>
      <w:r>
        <w:rPr>
          <w:color w:val="000000" w:themeColor="text1"/>
          <w:szCs w:val="26"/>
          <w14:textFill>
            <w14:solidFill>
              <w14:schemeClr w14:val="tx1"/>
            </w14:solidFill>
          </w14:textFill>
        </w:rPr>
        <w:t xml:space="preserve">              pH</w:t>
      </w:r>
      <w:r>
        <w:rPr>
          <w:color w:val="000000" w:themeColor="text1"/>
          <w:szCs w:val="26"/>
          <w:vertAlign w:val="subscript"/>
          <w14:textFill>
            <w14:solidFill>
              <w14:schemeClr w14:val="tx1"/>
            </w14:solidFill>
          </w14:textFill>
        </w:rPr>
        <w:t>j</w:t>
      </w:r>
      <w:r>
        <w:rPr>
          <w:color w:val="000000" w:themeColor="text1"/>
          <w:szCs w:val="26"/>
          <w14:textFill>
            <w14:solidFill>
              <w14:schemeClr w14:val="tx1"/>
            </w14:solidFill>
          </w14:textFill>
        </w:rPr>
        <w:t>≥7.0</w:t>
      </w:r>
    </w:p>
    <w:p>
      <w:pPr>
        <w:spacing w:line="360" w:lineRule="auto"/>
        <w:ind w:right="14" w:firstLine="1866" w:firstLineChars="718"/>
        <w:jc w:val="both"/>
        <w:rPr>
          <w:color w:val="000000" w:themeColor="text1"/>
          <w:szCs w:val="26"/>
          <w14:textFill>
            <w14:solidFill>
              <w14:schemeClr w14:val="tx1"/>
            </w14:solidFill>
          </w14:textFill>
        </w:rPr>
      </w:pPr>
      <w:r>
        <w:rPr>
          <w:color w:val="000000" w:themeColor="text1"/>
          <w:position w:val="-30"/>
          <w:szCs w:val="26"/>
          <w14:textFill>
            <w14:solidFill>
              <w14:schemeClr w14:val="tx1"/>
            </w14:solidFill>
          </w14:textFill>
        </w:rPr>
        <w:object>
          <v:shape id="_x0000_i1027" o:spt="75" type="#_x0000_t75" style="height:36.9pt;width:86.6pt;" o:ole="t" filled="f" o:preferrelative="t" stroked="f" coordsize="21600,21600">
            <v:path/>
            <v:fill on="f" focussize="0,0"/>
            <v:stroke on="f" joinstyle="miter"/>
            <v:imagedata r:id="rId39" o:title=""/>
            <o:lock v:ext="edit" aspectratio="t"/>
            <w10:wrap type="none"/>
            <w10:anchorlock/>
          </v:shape>
          <o:OLEObject Type="Embed" ProgID="Equation.3" ShapeID="_x0000_i1027" DrawAspect="Content" ObjectID="_1468075727" r:id="rId38">
            <o:LockedField>false</o:LockedField>
          </o:OLEObject>
        </w:object>
      </w:r>
      <w:r>
        <w:rPr>
          <w:color w:val="000000" w:themeColor="text1"/>
          <w:szCs w:val="26"/>
          <w14:textFill>
            <w14:solidFill>
              <w14:schemeClr w14:val="tx1"/>
            </w14:solidFill>
          </w14:textFill>
        </w:rPr>
        <w:t xml:space="preserve">              pH</w:t>
      </w:r>
      <w:r>
        <w:rPr>
          <w:color w:val="000000" w:themeColor="text1"/>
          <w:szCs w:val="26"/>
          <w:vertAlign w:val="subscript"/>
          <w14:textFill>
            <w14:solidFill>
              <w14:schemeClr w14:val="tx1"/>
            </w14:solidFill>
          </w14:textFill>
        </w:rPr>
        <w:t>j</w:t>
      </w:r>
      <w:r>
        <w:rPr>
          <w:color w:val="000000" w:themeColor="text1"/>
          <w:szCs w:val="26"/>
          <w14:textFill>
            <w14:solidFill>
              <w14:schemeClr w14:val="tx1"/>
            </w14:solidFill>
          </w14:textFill>
        </w:rPr>
        <w:t>＜7.0</w:t>
      </w:r>
    </w:p>
    <w:p>
      <w:pPr>
        <w:ind w:firstLine="520"/>
        <w:jc w:val="both"/>
        <w:rPr>
          <w:color w:val="000000" w:themeColor="text1"/>
          <w:szCs w:val="26"/>
          <w14:textFill>
            <w14:solidFill>
              <w14:schemeClr w14:val="tx1"/>
            </w14:solidFill>
          </w14:textFill>
        </w:rPr>
      </w:pPr>
      <w:r>
        <w:rPr>
          <w:color w:val="000000" w:themeColor="text1"/>
          <w:szCs w:val="26"/>
          <w14:textFill>
            <w14:solidFill>
              <w14:schemeClr w14:val="tx1"/>
            </w14:solidFill>
          </w14:textFill>
        </w:rPr>
        <w:t>DO评价模式：</w:t>
      </w:r>
    </w:p>
    <w:p>
      <w:pPr>
        <w:spacing w:line="360" w:lineRule="auto"/>
        <w:ind w:right="14" w:firstLine="1866" w:firstLineChars="718"/>
        <w:jc w:val="both"/>
        <w:rPr>
          <w:color w:val="000000" w:themeColor="text1"/>
          <w:szCs w:val="26"/>
          <w:lang w:val="fr-FR"/>
          <w14:textFill>
            <w14:solidFill>
              <w14:schemeClr w14:val="tx1"/>
            </w14:solidFill>
          </w14:textFill>
        </w:rPr>
      </w:pPr>
      <w:r>
        <w:rPr>
          <w:color w:val="000000" w:themeColor="text1"/>
          <w:position w:val="-32"/>
          <w:szCs w:val="26"/>
          <w14:textFill>
            <w14:solidFill>
              <w14:schemeClr w14:val="tx1"/>
            </w14:solidFill>
          </w14:textFill>
        </w:rPr>
        <w:object>
          <v:shape id="_x0000_i1028" o:spt="75" type="#_x0000_t75" style="height:36.9pt;width:92.05pt;" o:ole="t" filled="f" o:preferrelative="t" stroked="f" coordsize="21600,21600">
            <v:path/>
            <v:fill on="f" focussize="0,0"/>
            <v:stroke on="f" joinstyle="miter"/>
            <v:imagedata r:id="rId41" o:title=""/>
            <o:lock v:ext="edit" aspectratio="t"/>
            <w10:wrap type="none"/>
            <w10:anchorlock/>
          </v:shape>
          <o:OLEObject Type="Embed" ProgID="Equation.3" ShapeID="_x0000_i1028" DrawAspect="Content" ObjectID="_1468075728" r:id="rId40">
            <o:LockedField>false</o:LockedField>
          </o:OLEObject>
        </w:object>
      </w:r>
      <w:r>
        <w:rPr>
          <w:color w:val="000000" w:themeColor="text1"/>
          <w:szCs w:val="26"/>
          <w:lang w:val="fr-FR"/>
          <w14:textFill>
            <w14:solidFill>
              <w14:schemeClr w14:val="tx1"/>
            </w14:solidFill>
          </w14:textFill>
        </w:rPr>
        <w:tab/>
      </w:r>
      <w:r>
        <w:rPr>
          <w:color w:val="000000" w:themeColor="text1"/>
          <w:szCs w:val="26"/>
          <w:lang w:val="fr-FR"/>
          <w14:textFill>
            <w14:solidFill>
              <w14:schemeClr w14:val="tx1"/>
            </w14:solidFill>
          </w14:textFill>
        </w:rPr>
        <w:tab/>
      </w:r>
      <w:r>
        <w:rPr>
          <w:color w:val="000000" w:themeColor="text1"/>
          <w:szCs w:val="26"/>
          <w:lang w:val="fr-FR"/>
          <w14:textFill>
            <w14:solidFill>
              <w14:schemeClr w14:val="tx1"/>
            </w14:solidFill>
          </w14:textFill>
        </w:rPr>
        <w:tab/>
      </w:r>
      <w:r>
        <w:rPr>
          <w:color w:val="000000" w:themeColor="text1"/>
          <w:szCs w:val="26"/>
          <w:lang w:val="fr-FR"/>
          <w14:textFill>
            <w14:solidFill>
              <w14:schemeClr w14:val="tx1"/>
            </w14:solidFill>
          </w14:textFill>
        </w:rPr>
        <w:tab/>
      </w:r>
      <w:r>
        <w:rPr>
          <w:color w:val="000000" w:themeColor="text1"/>
          <w:szCs w:val="26"/>
          <w:lang w:val="fr-FR"/>
          <w14:textFill>
            <w14:solidFill>
              <w14:schemeClr w14:val="tx1"/>
            </w14:solidFill>
          </w14:textFill>
        </w:rPr>
        <w:tab/>
      </w:r>
      <w:r>
        <w:rPr>
          <w:color w:val="000000" w:themeColor="text1"/>
          <w:szCs w:val="26"/>
          <w:lang w:val="fr-FR"/>
          <w14:textFill>
            <w14:solidFill>
              <w14:schemeClr w14:val="tx1"/>
            </w14:solidFill>
          </w14:textFill>
        </w:rPr>
        <w:t>DO</w:t>
      </w:r>
      <w:r>
        <w:rPr>
          <w:i/>
          <w:iCs/>
          <w:color w:val="000000" w:themeColor="text1"/>
          <w:szCs w:val="26"/>
          <w:vertAlign w:val="subscript"/>
          <w:lang w:val="fr-FR"/>
          <w14:textFill>
            <w14:solidFill>
              <w14:schemeClr w14:val="tx1"/>
            </w14:solidFill>
          </w14:textFill>
        </w:rPr>
        <w:t>f</w:t>
      </w:r>
      <w:r>
        <w:rPr>
          <w:color w:val="000000" w:themeColor="text1"/>
          <w:szCs w:val="26"/>
          <w:lang w:val="fr-FR"/>
          <w14:textFill>
            <w14:solidFill>
              <w14:schemeClr w14:val="tx1"/>
            </w14:solidFill>
          </w14:textFill>
        </w:rPr>
        <w:t>≥DO</w:t>
      </w:r>
      <w:r>
        <w:rPr>
          <w:i/>
          <w:iCs/>
          <w:color w:val="000000" w:themeColor="text1"/>
          <w:szCs w:val="26"/>
          <w:vertAlign w:val="subscript"/>
          <w:lang w:val="fr-FR"/>
          <w14:textFill>
            <w14:solidFill>
              <w14:schemeClr w14:val="tx1"/>
            </w14:solidFill>
          </w14:textFill>
        </w:rPr>
        <w:t>s</w:t>
      </w:r>
    </w:p>
    <w:p>
      <w:pPr>
        <w:spacing w:line="360" w:lineRule="auto"/>
        <w:ind w:right="14" w:firstLine="1866" w:firstLineChars="718"/>
        <w:jc w:val="both"/>
        <w:rPr>
          <w:color w:val="000000" w:themeColor="text1"/>
          <w:szCs w:val="26"/>
          <w:lang w:val="fr-FR"/>
          <w14:textFill>
            <w14:solidFill>
              <w14:schemeClr w14:val="tx1"/>
            </w14:solidFill>
          </w14:textFill>
        </w:rPr>
      </w:pPr>
      <w:r>
        <w:rPr>
          <w:color w:val="000000" w:themeColor="text1"/>
          <w:position w:val="-30"/>
          <w:szCs w:val="26"/>
          <w14:textFill>
            <w14:solidFill>
              <w14:schemeClr w14:val="tx1"/>
            </w14:solidFill>
          </w14:textFill>
        </w:rPr>
        <w:object>
          <v:shape id="_x0000_i1029" o:spt="75" type="#_x0000_t75" style="height:36.9pt;width:99.35pt;" o:ole="t" filled="f" o:preferrelative="t" stroked="f" coordsize="21600,21600">
            <v:path/>
            <v:fill on="f" focussize="0,0"/>
            <v:stroke on="f" joinstyle="miter"/>
            <v:imagedata r:id="rId43" o:title=""/>
            <o:lock v:ext="edit" aspectratio="t"/>
            <w10:wrap type="none"/>
            <w10:anchorlock/>
          </v:shape>
          <o:OLEObject Type="Embed" ProgID="Equation.3" ShapeID="_x0000_i1029" DrawAspect="Content" ObjectID="_1468075729" r:id="rId42">
            <o:LockedField>false</o:LockedField>
          </o:OLEObject>
        </w:object>
      </w:r>
      <w:r>
        <w:rPr>
          <w:color w:val="000000" w:themeColor="text1"/>
          <w:szCs w:val="26"/>
          <w:lang w:val="fr-FR"/>
          <w14:textFill>
            <w14:solidFill>
              <w14:schemeClr w14:val="tx1"/>
            </w14:solidFill>
          </w14:textFill>
        </w:rPr>
        <w:tab/>
      </w:r>
      <w:r>
        <w:rPr>
          <w:color w:val="000000" w:themeColor="text1"/>
          <w:szCs w:val="26"/>
          <w:lang w:val="fr-FR"/>
          <w14:textFill>
            <w14:solidFill>
              <w14:schemeClr w14:val="tx1"/>
            </w14:solidFill>
          </w14:textFill>
        </w:rPr>
        <w:tab/>
      </w:r>
      <w:r>
        <w:rPr>
          <w:color w:val="000000" w:themeColor="text1"/>
          <w:szCs w:val="26"/>
          <w:lang w:val="fr-FR"/>
          <w14:textFill>
            <w14:solidFill>
              <w14:schemeClr w14:val="tx1"/>
            </w14:solidFill>
          </w14:textFill>
        </w:rPr>
        <w:tab/>
      </w:r>
      <w:r>
        <w:rPr>
          <w:color w:val="000000" w:themeColor="text1"/>
          <w:szCs w:val="26"/>
          <w:lang w:val="fr-FR"/>
          <w14:textFill>
            <w14:solidFill>
              <w14:schemeClr w14:val="tx1"/>
            </w14:solidFill>
          </w14:textFill>
        </w:rPr>
        <w:tab/>
      </w:r>
      <w:r>
        <w:rPr>
          <w:color w:val="000000" w:themeColor="text1"/>
          <w:szCs w:val="26"/>
          <w:lang w:val="fr-FR"/>
          <w14:textFill>
            <w14:solidFill>
              <w14:schemeClr w14:val="tx1"/>
            </w14:solidFill>
          </w14:textFill>
        </w:rPr>
        <w:t>DO</w:t>
      </w:r>
      <w:r>
        <w:rPr>
          <w:i/>
          <w:iCs/>
          <w:color w:val="000000" w:themeColor="text1"/>
          <w:szCs w:val="26"/>
          <w:vertAlign w:val="subscript"/>
          <w:lang w:val="fr-FR"/>
          <w14:textFill>
            <w14:solidFill>
              <w14:schemeClr w14:val="tx1"/>
            </w14:solidFill>
          </w14:textFill>
        </w:rPr>
        <w:t>f</w:t>
      </w:r>
      <w:r>
        <w:rPr>
          <w:color w:val="000000" w:themeColor="text1"/>
          <w:szCs w:val="26"/>
          <w:lang w:val="fr-FR"/>
          <w14:textFill>
            <w14:solidFill>
              <w14:schemeClr w14:val="tx1"/>
            </w14:solidFill>
          </w14:textFill>
        </w:rPr>
        <w:t>＜DO</w:t>
      </w:r>
      <w:r>
        <w:rPr>
          <w:i/>
          <w:iCs/>
          <w:color w:val="000000" w:themeColor="text1"/>
          <w:szCs w:val="26"/>
          <w:vertAlign w:val="subscript"/>
          <w:lang w:val="fr-FR"/>
          <w14:textFill>
            <w14:solidFill>
              <w14:schemeClr w14:val="tx1"/>
            </w14:solidFill>
          </w14:textFill>
        </w:rPr>
        <w:t>s</w:t>
      </w:r>
    </w:p>
    <w:p>
      <w:pPr>
        <w:ind w:firstLine="520"/>
        <w:jc w:val="both"/>
        <w:rPr>
          <w:color w:val="000000" w:themeColor="text1"/>
          <w:szCs w:val="26"/>
          <w14:textFill>
            <w14:solidFill>
              <w14:schemeClr w14:val="tx1"/>
            </w14:solidFill>
          </w14:textFill>
        </w:rPr>
      </w:pPr>
      <w:r>
        <w:rPr>
          <w:color w:val="000000" w:themeColor="text1"/>
          <w:szCs w:val="26"/>
          <w14:textFill>
            <w14:solidFill>
              <w14:schemeClr w14:val="tx1"/>
            </w14:solidFill>
          </w14:textFill>
        </w:rPr>
        <w:t>式中：S</w:t>
      </w:r>
      <w:r>
        <w:rPr>
          <w:color w:val="000000" w:themeColor="text1"/>
          <w:szCs w:val="26"/>
          <w:vertAlign w:val="subscript"/>
          <w14:textFill>
            <w14:solidFill>
              <w14:schemeClr w14:val="tx1"/>
            </w14:solidFill>
          </w14:textFill>
        </w:rPr>
        <w:t>I,j</w:t>
      </w:r>
      <w:r>
        <w:rPr>
          <w:color w:val="000000" w:themeColor="text1"/>
          <w:szCs w:val="26"/>
          <w14:textFill>
            <w14:solidFill>
              <w14:schemeClr w14:val="tx1"/>
            </w14:solidFill>
          </w14:textFill>
        </w:rPr>
        <w:t xml:space="preserve"> — 为 i污染物在j监测点处的标准指数；</w:t>
      </w:r>
    </w:p>
    <w:p>
      <w:pPr>
        <w:ind w:firstLine="1300" w:firstLineChars="500"/>
        <w:jc w:val="both"/>
        <w:rPr>
          <w:color w:val="000000" w:themeColor="text1"/>
          <w:szCs w:val="26"/>
          <w14:textFill>
            <w14:solidFill>
              <w14:schemeClr w14:val="tx1"/>
            </w14:solidFill>
          </w14:textFill>
        </w:rPr>
      </w:pPr>
      <w:r>
        <w:rPr>
          <w:color w:val="000000" w:themeColor="text1"/>
          <w:szCs w:val="26"/>
          <w14:textFill>
            <w14:solidFill>
              <w14:schemeClr w14:val="tx1"/>
            </w14:solidFill>
          </w14:textFill>
        </w:rPr>
        <w:t>C</w:t>
      </w:r>
      <w:r>
        <w:rPr>
          <w:color w:val="000000" w:themeColor="text1"/>
          <w:szCs w:val="26"/>
          <w:vertAlign w:val="subscript"/>
          <w14:textFill>
            <w14:solidFill>
              <w14:schemeClr w14:val="tx1"/>
            </w14:solidFill>
          </w14:textFill>
        </w:rPr>
        <w:t>I,j</w:t>
      </w:r>
      <w:r>
        <w:rPr>
          <w:color w:val="000000" w:themeColor="text1"/>
          <w:szCs w:val="26"/>
          <w14:textFill>
            <w14:solidFill>
              <w14:schemeClr w14:val="tx1"/>
            </w14:solidFill>
          </w14:textFill>
        </w:rPr>
        <w:t xml:space="preserve"> — 为i污染物在j监测点处的实测浓度（mg/l）；</w:t>
      </w:r>
    </w:p>
    <w:p>
      <w:pPr>
        <w:ind w:firstLine="1300" w:firstLineChars="500"/>
        <w:jc w:val="both"/>
        <w:rPr>
          <w:color w:val="000000" w:themeColor="text1"/>
          <w:szCs w:val="26"/>
          <w14:textFill>
            <w14:solidFill>
              <w14:schemeClr w14:val="tx1"/>
            </w14:solidFill>
          </w14:textFill>
        </w:rPr>
      </w:pPr>
      <w:r>
        <w:rPr>
          <w:color w:val="000000" w:themeColor="text1"/>
          <w:szCs w:val="26"/>
          <w14:textFill>
            <w14:solidFill>
              <w14:schemeClr w14:val="tx1"/>
            </w14:solidFill>
          </w14:textFill>
        </w:rPr>
        <w:t>C</w:t>
      </w:r>
      <w:r>
        <w:rPr>
          <w:color w:val="000000" w:themeColor="text1"/>
          <w:szCs w:val="26"/>
          <w:vertAlign w:val="subscript"/>
          <w14:textFill>
            <w14:solidFill>
              <w14:schemeClr w14:val="tx1"/>
            </w14:solidFill>
          </w14:textFill>
        </w:rPr>
        <w:t>si</w:t>
      </w:r>
      <w:r>
        <w:rPr>
          <w:color w:val="000000" w:themeColor="text1"/>
          <w:szCs w:val="26"/>
          <w14:textFill>
            <w14:solidFill>
              <w14:schemeClr w14:val="tx1"/>
            </w14:solidFill>
          </w14:textFill>
        </w:rPr>
        <w:t xml:space="preserve"> — 为i污染物的评价标准（mg/l）；</w:t>
      </w:r>
    </w:p>
    <w:p>
      <w:pPr>
        <w:ind w:firstLine="1300" w:firstLineChars="500"/>
        <w:jc w:val="both"/>
        <w:rPr>
          <w:color w:val="000000" w:themeColor="text1"/>
          <w:szCs w:val="26"/>
          <w14:textFill>
            <w14:solidFill>
              <w14:schemeClr w14:val="tx1"/>
            </w14:solidFill>
          </w14:textFill>
        </w:rPr>
      </w:pPr>
      <w:r>
        <w:rPr>
          <w:color w:val="000000" w:themeColor="text1"/>
          <w:szCs w:val="26"/>
          <w14:textFill>
            <w14:solidFill>
              <w14:schemeClr w14:val="tx1"/>
            </w14:solidFill>
          </w14:textFill>
        </w:rPr>
        <w:t>P</w:t>
      </w:r>
      <w:r>
        <w:rPr>
          <w:color w:val="000000" w:themeColor="text1"/>
          <w:szCs w:val="26"/>
          <w:vertAlign w:val="subscript"/>
          <w14:textFill>
            <w14:solidFill>
              <w14:schemeClr w14:val="tx1"/>
            </w14:solidFill>
          </w14:textFill>
        </w:rPr>
        <w:t>pH</w:t>
      </w:r>
      <w:r>
        <w:rPr>
          <w:color w:val="000000" w:themeColor="text1"/>
          <w:szCs w:val="26"/>
          <w14:textFill>
            <w14:solidFill>
              <w14:schemeClr w14:val="tx1"/>
            </w14:solidFill>
          </w14:textFill>
        </w:rPr>
        <w:t xml:space="preserve"> — pH的标准指数；</w:t>
      </w:r>
    </w:p>
    <w:p>
      <w:pPr>
        <w:ind w:firstLine="1300" w:firstLineChars="500"/>
        <w:jc w:val="both"/>
        <w:rPr>
          <w:color w:val="000000" w:themeColor="text1"/>
          <w:szCs w:val="26"/>
          <w14:textFill>
            <w14:solidFill>
              <w14:schemeClr w14:val="tx1"/>
            </w14:solidFill>
          </w14:textFill>
        </w:rPr>
      </w:pPr>
      <w:r>
        <w:rPr>
          <w:color w:val="000000" w:themeColor="text1"/>
          <w:szCs w:val="26"/>
          <w14:textFill>
            <w14:solidFill>
              <w14:schemeClr w14:val="tx1"/>
            </w14:solidFill>
          </w14:textFill>
        </w:rPr>
        <w:t>P</w:t>
      </w:r>
      <w:r>
        <w:rPr>
          <w:color w:val="000000" w:themeColor="text1"/>
          <w:szCs w:val="26"/>
          <w:vertAlign w:val="subscript"/>
          <w14:textFill>
            <w14:solidFill>
              <w14:schemeClr w14:val="tx1"/>
            </w14:solidFill>
          </w14:textFill>
        </w:rPr>
        <w:t>sd</w:t>
      </w:r>
      <w:r>
        <w:rPr>
          <w:color w:val="000000" w:themeColor="text1"/>
          <w:szCs w:val="26"/>
          <w14:textFill>
            <w14:solidFill>
              <w14:schemeClr w14:val="tx1"/>
            </w14:solidFill>
          </w14:textFill>
        </w:rPr>
        <w:t xml:space="preserve"> — 地表水水质标准中规定的pH值下限；</w:t>
      </w:r>
    </w:p>
    <w:p>
      <w:pPr>
        <w:ind w:firstLine="1300" w:firstLineChars="500"/>
        <w:jc w:val="both"/>
        <w:rPr>
          <w:color w:val="000000" w:themeColor="text1"/>
          <w:szCs w:val="26"/>
          <w14:textFill>
            <w14:solidFill>
              <w14:schemeClr w14:val="tx1"/>
            </w14:solidFill>
          </w14:textFill>
        </w:rPr>
      </w:pPr>
      <w:r>
        <w:rPr>
          <w:color w:val="000000" w:themeColor="text1"/>
          <w:szCs w:val="26"/>
          <w14:textFill>
            <w14:solidFill>
              <w14:schemeClr w14:val="tx1"/>
            </w14:solidFill>
          </w14:textFill>
        </w:rPr>
        <w:t>P</w:t>
      </w:r>
      <w:r>
        <w:rPr>
          <w:color w:val="000000" w:themeColor="text1"/>
          <w:szCs w:val="26"/>
          <w:vertAlign w:val="subscript"/>
          <w14:textFill>
            <w14:solidFill>
              <w14:schemeClr w14:val="tx1"/>
            </w14:solidFill>
          </w14:textFill>
        </w:rPr>
        <w:t>su</w:t>
      </w:r>
      <w:r>
        <w:rPr>
          <w:color w:val="000000" w:themeColor="text1"/>
          <w:szCs w:val="26"/>
          <w14:textFill>
            <w14:solidFill>
              <w14:schemeClr w14:val="tx1"/>
            </w14:solidFill>
          </w14:textFill>
        </w:rPr>
        <w:t xml:space="preserve"> — 地表水水质标准中规定的pH值上限；</w:t>
      </w:r>
    </w:p>
    <w:p>
      <w:pPr>
        <w:ind w:firstLine="1300" w:firstLineChars="500"/>
        <w:jc w:val="both"/>
        <w:rPr>
          <w:color w:val="000000" w:themeColor="text1"/>
          <w:szCs w:val="26"/>
          <w14:textFill>
            <w14:solidFill>
              <w14:schemeClr w14:val="tx1"/>
            </w14:solidFill>
          </w14:textFill>
        </w:rPr>
      </w:pPr>
      <w:r>
        <w:rPr>
          <w:color w:val="000000" w:themeColor="text1"/>
          <w:szCs w:val="26"/>
          <w14:textFill>
            <w14:solidFill>
              <w14:schemeClr w14:val="tx1"/>
            </w14:solidFill>
          </w14:textFill>
        </w:rPr>
        <w:t>pH</w:t>
      </w:r>
      <w:r>
        <w:rPr>
          <w:color w:val="000000" w:themeColor="text1"/>
          <w:szCs w:val="26"/>
          <w:vertAlign w:val="subscript"/>
          <w14:textFill>
            <w14:solidFill>
              <w14:schemeClr w14:val="tx1"/>
            </w14:solidFill>
          </w14:textFill>
        </w:rPr>
        <w:t>j</w:t>
      </w:r>
      <w:r>
        <w:rPr>
          <w:color w:val="000000" w:themeColor="text1"/>
          <w:szCs w:val="26"/>
          <w14:textFill>
            <w14:solidFill>
              <w14:schemeClr w14:val="tx1"/>
            </w14:solidFill>
          </w14:textFill>
        </w:rPr>
        <w:t xml:space="preserve"> — 在j监测点处实测pH值；</w:t>
      </w:r>
    </w:p>
    <w:p>
      <w:pPr>
        <w:ind w:firstLine="1300" w:firstLineChars="500"/>
        <w:jc w:val="both"/>
        <w:rPr>
          <w:color w:val="000000" w:themeColor="text1"/>
          <w:szCs w:val="26"/>
          <w14:textFill>
            <w14:solidFill>
              <w14:schemeClr w14:val="tx1"/>
            </w14:solidFill>
          </w14:textFill>
        </w:rPr>
      </w:pPr>
      <w:r>
        <w:rPr>
          <w:color w:val="000000" w:themeColor="text1"/>
          <w:szCs w:val="26"/>
          <w14:textFill>
            <w14:solidFill>
              <w14:schemeClr w14:val="tx1"/>
            </w14:solidFill>
          </w14:textFill>
        </w:rPr>
        <w:t>DO</w:t>
      </w:r>
      <w:r>
        <w:rPr>
          <w:color w:val="000000" w:themeColor="text1"/>
          <w:szCs w:val="26"/>
          <w:vertAlign w:val="subscript"/>
          <w14:textFill>
            <w14:solidFill>
              <w14:schemeClr w14:val="tx1"/>
            </w14:solidFill>
          </w14:textFill>
        </w:rPr>
        <w:t>f</w:t>
      </w:r>
      <w:r>
        <w:rPr>
          <w:color w:val="000000" w:themeColor="text1"/>
          <w:szCs w:val="26"/>
          <w14:textFill>
            <w14:solidFill>
              <w14:schemeClr w14:val="tx1"/>
            </w14:solidFill>
          </w14:textFill>
        </w:rPr>
        <w:t>— 饱和溶解氧；</w:t>
      </w:r>
    </w:p>
    <w:p>
      <w:pPr>
        <w:ind w:firstLine="1300" w:firstLineChars="500"/>
        <w:jc w:val="both"/>
        <w:rPr>
          <w:color w:val="000000" w:themeColor="text1"/>
          <w:szCs w:val="26"/>
          <w14:textFill>
            <w14:solidFill>
              <w14:schemeClr w14:val="tx1"/>
            </w14:solidFill>
          </w14:textFill>
        </w:rPr>
      </w:pPr>
      <w:r>
        <w:rPr>
          <w:color w:val="000000" w:themeColor="text1"/>
          <w:szCs w:val="26"/>
          <w14:textFill>
            <w14:solidFill>
              <w14:schemeClr w14:val="tx1"/>
            </w14:solidFill>
          </w14:textFill>
        </w:rPr>
        <w:t>DO</w:t>
      </w:r>
      <w:r>
        <w:rPr>
          <w:color w:val="000000" w:themeColor="text1"/>
          <w:szCs w:val="26"/>
          <w:vertAlign w:val="subscript"/>
          <w14:textFill>
            <w14:solidFill>
              <w14:schemeClr w14:val="tx1"/>
            </w14:solidFill>
          </w14:textFill>
        </w:rPr>
        <w:t>j</w:t>
      </w:r>
      <w:r>
        <w:rPr>
          <w:color w:val="000000" w:themeColor="text1"/>
          <w:szCs w:val="26"/>
          <w14:textFill>
            <w14:solidFill>
              <w14:schemeClr w14:val="tx1"/>
            </w14:solidFill>
          </w14:textFill>
        </w:rPr>
        <w:t>— 溶解氧在j监测点处的实测浓度（mg/l）；</w:t>
      </w:r>
    </w:p>
    <w:p>
      <w:pPr>
        <w:ind w:firstLine="1300" w:firstLineChars="500"/>
        <w:jc w:val="both"/>
        <w:rPr>
          <w:color w:val="000000" w:themeColor="text1"/>
          <w14:textFill>
            <w14:solidFill>
              <w14:schemeClr w14:val="tx1"/>
            </w14:solidFill>
          </w14:textFill>
        </w:rPr>
      </w:pPr>
      <w:r>
        <w:rPr>
          <w:color w:val="000000" w:themeColor="text1"/>
          <w:szCs w:val="26"/>
          <w14:textFill>
            <w14:solidFill>
              <w14:schemeClr w14:val="tx1"/>
            </w14:solidFill>
          </w14:textFill>
        </w:rPr>
        <w:t>DO</w:t>
      </w:r>
      <w:r>
        <w:rPr>
          <w:color w:val="000000" w:themeColor="text1"/>
          <w:szCs w:val="26"/>
          <w:vertAlign w:val="subscript"/>
          <w14:textFill>
            <w14:solidFill>
              <w14:schemeClr w14:val="tx1"/>
            </w14:solidFill>
          </w14:textFill>
        </w:rPr>
        <w:t>s</w:t>
      </w:r>
      <w:r>
        <w:rPr>
          <w:color w:val="000000" w:themeColor="text1"/>
          <w:szCs w:val="26"/>
          <w14:textFill>
            <w14:solidFill>
              <w14:schemeClr w14:val="tx1"/>
            </w14:solidFill>
          </w14:textFill>
        </w:rPr>
        <w:t>— 溶解氧标准值（mg/l）；</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监测和评价结果见表4</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地表水监测结果一览表  单位：mg/L</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pH无量纲</w:t>
      </w:r>
      <w:r>
        <w:rPr>
          <w:rFonts w:hint="eastAsia"/>
          <w:color w:val="000000" w:themeColor="text1"/>
          <w14:textFill>
            <w14:solidFill>
              <w14:schemeClr w14:val="tx1"/>
            </w14:solidFill>
          </w14:textFill>
        </w:rPr>
        <w:t>）</w:t>
      </w:r>
    </w:p>
    <w:tbl>
      <w:tblPr>
        <w:tblStyle w:val="42"/>
        <w:tblW w:w="8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2436"/>
        <w:gridCol w:w="1970"/>
        <w:gridCol w:w="1506"/>
        <w:gridCol w:w="1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684" w:type="dxa"/>
            <w:vMerge w:val="restart"/>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监测因子</w:t>
            </w:r>
          </w:p>
        </w:tc>
        <w:tc>
          <w:tcPr>
            <w:tcW w:w="5912" w:type="dxa"/>
            <w:gridSpan w:val="3"/>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W1长江</w:t>
            </w:r>
            <w:r>
              <w:rPr>
                <w:rFonts w:hint="eastAsia" w:eastAsiaTheme="minorEastAsia"/>
                <w:color w:val="000000" w:themeColor="text1"/>
                <w:kern w:val="0"/>
                <w:sz w:val="22"/>
                <w14:textFill>
                  <w14:solidFill>
                    <w14:schemeClr w14:val="tx1"/>
                  </w14:solidFill>
                </w14:textFill>
              </w:rPr>
              <w:t>龙桥</w:t>
            </w:r>
            <w:r>
              <w:rPr>
                <w:rFonts w:eastAsiaTheme="minorEastAsia"/>
                <w:color w:val="000000" w:themeColor="text1"/>
                <w:kern w:val="0"/>
                <w:sz w:val="22"/>
                <w14:textFill>
                  <w14:solidFill>
                    <w14:schemeClr w14:val="tx1"/>
                  </w14:solidFill>
                </w14:textFill>
              </w:rPr>
              <w:t>下游500m</w:t>
            </w:r>
          </w:p>
        </w:tc>
        <w:tc>
          <w:tcPr>
            <w:tcW w:w="1181" w:type="dxa"/>
            <w:vMerge w:val="restart"/>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III</w:t>
            </w:r>
            <w:r>
              <w:rPr>
                <w:rFonts w:eastAsia="等线"/>
                <w:color w:val="000000" w:themeColor="text1"/>
                <w:kern w:val="0"/>
                <w:sz w:val="22"/>
                <w14:textFill>
                  <w14:solidFill>
                    <w14:schemeClr w14:val="tx1"/>
                  </w14:solidFill>
                </w14:textFill>
              </w:rPr>
              <w:t>类</w:t>
            </w:r>
            <w:r>
              <w:rPr>
                <w:rFonts w:hint="eastAsia" w:eastAsia="等线"/>
                <w:color w:val="000000" w:themeColor="text1"/>
                <w:kern w:val="0"/>
                <w:sz w:val="22"/>
                <w14:textFill>
                  <w14:solidFill>
                    <w14:schemeClr w14:val="tx1"/>
                  </w14:solidFill>
                </w14:textFill>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684" w:type="dxa"/>
            <w:vMerge w:val="continue"/>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监测值</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Si值</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达标情况</w:t>
            </w:r>
          </w:p>
        </w:tc>
        <w:tc>
          <w:tcPr>
            <w:tcW w:w="1181" w:type="dxa"/>
            <w:vMerge w:val="continue"/>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水温</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20.3~20.8</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pH值</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8.13~8.32</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0.57~0.66</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电导率</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742~801</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溶解氧</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7.59~7.92</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0.27~0.34</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氨氮</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0.273~0.372</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0.27~0.37</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悬浮物</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5~7</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高锰酸盐指数</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2.49~3.54</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0.42~0.59</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化学需氧量</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13~15</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0.65~0.75</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五日生化需氧量</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2.9~3.1</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0.73~0.78</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阴离子表面活性剂</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0.05L</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石油类</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0.01~0.03</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0.20~0.60</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挥发酚</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0.0003L</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六价铬</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0.004L</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总磷</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0.09~0.1</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0.45~0.50</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总氮</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0.41~0.45</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0.41~0.45</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氟化物</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0.264~0.283</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0.26~0.28</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硫化物</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0.126~0.147</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0.63~0.74</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氰化物</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0.001L</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锰</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0.01L</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铅</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0.0025L</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镉</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0.00025L</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铜</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0.02L</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锌</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0.02L</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镍</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0.007L</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钴</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0.01L</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汞</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0.00004L</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砷</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0.7~0.8</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0.01~0.02</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硒</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0.0004L</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粪大肠菌群</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2.4×10</w:t>
            </w:r>
            <w:r>
              <w:rPr>
                <w:rFonts w:eastAsiaTheme="minorEastAsia"/>
                <w:color w:val="000000" w:themeColor="text1"/>
                <w:kern w:val="0"/>
                <w:sz w:val="22"/>
                <w:vertAlign w:val="superscript"/>
                <w14:textFill>
                  <w14:solidFill>
                    <w14:schemeClr w14:val="tx1"/>
                  </w14:solidFill>
                </w14:textFill>
              </w:rPr>
              <w:t>3</w:t>
            </w:r>
            <w:r>
              <w:rPr>
                <w:rFonts w:eastAsiaTheme="minorEastAsia"/>
                <w:color w:val="000000" w:themeColor="text1"/>
                <w:kern w:val="0"/>
                <w:sz w:val="22"/>
                <w14:textFill>
                  <w14:solidFill>
                    <w14:schemeClr w14:val="tx1"/>
                  </w14:solidFill>
                </w14:textFill>
              </w:rPr>
              <w:t>~2.8×10</w:t>
            </w:r>
            <w:r>
              <w:rPr>
                <w:rFonts w:eastAsiaTheme="minorEastAsia"/>
                <w:color w:val="000000" w:themeColor="text1"/>
                <w:kern w:val="0"/>
                <w:sz w:val="22"/>
                <w:vertAlign w:val="superscript"/>
                <w14:textFill>
                  <w14:solidFill>
                    <w14:schemeClr w14:val="tx1"/>
                  </w14:solidFill>
                </w14:textFill>
              </w:rPr>
              <w:t>3</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0.24~0.28</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苯胺</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0.05L</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苯</w:t>
            </w:r>
            <w:r>
              <w:rPr>
                <w:rFonts w:eastAsiaTheme="minorEastAsia"/>
                <w:color w:val="000000" w:themeColor="text1"/>
                <w:kern w:val="0"/>
                <w:sz w:val="22"/>
                <w:vertAlign w:val="superscript"/>
                <w14:textFill>
                  <w14:solidFill>
                    <w14:schemeClr w14:val="tx1"/>
                  </w14:solidFill>
                </w14:textFill>
              </w:rPr>
              <w:t>*</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0.0004L</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甲苯</w:t>
            </w:r>
            <w:r>
              <w:rPr>
                <w:rFonts w:eastAsiaTheme="minorEastAsia"/>
                <w:color w:val="000000" w:themeColor="text1"/>
                <w:kern w:val="0"/>
                <w:sz w:val="22"/>
                <w:vertAlign w:val="superscript"/>
                <w14:textFill>
                  <w14:solidFill>
                    <w14:schemeClr w14:val="tx1"/>
                  </w14:solidFill>
                </w14:textFill>
              </w:rPr>
              <w:t>*</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0.0003L</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二甲苯</w:t>
            </w:r>
            <w:r>
              <w:rPr>
                <w:rFonts w:eastAsiaTheme="minorEastAsia"/>
                <w:color w:val="000000" w:themeColor="text1"/>
                <w:kern w:val="0"/>
                <w:sz w:val="22"/>
                <w:vertAlign w:val="superscript"/>
                <w14:textFill>
                  <w14:solidFill>
                    <w14:schemeClr w14:val="tx1"/>
                  </w14:solidFill>
                </w14:textFill>
              </w:rPr>
              <w:t>*</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0.0002L</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4"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二氯甲烷</w:t>
            </w:r>
            <w:r>
              <w:rPr>
                <w:rFonts w:eastAsiaTheme="minorEastAsia"/>
                <w:color w:val="000000" w:themeColor="text1"/>
                <w:kern w:val="0"/>
                <w:sz w:val="22"/>
                <w:vertAlign w:val="superscript"/>
                <w14:textFill>
                  <w14:solidFill>
                    <w14:schemeClr w14:val="tx1"/>
                  </w14:solidFill>
                </w14:textFill>
              </w:rPr>
              <w:t>*</w:t>
            </w:r>
          </w:p>
        </w:tc>
        <w:tc>
          <w:tcPr>
            <w:tcW w:w="243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0.001~0.0014</w:t>
            </w:r>
          </w:p>
        </w:tc>
        <w:tc>
          <w:tcPr>
            <w:tcW w:w="1970"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0.05~0.07</w:t>
            </w:r>
          </w:p>
        </w:tc>
        <w:tc>
          <w:tcPr>
            <w:tcW w:w="1506"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达标</w:t>
            </w:r>
          </w:p>
        </w:tc>
        <w:tc>
          <w:tcPr>
            <w:tcW w:w="1181" w:type="dxa"/>
            <w:shd w:val="clear" w:color="auto" w:fill="auto"/>
            <w:vAlign w:val="center"/>
          </w:tcPr>
          <w:p>
            <w:pPr>
              <w:spacing w:line="240" w:lineRule="auto"/>
              <w:ind w:firstLine="0" w:firstLineChars="0"/>
              <w:jc w:val="center"/>
              <w:rPr>
                <w:rFonts w:eastAsiaTheme="minorEastAsia"/>
                <w:color w:val="000000" w:themeColor="text1"/>
                <w:kern w:val="0"/>
                <w:sz w:val="22"/>
                <w14:textFill>
                  <w14:solidFill>
                    <w14:schemeClr w14:val="tx1"/>
                  </w14:solidFill>
                </w14:textFill>
              </w:rPr>
            </w:pPr>
            <w:r>
              <w:rPr>
                <w:rFonts w:eastAsiaTheme="minorEastAsia"/>
                <w:color w:val="000000" w:themeColor="text1"/>
                <w:kern w:val="0"/>
                <w:sz w:val="22"/>
                <w14:textFill>
                  <w14:solidFill>
                    <w14:schemeClr w14:val="tx1"/>
                  </w14:solidFill>
                </w14:textFill>
              </w:rPr>
              <w:t>0.02</w:t>
            </w:r>
          </w:p>
        </w:tc>
      </w:tr>
    </w:tbl>
    <w:p>
      <w:pPr>
        <w:spacing w:line="240" w:lineRule="auto"/>
        <w:ind w:firstLine="0" w:firstLineChars="0"/>
        <w:rPr>
          <w:snapToGrid w:val="0"/>
          <w:color w:val="000000" w:themeColor="text1"/>
          <w:kern w:val="0"/>
          <w:sz w:val="21"/>
          <w:szCs w:val="24"/>
          <w14:textFill>
            <w14:solidFill>
              <w14:schemeClr w14:val="tx1"/>
            </w14:solidFill>
          </w14:textFill>
        </w:rPr>
      </w:pPr>
      <w:r>
        <w:rPr>
          <w:snapToGrid w:val="0"/>
          <w:color w:val="000000" w:themeColor="text1"/>
          <w:kern w:val="0"/>
          <w:sz w:val="21"/>
          <w:szCs w:val="24"/>
          <w14:textFill>
            <w14:solidFill>
              <w14:schemeClr w14:val="tx1"/>
            </w14:solidFill>
          </w14:textFill>
        </w:rPr>
        <w:t>注：</w:t>
      </w:r>
      <w:r>
        <w:rPr>
          <w:rFonts w:hint="eastAsia"/>
          <w:snapToGrid w:val="0"/>
          <w:color w:val="000000" w:themeColor="text1"/>
          <w:kern w:val="0"/>
          <w:sz w:val="21"/>
          <w:szCs w:val="24"/>
          <w14:textFill>
            <w14:solidFill>
              <w14:schemeClr w14:val="tx1"/>
            </w14:solidFill>
          </w14:textFill>
        </w:rPr>
        <w:t>未检出项目检测结果以检出限加“L”表示，</w:t>
      </w:r>
      <w:r>
        <w:rPr>
          <w:snapToGrid w:val="0"/>
          <w:color w:val="000000" w:themeColor="text1"/>
          <w:kern w:val="0"/>
          <w:sz w:val="21"/>
          <w:szCs w:val="24"/>
          <w14:textFill>
            <w14:solidFill>
              <w14:schemeClr w14:val="tx1"/>
            </w14:solidFill>
          </w14:textFill>
        </w:rPr>
        <w:t>“L”表示检测值低于方法或仪器检出限值。</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可见，</w:t>
      </w:r>
      <w:bookmarkStart w:id="111" w:name="_Hlk99816945"/>
      <w:r>
        <w:rPr>
          <w:rFonts w:hint="eastAsia"/>
          <w:color w:val="000000" w:themeColor="text1"/>
          <w14:textFill>
            <w14:solidFill>
              <w14:schemeClr w14:val="tx1"/>
            </w14:solidFill>
          </w14:textFill>
        </w:rPr>
        <w:t>长江干流龙桥下游500m断面各水质监测断面各监测因子均满足《地表水环境质量标准》（GB3838-2002）III类标准限值。</w:t>
      </w:r>
      <w:bookmarkEnd w:id="111"/>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地下水质量现状</w:t>
      </w:r>
    </w:p>
    <w:p>
      <w:pPr>
        <w:pStyle w:val="125"/>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评价引用《重庆涪陵工业园区龙桥组团规划调整环境影响报告书》中南岸浦片区水文地质单元内地下水的现状监测数据（监测时间2020年7月2日~7月4日）。监测数据未超过三年，引用监测数据可行。</w:t>
      </w:r>
    </w:p>
    <w:p>
      <w:pPr>
        <w:pStyle w:val="125"/>
        <w:ind w:firstLine="520"/>
        <w:rPr>
          <w:bCs/>
          <w:color w:val="000000" w:themeColor="text1"/>
          <w14:textFill>
            <w14:solidFill>
              <w14:schemeClr w14:val="tx1"/>
            </w14:solidFill>
          </w14:textFill>
        </w:rPr>
      </w:pPr>
      <w:r>
        <w:rPr>
          <w:bCs/>
          <w:color w:val="000000" w:themeColor="text1"/>
          <w14:textFill>
            <w14:solidFill>
              <w14:schemeClr w14:val="tx1"/>
            </w14:solidFill>
          </w14:textFill>
        </w:rPr>
        <w:t>（1）监测布点</w:t>
      </w:r>
    </w:p>
    <w:p>
      <w:pPr>
        <w:pStyle w:val="125"/>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共</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个监测点位：</w:t>
      </w:r>
      <w:r>
        <w:rPr>
          <w:color w:val="000000" w:themeColor="text1"/>
          <w14:textFill>
            <w14:solidFill>
              <w14:schemeClr w14:val="tx1"/>
            </w14:solidFill>
          </w14:textFill>
        </w:rPr>
        <w:t>D1</w:t>
      </w:r>
      <w:r>
        <w:rPr>
          <w:rFonts w:hint="eastAsia"/>
          <w:color w:val="000000" w:themeColor="text1"/>
          <w14:textFill>
            <w14:solidFill>
              <w14:schemeClr w14:val="tx1"/>
            </w14:solidFill>
          </w14:textFill>
        </w:rPr>
        <w:t>蓬威石化上游（监测报告点位F</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D2</w:t>
      </w:r>
      <w:r>
        <w:rPr>
          <w:rFonts w:hint="eastAsia"/>
          <w:color w:val="000000" w:themeColor="text1"/>
          <w14:textFill>
            <w14:solidFill>
              <w14:schemeClr w14:val="tx1"/>
            </w14:solidFill>
          </w14:textFill>
        </w:rPr>
        <w:t>太极上游（监测报告点位F</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D3</w:t>
      </w:r>
      <w:r>
        <w:rPr>
          <w:rFonts w:hint="eastAsia"/>
          <w:color w:val="000000" w:themeColor="text1"/>
          <w14:textFill>
            <w14:solidFill>
              <w14:schemeClr w14:val="tx1"/>
            </w14:solidFill>
          </w14:textFill>
        </w:rPr>
        <w:t>上甲电子上游监控井（监测报告点位F</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D4</w:t>
      </w:r>
      <w:r>
        <w:rPr>
          <w:rFonts w:hint="eastAsia"/>
          <w:color w:val="000000" w:themeColor="text1"/>
          <w14:textFill>
            <w14:solidFill>
              <w14:schemeClr w14:val="tx1"/>
            </w14:solidFill>
          </w14:textFill>
        </w:rPr>
        <w:t>上甲电子下游监控井（监测报告点位F</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D5</w:t>
      </w:r>
      <w:r>
        <w:rPr>
          <w:rFonts w:hint="eastAsia"/>
          <w:color w:val="000000" w:themeColor="text1"/>
          <w14:textFill>
            <w14:solidFill>
              <w14:schemeClr w14:val="tx1"/>
            </w14:solidFill>
          </w14:textFill>
        </w:rPr>
        <w:t>南岸浦片区监控井（监测报告点位F</w:t>
      </w:r>
      <w:r>
        <w:rPr>
          <w:color w:val="000000" w:themeColor="text1"/>
          <w14:textFill>
            <w14:solidFill>
              <w14:schemeClr w14:val="tx1"/>
            </w14:solidFill>
          </w14:textFill>
        </w:rPr>
        <w:t>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D6</w:t>
      </w:r>
      <w:r>
        <w:rPr>
          <w:rFonts w:hint="eastAsia"/>
          <w:color w:val="000000" w:themeColor="text1"/>
          <w14:textFill>
            <w14:solidFill>
              <w14:schemeClr w14:val="tx1"/>
            </w14:solidFill>
          </w14:textFill>
        </w:rPr>
        <w:t>南岸浦片区监控井（监测报告点位F</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地</w:t>
      </w:r>
      <w:r>
        <w:rPr>
          <w:rFonts w:hint="eastAsia"/>
          <w:color w:val="000000" w:themeColor="text1"/>
          <w14:textFill>
            <w14:solidFill>
              <w14:schemeClr w14:val="tx1"/>
            </w14:solidFill>
          </w14:textFill>
        </w:rPr>
        <w:t>下</w:t>
      </w:r>
      <w:r>
        <w:rPr>
          <w:color w:val="000000" w:themeColor="text1"/>
          <w14:textFill>
            <w14:solidFill>
              <w14:schemeClr w14:val="tx1"/>
            </w14:solidFill>
          </w14:textFill>
        </w:rPr>
        <w:t>水监测</w:t>
      </w:r>
      <w:r>
        <w:rPr>
          <w:rFonts w:hint="eastAsia"/>
          <w:color w:val="000000" w:themeColor="text1"/>
          <w14:textFill>
            <w14:solidFill>
              <w14:schemeClr w14:val="tx1"/>
            </w14:solidFill>
          </w14:textFill>
        </w:rPr>
        <w:t>点</w:t>
      </w:r>
      <w:r>
        <w:rPr>
          <w:color w:val="000000" w:themeColor="text1"/>
          <w14:textFill>
            <w14:solidFill>
              <w14:schemeClr w14:val="tx1"/>
            </w14:solidFill>
          </w14:textFill>
        </w:rPr>
        <w:t>布置情况</w:t>
      </w:r>
    </w:p>
    <w:tbl>
      <w:tblPr>
        <w:tblStyle w:val="42"/>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2316"/>
        <w:gridCol w:w="1962"/>
        <w:gridCol w:w="1766"/>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blHeader/>
          <w:jc w:val="center"/>
        </w:trPr>
        <w:tc>
          <w:tcPr>
            <w:tcW w:w="1588"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编号</w:t>
            </w:r>
          </w:p>
        </w:tc>
        <w:tc>
          <w:tcPr>
            <w:tcW w:w="2316"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种类</w:t>
            </w:r>
          </w:p>
        </w:tc>
        <w:tc>
          <w:tcPr>
            <w:tcW w:w="3728"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经纬度</w:t>
            </w:r>
          </w:p>
        </w:tc>
        <w:tc>
          <w:tcPr>
            <w:tcW w:w="1371"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水位（m）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1588"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p>
        </w:tc>
        <w:tc>
          <w:tcPr>
            <w:tcW w:w="2316"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p>
        </w:tc>
        <w:tc>
          <w:tcPr>
            <w:tcW w:w="196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经度</w:t>
            </w:r>
          </w:p>
        </w:tc>
        <w:tc>
          <w:tcPr>
            <w:tcW w:w="176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纬度</w:t>
            </w:r>
          </w:p>
        </w:tc>
        <w:tc>
          <w:tcPr>
            <w:tcW w:w="137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58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D</w:t>
            </w:r>
            <w:r>
              <w:rPr>
                <w:rFonts w:eastAsiaTheme="minorEastAsia"/>
                <w:color w:val="000000" w:themeColor="text1"/>
                <w:kern w:val="0"/>
                <w:sz w:val="22"/>
                <w:szCs w:val="24"/>
                <w14:textFill>
                  <w14:solidFill>
                    <w14:schemeClr w14:val="tx1"/>
                  </w14:solidFill>
                </w14:textFill>
              </w:rPr>
              <w:t>1</w:t>
            </w:r>
          </w:p>
        </w:tc>
        <w:tc>
          <w:tcPr>
            <w:tcW w:w="231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一般构造裂隙水</w:t>
            </w:r>
          </w:p>
        </w:tc>
        <w:tc>
          <w:tcPr>
            <w:tcW w:w="196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107.3205566</w:t>
            </w:r>
          </w:p>
        </w:tc>
        <w:tc>
          <w:tcPr>
            <w:tcW w:w="176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29.7138233</w:t>
            </w:r>
          </w:p>
        </w:tc>
        <w:tc>
          <w:tcPr>
            <w:tcW w:w="137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8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D2</w:t>
            </w:r>
          </w:p>
        </w:tc>
        <w:tc>
          <w:tcPr>
            <w:tcW w:w="231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风化裂隙水</w:t>
            </w:r>
          </w:p>
        </w:tc>
        <w:tc>
          <w:tcPr>
            <w:tcW w:w="196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107.2982201</w:t>
            </w:r>
          </w:p>
        </w:tc>
        <w:tc>
          <w:tcPr>
            <w:tcW w:w="176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29.6875314</w:t>
            </w:r>
          </w:p>
        </w:tc>
        <w:tc>
          <w:tcPr>
            <w:tcW w:w="137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8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D3</w:t>
            </w:r>
          </w:p>
        </w:tc>
        <w:tc>
          <w:tcPr>
            <w:tcW w:w="231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一般构造裂隙水</w:t>
            </w:r>
          </w:p>
        </w:tc>
        <w:tc>
          <w:tcPr>
            <w:tcW w:w="196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107.3081512</w:t>
            </w:r>
          </w:p>
        </w:tc>
        <w:tc>
          <w:tcPr>
            <w:tcW w:w="176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29.7252216</w:t>
            </w:r>
          </w:p>
        </w:tc>
        <w:tc>
          <w:tcPr>
            <w:tcW w:w="137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58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D4</w:t>
            </w:r>
          </w:p>
        </w:tc>
        <w:tc>
          <w:tcPr>
            <w:tcW w:w="231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一般构造裂隙水</w:t>
            </w:r>
          </w:p>
        </w:tc>
        <w:tc>
          <w:tcPr>
            <w:tcW w:w="196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107.3083190</w:t>
            </w:r>
          </w:p>
        </w:tc>
        <w:tc>
          <w:tcPr>
            <w:tcW w:w="176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29.7282848</w:t>
            </w:r>
          </w:p>
        </w:tc>
        <w:tc>
          <w:tcPr>
            <w:tcW w:w="137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58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D5</w:t>
            </w:r>
          </w:p>
        </w:tc>
        <w:tc>
          <w:tcPr>
            <w:tcW w:w="231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一般构造裂隙水</w:t>
            </w:r>
          </w:p>
        </w:tc>
        <w:tc>
          <w:tcPr>
            <w:tcW w:w="196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107.2982406</w:t>
            </w:r>
          </w:p>
        </w:tc>
        <w:tc>
          <w:tcPr>
            <w:tcW w:w="176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29.7167301</w:t>
            </w:r>
          </w:p>
        </w:tc>
        <w:tc>
          <w:tcPr>
            <w:tcW w:w="137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58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D6</w:t>
            </w:r>
          </w:p>
        </w:tc>
        <w:tc>
          <w:tcPr>
            <w:tcW w:w="231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一般构造裂隙水</w:t>
            </w:r>
          </w:p>
        </w:tc>
        <w:tc>
          <w:tcPr>
            <w:tcW w:w="196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107.2979049</w:t>
            </w:r>
          </w:p>
        </w:tc>
        <w:tc>
          <w:tcPr>
            <w:tcW w:w="176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29.7091636</w:t>
            </w:r>
          </w:p>
        </w:tc>
        <w:tc>
          <w:tcPr>
            <w:tcW w:w="137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275</w:t>
            </w:r>
          </w:p>
        </w:tc>
      </w:tr>
    </w:tbl>
    <w:p>
      <w:pPr>
        <w:pStyle w:val="125"/>
        <w:ind w:firstLine="520"/>
        <w:rPr>
          <w:bCs/>
          <w:color w:val="000000" w:themeColor="text1"/>
          <w14:textFill>
            <w14:solidFill>
              <w14:schemeClr w14:val="tx1"/>
            </w14:solidFill>
          </w14:textFill>
        </w:rPr>
      </w:pPr>
    </w:p>
    <w:p>
      <w:pPr>
        <w:pStyle w:val="125"/>
        <w:ind w:firstLine="520"/>
        <w:rPr>
          <w:bCs/>
          <w:color w:val="000000" w:themeColor="text1"/>
          <w14:textFill>
            <w14:solidFill>
              <w14:schemeClr w14:val="tx1"/>
            </w14:solidFill>
          </w14:textFill>
        </w:rPr>
      </w:pPr>
      <w:r>
        <w:rPr>
          <w:bCs/>
          <w:color w:val="000000" w:themeColor="text1"/>
          <w14:textFill>
            <w14:solidFill>
              <w14:schemeClr w14:val="tx1"/>
            </w14:solidFill>
          </w14:textFill>
        </w:rPr>
        <w:t>（2）监测因子</w:t>
      </w:r>
    </w:p>
    <w:p>
      <w:pPr>
        <w:pStyle w:val="125"/>
        <w:ind w:firstLine="52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八大离子（K</w:t>
      </w:r>
      <w:r>
        <w:rPr>
          <w:rFonts w:hint="eastAsia"/>
          <w:bCs/>
          <w:color w:val="000000" w:themeColor="text1"/>
          <w:vertAlign w:val="superscript"/>
          <w14:textFill>
            <w14:solidFill>
              <w14:schemeClr w14:val="tx1"/>
            </w14:solidFill>
          </w14:textFill>
        </w:rPr>
        <w:t>+</w:t>
      </w:r>
      <w:r>
        <w:rPr>
          <w:rFonts w:hint="eastAsia"/>
          <w:bCs/>
          <w:color w:val="000000" w:themeColor="text1"/>
          <w14:textFill>
            <w14:solidFill>
              <w14:schemeClr w14:val="tx1"/>
            </w14:solidFill>
          </w14:textFill>
        </w:rPr>
        <w:t>、Na</w:t>
      </w:r>
      <w:r>
        <w:rPr>
          <w:rFonts w:hint="eastAsia"/>
          <w:bCs/>
          <w:color w:val="000000" w:themeColor="text1"/>
          <w:vertAlign w:val="superscript"/>
          <w14:textFill>
            <w14:solidFill>
              <w14:schemeClr w14:val="tx1"/>
            </w14:solidFill>
          </w14:textFill>
        </w:rPr>
        <w:t>+</w:t>
      </w:r>
      <w:r>
        <w:rPr>
          <w:rFonts w:hint="eastAsia"/>
          <w:bCs/>
          <w:color w:val="000000" w:themeColor="text1"/>
          <w14:textFill>
            <w14:solidFill>
              <w14:schemeClr w14:val="tx1"/>
            </w14:solidFill>
          </w14:textFill>
        </w:rPr>
        <w:t>、Ca</w:t>
      </w:r>
      <w:r>
        <w:rPr>
          <w:rFonts w:hint="eastAsia"/>
          <w:bCs/>
          <w:color w:val="000000" w:themeColor="text1"/>
          <w:vertAlign w:val="superscript"/>
          <w14:textFill>
            <w14:solidFill>
              <w14:schemeClr w14:val="tx1"/>
            </w14:solidFill>
          </w14:textFill>
        </w:rPr>
        <w:t>2+</w:t>
      </w:r>
      <w:r>
        <w:rPr>
          <w:rFonts w:hint="eastAsia"/>
          <w:bCs/>
          <w:color w:val="000000" w:themeColor="text1"/>
          <w14:textFill>
            <w14:solidFill>
              <w14:schemeClr w14:val="tx1"/>
            </w14:solidFill>
          </w14:textFill>
        </w:rPr>
        <w:t>、Mg</w:t>
      </w:r>
      <w:r>
        <w:rPr>
          <w:rFonts w:hint="eastAsia"/>
          <w:bCs/>
          <w:color w:val="000000" w:themeColor="text1"/>
          <w:vertAlign w:val="superscript"/>
          <w14:textFill>
            <w14:solidFill>
              <w14:schemeClr w14:val="tx1"/>
            </w14:solidFill>
          </w14:textFill>
        </w:rPr>
        <w:t>2+</w:t>
      </w:r>
      <w:r>
        <w:rPr>
          <w:rFonts w:hint="eastAsia"/>
          <w:bCs/>
          <w:color w:val="000000" w:themeColor="text1"/>
          <w14:textFill>
            <w14:solidFill>
              <w14:schemeClr w14:val="tx1"/>
            </w14:solidFill>
          </w14:textFill>
        </w:rPr>
        <w:t>、CO</w:t>
      </w:r>
      <w:r>
        <w:rPr>
          <w:rFonts w:hint="eastAsia"/>
          <w:bCs/>
          <w:color w:val="000000" w:themeColor="text1"/>
          <w:vertAlign w:val="subscript"/>
          <w14:textFill>
            <w14:solidFill>
              <w14:schemeClr w14:val="tx1"/>
            </w14:solidFill>
          </w14:textFill>
        </w:rPr>
        <w:t>3</w:t>
      </w:r>
      <w:r>
        <w:rPr>
          <w:rFonts w:hint="eastAsia"/>
          <w:bCs/>
          <w:color w:val="000000" w:themeColor="text1"/>
          <w:vertAlign w:val="superscript"/>
          <w14:textFill>
            <w14:solidFill>
              <w14:schemeClr w14:val="tx1"/>
            </w14:solidFill>
          </w14:textFill>
        </w:rPr>
        <w:t>2-</w:t>
      </w:r>
      <w:r>
        <w:rPr>
          <w:rFonts w:hint="eastAsia"/>
          <w:bCs/>
          <w:color w:val="000000" w:themeColor="text1"/>
          <w14:textFill>
            <w14:solidFill>
              <w14:schemeClr w14:val="tx1"/>
            </w14:solidFill>
          </w14:textFill>
        </w:rPr>
        <w:t>、HCO</w:t>
      </w:r>
      <w:r>
        <w:rPr>
          <w:rFonts w:hint="eastAsia"/>
          <w:bCs/>
          <w:color w:val="000000" w:themeColor="text1"/>
          <w:vertAlign w:val="subscript"/>
          <w14:textFill>
            <w14:solidFill>
              <w14:schemeClr w14:val="tx1"/>
            </w14:solidFill>
          </w14:textFill>
        </w:rPr>
        <w:t>3</w:t>
      </w:r>
      <w:r>
        <w:rPr>
          <w:rFonts w:hint="eastAsia"/>
          <w:bCs/>
          <w:color w:val="000000" w:themeColor="text1"/>
          <w:vertAlign w:val="superscript"/>
          <w14:textFill>
            <w14:solidFill>
              <w14:schemeClr w14:val="tx1"/>
            </w14:solidFill>
          </w14:textFill>
        </w:rPr>
        <w:t>-</w:t>
      </w:r>
      <w:r>
        <w:rPr>
          <w:rFonts w:hint="eastAsia"/>
          <w:bCs/>
          <w:color w:val="000000" w:themeColor="text1"/>
          <w14:textFill>
            <w14:solidFill>
              <w14:schemeClr w14:val="tx1"/>
            </w14:solidFill>
          </w14:textFill>
        </w:rPr>
        <w:t>、Cl</w:t>
      </w:r>
      <w:r>
        <w:rPr>
          <w:rFonts w:hint="eastAsia"/>
          <w:bCs/>
          <w:color w:val="000000" w:themeColor="text1"/>
          <w:vertAlign w:val="superscript"/>
          <w14:textFill>
            <w14:solidFill>
              <w14:schemeClr w14:val="tx1"/>
            </w14:solidFill>
          </w14:textFill>
        </w:rPr>
        <w:t>-</w:t>
      </w:r>
      <w:r>
        <w:rPr>
          <w:rFonts w:hint="eastAsia"/>
          <w:bCs/>
          <w:color w:val="000000" w:themeColor="text1"/>
          <w14:textFill>
            <w14:solidFill>
              <w14:schemeClr w14:val="tx1"/>
            </w14:solidFill>
          </w14:textFill>
        </w:rPr>
        <w:t>、SO</w:t>
      </w:r>
      <w:r>
        <w:rPr>
          <w:rFonts w:hint="eastAsia"/>
          <w:bCs/>
          <w:color w:val="000000" w:themeColor="text1"/>
          <w:vertAlign w:val="subscript"/>
          <w14:textFill>
            <w14:solidFill>
              <w14:schemeClr w14:val="tx1"/>
            </w14:solidFill>
          </w14:textFill>
        </w:rPr>
        <w:t>4</w:t>
      </w:r>
      <w:r>
        <w:rPr>
          <w:rFonts w:hint="eastAsia"/>
          <w:bCs/>
          <w:color w:val="000000" w:themeColor="text1"/>
          <w:vertAlign w:val="superscript"/>
          <w14:textFill>
            <w14:solidFill>
              <w14:schemeClr w14:val="tx1"/>
            </w14:solidFill>
          </w14:textFill>
        </w:rPr>
        <w:t>2-</w:t>
      </w:r>
      <w:r>
        <w:rPr>
          <w:rFonts w:hint="eastAsia"/>
          <w:bCs/>
          <w:color w:val="000000" w:themeColor="text1"/>
          <w14:textFill>
            <w14:solidFill>
              <w14:schemeClr w14:val="tx1"/>
            </w14:solidFill>
          </w14:textFill>
        </w:rPr>
        <w:t>）、pH、挥发性酚类、高锰酸盐指数、氨氮、硝酸盐氮、亚硝酸盐氮、阴离子表面活性剂、硫酸盐、氰化物、氟化物、氯化物、硫化物、溶解性总固体、总大肠菌群、细菌总数、镉、汞、铅、砷、总硬度、铁、锰、六价铬、铜、锌、镍、苯、甲苯、二甲苯、钴、铝、二氯甲烷。</w:t>
      </w:r>
    </w:p>
    <w:p>
      <w:pPr>
        <w:pStyle w:val="125"/>
        <w:ind w:firstLine="520"/>
        <w:rPr>
          <w:bCs/>
          <w:color w:val="000000" w:themeColor="text1"/>
          <w14:textFill>
            <w14:solidFill>
              <w14:schemeClr w14:val="tx1"/>
            </w14:solidFill>
          </w14:textFill>
        </w:rPr>
      </w:pPr>
      <w:r>
        <w:rPr>
          <w:bCs/>
          <w:color w:val="000000" w:themeColor="text1"/>
          <w14:textFill>
            <w14:solidFill>
              <w14:schemeClr w14:val="tx1"/>
            </w14:solidFill>
          </w14:textFill>
        </w:rPr>
        <w:t>（3）监测时间及频率</w:t>
      </w:r>
    </w:p>
    <w:p>
      <w:pPr>
        <w:pStyle w:val="125"/>
        <w:ind w:firstLine="52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2020年7月2日~7月4日，每个点位</w:t>
      </w:r>
      <w:r>
        <w:rPr>
          <w:bCs/>
          <w:color w:val="000000" w:themeColor="text1"/>
          <w14:textFill>
            <w14:solidFill>
              <w14:schemeClr w14:val="tx1"/>
            </w14:solidFill>
          </w14:textFill>
        </w:rPr>
        <w:t>取样</w:t>
      </w:r>
      <w:r>
        <w:rPr>
          <w:rFonts w:hint="eastAsia"/>
          <w:bCs/>
          <w:color w:val="000000" w:themeColor="text1"/>
          <w14:textFill>
            <w14:solidFill>
              <w14:schemeClr w14:val="tx1"/>
            </w14:solidFill>
          </w14:textFill>
        </w:rPr>
        <w:t>监测1</w:t>
      </w:r>
      <w:r>
        <w:rPr>
          <w:bCs/>
          <w:color w:val="000000" w:themeColor="text1"/>
          <w14:textFill>
            <w14:solidFill>
              <w14:schemeClr w14:val="tx1"/>
            </w14:solidFill>
          </w14:textFill>
        </w:rPr>
        <w:t>次</w:t>
      </w:r>
      <w:r>
        <w:rPr>
          <w:rFonts w:hint="eastAsia"/>
          <w:bCs/>
          <w:color w:val="000000" w:themeColor="text1"/>
          <w14:textFill>
            <w14:solidFill>
              <w14:schemeClr w14:val="tx1"/>
            </w14:solidFill>
          </w14:textFill>
        </w:rPr>
        <w:t>。</w:t>
      </w:r>
    </w:p>
    <w:p>
      <w:pPr>
        <w:spacing w:before="24"/>
        <w:ind w:firstLine="520"/>
        <w:rPr>
          <w:color w:val="000000" w:themeColor="text1"/>
          <w14:textFill>
            <w14:solidFill>
              <w14:schemeClr w14:val="tx1"/>
            </w14:solidFill>
          </w14:textFill>
        </w:rPr>
      </w:pPr>
      <w:r>
        <w:rPr>
          <w:bCs/>
          <w:color w:val="000000" w:themeColor="text1"/>
          <w14:textFill>
            <w14:solidFill>
              <w14:schemeClr w14:val="tx1"/>
            </w14:solidFill>
          </w14:textFill>
        </w:rPr>
        <w:t>（4）</w:t>
      </w:r>
      <w:r>
        <w:rPr>
          <w:color w:val="000000" w:themeColor="text1"/>
          <w14:textFill>
            <w14:solidFill>
              <w14:schemeClr w14:val="tx1"/>
            </w14:solidFill>
          </w14:textFill>
        </w:rPr>
        <w:t>评价方法和标准</w:t>
      </w:r>
    </w:p>
    <w:p>
      <w:pPr>
        <w:pStyle w:val="125"/>
        <w:ind w:firstLine="520"/>
        <w:rPr>
          <w:bCs/>
          <w:color w:val="000000" w:themeColor="text1"/>
          <w14:textFill>
            <w14:solidFill>
              <w14:schemeClr w14:val="tx1"/>
            </w14:solidFill>
          </w14:textFill>
        </w:rPr>
      </w:pPr>
      <w:r>
        <w:rPr>
          <w:color w:val="000000" w:themeColor="text1"/>
          <w14:textFill>
            <w14:solidFill>
              <w14:schemeClr w14:val="tx1"/>
            </w14:solidFill>
          </w14:textFill>
        </w:rPr>
        <w:t>根据监测结果采用单项指数评价法对地下水环境质量现状进行评价，评价标准采用</w:t>
      </w:r>
      <w:bookmarkStart w:id="112" w:name="_Hlk56067296"/>
      <w:r>
        <w:rPr>
          <w:color w:val="000000" w:themeColor="text1"/>
          <w14:textFill>
            <w14:solidFill>
              <w14:schemeClr w14:val="tx1"/>
            </w14:solidFill>
          </w14:textFill>
        </w:rPr>
        <w:t>《地下水质量标准》（GB/T 14848-2017）III类标准</w:t>
      </w:r>
      <w:bookmarkEnd w:id="112"/>
      <w:r>
        <w:rPr>
          <w:color w:val="000000" w:themeColor="text1"/>
          <w14:textFill>
            <w14:solidFill>
              <w14:schemeClr w14:val="tx1"/>
            </w14:solidFill>
          </w14:textFill>
        </w:rPr>
        <w:t>。</w:t>
      </w:r>
    </w:p>
    <w:p>
      <w:pPr>
        <w:ind w:firstLine="520"/>
        <w:rPr>
          <w:bCs/>
          <w:color w:val="000000" w:themeColor="text1"/>
          <w:szCs w:val="26"/>
          <w14:textFill>
            <w14:solidFill>
              <w14:schemeClr w14:val="tx1"/>
            </w14:solidFill>
          </w14:textFill>
        </w:rPr>
      </w:pPr>
      <w:r>
        <w:rPr>
          <w:bCs/>
          <w:color w:val="000000" w:themeColor="text1"/>
          <w:szCs w:val="26"/>
          <w14:textFill>
            <w14:solidFill>
              <w14:schemeClr w14:val="tx1"/>
            </w14:solidFill>
          </w14:textFill>
        </w:rPr>
        <w:t>（5）</w:t>
      </w:r>
      <w:r>
        <w:rPr>
          <w:rFonts w:hint="eastAsia"/>
          <w:bCs/>
          <w:color w:val="000000" w:themeColor="text1"/>
          <w:szCs w:val="26"/>
          <w14:textFill>
            <w14:solidFill>
              <w14:schemeClr w14:val="tx1"/>
            </w14:solidFill>
          </w14:textFill>
        </w:rPr>
        <w:t>监测结果及评价</w:t>
      </w:r>
    </w:p>
    <w:p>
      <w:pPr>
        <w:ind w:firstLine="520"/>
        <w:rPr>
          <w:bCs/>
          <w:color w:val="000000" w:themeColor="text1"/>
          <w:szCs w:val="26"/>
          <w14:textFill>
            <w14:solidFill>
              <w14:schemeClr w14:val="tx1"/>
            </w14:solidFill>
          </w14:textFill>
        </w:rPr>
      </w:pPr>
      <w:r>
        <w:rPr>
          <w:rFonts w:hint="eastAsia"/>
          <w:bCs/>
          <w:color w:val="000000" w:themeColor="text1"/>
          <w:szCs w:val="26"/>
          <w14:textFill>
            <w14:solidFill>
              <w14:schemeClr w14:val="tx1"/>
            </w14:solidFill>
          </w14:textFill>
        </w:rPr>
        <w:t>八大离子监测结果见表4</w:t>
      </w:r>
      <w:r>
        <w:rPr>
          <w:bCs/>
          <w:color w:val="000000" w:themeColor="text1"/>
          <w:szCs w:val="26"/>
          <w14:textFill>
            <w14:solidFill>
              <w14:schemeClr w14:val="tx1"/>
            </w14:solidFill>
          </w14:textFill>
        </w:rPr>
        <w:t>.2</w:t>
      </w:r>
      <w:r>
        <w:rPr>
          <w:rFonts w:hint="eastAsia"/>
          <w:bCs/>
          <w:color w:val="000000" w:themeColor="text1"/>
          <w:szCs w:val="26"/>
          <w14:textFill>
            <w14:solidFill>
              <w14:schemeClr w14:val="tx1"/>
            </w14:solidFill>
          </w14:textFill>
        </w:rPr>
        <w:t>-</w:t>
      </w:r>
      <w:r>
        <w:rPr>
          <w:bCs/>
          <w:color w:val="000000" w:themeColor="text1"/>
          <w:szCs w:val="26"/>
          <w14:textFill>
            <w14:solidFill>
              <w14:schemeClr w14:val="tx1"/>
            </w14:solidFill>
          </w14:textFill>
        </w:rPr>
        <w:t>7</w:t>
      </w:r>
      <w:r>
        <w:rPr>
          <w:rFonts w:hint="eastAsia"/>
          <w:bCs/>
          <w:color w:val="000000" w:themeColor="text1"/>
          <w:szCs w:val="26"/>
          <w14:textFill>
            <w14:solidFill>
              <w14:schemeClr w14:val="tx1"/>
            </w14:solidFill>
          </w14:textFill>
        </w:rPr>
        <w:t>。</w:t>
      </w:r>
    </w:p>
    <w:p>
      <w:pPr>
        <w:pStyle w:val="39"/>
        <w:rPr>
          <w:color w:val="000000" w:themeColor="text1"/>
          <w14:textFill>
            <w14:solidFill>
              <w14:schemeClr w14:val="tx1"/>
            </w14:solidFill>
          </w14:textFill>
        </w:rPr>
      </w:pPr>
      <w:r>
        <w:rPr>
          <w:rStyle w:val="57"/>
          <w:rFonts w:hint="eastAsia"/>
          <w:b/>
          <w:bCs w:val="0"/>
          <w:color w:val="000000" w:themeColor="text1"/>
          <w14:textFill>
            <w14:solidFill>
              <w14:schemeClr w14:val="tx1"/>
            </w14:solidFill>
          </w14:textFill>
        </w:rPr>
        <w:t xml:space="preserve"> </w:t>
      </w:r>
      <w:r>
        <w:rPr>
          <w:rStyle w:val="57"/>
          <w:b/>
          <w:bCs w:val="0"/>
          <w:color w:val="000000" w:themeColor="text1"/>
          <w14:textFill>
            <w14:solidFill>
              <w14:schemeClr w14:val="tx1"/>
            </w14:solidFill>
          </w14:textFill>
        </w:rPr>
        <w:t>地下水</w:t>
      </w:r>
      <w:r>
        <w:rPr>
          <w:rStyle w:val="57"/>
          <w:rFonts w:hint="eastAsia"/>
          <w:b/>
          <w:bCs w:val="0"/>
          <w:color w:val="000000" w:themeColor="text1"/>
          <w14:textFill>
            <w14:solidFill>
              <w14:schemeClr w14:val="tx1"/>
            </w14:solidFill>
          </w14:textFill>
        </w:rPr>
        <w:t>八大离子</w:t>
      </w:r>
      <w:r>
        <w:rPr>
          <w:rStyle w:val="57"/>
          <w:b/>
          <w:bCs w:val="0"/>
          <w:color w:val="000000" w:themeColor="text1"/>
          <w14:textFill>
            <w14:solidFill>
              <w14:schemeClr w14:val="tx1"/>
            </w14:solidFill>
          </w14:textFill>
        </w:rPr>
        <w:t>监测及评价结果一览</w:t>
      </w:r>
      <w:r>
        <w:rPr>
          <w:color w:val="000000" w:themeColor="text1"/>
          <w14:textFill>
            <w14:solidFill>
              <w14:schemeClr w14:val="tx1"/>
            </w14:solidFill>
          </w14:textFill>
        </w:rPr>
        <w:t>表</w:t>
      </w:r>
    </w:p>
    <w:tbl>
      <w:tblPr>
        <w:tblStyle w:val="42"/>
        <w:tblW w:w="8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326"/>
        <w:gridCol w:w="789"/>
        <w:gridCol w:w="790"/>
        <w:gridCol w:w="790"/>
        <w:gridCol w:w="853"/>
        <w:gridCol w:w="888"/>
        <w:gridCol w:w="969"/>
        <w:gridCol w:w="790"/>
        <w:gridCol w:w="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1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编号</w:t>
            </w:r>
          </w:p>
        </w:tc>
        <w:tc>
          <w:tcPr>
            <w:tcW w:w="13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项目</w:t>
            </w:r>
          </w:p>
        </w:tc>
        <w:tc>
          <w:tcPr>
            <w:tcW w:w="78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K</w:t>
            </w:r>
            <w:r>
              <w:rPr>
                <w:rFonts w:eastAsiaTheme="minorEastAsia"/>
                <w:color w:val="000000" w:themeColor="text1"/>
                <w:kern w:val="0"/>
                <w:sz w:val="22"/>
                <w:szCs w:val="24"/>
                <w:vertAlign w:val="superscript"/>
                <w14:textFill>
                  <w14:solidFill>
                    <w14:schemeClr w14:val="tx1"/>
                  </w14:solidFill>
                </w14:textFill>
              </w:rPr>
              <w:t>+</w:t>
            </w:r>
          </w:p>
        </w:tc>
        <w:tc>
          <w:tcPr>
            <w:tcW w:w="79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Na</w:t>
            </w:r>
            <w:r>
              <w:rPr>
                <w:rFonts w:eastAsiaTheme="minorEastAsia"/>
                <w:color w:val="000000" w:themeColor="text1"/>
                <w:kern w:val="0"/>
                <w:sz w:val="22"/>
                <w:szCs w:val="24"/>
                <w:vertAlign w:val="superscript"/>
                <w14:textFill>
                  <w14:solidFill>
                    <w14:schemeClr w14:val="tx1"/>
                  </w14:solidFill>
                </w14:textFill>
              </w:rPr>
              <w:t>+</w:t>
            </w:r>
          </w:p>
        </w:tc>
        <w:tc>
          <w:tcPr>
            <w:tcW w:w="79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Ca</w:t>
            </w:r>
            <w:r>
              <w:rPr>
                <w:rFonts w:eastAsiaTheme="minorEastAsia"/>
                <w:color w:val="000000" w:themeColor="text1"/>
                <w:kern w:val="0"/>
                <w:sz w:val="22"/>
                <w:szCs w:val="24"/>
                <w:vertAlign w:val="superscript"/>
                <w14:textFill>
                  <w14:solidFill>
                    <w14:schemeClr w14:val="tx1"/>
                  </w14:solidFill>
                </w14:textFill>
              </w:rPr>
              <w:t>+</w:t>
            </w:r>
          </w:p>
        </w:tc>
        <w:tc>
          <w:tcPr>
            <w:tcW w:w="85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Mg</w:t>
            </w:r>
            <w:r>
              <w:rPr>
                <w:rFonts w:eastAsiaTheme="minorEastAsia"/>
                <w:color w:val="000000" w:themeColor="text1"/>
                <w:kern w:val="0"/>
                <w:sz w:val="22"/>
                <w:szCs w:val="24"/>
                <w:vertAlign w:val="superscript"/>
                <w14:textFill>
                  <w14:solidFill>
                    <w14:schemeClr w14:val="tx1"/>
                  </w14:solidFill>
                </w14:textFill>
              </w:rPr>
              <w:t>2+</w:t>
            </w:r>
          </w:p>
        </w:tc>
        <w:tc>
          <w:tcPr>
            <w:tcW w:w="88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CO</w:t>
            </w:r>
            <w:r>
              <w:rPr>
                <w:rFonts w:eastAsiaTheme="minorEastAsia"/>
                <w:color w:val="000000" w:themeColor="text1"/>
                <w:kern w:val="0"/>
                <w:sz w:val="22"/>
                <w:szCs w:val="24"/>
                <w:vertAlign w:val="subscript"/>
                <w14:textFill>
                  <w14:solidFill>
                    <w14:schemeClr w14:val="tx1"/>
                  </w14:solidFill>
                </w14:textFill>
              </w:rPr>
              <w:t>3</w:t>
            </w:r>
            <w:r>
              <w:rPr>
                <w:rFonts w:eastAsiaTheme="minorEastAsia"/>
                <w:color w:val="000000" w:themeColor="text1"/>
                <w:kern w:val="0"/>
                <w:sz w:val="22"/>
                <w:szCs w:val="24"/>
                <w:vertAlign w:val="superscript"/>
                <w14:textFill>
                  <w14:solidFill>
                    <w14:schemeClr w14:val="tx1"/>
                  </w14:solidFill>
                </w14:textFill>
              </w:rPr>
              <w:t>2-</w:t>
            </w:r>
          </w:p>
        </w:tc>
        <w:tc>
          <w:tcPr>
            <w:tcW w:w="96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HCO</w:t>
            </w:r>
            <w:r>
              <w:rPr>
                <w:rFonts w:eastAsiaTheme="minorEastAsia"/>
                <w:color w:val="000000" w:themeColor="text1"/>
                <w:kern w:val="0"/>
                <w:sz w:val="22"/>
                <w:szCs w:val="24"/>
                <w:vertAlign w:val="subscript"/>
                <w14:textFill>
                  <w14:solidFill>
                    <w14:schemeClr w14:val="tx1"/>
                  </w14:solidFill>
                </w14:textFill>
              </w:rPr>
              <w:t>3</w:t>
            </w:r>
            <w:r>
              <w:rPr>
                <w:rFonts w:eastAsiaTheme="minorEastAsia"/>
                <w:color w:val="000000" w:themeColor="text1"/>
                <w:kern w:val="0"/>
                <w:sz w:val="22"/>
                <w:szCs w:val="24"/>
                <w:vertAlign w:val="superscript"/>
                <w14:textFill>
                  <w14:solidFill>
                    <w14:schemeClr w14:val="tx1"/>
                  </w14:solidFill>
                </w14:textFill>
              </w:rPr>
              <w:t>-</w:t>
            </w:r>
          </w:p>
        </w:tc>
        <w:tc>
          <w:tcPr>
            <w:tcW w:w="79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Cl</w:t>
            </w:r>
            <w:r>
              <w:rPr>
                <w:rFonts w:eastAsiaTheme="minorEastAsia"/>
                <w:color w:val="000000" w:themeColor="text1"/>
                <w:kern w:val="0"/>
                <w:sz w:val="22"/>
                <w:szCs w:val="24"/>
                <w:vertAlign w:val="superscript"/>
                <w14:textFill>
                  <w14:solidFill>
                    <w14:schemeClr w14:val="tx1"/>
                  </w14:solidFill>
                </w14:textFill>
              </w:rPr>
              <w:t>-</w:t>
            </w:r>
          </w:p>
        </w:tc>
        <w:tc>
          <w:tcPr>
            <w:tcW w:w="864"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SO</w:t>
            </w:r>
            <w:r>
              <w:rPr>
                <w:rFonts w:eastAsiaTheme="minorEastAsia"/>
                <w:color w:val="000000" w:themeColor="text1"/>
                <w:kern w:val="0"/>
                <w:sz w:val="22"/>
                <w:szCs w:val="24"/>
                <w:vertAlign w:val="subscript"/>
                <w14:textFill>
                  <w14:solidFill>
                    <w14:schemeClr w14:val="tx1"/>
                  </w14:solidFill>
                </w14:textFill>
              </w:rPr>
              <w:t>4</w:t>
            </w:r>
            <w:r>
              <w:rPr>
                <w:rFonts w:eastAsiaTheme="minorEastAsia"/>
                <w:color w:val="000000" w:themeColor="text1"/>
                <w:kern w:val="0"/>
                <w:sz w:val="22"/>
                <w:szCs w:val="24"/>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1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D1</w:t>
            </w:r>
          </w:p>
        </w:tc>
        <w:tc>
          <w:tcPr>
            <w:tcW w:w="13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监测值</w:t>
            </w:r>
            <w:r>
              <w:rPr>
                <w:rFonts w:eastAsiaTheme="minorEastAsia"/>
                <w:color w:val="000000" w:themeColor="text1"/>
                <w:kern w:val="0"/>
                <w:sz w:val="22"/>
                <w:szCs w:val="24"/>
                <w14:textFill>
                  <w14:solidFill>
                    <w14:schemeClr w14:val="tx1"/>
                  </w14:solidFill>
                </w14:textFill>
              </w:rPr>
              <w:t>（mg/L）</w:t>
            </w:r>
          </w:p>
        </w:tc>
        <w:tc>
          <w:tcPr>
            <w:tcW w:w="78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2.41</w:t>
            </w:r>
          </w:p>
        </w:tc>
        <w:tc>
          <w:tcPr>
            <w:tcW w:w="79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8.43</w:t>
            </w:r>
          </w:p>
        </w:tc>
        <w:tc>
          <w:tcPr>
            <w:tcW w:w="79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62.6</w:t>
            </w:r>
          </w:p>
        </w:tc>
        <w:tc>
          <w:tcPr>
            <w:tcW w:w="85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18</w:t>
            </w:r>
          </w:p>
        </w:tc>
        <w:tc>
          <w:tcPr>
            <w:tcW w:w="88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6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8.27</w:t>
            </w:r>
          </w:p>
        </w:tc>
        <w:tc>
          <w:tcPr>
            <w:tcW w:w="79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60.2</w:t>
            </w:r>
          </w:p>
        </w:tc>
        <w:tc>
          <w:tcPr>
            <w:tcW w:w="864"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1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D2</w:t>
            </w:r>
          </w:p>
        </w:tc>
        <w:tc>
          <w:tcPr>
            <w:tcW w:w="13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监测值</w:t>
            </w:r>
            <w:r>
              <w:rPr>
                <w:rFonts w:eastAsiaTheme="minorEastAsia"/>
                <w:color w:val="000000" w:themeColor="text1"/>
                <w:kern w:val="0"/>
                <w:sz w:val="22"/>
                <w:szCs w:val="24"/>
                <w14:textFill>
                  <w14:solidFill>
                    <w14:schemeClr w14:val="tx1"/>
                  </w14:solidFill>
                </w14:textFill>
              </w:rPr>
              <w:t>（mg/L）</w:t>
            </w:r>
          </w:p>
        </w:tc>
        <w:tc>
          <w:tcPr>
            <w:tcW w:w="78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1.37</w:t>
            </w:r>
          </w:p>
        </w:tc>
        <w:tc>
          <w:tcPr>
            <w:tcW w:w="79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9.86</w:t>
            </w:r>
          </w:p>
        </w:tc>
        <w:tc>
          <w:tcPr>
            <w:tcW w:w="79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48.3</w:t>
            </w:r>
          </w:p>
        </w:tc>
        <w:tc>
          <w:tcPr>
            <w:tcW w:w="85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9.67</w:t>
            </w:r>
          </w:p>
        </w:tc>
        <w:tc>
          <w:tcPr>
            <w:tcW w:w="88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6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105</w:t>
            </w:r>
          </w:p>
        </w:tc>
        <w:tc>
          <w:tcPr>
            <w:tcW w:w="79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21.1</w:t>
            </w:r>
          </w:p>
        </w:tc>
        <w:tc>
          <w:tcPr>
            <w:tcW w:w="864"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D3</w:t>
            </w:r>
          </w:p>
        </w:tc>
        <w:tc>
          <w:tcPr>
            <w:tcW w:w="13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监测值</w:t>
            </w:r>
            <w:r>
              <w:rPr>
                <w:rFonts w:eastAsiaTheme="minorEastAsia"/>
                <w:color w:val="000000" w:themeColor="text1"/>
                <w:kern w:val="0"/>
                <w:sz w:val="22"/>
                <w:szCs w:val="24"/>
                <w14:textFill>
                  <w14:solidFill>
                    <w14:schemeClr w14:val="tx1"/>
                  </w14:solidFill>
                </w14:textFill>
              </w:rPr>
              <w:t>（mg/L）</w:t>
            </w:r>
          </w:p>
        </w:tc>
        <w:tc>
          <w:tcPr>
            <w:tcW w:w="78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1.13</w:t>
            </w:r>
          </w:p>
        </w:tc>
        <w:tc>
          <w:tcPr>
            <w:tcW w:w="79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30.5</w:t>
            </w:r>
          </w:p>
        </w:tc>
        <w:tc>
          <w:tcPr>
            <w:tcW w:w="79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57.2</w:t>
            </w:r>
          </w:p>
        </w:tc>
        <w:tc>
          <w:tcPr>
            <w:tcW w:w="85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40.6</w:t>
            </w:r>
          </w:p>
        </w:tc>
        <w:tc>
          <w:tcPr>
            <w:tcW w:w="88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6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319</w:t>
            </w:r>
          </w:p>
        </w:tc>
        <w:tc>
          <w:tcPr>
            <w:tcW w:w="79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15.6</w:t>
            </w:r>
          </w:p>
        </w:tc>
        <w:tc>
          <w:tcPr>
            <w:tcW w:w="864"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1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D4</w:t>
            </w:r>
          </w:p>
        </w:tc>
        <w:tc>
          <w:tcPr>
            <w:tcW w:w="13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监测值</w:t>
            </w:r>
            <w:r>
              <w:rPr>
                <w:rFonts w:eastAsiaTheme="minorEastAsia"/>
                <w:color w:val="000000" w:themeColor="text1"/>
                <w:kern w:val="0"/>
                <w:sz w:val="22"/>
                <w:szCs w:val="24"/>
                <w14:textFill>
                  <w14:solidFill>
                    <w14:schemeClr w14:val="tx1"/>
                  </w14:solidFill>
                </w14:textFill>
              </w:rPr>
              <w:t>（mg/L）</w:t>
            </w:r>
          </w:p>
        </w:tc>
        <w:tc>
          <w:tcPr>
            <w:tcW w:w="78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2.34</w:t>
            </w:r>
          </w:p>
        </w:tc>
        <w:tc>
          <w:tcPr>
            <w:tcW w:w="79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8.28</w:t>
            </w:r>
          </w:p>
        </w:tc>
        <w:tc>
          <w:tcPr>
            <w:tcW w:w="79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60</w:t>
            </w:r>
          </w:p>
        </w:tc>
        <w:tc>
          <w:tcPr>
            <w:tcW w:w="85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17.8</w:t>
            </w:r>
          </w:p>
        </w:tc>
        <w:tc>
          <w:tcPr>
            <w:tcW w:w="88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6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114</w:t>
            </w:r>
          </w:p>
        </w:tc>
        <w:tc>
          <w:tcPr>
            <w:tcW w:w="79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35.6</w:t>
            </w:r>
          </w:p>
        </w:tc>
        <w:tc>
          <w:tcPr>
            <w:tcW w:w="864"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1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D5</w:t>
            </w:r>
          </w:p>
        </w:tc>
        <w:tc>
          <w:tcPr>
            <w:tcW w:w="13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监测值</w:t>
            </w:r>
            <w:r>
              <w:rPr>
                <w:rFonts w:eastAsiaTheme="minorEastAsia"/>
                <w:color w:val="000000" w:themeColor="text1"/>
                <w:kern w:val="0"/>
                <w:sz w:val="22"/>
                <w:szCs w:val="24"/>
                <w14:textFill>
                  <w14:solidFill>
                    <w14:schemeClr w14:val="tx1"/>
                  </w14:solidFill>
                </w14:textFill>
              </w:rPr>
              <w:t>（mg/L）</w:t>
            </w:r>
          </w:p>
        </w:tc>
        <w:tc>
          <w:tcPr>
            <w:tcW w:w="78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2.34</w:t>
            </w:r>
          </w:p>
        </w:tc>
        <w:tc>
          <w:tcPr>
            <w:tcW w:w="79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8.14</w:t>
            </w:r>
          </w:p>
        </w:tc>
        <w:tc>
          <w:tcPr>
            <w:tcW w:w="79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60.3</w:t>
            </w:r>
          </w:p>
        </w:tc>
        <w:tc>
          <w:tcPr>
            <w:tcW w:w="85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17.8</w:t>
            </w:r>
          </w:p>
        </w:tc>
        <w:tc>
          <w:tcPr>
            <w:tcW w:w="88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6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192</w:t>
            </w:r>
          </w:p>
        </w:tc>
        <w:tc>
          <w:tcPr>
            <w:tcW w:w="79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23.2</w:t>
            </w:r>
          </w:p>
        </w:tc>
        <w:tc>
          <w:tcPr>
            <w:tcW w:w="864"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71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D6</w:t>
            </w:r>
          </w:p>
        </w:tc>
        <w:tc>
          <w:tcPr>
            <w:tcW w:w="13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监测值</w:t>
            </w:r>
            <w:r>
              <w:rPr>
                <w:rFonts w:eastAsiaTheme="minorEastAsia"/>
                <w:color w:val="000000" w:themeColor="text1"/>
                <w:kern w:val="0"/>
                <w:sz w:val="22"/>
                <w:szCs w:val="24"/>
                <w14:textFill>
                  <w14:solidFill>
                    <w14:schemeClr w14:val="tx1"/>
                  </w14:solidFill>
                </w14:textFill>
              </w:rPr>
              <w:t>（mg/L）</w:t>
            </w:r>
          </w:p>
        </w:tc>
        <w:tc>
          <w:tcPr>
            <w:tcW w:w="78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1.58</w:t>
            </w:r>
          </w:p>
        </w:tc>
        <w:tc>
          <w:tcPr>
            <w:tcW w:w="79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11.5</w:t>
            </w:r>
          </w:p>
        </w:tc>
        <w:tc>
          <w:tcPr>
            <w:tcW w:w="79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45.9</w:t>
            </w:r>
          </w:p>
        </w:tc>
        <w:tc>
          <w:tcPr>
            <w:tcW w:w="85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15.1</w:t>
            </w:r>
          </w:p>
        </w:tc>
        <w:tc>
          <w:tcPr>
            <w:tcW w:w="88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6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162</w:t>
            </w:r>
          </w:p>
        </w:tc>
        <w:tc>
          <w:tcPr>
            <w:tcW w:w="79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17.8</w:t>
            </w:r>
          </w:p>
        </w:tc>
        <w:tc>
          <w:tcPr>
            <w:tcW w:w="864"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43.8</w:t>
            </w:r>
          </w:p>
        </w:tc>
      </w:tr>
    </w:tbl>
    <w:p>
      <w:pPr>
        <w:ind w:firstLine="520"/>
        <w:rPr>
          <w:rFonts w:eastAsiaTheme="minorEastAsia"/>
          <w:snapToGrid w:val="0"/>
          <w:color w:val="000000" w:themeColor="text1"/>
          <w:kern w:val="0"/>
          <w:szCs w:val="24"/>
          <w14:textFill>
            <w14:solidFill>
              <w14:schemeClr w14:val="tx1"/>
            </w14:solidFill>
          </w14:textFill>
        </w:rPr>
      </w:pPr>
      <w:r>
        <w:rPr>
          <w:rFonts w:hint="eastAsia" w:eastAsiaTheme="minorEastAsia"/>
          <w:snapToGrid w:val="0"/>
          <w:color w:val="000000" w:themeColor="text1"/>
          <w:kern w:val="0"/>
          <w:szCs w:val="24"/>
          <w14:textFill>
            <w14:solidFill>
              <w14:schemeClr w14:val="tx1"/>
            </w14:solidFill>
          </w14:textFill>
        </w:rPr>
        <w:t>由上表可知，区域地下水类型为氯化物硫酸盐-钙和重碳酸盐</w:t>
      </w:r>
      <w:r>
        <w:rPr>
          <w:rFonts w:eastAsiaTheme="minorEastAsia"/>
          <w:snapToGrid w:val="0"/>
          <w:color w:val="000000" w:themeColor="text1"/>
          <w:kern w:val="0"/>
          <w:szCs w:val="24"/>
          <w14:textFill>
            <w14:solidFill>
              <w14:schemeClr w14:val="tx1"/>
            </w14:solidFill>
          </w14:textFill>
        </w:rPr>
        <w:t>-</w:t>
      </w:r>
      <w:r>
        <w:rPr>
          <w:rFonts w:hint="eastAsia" w:eastAsiaTheme="minorEastAsia"/>
          <w:snapToGrid w:val="0"/>
          <w:color w:val="000000" w:themeColor="text1"/>
          <w:kern w:val="0"/>
          <w:szCs w:val="24"/>
          <w14:textFill>
            <w14:solidFill>
              <w14:schemeClr w14:val="tx1"/>
            </w14:solidFill>
          </w14:textFill>
        </w:rPr>
        <w:t>钠钙水。</w:t>
      </w:r>
    </w:p>
    <w:p>
      <w:pPr>
        <w:ind w:firstLine="520"/>
        <w:rPr>
          <w:rFonts w:eastAsiaTheme="minorEastAsia"/>
          <w:snapToGrid w:val="0"/>
          <w:color w:val="000000" w:themeColor="text1"/>
          <w:kern w:val="0"/>
          <w:szCs w:val="24"/>
          <w14:textFill>
            <w14:solidFill>
              <w14:schemeClr w14:val="tx1"/>
            </w14:solidFill>
          </w14:textFill>
        </w:rPr>
      </w:pPr>
      <w:r>
        <w:rPr>
          <w:rFonts w:hint="eastAsia" w:eastAsiaTheme="minorEastAsia"/>
          <w:snapToGrid w:val="0"/>
          <w:color w:val="000000" w:themeColor="text1"/>
          <w:kern w:val="0"/>
          <w:szCs w:val="24"/>
          <w14:textFill>
            <w14:solidFill>
              <w14:schemeClr w14:val="tx1"/>
            </w14:solidFill>
          </w14:textFill>
        </w:rPr>
        <w:t>地下水水质监测结果和达标分析见表4</w:t>
      </w:r>
      <w:r>
        <w:rPr>
          <w:rFonts w:eastAsiaTheme="minorEastAsia"/>
          <w:snapToGrid w:val="0"/>
          <w:color w:val="000000" w:themeColor="text1"/>
          <w:kern w:val="0"/>
          <w:szCs w:val="24"/>
          <w14:textFill>
            <w14:solidFill>
              <w14:schemeClr w14:val="tx1"/>
            </w14:solidFill>
          </w14:textFill>
        </w:rPr>
        <w:t>.2</w:t>
      </w:r>
      <w:r>
        <w:rPr>
          <w:rFonts w:hint="eastAsia" w:eastAsiaTheme="minorEastAsia"/>
          <w:snapToGrid w:val="0"/>
          <w:color w:val="000000" w:themeColor="text1"/>
          <w:kern w:val="0"/>
          <w:szCs w:val="24"/>
          <w14:textFill>
            <w14:solidFill>
              <w14:schemeClr w14:val="tx1"/>
            </w14:solidFill>
          </w14:textFill>
        </w:rPr>
        <w:t>-</w:t>
      </w:r>
      <w:r>
        <w:rPr>
          <w:rFonts w:eastAsiaTheme="minorEastAsia"/>
          <w:snapToGrid w:val="0"/>
          <w:color w:val="000000" w:themeColor="text1"/>
          <w:kern w:val="0"/>
          <w:szCs w:val="24"/>
          <w14:textFill>
            <w14:solidFill>
              <w14:schemeClr w14:val="tx1"/>
            </w14:solidFill>
          </w14:textFill>
        </w:rPr>
        <w:t>8</w:t>
      </w:r>
      <w:r>
        <w:rPr>
          <w:rFonts w:hint="eastAsia" w:eastAsiaTheme="minorEastAsia"/>
          <w:snapToGrid w:val="0"/>
          <w:color w:val="000000" w:themeColor="text1"/>
          <w:kern w:val="0"/>
          <w:szCs w:val="24"/>
          <w14:textFill>
            <w14:solidFill>
              <w14:schemeClr w14:val="tx1"/>
            </w14:solidFill>
          </w14:textFill>
        </w:rPr>
        <w:t>。由分析可知，各监测点位地下水水质满足地下水III类标准，区域地下水质量现状良好。</w:t>
      </w:r>
    </w:p>
    <w:p>
      <w:pPr>
        <w:ind w:firstLine="520"/>
        <w:rPr>
          <w:rFonts w:eastAsiaTheme="minorEastAsia"/>
          <w:snapToGrid w:val="0"/>
          <w:color w:val="000000" w:themeColor="text1"/>
          <w:kern w:val="0"/>
          <w:szCs w:val="24"/>
          <w14:textFill>
            <w14:solidFill>
              <w14:schemeClr w14:val="tx1"/>
            </w14:solidFill>
          </w14:textFill>
        </w:rPr>
      </w:pPr>
    </w:p>
    <w:p>
      <w:pPr>
        <w:ind w:firstLine="520"/>
        <w:rPr>
          <w:bCs/>
          <w:color w:val="000000" w:themeColor="text1"/>
          <w:szCs w:val="26"/>
          <w14:textFill>
            <w14:solidFill>
              <w14:schemeClr w14:val="tx1"/>
            </w14:solidFill>
          </w14:textFill>
        </w:rPr>
        <w:sectPr>
          <w:pgSz w:w="11906" w:h="16838"/>
          <w:pgMar w:top="1418" w:right="1418" w:bottom="1418" w:left="1701" w:header="851" w:footer="992" w:gutter="0"/>
          <w:cols w:space="425" w:num="1"/>
          <w:docGrid w:type="linesAndChars" w:linePitch="312" w:charSpace="0"/>
        </w:sectPr>
      </w:pPr>
    </w:p>
    <w:p>
      <w:pPr>
        <w:pStyle w:val="39"/>
        <w:rPr>
          <w:color w:val="000000" w:themeColor="text1"/>
          <w:sz w:val="22"/>
          <w:szCs w:val="2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地下水现状</w:t>
      </w:r>
      <w:r>
        <w:rPr>
          <w:rFonts w:hint="eastAsia"/>
          <w:color w:val="000000" w:themeColor="text1"/>
          <w:lang w:eastAsia="zh-CN"/>
          <w14:textFill>
            <w14:solidFill>
              <w14:schemeClr w14:val="tx1"/>
            </w14:solidFill>
          </w14:textFill>
        </w:rPr>
        <w:t>监测</w:t>
      </w:r>
      <w:r>
        <w:rPr>
          <w:color w:val="000000" w:themeColor="text1"/>
          <w14:textFill>
            <w14:solidFill>
              <w14:schemeClr w14:val="tx1"/>
            </w14:solidFill>
          </w14:textFill>
        </w:rPr>
        <w:t>结果统计及评价结果表</w:t>
      </w:r>
      <w:r>
        <w:rPr>
          <w:rFonts w:hint="eastAsia"/>
          <w:color w:val="000000" w:themeColor="text1"/>
          <w14:textFill>
            <w14:solidFill>
              <w14:schemeClr w14:val="tx1"/>
            </w14:solidFill>
          </w14:textFill>
        </w:rPr>
        <w:t xml:space="preserve"> </w:t>
      </w:r>
      <w:r>
        <w:rPr>
          <w:color w:val="000000" w:themeColor="text1"/>
          <w:sz w:val="22"/>
          <w:szCs w:val="21"/>
          <w14:textFill>
            <w14:solidFill>
              <w14:schemeClr w14:val="tx1"/>
            </w14:solidFill>
          </w14:textFill>
        </w:rPr>
        <w:t>单位：mg/L，</w:t>
      </w:r>
      <w:r>
        <w:rPr>
          <w:rFonts w:hint="eastAsia"/>
          <w:color w:val="000000" w:themeColor="text1"/>
          <w:sz w:val="22"/>
          <w:szCs w:val="21"/>
          <w14:textFill>
            <w14:solidFill>
              <w14:schemeClr w14:val="tx1"/>
            </w14:solidFill>
          </w14:textFill>
        </w:rPr>
        <w:t>p</w:t>
      </w:r>
      <w:r>
        <w:rPr>
          <w:color w:val="000000" w:themeColor="text1"/>
          <w:sz w:val="22"/>
          <w:szCs w:val="21"/>
          <w14:textFill>
            <w14:solidFill>
              <w14:schemeClr w14:val="tx1"/>
            </w14:solidFill>
          </w14:textFill>
        </w:rPr>
        <w:t>H除外</w:t>
      </w:r>
    </w:p>
    <w:tbl>
      <w:tblPr>
        <w:tblStyle w:val="42"/>
        <w:tblW w:w="139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159"/>
        <w:gridCol w:w="826"/>
        <w:gridCol w:w="784"/>
        <w:gridCol w:w="687"/>
        <w:gridCol w:w="687"/>
        <w:gridCol w:w="736"/>
        <w:gridCol w:w="996"/>
        <w:gridCol w:w="805"/>
        <w:gridCol w:w="768"/>
        <w:gridCol w:w="900"/>
        <w:gridCol w:w="900"/>
        <w:gridCol w:w="783"/>
        <w:gridCol w:w="783"/>
        <w:gridCol w:w="805"/>
        <w:gridCol w:w="805"/>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blHeader/>
          <w:jc w:val="center"/>
        </w:trPr>
        <w:tc>
          <w:tcPr>
            <w:tcW w:w="66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编号</w:t>
            </w:r>
          </w:p>
        </w:tc>
        <w:tc>
          <w:tcPr>
            <w:tcW w:w="115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项目</w:t>
            </w:r>
          </w:p>
        </w:tc>
        <w:tc>
          <w:tcPr>
            <w:tcW w:w="8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pH值</w:t>
            </w:r>
          </w:p>
        </w:tc>
        <w:tc>
          <w:tcPr>
            <w:tcW w:w="784"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氨氮</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耗氧量</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总硬度</w:t>
            </w:r>
          </w:p>
        </w:tc>
        <w:tc>
          <w:tcPr>
            <w:tcW w:w="7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溶解性总固体</w:t>
            </w:r>
          </w:p>
        </w:tc>
        <w:tc>
          <w:tcPr>
            <w:tcW w:w="99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挥发酚</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阴离子表面活性剂</w:t>
            </w:r>
          </w:p>
        </w:tc>
        <w:tc>
          <w:tcPr>
            <w:tcW w:w="76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硝酸盐氮</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亚硝酸盐氮</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氰化物</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氟化物</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硫化物</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铁</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锰</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六价铬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68" w:type="dxa"/>
            <w:vMerge w:val="restart"/>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D1</w:t>
            </w:r>
          </w:p>
        </w:tc>
        <w:tc>
          <w:tcPr>
            <w:tcW w:w="115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监测值（mg/L）</w:t>
            </w:r>
          </w:p>
        </w:tc>
        <w:tc>
          <w:tcPr>
            <w:tcW w:w="8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8.04</w:t>
            </w:r>
          </w:p>
        </w:tc>
        <w:tc>
          <w:tcPr>
            <w:tcW w:w="784"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0.142</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1.38</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241</w:t>
            </w:r>
          </w:p>
        </w:tc>
        <w:tc>
          <w:tcPr>
            <w:tcW w:w="7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636</w:t>
            </w:r>
          </w:p>
        </w:tc>
        <w:tc>
          <w:tcPr>
            <w:tcW w:w="99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0.0003L</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0.05L</w:t>
            </w:r>
          </w:p>
        </w:tc>
        <w:tc>
          <w:tcPr>
            <w:tcW w:w="76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13.6</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0.016L</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0.001L</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0.392</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0.015</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0.03L</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0.01L</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8" w:type="dxa"/>
            <w:vMerge w:val="continue"/>
            <w:vAlign w:val="center"/>
          </w:tcPr>
          <w:p>
            <w:pPr>
              <w:spacing w:line="240" w:lineRule="auto"/>
              <w:ind w:firstLine="520" w:firstLineChars="0"/>
              <w:jc w:val="center"/>
              <w:rPr>
                <w:rFonts w:eastAsiaTheme="minorEastAsia"/>
                <w:color w:val="000000" w:themeColor="text1"/>
                <w:kern w:val="0"/>
                <w:sz w:val="22"/>
                <w:szCs w:val="24"/>
                <w14:textFill>
                  <w14:solidFill>
                    <w14:schemeClr w14:val="tx1"/>
                  </w14:solidFill>
                </w14:textFill>
              </w:rPr>
            </w:pPr>
          </w:p>
        </w:tc>
        <w:tc>
          <w:tcPr>
            <w:tcW w:w="115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Pi</w:t>
            </w:r>
          </w:p>
        </w:tc>
        <w:tc>
          <w:tcPr>
            <w:tcW w:w="8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0.69</w:t>
            </w:r>
          </w:p>
        </w:tc>
        <w:tc>
          <w:tcPr>
            <w:tcW w:w="784"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0.28 </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0.46 </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0.54 </w:t>
            </w:r>
          </w:p>
        </w:tc>
        <w:tc>
          <w:tcPr>
            <w:tcW w:w="7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0.64 </w:t>
            </w:r>
          </w:p>
        </w:tc>
        <w:tc>
          <w:tcPr>
            <w:tcW w:w="99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6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0.68 </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0.39 </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0.75 </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8" w:type="dxa"/>
            <w:vMerge w:val="continue"/>
            <w:vAlign w:val="center"/>
          </w:tcPr>
          <w:p>
            <w:pPr>
              <w:spacing w:line="240" w:lineRule="auto"/>
              <w:ind w:firstLine="520" w:firstLineChars="0"/>
              <w:jc w:val="center"/>
              <w:rPr>
                <w:rFonts w:eastAsiaTheme="minorEastAsia"/>
                <w:color w:val="000000" w:themeColor="text1"/>
                <w:kern w:val="0"/>
                <w:sz w:val="22"/>
                <w:szCs w:val="24"/>
                <w14:textFill>
                  <w14:solidFill>
                    <w14:schemeClr w14:val="tx1"/>
                  </w14:solidFill>
                </w14:textFill>
              </w:rPr>
            </w:pPr>
          </w:p>
        </w:tc>
        <w:tc>
          <w:tcPr>
            <w:tcW w:w="115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超标率（%）</w:t>
            </w:r>
          </w:p>
        </w:tc>
        <w:tc>
          <w:tcPr>
            <w:tcW w:w="8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84"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9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6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68" w:type="dxa"/>
            <w:vMerge w:val="restart"/>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D2</w:t>
            </w:r>
          </w:p>
        </w:tc>
        <w:tc>
          <w:tcPr>
            <w:tcW w:w="115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监测值（mg/L）</w:t>
            </w:r>
          </w:p>
        </w:tc>
        <w:tc>
          <w:tcPr>
            <w:tcW w:w="8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7.71</w:t>
            </w:r>
          </w:p>
        </w:tc>
        <w:tc>
          <w:tcPr>
            <w:tcW w:w="784"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0.106</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1.81</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165</w:t>
            </w:r>
          </w:p>
        </w:tc>
        <w:tc>
          <w:tcPr>
            <w:tcW w:w="7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364</w:t>
            </w:r>
          </w:p>
        </w:tc>
        <w:tc>
          <w:tcPr>
            <w:tcW w:w="99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0.0003L</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0.05L</w:t>
            </w:r>
          </w:p>
        </w:tc>
        <w:tc>
          <w:tcPr>
            <w:tcW w:w="76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5.61</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0.15</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0.001L</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0.418</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0.011</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0.03L</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0.01L</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8" w:type="dxa"/>
            <w:vMerge w:val="continue"/>
            <w:vAlign w:val="center"/>
          </w:tcPr>
          <w:p>
            <w:pPr>
              <w:spacing w:line="240" w:lineRule="auto"/>
              <w:ind w:firstLine="520" w:firstLineChars="0"/>
              <w:jc w:val="center"/>
              <w:rPr>
                <w:rFonts w:eastAsiaTheme="minorEastAsia"/>
                <w:color w:val="000000" w:themeColor="text1"/>
                <w:kern w:val="0"/>
                <w:sz w:val="22"/>
                <w:szCs w:val="24"/>
                <w14:textFill>
                  <w14:solidFill>
                    <w14:schemeClr w14:val="tx1"/>
                  </w14:solidFill>
                </w14:textFill>
              </w:rPr>
            </w:pPr>
          </w:p>
        </w:tc>
        <w:tc>
          <w:tcPr>
            <w:tcW w:w="115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Pi</w:t>
            </w:r>
          </w:p>
        </w:tc>
        <w:tc>
          <w:tcPr>
            <w:tcW w:w="8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0.47 </w:t>
            </w:r>
          </w:p>
        </w:tc>
        <w:tc>
          <w:tcPr>
            <w:tcW w:w="784"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0.21 </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0.60 </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0.37 </w:t>
            </w:r>
          </w:p>
        </w:tc>
        <w:tc>
          <w:tcPr>
            <w:tcW w:w="7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0.36 </w:t>
            </w:r>
          </w:p>
        </w:tc>
        <w:tc>
          <w:tcPr>
            <w:tcW w:w="99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6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0.28 </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0.15 </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0.42 </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0.55 </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68" w:type="dxa"/>
            <w:vMerge w:val="continue"/>
            <w:vAlign w:val="center"/>
          </w:tcPr>
          <w:p>
            <w:pPr>
              <w:spacing w:line="240" w:lineRule="auto"/>
              <w:ind w:firstLine="520" w:firstLineChars="0"/>
              <w:jc w:val="center"/>
              <w:rPr>
                <w:rFonts w:eastAsiaTheme="minorEastAsia"/>
                <w:color w:val="000000" w:themeColor="text1"/>
                <w:kern w:val="0"/>
                <w:sz w:val="22"/>
                <w:szCs w:val="24"/>
                <w14:textFill>
                  <w14:solidFill>
                    <w14:schemeClr w14:val="tx1"/>
                  </w14:solidFill>
                </w14:textFill>
              </w:rPr>
            </w:pPr>
          </w:p>
        </w:tc>
        <w:tc>
          <w:tcPr>
            <w:tcW w:w="115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超标率（%）</w:t>
            </w:r>
          </w:p>
        </w:tc>
        <w:tc>
          <w:tcPr>
            <w:tcW w:w="8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84"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9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6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8" w:type="dxa"/>
            <w:vMerge w:val="continue"/>
            <w:vAlign w:val="center"/>
          </w:tcPr>
          <w:p>
            <w:pPr>
              <w:spacing w:line="240" w:lineRule="auto"/>
              <w:ind w:firstLine="520" w:firstLineChars="0"/>
              <w:jc w:val="center"/>
              <w:rPr>
                <w:rFonts w:eastAsiaTheme="minorEastAsia"/>
                <w:color w:val="000000" w:themeColor="text1"/>
                <w:kern w:val="0"/>
                <w:sz w:val="22"/>
                <w:szCs w:val="24"/>
                <w14:textFill>
                  <w14:solidFill>
                    <w14:schemeClr w14:val="tx1"/>
                  </w14:solidFill>
                </w14:textFill>
              </w:rPr>
            </w:pPr>
          </w:p>
        </w:tc>
        <w:tc>
          <w:tcPr>
            <w:tcW w:w="115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Pi</w:t>
            </w:r>
          </w:p>
        </w:tc>
        <w:tc>
          <w:tcPr>
            <w:tcW w:w="8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0.15 </w:t>
            </w:r>
          </w:p>
        </w:tc>
        <w:tc>
          <w:tcPr>
            <w:tcW w:w="784"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0.21 </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0.65 </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0.34 </w:t>
            </w:r>
          </w:p>
        </w:tc>
        <w:tc>
          <w:tcPr>
            <w:tcW w:w="7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0.35 </w:t>
            </w:r>
          </w:p>
        </w:tc>
        <w:tc>
          <w:tcPr>
            <w:tcW w:w="99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6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0.07 </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0.19 </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0.75 </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68" w:type="dxa"/>
            <w:vMerge w:val="continue"/>
            <w:vAlign w:val="center"/>
          </w:tcPr>
          <w:p>
            <w:pPr>
              <w:spacing w:line="240" w:lineRule="auto"/>
              <w:ind w:firstLine="520" w:firstLineChars="0"/>
              <w:jc w:val="center"/>
              <w:rPr>
                <w:rFonts w:eastAsiaTheme="minorEastAsia"/>
                <w:color w:val="000000" w:themeColor="text1"/>
                <w:kern w:val="0"/>
                <w:sz w:val="22"/>
                <w:szCs w:val="24"/>
                <w14:textFill>
                  <w14:solidFill>
                    <w14:schemeClr w14:val="tx1"/>
                  </w14:solidFill>
                </w14:textFill>
              </w:rPr>
            </w:pPr>
          </w:p>
        </w:tc>
        <w:tc>
          <w:tcPr>
            <w:tcW w:w="115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超标率（%）</w:t>
            </w:r>
          </w:p>
        </w:tc>
        <w:tc>
          <w:tcPr>
            <w:tcW w:w="8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84"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9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6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68" w:type="dxa"/>
            <w:vMerge w:val="restart"/>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D3</w:t>
            </w:r>
          </w:p>
        </w:tc>
        <w:tc>
          <w:tcPr>
            <w:tcW w:w="115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监测值（mg/L）</w:t>
            </w:r>
          </w:p>
        </w:tc>
        <w:tc>
          <w:tcPr>
            <w:tcW w:w="8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7.97</w:t>
            </w:r>
          </w:p>
        </w:tc>
        <w:tc>
          <w:tcPr>
            <w:tcW w:w="784"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0.153</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1.52</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317</w:t>
            </w:r>
          </w:p>
        </w:tc>
        <w:tc>
          <w:tcPr>
            <w:tcW w:w="7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580</w:t>
            </w:r>
          </w:p>
        </w:tc>
        <w:tc>
          <w:tcPr>
            <w:tcW w:w="99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0.0003L</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0.05L</w:t>
            </w:r>
          </w:p>
        </w:tc>
        <w:tc>
          <w:tcPr>
            <w:tcW w:w="76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12.6</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0.016L</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0.001L</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0.773</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0.013</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0.03L</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8" w:type="dxa"/>
            <w:vMerge w:val="continue"/>
            <w:vAlign w:val="center"/>
          </w:tcPr>
          <w:p>
            <w:pPr>
              <w:spacing w:line="240" w:lineRule="auto"/>
              <w:ind w:firstLine="520" w:firstLineChars="0"/>
              <w:jc w:val="center"/>
              <w:rPr>
                <w:rFonts w:eastAsiaTheme="minorEastAsia"/>
                <w:color w:val="000000" w:themeColor="text1"/>
                <w:kern w:val="0"/>
                <w:sz w:val="22"/>
                <w:szCs w:val="24"/>
                <w14:textFill>
                  <w14:solidFill>
                    <w14:schemeClr w14:val="tx1"/>
                  </w14:solidFill>
                </w14:textFill>
              </w:rPr>
            </w:pPr>
          </w:p>
        </w:tc>
        <w:tc>
          <w:tcPr>
            <w:tcW w:w="115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Pi</w:t>
            </w:r>
          </w:p>
        </w:tc>
        <w:tc>
          <w:tcPr>
            <w:tcW w:w="8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0.65 </w:t>
            </w:r>
          </w:p>
        </w:tc>
        <w:tc>
          <w:tcPr>
            <w:tcW w:w="784"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0.31 </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0.51 </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0.70 </w:t>
            </w:r>
          </w:p>
        </w:tc>
        <w:tc>
          <w:tcPr>
            <w:tcW w:w="7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0.58 </w:t>
            </w:r>
          </w:p>
        </w:tc>
        <w:tc>
          <w:tcPr>
            <w:tcW w:w="99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6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0.63 </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0.77 </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0.65 </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8" w:type="dxa"/>
            <w:vMerge w:val="continue"/>
            <w:vAlign w:val="center"/>
          </w:tcPr>
          <w:p>
            <w:pPr>
              <w:spacing w:line="240" w:lineRule="auto"/>
              <w:ind w:firstLine="520" w:firstLineChars="0"/>
              <w:jc w:val="center"/>
              <w:rPr>
                <w:rFonts w:eastAsiaTheme="minorEastAsia"/>
                <w:color w:val="000000" w:themeColor="text1"/>
                <w:kern w:val="0"/>
                <w:sz w:val="22"/>
                <w:szCs w:val="24"/>
                <w14:textFill>
                  <w14:solidFill>
                    <w14:schemeClr w14:val="tx1"/>
                  </w14:solidFill>
                </w14:textFill>
              </w:rPr>
            </w:pPr>
          </w:p>
        </w:tc>
        <w:tc>
          <w:tcPr>
            <w:tcW w:w="115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超标率（%）</w:t>
            </w:r>
          </w:p>
        </w:tc>
        <w:tc>
          <w:tcPr>
            <w:tcW w:w="8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84"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9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6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68" w:type="dxa"/>
            <w:vMerge w:val="restart"/>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D4</w:t>
            </w:r>
          </w:p>
        </w:tc>
        <w:tc>
          <w:tcPr>
            <w:tcW w:w="115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监测值（mg/L）</w:t>
            </w:r>
          </w:p>
        </w:tc>
        <w:tc>
          <w:tcPr>
            <w:tcW w:w="8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8.1</w:t>
            </w:r>
          </w:p>
        </w:tc>
        <w:tc>
          <w:tcPr>
            <w:tcW w:w="784"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0.12</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2.06</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235</w:t>
            </w:r>
          </w:p>
        </w:tc>
        <w:tc>
          <w:tcPr>
            <w:tcW w:w="7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614</w:t>
            </w:r>
          </w:p>
        </w:tc>
        <w:tc>
          <w:tcPr>
            <w:tcW w:w="99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0.0003L</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0.05L</w:t>
            </w:r>
          </w:p>
        </w:tc>
        <w:tc>
          <w:tcPr>
            <w:tcW w:w="76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10.9</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0.016L</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0.001L</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0.226</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0.015</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0.03L</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0.01L</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8" w:type="dxa"/>
            <w:vMerge w:val="continue"/>
            <w:vAlign w:val="center"/>
          </w:tcPr>
          <w:p>
            <w:pPr>
              <w:spacing w:line="240" w:lineRule="auto"/>
              <w:ind w:firstLine="520" w:firstLineChars="0"/>
              <w:jc w:val="center"/>
              <w:rPr>
                <w:rFonts w:eastAsiaTheme="minorEastAsia"/>
                <w:color w:val="000000" w:themeColor="text1"/>
                <w:kern w:val="0"/>
                <w:sz w:val="22"/>
                <w:szCs w:val="24"/>
                <w14:textFill>
                  <w14:solidFill>
                    <w14:schemeClr w14:val="tx1"/>
                  </w14:solidFill>
                </w14:textFill>
              </w:rPr>
            </w:pPr>
          </w:p>
        </w:tc>
        <w:tc>
          <w:tcPr>
            <w:tcW w:w="115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Pi</w:t>
            </w:r>
          </w:p>
        </w:tc>
        <w:tc>
          <w:tcPr>
            <w:tcW w:w="8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0.73 </w:t>
            </w:r>
          </w:p>
        </w:tc>
        <w:tc>
          <w:tcPr>
            <w:tcW w:w="784"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0.24 </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0.69 </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0.52 </w:t>
            </w:r>
          </w:p>
        </w:tc>
        <w:tc>
          <w:tcPr>
            <w:tcW w:w="7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0.61 </w:t>
            </w:r>
          </w:p>
        </w:tc>
        <w:tc>
          <w:tcPr>
            <w:tcW w:w="99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6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0.55 </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0.23 </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0.75 </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8" w:type="dxa"/>
            <w:vMerge w:val="continue"/>
            <w:vAlign w:val="center"/>
          </w:tcPr>
          <w:p>
            <w:pPr>
              <w:spacing w:line="240" w:lineRule="auto"/>
              <w:ind w:firstLine="520" w:firstLineChars="0"/>
              <w:jc w:val="center"/>
              <w:rPr>
                <w:rFonts w:eastAsiaTheme="minorEastAsia"/>
                <w:color w:val="000000" w:themeColor="text1"/>
                <w:kern w:val="0"/>
                <w:sz w:val="22"/>
                <w:szCs w:val="24"/>
                <w14:textFill>
                  <w14:solidFill>
                    <w14:schemeClr w14:val="tx1"/>
                  </w14:solidFill>
                </w14:textFill>
              </w:rPr>
            </w:pPr>
          </w:p>
        </w:tc>
        <w:tc>
          <w:tcPr>
            <w:tcW w:w="115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超标率（%）</w:t>
            </w:r>
          </w:p>
        </w:tc>
        <w:tc>
          <w:tcPr>
            <w:tcW w:w="8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84"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9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6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68" w:type="dxa"/>
            <w:vMerge w:val="restart"/>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D5</w:t>
            </w:r>
          </w:p>
        </w:tc>
        <w:tc>
          <w:tcPr>
            <w:tcW w:w="115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监测值（mg/L）</w:t>
            </w:r>
          </w:p>
        </w:tc>
        <w:tc>
          <w:tcPr>
            <w:tcW w:w="8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8.13</w:t>
            </w:r>
          </w:p>
        </w:tc>
        <w:tc>
          <w:tcPr>
            <w:tcW w:w="784"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0.111</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1.64</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232</w:t>
            </w:r>
          </w:p>
        </w:tc>
        <w:tc>
          <w:tcPr>
            <w:tcW w:w="7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478</w:t>
            </w:r>
          </w:p>
        </w:tc>
        <w:tc>
          <w:tcPr>
            <w:tcW w:w="99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0.0003L</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0.05L</w:t>
            </w:r>
          </w:p>
        </w:tc>
        <w:tc>
          <w:tcPr>
            <w:tcW w:w="76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15.8</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0.111</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0.001L</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0.637</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0.011</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0.03L</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0.01L</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8" w:type="dxa"/>
            <w:vMerge w:val="continue"/>
            <w:vAlign w:val="center"/>
          </w:tcPr>
          <w:p>
            <w:pPr>
              <w:spacing w:line="240" w:lineRule="auto"/>
              <w:ind w:firstLine="520" w:firstLineChars="0"/>
              <w:jc w:val="center"/>
              <w:rPr>
                <w:rFonts w:eastAsiaTheme="minorEastAsia"/>
                <w:color w:val="000000" w:themeColor="text1"/>
                <w:kern w:val="0"/>
                <w:sz w:val="22"/>
                <w:szCs w:val="24"/>
                <w14:textFill>
                  <w14:solidFill>
                    <w14:schemeClr w14:val="tx1"/>
                  </w14:solidFill>
                </w14:textFill>
              </w:rPr>
            </w:pPr>
          </w:p>
        </w:tc>
        <w:tc>
          <w:tcPr>
            <w:tcW w:w="115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Pi</w:t>
            </w:r>
          </w:p>
        </w:tc>
        <w:tc>
          <w:tcPr>
            <w:tcW w:w="8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0.75 </w:t>
            </w:r>
          </w:p>
        </w:tc>
        <w:tc>
          <w:tcPr>
            <w:tcW w:w="784"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0.22 </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0.55 </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0.52 </w:t>
            </w:r>
          </w:p>
        </w:tc>
        <w:tc>
          <w:tcPr>
            <w:tcW w:w="7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0.48 </w:t>
            </w:r>
          </w:p>
        </w:tc>
        <w:tc>
          <w:tcPr>
            <w:tcW w:w="99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6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0.79 </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0.11 </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0.64 </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0.55 </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8" w:type="dxa"/>
            <w:vMerge w:val="continue"/>
            <w:vAlign w:val="center"/>
          </w:tcPr>
          <w:p>
            <w:pPr>
              <w:spacing w:line="240" w:lineRule="auto"/>
              <w:ind w:firstLine="520" w:firstLineChars="0"/>
              <w:jc w:val="center"/>
              <w:rPr>
                <w:rFonts w:eastAsiaTheme="minorEastAsia"/>
                <w:color w:val="000000" w:themeColor="text1"/>
                <w:kern w:val="0"/>
                <w:sz w:val="22"/>
                <w:szCs w:val="24"/>
                <w14:textFill>
                  <w14:solidFill>
                    <w14:schemeClr w14:val="tx1"/>
                  </w14:solidFill>
                </w14:textFill>
              </w:rPr>
            </w:pPr>
          </w:p>
        </w:tc>
        <w:tc>
          <w:tcPr>
            <w:tcW w:w="115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超标率（%）</w:t>
            </w:r>
          </w:p>
        </w:tc>
        <w:tc>
          <w:tcPr>
            <w:tcW w:w="8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84"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9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6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68" w:type="dxa"/>
            <w:vMerge w:val="restart"/>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D6</w:t>
            </w:r>
          </w:p>
        </w:tc>
        <w:tc>
          <w:tcPr>
            <w:tcW w:w="115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监测值（mg/L）</w:t>
            </w:r>
          </w:p>
        </w:tc>
        <w:tc>
          <w:tcPr>
            <w:tcW w:w="8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7.93</w:t>
            </w:r>
          </w:p>
        </w:tc>
        <w:tc>
          <w:tcPr>
            <w:tcW w:w="784"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0.172</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1.77</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225</w:t>
            </w:r>
          </w:p>
        </w:tc>
        <w:tc>
          <w:tcPr>
            <w:tcW w:w="7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446</w:t>
            </w:r>
          </w:p>
        </w:tc>
        <w:tc>
          <w:tcPr>
            <w:tcW w:w="99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0.0003L</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0.05L</w:t>
            </w:r>
          </w:p>
        </w:tc>
        <w:tc>
          <w:tcPr>
            <w:tcW w:w="76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10.7</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0.152</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0.001L</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0.518</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0.013</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0.03L</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0.01L</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8" w:type="dxa"/>
            <w:vMerge w:val="continue"/>
            <w:vAlign w:val="center"/>
          </w:tcPr>
          <w:p>
            <w:pPr>
              <w:spacing w:line="240" w:lineRule="auto"/>
              <w:ind w:firstLine="520" w:firstLineChars="0"/>
              <w:jc w:val="center"/>
              <w:rPr>
                <w:rFonts w:eastAsiaTheme="minorEastAsia"/>
                <w:color w:val="000000" w:themeColor="text1"/>
                <w:kern w:val="0"/>
                <w:sz w:val="22"/>
                <w:szCs w:val="24"/>
                <w14:textFill>
                  <w14:solidFill>
                    <w14:schemeClr w14:val="tx1"/>
                  </w14:solidFill>
                </w14:textFill>
              </w:rPr>
            </w:pPr>
          </w:p>
        </w:tc>
        <w:tc>
          <w:tcPr>
            <w:tcW w:w="115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Pi</w:t>
            </w:r>
          </w:p>
        </w:tc>
        <w:tc>
          <w:tcPr>
            <w:tcW w:w="8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0.62 </w:t>
            </w:r>
          </w:p>
        </w:tc>
        <w:tc>
          <w:tcPr>
            <w:tcW w:w="784"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0.34 </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0.59 </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0.50 </w:t>
            </w:r>
          </w:p>
        </w:tc>
        <w:tc>
          <w:tcPr>
            <w:tcW w:w="7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0.45 </w:t>
            </w:r>
          </w:p>
        </w:tc>
        <w:tc>
          <w:tcPr>
            <w:tcW w:w="99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6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0.54 </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0.15 </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0.52 </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0.65 </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8" w:type="dxa"/>
            <w:vMerge w:val="continue"/>
            <w:vAlign w:val="center"/>
          </w:tcPr>
          <w:p>
            <w:pPr>
              <w:spacing w:line="240" w:lineRule="auto"/>
              <w:ind w:firstLine="520" w:firstLineChars="0"/>
              <w:jc w:val="center"/>
              <w:rPr>
                <w:rFonts w:eastAsiaTheme="minorEastAsia"/>
                <w:color w:val="000000" w:themeColor="text1"/>
                <w:kern w:val="0"/>
                <w:sz w:val="22"/>
                <w:szCs w:val="24"/>
                <w14:textFill>
                  <w14:solidFill>
                    <w14:schemeClr w14:val="tx1"/>
                  </w14:solidFill>
                </w14:textFill>
              </w:rPr>
            </w:pPr>
          </w:p>
        </w:tc>
        <w:tc>
          <w:tcPr>
            <w:tcW w:w="1159"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超标率（%）</w:t>
            </w:r>
          </w:p>
        </w:tc>
        <w:tc>
          <w:tcPr>
            <w:tcW w:w="8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84"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9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6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27" w:type="dxa"/>
            <w:gridSpan w:val="2"/>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评价标准</w:t>
            </w:r>
          </w:p>
        </w:tc>
        <w:tc>
          <w:tcPr>
            <w:tcW w:w="8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6.5-8.5</w:t>
            </w:r>
          </w:p>
        </w:tc>
        <w:tc>
          <w:tcPr>
            <w:tcW w:w="784"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0.5</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3</w:t>
            </w:r>
          </w:p>
        </w:tc>
        <w:tc>
          <w:tcPr>
            <w:tcW w:w="68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450</w:t>
            </w:r>
          </w:p>
        </w:tc>
        <w:tc>
          <w:tcPr>
            <w:tcW w:w="7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1000</w:t>
            </w:r>
          </w:p>
        </w:tc>
        <w:tc>
          <w:tcPr>
            <w:tcW w:w="99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0.002</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0.3</w:t>
            </w:r>
          </w:p>
        </w:tc>
        <w:tc>
          <w:tcPr>
            <w:tcW w:w="76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20</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0.05</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w:t>
            </w:r>
          </w:p>
        </w:tc>
        <w:tc>
          <w:tcPr>
            <w:tcW w:w="783"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0.02</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0.3</w:t>
            </w:r>
          </w:p>
        </w:tc>
        <w:tc>
          <w:tcPr>
            <w:tcW w:w="80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0.1</w:t>
            </w:r>
          </w:p>
        </w:tc>
        <w:tc>
          <w:tcPr>
            <w:tcW w:w="900"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0.05</w:t>
            </w:r>
          </w:p>
        </w:tc>
      </w:tr>
    </w:tbl>
    <w:p>
      <w:pPr>
        <w:pStyle w:val="39"/>
        <w:numPr>
          <w:ilvl w:val="0"/>
          <w:numId w:val="0"/>
        </w:numPr>
        <w:rPr>
          <w:color w:val="000000" w:themeColor="text1"/>
          <w:highlight w:val="lightGray"/>
          <w14:textFill>
            <w14:solidFill>
              <w14:schemeClr w14:val="tx1"/>
            </w14:solidFill>
          </w14:textFill>
        </w:rPr>
      </w:pPr>
    </w:p>
    <w:p>
      <w:pPr>
        <w:pStyle w:val="39"/>
        <w:numPr>
          <w:ilvl w:val="0"/>
          <w:numId w:val="0"/>
        </w:numPr>
        <w:rPr>
          <w:color w:val="000000" w:themeColor="text1"/>
          <w14:textFill>
            <w14:solidFill>
              <w14:schemeClr w14:val="tx1"/>
            </w14:solidFill>
          </w14:textFill>
        </w:rPr>
      </w:pPr>
      <w:r>
        <w:rPr>
          <w:rFonts w:hint="eastAsia"/>
          <w:color w:val="000000" w:themeColor="text1"/>
          <w:szCs w:val="26"/>
          <w:highlight w:val="lightGray"/>
          <w14:textFill>
            <w14:solidFill>
              <w14:schemeClr w14:val="tx1"/>
            </w14:solidFill>
          </w14:textFill>
        </w:rPr>
        <w:t>（续）表4</w:t>
      </w:r>
      <w:r>
        <w:rPr>
          <w:color w:val="000000" w:themeColor="text1"/>
          <w:szCs w:val="26"/>
          <w:highlight w:val="lightGray"/>
          <w14:textFill>
            <w14:solidFill>
              <w14:schemeClr w14:val="tx1"/>
            </w14:solidFill>
          </w14:textFill>
        </w:rPr>
        <w:t>.2</w:t>
      </w:r>
      <w:r>
        <w:rPr>
          <w:rFonts w:hint="eastAsia"/>
          <w:color w:val="000000" w:themeColor="text1"/>
          <w:szCs w:val="26"/>
          <w:highlight w:val="lightGray"/>
          <w14:textFill>
            <w14:solidFill>
              <w14:schemeClr w14:val="tx1"/>
            </w14:solidFill>
          </w14:textFill>
        </w:rPr>
        <w:t>-</w:t>
      </w:r>
      <w:r>
        <w:rPr>
          <w:color w:val="000000" w:themeColor="text1"/>
          <w:szCs w:val="26"/>
          <w:highlight w:val="lightGray"/>
          <w14:textFill>
            <w14:solidFill>
              <w14:schemeClr w14:val="tx1"/>
            </w14:solidFill>
          </w14:textFill>
        </w:rPr>
        <w:t>8</w:t>
      </w:r>
      <w:r>
        <w:rPr>
          <w:color w:val="000000" w:themeColor="text1"/>
          <w14:textFill>
            <w14:solidFill>
              <w14:schemeClr w14:val="tx1"/>
            </w14:solidFill>
          </w14:textFill>
        </w:rPr>
        <w:t>地下水现状</w:t>
      </w:r>
      <w:r>
        <w:rPr>
          <w:rFonts w:hint="eastAsia"/>
          <w:color w:val="000000" w:themeColor="text1"/>
          <w:lang w:eastAsia="zh-CN"/>
          <w14:textFill>
            <w14:solidFill>
              <w14:schemeClr w14:val="tx1"/>
            </w14:solidFill>
          </w14:textFill>
        </w:rPr>
        <w:t>监测</w:t>
      </w:r>
      <w:r>
        <w:rPr>
          <w:color w:val="000000" w:themeColor="text1"/>
          <w14:textFill>
            <w14:solidFill>
              <w14:schemeClr w14:val="tx1"/>
            </w14:solidFill>
          </w14:textFill>
        </w:rPr>
        <w:t>结果统计及评价结果表</w:t>
      </w:r>
      <w:r>
        <w:rPr>
          <w:rFonts w:hint="eastAsia"/>
          <w:color w:val="000000" w:themeColor="text1"/>
          <w14:textFill>
            <w14:solidFill>
              <w14:schemeClr w14:val="tx1"/>
            </w14:solidFill>
          </w14:textFill>
        </w:rPr>
        <w:t xml:space="preserve"> </w:t>
      </w:r>
      <w:r>
        <w:rPr>
          <w:color w:val="000000" w:themeColor="text1"/>
          <w:sz w:val="22"/>
          <w:szCs w:val="21"/>
          <w14:textFill>
            <w14:solidFill>
              <w14:schemeClr w14:val="tx1"/>
            </w14:solidFill>
          </w14:textFill>
        </w:rPr>
        <w:t>单位：mg/L</w:t>
      </w:r>
      <w:r>
        <w:rPr>
          <w:color w:val="000000" w:themeColor="text1"/>
          <w14:textFill>
            <w14:solidFill>
              <w14:schemeClr w14:val="tx1"/>
            </w14:solidFill>
          </w14:textFill>
        </w:rPr>
        <w:t xml:space="preserve"> </w:t>
      </w:r>
    </w:p>
    <w:tbl>
      <w:tblPr>
        <w:tblStyle w:val="42"/>
        <w:tblW w:w="139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172"/>
        <w:gridCol w:w="747"/>
        <w:gridCol w:w="836"/>
        <w:gridCol w:w="836"/>
        <w:gridCol w:w="836"/>
        <w:gridCol w:w="836"/>
        <w:gridCol w:w="728"/>
        <w:gridCol w:w="815"/>
        <w:gridCol w:w="815"/>
        <w:gridCol w:w="926"/>
        <w:gridCol w:w="836"/>
        <w:gridCol w:w="926"/>
        <w:gridCol w:w="747"/>
        <w:gridCol w:w="747"/>
        <w:gridCol w:w="747"/>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blHeader/>
          <w:jc w:val="center"/>
        </w:trPr>
        <w:tc>
          <w:tcPr>
            <w:tcW w:w="714"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编号</w:t>
            </w:r>
          </w:p>
        </w:tc>
        <w:tc>
          <w:tcPr>
            <w:tcW w:w="1172"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项目</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铅</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镉</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铜</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锌</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汞</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砷</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总大肠菌群</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细菌总数</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镍</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钴</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铝</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苯</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甲苯</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二甲苯</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二氯甲烷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vMerge w:val="restart"/>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D1</w:t>
            </w:r>
          </w:p>
        </w:tc>
        <w:tc>
          <w:tcPr>
            <w:tcW w:w="1172"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监测值（mg/L）</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2.5L</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0.25L</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0.02L</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0.02L</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0.04L</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1.20 </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10.00 </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85.00 </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0.007L</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0.01L</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0.009L</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0.4L</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0.3L</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0.2L</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14" w:type="dxa"/>
            <w:vMerge w:val="continue"/>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p>
        </w:tc>
        <w:tc>
          <w:tcPr>
            <w:tcW w:w="1172" w:type="dxa"/>
            <w:shd w:val="clear" w:color="auto" w:fill="auto"/>
            <w:vAlign w:val="center"/>
          </w:tcPr>
          <w:p>
            <w:pPr>
              <w:spacing w:line="240" w:lineRule="auto"/>
              <w:ind w:firstLine="0" w:firstLineChars="0"/>
              <w:jc w:val="center"/>
              <w:rPr>
                <w:rFonts w:eastAsiaTheme="minorEastAsia"/>
                <w:i/>
                <w:iCs/>
                <w:color w:val="000000" w:themeColor="text1"/>
                <w:kern w:val="0"/>
                <w:sz w:val="22"/>
                <w:szCs w:val="24"/>
                <w14:textFill>
                  <w14:solidFill>
                    <w14:schemeClr w14:val="tx1"/>
                  </w14:solidFill>
                </w14:textFill>
              </w:rPr>
            </w:pPr>
            <w:r>
              <w:rPr>
                <w:rFonts w:eastAsiaTheme="minorEastAsia"/>
                <w:i/>
                <w:iCs/>
                <w:color w:val="000000" w:themeColor="text1"/>
                <w:kern w:val="0"/>
                <w:sz w:val="22"/>
                <w:szCs w:val="24"/>
                <w14:textFill>
                  <w14:solidFill>
                    <w14:schemeClr w14:val="tx1"/>
                  </w14:solidFill>
                </w14:textFill>
              </w:rPr>
              <w:t>P</w:t>
            </w:r>
            <w:r>
              <w:rPr>
                <w:rFonts w:eastAsiaTheme="minorEastAsia"/>
                <w:color w:val="000000" w:themeColor="text1"/>
                <w:kern w:val="0"/>
                <w:sz w:val="22"/>
                <w:szCs w:val="24"/>
                <w:vertAlign w:val="subscript"/>
                <w14:textFill>
                  <w14:solidFill>
                    <w14:schemeClr w14:val="tx1"/>
                  </w14:solidFill>
                </w14:textFill>
              </w:rPr>
              <w:t>i</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0.12 </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0.33 </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0.85 </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4" w:type="dxa"/>
            <w:vMerge w:val="continue"/>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p>
        </w:tc>
        <w:tc>
          <w:tcPr>
            <w:tcW w:w="1172"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超标率（%）</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vMerge w:val="restart"/>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D2</w:t>
            </w:r>
          </w:p>
        </w:tc>
        <w:tc>
          <w:tcPr>
            <w:tcW w:w="1172"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监测值（mg/L）</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2.5L</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0.25L</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0.02L</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0.02L</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0.04L</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0.4</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20</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83</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0.007L</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0.01L</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0.014</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0.4L</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0.3L</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0.2L</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14" w:type="dxa"/>
            <w:vMerge w:val="continue"/>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p>
        </w:tc>
        <w:tc>
          <w:tcPr>
            <w:tcW w:w="1172" w:type="dxa"/>
            <w:shd w:val="clear" w:color="auto" w:fill="auto"/>
            <w:vAlign w:val="center"/>
          </w:tcPr>
          <w:p>
            <w:pPr>
              <w:spacing w:line="240" w:lineRule="auto"/>
              <w:ind w:firstLine="0" w:firstLineChars="0"/>
              <w:jc w:val="center"/>
              <w:rPr>
                <w:rFonts w:eastAsiaTheme="minorEastAsia"/>
                <w:i/>
                <w:iCs/>
                <w:color w:val="000000" w:themeColor="text1"/>
                <w:kern w:val="0"/>
                <w:sz w:val="22"/>
                <w:szCs w:val="24"/>
                <w14:textFill>
                  <w14:solidFill>
                    <w14:schemeClr w14:val="tx1"/>
                  </w14:solidFill>
                </w14:textFill>
              </w:rPr>
            </w:pPr>
            <w:r>
              <w:rPr>
                <w:rFonts w:eastAsiaTheme="minorEastAsia"/>
                <w:i/>
                <w:iCs/>
                <w:color w:val="000000" w:themeColor="text1"/>
                <w:kern w:val="0"/>
                <w:sz w:val="22"/>
                <w:szCs w:val="24"/>
                <w14:textFill>
                  <w14:solidFill>
                    <w14:schemeClr w14:val="tx1"/>
                  </w14:solidFill>
                </w14:textFill>
              </w:rPr>
              <w:t>P</w:t>
            </w:r>
            <w:r>
              <w:rPr>
                <w:rFonts w:eastAsiaTheme="minorEastAsia"/>
                <w:color w:val="000000" w:themeColor="text1"/>
                <w:kern w:val="0"/>
                <w:sz w:val="22"/>
                <w:szCs w:val="24"/>
                <w:vertAlign w:val="subscript"/>
                <w14:textFill>
                  <w14:solidFill>
                    <w14:schemeClr w14:val="tx1"/>
                  </w14:solidFill>
                </w14:textFill>
              </w:rPr>
              <w:t>i</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0.04 </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0.67 </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0.83 </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0.07 </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4" w:type="dxa"/>
            <w:vMerge w:val="continue"/>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p>
        </w:tc>
        <w:tc>
          <w:tcPr>
            <w:tcW w:w="1172"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超标率（%）</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14" w:type="dxa"/>
            <w:vMerge w:val="continue"/>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p>
        </w:tc>
        <w:tc>
          <w:tcPr>
            <w:tcW w:w="1172" w:type="dxa"/>
            <w:shd w:val="clear" w:color="auto" w:fill="auto"/>
            <w:vAlign w:val="center"/>
          </w:tcPr>
          <w:p>
            <w:pPr>
              <w:spacing w:line="240" w:lineRule="auto"/>
              <w:ind w:firstLine="0" w:firstLineChars="0"/>
              <w:jc w:val="center"/>
              <w:rPr>
                <w:rFonts w:eastAsiaTheme="minorEastAsia"/>
                <w:i/>
                <w:iCs/>
                <w:color w:val="000000" w:themeColor="text1"/>
                <w:kern w:val="0"/>
                <w:sz w:val="22"/>
                <w:szCs w:val="24"/>
                <w14:textFill>
                  <w14:solidFill>
                    <w14:schemeClr w14:val="tx1"/>
                  </w14:solidFill>
                </w14:textFill>
              </w:rPr>
            </w:pPr>
            <w:r>
              <w:rPr>
                <w:rFonts w:eastAsiaTheme="minorEastAsia"/>
                <w:i/>
                <w:iCs/>
                <w:color w:val="000000" w:themeColor="text1"/>
                <w:kern w:val="0"/>
                <w:sz w:val="22"/>
                <w:szCs w:val="24"/>
                <w14:textFill>
                  <w14:solidFill>
                    <w14:schemeClr w14:val="tx1"/>
                  </w14:solidFill>
                </w14:textFill>
              </w:rPr>
              <w:t>P</w:t>
            </w:r>
            <w:r>
              <w:rPr>
                <w:rFonts w:eastAsiaTheme="minorEastAsia"/>
                <w:color w:val="000000" w:themeColor="text1"/>
                <w:kern w:val="0"/>
                <w:sz w:val="22"/>
                <w:szCs w:val="24"/>
                <w:vertAlign w:val="subscript"/>
                <w14:textFill>
                  <w14:solidFill>
                    <w14:schemeClr w14:val="tx1"/>
                  </w14:solidFill>
                </w14:textFill>
              </w:rPr>
              <w:t>i</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0.09 </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0.33 </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0.88 </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4" w:type="dxa"/>
            <w:vMerge w:val="continue"/>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p>
        </w:tc>
        <w:tc>
          <w:tcPr>
            <w:tcW w:w="1172"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超标率（%）</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vMerge w:val="restart"/>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D3</w:t>
            </w:r>
          </w:p>
        </w:tc>
        <w:tc>
          <w:tcPr>
            <w:tcW w:w="1172"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监测值（mg/L）</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2.5L</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0.25L</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0.02L</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0.02L</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0.04L</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0.4</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20</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90</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0.007L</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0.01L</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0.009L</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0.4L</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0.3L</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0.2L</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14" w:type="dxa"/>
            <w:vMerge w:val="continue"/>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p>
        </w:tc>
        <w:tc>
          <w:tcPr>
            <w:tcW w:w="1172" w:type="dxa"/>
            <w:shd w:val="clear" w:color="auto" w:fill="auto"/>
            <w:vAlign w:val="center"/>
          </w:tcPr>
          <w:p>
            <w:pPr>
              <w:spacing w:line="240" w:lineRule="auto"/>
              <w:ind w:firstLine="0" w:firstLineChars="0"/>
              <w:jc w:val="center"/>
              <w:rPr>
                <w:rFonts w:eastAsiaTheme="minorEastAsia"/>
                <w:i/>
                <w:iCs/>
                <w:color w:val="000000" w:themeColor="text1"/>
                <w:kern w:val="0"/>
                <w:sz w:val="22"/>
                <w:szCs w:val="24"/>
                <w14:textFill>
                  <w14:solidFill>
                    <w14:schemeClr w14:val="tx1"/>
                  </w14:solidFill>
                </w14:textFill>
              </w:rPr>
            </w:pPr>
            <w:r>
              <w:rPr>
                <w:rFonts w:eastAsiaTheme="minorEastAsia"/>
                <w:i/>
                <w:iCs/>
                <w:color w:val="000000" w:themeColor="text1"/>
                <w:kern w:val="0"/>
                <w:sz w:val="22"/>
                <w:szCs w:val="24"/>
                <w14:textFill>
                  <w14:solidFill>
                    <w14:schemeClr w14:val="tx1"/>
                  </w14:solidFill>
                </w14:textFill>
              </w:rPr>
              <w:t>P</w:t>
            </w:r>
            <w:r>
              <w:rPr>
                <w:rFonts w:eastAsiaTheme="minorEastAsia"/>
                <w:color w:val="000000" w:themeColor="text1"/>
                <w:kern w:val="0"/>
                <w:sz w:val="22"/>
                <w:szCs w:val="24"/>
                <w:vertAlign w:val="subscript"/>
                <w14:textFill>
                  <w14:solidFill>
                    <w14:schemeClr w14:val="tx1"/>
                  </w14:solidFill>
                </w14:textFill>
              </w:rPr>
              <w:t>i</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0.04 </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0.67 </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0.90 </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4" w:type="dxa"/>
            <w:vMerge w:val="continue"/>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p>
        </w:tc>
        <w:tc>
          <w:tcPr>
            <w:tcW w:w="1172"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超标率（%）</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vMerge w:val="restart"/>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D4</w:t>
            </w:r>
          </w:p>
        </w:tc>
        <w:tc>
          <w:tcPr>
            <w:tcW w:w="1172"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监测值（mg/L）</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2.5L</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0.25L</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0.02L</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0.02L</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0.04L</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1.1</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20</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86</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0.007L</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0.01L</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0.009L</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0.4L</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0.3L</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0.2L</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14" w:type="dxa"/>
            <w:vMerge w:val="continue"/>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p>
        </w:tc>
        <w:tc>
          <w:tcPr>
            <w:tcW w:w="1172" w:type="dxa"/>
            <w:shd w:val="clear" w:color="auto" w:fill="auto"/>
            <w:vAlign w:val="center"/>
          </w:tcPr>
          <w:p>
            <w:pPr>
              <w:spacing w:line="240" w:lineRule="auto"/>
              <w:ind w:firstLine="0" w:firstLineChars="0"/>
              <w:jc w:val="center"/>
              <w:rPr>
                <w:rFonts w:eastAsiaTheme="minorEastAsia"/>
                <w:i/>
                <w:iCs/>
                <w:color w:val="000000" w:themeColor="text1"/>
                <w:kern w:val="0"/>
                <w:sz w:val="22"/>
                <w:szCs w:val="24"/>
                <w14:textFill>
                  <w14:solidFill>
                    <w14:schemeClr w14:val="tx1"/>
                  </w14:solidFill>
                </w14:textFill>
              </w:rPr>
            </w:pPr>
            <w:r>
              <w:rPr>
                <w:rFonts w:eastAsiaTheme="minorEastAsia"/>
                <w:i/>
                <w:iCs/>
                <w:color w:val="000000" w:themeColor="text1"/>
                <w:kern w:val="0"/>
                <w:sz w:val="22"/>
                <w:szCs w:val="24"/>
                <w14:textFill>
                  <w14:solidFill>
                    <w14:schemeClr w14:val="tx1"/>
                  </w14:solidFill>
                </w14:textFill>
              </w:rPr>
              <w:t>P</w:t>
            </w:r>
            <w:r>
              <w:rPr>
                <w:rFonts w:eastAsiaTheme="minorEastAsia"/>
                <w:color w:val="000000" w:themeColor="text1"/>
                <w:kern w:val="0"/>
                <w:sz w:val="22"/>
                <w:szCs w:val="24"/>
                <w:vertAlign w:val="subscript"/>
                <w14:textFill>
                  <w14:solidFill>
                    <w14:schemeClr w14:val="tx1"/>
                  </w14:solidFill>
                </w14:textFill>
              </w:rPr>
              <w:t>i</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0.11 </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0.67 </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0.86 </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4" w:type="dxa"/>
            <w:vMerge w:val="continue"/>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p>
        </w:tc>
        <w:tc>
          <w:tcPr>
            <w:tcW w:w="1172"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超标率（%）</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vMerge w:val="restart"/>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D5</w:t>
            </w:r>
          </w:p>
        </w:tc>
        <w:tc>
          <w:tcPr>
            <w:tcW w:w="1172"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监测值（mg/L）</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2.5L</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0.25L</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0.02L</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0.02L</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0.04L</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1.5</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10</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81</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0.007L</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0.01L</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0.009L</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0.4L</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0.3L</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0.2L</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14" w:type="dxa"/>
            <w:vMerge w:val="continue"/>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p>
        </w:tc>
        <w:tc>
          <w:tcPr>
            <w:tcW w:w="1172" w:type="dxa"/>
            <w:shd w:val="clear" w:color="auto" w:fill="auto"/>
            <w:vAlign w:val="center"/>
          </w:tcPr>
          <w:p>
            <w:pPr>
              <w:spacing w:line="240" w:lineRule="auto"/>
              <w:ind w:firstLine="0" w:firstLineChars="0"/>
              <w:jc w:val="center"/>
              <w:rPr>
                <w:rFonts w:eastAsiaTheme="minorEastAsia"/>
                <w:i/>
                <w:iCs/>
                <w:color w:val="000000" w:themeColor="text1"/>
                <w:kern w:val="0"/>
                <w:sz w:val="22"/>
                <w:szCs w:val="24"/>
                <w14:textFill>
                  <w14:solidFill>
                    <w14:schemeClr w14:val="tx1"/>
                  </w14:solidFill>
                </w14:textFill>
              </w:rPr>
            </w:pPr>
            <w:r>
              <w:rPr>
                <w:rFonts w:eastAsiaTheme="minorEastAsia"/>
                <w:i/>
                <w:iCs/>
                <w:color w:val="000000" w:themeColor="text1"/>
                <w:kern w:val="0"/>
                <w:sz w:val="22"/>
                <w:szCs w:val="24"/>
                <w14:textFill>
                  <w14:solidFill>
                    <w14:schemeClr w14:val="tx1"/>
                  </w14:solidFill>
                </w14:textFill>
              </w:rPr>
              <w:t>P</w:t>
            </w:r>
            <w:r>
              <w:rPr>
                <w:rFonts w:eastAsiaTheme="minorEastAsia"/>
                <w:color w:val="000000" w:themeColor="text1"/>
                <w:kern w:val="0"/>
                <w:sz w:val="22"/>
                <w:szCs w:val="24"/>
                <w:vertAlign w:val="subscript"/>
                <w14:textFill>
                  <w14:solidFill>
                    <w14:schemeClr w14:val="tx1"/>
                  </w14:solidFill>
                </w14:textFill>
              </w:rPr>
              <w:t>i</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0.15 </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0.33 </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0.81 </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4" w:type="dxa"/>
            <w:vMerge w:val="continue"/>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p>
        </w:tc>
        <w:tc>
          <w:tcPr>
            <w:tcW w:w="1172"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超标率（%）</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vMerge w:val="restart"/>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D6</w:t>
            </w:r>
          </w:p>
        </w:tc>
        <w:tc>
          <w:tcPr>
            <w:tcW w:w="1172"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监测值（mg/L）</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2.5L</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0.25L</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0.02L</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0.02L</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0.04L</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0.3</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20</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84</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0.007L</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0.01L</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0.04</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0.4L</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0.3L</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0.2L</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14" w:type="dxa"/>
            <w:vMerge w:val="continue"/>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p>
        </w:tc>
        <w:tc>
          <w:tcPr>
            <w:tcW w:w="1172" w:type="dxa"/>
            <w:shd w:val="clear" w:color="auto" w:fill="auto"/>
            <w:vAlign w:val="center"/>
          </w:tcPr>
          <w:p>
            <w:pPr>
              <w:spacing w:line="240" w:lineRule="auto"/>
              <w:ind w:firstLine="0" w:firstLineChars="0"/>
              <w:jc w:val="center"/>
              <w:rPr>
                <w:rFonts w:eastAsiaTheme="minorEastAsia"/>
                <w:i/>
                <w:iCs/>
                <w:color w:val="000000" w:themeColor="text1"/>
                <w:kern w:val="0"/>
                <w:sz w:val="22"/>
                <w:szCs w:val="24"/>
                <w14:textFill>
                  <w14:solidFill>
                    <w14:schemeClr w14:val="tx1"/>
                  </w14:solidFill>
                </w14:textFill>
              </w:rPr>
            </w:pPr>
            <w:r>
              <w:rPr>
                <w:rFonts w:eastAsiaTheme="minorEastAsia"/>
                <w:i/>
                <w:iCs/>
                <w:color w:val="000000" w:themeColor="text1"/>
                <w:kern w:val="0"/>
                <w:sz w:val="22"/>
                <w:szCs w:val="24"/>
                <w14:textFill>
                  <w14:solidFill>
                    <w14:schemeClr w14:val="tx1"/>
                  </w14:solidFill>
                </w14:textFill>
              </w:rPr>
              <w:t>P</w:t>
            </w:r>
            <w:r>
              <w:rPr>
                <w:rFonts w:eastAsiaTheme="minorEastAsia"/>
                <w:color w:val="000000" w:themeColor="text1"/>
                <w:kern w:val="0"/>
                <w:sz w:val="22"/>
                <w:szCs w:val="24"/>
                <w:vertAlign w:val="subscript"/>
                <w14:textFill>
                  <w14:solidFill>
                    <w14:schemeClr w14:val="tx1"/>
                  </w14:solidFill>
                </w14:textFill>
              </w:rPr>
              <w:t>i</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0.03 </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0.67 </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0.84 </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0.20 </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 xml:space="preserve">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4" w:type="dxa"/>
            <w:vMerge w:val="continue"/>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p>
        </w:tc>
        <w:tc>
          <w:tcPr>
            <w:tcW w:w="1172"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超标率（%）</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86" w:type="dxa"/>
            <w:gridSpan w:val="2"/>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hint="eastAsia" w:eastAsiaTheme="minorEastAsia"/>
                <w:color w:val="000000" w:themeColor="text1"/>
                <w:kern w:val="0"/>
                <w:sz w:val="22"/>
                <w:szCs w:val="24"/>
                <w14:textFill>
                  <w14:solidFill>
                    <w14:schemeClr w14:val="tx1"/>
                  </w14:solidFill>
                </w14:textFill>
              </w:rPr>
              <w:t>评价标准</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0.01</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0.005</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0.001</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0.01</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3</w:t>
            </w:r>
          </w:p>
        </w:tc>
        <w:tc>
          <w:tcPr>
            <w:tcW w:w="815"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100</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0.02</w:t>
            </w:r>
          </w:p>
        </w:tc>
        <w:tc>
          <w:tcPr>
            <w:tcW w:w="83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0.05</w:t>
            </w:r>
          </w:p>
        </w:tc>
        <w:tc>
          <w:tcPr>
            <w:tcW w:w="926"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0.2</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10</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700</w:t>
            </w:r>
          </w:p>
        </w:tc>
        <w:tc>
          <w:tcPr>
            <w:tcW w:w="747"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500</w:t>
            </w:r>
          </w:p>
        </w:tc>
        <w:tc>
          <w:tcPr>
            <w:tcW w:w="728" w:type="dxa"/>
            <w:shd w:val="clear" w:color="auto" w:fill="auto"/>
            <w:vAlign w:val="center"/>
          </w:tcPr>
          <w:p>
            <w:pPr>
              <w:spacing w:line="240" w:lineRule="auto"/>
              <w:ind w:firstLine="0" w:firstLineChars="0"/>
              <w:jc w:val="center"/>
              <w:rPr>
                <w:rFonts w:eastAsiaTheme="minorEastAsia"/>
                <w:color w:val="000000" w:themeColor="text1"/>
                <w:kern w:val="0"/>
                <w:sz w:val="22"/>
                <w:szCs w:val="24"/>
                <w14:textFill>
                  <w14:solidFill>
                    <w14:schemeClr w14:val="tx1"/>
                  </w14:solidFill>
                </w14:textFill>
              </w:rPr>
            </w:pPr>
            <w:r>
              <w:rPr>
                <w:rFonts w:eastAsiaTheme="minorEastAsia"/>
                <w:color w:val="000000" w:themeColor="text1"/>
                <w:kern w:val="0"/>
                <w:sz w:val="22"/>
                <w:szCs w:val="24"/>
                <w14:textFill>
                  <w14:solidFill>
                    <w14:schemeClr w14:val="tx1"/>
                  </w14:solidFill>
                </w14:textFill>
              </w:rPr>
              <w:t>20</w:t>
            </w:r>
          </w:p>
        </w:tc>
      </w:tr>
    </w:tbl>
    <w:p>
      <w:pPr>
        <w:ind w:firstLine="520"/>
        <w:rPr>
          <w:color w:val="000000" w:themeColor="text1"/>
          <w14:textFill>
            <w14:solidFill>
              <w14:schemeClr w14:val="tx1"/>
            </w14:solidFill>
          </w14:textFill>
        </w:rPr>
        <w:sectPr>
          <w:pgSz w:w="16838" w:h="11906" w:orient="landscape"/>
          <w:pgMar w:top="1276" w:right="1418" w:bottom="1418" w:left="1418" w:header="851" w:footer="992" w:gutter="0"/>
          <w:cols w:space="425" w:num="1"/>
          <w:docGrid w:type="linesAndChars" w:linePitch="354" w:charSpace="0"/>
        </w:sectPr>
      </w:pP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土壤环境质量</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评价委托监测单位对项目所在厂区内土壤进行了采样监测。监测点位、监测因子、监测时间等见表4</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土壤监测点位信息表</w:t>
      </w:r>
    </w:p>
    <w:tbl>
      <w:tblPr>
        <w:tblStyle w:val="42"/>
        <w:tblW w:w="8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7"/>
        <w:gridCol w:w="3482"/>
        <w:gridCol w:w="771"/>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3227" w:type="dxa"/>
            <w:vAlign w:val="center"/>
          </w:tcPr>
          <w:p>
            <w:pPr>
              <w:adjustRightInd/>
              <w:spacing w:line="240" w:lineRule="auto"/>
              <w:ind w:firstLine="0" w:firstLineChars="0"/>
              <w:jc w:val="center"/>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监测点位</w:t>
            </w:r>
          </w:p>
        </w:tc>
        <w:tc>
          <w:tcPr>
            <w:tcW w:w="3482" w:type="dxa"/>
            <w:vAlign w:val="center"/>
          </w:tcPr>
          <w:p>
            <w:pPr>
              <w:adjustRightInd/>
              <w:spacing w:line="240" w:lineRule="auto"/>
              <w:ind w:firstLine="0" w:firstLineChars="0"/>
              <w:jc w:val="center"/>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监测因子</w:t>
            </w:r>
          </w:p>
        </w:tc>
        <w:tc>
          <w:tcPr>
            <w:tcW w:w="771" w:type="dxa"/>
            <w:vAlign w:val="center"/>
          </w:tcPr>
          <w:p>
            <w:pPr>
              <w:adjustRightInd/>
              <w:spacing w:line="240" w:lineRule="auto"/>
              <w:ind w:firstLine="0" w:firstLineChars="0"/>
              <w:jc w:val="center"/>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监测频次</w:t>
            </w:r>
          </w:p>
        </w:tc>
        <w:tc>
          <w:tcPr>
            <w:tcW w:w="1297" w:type="dxa"/>
            <w:vAlign w:val="center"/>
          </w:tcPr>
          <w:p>
            <w:pPr>
              <w:adjustRightInd/>
              <w:spacing w:line="240" w:lineRule="auto"/>
              <w:ind w:firstLine="0" w:firstLineChars="0"/>
              <w:jc w:val="center"/>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3227" w:type="dxa"/>
            <w:vAlign w:val="center"/>
          </w:tcPr>
          <w:p>
            <w:pPr>
              <w:adjustRightInd/>
              <w:spacing w:line="240" w:lineRule="auto"/>
              <w:ind w:firstLine="0" w:firstLineChars="0"/>
              <w:jc w:val="center"/>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T</w:t>
            </w:r>
            <w:r>
              <w:rPr>
                <w:color w:val="000000" w:themeColor="text1"/>
                <w:sz w:val="21"/>
                <w:szCs w:val="24"/>
                <w14:textFill>
                  <w14:solidFill>
                    <w14:schemeClr w14:val="tx1"/>
                  </w14:solidFill>
                </w14:textFill>
              </w:rPr>
              <w:t>1-</w:t>
            </w:r>
            <w:r>
              <w:rPr>
                <w:rFonts w:hint="eastAsia"/>
                <w:color w:val="000000" w:themeColor="text1"/>
                <w:sz w:val="21"/>
                <w:szCs w:val="24"/>
                <w14:textFill>
                  <w14:solidFill>
                    <w14:schemeClr w14:val="tx1"/>
                  </w14:solidFill>
                </w14:textFill>
              </w:rPr>
              <w:t>循环流化床北侧空地</w:t>
            </w:r>
          </w:p>
        </w:tc>
        <w:tc>
          <w:tcPr>
            <w:tcW w:w="3482" w:type="dxa"/>
            <w:vMerge w:val="restart"/>
            <w:vAlign w:val="center"/>
          </w:tcPr>
          <w:p>
            <w:pPr>
              <w:adjustRightInd/>
              <w:spacing w:line="240" w:lineRule="auto"/>
              <w:ind w:firstLine="0" w:firstLineChars="0"/>
              <w:jc w:val="center"/>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《建设用地土壤污染风险管控标准（试行）》（GB36600-2018）表1基础4</w:t>
            </w:r>
            <w:r>
              <w:rPr>
                <w:color w:val="000000" w:themeColor="text1"/>
                <w:sz w:val="21"/>
                <w:szCs w:val="24"/>
                <w14:textFill>
                  <w14:solidFill>
                    <w14:schemeClr w14:val="tx1"/>
                  </w14:solidFill>
                </w14:textFill>
              </w:rPr>
              <w:t>5</w:t>
            </w:r>
            <w:r>
              <w:rPr>
                <w:rFonts w:hint="eastAsia"/>
                <w:color w:val="000000" w:themeColor="text1"/>
                <w:sz w:val="21"/>
                <w:szCs w:val="24"/>
                <w14:textFill>
                  <w14:solidFill>
                    <w14:schemeClr w14:val="tx1"/>
                  </w14:solidFill>
                </w14:textFill>
              </w:rPr>
              <w:t>项</w:t>
            </w:r>
          </w:p>
        </w:tc>
        <w:tc>
          <w:tcPr>
            <w:tcW w:w="771" w:type="dxa"/>
            <w:vMerge w:val="restart"/>
            <w:vAlign w:val="center"/>
          </w:tcPr>
          <w:p>
            <w:pPr>
              <w:adjustRightInd/>
              <w:spacing w:line="240" w:lineRule="auto"/>
              <w:ind w:firstLine="0" w:firstLineChars="0"/>
              <w:jc w:val="center"/>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1次</w:t>
            </w:r>
          </w:p>
        </w:tc>
        <w:tc>
          <w:tcPr>
            <w:tcW w:w="1297" w:type="dxa"/>
            <w:vMerge w:val="restart"/>
            <w:vAlign w:val="center"/>
          </w:tcPr>
          <w:p>
            <w:pPr>
              <w:adjustRightInd/>
              <w:spacing w:line="240" w:lineRule="auto"/>
              <w:ind w:firstLine="0" w:firstLineChars="0"/>
              <w:jc w:val="center"/>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202</w:t>
            </w:r>
            <w:r>
              <w:rPr>
                <w:color w:val="000000" w:themeColor="text1"/>
                <w:sz w:val="21"/>
                <w:szCs w:val="24"/>
                <w14:textFill>
                  <w14:solidFill>
                    <w14:schemeClr w14:val="tx1"/>
                  </w14:solidFill>
                </w14:textFill>
              </w:rPr>
              <w:t>2</w:t>
            </w:r>
            <w:r>
              <w:rPr>
                <w:rFonts w:hint="eastAsia"/>
                <w:color w:val="000000" w:themeColor="text1"/>
                <w:sz w:val="21"/>
                <w:szCs w:val="24"/>
                <w14:textFill>
                  <w14:solidFill>
                    <w14:schemeClr w14:val="tx1"/>
                  </w14:solidFill>
                </w14:textFill>
              </w:rPr>
              <w:t>年3月</w:t>
            </w:r>
            <w:r>
              <w:rPr>
                <w:color w:val="000000" w:themeColor="text1"/>
                <w:sz w:val="21"/>
                <w:szCs w:val="24"/>
                <w14:textFill>
                  <w14:solidFill>
                    <w14:schemeClr w14:val="tx1"/>
                  </w14:solidFill>
                </w14:textFill>
              </w:rPr>
              <w:t>15</w:t>
            </w:r>
            <w:r>
              <w:rPr>
                <w:rFonts w:hint="eastAsia"/>
                <w:color w:val="000000" w:themeColor="text1"/>
                <w:sz w:val="21"/>
                <w:szCs w:val="24"/>
                <w14:textFill>
                  <w14:solidFill>
                    <w14:schemeClr w14:val="tx1"/>
                  </w14:solidFill>
                </w14:textFill>
              </w:rPr>
              <w:t>日</w:t>
            </w:r>
            <w:r>
              <w:rPr>
                <w:color w:val="000000" w:themeColor="text1"/>
                <w:sz w:val="21"/>
                <w:szCs w:val="24"/>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27" w:type="dxa"/>
            <w:vAlign w:val="center"/>
          </w:tcPr>
          <w:p>
            <w:pPr>
              <w:adjustRightInd/>
              <w:spacing w:line="240" w:lineRule="auto"/>
              <w:ind w:firstLine="0" w:firstLineChars="0"/>
              <w:jc w:val="center"/>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T</w:t>
            </w:r>
            <w:r>
              <w:rPr>
                <w:color w:val="000000" w:themeColor="text1"/>
                <w:sz w:val="21"/>
                <w:szCs w:val="24"/>
                <w14:textFill>
                  <w14:solidFill>
                    <w14:schemeClr w14:val="tx1"/>
                  </w14:solidFill>
                </w14:textFill>
              </w:rPr>
              <w:t>2-</w:t>
            </w:r>
            <w:r>
              <w:rPr>
                <w:rFonts w:hint="eastAsia"/>
                <w:color w:val="000000" w:themeColor="text1"/>
                <w:sz w:val="21"/>
                <w:szCs w:val="24"/>
                <w14:textFill>
                  <w14:solidFill>
                    <w14:schemeClr w14:val="tx1"/>
                  </w14:solidFill>
                </w14:textFill>
              </w:rPr>
              <w:t>循环流化床南侧空地</w:t>
            </w:r>
          </w:p>
        </w:tc>
        <w:tc>
          <w:tcPr>
            <w:tcW w:w="3482" w:type="dxa"/>
            <w:vMerge w:val="continue"/>
            <w:vAlign w:val="center"/>
          </w:tcPr>
          <w:p>
            <w:pPr>
              <w:adjustRightInd/>
              <w:spacing w:line="240" w:lineRule="auto"/>
              <w:ind w:firstLine="0" w:firstLineChars="0"/>
              <w:jc w:val="center"/>
              <w:rPr>
                <w:color w:val="000000" w:themeColor="text1"/>
                <w:sz w:val="21"/>
                <w:szCs w:val="24"/>
                <w14:textFill>
                  <w14:solidFill>
                    <w14:schemeClr w14:val="tx1"/>
                  </w14:solidFill>
                </w14:textFill>
              </w:rPr>
            </w:pPr>
          </w:p>
        </w:tc>
        <w:tc>
          <w:tcPr>
            <w:tcW w:w="771" w:type="dxa"/>
            <w:vMerge w:val="continue"/>
            <w:vAlign w:val="center"/>
          </w:tcPr>
          <w:p>
            <w:pPr>
              <w:adjustRightInd/>
              <w:spacing w:line="240" w:lineRule="auto"/>
              <w:ind w:firstLine="0" w:firstLineChars="0"/>
              <w:jc w:val="center"/>
              <w:rPr>
                <w:color w:val="000000" w:themeColor="text1"/>
                <w:sz w:val="21"/>
                <w:szCs w:val="24"/>
                <w14:textFill>
                  <w14:solidFill>
                    <w14:schemeClr w14:val="tx1"/>
                  </w14:solidFill>
                </w14:textFill>
              </w:rPr>
            </w:pPr>
          </w:p>
        </w:tc>
        <w:tc>
          <w:tcPr>
            <w:tcW w:w="1297" w:type="dxa"/>
            <w:vMerge w:val="continue"/>
            <w:vAlign w:val="center"/>
          </w:tcPr>
          <w:p>
            <w:pPr>
              <w:adjustRightInd/>
              <w:spacing w:line="240" w:lineRule="auto"/>
              <w:ind w:firstLine="0" w:firstLineChars="0"/>
              <w:jc w:val="center"/>
              <w:rPr>
                <w:color w:val="000000" w:themeColor="text1"/>
                <w:sz w:val="2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27" w:type="dxa"/>
            <w:vAlign w:val="center"/>
          </w:tcPr>
          <w:p>
            <w:pPr>
              <w:adjustRightInd/>
              <w:spacing w:line="240" w:lineRule="auto"/>
              <w:ind w:firstLine="0" w:firstLineChars="0"/>
              <w:jc w:val="center"/>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T</w:t>
            </w:r>
            <w:r>
              <w:rPr>
                <w:color w:val="000000" w:themeColor="text1"/>
                <w:sz w:val="21"/>
                <w:szCs w:val="24"/>
                <w14:textFill>
                  <w14:solidFill>
                    <w14:schemeClr w14:val="tx1"/>
                  </w14:solidFill>
                </w14:textFill>
              </w:rPr>
              <w:t>3-</w:t>
            </w:r>
            <w:r>
              <w:rPr>
                <w:rFonts w:hint="eastAsia"/>
                <w:color w:val="000000" w:themeColor="text1"/>
                <w:sz w:val="21"/>
                <w:szCs w:val="24"/>
                <w14:textFill>
                  <w14:solidFill>
                    <w14:schemeClr w14:val="tx1"/>
                  </w14:solidFill>
                </w14:textFill>
              </w:rPr>
              <w:t>循环流化床东南侧空地</w:t>
            </w:r>
          </w:p>
        </w:tc>
        <w:tc>
          <w:tcPr>
            <w:tcW w:w="3482" w:type="dxa"/>
            <w:vMerge w:val="continue"/>
            <w:vAlign w:val="center"/>
          </w:tcPr>
          <w:p>
            <w:pPr>
              <w:adjustRightInd/>
              <w:spacing w:line="240" w:lineRule="auto"/>
              <w:ind w:firstLine="0" w:firstLineChars="0"/>
              <w:jc w:val="center"/>
              <w:rPr>
                <w:color w:val="000000" w:themeColor="text1"/>
                <w:sz w:val="21"/>
                <w:szCs w:val="24"/>
                <w14:textFill>
                  <w14:solidFill>
                    <w14:schemeClr w14:val="tx1"/>
                  </w14:solidFill>
                </w14:textFill>
              </w:rPr>
            </w:pPr>
          </w:p>
        </w:tc>
        <w:tc>
          <w:tcPr>
            <w:tcW w:w="771" w:type="dxa"/>
            <w:vMerge w:val="continue"/>
            <w:vAlign w:val="center"/>
          </w:tcPr>
          <w:p>
            <w:pPr>
              <w:adjustRightInd/>
              <w:spacing w:line="240" w:lineRule="auto"/>
              <w:ind w:firstLine="0" w:firstLineChars="0"/>
              <w:jc w:val="center"/>
              <w:rPr>
                <w:color w:val="000000" w:themeColor="text1"/>
                <w:sz w:val="21"/>
                <w:szCs w:val="24"/>
                <w14:textFill>
                  <w14:solidFill>
                    <w14:schemeClr w14:val="tx1"/>
                  </w14:solidFill>
                </w14:textFill>
              </w:rPr>
            </w:pPr>
          </w:p>
        </w:tc>
        <w:tc>
          <w:tcPr>
            <w:tcW w:w="1297" w:type="dxa"/>
            <w:vMerge w:val="continue"/>
            <w:vAlign w:val="center"/>
          </w:tcPr>
          <w:p>
            <w:pPr>
              <w:adjustRightInd/>
              <w:spacing w:line="240" w:lineRule="auto"/>
              <w:ind w:firstLine="0" w:firstLineChars="0"/>
              <w:jc w:val="center"/>
              <w:rPr>
                <w:color w:val="000000" w:themeColor="text1"/>
                <w:sz w:val="21"/>
                <w:szCs w:val="24"/>
                <w14:textFill>
                  <w14:solidFill>
                    <w14:schemeClr w14:val="tx1"/>
                  </w14:solidFill>
                </w14:textFill>
              </w:rPr>
            </w:pPr>
          </w:p>
        </w:tc>
      </w:tr>
    </w:tbl>
    <w:p>
      <w:pPr>
        <w:pStyle w:val="125"/>
        <w:tabs>
          <w:tab w:val="left" w:pos="4536"/>
        </w:tabs>
        <w:ind w:firstLine="520"/>
        <w:rPr>
          <w:bCs/>
          <w:color w:val="000000" w:themeColor="text1"/>
          <w14:textFill>
            <w14:solidFill>
              <w14:schemeClr w14:val="tx1"/>
            </w14:solidFill>
          </w14:textFill>
        </w:rPr>
      </w:pPr>
      <w:r>
        <w:rPr>
          <w:rFonts w:hint="eastAsia"/>
          <w:color w:val="000000" w:themeColor="text1"/>
          <w14:textFill>
            <w14:solidFill>
              <w14:schemeClr w14:val="tx1"/>
            </w14:solidFill>
          </w14:textFill>
        </w:rPr>
        <w:t>参考《建设用地土壤污染风险管控标准（试行）》（GB36600-2018）二类用地筛选值标准进行评价。监测和评价结果见表。</w:t>
      </w:r>
      <w:r>
        <w:rPr>
          <w:rFonts w:hint="eastAsia"/>
          <w:bCs/>
          <w:color w:val="000000" w:themeColor="text1"/>
          <w14:textFill>
            <w14:solidFill>
              <w14:schemeClr w14:val="tx1"/>
            </w14:solidFill>
          </w14:textFill>
        </w:rPr>
        <w:t>分析可知，龙桥电厂厂区内土壤环境质量现状</w:t>
      </w:r>
      <w:r>
        <w:rPr>
          <w:rFonts w:hint="eastAsia"/>
          <w:color w:val="000000" w:themeColor="text1"/>
          <w14:textFill>
            <w14:solidFill>
              <w14:schemeClr w14:val="tx1"/>
            </w14:solidFill>
          </w14:textFill>
        </w:rPr>
        <w:t>《建设用地土壤污染风险管控标准（试行）》（GB36600-2018）二类用地筛选值标准。</w:t>
      </w:r>
    </w:p>
    <w:p>
      <w:pPr>
        <w:pStyle w:val="39"/>
        <w:rPr>
          <w:color w:val="000000" w:themeColor="text1"/>
          <w:sz w:val="21"/>
          <w:szCs w:val="20"/>
          <w14:textFill>
            <w14:solidFill>
              <w14:schemeClr w14:val="tx1"/>
            </w14:solidFill>
          </w14:textFill>
        </w:rPr>
      </w:pPr>
      <w:r>
        <w:rPr>
          <w:rFonts w:hint="eastAsia"/>
          <w:color w:val="000000" w:themeColor="text1"/>
          <w14:textFill>
            <w14:solidFill>
              <w14:schemeClr w14:val="tx1"/>
            </w14:solidFill>
          </w14:textFill>
        </w:rPr>
        <w:t xml:space="preserve">  </w:t>
      </w:r>
      <w:r>
        <w:rPr>
          <w:rStyle w:val="57"/>
          <w:b/>
          <w:bCs w:val="0"/>
          <w:color w:val="000000" w:themeColor="text1"/>
          <w14:textFill>
            <w14:solidFill>
              <w14:schemeClr w14:val="tx1"/>
            </w14:solidFill>
          </w14:textFill>
        </w:rPr>
        <w:t>土壤环境质量现状监测结果一览表</w:t>
      </w:r>
      <w:r>
        <w:rPr>
          <w:rStyle w:val="57"/>
          <w:rFonts w:hint="eastAsia"/>
          <w:b/>
          <w:bCs w:val="0"/>
          <w:color w:val="000000" w:themeColor="text1"/>
          <w14:textFill>
            <w14:solidFill>
              <w14:schemeClr w14:val="tx1"/>
            </w14:solidFill>
          </w14:textFill>
        </w:rPr>
        <w:t xml:space="preserve">  </w:t>
      </w:r>
      <w:r>
        <w:rPr>
          <w:rStyle w:val="57"/>
          <w:rFonts w:hint="eastAsia"/>
          <w:b/>
          <w:bCs w:val="0"/>
          <w:color w:val="000000" w:themeColor="text1"/>
          <w:sz w:val="21"/>
          <w:szCs w:val="20"/>
          <w14:textFill>
            <w14:solidFill>
              <w14:schemeClr w14:val="tx1"/>
            </w14:solidFill>
          </w14:textFill>
        </w:rPr>
        <w:t>单位mg/kg，pH无量纲</w:t>
      </w:r>
    </w:p>
    <w:tbl>
      <w:tblPr>
        <w:tblStyle w:val="42"/>
        <w:tblpPr w:leftFromText="180" w:rightFromText="180" w:vertAnchor="text" w:tblpY="1"/>
        <w:tblOverlap w:val="never"/>
        <w:tblW w:w="9003"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28" w:type="dxa"/>
          <w:left w:w="108" w:type="dxa"/>
          <w:bottom w:w="28" w:type="dxa"/>
          <w:right w:w="108" w:type="dxa"/>
        </w:tblCellMar>
      </w:tblPr>
      <w:tblGrid>
        <w:gridCol w:w="2012"/>
        <w:gridCol w:w="2031"/>
        <w:gridCol w:w="816"/>
        <w:gridCol w:w="816"/>
        <w:gridCol w:w="815"/>
        <w:gridCol w:w="1257"/>
        <w:gridCol w:w="12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blHeader/>
        </w:trPr>
        <w:tc>
          <w:tcPr>
            <w:tcW w:w="4043" w:type="dxa"/>
            <w:gridSpan w:val="2"/>
            <w:vMerge w:val="restart"/>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检测项目</w:t>
            </w:r>
          </w:p>
        </w:tc>
        <w:tc>
          <w:tcPr>
            <w:tcW w:w="2447" w:type="dxa"/>
            <w:gridSpan w:val="3"/>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结  果</w:t>
            </w:r>
          </w:p>
        </w:tc>
        <w:tc>
          <w:tcPr>
            <w:tcW w:w="1257" w:type="dxa"/>
            <w:vMerge w:val="restart"/>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标准限值</w:t>
            </w:r>
          </w:p>
        </w:tc>
        <w:tc>
          <w:tcPr>
            <w:tcW w:w="1256" w:type="dxa"/>
            <w:vMerge w:val="restart"/>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达标评价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blHeader/>
        </w:trPr>
        <w:tc>
          <w:tcPr>
            <w:tcW w:w="4043" w:type="dxa"/>
            <w:gridSpan w:val="2"/>
            <w:vMerge w:val="continue"/>
            <w:vAlign w:val="center"/>
          </w:tcPr>
          <w:p>
            <w:pPr>
              <w:pStyle w:val="200"/>
              <w:spacing w:line="240" w:lineRule="auto"/>
              <w:rPr>
                <w:color w:val="000000" w:themeColor="text1"/>
                <w14:textFill>
                  <w14:solidFill>
                    <w14:schemeClr w14:val="tx1"/>
                  </w14:solidFill>
                </w14:textFill>
              </w:rPr>
            </w:pPr>
          </w:p>
        </w:tc>
        <w:tc>
          <w:tcPr>
            <w:tcW w:w="816" w:type="dxa"/>
            <w:tcBorders>
              <w:bottom w:val="single" w:color="auto" w:sz="6" w:space="0"/>
            </w:tcBorders>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T</w:t>
            </w:r>
            <w:r>
              <w:rPr>
                <w:color w:val="000000" w:themeColor="text1"/>
                <w14:textFill>
                  <w14:solidFill>
                    <w14:schemeClr w14:val="tx1"/>
                  </w14:solidFill>
                </w14:textFill>
              </w:rPr>
              <w:t>1</w:t>
            </w:r>
          </w:p>
        </w:tc>
        <w:tc>
          <w:tcPr>
            <w:tcW w:w="816" w:type="dxa"/>
            <w:tcBorders>
              <w:bottom w:val="single" w:color="auto" w:sz="6" w:space="0"/>
            </w:tcBorders>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T</w:t>
            </w:r>
            <w:r>
              <w:rPr>
                <w:color w:val="000000" w:themeColor="text1"/>
                <w14:textFill>
                  <w14:solidFill>
                    <w14:schemeClr w14:val="tx1"/>
                  </w14:solidFill>
                </w14:textFill>
              </w:rPr>
              <w:t>2</w:t>
            </w:r>
          </w:p>
        </w:tc>
        <w:tc>
          <w:tcPr>
            <w:tcW w:w="815" w:type="dxa"/>
            <w:tcBorders>
              <w:bottom w:val="single" w:color="auto" w:sz="6" w:space="0"/>
            </w:tcBorders>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T</w:t>
            </w:r>
            <w:r>
              <w:rPr>
                <w:color w:val="000000" w:themeColor="text1"/>
                <w14:textFill>
                  <w14:solidFill>
                    <w14:schemeClr w14:val="tx1"/>
                  </w14:solidFill>
                </w14:textFill>
              </w:rPr>
              <w:t>3</w:t>
            </w:r>
          </w:p>
        </w:tc>
        <w:tc>
          <w:tcPr>
            <w:tcW w:w="1257" w:type="dxa"/>
            <w:vMerge w:val="continue"/>
            <w:vAlign w:val="center"/>
          </w:tcPr>
          <w:p>
            <w:pPr>
              <w:pStyle w:val="200"/>
              <w:spacing w:line="240" w:lineRule="auto"/>
              <w:rPr>
                <w:color w:val="000000" w:themeColor="text1"/>
                <w14:textFill>
                  <w14:solidFill>
                    <w14:schemeClr w14:val="tx1"/>
                  </w14:solidFill>
                </w14:textFill>
              </w:rPr>
            </w:pPr>
          </w:p>
        </w:tc>
        <w:tc>
          <w:tcPr>
            <w:tcW w:w="1256" w:type="dxa"/>
            <w:vMerge w:val="continue"/>
            <w:vAlign w:val="center"/>
          </w:tcPr>
          <w:p>
            <w:pPr>
              <w:pStyle w:val="200"/>
              <w:spacing w:line="240" w:lineRule="auto"/>
              <w:rPr>
                <w:color w:val="000000" w:themeColor="text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4043" w:type="dxa"/>
            <w:gridSpan w:val="2"/>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pH</w:t>
            </w:r>
          </w:p>
        </w:tc>
        <w:tc>
          <w:tcPr>
            <w:tcW w:w="816" w:type="dxa"/>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.46</w:t>
            </w:r>
          </w:p>
        </w:tc>
        <w:tc>
          <w:tcPr>
            <w:tcW w:w="816" w:type="dxa"/>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.27</w:t>
            </w:r>
          </w:p>
        </w:tc>
        <w:tc>
          <w:tcPr>
            <w:tcW w:w="815" w:type="dxa"/>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.66</w:t>
            </w:r>
          </w:p>
        </w:tc>
        <w:tc>
          <w:tcPr>
            <w:tcW w:w="1257" w:type="dxa"/>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56" w:type="dxa"/>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4043" w:type="dxa"/>
            <w:gridSpan w:val="2"/>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镉</w:t>
            </w:r>
          </w:p>
        </w:tc>
        <w:tc>
          <w:tcPr>
            <w:tcW w:w="816" w:type="dxa"/>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.10</w:t>
            </w:r>
          </w:p>
        </w:tc>
        <w:tc>
          <w:tcPr>
            <w:tcW w:w="816" w:type="dxa"/>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.03</w:t>
            </w:r>
          </w:p>
        </w:tc>
        <w:tc>
          <w:tcPr>
            <w:tcW w:w="815" w:type="dxa"/>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.90</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65</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4043" w:type="dxa"/>
            <w:gridSpan w:val="2"/>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汞</w:t>
            </w:r>
          </w:p>
        </w:tc>
        <w:tc>
          <w:tcPr>
            <w:tcW w:w="816" w:type="dxa"/>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.072</w:t>
            </w:r>
          </w:p>
        </w:tc>
        <w:tc>
          <w:tcPr>
            <w:tcW w:w="816" w:type="dxa"/>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.064</w:t>
            </w:r>
          </w:p>
        </w:tc>
        <w:tc>
          <w:tcPr>
            <w:tcW w:w="815" w:type="dxa"/>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.531</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38</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4043" w:type="dxa"/>
            <w:gridSpan w:val="2"/>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砷</w:t>
            </w:r>
          </w:p>
        </w:tc>
        <w:tc>
          <w:tcPr>
            <w:tcW w:w="816" w:type="dxa"/>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.01</w:t>
            </w:r>
          </w:p>
        </w:tc>
        <w:tc>
          <w:tcPr>
            <w:tcW w:w="816" w:type="dxa"/>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.28</w:t>
            </w:r>
          </w:p>
        </w:tc>
        <w:tc>
          <w:tcPr>
            <w:tcW w:w="815" w:type="dxa"/>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.87</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60</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4043" w:type="dxa"/>
            <w:gridSpan w:val="2"/>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六价铬</w:t>
            </w:r>
          </w:p>
        </w:tc>
        <w:tc>
          <w:tcPr>
            <w:tcW w:w="816" w:type="dxa"/>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N</w:t>
            </w:r>
            <w:r>
              <w:rPr>
                <w:color w:val="000000" w:themeColor="text1"/>
                <w14:textFill>
                  <w14:solidFill>
                    <w14:schemeClr w14:val="tx1"/>
                  </w14:solidFill>
                </w14:textFill>
              </w:rPr>
              <w:t>D</w:t>
            </w:r>
          </w:p>
        </w:tc>
        <w:tc>
          <w:tcPr>
            <w:tcW w:w="816" w:type="dxa"/>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N</w:t>
            </w:r>
            <w:r>
              <w:rPr>
                <w:color w:val="000000" w:themeColor="text1"/>
                <w14:textFill>
                  <w14:solidFill>
                    <w14:schemeClr w14:val="tx1"/>
                  </w14:solidFill>
                </w14:textFill>
              </w:rPr>
              <w:t>D</w:t>
            </w:r>
          </w:p>
        </w:tc>
        <w:tc>
          <w:tcPr>
            <w:tcW w:w="815" w:type="dxa"/>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N</w:t>
            </w:r>
            <w:r>
              <w:rPr>
                <w:color w:val="000000" w:themeColor="text1"/>
                <w14:textFill>
                  <w14:solidFill>
                    <w14:schemeClr w14:val="tx1"/>
                  </w14:solidFill>
                </w14:textFill>
              </w:rPr>
              <w:t>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5.7</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4043" w:type="dxa"/>
            <w:gridSpan w:val="2"/>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镍</w:t>
            </w:r>
          </w:p>
        </w:tc>
        <w:tc>
          <w:tcPr>
            <w:tcW w:w="816" w:type="dxa"/>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9.5</w:t>
            </w:r>
          </w:p>
        </w:tc>
        <w:tc>
          <w:tcPr>
            <w:tcW w:w="816" w:type="dxa"/>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7.0</w:t>
            </w:r>
          </w:p>
        </w:tc>
        <w:tc>
          <w:tcPr>
            <w:tcW w:w="815" w:type="dxa"/>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9.1</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900</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4043" w:type="dxa"/>
            <w:gridSpan w:val="2"/>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铜</w:t>
            </w:r>
          </w:p>
        </w:tc>
        <w:tc>
          <w:tcPr>
            <w:tcW w:w="816" w:type="dxa"/>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7.6</w:t>
            </w:r>
          </w:p>
        </w:tc>
        <w:tc>
          <w:tcPr>
            <w:tcW w:w="816" w:type="dxa"/>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1.5</w:t>
            </w:r>
          </w:p>
        </w:tc>
        <w:tc>
          <w:tcPr>
            <w:tcW w:w="815" w:type="dxa"/>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9.9</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18000</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4043" w:type="dxa"/>
            <w:gridSpan w:val="2"/>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铅</w:t>
            </w:r>
          </w:p>
        </w:tc>
        <w:tc>
          <w:tcPr>
            <w:tcW w:w="816" w:type="dxa"/>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6.5</w:t>
            </w:r>
          </w:p>
        </w:tc>
        <w:tc>
          <w:tcPr>
            <w:tcW w:w="816" w:type="dxa"/>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5.9</w:t>
            </w:r>
          </w:p>
        </w:tc>
        <w:tc>
          <w:tcPr>
            <w:tcW w:w="815" w:type="dxa"/>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9.5</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800</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restart"/>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挥发性有机物</w:t>
            </w:r>
          </w:p>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(VOC</w:t>
            </w:r>
            <w:r>
              <w:rPr>
                <w:color w:val="000000" w:themeColor="text1"/>
                <w:vertAlign w:val="subscript"/>
                <w14:textFill>
                  <w14:solidFill>
                    <w14:schemeClr w14:val="tx1"/>
                  </w14:solidFill>
                </w14:textFill>
              </w:rPr>
              <w:t>S</w:t>
            </w:r>
            <w:r>
              <w:rPr>
                <w:color w:val="000000" w:themeColor="text1"/>
                <w14:textFill>
                  <w14:solidFill>
                    <w14:schemeClr w14:val="tx1"/>
                  </w14:solidFill>
                </w14:textFill>
              </w:rPr>
              <w:t>)</w:t>
            </w: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氯甲烷</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37</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氯乙烯</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0.43</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1,1-二氯乙烯</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66</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二氯甲烷</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616</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反-1,2-二氯乙烯</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54</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1,1-二氯乙烷</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9</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顺-1,2-二氯乙烯</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596</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三氯甲烷(氯仿)</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0.9</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1,1,1-三氯乙烷</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840</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四氯化碳</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2.8</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苯</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4</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1,2-二氯乙烷</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5</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三氯乙烯</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2.8</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1,2-二氯丙烷</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5</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甲苯</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1200</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1,1,2-三氯乙烷</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2.8</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四氯乙烯</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53</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氯苯</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270</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1,1,1,2-四氯乙烷</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6.8</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乙苯</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28</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间对-二甲苯</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570</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邻-二甲苯</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640</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苯乙烯</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1290</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1,1,2,2-四氯乙烷</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6.8</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1,2,3-三氯丙烷</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1,4-二氯苯</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1,2-二氯苯</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560</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restart"/>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半挥发性有机物</w:t>
            </w:r>
          </w:p>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(SVOC)</w:t>
            </w: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苯胺</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260</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2-氯酚</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2256</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硝基苯</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76</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萘</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70</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苯并[a]蒽</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䓛</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1293</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苯并[b]荧蒽</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苯并[k]荧蒽</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151</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苯并[a]芘</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256" w:type="dxa"/>
            <w:vAlign w:val="center"/>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茚并[1,2,3-cd]芘</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08" w:type="dxa"/>
            <w:bottom w:w="28" w:type="dxa"/>
            <w:right w:w="108" w:type="dxa"/>
          </w:tblCellMar>
        </w:tblPrEx>
        <w:trPr>
          <w:cantSplit/>
          <w:trHeight w:val="340" w:hRule="atLeast"/>
        </w:trPr>
        <w:tc>
          <w:tcPr>
            <w:tcW w:w="2012" w:type="dxa"/>
            <w:vMerge w:val="continue"/>
            <w:vAlign w:val="center"/>
          </w:tcPr>
          <w:p>
            <w:pPr>
              <w:pStyle w:val="200"/>
              <w:spacing w:line="240" w:lineRule="auto"/>
              <w:rPr>
                <w:color w:val="000000" w:themeColor="text1"/>
                <w14:textFill>
                  <w14:solidFill>
                    <w14:schemeClr w14:val="tx1"/>
                  </w14:solidFill>
                </w14:textFill>
              </w:rPr>
            </w:pPr>
          </w:p>
        </w:tc>
        <w:tc>
          <w:tcPr>
            <w:tcW w:w="2031"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二苯并[a,h]蒽</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6"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815"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257" w:type="dxa"/>
            <w:vAlign w:val="center"/>
          </w:tcPr>
          <w:p>
            <w:pPr>
              <w:pStyle w:val="20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256" w:type="dxa"/>
          </w:tcPr>
          <w:p>
            <w:pPr>
              <w:pStyle w:val="200"/>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bl>
    <w:p>
      <w:pPr>
        <w:ind w:firstLine="520"/>
        <w:rPr>
          <w:color w:val="000000" w:themeColor="text1"/>
          <w:szCs w:val="26"/>
          <w14:textFill>
            <w14:solidFill>
              <w14:schemeClr w14:val="tx1"/>
            </w14:solidFill>
          </w14:textFill>
        </w:rPr>
      </w:pPr>
    </w:p>
    <w:p>
      <w:pPr>
        <w:pStyle w:val="4"/>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声环境质量现状评价</w:t>
      </w:r>
    </w:p>
    <w:p>
      <w:pPr>
        <w:ind w:firstLine="520"/>
        <w:jc w:val="both"/>
        <w:rPr>
          <w:bCs/>
          <w:color w:val="000000" w:themeColor="text1"/>
          <w:szCs w:val="26"/>
          <w14:textFill>
            <w14:solidFill>
              <w14:schemeClr w14:val="tx1"/>
            </w14:solidFill>
          </w14:textFill>
        </w:rPr>
      </w:pPr>
      <w:r>
        <w:rPr>
          <w:rFonts w:hint="eastAsia"/>
          <w:bCs/>
          <w:color w:val="000000" w:themeColor="text1"/>
          <w:szCs w:val="26"/>
          <w14:textFill>
            <w14:solidFill>
              <w14:schemeClr w14:val="tx1"/>
            </w14:solidFill>
          </w14:textFill>
        </w:rPr>
        <w:t>本项目委托监测有限公司对项目所在区域声环境质量进行了监测。</w:t>
      </w:r>
    </w:p>
    <w:p>
      <w:pPr>
        <w:autoSpaceDE w:val="0"/>
        <w:autoSpaceDN w:val="0"/>
        <w:ind w:firstLine="520"/>
        <w:jc w:val="both"/>
        <w:rPr>
          <w:bCs/>
          <w:color w:val="000000" w:themeColor="text1"/>
          <w:szCs w:val="26"/>
          <w14:textFill>
            <w14:solidFill>
              <w14:schemeClr w14:val="tx1"/>
            </w14:solidFill>
          </w14:textFill>
        </w:rPr>
      </w:pPr>
      <w:r>
        <w:rPr>
          <w:rFonts w:hint="eastAsia"/>
          <w:bCs/>
          <w:color w:val="000000" w:themeColor="text1"/>
          <w:szCs w:val="26"/>
          <w14:textFill>
            <w14:solidFill>
              <w14:schemeClr w14:val="tx1"/>
            </w14:solidFill>
          </w14:textFill>
        </w:rPr>
        <w:t>（1）监测点位</w:t>
      </w:r>
    </w:p>
    <w:p>
      <w:pPr>
        <w:ind w:firstLine="520"/>
        <w:jc w:val="both"/>
        <w:rPr>
          <w:bCs/>
          <w:color w:val="000000" w:themeColor="text1"/>
          <w:szCs w:val="26"/>
          <w14:textFill>
            <w14:solidFill>
              <w14:schemeClr w14:val="tx1"/>
            </w14:solidFill>
          </w14:textFill>
        </w:rPr>
      </w:pPr>
      <w:r>
        <w:rPr>
          <w:rFonts w:hint="eastAsia"/>
          <w:bCs/>
          <w:color w:val="000000" w:themeColor="text1"/>
          <w:szCs w:val="26"/>
          <w14:textFill>
            <w14:solidFill>
              <w14:schemeClr w14:val="tx1"/>
            </w14:solidFill>
          </w14:textFill>
        </w:rPr>
        <w:t>设两个点位：</w:t>
      </w:r>
      <w:r>
        <w:rPr>
          <w:bCs/>
          <w:color w:val="000000" w:themeColor="text1"/>
          <w:szCs w:val="26"/>
          <w14:textFill>
            <w14:solidFill>
              <w14:schemeClr w14:val="tx1"/>
            </w14:solidFill>
          </w14:textFill>
        </w:rPr>
        <w:t>C1</w:t>
      </w:r>
      <w:r>
        <w:rPr>
          <w:rFonts w:hint="eastAsia"/>
          <w:bCs/>
          <w:color w:val="000000" w:themeColor="text1"/>
          <w:szCs w:val="26"/>
          <w14:textFill>
            <w14:solidFill>
              <w14:schemeClr w14:val="tx1"/>
            </w14:solidFill>
          </w14:textFill>
        </w:rPr>
        <w:t>位于电厂北侧厂界外空地，</w:t>
      </w:r>
      <w:r>
        <w:rPr>
          <w:bCs/>
          <w:color w:val="000000" w:themeColor="text1"/>
          <w:szCs w:val="26"/>
          <w14:textFill>
            <w14:solidFill>
              <w14:schemeClr w14:val="tx1"/>
            </w14:solidFill>
          </w14:textFill>
        </w:rPr>
        <w:t>C2</w:t>
      </w:r>
      <w:r>
        <w:rPr>
          <w:rFonts w:hint="eastAsia"/>
          <w:bCs/>
          <w:color w:val="000000" w:themeColor="text1"/>
          <w:szCs w:val="26"/>
          <w14:textFill>
            <w14:solidFill>
              <w14:schemeClr w14:val="tx1"/>
            </w14:solidFill>
          </w14:textFill>
        </w:rPr>
        <w:t>位于电厂东侧厂界外空地。</w:t>
      </w:r>
    </w:p>
    <w:p>
      <w:pPr>
        <w:ind w:firstLine="520"/>
        <w:jc w:val="both"/>
        <w:rPr>
          <w:bCs/>
          <w:color w:val="000000" w:themeColor="text1"/>
          <w:szCs w:val="26"/>
          <w14:textFill>
            <w14:solidFill>
              <w14:schemeClr w14:val="tx1"/>
            </w14:solidFill>
          </w14:textFill>
        </w:rPr>
      </w:pPr>
      <w:r>
        <w:rPr>
          <w:rFonts w:hint="eastAsia"/>
          <w:bCs/>
          <w:color w:val="000000" w:themeColor="text1"/>
          <w:szCs w:val="26"/>
          <w14:textFill>
            <w14:solidFill>
              <w14:schemeClr w14:val="tx1"/>
            </w14:solidFill>
          </w14:textFill>
        </w:rPr>
        <w:t>（2）监测频率和时间</w:t>
      </w:r>
    </w:p>
    <w:p>
      <w:pPr>
        <w:ind w:firstLine="520"/>
        <w:jc w:val="both"/>
        <w:rPr>
          <w:bCs/>
          <w:color w:val="000000" w:themeColor="text1"/>
          <w:szCs w:val="26"/>
          <w14:textFill>
            <w14:solidFill>
              <w14:schemeClr w14:val="tx1"/>
            </w14:solidFill>
          </w14:textFill>
        </w:rPr>
      </w:pPr>
      <w:r>
        <w:rPr>
          <w:bCs/>
          <w:color w:val="000000" w:themeColor="text1"/>
          <w:szCs w:val="26"/>
          <w14:textFill>
            <w14:solidFill>
              <w14:schemeClr w14:val="tx1"/>
            </w14:solidFill>
          </w14:textFill>
        </w:rPr>
        <w:t>2022</w:t>
      </w:r>
      <w:r>
        <w:rPr>
          <w:rFonts w:hint="eastAsia"/>
          <w:bCs/>
          <w:color w:val="000000" w:themeColor="text1"/>
          <w:szCs w:val="26"/>
          <w14:textFill>
            <w14:solidFill>
              <w14:schemeClr w14:val="tx1"/>
            </w14:solidFill>
          </w14:textFill>
        </w:rPr>
        <w:t>年3月14日-年3月15日，连续监测2天，每天昼夜各监测1次。</w:t>
      </w:r>
    </w:p>
    <w:p>
      <w:pPr>
        <w:ind w:firstLine="520"/>
        <w:jc w:val="both"/>
        <w:rPr>
          <w:bCs/>
          <w:color w:val="000000" w:themeColor="text1"/>
          <w:szCs w:val="26"/>
          <w14:textFill>
            <w14:solidFill>
              <w14:schemeClr w14:val="tx1"/>
            </w14:solidFill>
          </w14:textFill>
        </w:rPr>
      </w:pPr>
      <w:r>
        <w:rPr>
          <w:rFonts w:hint="eastAsia"/>
          <w:bCs/>
          <w:color w:val="000000" w:themeColor="text1"/>
          <w:szCs w:val="26"/>
          <w14:textFill>
            <w14:solidFill>
              <w14:schemeClr w14:val="tx1"/>
            </w14:solidFill>
          </w14:textFill>
        </w:rPr>
        <w:t>（3）执行标准</w:t>
      </w:r>
    </w:p>
    <w:p>
      <w:pPr>
        <w:ind w:firstLine="520"/>
        <w:jc w:val="both"/>
        <w:rPr>
          <w:bCs/>
          <w:color w:val="000000" w:themeColor="text1"/>
          <w:szCs w:val="26"/>
          <w14:textFill>
            <w14:solidFill>
              <w14:schemeClr w14:val="tx1"/>
            </w14:solidFill>
          </w14:textFill>
        </w:rPr>
      </w:pPr>
      <w:r>
        <w:rPr>
          <w:rFonts w:hint="eastAsia"/>
          <w:bCs/>
          <w:color w:val="000000" w:themeColor="text1"/>
          <w:szCs w:val="26"/>
          <w14:textFill>
            <w14:solidFill>
              <w14:schemeClr w14:val="tx1"/>
            </w14:solidFill>
          </w14:textFill>
        </w:rPr>
        <w:t>执行《声环境质量标准》（GB3096-2008）3类区标准。</w:t>
      </w:r>
    </w:p>
    <w:p>
      <w:pPr>
        <w:ind w:firstLine="520"/>
        <w:jc w:val="both"/>
        <w:rPr>
          <w:bCs/>
          <w:color w:val="000000" w:themeColor="text1"/>
          <w:szCs w:val="26"/>
          <w14:textFill>
            <w14:solidFill>
              <w14:schemeClr w14:val="tx1"/>
            </w14:solidFill>
          </w14:textFill>
        </w:rPr>
      </w:pPr>
      <w:r>
        <w:rPr>
          <w:rFonts w:hint="eastAsia"/>
          <w:bCs/>
          <w:color w:val="000000" w:themeColor="text1"/>
          <w:szCs w:val="26"/>
          <w14:textFill>
            <w14:solidFill>
              <w14:schemeClr w14:val="tx1"/>
            </w14:solidFill>
          </w14:textFill>
        </w:rPr>
        <w:t>（4）评价结果</w:t>
      </w:r>
    </w:p>
    <w:p>
      <w:pPr>
        <w:ind w:firstLine="520"/>
        <w:jc w:val="both"/>
        <w:rPr>
          <w:bCs/>
          <w:color w:val="000000" w:themeColor="text1"/>
          <w:szCs w:val="26"/>
          <w14:textFill>
            <w14:solidFill>
              <w14:schemeClr w14:val="tx1"/>
            </w14:solidFill>
          </w14:textFill>
        </w:rPr>
      </w:pPr>
      <w:r>
        <w:rPr>
          <w:bCs/>
          <w:color w:val="000000" w:themeColor="text1"/>
          <w:szCs w:val="26"/>
          <w14:textFill>
            <w14:solidFill>
              <w14:schemeClr w14:val="tx1"/>
            </w14:solidFill>
          </w14:textFill>
        </w:rPr>
        <w:t>声环境质量现状结果见</w:t>
      </w:r>
      <w:r>
        <w:rPr>
          <w:rFonts w:hint="eastAsia"/>
          <w:bCs/>
          <w:color w:val="000000" w:themeColor="text1"/>
          <w:szCs w:val="26"/>
          <w14:textFill>
            <w14:solidFill>
              <w14:schemeClr w14:val="tx1"/>
            </w14:solidFill>
          </w14:textFill>
        </w:rPr>
        <w:t>表4</w:t>
      </w:r>
      <w:r>
        <w:rPr>
          <w:bCs/>
          <w:color w:val="000000" w:themeColor="text1"/>
          <w:szCs w:val="26"/>
          <w14:textFill>
            <w14:solidFill>
              <w14:schemeClr w14:val="tx1"/>
            </w14:solidFill>
          </w14:textFill>
        </w:rPr>
        <w:t>.2</w:t>
      </w:r>
      <w:r>
        <w:rPr>
          <w:rFonts w:hint="eastAsia"/>
          <w:bCs/>
          <w:color w:val="000000" w:themeColor="text1"/>
          <w:szCs w:val="26"/>
          <w14:textFill>
            <w14:solidFill>
              <w14:schemeClr w14:val="tx1"/>
            </w14:solidFill>
          </w14:textFill>
        </w:rPr>
        <w:t>-</w:t>
      </w:r>
      <w:r>
        <w:rPr>
          <w:bCs/>
          <w:color w:val="000000" w:themeColor="text1"/>
          <w:szCs w:val="26"/>
          <w14:textFill>
            <w14:solidFill>
              <w14:schemeClr w14:val="tx1"/>
            </w14:solidFill>
          </w14:textFill>
        </w:rPr>
        <w:t>11。</w:t>
      </w:r>
      <w:r>
        <w:rPr>
          <w:rFonts w:hint="eastAsia"/>
          <w:bCs/>
          <w:color w:val="000000" w:themeColor="text1"/>
          <w:szCs w:val="26"/>
          <w14:textFill>
            <w14:solidFill>
              <w14:schemeClr w14:val="tx1"/>
            </w14:solidFill>
          </w14:textFill>
        </w:rPr>
        <w:t>可见，项目区域现状噪声昼、夜间监测值均满足</w:t>
      </w:r>
      <w:r>
        <w:rPr>
          <w:bCs/>
          <w:color w:val="000000" w:themeColor="text1"/>
          <w:szCs w:val="26"/>
          <w14:textFill>
            <w14:solidFill>
              <w14:schemeClr w14:val="tx1"/>
            </w14:solidFill>
          </w14:textFill>
        </w:rPr>
        <w:t>GB3096-</w:t>
      </w:r>
      <w:r>
        <w:rPr>
          <w:rFonts w:hint="eastAsia"/>
          <w:bCs/>
          <w:color w:val="000000" w:themeColor="text1"/>
          <w:szCs w:val="26"/>
          <w14:textFill>
            <w14:solidFill>
              <w14:schemeClr w14:val="tx1"/>
            </w14:solidFill>
          </w14:textFill>
        </w:rPr>
        <w:t>2008中3类标准，声环境现状良好。</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声环境质量现状监测结果一览表</w:t>
      </w:r>
      <w:r>
        <w:rPr>
          <w:rFonts w:hint="eastAsia"/>
          <w:color w:val="000000" w:themeColor="text1"/>
          <w14:textFill>
            <w14:solidFill>
              <w14:schemeClr w14:val="tx1"/>
            </w14:solidFill>
          </w14:textFill>
        </w:rPr>
        <w:t xml:space="preserve"> </w:t>
      </w:r>
      <w:r>
        <w:rPr>
          <w:color w:val="000000" w:themeColor="text1"/>
          <w:sz w:val="22"/>
          <w:szCs w:val="22"/>
          <w14:textFill>
            <w14:solidFill>
              <w14:schemeClr w14:val="tx1"/>
            </w14:solidFill>
          </w14:textFill>
        </w:rPr>
        <w:t>单位：dB(A)</w:t>
      </w:r>
    </w:p>
    <w:tbl>
      <w:tblPr>
        <w:tblStyle w:val="42"/>
        <w:tblW w:w="87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1659"/>
        <w:gridCol w:w="830"/>
        <w:gridCol w:w="829"/>
        <w:gridCol w:w="830"/>
        <w:gridCol w:w="692"/>
        <w:gridCol w:w="829"/>
        <w:gridCol w:w="692"/>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1226" w:type="dxa"/>
            <w:vMerge w:val="restart"/>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监测时间</w:t>
            </w:r>
          </w:p>
        </w:tc>
        <w:tc>
          <w:tcPr>
            <w:tcW w:w="1659" w:type="dxa"/>
            <w:vMerge w:val="restart"/>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监测点位</w:t>
            </w:r>
          </w:p>
        </w:tc>
        <w:tc>
          <w:tcPr>
            <w:tcW w:w="1659" w:type="dxa"/>
            <w:gridSpan w:val="2"/>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监测值</w:t>
            </w:r>
          </w:p>
        </w:tc>
        <w:tc>
          <w:tcPr>
            <w:tcW w:w="1522" w:type="dxa"/>
            <w:gridSpan w:val="2"/>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达标情况</w:t>
            </w:r>
          </w:p>
        </w:tc>
        <w:tc>
          <w:tcPr>
            <w:tcW w:w="1521" w:type="dxa"/>
            <w:gridSpan w:val="2"/>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标准值</w:t>
            </w:r>
          </w:p>
        </w:tc>
        <w:tc>
          <w:tcPr>
            <w:tcW w:w="1190" w:type="dxa"/>
            <w:vMerge w:val="restart"/>
            <w:vAlign w:val="center"/>
          </w:tcPr>
          <w:p>
            <w:pPr>
              <w:pStyle w:val="200"/>
              <w:rPr>
                <w:color w:val="000000" w:themeColor="text1"/>
                <w:highlight w:val="red"/>
                <w14:textFill>
                  <w14:solidFill>
                    <w14:schemeClr w14:val="tx1"/>
                  </w14:solidFill>
                </w14:textFill>
              </w:rPr>
            </w:pPr>
            <w:r>
              <w:rPr>
                <w:color w:val="000000" w:themeColor="text1"/>
                <w14:textFill>
                  <w14:solidFill>
                    <w14:schemeClr w14:val="tx1"/>
                  </w14:solidFill>
                </w14:textFill>
              </w:rPr>
              <w:t>主要声源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1226" w:type="dxa"/>
            <w:vMerge w:val="continue"/>
            <w:vAlign w:val="center"/>
          </w:tcPr>
          <w:p>
            <w:pPr>
              <w:pStyle w:val="200"/>
              <w:rPr>
                <w:color w:val="000000" w:themeColor="text1"/>
                <w14:textFill>
                  <w14:solidFill>
                    <w14:schemeClr w14:val="tx1"/>
                  </w14:solidFill>
                </w14:textFill>
              </w:rPr>
            </w:pPr>
          </w:p>
        </w:tc>
        <w:tc>
          <w:tcPr>
            <w:tcW w:w="1659" w:type="dxa"/>
            <w:vMerge w:val="continue"/>
            <w:vAlign w:val="center"/>
          </w:tcPr>
          <w:p>
            <w:pPr>
              <w:pStyle w:val="200"/>
              <w:rPr>
                <w:color w:val="000000" w:themeColor="text1"/>
                <w14:textFill>
                  <w14:solidFill>
                    <w14:schemeClr w14:val="tx1"/>
                  </w14:solidFill>
                </w14:textFill>
              </w:rPr>
            </w:pPr>
          </w:p>
        </w:tc>
        <w:tc>
          <w:tcPr>
            <w:tcW w:w="830" w:type="dxa"/>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829" w:type="dxa"/>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夜间</w:t>
            </w:r>
          </w:p>
        </w:tc>
        <w:tc>
          <w:tcPr>
            <w:tcW w:w="830" w:type="dxa"/>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692" w:type="dxa"/>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夜间</w:t>
            </w:r>
          </w:p>
        </w:tc>
        <w:tc>
          <w:tcPr>
            <w:tcW w:w="829" w:type="dxa"/>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692" w:type="dxa"/>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夜间</w:t>
            </w:r>
          </w:p>
        </w:tc>
        <w:tc>
          <w:tcPr>
            <w:tcW w:w="1190" w:type="dxa"/>
            <w:vMerge w:val="continue"/>
            <w:vAlign w:val="center"/>
          </w:tcPr>
          <w:p>
            <w:pPr>
              <w:pStyle w:val="200"/>
              <w:rPr>
                <w:color w:val="000000" w:themeColor="text1"/>
                <w:highlight w:val="red"/>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26" w:type="dxa"/>
            <w:vMerge w:val="restart"/>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2022.03.14</w:t>
            </w:r>
          </w:p>
          <w:p>
            <w:pPr>
              <w:pStyle w:val="200"/>
              <w:rPr>
                <w:color w:val="000000" w:themeColor="text1"/>
                <w14:textFill>
                  <w14:solidFill>
                    <w14:schemeClr w14:val="tx1"/>
                  </w14:solidFill>
                </w14:textFill>
              </w:rPr>
            </w:pPr>
          </w:p>
        </w:tc>
        <w:tc>
          <w:tcPr>
            <w:tcW w:w="1659" w:type="dxa"/>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C1北侧厂界</w:t>
            </w:r>
          </w:p>
        </w:tc>
        <w:tc>
          <w:tcPr>
            <w:tcW w:w="830" w:type="dxa"/>
            <w:vAlign w:val="center"/>
          </w:tcPr>
          <w:p>
            <w:pPr>
              <w:pStyle w:val="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56</w:t>
            </w:r>
          </w:p>
        </w:tc>
        <w:tc>
          <w:tcPr>
            <w:tcW w:w="829" w:type="dxa"/>
            <w:vAlign w:val="center"/>
          </w:tcPr>
          <w:p>
            <w:pPr>
              <w:pStyle w:val="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53</w:t>
            </w:r>
          </w:p>
        </w:tc>
        <w:tc>
          <w:tcPr>
            <w:tcW w:w="830" w:type="dxa"/>
            <w:vAlign w:val="center"/>
          </w:tcPr>
          <w:p>
            <w:pPr>
              <w:pStyle w:val="200"/>
              <w:rPr>
                <w:color w:val="000000" w:themeColor="text1"/>
                <w:szCs w:val="22"/>
                <w14:textFill>
                  <w14:solidFill>
                    <w14:schemeClr w14:val="tx1"/>
                  </w14:solidFill>
                </w14:textFill>
              </w:rPr>
            </w:pPr>
            <w:r>
              <w:rPr>
                <w:color w:val="000000" w:themeColor="text1"/>
                <w:szCs w:val="22"/>
                <w14:textFill>
                  <w14:solidFill>
                    <w14:schemeClr w14:val="tx1"/>
                  </w14:solidFill>
                </w14:textFill>
              </w:rPr>
              <w:t>达标</w:t>
            </w:r>
          </w:p>
        </w:tc>
        <w:tc>
          <w:tcPr>
            <w:tcW w:w="692" w:type="dxa"/>
            <w:vAlign w:val="center"/>
          </w:tcPr>
          <w:p>
            <w:pPr>
              <w:pStyle w:val="200"/>
              <w:rPr>
                <w:color w:val="000000" w:themeColor="text1"/>
                <w:szCs w:val="22"/>
                <w14:textFill>
                  <w14:solidFill>
                    <w14:schemeClr w14:val="tx1"/>
                  </w14:solidFill>
                </w14:textFill>
              </w:rPr>
            </w:pPr>
            <w:r>
              <w:rPr>
                <w:color w:val="000000" w:themeColor="text1"/>
                <w:szCs w:val="22"/>
                <w14:textFill>
                  <w14:solidFill>
                    <w14:schemeClr w14:val="tx1"/>
                  </w14:solidFill>
                </w14:textFill>
              </w:rPr>
              <w:t>达标</w:t>
            </w:r>
          </w:p>
        </w:tc>
        <w:tc>
          <w:tcPr>
            <w:tcW w:w="829" w:type="dxa"/>
            <w:vAlign w:val="center"/>
          </w:tcPr>
          <w:p>
            <w:pPr>
              <w:pStyle w:val="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65</w:t>
            </w:r>
          </w:p>
        </w:tc>
        <w:tc>
          <w:tcPr>
            <w:tcW w:w="692" w:type="dxa"/>
            <w:vAlign w:val="center"/>
          </w:tcPr>
          <w:p>
            <w:pPr>
              <w:pStyle w:val="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55</w:t>
            </w:r>
          </w:p>
        </w:tc>
        <w:tc>
          <w:tcPr>
            <w:tcW w:w="1190" w:type="dxa"/>
            <w:vMerge w:val="restart"/>
            <w:vAlign w:val="center"/>
          </w:tcPr>
          <w:p>
            <w:pPr>
              <w:pStyle w:val="200"/>
              <w:rPr>
                <w:color w:val="000000" w:themeColor="text1"/>
                <w14:textFill>
                  <w14:solidFill>
                    <w14:schemeClr w14:val="tx1"/>
                  </w14:solidFill>
                </w14:textFill>
              </w:rPr>
            </w:pPr>
            <w:r>
              <w:rPr>
                <w:color w:val="000000" w:themeColor="text1"/>
                <w:szCs w:val="22"/>
                <w14:textFill>
                  <w14:solidFill>
                    <w14:schemeClr w14:val="tx1"/>
                  </w14:solidFill>
                </w14:textFill>
              </w:rPr>
              <w:t>工业噪声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26" w:type="dxa"/>
            <w:vMerge w:val="continue"/>
            <w:vAlign w:val="center"/>
          </w:tcPr>
          <w:p>
            <w:pPr>
              <w:pStyle w:val="200"/>
              <w:rPr>
                <w:color w:val="000000" w:themeColor="text1"/>
                <w:szCs w:val="22"/>
                <w14:textFill>
                  <w14:solidFill>
                    <w14:schemeClr w14:val="tx1"/>
                  </w14:solidFill>
                </w14:textFill>
              </w:rPr>
            </w:pPr>
          </w:p>
        </w:tc>
        <w:tc>
          <w:tcPr>
            <w:tcW w:w="1659" w:type="dxa"/>
            <w:vAlign w:val="center"/>
          </w:tcPr>
          <w:p>
            <w:pPr>
              <w:pStyle w:val="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C2东侧厂界</w:t>
            </w:r>
          </w:p>
        </w:tc>
        <w:tc>
          <w:tcPr>
            <w:tcW w:w="830" w:type="dxa"/>
            <w:vAlign w:val="center"/>
          </w:tcPr>
          <w:p>
            <w:pPr>
              <w:pStyle w:val="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53</w:t>
            </w:r>
          </w:p>
        </w:tc>
        <w:tc>
          <w:tcPr>
            <w:tcW w:w="829" w:type="dxa"/>
            <w:vAlign w:val="center"/>
          </w:tcPr>
          <w:p>
            <w:pPr>
              <w:pStyle w:val="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51</w:t>
            </w:r>
          </w:p>
        </w:tc>
        <w:tc>
          <w:tcPr>
            <w:tcW w:w="830" w:type="dxa"/>
            <w:vAlign w:val="center"/>
          </w:tcPr>
          <w:p>
            <w:pPr>
              <w:pStyle w:val="200"/>
              <w:rPr>
                <w:color w:val="000000" w:themeColor="text1"/>
                <w:szCs w:val="22"/>
                <w14:textFill>
                  <w14:solidFill>
                    <w14:schemeClr w14:val="tx1"/>
                  </w14:solidFill>
                </w14:textFill>
              </w:rPr>
            </w:pPr>
            <w:r>
              <w:rPr>
                <w:color w:val="000000" w:themeColor="text1"/>
                <w:szCs w:val="22"/>
                <w14:textFill>
                  <w14:solidFill>
                    <w14:schemeClr w14:val="tx1"/>
                  </w14:solidFill>
                </w14:textFill>
              </w:rPr>
              <w:t>达标</w:t>
            </w:r>
          </w:p>
        </w:tc>
        <w:tc>
          <w:tcPr>
            <w:tcW w:w="692" w:type="dxa"/>
            <w:vAlign w:val="center"/>
          </w:tcPr>
          <w:p>
            <w:pPr>
              <w:pStyle w:val="200"/>
              <w:rPr>
                <w:color w:val="000000" w:themeColor="text1"/>
                <w:szCs w:val="22"/>
                <w14:textFill>
                  <w14:solidFill>
                    <w14:schemeClr w14:val="tx1"/>
                  </w14:solidFill>
                </w14:textFill>
              </w:rPr>
            </w:pPr>
            <w:r>
              <w:rPr>
                <w:color w:val="000000" w:themeColor="text1"/>
                <w:szCs w:val="22"/>
                <w14:textFill>
                  <w14:solidFill>
                    <w14:schemeClr w14:val="tx1"/>
                  </w14:solidFill>
                </w14:textFill>
              </w:rPr>
              <w:t>达标</w:t>
            </w:r>
          </w:p>
        </w:tc>
        <w:tc>
          <w:tcPr>
            <w:tcW w:w="829" w:type="dxa"/>
            <w:vAlign w:val="center"/>
          </w:tcPr>
          <w:p>
            <w:pPr>
              <w:pStyle w:val="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65</w:t>
            </w:r>
          </w:p>
        </w:tc>
        <w:tc>
          <w:tcPr>
            <w:tcW w:w="692" w:type="dxa"/>
            <w:vAlign w:val="center"/>
          </w:tcPr>
          <w:p>
            <w:pPr>
              <w:pStyle w:val="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55</w:t>
            </w:r>
          </w:p>
        </w:tc>
        <w:tc>
          <w:tcPr>
            <w:tcW w:w="1190" w:type="dxa"/>
            <w:vMerge w:val="continue"/>
            <w:vAlign w:val="center"/>
          </w:tcPr>
          <w:p>
            <w:pPr>
              <w:pStyle w:val="200"/>
              <w:rPr>
                <w:color w:val="000000" w:themeColor="text1"/>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26" w:type="dxa"/>
            <w:vMerge w:val="restart"/>
            <w:vAlign w:val="center"/>
          </w:tcPr>
          <w:p>
            <w:pPr>
              <w:pStyle w:val="200"/>
              <w:rPr>
                <w:color w:val="000000" w:themeColor="text1"/>
                <w:szCs w:val="22"/>
                <w14:textFill>
                  <w14:solidFill>
                    <w14:schemeClr w14:val="tx1"/>
                  </w14:solidFill>
                </w14:textFill>
              </w:rPr>
            </w:pPr>
            <w:r>
              <w:rPr>
                <w:color w:val="000000" w:themeColor="text1"/>
                <w14:textFill>
                  <w14:solidFill>
                    <w14:schemeClr w14:val="tx1"/>
                  </w14:solidFill>
                </w14:textFill>
              </w:rPr>
              <w:t>2022.03.15</w:t>
            </w:r>
          </w:p>
        </w:tc>
        <w:tc>
          <w:tcPr>
            <w:tcW w:w="1659" w:type="dxa"/>
            <w:vAlign w:val="center"/>
          </w:tcPr>
          <w:p>
            <w:pPr>
              <w:pStyle w:val="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C1北侧厂界</w:t>
            </w:r>
          </w:p>
        </w:tc>
        <w:tc>
          <w:tcPr>
            <w:tcW w:w="830" w:type="dxa"/>
            <w:vAlign w:val="center"/>
          </w:tcPr>
          <w:p>
            <w:pPr>
              <w:pStyle w:val="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56</w:t>
            </w:r>
          </w:p>
        </w:tc>
        <w:tc>
          <w:tcPr>
            <w:tcW w:w="829" w:type="dxa"/>
            <w:vAlign w:val="center"/>
          </w:tcPr>
          <w:p>
            <w:pPr>
              <w:pStyle w:val="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53</w:t>
            </w:r>
          </w:p>
        </w:tc>
        <w:tc>
          <w:tcPr>
            <w:tcW w:w="830" w:type="dxa"/>
            <w:vAlign w:val="center"/>
          </w:tcPr>
          <w:p>
            <w:pPr>
              <w:pStyle w:val="200"/>
              <w:rPr>
                <w:color w:val="000000" w:themeColor="text1"/>
                <w:szCs w:val="22"/>
                <w14:textFill>
                  <w14:solidFill>
                    <w14:schemeClr w14:val="tx1"/>
                  </w14:solidFill>
                </w14:textFill>
              </w:rPr>
            </w:pPr>
            <w:r>
              <w:rPr>
                <w:color w:val="000000" w:themeColor="text1"/>
                <w:szCs w:val="22"/>
                <w14:textFill>
                  <w14:solidFill>
                    <w14:schemeClr w14:val="tx1"/>
                  </w14:solidFill>
                </w14:textFill>
              </w:rPr>
              <w:t>达标</w:t>
            </w:r>
          </w:p>
        </w:tc>
        <w:tc>
          <w:tcPr>
            <w:tcW w:w="692" w:type="dxa"/>
            <w:vAlign w:val="center"/>
          </w:tcPr>
          <w:p>
            <w:pPr>
              <w:pStyle w:val="200"/>
              <w:rPr>
                <w:color w:val="000000" w:themeColor="text1"/>
                <w:szCs w:val="22"/>
                <w14:textFill>
                  <w14:solidFill>
                    <w14:schemeClr w14:val="tx1"/>
                  </w14:solidFill>
                </w14:textFill>
              </w:rPr>
            </w:pPr>
            <w:r>
              <w:rPr>
                <w:color w:val="000000" w:themeColor="text1"/>
                <w:szCs w:val="22"/>
                <w14:textFill>
                  <w14:solidFill>
                    <w14:schemeClr w14:val="tx1"/>
                  </w14:solidFill>
                </w14:textFill>
              </w:rPr>
              <w:t>达标</w:t>
            </w:r>
          </w:p>
        </w:tc>
        <w:tc>
          <w:tcPr>
            <w:tcW w:w="829" w:type="dxa"/>
            <w:vAlign w:val="center"/>
          </w:tcPr>
          <w:p>
            <w:pPr>
              <w:pStyle w:val="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65</w:t>
            </w:r>
          </w:p>
        </w:tc>
        <w:tc>
          <w:tcPr>
            <w:tcW w:w="692" w:type="dxa"/>
            <w:vAlign w:val="center"/>
          </w:tcPr>
          <w:p>
            <w:pPr>
              <w:pStyle w:val="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55</w:t>
            </w:r>
          </w:p>
        </w:tc>
        <w:tc>
          <w:tcPr>
            <w:tcW w:w="1190" w:type="dxa"/>
            <w:vMerge w:val="restart"/>
            <w:vAlign w:val="center"/>
          </w:tcPr>
          <w:p>
            <w:pPr>
              <w:pStyle w:val="200"/>
              <w:rPr>
                <w:color w:val="000000" w:themeColor="text1"/>
                <w:szCs w:val="22"/>
                <w14:textFill>
                  <w14:solidFill>
                    <w14:schemeClr w14:val="tx1"/>
                  </w14:solidFill>
                </w14:textFill>
              </w:rPr>
            </w:pPr>
            <w:r>
              <w:rPr>
                <w:color w:val="000000" w:themeColor="text1"/>
                <w:szCs w:val="22"/>
                <w14:textFill>
                  <w14:solidFill>
                    <w14:schemeClr w14:val="tx1"/>
                  </w14:solidFill>
                </w14:textFill>
              </w:rPr>
              <w:t>工业噪声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26" w:type="dxa"/>
            <w:vMerge w:val="continue"/>
            <w:vAlign w:val="center"/>
          </w:tcPr>
          <w:p>
            <w:pPr>
              <w:pStyle w:val="200"/>
              <w:rPr>
                <w:color w:val="000000" w:themeColor="text1"/>
                <w:sz w:val="21"/>
                <w14:textFill>
                  <w14:solidFill>
                    <w14:schemeClr w14:val="tx1"/>
                  </w14:solidFill>
                </w14:textFill>
              </w:rPr>
            </w:pPr>
          </w:p>
        </w:tc>
        <w:tc>
          <w:tcPr>
            <w:tcW w:w="1659" w:type="dxa"/>
            <w:vAlign w:val="center"/>
          </w:tcPr>
          <w:p>
            <w:pPr>
              <w:pStyle w:val="200"/>
              <w:rPr>
                <w:color w:val="000000" w:themeColor="text1"/>
                <w:sz w:val="21"/>
                <w14:textFill>
                  <w14:solidFill>
                    <w14:schemeClr w14:val="tx1"/>
                  </w14:solidFill>
                </w14:textFill>
              </w:rPr>
            </w:pPr>
            <w:r>
              <w:rPr>
                <w:rFonts w:hint="eastAsia"/>
                <w:color w:val="000000" w:themeColor="text1"/>
                <w14:textFill>
                  <w14:solidFill>
                    <w14:schemeClr w14:val="tx1"/>
                  </w14:solidFill>
                </w14:textFill>
              </w:rPr>
              <w:t>C2东侧厂界</w:t>
            </w:r>
          </w:p>
        </w:tc>
        <w:tc>
          <w:tcPr>
            <w:tcW w:w="830" w:type="dxa"/>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52</w:t>
            </w:r>
          </w:p>
        </w:tc>
        <w:tc>
          <w:tcPr>
            <w:tcW w:w="829" w:type="dxa"/>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830" w:type="dxa"/>
            <w:vAlign w:val="center"/>
          </w:tcPr>
          <w:p>
            <w:pPr>
              <w:pStyle w:val="200"/>
              <w:rPr>
                <w:color w:val="000000" w:themeColor="text1"/>
                <w:sz w:val="24"/>
                <w14:textFill>
                  <w14:solidFill>
                    <w14:schemeClr w14:val="tx1"/>
                  </w14:solidFill>
                </w14:textFill>
              </w:rPr>
            </w:pPr>
            <w:r>
              <w:rPr>
                <w:color w:val="000000" w:themeColor="text1"/>
                <w14:textFill>
                  <w14:solidFill>
                    <w14:schemeClr w14:val="tx1"/>
                  </w14:solidFill>
                </w14:textFill>
              </w:rPr>
              <w:t>达标</w:t>
            </w:r>
          </w:p>
        </w:tc>
        <w:tc>
          <w:tcPr>
            <w:tcW w:w="692" w:type="dxa"/>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829" w:type="dxa"/>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692" w:type="dxa"/>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1190" w:type="dxa"/>
            <w:vMerge w:val="continue"/>
            <w:vAlign w:val="center"/>
          </w:tcPr>
          <w:p>
            <w:pPr>
              <w:pStyle w:val="200"/>
              <w:rPr>
                <w:color w:val="000000" w:themeColor="text1"/>
                <w:sz w:val="21"/>
                <w14:textFill>
                  <w14:solidFill>
                    <w14:schemeClr w14:val="tx1"/>
                  </w14:solidFill>
                </w14:textFill>
              </w:rPr>
            </w:pPr>
          </w:p>
        </w:tc>
      </w:tr>
      <w:bookmarkEnd w:id="104"/>
    </w:tbl>
    <w:p>
      <w:pPr>
        <w:pStyle w:val="3"/>
        <w:jc w:val="both"/>
      </w:pPr>
      <w:bookmarkStart w:id="113" w:name="_Toc109888260"/>
      <w:r>
        <w:rPr>
          <w:rFonts w:hint="eastAsia"/>
        </w:rPr>
        <w:t>项目所在园区建设情况</w:t>
      </w:r>
      <w:bookmarkEnd w:id="113"/>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重庆涪陵工业园区包括龙桥、清溪和李渡三个组团，其中涪陵工业园区龙桥组团成立于2007年，2</w:t>
      </w:r>
      <w:r>
        <w:rPr>
          <w:color w:val="000000" w:themeColor="text1"/>
          <w14:textFill>
            <w14:solidFill>
              <w14:schemeClr w14:val="tx1"/>
            </w14:solidFill>
          </w14:textFill>
        </w:rPr>
        <w:t>008</w:t>
      </w:r>
      <w:r>
        <w:rPr>
          <w:rFonts w:hint="eastAsia"/>
          <w:color w:val="000000" w:themeColor="text1"/>
          <w14:textFill>
            <w14:solidFill>
              <w14:schemeClr w14:val="tx1"/>
            </w14:solidFill>
          </w14:textFill>
        </w:rPr>
        <w:t>年龙桥工业园区管委会组织编制了《重庆市涪陵龙桥工业园区规划（2008-2020）》，规划由南岸浦片区、石塔片区和石沱片区组成，面积10.465km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，南岸浦片区产业定位为化工、石油化纤纺织，石塔片区产业定位为PTA下游产业、天然气化工和与园区产业链相关的化学工业，石沱片区产业定位为原油加工及石油制品制造、机械制造。2</w:t>
      </w:r>
      <w:r>
        <w:rPr>
          <w:color w:val="000000" w:themeColor="text1"/>
          <w14:textFill>
            <w14:solidFill>
              <w14:schemeClr w14:val="tx1"/>
            </w14:solidFill>
          </w14:textFill>
        </w:rPr>
        <w:t>009</w:t>
      </w:r>
      <w:r>
        <w:rPr>
          <w:rFonts w:hint="eastAsia"/>
          <w:color w:val="000000" w:themeColor="text1"/>
          <w14:textFill>
            <w14:solidFill>
              <w14:schemeClr w14:val="tx1"/>
            </w14:solidFill>
          </w14:textFill>
        </w:rPr>
        <w:t>年开展了规划环评，原重庆市环境保护局出具了《关于重庆龙桥工业园区环境影响报告书审查意见的函》（渝环函〔2009〕322号）。</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2009年后，龙桥工业园区陆续推进了太极集团退城入园、涪陵化工整体搬迁、石沱片区拓展为新石片区等工作，龙桥组团总面积扩至15.2622km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南岸浦片区规划产业定位为化纤纺织，龙头港片区（含石塔和苏家湾两部分）产业定位为仓储物流和临港加工贸易，新石片区（含石沱和新妙两部分）产业定位为石油制品、装备制造和电子信息，太极退城入园产业定位为医药制造。龙桥工业园区管委会于2017年编制了《重庆涪陵工业园区龙桥组团规划环境影响报告书》，原重庆市环境保护局出具了</w:t>
      </w:r>
      <w:bookmarkStart w:id="114" w:name="_Hlk50106330"/>
      <w:r>
        <w:rPr>
          <w:rFonts w:hint="eastAsia"/>
          <w:color w:val="000000" w:themeColor="text1"/>
          <w14:textFill>
            <w14:solidFill>
              <w14:schemeClr w14:val="tx1"/>
            </w14:solidFill>
          </w14:textFill>
        </w:rPr>
        <w:t>《关于重庆涪陵工业园区龙桥组团规划环境影响报告书审查意见的函》（渝环函〔2017〕593号）</w:t>
      </w:r>
      <w:bookmarkEnd w:id="114"/>
      <w:r>
        <w:rPr>
          <w:rFonts w:hint="eastAsia"/>
          <w:color w:val="000000" w:themeColor="text1"/>
          <w14:textFill>
            <w14:solidFill>
              <w14:schemeClr w14:val="tx1"/>
            </w14:solidFill>
          </w14:textFill>
        </w:rPr>
        <w:t>。</w:t>
      </w:r>
    </w:p>
    <w:p>
      <w:pPr>
        <w:ind w:firstLine="520"/>
        <w:jc w:val="both"/>
        <w:rPr>
          <w:color w:val="000000" w:themeColor="text1"/>
          <w14:textFill>
            <w14:solidFill>
              <w14:schemeClr w14:val="tx1"/>
            </w14:solidFill>
          </w14:textFill>
        </w:rPr>
      </w:pPr>
      <w:r>
        <w:rPr>
          <w:color w:val="000000" w:themeColor="text1"/>
          <w14:textFill>
            <w14:solidFill>
              <w14:schemeClr w14:val="tx1"/>
            </w14:solidFill>
          </w14:textFill>
        </w:rPr>
        <w:t>龙桥热电厂</w:t>
      </w:r>
      <w:r>
        <w:rPr>
          <w:rFonts w:hint="eastAsia"/>
          <w:color w:val="000000" w:themeColor="text1"/>
          <w14:textFill>
            <w14:solidFill>
              <w14:schemeClr w14:val="tx1"/>
            </w14:solidFill>
          </w14:textFill>
        </w:rPr>
        <w:t>于</w:t>
      </w:r>
      <w:r>
        <w:rPr>
          <w:color w:val="000000" w:themeColor="text1"/>
          <w14:textFill>
            <w14:solidFill>
              <w14:schemeClr w14:val="tx1"/>
            </w14:solidFill>
          </w14:textFill>
        </w:rPr>
        <w:t xml:space="preserve"> 2011 年 12 月 9 日</w:t>
      </w:r>
      <w:r>
        <w:rPr>
          <w:rFonts w:hint="eastAsia"/>
          <w:color w:val="000000" w:themeColor="text1"/>
          <w14:textFill>
            <w14:solidFill>
              <w14:schemeClr w14:val="tx1"/>
            </w14:solidFill>
          </w14:textFill>
        </w:rPr>
        <w:t>入驻龙桥组团南岸浦片区。至20</w:t>
      </w:r>
      <w:r>
        <w:rPr>
          <w:color w:val="000000" w:themeColor="text1"/>
          <w14:textFill>
            <w14:solidFill>
              <w14:schemeClr w14:val="tx1"/>
            </w14:solidFill>
          </w14:textFill>
        </w:rPr>
        <w:t>19</w:t>
      </w:r>
      <w:r>
        <w:rPr>
          <w:rFonts w:hint="eastAsia"/>
          <w:color w:val="000000" w:themeColor="text1"/>
          <w14:textFill>
            <w14:solidFill>
              <w14:schemeClr w14:val="tx1"/>
            </w14:solidFill>
          </w14:textFill>
        </w:rPr>
        <w:t>年底，</w:t>
      </w:r>
      <w:bookmarkStart w:id="115" w:name="_Hlk68358099"/>
      <w:r>
        <w:rPr>
          <w:rFonts w:hint="eastAsia"/>
          <w:color w:val="000000" w:themeColor="text1"/>
          <w14:textFill>
            <w14:solidFill>
              <w14:schemeClr w14:val="tx1"/>
            </w14:solidFill>
          </w14:textFill>
        </w:rPr>
        <w:t>重庆涪陵工业园区龙桥组团</w:t>
      </w:r>
      <w:bookmarkEnd w:id="115"/>
      <w:r>
        <w:rPr>
          <w:rFonts w:hint="eastAsia"/>
          <w:color w:val="000000" w:themeColor="text1"/>
          <w14:textFill>
            <w14:solidFill>
              <w14:schemeClr w14:val="tx1"/>
            </w14:solidFill>
          </w14:textFill>
        </w:rPr>
        <w:t>已经有太极集团、龙海石化、中机重庆龙桥热电有限公司、重庆万凯新材料工有限公司等40余家企业入驻；涪陵化工整体搬迁至重庆白涛工业园区，不再落户新石片区。</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020</w:t>
      </w:r>
      <w:r>
        <w:rPr>
          <w:rFonts w:hint="eastAsia"/>
          <w:color w:val="000000" w:themeColor="text1"/>
          <w14:textFill>
            <w14:solidFill>
              <w14:schemeClr w14:val="tx1"/>
            </w14:solidFill>
          </w14:textFill>
        </w:rPr>
        <w:t>年1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月，重庆涪陵工业园区龙桥组团管理机构名称由“重庆市涪陵区李渡新区龙桥工业园区管委会”变更为“</w:t>
      </w:r>
      <w:bookmarkStart w:id="116" w:name="_Hlk55481662"/>
      <w:r>
        <w:rPr>
          <w:rFonts w:hint="eastAsia"/>
          <w:color w:val="000000" w:themeColor="text1"/>
          <w14:textFill>
            <w14:solidFill>
              <w14:schemeClr w14:val="tx1"/>
            </w14:solidFill>
          </w14:textFill>
        </w:rPr>
        <w:t>重庆市涪陵临港经济区管理委员会</w:t>
      </w:r>
      <w:bookmarkEnd w:id="116"/>
      <w:r>
        <w:rPr>
          <w:rFonts w:hint="eastAsia"/>
          <w:color w:val="000000" w:themeColor="text1"/>
          <w14:textFill>
            <w14:solidFill>
              <w14:schemeClr w14:val="tx1"/>
            </w14:solidFill>
          </w14:textFill>
        </w:rPr>
        <w:t>”。为深入贯彻党中央、国务院以共抓大保护、不搞大开发为导向推动长江经济带绿色发展的战略，严格保护一江清水，根据《重庆市涪陵区人民政府关于调整重庆涪陵工业园区龙桥组团规划范围和产业布局的函》等文件要求，重庆涪陵工业园区龙桥组团的产业发展和重大项目落地做了部分调整：（1）对不符合“禁止在长江干支流1公里范围内新建、扩建化工园区和化工项目”要求的南岸浦片区长江1公里范围内的剩余工业用地规划产业进行调整。（2）原涪陵化工不再搬迁至龙桥组团新石片区（变更为搬迁至白涛工业园区），在南岸浦片区距离长江一公里范围内的S</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06/01</w:t>
      </w:r>
      <w:r>
        <w:rPr>
          <w:rFonts w:hint="eastAsia"/>
          <w:color w:val="000000" w:themeColor="text1"/>
          <w14:textFill>
            <w14:solidFill>
              <w14:schemeClr w14:val="tx1"/>
            </w14:solidFill>
          </w14:textFill>
        </w:rPr>
        <w:t>地块布局植物油加工项目。</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针对南岸浦片区（2.38km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用地范围）产业发展和重大项目调整，重庆市涪陵临港经济区管理委员会</w:t>
      </w:r>
      <w:r>
        <w:rPr>
          <w:color w:val="000000" w:themeColor="text1"/>
          <w14:textFill>
            <w14:solidFill>
              <w14:schemeClr w14:val="tx1"/>
            </w14:solidFill>
          </w14:textFill>
        </w:rPr>
        <w:t>委托</w:t>
      </w:r>
      <w:r>
        <w:rPr>
          <w:rFonts w:hint="eastAsia"/>
          <w:color w:val="000000" w:themeColor="text1"/>
          <w14:textFill>
            <w14:solidFill>
              <w14:schemeClr w14:val="tx1"/>
            </w14:solidFill>
          </w14:textFill>
        </w:rPr>
        <w:t>我公司编制完成了</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重庆涪陵工业园区龙桥组团规划调整环境影响报告书</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，重庆市生态环境局于2</w:t>
      </w:r>
      <w:r>
        <w:rPr>
          <w:color w:val="000000" w:themeColor="text1"/>
          <w14:textFill>
            <w14:solidFill>
              <w14:schemeClr w14:val="tx1"/>
            </w14:solidFill>
          </w14:textFill>
        </w:rPr>
        <w:t>021</w:t>
      </w:r>
      <w:r>
        <w:rPr>
          <w:rFonts w:hint="eastAsia"/>
          <w:color w:val="000000" w:themeColor="text1"/>
          <w14:textFill>
            <w14:solidFill>
              <w14:schemeClr w14:val="tx1"/>
            </w14:solidFill>
          </w14:textFill>
        </w:rPr>
        <w:t>年6月8日下发了审查意见函（渝环函[</w:t>
      </w:r>
      <w:r>
        <w:rPr>
          <w:color w:val="000000" w:themeColor="text1"/>
          <w14:textFill>
            <w14:solidFill>
              <w14:schemeClr w14:val="tx1"/>
            </w14:solidFill>
          </w14:textFill>
        </w:rPr>
        <w:t>2021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360号</w:t>
      </w:r>
      <w:r>
        <w:rPr>
          <w:rFonts w:hint="eastAsia"/>
          <w:color w:val="000000" w:themeColor="text1"/>
          <w14:textFill>
            <w14:solidFill>
              <w14:schemeClr w14:val="tx1"/>
            </w14:solidFill>
          </w14:textFill>
        </w:rPr>
        <w:t>）。</w:t>
      </w:r>
    </w:p>
    <w:p>
      <w:pPr>
        <w:pStyle w:val="3"/>
        <w:jc w:val="both"/>
      </w:pPr>
      <w:bookmarkStart w:id="117" w:name="_Toc109888261"/>
      <w:r>
        <w:rPr>
          <w:rFonts w:hint="eastAsia"/>
        </w:rPr>
        <w:t>区域污染源调查</w:t>
      </w:r>
      <w:bookmarkEnd w:id="117"/>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南岸浦片区目前已有的企业主要有陕渝临港热电厂、蓬威石化、常捷医药、一德粮油、万凯新材料、财恒大祥、上甲电子、增程科技等</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余家企业，另外有一些小型建材、废旧资源回收等企业。陕渝临港热电厂厂界外</w:t>
      </w:r>
      <w:r>
        <w:rPr>
          <w:rFonts w:hint="eastAsia"/>
          <w:color w:val="000000" w:themeColor="text1"/>
          <w:szCs w:val="26"/>
          <w14:textFill>
            <w14:solidFill>
              <w14:schemeClr w14:val="tx1"/>
            </w14:solidFill>
          </w14:textFill>
        </w:rPr>
        <w:t>东侧紧邻惠龙路，通过龙桥收费站连接南涪高速；</w:t>
      </w:r>
      <w:r>
        <w:rPr>
          <w:rFonts w:hint="eastAsia"/>
          <w:color w:val="000000" w:themeColor="text1"/>
          <w14:textFill>
            <w14:solidFill>
              <w14:schemeClr w14:val="tx1"/>
            </w14:solidFill>
          </w14:textFill>
        </w:rPr>
        <w:t>北侧</w:t>
      </w:r>
      <w:r>
        <w:rPr>
          <w:rFonts w:hint="eastAsia"/>
          <w:color w:val="000000" w:themeColor="text1"/>
          <w:szCs w:val="26"/>
          <w14:textFill>
            <w14:solidFill>
              <w14:schemeClr w14:val="tx1"/>
            </w14:solidFill>
          </w14:textFill>
        </w:rPr>
        <w:t>为龙电路和未利用地</w:t>
      </w:r>
      <w:r>
        <w:rPr>
          <w:rFonts w:hint="eastAsia"/>
          <w:color w:val="000000" w:themeColor="text1"/>
          <w14:textFill>
            <w14:solidFill>
              <w14:schemeClr w14:val="tx1"/>
            </w14:solidFill>
          </w14:textFill>
        </w:rPr>
        <w:t>，西侧为常捷医药公司，南侧为多吉再生资源公司和华钢耐磨材料公司，均为已建成投产企业。详见附图2。</w:t>
      </w:r>
    </w:p>
    <w:p>
      <w:pPr>
        <w:ind w:firstLine="520"/>
        <w:rPr>
          <w:color w:val="000000" w:themeColor="text1"/>
          <w14:textFill>
            <w14:solidFill>
              <w14:schemeClr w14:val="tx1"/>
            </w14:solidFill>
          </w14:textFill>
        </w:rPr>
        <w:sectPr>
          <w:headerReference r:id="rId22" w:type="first"/>
          <w:footerReference r:id="rId24" w:type="first"/>
          <w:footerReference r:id="rId23" w:type="even"/>
          <w:pgSz w:w="11906" w:h="16838"/>
          <w:pgMar w:top="1418" w:right="1418" w:bottom="1418" w:left="1701" w:header="851" w:footer="992" w:gutter="0"/>
          <w:cols w:space="425" w:num="1"/>
          <w:docGrid w:type="linesAndChars" w:linePitch="312" w:charSpace="0"/>
        </w:sectPr>
      </w:pPr>
    </w:p>
    <w:p>
      <w:pPr>
        <w:pStyle w:val="2"/>
      </w:pPr>
      <w:bookmarkStart w:id="118" w:name="_Toc109888262"/>
      <w:r>
        <w:t>环境影响预测与评价</w:t>
      </w:r>
      <w:bookmarkEnd w:id="118"/>
    </w:p>
    <w:p>
      <w:pPr>
        <w:pStyle w:val="3"/>
        <w:rPr>
          <w:lang w:val="zh-CN"/>
        </w:rPr>
      </w:pPr>
      <w:bookmarkStart w:id="119" w:name="_Toc109888263"/>
      <w:bookmarkStart w:id="120" w:name="_Toc532274815"/>
      <w:r>
        <w:rPr>
          <w:rFonts w:hint="eastAsia"/>
          <w:lang w:val="zh-CN"/>
        </w:rPr>
        <w:t>施工期环境影响分析</w:t>
      </w:r>
      <w:bookmarkEnd w:id="119"/>
    </w:p>
    <w:p>
      <w:pPr>
        <w:ind w:firstLine="52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本项目施工工程量很小，施工期仅</w:t>
      </w:r>
      <w:r>
        <w:rPr>
          <w:color w:val="000000" w:themeColor="text1"/>
          <w:lang w:val="zh-CN"/>
          <w14:textFill>
            <w14:solidFill>
              <w14:schemeClr w14:val="tx1"/>
            </w14:solidFill>
          </w14:textFill>
        </w:rPr>
        <w:t>10</w:t>
      </w:r>
      <w:r>
        <w:rPr>
          <w:rFonts w:hint="eastAsia"/>
          <w:color w:val="000000" w:themeColor="text1"/>
          <w:lang w:val="zh-CN"/>
          <w14:textFill>
            <w14:solidFill>
              <w14:schemeClr w14:val="tx1"/>
            </w14:solidFill>
          </w14:textFill>
        </w:rPr>
        <w:t>天。</w:t>
      </w:r>
    </w:p>
    <w:p>
      <w:pPr>
        <w:pStyle w:val="4"/>
        <w:rPr>
          <w:color w:val="000000" w:themeColor="text1"/>
          <w:lang w:val="zh-CN"/>
          <w14:textFill>
            <w14:solidFill>
              <w14:schemeClr w14:val="tx1"/>
            </w14:solidFill>
          </w14:textFill>
        </w:rPr>
      </w:pPr>
      <w:r>
        <w:rPr>
          <w:color w:val="000000" w:themeColor="text1"/>
          <w:lang w:val="zh-CN"/>
          <w14:textFill>
            <w14:solidFill>
              <w14:schemeClr w14:val="tx1"/>
            </w14:solidFill>
          </w14:textFill>
        </w:rPr>
        <w:t>环境空气影响分析</w:t>
      </w:r>
      <w:bookmarkEnd w:id="120"/>
    </w:p>
    <w:p>
      <w:pPr>
        <w:ind w:firstLine="520"/>
        <w:rPr>
          <w:color w:val="000000" w:themeColor="text1"/>
          <w14:textFill>
            <w14:solidFill>
              <w14:schemeClr w14:val="tx1"/>
            </w14:solidFill>
          </w14:textFill>
        </w:rPr>
      </w:pPr>
      <w:bookmarkStart w:id="121" w:name="_Toc487115984"/>
      <w:bookmarkStart w:id="122" w:name="_Toc502907534"/>
      <w:r>
        <w:rPr>
          <w:color w:val="000000" w:themeColor="text1"/>
          <w14:textFill>
            <w14:solidFill>
              <w14:schemeClr w14:val="tx1"/>
            </w14:solidFill>
          </w14:textFill>
        </w:rPr>
        <w:t>施工期</w:t>
      </w:r>
      <w:r>
        <w:rPr>
          <w:rFonts w:hint="eastAsia"/>
          <w:color w:val="000000" w:themeColor="text1"/>
          <w14:textFill>
            <w14:solidFill>
              <w14:schemeClr w14:val="tx1"/>
            </w14:solidFill>
          </w14:textFill>
        </w:rPr>
        <w:t>不涉及场地开挖和平整，仅进行小面积地面硬化、设备安装，产生的废气主要是施工扬尘和少量机械尾气。</w:t>
      </w:r>
    </w:p>
    <w:p>
      <w:pPr>
        <w:ind w:firstLine="520"/>
        <w:rPr>
          <w:b/>
          <w:bCs/>
          <w:color w:val="000000" w:themeColor="text1"/>
          <w14:textFill>
            <w14:solidFill>
              <w14:schemeClr w14:val="tx1"/>
            </w14:solidFill>
          </w14:textFill>
        </w:rPr>
      </w:pPr>
      <w:r>
        <w:rPr>
          <w:rFonts w:hint="eastAsia"/>
          <w:color w:val="000000" w:themeColor="text1"/>
          <w14:textFill>
            <w14:solidFill>
              <w14:schemeClr w14:val="tx1"/>
            </w14:solidFill>
          </w14:textFill>
        </w:rPr>
        <w:t>通过选取合格施工机械、洒水降尘等措施可有效控制施工期废气产生强度。由于施工量少、施工时间</w:t>
      </w:r>
      <w:r>
        <w:rPr>
          <w:rFonts w:hint="eastAsia"/>
          <w:color w:val="000000" w:themeColor="text1"/>
          <w:lang w:eastAsia="zh-CN"/>
          <w14:textFill>
            <w14:solidFill>
              <w14:schemeClr w14:val="tx1"/>
            </w14:solidFill>
          </w14:textFill>
        </w:rPr>
        <w:t>短</w:t>
      </w:r>
      <w:r>
        <w:rPr>
          <w:rFonts w:hint="eastAsia"/>
          <w:color w:val="000000" w:themeColor="text1"/>
          <w14:textFill>
            <w14:solidFill>
              <w14:schemeClr w14:val="tx1"/>
            </w14:solidFill>
          </w14:textFill>
        </w:rPr>
        <w:t>，产生的废气量极少，对环境影响</w:t>
      </w:r>
      <w:r>
        <w:rPr>
          <w:color w:val="000000" w:themeColor="text1"/>
          <w14:textFill>
            <w14:solidFill>
              <w14:schemeClr w14:val="tx1"/>
            </w14:solidFill>
          </w14:textFill>
        </w:rPr>
        <w:t>小。</w:t>
      </w:r>
    </w:p>
    <w:bookmarkEnd w:id="121"/>
    <w:bookmarkEnd w:id="122"/>
    <w:p>
      <w:pPr>
        <w:pStyle w:val="4"/>
        <w:rPr>
          <w:color w:val="000000" w:themeColor="text1"/>
          <w14:textFill>
            <w14:solidFill>
              <w14:schemeClr w14:val="tx1"/>
            </w14:solidFill>
          </w14:textFill>
        </w:rPr>
      </w:pPr>
      <w:bookmarkStart w:id="123" w:name="_Toc532274816"/>
      <w:r>
        <w:rPr>
          <w:color w:val="000000" w:themeColor="text1"/>
          <w14:textFill>
            <w14:solidFill>
              <w14:schemeClr w14:val="tx1"/>
            </w14:solidFill>
          </w14:textFill>
        </w:rPr>
        <w:t>地表水环境影响分析</w:t>
      </w:r>
      <w:bookmarkEnd w:id="123"/>
    </w:p>
    <w:p>
      <w:pPr>
        <w:ind w:firstLine="520"/>
        <w:rPr>
          <w:color w:val="000000" w:themeColor="text1"/>
          <w14:textFill>
            <w14:solidFill>
              <w14:schemeClr w14:val="tx1"/>
            </w14:solidFill>
          </w14:textFill>
        </w:rPr>
      </w:pPr>
      <w:bookmarkStart w:id="124" w:name="_Toc487115985"/>
      <w:bookmarkStart w:id="125" w:name="_Toc502907535"/>
      <w:r>
        <w:rPr>
          <w:color w:val="000000" w:themeColor="text1"/>
          <w14:textFill>
            <w14:solidFill>
              <w14:schemeClr w14:val="tx1"/>
            </w14:solidFill>
          </w14:textFill>
        </w:rPr>
        <w:t>施工期</w:t>
      </w:r>
      <w:r>
        <w:rPr>
          <w:rFonts w:hint="eastAsia"/>
          <w:color w:val="000000" w:themeColor="text1"/>
          <w14:textFill>
            <w14:solidFill>
              <w14:schemeClr w14:val="tx1"/>
            </w14:solidFill>
          </w14:textFill>
        </w:rPr>
        <w:t>少量地面硬化购买商品混凝土现场摊铺，仅施工机械清洗产生极少量废水，沉淀处理后重复使用，不排放。施工人员来自陕渝临港热电厂内工人，不增加生活污水量。</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因施工期无废水外排，因此不会对区域地表水造成不利影响。</w:t>
      </w:r>
    </w:p>
    <w:bookmarkEnd w:id="124"/>
    <w:bookmarkEnd w:id="125"/>
    <w:p>
      <w:pPr>
        <w:pStyle w:val="4"/>
        <w:rPr>
          <w:color w:val="000000" w:themeColor="text1"/>
          <w14:textFill>
            <w14:solidFill>
              <w14:schemeClr w14:val="tx1"/>
            </w14:solidFill>
          </w14:textFill>
        </w:rPr>
      </w:pPr>
      <w:bookmarkStart w:id="126" w:name="_Toc532274817"/>
      <w:r>
        <w:rPr>
          <w:color w:val="000000" w:themeColor="text1"/>
          <w14:textFill>
            <w14:solidFill>
              <w14:schemeClr w14:val="tx1"/>
            </w14:solidFill>
          </w14:textFill>
        </w:rPr>
        <w:t>声环境影响评价</w:t>
      </w:r>
      <w:bookmarkEnd w:id="126"/>
    </w:p>
    <w:p>
      <w:pPr>
        <w:ind w:firstLine="520"/>
        <w:rPr>
          <w:color w:val="000000" w:themeColor="text1"/>
          <w14:textFill>
            <w14:solidFill>
              <w14:schemeClr w14:val="tx1"/>
            </w14:solidFill>
          </w14:textFill>
        </w:rPr>
      </w:pPr>
      <w:bookmarkStart w:id="127" w:name="_Toc487115986"/>
      <w:bookmarkStart w:id="128" w:name="_Toc502907536"/>
      <w:r>
        <w:rPr>
          <w:color w:val="000000" w:themeColor="text1"/>
          <w14:textFill>
            <w14:solidFill>
              <w14:schemeClr w14:val="tx1"/>
            </w14:solidFill>
          </w14:textFill>
        </w:rPr>
        <w:t>施工期间的噪声主要是运输车辆的噪声、设备安装产生的噪声，噪声值在70dB（A）</w:t>
      </w:r>
      <w:r>
        <w:rPr>
          <w:rFonts w:hint="eastAsia"/>
          <w:color w:val="000000" w:themeColor="text1"/>
          <w14:textFill>
            <w14:solidFill>
              <w14:schemeClr w14:val="tx1"/>
            </w14:solidFill>
          </w14:textFill>
        </w:rPr>
        <w:t>左右</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施工作业在白天进行，晚上不施工。</w:t>
      </w:r>
    </w:p>
    <w:p>
      <w:pPr>
        <w:ind w:firstLine="520"/>
        <w:rPr>
          <w:color w:val="000000" w:themeColor="text1"/>
          <w14:textFill>
            <w14:solidFill>
              <w14:schemeClr w14:val="tx1"/>
            </w14:solidFill>
          </w14:textFill>
        </w:rPr>
      </w:pPr>
      <w:r>
        <w:rPr>
          <w:color w:val="000000" w:themeColor="text1"/>
          <w14:textFill>
            <w14:solidFill>
              <w14:schemeClr w14:val="tx1"/>
            </w14:solidFill>
          </w14:textFill>
        </w:rPr>
        <w:t>项目位于</w:t>
      </w:r>
      <w:r>
        <w:rPr>
          <w:rFonts w:hint="eastAsia"/>
          <w:color w:val="000000" w:themeColor="text1"/>
          <w14:textFill>
            <w14:solidFill>
              <w14:schemeClr w14:val="tx1"/>
            </w14:solidFill>
          </w14:textFill>
        </w:rPr>
        <w:t>现有厂区中部</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距离各厂界均超过1</w:t>
      </w:r>
      <w:r>
        <w:rPr>
          <w:color w:val="000000" w:themeColor="text1"/>
          <w14:textFill>
            <w14:solidFill>
              <w14:schemeClr w14:val="tx1"/>
            </w14:solidFill>
          </w14:textFill>
        </w:rPr>
        <w:t>60m</w:t>
      </w:r>
      <w:r>
        <w:rPr>
          <w:rFonts w:hint="eastAsia"/>
          <w:color w:val="000000" w:themeColor="text1"/>
          <w14:textFill>
            <w14:solidFill>
              <w14:schemeClr w14:val="tx1"/>
            </w14:solidFill>
          </w14:textFill>
        </w:rPr>
        <w:t>以上，通过距离衰减，预计达到厂界处可满足施工期噪声控制排放标准限值，长界外距离居民区较远，预计</w:t>
      </w:r>
      <w:r>
        <w:rPr>
          <w:color w:val="000000" w:themeColor="text1"/>
          <w14:textFill>
            <w14:solidFill>
              <w14:schemeClr w14:val="tx1"/>
            </w14:solidFill>
          </w14:textFill>
        </w:rPr>
        <w:t>施工噪声对环境影响很小</w:t>
      </w:r>
      <w:r>
        <w:rPr>
          <w:rFonts w:hint="eastAsia"/>
          <w:color w:val="000000" w:themeColor="text1"/>
          <w14:textFill>
            <w14:solidFill>
              <w14:schemeClr w14:val="tx1"/>
            </w14:solidFill>
          </w14:textFill>
        </w:rPr>
        <w:t>，不会造成噪声扰民</w:t>
      </w:r>
      <w:r>
        <w:rPr>
          <w:color w:val="000000" w:themeColor="text1"/>
          <w14:textFill>
            <w14:solidFill>
              <w14:schemeClr w14:val="tx1"/>
            </w14:solidFill>
          </w14:textFill>
        </w:rPr>
        <w:t>。</w:t>
      </w:r>
    </w:p>
    <w:bookmarkEnd w:id="127"/>
    <w:bookmarkEnd w:id="128"/>
    <w:p>
      <w:pPr>
        <w:pStyle w:val="4"/>
        <w:rPr>
          <w:color w:val="000000" w:themeColor="text1"/>
          <w14:textFill>
            <w14:solidFill>
              <w14:schemeClr w14:val="tx1"/>
            </w14:solidFill>
          </w14:textFill>
        </w:rPr>
      </w:pPr>
      <w:bookmarkStart w:id="129" w:name="_Toc532274818"/>
      <w:r>
        <w:rPr>
          <w:color w:val="000000" w:themeColor="text1"/>
          <w14:textFill>
            <w14:solidFill>
              <w14:schemeClr w14:val="tx1"/>
            </w14:solidFill>
          </w14:textFill>
        </w:rPr>
        <w:t>固体废物影响分析</w:t>
      </w:r>
      <w:bookmarkEnd w:id="129"/>
    </w:p>
    <w:p>
      <w:pPr>
        <w:ind w:firstLine="520"/>
        <w:rPr>
          <w:color w:val="000000" w:themeColor="text1"/>
          <w14:textFill>
            <w14:solidFill>
              <w14:schemeClr w14:val="tx1"/>
            </w14:solidFill>
          </w14:textFill>
        </w:rPr>
      </w:pPr>
      <w:r>
        <w:rPr>
          <w:color w:val="000000" w:themeColor="text1"/>
          <w14:textFill>
            <w14:solidFill>
              <w14:schemeClr w14:val="tx1"/>
            </w14:solidFill>
          </w14:textFill>
        </w:rPr>
        <w:t>施工期</w:t>
      </w:r>
      <w:r>
        <w:rPr>
          <w:rFonts w:hint="eastAsia"/>
          <w:color w:val="000000" w:themeColor="text1"/>
          <w14:textFill>
            <w14:solidFill>
              <w14:schemeClr w14:val="tx1"/>
            </w14:solidFill>
          </w14:textFill>
        </w:rPr>
        <w:t>产生的施工废物主要是废钢材，均可外卖，不会对环境造成不利影响。</w:t>
      </w:r>
    </w:p>
    <w:p>
      <w:pPr>
        <w:pStyle w:val="3"/>
      </w:pPr>
      <w:bookmarkStart w:id="130" w:name="_Toc109888264"/>
      <w:r>
        <w:t>运营期环境影响分析</w:t>
      </w:r>
      <w:bookmarkEnd w:id="130"/>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大气环境影响分析</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根据工程分析，本项目产生二噁英的可能性极小，不新增大气污染因子。经测算，除氯化氢排放量可能增加外，其他污染因子排放量均会略有减少，但变化量极小。掺烧醇沉药渣后</w:t>
      </w:r>
      <w:r>
        <w:rPr>
          <w:rFonts w:hint="eastAsia" w:cs="宋体"/>
          <w:color w:val="000000" w:themeColor="text1"/>
          <w:spacing w:val="9"/>
          <w:szCs w:val="24"/>
          <w14:textFill>
            <w14:solidFill>
              <w14:schemeClr w14:val="tx1"/>
            </w14:solidFill>
          </w14:textFill>
        </w:rPr>
        <w:t>氯化氢最大排放速率为1</w:t>
      </w:r>
      <w:r>
        <w:rPr>
          <w:rFonts w:cs="宋体"/>
          <w:color w:val="000000" w:themeColor="text1"/>
          <w:spacing w:val="9"/>
          <w:szCs w:val="24"/>
          <w14:textFill>
            <w14:solidFill>
              <w14:schemeClr w14:val="tx1"/>
            </w14:solidFill>
          </w14:textFill>
        </w:rPr>
        <w:t>.44kg/h</w:t>
      </w:r>
      <w:r>
        <w:rPr>
          <w:rFonts w:hint="eastAsia" w:cs="宋体"/>
          <w:color w:val="000000" w:themeColor="text1"/>
          <w:spacing w:val="9"/>
          <w:szCs w:val="24"/>
          <w14:textFill>
            <w14:solidFill>
              <w14:schemeClr w14:val="tx1"/>
            </w14:solidFill>
          </w14:textFill>
        </w:rPr>
        <w:t>，与不掺烧相比氯化氢排放增加量仅0</w:t>
      </w:r>
      <w:r>
        <w:rPr>
          <w:rFonts w:cs="宋体"/>
          <w:color w:val="000000" w:themeColor="text1"/>
          <w:spacing w:val="9"/>
          <w:szCs w:val="24"/>
          <w14:textFill>
            <w14:solidFill>
              <w14:schemeClr w14:val="tx1"/>
            </w14:solidFill>
          </w14:textFill>
        </w:rPr>
        <w:t>.42</w:t>
      </w:r>
      <w:r>
        <w:rPr>
          <w:rFonts w:hint="eastAsia" w:cs="宋体"/>
          <w:color w:val="000000" w:themeColor="text1"/>
          <w:szCs w:val="24"/>
          <w14:textFill>
            <w14:solidFill>
              <w14:schemeClr w14:val="tx1"/>
            </w14:solidFill>
          </w14:textFill>
        </w:rPr>
        <w:t>kg/h（</w:t>
      </w:r>
      <w:r>
        <w:rPr>
          <w:rFonts w:cs="宋体"/>
          <w:color w:val="000000" w:themeColor="text1"/>
          <w:szCs w:val="24"/>
          <w14:textFill>
            <w14:solidFill>
              <w14:schemeClr w14:val="tx1"/>
            </w14:solidFill>
          </w14:textFill>
        </w:rPr>
        <w:t>0.84t/a</w:t>
      </w:r>
      <w:r>
        <w:rPr>
          <w:rFonts w:hint="eastAsia" w:cs="宋体"/>
          <w:color w:val="000000" w:themeColor="text1"/>
          <w:szCs w:val="24"/>
          <w14:textFill>
            <w14:solidFill>
              <w14:schemeClr w14:val="tx1"/>
            </w14:solidFill>
          </w14:textFill>
        </w:rPr>
        <w:t>），增加量极小</w:t>
      </w:r>
      <w:r>
        <w:rPr>
          <w:rFonts w:hint="eastAsia"/>
          <w:color w:val="000000" w:themeColor="text1"/>
          <w14:textFill>
            <w14:solidFill>
              <w14:schemeClr w14:val="tx1"/>
            </w14:solidFill>
          </w14:textFill>
        </w:rPr>
        <w:t>。根据</w:t>
      </w:r>
      <w:r>
        <w:rPr>
          <w:color w:val="000000" w:themeColor="text1"/>
          <w14:textFill>
            <w14:solidFill>
              <w14:schemeClr w14:val="tx1"/>
            </w14:solidFill>
          </w14:textFill>
        </w:rPr>
        <w:t>《环境影响评价技术导则</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大气环境》（HJ2.2-2018）</w:t>
      </w:r>
      <w:r>
        <w:rPr>
          <w:rFonts w:hint="eastAsia"/>
          <w:color w:val="000000" w:themeColor="text1"/>
          <w14:textFill>
            <w14:solidFill>
              <w14:schemeClr w14:val="tx1"/>
            </w14:solidFill>
          </w14:textFill>
        </w:rPr>
        <w:t>推荐的估算模式估算，氯化氢排放最大落地浓度为2</w:t>
      </w:r>
      <w:r>
        <w:rPr>
          <w:color w:val="000000" w:themeColor="text1"/>
          <w14:textFill>
            <w14:solidFill>
              <w14:schemeClr w14:val="tx1"/>
            </w14:solidFill>
          </w14:textFill>
        </w:rPr>
        <w:t>.1433</w:t>
      </w:r>
      <w:r>
        <w:rPr>
          <w:rFonts w:hint="eastAsia"/>
          <w:color w:val="000000" w:themeColor="text1"/>
          <w14:textFill>
            <w14:solidFill>
              <w14:schemeClr w14:val="tx1"/>
            </w14:solidFill>
          </w14:textFill>
        </w:rPr>
        <w:t>μ</w:t>
      </w:r>
      <w:r>
        <w:rPr>
          <w:color w:val="000000" w:themeColor="text1"/>
          <w14:textFill>
            <w14:solidFill>
              <w14:schemeClr w14:val="tx1"/>
            </w14:solidFill>
          </w14:textFill>
        </w:rPr>
        <w:t>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，占标率仅为4</w:t>
      </w:r>
      <w:r>
        <w:rPr>
          <w:color w:val="000000" w:themeColor="text1"/>
          <w14:textFill>
            <w14:solidFill>
              <w14:schemeClr w14:val="tx1"/>
            </w14:solidFill>
          </w14:textFill>
        </w:rPr>
        <w:t>.29%</w:t>
      </w:r>
      <w:r>
        <w:rPr>
          <w:rFonts w:hint="eastAsia"/>
          <w:color w:val="000000" w:themeColor="text1"/>
          <w14:textFill>
            <w14:solidFill>
              <w14:schemeClr w14:val="tx1"/>
            </w14:solidFill>
          </w14:textFill>
        </w:rPr>
        <w:t>（1小时标准值为5</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μ</w:t>
      </w:r>
      <w:r>
        <w:rPr>
          <w:color w:val="000000" w:themeColor="text1"/>
          <w14:textFill>
            <w14:solidFill>
              <w14:schemeClr w14:val="tx1"/>
            </w14:solidFill>
          </w14:textFill>
        </w:rPr>
        <w:t>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）。因此，本项目实施后对环境的影响很小。</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地表水环境影响分析</w:t>
      </w:r>
    </w:p>
    <w:p>
      <w:pPr>
        <w:pStyle w:val="125"/>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本项目仅上料系统冲洗过程产生极少量废水（0.17m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/次、340m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/a），全部在上料系统内直接喷吹到循环流化床锅炉焚烧，无废水外排。</w:t>
      </w:r>
    </w:p>
    <w:p>
      <w:pPr>
        <w:pStyle w:val="125"/>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本项目不新增劳动定员，不增加生活污水排放量。</w:t>
      </w:r>
    </w:p>
    <w:p>
      <w:pPr>
        <w:pStyle w:val="125"/>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因此，本项目对地表水环境无影响。</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声环境影响分析</w:t>
      </w:r>
    </w:p>
    <w:p>
      <w:pPr>
        <w:pStyle w:val="5"/>
      </w:pPr>
      <w:r>
        <w:rPr>
          <w:rFonts w:hint="eastAsia"/>
        </w:rPr>
        <w:t>噪声源强和预测模式</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本项目新增噪声源为2台供浆泵（一用一备）</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采取减震基座后排放源强以7</w:t>
      </w:r>
      <w:r>
        <w:rPr>
          <w:color w:val="000000" w:themeColor="text1"/>
          <w14:textFill>
            <w14:solidFill>
              <w14:schemeClr w14:val="tx1"/>
            </w14:solidFill>
          </w14:textFill>
        </w:rPr>
        <w:t>0 dB</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)计，具体见表3</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采用距离衰减和噪声叠加计算公式，计算厂界噪声值。</w:t>
      </w:r>
    </w:p>
    <w:p>
      <w:pPr>
        <w:ind w:firstLine="520"/>
        <w:rPr>
          <w:color w:val="000000" w:themeColor="text1"/>
          <w14:textFill>
            <w14:solidFill>
              <w14:schemeClr w14:val="tx1"/>
            </w14:solidFill>
          </w14:textFill>
        </w:rPr>
      </w:pPr>
      <w:r>
        <w:rPr>
          <w:color w:val="000000" w:themeColor="text1"/>
          <w14:textFill>
            <w14:solidFill>
              <w14:schemeClr w14:val="tx1"/>
            </w14:solidFill>
          </w14:textFill>
        </w:rPr>
        <w:t>采用《环境影响评价技术导则 声环境》（HJ 2.4-2021）中推荐的工业噪声源衰减公式。对于工业企业稳态机械设备，当声源处于半自由空间且仅考虑声源的几何发散衰减，则距离点声源r处的声压级为：</w:t>
      </w:r>
    </w:p>
    <w:p>
      <w:pPr>
        <w:spacing w:before="156" w:beforeLines="50" w:after="156" w:afterLines="50"/>
        <w:ind w:firstLine="520"/>
        <w:jc w:val="center"/>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object>
          <v:shape id="_x0000_i1030" o:spt="75" type="#_x0000_t75" style="height:20.05pt;width:149.45pt;" o:ole="t" filled="f" o:preferrelative="t" stroked="f" coordsize="21600,21600">
            <v:path/>
            <v:fill on="f" focussize="0,0"/>
            <v:stroke on="f" joinstyle="miter"/>
            <v:imagedata r:id="rId45" o:title=""/>
            <o:lock v:ext="edit" aspectratio="t"/>
            <w10:wrap type="none"/>
            <w10:anchorlock/>
          </v:shape>
          <o:OLEObject Type="Embed" ProgID="Equation.3" ShapeID="_x0000_i1030" DrawAspect="Content" ObjectID="_1468075730" r:id="rId44">
            <o:LockedField>false</o:LockedField>
          </o:OLEObject>
        </w:object>
      </w:r>
    </w:p>
    <w:p>
      <w:pPr>
        <w:ind w:firstLine="52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式中：Lr——噪声受点r处的等效声级，dB；</w:t>
      </w:r>
    </w:p>
    <w:p>
      <w:pPr>
        <w:ind w:firstLine="780" w:firstLineChars="30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Lr</w:t>
      </w:r>
      <w:r>
        <w:rPr>
          <w:rFonts w:hint="eastAsia"/>
          <w:color w:val="000000" w:themeColor="text1"/>
          <w:szCs w:val="26"/>
          <w:vertAlign w:val="subscript"/>
          <w14:textFill>
            <w14:solidFill>
              <w14:schemeClr w14:val="tx1"/>
            </w14:solidFill>
          </w14:textFill>
        </w:rPr>
        <w:t>0</w:t>
      </w:r>
      <w:r>
        <w:rPr>
          <w:rFonts w:hint="eastAsia"/>
          <w:color w:val="000000" w:themeColor="text1"/>
          <w:szCs w:val="26"/>
          <w14:textFill>
            <w14:solidFill>
              <w14:schemeClr w14:val="tx1"/>
            </w14:solidFill>
          </w14:textFill>
        </w:rPr>
        <w:t>——噪声受点r</w:t>
      </w:r>
      <w:r>
        <w:rPr>
          <w:rFonts w:hint="eastAsia"/>
          <w:color w:val="000000" w:themeColor="text1"/>
          <w:szCs w:val="26"/>
          <w:vertAlign w:val="subscript"/>
          <w14:textFill>
            <w14:solidFill>
              <w14:schemeClr w14:val="tx1"/>
            </w14:solidFill>
          </w14:textFill>
        </w:rPr>
        <w:t>0</w:t>
      </w:r>
      <w:r>
        <w:rPr>
          <w:rFonts w:hint="eastAsia"/>
          <w:color w:val="000000" w:themeColor="text1"/>
          <w:szCs w:val="26"/>
          <w14:textFill>
            <w14:solidFill>
              <w14:schemeClr w14:val="tx1"/>
            </w14:solidFill>
          </w14:textFill>
        </w:rPr>
        <w:t>处的等效声级，dB；</w:t>
      </w:r>
    </w:p>
    <w:p>
      <w:pPr>
        <w:ind w:firstLine="780" w:firstLineChars="30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r——噪声受点r处与噪声源的距离，m；</w:t>
      </w:r>
    </w:p>
    <w:p>
      <w:pPr>
        <w:ind w:firstLine="780" w:firstLineChars="30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r</w:t>
      </w:r>
      <w:r>
        <w:rPr>
          <w:rFonts w:hint="eastAsia"/>
          <w:color w:val="000000" w:themeColor="text1"/>
          <w:szCs w:val="26"/>
          <w:vertAlign w:val="subscript"/>
          <w14:textFill>
            <w14:solidFill>
              <w14:schemeClr w14:val="tx1"/>
            </w14:solidFill>
          </w14:textFill>
        </w:rPr>
        <w:t>0</w:t>
      </w:r>
      <w:r>
        <w:rPr>
          <w:rFonts w:hint="eastAsia"/>
          <w:color w:val="000000" w:themeColor="text1"/>
          <w:szCs w:val="26"/>
          <w14:textFill>
            <w14:solidFill>
              <w14:schemeClr w14:val="tx1"/>
            </w14:solidFill>
          </w14:textFill>
        </w:rPr>
        <w:t>——噪声受点r</w:t>
      </w:r>
      <w:r>
        <w:rPr>
          <w:rFonts w:hint="eastAsia"/>
          <w:color w:val="000000" w:themeColor="text1"/>
          <w:szCs w:val="26"/>
          <w:vertAlign w:val="subscript"/>
          <w14:textFill>
            <w14:solidFill>
              <w14:schemeClr w14:val="tx1"/>
            </w14:solidFill>
          </w14:textFill>
        </w:rPr>
        <w:t>0</w:t>
      </w:r>
      <w:r>
        <w:rPr>
          <w:rFonts w:hint="eastAsia"/>
          <w:color w:val="000000" w:themeColor="text1"/>
          <w:szCs w:val="26"/>
          <w14:textFill>
            <w14:solidFill>
              <w14:schemeClr w14:val="tx1"/>
            </w14:solidFill>
          </w14:textFill>
        </w:rPr>
        <w:t>处与噪声源的距离，m；</w:t>
      </w:r>
    </w:p>
    <w:p>
      <w:pPr>
        <w:ind w:firstLine="650" w:firstLineChars="25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ΔL——各种因素引起的衰减量，dB。</w:t>
      </w:r>
    </w:p>
    <w:p>
      <w:pPr>
        <w:ind w:firstLine="52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叠加计算式：</w:t>
      </w:r>
    </w:p>
    <w:p>
      <w:pPr>
        <w:spacing w:line="240" w:lineRule="auto"/>
        <w:ind w:firstLine="0" w:firstLineChars="0"/>
        <w:jc w:val="center"/>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object>
          <v:shape id="_x0000_i1031" o:spt="75" type="#_x0000_t75" style="height:36.9pt;width:117.1pt;" o:ole="t" filled="f" o:preferrelative="t" stroked="f" coordsize="21600,21600">
            <v:path/>
            <v:fill on="f" focussize="0,0"/>
            <v:stroke on="f" joinstyle="miter"/>
            <v:imagedata r:id="rId47" o:title=""/>
            <o:lock v:ext="edit" aspectratio="t"/>
            <w10:wrap type="none"/>
            <w10:anchorlock/>
          </v:shape>
          <o:OLEObject Type="Embed" ProgID="Equation.3" ShapeID="_x0000_i1031" DrawAspect="Content" ObjectID="_1468075731" r:id="rId46">
            <o:LockedField>false</o:LockedField>
          </o:OLEObject>
        </w:object>
      </w:r>
    </w:p>
    <w:p>
      <w:pPr>
        <w:ind w:firstLine="52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式中：L(总)——复合声压级，dB；</w:t>
      </w:r>
    </w:p>
    <w:p>
      <w:pPr>
        <w:ind w:firstLine="520"/>
        <w:rPr>
          <w:color w:val="000000" w:themeColor="text1"/>
          <w14:textFill>
            <w14:solidFill>
              <w14:schemeClr w14:val="tx1"/>
            </w14:solidFill>
          </w14:textFill>
        </w:rPr>
      </w:pPr>
      <w:r>
        <w:rPr>
          <w:rFonts w:hint="eastAsia"/>
          <w:color w:val="000000" w:themeColor="text1"/>
          <w:szCs w:val="26"/>
          <w14:textFill>
            <w14:solidFill>
              <w14:schemeClr w14:val="tx1"/>
            </w14:solidFill>
          </w14:textFill>
        </w:rPr>
        <w:t>Li——背景声压级或各个噪声源的影响声压级，dB。</w:t>
      </w:r>
    </w:p>
    <w:p>
      <w:pPr>
        <w:pStyle w:val="5"/>
      </w:pPr>
      <w:r>
        <w:rPr>
          <w:rFonts w:hint="eastAsia"/>
        </w:rPr>
        <w:t>预测结果</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本项目新增噪声源的厂界噪声贡献值和项目实施后厂区各厂界噪声预测值统计见下表。</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厂界噪声预测结果表</w:t>
      </w:r>
    </w:p>
    <w:tbl>
      <w:tblPr>
        <w:tblStyle w:val="42"/>
        <w:tblW w:w="87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6"/>
        <w:gridCol w:w="1480"/>
        <w:gridCol w:w="1480"/>
        <w:gridCol w:w="1480"/>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856"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方位</w:t>
            </w:r>
          </w:p>
        </w:tc>
        <w:tc>
          <w:tcPr>
            <w:tcW w:w="1480"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南厂界</w:t>
            </w:r>
          </w:p>
        </w:tc>
        <w:tc>
          <w:tcPr>
            <w:tcW w:w="1480"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东厂界</w:t>
            </w:r>
          </w:p>
        </w:tc>
        <w:tc>
          <w:tcPr>
            <w:tcW w:w="1480"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北厂界</w:t>
            </w:r>
          </w:p>
        </w:tc>
        <w:tc>
          <w:tcPr>
            <w:tcW w:w="1481"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西厂界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856"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直线距离</w:t>
            </w:r>
          </w:p>
        </w:tc>
        <w:tc>
          <w:tcPr>
            <w:tcW w:w="1480"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150</w:t>
            </w:r>
          </w:p>
        </w:tc>
        <w:tc>
          <w:tcPr>
            <w:tcW w:w="1480"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230</w:t>
            </w:r>
          </w:p>
        </w:tc>
        <w:tc>
          <w:tcPr>
            <w:tcW w:w="1480"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230</w:t>
            </w:r>
          </w:p>
        </w:tc>
        <w:tc>
          <w:tcPr>
            <w:tcW w:w="1481"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856"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噪声贡献值</w:t>
            </w:r>
          </w:p>
        </w:tc>
        <w:tc>
          <w:tcPr>
            <w:tcW w:w="1480"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40.5 </w:t>
            </w:r>
          </w:p>
        </w:tc>
        <w:tc>
          <w:tcPr>
            <w:tcW w:w="1480"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36.7 </w:t>
            </w:r>
          </w:p>
        </w:tc>
        <w:tc>
          <w:tcPr>
            <w:tcW w:w="1480"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36.7 </w:t>
            </w:r>
          </w:p>
        </w:tc>
        <w:tc>
          <w:tcPr>
            <w:tcW w:w="1481"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30.4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856"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技改前厂界噪声值（昼间）</w:t>
            </w:r>
          </w:p>
        </w:tc>
        <w:tc>
          <w:tcPr>
            <w:tcW w:w="1480"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56</w:t>
            </w:r>
          </w:p>
        </w:tc>
        <w:tc>
          <w:tcPr>
            <w:tcW w:w="1480"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57</w:t>
            </w:r>
          </w:p>
        </w:tc>
        <w:tc>
          <w:tcPr>
            <w:tcW w:w="1480"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66</w:t>
            </w:r>
          </w:p>
        </w:tc>
        <w:tc>
          <w:tcPr>
            <w:tcW w:w="1481"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856"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叠加值</w:t>
            </w:r>
          </w:p>
        </w:tc>
        <w:tc>
          <w:tcPr>
            <w:tcW w:w="1480"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56.1 </w:t>
            </w:r>
          </w:p>
        </w:tc>
        <w:tc>
          <w:tcPr>
            <w:tcW w:w="1480"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57.0 </w:t>
            </w:r>
          </w:p>
        </w:tc>
        <w:tc>
          <w:tcPr>
            <w:tcW w:w="1480"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66.0 </w:t>
            </w:r>
          </w:p>
        </w:tc>
        <w:tc>
          <w:tcPr>
            <w:tcW w:w="1481"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58.3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856"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标准限值</w:t>
            </w:r>
          </w:p>
        </w:tc>
        <w:tc>
          <w:tcPr>
            <w:tcW w:w="1480"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5</w:t>
            </w:r>
          </w:p>
        </w:tc>
        <w:tc>
          <w:tcPr>
            <w:tcW w:w="1480"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5</w:t>
            </w:r>
          </w:p>
        </w:tc>
        <w:tc>
          <w:tcPr>
            <w:tcW w:w="1480"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5</w:t>
            </w:r>
          </w:p>
        </w:tc>
        <w:tc>
          <w:tcPr>
            <w:tcW w:w="1481"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856"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达标情况</w:t>
            </w:r>
          </w:p>
        </w:tc>
        <w:tc>
          <w:tcPr>
            <w:tcW w:w="1480"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1480"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1480"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超标1分贝</w:t>
            </w:r>
          </w:p>
        </w:tc>
        <w:tc>
          <w:tcPr>
            <w:tcW w:w="1481" w:type="dxa"/>
            <w:shd w:val="clear" w:color="auto" w:fill="auto"/>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bl>
    <w:p>
      <w:pPr>
        <w:ind w:firstLine="520"/>
        <w:rPr>
          <w:color w:val="000000" w:themeColor="text1"/>
          <w:sz w:val="22"/>
          <w14:textFill>
            <w14:solidFill>
              <w14:schemeClr w14:val="tx1"/>
            </w14:solidFill>
          </w14:textFill>
        </w:rPr>
      </w:pPr>
      <w:r>
        <w:rPr>
          <w:rFonts w:hint="eastAsia"/>
          <w:color w:val="000000" w:themeColor="text1"/>
          <w14:textFill>
            <w14:solidFill>
              <w14:schemeClr w14:val="tx1"/>
            </w14:solidFill>
          </w14:textFill>
        </w:rPr>
        <w:t>可见，本项目实施后并未导致项目厂界噪声值明显增加。北厂界噪声超标主要是现有项目凉水塔和水泵等噪声源造成的，北厂界外为园区道路和空地，无居民点分布，不会造成噪声扰民。</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地下水环境影响分析与评价</w:t>
      </w:r>
    </w:p>
    <w:p>
      <w:pPr>
        <w:pStyle w:val="125"/>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本项目涉及醇沉药渣不暂存，直接从槽车中通过上料系统喷入循环流化床锅炉焚烧，清洗废水也直接通过喷枪喷入锅炉焚烧。项目正常情况下无地下水污染途径，不会对地下水环境造成不利影响。</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固废环境影响分析与评价</w:t>
      </w:r>
    </w:p>
    <w:p>
      <w:pPr>
        <w:ind w:firstLine="520"/>
        <w:rPr>
          <w:color w:val="000000" w:themeColor="text1"/>
          <w:szCs w:val="26"/>
          <w14:textFill>
            <w14:solidFill>
              <w14:schemeClr w14:val="tx1"/>
            </w14:solidFill>
          </w14:textFill>
        </w:rPr>
      </w:pPr>
      <w:r>
        <w:rPr>
          <w:rFonts w:hint="eastAsia"/>
          <w:color w:val="000000" w:themeColor="text1"/>
          <w14:textFill>
            <w14:solidFill>
              <w14:schemeClr w14:val="tx1"/>
            </w14:solidFill>
          </w14:textFill>
        </w:rPr>
        <w:t>本项目无固体废物产生，不会造成二次污染。</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土壤环境影响分析</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本项目涉及醇沉药渣中各有害物质含量均低于煤炭中有害物质含量，并可减少锅炉的耗煤量，从而可使焚烧废气中有害物质含量进一步降低。根据本次环评对厂区内土壤环境监测结果（见表4</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），土壤环境质量现状较好，电厂运行多年，并未对土壤造成污染。</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且醇沉药渣直接从槽车中通过上料系统喷入循环流化床锅炉焚烧，不暂存，无土壤污染途径。因此，本项目实施不会对土壤环境造成不利影响。</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生态环境影响分析</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本项目位于陕渝临港热电厂厂区内，对区域生态环境无不利影响。</w:t>
      </w:r>
    </w:p>
    <w:p>
      <w:pPr>
        <w:ind w:firstLine="520"/>
        <w:rPr>
          <w:color w:val="000000" w:themeColor="text1"/>
          <w14:textFill>
            <w14:solidFill>
              <w14:schemeClr w14:val="tx1"/>
            </w14:solidFill>
          </w14:textFill>
        </w:rPr>
        <w:sectPr>
          <w:pgSz w:w="11906" w:h="16838"/>
          <w:pgMar w:top="1418" w:right="1418" w:bottom="1418" w:left="1701" w:header="851" w:footer="992" w:gutter="0"/>
          <w:cols w:space="425" w:num="1"/>
          <w:docGrid w:type="linesAndChars" w:linePitch="312" w:charSpace="0"/>
        </w:sectPr>
      </w:pPr>
    </w:p>
    <w:p>
      <w:pPr>
        <w:pStyle w:val="2"/>
      </w:pPr>
      <w:bookmarkStart w:id="131" w:name="_Toc109888265"/>
      <w:r>
        <w:rPr>
          <w:rFonts w:hint="eastAsia"/>
        </w:rPr>
        <w:t>环境风险评价</w:t>
      </w:r>
      <w:bookmarkEnd w:id="131"/>
    </w:p>
    <w:p>
      <w:pPr>
        <w:pStyle w:val="3"/>
      </w:pPr>
      <w:bookmarkStart w:id="132" w:name="_Toc109888266"/>
      <w:r>
        <w:rPr>
          <w:rFonts w:hint="eastAsia"/>
        </w:rPr>
        <w:t>风险源调查</w:t>
      </w:r>
      <w:bookmarkEnd w:id="132"/>
    </w:p>
    <w:p>
      <w:pPr>
        <w:ind w:firstLine="52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根据《建设项目环境风险评价技术 导则》</w:t>
      </w:r>
      <w:r>
        <w:rPr>
          <w:color w:val="000000" w:themeColor="text1"/>
          <w:kern w:val="0"/>
          <w14:textFill>
            <w14:solidFill>
              <w14:schemeClr w14:val="tx1"/>
            </w14:solidFill>
          </w14:textFill>
        </w:rPr>
        <w:t>（HJ169-20</w:t>
      </w:r>
      <w:r>
        <w:rPr>
          <w:rFonts w:hint="eastAsia"/>
          <w:color w:val="000000" w:themeColor="text1"/>
          <w:kern w:val="0"/>
          <w14:textFill>
            <w14:solidFill>
              <w14:schemeClr w14:val="tx1"/>
            </w14:solidFill>
          </w14:textFill>
        </w:rPr>
        <w:t>18</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w:t>
      </w:r>
      <w:r>
        <w:rPr>
          <w:rFonts w:hint="eastAsia" w:ascii="宋体" w:hAnsi="宋体"/>
          <w:color w:val="000000" w:themeColor="text1"/>
          <w:kern w:val="0"/>
          <w14:textFill>
            <w14:solidFill>
              <w14:schemeClr w14:val="tx1"/>
            </w14:solidFill>
          </w14:textFill>
        </w:rPr>
        <w:t>①“</w:t>
      </w:r>
      <w:r>
        <w:rPr>
          <w:color w:val="000000" w:themeColor="text1"/>
          <w:kern w:val="0"/>
          <w14:textFill>
            <w14:solidFill>
              <w14:schemeClr w14:val="tx1"/>
            </w14:solidFill>
          </w14:textFill>
        </w:rPr>
        <w:t>风险源</w:t>
      </w:r>
      <w:r>
        <w:rPr>
          <w:rFonts w:hint="eastAsia" w:ascii="宋体" w:hAnsi="宋体"/>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的定义为：</w:t>
      </w:r>
      <w:r>
        <w:rPr>
          <w:color w:val="000000" w:themeColor="text1"/>
          <w:kern w:val="0"/>
          <w14:textFill>
            <w14:solidFill>
              <w14:schemeClr w14:val="tx1"/>
            </w14:solidFill>
          </w14:textFill>
        </w:rPr>
        <w:t>存在物质或能量意外释放，并可能产生环境危害的源。</w:t>
      </w:r>
      <w:r>
        <w:rPr>
          <w:rFonts w:hint="eastAsia"/>
          <w:color w:val="000000" w:themeColor="text1"/>
          <w:kern w:val="0"/>
          <w14:textFill>
            <w14:solidFill>
              <w14:schemeClr w14:val="tx1"/>
            </w14:solidFill>
          </w14:textFill>
        </w:rPr>
        <w:t>②“</w:t>
      </w:r>
      <w:r>
        <w:rPr>
          <w:color w:val="000000" w:themeColor="text1"/>
          <w:kern w:val="0"/>
          <w14:textFill>
            <w14:solidFill>
              <w14:schemeClr w14:val="tx1"/>
            </w14:solidFill>
          </w14:textFill>
        </w:rPr>
        <w:t>危险物质</w:t>
      </w:r>
      <w:r>
        <w:rPr>
          <w:rFonts w:hint="eastAsia"/>
          <w:color w:val="000000" w:themeColor="text1"/>
          <w:kern w:val="0"/>
          <w14:textFill>
            <w14:solidFill>
              <w14:schemeClr w14:val="tx1"/>
            </w14:solidFill>
          </w14:textFill>
        </w:rPr>
        <w:t>”的定义为：</w:t>
      </w:r>
      <w:r>
        <w:rPr>
          <w:color w:val="000000" w:themeColor="text1"/>
          <w:kern w:val="0"/>
          <w14:textFill>
            <w14:solidFill>
              <w14:schemeClr w14:val="tx1"/>
            </w14:solidFill>
          </w14:textFill>
        </w:rPr>
        <w:t>具有易燃易爆、有毒有害等特性，会对环境造成危害的物质。</w:t>
      </w:r>
      <w:r>
        <w:rPr>
          <w:rFonts w:hint="eastAsia"/>
          <w:color w:val="000000" w:themeColor="text1"/>
          <w:kern w:val="0"/>
          <w14:textFill>
            <w14:solidFill>
              <w14:schemeClr w14:val="tx1"/>
            </w14:solidFill>
          </w14:textFill>
        </w:rPr>
        <w:t>③“</w:t>
      </w:r>
      <w:r>
        <w:rPr>
          <w:color w:val="000000" w:themeColor="text1"/>
          <w:kern w:val="0"/>
          <w14:textFill>
            <w14:solidFill>
              <w14:schemeClr w14:val="tx1"/>
            </w14:solidFill>
          </w14:textFill>
        </w:rPr>
        <w:t>危险单元</w:t>
      </w:r>
      <w:r>
        <w:rPr>
          <w:rFonts w:hint="eastAsia"/>
          <w:color w:val="000000" w:themeColor="text1"/>
          <w:kern w:val="0"/>
          <w14:textFill>
            <w14:solidFill>
              <w14:schemeClr w14:val="tx1"/>
            </w14:solidFill>
          </w14:textFill>
        </w:rPr>
        <w:t>”的定义为：</w:t>
      </w:r>
      <w:r>
        <w:rPr>
          <w:color w:val="000000" w:themeColor="text1"/>
          <w:kern w:val="0"/>
          <w14:textFill>
            <w14:solidFill>
              <w14:schemeClr w14:val="tx1"/>
            </w14:solidFill>
          </w14:textFill>
        </w:rPr>
        <w:t>由一个或多个风险源构成的具有相对独立功能的单元，事故状况下应可实现与其他功能单元的分割。</w:t>
      </w:r>
    </w:p>
    <w:p>
      <w:pPr>
        <w:ind w:firstLine="52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本项目涉及的物质为醇沉药渣及上料系统清洗废水，涉及的工艺过程为上料、焚烧。醇沉药渣暴露在环境中会散发一定异味，但本身</w:t>
      </w:r>
      <w:bookmarkStart w:id="133" w:name="_Hlk106695420"/>
      <w:r>
        <w:rPr>
          <w:rFonts w:hint="eastAsia"/>
          <w:color w:val="000000" w:themeColor="text1"/>
          <w:kern w:val="0"/>
          <w14:textFill>
            <w14:solidFill>
              <w14:schemeClr w14:val="tx1"/>
            </w14:solidFill>
          </w14:textFill>
        </w:rPr>
        <w:t>“无毒无害”、不具有“</w:t>
      </w:r>
      <w:r>
        <w:rPr>
          <w:color w:val="000000" w:themeColor="text1"/>
          <w:kern w:val="0"/>
          <w14:textFill>
            <w14:solidFill>
              <w14:schemeClr w14:val="tx1"/>
            </w14:solidFill>
          </w14:textFill>
        </w:rPr>
        <w:t>易燃</w:t>
      </w: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t>易爆</w:t>
      </w:r>
      <w:r>
        <w:rPr>
          <w:rFonts w:hint="eastAsia"/>
          <w:color w:val="000000" w:themeColor="text1"/>
          <w:kern w:val="0"/>
          <w14:textFill>
            <w14:solidFill>
              <w14:schemeClr w14:val="tx1"/>
            </w14:solidFill>
          </w14:textFill>
        </w:rPr>
        <w:t>、腐蚀性”等危险特性，不属于“危险物质”。醇沉药渣在槽车内及上料系统的温度为7</w:t>
      </w:r>
      <w:r>
        <w:rPr>
          <w:color w:val="000000" w:themeColor="text1"/>
          <w:kern w:val="0"/>
          <w14:textFill>
            <w14:solidFill>
              <w14:schemeClr w14:val="tx1"/>
            </w14:solidFill>
          </w14:textFill>
        </w:rPr>
        <w:t>0℃以上，</w:t>
      </w:r>
      <w:r>
        <w:rPr>
          <w:rFonts w:hint="eastAsia"/>
          <w:color w:val="000000" w:themeColor="text1"/>
          <w:kern w:val="0"/>
          <w14:textFill>
            <w14:solidFill>
              <w14:schemeClr w14:val="tx1"/>
            </w14:solidFill>
          </w14:textFill>
        </w:rPr>
        <w:t>是一种黏稠的膏体，</w:t>
      </w:r>
      <w:r>
        <w:rPr>
          <w:color w:val="000000" w:themeColor="text1"/>
          <w:kern w:val="0"/>
          <w14:textFill>
            <w14:solidFill>
              <w14:schemeClr w14:val="tx1"/>
            </w14:solidFill>
          </w14:textFill>
        </w:rPr>
        <w:t>当</w:t>
      </w:r>
      <w:r>
        <w:rPr>
          <w:rFonts w:hint="eastAsia"/>
          <w:color w:val="000000" w:themeColor="text1"/>
          <w:kern w:val="0"/>
          <w14:textFill>
            <w14:solidFill>
              <w14:schemeClr w14:val="tx1"/>
            </w14:solidFill>
          </w14:textFill>
        </w:rPr>
        <w:t>醇沉药渣温度降至40℃时将会凝固，不具有流动性。</w:t>
      </w:r>
    </w:p>
    <w:p>
      <w:pPr>
        <w:ind w:firstLine="52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通过上述分析，醇沉药渣不属于“危险物质”。</w:t>
      </w:r>
      <w:bookmarkEnd w:id="133"/>
    </w:p>
    <w:p>
      <w:pPr>
        <w:ind w:firstLine="52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由于醇沉药渣主要成分为有机物，且粘性大，因此为了避免管道、阀门堵塞，每一槽车上料完毕后均需使用高温（9</w:t>
      </w:r>
      <w:r>
        <w:rPr>
          <w:color w:val="000000" w:themeColor="text1"/>
          <w:kern w:val="0"/>
          <w14:textFill>
            <w14:solidFill>
              <w14:schemeClr w14:val="tx1"/>
            </w14:solidFill>
          </w14:textFill>
        </w:rPr>
        <w:t>0</w:t>
      </w: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t>100</w:t>
      </w:r>
      <w:r>
        <w:rPr>
          <w:rFonts w:hint="eastAsia"/>
          <w:color w:val="000000" w:themeColor="text1"/>
          <w:kern w:val="0"/>
          <w14:textFill>
            <w14:solidFill>
              <w14:schemeClr w14:val="tx1"/>
            </w14:solidFill>
          </w14:textFill>
        </w:rPr>
        <w:t>℃）热水清洗槽车和上料系统，每次清洗水量</w:t>
      </w:r>
      <w:r>
        <w:rPr>
          <w:color w:val="000000" w:themeColor="text1"/>
          <w:kern w:val="0"/>
          <w14:textFill>
            <w14:solidFill>
              <w14:schemeClr w14:val="tx1"/>
            </w14:solidFill>
          </w14:textFill>
        </w:rPr>
        <w:t>0.17</w:t>
      </w:r>
      <w:r>
        <w:rPr>
          <w:rFonts w:hint="eastAsia"/>
          <w:color w:val="000000" w:themeColor="text1"/>
          <w:kern w:val="0"/>
          <w14:textFill>
            <w14:solidFill>
              <w14:schemeClr w14:val="tx1"/>
            </w14:solidFill>
          </w14:textFill>
        </w:rPr>
        <w:t>m³，清洗废水通过上料系统的喷枪喷入锅炉焚烧。</w:t>
      </w:r>
    </w:p>
    <w:p>
      <w:pPr>
        <w:ind w:firstLine="52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预计</w:t>
      </w:r>
      <w:bookmarkStart w:id="134" w:name="_Hlk106550934"/>
      <w:r>
        <w:rPr>
          <w:rFonts w:hint="eastAsia"/>
          <w:color w:val="000000" w:themeColor="text1"/>
          <w:kern w:val="0"/>
          <w14:textFill>
            <w14:solidFill>
              <w14:schemeClr w14:val="tx1"/>
            </w14:solidFill>
          </w14:textFill>
        </w:rPr>
        <w:t>清洗废水</w:t>
      </w:r>
      <w:bookmarkEnd w:id="134"/>
      <w:r>
        <w:rPr>
          <w:rFonts w:hint="eastAsia"/>
          <w:color w:val="000000" w:themeColor="text1"/>
          <w:kern w:val="0"/>
          <w14:textFill>
            <w14:solidFill>
              <w14:schemeClr w14:val="tx1"/>
            </w14:solidFill>
          </w14:textFill>
        </w:rPr>
        <w:t>中</w:t>
      </w:r>
      <w:r>
        <w:rPr>
          <w:color w:val="000000" w:themeColor="text1"/>
          <w14:textFill>
            <w14:solidFill>
              <w14:schemeClr w14:val="tx1"/>
            </w14:solidFill>
          </w14:textFill>
        </w:rPr>
        <w:t>COD</w:t>
      </w:r>
      <w:r>
        <w:rPr>
          <w:color w:val="000000" w:themeColor="text1"/>
          <w:vertAlign w:val="subscript"/>
          <w14:textFill>
            <w14:solidFill>
              <w14:schemeClr w14:val="tx1"/>
            </w14:solidFill>
          </w14:textFill>
        </w:rPr>
        <w:t>Cr</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r>
        <w:rPr>
          <w:rFonts w:hint="eastAsia"/>
          <w:color w:val="000000" w:themeColor="text1"/>
          <w14:textFill>
            <w14:solidFill>
              <w14:schemeClr w14:val="tx1"/>
            </w14:solidFill>
          </w14:textFill>
        </w:rPr>
        <w:t>等可生化性指标浓度较高。根据《建设项目环境风险评价技术 导则》</w:t>
      </w:r>
      <w:r>
        <w:rPr>
          <w:color w:val="000000" w:themeColor="text1"/>
          <w14:textFill>
            <w14:solidFill>
              <w14:schemeClr w14:val="tx1"/>
            </w14:solidFill>
          </w14:textFill>
        </w:rPr>
        <w:t>（HJ169-20</w:t>
      </w:r>
      <w:r>
        <w:rPr>
          <w:rFonts w:hint="eastAsia"/>
          <w:color w:val="000000" w:themeColor="text1"/>
          <w14:textFill>
            <w14:solidFill>
              <w14:schemeClr w14:val="tx1"/>
            </w14:solidFill>
          </w14:textFill>
        </w:rPr>
        <w:t>18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COD</w:t>
      </w:r>
      <w:r>
        <w:rPr>
          <w:color w:val="000000" w:themeColor="text1"/>
          <w:vertAlign w:val="subscript"/>
          <w14:textFill>
            <w14:solidFill>
              <w14:schemeClr w14:val="tx1"/>
            </w14:solidFill>
          </w14:textFill>
        </w:rPr>
        <w:t>Cr</w:t>
      </w:r>
      <w:r>
        <w:rPr>
          <w:color w:val="000000" w:themeColor="text1"/>
          <w14:textFill>
            <w14:solidFill>
              <w14:schemeClr w14:val="tx1"/>
            </w14:solidFill>
          </w14:textFill>
        </w:rPr>
        <w:t>浓度≥10000mg/L 的有机废液</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-N浓度≥2000mg/L的废液</w:t>
      </w:r>
      <w:r>
        <w:rPr>
          <w:rFonts w:hint="eastAsia"/>
          <w:color w:val="000000" w:themeColor="text1"/>
          <w14:textFill>
            <w14:solidFill>
              <w14:schemeClr w14:val="tx1"/>
            </w14:solidFill>
          </w14:textFill>
        </w:rPr>
        <w:t>”属于“</w:t>
      </w:r>
      <w:r>
        <w:rPr>
          <w:color w:val="000000" w:themeColor="text1"/>
          <w14:textFill>
            <w14:solidFill>
              <w14:schemeClr w14:val="tx1"/>
            </w14:solidFill>
          </w14:textFill>
        </w:rPr>
        <w:t>突发环境事件风险物质</w:t>
      </w:r>
      <w:r>
        <w:rPr>
          <w:rFonts w:hint="eastAsia"/>
          <w:color w:val="000000" w:themeColor="text1"/>
          <w14:textFill>
            <w14:solidFill>
              <w14:schemeClr w14:val="tx1"/>
            </w14:solidFill>
          </w14:textFill>
        </w:rPr>
        <w:t>”，临界量分别为1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吨、5吨。因此，本评价将“清洗废水”参照“</w:t>
      </w:r>
      <w:r>
        <w:rPr>
          <w:color w:val="000000" w:themeColor="text1"/>
          <w14:textFill>
            <w14:solidFill>
              <w14:schemeClr w14:val="tx1"/>
            </w14:solidFill>
          </w14:textFill>
        </w:rPr>
        <w:t>COD</w:t>
      </w:r>
      <w:r>
        <w:rPr>
          <w:color w:val="000000" w:themeColor="text1"/>
          <w:vertAlign w:val="subscript"/>
          <w14:textFill>
            <w14:solidFill>
              <w14:schemeClr w14:val="tx1"/>
            </w14:solidFill>
          </w14:textFill>
        </w:rPr>
        <w:t>Cr</w:t>
      </w:r>
      <w:r>
        <w:rPr>
          <w:color w:val="000000" w:themeColor="text1"/>
          <w14:textFill>
            <w14:solidFill>
              <w14:schemeClr w14:val="tx1"/>
            </w14:solidFill>
          </w14:textFill>
        </w:rPr>
        <w:t>浓度≥10000mg/L 的有机废液</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-N浓度≥2000mg/L的废液</w:t>
      </w:r>
      <w:r>
        <w:rPr>
          <w:rFonts w:hint="eastAsia"/>
          <w:color w:val="000000" w:themeColor="text1"/>
          <w14:textFill>
            <w14:solidFill>
              <w14:schemeClr w14:val="tx1"/>
            </w14:solidFill>
          </w14:textFill>
        </w:rPr>
        <w:t>”类风险物质进行环境风险评价。</w:t>
      </w:r>
    </w:p>
    <w:p>
      <w:pPr>
        <w:pStyle w:val="3"/>
      </w:pPr>
      <w:bookmarkStart w:id="135" w:name="_Toc109888267"/>
      <w:r>
        <w:rPr>
          <w:rFonts w:hint="eastAsia"/>
        </w:rPr>
        <w:t>风险潜势初判</w:t>
      </w:r>
      <w:bookmarkEnd w:id="135"/>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P的分级确定</w:t>
      </w:r>
    </w:p>
    <w:p>
      <w:pPr>
        <w:pStyle w:val="5"/>
      </w:pPr>
      <w:r>
        <w:rPr>
          <w:rFonts w:hint="eastAsia"/>
        </w:rPr>
        <w:t>危险物质数量与临界量比值（</w:t>
      </w:r>
      <w:r>
        <w:t>Q</w:t>
      </w:r>
      <w:r>
        <w:rPr>
          <w:rFonts w:hint="eastAsia"/>
        </w:rPr>
        <w:t>）</w:t>
      </w:r>
    </w:p>
    <w:p>
      <w:pPr>
        <w:ind w:firstLine="520"/>
        <w:rPr>
          <w:color w:val="000000" w:themeColor="text1"/>
          <w:szCs w:val="26"/>
          <w14:textFill>
            <w14:solidFill>
              <w14:schemeClr w14:val="tx1"/>
            </w14:solidFill>
          </w14:textFill>
        </w:rPr>
      </w:pPr>
      <w:r>
        <w:rPr>
          <w:color w:val="000000" w:themeColor="text1"/>
          <w:szCs w:val="26"/>
          <w14:textFill>
            <w14:solidFill>
              <w14:schemeClr w14:val="tx1"/>
            </w14:solidFill>
          </w14:textFill>
        </w:rPr>
        <w:t>根据《</w:t>
      </w:r>
      <w:r>
        <w:rPr>
          <w:rFonts w:hint="eastAsia"/>
          <w:color w:val="000000" w:themeColor="text1"/>
          <w:szCs w:val="26"/>
          <w14:textFill>
            <w14:solidFill>
              <w14:schemeClr w14:val="tx1"/>
            </w14:solidFill>
          </w14:textFill>
        </w:rPr>
        <w:t>建设项目环境风险评价技术导则</w:t>
      </w:r>
      <w:r>
        <w:rPr>
          <w:color w:val="000000" w:themeColor="text1"/>
          <w:szCs w:val="26"/>
          <w14:textFill>
            <w14:solidFill>
              <w14:schemeClr w14:val="tx1"/>
            </w14:solidFill>
          </w14:textFill>
        </w:rPr>
        <w:t>》</w:t>
      </w:r>
      <w:r>
        <w:rPr>
          <w:rFonts w:hint="eastAsia"/>
          <w:color w:val="000000" w:themeColor="text1"/>
          <w:szCs w:val="26"/>
          <w14:textFill>
            <w14:solidFill>
              <w14:schemeClr w14:val="tx1"/>
            </w14:solidFill>
          </w14:textFill>
        </w:rPr>
        <w:t>(</w:t>
      </w:r>
      <w:r>
        <w:rPr>
          <w:color w:val="000000" w:themeColor="text1"/>
          <w:szCs w:val="26"/>
          <w14:textFill>
            <w14:solidFill>
              <w14:schemeClr w14:val="tx1"/>
            </w14:solidFill>
          </w14:textFill>
        </w:rPr>
        <w:t>HJ169</w:t>
      </w:r>
      <w:r>
        <w:rPr>
          <w:rFonts w:hint="eastAsia"/>
          <w:color w:val="000000" w:themeColor="text1"/>
          <w:szCs w:val="26"/>
          <w14:textFill>
            <w14:solidFill>
              <w14:schemeClr w14:val="tx1"/>
            </w14:solidFill>
          </w14:textFill>
        </w:rPr>
        <w:t>-</w:t>
      </w:r>
      <w:r>
        <w:rPr>
          <w:color w:val="000000" w:themeColor="text1"/>
          <w:szCs w:val="26"/>
          <w14:textFill>
            <w14:solidFill>
              <w14:schemeClr w14:val="tx1"/>
            </w14:solidFill>
          </w14:textFill>
        </w:rPr>
        <w:t>2018)</w:t>
      </w:r>
      <w:r>
        <w:rPr>
          <w:rFonts w:hint="eastAsia"/>
          <w:color w:val="000000" w:themeColor="text1"/>
          <w:szCs w:val="26"/>
          <w14:textFill>
            <w14:solidFill>
              <w14:schemeClr w14:val="tx1"/>
            </w14:solidFill>
          </w14:textFill>
        </w:rPr>
        <w:t>计算危险物质数量与临界量比值：</w:t>
      </w:r>
    </w:p>
    <w:p>
      <w:pPr>
        <w:ind w:firstLine="52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w:t>
      </w:r>
      <w:r>
        <w:rPr>
          <w:color w:val="000000" w:themeColor="text1"/>
          <w:szCs w:val="26"/>
          <w14:textFill>
            <w14:solidFill>
              <w14:schemeClr w14:val="tx1"/>
            </w14:solidFill>
          </w14:textFill>
        </w:rPr>
        <w:t>1)</w:t>
      </w:r>
      <w:r>
        <w:rPr>
          <w:rFonts w:hint="eastAsia"/>
          <w:color w:val="000000" w:themeColor="text1"/>
          <w:szCs w:val="26"/>
          <w14:textFill>
            <w14:solidFill>
              <w14:schemeClr w14:val="tx1"/>
            </w14:solidFill>
          </w14:textFill>
        </w:rPr>
        <w:t>当只涉及一种危险物质时，计算该物质的总量与其临界量比值，即为Q；</w:t>
      </w:r>
    </w:p>
    <w:p>
      <w:pPr>
        <w:ind w:firstLine="52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w:t>
      </w:r>
      <w:r>
        <w:rPr>
          <w:color w:val="000000" w:themeColor="text1"/>
          <w:szCs w:val="26"/>
          <w14:textFill>
            <w14:solidFill>
              <w14:schemeClr w14:val="tx1"/>
            </w14:solidFill>
          </w14:textFill>
        </w:rPr>
        <w:t>2</w:t>
      </w:r>
      <w:r>
        <w:rPr>
          <w:rFonts w:hint="eastAsia"/>
          <w:color w:val="000000" w:themeColor="text1"/>
          <w:szCs w:val="26"/>
          <w14:textFill>
            <w14:solidFill>
              <w14:schemeClr w14:val="tx1"/>
            </w14:solidFill>
          </w14:textFill>
        </w:rPr>
        <w:t>)当存在多种危险物质时，则按式(C.1)计算物质总量与其临界量比值(Q)；</w:t>
      </w:r>
    </w:p>
    <w:p>
      <w:pPr>
        <w:ind w:firstLine="520"/>
        <w:jc w:val="center"/>
        <w:rPr>
          <w:color w:val="000000" w:themeColor="text1"/>
          <w:szCs w:val="26"/>
          <w14:textFill>
            <w14:solidFill>
              <w14:schemeClr w14:val="tx1"/>
            </w14:solidFill>
          </w14:textFill>
        </w:rPr>
      </w:pPr>
      <w:r>
        <w:rPr>
          <w:color w:val="000000" w:themeColor="text1"/>
          <w:szCs w:val="26"/>
          <w14:textFill>
            <w14:solidFill>
              <w14:schemeClr w14:val="tx1"/>
            </w14:solidFill>
          </w14:textFill>
        </w:rPr>
        <w:t>Q=q</w:t>
      </w:r>
      <w:r>
        <w:rPr>
          <w:color w:val="000000" w:themeColor="text1"/>
          <w:szCs w:val="26"/>
          <w:vertAlign w:val="subscript"/>
          <w14:textFill>
            <w14:solidFill>
              <w14:schemeClr w14:val="tx1"/>
            </w14:solidFill>
          </w14:textFill>
        </w:rPr>
        <w:t>1</w:t>
      </w:r>
      <w:r>
        <w:rPr>
          <w:color w:val="000000" w:themeColor="text1"/>
          <w:szCs w:val="26"/>
          <w14:textFill>
            <w14:solidFill>
              <w14:schemeClr w14:val="tx1"/>
            </w14:solidFill>
          </w14:textFill>
        </w:rPr>
        <w:t>/Q</w:t>
      </w:r>
      <w:r>
        <w:rPr>
          <w:color w:val="000000" w:themeColor="text1"/>
          <w:szCs w:val="26"/>
          <w:vertAlign w:val="subscript"/>
          <w14:textFill>
            <w14:solidFill>
              <w14:schemeClr w14:val="tx1"/>
            </w14:solidFill>
          </w14:textFill>
        </w:rPr>
        <w:t>1</w:t>
      </w:r>
      <w:r>
        <w:rPr>
          <w:color w:val="000000" w:themeColor="text1"/>
          <w:szCs w:val="26"/>
          <w14:textFill>
            <w14:solidFill>
              <w14:schemeClr w14:val="tx1"/>
            </w14:solidFill>
          </w14:textFill>
        </w:rPr>
        <w:t>+ q</w:t>
      </w:r>
      <w:r>
        <w:rPr>
          <w:color w:val="000000" w:themeColor="text1"/>
          <w:szCs w:val="26"/>
          <w:vertAlign w:val="subscript"/>
          <w14:textFill>
            <w14:solidFill>
              <w14:schemeClr w14:val="tx1"/>
            </w14:solidFill>
          </w14:textFill>
        </w:rPr>
        <w:t>2</w:t>
      </w:r>
      <w:r>
        <w:rPr>
          <w:color w:val="000000" w:themeColor="text1"/>
          <w:szCs w:val="26"/>
          <w14:textFill>
            <w14:solidFill>
              <w14:schemeClr w14:val="tx1"/>
            </w14:solidFill>
          </w14:textFill>
        </w:rPr>
        <w:t>/Q</w:t>
      </w:r>
      <w:r>
        <w:rPr>
          <w:color w:val="000000" w:themeColor="text1"/>
          <w:szCs w:val="26"/>
          <w:vertAlign w:val="subscript"/>
          <w14:textFill>
            <w14:solidFill>
              <w14:schemeClr w14:val="tx1"/>
            </w14:solidFill>
          </w14:textFill>
        </w:rPr>
        <w:t>2</w:t>
      </w:r>
      <w:r>
        <w:rPr>
          <w:color w:val="000000" w:themeColor="text1"/>
          <w:szCs w:val="26"/>
          <w14:textFill>
            <w14:solidFill>
              <w14:schemeClr w14:val="tx1"/>
            </w14:solidFill>
          </w14:textFill>
        </w:rPr>
        <w:t>+ q</w:t>
      </w:r>
      <w:r>
        <w:rPr>
          <w:color w:val="000000" w:themeColor="text1"/>
          <w:szCs w:val="26"/>
          <w:vertAlign w:val="subscript"/>
          <w14:textFill>
            <w14:solidFill>
              <w14:schemeClr w14:val="tx1"/>
            </w14:solidFill>
          </w14:textFill>
        </w:rPr>
        <w:t>n</w:t>
      </w:r>
      <w:r>
        <w:rPr>
          <w:color w:val="000000" w:themeColor="text1"/>
          <w:szCs w:val="26"/>
          <w14:textFill>
            <w14:solidFill>
              <w14:schemeClr w14:val="tx1"/>
            </w14:solidFill>
          </w14:textFill>
        </w:rPr>
        <w:t>/Q</w:t>
      </w:r>
      <w:r>
        <w:rPr>
          <w:color w:val="000000" w:themeColor="text1"/>
          <w:szCs w:val="26"/>
          <w:vertAlign w:val="subscript"/>
          <w14:textFill>
            <w14:solidFill>
              <w14:schemeClr w14:val="tx1"/>
            </w14:solidFill>
          </w14:textFill>
        </w:rPr>
        <w:t>n</w:t>
      </w:r>
      <w:r>
        <w:rPr>
          <w:color w:val="000000" w:themeColor="text1"/>
          <w:szCs w:val="26"/>
          <w14:textFill>
            <w14:solidFill>
              <w14:schemeClr w14:val="tx1"/>
            </w14:solidFill>
          </w14:textFill>
        </w:rPr>
        <w:t xml:space="preserve">   (C.1)</w:t>
      </w:r>
    </w:p>
    <w:p>
      <w:pPr>
        <w:ind w:firstLine="520"/>
        <w:rPr>
          <w:color w:val="000000" w:themeColor="text1"/>
          <w:szCs w:val="26"/>
          <w14:textFill>
            <w14:solidFill>
              <w14:schemeClr w14:val="tx1"/>
            </w14:solidFill>
          </w14:textFill>
        </w:rPr>
      </w:pPr>
      <w:r>
        <w:rPr>
          <w:color w:val="000000" w:themeColor="text1"/>
          <w:szCs w:val="26"/>
          <w14:textFill>
            <w14:solidFill>
              <w14:schemeClr w14:val="tx1"/>
            </w14:solidFill>
          </w14:textFill>
        </w:rPr>
        <w:t>式中，q</w:t>
      </w:r>
      <w:r>
        <w:rPr>
          <w:color w:val="000000" w:themeColor="text1"/>
          <w:szCs w:val="26"/>
          <w:vertAlign w:val="subscript"/>
          <w14:textFill>
            <w14:solidFill>
              <w14:schemeClr w14:val="tx1"/>
            </w14:solidFill>
          </w14:textFill>
        </w:rPr>
        <w:t>1</w:t>
      </w:r>
      <w:r>
        <w:rPr>
          <w:color w:val="000000" w:themeColor="text1"/>
          <w:szCs w:val="26"/>
          <w14:textFill>
            <w14:solidFill>
              <w14:schemeClr w14:val="tx1"/>
            </w14:solidFill>
          </w14:textFill>
        </w:rPr>
        <w:t>，q</w:t>
      </w:r>
      <w:r>
        <w:rPr>
          <w:color w:val="000000" w:themeColor="text1"/>
          <w:szCs w:val="26"/>
          <w:vertAlign w:val="subscript"/>
          <w14:textFill>
            <w14:solidFill>
              <w14:schemeClr w14:val="tx1"/>
            </w14:solidFill>
          </w14:textFill>
        </w:rPr>
        <w:t>2</w:t>
      </w:r>
      <w:r>
        <w:rPr>
          <w:color w:val="000000" w:themeColor="text1"/>
          <w:szCs w:val="26"/>
          <w14:textFill>
            <w14:solidFill>
              <w14:schemeClr w14:val="tx1"/>
            </w14:solidFill>
          </w14:textFill>
        </w:rPr>
        <w:t>，…，q</w:t>
      </w:r>
      <w:r>
        <w:rPr>
          <w:color w:val="000000" w:themeColor="text1"/>
          <w:szCs w:val="26"/>
          <w:vertAlign w:val="subscript"/>
          <w14:textFill>
            <w14:solidFill>
              <w14:schemeClr w14:val="tx1"/>
            </w14:solidFill>
          </w14:textFill>
        </w:rPr>
        <w:t>n</w:t>
      </w:r>
      <w:r>
        <w:rPr>
          <w:color w:val="000000" w:themeColor="text1"/>
          <w:szCs w:val="26"/>
          <w14:textFill>
            <w14:solidFill>
              <w14:schemeClr w14:val="tx1"/>
            </w14:solidFill>
          </w14:textFill>
        </w:rPr>
        <w:t>——每种</w:t>
      </w:r>
      <w:r>
        <w:rPr>
          <w:rFonts w:hint="eastAsia"/>
          <w:color w:val="000000" w:themeColor="text1"/>
          <w:szCs w:val="26"/>
          <w14:textFill>
            <w14:solidFill>
              <w14:schemeClr w14:val="tx1"/>
            </w14:solidFill>
          </w14:textFill>
        </w:rPr>
        <w:t>危险物质的最大</w:t>
      </w:r>
      <w:r>
        <w:rPr>
          <w:color w:val="000000" w:themeColor="text1"/>
          <w:szCs w:val="26"/>
          <w14:textFill>
            <w14:solidFill>
              <w14:schemeClr w14:val="tx1"/>
            </w14:solidFill>
          </w14:textFill>
        </w:rPr>
        <w:t>存在量，t；</w:t>
      </w:r>
    </w:p>
    <w:p>
      <w:pPr>
        <w:ind w:firstLine="520"/>
        <w:rPr>
          <w:color w:val="000000" w:themeColor="text1"/>
          <w:szCs w:val="26"/>
          <w14:textFill>
            <w14:solidFill>
              <w14:schemeClr w14:val="tx1"/>
            </w14:solidFill>
          </w14:textFill>
        </w:rPr>
      </w:pPr>
      <w:r>
        <w:rPr>
          <w:color w:val="000000" w:themeColor="text1"/>
          <w:szCs w:val="26"/>
          <w14:textFill>
            <w14:solidFill>
              <w14:schemeClr w14:val="tx1"/>
            </w14:solidFill>
          </w14:textFill>
        </w:rPr>
        <w:t>Q</w:t>
      </w:r>
      <w:r>
        <w:rPr>
          <w:color w:val="000000" w:themeColor="text1"/>
          <w:szCs w:val="26"/>
          <w:vertAlign w:val="subscript"/>
          <w14:textFill>
            <w14:solidFill>
              <w14:schemeClr w14:val="tx1"/>
            </w14:solidFill>
          </w14:textFill>
        </w:rPr>
        <w:t>1</w:t>
      </w:r>
      <w:r>
        <w:rPr>
          <w:color w:val="000000" w:themeColor="text1"/>
          <w:szCs w:val="26"/>
          <w14:textFill>
            <w14:solidFill>
              <w14:schemeClr w14:val="tx1"/>
            </w14:solidFill>
          </w14:textFill>
        </w:rPr>
        <w:t>，Q</w:t>
      </w:r>
      <w:r>
        <w:rPr>
          <w:color w:val="000000" w:themeColor="text1"/>
          <w:szCs w:val="26"/>
          <w:vertAlign w:val="subscript"/>
          <w14:textFill>
            <w14:solidFill>
              <w14:schemeClr w14:val="tx1"/>
            </w14:solidFill>
          </w14:textFill>
        </w:rPr>
        <w:t>2</w:t>
      </w:r>
      <w:r>
        <w:rPr>
          <w:color w:val="000000" w:themeColor="text1"/>
          <w:szCs w:val="26"/>
          <w14:textFill>
            <w14:solidFill>
              <w14:schemeClr w14:val="tx1"/>
            </w14:solidFill>
          </w14:textFill>
        </w:rPr>
        <w:t>，…，Q</w:t>
      </w:r>
      <w:r>
        <w:rPr>
          <w:color w:val="000000" w:themeColor="text1"/>
          <w:szCs w:val="26"/>
          <w:vertAlign w:val="subscript"/>
          <w14:textFill>
            <w14:solidFill>
              <w14:schemeClr w14:val="tx1"/>
            </w14:solidFill>
          </w14:textFill>
        </w:rPr>
        <w:t>n</w:t>
      </w:r>
      <w:r>
        <w:rPr>
          <w:color w:val="000000" w:themeColor="text1"/>
          <w:szCs w:val="26"/>
          <w14:textFill>
            <w14:solidFill>
              <w14:schemeClr w14:val="tx1"/>
            </w14:solidFill>
          </w14:textFill>
        </w:rPr>
        <w:t>——</w:t>
      </w:r>
      <w:r>
        <w:rPr>
          <w:rFonts w:hint="eastAsia"/>
          <w:color w:val="000000" w:themeColor="text1"/>
          <w:szCs w:val="26"/>
          <w14:textFill>
            <w14:solidFill>
              <w14:schemeClr w14:val="tx1"/>
            </w14:solidFill>
          </w14:textFill>
        </w:rPr>
        <w:t>每种危险物质的</w:t>
      </w:r>
      <w:r>
        <w:rPr>
          <w:color w:val="000000" w:themeColor="text1"/>
          <w:szCs w:val="26"/>
          <w14:textFill>
            <w14:solidFill>
              <w14:schemeClr w14:val="tx1"/>
            </w14:solidFill>
          </w14:textFill>
        </w:rPr>
        <w:t>临界量，t</w:t>
      </w:r>
      <w:r>
        <w:rPr>
          <w:rFonts w:hint="eastAsia"/>
          <w:color w:val="000000" w:themeColor="text1"/>
          <w:szCs w:val="26"/>
          <w14:textFill>
            <w14:solidFill>
              <w14:schemeClr w14:val="tx1"/>
            </w14:solidFill>
          </w14:textFill>
        </w:rPr>
        <w:t>。</w:t>
      </w:r>
    </w:p>
    <w:p>
      <w:pPr>
        <w:ind w:firstLine="520"/>
        <w:rPr>
          <w:bCs/>
          <w:color w:val="000000" w:themeColor="text1"/>
          <w:szCs w:val="26"/>
          <w14:textFill>
            <w14:solidFill>
              <w14:schemeClr w14:val="tx1"/>
            </w14:solidFill>
          </w14:textFill>
        </w:rPr>
      </w:pPr>
      <w:r>
        <w:rPr>
          <w:bCs/>
          <w:color w:val="000000" w:themeColor="text1"/>
          <w:szCs w:val="26"/>
          <w14:textFill>
            <w14:solidFill>
              <w14:schemeClr w14:val="tx1"/>
            </w14:solidFill>
          </w14:textFill>
        </w:rPr>
        <w:t>当Q＜1时，该项目环境风险潜势为</w:t>
      </w:r>
      <w:r>
        <w:rPr>
          <w:rFonts w:hint="eastAsia"/>
          <w:bCs/>
          <w:color w:val="000000" w:themeColor="text1"/>
          <w:szCs w:val="26"/>
          <w14:textFill>
            <w14:solidFill>
              <w14:schemeClr w14:val="tx1"/>
            </w14:solidFill>
          </w14:textFill>
        </w:rPr>
        <w:t>Ⅰ级</w:t>
      </w:r>
      <w:r>
        <w:rPr>
          <w:bCs/>
          <w:color w:val="000000" w:themeColor="text1"/>
          <w:szCs w:val="26"/>
          <w14:textFill>
            <w14:solidFill>
              <w14:schemeClr w14:val="tx1"/>
            </w14:solidFill>
          </w14:textFill>
        </w:rPr>
        <w:t>。</w:t>
      </w:r>
    </w:p>
    <w:p>
      <w:pPr>
        <w:ind w:firstLine="520"/>
        <w:rPr>
          <w:color w:val="000000" w:themeColor="text1"/>
          <w:szCs w:val="26"/>
          <w14:textFill>
            <w14:solidFill>
              <w14:schemeClr w14:val="tx1"/>
            </w14:solidFill>
          </w14:textFill>
        </w:rPr>
      </w:pPr>
      <w:r>
        <w:rPr>
          <w:color w:val="000000" w:themeColor="text1"/>
          <w:szCs w:val="26"/>
          <w14:textFill>
            <w14:solidFill>
              <w14:schemeClr w14:val="tx1"/>
            </w14:solidFill>
          </w14:textFill>
        </w:rPr>
        <w:t>当Q≥1时，将Q值划分为：（1）1≤Q＜10；（2）10≤Q＜100；（3）Q≥100。</w:t>
      </w:r>
    </w:p>
    <w:p>
      <w:pPr>
        <w:ind w:firstLine="520"/>
        <w:rPr>
          <w:color w:val="000000" w:themeColor="text1"/>
          <w:szCs w:val="26"/>
          <w14:textFill>
            <w14:solidFill>
              <w14:schemeClr w14:val="tx1"/>
            </w14:solidFill>
          </w14:textFill>
        </w:rPr>
      </w:pPr>
      <w:r>
        <w:rPr>
          <w:rFonts w:hint="eastAsia"/>
          <w:color w:val="000000" w:themeColor="text1"/>
          <w:kern w:val="0"/>
          <w14:textFill>
            <w14:solidFill>
              <w14:schemeClr w14:val="tx1"/>
            </w14:solidFill>
          </w14:textFill>
        </w:rPr>
        <w:t>由风险源调查可知，本项目涉及的环境风险物质为“清洗废水”，参照 “</w:t>
      </w:r>
      <w:r>
        <w:rPr>
          <w:color w:val="000000" w:themeColor="text1"/>
          <w:kern w:val="0"/>
          <w14:textFill>
            <w14:solidFill>
              <w14:schemeClr w14:val="tx1"/>
            </w14:solidFill>
          </w14:textFill>
        </w:rPr>
        <w:t>COD</w:t>
      </w:r>
      <w:r>
        <w:rPr>
          <w:color w:val="000000" w:themeColor="text1"/>
          <w:kern w:val="0"/>
          <w:vertAlign w:val="subscript"/>
          <w14:textFill>
            <w14:solidFill>
              <w14:schemeClr w14:val="tx1"/>
            </w14:solidFill>
          </w14:textFill>
        </w:rPr>
        <w:t>Cr</w:t>
      </w:r>
      <w:r>
        <w:rPr>
          <w:color w:val="000000" w:themeColor="text1"/>
          <w:kern w:val="0"/>
          <w14:textFill>
            <w14:solidFill>
              <w14:schemeClr w14:val="tx1"/>
            </w14:solidFill>
          </w14:textFill>
        </w:rPr>
        <w:t>浓度≥10000mg/L 的有机废液</w:t>
      </w:r>
      <w:r>
        <w:rPr>
          <w:rFonts w:hint="eastAsia"/>
          <w:color w:val="000000" w:themeColor="text1"/>
          <w:kern w:val="0"/>
          <w14:textFill>
            <w14:solidFill>
              <w14:schemeClr w14:val="tx1"/>
            </w14:solidFill>
          </w14:textFill>
        </w:rPr>
        <w:t>”（临界量1</w:t>
      </w:r>
      <w:r>
        <w:rPr>
          <w:color w:val="000000" w:themeColor="text1"/>
          <w:kern w:val="0"/>
          <w14:textFill>
            <w14:solidFill>
              <w14:schemeClr w14:val="tx1"/>
            </w14:solidFill>
          </w14:textFill>
        </w:rPr>
        <w:t>0</w:t>
      </w:r>
      <w:r>
        <w:rPr>
          <w:rFonts w:hint="eastAsia"/>
          <w:color w:val="000000" w:themeColor="text1"/>
          <w:kern w:val="0"/>
          <w14:textFill>
            <w14:solidFill>
              <w14:schemeClr w14:val="tx1"/>
            </w14:solidFill>
          </w14:textFill>
        </w:rPr>
        <w:t>吨）、“</w:t>
      </w:r>
      <w:r>
        <w:rPr>
          <w:color w:val="000000" w:themeColor="text1"/>
          <w:kern w:val="0"/>
          <w14:textFill>
            <w14:solidFill>
              <w14:schemeClr w14:val="tx1"/>
            </w14:solidFill>
          </w14:textFill>
        </w:rPr>
        <w:t>NH</w:t>
      </w:r>
      <w:r>
        <w:rPr>
          <w:color w:val="000000" w:themeColor="text1"/>
          <w:kern w:val="0"/>
          <w:vertAlign w:val="subscript"/>
          <w14:textFill>
            <w14:solidFill>
              <w14:schemeClr w14:val="tx1"/>
            </w14:solidFill>
          </w14:textFill>
        </w:rPr>
        <w:t>3</w:t>
      </w:r>
      <w:r>
        <w:rPr>
          <w:color w:val="000000" w:themeColor="text1"/>
          <w:kern w:val="0"/>
          <w14:textFill>
            <w14:solidFill>
              <w14:schemeClr w14:val="tx1"/>
            </w14:solidFill>
          </w14:textFill>
        </w:rPr>
        <w:t>-N浓度≥2000mg/L的废液</w:t>
      </w:r>
      <w:r>
        <w:rPr>
          <w:rFonts w:hint="eastAsia"/>
          <w:color w:val="000000" w:themeColor="text1"/>
          <w:kern w:val="0"/>
          <w14:textFill>
            <w14:solidFill>
              <w14:schemeClr w14:val="tx1"/>
            </w14:solidFill>
          </w14:textFill>
        </w:rPr>
        <w:t>”（临界量</w:t>
      </w:r>
      <w:r>
        <w:rPr>
          <w:color w:val="000000" w:themeColor="text1"/>
          <w:kern w:val="0"/>
          <w14:textFill>
            <w14:solidFill>
              <w14:schemeClr w14:val="tx1"/>
            </w14:solidFill>
          </w14:textFill>
        </w:rPr>
        <w:t>5</w:t>
      </w:r>
      <w:r>
        <w:rPr>
          <w:rFonts w:hint="eastAsia"/>
          <w:color w:val="000000" w:themeColor="text1"/>
          <w:kern w:val="0"/>
          <w14:textFill>
            <w14:solidFill>
              <w14:schemeClr w14:val="tx1"/>
            </w14:solidFill>
          </w14:textFill>
        </w:rPr>
        <w:t>吨）的临界量计算</w:t>
      </w:r>
      <w:r>
        <w:rPr>
          <w:rFonts w:hint="eastAsia"/>
          <w:color w:val="000000" w:themeColor="text1"/>
          <w:szCs w:val="26"/>
          <w14:textFill>
            <w14:solidFill>
              <w14:schemeClr w14:val="tx1"/>
            </w14:solidFill>
          </w14:textFill>
        </w:rPr>
        <w:t>Q值</w:t>
      </w:r>
      <w:r>
        <w:rPr>
          <w:rFonts w:hint="eastAsia"/>
          <w:color w:val="000000" w:themeColor="text1"/>
          <w:kern w:val="0"/>
          <w14:textFill>
            <w14:solidFill>
              <w14:schemeClr w14:val="tx1"/>
            </w14:solidFill>
          </w14:textFill>
        </w:rPr>
        <w:t>。又因“</w:t>
      </w:r>
      <w:r>
        <w:rPr>
          <w:color w:val="000000" w:themeColor="text1"/>
          <w:kern w:val="0"/>
          <w14:textFill>
            <w14:solidFill>
              <w14:schemeClr w14:val="tx1"/>
            </w14:solidFill>
          </w14:textFill>
        </w:rPr>
        <w:t>NH</w:t>
      </w:r>
      <w:r>
        <w:rPr>
          <w:color w:val="000000" w:themeColor="text1"/>
          <w:kern w:val="0"/>
          <w:vertAlign w:val="subscript"/>
          <w14:textFill>
            <w14:solidFill>
              <w14:schemeClr w14:val="tx1"/>
            </w14:solidFill>
          </w14:textFill>
        </w:rPr>
        <w:t>3</w:t>
      </w:r>
      <w:r>
        <w:rPr>
          <w:color w:val="000000" w:themeColor="text1"/>
          <w:kern w:val="0"/>
          <w14:textFill>
            <w14:solidFill>
              <w14:schemeClr w14:val="tx1"/>
            </w14:solidFill>
          </w14:textFill>
        </w:rPr>
        <w:t>-N浓度≥2000mg/L的废液</w:t>
      </w:r>
      <w:r>
        <w:rPr>
          <w:rFonts w:hint="eastAsia"/>
          <w:color w:val="000000" w:themeColor="text1"/>
          <w:kern w:val="0"/>
          <w14:textFill>
            <w14:solidFill>
              <w14:schemeClr w14:val="tx1"/>
            </w14:solidFill>
          </w14:textFill>
        </w:rPr>
        <w:t>”的临界量较小，评价以“</w:t>
      </w:r>
      <w:r>
        <w:rPr>
          <w:color w:val="000000" w:themeColor="text1"/>
          <w:kern w:val="0"/>
          <w14:textFill>
            <w14:solidFill>
              <w14:schemeClr w14:val="tx1"/>
            </w14:solidFill>
          </w14:textFill>
        </w:rPr>
        <w:t>NH</w:t>
      </w:r>
      <w:r>
        <w:rPr>
          <w:color w:val="000000" w:themeColor="text1"/>
          <w:kern w:val="0"/>
          <w:vertAlign w:val="subscript"/>
          <w14:textFill>
            <w14:solidFill>
              <w14:schemeClr w14:val="tx1"/>
            </w14:solidFill>
          </w14:textFill>
        </w:rPr>
        <w:t>3</w:t>
      </w:r>
      <w:r>
        <w:rPr>
          <w:color w:val="000000" w:themeColor="text1"/>
          <w:kern w:val="0"/>
          <w14:textFill>
            <w14:solidFill>
              <w14:schemeClr w14:val="tx1"/>
            </w14:solidFill>
          </w14:textFill>
        </w:rPr>
        <w:t>-N浓度≥2000mg/L的废液</w:t>
      </w:r>
      <w:r>
        <w:rPr>
          <w:rFonts w:hint="eastAsia"/>
          <w:color w:val="000000" w:themeColor="text1"/>
          <w:kern w:val="0"/>
          <w14:textFill>
            <w14:solidFill>
              <w14:schemeClr w14:val="tx1"/>
            </w14:solidFill>
          </w14:textFill>
        </w:rPr>
        <w:t>”的临界量计算本项目</w:t>
      </w:r>
      <w:r>
        <w:rPr>
          <w:rFonts w:hint="eastAsia"/>
          <w:color w:val="000000" w:themeColor="text1"/>
          <w:szCs w:val="26"/>
          <w14:textFill>
            <w14:solidFill>
              <w14:schemeClr w14:val="tx1"/>
            </w14:solidFill>
          </w14:textFill>
        </w:rPr>
        <w:t>Q值，见下表</w:t>
      </w:r>
      <w:r>
        <w:rPr>
          <w:color w:val="000000" w:themeColor="text1"/>
          <w:szCs w:val="26"/>
          <w14:textFill>
            <w14:solidFill>
              <w14:schemeClr w14:val="tx1"/>
            </w14:solidFill>
          </w14:textFill>
        </w:rPr>
        <w:t>。</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建设项目Q值确定表</w:t>
      </w:r>
    </w:p>
    <w:tbl>
      <w:tblPr>
        <w:tblStyle w:val="42"/>
        <w:tblW w:w="8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3299"/>
        <w:gridCol w:w="823"/>
        <w:gridCol w:w="1440"/>
        <w:gridCol w:w="1072"/>
        <w:gridCol w:w="1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9"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3299"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危险物质名称</w:t>
            </w:r>
          </w:p>
        </w:tc>
        <w:tc>
          <w:tcPr>
            <w:tcW w:w="823"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C</w:t>
            </w:r>
            <w:r>
              <w:rPr>
                <w:color w:val="000000" w:themeColor="text1"/>
                <w14:textFill>
                  <w14:solidFill>
                    <w14:schemeClr w14:val="tx1"/>
                  </w14:solidFill>
                </w14:textFill>
              </w:rPr>
              <w:t>AS</w:t>
            </w:r>
            <w:r>
              <w:rPr>
                <w:rFonts w:hint="eastAsia"/>
                <w:color w:val="000000" w:themeColor="text1"/>
                <w14:textFill>
                  <w14:solidFill>
                    <w14:schemeClr w14:val="tx1"/>
                  </w14:solidFill>
                </w14:textFill>
              </w:rPr>
              <w:t>号</w:t>
            </w:r>
          </w:p>
        </w:tc>
        <w:tc>
          <w:tcPr>
            <w:tcW w:w="1440"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最大存在总量</w:t>
            </w: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n</w:t>
            </w:r>
            <w:r>
              <w:rPr>
                <w:color w:val="000000" w:themeColor="text1"/>
                <w14:textFill>
                  <w14:solidFill>
                    <w14:schemeClr w14:val="tx1"/>
                  </w14:solidFill>
                </w14:textFill>
              </w:rPr>
              <w:t>/t</w:t>
            </w:r>
          </w:p>
        </w:tc>
        <w:tc>
          <w:tcPr>
            <w:tcW w:w="1072"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临界量</w:t>
            </w:r>
            <w:r>
              <w:rPr>
                <w:color w:val="000000" w:themeColor="text1"/>
                <w14:textFill>
                  <w14:solidFill>
                    <w14:schemeClr w14:val="tx1"/>
                  </w14:solidFill>
                </w14:textFill>
              </w:rPr>
              <w:t>Qn/t</w:t>
            </w:r>
          </w:p>
        </w:tc>
        <w:tc>
          <w:tcPr>
            <w:tcW w:w="1564"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该种危险物质Q值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1</w:t>
            </w:r>
          </w:p>
        </w:tc>
        <w:tc>
          <w:tcPr>
            <w:tcW w:w="3299"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清洗废水（</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-N浓度≥2000mg/L的废液</w:t>
            </w:r>
            <w:r>
              <w:rPr>
                <w:rFonts w:hint="eastAsia"/>
                <w:color w:val="000000" w:themeColor="text1"/>
                <w14:textFill>
                  <w14:solidFill>
                    <w14:schemeClr w14:val="tx1"/>
                  </w14:solidFill>
                </w14:textFill>
              </w:rPr>
              <w:t>）</w:t>
            </w:r>
          </w:p>
        </w:tc>
        <w:tc>
          <w:tcPr>
            <w:tcW w:w="823" w:type="dxa"/>
            <w:shd w:val="clear" w:color="auto" w:fill="auto"/>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w:t>
            </w:r>
          </w:p>
        </w:tc>
        <w:tc>
          <w:tcPr>
            <w:tcW w:w="1440" w:type="dxa"/>
            <w:shd w:val="clear" w:color="auto" w:fill="auto"/>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0.17</w:t>
            </w:r>
          </w:p>
        </w:tc>
        <w:tc>
          <w:tcPr>
            <w:tcW w:w="1072" w:type="dxa"/>
            <w:shd w:val="clear" w:color="auto" w:fill="auto"/>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5</w:t>
            </w:r>
          </w:p>
        </w:tc>
        <w:tc>
          <w:tcPr>
            <w:tcW w:w="1564" w:type="dxa"/>
            <w:shd w:val="clear" w:color="auto" w:fill="auto"/>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3" w:type="dxa"/>
            <w:gridSpan w:val="5"/>
            <w:shd w:val="clear" w:color="auto" w:fill="auto"/>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项目Q 值Σ</w:t>
            </w:r>
          </w:p>
        </w:tc>
        <w:tc>
          <w:tcPr>
            <w:tcW w:w="1564" w:type="dxa"/>
            <w:shd w:val="clear" w:color="auto" w:fill="auto"/>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0.034</w:t>
            </w:r>
          </w:p>
        </w:tc>
      </w:tr>
    </w:tbl>
    <w:p>
      <w:pPr>
        <w:ind w:firstLine="52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根据《建设项目环境风险评价技术导则》(HJ 169-2018)判定，本项目</w:t>
      </w:r>
      <w:r>
        <w:rPr>
          <w:color w:val="000000" w:themeColor="text1"/>
          <w:szCs w:val="26"/>
          <w14:textFill>
            <w14:solidFill>
              <w14:schemeClr w14:val="tx1"/>
            </w14:solidFill>
          </w14:textFill>
        </w:rPr>
        <w:t>Q</w:t>
      </w:r>
      <w:r>
        <w:rPr>
          <w:rFonts w:hint="eastAsia"/>
          <w:color w:val="000000" w:themeColor="text1"/>
          <w:szCs w:val="26"/>
          <w14:textFill>
            <w14:solidFill>
              <w14:schemeClr w14:val="tx1"/>
            </w14:solidFill>
          </w14:textFill>
        </w:rPr>
        <w:t>值</w:t>
      </w:r>
      <w:bookmarkStart w:id="136" w:name="_Hlk106695856"/>
      <w:r>
        <w:rPr>
          <w:rFonts w:hint="eastAsia"/>
          <w:color w:val="000000" w:themeColor="text1"/>
          <w:szCs w:val="26"/>
          <w14:textFill>
            <w14:solidFill>
              <w14:schemeClr w14:val="tx1"/>
            </w14:solidFill>
          </w14:textFill>
        </w:rPr>
        <w:t>为</w:t>
      </w:r>
      <w:r>
        <w:rPr>
          <w:color w:val="000000" w:themeColor="text1"/>
          <w:szCs w:val="26"/>
          <w14:textFill>
            <w14:solidFill>
              <w14:schemeClr w14:val="tx1"/>
            </w14:solidFill>
          </w14:textFill>
        </w:rPr>
        <w:t>0.034＜1</w:t>
      </w:r>
      <w:r>
        <w:rPr>
          <w:rFonts w:hint="eastAsia"/>
          <w:color w:val="000000" w:themeColor="text1"/>
          <w:szCs w:val="26"/>
          <w14:textFill>
            <w14:solidFill>
              <w14:schemeClr w14:val="tx1"/>
            </w14:solidFill>
          </w14:textFill>
        </w:rPr>
        <w:t>，因此，本项目环境风险潜势划分</w:t>
      </w:r>
      <w:r>
        <w:rPr>
          <w:color w:val="000000" w:themeColor="text1"/>
          <w:szCs w:val="26"/>
          <w14:textFill>
            <w14:solidFill>
              <w14:schemeClr w14:val="tx1"/>
            </w14:solidFill>
          </w14:textFill>
        </w:rPr>
        <w:t>为</w:t>
      </w:r>
      <w:r>
        <w:rPr>
          <w:rFonts w:hint="eastAsia"/>
          <w:bCs/>
          <w:color w:val="000000" w:themeColor="text1"/>
          <w:szCs w:val="26"/>
          <w14:textFill>
            <w14:solidFill>
              <w14:schemeClr w14:val="tx1"/>
            </w14:solidFill>
          </w14:textFill>
        </w:rPr>
        <w:t>Ⅰ级</w:t>
      </w:r>
      <w:r>
        <w:rPr>
          <w:rFonts w:hint="eastAsia"/>
          <w:color w:val="000000" w:themeColor="text1"/>
          <w:szCs w:val="26"/>
          <w14:textFill>
            <w14:solidFill>
              <w14:schemeClr w14:val="tx1"/>
            </w14:solidFill>
          </w14:textFill>
        </w:rPr>
        <w:t>。</w:t>
      </w:r>
      <w:bookmarkEnd w:id="136"/>
    </w:p>
    <w:p>
      <w:pPr>
        <w:pStyle w:val="4"/>
        <w:spacing w:before="24"/>
        <w:rPr>
          <w:color w:val="000000" w:themeColor="text1"/>
          <w14:textFill>
            <w14:solidFill>
              <w14:schemeClr w14:val="tx1"/>
            </w14:solidFill>
          </w14:textFill>
        </w:rPr>
      </w:pPr>
      <w:r>
        <w:rPr>
          <w:rFonts w:hint="eastAsia"/>
          <w:color w:val="000000" w:themeColor="text1"/>
          <w14:textFill>
            <w14:solidFill>
              <w14:schemeClr w14:val="tx1"/>
            </w14:solidFill>
          </w14:textFill>
        </w:rPr>
        <w:t>评价等级和评价范围</w:t>
      </w:r>
    </w:p>
    <w:p>
      <w:pPr>
        <w:ind w:firstLine="520"/>
        <w:rPr>
          <w:color w:val="000000" w:themeColor="text1"/>
          <w14:textFill>
            <w14:solidFill>
              <w14:schemeClr w14:val="tx1"/>
            </w14:solidFill>
          </w14:textFill>
        </w:rPr>
      </w:pPr>
      <w:r>
        <w:rPr>
          <w:color w:val="000000" w:themeColor="text1"/>
          <w14:textFill>
            <w14:solidFill>
              <w14:schemeClr w14:val="tx1"/>
            </w14:solidFill>
          </w14:textFill>
        </w:rPr>
        <w:t>根据《建设项目环境风险评价技术导则》（HJ169-2018），环境风险评价等级根据项目涉及的物质及工艺系统危险性和所在地的环境敏感性确定环境风险潜势判断，其规定详见下表。</w:t>
      </w:r>
    </w:p>
    <w:p>
      <w:pPr>
        <w:pStyle w:val="39"/>
        <w:rPr>
          <w:color w:val="000000" w:themeColor="text1"/>
          <w14:textFill>
            <w14:solidFill>
              <w14:schemeClr w14:val="tx1"/>
            </w14:solidFill>
          </w14:textFill>
        </w:rPr>
      </w:pPr>
      <w:r>
        <w:rPr>
          <w:color w:val="000000" w:themeColor="text1"/>
          <w14:textFill>
            <w14:solidFill>
              <w14:schemeClr w14:val="tx1"/>
            </w14:solidFill>
          </w14:textFill>
        </w:rPr>
        <w:t xml:space="preserve">  危险物质数量与临界量比值表</w:t>
      </w:r>
    </w:p>
    <w:tbl>
      <w:tblPr>
        <w:tblStyle w:val="42"/>
        <w:tblW w:w="8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7"/>
        <w:gridCol w:w="1506"/>
        <w:gridCol w:w="1831"/>
        <w:gridCol w:w="1861"/>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blHeader/>
          <w:jc w:val="center"/>
        </w:trPr>
        <w:tc>
          <w:tcPr>
            <w:tcW w:w="1727" w:type="dxa"/>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环境风险潜势</w:t>
            </w:r>
          </w:p>
        </w:tc>
        <w:tc>
          <w:tcPr>
            <w:tcW w:w="1506" w:type="dxa"/>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Ⅳ</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Ⅳ</w:t>
            </w:r>
            <w:r>
              <w:rPr>
                <w:color w:val="000000" w:themeColor="text1"/>
                <w14:textFill>
                  <w14:solidFill>
                    <w14:schemeClr w14:val="tx1"/>
                  </w14:solidFill>
                </w14:textFill>
              </w:rPr>
              <w:t>+</w:t>
            </w:r>
          </w:p>
        </w:tc>
        <w:tc>
          <w:tcPr>
            <w:tcW w:w="1831" w:type="dxa"/>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Ⅲ</w:t>
            </w:r>
          </w:p>
        </w:tc>
        <w:tc>
          <w:tcPr>
            <w:tcW w:w="1861" w:type="dxa"/>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Ⅱ</w:t>
            </w:r>
          </w:p>
        </w:tc>
        <w:tc>
          <w:tcPr>
            <w:tcW w:w="1852" w:type="dxa"/>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blHeader/>
          <w:jc w:val="center"/>
        </w:trPr>
        <w:tc>
          <w:tcPr>
            <w:tcW w:w="1727" w:type="dxa"/>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评价工作等级</w:t>
            </w:r>
          </w:p>
        </w:tc>
        <w:tc>
          <w:tcPr>
            <w:tcW w:w="1506" w:type="dxa"/>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一</w:t>
            </w:r>
          </w:p>
        </w:tc>
        <w:tc>
          <w:tcPr>
            <w:tcW w:w="1831" w:type="dxa"/>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二</w:t>
            </w:r>
          </w:p>
        </w:tc>
        <w:tc>
          <w:tcPr>
            <w:tcW w:w="1861" w:type="dxa"/>
            <w:vAlign w:val="center"/>
          </w:tcPr>
          <w:p>
            <w:pPr>
              <w:pStyle w:val="200"/>
              <w:rPr>
                <w:color w:val="000000" w:themeColor="text1"/>
                <w14:textFill>
                  <w14:solidFill>
                    <w14:schemeClr w14:val="tx1"/>
                  </w14:solidFill>
                </w14:textFill>
              </w:rPr>
            </w:pPr>
            <w:r>
              <w:rPr>
                <w:rFonts w:hint="eastAsia"/>
                <w:color w:val="000000" w:themeColor="text1"/>
                <w14:textFill>
                  <w14:solidFill>
                    <w14:schemeClr w14:val="tx1"/>
                  </w14:solidFill>
                </w14:textFill>
              </w:rPr>
              <w:t>三</w:t>
            </w:r>
          </w:p>
        </w:tc>
        <w:tc>
          <w:tcPr>
            <w:tcW w:w="1852" w:type="dxa"/>
            <w:vAlign w:val="center"/>
          </w:tcPr>
          <w:p>
            <w:pPr>
              <w:pStyle w:val="200"/>
              <w:rPr>
                <w:color w:val="000000" w:themeColor="text1"/>
                <w14:textFill>
                  <w14:solidFill>
                    <w14:schemeClr w14:val="tx1"/>
                  </w14:solidFill>
                </w14:textFill>
              </w:rPr>
            </w:pPr>
            <w:r>
              <w:rPr>
                <w:color w:val="000000" w:themeColor="text1"/>
                <w14:textFill>
                  <w14:solidFill>
                    <w14:schemeClr w14:val="tx1"/>
                  </w14:solidFill>
                </w14:textFill>
              </w:rPr>
              <w:t>简单分析a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blHeader/>
          <w:jc w:val="center"/>
        </w:trPr>
        <w:tc>
          <w:tcPr>
            <w:tcW w:w="8777" w:type="dxa"/>
            <w:gridSpan w:val="5"/>
            <w:vAlign w:val="center"/>
          </w:tcPr>
          <w:p>
            <w:pPr>
              <w:pStyle w:val="200"/>
              <w:jc w:val="left"/>
              <w:rPr>
                <w:color w:val="000000" w:themeColor="text1"/>
                <w14:textFill>
                  <w14:solidFill>
                    <w14:schemeClr w14:val="tx1"/>
                  </w14:solidFill>
                </w14:textFill>
              </w:rPr>
            </w:pPr>
            <w:r>
              <w:rPr>
                <w:color w:val="000000" w:themeColor="text1"/>
                <w14:textFill>
                  <w14:solidFill>
                    <w14:schemeClr w14:val="tx1"/>
                  </w14:solidFill>
                </w14:textFill>
              </w:rPr>
              <w:t>a 是相对于详细评价工作内容而言，在描述危险物质、环境影响途径、环境危害后果、风险防范措施等方面给出定性的说明。</w:t>
            </w:r>
          </w:p>
        </w:tc>
      </w:tr>
    </w:tbl>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本项目环境风险潜势为</w:t>
      </w:r>
      <w:r>
        <w:rPr>
          <w:rFonts w:hint="eastAsia"/>
          <w:bCs/>
          <w:color w:val="000000" w:themeColor="text1"/>
          <w:szCs w:val="26"/>
          <w14:textFill>
            <w14:solidFill>
              <w14:schemeClr w14:val="tx1"/>
            </w14:solidFill>
          </w14:textFill>
        </w:rPr>
        <w:t>Ⅰ级</w:t>
      </w:r>
      <w:r>
        <w:rPr>
          <w:rFonts w:hint="eastAsia"/>
          <w:color w:val="000000" w:themeColor="text1"/>
          <w14:textFill>
            <w14:solidFill>
              <w14:schemeClr w14:val="tx1"/>
            </w14:solidFill>
          </w14:textFill>
        </w:rPr>
        <w:t>，风险评价工作</w:t>
      </w:r>
      <w:r>
        <w:rPr>
          <w:color w:val="000000" w:themeColor="text1"/>
          <w14:textFill>
            <w14:solidFill>
              <w14:schemeClr w14:val="tx1"/>
            </w14:solidFill>
          </w14:textFill>
        </w:rPr>
        <w:t>等级为</w:t>
      </w:r>
      <w:r>
        <w:rPr>
          <w:rFonts w:hint="eastAsia"/>
          <w:color w:val="000000" w:themeColor="text1"/>
          <w14:textFill>
            <w14:solidFill>
              <w14:schemeClr w14:val="tx1"/>
            </w14:solidFill>
          </w14:textFill>
        </w:rPr>
        <w:t>“简单分析”。本评价要求</w:t>
      </w:r>
      <w:r>
        <w:rPr>
          <w:color w:val="000000" w:themeColor="text1"/>
          <w14:textFill>
            <w14:solidFill>
              <w14:schemeClr w14:val="tx1"/>
            </w14:solidFill>
          </w14:textFill>
        </w:rPr>
        <w:t>描述危险物质、环境影响途径、环境危害后果、风险防范措施等方面给出定性的说明。</w:t>
      </w:r>
    </w:p>
    <w:p>
      <w:pPr>
        <w:pStyle w:val="3"/>
      </w:pPr>
      <w:bookmarkStart w:id="137" w:name="_Toc109888268"/>
      <w:bookmarkStart w:id="138" w:name="_Toc78469283"/>
      <w:bookmarkStart w:id="139" w:name="_Toc64985431"/>
      <w:r>
        <w:t>环境风险识别</w:t>
      </w:r>
      <w:bookmarkEnd w:id="137"/>
      <w:bookmarkEnd w:id="138"/>
      <w:bookmarkEnd w:id="139"/>
    </w:p>
    <w:p>
      <w:pPr>
        <w:pStyle w:val="4"/>
        <w:rPr>
          <w:color w:val="000000" w:themeColor="text1"/>
          <w14:textFill>
            <w14:solidFill>
              <w14:schemeClr w14:val="tx1"/>
            </w14:solidFill>
          </w14:textFill>
        </w:rPr>
      </w:pPr>
      <w:r>
        <w:rPr>
          <w:color w:val="000000" w:themeColor="text1"/>
          <w14:textFill>
            <w14:solidFill>
              <w14:schemeClr w14:val="tx1"/>
            </w14:solidFill>
          </w14:textFill>
        </w:rPr>
        <w:t>生产</w:t>
      </w:r>
      <w:r>
        <w:rPr>
          <w:rFonts w:hint="eastAsia"/>
          <w:color w:val="000000" w:themeColor="text1"/>
          <w14:textFill>
            <w14:solidFill>
              <w14:schemeClr w14:val="tx1"/>
            </w14:solidFill>
          </w14:textFill>
        </w:rPr>
        <w:t>系统环境风险</w:t>
      </w:r>
      <w:r>
        <w:rPr>
          <w:color w:val="000000" w:themeColor="text1"/>
          <w14:textFill>
            <w14:solidFill>
              <w14:schemeClr w14:val="tx1"/>
            </w14:solidFill>
          </w14:textFill>
        </w:rPr>
        <w:t>分析</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（1）储运过程危险性分析</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醇沉药渣的运输由太极制药负责，采取恒温槽车将醇沉药渣由太极制药龙桥厂区运输至本项目场地内。</w:t>
      </w:r>
      <w:r>
        <w:rPr>
          <w:color w:val="000000" w:themeColor="text1"/>
          <w14:textFill>
            <w14:solidFill>
              <w14:schemeClr w14:val="tx1"/>
            </w14:solidFill>
          </w14:textFill>
        </w:rPr>
        <w:t>本评价对运输风险不予关注</w:t>
      </w:r>
      <w:r>
        <w:rPr>
          <w:rFonts w:hint="eastAsia"/>
          <w:color w:val="000000" w:themeColor="text1"/>
          <w14:textFill>
            <w14:solidFill>
              <w14:schemeClr w14:val="tx1"/>
            </w14:solidFill>
          </w14:textFill>
        </w:rPr>
        <w:t>。本项目不建设醇沉药渣储存设施，槽车到达厂区后马上通过快装接头与供浆泵连接，喷入锅炉内焚烧。</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清洗废水产生后也立即通过喷枪喷入锅炉焚烧，不涉及储存和运输。</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因此，本项目不涉及储运过程环境风险。</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（2）上料过程危险性分析</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槽车达到厂区后通过快装接头与供浆泵连接，通过密闭管道输、喷枪喷入锅炉焚烧，清洗废水产生后也立即通过喷枪喷入锅炉焚烧。因此本项目潜在的环境风险因素为上料系统阀门泄漏。</w:t>
      </w:r>
    </w:p>
    <w:p>
      <w:pPr>
        <w:pStyle w:val="4"/>
        <w:spacing w:before="24"/>
        <w:rPr>
          <w:color w:val="000000" w:themeColor="text1"/>
          <w14:textFill>
            <w14:solidFill>
              <w14:schemeClr w14:val="tx1"/>
            </w14:solidFill>
          </w14:textFill>
        </w:rPr>
      </w:pPr>
      <w:r>
        <w:rPr>
          <w:rFonts w:hint="eastAsia"/>
          <w:color w:val="000000" w:themeColor="text1"/>
          <w14:textFill>
            <w14:solidFill>
              <w14:schemeClr w14:val="tx1"/>
            </w14:solidFill>
          </w14:textFill>
        </w:rPr>
        <w:t>危险物质向环境转移的途径识别</w:t>
      </w:r>
    </w:p>
    <w:p>
      <w:pPr>
        <w:ind w:firstLine="520"/>
        <w:rPr>
          <w:color w:val="000000" w:themeColor="text1"/>
          <w14:textFill>
            <w14:solidFill>
              <w14:schemeClr w14:val="tx1"/>
            </w14:solidFill>
          </w14:textFill>
        </w:rPr>
      </w:pPr>
      <w:bookmarkStart w:id="140" w:name="_Hlk106548446"/>
      <w:r>
        <w:rPr>
          <w:rFonts w:hint="eastAsia"/>
          <w:color w:val="000000" w:themeColor="text1"/>
          <w14:textFill>
            <w14:solidFill>
              <w14:schemeClr w14:val="tx1"/>
            </w14:solidFill>
          </w14:textFill>
        </w:rPr>
        <w:t>由于</w:t>
      </w:r>
      <w:r>
        <w:rPr>
          <w:rFonts w:hint="eastAsia"/>
          <w:color w:val="000000" w:themeColor="text1"/>
          <w:lang w:eastAsia="zh-CN"/>
          <w14:textFill>
            <w14:solidFill>
              <w14:schemeClr w14:val="tx1"/>
            </w14:solidFill>
          </w14:textFill>
        </w:rPr>
        <w:t>醇沉药渣</w:t>
      </w:r>
      <w:r>
        <w:rPr>
          <w:rFonts w:hint="eastAsia"/>
          <w:color w:val="000000" w:themeColor="text1"/>
          <w14:textFill>
            <w14:solidFill>
              <w14:schemeClr w14:val="tx1"/>
            </w14:solidFill>
          </w14:textFill>
        </w:rPr>
        <w:t>温度降至40℃时将会凝固，不具有流动性。</w:t>
      </w:r>
      <w:bookmarkEnd w:id="140"/>
      <w:r>
        <w:rPr>
          <w:rFonts w:hint="eastAsia"/>
          <w:color w:val="000000" w:themeColor="text1"/>
          <w14:textFill>
            <w14:solidFill>
              <w14:schemeClr w14:val="tx1"/>
            </w14:solidFill>
          </w14:textFill>
        </w:rPr>
        <w:t>因此，醇沉药渣通过阀门泄漏的可能性极小。</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但清洗废水可能通过上料系统的阀门泄漏，若不采取措施，清洗废水中的污染物质可能流入龙桥河污染河水水质，也可能下渗污染土壤和地下水。</w:t>
      </w:r>
    </w:p>
    <w:p>
      <w:pPr>
        <w:pStyle w:val="3"/>
      </w:pPr>
      <w:bookmarkStart w:id="141" w:name="_Toc109888269"/>
      <w:r>
        <w:rPr>
          <w:rFonts w:hint="eastAsia"/>
        </w:rPr>
        <w:t>可能影响环境的途径和环境风险分析</w:t>
      </w:r>
      <w:bookmarkEnd w:id="141"/>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综上分析，本项目可能发生的环境风险事故为清洗废水通过上料系统阀门泄漏。若不采取措施，清洗废水中的污染物可能随地表径流流入龙桥河污染河水水质，也可能下渗污染土壤和地下水。</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由于每次清洗水用量为0</w:t>
      </w:r>
      <w:r>
        <w:rPr>
          <w:color w:val="000000" w:themeColor="text1"/>
          <w14:textFill>
            <w14:solidFill>
              <w14:schemeClr w14:val="tx1"/>
            </w14:solidFill>
          </w14:textFill>
        </w:rPr>
        <w:t>.17</w:t>
      </w:r>
      <w:r>
        <w:rPr>
          <w:rFonts w:hint="eastAsia"/>
          <w:color w:val="000000" w:themeColor="text1"/>
          <w14:textFill>
            <w14:solidFill>
              <w14:schemeClr w14:val="tx1"/>
            </w14:solidFill>
          </w14:textFill>
        </w:rPr>
        <w:t>m³，因此每次泄漏量最大0</w:t>
      </w:r>
      <w:r>
        <w:rPr>
          <w:color w:val="000000" w:themeColor="text1"/>
          <w14:textFill>
            <w14:solidFill>
              <w14:schemeClr w14:val="tx1"/>
            </w14:solidFill>
          </w14:textFill>
        </w:rPr>
        <w:t>.17</w:t>
      </w:r>
      <w:r>
        <w:rPr>
          <w:rFonts w:hint="eastAsia"/>
          <w:color w:val="000000" w:themeColor="text1"/>
          <w14:textFill>
            <w14:solidFill>
              <w14:schemeClr w14:val="tx1"/>
            </w14:solidFill>
          </w14:textFill>
        </w:rPr>
        <w:t>m³。因此仅需在阀门下部设置足够容积、具有防渗效果的接收装置便可避免泄漏的清洗废水对地表水、地下水、土壤的污染。</w:t>
      </w:r>
    </w:p>
    <w:p>
      <w:pPr>
        <w:pStyle w:val="3"/>
      </w:pPr>
      <w:bookmarkStart w:id="142" w:name="_Toc109888270"/>
      <w:bookmarkStart w:id="143" w:name="_TOC_250015"/>
      <w:r>
        <w:rPr>
          <w:rFonts w:hint="eastAsia"/>
        </w:rPr>
        <w:t>环境风险防范措施</w:t>
      </w:r>
      <w:bookmarkEnd w:id="142"/>
    </w:p>
    <w:p>
      <w:pPr>
        <w:pStyle w:val="4"/>
        <w:rPr>
          <w:color w:val="000000" w:themeColor="text1"/>
          <w14:textFill>
            <w14:solidFill>
              <w14:schemeClr w14:val="tx1"/>
            </w14:solidFill>
          </w14:textFill>
        </w:rPr>
      </w:pPr>
      <w:bookmarkStart w:id="144" w:name="_Toc505543608"/>
      <w:r>
        <w:rPr>
          <w:rFonts w:hint="eastAsia"/>
          <w:color w:val="000000" w:themeColor="text1"/>
          <w14:textFill>
            <w14:solidFill>
              <w14:schemeClr w14:val="tx1"/>
            </w14:solidFill>
          </w14:textFill>
        </w:rPr>
        <w:t>管理</w:t>
      </w:r>
      <w:bookmarkEnd w:id="144"/>
      <w:r>
        <w:rPr>
          <w:rFonts w:hint="eastAsia"/>
          <w:color w:val="000000" w:themeColor="text1"/>
          <w14:textFill>
            <w14:solidFill>
              <w14:schemeClr w14:val="tx1"/>
            </w14:solidFill>
          </w14:textFill>
        </w:rPr>
        <w:t>措施</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对上料系统定期检修，避免设备故障；每批次上料工作过程设专人值守，若发现物料泄漏及时关闭阀门并检修，检修完好后再继续作业。</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工程措施</w:t>
      </w:r>
    </w:p>
    <w:p>
      <w:pPr>
        <w:spacing w:before="31"/>
        <w:ind w:firstLine="520"/>
        <w:rPr>
          <w:color w:val="000000" w:themeColor="text1"/>
          <w:szCs w:val="26"/>
          <w14:textFill>
            <w14:solidFill>
              <w14:schemeClr w14:val="tx1"/>
            </w14:solidFill>
          </w14:textFill>
        </w:rPr>
      </w:pPr>
      <w:r>
        <w:rPr>
          <w:rFonts w:hint="eastAsia"/>
          <w:color w:val="000000" w:themeColor="text1"/>
          <w14:textFill>
            <w14:solidFill>
              <w14:schemeClr w14:val="tx1"/>
            </w14:solidFill>
          </w14:textFill>
        </w:rPr>
        <w:t>上料区地面使用防渗混凝土硬化处理，</w:t>
      </w:r>
      <w:r>
        <w:rPr>
          <w:rFonts w:hint="eastAsia"/>
          <w:color w:val="000000" w:themeColor="text1"/>
          <w:szCs w:val="26"/>
          <w14:textFill>
            <w14:solidFill>
              <w14:schemeClr w14:val="tx1"/>
            </w14:solidFill>
          </w14:textFill>
        </w:rPr>
        <w:t>在阀门所在位置修建容积不小于0</w:t>
      </w:r>
      <w:r>
        <w:rPr>
          <w:color w:val="000000" w:themeColor="text1"/>
          <w:szCs w:val="26"/>
          <w14:textFill>
            <w14:solidFill>
              <w14:schemeClr w14:val="tx1"/>
            </w14:solidFill>
          </w14:textFill>
        </w:rPr>
        <w:t>.2</w:t>
      </w:r>
      <w:r>
        <w:rPr>
          <w:rFonts w:hint="eastAsia"/>
          <w:color w:val="000000" w:themeColor="text1"/>
          <w:szCs w:val="26"/>
          <w14:textFill>
            <w14:solidFill>
              <w14:schemeClr w14:val="tx1"/>
            </w14:solidFill>
          </w14:textFill>
        </w:rPr>
        <w:t>m³的接收池，池体内壁铺设防渗膜，并采用防渗混凝土硬化。若发生泄漏处理不及时的情况，可将泄漏物质全部收集在接收池内，然后转移至厂区内污水处理站处理。</w:t>
      </w:r>
    </w:p>
    <w:p>
      <w:pPr>
        <w:pStyle w:val="3"/>
      </w:pPr>
      <w:bookmarkStart w:id="145" w:name="_Toc109888271"/>
      <w:r>
        <w:rPr>
          <w:rFonts w:hint="eastAsia"/>
        </w:rPr>
        <w:t>结论</w:t>
      </w:r>
      <w:bookmarkEnd w:id="145"/>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本项目主要风险物质为清洗废水，通过采取一定措施可确保不会对周边环境造成危害，的风险水平可接受。</w:t>
      </w:r>
    </w:p>
    <w:p>
      <w:pPr>
        <w:ind w:firstLine="0" w:firstLineChars="0"/>
        <w:rPr>
          <w:color w:val="000000" w:themeColor="text1"/>
          <w14:textFill>
            <w14:solidFill>
              <w14:schemeClr w14:val="tx1"/>
            </w14:solidFill>
          </w14:textFill>
        </w:rPr>
        <w:sectPr>
          <w:pgSz w:w="11906" w:h="16838"/>
          <w:pgMar w:top="1418" w:right="1418" w:bottom="1418" w:left="1701" w:header="851" w:footer="992" w:gutter="0"/>
          <w:cols w:space="425" w:num="1"/>
          <w:docGrid w:type="linesAndChars" w:linePitch="312" w:charSpace="0"/>
        </w:sectPr>
      </w:pPr>
    </w:p>
    <w:p>
      <w:pPr>
        <w:pStyle w:val="2"/>
      </w:pPr>
      <w:bookmarkStart w:id="146" w:name="_Toc109888272"/>
      <w:r>
        <w:rPr>
          <w:rFonts w:hint="eastAsia"/>
        </w:rPr>
        <w:t>环境保护</w:t>
      </w:r>
      <w:r>
        <w:t>措施及</w:t>
      </w:r>
      <w:r>
        <w:rPr>
          <w:rFonts w:hint="eastAsia"/>
        </w:rPr>
        <w:t>其可行性</w:t>
      </w:r>
      <w:r>
        <w:t>论证</w:t>
      </w:r>
      <w:bookmarkEnd w:id="143"/>
      <w:bookmarkEnd w:id="146"/>
    </w:p>
    <w:p>
      <w:pPr>
        <w:pStyle w:val="3"/>
      </w:pPr>
      <w:bookmarkStart w:id="147" w:name="_Toc109888273"/>
      <w:bookmarkStart w:id="148" w:name="_Toc481664975"/>
      <w:r>
        <w:rPr>
          <w:rFonts w:hint="eastAsia"/>
        </w:rPr>
        <w:t>废气污染防治措施</w:t>
      </w:r>
      <w:bookmarkEnd w:id="147"/>
      <w:bookmarkEnd w:id="148"/>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根据工程分析，本项目实施后不会导致锅炉排放废气中污染物种类和排放量的增加，除氯化氢排放量可能增加外，其他污染因子排放量均会略有减少，但变化量均极小。此外可能增加排放量的氯化氢，现有的烟气湿法脱硫和</w:t>
      </w:r>
      <w:r>
        <w:rPr>
          <w:color w:val="000000" w:themeColor="text1"/>
          <w14:textFill>
            <w14:solidFill>
              <w14:schemeClr w14:val="tx1"/>
            </w14:solidFill>
          </w14:textFill>
        </w:rPr>
        <w:t>SNCR</w:t>
      </w:r>
      <w:r>
        <w:rPr>
          <w:rFonts w:hint="eastAsia"/>
          <w:color w:val="000000" w:themeColor="text1"/>
          <w14:textFill>
            <w14:solidFill>
              <w14:schemeClr w14:val="tx1"/>
            </w14:solidFill>
          </w14:textFill>
        </w:rPr>
        <w:t>脱销均对其有较好的去除效果，因此继续利用原锅炉废气治理措施可行。现有循环流化床锅炉烟气脱硫、脱销、除尘工艺流程见下图。</w:t>
      </w:r>
    </w:p>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579745" cy="181546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8"/>
                    <a:stretch>
                      <a:fillRect/>
                    </a:stretch>
                  </pic:blipFill>
                  <pic:spPr>
                    <a:xfrm>
                      <a:off x="0" y="0"/>
                      <a:ext cx="5579745" cy="1815465"/>
                    </a:xfrm>
                    <a:prstGeom prst="rect">
                      <a:avLst/>
                    </a:prstGeom>
                  </pic:spPr>
                </pic:pic>
              </a:graphicData>
            </a:graphic>
          </wp:inline>
        </w:drawing>
      </w:r>
    </w:p>
    <w:p>
      <w:pPr>
        <w:pStyle w:val="172"/>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图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7.1</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图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循环流化床锅炉烟气治理工艺流程图</w:t>
      </w:r>
    </w:p>
    <w:p>
      <w:pPr>
        <w:pStyle w:val="4"/>
        <w:rPr>
          <w:color w:val="000000" w:themeColor="text1"/>
          <w14:textFill>
            <w14:solidFill>
              <w14:schemeClr w14:val="tx1"/>
            </w14:solidFill>
          </w14:textFill>
        </w:rPr>
      </w:pPr>
      <w:r>
        <w:rPr>
          <w:color w:val="000000" w:themeColor="text1"/>
          <w14:textFill>
            <w14:solidFill>
              <w14:schemeClr w14:val="tx1"/>
            </w14:solidFill>
          </w14:textFill>
        </w:rPr>
        <w:t>脱硫</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1125t/h</w:t>
      </w:r>
      <w:r>
        <w:rPr>
          <w:color w:val="000000" w:themeColor="text1"/>
          <w14:textFill>
            <w14:solidFill>
              <w14:schemeClr w14:val="tx1"/>
            </w14:solidFill>
          </w14:textFill>
        </w:rPr>
        <w:t>循环流化床锅炉采用炉内脱硫+炉后石灰石-石膏湿法脱硫相结合的</w:t>
      </w:r>
      <w:r>
        <w:rPr>
          <w:rFonts w:hint="eastAsia"/>
          <w:color w:val="000000" w:themeColor="text1"/>
          <w14:textFill>
            <w14:solidFill>
              <w14:schemeClr w14:val="tx1"/>
            </w14:solidFill>
          </w14:textFill>
        </w:rPr>
        <w:t>脱硫方案</w:t>
      </w:r>
      <w:r>
        <w:rPr>
          <w:color w:val="000000" w:themeColor="text1"/>
          <w14:textFill>
            <w14:solidFill>
              <w14:schemeClr w14:val="tx1"/>
            </w14:solidFill>
          </w14:textFill>
        </w:rPr>
        <w:t>，脱硫工艺采用北京清新环境技术股份有限公司SPC-3D一体化脱硫除尘深度净化技术，在不需要对前段除尘设施改造的前提下，通过提升脱硫塔的除尘性能，实现脱硫塔出口二氧化硫和颗粒物浓度达到超低排放（炉内脱硫效率60%，脱硫塔脱硫效率 99.42%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总体脱硫效率99.77%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脱硝</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1125t/h</w:t>
      </w:r>
      <w:r>
        <w:rPr>
          <w:color w:val="000000" w:themeColor="text1"/>
          <w14:textFill>
            <w14:solidFill>
              <w14:schemeClr w14:val="tx1"/>
            </w14:solidFill>
          </w14:textFill>
        </w:rPr>
        <w:t>循环流化床锅炉采用</w:t>
      </w:r>
      <w:bookmarkStart w:id="149" w:name="_Hlk137574149"/>
      <w:r>
        <w:rPr>
          <w:color w:val="000000" w:themeColor="text1"/>
          <w14:textFill>
            <w14:solidFill>
              <w14:schemeClr w14:val="tx1"/>
            </w14:solidFill>
          </w14:textFill>
        </w:rPr>
        <w:t>SNCR</w:t>
      </w:r>
      <w:bookmarkEnd w:id="149"/>
      <w:r>
        <w:rPr>
          <w:color w:val="000000" w:themeColor="text1"/>
          <w14:textFill>
            <w14:solidFill>
              <w14:schemeClr w14:val="tx1"/>
            </w14:solidFill>
          </w14:textFill>
        </w:rPr>
        <w:t>工艺脱硝设备</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建一座脱硝厂房，还原剂采用尿素，出口氮氧化物浓度＜50mg/Nm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脱硝工艺包括尿素溶液制备系统（包括尿素溶解罐、尿素溶液储罐、 稀释水罐、尿素溶液输送泵等）、机组脱硝系统（稀释和计量分配系统、喷射系统等）及辅助设施。</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除尘</w:t>
      </w:r>
    </w:p>
    <w:p>
      <w:pPr>
        <w:ind w:firstLine="520"/>
        <w:rPr>
          <w:color w:val="000000" w:themeColor="text1"/>
          <w14:textFill>
            <w14:solidFill>
              <w14:schemeClr w14:val="tx1"/>
            </w14:solidFill>
          </w14:textFill>
        </w:rPr>
      </w:pPr>
      <w:r>
        <w:rPr>
          <w:color w:val="000000" w:themeColor="text1"/>
          <w14:textFill>
            <w14:solidFill>
              <w14:schemeClr w14:val="tx1"/>
            </w14:solidFill>
          </w14:textFill>
        </w:rPr>
        <w:t>锅炉除尘器采用的是布袋除尘器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高铬氧复膜高效布袋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，除尘器分为 A/B 两侧，共 16个灰斗32个滤室，压缩空气+脉冲阀喷吹方式。</w:t>
      </w:r>
    </w:p>
    <w:p>
      <w:pPr>
        <w:spacing w:line="240" w:lineRule="auto"/>
        <w:ind w:firstLine="0" w:firstLineChars="0"/>
        <w:rPr>
          <w:color w:val="000000" w:themeColor="text1"/>
          <w14:textFill>
            <w14:solidFill>
              <w14:schemeClr w14:val="tx1"/>
            </w14:solidFill>
          </w14:textFill>
        </w:rPr>
      </w:pPr>
      <w:r>
        <w:rPr>
          <w:color w:val="000000" w:themeColor="text1"/>
          <w:bdr w:val="single" w:color="auto" w:sz="4" w:space="0"/>
          <w14:textFill>
            <w14:solidFill>
              <w14:schemeClr w14:val="tx1"/>
            </w14:solidFill>
          </w14:textFill>
        </w:rPr>
        <w:drawing>
          <wp:inline distT="0" distB="0" distL="0" distR="0">
            <wp:extent cx="2727325" cy="36080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9"/>
                    <a:stretch>
                      <a:fillRect/>
                    </a:stretch>
                  </pic:blipFill>
                  <pic:spPr>
                    <a:xfrm>
                      <a:off x="0" y="0"/>
                      <a:ext cx="2737728" cy="3621508"/>
                    </a:xfrm>
                    <a:prstGeom prst="rect">
                      <a:avLst/>
                    </a:prstGeom>
                  </pic:spPr>
                </pic:pic>
              </a:graphicData>
            </a:graphic>
          </wp:inline>
        </w:drawing>
      </w:r>
      <w:r>
        <w:rPr>
          <w:rFonts w:hint="eastAsia"/>
          <w:color w:val="000000" w:themeColor="text1"/>
          <w14:textFill>
            <w14:solidFill>
              <w14:schemeClr w14:val="tx1"/>
            </w14:solidFill>
          </w14:textFill>
        </w:rPr>
        <w:t xml:space="preserve"> </w:t>
      </w:r>
      <w:r>
        <w:rPr>
          <w:color w:val="000000" w:themeColor="text1"/>
          <w:bdr w:val="single" w:color="auto" w:sz="4" w:space="0"/>
          <w14:textFill>
            <w14:solidFill>
              <w14:schemeClr w14:val="tx1"/>
            </w14:solidFill>
          </w14:textFill>
        </w:rPr>
        <w:drawing>
          <wp:inline distT="0" distB="0" distL="0" distR="0">
            <wp:extent cx="2727325" cy="2030095"/>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0"/>
                    <a:stretch>
                      <a:fillRect/>
                    </a:stretch>
                  </pic:blipFill>
                  <pic:spPr>
                    <a:xfrm>
                      <a:off x="0" y="0"/>
                      <a:ext cx="2742717" cy="2041613"/>
                    </a:xfrm>
                    <a:prstGeom prst="rect">
                      <a:avLst/>
                    </a:prstGeom>
                  </pic:spPr>
                </pic:pic>
              </a:graphicData>
            </a:graphic>
          </wp:inline>
        </w:drawing>
      </w:r>
    </w:p>
    <w:p>
      <w:pPr>
        <w:spacing w:line="240" w:lineRule="auto"/>
        <w:ind w:firstLine="1820" w:firstLineChars="7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脱硫塔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脱硝厂房</w:t>
      </w:r>
    </w:p>
    <w:p>
      <w:pPr>
        <w:spacing w:line="240" w:lineRule="auto"/>
        <w:ind w:firstLine="0" w:firstLineChars="0"/>
        <w:rPr>
          <w:color w:val="000000" w:themeColor="text1"/>
          <w14:textFill>
            <w14:solidFill>
              <w14:schemeClr w14:val="tx1"/>
            </w14:solidFill>
          </w14:textFill>
        </w:rPr>
      </w:pPr>
      <w:r>
        <w:rPr>
          <w:color w:val="000000" w:themeColor="text1"/>
          <w:bdr w:val="single" w:color="auto" w:sz="4" w:space="0"/>
          <w14:textFill>
            <w14:solidFill>
              <w14:schemeClr w14:val="tx1"/>
            </w14:solidFill>
          </w14:textFill>
        </w:rPr>
        <w:drawing>
          <wp:inline distT="0" distB="0" distL="0" distR="0">
            <wp:extent cx="2720340" cy="2022475"/>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1"/>
                    <a:stretch>
                      <a:fillRect/>
                    </a:stretch>
                  </pic:blipFill>
                  <pic:spPr>
                    <a:xfrm>
                      <a:off x="0" y="0"/>
                      <a:ext cx="2731701" cy="2030694"/>
                    </a:xfrm>
                    <a:prstGeom prst="rect">
                      <a:avLst/>
                    </a:prstGeom>
                  </pic:spPr>
                </pic:pic>
              </a:graphicData>
            </a:graphic>
          </wp:inline>
        </w:drawing>
      </w:r>
      <w:r>
        <w:rPr>
          <w:rFonts w:hint="eastAsia"/>
          <w:color w:val="000000" w:themeColor="text1"/>
          <w14:textFill>
            <w14:solidFill>
              <w14:schemeClr w14:val="tx1"/>
            </w14:solidFill>
          </w14:textFill>
        </w:rPr>
        <w:t xml:space="preserve"> </w:t>
      </w:r>
      <w:r>
        <w:rPr>
          <w:color w:val="000000" w:themeColor="text1"/>
          <w:bdr w:val="single" w:color="auto" w:sz="4" w:space="0"/>
          <w14:textFill>
            <w14:solidFill>
              <w14:schemeClr w14:val="tx1"/>
            </w14:solidFill>
          </w14:textFill>
        </w:rPr>
        <w:drawing>
          <wp:inline distT="0" distB="0" distL="0" distR="0">
            <wp:extent cx="2679065" cy="2011045"/>
            <wp:effectExtent l="0" t="0" r="6985"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2"/>
                    <a:stretch>
                      <a:fillRect/>
                    </a:stretch>
                  </pic:blipFill>
                  <pic:spPr>
                    <a:xfrm>
                      <a:off x="0" y="0"/>
                      <a:ext cx="2695935" cy="2023319"/>
                    </a:xfrm>
                    <a:prstGeom prst="rect">
                      <a:avLst/>
                    </a:prstGeom>
                  </pic:spPr>
                </pic:pic>
              </a:graphicData>
            </a:graphic>
          </wp:inline>
        </w:drawing>
      </w:r>
    </w:p>
    <w:p>
      <w:pPr>
        <w:spacing w:line="240" w:lineRule="auto"/>
        <w:ind w:firstLine="520"/>
        <w:rPr>
          <w:color w:val="000000" w:themeColor="text1"/>
          <w14:textFill>
            <w14:solidFill>
              <w14:schemeClr w14:val="tx1"/>
            </w14:solidFill>
          </w14:textFill>
        </w:rPr>
      </w:pPr>
      <w:r>
        <w:rPr>
          <w:color w:val="000000" w:themeColor="text1"/>
          <w14:textFill>
            <w14:solidFill>
              <w14:schemeClr w14:val="tx1"/>
            </w14:solidFill>
          </w14:textFill>
        </w:rPr>
        <w:t>尿素溶液储罐及稀释水罐</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尿素溶解罐</w:t>
      </w:r>
    </w:p>
    <w:p>
      <w:pPr>
        <w:spacing w:line="240" w:lineRule="auto"/>
        <w:ind w:firstLine="0" w:firstLineChars="0"/>
        <w:rPr>
          <w:color w:val="000000" w:themeColor="text1"/>
          <w14:textFill>
            <w14:solidFill>
              <w14:schemeClr w14:val="tx1"/>
            </w14:solidFill>
          </w14:textFill>
        </w:rPr>
      </w:pPr>
    </w:p>
    <w:p>
      <w:pPr>
        <w:pStyle w:val="3"/>
      </w:pPr>
      <w:bookmarkStart w:id="150" w:name="_Toc109888274"/>
      <w:r>
        <w:rPr>
          <w:rFonts w:hint="eastAsia"/>
        </w:rPr>
        <w:t>废水污染防治措施</w:t>
      </w:r>
      <w:bookmarkEnd w:id="150"/>
    </w:p>
    <w:p>
      <w:pPr>
        <w:pStyle w:val="159"/>
        <w:ind w:firstLine="520"/>
        <w:rPr>
          <w:color w:val="000000" w:themeColor="text1"/>
          <w14:textFill>
            <w14:solidFill>
              <w14:schemeClr w14:val="tx1"/>
            </w14:solidFill>
          </w14:textFill>
        </w:rPr>
      </w:pPr>
      <w:r>
        <w:rPr>
          <w:rFonts w:hint="eastAsia"/>
          <w:color w:val="000000" w:themeColor="text1"/>
          <w:szCs w:val="26"/>
          <w14:textFill>
            <w14:solidFill>
              <w14:schemeClr w14:val="tx1"/>
            </w14:solidFill>
          </w14:textFill>
        </w:rPr>
        <w:t>每一槽车上料完毕后均需使用高温（9</w:t>
      </w:r>
      <w:r>
        <w:rPr>
          <w:color w:val="000000" w:themeColor="text1"/>
          <w:szCs w:val="26"/>
          <w14:textFill>
            <w14:solidFill>
              <w14:schemeClr w14:val="tx1"/>
            </w14:solidFill>
          </w14:textFill>
        </w:rPr>
        <w:t>0~100℃</w:t>
      </w:r>
      <w:r>
        <w:rPr>
          <w:rFonts w:hint="eastAsia"/>
          <w:color w:val="000000" w:themeColor="text1"/>
          <w:szCs w:val="26"/>
          <w14:textFill>
            <w14:solidFill>
              <w14:schemeClr w14:val="tx1"/>
            </w14:solidFill>
          </w14:textFill>
        </w:rPr>
        <w:t>）热水清洗槽车和上料系统（泵、管道），每次清洗水量</w:t>
      </w:r>
      <w:r>
        <w:rPr>
          <w:color w:val="000000" w:themeColor="text1"/>
          <w:szCs w:val="26"/>
          <w14:textFill>
            <w14:solidFill>
              <w14:schemeClr w14:val="tx1"/>
            </w14:solidFill>
          </w14:textFill>
        </w:rPr>
        <w:t>0.17</w:t>
      </w:r>
      <w:r>
        <w:rPr>
          <w:rFonts w:hint="eastAsia"/>
          <w:color w:val="000000" w:themeColor="text1"/>
          <w:szCs w:val="26"/>
          <w14:textFill>
            <w14:solidFill>
              <w14:schemeClr w14:val="tx1"/>
            </w14:solidFill>
          </w14:textFill>
        </w:rPr>
        <w:t>m³，年用水量</w:t>
      </w:r>
      <w:r>
        <w:rPr>
          <w:color w:val="000000" w:themeColor="text1"/>
          <w:szCs w:val="26"/>
          <w14:textFill>
            <w14:solidFill>
              <w14:schemeClr w14:val="tx1"/>
            </w14:solidFill>
          </w14:textFill>
        </w:rPr>
        <w:t>340</w:t>
      </w:r>
      <w:r>
        <w:rPr>
          <w:rFonts w:hint="eastAsia"/>
          <w:color w:val="000000" w:themeColor="text1"/>
          <w:szCs w:val="26"/>
          <w14:textFill>
            <w14:solidFill>
              <w14:schemeClr w14:val="tx1"/>
            </w14:solidFill>
          </w14:textFill>
        </w:rPr>
        <w:t>m³。冲洗水直接经喷枪喷入锅炉炉膛燃烧转化成水蒸气，无废水排放。</w:t>
      </w:r>
    </w:p>
    <w:p>
      <w:pPr>
        <w:pStyle w:val="3"/>
      </w:pPr>
      <w:bookmarkStart w:id="151" w:name="_Toc109888275"/>
      <w:r>
        <w:rPr>
          <w:rFonts w:hint="eastAsia"/>
        </w:rPr>
        <w:t>噪声污染防治措施</w:t>
      </w:r>
      <w:bookmarkEnd w:id="151"/>
    </w:p>
    <w:p>
      <w:pPr>
        <w:spacing w:before="24"/>
        <w:ind w:firstLine="520"/>
        <w:rPr>
          <w:color w:val="000000" w:themeColor="text1"/>
          <w:szCs w:val="26"/>
          <w14:textFill>
            <w14:solidFill>
              <w14:schemeClr w14:val="tx1"/>
            </w14:solidFill>
          </w14:textFill>
        </w:rPr>
      </w:pPr>
      <w:r>
        <w:rPr>
          <w:rFonts w:hint="eastAsia"/>
          <w:color w:val="000000" w:themeColor="text1"/>
          <w14:textFill>
            <w14:solidFill>
              <w14:schemeClr w14:val="tx1"/>
            </w14:solidFill>
          </w14:textFill>
        </w:rPr>
        <w:t>本项目新增噪声源为2台供浆泵（一用一备）</w:t>
      </w:r>
      <w:r>
        <w:rPr>
          <w:color w:val="000000" w:themeColor="text1"/>
          <w14:textFill>
            <w14:solidFill>
              <w14:schemeClr w14:val="tx1"/>
            </w14:solidFill>
          </w14:textFill>
        </w:rPr>
        <w:t>，噪声</w:t>
      </w:r>
      <w:r>
        <w:rPr>
          <w:rFonts w:hint="eastAsia"/>
          <w:color w:val="000000" w:themeColor="text1"/>
          <w14:textFill>
            <w14:solidFill>
              <w14:schemeClr w14:val="tx1"/>
            </w14:solidFill>
          </w14:textFill>
        </w:rPr>
        <w:t>产生</w:t>
      </w:r>
      <w:r>
        <w:rPr>
          <w:color w:val="000000" w:themeColor="text1"/>
          <w14:textFill>
            <w14:solidFill>
              <w14:schemeClr w14:val="tx1"/>
            </w14:solidFill>
          </w14:textFill>
        </w:rPr>
        <w:t>源强约85dB</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通过采取减震基座可降低噪声源强1</w:t>
      </w:r>
      <w:r>
        <w:rPr>
          <w:color w:val="000000" w:themeColor="text1"/>
          <w14:textFill>
            <w14:solidFill>
              <w14:schemeClr w14:val="tx1"/>
            </w14:solidFill>
          </w14:textFill>
        </w:rPr>
        <w:t>5 dB</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)以上。经计算，技改后</w:t>
      </w:r>
      <w:r>
        <w:rPr>
          <w:color w:val="000000" w:themeColor="text1"/>
          <w:szCs w:val="26"/>
          <w14:textFill>
            <w14:solidFill>
              <w14:schemeClr w14:val="tx1"/>
            </w14:solidFill>
          </w14:textFill>
        </w:rPr>
        <w:t>各厂界噪声均可达到《工业企业厂界环境噪声排放标准》（GB12348-2008）</w:t>
      </w:r>
      <w:r>
        <w:rPr>
          <w:rFonts w:hint="eastAsia"/>
          <w:color w:val="000000" w:themeColor="text1"/>
          <w:szCs w:val="26"/>
          <w14:textFill>
            <w14:solidFill>
              <w14:schemeClr w14:val="tx1"/>
            </w14:solidFill>
          </w14:textFill>
        </w:rPr>
        <w:t>3类</w:t>
      </w:r>
      <w:r>
        <w:rPr>
          <w:color w:val="000000" w:themeColor="text1"/>
          <w:szCs w:val="26"/>
          <w14:textFill>
            <w14:solidFill>
              <w14:schemeClr w14:val="tx1"/>
            </w14:solidFill>
          </w14:textFill>
        </w:rPr>
        <w:t>标准。</w:t>
      </w:r>
    </w:p>
    <w:p>
      <w:pPr>
        <w:pStyle w:val="3"/>
      </w:pPr>
      <w:bookmarkStart w:id="152" w:name="_Toc109888276"/>
      <w:r>
        <w:rPr>
          <w:rFonts w:hint="eastAsia"/>
        </w:rPr>
        <w:t>固体废物污染防治措施</w:t>
      </w:r>
      <w:bookmarkEnd w:id="152"/>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掺烧醇沉药渣后不会导致固体废物产生量的增加。</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项目不新增劳动定员，不会导致生活垃圾产生量增加。</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综上，本技改项目无固体废物产生。</w:t>
      </w:r>
    </w:p>
    <w:p>
      <w:pPr>
        <w:pStyle w:val="3"/>
      </w:pPr>
      <w:bookmarkStart w:id="153" w:name="_Toc109888277"/>
      <w:r>
        <w:rPr>
          <w:rFonts w:hint="eastAsia"/>
        </w:rPr>
        <w:t>地下水土壤污染防治措施</w:t>
      </w:r>
      <w:bookmarkEnd w:id="153"/>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上料区地面使用防渗混凝土硬化处理，在阀门所在位置修建容积不小于0</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m³的接收池，池体内壁铺设防渗膜，并采用防渗混凝土硬化。避免散落和泄漏物质中的污染物渗入地下污染土壤和地下水。</w:t>
      </w:r>
    </w:p>
    <w:p>
      <w:pPr>
        <w:pStyle w:val="3"/>
      </w:pPr>
      <w:bookmarkStart w:id="154" w:name="_Toc109888278"/>
      <w:r>
        <w:rPr>
          <w:rFonts w:hint="eastAsia"/>
        </w:rPr>
        <w:t>环境风险防范措施</w:t>
      </w:r>
      <w:bookmarkEnd w:id="154"/>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管理措施</w:t>
      </w:r>
    </w:p>
    <w:p>
      <w:pPr>
        <w:spacing w:before="31"/>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对上料系统定期检修，避免设备故障；每批次上料工作过程设专人值守，若发现物料泄漏及时关闭阀门并检修，检修完好后再继续作业。</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工程措施</w:t>
      </w:r>
    </w:p>
    <w:p>
      <w:pPr>
        <w:spacing w:before="31"/>
        <w:ind w:firstLine="520"/>
        <w:rPr>
          <w:color w:val="000000" w:themeColor="text1"/>
          <w:szCs w:val="26"/>
          <w14:textFill>
            <w14:solidFill>
              <w14:schemeClr w14:val="tx1"/>
            </w14:solidFill>
          </w14:textFill>
        </w:rPr>
      </w:pPr>
      <w:r>
        <w:rPr>
          <w:rFonts w:hint="eastAsia"/>
          <w:color w:val="000000" w:themeColor="text1"/>
          <w14:textFill>
            <w14:solidFill>
              <w14:schemeClr w14:val="tx1"/>
            </w14:solidFill>
          </w14:textFill>
        </w:rPr>
        <w:t>上料区地面使用防渗混凝土硬化处理，</w:t>
      </w:r>
      <w:r>
        <w:rPr>
          <w:rFonts w:hint="eastAsia"/>
          <w:color w:val="000000" w:themeColor="text1"/>
          <w:szCs w:val="26"/>
          <w14:textFill>
            <w14:solidFill>
              <w14:schemeClr w14:val="tx1"/>
            </w14:solidFill>
          </w14:textFill>
        </w:rPr>
        <w:t>在阀门所在位置修建容积不小于0</w:t>
      </w:r>
      <w:r>
        <w:rPr>
          <w:color w:val="000000" w:themeColor="text1"/>
          <w:szCs w:val="26"/>
          <w14:textFill>
            <w14:solidFill>
              <w14:schemeClr w14:val="tx1"/>
            </w14:solidFill>
          </w14:textFill>
        </w:rPr>
        <w:t>.2</w:t>
      </w:r>
      <w:r>
        <w:rPr>
          <w:rFonts w:hint="eastAsia"/>
          <w:color w:val="000000" w:themeColor="text1"/>
          <w:szCs w:val="26"/>
          <w14:textFill>
            <w14:solidFill>
              <w14:schemeClr w14:val="tx1"/>
            </w14:solidFill>
          </w14:textFill>
        </w:rPr>
        <w:t>m³的接收池，池体内壁铺设防渗膜，并采用防渗混凝土硬化。若发生泄漏处理不及时的情况，可将泄漏物质全部收集在接收池内，然后转移至厂区内污水处理站处理。</w:t>
      </w:r>
    </w:p>
    <w:p>
      <w:pPr>
        <w:pStyle w:val="3"/>
      </w:pPr>
      <w:bookmarkStart w:id="155" w:name="_Toc109888279"/>
      <w:r>
        <w:rPr>
          <w:rFonts w:hint="eastAsia"/>
        </w:rPr>
        <w:t>项目环保投资估算</w:t>
      </w:r>
      <w:bookmarkEnd w:id="155"/>
    </w:p>
    <w:p>
      <w:pPr>
        <w:spacing w:line="360" w:lineRule="auto"/>
        <w:ind w:firstLine="520"/>
        <w:rPr>
          <w:color w:val="000000" w:themeColor="text1"/>
          <w14:textFill>
            <w14:solidFill>
              <w14:schemeClr w14:val="tx1"/>
            </w14:solidFill>
          </w14:textFill>
        </w:rPr>
        <w:sectPr>
          <w:pgSz w:w="11906" w:h="16838"/>
          <w:pgMar w:top="1418" w:right="1418" w:bottom="1418" w:left="1701" w:header="851" w:footer="992" w:gutter="0"/>
          <w:cols w:space="425" w:num="1"/>
          <w:docGrid w:type="linesAndChars" w:linePitch="312" w:charSpace="0"/>
        </w:sectPr>
      </w:pPr>
      <w:r>
        <w:rPr>
          <w:color w:val="000000" w:themeColor="text1"/>
          <w:szCs w:val="26"/>
          <w14:textFill>
            <w14:solidFill>
              <w14:schemeClr w14:val="tx1"/>
            </w14:solidFill>
          </w14:textFill>
        </w:rPr>
        <w:t>本项目</w:t>
      </w:r>
      <w:r>
        <w:rPr>
          <w:rFonts w:hint="eastAsia"/>
          <w:color w:val="000000" w:themeColor="text1"/>
          <w:szCs w:val="26"/>
          <w14:textFill>
            <w14:solidFill>
              <w14:schemeClr w14:val="tx1"/>
            </w14:solidFill>
          </w14:textFill>
        </w:rPr>
        <w:t>废气治理设施依托现有，新增</w:t>
      </w:r>
      <w:r>
        <w:rPr>
          <w:color w:val="000000" w:themeColor="text1"/>
          <w:szCs w:val="26"/>
          <w14:textFill>
            <w14:solidFill>
              <w14:schemeClr w14:val="tx1"/>
            </w14:solidFill>
          </w14:textFill>
        </w:rPr>
        <w:t>环保</w:t>
      </w:r>
      <w:r>
        <w:rPr>
          <w:rFonts w:hint="eastAsia"/>
          <w:color w:val="000000" w:themeColor="text1"/>
          <w:szCs w:val="26"/>
          <w14:textFill>
            <w14:solidFill>
              <w14:schemeClr w14:val="tx1"/>
            </w14:solidFill>
          </w14:textFill>
        </w:rPr>
        <w:t>措施主要是上料区地面硬化、供浆泵阀门下部修建容积不小于0</w:t>
      </w:r>
      <w:r>
        <w:rPr>
          <w:color w:val="000000" w:themeColor="text1"/>
          <w:szCs w:val="26"/>
          <w14:textFill>
            <w14:solidFill>
              <w14:schemeClr w14:val="tx1"/>
            </w14:solidFill>
          </w14:textFill>
        </w:rPr>
        <w:t>.2</w:t>
      </w:r>
      <w:r>
        <w:rPr>
          <w:rFonts w:hint="eastAsia"/>
          <w:color w:val="000000" w:themeColor="text1"/>
          <w:szCs w:val="26"/>
          <w14:textFill>
            <w14:solidFill>
              <w14:schemeClr w14:val="tx1"/>
            </w14:solidFill>
          </w14:textFill>
        </w:rPr>
        <w:t>m³的收集池，池体铺设H</w:t>
      </w:r>
      <w:r>
        <w:rPr>
          <w:color w:val="000000" w:themeColor="text1"/>
          <w:szCs w:val="26"/>
          <w14:textFill>
            <w14:solidFill>
              <w14:schemeClr w14:val="tx1"/>
            </w14:solidFill>
          </w14:textFill>
        </w:rPr>
        <w:t>DPE</w:t>
      </w:r>
      <w:r>
        <w:rPr>
          <w:rFonts w:hint="eastAsia"/>
          <w:color w:val="000000" w:themeColor="text1"/>
          <w:szCs w:val="26"/>
          <w14:textFill>
            <w14:solidFill>
              <w14:schemeClr w14:val="tx1"/>
            </w14:solidFill>
          </w14:textFill>
        </w:rPr>
        <w:t>防渗膜并采用防渗混凝土硬化，环保投资约</w:t>
      </w:r>
      <w:r>
        <w:rPr>
          <w:color w:val="000000" w:themeColor="text1"/>
          <w:szCs w:val="26"/>
          <w14:textFill>
            <w14:solidFill>
              <w14:schemeClr w14:val="tx1"/>
            </w14:solidFill>
          </w14:textFill>
        </w:rPr>
        <w:t>5</w:t>
      </w:r>
      <w:r>
        <w:rPr>
          <w:rFonts w:hint="eastAsia"/>
          <w:color w:val="000000" w:themeColor="text1"/>
          <w:szCs w:val="26"/>
          <w14:textFill>
            <w14:solidFill>
              <w14:schemeClr w14:val="tx1"/>
            </w14:solidFill>
          </w14:textFill>
        </w:rPr>
        <w:t>万元。</w:t>
      </w:r>
    </w:p>
    <w:p>
      <w:pPr>
        <w:pStyle w:val="2"/>
      </w:pPr>
      <w:bookmarkStart w:id="156" w:name="_Toc109888280"/>
      <w:bookmarkStart w:id="157" w:name="_TOC_250005"/>
      <w:r>
        <w:rPr>
          <w:rFonts w:hint="eastAsia"/>
        </w:rPr>
        <w:t>环境影响经济损益分析</w:t>
      </w:r>
      <w:bookmarkEnd w:id="156"/>
    </w:p>
    <w:p>
      <w:pPr>
        <w:pStyle w:val="3"/>
      </w:pPr>
      <w:bookmarkStart w:id="158" w:name="_Toc109888281"/>
      <w:r>
        <w:rPr>
          <w:rFonts w:hint="eastAsia"/>
        </w:rPr>
        <w:t>建设项目的经济效益</w:t>
      </w:r>
      <w:bookmarkEnd w:id="158"/>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实施后理论可节约燃煤</w:t>
      </w:r>
      <w:r>
        <w:rPr>
          <w:color w:val="000000" w:themeColor="text1"/>
          <w14:textFill>
            <w14:solidFill>
              <w14:schemeClr w14:val="tx1"/>
            </w14:solidFill>
          </w14:textFill>
        </w:rPr>
        <w:t>5561.12吨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，按目前燃煤价格</w:t>
      </w:r>
      <w:r>
        <w:rPr>
          <w:color w:val="000000" w:themeColor="text1"/>
          <w14:textFill>
            <w14:solidFill>
              <w14:schemeClr w14:val="tx1"/>
            </w14:solidFill>
          </w14:textFill>
        </w:rPr>
        <w:t>800</w:t>
      </w:r>
      <w:r>
        <w:rPr>
          <w:rFonts w:hint="eastAsia"/>
          <w:color w:val="000000" w:themeColor="text1"/>
          <w14:textFill>
            <w14:solidFill>
              <w14:schemeClr w14:val="tx1"/>
            </w14:solidFill>
          </w14:textFill>
        </w:rPr>
        <w:t>元/吨计算，可节约燃煤费用4</w:t>
      </w:r>
      <w:r>
        <w:rPr>
          <w:color w:val="000000" w:themeColor="text1"/>
          <w14:textFill>
            <w14:solidFill>
              <w14:schemeClr w14:val="tx1"/>
            </w14:solidFill>
          </w14:textFill>
        </w:rPr>
        <w:t>45</w:t>
      </w:r>
      <w:r>
        <w:rPr>
          <w:rFonts w:hint="eastAsia"/>
          <w:color w:val="000000" w:themeColor="text1"/>
          <w14:textFill>
            <w14:solidFill>
              <w14:schemeClr w14:val="tx1"/>
            </w14:solidFill>
          </w14:textFill>
        </w:rPr>
        <w:t>万元/</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（2）醇沉药渣处置费3</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元/吨，年处置量1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万吨，经济效益3</w:t>
      </w:r>
      <w:r>
        <w:rPr>
          <w:color w:val="000000" w:themeColor="text1"/>
          <w14:textFill>
            <w14:solidFill>
              <w14:schemeClr w14:val="tx1"/>
            </w14:solidFill>
          </w14:textFill>
        </w:rPr>
        <w:t>84</w:t>
      </w:r>
      <w:r>
        <w:rPr>
          <w:rFonts w:hint="eastAsia"/>
          <w:color w:val="000000" w:themeColor="text1"/>
          <w14:textFill>
            <w14:solidFill>
              <w14:schemeClr w14:val="tx1"/>
            </w14:solidFill>
          </w14:textFill>
        </w:rPr>
        <w:t>万元/</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综上，本项目实施后每年可创造经济效益8</w:t>
      </w:r>
      <w:r>
        <w:rPr>
          <w:color w:val="000000" w:themeColor="text1"/>
          <w14:textFill>
            <w14:solidFill>
              <w14:schemeClr w14:val="tx1"/>
            </w14:solidFill>
          </w14:textFill>
        </w:rPr>
        <w:t>29</w:t>
      </w:r>
      <w:r>
        <w:rPr>
          <w:rFonts w:hint="eastAsia"/>
          <w:color w:val="000000" w:themeColor="text1"/>
          <w14:textFill>
            <w14:solidFill>
              <w14:schemeClr w14:val="tx1"/>
            </w14:solidFill>
          </w14:textFill>
        </w:rPr>
        <w:t>万元/</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。经济效益良好。</w:t>
      </w:r>
    </w:p>
    <w:p>
      <w:pPr>
        <w:pStyle w:val="3"/>
      </w:pPr>
      <w:bookmarkStart w:id="159" w:name="_Toc481664988"/>
      <w:bookmarkStart w:id="160" w:name="_Toc109888282"/>
      <w:bookmarkStart w:id="161" w:name="_Toc455587080"/>
      <w:r>
        <w:rPr>
          <w:rFonts w:hint="eastAsia"/>
        </w:rPr>
        <w:t>建设项目的环境损益分析</w:t>
      </w:r>
      <w:bookmarkEnd w:id="159"/>
      <w:bookmarkEnd w:id="160"/>
      <w:bookmarkEnd w:id="161"/>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环境损益分析</w:t>
      </w:r>
    </w:p>
    <w:p>
      <w:pPr>
        <w:ind w:firstLine="520"/>
        <w:jc w:val="both"/>
        <w:rPr>
          <w:color w:val="000000" w:themeColor="text1"/>
          <w:szCs w:val="26"/>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年可消纳一般工业固体废物（醇沉药渣）1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万吨，且项目实施后不会导致陕渝临港热电厂循环流化床锅炉排放废气中污染物种类和排放量的增加，也不会增加炉渣产生量，项目具有明显的环境效益。</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环保投资</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本项目主要依托原有环保设施，新增</w:t>
      </w:r>
      <w:r>
        <w:rPr>
          <w:color w:val="000000" w:themeColor="text1"/>
          <w14:textFill>
            <w14:solidFill>
              <w14:schemeClr w14:val="tx1"/>
            </w14:solidFill>
          </w14:textFill>
        </w:rPr>
        <w:t>环保投资</w:t>
      </w:r>
      <w:r>
        <w:rPr>
          <w:rFonts w:hint="eastAsia"/>
          <w:color w:val="000000" w:themeColor="text1"/>
          <w14:textFill>
            <w14:solidFill>
              <w14:schemeClr w14:val="tx1"/>
            </w14:solidFill>
          </w14:textFill>
        </w:rPr>
        <w:t>仅5万元。</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环保设施运行成本分析</w:t>
      </w:r>
    </w:p>
    <w:p>
      <w:pPr>
        <w:pStyle w:val="125"/>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本项目不新增环保设施运行成本。</w:t>
      </w:r>
    </w:p>
    <w:p>
      <w:pPr>
        <w:pStyle w:val="3"/>
      </w:pPr>
      <w:bookmarkStart w:id="162" w:name="_Toc481664989"/>
      <w:bookmarkStart w:id="163" w:name="_Toc455587081"/>
      <w:bookmarkStart w:id="164" w:name="_Toc109888283"/>
      <w:r>
        <w:rPr>
          <w:rFonts w:hint="eastAsia"/>
        </w:rPr>
        <w:t>小结</w:t>
      </w:r>
      <w:bookmarkEnd w:id="162"/>
      <w:bookmarkEnd w:id="163"/>
      <w:bookmarkEnd w:id="164"/>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本项目的</w:t>
      </w:r>
      <w:r>
        <w:rPr>
          <w:color w:val="000000" w:themeColor="text1"/>
          <w14:textFill>
            <w14:solidFill>
              <w14:schemeClr w14:val="tx1"/>
            </w14:solidFill>
          </w14:textFill>
        </w:rPr>
        <w:t>建设具有较好的经济-环境效益，</w:t>
      </w:r>
      <w:r>
        <w:rPr>
          <w:rFonts w:hint="eastAsia"/>
          <w:color w:val="000000" w:themeColor="text1"/>
          <w14:textFill>
            <w14:solidFill>
              <w14:schemeClr w14:val="tx1"/>
            </w14:solidFill>
          </w14:textFill>
        </w:rPr>
        <w:t>项目实施对环境带来的二次污染小，采取措施后可确保污染物达标排放，对环境的影响小。</w:t>
      </w:r>
    </w:p>
    <w:p>
      <w:pPr>
        <w:spacing w:before="31"/>
        <w:ind w:firstLine="197" w:firstLineChars="76"/>
        <w:rPr>
          <w:color w:val="000000" w:themeColor="text1"/>
          <w14:textFill>
            <w14:solidFill>
              <w14:schemeClr w14:val="tx1"/>
            </w14:solidFill>
          </w14:textFill>
        </w:rPr>
        <w:sectPr>
          <w:pgSz w:w="11906" w:h="16838"/>
          <w:pgMar w:top="1588" w:right="1588" w:bottom="1985" w:left="1588" w:header="1134" w:footer="1418" w:gutter="0"/>
          <w:cols w:space="425" w:num="1"/>
          <w:docGrid w:type="lines" w:linePitch="312" w:charSpace="0"/>
        </w:sectPr>
      </w:pPr>
    </w:p>
    <w:p>
      <w:pPr>
        <w:pStyle w:val="2"/>
      </w:pPr>
      <w:bookmarkStart w:id="165" w:name="_Toc109888284"/>
      <w:r>
        <w:t>环境管理与</w:t>
      </w:r>
      <w:bookmarkEnd w:id="157"/>
      <w:r>
        <w:rPr>
          <w:rFonts w:hint="eastAsia"/>
        </w:rPr>
        <w:t>监测计划</w:t>
      </w:r>
      <w:bookmarkEnd w:id="165"/>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环境管理和环境监测是污染防治的重要内容之一，是实现污染物许可排放控制和污染防治设施达到预期目标的有效保证。本项目建成投产后，除了依据环评报告和批复要求，还需加强环境管理和环境监测工作，以便及时发现装置运行过程中存在的问题，采取处理措施减少或避免污染和损失。同时通过加强管理和环境监测，为清洁生产工艺改进和污染处理技术进步提供指导和参考。</w:t>
      </w:r>
    </w:p>
    <w:p>
      <w:pPr>
        <w:pStyle w:val="3"/>
      </w:pPr>
      <w:bookmarkStart w:id="166" w:name="_Toc109888285"/>
      <w:r>
        <w:rPr>
          <w:rFonts w:hint="eastAsia"/>
        </w:rPr>
        <w:t>环境管理</w:t>
      </w:r>
      <w:bookmarkEnd w:id="166"/>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陕渝临港热电厂已制定有环境管理制度并安排有专职环境管理人员，本项目的环境管理依托陕渝临港热电厂现有管理制度和人员。</w:t>
      </w:r>
    </w:p>
    <w:p>
      <w:pPr>
        <w:pStyle w:val="3"/>
      </w:pPr>
      <w:bookmarkStart w:id="167" w:name="_Toc109888286"/>
      <w:r>
        <w:rPr>
          <w:rFonts w:hint="eastAsia"/>
        </w:rPr>
        <w:t>环境管理机构的设置和职责</w:t>
      </w:r>
      <w:bookmarkEnd w:id="167"/>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施工期</w:t>
      </w:r>
    </w:p>
    <w:p>
      <w:pPr>
        <w:pStyle w:val="125"/>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施工期的环境管理应由施工单位负责，并由当地环境保护管理部门负责监督，主要内容包括：依照国家环境保护法规，对施工中可能产生污染的环节进行定期或不定期的检查，并督促施工单位采取相应的污染防治措施，以减轻对环境的污染。</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运营期</w:t>
      </w:r>
    </w:p>
    <w:p>
      <w:pPr>
        <w:ind w:firstLine="520"/>
        <w:rPr>
          <w:color w:val="000000" w:themeColor="text1"/>
          <w14:textFill>
            <w14:solidFill>
              <w14:schemeClr w14:val="tx1"/>
            </w14:solidFill>
          </w14:textFill>
        </w:rPr>
      </w:pPr>
      <w:r>
        <w:rPr>
          <w:color w:val="000000" w:themeColor="text1"/>
          <w14:textFill>
            <w14:solidFill>
              <w14:schemeClr w14:val="tx1"/>
            </w14:solidFill>
          </w14:textFill>
        </w:rPr>
        <w:t>环保管理人员应有熟悉企业排污状况、具备一定清洁生产知识、责任心强和组织协调能力强的人员担任，以利于监督管理，负责全厂的环境保护管理工作，发现问题能及时解决并向上级环保主管部门报告，其主要职责如下：</w:t>
      </w:r>
    </w:p>
    <w:p>
      <w:pPr>
        <w:ind w:firstLine="520"/>
        <w:rPr>
          <w:color w:val="000000" w:themeColor="text1"/>
          <w14:textFill>
            <w14:solidFill>
              <w14:schemeClr w14:val="tx1"/>
            </w14:solidFill>
          </w14:textFill>
        </w:rPr>
      </w:pPr>
      <w:r>
        <w:rPr>
          <w:color w:val="000000" w:themeColor="text1"/>
          <w14:textFill>
            <w14:solidFill>
              <w14:schemeClr w14:val="tx1"/>
            </w14:solidFill>
          </w14:textFill>
        </w:rPr>
        <w:t>（1）宣传、贯彻和执行环境保护政策、法律法规及环境保护标准。开展环境保护宣传、教育、培训等专业知识普及工作；</w:t>
      </w:r>
    </w:p>
    <w:p>
      <w:pPr>
        <w:ind w:firstLine="520"/>
        <w:rPr>
          <w:color w:val="000000" w:themeColor="text1"/>
          <w14:textFill>
            <w14:solidFill>
              <w14:schemeClr w14:val="tx1"/>
            </w14:solidFill>
          </w14:textFill>
        </w:rPr>
      </w:pPr>
      <w:r>
        <w:rPr>
          <w:color w:val="000000" w:themeColor="text1"/>
          <w14:textFill>
            <w14:solidFill>
              <w14:schemeClr w14:val="tx1"/>
            </w14:solidFill>
          </w14:textFill>
        </w:rPr>
        <w:t>（2）编制并组织实施环境保护规划和计划，并监督执行，负责日常环境保护的管理工作；</w:t>
      </w:r>
    </w:p>
    <w:p>
      <w:pPr>
        <w:ind w:firstLine="520"/>
        <w:rPr>
          <w:color w:val="000000" w:themeColor="text1"/>
          <w14:textFill>
            <w14:solidFill>
              <w14:schemeClr w14:val="tx1"/>
            </w14:solidFill>
          </w14:textFill>
        </w:rPr>
      </w:pPr>
      <w:r>
        <w:rPr>
          <w:color w:val="000000" w:themeColor="text1"/>
          <w14:textFill>
            <w14:solidFill>
              <w14:schemeClr w14:val="tx1"/>
            </w14:solidFill>
          </w14:textFill>
        </w:rPr>
        <w:t>（3）领导并组织企业的环境监测工作，建立监测台</w:t>
      </w:r>
      <w:r>
        <w:rPr>
          <w:rFonts w:hint="eastAsia"/>
          <w:color w:val="000000" w:themeColor="text1"/>
          <w14:textFill>
            <w14:solidFill>
              <w14:schemeClr w14:val="tx1"/>
            </w14:solidFill>
          </w14:textFill>
        </w:rPr>
        <w:t>账</w:t>
      </w:r>
      <w:r>
        <w:rPr>
          <w:color w:val="000000" w:themeColor="text1"/>
          <w14:textFill>
            <w14:solidFill>
              <w14:schemeClr w14:val="tx1"/>
            </w14:solidFill>
          </w14:textFill>
        </w:rPr>
        <w:t>和档案，做好环境统计，使企业领导、上级部门及时掌握污染治理动态；</w:t>
      </w:r>
    </w:p>
    <w:p>
      <w:pPr>
        <w:pStyle w:val="125"/>
        <w:ind w:firstLine="520"/>
        <w:rPr>
          <w:color w:val="000000" w:themeColor="text1"/>
          <w14:textFill>
            <w14:solidFill>
              <w14:schemeClr w14:val="tx1"/>
            </w14:solidFill>
          </w14:textFill>
        </w:rPr>
      </w:pPr>
      <w:r>
        <w:rPr>
          <w:color w:val="000000" w:themeColor="text1"/>
          <w14:textFill>
            <w14:solidFill>
              <w14:schemeClr w14:val="tx1"/>
            </w14:solidFill>
          </w14:textFill>
        </w:rPr>
        <w:t>（4）建立</w:t>
      </w:r>
      <w:r>
        <w:rPr>
          <w:rFonts w:hint="eastAsia"/>
          <w:color w:val="000000" w:themeColor="text1"/>
          <w14:textFill>
            <w14:solidFill>
              <w14:schemeClr w14:val="tx1"/>
            </w14:solidFill>
          </w14:textFill>
        </w:rPr>
        <w:t>健全</w:t>
      </w:r>
      <w:r>
        <w:rPr>
          <w:color w:val="000000" w:themeColor="text1"/>
          <w14:textFill>
            <w14:solidFill>
              <w14:schemeClr w14:val="tx1"/>
            </w14:solidFill>
          </w14:textFill>
        </w:rPr>
        <w:t>环境保护与劳动安全管理制度，监督工程施工期、运营期和服务期满后环保措施的有效实施；</w:t>
      </w:r>
    </w:p>
    <w:p>
      <w:pPr>
        <w:ind w:firstLine="520"/>
        <w:rPr>
          <w:color w:val="000000" w:themeColor="text1"/>
          <w14:textFill>
            <w14:solidFill>
              <w14:schemeClr w14:val="tx1"/>
            </w14:solidFill>
          </w14:textFill>
        </w:rPr>
      </w:pPr>
      <w:r>
        <w:rPr>
          <w:color w:val="000000" w:themeColor="text1"/>
          <w14:textFill>
            <w14:solidFill>
              <w14:schemeClr w14:val="tx1"/>
            </w14:solidFill>
          </w14:textFill>
        </w:rPr>
        <w:t>（5）为保证工程环保设施的正常运转，减少或防范污染事故，制定污染治理设备设施操作规程的检查、维修计划，检查、记录污染治理设施运行及检修情况，并定期检查操作人员的操作技能，在实际工作中检验各项操作规范的可行性，负责污染事故性排放的处理和调查。</w:t>
      </w:r>
    </w:p>
    <w:p>
      <w:pPr>
        <w:ind w:firstLine="520"/>
        <w:rPr>
          <w:color w:val="000000" w:themeColor="text1"/>
          <w14:textFill>
            <w14:solidFill>
              <w14:schemeClr w14:val="tx1"/>
            </w14:solidFill>
          </w14:textFill>
        </w:rPr>
      </w:pPr>
      <w:r>
        <w:rPr>
          <w:color w:val="000000" w:themeColor="text1"/>
          <w14:textFill>
            <w14:solidFill>
              <w14:schemeClr w14:val="tx1"/>
            </w14:solidFill>
          </w14:textFill>
        </w:rPr>
        <w:t>本项目环境管理的基本任务是：控制</w:t>
      </w:r>
      <w:r>
        <w:rPr>
          <w:rFonts w:hint="eastAsia"/>
          <w:color w:val="000000" w:themeColor="text1"/>
          <w14:textFill>
            <w14:solidFill>
              <w14:schemeClr w14:val="tx1"/>
            </w14:solidFill>
          </w14:textFill>
        </w:rPr>
        <w:t>物料泄漏</w:t>
      </w:r>
      <w:r>
        <w:rPr>
          <w:color w:val="000000" w:themeColor="text1"/>
          <w14:textFill>
            <w14:solidFill>
              <w14:schemeClr w14:val="tx1"/>
            </w14:solidFill>
          </w14:textFill>
        </w:rPr>
        <w:t>，避免对环境</w:t>
      </w:r>
      <w:r>
        <w:rPr>
          <w:rFonts w:hint="eastAsia"/>
          <w:color w:val="000000" w:themeColor="text1"/>
          <w14:textFill>
            <w14:solidFill>
              <w14:schemeClr w14:val="tx1"/>
            </w14:solidFill>
          </w14:textFill>
        </w:rPr>
        <w:t>造成污染</w:t>
      </w:r>
      <w:r>
        <w:rPr>
          <w:color w:val="000000" w:themeColor="text1"/>
          <w14:textFill>
            <w14:solidFill>
              <w14:schemeClr w14:val="tx1"/>
            </w14:solidFill>
          </w14:textFill>
        </w:rPr>
        <w:t>。</w:t>
      </w:r>
    </w:p>
    <w:p>
      <w:pPr>
        <w:pStyle w:val="3"/>
      </w:pPr>
      <w:bookmarkStart w:id="168" w:name="_Toc109888287"/>
      <w:bookmarkStart w:id="169" w:name="_Toc481664992"/>
      <w:bookmarkStart w:id="170" w:name="_Toc396467699"/>
      <w:bookmarkStart w:id="171" w:name="_Toc455587084"/>
      <w:r>
        <w:rPr>
          <w:rFonts w:hint="eastAsia"/>
        </w:rPr>
        <w:t>污染物</w:t>
      </w:r>
      <w:r>
        <w:t>排放清单</w:t>
      </w:r>
      <w:bookmarkEnd w:id="168"/>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工程组成及规模</w:t>
      </w:r>
    </w:p>
    <w:p>
      <w:pPr>
        <w:ind w:firstLine="520"/>
        <w:rPr>
          <w:color w:val="000000" w:themeColor="text1"/>
          <w:szCs w:val="26"/>
          <w14:textFill>
            <w14:solidFill>
              <w14:schemeClr w14:val="tx1"/>
            </w14:solidFill>
          </w14:textFill>
        </w:rPr>
      </w:pPr>
      <w:r>
        <w:rPr>
          <w:rFonts w:hint="eastAsia"/>
          <w:color w:val="000000" w:themeColor="text1"/>
          <w14:textFill>
            <w14:solidFill>
              <w14:schemeClr w14:val="tx1"/>
            </w14:solidFill>
          </w14:textFill>
        </w:rPr>
        <w:t>新建醇沉药渣上料系统（供浆泵和管道等），依托循环流化床锅炉协同焚烧醇沉药渣，处置量1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万吨/年。项目主</w:t>
      </w:r>
      <w:r>
        <w:rPr>
          <w:rFonts w:hint="eastAsia"/>
          <w:color w:val="000000" w:themeColor="text1"/>
          <w:spacing w:val="2"/>
          <w14:textFill>
            <w14:solidFill>
              <w14:schemeClr w14:val="tx1"/>
            </w14:solidFill>
          </w14:textFill>
        </w:rPr>
        <w:t>总投资</w:t>
      </w:r>
      <w:r>
        <w:rPr>
          <w:color w:val="000000" w:themeColor="text1"/>
          <w:spacing w:val="2"/>
          <w14:textFill>
            <w14:solidFill>
              <w14:schemeClr w14:val="tx1"/>
            </w14:solidFill>
          </w14:textFill>
        </w:rPr>
        <w:t>82</w:t>
      </w:r>
      <w:r>
        <w:rPr>
          <w:rFonts w:hint="eastAsia"/>
          <w:color w:val="000000" w:themeColor="text1"/>
          <w:spacing w:val="2"/>
          <w14:textFill>
            <w14:solidFill>
              <w14:schemeClr w14:val="tx1"/>
            </w14:solidFill>
          </w14:textFill>
        </w:rPr>
        <w:t>万元</w:t>
      </w:r>
      <w:r>
        <w:rPr>
          <w:color w:val="000000" w:themeColor="text1"/>
          <w:szCs w:val="26"/>
          <w14:textFill>
            <w14:solidFill>
              <w14:schemeClr w14:val="tx1"/>
            </w14:solidFill>
          </w14:textFill>
        </w:rPr>
        <w:t>。</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原辅材料</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本项目涉及的物料为醇沉药渣和水，能源为电能。醇沉药渣为一般工业固体废物。</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废气排放清单</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废气竣工验收指标</w:t>
      </w:r>
      <w:r>
        <w:rPr>
          <w:color w:val="000000" w:themeColor="text1"/>
          <w14:textFill>
            <w14:solidFill>
              <w14:schemeClr w14:val="tx1"/>
            </w14:solidFill>
          </w14:textFill>
        </w:rPr>
        <w:t>一览表</w:t>
      </w:r>
    </w:p>
    <w:tbl>
      <w:tblPr>
        <w:tblStyle w:val="42"/>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16"/>
        <w:gridCol w:w="2425"/>
        <w:gridCol w:w="2048"/>
        <w:gridCol w:w="606"/>
        <w:gridCol w:w="886"/>
        <w:gridCol w:w="836"/>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1" w:hRule="atLeast"/>
          <w:jc w:val="center"/>
        </w:trPr>
        <w:tc>
          <w:tcPr>
            <w:tcW w:w="1116" w:type="dxa"/>
            <w:vMerge w:val="restart"/>
            <w:vAlign w:val="center"/>
          </w:tcPr>
          <w:p>
            <w:pPr>
              <w:pStyle w:val="111"/>
              <w:rPr>
                <w:color w:val="000000" w:themeColor="text1"/>
                <w14:textFill>
                  <w14:solidFill>
                    <w14:schemeClr w14:val="tx1"/>
                  </w14:solidFill>
                </w14:textFill>
              </w:rPr>
            </w:pPr>
            <w:r>
              <w:rPr>
                <w:color w:val="000000" w:themeColor="text1"/>
                <w14:textFill>
                  <w14:solidFill>
                    <w14:schemeClr w14:val="tx1"/>
                  </w14:solidFill>
                </w14:textFill>
              </w:rPr>
              <w:t>污染源</w:t>
            </w:r>
          </w:p>
        </w:tc>
        <w:tc>
          <w:tcPr>
            <w:tcW w:w="2425" w:type="dxa"/>
            <w:vMerge w:val="restart"/>
            <w:vAlign w:val="center"/>
          </w:tcPr>
          <w:p>
            <w:pPr>
              <w:pStyle w:val="111"/>
              <w:rPr>
                <w:color w:val="000000" w:themeColor="text1"/>
                <w14:textFill>
                  <w14:solidFill>
                    <w14:schemeClr w14:val="tx1"/>
                  </w14:solidFill>
                </w14:textFill>
              </w:rPr>
            </w:pPr>
            <w:r>
              <w:rPr>
                <w:color w:val="000000" w:themeColor="text1"/>
                <w14:textFill>
                  <w14:solidFill>
                    <w14:schemeClr w14:val="tx1"/>
                  </w14:solidFill>
                </w14:textFill>
              </w:rPr>
              <w:t>排放标准及标准号</w:t>
            </w:r>
          </w:p>
        </w:tc>
        <w:tc>
          <w:tcPr>
            <w:tcW w:w="2048" w:type="dxa"/>
            <w:vMerge w:val="restart"/>
            <w:vAlign w:val="center"/>
          </w:tcPr>
          <w:p>
            <w:pPr>
              <w:pStyle w:val="111"/>
              <w:rPr>
                <w:color w:val="000000" w:themeColor="text1"/>
                <w14:textFill>
                  <w14:solidFill>
                    <w14:schemeClr w14:val="tx1"/>
                  </w14:solidFill>
                </w14:textFill>
              </w:rPr>
            </w:pPr>
            <w:r>
              <w:rPr>
                <w:color w:val="000000" w:themeColor="text1"/>
                <w14:textFill>
                  <w14:solidFill>
                    <w14:schemeClr w14:val="tx1"/>
                  </w14:solidFill>
                </w14:textFill>
              </w:rPr>
              <w:t>污染</w:t>
            </w:r>
          </w:p>
          <w:p>
            <w:pPr>
              <w:pStyle w:val="111"/>
              <w:rPr>
                <w:color w:val="000000" w:themeColor="text1"/>
                <w14:textFill>
                  <w14:solidFill>
                    <w14:schemeClr w14:val="tx1"/>
                  </w14:solidFill>
                </w14:textFill>
              </w:rPr>
            </w:pPr>
            <w:r>
              <w:rPr>
                <w:color w:val="000000" w:themeColor="text1"/>
                <w14:textFill>
                  <w14:solidFill>
                    <w14:schemeClr w14:val="tx1"/>
                  </w14:solidFill>
                </w14:textFill>
              </w:rPr>
              <w:t>因子</w:t>
            </w:r>
          </w:p>
        </w:tc>
        <w:tc>
          <w:tcPr>
            <w:tcW w:w="2328" w:type="dxa"/>
            <w:gridSpan w:val="3"/>
            <w:vAlign w:val="center"/>
          </w:tcPr>
          <w:p>
            <w:pPr>
              <w:pStyle w:val="111"/>
              <w:rPr>
                <w:color w:val="000000" w:themeColor="text1"/>
                <w14:textFill>
                  <w14:solidFill>
                    <w14:schemeClr w14:val="tx1"/>
                  </w14:solidFill>
                </w14:textFill>
              </w:rPr>
            </w:pPr>
            <w:r>
              <w:rPr>
                <w:color w:val="000000" w:themeColor="text1"/>
                <w14:textFill>
                  <w14:solidFill>
                    <w14:schemeClr w14:val="tx1"/>
                  </w14:solidFill>
                </w14:textFill>
              </w:rPr>
              <w:t>有组织排放</w:t>
            </w:r>
          </w:p>
        </w:tc>
        <w:tc>
          <w:tcPr>
            <w:tcW w:w="803" w:type="dxa"/>
            <w:vMerge w:val="restart"/>
            <w:vAlign w:val="center"/>
          </w:tcPr>
          <w:p>
            <w:pPr>
              <w:pStyle w:val="111"/>
              <w:rPr>
                <w:color w:val="000000" w:themeColor="text1"/>
                <w14:textFill>
                  <w14:solidFill>
                    <w14:schemeClr w14:val="tx1"/>
                  </w14:solidFill>
                </w14:textFill>
              </w:rPr>
            </w:pPr>
            <w:r>
              <w:rPr>
                <w:rFonts w:hint="eastAsia"/>
                <w:color w:val="000000" w:themeColor="text1"/>
                <w14:textFill>
                  <w14:solidFill>
                    <w14:schemeClr w14:val="tx1"/>
                  </w14:solidFill>
                </w14:textFill>
              </w:rPr>
              <w:t>总量</w:t>
            </w:r>
            <w:r>
              <w:rPr>
                <w:color w:val="000000" w:themeColor="text1"/>
                <w14:textFill>
                  <w14:solidFill>
                    <w14:schemeClr w14:val="tx1"/>
                  </w14:solidFill>
                </w14:textFill>
              </w:rPr>
              <w:t>指标（t/a）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1116" w:type="dxa"/>
            <w:vMerge w:val="continue"/>
            <w:vAlign w:val="center"/>
          </w:tcPr>
          <w:p>
            <w:pPr>
              <w:pStyle w:val="111"/>
              <w:rPr>
                <w:color w:val="000000" w:themeColor="text1"/>
                <w14:textFill>
                  <w14:solidFill>
                    <w14:schemeClr w14:val="tx1"/>
                  </w14:solidFill>
                </w14:textFill>
              </w:rPr>
            </w:pPr>
          </w:p>
        </w:tc>
        <w:tc>
          <w:tcPr>
            <w:tcW w:w="2425" w:type="dxa"/>
            <w:vMerge w:val="continue"/>
            <w:vAlign w:val="center"/>
          </w:tcPr>
          <w:p>
            <w:pPr>
              <w:pStyle w:val="111"/>
              <w:rPr>
                <w:color w:val="000000" w:themeColor="text1"/>
                <w14:textFill>
                  <w14:solidFill>
                    <w14:schemeClr w14:val="tx1"/>
                  </w14:solidFill>
                </w14:textFill>
              </w:rPr>
            </w:pPr>
          </w:p>
        </w:tc>
        <w:tc>
          <w:tcPr>
            <w:tcW w:w="2048" w:type="dxa"/>
            <w:vMerge w:val="continue"/>
            <w:vAlign w:val="center"/>
          </w:tcPr>
          <w:p>
            <w:pPr>
              <w:pStyle w:val="111"/>
              <w:rPr>
                <w:color w:val="000000" w:themeColor="text1"/>
                <w14:textFill>
                  <w14:solidFill>
                    <w14:schemeClr w14:val="tx1"/>
                  </w14:solidFill>
                </w14:textFill>
              </w:rPr>
            </w:pPr>
          </w:p>
        </w:tc>
        <w:tc>
          <w:tcPr>
            <w:tcW w:w="606" w:type="dxa"/>
            <w:vAlign w:val="center"/>
          </w:tcPr>
          <w:p>
            <w:pPr>
              <w:pStyle w:val="111"/>
              <w:rPr>
                <w:color w:val="000000" w:themeColor="text1"/>
                <w14:textFill>
                  <w14:solidFill>
                    <w14:schemeClr w14:val="tx1"/>
                  </w14:solidFill>
                </w14:textFill>
              </w:rPr>
            </w:pPr>
            <w:r>
              <w:rPr>
                <w:color w:val="000000" w:themeColor="text1"/>
                <w14:textFill>
                  <w14:solidFill>
                    <w14:schemeClr w14:val="tx1"/>
                  </w14:solidFill>
                </w14:textFill>
              </w:rPr>
              <w:t>排放口高度(m)</w:t>
            </w:r>
          </w:p>
        </w:tc>
        <w:tc>
          <w:tcPr>
            <w:tcW w:w="886" w:type="dxa"/>
            <w:vAlign w:val="center"/>
          </w:tcPr>
          <w:p>
            <w:pPr>
              <w:pStyle w:val="111"/>
              <w:rPr>
                <w:color w:val="000000" w:themeColor="text1"/>
                <w14:textFill>
                  <w14:solidFill>
                    <w14:schemeClr w14:val="tx1"/>
                  </w14:solidFill>
                </w14:textFill>
              </w:rPr>
            </w:pPr>
            <w:r>
              <w:rPr>
                <w:rFonts w:hint="eastAsia"/>
                <w:color w:val="000000" w:themeColor="text1"/>
                <w14:textFill>
                  <w14:solidFill>
                    <w14:schemeClr w14:val="tx1"/>
                  </w14:solidFill>
                </w14:textFill>
              </w:rPr>
              <w:t>允许</w:t>
            </w:r>
            <w:r>
              <w:rPr>
                <w:color w:val="000000" w:themeColor="text1"/>
                <w14:textFill>
                  <w14:solidFill>
                    <w14:schemeClr w14:val="tx1"/>
                  </w14:solidFill>
                </w14:textFill>
              </w:rPr>
              <w:t>排放浓度(mg/m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c>
          <w:tcPr>
            <w:tcW w:w="836" w:type="dxa"/>
            <w:vAlign w:val="center"/>
          </w:tcPr>
          <w:p>
            <w:pPr>
              <w:pStyle w:val="111"/>
              <w:rPr>
                <w:color w:val="000000" w:themeColor="text1"/>
                <w14:textFill>
                  <w14:solidFill>
                    <w14:schemeClr w14:val="tx1"/>
                  </w14:solidFill>
                </w14:textFill>
              </w:rPr>
            </w:pPr>
            <w:r>
              <w:rPr>
                <w:color w:val="000000" w:themeColor="text1"/>
                <w14:textFill>
                  <w14:solidFill>
                    <w14:schemeClr w14:val="tx1"/>
                  </w14:solidFill>
                </w14:textFill>
              </w:rPr>
              <w:t>速率限值(kg/h)</w:t>
            </w:r>
          </w:p>
        </w:tc>
        <w:tc>
          <w:tcPr>
            <w:tcW w:w="803" w:type="dxa"/>
            <w:vMerge w:val="continue"/>
            <w:vAlign w:val="center"/>
          </w:tcPr>
          <w:p>
            <w:pPr>
              <w:pStyle w:val="111"/>
              <w:rPr>
                <w:color w:val="000000" w:themeColor="text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1116" w:type="dxa"/>
            <w:vMerge w:val="restart"/>
            <w:vAlign w:val="center"/>
          </w:tcPr>
          <w:p>
            <w:pPr>
              <w:pStyle w:val="111"/>
              <w:rPr>
                <w:color w:val="000000" w:themeColor="text1"/>
                <w:lang w:eastAsia="zh-CN"/>
                <w14:textFill>
                  <w14:solidFill>
                    <w14:schemeClr w14:val="tx1"/>
                  </w14:solidFill>
                </w14:textFill>
              </w:rPr>
            </w:pPr>
            <w:r>
              <w:rPr>
                <w:rFonts w:hint="eastAsia" w:cs="宋体"/>
                <w:color w:val="000000" w:themeColor="text1"/>
                <w:lang w:eastAsia="zh-CN"/>
                <w14:textFill>
                  <w14:solidFill>
                    <w14:schemeClr w14:val="tx1"/>
                  </w14:solidFill>
                </w14:textFill>
              </w:rPr>
              <w:t>循环流化床锅炉排气筒</w:t>
            </w:r>
          </w:p>
        </w:tc>
        <w:tc>
          <w:tcPr>
            <w:tcW w:w="2425" w:type="dxa"/>
            <w:vMerge w:val="restart"/>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《全面实施燃煤电厂超低排放和节能改造工作方案》（环发[</w:t>
            </w:r>
            <w:r>
              <w:rPr>
                <w:color w:val="000000" w:themeColor="text1"/>
                <w:lang w:eastAsia="zh-CN"/>
                <w14:textFill>
                  <w14:solidFill>
                    <w14:schemeClr w14:val="tx1"/>
                  </w14:solidFill>
                </w14:textFill>
              </w:rPr>
              <w:t>2015]164</w:t>
            </w:r>
            <w:r>
              <w:rPr>
                <w:rFonts w:hint="eastAsia"/>
                <w:color w:val="000000" w:themeColor="text1"/>
                <w:lang w:eastAsia="zh-CN"/>
                <w14:textFill>
                  <w14:solidFill>
                    <w14:schemeClr w14:val="tx1"/>
                  </w14:solidFill>
                </w14:textFill>
              </w:rPr>
              <w:t>号）</w:t>
            </w:r>
            <w:r>
              <w:rPr>
                <w:color w:val="000000" w:themeColor="text1"/>
                <w:lang w:eastAsia="zh-CN"/>
                <w14:textFill>
                  <w14:solidFill>
                    <w14:schemeClr w14:val="tx1"/>
                  </w14:solidFill>
                </w14:textFill>
              </w:rPr>
              <w:t>超低排放限值</w:t>
            </w:r>
          </w:p>
        </w:tc>
        <w:tc>
          <w:tcPr>
            <w:tcW w:w="2048" w:type="dxa"/>
            <w:vAlign w:val="center"/>
          </w:tcPr>
          <w:p>
            <w:pPr>
              <w:pStyle w:val="111"/>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606" w:type="dxa"/>
            <w:vMerge w:val="restart"/>
            <w:vAlign w:val="center"/>
          </w:tcPr>
          <w:p>
            <w:pPr>
              <w:pStyle w:val="111"/>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210</w:t>
            </w:r>
          </w:p>
        </w:tc>
        <w:tc>
          <w:tcPr>
            <w:tcW w:w="886" w:type="dxa"/>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w:t>
            </w:r>
            <w:r>
              <w:rPr>
                <w:color w:val="000000" w:themeColor="text1"/>
                <w:lang w:eastAsia="zh-CN"/>
                <w14:textFill>
                  <w14:solidFill>
                    <w14:schemeClr w14:val="tx1"/>
                  </w14:solidFill>
                </w14:textFill>
              </w:rPr>
              <w:t>0</w:t>
            </w:r>
          </w:p>
        </w:tc>
        <w:tc>
          <w:tcPr>
            <w:tcW w:w="836" w:type="dxa"/>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p>
        </w:tc>
        <w:tc>
          <w:tcPr>
            <w:tcW w:w="803" w:type="dxa"/>
            <w:vAlign w:val="center"/>
          </w:tcPr>
          <w:p>
            <w:pPr>
              <w:pStyle w:val="111"/>
              <w:rPr>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1116" w:type="dxa"/>
            <w:vMerge w:val="continue"/>
            <w:vAlign w:val="center"/>
          </w:tcPr>
          <w:p>
            <w:pPr>
              <w:pStyle w:val="111"/>
              <w:rPr>
                <w:rFonts w:cs="宋体"/>
                <w:color w:val="000000" w:themeColor="text1"/>
                <w:lang w:eastAsia="zh-CN"/>
                <w14:textFill>
                  <w14:solidFill>
                    <w14:schemeClr w14:val="tx1"/>
                  </w14:solidFill>
                </w14:textFill>
              </w:rPr>
            </w:pPr>
          </w:p>
        </w:tc>
        <w:tc>
          <w:tcPr>
            <w:tcW w:w="2425" w:type="dxa"/>
            <w:vMerge w:val="continue"/>
            <w:vAlign w:val="center"/>
          </w:tcPr>
          <w:p>
            <w:pPr>
              <w:pStyle w:val="111"/>
              <w:rPr>
                <w:color w:val="000000" w:themeColor="text1"/>
                <w:lang w:eastAsia="zh-CN"/>
                <w14:textFill>
                  <w14:solidFill>
                    <w14:schemeClr w14:val="tx1"/>
                  </w14:solidFill>
                </w14:textFill>
              </w:rPr>
            </w:pPr>
          </w:p>
        </w:tc>
        <w:tc>
          <w:tcPr>
            <w:tcW w:w="2048" w:type="dxa"/>
            <w:vAlign w:val="center"/>
          </w:tcPr>
          <w:p>
            <w:pPr>
              <w:pStyle w:val="111"/>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606" w:type="dxa"/>
            <w:vMerge w:val="continue"/>
            <w:vAlign w:val="center"/>
          </w:tcPr>
          <w:p>
            <w:pPr>
              <w:pStyle w:val="111"/>
              <w:rPr>
                <w:color w:val="000000" w:themeColor="text1"/>
                <w:lang w:eastAsia="zh-CN"/>
                <w14:textFill>
                  <w14:solidFill>
                    <w14:schemeClr w14:val="tx1"/>
                  </w14:solidFill>
                </w14:textFill>
              </w:rPr>
            </w:pPr>
          </w:p>
        </w:tc>
        <w:tc>
          <w:tcPr>
            <w:tcW w:w="886" w:type="dxa"/>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3</w:t>
            </w:r>
            <w:r>
              <w:rPr>
                <w:color w:val="000000" w:themeColor="text1"/>
                <w:lang w:eastAsia="zh-CN"/>
                <w14:textFill>
                  <w14:solidFill>
                    <w14:schemeClr w14:val="tx1"/>
                  </w14:solidFill>
                </w14:textFill>
              </w:rPr>
              <w:t>5</w:t>
            </w:r>
          </w:p>
        </w:tc>
        <w:tc>
          <w:tcPr>
            <w:tcW w:w="836" w:type="dxa"/>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p>
        </w:tc>
        <w:tc>
          <w:tcPr>
            <w:tcW w:w="803" w:type="dxa"/>
            <w:vAlign w:val="center"/>
          </w:tcPr>
          <w:p>
            <w:pPr>
              <w:pStyle w:val="111"/>
              <w:rPr>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1116" w:type="dxa"/>
            <w:vMerge w:val="continue"/>
            <w:vAlign w:val="center"/>
          </w:tcPr>
          <w:p>
            <w:pPr>
              <w:pStyle w:val="111"/>
              <w:rPr>
                <w:rFonts w:cs="宋体"/>
                <w:color w:val="000000" w:themeColor="text1"/>
                <w:lang w:eastAsia="zh-CN"/>
                <w14:textFill>
                  <w14:solidFill>
                    <w14:schemeClr w14:val="tx1"/>
                  </w14:solidFill>
                </w14:textFill>
              </w:rPr>
            </w:pPr>
          </w:p>
        </w:tc>
        <w:tc>
          <w:tcPr>
            <w:tcW w:w="2425" w:type="dxa"/>
            <w:vMerge w:val="continue"/>
            <w:vAlign w:val="center"/>
          </w:tcPr>
          <w:p>
            <w:pPr>
              <w:pStyle w:val="111"/>
              <w:rPr>
                <w:color w:val="000000" w:themeColor="text1"/>
                <w:lang w:eastAsia="zh-CN"/>
                <w14:textFill>
                  <w14:solidFill>
                    <w14:schemeClr w14:val="tx1"/>
                  </w14:solidFill>
                </w14:textFill>
              </w:rPr>
            </w:pPr>
          </w:p>
        </w:tc>
        <w:tc>
          <w:tcPr>
            <w:tcW w:w="2048" w:type="dxa"/>
            <w:vAlign w:val="center"/>
          </w:tcPr>
          <w:p>
            <w:pPr>
              <w:pStyle w:val="111"/>
              <w:rPr>
                <w:color w:val="000000" w:themeColor="text1"/>
                <w14:textFill>
                  <w14:solidFill>
                    <w14:schemeClr w14:val="tx1"/>
                  </w14:solidFill>
                </w14:textFill>
              </w:rPr>
            </w:pPr>
            <w:r>
              <w:rPr>
                <w:color w:val="000000" w:themeColor="text1"/>
                <w14:textFill>
                  <w14:solidFill>
                    <w14:schemeClr w14:val="tx1"/>
                  </w14:solidFill>
                </w14:textFill>
              </w:rPr>
              <w:t>NOx</w:t>
            </w:r>
          </w:p>
        </w:tc>
        <w:tc>
          <w:tcPr>
            <w:tcW w:w="606" w:type="dxa"/>
            <w:vMerge w:val="continue"/>
            <w:vAlign w:val="center"/>
          </w:tcPr>
          <w:p>
            <w:pPr>
              <w:pStyle w:val="111"/>
              <w:rPr>
                <w:color w:val="000000" w:themeColor="text1"/>
                <w:lang w:eastAsia="zh-CN"/>
                <w14:textFill>
                  <w14:solidFill>
                    <w14:schemeClr w14:val="tx1"/>
                  </w14:solidFill>
                </w14:textFill>
              </w:rPr>
            </w:pPr>
          </w:p>
        </w:tc>
        <w:tc>
          <w:tcPr>
            <w:tcW w:w="886" w:type="dxa"/>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5</w:t>
            </w:r>
            <w:r>
              <w:rPr>
                <w:color w:val="000000" w:themeColor="text1"/>
                <w:lang w:eastAsia="zh-CN"/>
                <w14:textFill>
                  <w14:solidFill>
                    <w14:schemeClr w14:val="tx1"/>
                  </w14:solidFill>
                </w14:textFill>
              </w:rPr>
              <w:t>0</w:t>
            </w:r>
          </w:p>
        </w:tc>
        <w:tc>
          <w:tcPr>
            <w:tcW w:w="836" w:type="dxa"/>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p>
        </w:tc>
        <w:tc>
          <w:tcPr>
            <w:tcW w:w="803" w:type="dxa"/>
            <w:vAlign w:val="center"/>
          </w:tcPr>
          <w:p>
            <w:pPr>
              <w:pStyle w:val="111"/>
              <w:rPr>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1191.17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1116" w:type="dxa"/>
            <w:vMerge w:val="continue"/>
            <w:vAlign w:val="center"/>
          </w:tcPr>
          <w:p>
            <w:pPr>
              <w:pStyle w:val="111"/>
              <w:rPr>
                <w:rFonts w:cs="宋体"/>
                <w:color w:val="000000" w:themeColor="text1"/>
                <w:lang w:eastAsia="zh-CN"/>
                <w14:textFill>
                  <w14:solidFill>
                    <w14:schemeClr w14:val="tx1"/>
                  </w14:solidFill>
                </w14:textFill>
              </w:rPr>
            </w:pPr>
          </w:p>
        </w:tc>
        <w:tc>
          <w:tcPr>
            <w:tcW w:w="2425" w:type="dxa"/>
            <w:vMerge w:val="restart"/>
            <w:vAlign w:val="center"/>
          </w:tcPr>
          <w:p>
            <w:pPr>
              <w:pStyle w:val="111"/>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《火电厂大气污染物排放标准》（GB13223-2011）表1</w:t>
            </w:r>
          </w:p>
        </w:tc>
        <w:tc>
          <w:tcPr>
            <w:tcW w:w="2048" w:type="dxa"/>
            <w:vAlign w:val="center"/>
          </w:tcPr>
          <w:p>
            <w:pPr>
              <w:pStyle w:val="111"/>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汞及其化合物（以 Hg 计）</w:t>
            </w:r>
          </w:p>
        </w:tc>
        <w:tc>
          <w:tcPr>
            <w:tcW w:w="606" w:type="dxa"/>
            <w:vMerge w:val="continue"/>
            <w:vAlign w:val="center"/>
          </w:tcPr>
          <w:p>
            <w:pPr>
              <w:pStyle w:val="111"/>
              <w:rPr>
                <w:color w:val="000000" w:themeColor="text1"/>
                <w:lang w:eastAsia="zh-CN"/>
                <w14:textFill>
                  <w14:solidFill>
                    <w14:schemeClr w14:val="tx1"/>
                  </w14:solidFill>
                </w14:textFill>
              </w:rPr>
            </w:pPr>
          </w:p>
        </w:tc>
        <w:tc>
          <w:tcPr>
            <w:tcW w:w="886" w:type="dxa"/>
            <w:vAlign w:val="center"/>
          </w:tcPr>
          <w:p>
            <w:pPr>
              <w:pStyle w:val="111"/>
              <w:rPr>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0.03</w:t>
            </w:r>
          </w:p>
        </w:tc>
        <w:tc>
          <w:tcPr>
            <w:tcW w:w="836" w:type="dxa"/>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p>
        </w:tc>
        <w:tc>
          <w:tcPr>
            <w:tcW w:w="803" w:type="dxa"/>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1116" w:type="dxa"/>
            <w:vMerge w:val="continue"/>
            <w:vAlign w:val="center"/>
          </w:tcPr>
          <w:p>
            <w:pPr>
              <w:pStyle w:val="111"/>
              <w:rPr>
                <w:rFonts w:cs="宋体"/>
                <w:color w:val="000000" w:themeColor="text1"/>
                <w:lang w:eastAsia="zh-CN"/>
                <w14:textFill>
                  <w14:solidFill>
                    <w14:schemeClr w14:val="tx1"/>
                  </w14:solidFill>
                </w14:textFill>
              </w:rPr>
            </w:pPr>
          </w:p>
        </w:tc>
        <w:tc>
          <w:tcPr>
            <w:tcW w:w="2425" w:type="dxa"/>
            <w:vMerge w:val="continue"/>
            <w:vAlign w:val="center"/>
          </w:tcPr>
          <w:p>
            <w:pPr>
              <w:pStyle w:val="111"/>
              <w:rPr>
                <w:color w:val="000000" w:themeColor="text1"/>
                <w:lang w:eastAsia="zh-CN"/>
                <w14:textFill>
                  <w14:solidFill>
                    <w14:schemeClr w14:val="tx1"/>
                  </w14:solidFill>
                </w14:textFill>
              </w:rPr>
            </w:pPr>
          </w:p>
        </w:tc>
        <w:tc>
          <w:tcPr>
            <w:tcW w:w="2048" w:type="dxa"/>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格林曼</w:t>
            </w:r>
            <w:r>
              <w:rPr>
                <w:color w:val="000000" w:themeColor="text1"/>
                <w14:textFill>
                  <w14:solidFill>
                    <w14:schemeClr w14:val="tx1"/>
                  </w14:solidFill>
                </w14:textFill>
              </w:rPr>
              <w:t>黑度</w:t>
            </w:r>
          </w:p>
        </w:tc>
        <w:tc>
          <w:tcPr>
            <w:tcW w:w="606" w:type="dxa"/>
            <w:vMerge w:val="continue"/>
            <w:vAlign w:val="center"/>
          </w:tcPr>
          <w:p>
            <w:pPr>
              <w:pStyle w:val="111"/>
              <w:rPr>
                <w:color w:val="000000" w:themeColor="text1"/>
                <w:lang w:eastAsia="zh-CN"/>
                <w14:textFill>
                  <w14:solidFill>
                    <w14:schemeClr w14:val="tx1"/>
                  </w14:solidFill>
                </w14:textFill>
              </w:rPr>
            </w:pPr>
          </w:p>
        </w:tc>
        <w:tc>
          <w:tcPr>
            <w:tcW w:w="886" w:type="dxa"/>
            <w:vAlign w:val="center"/>
          </w:tcPr>
          <w:p>
            <w:pPr>
              <w:pStyle w:val="111"/>
              <w:rPr>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林格曼级</w:t>
            </w:r>
          </w:p>
        </w:tc>
        <w:tc>
          <w:tcPr>
            <w:tcW w:w="836" w:type="dxa"/>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p>
        </w:tc>
        <w:tc>
          <w:tcPr>
            <w:tcW w:w="803" w:type="dxa"/>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1116" w:type="dxa"/>
            <w:vMerge w:val="continue"/>
            <w:vAlign w:val="center"/>
          </w:tcPr>
          <w:p>
            <w:pPr>
              <w:pStyle w:val="111"/>
              <w:rPr>
                <w:rFonts w:cs="宋体"/>
                <w:color w:val="000000" w:themeColor="text1"/>
                <w:lang w:eastAsia="zh-CN"/>
                <w14:textFill>
                  <w14:solidFill>
                    <w14:schemeClr w14:val="tx1"/>
                  </w14:solidFill>
                </w14:textFill>
              </w:rPr>
            </w:pPr>
          </w:p>
        </w:tc>
        <w:tc>
          <w:tcPr>
            <w:tcW w:w="2425" w:type="dxa"/>
            <w:vMerge w:val="restart"/>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参照执行</w:t>
            </w:r>
            <w:r>
              <w:rPr>
                <w:color w:val="000000" w:themeColor="text1"/>
                <w:lang w:eastAsia="zh-CN"/>
                <w14:textFill>
                  <w14:solidFill>
                    <w14:schemeClr w14:val="tx1"/>
                  </w14:solidFill>
                </w14:textFill>
              </w:rPr>
              <w:t>《生活垃圾焚烧污染控制标准》（GB18485-2014）</w:t>
            </w:r>
          </w:p>
        </w:tc>
        <w:tc>
          <w:tcPr>
            <w:tcW w:w="2048" w:type="dxa"/>
            <w:vAlign w:val="center"/>
          </w:tcPr>
          <w:p>
            <w:pPr>
              <w:pStyle w:val="111"/>
              <w:rPr>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氯化氢</w:t>
            </w:r>
          </w:p>
        </w:tc>
        <w:tc>
          <w:tcPr>
            <w:tcW w:w="606" w:type="dxa"/>
            <w:vMerge w:val="continue"/>
            <w:vAlign w:val="center"/>
          </w:tcPr>
          <w:p>
            <w:pPr>
              <w:pStyle w:val="111"/>
              <w:rPr>
                <w:color w:val="000000" w:themeColor="text1"/>
                <w:lang w:eastAsia="zh-CN"/>
                <w14:textFill>
                  <w14:solidFill>
                    <w14:schemeClr w14:val="tx1"/>
                  </w14:solidFill>
                </w14:textFill>
              </w:rPr>
            </w:pPr>
          </w:p>
        </w:tc>
        <w:tc>
          <w:tcPr>
            <w:tcW w:w="886" w:type="dxa"/>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6</w:t>
            </w:r>
            <w:r>
              <w:rPr>
                <w:color w:val="000000" w:themeColor="text1"/>
                <w:lang w:eastAsia="zh-CN"/>
                <w14:textFill>
                  <w14:solidFill>
                    <w14:schemeClr w14:val="tx1"/>
                  </w14:solidFill>
                </w14:textFill>
              </w:rPr>
              <w:t>0</w:t>
            </w:r>
          </w:p>
        </w:tc>
        <w:tc>
          <w:tcPr>
            <w:tcW w:w="836" w:type="dxa"/>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p>
        </w:tc>
        <w:tc>
          <w:tcPr>
            <w:tcW w:w="803" w:type="dxa"/>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1116" w:type="dxa"/>
            <w:vMerge w:val="continue"/>
            <w:vAlign w:val="center"/>
          </w:tcPr>
          <w:p>
            <w:pPr>
              <w:pStyle w:val="111"/>
              <w:rPr>
                <w:rFonts w:cs="宋体"/>
                <w:color w:val="000000" w:themeColor="text1"/>
                <w:lang w:eastAsia="zh-CN"/>
                <w14:textFill>
                  <w14:solidFill>
                    <w14:schemeClr w14:val="tx1"/>
                  </w14:solidFill>
                </w14:textFill>
              </w:rPr>
            </w:pPr>
          </w:p>
        </w:tc>
        <w:tc>
          <w:tcPr>
            <w:tcW w:w="2425" w:type="dxa"/>
            <w:vMerge w:val="continue"/>
            <w:vAlign w:val="center"/>
          </w:tcPr>
          <w:p>
            <w:pPr>
              <w:pStyle w:val="111"/>
              <w:rPr>
                <w:color w:val="000000" w:themeColor="text1"/>
                <w:lang w:eastAsia="zh-CN"/>
                <w14:textFill>
                  <w14:solidFill>
                    <w14:schemeClr w14:val="tx1"/>
                  </w14:solidFill>
                </w14:textFill>
              </w:rPr>
            </w:pPr>
          </w:p>
        </w:tc>
        <w:tc>
          <w:tcPr>
            <w:tcW w:w="2048" w:type="dxa"/>
            <w:vAlign w:val="center"/>
          </w:tcPr>
          <w:p>
            <w:pPr>
              <w:pStyle w:val="111"/>
              <w:rPr>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二噁英</w:t>
            </w:r>
          </w:p>
        </w:tc>
        <w:tc>
          <w:tcPr>
            <w:tcW w:w="606" w:type="dxa"/>
            <w:vMerge w:val="continue"/>
            <w:vAlign w:val="center"/>
          </w:tcPr>
          <w:p>
            <w:pPr>
              <w:pStyle w:val="111"/>
              <w:rPr>
                <w:color w:val="000000" w:themeColor="text1"/>
                <w:lang w:eastAsia="zh-CN"/>
                <w14:textFill>
                  <w14:solidFill>
                    <w14:schemeClr w14:val="tx1"/>
                  </w14:solidFill>
                </w14:textFill>
              </w:rPr>
            </w:pPr>
          </w:p>
        </w:tc>
        <w:tc>
          <w:tcPr>
            <w:tcW w:w="886" w:type="dxa"/>
            <w:vAlign w:val="center"/>
          </w:tcPr>
          <w:p>
            <w:pPr>
              <w:pStyle w:val="111"/>
              <w:rPr>
                <w:color w:val="000000" w:themeColor="text1"/>
                <w14:textFill>
                  <w14:solidFill>
                    <w14:schemeClr w14:val="tx1"/>
                  </w14:solidFill>
                </w14:textFill>
              </w:rPr>
            </w:pPr>
            <w:r>
              <w:rPr>
                <w:color w:val="000000" w:themeColor="text1"/>
                <w14:textFill>
                  <w14:solidFill>
                    <w14:schemeClr w14:val="tx1"/>
                  </w14:solidFill>
                </w14:textFill>
              </w:rPr>
              <w:t>0.</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ngTEQ/m</w:t>
            </w:r>
            <w:r>
              <w:rPr>
                <w:color w:val="000000" w:themeColor="text1"/>
                <w:vertAlign w:val="superscript"/>
                <w14:textFill>
                  <w14:solidFill>
                    <w14:schemeClr w14:val="tx1"/>
                  </w14:solidFill>
                </w14:textFill>
              </w:rPr>
              <w:t>3</w:t>
            </w:r>
          </w:p>
        </w:tc>
        <w:tc>
          <w:tcPr>
            <w:tcW w:w="836" w:type="dxa"/>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p>
        </w:tc>
        <w:tc>
          <w:tcPr>
            <w:tcW w:w="803" w:type="dxa"/>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1116" w:type="dxa"/>
            <w:vMerge w:val="continue"/>
            <w:vAlign w:val="center"/>
          </w:tcPr>
          <w:p>
            <w:pPr>
              <w:pStyle w:val="111"/>
              <w:rPr>
                <w:rFonts w:cs="宋体"/>
                <w:color w:val="000000" w:themeColor="text1"/>
                <w:lang w:eastAsia="zh-CN"/>
                <w14:textFill>
                  <w14:solidFill>
                    <w14:schemeClr w14:val="tx1"/>
                  </w14:solidFill>
                </w14:textFill>
              </w:rPr>
            </w:pPr>
          </w:p>
        </w:tc>
        <w:tc>
          <w:tcPr>
            <w:tcW w:w="2425" w:type="dxa"/>
            <w:vMerge w:val="restart"/>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《恶臭污染物排放标准》</w:t>
            </w:r>
            <w:r>
              <w:rPr>
                <w:color w:val="000000" w:themeColor="text1"/>
                <w:lang w:eastAsia="zh-CN"/>
                <w14:textFill>
                  <w14:solidFill>
                    <w14:schemeClr w14:val="tx1"/>
                  </w14:solidFill>
                </w14:textFill>
              </w:rPr>
              <w:t>（GB14554-93）</w:t>
            </w:r>
            <w:r>
              <w:rPr>
                <w:rFonts w:hint="eastAsia"/>
                <w:color w:val="000000" w:themeColor="text1"/>
                <w:lang w:eastAsia="zh-CN"/>
                <w14:textFill>
                  <w14:solidFill>
                    <w14:schemeClr w14:val="tx1"/>
                  </w14:solidFill>
                </w14:textFill>
              </w:rPr>
              <w:t>表1二级标准</w:t>
            </w:r>
          </w:p>
        </w:tc>
        <w:tc>
          <w:tcPr>
            <w:tcW w:w="2048" w:type="dxa"/>
            <w:vAlign w:val="center"/>
          </w:tcPr>
          <w:p>
            <w:pPr>
              <w:pStyle w:val="111"/>
              <w:rPr>
                <w:color w:val="000000" w:themeColor="text1"/>
                <w14:textFill>
                  <w14:solidFill>
                    <w14:schemeClr w14:val="tx1"/>
                  </w14:solidFill>
                </w14:textFill>
              </w:rPr>
            </w:pPr>
            <w:r>
              <w:rPr>
                <w:color w:val="000000" w:themeColor="text1"/>
                <w14:textFill>
                  <w14:solidFill>
                    <w14:schemeClr w14:val="tx1"/>
                  </w14:solidFill>
                </w14:textFill>
              </w:rPr>
              <w:t>氨</w:t>
            </w:r>
          </w:p>
        </w:tc>
        <w:tc>
          <w:tcPr>
            <w:tcW w:w="606" w:type="dxa"/>
            <w:vMerge w:val="continue"/>
            <w:vAlign w:val="center"/>
          </w:tcPr>
          <w:p>
            <w:pPr>
              <w:pStyle w:val="111"/>
              <w:rPr>
                <w:color w:val="000000" w:themeColor="text1"/>
                <w:lang w:eastAsia="zh-CN"/>
                <w14:textFill>
                  <w14:solidFill>
                    <w14:schemeClr w14:val="tx1"/>
                  </w14:solidFill>
                </w14:textFill>
              </w:rPr>
            </w:pPr>
          </w:p>
        </w:tc>
        <w:tc>
          <w:tcPr>
            <w:tcW w:w="886" w:type="dxa"/>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p>
        </w:tc>
        <w:tc>
          <w:tcPr>
            <w:tcW w:w="836" w:type="dxa"/>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7</w:t>
            </w:r>
            <w:r>
              <w:rPr>
                <w:color w:val="000000" w:themeColor="text1"/>
                <w:lang w:eastAsia="zh-CN"/>
                <w14:textFill>
                  <w14:solidFill>
                    <w14:schemeClr w14:val="tx1"/>
                  </w14:solidFill>
                </w14:textFill>
              </w:rPr>
              <w:t>5</w:t>
            </w:r>
          </w:p>
        </w:tc>
        <w:tc>
          <w:tcPr>
            <w:tcW w:w="803" w:type="dxa"/>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8" w:hRule="atLeast"/>
          <w:jc w:val="center"/>
        </w:trPr>
        <w:tc>
          <w:tcPr>
            <w:tcW w:w="1116" w:type="dxa"/>
            <w:vAlign w:val="center"/>
          </w:tcPr>
          <w:p>
            <w:pPr>
              <w:pStyle w:val="111"/>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厂界无组织</w:t>
            </w:r>
          </w:p>
        </w:tc>
        <w:tc>
          <w:tcPr>
            <w:tcW w:w="2425" w:type="dxa"/>
            <w:vMerge w:val="continue"/>
            <w:vAlign w:val="center"/>
          </w:tcPr>
          <w:p>
            <w:pPr>
              <w:pStyle w:val="111"/>
              <w:rPr>
                <w:color w:val="000000" w:themeColor="text1"/>
                <w:lang w:eastAsia="zh-CN"/>
                <w14:textFill>
                  <w14:solidFill>
                    <w14:schemeClr w14:val="tx1"/>
                  </w14:solidFill>
                </w14:textFill>
              </w:rPr>
            </w:pPr>
          </w:p>
        </w:tc>
        <w:tc>
          <w:tcPr>
            <w:tcW w:w="2048" w:type="dxa"/>
            <w:vAlign w:val="center"/>
          </w:tcPr>
          <w:p>
            <w:pPr>
              <w:pStyle w:val="111"/>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氨</w:t>
            </w:r>
          </w:p>
        </w:tc>
        <w:tc>
          <w:tcPr>
            <w:tcW w:w="606" w:type="dxa"/>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p>
        </w:tc>
        <w:tc>
          <w:tcPr>
            <w:tcW w:w="886" w:type="dxa"/>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w:t>
            </w:r>
            <w:r>
              <w:rPr>
                <w:color w:val="000000" w:themeColor="text1"/>
                <w:lang w:eastAsia="zh-CN"/>
                <w14:textFill>
                  <w14:solidFill>
                    <w14:schemeClr w14:val="tx1"/>
                  </w14:solidFill>
                </w14:textFill>
              </w:rPr>
              <w:t>.5</w:t>
            </w:r>
          </w:p>
        </w:tc>
        <w:tc>
          <w:tcPr>
            <w:tcW w:w="836" w:type="dxa"/>
            <w:vAlign w:val="center"/>
          </w:tcPr>
          <w:p>
            <w:pPr>
              <w:pStyle w:val="111"/>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p>
        </w:tc>
        <w:tc>
          <w:tcPr>
            <w:tcW w:w="803" w:type="dxa"/>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p>
        </w:tc>
      </w:tr>
    </w:tbl>
    <w:p>
      <w:pPr>
        <w:pStyle w:val="4"/>
        <w:rPr>
          <w:color w:val="000000" w:themeColor="text1"/>
          <w14:textFill>
            <w14:solidFill>
              <w14:schemeClr w14:val="tx1"/>
            </w14:solidFill>
          </w14:textFill>
        </w:rPr>
      </w:pPr>
      <w:r>
        <w:rPr>
          <w:color w:val="000000" w:themeColor="text1"/>
          <w14:textFill>
            <w14:solidFill>
              <w14:schemeClr w14:val="tx1"/>
            </w14:solidFill>
          </w14:textFill>
        </w:rPr>
        <w:t>废水排放清单</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本项目废水为上料系统冲洗废水，全部经喷枪喷雾循环流化床锅炉焚烧，无废水排放。</w:t>
      </w:r>
    </w:p>
    <w:p>
      <w:pPr>
        <w:pStyle w:val="4"/>
        <w:rPr>
          <w:color w:val="000000" w:themeColor="text1"/>
          <w14:textFill>
            <w14:solidFill>
              <w14:schemeClr w14:val="tx1"/>
            </w14:solidFill>
          </w14:textFill>
        </w:rPr>
      </w:pPr>
      <w:r>
        <w:rPr>
          <w:color w:val="000000" w:themeColor="text1"/>
          <w14:textFill>
            <w14:solidFill>
              <w14:schemeClr w14:val="tx1"/>
            </w14:solidFill>
          </w14:textFill>
        </w:rPr>
        <w:t>噪声排放清单</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噪声竣工验收指标</w:t>
      </w:r>
      <w:r>
        <w:rPr>
          <w:color w:val="000000" w:themeColor="text1"/>
          <w14:textFill>
            <w14:solidFill>
              <w14:schemeClr w14:val="tx1"/>
            </w14:solidFill>
          </w14:textFill>
        </w:rPr>
        <w:t>一览表</w:t>
      </w:r>
    </w:p>
    <w:tbl>
      <w:tblPr>
        <w:tblStyle w:val="42"/>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5"/>
        <w:gridCol w:w="898"/>
        <w:gridCol w:w="1402"/>
        <w:gridCol w:w="1702"/>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63" w:type="dxa"/>
            <w:gridSpan w:val="2"/>
            <w:vMerge w:val="restart"/>
            <w:vAlign w:val="center"/>
          </w:tcPr>
          <w:p>
            <w:pPr>
              <w:spacing w:before="24"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排放标准及标准号</w:t>
            </w:r>
          </w:p>
        </w:tc>
        <w:tc>
          <w:tcPr>
            <w:tcW w:w="3104" w:type="dxa"/>
            <w:gridSpan w:val="2"/>
            <w:vAlign w:val="center"/>
          </w:tcPr>
          <w:p>
            <w:pPr>
              <w:spacing w:before="24"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最大允许排放值</w:t>
            </w:r>
          </w:p>
        </w:tc>
        <w:tc>
          <w:tcPr>
            <w:tcW w:w="1353" w:type="dxa"/>
            <w:vMerge w:val="restart"/>
            <w:vAlign w:val="center"/>
          </w:tcPr>
          <w:p>
            <w:pPr>
              <w:spacing w:before="24"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63" w:type="dxa"/>
            <w:gridSpan w:val="2"/>
            <w:vMerge w:val="continue"/>
            <w:vAlign w:val="center"/>
          </w:tcPr>
          <w:p>
            <w:pPr>
              <w:spacing w:before="24" w:line="240" w:lineRule="auto"/>
              <w:ind w:firstLine="0" w:firstLineChars="0"/>
              <w:jc w:val="center"/>
              <w:rPr>
                <w:color w:val="000000" w:themeColor="text1"/>
                <w:sz w:val="22"/>
                <w14:textFill>
                  <w14:solidFill>
                    <w14:schemeClr w14:val="tx1"/>
                  </w14:solidFill>
                </w14:textFill>
              </w:rPr>
            </w:pPr>
          </w:p>
        </w:tc>
        <w:tc>
          <w:tcPr>
            <w:tcW w:w="1402" w:type="dxa"/>
            <w:vAlign w:val="center"/>
          </w:tcPr>
          <w:p>
            <w:pPr>
              <w:spacing w:before="24"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昼间（dB）</w:t>
            </w:r>
          </w:p>
        </w:tc>
        <w:tc>
          <w:tcPr>
            <w:tcW w:w="1702" w:type="dxa"/>
            <w:vAlign w:val="center"/>
          </w:tcPr>
          <w:p>
            <w:pPr>
              <w:spacing w:before="24"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夜间（dB）</w:t>
            </w:r>
          </w:p>
        </w:tc>
        <w:tc>
          <w:tcPr>
            <w:tcW w:w="1353" w:type="dxa"/>
            <w:vMerge w:val="continue"/>
            <w:vAlign w:val="center"/>
          </w:tcPr>
          <w:p>
            <w:pPr>
              <w:spacing w:before="24" w:line="240" w:lineRule="auto"/>
              <w:ind w:firstLine="0" w:firstLineChars="0"/>
              <w:jc w:val="center"/>
              <w:rPr>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365" w:type="dxa"/>
            <w:vAlign w:val="center"/>
          </w:tcPr>
          <w:p>
            <w:pPr>
              <w:spacing w:before="24"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《工业企业厂界环境噪声排放标准》（GB12348-2008）</w:t>
            </w:r>
          </w:p>
        </w:tc>
        <w:tc>
          <w:tcPr>
            <w:tcW w:w="898" w:type="dxa"/>
            <w:vAlign w:val="center"/>
          </w:tcPr>
          <w:p>
            <w:pPr>
              <w:spacing w:before="24" w:line="240" w:lineRule="auto"/>
              <w:ind w:firstLine="0" w:firstLineChars="0"/>
              <w:jc w:val="center"/>
              <w:rPr>
                <w:color w:val="000000" w:themeColor="text1"/>
                <w:sz w:val="22"/>
                <w14:textFill>
                  <w14:solidFill>
                    <w14:schemeClr w14:val="tx1"/>
                  </w14:solidFill>
                </w14:textFill>
              </w:rPr>
            </w:pPr>
            <w:r>
              <w:rPr>
                <w:snapToGrid w:val="0"/>
                <w:color w:val="000000" w:themeColor="text1"/>
                <w:kern w:val="0"/>
                <w:sz w:val="22"/>
                <w14:textFill>
                  <w14:solidFill>
                    <w14:schemeClr w14:val="tx1"/>
                  </w14:solidFill>
                </w14:textFill>
              </w:rPr>
              <w:t>3类</w:t>
            </w:r>
          </w:p>
        </w:tc>
        <w:tc>
          <w:tcPr>
            <w:tcW w:w="1402" w:type="dxa"/>
            <w:vAlign w:val="center"/>
          </w:tcPr>
          <w:p>
            <w:pPr>
              <w:spacing w:before="24" w:line="240" w:lineRule="auto"/>
              <w:ind w:firstLine="0" w:firstLineChars="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65</w:t>
            </w:r>
          </w:p>
        </w:tc>
        <w:tc>
          <w:tcPr>
            <w:tcW w:w="1702" w:type="dxa"/>
            <w:vAlign w:val="center"/>
          </w:tcPr>
          <w:p>
            <w:pPr>
              <w:pStyle w:val="146"/>
              <w:adjustRightInd/>
              <w:snapToGrid/>
              <w:spacing w:line="240" w:lineRule="auto"/>
              <w:ind w:firstLine="0" w:firstLineChars="0"/>
              <w:rPr>
                <w:color w:val="000000" w:themeColor="text1"/>
                <w:kern w:val="2"/>
                <w:sz w:val="22"/>
                <w:szCs w:val="22"/>
                <w14:textFill>
                  <w14:solidFill>
                    <w14:schemeClr w14:val="tx1"/>
                  </w14:solidFill>
                </w14:textFill>
              </w:rPr>
            </w:pPr>
            <w:r>
              <w:rPr>
                <w:color w:val="000000" w:themeColor="text1"/>
                <w:kern w:val="2"/>
                <w:sz w:val="22"/>
                <w:szCs w:val="22"/>
                <w14:textFill>
                  <w14:solidFill>
                    <w14:schemeClr w14:val="tx1"/>
                  </w14:solidFill>
                </w14:textFill>
              </w:rPr>
              <w:t>55</w:t>
            </w:r>
          </w:p>
        </w:tc>
        <w:tc>
          <w:tcPr>
            <w:tcW w:w="1353" w:type="dxa"/>
            <w:vAlign w:val="center"/>
          </w:tcPr>
          <w:p>
            <w:pPr>
              <w:spacing w:before="24" w:line="240" w:lineRule="auto"/>
              <w:ind w:firstLine="0" w:firstLineChars="0"/>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w:t>
            </w:r>
          </w:p>
        </w:tc>
      </w:tr>
    </w:tbl>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固体废物</w:t>
      </w:r>
      <w:r>
        <w:rPr>
          <w:color w:val="000000" w:themeColor="text1"/>
          <w14:textFill>
            <w14:solidFill>
              <w14:schemeClr w14:val="tx1"/>
            </w14:solidFill>
          </w14:textFill>
        </w:rPr>
        <w:t>排放清单</w:t>
      </w:r>
    </w:p>
    <w:p>
      <w:pPr>
        <w:ind w:firstLine="520"/>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本项目不排放固体废物。</w:t>
      </w:r>
    </w:p>
    <w:p>
      <w:pPr>
        <w:pStyle w:val="3"/>
      </w:pPr>
      <w:bookmarkStart w:id="172" w:name="_Toc109888288"/>
      <w:r>
        <w:t>信息公开</w:t>
      </w:r>
      <w:bookmarkEnd w:id="172"/>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根据《企事业单位环境信息公开办法》（环保部令第 31 号），本项目采取主动公开和申请公开两种方式及时、如实地公开其环境信息。</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主动公开</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主动向社会公开的信息内容包括项目名称、建设单位、地址、联系方式、排污信息（污染源名称、监测点位名称、监测日期，监测指标名称、监测指标浓度、排放浓度限值）和污染设施运行情况等。主动公开的环保信息，主要通过企事业环境信息公开网、环保部门“重点污染源监测（监控）信息平台”或者企业网站公开，时，根据政府信息内容和特点通过报刊、广播、电视等便于公众知晓的辅助方式公开。</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依法申请公开</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公民、法人和其他组织依照《中华人民共和国政府信息公开条例》的规定，向其环境主管部门申请主动公开以外的环境信息。</w:t>
      </w:r>
    </w:p>
    <w:p>
      <w:pPr>
        <w:pStyle w:val="3"/>
      </w:pPr>
      <w:bookmarkStart w:id="173" w:name="_Toc109888289"/>
      <w:r>
        <w:rPr>
          <w:rFonts w:hint="eastAsia"/>
        </w:rPr>
        <w:t>环境监测计划</w:t>
      </w:r>
      <w:bookmarkEnd w:id="169"/>
      <w:bookmarkEnd w:id="170"/>
      <w:bookmarkEnd w:id="171"/>
      <w:bookmarkEnd w:id="173"/>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环境监测的目的是监督各项环保措施的落实，根据监测结果及时调整环境保护管理计划，为环保措施的实施时间和实施方案提供依据。</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竣工环保验收监测内容</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本项目竣工环保验收阶段需进行的环境监测内容见表9</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pPr>
        <w:pStyle w:val="39"/>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项目竣工环保验收阶段环境监测内容</w:t>
      </w:r>
    </w:p>
    <w:tbl>
      <w:tblPr>
        <w:tblStyle w:val="42"/>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966"/>
        <w:gridCol w:w="1383"/>
        <w:gridCol w:w="1352"/>
        <w:gridCol w:w="2464"/>
        <w:gridCol w:w="1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blHeader/>
          <w:jc w:val="center"/>
        </w:trPr>
        <w:tc>
          <w:tcPr>
            <w:tcW w:w="1104" w:type="dxa"/>
            <w:vAlign w:val="center"/>
          </w:tcPr>
          <w:p>
            <w:pPr>
              <w:pStyle w:val="111"/>
              <w:rPr>
                <w:color w:val="000000" w:themeColor="text1"/>
                <w14:textFill>
                  <w14:solidFill>
                    <w14:schemeClr w14:val="tx1"/>
                  </w14:solidFill>
                </w14:textFill>
              </w:rPr>
            </w:pPr>
            <w:r>
              <w:rPr>
                <w:rFonts w:hint="eastAsia"/>
                <w:color w:val="000000" w:themeColor="text1"/>
                <w14:textFill>
                  <w14:solidFill>
                    <w14:schemeClr w14:val="tx1"/>
                  </w14:solidFill>
                </w14:textFill>
              </w:rPr>
              <w:t>时段</w:t>
            </w:r>
          </w:p>
        </w:tc>
        <w:tc>
          <w:tcPr>
            <w:tcW w:w="966" w:type="dxa"/>
            <w:vAlign w:val="center"/>
          </w:tcPr>
          <w:p>
            <w:pPr>
              <w:pStyle w:val="111"/>
              <w:rPr>
                <w:color w:val="000000" w:themeColor="text1"/>
                <w14:textFill>
                  <w14:solidFill>
                    <w14:schemeClr w14:val="tx1"/>
                  </w14:solidFill>
                </w14:textFill>
              </w:rPr>
            </w:pPr>
            <w:r>
              <w:rPr>
                <w:color w:val="000000" w:themeColor="text1"/>
                <w14:textFill>
                  <w14:solidFill>
                    <w14:schemeClr w14:val="tx1"/>
                  </w14:solidFill>
                </w14:textFill>
              </w:rPr>
              <w:t>类别</w:t>
            </w:r>
          </w:p>
        </w:tc>
        <w:tc>
          <w:tcPr>
            <w:tcW w:w="1383" w:type="dxa"/>
            <w:vAlign w:val="center"/>
          </w:tcPr>
          <w:p>
            <w:pPr>
              <w:pStyle w:val="111"/>
              <w:rPr>
                <w:color w:val="000000" w:themeColor="text1"/>
                <w14:textFill>
                  <w14:solidFill>
                    <w14:schemeClr w14:val="tx1"/>
                  </w14:solidFill>
                </w14:textFill>
              </w:rPr>
            </w:pPr>
            <w:r>
              <w:rPr>
                <w:color w:val="000000" w:themeColor="text1"/>
                <w14:textFill>
                  <w14:solidFill>
                    <w14:schemeClr w14:val="tx1"/>
                  </w14:solidFill>
                </w14:textFill>
              </w:rPr>
              <w:t>监测位置</w:t>
            </w:r>
          </w:p>
        </w:tc>
        <w:tc>
          <w:tcPr>
            <w:tcW w:w="1352" w:type="dxa"/>
            <w:vAlign w:val="center"/>
          </w:tcPr>
          <w:p>
            <w:pPr>
              <w:pStyle w:val="111"/>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测点位置</w:t>
            </w:r>
          </w:p>
        </w:tc>
        <w:tc>
          <w:tcPr>
            <w:tcW w:w="2464" w:type="dxa"/>
            <w:vAlign w:val="center"/>
          </w:tcPr>
          <w:p>
            <w:pPr>
              <w:pStyle w:val="111"/>
              <w:rPr>
                <w:color w:val="000000" w:themeColor="text1"/>
                <w14:textFill>
                  <w14:solidFill>
                    <w14:schemeClr w14:val="tx1"/>
                  </w14:solidFill>
                </w14:textFill>
              </w:rPr>
            </w:pPr>
            <w:r>
              <w:rPr>
                <w:color w:val="000000" w:themeColor="text1"/>
                <w14:textFill>
                  <w14:solidFill>
                    <w14:schemeClr w14:val="tx1"/>
                  </w14:solidFill>
                </w14:textFill>
              </w:rPr>
              <w:t>监测项目</w:t>
            </w:r>
          </w:p>
        </w:tc>
        <w:tc>
          <w:tcPr>
            <w:tcW w:w="1451" w:type="dxa"/>
            <w:vAlign w:val="center"/>
          </w:tcPr>
          <w:p>
            <w:pPr>
              <w:pStyle w:val="111"/>
              <w:rPr>
                <w:color w:val="000000" w:themeColor="text1"/>
                <w14:textFill>
                  <w14:solidFill>
                    <w14:schemeClr w14:val="tx1"/>
                  </w14:solidFill>
                </w14:textFill>
              </w:rPr>
            </w:pPr>
            <w:r>
              <w:rPr>
                <w:color w:val="000000" w:themeColor="text1"/>
                <w14:textFill>
                  <w14:solidFill>
                    <w14:schemeClr w14:val="tx1"/>
                  </w14:solidFill>
                </w14:textFill>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04" w:type="dxa"/>
            <w:vMerge w:val="restart"/>
            <w:vAlign w:val="center"/>
          </w:tcPr>
          <w:p>
            <w:pPr>
              <w:pStyle w:val="111"/>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竣工环保验收阶段</w:t>
            </w:r>
          </w:p>
        </w:tc>
        <w:tc>
          <w:tcPr>
            <w:tcW w:w="966" w:type="dxa"/>
            <w:vMerge w:val="restart"/>
            <w:vAlign w:val="center"/>
          </w:tcPr>
          <w:p>
            <w:pPr>
              <w:pStyle w:val="111"/>
              <w:rPr>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废气</w:t>
            </w:r>
          </w:p>
        </w:tc>
        <w:tc>
          <w:tcPr>
            <w:tcW w:w="1383" w:type="dxa"/>
            <w:vMerge w:val="restart"/>
            <w:vAlign w:val="center"/>
          </w:tcPr>
          <w:p>
            <w:pPr>
              <w:pStyle w:val="111"/>
              <w:rPr>
                <w:color w:val="000000" w:themeColor="text1"/>
                <w:lang w:eastAsia="zh-CN"/>
                <w14:textFill>
                  <w14:solidFill>
                    <w14:schemeClr w14:val="tx1"/>
                  </w14:solidFill>
                </w14:textFill>
              </w:rPr>
            </w:pPr>
            <w:r>
              <w:rPr>
                <w:rFonts w:eastAsiaTheme="minorEastAsia"/>
                <w:color w:val="000000" w:themeColor="text1"/>
                <w:lang w:eastAsia="zh-CN"/>
                <w14:textFill>
                  <w14:solidFill>
                    <w14:schemeClr w14:val="tx1"/>
                  </w14:solidFill>
                </w14:textFill>
              </w:rPr>
              <w:t>循环流化床锅炉烟囱</w:t>
            </w:r>
          </w:p>
        </w:tc>
        <w:tc>
          <w:tcPr>
            <w:tcW w:w="1352" w:type="dxa"/>
            <w:vMerge w:val="restart"/>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固定采样口</w:t>
            </w:r>
            <w:r>
              <w:rPr>
                <w:rFonts w:eastAsiaTheme="minorEastAsia"/>
                <w:color w:val="000000" w:themeColor="text1"/>
                <w:lang w:eastAsia="zh-CN"/>
                <w14:textFill>
                  <w14:solidFill>
                    <w14:schemeClr w14:val="tx1"/>
                  </w14:solidFill>
                </w14:textFill>
              </w:rPr>
              <w:t>（DA001）</w:t>
            </w:r>
          </w:p>
        </w:tc>
        <w:tc>
          <w:tcPr>
            <w:tcW w:w="2464" w:type="dxa"/>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烟气量、温度、氧含量</w:t>
            </w:r>
          </w:p>
        </w:tc>
        <w:tc>
          <w:tcPr>
            <w:tcW w:w="1451" w:type="dxa"/>
            <w:vMerge w:val="restart"/>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按验收规范要求监测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04" w:type="dxa"/>
            <w:vMerge w:val="continue"/>
            <w:vAlign w:val="center"/>
          </w:tcPr>
          <w:p>
            <w:pPr>
              <w:pStyle w:val="111"/>
              <w:rPr>
                <w:color w:val="000000" w:themeColor="text1"/>
                <w:lang w:eastAsia="zh-CN"/>
                <w14:textFill>
                  <w14:solidFill>
                    <w14:schemeClr w14:val="tx1"/>
                  </w14:solidFill>
                </w14:textFill>
              </w:rPr>
            </w:pPr>
          </w:p>
        </w:tc>
        <w:tc>
          <w:tcPr>
            <w:tcW w:w="966" w:type="dxa"/>
            <w:vMerge w:val="continue"/>
            <w:vAlign w:val="center"/>
          </w:tcPr>
          <w:p>
            <w:pPr>
              <w:pStyle w:val="111"/>
              <w:rPr>
                <w:color w:val="000000" w:themeColor="text1"/>
                <w:lang w:eastAsia="zh-CN"/>
                <w14:textFill>
                  <w14:solidFill>
                    <w14:schemeClr w14:val="tx1"/>
                  </w14:solidFill>
                </w14:textFill>
              </w:rPr>
            </w:pPr>
          </w:p>
        </w:tc>
        <w:tc>
          <w:tcPr>
            <w:tcW w:w="1383" w:type="dxa"/>
            <w:vMerge w:val="continue"/>
            <w:vAlign w:val="center"/>
          </w:tcPr>
          <w:p>
            <w:pPr>
              <w:pStyle w:val="111"/>
              <w:rPr>
                <w:color w:val="000000" w:themeColor="text1"/>
                <w:lang w:eastAsia="zh-CN"/>
                <w14:textFill>
                  <w14:solidFill>
                    <w14:schemeClr w14:val="tx1"/>
                  </w14:solidFill>
                </w14:textFill>
              </w:rPr>
            </w:pPr>
          </w:p>
        </w:tc>
        <w:tc>
          <w:tcPr>
            <w:tcW w:w="1352" w:type="dxa"/>
            <w:vMerge w:val="continue"/>
          </w:tcPr>
          <w:p>
            <w:pPr>
              <w:pStyle w:val="111"/>
              <w:rPr>
                <w:color w:val="000000" w:themeColor="text1"/>
                <w:lang w:eastAsia="zh-CN"/>
                <w14:textFill>
                  <w14:solidFill>
                    <w14:schemeClr w14:val="tx1"/>
                  </w14:solidFill>
                </w14:textFill>
              </w:rPr>
            </w:pPr>
          </w:p>
        </w:tc>
        <w:tc>
          <w:tcPr>
            <w:tcW w:w="2464" w:type="dxa"/>
            <w:vAlign w:val="center"/>
          </w:tcPr>
          <w:p>
            <w:pPr>
              <w:pStyle w:val="111"/>
              <w:rPr>
                <w:color w:val="000000" w:themeColor="text1"/>
                <w:lang w:eastAsia="zh-CN"/>
                <w14:textFill>
                  <w14:solidFill>
                    <w14:schemeClr w14:val="tx1"/>
                  </w14:solidFill>
                </w14:textFill>
              </w:rPr>
            </w:pPr>
            <w:r>
              <w:rPr>
                <w:rFonts w:eastAsiaTheme="minorEastAsia"/>
                <w:color w:val="000000" w:themeColor="text1"/>
                <w14:textFill>
                  <w14:solidFill>
                    <w14:schemeClr w14:val="tx1"/>
                  </w14:solidFill>
                </w14:textFill>
              </w:rPr>
              <w:t>SO</w:t>
            </w:r>
            <w:r>
              <w:rPr>
                <w:rFonts w:eastAsiaTheme="minorEastAsia"/>
                <w:color w:val="000000" w:themeColor="text1"/>
                <w:vertAlign w:val="subscript"/>
                <w14:textFill>
                  <w14:solidFill>
                    <w14:schemeClr w14:val="tx1"/>
                  </w14:solidFill>
                </w14:textFill>
              </w:rPr>
              <w:t>2</w:t>
            </w:r>
          </w:p>
        </w:tc>
        <w:tc>
          <w:tcPr>
            <w:tcW w:w="1451" w:type="dxa"/>
            <w:vMerge w:val="continue"/>
            <w:vAlign w:val="center"/>
          </w:tcPr>
          <w:p>
            <w:pPr>
              <w:pStyle w:val="111"/>
              <w:rPr>
                <w:color w:val="000000" w:themeColor="text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04" w:type="dxa"/>
            <w:vMerge w:val="continue"/>
            <w:vAlign w:val="center"/>
          </w:tcPr>
          <w:p>
            <w:pPr>
              <w:pStyle w:val="111"/>
              <w:rPr>
                <w:color w:val="000000" w:themeColor="text1"/>
                <w:lang w:eastAsia="zh-CN"/>
                <w14:textFill>
                  <w14:solidFill>
                    <w14:schemeClr w14:val="tx1"/>
                  </w14:solidFill>
                </w14:textFill>
              </w:rPr>
            </w:pPr>
          </w:p>
        </w:tc>
        <w:tc>
          <w:tcPr>
            <w:tcW w:w="966" w:type="dxa"/>
            <w:vMerge w:val="continue"/>
            <w:vAlign w:val="center"/>
          </w:tcPr>
          <w:p>
            <w:pPr>
              <w:pStyle w:val="111"/>
              <w:rPr>
                <w:color w:val="000000" w:themeColor="text1"/>
                <w:lang w:eastAsia="zh-CN"/>
                <w14:textFill>
                  <w14:solidFill>
                    <w14:schemeClr w14:val="tx1"/>
                  </w14:solidFill>
                </w14:textFill>
              </w:rPr>
            </w:pPr>
          </w:p>
        </w:tc>
        <w:tc>
          <w:tcPr>
            <w:tcW w:w="1383" w:type="dxa"/>
            <w:vMerge w:val="continue"/>
            <w:vAlign w:val="center"/>
          </w:tcPr>
          <w:p>
            <w:pPr>
              <w:pStyle w:val="111"/>
              <w:rPr>
                <w:color w:val="000000" w:themeColor="text1"/>
                <w:lang w:eastAsia="zh-CN"/>
                <w14:textFill>
                  <w14:solidFill>
                    <w14:schemeClr w14:val="tx1"/>
                  </w14:solidFill>
                </w14:textFill>
              </w:rPr>
            </w:pPr>
          </w:p>
        </w:tc>
        <w:tc>
          <w:tcPr>
            <w:tcW w:w="1352" w:type="dxa"/>
            <w:vMerge w:val="continue"/>
          </w:tcPr>
          <w:p>
            <w:pPr>
              <w:pStyle w:val="111"/>
              <w:rPr>
                <w:color w:val="000000" w:themeColor="text1"/>
                <w14:textFill>
                  <w14:solidFill>
                    <w14:schemeClr w14:val="tx1"/>
                  </w14:solidFill>
                </w14:textFill>
              </w:rPr>
            </w:pPr>
          </w:p>
        </w:tc>
        <w:tc>
          <w:tcPr>
            <w:tcW w:w="2464" w:type="dxa"/>
            <w:vAlign w:val="center"/>
          </w:tcPr>
          <w:p>
            <w:pPr>
              <w:pStyle w:val="111"/>
              <w:rPr>
                <w:color w:val="000000" w:themeColor="text1"/>
                <w:lang w:eastAsia="zh-CN"/>
                <w14:textFill>
                  <w14:solidFill>
                    <w14:schemeClr w14:val="tx1"/>
                  </w14:solidFill>
                </w14:textFill>
              </w:rPr>
            </w:pPr>
            <w:r>
              <w:rPr>
                <w:rFonts w:eastAsiaTheme="minorEastAsia"/>
                <w:color w:val="000000" w:themeColor="text1"/>
                <w14:textFill>
                  <w14:solidFill>
                    <w14:schemeClr w14:val="tx1"/>
                  </w14:solidFill>
                </w14:textFill>
              </w:rPr>
              <w:t>NO</w:t>
            </w:r>
            <w:r>
              <w:rPr>
                <w:rFonts w:eastAsiaTheme="minorEastAsia"/>
                <w:color w:val="000000" w:themeColor="text1"/>
                <w:vertAlign w:val="subscript"/>
                <w14:textFill>
                  <w14:solidFill>
                    <w14:schemeClr w14:val="tx1"/>
                  </w14:solidFill>
                </w14:textFill>
              </w:rPr>
              <w:t>X</w:t>
            </w:r>
          </w:p>
        </w:tc>
        <w:tc>
          <w:tcPr>
            <w:tcW w:w="1451" w:type="dxa"/>
            <w:vMerge w:val="continue"/>
            <w:vAlign w:val="center"/>
          </w:tcPr>
          <w:p>
            <w:pPr>
              <w:pStyle w:val="111"/>
              <w:rPr>
                <w:color w:val="000000" w:themeColor="text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04" w:type="dxa"/>
            <w:vMerge w:val="continue"/>
            <w:vAlign w:val="center"/>
          </w:tcPr>
          <w:p>
            <w:pPr>
              <w:pStyle w:val="111"/>
              <w:rPr>
                <w:color w:val="000000" w:themeColor="text1"/>
                <w:lang w:eastAsia="zh-CN"/>
                <w14:textFill>
                  <w14:solidFill>
                    <w14:schemeClr w14:val="tx1"/>
                  </w14:solidFill>
                </w14:textFill>
              </w:rPr>
            </w:pPr>
          </w:p>
        </w:tc>
        <w:tc>
          <w:tcPr>
            <w:tcW w:w="966" w:type="dxa"/>
            <w:vMerge w:val="continue"/>
            <w:vAlign w:val="center"/>
          </w:tcPr>
          <w:p>
            <w:pPr>
              <w:pStyle w:val="111"/>
              <w:rPr>
                <w:color w:val="000000" w:themeColor="text1"/>
                <w:lang w:eastAsia="zh-CN"/>
                <w14:textFill>
                  <w14:solidFill>
                    <w14:schemeClr w14:val="tx1"/>
                  </w14:solidFill>
                </w14:textFill>
              </w:rPr>
            </w:pPr>
          </w:p>
        </w:tc>
        <w:tc>
          <w:tcPr>
            <w:tcW w:w="1383" w:type="dxa"/>
            <w:vMerge w:val="continue"/>
            <w:vAlign w:val="center"/>
          </w:tcPr>
          <w:p>
            <w:pPr>
              <w:pStyle w:val="111"/>
              <w:rPr>
                <w:color w:val="000000" w:themeColor="text1"/>
                <w:lang w:eastAsia="zh-CN"/>
                <w14:textFill>
                  <w14:solidFill>
                    <w14:schemeClr w14:val="tx1"/>
                  </w14:solidFill>
                </w14:textFill>
              </w:rPr>
            </w:pPr>
          </w:p>
        </w:tc>
        <w:tc>
          <w:tcPr>
            <w:tcW w:w="1352" w:type="dxa"/>
            <w:vMerge w:val="continue"/>
            <w:vAlign w:val="center"/>
          </w:tcPr>
          <w:p>
            <w:pPr>
              <w:pStyle w:val="111"/>
              <w:rPr>
                <w:color w:val="000000" w:themeColor="text1"/>
                <w14:textFill>
                  <w14:solidFill>
                    <w14:schemeClr w14:val="tx1"/>
                  </w14:solidFill>
                </w14:textFill>
              </w:rPr>
            </w:pPr>
          </w:p>
        </w:tc>
        <w:tc>
          <w:tcPr>
            <w:tcW w:w="2464" w:type="dxa"/>
            <w:vAlign w:val="center"/>
          </w:tcPr>
          <w:p>
            <w:pPr>
              <w:pStyle w:val="111"/>
              <w:rPr>
                <w:color w:val="000000" w:themeColor="text1"/>
                <w:lang w:eastAsia="zh-CN"/>
                <w14:textFill>
                  <w14:solidFill>
                    <w14:schemeClr w14:val="tx1"/>
                  </w14:solidFill>
                </w14:textFill>
              </w:rPr>
            </w:pPr>
            <w:r>
              <w:rPr>
                <w:rFonts w:eastAsiaTheme="minorEastAsia"/>
                <w:color w:val="000000" w:themeColor="text1"/>
                <w14:textFill>
                  <w14:solidFill>
                    <w14:schemeClr w14:val="tx1"/>
                  </w14:solidFill>
                </w14:textFill>
              </w:rPr>
              <w:t>颗粒物</w:t>
            </w:r>
          </w:p>
        </w:tc>
        <w:tc>
          <w:tcPr>
            <w:tcW w:w="1451" w:type="dxa"/>
            <w:vMerge w:val="continue"/>
            <w:vAlign w:val="center"/>
          </w:tcPr>
          <w:p>
            <w:pPr>
              <w:pStyle w:val="111"/>
              <w:rPr>
                <w:color w:val="000000" w:themeColor="text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04" w:type="dxa"/>
            <w:vMerge w:val="continue"/>
            <w:vAlign w:val="center"/>
          </w:tcPr>
          <w:p>
            <w:pPr>
              <w:pStyle w:val="111"/>
              <w:rPr>
                <w:color w:val="000000" w:themeColor="text1"/>
                <w:lang w:eastAsia="zh-CN"/>
                <w14:textFill>
                  <w14:solidFill>
                    <w14:schemeClr w14:val="tx1"/>
                  </w14:solidFill>
                </w14:textFill>
              </w:rPr>
            </w:pPr>
          </w:p>
        </w:tc>
        <w:tc>
          <w:tcPr>
            <w:tcW w:w="966" w:type="dxa"/>
            <w:vMerge w:val="continue"/>
            <w:vAlign w:val="center"/>
          </w:tcPr>
          <w:p>
            <w:pPr>
              <w:pStyle w:val="111"/>
              <w:rPr>
                <w:color w:val="000000" w:themeColor="text1"/>
                <w:lang w:eastAsia="zh-CN"/>
                <w14:textFill>
                  <w14:solidFill>
                    <w14:schemeClr w14:val="tx1"/>
                  </w14:solidFill>
                </w14:textFill>
              </w:rPr>
            </w:pPr>
          </w:p>
        </w:tc>
        <w:tc>
          <w:tcPr>
            <w:tcW w:w="1383" w:type="dxa"/>
            <w:vMerge w:val="continue"/>
            <w:vAlign w:val="center"/>
          </w:tcPr>
          <w:p>
            <w:pPr>
              <w:pStyle w:val="111"/>
              <w:rPr>
                <w:color w:val="000000" w:themeColor="text1"/>
                <w:lang w:eastAsia="zh-CN"/>
                <w14:textFill>
                  <w14:solidFill>
                    <w14:schemeClr w14:val="tx1"/>
                  </w14:solidFill>
                </w14:textFill>
              </w:rPr>
            </w:pPr>
          </w:p>
        </w:tc>
        <w:tc>
          <w:tcPr>
            <w:tcW w:w="1352" w:type="dxa"/>
            <w:vMerge w:val="continue"/>
            <w:vAlign w:val="center"/>
          </w:tcPr>
          <w:p>
            <w:pPr>
              <w:pStyle w:val="111"/>
              <w:rPr>
                <w:color w:val="000000" w:themeColor="text1"/>
                <w14:textFill>
                  <w14:solidFill>
                    <w14:schemeClr w14:val="tx1"/>
                  </w14:solidFill>
                </w14:textFill>
              </w:rPr>
            </w:pPr>
          </w:p>
        </w:tc>
        <w:tc>
          <w:tcPr>
            <w:tcW w:w="2464" w:type="dxa"/>
            <w:vAlign w:val="center"/>
          </w:tcPr>
          <w:p>
            <w:pPr>
              <w:pStyle w:val="111"/>
              <w:rPr>
                <w:color w:val="000000" w:themeColor="text1"/>
                <w:lang w:eastAsia="zh-CN"/>
                <w14:textFill>
                  <w14:solidFill>
                    <w14:schemeClr w14:val="tx1"/>
                  </w14:solidFill>
                </w14:textFill>
              </w:rPr>
            </w:pPr>
            <w:r>
              <w:rPr>
                <w:rFonts w:eastAsiaTheme="minorEastAsia"/>
                <w:color w:val="000000" w:themeColor="text1"/>
                <w14:textFill>
                  <w14:solidFill>
                    <w14:schemeClr w14:val="tx1"/>
                  </w14:solidFill>
                </w14:textFill>
              </w:rPr>
              <w:t>氨</w:t>
            </w:r>
          </w:p>
        </w:tc>
        <w:tc>
          <w:tcPr>
            <w:tcW w:w="1451" w:type="dxa"/>
            <w:vMerge w:val="continue"/>
            <w:vAlign w:val="center"/>
          </w:tcPr>
          <w:p>
            <w:pPr>
              <w:pStyle w:val="111"/>
              <w:rPr>
                <w:color w:val="000000" w:themeColor="text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04" w:type="dxa"/>
            <w:vMerge w:val="continue"/>
            <w:vAlign w:val="center"/>
          </w:tcPr>
          <w:p>
            <w:pPr>
              <w:pStyle w:val="111"/>
              <w:rPr>
                <w:color w:val="000000" w:themeColor="text1"/>
                <w:lang w:eastAsia="zh-CN"/>
                <w14:textFill>
                  <w14:solidFill>
                    <w14:schemeClr w14:val="tx1"/>
                  </w14:solidFill>
                </w14:textFill>
              </w:rPr>
            </w:pPr>
          </w:p>
        </w:tc>
        <w:tc>
          <w:tcPr>
            <w:tcW w:w="966" w:type="dxa"/>
            <w:vMerge w:val="continue"/>
            <w:vAlign w:val="center"/>
          </w:tcPr>
          <w:p>
            <w:pPr>
              <w:pStyle w:val="111"/>
              <w:rPr>
                <w:color w:val="000000" w:themeColor="text1"/>
                <w:lang w:eastAsia="zh-CN"/>
                <w14:textFill>
                  <w14:solidFill>
                    <w14:schemeClr w14:val="tx1"/>
                  </w14:solidFill>
                </w14:textFill>
              </w:rPr>
            </w:pPr>
          </w:p>
        </w:tc>
        <w:tc>
          <w:tcPr>
            <w:tcW w:w="1383" w:type="dxa"/>
            <w:vMerge w:val="continue"/>
            <w:vAlign w:val="center"/>
          </w:tcPr>
          <w:p>
            <w:pPr>
              <w:pStyle w:val="111"/>
              <w:rPr>
                <w:color w:val="000000" w:themeColor="text1"/>
                <w:lang w:eastAsia="zh-CN"/>
                <w14:textFill>
                  <w14:solidFill>
                    <w14:schemeClr w14:val="tx1"/>
                  </w14:solidFill>
                </w14:textFill>
              </w:rPr>
            </w:pPr>
          </w:p>
        </w:tc>
        <w:tc>
          <w:tcPr>
            <w:tcW w:w="1352" w:type="dxa"/>
            <w:vMerge w:val="continue"/>
            <w:vAlign w:val="center"/>
          </w:tcPr>
          <w:p>
            <w:pPr>
              <w:pStyle w:val="111"/>
              <w:rPr>
                <w:color w:val="000000" w:themeColor="text1"/>
                <w14:textFill>
                  <w14:solidFill>
                    <w14:schemeClr w14:val="tx1"/>
                  </w14:solidFill>
                </w14:textFill>
              </w:rPr>
            </w:pPr>
          </w:p>
        </w:tc>
        <w:tc>
          <w:tcPr>
            <w:tcW w:w="2464" w:type="dxa"/>
            <w:vAlign w:val="center"/>
          </w:tcPr>
          <w:p>
            <w:pPr>
              <w:pStyle w:val="111"/>
              <w:rPr>
                <w:color w:val="000000" w:themeColor="text1"/>
                <w:lang w:eastAsia="zh-CN"/>
                <w14:textFill>
                  <w14:solidFill>
                    <w14:schemeClr w14:val="tx1"/>
                  </w14:solidFill>
                </w14:textFill>
              </w:rPr>
            </w:pPr>
            <w:r>
              <w:rPr>
                <w:rFonts w:eastAsiaTheme="minorEastAsia"/>
                <w:color w:val="000000" w:themeColor="text1"/>
                <w:shd w:val="clear" w:color="auto" w:fill="FFFFFF"/>
                <w14:textFill>
                  <w14:solidFill>
                    <w14:schemeClr w14:val="tx1"/>
                  </w14:solidFill>
                </w14:textFill>
              </w:rPr>
              <w:t>林格曼黑度</w:t>
            </w:r>
          </w:p>
        </w:tc>
        <w:tc>
          <w:tcPr>
            <w:tcW w:w="1451" w:type="dxa"/>
            <w:vMerge w:val="continue"/>
            <w:vAlign w:val="center"/>
          </w:tcPr>
          <w:p>
            <w:pPr>
              <w:pStyle w:val="111"/>
              <w:rPr>
                <w:color w:val="000000" w:themeColor="text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04" w:type="dxa"/>
            <w:vMerge w:val="continue"/>
            <w:vAlign w:val="center"/>
          </w:tcPr>
          <w:p>
            <w:pPr>
              <w:pStyle w:val="111"/>
              <w:rPr>
                <w:color w:val="000000" w:themeColor="text1"/>
                <w:lang w:eastAsia="zh-CN"/>
                <w14:textFill>
                  <w14:solidFill>
                    <w14:schemeClr w14:val="tx1"/>
                  </w14:solidFill>
                </w14:textFill>
              </w:rPr>
            </w:pPr>
          </w:p>
        </w:tc>
        <w:tc>
          <w:tcPr>
            <w:tcW w:w="966" w:type="dxa"/>
            <w:vMerge w:val="continue"/>
            <w:vAlign w:val="center"/>
          </w:tcPr>
          <w:p>
            <w:pPr>
              <w:pStyle w:val="111"/>
              <w:rPr>
                <w:color w:val="000000" w:themeColor="text1"/>
                <w:lang w:eastAsia="zh-CN"/>
                <w14:textFill>
                  <w14:solidFill>
                    <w14:schemeClr w14:val="tx1"/>
                  </w14:solidFill>
                </w14:textFill>
              </w:rPr>
            </w:pPr>
          </w:p>
        </w:tc>
        <w:tc>
          <w:tcPr>
            <w:tcW w:w="1383" w:type="dxa"/>
            <w:vMerge w:val="continue"/>
            <w:vAlign w:val="center"/>
          </w:tcPr>
          <w:p>
            <w:pPr>
              <w:pStyle w:val="111"/>
              <w:rPr>
                <w:color w:val="000000" w:themeColor="text1"/>
                <w:lang w:eastAsia="zh-CN"/>
                <w14:textFill>
                  <w14:solidFill>
                    <w14:schemeClr w14:val="tx1"/>
                  </w14:solidFill>
                </w14:textFill>
              </w:rPr>
            </w:pPr>
          </w:p>
        </w:tc>
        <w:tc>
          <w:tcPr>
            <w:tcW w:w="1352" w:type="dxa"/>
            <w:vMerge w:val="continue"/>
            <w:vAlign w:val="center"/>
          </w:tcPr>
          <w:p>
            <w:pPr>
              <w:pStyle w:val="111"/>
              <w:rPr>
                <w:color w:val="000000" w:themeColor="text1"/>
                <w14:textFill>
                  <w14:solidFill>
                    <w14:schemeClr w14:val="tx1"/>
                  </w14:solidFill>
                </w14:textFill>
              </w:rPr>
            </w:pPr>
          </w:p>
        </w:tc>
        <w:tc>
          <w:tcPr>
            <w:tcW w:w="2464" w:type="dxa"/>
            <w:vAlign w:val="center"/>
          </w:tcPr>
          <w:p>
            <w:pPr>
              <w:pStyle w:val="111"/>
              <w:rPr>
                <w:rFonts w:eastAsiaTheme="minorEastAsia"/>
                <w:color w:val="000000" w:themeColor="text1"/>
                <w:shd w:val="clear" w:color="auto" w:fill="FFFFFF"/>
                <w:lang w:eastAsia="zh-CN"/>
                <w14:textFill>
                  <w14:solidFill>
                    <w14:schemeClr w14:val="tx1"/>
                  </w14:solidFill>
                </w14:textFill>
              </w:rPr>
            </w:pPr>
            <w:r>
              <w:rPr>
                <w:rFonts w:hint="eastAsia" w:eastAsiaTheme="minorEastAsia"/>
                <w:color w:val="000000" w:themeColor="text1"/>
                <w:shd w:val="clear" w:color="auto" w:fill="FFFFFF"/>
                <w:lang w:eastAsia="zh-CN"/>
                <w14:textFill>
                  <w14:solidFill>
                    <w14:schemeClr w14:val="tx1"/>
                  </w14:solidFill>
                </w14:textFill>
              </w:rPr>
              <w:t>H</w:t>
            </w:r>
            <w:r>
              <w:rPr>
                <w:rFonts w:eastAsiaTheme="minorEastAsia"/>
                <w:color w:val="000000" w:themeColor="text1"/>
                <w:shd w:val="clear" w:color="auto" w:fill="FFFFFF"/>
                <w:lang w:eastAsia="zh-CN"/>
                <w14:textFill>
                  <w14:solidFill>
                    <w14:schemeClr w14:val="tx1"/>
                  </w14:solidFill>
                </w14:textFill>
              </w:rPr>
              <w:t>CL</w:t>
            </w:r>
          </w:p>
        </w:tc>
        <w:tc>
          <w:tcPr>
            <w:tcW w:w="1451" w:type="dxa"/>
            <w:vMerge w:val="continue"/>
            <w:vAlign w:val="center"/>
          </w:tcPr>
          <w:p>
            <w:pPr>
              <w:pStyle w:val="111"/>
              <w:rPr>
                <w:color w:val="000000" w:themeColor="text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04" w:type="dxa"/>
            <w:vMerge w:val="continue"/>
            <w:vAlign w:val="center"/>
          </w:tcPr>
          <w:p>
            <w:pPr>
              <w:pStyle w:val="111"/>
              <w:rPr>
                <w:color w:val="000000" w:themeColor="text1"/>
                <w:lang w:eastAsia="zh-CN"/>
                <w14:textFill>
                  <w14:solidFill>
                    <w14:schemeClr w14:val="tx1"/>
                  </w14:solidFill>
                </w14:textFill>
              </w:rPr>
            </w:pPr>
          </w:p>
        </w:tc>
        <w:tc>
          <w:tcPr>
            <w:tcW w:w="966" w:type="dxa"/>
            <w:vMerge w:val="continue"/>
            <w:vAlign w:val="center"/>
          </w:tcPr>
          <w:p>
            <w:pPr>
              <w:pStyle w:val="111"/>
              <w:rPr>
                <w:color w:val="000000" w:themeColor="text1"/>
                <w:lang w:eastAsia="zh-CN"/>
                <w14:textFill>
                  <w14:solidFill>
                    <w14:schemeClr w14:val="tx1"/>
                  </w14:solidFill>
                </w14:textFill>
              </w:rPr>
            </w:pPr>
          </w:p>
        </w:tc>
        <w:tc>
          <w:tcPr>
            <w:tcW w:w="1383" w:type="dxa"/>
            <w:vMerge w:val="continue"/>
            <w:vAlign w:val="center"/>
          </w:tcPr>
          <w:p>
            <w:pPr>
              <w:pStyle w:val="111"/>
              <w:rPr>
                <w:color w:val="000000" w:themeColor="text1"/>
                <w:lang w:eastAsia="zh-CN"/>
                <w14:textFill>
                  <w14:solidFill>
                    <w14:schemeClr w14:val="tx1"/>
                  </w14:solidFill>
                </w14:textFill>
              </w:rPr>
            </w:pPr>
          </w:p>
        </w:tc>
        <w:tc>
          <w:tcPr>
            <w:tcW w:w="1352" w:type="dxa"/>
            <w:vMerge w:val="continue"/>
            <w:vAlign w:val="center"/>
          </w:tcPr>
          <w:p>
            <w:pPr>
              <w:pStyle w:val="111"/>
              <w:rPr>
                <w:color w:val="000000" w:themeColor="text1"/>
                <w14:textFill>
                  <w14:solidFill>
                    <w14:schemeClr w14:val="tx1"/>
                  </w14:solidFill>
                </w14:textFill>
              </w:rPr>
            </w:pPr>
          </w:p>
        </w:tc>
        <w:tc>
          <w:tcPr>
            <w:tcW w:w="2464" w:type="dxa"/>
            <w:vAlign w:val="center"/>
          </w:tcPr>
          <w:p>
            <w:pPr>
              <w:pStyle w:val="111"/>
              <w:rPr>
                <w:rFonts w:eastAsiaTheme="minorEastAsia"/>
                <w:color w:val="000000" w:themeColor="text1"/>
                <w:shd w:val="clear" w:color="auto" w:fill="FFFFFF"/>
                <w14:textFill>
                  <w14:solidFill>
                    <w14:schemeClr w14:val="tx1"/>
                  </w14:solidFill>
                </w14:textFill>
              </w:rPr>
            </w:pPr>
            <w:r>
              <w:rPr>
                <w:rFonts w:hint="eastAsia" w:eastAsiaTheme="minorEastAsia"/>
                <w:color w:val="000000" w:themeColor="text1"/>
                <w:shd w:val="clear" w:color="auto" w:fill="FFFFFF"/>
                <w:lang w:eastAsia="zh-CN"/>
                <w14:textFill>
                  <w14:solidFill>
                    <w14:schemeClr w14:val="tx1"/>
                  </w14:solidFill>
                </w14:textFill>
              </w:rPr>
              <w:t>二噁英</w:t>
            </w:r>
          </w:p>
        </w:tc>
        <w:tc>
          <w:tcPr>
            <w:tcW w:w="1451" w:type="dxa"/>
            <w:vMerge w:val="continue"/>
            <w:vAlign w:val="center"/>
          </w:tcPr>
          <w:p>
            <w:pPr>
              <w:pStyle w:val="111"/>
              <w:rPr>
                <w:color w:val="000000" w:themeColor="text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04" w:type="dxa"/>
            <w:vMerge w:val="continue"/>
            <w:vAlign w:val="center"/>
          </w:tcPr>
          <w:p>
            <w:pPr>
              <w:pStyle w:val="111"/>
              <w:rPr>
                <w:color w:val="000000" w:themeColor="text1"/>
                <w:lang w:eastAsia="zh-CN"/>
                <w14:textFill>
                  <w14:solidFill>
                    <w14:schemeClr w14:val="tx1"/>
                  </w14:solidFill>
                </w14:textFill>
              </w:rPr>
            </w:pPr>
          </w:p>
        </w:tc>
        <w:tc>
          <w:tcPr>
            <w:tcW w:w="966" w:type="dxa"/>
            <w:vMerge w:val="continue"/>
            <w:vAlign w:val="center"/>
          </w:tcPr>
          <w:p>
            <w:pPr>
              <w:pStyle w:val="111"/>
              <w:rPr>
                <w:color w:val="000000" w:themeColor="text1"/>
                <w:lang w:eastAsia="zh-CN"/>
                <w14:textFill>
                  <w14:solidFill>
                    <w14:schemeClr w14:val="tx1"/>
                  </w14:solidFill>
                </w14:textFill>
              </w:rPr>
            </w:pPr>
          </w:p>
        </w:tc>
        <w:tc>
          <w:tcPr>
            <w:tcW w:w="1383" w:type="dxa"/>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无组织排放</w:t>
            </w:r>
          </w:p>
        </w:tc>
        <w:tc>
          <w:tcPr>
            <w:tcW w:w="1352" w:type="dxa"/>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厂区下风向</w:t>
            </w:r>
          </w:p>
        </w:tc>
        <w:tc>
          <w:tcPr>
            <w:tcW w:w="2464" w:type="dxa"/>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氨</w:t>
            </w:r>
          </w:p>
        </w:tc>
        <w:tc>
          <w:tcPr>
            <w:tcW w:w="1451" w:type="dxa"/>
            <w:vMerge w:val="continue"/>
            <w:vAlign w:val="center"/>
          </w:tcPr>
          <w:p>
            <w:pPr>
              <w:pStyle w:val="111"/>
              <w:rPr>
                <w:color w:val="000000" w:themeColor="text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04" w:type="dxa"/>
            <w:vMerge w:val="continue"/>
            <w:vAlign w:val="center"/>
          </w:tcPr>
          <w:p>
            <w:pPr>
              <w:pStyle w:val="111"/>
              <w:rPr>
                <w:color w:val="000000" w:themeColor="text1"/>
                <w:lang w:eastAsia="zh-CN"/>
                <w14:textFill>
                  <w14:solidFill>
                    <w14:schemeClr w14:val="tx1"/>
                  </w14:solidFill>
                </w14:textFill>
              </w:rPr>
            </w:pPr>
          </w:p>
        </w:tc>
        <w:tc>
          <w:tcPr>
            <w:tcW w:w="966" w:type="dxa"/>
            <w:vAlign w:val="center"/>
          </w:tcPr>
          <w:p>
            <w:pPr>
              <w:pStyle w:val="111"/>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2735" w:type="dxa"/>
            <w:gridSpan w:val="2"/>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四周厂界外</w:t>
            </w:r>
            <w:r>
              <w:rPr>
                <w:color w:val="000000" w:themeColor="text1"/>
                <w:lang w:eastAsia="zh-CN"/>
                <w14:textFill>
                  <w14:solidFill>
                    <w14:schemeClr w14:val="tx1"/>
                  </w14:solidFill>
                </w14:textFill>
              </w:rPr>
              <w:t>1m处</w:t>
            </w:r>
          </w:p>
        </w:tc>
        <w:tc>
          <w:tcPr>
            <w:tcW w:w="2464" w:type="dxa"/>
            <w:vAlign w:val="center"/>
          </w:tcPr>
          <w:p>
            <w:pPr>
              <w:pStyle w:val="111"/>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昼夜</w:t>
            </w:r>
            <w:r>
              <w:rPr>
                <w:rFonts w:hint="eastAsia"/>
                <w:color w:val="000000" w:themeColor="text1"/>
                <w14:textFill>
                  <w14:solidFill>
                    <w14:schemeClr w14:val="tx1"/>
                  </w14:solidFill>
                </w14:textFill>
              </w:rPr>
              <w:t>等效连续</w:t>
            </w:r>
            <w:r>
              <w:rPr>
                <w:color w:val="000000" w:themeColor="text1"/>
                <w14:textFill>
                  <w14:solidFill>
                    <w14:schemeClr w14:val="tx1"/>
                  </w14:solidFill>
                </w14:textFill>
              </w:rPr>
              <w:t>A声级</w:t>
            </w:r>
          </w:p>
        </w:tc>
        <w:tc>
          <w:tcPr>
            <w:tcW w:w="1451" w:type="dxa"/>
            <w:vMerge w:val="continue"/>
            <w:vAlign w:val="center"/>
          </w:tcPr>
          <w:p>
            <w:pPr>
              <w:pStyle w:val="111"/>
              <w:rPr>
                <w:color w:val="000000" w:themeColor="text1"/>
                <w:lang w:eastAsia="zh-CN"/>
                <w14:textFill>
                  <w14:solidFill>
                    <w14:schemeClr w14:val="tx1"/>
                  </w14:solidFill>
                </w14:textFill>
              </w:rPr>
            </w:pPr>
          </w:p>
        </w:tc>
      </w:tr>
    </w:tbl>
    <w:p>
      <w:pPr>
        <w:ind w:firstLine="520"/>
        <w:rPr>
          <w:color w:val="000000" w:themeColor="text1"/>
          <w14:textFill>
            <w14:solidFill>
              <w14:schemeClr w14:val="tx1"/>
            </w14:solidFill>
          </w14:textFill>
        </w:rPr>
      </w:pP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企业环境监测计划</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因本项目不改变企业现有排污情况，其余监测计划不变。</w:t>
      </w:r>
      <w:bookmarkStart w:id="174" w:name="_Hlk106724276"/>
      <w:r>
        <w:rPr>
          <w:rFonts w:hint="eastAsia"/>
          <w:color w:val="000000" w:themeColor="text1"/>
          <w14:textFill>
            <w14:solidFill>
              <w14:schemeClr w14:val="tx1"/>
            </w14:solidFill>
          </w14:textFill>
        </w:rPr>
        <w:t>根据企业自行监测方案，企业环境</w:t>
      </w:r>
      <w:r>
        <w:rPr>
          <w:color w:val="000000" w:themeColor="text1"/>
          <w14:textFill>
            <w14:solidFill>
              <w14:schemeClr w14:val="tx1"/>
            </w14:solidFill>
          </w14:textFill>
        </w:rPr>
        <w:t>监测点位、指标和频次</w:t>
      </w:r>
      <w:bookmarkEnd w:id="174"/>
      <w:r>
        <w:rPr>
          <w:rFonts w:hint="eastAsia"/>
          <w:color w:val="000000" w:themeColor="text1"/>
          <w14:textFill>
            <w14:solidFill>
              <w14:schemeClr w14:val="tx1"/>
            </w14:solidFill>
          </w14:textFill>
        </w:rPr>
        <w:t>见下表。</w:t>
      </w: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企业</w:t>
      </w:r>
      <w:r>
        <w:rPr>
          <w:rFonts w:hint="eastAsia"/>
          <w:color w:val="000000" w:themeColor="text1"/>
          <w14:textFill>
            <w14:solidFill>
              <w14:schemeClr w14:val="tx1"/>
            </w14:solidFill>
          </w14:textFill>
        </w:rPr>
        <w:t>监测计划一览表</w:t>
      </w:r>
    </w:p>
    <w:tbl>
      <w:tblPr>
        <w:tblStyle w:val="110"/>
        <w:tblW w:w="872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4"/>
        <w:gridCol w:w="1694"/>
        <w:gridCol w:w="716"/>
        <w:gridCol w:w="611"/>
        <w:gridCol w:w="1475"/>
        <w:gridCol w:w="1458"/>
        <w:gridCol w:w="22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64" w:type="dxa"/>
            <w:vAlign w:val="center"/>
          </w:tcPr>
          <w:p>
            <w:pPr>
              <w:pStyle w:val="200"/>
              <w:spacing w:line="240" w:lineRule="auto"/>
              <w:rPr>
                <w:color w:val="000000" w:themeColor="text1"/>
                <w:szCs w:val="22"/>
                <w:lang w:eastAsia="en-US"/>
                <w14:textFill>
                  <w14:solidFill>
                    <w14:schemeClr w14:val="tx1"/>
                  </w14:solidFill>
                </w14:textFill>
              </w:rPr>
            </w:pPr>
            <w:r>
              <w:rPr>
                <w:color w:val="000000" w:themeColor="text1"/>
                <w:szCs w:val="22"/>
                <w:lang w:eastAsia="en-US"/>
                <w14:textFill>
                  <w14:solidFill>
                    <w14:schemeClr w14:val="tx1"/>
                  </w14:solidFill>
                </w14:textFill>
              </w:rPr>
              <w:t>类别</w:t>
            </w:r>
          </w:p>
        </w:tc>
        <w:tc>
          <w:tcPr>
            <w:tcW w:w="1694" w:type="dxa"/>
            <w:vAlign w:val="center"/>
          </w:tcPr>
          <w:p>
            <w:pPr>
              <w:pStyle w:val="200"/>
              <w:spacing w:line="240" w:lineRule="auto"/>
              <w:rPr>
                <w:color w:val="000000" w:themeColor="text1"/>
                <w:szCs w:val="22"/>
                <w:lang w:eastAsia="en-US"/>
                <w14:textFill>
                  <w14:solidFill>
                    <w14:schemeClr w14:val="tx1"/>
                  </w14:solidFill>
                </w14:textFill>
              </w:rPr>
            </w:pPr>
            <w:r>
              <w:rPr>
                <w:color w:val="000000" w:themeColor="text1"/>
                <w:szCs w:val="22"/>
                <w:lang w:eastAsia="en-US"/>
                <w14:textFill>
                  <w14:solidFill>
                    <w14:schemeClr w14:val="tx1"/>
                  </w14:solidFill>
                </w14:textFill>
              </w:rPr>
              <w:t>污染源及编号</w:t>
            </w:r>
          </w:p>
        </w:tc>
        <w:tc>
          <w:tcPr>
            <w:tcW w:w="716" w:type="dxa"/>
            <w:vAlign w:val="center"/>
          </w:tcPr>
          <w:p>
            <w:pPr>
              <w:pStyle w:val="200"/>
              <w:spacing w:line="240" w:lineRule="auto"/>
              <w:rPr>
                <w:color w:val="000000" w:themeColor="text1"/>
                <w:szCs w:val="22"/>
                <w:lang w:eastAsia="en-US"/>
                <w14:textFill>
                  <w14:solidFill>
                    <w14:schemeClr w14:val="tx1"/>
                  </w14:solidFill>
                </w14:textFill>
              </w:rPr>
            </w:pPr>
            <w:r>
              <w:rPr>
                <w:color w:val="000000" w:themeColor="text1"/>
                <w:szCs w:val="22"/>
                <w:lang w:eastAsia="en-US"/>
                <w14:textFill>
                  <w14:solidFill>
                    <w14:schemeClr w14:val="tx1"/>
                  </w14:solidFill>
                </w14:textFill>
              </w:rPr>
              <w:t>监测点位</w:t>
            </w:r>
          </w:p>
        </w:tc>
        <w:tc>
          <w:tcPr>
            <w:tcW w:w="611" w:type="dxa"/>
            <w:vAlign w:val="center"/>
          </w:tcPr>
          <w:p>
            <w:pPr>
              <w:pStyle w:val="200"/>
              <w:spacing w:line="240" w:lineRule="auto"/>
              <w:rPr>
                <w:color w:val="000000" w:themeColor="text1"/>
                <w:szCs w:val="22"/>
                <w:lang w:eastAsia="en-US"/>
                <w14:textFill>
                  <w14:solidFill>
                    <w14:schemeClr w14:val="tx1"/>
                  </w14:solidFill>
                </w14:textFill>
              </w:rPr>
            </w:pPr>
            <w:r>
              <w:rPr>
                <w:color w:val="000000" w:themeColor="text1"/>
                <w:szCs w:val="22"/>
                <w:lang w:eastAsia="en-US"/>
                <w14:textFill>
                  <w14:solidFill>
                    <w14:schemeClr w14:val="tx1"/>
                  </w14:solidFill>
                </w14:textFill>
              </w:rPr>
              <w:t>自动监测 指标</w:t>
            </w:r>
          </w:p>
        </w:tc>
        <w:tc>
          <w:tcPr>
            <w:tcW w:w="1475" w:type="dxa"/>
            <w:vAlign w:val="center"/>
          </w:tcPr>
          <w:p>
            <w:pPr>
              <w:pStyle w:val="200"/>
              <w:spacing w:line="240" w:lineRule="auto"/>
              <w:rPr>
                <w:color w:val="000000" w:themeColor="text1"/>
                <w:szCs w:val="22"/>
                <w:lang w:eastAsia="en-US"/>
                <w14:textFill>
                  <w14:solidFill>
                    <w14:schemeClr w14:val="tx1"/>
                  </w14:solidFill>
                </w14:textFill>
              </w:rPr>
            </w:pPr>
            <w:r>
              <w:rPr>
                <w:color w:val="000000" w:themeColor="text1"/>
                <w:szCs w:val="22"/>
                <w:lang w:eastAsia="en-US"/>
                <w14:textFill>
                  <w14:solidFill>
                    <w14:schemeClr w14:val="tx1"/>
                  </w14:solidFill>
                </w14:textFill>
              </w:rPr>
              <w:t>手工监测指标</w:t>
            </w:r>
          </w:p>
        </w:tc>
        <w:tc>
          <w:tcPr>
            <w:tcW w:w="1458" w:type="dxa"/>
            <w:vAlign w:val="center"/>
          </w:tcPr>
          <w:p>
            <w:pPr>
              <w:pStyle w:val="200"/>
              <w:spacing w:line="240" w:lineRule="auto"/>
              <w:rPr>
                <w:color w:val="000000" w:themeColor="text1"/>
                <w:szCs w:val="22"/>
                <w:lang w:eastAsia="zh-CN"/>
                <w14:textFill>
                  <w14:solidFill>
                    <w14:schemeClr w14:val="tx1"/>
                  </w14:solidFill>
                </w14:textFill>
              </w:rPr>
            </w:pPr>
            <w:r>
              <w:rPr>
                <w:color w:val="000000" w:themeColor="text1"/>
                <w:szCs w:val="22"/>
                <w:lang w:eastAsia="zh-CN"/>
                <w14:textFill>
                  <w14:solidFill>
                    <w14:schemeClr w14:val="tx1"/>
                  </w14:solidFill>
                </w14:textFill>
              </w:rPr>
              <w:t>手工监测采样方法及个数</w:t>
            </w:r>
          </w:p>
        </w:tc>
        <w:tc>
          <w:tcPr>
            <w:tcW w:w="2206" w:type="dxa"/>
            <w:vAlign w:val="center"/>
          </w:tcPr>
          <w:p>
            <w:pPr>
              <w:pStyle w:val="200"/>
              <w:spacing w:line="240" w:lineRule="auto"/>
              <w:rPr>
                <w:color w:val="000000" w:themeColor="text1"/>
                <w:szCs w:val="22"/>
                <w:lang w:eastAsia="en-US"/>
                <w14:textFill>
                  <w14:solidFill>
                    <w14:schemeClr w14:val="tx1"/>
                  </w14:solidFill>
                </w14:textFill>
              </w:rPr>
            </w:pPr>
            <w:r>
              <w:rPr>
                <w:color w:val="000000" w:themeColor="text1"/>
                <w:szCs w:val="22"/>
                <w:lang w:eastAsia="en-US"/>
                <w14:textFill>
                  <w14:solidFill>
                    <w14:schemeClr w14:val="tx1"/>
                  </w14:solidFill>
                </w14:textFill>
              </w:rPr>
              <w:t>监测频次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64" w:type="dxa"/>
            <w:vAlign w:val="center"/>
          </w:tcPr>
          <w:p>
            <w:pPr>
              <w:pStyle w:val="200"/>
              <w:spacing w:line="240" w:lineRule="auto"/>
              <w:rPr>
                <w:color w:val="000000" w:themeColor="text1"/>
                <w:szCs w:val="22"/>
                <w:lang w:eastAsia="en-US"/>
                <w14:textFill>
                  <w14:solidFill>
                    <w14:schemeClr w14:val="tx1"/>
                  </w14:solidFill>
                </w14:textFill>
              </w:rPr>
            </w:pPr>
            <w:r>
              <w:rPr>
                <w:color w:val="000000" w:themeColor="text1"/>
                <w:szCs w:val="22"/>
                <w:lang w:eastAsia="en-US"/>
                <w14:textFill>
                  <w14:solidFill>
                    <w14:schemeClr w14:val="tx1"/>
                  </w14:solidFill>
                </w14:textFill>
              </w:rPr>
              <w:t>废水</w:t>
            </w:r>
          </w:p>
        </w:tc>
        <w:tc>
          <w:tcPr>
            <w:tcW w:w="1694" w:type="dxa"/>
            <w:vAlign w:val="center"/>
          </w:tcPr>
          <w:p>
            <w:pPr>
              <w:pStyle w:val="200"/>
              <w:spacing w:line="240" w:lineRule="auto"/>
              <w:rPr>
                <w:color w:val="000000" w:themeColor="text1"/>
                <w:szCs w:val="22"/>
                <w:lang w:eastAsia="en-US"/>
                <w14:textFill>
                  <w14:solidFill>
                    <w14:schemeClr w14:val="tx1"/>
                  </w14:solidFill>
                </w14:textFill>
              </w:rPr>
            </w:pPr>
            <w:r>
              <w:rPr>
                <w:color w:val="000000" w:themeColor="text1"/>
                <w:szCs w:val="22"/>
                <w:lang w:eastAsia="en-US"/>
                <w14:textFill>
                  <w14:solidFill>
                    <w14:schemeClr w14:val="tx1"/>
                  </w14:solidFill>
                </w14:textFill>
              </w:rPr>
              <w:t>DW001</w:t>
            </w:r>
          </w:p>
        </w:tc>
        <w:tc>
          <w:tcPr>
            <w:tcW w:w="716" w:type="dxa"/>
            <w:vAlign w:val="center"/>
          </w:tcPr>
          <w:p>
            <w:pPr>
              <w:pStyle w:val="200"/>
              <w:spacing w:line="240" w:lineRule="auto"/>
              <w:rPr>
                <w:color w:val="000000" w:themeColor="text1"/>
                <w:szCs w:val="22"/>
                <w:lang w:eastAsia="en-US"/>
                <w14:textFill>
                  <w14:solidFill>
                    <w14:schemeClr w14:val="tx1"/>
                  </w14:solidFill>
                </w14:textFill>
              </w:rPr>
            </w:pPr>
            <w:r>
              <w:rPr>
                <w:color w:val="000000" w:themeColor="text1"/>
                <w:szCs w:val="22"/>
                <w:lang w:eastAsia="en-US"/>
                <w14:textFill>
                  <w14:solidFill>
                    <w14:schemeClr w14:val="tx1"/>
                  </w14:solidFill>
                </w14:textFill>
              </w:rPr>
              <w:t>循环冷却水排放口</w:t>
            </w:r>
          </w:p>
        </w:tc>
        <w:tc>
          <w:tcPr>
            <w:tcW w:w="611"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w:t>
            </w:r>
          </w:p>
        </w:tc>
        <w:tc>
          <w:tcPr>
            <w:tcW w:w="1475" w:type="dxa"/>
            <w:vAlign w:val="center"/>
          </w:tcPr>
          <w:p>
            <w:pPr>
              <w:pStyle w:val="200"/>
              <w:spacing w:line="240" w:lineRule="auto"/>
              <w:rPr>
                <w:color w:val="000000" w:themeColor="text1"/>
                <w:szCs w:val="22"/>
                <w:lang w:eastAsia="zh-CN"/>
                <w14:textFill>
                  <w14:solidFill>
                    <w14:schemeClr w14:val="tx1"/>
                  </w14:solidFill>
                </w14:textFill>
              </w:rPr>
            </w:pPr>
            <w:r>
              <w:rPr>
                <w:color w:val="000000" w:themeColor="text1"/>
                <w:szCs w:val="22"/>
                <w:lang w:eastAsia="zh-CN"/>
                <w14:textFill>
                  <w14:solidFill>
                    <w14:schemeClr w14:val="tx1"/>
                  </w14:solidFill>
                </w14:textFill>
              </w:rPr>
              <w:t>pH值</w:t>
            </w:r>
            <w:r>
              <w:rPr>
                <w:rFonts w:hint="eastAsia"/>
                <w:color w:val="000000" w:themeColor="text1"/>
                <w:szCs w:val="22"/>
                <w:lang w:eastAsia="zh-CN"/>
                <w14:textFill>
                  <w14:solidFill>
                    <w14:schemeClr w14:val="tx1"/>
                  </w14:solidFill>
                </w14:textFill>
              </w:rPr>
              <w:t>、</w:t>
            </w:r>
            <w:r>
              <w:rPr>
                <w:color w:val="000000" w:themeColor="text1"/>
                <w:szCs w:val="22"/>
                <w:lang w:eastAsia="zh-CN"/>
                <w14:textFill>
                  <w14:solidFill>
                    <w14:schemeClr w14:val="tx1"/>
                  </w14:solidFill>
                </w14:textFill>
              </w:rPr>
              <w:t>化学需氧量</w:t>
            </w:r>
            <w:r>
              <w:rPr>
                <w:rFonts w:hint="eastAsia"/>
                <w:color w:val="000000" w:themeColor="text1"/>
                <w:szCs w:val="22"/>
                <w:lang w:eastAsia="zh-CN"/>
                <w14:textFill>
                  <w14:solidFill>
                    <w14:schemeClr w14:val="tx1"/>
                  </w14:solidFill>
                </w14:textFill>
              </w:rPr>
              <w:t>、</w:t>
            </w:r>
            <w:r>
              <w:rPr>
                <w:color w:val="000000" w:themeColor="text1"/>
                <w:szCs w:val="22"/>
                <w:lang w:eastAsia="zh-CN"/>
                <w14:textFill>
                  <w14:solidFill>
                    <w14:schemeClr w14:val="tx1"/>
                  </w14:solidFill>
                </w14:textFill>
              </w:rPr>
              <w:t>总磷（以 P</w:t>
            </w:r>
            <w:r>
              <w:rPr>
                <w:rFonts w:ascii="宋体" w:hAnsi="宋体" w:cs="宋体"/>
                <w:color w:val="000000" w:themeColor="text1"/>
                <w:spacing w:val="-5"/>
                <w:szCs w:val="22"/>
                <w:lang w:eastAsia="zh-CN"/>
                <w14:textFill>
                  <w14:solidFill>
                    <w14:schemeClr w14:val="tx1"/>
                  </w14:solidFill>
                </w14:textFill>
              </w:rPr>
              <w:t>计）</w:t>
            </w:r>
          </w:p>
        </w:tc>
        <w:tc>
          <w:tcPr>
            <w:tcW w:w="1458" w:type="dxa"/>
            <w:vAlign w:val="center"/>
          </w:tcPr>
          <w:p>
            <w:pPr>
              <w:pStyle w:val="200"/>
              <w:spacing w:line="240" w:lineRule="auto"/>
              <w:rPr>
                <w:color w:val="000000" w:themeColor="text1"/>
                <w:szCs w:val="22"/>
                <w:lang w:eastAsia="zh-CN"/>
                <w14:textFill>
                  <w14:solidFill>
                    <w14:schemeClr w14:val="tx1"/>
                  </w14:solidFill>
                </w14:textFill>
              </w:rPr>
            </w:pPr>
            <w:r>
              <w:rPr>
                <w:color w:val="000000" w:themeColor="text1"/>
                <w:szCs w:val="22"/>
                <w:lang w:eastAsia="zh-CN"/>
                <w14:textFill>
                  <w14:solidFill>
                    <w14:schemeClr w14:val="tx1"/>
                  </w14:solidFill>
                </w14:textFill>
              </w:rPr>
              <w:t>瞬时采样至少3个瞬时样</w:t>
            </w:r>
          </w:p>
        </w:tc>
        <w:tc>
          <w:tcPr>
            <w:tcW w:w="2206" w:type="dxa"/>
            <w:vAlign w:val="center"/>
          </w:tcPr>
          <w:p>
            <w:pPr>
              <w:pStyle w:val="200"/>
              <w:spacing w:line="240" w:lineRule="auto"/>
              <w:rPr>
                <w:color w:val="000000" w:themeColor="text1"/>
                <w:szCs w:val="22"/>
                <w:lang w:eastAsia="en-US"/>
                <w14:textFill>
                  <w14:solidFill>
                    <w14:schemeClr w14:val="tx1"/>
                  </w14:solidFill>
                </w14:textFill>
              </w:rPr>
            </w:pPr>
            <w:r>
              <w:rPr>
                <w:color w:val="000000" w:themeColor="text1"/>
                <w:szCs w:val="22"/>
                <w:lang w:eastAsia="en-US"/>
                <w14:textFill>
                  <w14:solidFill>
                    <w14:schemeClr w14:val="tx1"/>
                  </w14:solidFill>
                </w14:textFill>
              </w:rPr>
              <w:t>1次/</w:t>
            </w:r>
            <w:r>
              <w:rPr>
                <w:rFonts w:hint="eastAsia"/>
                <w:color w:val="000000" w:themeColor="text1"/>
                <w:szCs w:val="22"/>
                <w:lang w:eastAsia="en-US"/>
                <w14:textFill>
                  <w14:solidFill>
                    <w14:schemeClr w14:val="tx1"/>
                  </w14:solidFill>
                </w14:textFill>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64" w:type="dxa"/>
            <w:vMerge w:val="restart"/>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废气</w:t>
            </w:r>
          </w:p>
        </w:tc>
        <w:tc>
          <w:tcPr>
            <w:tcW w:w="1694" w:type="dxa"/>
            <w:vMerge w:val="restart"/>
            <w:vAlign w:val="center"/>
          </w:tcPr>
          <w:p>
            <w:pPr>
              <w:pStyle w:val="200"/>
              <w:spacing w:line="240" w:lineRule="auto"/>
              <w:rPr>
                <w:color w:val="000000" w:themeColor="text1"/>
                <w:szCs w:val="22"/>
                <w:lang w:eastAsia="zh-CN"/>
                <w14:textFill>
                  <w14:solidFill>
                    <w14:schemeClr w14:val="tx1"/>
                  </w14:solidFill>
                </w14:textFill>
              </w:rPr>
            </w:pPr>
            <w:r>
              <w:rPr>
                <w:color w:val="000000" w:themeColor="text1"/>
                <w:szCs w:val="22"/>
                <w:lang w:eastAsia="zh-CN"/>
                <w14:textFill>
                  <w14:solidFill>
                    <w14:schemeClr w14:val="tx1"/>
                  </w14:solidFill>
                </w14:textFill>
              </w:rPr>
              <w:t>循环流化床锅炉烟囱（DA001）</w:t>
            </w:r>
          </w:p>
        </w:tc>
        <w:tc>
          <w:tcPr>
            <w:tcW w:w="716" w:type="dxa"/>
            <w:vMerge w:val="restart"/>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烟囱排口</w:t>
            </w:r>
          </w:p>
        </w:tc>
        <w:tc>
          <w:tcPr>
            <w:tcW w:w="611"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烟气量</w:t>
            </w:r>
          </w:p>
        </w:tc>
        <w:tc>
          <w:tcPr>
            <w:tcW w:w="1475"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w:t>
            </w:r>
          </w:p>
        </w:tc>
        <w:tc>
          <w:tcPr>
            <w:tcW w:w="1458" w:type="dxa"/>
            <w:vMerge w:val="restart"/>
            <w:vAlign w:val="center"/>
          </w:tcPr>
          <w:p>
            <w:pPr>
              <w:pStyle w:val="200"/>
              <w:spacing w:line="240" w:lineRule="auto"/>
              <w:rPr>
                <w:color w:val="000000" w:themeColor="text1"/>
                <w:szCs w:val="22"/>
                <w:lang w:eastAsia="en-US"/>
                <w14:textFill>
                  <w14:solidFill>
                    <w14:schemeClr w14:val="tx1"/>
                  </w14:solidFill>
                </w14:textFill>
              </w:rPr>
            </w:pPr>
            <w:r>
              <w:rPr>
                <w:rFonts w:ascii="宋体" w:hAnsi="宋体" w:cs="宋体"/>
                <w:color w:val="000000" w:themeColor="text1"/>
                <w:spacing w:val="-3"/>
                <w:szCs w:val="22"/>
                <w:lang w:eastAsia="en-US"/>
                <w14:textFill>
                  <w14:solidFill>
                    <w14:schemeClr w14:val="tx1"/>
                  </w14:solidFill>
                </w14:textFill>
              </w:rPr>
              <w:t>非连续采样至少</w:t>
            </w:r>
            <w:r>
              <w:rPr>
                <w:rFonts w:ascii="宋体" w:hAnsi="宋体" w:cs="宋体"/>
                <w:color w:val="000000" w:themeColor="text1"/>
                <w:spacing w:val="-49"/>
                <w:szCs w:val="22"/>
                <w:lang w:eastAsia="en-US"/>
                <w14:textFill>
                  <w14:solidFill>
                    <w14:schemeClr w14:val="tx1"/>
                  </w14:solidFill>
                </w14:textFill>
              </w:rPr>
              <w:t xml:space="preserve"> </w:t>
            </w:r>
            <w:r>
              <w:rPr>
                <w:rFonts w:eastAsia="Times New Roman"/>
                <w:color w:val="000000" w:themeColor="text1"/>
                <w:spacing w:val="-3"/>
                <w:szCs w:val="22"/>
                <w:lang w:eastAsia="en-US"/>
                <w14:textFill>
                  <w14:solidFill>
                    <w14:schemeClr w14:val="tx1"/>
                  </w14:solidFill>
                </w14:textFill>
              </w:rPr>
              <w:t>3</w:t>
            </w:r>
            <w:r>
              <w:rPr>
                <w:rFonts w:ascii="宋体" w:hAnsi="宋体" w:cs="宋体"/>
                <w:color w:val="000000" w:themeColor="text1"/>
                <w:spacing w:val="-3"/>
                <w:szCs w:val="22"/>
                <w:lang w:eastAsia="en-US"/>
                <w14:textFill>
                  <w14:solidFill>
                    <w14:schemeClr w14:val="tx1"/>
                  </w14:solidFill>
                </w14:textFill>
              </w:rPr>
              <w:t>个</w:t>
            </w:r>
          </w:p>
        </w:tc>
        <w:tc>
          <w:tcPr>
            <w:tcW w:w="2206" w:type="dxa"/>
            <w:vMerge w:val="restart"/>
            <w:vAlign w:val="center"/>
          </w:tcPr>
          <w:p>
            <w:pPr>
              <w:pStyle w:val="200"/>
              <w:spacing w:line="240" w:lineRule="auto"/>
              <w:rPr>
                <w:color w:val="000000" w:themeColor="text1"/>
                <w:szCs w:val="22"/>
                <w:lang w:eastAsia="zh-CN"/>
                <w14:textFill>
                  <w14:solidFill>
                    <w14:schemeClr w14:val="tx1"/>
                  </w14:solidFill>
                </w14:textFill>
              </w:rPr>
            </w:pPr>
            <w:r>
              <w:rPr>
                <w:color w:val="000000" w:themeColor="text1"/>
                <w:szCs w:val="22"/>
                <w:lang w:eastAsia="zh-CN"/>
                <w14:textFill>
                  <w14:solidFill>
                    <w14:schemeClr w14:val="tx1"/>
                  </w14:solidFill>
                </w14:textFill>
              </w:rPr>
              <w:t>在线设备故障时采用手工监测，每天不少于</w:t>
            </w:r>
            <w:r>
              <w:rPr>
                <w:rFonts w:hint="eastAsia"/>
                <w:color w:val="000000" w:themeColor="text1"/>
                <w:szCs w:val="22"/>
                <w:lang w:eastAsia="zh-CN"/>
                <w14:textFill>
                  <w14:solidFill>
                    <w14:schemeClr w14:val="tx1"/>
                  </w14:solidFill>
                </w14:textFill>
              </w:rPr>
              <w:t>4</w:t>
            </w:r>
            <w:r>
              <w:rPr>
                <w:color w:val="000000" w:themeColor="text1"/>
                <w:szCs w:val="22"/>
                <w:lang w:eastAsia="zh-CN"/>
                <w14:textFill>
                  <w14:solidFill>
                    <w14:schemeClr w14:val="tx1"/>
                  </w14:solidFill>
                </w14:textFill>
              </w:rPr>
              <w:t>次，每次间隔不超过6小时。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64" w:type="dxa"/>
            <w:vMerge w:val="continue"/>
            <w:vAlign w:val="center"/>
          </w:tcPr>
          <w:p>
            <w:pPr>
              <w:pStyle w:val="200"/>
              <w:spacing w:line="240" w:lineRule="auto"/>
              <w:rPr>
                <w:color w:val="000000" w:themeColor="text1"/>
                <w:szCs w:val="22"/>
                <w:lang w:eastAsia="zh-CN"/>
                <w14:textFill>
                  <w14:solidFill>
                    <w14:schemeClr w14:val="tx1"/>
                  </w14:solidFill>
                </w14:textFill>
              </w:rPr>
            </w:pPr>
          </w:p>
        </w:tc>
        <w:tc>
          <w:tcPr>
            <w:tcW w:w="1694" w:type="dxa"/>
            <w:vMerge w:val="continue"/>
            <w:vAlign w:val="center"/>
          </w:tcPr>
          <w:p>
            <w:pPr>
              <w:pStyle w:val="200"/>
              <w:spacing w:line="240" w:lineRule="auto"/>
              <w:rPr>
                <w:color w:val="000000" w:themeColor="text1"/>
                <w:szCs w:val="22"/>
                <w:lang w:eastAsia="zh-CN"/>
                <w14:textFill>
                  <w14:solidFill>
                    <w14:schemeClr w14:val="tx1"/>
                  </w14:solidFill>
                </w14:textFill>
              </w:rPr>
            </w:pPr>
          </w:p>
        </w:tc>
        <w:tc>
          <w:tcPr>
            <w:tcW w:w="716" w:type="dxa"/>
            <w:vMerge w:val="continue"/>
            <w:vAlign w:val="center"/>
          </w:tcPr>
          <w:p>
            <w:pPr>
              <w:pStyle w:val="200"/>
              <w:spacing w:line="240" w:lineRule="auto"/>
              <w:rPr>
                <w:color w:val="000000" w:themeColor="text1"/>
                <w:szCs w:val="22"/>
                <w:lang w:eastAsia="zh-CN"/>
                <w14:textFill>
                  <w14:solidFill>
                    <w14:schemeClr w14:val="tx1"/>
                  </w14:solidFill>
                </w14:textFill>
              </w:rPr>
            </w:pPr>
          </w:p>
        </w:tc>
        <w:tc>
          <w:tcPr>
            <w:tcW w:w="611" w:type="dxa"/>
            <w:vAlign w:val="center"/>
          </w:tcPr>
          <w:p>
            <w:pPr>
              <w:pStyle w:val="200"/>
              <w:spacing w:line="240" w:lineRule="auto"/>
              <w:rPr>
                <w:rFonts w:ascii="宋体" w:hAnsi="宋体" w:cs="宋体"/>
                <w:color w:val="000000" w:themeColor="text1"/>
                <w:spacing w:val="-4"/>
                <w:szCs w:val="22"/>
                <w:lang w:eastAsia="en-US"/>
                <w14:textFill>
                  <w14:solidFill>
                    <w14:schemeClr w14:val="tx1"/>
                  </w14:solidFill>
                </w14:textFill>
              </w:rPr>
            </w:pPr>
            <w:r>
              <w:rPr>
                <w:rFonts w:ascii="宋体" w:hAnsi="宋体" w:cs="宋体"/>
                <w:color w:val="000000" w:themeColor="text1"/>
                <w:spacing w:val="-4"/>
                <w:szCs w:val="22"/>
                <w:lang w:eastAsia="en-US"/>
                <w14:textFill>
                  <w14:solidFill>
                    <w14:schemeClr w14:val="tx1"/>
                  </w14:solidFill>
                </w14:textFill>
              </w:rPr>
              <w:t>二氧化硫</w:t>
            </w:r>
          </w:p>
        </w:tc>
        <w:tc>
          <w:tcPr>
            <w:tcW w:w="1475"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w:t>
            </w:r>
          </w:p>
        </w:tc>
        <w:tc>
          <w:tcPr>
            <w:tcW w:w="1458" w:type="dxa"/>
            <w:vMerge w:val="continue"/>
            <w:vAlign w:val="center"/>
          </w:tcPr>
          <w:p>
            <w:pPr>
              <w:pStyle w:val="200"/>
              <w:spacing w:line="240" w:lineRule="auto"/>
              <w:rPr>
                <w:rFonts w:ascii="宋体" w:hAnsi="宋体" w:cs="宋体"/>
                <w:color w:val="000000" w:themeColor="text1"/>
                <w:spacing w:val="-3"/>
                <w:szCs w:val="22"/>
                <w:lang w:eastAsia="en-US"/>
                <w14:textFill>
                  <w14:solidFill>
                    <w14:schemeClr w14:val="tx1"/>
                  </w14:solidFill>
                </w14:textFill>
              </w:rPr>
            </w:pPr>
          </w:p>
        </w:tc>
        <w:tc>
          <w:tcPr>
            <w:tcW w:w="2206" w:type="dxa"/>
            <w:vMerge w:val="continue"/>
            <w:vAlign w:val="center"/>
          </w:tcPr>
          <w:p>
            <w:pPr>
              <w:pStyle w:val="200"/>
              <w:spacing w:line="240" w:lineRule="auto"/>
              <w:rPr>
                <w:color w:val="000000" w:themeColor="text1"/>
                <w:szCs w:val="22"/>
                <w:lang w:eastAsia="en-US"/>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64"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1694"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716"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611" w:type="dxa"/>
            <w:vAlign w:val="center"/>
          </w:tcPr>
          <w:p>
            <w:pPr>
              <w:pStyle w:val="200"/>
              <w:spacing w:line="240" w:lineRule="auto"/>
              <w:rPr>
                <w:color w:val="000000" w:themeColor="text1"/>
                <w:szCs w:val="22"/>
                <w:lang w:eastAsia="en-US"/>
                <w14:textFill>
                  <w14:solidFill>
                    <w14:schemeClr w14:val="tx1"/>
                  </w14:solidFill>
                </w14:textFill>
              </w:rPr>
            </w:pPr>
            <w:r>
              <w:rPr>
                <w:rFonts w:ascii="宋体" w:hAnsi="宋体" w:cs="宋体"/>
                <w:color w:val="000000" w:themeColor="text1"/>
                <w:spacing w:val="-2"/>
                <w:szCs w:val="22"/>
                <w:lang w:eastAsia="en-US"/>
                <w14:textFill>
                  <w14:solidFill>
                    <w14:schemeClr w14:val="tx1"/>
                  </w14:solidFill>
                </w14:textFill>
              </w:rPr>
              <w:t>氮氧化物</w:t>
            </w:r>
          </w:p>
        </w:tc>
        <w:tc>
          <w:tcPr>
            <w:tcW w:w="1475"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w:t>
            </w:r>
          </w:p>
        </w:tc>
        <w:tc>
          <w:tcPr>
            <w:tcW w:w="1458"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2206" w:type="dxa"/>
            <w:vMerge w:val="continue"/>
            <w:vAlign w:val="center"/>
          </w:tcPr>
          <w:p>
            <w:pPr>
              <w:pStyle w:val="200"/>
              <w:spacing w:line="240" w:lineRule="auto"/>
              <w:rPr>
                <w:color w:val="000000" w:themeColor="text1"/>
                <w:szCs w:val="22"/>
                <w:lang w:eastAsia="en-US"/>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64"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1694"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716"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611" w:type="dxa"/>
            <w:vAlign w:val="center"/>
          </w:tcPr>
          <w:p>
            <w:pPr>
              <w:pStyle w:val="200"/>
              <w:spacing w:line="240" w:lineRule="auto"/>
              <w:rPr>
                <w:color w:val="000000" w:themeColor="text1"/>
                <w:szCs w:val="22"/>
                <w:lang w:eastAsia="en-US"/>
                <w14:textFill>
                  <w14:solidFill>
                    <w14:schemeClr w14:val="tx1"/>
                  </w14:solidFill>
                </w14:textFill>
              </w:rPr>
            </w:pPr>
            <w:r>
              <w:rPr>
                <w:rFonts w:ascii="宋体" w:hAnsi="宋体" w:cs="宋体"/>
                <w:color w:val="000000" w:themeColor="text1"/>
                <w:spacing w:val="-6"/>
                <w:szCs w:val="22"/>
                <w:lang w:eastAsia="en-US"/>
                <w14:textFill>
                  <w14:solidFill>
                    <w14:schemeClr w14:val="tx1"/>
                  </w14:solidFill>
                </w14:textFill>
              </w:rPr>
              <w:t>烟尘</w:t>
            </w:r>
          </w:p>
        </w:tc>
        <w:tc>
          <w:tcPr>
            <w:tcW w:w="1475"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w:t>
            </w:r>
          </w:p>
        </w:tc>
        <w:tc>
          <w:tcPr>
            <w:tcW w:w="1458"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2206" w:type="dxa"/>
            <w:vMerge w:val="continue"/>
            <w:vAlign w:val="center"/>
          </w:tcPr>
          <w:p>
            <w:pPr>
              <w:pStyle w:val="200"/>
              <w:spacing w:line="240" w:lineRule="auto"/>
              <w:rPr>
                <w:color w:val="000000" w:themeColor="text1"/>
                <w:szCs w:val="22"/>
                <w:lang w:eastAsia="en-US"/>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64"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1694"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716"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611"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w:t>
            </w:r>
          </w:p>
        </w:tc>
        <w:tc>
          <w:tcPr>
            <w:tcW w:w="1475" w:type="dxa"/>
            <w:vAlign w:val="center"/>
          </w:tcPr>
          <w:p>
            <w:pPr>
              <w:pStyle w:val="200"/>
              <w:spacing w:line="240" w:lineRule="auto"/>
              <w:rPr>
                <w:color w:val="000000" w:themeColor="text1"/>
                <w:szCs w:val="22"/>
                <w:lang w:eastAsia="en-US"/>
                <w14:textFill>
                  <w14:solidFill>
                    <w14:schemeClr w14:val="tx1"/>
                  </w14:solidFill>
                </w14:textFill>
              </w:rPr>
            </w:pPr>
            <w:r>
              <w:rPr>
                <w:rFonts w:ascii="宋体" w:hAnsi="宋体" w:cs="宋体"/>
                <w:color w:val="000000" w:themeColor="text1"/>
                <w:spacing w:val="-4"/>
                <w:szCs w:val="22"/>
                <w:lang w:eastAsia="en-US"/>
                <w14:textFill>
                  <w14:solidFill>
                    <w14:schemeClr w14:val="tx1"/>
                  </w14:solidFill>
                </w14:textFill>
              </w:rPr>
              <w:t>汞及其化合物</w:t>
            </w:r>
          </w:p>
        </w:tc>
        <w:tc>
          <w:tcPr>
            <w:tcW w:w="1458" w:type="dxa"/>
            <w:vMerge w:val="restart"/>
            <w:vAlign w:val="center"/>
          </w:tcPr>
          <w:p>
            <w:pPr>
              <w:pStyle w:val="200"/>
              <w:spacing w:line="240" w:lineRule="auto"/>
              <w:rPr>
                <w:color w:val="000000" w:themeColor="text1"/>
                <w:szCs w:val="22"/>
                <w:lang w:eastAsia="en-US"/>
                <w14:textFill>
                  <w14:solidFill>
                    <w14:schemeClr w14:val="tx1"/>
                  </w14:solidFill>
                </w14:textFill>
              </w:rPr>
            </w:pPr>
            <w:r>
              <w:rPr>
                <w:rFonts w:ascii="宋体" w:hAnsi="宋体" w:cs="宋体"/>
                <w:color w:val="000000" w:themeColor="text1"/>
                <w:spacing w:val="-3"/>
                <w:szCs w:val="22"/>
                <w:lang w:eastAsia="en-US"/>
                <w14:textFill>
                  <w14:solidFill>
                    <w14:schemeClr w14:val="tx1"/>
                  </w14:solidFill>
                </w14:textFill>
              </w:rPr>
              <w:t>非连续采样至少</w:t>
            </w:r>
            <w:r>
              <w:rPr>
                <w:rFonts w:ascii="宋体" w:hAnsi="宋体" w:cs="宋体"/>
                <w:color w:val="000000" w:themeColor="text1"/>
                <w:spacing w:val="-49"/>
                <w:szCs w:val="22"/>
                <w:lang w:eastAsia="en-US"/>
                <w14:textFill>
                  <w14:solidFill>
                    <w14:schemeClr w14:val="tx1"/>
                  </w14:solidFill>
                </w14:textFill>
              </w:rPr>
              <w:t xml:space="preserve"> </w:t>
            </w:r>
            <w:r>
              <w:rPr>
                <w:rFonts w:eastAsia="Times New Roman"/>
                <w:color w:val="000000" w:themeColor="text1"/>
                <w:spacing w:val="-3"/>
                <w:szCs w:val="22"/>
                <w:lang w:eastAsia="en-US"/>
                <w14:textFill>
                  <w14:solidFill>
                    <w14:schemeClr w14:val="tx1"/>
                  </w14:solidFill>
                </w14:textFill>
              </w:rPr>
              <w:t>3</w:t>
            </w:r>
            <w:r>
              <w:rPr>
                <w:rFonts w:ascii="宋体" w:hAnsi="宋体" w:cs="宋体"/>
                <w:color w:val="000000" w:themeColor="text1"/>
                <w:spacing w:val="-3"/>
                <w:szCs w:val="22"/>
                <w:lang w:eastAsia="en-US"/>
                <w14:textFill>
                  <w14:solidFill>
                    <w14:schemeClr w14:val="tx1"/>
                  </w14:solidFill>
                </w14:textFill>
              </w:rPr>
              <w:t>个</w:t>
            </w:r>
          </w:p>
        </w:tc>
        <w:tc>
          <w:tcPr>
            <w:tcW w:w="2206" w:type="dxa"/>
            <w:vMerge w:val="restart"/>
            <w:vAlign w:val="center"/>
          </w:tcPr>
          <w:p>
            <w:pPr>
              <w:pStyle w:val="200"/>
              <w:spacing w:line="240" w:lineRule="auto"/>
              <w:rPr>
                <w:color w:val="000000" w:themeColor="text1"/>
                <w:szCs w:val="22"/>
                <w:lang w:eastAsia="en-US"/>
                <w14:textFill>
                  <w14:solidFill>
                    <w14:schemeClr w14:val="tx1"/>
                  </w14:solidFill>
                </w14:textFill>
              </w:rPr>
            </w:pPr>
            <w:r>
              <w:rPr>
                <w:color w:val="000000" w:themeColor="text1"/>
                <w:szCs w:val="22"/>
                <w:lang w:eastAsia="en-US"/>
                <w14:textFill>
                  <w14:solidFill>
                    <w14:schemeClr w14:val="tx1"/>
                  </w14:solidFill>
                </w14:textFill>
              </w:rPr>
              <w:t>1次/</w:t>
            </w:r>
            <w:r>
              <w:rPr>
                <w:rFonts w:hint="eastAsia"/>
                <w:color w:val="000000" w:themeColor="text1"/>
                <w:szCs w:val="22"/>
                <w:lang w:eastAsia="en-US"/>
                <w14:textFill>
                  <w14:solidFill>
                    <w14:schemeClr w14:val="tx1"/>
                  </w14:solidFill>
                </w14:textFill>
              </w:rPr>
              <w:t>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64"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1694"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716"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611"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w:t>
            </w:r>
          </w:p>
        </w:tc>
        <w:tc>
          <w:tcPr>
            <w:tcW w:w="1475" w:type="dxa"/>
            <w:vAlign w:val="center"/>
          </w:tcPr>
          <w:p>
            <w:pPr>
              <w:pStyle w:val="200"/>
              <w:spacing w:line="240" w:lineRule="auto"/>
              <w:rPr>
                <w:color w:val="000000" w:themeColor="text1"/>
                <w:szCs w:val="22"/>
                <w:lang w:eastAsia="en-US"/>
                <w14:textFill>
                  <w14:solidFill>
                    <w14:schemeClr w14:val="tx1"/>
                  </w14:solidFill>
                </w14:textFill>
              </w:rPr>
            </w:pPr>
            <w:r>
              <w:rPr>
                <w:rFonts w:ascii="宋体" w:hAnsi="宋体" w:cs="宋体"/>
                <w:color w:val="000000" w:themeColor="text1"/>
                <w:spacing w:val="-4"/>
                <w:szCs w:val="22"/>
                <w:lang w:eastAsia="en-US"/>
                <w14:textFill>
                  <w14:solidFill>
                    <w14:schemeClr w14:val="tx1"/>
                  </w14:solidFill>
                </w14:textFill>
              </w:rPr>
              <w:t>林格曼</w:t>
            </w:r>
            <w:r>
              <w:rPr>
                <w:rFonts w:ascii="宋体" w:hAnsi="宋体" w:cs="宋体"/>
                <w:color w:val="000000" w:themeColor="text1"/>
                <w:spacing w:val="-8"/>
                <w:szCs w:val="22"/>
                <w:lang w:eastAsia="en-US"/>
                <w14:textFill>
                  <w14:solidFill>
                    <w14:schemeClr w14:val="tx1"/>
                  </w14:solidFill>
                </w14:textFill>
              </w:rPr>
              <w:t>黑度</w:t>
            </w:r>
          </w:p>
        </w:tc>
        <w:tc>
          <w:tcPr>
            <w:tcW w:w="1458"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2206" w:type="dxa"/>
            <w:vMerge w:val="continue"/>
            <w:vAlign w:val="center"/>
          </w:tcPr>
          <w:p>
            <w:pPr>
              <w:pStyle w:val="200"/>
              <w:spacing w:line="240" w:lineRule="auto"/>
              <w:rPr>
                <w:color w:val="000000" w:themeColor="text1"/>
                <w:szCs w:val="22"/>
                <w:lang w:eastAsia="en-US"/>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64"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1694"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716"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611"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w:t>
            </w:r>
          </w:p>
        </w:tc>
        <w:tc>
          <w:tcPr>
            <w:tcW w:w="1475" w:type="dxa"/>
            <w:vAlign w:val="center"/>
          </w:tcPr>
          <w:p>
            <w:pPr>
              <w:pStyle w:val="200"/>
              <w:spacing w:line="240" w:lineRule="auto"/>
              <w:rPr>
                <w:color w:val="000000" w:themeColor="text1"/>
                <w:szCs w:val="22"/>
                <w:lang w:eastAsia="en-US"/>
                <w14:textFill>
                  <w14:solidFill>
                    <w14:schemeClr w14:val="tx1"/>
                  </w14:solidFill>
                </w14:textFill>
              </w:rPr>
            </w:pPr>
            <w:r>
              <w:rPr>
                <w:rFonts w:ascii="宋体" w:hAnsi="宋体" w:cs="宋体"/>
                <w:color w:val="000000" w:themeColor="text1"/>
                <w:szCs w:val="22"/>
                <w:lang w:eastAsia="en-US"/>
                <w14:textFill>
                  <w14:solidFill>
                    <w14:schemeClr w14:val="tx1"/>
                  </w14:solidFill>
                </w14:textFill>
              </w:rPr>
              <w:t>氨</w:t>
            </w:r>
          </w:p>
        </w:tc>
        <w:tc>
          <w:tcPr>
            <w:tcW w:w="1458"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2206" w:type="dxa"/>
            <w:vMerge w:val="continue"/>
            <w:vAlign w:val="center"/>
          </w:tcPr>
          <w:p>
            <w:pPr>
              <w:pStyle w:val="200"/>
              <w:spacing w:line="240" w:lineRule="auto"/>
              <w:rPr>
                <w:color w:val="000000" w:themeColor="text1"/>
                <w:szCs w:val="22"/>
                <w:lang w:eastAsia="en-US"/>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64"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1694" w:type="dxa"/>
            <w:vAlign w:val="center"/>
          </w:tcPr>
          <w:p>
            <w:pPr>
              <w:pStyle w:val="200"/>
              <w:spacing w:line="240" w:lineRule="auto"/>
              <w:rPr>
                <w:color w:val="000000" w:themeColor="text1"/>
                <w:szCs w:val="22"/>
                <w:lang w:eastAsia="zh-CN"/>
                <w14:textFill>
                  <w14:solidFill>
                    <w14:schemeClr w14:val="tx1"/>
                  </w14:solidFill>
                </w14:textFill>
              </w:rPr>
            </w:pPr>
            <w:r>
              <w:rPr>
                <w:rFonts w:eastAsiaTheme="minorEastAsia"/>
                <w:color w:val="000000" w:themeColor="text1"/>
                <w:szCs w:val="22"/>
                <w:lang w:eastAsia="zh-CN"/>
                <w14:textFill>
                  <w14:solidFill>
                    <w14:schemeClr w14:val="tx1"/>
                  </w14:solidFill>
                </w14:textFill>
              </w:rPr>
              <w:t>转运站T1排放口（DA002）</w:t>
            </w:r>
          </w:p>
        </w:tc>
        <w:tc>
          <w:tcPr>
            <w:tcW w:w="716"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烟囱排口</w:t>
            </w:r>
          </w:p>
        </w:tc>
        <w:tc>
          <w:tcPr>
            <w:tcW w:w="611"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w:t>
            </w:r>
          </w:p>
        </w:tc>
        <w:tc>
          <w:tcPr>
            <w:tcW w:w="1475" w:type="dxa"/>
            <w:vAlign w:val="center"/>
          </w:tcPr>
          <w:p>
            <w:pPr>
              <w:pStyle w:val="200"/>
              <w:spacing w:line="240" w:lineRule="auto"/>
              <w:rPr>
                <w:rFonts w:ascii="宋体" w:hAnsi="宋体" w:cs="宋体"/>
                <w:color w:val="000000" w:themeColor="text1"/>
                <w:szCs w:val="22"/>
                <w:lang w:eastAsia="en-US"/>
                <w14:textFill>
                  <w14:solidFill>
                    <w14:schemeClr w14:val="tx1"/>
                  </w14:solidFill>
                </w14:textFill>
              </w:rPr>
            </w:pPr>
            <w:r>
              <w:rPr>
                <w:rFonts w:hint="eastAsia" w:ascii="宋体" w:hAnsi="宋体" w:cs="宋体"/>
                <w:color w:val="000000" w:themeColor="text1"/>
                <w:szCs w:val="22"/>
                <w:lang w:eastAsia="en-US"/>
                <w14:textFill>
                  <w14:solidFill>
                    <w14:schemeClr w14:val="tx1"/>
                  </w14:solidFill>
                </w14:textFill>
              </w:rPr>
              <w:t>颗粒物</w:t>
            </w:r>
          </w:p>
        </w:tc>
        <w:tc>
          <w:tcPr>
            <w:tcW w:w="1458" w:type="dxa"/>
            <w:vMerge w:val="restart"/>
            <w:vAlign w:val="center"/>
          </w:tcPr>
          <w:p>
            <w:pPr>
              <w:pStyle w:val="200"/>
              <w:spacing w:line="240" w:lineRule="auto"/>
              <w:rPr>
                <w:color w:val="000000" w:themeColor="text1"/>
                <w:szCs w:val="22"/>
                <w:lang w:eastAsia="en-US"/>
                <w14:textFill>
                  <w14:solidFill>
                    <w14:schemeClr w14:val="tx1"/>
                  </w14:solidFill>
                </w14:textFill>
              </w:rPr>
            </w:pPr>
            <w:r>
              <w:rPr>
                <w:rFonts w:ascii="宋体" w:hAnsi="宋体" w:cs="宋体"/>
                <w:color w:val="000000" w:themeColor="text1"/>
                <w:spacing w:val="-3"/>
                <w:szCs w:val="22"/>
                <w:lang w:eastAsia="en-US"/>
                <w14:textFill>
                  <w14:solidFill>
                    <w14:schemeClr w14:val="tx1"/>
                  </w14:solidFill>
                </w14:textFill>
              </w:rPr>
              <w:t>非连续采样至少</w:t>
            </w:r>
            <w:r>
              <w:rPr>
                <w:rFonts w:ascii="宋体" w:hAnsi="宋体" w:cs="宋体"/>
                <w:color w:val="000000" w:themeColor="text1"/>
                <w:spacing w:val="-49"/>
                <w:szCs w:val="22"/>
                <w:lang w:eastAsia="en-US"/>
                <w14:textFill>
                  <w14:solidFill>
                    <w14:schemeClr w14:val="tx1"/>
                  </w14:solidFill>
                </w14:textFill>
              </w:rPr>
              <w:t xml:space="preserve"> </w:t>
            </w:r>
            <w:r>
              <w:rPr>
                <w:rFonts w:eastAsia="Times New Roman"/>
                <w:color w:val="000000" w:themeColor="text1"/>
                <w:spacing w:val="-3"/>
                <w:szCs w:val="22"/>
                <w:lang w:eastAsia="en-US"/>
                <w14:textFill>
                  <w14:solidFill>
                    <w14:schemeClr w14:val="tx1"/>
                  </w14:solidFill>
                </w14:textFill>
              </w:rPr>
              <w:t>3</w:t>
            </w:r>
            <w:r>
              <w:rPr>
                <w:rFonts w:ascii="宋体" w:hAnsi="宋体" w:cs="宋体"/>
                <w:color w:val="000000" w:themeColor="text1"/>
                <w:spacing w:val="-3"/>
                <w:szCs w:val="22"/>
                <w:lang w:eastAsia="en-US"/>
                <w14:textFill>
                  <w14:solidFill>
                    <w14:schemeClr w14:val="tx1"/>
                  </w14:solidFill>
                </w14:textFill>
              </w:rPr>
              <w:t>个</w:t>
            </w:r>
          </w:p>
        </w:tc>
        <w:tc>
          <w:tcPr>
            <w:tcW w:w="2206" w:type="dxa"/>
            <w:vMerge w:val="restart"/>
            <w:vAlign w:val="center"/>
          </w:tcPr>
          <w:p>
            <w:pPr>
              <w:pStyle w:val="200"/>
              <w:spacing w:line="240" w:lineRule="auto"/>
              <w:rPr>
                <w:color w:val="000000" w:themeColor="text1"/>
                <w:szCs w:val="22"/>
                <w:lang w:eastAsia="en-US"/>
                <w14:textFill>
                  <w14:solidFill>
                    <w14:schemeClr w14:val="tx1"/>
                  </w14:solidFill>
                </w14:textFill>
              </w:rPr>
            </w:pPr>
            <w:r>
              <w:rPr>
                <w:color w:val="000000" w:themeColor="text1"/>
                <w:szCs w:val="22"/>
                <w:lang w:eastAsia="en-US"/>
                <w14:textFill>
                  <w14:solidFill>
                    <w14:schemeClr w14:val="tx1"/>
                  </w14:solidFill>
                </w14:textFill>
              </w:rPr>
              <w:t>1次/</w:t>
            </w:r>
            <w:r>
              <w:rPr>
                <w:rFonts w:hint="eastAsia"/>
                <w:color w:val="000000" w:themeColor="text1"/>
                <w:szCs w:val="22"/>
                <w:lang w:eastAsia="en-US"/>
                <w14:textFill>
                  <w14:solidFill>
                    <w14:schemeClr w14:val="tx1"/>
                  </w14:solidFill>
                </w14:textFill>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64"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1694" w:type="dxa"/>
            <w:vAlign w:val="center"/>
          </w:tcPr>
          <w:p>
            <w:pPr>
              <w:pStyle w:val="200"/>
              <w:spacing w:line="240" w:lineRule="auto"/>
              <w:rPr>
                <w:color w:val="000000" w:themeColor="text1"/>
                <w:szCs w:val="22"/>
                <w:lang w:eastAsia="zh-CN"/>
                <w14:textFill>
                  <w14:solidFill>
                    <w14:schemeClr w14:val="tx1"/>
                  </w14:solidFill>
                </w14:textFill>
              </w:rPr>
            </w:pPr>
            <w:r>
              <w:rPr>
                <w:rFonts w:eastAsiaTheme="minorEastAsia"/>
                <w:color w:val="000000" w:themeColor="text1"/>
                <w:szCs w:val="22"/>
                <w:lang w:eastAsia="zh-CN"/>
                <w14:textFill>
                  <w14:solidFill>
                    <w14:schemeClr w14:val="tx1"/>
                  </w14:solidFill>
                </w14:textFill>
              </w:rPr>
              <w:t>转运站T2排放口1（DA003）</w:t>
            </w:r>
          </w:p>
        </w:tc>
        <w:tc>
          <w:tcPr>
            <w:tcW w:w="716"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烟囱排口</w:t>
            </w:r>
          </w:p>
        </w:tc>
        <w:tc>
          <w:tcPr>
            <w:tcW w:w="611"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w:t>
            </w:r>
          </w:p>
        </w:tc>
        <w:tc>
          <w:tcPr>
            <w:tcW w:w="1475" w:type="dxa"/>
            <w:vAlign w:val="center"/>
          </w:tcPr>
          <w:p>
            <w:pPr>
              <w:pStyle w:val="200"/>
              <w:spacing w:line="240" w:lineRule="auto"/>
              <w:rPr>
                <w:rFonts w:ascii="宋体" w:hAnsi="宋体" w:cs="宋体"/>
                <w:color w:val="000000" w:themeColor="text1"/>
                <w:szCs w:val="22"/>
                <w:lang w:eastAsia="en-US"/>
                <w14:textFill>
                  <w14:solidFill>
                    <w14:schemeClr w14:val="tx1"/>
                  </w14:solidFill>
                </w14:textFill>
              </w:rPr>
            </w:pPr>
            <w:r>
              <w:rPr>
                <w:rFonts w:hint="eastAsia" w:ascii="宋体" w:hAnsi="宋体" w:cs="宋体"/>
                <w:color w:val="000000" w:themeColor="text1"/>
                <w:szCs w:val="22"/>
                <w:lang w:eastAsia="en-US"/>
                <w14:textFill>
                  <w14:solidFill>
                    <w14:schemeClr w14:val="tx1"/>
                  </w14:solidFill>
                </w14:textFill>
              </w:rPr>
              <w:t>颗粒物</w:t>
            </w:r>
          </w:p>
        </w:tc>
        <w:tc>
          <w:tcPr>
            <w:tcW w:w="1458"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2206" w:type="dxa"/>
            <w:vMerge w:val="continue"/>
            <w:vAlign w:val="center"/>
          </w:tcPr>
          <w:p>
            <w:pPr>
              <w:pStyle w:val="200"/>
              <w:spacing w:line="240" w:lineRule="auto"/>
              <w:rPr>
                <w:color w:val="000000" w:themeColor="text1"/>
                <w:szCs w:val="22"/>
                <w:lang w:eastAsia="en-US"/>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64"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1694" w:type="dxa"/>
            <w:vAlign w:val="center"/>
          </w:tcPr>
          <w:p>
            <w:pPr>
              <w:pStyle w:val="200"/>
              <w:spacing w:line="240" w:lineRule="auto"/>
              <w:rPr>
                <w:color w:val="000000" w:themeColor="text1"/>
                <w:szCs w:val="22"/>
                <w:lang w:eastAsia="zh-CN"/>
                <w14:textFill>
                  <w14:solidFill>
                    <w14:schemeClr w14:val="tx1"/>
                  </w14:solidFill>
                </w14:textFill>
              </w:rPr>
            </w:pPr>
            <w:r>
              <w:rPr>
                <w:rFonts w:eastAsiaTheme="minorEastAsia"/>
                <w:color w:val="000000" w:themeColor="text1"/>
                <w:szCs w:val="22"/>
                <w:lang w:eastAsia="zh-CN"/>
                <w14:textFill>
                  <w14:solidFill>
                    <w14:schemeClr w14:val="tx1"/>
                  </w14:solidFill>
                </w14:textFill>
              </w:rPr>
              <w:t>转运站T2排放口2（DA004）</w:t>
            </w:r>
          </w:p>
        </w:tc>
        <w:tc>
          <w:tcPr>
            <w:tcW w:w="716"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烟囱排口</w:t>
            </w:r>
          </w:p>
        </w:tc>
        <w:tc>
          <w:tcPr>
            <w:tcW w:w="611"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w:t>
            </w:r>
          </w:p>
        </w:tc>
        <w:tc>
          <w:tcPr>
            <w:tcW w:w="1475" w:type="dxa"/>
            <w:vAlign w:val="center"/>
          </w:tcPr>
          <w:p>
            <w:pPr>
              <w:pStyle w:val="200"/>
              <w:spacing w:line="240" w:lineRule="auto"/>
              <w:rPr>
                <w:rFonts w:ascii="宋体" w:hAnsi="宋体" w:cs="宋体"/>
                <w:color w:val="000000" w:themeColor="text1"/>
                <w:szCs w:val="22"/>
                <w:lang w:eastAsia="en-US"/>
                <w14:textFill>
                  <w14:solidFill>
                    <w14:schemeClr w14:val="tx1"/>
                  </w14:solidFill>
                </w14:textFill>
              </w:rPr>
            </w:pPr>
            <w:r>
              <w:rPr>
                <w:rFonts w:hint="eastAsia" w:ascii="宋体" w:hAnsi="宋体" w:cs="宋体"/>
                <w:color w:val="000000" w:themeColor="text1"/>
                <w:szCs w:val="22"/>
                <w:lang w:eastAsia="en-US"/>
                <w14:textFill>
                  <w14:solidFill>
                    <w14:schemeClr w14:val="tx1"/>
                  </w14:solidFill>
                </w14:textFill>
              </w:rPr>
              <w:t>颗粒物</w:t>
            </w:r>
          </w:p>
        </w:tc>
        <w:tc>
          <w:tcPr>
            <w:tcW w:w="1458"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2206" w:type="dxa"/>
            <w:vMerge w:val="continue"/>
            <w:vAlign w:val="center"/>
          </w:tcPr>
          <w:p>
            <w:pPr>
              <w:pStyle w:val="200"/>
              <w:spacing w:line="240" w:lineRule="auto"/>
              <w:rPr>
                <w:color w:val="000000" w:themeColor="text1"/>
                <w:szCs w:val="22"/>
                <w:lang w:eastAsia="en-US"/>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64"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1694" w:type="dxa"/>
            <w:vAlign w:val="center"/>
          </w:tcPr>
          <w:p>
            <w:pPr>
              <w:pStyle w:val="200"/>
              <w:spacing w:line="240" w:lineRule="auto"/>
              <w:rPr>
                <w:color w:val="000000" w:themeColor="text1"/>
                <w:szCs w:val="22"/>
                <w:lang w:eastAsia="zh-CN"/>
                <w14:textFill>
                  <w14:solidFill>
                    <w14:schemeClr w14:val="tx1"/>
                  </w14:solidFill>
                </w14:textFill>
              </w:rPr>
            </w:pPr>
            <w:r>
              <w:rPr>
                <w:rFonts w:eastAsiaTheme="minorEastAsia"/>
                <w:color w:val="000000" w:themeColor="text1"/>
                <w:szCs w:val="22"/>
                <w:lang w:eastAsia="zh-CN"/>
                <w14:textFill>
                  <w14:solidFill>
                    <w14:schemeClr w14:val="tx1"/>
                  </w14:solidFill>
                </w14:textFill>
              </w:rPr>
              <w:t>转运站T3排放口1（DA005）</w:t>
            </w:r>
          </w:p>
        </w:tc>
        <w:tc>
          <w:tcPr>
            <w:tcW w:w="716"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烟囱排口</w:t>
            </w:r>
          </w:p>
        </w:tc>
        <w:tc>
          <w:tcPr>
            <w:tcW w:w="611"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w:t>
            </w:r>
          </w:p>
        </w:tc>
        <w:tc>
          <w:tcPr>
            <w:tcW w:w="1475" w:type="dxa"/>
            <w:vAlign w:val="center"/>
          </w:tcPr>
          <w:p>
            <w:pPr>
              <w:pStyle w:val="200"/>
              <w:spacing w:line="240" w:lineRule="auto"/>
              <w:rPr>
                <w:rFonts w:ascii="宋体" w:hAnsi="宋体" w:cs="宋体"/>
                <w:color w:val="000000" w:themeColor="text1"/>
                <w:szCs w:val="22"/>
                <w:lang w:eastAsia="en-US"/>
                <w14:textFill>
                  <w14:solidFill>
                    <w14:schemeClr w14:val="tx1"/>
                  </w14:solidFill>
                </w14:textFill>
              </w:rPr>
            </w:pPr>
            <w:r>
              <w:rPr>
                <w:rFonts w:hint="eastAsia" w:ascii="宋体" w:hAnsi="宋体" w:cs="宋体"/>
                <w:color w:val="000000" w:themeColor="text1"/>
                <w:szCs w:val="22"/>
                <w:lang w:eastAsia="en-US"/>
                <w14:textFill>
                  <w14:solidFill>
                    <w14:schemeClr w14:val="tx1"/>
                  </w14:solidFill>
                </w14:textFill>
              </w:rPr>
              <w:t>颗粒物</w:t>
            </w:r>
          </w:p>
        </w:tc>
        <w:tc>
          <w:tcPr>
            <w:tcW w:w="1458"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2206" w:type="dxa"/>
            <w:vMerge w:val="continue"/>
            <w:vAlign w:val="center"/>
          </w:tcPr>
          <w:p>
            <w:pPr>
              <w:pStyle w:val="200"/>
              <w:spacing w:line="240" w:lineRule="auto"/>
              <w:rPr>
                <w:color w:val="000000" w:themeColor="text1"/>
                <w:szCs w:val="22"/>
                <w:lang w:eastAsia="en-US"/>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64"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1694" w:type="dxa"/>
            <w:vAlign w:val="center"/>
          </w:tcPr>
          <w:p>
            <w:pPr>
              <w:pStyle w:val="200"/>
              <w:spacing w:line="240" w:lineRule="auto"/>
              <w:rPr>
                <w:color w:val="000000" w:themeColor="text1"/>
                <w:szCs w:val="22"/>
                <w:lang w:eastAsia="zh-CN"/>
                <w14:textFill>
                  <w14:solidFill>
                    <w14:schemeClr w14:val="tx1"/>
                  </w14:solidFill>
                </w14:textFill>
              </w:rPr>
            </w:pPr>
            <w:r>
              <w:rPr>
                <w:rFonts w:eastAsiaTheme="minorEastAsia"/>
                <w:color w:val="000000" w:themeColor="text1"/>
                <w:szCs w:val="22"/>
                <w:lang w:eastAsia="zh-CN"/>
                <w14:textFill>
                  <w14:solidFill>
                    <w14:schemeClr w14:val="tx1"/>
                  </w14:solidFill>
                </w14:textFill>
              </w:rPr>
              <w:t>转运站T3排放口2（DA006）</w:t>
            </w:r>
          </w:p>
        </w:tc>
        <w:tc>
          <w:tcPr>
            <w:tcW w:w="716"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烟囱排口</w:t>
            </w:r>
          </w:p>
        </w:tc>
        <w:tc>
          <w:tcPr>
            <w:tcW w:w="611"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w:t>
            </w:r>
          </w:p>
        </w:tc>
        <w:tc>
          <w:tcPr>
            <w:tcW w:w="1475" w:type="dxa"/>
            <w:vAlign w:val="center"/>
          </w:tcPr>
          <w:p>
            <w:pPr>
              <w:pStyle w:val="200"/>
              <w:spacing w:line="240" w:lineRule="auto"/>
              <w:rPr>
                <w:rFonts w:ascii="宋体" w:hAnsi="宋体" w:cs="宋体"/>
                <w:color w:val="000000" w:themeColor="text1"/>
                <w:szCs w:val="22"/>
                <w:lang w:eastAsia="en-US"/>
                <w14:textFill>
                  <w14:solidFill>
                    <w14:schemeClr w14:val="tx1"/>
                  </w14:solidFill>
                </w14:textFill>
              </w:rPr>
            </w:pPr>
            <w:r>
              <w:rPr>
                <w:rFonts w:hint="eastAsia" w:ascii="宋体" w:hAnsi="宋体" w:cs="宋体"/>
                <w:color w:val="000000" w:themeColor="text1"/>
                <w:szCs w:val="22"/>
                <w:lang w:eastAsia="en-US"/>
                <w14:textFill>
                  <w14:solidFill>
                    <w14:schemeClr w14:val="tx1"/>
                  </w14:solidFill>
                </w14:textFill>
              </w:rPr>
              <w:t>颗粒物</w:t>
            </w:r>
          </w:p>
        </w:tc>
        <w:tc>
          <w:tcPr>
            <w:tcW w:w="1458"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2206" w:type="dxa"/>
            <w:vMerge w:val="continue"/>
            <w:vAlign w:val="center"/>
          </w:tcPr>
          <w:p>
            <w:pPr>
              <w:pStyle w:val="200"/>
              <w:spacing w:line="240" w:lineRule="auto"/>
              <w:rPr>
                <w:color w:val="000000" w:themeColor="text1"/>
                <w:szCs w:val="22"/>
                <w:lang w:eastAsia="en-US"/>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64"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1694" w:type="dxa"/>
            <w:vAlign w:val="center"/>
          </w:tcPr>
          <w:p>
            <w:pPr>
              <w:pStyle w:val="200"/>
              <w:spacing w:line="240" w:lineRule="auto"/>
              <w:rPr>
                <w:color w:val="000000" w:themeColor="text1"/>
                <w:szCs w:val="22"/>
                <w:lang w:eastAsia="zh-CN"/>
                <w14:textFill>
                  <w14:solidFill>
                    <w14:schemeClr w14:val="tx1"/>
                  </w14:solidFill>
                </w14:textFill>
              </w:rPr>
            </w:pPr>
            <w:r>
              <w:rPr>
                <w:rFonts w:eastAsiaTheme="minorEastAsia"/>
                <w:color w:val="000000" w:themeColor="text1"/>
                <w:szCs w:val="22"/>
                <w:lang w:eastAsia="zh-CN"/>
                <w14:textFill>
                  <w14:solidFill>
                    <w14:schemeClr w14:val="tx1"/>
                  </w14:solidFill>
                </w14:textFill>
              </w:rPr>
              <w:t>粗碎室粉尘排放口1（DA007）</w:t>
            </w:r>
          </w:p>
        </w:tc>
        <w:tc>
          <w:tcPr>
            <w:tcW w:w="716"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烟囱排口</w:t>
            </w:r>
          </w:p>
        </w:tc>
        <w:tc>
          <w:tcPr>
            <w:tcW w:w="611"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w:t>
            </w:r>
          </w:p>
        </w:tc>
        <w:tc>
          <w:tcPr>
            <w:tcW w:w="1475" w:type="dxa"/>
            <w:vAlign w:val="center"/>
          </w:tcPr>
          <w:p>
            <w:pPr>
              <w:pStyle w:val="200"/>
              <w:spacing w:line="240" w:lineRule="auto"/>
              <w:rPr>
                <w:rFonts w:ascii="宋体" w:hAnsi="宋体" w:cs="宋体"/>
                <w:color w:val="000000" w:themeColor="text1"/>
                <w:szCs w:val="22"/>
                <w:lang w:eastAsia="en-US"/>
                <w14:textFill>
                  <w14:solidFill>
                    <w14:schemeClr w14:val="tx1"/>
                  </w14:solidFill>
                </w14:textFill>
              </w:rPr>
            </w:pPr>
            <w:r>
              <w:rPr>
                <w:rFonts w:hint="eastAsia" w:ascii="宋体" w:hAnsi="宋体" w:cs="宋体"/>
                <w:color w:val="000000" w:themeColor="text1"/>
                <w:szCs w:val="22"/>
                <w:lang w:eastAsia="en-US"/>
                <w14:textFill>
                  <w14:solidFill>
                    <w14:schemeClr w14:val="tx1"/>
                  </w14:solidFill>
                </w14:textFill>
              </w:rPr>
              <w:t>颗粒物</w:t>
            </w:r>
          </w:p>
        </w:tc>
        <w:tc>
          <w:tcPr>
            <w:tcW w:w="1458"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2206" w:type="dxa"/>
            <w:vMerge w:val="continue"/>
            <w:vAlign w:val="center"/>
          </w:tcPr>
          <w:p>
            <w:pPr>
              <w:pStyle w:val="200"/>
              <w:spacing w:line="240" w:lineRule="auto"/>
              <w:rPr>
                <w:color w:val="000000" w:themeColor="text1"/>
                <w:szCs w:val="22"/>
                <w:lang w:eastAsia="en-US"/>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64"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1694" w:type="dxa"/>
            <w:vAlign w:val="center"/>
          </w:tcPr>
          <w:p>
            <w:pPr>
              <w:pStyle w:val="200"/>
              <w:spacing w:line="240" w:lineRule="auto"/>
              <w:rPr>
                <w:color w:val="000000" w:themeColor="text1"/>
                <w:szCs w:val="22"/>
                <w:lang w:eastAsia="zh-CN"/>
                <w14:textFill>
                  <w14:solidFill>
                    <w14:schemeClr w14:val="tx1"/>
                  </w14:solidFill>
                </w14:textFill>
              </w:rPr>
            </w:pPr>
            <w:r>
              <w:rPr>
                <w:rFonts w:eastAsiaTheme="minorEastAsia"/>
                <w:color w:val="000000" w:themeColor="text1"/>
                <w:szCs w:val="22"/>
                <w:lang w:eastAsia="zh-CN"/>
                <w14:textFill>
                  <w14:solidFill>
                    <w14:schemeClr w14:val="tx1"/>
                  </w14:solidFill>
                </w14:textFill>
              </w:rPr>
              <w:t>粗碎室粉尘排放口2（DA008）</w:t>
            </w:r>
          </w:p>
        </w:tc>
        <w:tc>
          <w:tcPr>
            <w:tcW w:w="716"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烟囱排口</w:t>
            </w:r>
          </w:p>
        </w:tc>
        <w:tc>
          <w:tcPr>
            <w:tcW w:w="611"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w:t>
            </w:r>
          </w:p>
        </w:tc>
        <w:tc>
          <w:tcPr>
            <w:tcW w:w="1475" w:type="dxa"/>
            <w:vAlign w:val="center"/>
          </w:tcPr>
          <w:p>
            <w:pPr>
              <w:pStyle w:val="200"/>
              <w:spacing w:line="240" w:lineRule="auto"/>
              <w:rPr>
                <w:rFonts w:ascii="宋体" w:hAnsi="宋体" w:cs="宋体"/>
                <w:color w:val="000000" w:themeColor="text1"/>
                <w:szCs w:val="22"/>
                <w:lang w:eastAsia="en-US"/>
                <w14:textFill>
                  <w14:solidFill>
                    <w14:schemeClr w14:val="tx1"/>
                  </w14:solidFill>
                </w14:textFill>
              </w:rPr>
            </w:pPr>
            <w:r>
              <w:rPr>
                <w:rFonts w:hint="eastAsia" w:ascii="宋体" w:hAnsi="宋体" w:cs="宋体"/>
                <w:color w:val="000000" w:themeColor="text1"/>
                <w:szCs w:val="22"/>
                <w:lang w:eastAsia="en-US"/>
                <w14:textFill>
                  <w14:solidFill>
                    <w14:schemeClr w14:val="tx1"/>
                  </w14:solidFill>
                </w14:textFill>
              </w:rPr>
              <w:t>颗粒物</w:t>
            </w:r>
          </w:p>
        </w:tc>
        <w:tc>
          <w:tcPr>
            <w:tcW w:w="1458"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2206" w:type="dxa"/>
            <w:vMerge w:val="continue"/>
            <w:vAlign w:val="center"/>
          </w:tcPr>
          <w:p>
            <w:pPr>
              <w:pStyle w:val="200"/>
              <w:spacing w:line="240" w:lineRule="auto"/>
              <w:rPr>
                <w:color w:val="000000" w:themeColor="text1"/>
                <w:szCs w:val="22"/>
                <w:lang w:eastAsia="en-US"/>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64"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1694" w:type="dxa"/>
            <w:vAlign w:val="center"/>
          </w:tcPr>
          <w:p>
            <w:pPr>
              <w:pStyle w:val="200"/>
              <w:spacing w:line="240" w:lineRule="auto"/>
              <w:rPr>
                <w:color w:val="000000" w:themeColor="text1"/>
                <w:szCs w:val="22"/>
                <w:lang w:eastAsia="zh-CN"/>
                <w14:textFill>
                  <w14:solidFill>
                    <w14:schemeClr w14:val="tx1"/>
                  </w14:solidFill>
                </w14:textFill>
              </w:rPr>
            </w:pPr>
            <w:r>
              <w:rPr>
                <w:rFonts w:eastAsiaTheme="minorEastAsia"/>
                <w:color w:val="000000" w:themeColor="text1"/>
                <w:szCs w:val="22"/>
                <w:lang w:eastAsia="zh-CN"/>
                <w14:textFill>
                  <w14:solidFill>
                    <w14:schemeClr w14:val="tx1"/>
                  </w14:solidFill>
                </w14:textFill>
              </w:rPr>
              <w:t>转运站T4排放口（DA009）</w:t>
            </w:r>
          </w:p>
        </w:tc>
        <w:tc>
          <w:tcPr>
            <w:tcW w:w="716"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烟囱排口</w:t>
            </w:r>
          </w:p>
        </w:tc>
        <w:tc>
          <w:tcPr>
            <w:tcW w:w="611"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w:t>
            </w:r>
          </w:p>
        </w:tc>
        <w:tc>
          <w:tcPr>
            <w:tcW w:w="1475" w:type="dxa"/>
            <w:vAlign w:val="center"/>
          </w:tcPr>
          <w:p>
            <w:pPr>
              <w:pStyle w:val="200"/>
              <w:spacing w:line="240" w:lineRule="auto"/>
              <w:rPr>
                <w:rFonts w:ascii="宋体" w:hAnsi="宋体" w:cs="宋体"/>
                <w:color w:val="000000" w:themeColor="text1"/>
                <w:szCs w:val="22"/>
                <w:lang w:eastAsia="en-US"/>
                <w14:textFill>
                  <w14:solidFill>
                    <w14:schemeClr w14:val="tx1"/>
                  </w14:solidFill>
                </w14:textFill>
              </w:rPr>
            </w:pPr>
            <w:r>
              <w:rPr>
                <w:rFonts w:hint="eastAsia" w:ascii="宋体" w:hAnsi="宋体" w:cs="宋体"/>
                <w:color w:val="000000" w:themeColor="text1"/>
                <w:szCs w:val="22"/>
                <w:lang w:eastAsia="en-US"/>
                <w14:textFill>
                  <w14:solidFill>
                    <w14:schemeClr w14:val="tx1"/>
                  </w14:solidFill>
                </w14:textFill>
              </w:rPr>
              <w:t>颗粒物</w:t>
            </w:r>
          </w:p>
        </w:tc>
        <w:tc>
          <w:tcPr>
            <w:tcW w:w="1458"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2206" w:type="dxa"/>
            <w:vMerge w:val="continue"/>
            <w:vAlign w:val="center"/>
          </w:tcPr>
          <w:p>
            <w:pPr>
              <w:pStyle w:val="200"/>
              <w:spacing w:line="240" w:lineRule="auto"/>
              <w:rPr>
                <w:color w:val="000000" w:themeColor="text1"/>
                <w:szCs w:val="22"/>
                <w:lang w:eastAsia="en-US"/>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64"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1694" w:type="dxa"/>
            <w:vAlign w:val="center"/>
          </w:tcPr>
          <w:p>
            <w:pPr>
              <w:pStyle w:val="200"/>
              <w:spacing w:line="240" w:lineRule="auto"/>
              <w:rPr>
                <w:color w:val="000000" w:themeColor="text1"/>
                <w:szCs w:val="22"/>
                <w:lang w:eastAsia="zh-CN"/>
                <w14:textFill>
                  <w14:solidFill>
                    <w14:schemeClr w14:val="tx1"/>
                  </w14:solidFill>
                </w14:textFill>
              </w:rPr>
            </w:pPr>
            <w:r>
              <w:rPr>
                <w:rFonts w:eastAsiaTheme="minorEastAsia"/>
                <w:color w:val="000000" w:themeColor="text1"/>
                <w:szCs w:val="22"/>
                <w:lang w:eastAsia="zh-CN"/>
                <w14:textFill>
                  <w14:solidFill>
                    <w14:schemeClr w14:val="tx1"/>
                  </w14:solidFill>
                </w14:textFill>
              </w:rPr>
              <w:t>细碎室排放口1（DA010）</w:t>
            </w:r>
          </w:p>
        </w:tc>
        <w:tc>
          <w:tcPr>
            <w:tcW w:w="716"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烟囱排口</w:t>
            </w:r>
          </w:p>
        </w:tc>
        <w:tc>
          <w:tcPr>
            <w:tcW w:w="611"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w:t>
            </w:r>
          </w:p>
        </w:tc>
        <w:tc>
          <w:tcPr>
            <w:tcW w:w="1475" w:type="dxa"/>
            <w:vAlign w:val="center"/>
          </w:tcPr>
          <w:p>
            <w:pPr>
              <w:pStyle w:val="200"/>
              <w:spacing w:line="240" w:lineRule="auto"/>
              <w:rPr>
                <w:rFonts w:ascii="宋体" w:hAnsi="宋体" w:cs="宋体"/>
                <w:color w:val="000000" w:themeColor="text1"/>
                <w:szCs w:val="22"/>
                <w:lang w:eastAsia="en-US"/>
                <w14:textFill>
                  <w14:solidFill>
                    <w14:schemeClr w14:val="tx1"/>
                  </w14:solidFill>
                </w14:textFill>
              </w:rPr>
            </w:pPr>
            <w:r>
              <w:rPr>
                <w:rFonts w:hint="eastAsia" w:ascii="宋体" w:hAnsi="宋体" w:cs="宋体"/>
                <w:color w:val="000000" w:themeColor="text1"/>
                <w:szCs w:val="22"/>
                <w:lang w:eastAsia="en-US"/>
                <w14:textFill>
                  <w14:solidFill>
                    <w14:schemeClr w14:val="tx1"/>
                  </w14:solidFill>
                </w14:textFill>
              </w:rPr>
              <w:t>颗粒物</w:t>
            </w:r>
          </w:p>
        </w:tc>
        <w:tc>
          <w:tcPr>
            <w:tcW w:w="1458"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2206" w:type="dxa"/>
            <w:vMerge w:val="continue"/>
            <w:vAlign w:val="center"/>
          </w:tcPr>
          <w:p>
            <w:pPr>
              <w:pStyle w:val="200"/>
              <w:spacing w:line="240" w:lineRule="auto"/>
              <w:rPr>
                <w:color w:val="000000" w:themeColor="text1"/>
                <w:szCs w:val="22"/>
                <w:lang w:eastAsia="en-US"/>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64"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1694" w:type="dxa"/>
            <w:vAlign w:val="center"/>
          </w:tcPr>
          <w:p>
            <w:pPr>
              <w:pStyle w:val="200"/>
              <w:spacing w:line="240" w:lineRule="auto"/>
              <w:rPr>
                <w:color w:val="000000" w:themeColor="text1"/>
                <w:szCs w:val="22"/>
                <w:lang w:eastAsia="zh-CN"/>
                <w14:textFill>
                  <w14:solidFill>
                    <w14:schemeClr w14:val="tx1"/>
                  </w14:solidFill>
                </w14:textFill>
              </w:rPr>
            </w:pPr>
            <w:r>
              <w:rPr>
                <w:rFonts w:eastAsiaTheme="minorEastAsia"/>
                <w:color w:val="000000" w:themeColor="text1"/>
                <w:szCs w:val="22"/>
                <w:lang w:eastAsia="zh-CN"/>
                <w14:textFill>
                  <w14:solidFill>
                    <w14:schemeClr w14:val="tx1"/>
                  </w14:solidFill>
                </w14:textFill>
              </w:rPr>
              <w:t>细碎室排放口2（DA011）</w:t>
            </w:r>
          </w:p>
        </w:tc>
        <w:tc>
          <w:tcPr>
            <w:tcW w:w="716"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烟囱排口</w:t>
            </w:r>
          </w:p>
        </w:tc>
        <w:tc>
          <w:tcPr>
            <w:tcW w:w="611"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w:t>
            </w:r>
          </w:p>
        </w:tc>
        <w:tc>
          <w:tcPr>
            <w:tcW w:w="1475" w:type="dxa"/>
            <w:vAlign w:val="center"/>
          </w:tcPr>
          <w:p>
            <w:pPr>
              <w:pStyle w:val="200"/>
              <w:spacing w:line="240" w:lineRule="auto"/>
              <w:rPr>
                <w:rFonts w:ascii="宋体" w:hAnsi="宋体" w:cs="宋体"/>
                <w:color w:val="000000" w:themeColor="text1"/>
                <w:szCs w:val="22"/>
                <w:lang w:eastAsia="en-US"/>
                <w14:textFill>
                  <w14:solidFill>
                    <w14:schemeClr w14:val="tx1"/>
                  </w14:solidFill>
                </w14:textFill>
              </w:rPr>
            </w:pPr>
            <w:r>
              <w:rPr>
                <w:rFonts w:hint="eastAsia" w:ascii="宋体" w:hAnsi="宋体" w:cs="宋体"/>
                <w:color w:val="000000" w:themeColor="text1"/>
                <w:szCs w:val="22"/>
                <w:lang w:eastAsia="en-US"/>
                <w14:textFill>
                  <w14:solidFill>
                    <w14:schemeClr w14:val="tx1"/>
                  </w14:solidFill>
                </w14:textFill>
              </w:rPr>
              <w:t>颗粒物</w:t>
            </w:r>
          </w:p>
        </w:tc>
        <w:tc>
          <w:tcPr>
            <w:tcW w:w="1458"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2206" w:type="dxa"/>
            <w:vMerge w:val="continue"/>
            <w:vAlign w:val="center"/>
          </w:tcPr>
          <w:p>
            <w:pPr>
              <w:pStyle w:val="200"/>
              <w:spacing w:line="240" w:lineRule="auto"/>
              <w:rPr>
                <w:color w:val="000000" w:themeColor="text1"/>
                <w:szCs w:val="22"/>
                <w:lang w:eastAsia="en-US"/>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64"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1694" w:type="dxa"/>
            <w:vAlign w:val="center"/>
          </w:tcPr>
          <w:p>
            <w:pPr>
              <w:pStyle w:val="200"/>
              <w:spacing w:line="240" w:lineRule="auto"/>
              <w:rPr>
                <w:color w:val="000000" w:themeColor="text1"/>
                <w:szCs w:val="22"/>
                <w:lang w:eastAsia="en-US"/>
                <w14:textFill>
                  <w14:solidFill>
                    <w14:schemeClr w14:val="tx1"/>
                  </w14:solidFill>
                </w14:textFill>
              </w:rPr>
            </w:pPr>
            <w:r>
              <w:rPr>
                <w:rFonts w:eastAsiaTheme="minorEastAsia"/>
                <w:color w:val="000000" w:themeColor="text1"/>
                <w:spacing w:val="-3"/>
                <w:szCs w:val="22"/>
                <w:lang w:eastAsia="en-US"/>
                <w14:textFill>
                  <w14:solidFill>
                    <w14:schemeClr w14:val="tx1"/>
                  </w14:solidFill>
                </w14:textFill>
              </w:rPr>
              <w:t>灰库</w:t>
            </w:r>
            <w:r>
              <w:rPr>
                <w:rFonts w:eastAsiaTheme="minorEastAsia"/>
                <w:color w:val="000000" w:themeColor="text1"/>
                <w:szCs w:val="22"/>
                <w:lang w:eastAsia="en-US"/>
                <w14:textFill>
                  <w14:solidFill>
                    <w14:schemeClr w14:val="tx1"/>
                  </w14:solidFill>
                </w14:textFill>
              </w:rPr>
              <w:t>排放口</w:t>
            </w:r>
            <w:r>
              <w:rPr>
                <w:rFonts w:eastAsiaTheme="minorEastAsia"/>
                <w:color w:val="000000" w:themeColor="text1"/>
                <w:spacing w:val="-29"/>
                <w:szCs w:val="22"/>
                <w:lang w:eastAsia="en-US"/>
                <w14:textFill>
                  <w14:solidFill>
                    <w14:schemeClr w14:val="tx1"/>
                  </w14:solidFill>
                </w14:textFill>
              </w:rPr>
              <w:t xml:space="preserve"> </w:t>
            </w:r>
            <w:r>
              <w:rPr>
                <w:rFonts w:eastAsiaTheme="minorEastAsia"/>
                <w:color w:val="000000" w:themeColor="text1"/>
                <w:spacing w:val="-3"/>
                <w:szCs w:val="22"/>
                <w:lang w:eastAsia="en-US"/>
                <w14:textFill>
                  <w14:solidFill>
                    <w14:schemeClr w14:val="tx1"/>
                  </w14:solidFill>
                </w14:textFill>
              </w:rPr>
              <w:t>1</w:t>
            </w:r>
            <w:r>
              <w:rPr>
                <w:rFonts w:eastAsiaTheme="minorEastAsia"/>
                <w:color w:val="000000" w:themeColor="text1"/>
                <w:szCs w:val="22"/>
                <w:lang w:eastAsia="en-US"/>
                <w14:textFill>
                  <w14:solidFill>
                    <w14:schemeClr w14:val="tx1"/>
                  </w14:solidFill>
                </w14:textFill>
              </w:rPr>
              <w:t>（DA01</w:t>
            </w:r>
            <w:r>
              <w:rPr>
                <w:rFonts w:hint="eastAsia" w:eastAsiaTheme="minorEastAsia"/>
                <w:color w:val="000000" w:themeColor="text1"/>
                <w:szCs w:val="22"/>
                <w:lang w:eastAsia="en-US"/>
                <w14:textFill>
                  <w14:solidFill>
                    <w14:schemeClr w14:val="tx1"/>
                  </w14:solidFill>
                </w14:textFill>
              </w:rPr>
              <w:t>2</w:t>
            </w:r>
            <w:r>
              <w:rPr>
                <w:rFonts w:eastAsiaTheme="minorEastAsia"/>
                <w:color w:val="000000" w:themeColor="text1"/>
                <w:szCs w:val="22"/>
                <w:lang w:eastAsia="en-US"/>
                <w14:textFill>
                  <w14:solidFill>
                    <w14:schemeClr w14:val="tx1"/>
                  </w14:solidFill>
                </w14:textFill>
              </w:rPr>
              <w:t>）</w:t>
            </w:r>
          </w:p>
        </w:tc>
        <w:tc>
          <w:tcPr>
            <w:tcW w:w="716"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烟囱排口</w:t>
            </w:r>
          </w:p>
        </w:tc>
        <w:tc>
          <w:tcPr>
            <w:tcW w:w="611"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w:t>
            </w:r>
          </w:p>
        </w:tc>
        <w:tc>
          <w:tcPr>
            <w:tcW w:w="1475" w:type="dxa"/>
            <w:vAlign w:val="center"/>
          </w:tcPr>
          <w:p>
            <w:pPr>
              <w:pStyle w:val="200"/>
              <w:spacing w:line="240" w:lineRule="auto"/>
              <w:rPr>
                <w:rFonts w:ascii="宋体" w:hAnsi="宋体" w:cs="宋体"/>
                <w:color w:val="000000" w:themeColor="text1"/>
                <w:szCs w:val="22"/>
                <w:lang w:eastAsia="en-US"/>
                <w14:textFill>
                  <w14:solidFill>
                    <w14:schemeClr w14:val="tx1"/>
                  </w14:solidFill>
                </w14:textFill>
              </w:rPr>
            </w:pPr>
            <w:r>
              <w:rPr>
                <w:rFonts w:hint="eastAsia" w:ascii="宋体" w:hAnsi="宋体" w:cs="宋体"/>
                <w:color w:val="000000" w:themeColor="text1"/>
                <w:szCs w:val="22"/>
                <w:lang w:eastAsia="en-US"/>
                <w14:textFill>
                  <w14:solidFill>
                    <w14:schemeClr w14:val="tx1"/>
                  </w14:solidFill>
                </w14:textFill>
              </w:rPr>
              <w:t>颗粒物</w:t>
            </w:r>
          </w:p>
        </w:tc>
        <w:tc>
          <w:tcPr>
            <w:tcW w:w="1458"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2206" w:type="dxa"/>
            <w:vMerge w:val="continue"/>
            <w:vAlign w:val="center"/>
          </w:tcPr>
          <w:p>
            <w:pPr>
              <w:pStyle w:val="200"/>
              <w:spacing w:line="240" w:lineRule="auto"/>
              <w:rPr>
                <w:color w:val="000000" w:themeColor="text1"/>
                <w:szCs w:val="22"/>
                <w:lang w:eastAsia="en-US"/>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64"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1694" w:type="dxa"/>
            <w:vAlign w:val="center"/>
          </w:tcPr>
          <w:p>
            <w:pPr>
              <w:pStyle w:val="200"/>
              <w:spacing w:line="240" w:lineRule="auto"/>
              <w:rPr>
                <w:color w:val="000000" w:themeColor="text1"/>
                <w:szCs w:val="22"/>
                <w:lang w:eastAsia="en-US"/>
                <w14:textFill>
                  <w14:solidFill>
                    <w14:schemeClr w14:val="tx1"/>
                  </w14:solidFill>
                </w14:textFill>
              </w:rPr>
            </w:pPr>
            <w:r>
              <w:rPr>
                <w:rFonts w:eastAsiaTheme="minorEastAsia"/>
                <w:color w:val="000000" w:themeColor="text1"/>
                <w:spacing w:val="-3"/>
                <w:szCs w:val="22"/>
                <w:lang w:eastAsia="en-US"/>
                <w14:textFill>
                  <w14:solidFill>
                    <w14:schemeClr w14:val="tx1"/>
                  </w14:solidFill>
                </w14:textFill>
              </w:rPr>
              <w:t>灰库</w:t>
            </w:r>
            <w:r>
              <w:rPr>
                <w:rFonts w:eastAsiaTheme="minorEastAsia"/>
                <w:color w:val="000000" w:themeColor="text1"/>
                <w:szCs w:val="22"/>
                <w:lang w:eastAsia="en-US"/>
                <w14:textFill>
                  <w14:solidFill>
                    <w14:schemeClr w14:val="tx1"/>
                  </w14:solidFill>
                </w14:textFill>
              </w:rPr>
              <w:t>排放口</w:t>
            </w:r>
            <w:r>
              <w:rPr>
                <w:rFonts w:eastAsiaTheme="minorEastAsia"/>
                <w:color w:val="000000" w:themeColor="text1"/>
                <w:spacing w:val="-52"/>
                <w:szCs w:val="22"/>
                <w:lang w:eastAsia="en-US"/>
                <w14:textFill>
                  <w14:solidFill>
                    <w14:schemeClr w14:val="tx1"/>
                  </w14:solidFill>
                </w14:textFill>
              </w:rPr>
              <w:t xml:space="preserve"> </w:t>
            </w:r>
            <w:r>
              <w:rPr>
                <w:rFonts w:eastAsiaTheme="minorEastAsia"/>
                <w:color w:val="000000" w:themeColor="text1"/>
                <w:spacing w:val="-3"/>
                <w:szCs w:val="22"/>
                <w:lang w:eastAsia="en-US"/>
                <w14:textFill>
                  <w14:solidFill>
                    <w14:schemeClr w14:val="tx1"/>
                  </w14:solidFill>
                </w14:textFill>
              </w:rPr>
              <w:t>2</w:t>
            </w:r>
            <w:r>
              <w:rPr>
                <w:rFonts w:eastAsiaTheme="minorEastAsia"/>
                <w:color w:val="000000" w:themeColor="text1"/>
                <w:szCs w:val="22"/>
                <w:lang w:eastAsia="en-US"/>
                <w14:textFill>
                  <w14:solidFill>
                    <w14:schemeClr w14:val="tx1"/>
                  </w14:solidFill>
                </w14:textFill>
              </w:rPr>
              <w:t>（DA01</w:t>
            </w:r>
            <w:r>
              <w:rPr>
                <w:rFonts w:hint="eastAsia" w:eastAsiaTheme="minorEastAsia"/>
                <w:color w:val="000000" w:themeColor="text1"/>
                <w:szCs w:val="22"/>
                <w:lang w:eastAsia="en-US"/>
                <w14:textFill>
                  <w14:solidFill>
                    <w14:schemeClr w14:val="tx1"/>
                  </w14:solidFill>
                </w14:textFill>
              </w:rPr>
              <w:t>3</w:t>
            </w:r>
            <w:r>
              <w:rPr>
                <w:rFonts w:eastAsiaTheme="minorEastAsia"/>
                <w:color w:val="000000" w:themeColor="text1"/>
                <w:szCs w:val="22"/>
                <w:lang w:eastAsia="en-US"/>
                <w14:textFill>
                  <w14:solidFill>
                    <w14:schemeClr w14:val="tx1"/>
                  </w14:solidFill>
                </w14:textFill>
              </w:rPr>
              <w:t>）</w:t>
            </w:r>
          </w:p>
        </w:tc>
        <w:tc>
          <w:tcPr>
            <w:tcW w:w="716"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烟囱排口</w:t>
            </w:r>
          </w:p>
        </w:tc>
        <w:tc>
          <w:tcPr>
            <w:tcW w:w="611"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w:t>
            </w:r>
          </w:p>
        </w:tc>
        <w:tc>
          <w:tcPr>
            <w:tcW w:w="1475" w:type="dxa"/>
            <w:vAlign w:val="center"/>
          </w:tcPr>
          <w:p>
            <w:pPr>
              <w:pStyle w:val="200"/>
              <w:spacing w:line="240" w:lineRule="auto"/>
              <w:rPr>
                <w:rFonts w:ascii="宋体" w:hAnsi="宋体" w:cs="宋体"/>
                <w:color w:val="000000" w:themeColor="text1"/>
                <w:szCs w:val="22"/>
                <w:lang w:eastAsia="en-US"/>
                <w14:textFill>
                  <w14:solidFill>
                    <w14:schemeClr w14:val="tx1"/>
                  </w14:solidFill>
                </w14:textFill>
              </w:rPr>
            </w:pPr>
            <w:r>
              <w:rPr>
                <w:rFonts w:hint="eastAsia" w:ascii="宋体" w:hAnsi="宋体" w:cs="宋体"/>
                <w:color w:val="000000" w:themeColor="text1"/>
                <w:szCs w:val="22"/>
                <w:lang w:eastAsia="en-US"/>
                <w14:textFill>
                  <w14:solidFill>
                    <w14:schemeClr w14:val="tx1"/>
                  </w14:solidFill>
                </w14:textFill>
              </w:rPr>
              <w:t>颗粒物</w:t>
            </w:r>
          </w:p>
        </w:tc>
        <w:tc>
          <w:tcPr>
            <w:tcW w:w="1458"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2206" w:type="dxa"/>
            <w:vMerge w:val="continue"/>
            <w:vAlign w:val="center"/>
          </w:tcPr>
          <w:p>
            <w:pPr>
              <w:pStyle w:val="200"/>
              <w:spacing w:line="240" w:lineRule="auto"/>
              <w:rPr>
                <w:color w:val="000000" w:themeColor="text1"/>
                <w:szCs w:val="22"/>
                <w:lang w:eastAsia="en-US"/>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64"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1694" w:type="dxa"/>
            <w:vAlign w:val="center"/>
          </w:tcPr>
          <w:p>
            <w:pPr>
              <w:pStyle w:val="200"/>
              <w:spacing w:line="240" w:lineRule="auto"/>
              <w:rPr>
                <w:color w:val="000000" w:themeColor="text1"/>
                <w:szCs w:val="22"/>
                <w:lang w:eastAsia="zh-CN"/>
                <w14:textFill>
                  <w14:solidFill>
                    <w14:schemeClr w14:val="tx1"/>
                  </w14:solidFill>
                </w14:textFill>
              </w:rPr>
            </w:pPr>
            <w:r>
              <w:rPr>
                <w:rFonts w:eastAsiaTheme="minorEastAsia"/>
                <w:color w:val="000000" w:themeColor="text1"/>
                <w:spacing w:val="-2"/>
                <w:szCs w:val="22"/>
                <w:lang w:eastAsia="zh-CN"/>
                <w14:textFill>
                  <w14:solidFill>
                    <w14:schemeClr w14:val="tx1"/>
                  </w14:solidFill>
                </w14:textFill>
              </w:rPr>
              <w:t>脱硫石灰石粉仓</w:t>
            </w:r>
            <w:r>
              <w:rPr>
                <w:rFonts w:eastAsiaTheme="minorEastAsia"/>
                <w:color w:val="000000" w:themeColor="text1"/>
                <w:szCs w:val="22"/>
                <w:lang w:eastAsia="zh-CN"/>
                <w14:textFill>
                  <w14:solidFill>
                    <w14:schemeClr w14:val="tx1"/>
                  </w14:solidFill>
                </w14:textFill>
              </w:rPr>
              <w:t>排放口（DA01</w:t>
            </w:r>
            <w:r>
              <w:rPr>
                <w:rFonts w:hint="eastAsia" w:eastAsiaTheme="minorEastAsia"/>
                <w:color w:val="000000" w:themeColor="text1"/>
                <w:szCs w:val="22"/>
                <w:lang w:eastAsia="zh-CN"/>
                <w14:textFill>
                  <w14:solidFill>
                    <w14:schemeClr w14:val="tx1"/>
                  </w14:solidFill>
                </w14:textFill>
              </w:rPr>
              <w:t>4</w:t>
            </w:r>
            <w:r>
              <w:rPr>
                <w:rFonts w:eastAsiaTheme="minorEastAsia"/>
                <w:color w:val="000000" w:themeColor="text1"/>
                <w:szCs w:val="22"/>
                <w:lang w:eastAsia="zh-CN"/>
                <w14:textFill>
                  <w14:solidFill>
                    <w14:schemeClr w14:val="tx1"/>
                  </w14:solidFill>
                </w14:textFill>
              </w:rPr>
              <w:t>）</w:t>
            </w:r>
          </w:p>
        </w:tc>
        <w:tc>
          <w:tcPr>
            <w:tcW w:w="716"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烟囱排口</w:t>
            </w:r>
          </w:p>
        </w:tc>
        <w:tc>
          <w:tcPr>
            <w:tcW w:w="611"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w:t>
            </w:r>
          </w:p>
        </w:tc>
        <w:tc>
          <w:tcPr>
            <w:tcW w:w="1475" w:type="dxa"/>
            <w:vAlign w:val="center"/>
          </w:tcPr>
          <w:p>
            <w:pPr>
              <w:pStyle w:val="200"/>
              <w:spacing w:line="240" w:lineRule="auto"/>
              <w:rPr>
                <w:rFonts w:ascii="宋体" w:hAnsi="宋体" w:cs="宋体"/>
                <w:color w:val="000000" w:themeColor="text1"/>
                <w:szCs w:val="22"/>
                <w:lang w:eastAsia="en-US"/>
                <w14:textFill>
                  <w14:solidFill>
                    <w14:schemeClr w14:val="tx1"/>
                  </w14:solidFill>
                </w14:textFill>
              </w:rPr>
            </w:pPr>
            <w:r>
              <w:rPr>
                <w:rFonts w:hint="eastAsia" w:ascii="宋体" w:hAnsi="宋体" w:cs="宋体"/>
                <w:color w:val="000000" w:themeColor="text1"/>
                <w:szCs w:val="22"/>
                <w:lang w:eastAsia="en-US"/>
                <w14:textFill>
                  <w14:solidFill>
                    <w14:schemeClr w14:val="tx1"/>
                  </w14:solidFill>
                </w14:textFill>
              </w:rPr>
              <w:t>颗粒物</w:t>
            </w:r>
          </w:p>
        </w:tc>
        <w:tc>
          <w:tcPr>
            <w:tcW w:w="1458"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2206" w:type="dxa"/>
            <w:vMerge w:val="continue"/>
            <w:vAlign w:val="center"/>
          </w:tcPr>
          <w:p>
            <w:pPr>
              <w:pStyle w:val="200"/>
              <w:spacing w:line="240" w:lineRule="auto"/>
              <w:rPr>
                <w:color w:val="000000" w:themeColor="text1"/>
                <w:szCs w:val="22"/>
                <w:lang w:eastAsia="en-US"/>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64"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1694" w:type="dxa"/>
            <w:vAlign w:val="center"/>
          </w:tcPr>
          <w:p>
            <w:pPr>
              <w:pStyle w:val="200"/>
              <w:spacing w:line="240" w:lineRule="auto"/>
              <w:rPr>
                <w:color w:val="000000" w:themeColor="text1"/>
                <w:szCs w:val="22"/>
                <w:lang w:eastAsia="zh-CN"/>
                <w14:textFill>
                  <w14:solidFill>
                    <w14:schemeClr w14:val="tx1"/>
                  </w14:solidFill>
                </w14:textFill>
              </w:rPr>
            </w:pPr>
            <w:r>
              <w:rPr>
                <w:rFonts w:eastAsiaTheme="minorEastAsia"/>
                <w:color w:val="000000" w:themeColor="text1"/>
                <w:spacing w:val="-2"/>
                <w:szCs w:val="22"/>
                <w:lang w:eastAsia="zh-CN"/>
                <w14:textFill>
                  <w14:solidFill>
                    <w14:schemeClr w14:val="tx1"/>
                  </w14:solidFill>
                </w14:textFill>
              </w:rPr>
              <w:t>储渣仓</w:t>
            </w:r>
            <w:r>
              <w:rPr>
                <w:rFonts w:eastAsiaTheme="minorEastAsia"/>
                <w:color w:val="000000" w:themeColor="text1"/>
                <w:szCs w:val="22"/>
                <w:lang w:eastAsia="zh-CN"/>
                <w14:textFill>
                  <w14:solidFill>
                    <w14:schemeClr w14:val="tx1"/>
                  </w14:solidFill>
                </w14:textFill>
              </w:rPr>
              <w:t>排放口（DA01</w:t>
            </w:r>
            <w:r>
              <w:rPr>
                <w:rFonts w:hint="eastAsia" w:eastAsiaTheme="minorEastAsia"/>
                <w:color w:val="000000" w:themeColor="text1"/>
                <w:szCs w:val="22"/>
                <w:lang w:eastAsia="zh-CN"/>
                <w14:textFill>
                  <w14:solidFill>
                    <w14:schemeClr w14:val="tx1"/>
                  </w14:solidFill>
                </w14:textFill>
              </w:rPr>
              <w:t>5</w:t>
            </w:r>
            <w:r>
              <w:rPr>
                <w:rFonts w:eastAsiaTheme="minorEastAsia"/>
                <w:color w:val="000000" w:themeColor="text1"/>
                <w:szCs w:val="22"/>
                <w:lang w:eastAsia="zh-CN"/>
                <w14:textFill>
                  <w14:solidFill>
                    <w14:schemeClr w14:val="tx1"/>
                  </w14:solidFill>
                </w14:textFill>
              </w:rPr>
              <w:t>）</w:t>
            </w:r>
          </w:p>
        </w:tc>
        <w:tc>
          <w:tcPr>
            <w:tcW w:w="716"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烟囱排口</w:t>
            </w:r>
          </w:p>
        </w:tc>
        <w:tc>
          <w:tcPr>
            <w:tcW w:w="611"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w:t>
            </w:r>
          </w:p>
        </w:tc>
        <w:tc>
          <w:tcPr>
            <w:tcW w:w="1475" w:type="dxa"/>
            <w:vAlign w:val="center"/>
          </w:tcPr>
          <w:p>
            <w:pPr>
              <w:pStyle w:val="200"/>
              <w:spacing w:line="240" w:lineRule="auto"/>
              <w:rPr>
                <w:rFonts w:ascii="宋体" w:hAnsi="宋体" w:cs="宋体"/>
                <w:color w:val="000000" w:themeColor="text1"/>
                <w:szCs w:val="22"/>
                <w:lang w:eastAsia="en-US"/>
                <w14:textFill>
                  <w14:solidFill>
                    <w14:schemeClr w14:val="tx1"/>
                  </w14:solidFill>
                </w14:textFill>
              </w:rPr>
            </w:pPr>
            <w:r>
              <w:rPr>
                <w:rFonts w:hint="eastAsia" w:ascii="宋体" w:hAnsi="宋体" w:cs="宋体"/>
                <w:color w:val="000000" w:themeColor="text1"/>
                <w:szCs w:val="22"/>
                <w:lang w:eastAsia="en-US"/>
                <w14:textFill>
                  <w14:solidFill>
                    <w14:schemeClr w14:val="tx1"/>
                  </w14:solidFill>
                </w14:textFill>
              </w:rPr>
              <w:t>颗粒物</w:t>
            </w:r>
          </w:p>
        </w:tc>
        <w:tc>
          <w:tcPr>
            <w:tcW w:w="1458"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2206" w:type="dxa"/>
            <w:vMerge w:val="continue"/>
            <w:vAlign w:val="center"/>
          </w:tcPr>
          <w:p>
            <w:pPr>
              <w:pStyle w:val="200"/>
              <w:spacing w:line="240" w:lineRule="auto"/>
              <w:rPr>
                <w:color w:val="000000" w:themeColor="text1"/>
                <w:szCs w:val="22"/>
                <w:lang w:eastAsia="en-US"/>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64"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1694" w:type="dxa"/>
            <w:vAlign w:val="center"/>
          </w:tcPr>
          <w:p>
            <w:pPr>
              <w:pStyle w:val="200"/>
              <w:spacing w:line="240" w:lineRule="auto"/>
              <w:rPr>
                <w:rFonts w:eastAsiaTheme="minorEastAsia"/>
                <w:color w:val="000000" w:themeColor="text1"/>
                <w:spacing w:val="-3"/>
                <w:szCs w:val="22"/>
                <w:lang w:eastAsia="zh-CN"/>
                <w14:textFill>
                  <w14:solidFill>
                    <w14:schemeClr w14:val="tx1"/>
                  </w14:solidFill>
                </w14:textFill>
              </w:rPr>
            </w:pPr>
            <w:r>
              <w:rPr>
                <w:rFonts w:eastAsiaTheme="minorEastAsia"/>
                <w:color w:val="000000" w:themeColor="text1"/>
                <w:spacing w:val="-2"/>
                <w:szCs w:val="22"/>
                <w:lang w:eastAsia="zh-CN"/>
                <w14:textFill>
                  <w14:solidFill>
                    <w14:schemeClr w14:val="tx1"/>
                  </w14:solidFill>
                </w14:textFill>
              </w:rPr>
              <w:t>石灰石粉仓</w:t>
            </w:r>
            <w:r>
              <w:rPr>
                <w:rFonts w:eastAsiaTheme="minorEastAsia"/>
                <w:color w:val="000000" w:themeColor="text1"/>
                <w:szCs w:val="22"/>
                <w:lang w:eastAsia="zh-CN"/>
                <w14:textFill>
                  <w14:solidFill>
                    <w14:schemeClr w14:val="tx1"/>
                  </w14:solidFill>
                </w14:textFill>
              </w:rPr>
              <w:t>排放口（DA01</w:t>
            </w:r>
            <w:r>
              <w:rPr>
                <w:rFonts w:hint="eastAsia" w:eastAsiaTheme="minorEastAsia"/>
                <w:color w:val="000000" w:themeColor="text1"/>
                <w:szCs w:val="22"/>
                <w:lang w:eastAsia="zh-CN"/>
                <w14:textFill>
                  <w14:solidFill>
                    <w14:schemeClr w14:val="tx1"/>
                  </w14:solidFill>
                </w14:textFill>
              </w:rPr>
              <w:t>6</w:t>
            </w:r>
            <w:r>
              <w:rPr>
                <w:rFonts w:eastAsiaTheme="minorEastAsia"/>
                <w:color w:val="000000" w:themeColor="text1"/>
                <w:szCs w:val="22"/>
                <w:lang w:eastAsia="zh-CN"/>
                <w14:textFill>
                  <w14:solidFill>
                    <w14:schemeClr w14:val="tx1"/>
                  </w14:solidFill>
                </w14:textFill>
              </w:rPr>
              <w:t>）</w:t>
            </w:r>
          </w:p>
        </w:tc>
        <w:tc>
          <w:tcPr>
            <w:tcW w:w="716"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烟囱排口</w:t>
            </w:r>
          </w:p>
        </w:tc>
        <w:tc>
          <w:tcPr>
            <w:tcW w:w="611"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w:t>
            </w:r>
          </w:p>
        </w:tc>
        <w:tc>
          <w:tcPr>
            <w:tcW w:w="1475" w:type="dxa"/>
            <w:vAlign w:val="center"/>
          </w:tcPr>
          <w:p>
            <w:pPr>
              <w:pStyle w:val="200"/>
              <w:spacing w:line="240" w:lineRule="auto"/>
              <w:rPr>
                <w:rFonts w:ascii="宋体" w:hAnsi="宋体" w:cs="宋体"/>
                <w:color w:val="000000" w:themeColor="text1"/>
                <w:szCs w:val="22"/>
                <w:lang w:eastAsia="en-US"/>
                <w14:textFill>
                  <w14:solidFill>
                    <w14:schemeClr w14:val="tx1"/>
                  </w14:solidFill>
                </w14:textFill>
              </w:rPr>
            </w:pPr>
            <w:r>
              <w:rPr>
                <w:rFonts w:hint="eastAsia" w:ascii="宋体" w:hAnsi="宋体" w:cs="宋体"/>
                <w:color w:val="000000" w:themeColor="text1"/>
                <w:szCs w:val="22"/>
                <w:lang w:eastAsia="en-US"/>
                <w14:textFill>
                  <w14:solidFill>
                    <w14:schemeClr w14:val="tx1"/>
                  </w14:solidFill>
                </w14:textFill>
              </w:rPr>
              <w:t>颗粒物</w:t>
            </w:r>
          </w:p>
        </w:tc>
        <w:tc>
          <w:tcPr>
            <w:tcW w:w="1458"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2206" w:type="dxa"/>
            <w:vMerge w:val="continue"/>
            <w:vAlign w:val="center"/>
          </w:tcPr>
          <w:p>
            <w:pPr>
              <w:pStyle w:val="200"/>
              <w:spacing w:line="240" w:lineRule="auto"/>
              <w:rPr>
                <w:color w:val="000000" w:themeColor="text1"/>
                <w:szCs w:val="22"/>
                <w:lang w:eastAsia="en-US"/>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64"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1694" w:type="dxa"/>
            <w:vAlign w:val="center"/>
          </w:tcPr>
          <w:p>
            <w:pPr>
              <w:pStyle w:val="200"/>
              <w:spacing w:line="240" w:lineRule="auto"/>
              <w:rPr>
                <w:rFonts w:eastAsiaTheme="minorEastAsia"/>
                <w:color w:val="000000" w:themeColor="text1"/>
                <w:spacing w:val="-3"/>
                <w:szCs w:val="22"/>
                <w:lang w:eastAsia="zh-CN"/>
                <w14:textFill>
                  <w14:solidFill>
                    <w14:schemeClr w14:val="tx1"/>
                  </w14:solidFill>
                </w14:textFill>
              </w:rPr>
            </w:pPr>
            <w:r>
              <w:rPr>
                <w:rFonts w:eastAsiaTheme="minorEastAsia"/>
                <w:color w:val="000000" w:themeColor="text1"/>
                <w:spacing w:val="-2"/>
                <w:szCs w:val="22"/>
                <w:lang w:eastAsia="zh-CN"/>
                <w14:textFill>
                  <w14:solidFill>
                    <w14:schemeClr w14:val="tx1"/>
                  </w14:solidFill>
                </w14:textFill>
              </w:rPr>
              <w:t>储煤仓间</w:t>
            </w:r>
            <w:r>
              <w:rPr>
                <w:rFonts w:eastAsiaTheme="minorEastAsia"/>
                <w:color w:val="000000" w:themeColor="text1"/>
                <w:szCs w:val="22"/>
                <w:lang w:eastAsia="zh-CN"/>
                <w14:textFill>
                  <w14:solidFill>
                    <w14:schemeClr w14:val="tx1"/>
                  </w14:solidFill>
                </w14:textFill>
              </w:rPr>
              <w:t>排放口（DA017）</w:t>
            </w:r>
          </w:p>
        </w:tc>
        <w:tc>
          <w:tcPr>
            <w:tcW w:w="716"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烟囱排口</w:t>
            </w:r>
          </w:p>
        </w:tc>
        <w:tc>
          <w:tcPr>
            <w:tcW w:w="611"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w:t>
            </w:r>
          </w:p>
        </w:tc>
        <w:tc>
          <w:tcPr>
            <w:tcW w:w="1475" w:type="dxa"/>
            <w:vAlign w:val="center"/>
          </w:tcPr>
          <w:p>
            <w:pPr>
              <w:pStyle w:val="200"/>
              <w:spacing w:line="240" w:lineRule="auto"/>
              <w:rPr>
                <w:rFonts w:ascii="宋体" w:hAnsi="宋体" w:cs="宋体"/>
                <w:color w:val="000000" w:themeColor="text1"/>
                <w:szCs w:val="22"/>
                <w:lang w:eastAsia="en-US"/>
                <w14:textFill>
                  <w14:solidFill>
                    <w14:schemeClr w14:val="tx1"/>
                  </w14:solidFill>
                </w14:textFill>
              </w:rPr>
            </w:pPr>
            <w:r>
              <w:rPr>
                <w:rFonts w:hint="eastAsia" w:ascii="宋体" w:hAnsi="宋体" w:cs="宋体"/>
                <w:color w:val="000000" w:themeColor="text1"/>
                <w:szCs w:val="22"/>
                <w:lang w:eastAsia="en-US"/>
                <w14:textFill>
                  <w14:solidFill>
                    <w14:schemeClr w14:val="tx1"/>
                  </w14:solidFill>
                </w14:textFill>
              </w:rPr>
              <w:t>颗粒物</w:t>
            </w:r>
          </w:p>
        </w:tc>
        <w:tc>
          <w:tcPr>
            <w:tcW w:w="1458"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2206" w:type="dxa"/>
            <w:vMerge w:val="continue"/>
            <w:vAlign w:val="center"/>
          </w:tcPr>
          <w:p>
            <w:pPr>
              <w:pStyle w:val="200"/>
              <w:spacing w:line="240" w:lineRule="auto"/>
              <w:rPr>
                <w:color w:val="000000" w:themeColor="text1"/>
                <w:szCs w:val="22"/>
                <w:lang w:eastAsia="en-US"/>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64" w:type="dxa"/>
            <w:vMerge w:val="continue"/>
            <w:vAlign w:val="center"/>
          </w:tcPr>
          <w:p>
            <w:pPr>
              <w:pStyle w:val="200"/>
              <w:spacing w:line="240" w:lineRule="auto"/>
              <w:rPr>
                <w:color w:val="000000" w:themeColor="text1"/>
                <w:szCs w:val="22"/>
                <w:lang w:eastAsia="en-US"/>
                <w14:textFill>
                  <w14:solidFill>
                    <w14:schemeClr w14:val="tx1"/>
                  </w14:solidFill>
                </w14:textFill>
              </w:rPr>
            </w:pPr>
          </w:p>
        </w:tc>
        <w:tc>
          <w:tcPr>
            <w:tcW w:w="1694" w:type="dxa"/>
            <w:vAlign w:val="center"/>
          </w:tcPr>
          <w:p>
            <w:pPr>
              <w:pStyle w:val="200"/>
              <w:spacing w:line="240" w:lineRule="auto"/>
              <w:rPr>
                <w:rFonts w:eastAsiaTheme="minorEastAsia"/>
                <w:color w:val="000000" w:themeColor="text1"/>
                <w:spacing w:val="-2"/>
                <w:szCs w:val="22"/>
                <w:lang w:eastAsia="en-US"/>
                <w14:textFill>
                  <w14:solidFill>
                    <w14:schemeClr w14:val="tx1"/>
                  </w14:solidFill>
                </w14:textFill>
              </w:rPr>
            </w:pPr>
            <w:r>
              <w:rPr>
                <w:rFonts w:eastAsiaTheme="minorEastAsia"/>
                <w:color w:val="000000" w:themeColor="text1"/>
                <w:spacing w:val="-2"/>
                <w:szCs w:val="22"/>
                <w:lang w:eastAsia="en-US"/>
                <w14:textFill>
                  <w14:solidFill>
                    <w14:schemeClr w14:val="tx1"/>
                  </w14:solidFill>
                </w14:textFill>
              </w:rPr>
              <w:t>无组织</w:t>
            </w:r>
            <w:r>
              <w:rPr>
                <w:rFonts w:hint="eastAsia" w:eastAsiaTheme="minorEastAsia"/>
                <w:color w:val="000000" w:themeColor="text1"/>
                <w:spacing w:val="-2"/>
                <w:szCs w:val="22"/>
                <w:lang w:eastAsia="en-US"/>
                <w14:textFill>
                  <w14:solidFill>
                    <w14:schemeClr w14:val="tx1"/>
                  </w14:solidFill>
                </w14:textFill>
              </w:rPr>
              <w:t>废气排放</w:t>
            </w:r>
          </w:p>
        </w:tc>
        <w:tc>
          <w:tcPr>
            <w:tcW w:w="716"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下风向厂界</w:t>
            </w:r>
          </w:p>
        </w:tc>
        <w:tc>
          <w:tcPr>
            <w:tcW w:w="611"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w:t>
            </w:r>
          </w:p>
        </w:tc>
        <w:tc>
          <w:tcPr>
            <w:tcW w:w="1475" w:type="dxa"/>
            <w:vAlign w:val="center"/>
          </w:tcPr>
          <w:p>
            <w:pPr>
              <w:pStyle w:val="200"/>
              <w:spacing w:line="240" w:lineRule="auto"/>
              <w:rPr>
                <w:rFonts w:ascii="宋体" w:hAnsi="宋体" w:cs="宋体"/>
                <w:color w:val="000000" w:themeColor="text1"/>
                <w:szCs w:val="22"/>
                <w:lang w:eastAsia="en-US"/>
                <w14:textFill>
                  <w14:solidFill>
                    <w14:schemeClr w14:val="tx1"/>
                  </w14:solidFill>
                </w14:textFill>
              </w:rPr>
            </w:pPr>
            <w:r>
              <w:rPr>
                <w:rFonts w:ascii="宋体" w:hAnsi="宋体" w:cs="宋体"/>
                <w:color w:val="000000" w:themeColor="text1"/>
                <w:spacing w:val="-3"/>
                <w:szCs w:val="22"/>
                <w:lang w:eastAsia="en-US"/>
                <w14:textFill>
                  <w14:solidFill>
                    <w14:schemeClr w14:val="tx1"/>
                  </w14:solidFill>
                </w14:textFill>
              </w:rPr>
              <w:t>颗粒物</w:t>
            </w:r>
          </w:p>
        </w:tc>
        <w:tc>
          <w:tcPr>
            <w:tcW w:w="1458" w:type="dxa"/>
            <w:vAlign w:val="center"/>
          </w:tcPr>
          <w:p>
            <w:pPr>
              <w:pStyle w:val="200"/>
              <w:spacing w:line="240" w:lineRule="auto"/>
              <w:rPr>
                <w:rFonts w:ascii="宋体" w:hAnsi="宋体" w:cs="宋体"/>
                <w:color w:val="000000" w:themeColor="text1"/>
                <w:spacing w:val="-3"/>
                <w:szCs w:val="22"/>
                <w:lang w:eastAsia="en-US"/>
                <w14:textFill>
                  <w14:solidFill>
                    <w14:schemeClr w14:val="tx1"/>
                  </w14:solidFill>
                </w14:textFill>
              </w:rPr>
            </w:pPr>
            <w:r>
              <w:rPr>
                <w:rFonts w:ascii="宋体" w:hAnsi="宋体" w:cs="宋体"/>
                <w:color w:val="000000" w:themeColor="text1"/>
                <w:spacing w:val="-3"/>
                <w:szCs w:val="22"/>
                <w:lang w:eastAsia="en-US"/>
                <w14:textFill>
                  <w14:solidFill>
                    <w14:schemeClr w14:val="tx1"/>
                  </w14:solidFill>
                </w14:textFill>
              </w:rPr>
              <w:t>非连续采样至少3个</w:t>
            </w:r>
          </w:p>
        </w:tc>
        <w:tc>
          <w:tcPr>
            <w:tcW w:w="2206" w:type="dxa"/>
            <w:vAlign w:val="center"/>
          </w:tcPr>
          <w:p>
            <w:pPr>
              <w:pStyle w:val="200"/>
              <w:spacing w:line="240" w:lineRule="auto"/>
              <w:rPr>
                <w:rFonts w:ascii="宋体" w:hAnsi="宋体" w:cs="宋体"/>
                <w:color w:val="000000" w:themeColor="text1"/>
                <w:spacing w:val="-3"/>
                <w:szCs w:val="22"/>
                <w:lang w:eastAsia="en-US"/>
                <w14:textFill>
                  <w14:solidFill>
                    <w14:schemeClr w14:val="tx1"/>
                  </w14:solidFill>
                </w14:textFill>
              </w:rPr>
            </w:pPr>
            <w:r>
              <w:rPr>
                <w:rFonts w:ascii="宋体" w:hAnsi="宋体" w:cs="宋体"/>
                <w:color w:val="000000" w:themeColor="text1"/>
                <w:spacing w:val="-3"/>
                <w:szCs w:val="22"/>
                <w:lang w:eastAsia="en-US"/>
                <w14:textFill>
                  <w14:solidFill>
                    <w14:schemeClr w14:val="tx1"/>
                  </w14:solidFill>
                </w14:textFill>
              </w:rPr>
              <w:t>1次/</w:t>
            </w:r>
            <w:r>
              <w:rPr>
                <w:rFonts w:hint="eastAsia"/>
                <w:color w:val="000000" w:themeColor="text1"/>
                <w:szCs w:val="22"/>
                <w:lang w:eastAsia="en-US"/>
                <w14:textFill>
                  <w14:solidFill>
                    <w14:schemeClr w14:val="tx1"/>
                  </w14:solidFill>
                </w14:textFill>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64"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噪声</w:t>
            </w:r>
          </w:p>
        </w:tc>
        <w:tc>
          <w:tcPr>
            <w:tcW w:w="1694" w:type="dxa"/>
            <w:vAlign w:val="center"/>
          </w:tcPr>
          <w:p>
            <w:pPr>
              <w:pStyle w:val="200"/>
              <w:spacing w:line="240" w:lineRule="auto"/>
              <w:rPr>
                <w:rFonts w:eastAsiaTheme="minorEastAsia"/>
                <w:color w:val="000000" w:themeColor="text1"/>
                <w:spacing w:val="-2"/>
                <w:szCs w:val="22"/>
                <w:lang w:eastAsia="en-US"/>
                <w14:textFill>
                  <w14:solidFill>
                    <w14:schemeClr w14:val="tx1"/>
                  </w14:solidFill>
                </w14:textFill>
              </w:rPr>
            </w:pPr>
            <w:r>
              <w:rPr>
                <w:rFonts w:hint="eastAsia" w:eastAsiaTheme="minorEastAsia"/>
                <w:color w:val="000000" w:themeColor="text1"/>
                <w:spacing w:val="-2"/>
                <w:szCs w:val="22"/>
                <w:lang w:eastAsia="en-US"/>
                <w14:textFill>
                  <w14:solidFill>
                    <w14:schemeClr w14:val="tx1"/>
                  </w14:solidFill>
                </w14:textFill>
              </w:rPr>
              <w:t>厂界噪声</w:t>
            </w:r>
          </w:p>
        </w:tc>
        <w:tc>
          <w:tcPr>
            <w:tcW w:w="716"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四周厂界</w:t>
            </w:r>
          </w:p>
        </w:tc>
        <w:tc>
          <w:tcPr>
            <w:tcW w:w="611" w:type="dxa"/>
            <w:vAlign w:val="center"/>
          </w:tcPr>
          <w:p>
            <w:pPr>
              <w:pStyle w:val="200"/>
              <w:spacing w:line="240" w:lineRule="auto"/>
              <w:rPr>
                <w:color w:val="000000" w:themeColor="text1"/>
                <w:szCs w:val="22"/>
                <w:lang w:eastAsia="en-US"/>
                <w14:textFill>
                  <w14:solidFill>
                    <w14:schemeClr w14:val="tx1"/>
                  </w14:solidFill>
                </w14:textFill>
              </w:rPr>
            </w:pPr>
            <w:r>
              <w:rPr>
                <w:rFonts w:hint="eastAsia"/>
                <w:color w:val="000000" w:themeColor="text1"/>
                <w:szCs w:val="22"/>
                <w:lang w:eastAsia="en-US"/>
                <w14:textFill>
                  <w14:solidFill>
                    <w14:schemeClr w14:val="tx1"/>
                  </w14:solidFill>
                </w14:textFill>
              </w:rPr>
              <w:t>/</w:t>
            </w:r>
          </w:p>
        </w:tc>
        <w:tc>
          <w:tcPr>
            <w:tcW w:w="1475" w:type="dxa"/>
            <w:vAlign w:val="center"/>
          </w:tcPr>
          <w:p>
            <w:pPr>
              <w:pStyle w:val="200"/>
              <w:spacing w:line="240" w:lineRule="auto"/>
              <w:rPr>
                <w:rFonts w:ascii="宋体" w:hAnsi="宋体" w:cs="宋体"/>
                <w:color w:val="000000" w:themeColor="text1"/>
                <w:szCs w:val="22"/>
                <w:lang w:eastAsia="en-US"/>
                <w14:textFill>
                  <w14:solidFill>
                    <w14:schemeClr w14:val="tx1"/>
                  </w14:solidFill>
                </w14:textFill>
              </w:rPr>
            </w:pPr>
            <w:r>
              <w:rPr>
                <w:rFonts w:hint="eastAsia" w:ascii="宋体" w:hAnsi="宋体" w:cs="宋体"/>
                <w:color w:val="000000" w:themeColor="text1"/>
                <w:szCs w:val="22"/>
                <w:lang w:eastAsia="en-US"/>
                <w14:textFill>
                  <w14:solidFill>
                    <w14:schemeClr w14:val="tx1"/>
                  </w14:solidFill>
                </w14:textFill>
              </w:rPr>
              <w:t>昼夜等效连续A声级</w:t>
            </w:r>
          </w:p>
        </w:tc>
        <w:tc>
          <w:tcPr>
            <w:tcW w:w="1458" w:type="dxa"/>
            <w:vAlign w:val="center"/>
          </w:tcPr>
          <w:p>
            <w:pPr>
              <w:pStyle w:val="200"/>
              <w:spacing w:line="240" w:lineRule="auto"/>
              <w:rPr>
                <w:rFonts w:ascii="宋体" w:hAnsi="宋体" w:cs="宋体"/>
                <w:color w:val="000000" w:themeColor="text1"/>
                <w:spacing w:val="-3"/>
                <w:szCs w:val="22"/>
                <w:lang w:eastAsia="en-US"/>
                <w14:textFill>
                  <w14:solidFill>
                    <w14:schemeClr w14:val="tx1"/>
                  </w14:solidFill>
                </w14:textFill>
              </w:rPr>
            </w:pPr>
            <w:r>
              <w:rPr>
                <w:rFonts w:hint="eastAsia" w:ascii="宋体" w:hAnsi="宋体" w:cs="宋体"/>
                <w:color w:val="000000" w:themeColor="text1"/>
                <w:spacing w:val="-3"/>
                <w:szCs w:val="22"/>
                <w:lang w:eastAsia="en-US"/>
                <w14:textFill>
                  <w14:solidFill>
                    <w14:schemeClr w14:val="tx1"/>
                  </w14:solidFill>
                </w14:textFill>
              </w:rPr>
              <w:t>昼、夜各1次</w:t>
            </w:r>
          </w:p>
        </w:tc>
        <w:tc>
          <w:tcPr>
            <w:tcW w:w="2206" w:type="dxa"/>
            <w:vAlign w:val="center"/>
          </w:tcPr>
          <w:p>
            <w:pPr>
              <w:pStyle w:val="200"/>
              <w:spacing w:line="240" w:lineRule="auto"/>
              <w:rPr>
                <w:rFonts w:ascii="宋体" w:hAnsi="宋体" w:cs="宋体"/>
                <w:color w:val="000000" w:themeColor="text1"/>
                <w:spacing w:val="-3"/>
                <w:szCs w:val="22"/>
                <w:lang w:eastAsia="en-US"/>
                <w14:textFill>
                  <w14:solidFill>
                    <w14:schemeClr w14:val="tx1"/>
                  </w14:solidFill>
                </w14:textFill>
              </w:rPr>
            </w:pPr>
            <w:r>
              <w:rPr>
                <w:rFonts w:ascii="宋体" w:hAnsi="宋体" w:cs="宋体"/>
                <w:color w:val="000000" w:themeColor="text1"/>
                <w:spacing w:val="-3"/>
                <w:szCs w:val="22"/>
                <w:lang w:eastAsia="en-US"/>
                <w14:textFill>
                  <w14:solidFill>
                    <w14:schemeClr w14:val="tx1"/>
                  </w14:solidFill>
                </w14:textFill>
              </w:rPr>
              <w:t>1次/</w:t>
            </w:r>
            <w:r>
              <w:rPr>
                <w:rFonts w:hint="eastAsia"/>
                <w:color w:val="000000" w:themeColor="text1"/>
                <w:szCs w:val="22"/>
                <w:lang w:eastAsia="en-US"/>
                <w14:textFill>
                  <w14:solidFill>
                    <w14:schemeClr w14:val="tx1"/>
                  </w14:solidFill>
                </w14:textFill>
              </w:rPr>
              <w:t>季</w:t>
            </w:r>
          </w:p>
        </w:tc>
      </w:tr>
    </w:tbl>
    <w:p>
      <w:pPr>
        <w:ind w:firstLine="520"/>
        <w:rPr>
          <w:color w:val="000000" w:themeColor="text1"/>
          <w14:textFill>
            <w14:solidFill>
              <w14:schemeClr w14:val="tx1"/>
            </w14:solidFill>
          </w14:textFill>
        </w:rPr>
      </w:pP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排污口设置及规范化管理</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本项目废气排放依托循环流化床现有废气排放口，不排放废水，不排放固体废物。现有排放口已通过竣工环保验收，符合环境管理要求。</w:t>
      </w:r>
    </w:p>
    <w:p>
      <w:pPr>
        <w:pStyle w:val="3"/>
      </w:pPr>
      <w:bookmarkStart w:id="175" w:name="_Toc284232135"/>
      <w:bookmarkStart w:id="176" w:name="_Toc481664993"/>
      <w:bookmarkStart w:id="177" w:name="_Toc286592614"/>
      <w:bookmarkStart w:id="178" w:name="_Toc109888290"/>
      <w:bookmarkStart w:id="179" w:name="_Toc455587085"/>
      <w:bookmarkStart w:id="180" w:name="_Toc282693726"/>
      <w:bookmarkStart w:id="181" w:name="_Toc406162912"/>
      <w:r>
        <w:rPr>
          <w:rFonts w:hint="eastAsia"/>
        </w:rPr>
        <w:t>项目竣工环境保护验收内容及要求</w:t>
      </w:r>
      <w:bookmarkEnd w:id="175"/>
      <w:bookmarkEnd w:id="176"/>
      <w:bookmarkEnd w:id="177"/>
      <w:bookmarkEnd w:id="178"/>
      <w:bookmarkEnd w:id="179"/>
      <w:bookmarkEnd w:id="180"/>
      <w:bookmarkEnd w:id="181"/>
    </w:p>
    <w:p>
      <w:pPr>
        <w:ind w:firstLine="520"/>
        <w:jc w:val="both"/>
        <w:rPr>
          <w:color w:val="000000" w:themeColor="text1"/>
          <w14:textFill>
            <w14:solidFill>
              <w14:schemeClr w14:val="tx1"/>
            </w14:solidFill>
          </w14:textFill>
        </w:rPr>
      </w:pPr>
      <w:r>
        <w:rPr>
          <w:color w:val="000000" w:themeColor="text1"/>
          <w14:textFill>
            <w14:solidFill>
              <w14:schemeClr w14:val="tx1"/>
            </w14:solidFill>
          </w14:textFill>
        </w:rPr>
        <w:t>本工程所有环保设施均应与主体工程同时设计、同时施工、同时投产，按</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建设项目竣工环境保护验收</w:t>
      </w:r>
      <w:r>
        <w:rPr>
          <w:rFonts w:hint="eastAsia"/>
          <w:color w:val="000000" w:themeColor="text1"/>
          <w14:textFill>
            <w14:solidFill>
              <w14:schemeClr w14:val="tx1"/>
            </w14:solidFill>
          </w14:textFill>
        </w:rPr>
        <w:t>暂行</w:t>
      </w:r>
      <w:r>
        <w:rPr>
          <w:color w:val="000000" w:themeColor="text1"/>
          <w14:textFill>
            <w14:solidFill>
              <w14:schemeClr w14:val="tx1"/>
            </w14:solidFill>
          </w14:textFill>
        </w:rPr>
        <w:t>办法</w:t>
      </w:r>
      <w:r>
        <w:rPr>
          <w:rFonts w:hint="eastAsia"/>
          <w:color w:val="000000" w:themeColor="text1"/>
          <w14:textFill>
            <w14:solidFill>
              <w14:schemeClr w14:val="tx1"/>
            </w14:solidFill>
          </w14:textFill>
        </w:rPr>
        <w:t>》（国环规环评[</w:t>
      </w:r>
      <w:r>
        <w:rPr>
          <w:color w:val="000000" w:themeColor="text1"/>
          <w14:textFill>
            <w14:solidFill>
              <w14:schemeClr w14:val="tx1"/>
            </w14:solidFill>
          </w14:textFill>
        </w:rPr>
        <w:t>2017]4</w:t>
      </w:r>
      <w:r>
        <w:rPr>
          <w:rFonts w:hint="eastAsia"/>
          <w:color w:val="000000" w:themeColor="text1"/>
          <w14:textFill>
            <w14:solidFill>
              <w14:schemeClr w14:val="tx1"/>
            </w14:solidFill>
          </w14:textFill>
        </w:rPr>
        <w:t>号）</w:t>
      </w:r>
      <w:r>
        <w:rPr>
          <w:color w:val="000000" w:themeColor="text1"/>
          <w14:textFill>
            <w14:solidFill>
              <w14:schemeClr w14:val="tx1"/>
            </w14:solidFill>
          </w14:textFill>
        </w:rPr>
        <w:t>，工程完工后建设单位</w:t>
      </w:r>
      <w:r>
        <w:rPr>
          <w:rFonts w:hint="eastAsia"/>
          <w:color w:val="000000" w:themeColor="text1"/>
          <w14:textFill>
            <w14:solidFill>
              <w14:schemeClr w14:val="tx1"/>
            </w14:solidFill>
          </w14:textFill>
        </w:rPr>
        <w:t>应组织对配套建设的环境保护设施进行验收，编制验收报告</w:t>
      </w:r>
      <w:r>
        <w:rPr>
          <w:rFonts w:hint="eastAsia"/>
          <w:bCs/>
          <w:color w:val="000000" w:themeColor="text1"/>
          <w:szCs w:val="24"/>
          <w14:textFill>
            <w14:solidFill>
              <w14:schemeClr w14:val="tx1"/>
            </w14:solidFill>
          </w14:textFill>
        </w:rPr>
        <w:t>。</w:t>
      </w:r>
      <w:r>
        <w:rPr>
          <w:bCs/>
          <w:color w:val="000000" w:themeColor="text1"/>
          <w:szCs w:val="24"/>
          <w14:textFill>
            <w14:solidFill>
              <w14:schemeClr w14:val="tx1"/>
            </w14:solidFill>
          </w14:textFill>
        </w:rPr>
        <w:t>本项目竣工环保验收内容分别见</w:t>
      </w:r>
      <w:r>
        <w:rPr>
          <w:rFonts w:hint="eastAsia"/>
          <w:bCs/>
          <w:color w:val="000000" w:themeColor="text1"/>
          <w:szCs w:val="24"/>
          <w14:textFill>
            <w14:solidFill>
              <w14:schemeClr w14:val="tx1"/>
            </w14:solidFill>
          </w14:textFill>
        </w:rPr>
        <w:t>下表</w:t>
      </w:r>
      <w:r>
        <w:rPr>
          <w:color w:val="000000" w:themeColor="text1"/>
          <w14:textFill>
            <w14:solidFill>
              <w14:schemeClr w14:val="tx1"/>
            </w14:solidFill>
          </w14:textFill>
        </w:rPr>
        <w:t>。</w:t>
      </w:r>
      <w:r>
        <w:rPr>
          <w:rFonts w:hint="eastAsia"/>
          <w:bCs/>
          <w:color w:val="000000" w:themeColor="text1"/>
          <w:szCs w:val="24"/>
          <w14:textFill>
            <w14:solidFill>
              <w14:schemeClr w14:val="tx1"/>
            </w14:solidFill>
          </w14:textFill>
        </w:rPr>
        <w:t xml:space="preserve">                                                                                                                                                                                                                                                                                                                                                                                                                                                                                                                                                                                                                                                                                                                                                                                                                                                                                                                                                                                                                                                                                                                                                                                                                                                                                                                                                                                                                                                                                                                                                                                                                                                                                                                                                                                                                                                                                                                                                                                                                                                                                                                                                                                                                                                                                                                                                                                                                                                                                                                                                                                                                                                                                                                                                                                                                                                                                                                                                                                                                                                                                                                                                                                                                                                                                                                                                                                                                                                                                                                                                                                                                                                                                                                                                                                                                                                                                                                                                                                                                                                                                                                                                                                                                </w:t>
      </w:r>
      <w:r>
        <w:rPr>
          <w:rFonts w:hint="eastAsia"/>
          <w:bCs/>
          <w:color w:val="000000" w:themeColor="text1"/>
          <w:szCs w:val="24"/>
          <w14:textFill>
            <w14:solidFill>
              <w14:schemeClr w14:val="tx1"/>
            </w14:solidFill>
          </w14:textFill>
        </w:rPr>
        <w:t xml:space="preserve">                                                                                                                                                                                                                                                                                                                                                                                                                                                                                                                                                                                                                                                                                                                                                                                                                                                                                                                                                                                                                                                                                                                                                                                                                                                                                                                                                                                                                                                                                                                                                                                                                                                                                                                                                                                                                                                                                                                                                                                                                                                                                                                                                                                                                                                                                                                                                                                                                                                                                                                                                                                                                                                                                                                                                                                                                                                                                                                                                                                                                                                                                                                                                                                                                                                                                                                                                                                                                                                                                                                                                                                                                                                                                                                                                                                                                                                                                                                                                                                                                                                                                                                                                                                                                </w:t>
      </w:r>
      <w:r>
        <w:rPr>
          <w:rFonts w:hint="eastAsia"/>
          <w:bCs/>
          <w:color w:val="000000" w:themeColor="text1"/>
          <w:szCs w:val="24"/>
          <w14:textFill>
            <w14:solidFill>
              <w14:schemeClr w14:val="tx1"/>
            </w14:solidFill>
          </w14:textFill>
        </w:rPr>
        <w:t xml:space="preserve">                                                                                                                                                                                                                                                                                                                                                                                                                                                                                                                                                                                                                                                                                                                                                                                                                                                                                                                                                                                                                                                                                                                                                                                                                                                                                                                                                                                                                                                                                                                                                                                                                                                                                                                                                                                                                                                                                                                                                                                                                                                                                                                                                                                                                                                                                                                                                                                                                                                                                                                                                                                                                                                                                                                                                                                                                                                                                                                                                                                                                                                                                                                                                                                                                                                                                                                                                                                                                                                                                                                                                                                                                                                                                                                                                                                                                                                                                                                                                                                                                                                                                                                                                                                                                </w:t>
      </w:r>
      <w:r>
        <w:rPr>
          <w:rFonts w:hint="eastAsia"/>
          <w:bCs/>
          <w:color w:val="000000" w:themeColor="text1"/>
          <w:szCs w:val="24"/>
          <w14:textFill>
            <w14:solidFill>
              <w14:schemeClr w14:val="tx1"/>
            </w14:solidFill>
          </w14:textFill>
        </w:rPr>
        <w:t xml:space="preserve">                                                                                                                                                                                                                                                                                                                                                                                                                                                                                                                                                                                                                                                                                                                                                                                                                                                                                                                                                                                                                                                                                                                                                                                                                                                                                                                                                                                                                                                                                                                                                                                                                                                                                                                                                                                                                                                                                                                                                                                                                                                                                                                                                                                                                                                                                                                                                                                                                                                                                                                                                                                                                                                                                                                                                                                                                                                                                                                                                                                                                                                                                                                                                                                                                                                                                                                                                                                                                                                                                                                                                                                                                                                                                                                                                                                                                                                                                                                                                                                                                                                                                                                                                                                                                </w:t>
      </w:r>
      <w:r>
        <w:rPr>
          <w:rFonts w:hint="eastAsia"/>
          <w:bCs/>
          <w:color w:val="000000" w:themeColor="text1"/>
          <w:szCs w:val="24"/>
          <w14:textFill>
            <w14:solidFill>
              <w14:schemeClr w14:val="tx1"/>
            </w14:solidFill>
          </w14:textFill>
        </w:rPr>
        <w:t xml:space="preserve">                                                                                                                                                                                                                                                                                                                                                                                                                                                                                                                                                                                                                                                                                                                                                                                                                                                                                                                                 </w:t>
      </w:r>
    </w:p>
    <w:p>
      <w:pPr>
        <w:ind w:firstLine="520"/>
        <w:rPr>
          <w:color w:val="000000" w:themeColor="text1"/>
          <w:szCs w:val="26"/>
          <w14:textFill>
            <w14:solidFill>
              <w14:schemeClr w14:val="tx1"/>
            </w14:solidFill>
          </w14:textFill>
        </w:rPr>
        <w:sectPr>
          <w:headerReference r:id="rId25" w:type="first"/>
          <w:footerReference r:id="rId26" w:type="first"/>
          <w:pgSz w:w="11906" w:h="16838"/>
          <w:pgMar w:top="1701" w:right="1588" w:bottom="1588" w:left="1588" w:header="1191" w:footer="1134" w:gutter="0"/>
          <w:cols w:space="425" w:num="1"/>
          <w:docGrid w:type="lines" w:linePitch="312" w:charSpace="0"/>
        </w:sectPr>
      </w:pPr>
    </w:p>
    <w:p>
      <w:pPr>
        <w:pStyle w:val="3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项目竣工环境保护验收要求及内容</w:t>
      </w:r>
    </w:p>
    <w:tbl>
      <w:tblPr>
        <w:tblStyle w:val="42"/>
        <w:tblW w:w="13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551"/>
        <w:gridCol w:w="1534"/>
        <w:gridCol w:w="3624"/>
        <w:gridCol w:w="2650"/>
        <w:gridCol w:w="3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812"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类别</w:t>
            </w:r>
          </w:p>
        </w:tc>
        <w:tc>
          <w:tcPr>
            <w:tcW w:w="1551"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污染源</w:t>
            </w:r>
          </w:p>
        </w:tc>
        <w:tc>
          <w:tcPr>
            <w:tcW w:w="1534"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监测位置</w:t>
            </w:r>
          </w:p>
        </w:tc>
        <w:tc>
          <w:tcPr>
            <w:tcW w:w="3624"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治理措施</w:t>
            </w:r>
          </w:p>
        </w:tc>
        <w:tc>
          <w:tcPr>
            <w:tcW w:w="2650"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监测项目</w:t>
            </w:r>
          </w:p>
        </w:tc>
        <w:tc>
          <w:tcPr>
            <w:tcW w:w="3777"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2" w:type="dxa"/>
            <w:vMerge w:val="restart"/>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tc>
        <w:tc>
          <w:tcPr>
            <w:tcW w:w="1551" w:type="dxa"/>
            <w:vMerge w:val="restart"/>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循环流化床锅炉废气</w:t>
            </w:r>
          </w:p>
        </w:tc>
        <w:tc>
          <w:tcPr>
            <w:tcW w:w="1534" w:type="dxa"/>
            <w:vMerge w:val="restart"/>
            <w:vAlign w:val="center"/>
          </w:tcPr>
          <w:p>
            <w:pPr>
              <w:pStyle w:val="122"/>
              <w:rPr>
                <w:color w:val="000000" w:themeColor="text1"/>
                <w14:textFill>
                  <w14:solidFill>
                    <w14:schemeClr w14:val="tx1"/>
                  </w14:solidFill>
                </w14:textFill>
              </w:rPr>
            </w:pPr>
            <w:r>
              <w:rPr>
                <w:rFonts w:eastAsiaTheme="minorEastAsia"/>
                <w:color w:val="000000" w:themeColor="text1"/>
                <w14:textFill>
                  <w14:solidFill>
                    <w14:schemeClr w14:val="tx1"/>
                  </w14:solidFill>
                </w14:textFill>
              </w:rPr>
              <w:t>DA001</w:t>
            </w:r>
            <w:r>
              <w:rPr>
                <w:rFonts w:hint="eastAsia"/>
                <w:color w:val="000000" w:themeColor="text1"/>
                <w14:textFill>
                  <w14:solidFill>
                    <w14:schemeClr w14:val="tx1"/>
                  </w14:solidFill>
                </w14:textFill>
              </w:rPr>
              <w:t>排气筒出口</w:t>
            </w:r>
          </w:p>
        </w:tc>
        <w:tc>
          <w:tcPr>
            <w:tcW w:w="3624" w:type="dxa"/>
            <w:vMerge w:val="restart"/>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脱硫、脱硝、布袋除尘</w:t>
            </w:r>
          </w:p>
        </w:tc>
        <w:tc>
          <w:tcPr>
            <w:tcW w:w="2650" w:type="dxa"/>
            <w:vAlign w:val="center"/>
          </w:tcPr>
          <w:p>
            <w:pPr>
              <w:pStyle w:val="111"/>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二氧化硫</w:t>
            </w:r>
            <w:r>
              <w:rPr>
                <w:rFonts w:hint="eastAsia"/>
                <w:color w:val="000000" w:themeColor="text1"/>
                <w:lang w:eastAsia="zh-CN"/>
                <w14:textFill>
                  <w14:solidFill>
                    <w14:schemeClr w14:val="tx1"/>
                  </w14:solidFill>
                </w14:textFill>
              </w:rPr>
              <w:t>、</w:t>
            </w:r>
            <w:r>
              <w:rPr>
                <w:color w:val="000000" w:themeColor="text1"/>
                <w:lang w:eastAsia="zh-CN"/>
                <w14:textFill>
                  <w14:solidFill>
                    <w14:schemeClr w14:val="tx1"/>
                  </w14:solidFill>
                </w14:textFill>
              </w:rPr>
              <w:t>氮氧化物</w:t>
            </w:r>
            <w:r>
              <w:rPr>
                <w:rFonts w:hint="eastAsia"/>
                <w:color w:val="000000" w:themeColor="text1"/>
                <w:lang w:eastAsia="zh-CN"/>
                <w14:textFill>
                  <w14:solidFill>
                    <w14:schemeClr w14:val="tx1"/>
                  </w14:solidFill>
                </w14:textFill>
              </w:rPr>
              <w:t>、</w:t>
            </w:r>
            <w:r>
              <w:rPr>
                <w:color w:val="000000" w:themeColor="text1"/>
                <w:lang w:eastAsia="zh-CN"/>
                <w14:textFill>
                  <w14:solidFill>
                    <w14:schemeClr w14:val="tx1"/>
                  </w14:solidFill>
                </w14:textFill>
              </w:rPr>
              <w:t>烟尘</w:t>
            </w:r>
          </w:p>
        </w:tc>
        <w:tc>
          <w:tcPr>
            <w:tcW w:w="3777"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全面实施燃煤电厂超低排放和节能改造工作方案》（环发[</w:t>
            </w:r>
            <w:r>
              <w:rPr>
                <w:color w:val="000000" w:themeColor="text1"/>
                <w14:textFill>
                  <w14:solidFill>
                    <w14:schemeClr w14:val="tx1"/>
                  </w14:solidFill>
                </w14:textFill>
              </w:rPr>
              <w:t>2015]164</w:t>
            </w:r>
            <w:r>
              <w:rPr>
                <w:rFonts w:hint="eastAsia"/>
                <w:color w:val="000000" w:themeColor="text1"/>
                <w14:textFill>
                  <w14:solidFill>
                    <w14:schemeClr w14:val="tx1"/>
                  </w14:solidFill>
                </w14:textFill>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2" w:type="dxa"/>
            <w:vMerge w:val="continue"/>
            <w:vAlign w:val="center"/>
          </w:tcPr>
          <w:p>
            <w:pPr>
              <w:pStyle w:val="122"/>
              <w:rPr>
                <w:color w:val="000000" w:themeColor="text1"/>
                <w14:textFill>
                  <w14:solidFill>
                    <w14:schemeClr w14:val="tx1"/>
                  </w14:solidFill>
                </w14:textFill>
              </w:rPr>
            </w:pPr>
          </w:p>
        </w:tc>
        <w:tc>
          <w:tcPr>
            <w:tcW w:w="1551" w:type="dxa"/>
            <w:vMerge w:val="continue"/>
            <w:vAlign w:val="center"/>
          </w:tcPr>
          <w:p>
            <w:pPr>
              <w:pStyle w:val="122"/>
              <w:rPr>
                <w:color w:val="000000" w:themeColor="text1"/>
                <w14:textFill>
                  <w14:solidFill>
                    <w14:schemeClr w14:val="tx1"/>
                  </w14:solidFill>
                </w14:textFill>
              </w:rPr>
            </w:pPr>
          </w:p>
        </w:tc>
        <w:tc>
          <w:tcPr>
            <w:tcW w:w="1534" w:type="dxa"/>
            <w:vMerge w:val="continue"/>
            <w:vAlign w:val="center"/>
          </w:tcPr>
          <w:p>
            <w:pPr>
              <w:pStyle w:val="122"/>
              <w:rPr>
                <w:rFonts w:eastAsiaTheme="minorEastAsia"/>
                <w:color w:val="000000" w:themeColor="text1"/>
                <w14:textFill>
                  <w14:solidFill>
                    <w14:schemeClr w14:val="tx1"/>
                  </w14:solidFill>
                </w14:textFill>
              </w:rPr>
            </w:pPr>
          </w:p>
        </w:tc>
        <w:tc>
          <w:tcPr>
            <w:tcW w:w="3624" w:type="dxa"/>
            <w:vMerge w:val="continue"/>
            <w:vAlign w:val="center"/>
          </w:tcPr>
          <w:p>
            <w:pPr>
              <w:pStyle w:val="122"/>
              <w:rPr>
                <w:color w:val="000000" w:themeColor="text1"/>
                <w14:textFill>
                  <w14:solidFill>
                    <w14:schemeClr w14:val="tx1"/>
                  </w14:solidFill>
                </w14:textFill>
              </w:rPr>
            </w:pPr>
          </w:p>
        </w:tc>
        <w:tc>
          <w:tcPr>
            <w:tcW w:w="2650" w:type="dxa"/>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废气量、氧含量、</w:t>
            </w:r>
            <w:r>
              <w:rPr>
                <w:color w:val="000000" w:themeColor="text1"/>
                <w:lang w:eastAsia="zh-CN"/>
                <w14:textFill>
                  <w14:solidFill>
                    <w14:schemeClr w14:val="tx1"/>
                  </w14:solidFill>
                </w14:textFill>
              </w:rPr>
              <w:t>汞及其化合物</w:t>
            </w:r>
            <w:r>
              <w:rPr>
                <w:rFonts w:hint="eastAsia"/>
                <w:color w:val="000000" w:themeColor="text1"/>
                <w:lang w:eastAsia="zh-CN"/>
                <w14:textFill>
                  <w14:solidFill>
                    <w14:schemeClr w14:val="tx1"/>
                  </w14:solidFill>
                </w14:textFill>
              </w:rPr>
              <w:t>、</w:t>
            </w:r>
            <w:r>
              <w:rPr>
                <w:color w:val="000000" w:themeColor="text1"/>
                <w:lang w:eastAsia="zh-CN"/>
                <w14:textFill>
                  <w14:solidFill>
                    <w14:schemeClr w14:val="tx1"/>
                  </w14:solidFill>
                </w14:textFill>
              </w:rPr>
              <w:t>林格曼黑度</w:t>
            </w:r>
          </w:p>
        </w:tc>
        <w:tc>
          <w:tcPr>
            <w:tcW w:w="3777" w:type="dxa"/>
            <w:shd w:val="clear" w:color="auto" w:fill="auto"/>
            <w:vAlign w:val="center"/>
          </w:tcPr>
          <w:p>
            <w:pPr>
              <w:pStyle w:val="122"/>
              <w:rPr>
                <w:color w:val="000000" w:themeColor="text1"/>
                <w14:textFill>
                  <w14:solidFill>
                    <w14:schemeClr w14:val="tx1"/>
                  </w14:solidFill>
                </w14:textFill>
              </w:rPr>
            </w:pPr>
            <w:r>
              <w:rPr>
                <w:color w:val="000000" w:themeColor="text1"/>
                <w:szCs w:val="22"/>
                <w14:textFill>
                  <w14:solidFill>
                    <w14:schemeClr w14:val="tx1"/>
                  </w14:solidFill>
                </w14:textFill>
              </w:rPr>
              <w:t>《火电厂大气污染物排放标准》（GB13223-2011）表1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2" w:type="dxa"/>
            <w:vMerge w:val="continue"/>
            <w:vAlign w:val="center"/>
          </w:tcPr>
          <w:p>
            <w:pPr>
              <w:pStyle w:val="122"/>
              <w:rPr>
                <w:color w:val="000000" w:themeColor="text1"/>
                <w14:textFill>
                  <w14:solidFill>
                    <w14:schemeClr w14:val="tx1"/>
                  </w14:solidFill>
                </w14:textFill>
              </w:rPr>
            </w:pPr>
          </w:p>
        </w:tc>
        <w:tc>
          <w:tcPr>
            <w:tcW w:w="1551" w:type="dxa"/>
            <w:vMerge w:val="continue"/>
            <w:vAlign w:val="center"/>
          </w:tcPr>
          <w:p>
            <w:pPr>
              <w:pStyle w:val="122"/>
              <w:rPr>
                <w:color w:val="000000" w:themeColor="text1"/>
                <w14:textFill>
                  <w14:solidFill>
                    <w14:schemeClr w14:val="tx1"/>
                  </w14:solidFill>
                </w14:textFill>
              </w:rPr>
            </w:pPr>
          </w:p>
        </w:tc>
        <w:tc>
          <w:tcPr>
            <w:tcW w:w="1534" w:type="dxa"/>
            <w:vMerge w:val="continue"/>
            <w:vAlign w:val="center"/>
          </w:tcPr>
          <w:p>
            <w:pPr>
              <w:pStyle w:val="122"/>
              <w:rPr>
                <w:rFonts w:eastAsiaTheme="minorEastAsia"/>
                <w:color w:val="000000" w:themeColor="text1"/>
                <w14:textFill>
                  <w14:solidFill>
                    <w14:schemeClr w14:val="tx1"/>
                  </w14:solidFill>
                </w14:textFill>
              </w:rPr>
            </w:pPr>
          </w:p>
        </w:tc>
        <w:tc>
          <w:tcPr>
            <w:tcW w:w="3624" w:type="dxa"/>
            <w:vMerge w:val="continue"/>
            <w:vAlign w:val="center"/>
          </w:tcPr>
          <w:p>
            <w:pPr>
              <w:pStyle w:val="122"/>
              <w:rPr>
                <w:color w:val="000000" w:themeColor="text1"/>
                <w14:textFill>
                  <w14:solidFill>
                    <w14:schemeClr w14:val="tx1"/>
                  </w14:solidFill>
                </w14:textFill>
              </w:rPr>
            </w:pPr>
          </w:p>
        </w:tc>
        <w:tc>
          <w:tcPr>
            <w:tcW w:w="2650" w:type="dxa"/>
            <w:vAlign w:val="center"/>
          </w:tcPr>
          <w:p>
            <w:pPr>
              <w:pStyle w:val="111"/>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氨</w:t>
            </w:r>
          </w:p>
        </w:tc>
        <w:tc>
          <w:tcPr>
            <w:tcW w:w="3777"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szCs w:val="26"/>
                <w14:textFill>
                  <w14:solidFill>
                    <w14:schemeClr w14:val="tx1"/>
                  </w14:solidFill>
                </w14:textFill>
              </w:rPr>
              <w:t>《恶臭污染物排放标准》（</w:t>
            </w:r>
            <w:r>
              <w:rPr>
                <w:color w:val="000000" w:themeColor="text1"/>
                <w:szCs w:val="26"/>
                <w14:textFill>
                  <w14:solidFill>
                    <w14:schemeClr w14:val="tx1"/>
                  </w14:solidFill>
                </w14:textFill>
              </w:rPr>
              <w:t>GB 14554-93</w:t>
            </w:r>
            <w:r>
              <w:rPr>
                <w:rFonts w:hint="eastAsia"/>
                <w:color w:val="000000" w:themeColor="text1"/>
                <w:szCs w:val="26"/>
                <w14:textFill>
                  <w14:solidFill>
                    <w14:schemeClr w14:val="tx1"/>
                  </w14:solidFill>
                </w14:textFill>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2" w:type="dxa"/>
            <w:vMerge w:val="continue"/>
            <w:vAlign w:val="center"/>
          </w:tcPr>
          <w:p>
            <w:pPr>
              <w:pStyle w:val="122"/>
              <w:rPr>
                <w:color w:val="000000" w:themeColor="text1"/>
                <w14:textFill>
                  <w14:solidFill>
                    <w14:schemeClr w14:val="tx1"/>
                  </w14:solidFill>
                </w14:textFill>
              </w:rPr>
            </w:pPr>
          </w:p>
        </w:tc>
        <w:tc>
          <w:tcPr>
            <w:tcW w:w="1551" w:type="dxa"/>
            <w:vMerge w:val="continue"/>
            <w:vAlign w:val="center"/>
          </w:tcPr>
          <w:p>
            <w:pPr>
              <w:pStyle w:val="122"/>
              <w:rPr>
                <w:color w:val="000000" w:themeColor="text1"/>
                <w14:textFill>
                  <w14:solidFill>
                    <w14:schemeClr w14:val="tx1"/>
                  </w14:solidFill>
                </w14:textFill>
              </w:rPr>
            </w:pPr>
          </w:p>
        </w:tc>
        <w:tc>
          <w:tcPr>
            <w:tcW w:w="1534" w:type="dxa"/>
            <w:vMerge w:val="continue"/>
            <w:vAlign w:val="center"/>
          </w:tcPr>
          <w:p>
            <w:pPr>
              <w:pStyle w:val="122"/>
              <w:rPr>
                <w:rFonts w:eastAsiaTheme="minorEastAsia"/>
                <w:color w:val="000000" w:themeColor="text1"/>
                <w14:textFill>
                  <w14:solidFill>
                    <w14:schemeClr w14:val="tx1"/>
                  </w14:solidFill>
                </w14:textFill>
              </w:rPr>
            </w:pPr>
          </w:p>
        </w:tc>
        <w:tc>
          <w:tcPr>
            <w:tcW w:w="3624" w:type="dxa"/>
            <w:vMerge w:val="continue"/>
            <w:vAlign w:val="center"/>
          </w:tcPr>
          <w:p>
            <w:pPr>
              <w:pStyle w:val="122"/>
              <w:rPr>
                <w:color w:val="000000" w:themeColor="text1"/>
                <w14:textFill>
                  <w14:solidFill>
                    <w14:schemeClr w14:val="tx1"/>
                  </w14:solidFill>
                </w14:textFill>
              </w:rPr>
            </w:pPr>
          </w:p>
        </w:tc>
        <w:tc>
          <w:tcPr>
            <w:tcW w:w="2650" w:type="dxa"/>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氯化氢</w:t>
            </w:r>
          </w:p>
        </w:tc>
        <w:tc>
          <w:tcPr>
            <w:tcW w:w="3777" w:type="dxa"/>
            <w:vMerge w:val="restart"/>
            <w:shd w:val="clear" w:color="auto" w:fill="auto"/>
            <w:vAlign w:val="center"/>
          </w:tcPr>
          <w:p>
            <w:pPr>
              <w:pStyle w:val="122"/>
              <w:rPr>
                <w:color w:val="000000" w:themeColor="text1"/>
                <w:szCs w:val="26"/>
                <w14:textFill>
                  <w14:solidFill>
                    <w14:schemeClr w14:val="tx1"/>
                  </w14:solidFill>
                </w14:textFill>
              </w:rPr>
            </w:pPr>
            <w:r>
              <w:rPr>
                <w:rFonts w:hint="eastAsia"/>
                <w:color w:val="000000" w:themeColor="text1"/>
                <w:szCs w:val="26"/>
                <w14:textFill>
                  <w14:solidFill>
                    <w14:schemeClr w14:val="tx1"/>
                  </w14:solidFill>
                </w14:textFill>
              </w:rPr>
              <w:t>参照</w:t>
            </w:r>
            <w:r>
              <w:rPr>
                <w:color w:val="000000" w:themeColor="text1"/>
                <w:szCs w:val="26"/>
                <w14:textFill>
                  <w14:solidFill>
                    <w14:schemeClr w14:val="tx1"/>
                  </w14:solidFill>
                </w14:textFill>
              </w:rPr>
              <w:t>《生活垃圾焚烧污染控制标准》（GB18485-2014）</w:t>
            </w:r>
            <w:r>
              <w:rPr>
                <w:rFonts w:hint="eastAsia"/>
                <w:color w:val="000000" w:themeColor="text1"/>
                <w:szCs w:val="26"/>
                <w14:textFill>
                  <w14:solidFill>
                    <w14:schemeClr w14:val="tx1"/>
                  </w14:solidFill>
                </w14:textFill>
              </w:rPr>
              <w:t>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2" w:type="dxa"/>
            <w:vMerge w:val="continue"/>
            <w:vAlign w:val="center"/>
          </w:tcPr>
          <w:p>
            <w:pPr>
              <w:pStyle w:val="122"/>
              <w:rPr>
                <w:color w:val="000000" w:themeColor="text1"/>
                <w14:textFill>
                  <w14:solidFill>
                    <w14:schemeClr w14:val="tx1"/>
                  </w14:solidFill>
                </w14:textFill>
              </w:rPr>
            </w:pPr>
          </w:p>
        </w:tc>
        <w:tc>
          <w:tcPr>
            <w:tcW w:w="1551" w:type="dxa"/>
            <w:vMerge w:val="continue"/>
            <w:vAlign w:val="center"/>
          </w:tcPr>
          <w:p>
            <w:pPr>
              <w:pStyle w:val="122"/>
              <w:rPr>
                <w:color w:val="000000" w:themeColor="text1"/>
                <w14:textFill>
                  <w14:solidFill>
                    <w14:schemeClr w14:val="tx1"/>
                  </w14:solidFill>
                </w14:textFill>
              </w:rPr>
            </w:pPr>
          </w:p>
        </w:tc>
        <w:tc>
          <w:tcPr>
            <w:tcW w:w="1534" w:type="dxa"/>
            <w:vMerge w:val="continue"/>
            <w:vAlign w:val="center"/>
          </w:tcPr>
          <w:p>
            <w:pPr>
              <w:pStyle w:val="122"/>
              <w:rPr>
                <w:rFonts w:eastAsiaTheme="minorEastAsia"/>
                <w:color w:val="000000" w:themeColor="text1"/>
                <w14:textFill>
                  <w14:solidFill>
                    <w14:schemeClr w14:val="tx1"/>
                  </w14:solidFill>
                </w14:textFill>
              </w:rPr>
            </w:pPr>
          </w:p>
        </w:tc>
        <w:tc>
          <w:tcPr>
            <w:tcW w:w="3624" w:type="dxa"/>
            <w:vMerge w:val="continue"/>
            <w:vAlign w:val="center"/>
          </w:tcPr>
          <w:p>
            <w:pPr>
              <w:pStyle w:val="122"/>
              <w:rPr>
                <w:color w:val="000000" w:themeColor="text1"/>
                <w14:textFill>
                  <w14:solidFill>
                    <w14:schemeClr w14:val="tx1"/>
                  </w14:solidFill>
                </w14:textFill>
              </w:rPr>
            </w:pPr>
          </w:p>
        </w:tc>
        <w:tc>
          <w:tcPr>
            <w:tcW w:w="2650" w:type="dxa"/>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二噁英</w:t>
            </w:r>
          </w:p>
        </w:tc>
        <w:tc>
          <w:tcPr>
            <w:tcW w:w="3777" w:type="dxa"/>
            <w:vMerge w:val="continue"/>
            <w:shd w:val="clear" w:color="auto" w:fill="auto"/>
            <w:vAlign w:val="center"/>
          </w:tcPr>
          <w:p>
            <w:pPr>
              <w:pStyle w:val="122"/>
              <w:rPr>
                <w:color w:val="000000" w:themeColor="text1"/>
                <w:szCs w:val="2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2" w:type="dxa"/>
            <w:vMerge w:val="continue"/>
            <w:vAlign w:val="center"/>
          </w:tcPr>
          <w:p>
            <w:pPr>
              <w:pStyle w:val="122"/>
              <w:rPr>
                <w:color w:val="000000" w:themeColor="text1"/>
                <w14:textFill>
                  <w14:solidFill>
                    <w14:schemeClr w14:val="tx1"/>
                  </w14:solidFill>
                </w14:textFill>
              </w:rPr>
            </w:pPr>
          </w:p>
        </w:tc>
        <w:tc>
          <w:tcPr>
            <w:tcW w:w="15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无组织</w:t>
            </w:r>
          </w:p>
        </w:tc>
        <w:tc>
          <w:tcPr>
            <w:tcW w:w="1534"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厂界下风向浓度最大处</w:t>
            </w:r>
          </w:p>
        </w:tc>
        <w:tc>
          <w:tcPr>
            <w:tcW w:w="3624"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合理收集，减少无组织排放量</w:t>
            </w:r>
          </w:p>
        </w:tc>
        <w:tc>
          <w:tcPr>
            <w:tcW w:w="2650" w:type="dxa"/>
            <w:vAlign w:val="center"/>
          </w:tcPr>
          <w:p>
            <w:pPr>
              <w:pStyle w:val="11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氨</w:t>
            </w:r>
          </w:p>
        </w:tc>
        <w:tc>
          <w:tcPr>
            <w:tcW w:w="3777" w:type="dxa"/>
            <w:shd w:val="clear" w:color="auto" w:fill="auto"/>
            <w:vAlign w:val="center"/>
          </w:tcPr>
          <w:p>
            <w:pPr>
              <w:pStyle w:val="122"/>
              <w:rPr>
                <w:color w:val="000000" w:themeColor="text1"/>
                <w14:textFill>
                  <w14:solidFill>
                    <w14:schemeClr w14:val="tx1"/>
                  </w14:solidFill>
                </w14:textFill>
              </w:rPr>
            </w:pPr>
            <w:r>
              <w:rPr>
                <w:rFonts w:hint="eastAsia"/>
                <w:color w:val="000000" w:themeColor="text1"/>
                <w:szCs w:val="26"/>
                <w14:textFill>
                  <w14:solidFill>
                    <w14:schemeClr w14:val="tx1"/>
                  </w14:solidFill>
                </w14:textFill>
              </w:rPr>
              <w:t>《恶臭污染物排放标准》（</w:t>
            </w:r>
            <w:r>
              <w:rPr>
                <w:color w:val="000000" w:themeColor="text1"/>
                <w:szCs w:val="26"/>
                <w14:textFill>
                  <w14:solidFill>
                    <w14:schemeClr w14:val="tx1"/>
                  </w14:solidFill>
                </w14:textFill>
              </w:rPr>
              <w:t>GB 14554-93</w:t>
            </w:r>
            <w:r>
              <w:rPr>
                <w:rFonts w:hint="eastAsia"/>
                <w:color w:val="000000" w:themeColor="text1"/>
                <w:szCs w:val="26"/>
                <w14:textFill>
                  <w14:solidFill>
                    <w14:schemeClr w14:val="tx1"/>
                  </w14:solidFill>
                </w14:textFill>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2"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噪声</w:t>
            </w:r>
          </w:p>
        </w:tc>
        <w:tc>
          <w:tcPr>
            <w:tcW w:w="1551"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设备</w:t>
            </w:r>
            <w:r>
              <w:rPr>
                <w:color w:val="000000" w:themeColor="text1"/>
                <w14:textFill>
                  <w14:solidFill>
                    <w14:schemeClr w14:val="tx1"/>
                  </w14:solidFill>
                </w14:textFill>
              </w:rPr>
              <w:t>噪声</w:t>
            </w:r>
          </w:p>
        </w:tc>
        <w:tc>
          <w:tcPr>
            <w:tcW w:w="1534"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四周厂界</w:t>
            </w:r>
            <w:r>
              <w:rPr>
                <w:rFonts w:hint="eastAsia"/>
                <w:color w:val="000000" w:themeColor="text1"/>
                <w14:textFill>
                  <w14:solidFill>
                    <w14:schemeClr w14:val="tx1"/>
                  </w14:solidFill>
                </w14:textFill>
              </w:rPr>
              <w:t>外1m</w:t>
            </w:r>
          </w:p>
        </w:tc>
        <w:tc>
          <w:tcPr>
            <w:tcW w:w="3624"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合理布局、基础减震、建筑隔音</w:t>
            </w:r>
          </w:p>
        </w:tc>
        <w:tc>
          <w:tcPr>
            <w:tcW w:w="2650"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等效连续A声级</w:t>
            </w:r>
          </w:p>
        </w:tc>
        <w:tc>
          <w:tcPr>
            <w:tcW w:w="3777" w:type="dxa"/>
            <w:vAlign w:val="center"/>
          </w:tcPr>
          <w:p>
            <w:pPr>
              <w:pStyle w:val="122"/>
              <w:rPr>
                <w:color w:val="000000" w:themeColor="text1"/>
                <w14:textFill>
                  <w14:solidFill>
                    <w14:schemeClr w14:val="tx1"/>
                  </w14:solidFill>
                </w14:textFill>
              </w:rPr>
            </w:pPr>
            <w:r>
              <w:rPr>
                <w:color w:val="000000" w:themeColor="text1"/>
                <w14:textFill>
                  <w14:solidFill>
                    <w14:schemeClr w14:val="tx1"/>
                  </w14:solidFill>
                </w14:textFill>
              </w:rPr>
              <w:t>《工业企业厂界环境噪声排放标准》（GB12348-2008）中3类标准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63" w:type="dxa"/>
            <w:gridSpan w:val="2"/>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w:t>
            </w:r>
          </w:p>
        </w:tc>
        <w:tc>
          <w:tcPr>
            <w:tcW w:w="5158" w:type="dxa"/>
            <w:gridSpan w:val="2"/>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上料区地面使用防渗混凝土硬化处理，阀门所在位置修建容积不小于0.2m³的接收池，池体内壁铺设防渗膜，并采用防渗混凝土硬化</w:t>
            </w:r>
            <w:r>
              <w:rPr>
                <w:rFonts w:hint="eastAsia"/>
                <w:color w:val="000000" w:themeColor="text1"/>
                <w:lang w:val="zh-CN"/>
                <w14:textFill>
                  <w14:solidFill>
                    <w14:schemeClr w14:val="tx1"/>
                  </w14:solidFill>
                </w14:textFill>
              </w:rPr>
              <w:t>。</w:t>
            </w:r>
          </w:p>
        </w:tc>
        <w:tc>
          <w:tcPr>
            <w:tcW w:w="2650"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777" w:type="dxa"/>
            <w:vAlign w:val="center"/>
          </w:tcPr>
          <w:p>
            <w:pPr>
              <w:pStyle w:val="122"/>
              <w:rPr>
                <w:color w:val="000000" w:themeColor="text1"/>
                <w14:textFill>
                  <w14:solidFill>
                    <w14:schemeClr w14:val="tx1"/>
                  </w14:solidFill>
                </w14:textFill>
              </w:rPr>
            </w:pPr>
            <w:r>
              <w:rPr>
                <w:rFonts w:hint="eastAsia"/>
                <w:color w:val="000000" w:themeColor="text1"/>
                <w14:textFill>
                  <w14:solidFill>
                    <w14:schemeClr w14:val="tx1"/>
                  </w14:solidFill>
                </w14:textFill>
              </w:rPr>
              <w:t>可有效防治污染事故发生，使环境风险控制在最小范围内</w:t>
            </w:r>
          </w:p>
        </w:tc>
      </w:tr>
    </w:tbl>
    <w:p>
      <w:pPr>
        <w:pStyle w:val="142"/>
        <w:spacing w:before="32"/>
        <w:ind w:firstLine="0" w:firstLineChars="0"/>
        <w:rPr>
          <w:b/>
          <w:color w:val="000000" w:themeColor="text1"/>
          <w14:textFill>
            <w14:solidFill>
              <w14:schemeClr w14:val="tx1"/>
            </w14:solidFill>
          </w14:textFill>
        </w:rPr>
        <w:sectPr>
          <w:pgSz w:w="16838" w:h="11906" w:orient="landscape"/>
          <w:pgMar w:top="1418" w:right="1440" w:bottom="1800" w:left="1440" w:header="851" w:footer="992" w:gutter="0"/>
          <w:cols w:space="425" w:num="1"/>
          <w:docGrid w:type="lines" w:linePitch="326" w:charSpace="0"/>
        </w:sectPr>
      </w:pPr>
    </w:p>
    <w:p>
      <w:pPr>
        <w:pStyle w:val="2"/>
      </w:pPr>
      <w:bookmarkStart w:id="182" w:name="_Toc109888291"/>
      <w:r>
        <w:rPr>
          <w:rFonts w:hint="eastAsia"/>
        </w:rPr>
        <w:t>环境</w:t>
      </w:r>
      <w:r>
        <w:t>影响评价结论</w:t>
      </w:r>
      <w:bookmarkEnd w:id="182"/>
    </w:p>
    <w:p>
      <w:pPr>
        <w:pStyle w:val="3"/>
      </w:pPr>
      <w:bookmarkStart w:id="183" w:name="_Toc109888292"/>
      <w:r>
        <w:rPr>
          <w:rFonts w:hint="eastAsia"/>
        </w:rPr>
        <w:t>评价结论</w:t>
      </w:r>
      <w:bookmarkEnd w:id="183"/>
    </w:p>
    <w:p>
      <w:pPr>
        <w:pStyle w:val="4"/>
        <w:rPr>
          <w:rStyle w:val="59"/>
          <w:bCs w:val="0"/>
          <w:color w:val="000000" w:themeColor="text1"/>
          <w14:textFill>
            <w14:solidFill>
              <w14:schemeClr w14:val="tx1"/>
            </w14:solidFill>
          </w14:textFill>
        </w:rPr>
      </w:pPr>
      <w:bookmarkStart w:id="184" w:name="_Toc179897089"/>
      <w:bookmarkStart w:id="185" w:name="_Toc179897489"/>
      <w:r>
        <w:rPr>
          <w:rFonts w:hint="eastAsia"/>
          <w:color w:val="000000" w:themeColor="text1"/>
          <w14:textFill>
            <w14:solidFill>
              <w14:schemeClr w14:val="tx1"/>
            </w14:solidFill>
          </w14:textFill>
        </w:rPr>
        <w:t>建设项目概况</w:t>
      </w:r>
      <w:bookmarkEnd w:id="184"/>
      <w:bookmarkEnd w:id="185"/>
    </w:p>
    <w:p>
      <w:pPr>
        <w:pStyle w:val="125"/>
        <w:ind w:firstLine="520"/>
        <w:rPr>
          <w:color w:val="000000" w:themeColor="text1"/>
          <w14:textFill>
            <w14:solidFill>
              <w14:schemeClr w14:val="tx1"/>
            </w14:solidFill>
          </w14:textFill>
        </w:rPr>
      </w:pPr>
      <w:bookmarkStart w:id="186" w:name="_Hlk108362922"/>
      <w:r>
        <w:rPr>
          <w:rFonts w:hint="eastAsia"/>
          <w:color w:val="000000" w:themeColor="text1"/>
          <w14:textFill>
            <w14:solidFill>
              <w14:schemeClr w14:val="tx1"/>
            </w14:solidFill>
          </w14:textFill>
        </w:rPr>
        <w:t>本项目依托陕渝临港热电厂现有</w:t>
      </w:r>
      <w:r>
        <w:rPr>
          <w:rFonts w:hint="eastAsia"/>
          <w:bCs/>
          <w:color w:val="000000" w:themeColor="text1"/>
          <w14:textFill>
            <w14:solidFill>
              <w14:schemeClr w14:val="tx1"/>
            </w14:solidFill>
          </w14:textFill>
        </w:rPr>
        <w:t>1125t/h</w:t>
      </w:r>
      <w:r>
        <w:rPr>
          <w:bCs/>
          <w:color w:val="000000" w:themeColor="text1"/>
          <w14:textFill>
            <w14:solidFill>
              <w14:schemeClr w14:val="tx1"/>
            </w14:solidFill>
          </w14:textFill>
        </w:rPr>
        <w:t>循环流化床锅炉</w:t>
      </w:r>
      <w:r>
        <w:rPr>
          <w:rFonts w:hint="eastAsia"/>
          <w:bCs/>
          <w:color w:val="000000" w:themeColor="text1"/>
          <w14:textFill>
            <w14:solidFill>
              <w14:schemeClr w14:val="tx1"/>
            </w14:solidFill>
          </w14:textFill>
        </w:rPr>
        <w:t>焚烧处置太极制药公司产生的醇沉药渣，处置能力</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.2万吨</w:t>
      </w:r>
      <w:r>
        <w:rPr>
          <w:rFonts w:hint="eastAsia"/>
          <w:color w:val="000000" w:themeColor="text1"/>
          <w14:textFill>
            <w14:solidFill>
              <w14:schemeClr w14:val="tx1"/>
            </w14:solidFill>
          </w14:textFill>
        </w:rPr>
        <w:t>/年。本项目仅新建醇沉药渣投加系统，不建设暂存设施，焚烧系统和尾气处置等均依托陕渝临港热电厂现有工程。醇沉药渣由太极制药的恒温槽车（载重6吨）分批次运至陕渝临港热电厂内直接与上料系统连接喷入锅炉内焚烧。</w:t>
      </w:r>
    </w:p>
    <w:p>
      <w:pPr>
        <w:pStyle w:val="125"/>
        <w:ind w:firstLine="520"/>
        <w:rPr>
          <w:rFonts w:ascii="宋体" w:hAnsi="宋体"/>
          <w:color w:val="000000" w:themeColor="text1"/>
          <w:sz w:val="24"/>
          <w14:textFill>
            <w14:solidFill>
              <w14:schemeClr w14:val="tx1"/>
            </w14:solidFill>
          </w14:textFill>
        </w:rPr>
      </w:pPr>
      <w:r>
        <w:rPr>
          <w:rFonts w:hint="eastAsia"/>
          <w:color w:val="000000" w:themeColor="text1"/>
          <w14:textFill>
            <w14:solidFill>
              <w14:schemeClr w14:val="tx1"/>
            </w14:solidFill>
          </w14:textFill>
        </w:rPr>
        <w:t>本项目总投资约</w:t>
      </w:r>
      <w:r>
        <w:rPr>
          <w:color w:val="000000" w:themeColor="text1"/>
          <w14:textFill>
            <w14:solidFill>
              <w14:schemeClr w14:val="tx1"/>
            </w14:solidFill>
          </w14:textFill>
        </w:rPr>
        <w:t>82</w:t>
      </w:r>
      <w:r>
        <w:rPr>
          <w:rFonts w:hint="eastAsia"/>
          <w:color w:val="000000" w:themeColor="text1"/>
          <w14:textFill>
            <w14:solidFill>
              <w14:schemeClr w14:val="tx1"/>
            </w14:solidFill>
          </w14:textFill>
        </w:rPr>
        <w:t>万元，其中环保投资5万元，占总投资的</w:t>
      </w:r>
      <w:r>
        <w:rPr>
          <w:color w:val="000000" w:themeColor="text1"/>
          <w14:textFill>
            <w14:solidFill>
              <w14:schemeClr w14:val="tx1"/>
            </w14:solidFill>
          </w14:textFill>
        </w:rPr>
        <w:t>2.5</w:t>
      </w:r>
      <w:r>
        <w:rPr>
          <w:rFonts w:hint="eastAsia"/>
          <w:color w:val="000000" w:themeColor="text1"/>
          <w14:textFill>
            <w14:solidFill>
              <w14:schemeClr w14:val="tx1"/>
            </w14:solidFill>
          </w14:textFill>
        </w:rPr>
        <w:t>%。项目不新增劳动定员，不改变陕渝临港热电厂生产制度。</w:t>
      </w:r>
      <w:bookmarkEnd w:id="186"/>
    </w:p>
    <w:p>
      <w:pPr>
        <w:pStyle w:val="4"/>
        <w:rPr>
          <w:color w:val="000000" w:themeColor="text1"/>
          <w14:textFill>
            <w14:solidFill>
              <w14:schemeClr w14:val="tx1"/>
            </w14:solidFill>
          </w14:textFill>
        </w:rPr>
      </w:pPr>
      <w:r>
        <w:rPr>
          <w:color w:val="000000" w:themeColor="text1"/>
          <w14:textFill>
            <w14:solidFill>
              <w14:schemeClr w14:val="tx1"/>
            </w14:solidFill>
          </w14:textFill>
        </w:rPr>
        <w:t>产业政策</w:t>
      </w:r>
      <w:r>
        <w:rPr>
          <w:rFonts w:hint="eastAsia"/>
          <w:color w:val="000000" w:themeColor="text1"/>
          <w14:textFill>
            <w14:solidFill>
              <w14:schemeClr w14:val="tx1"/>
            </w14:solidFill>
          </w14:textFill>
        </w:rPr>
        <w:t>、规划的</w:t>
      </w:r>
      <w:r>
        <w:rPr>
          <w:color w:val="000000" w:themeColor="text1"/>
          <w14:textFill>
            <w14:solidFill>
              <w14:schemeClr w14:val="tx1"/>
            </w14:solidFill>
          </w14:textFill>
        </w:rPr>
        <w:t>符合</w:t>
      </w:r>
      <w:r>
        <w:rPr>
          <w:rFonts w:hint="eastAsia"/>
          <w:color w:val="000000" w:themeColor="text1"/>
          <w14:textFill>
            <w14:solidFill>
              <w14:schemeClr w14:val="tx1"/>
            </w14:solidFill>
          </w14:textFill>
        </w:rPr>
        <w:t>性分析结论</w:t>
      </w:r>
    </w:p>
    <w:p>
      <w:pPr>
        <w:pStyle w:val="125"/>
        <w:ind w:firstLine="520"/>
        <w:rPr>
          <w:bCs/>
          <w:color w:val="000000" w:themeColor="text1"/>
          <w14:textFill>
            <w14:solidFill>
              <w14:schemeClr w14:val="tx1"/>
            </w14:solidFill>
          </w14:textFill>
        </w:rPr>
      </w:pPr>
      <w:r>
        <w:rPr>
          <w:rFonts w:hint="eastAsia"/>
          <w:color w:val="000000" w:themeColor="text1"/>
          <w14:textFill>
            <w14:solidFill>
              <w14:schemeClr w14:val="tx1"/>
            </w14:solidFill>
          </w14:textFill>
        </w:rPr>
        <w:t>根据《产业结构调整指导目录（</w:t>
      </w:r>
      <w:r>
        <w:rPr>
          <w:color w:val="000000" w:themeColor="text1"/>
          <w14:textFill>
            <w14:solidFill>
              <w14:schemeClr w14:val="tx1"/>
            </w14:solidFill>
          </w14:textFill>
        </w:rPr>
        <w:t>201</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年本</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》，“燃煤发电机组多污染物协同治理”属于电力行业的“鼓励类”项目。符合《</w:t>
      </w:r>
      <w:r>
        <w:rPr>
          <w:rFonts w:hint="eastAsia"/>
          <w:color w:val="000000" w:themeColor="text1"/>
          <w14:textFill>
            <w14:solidFill>
              <w14:schemeClr w14:val="tx1"/>
            </w14:solidFill>
          </w14:textFill>
        </w:rPr>
        <w:t>重庆市</w:t>
      </w:r>
      <w:r>
        <w:rPr>
          <w:color w:val="000000" w:themeColor="text1"/>
          <w14:textFill>
            <w14:solidFill>
              <w14:schemeClr w14:val="tx1"/>
            </w14:solidFill>
          </w14:textFill>
        </w:rPr>
        <w:t>工业项目环境准入规定</w:t>
      </w:r>
      <w:r>
        <w:rPr>
          <w:rFonts w:hint="eastAsia"/>
          <w:color w:val="000000" w:themeColor="text1"/>
          <w14:textFill>
            <w14:solidFill>
              <w14:schemeClr w14:val="tx1"/>
            </w14:solidFill>
          </w14:textFill>
        </w:rPr>
        <w:t>（修订）</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（渝</w:t>
      </w:r>
      <w:r>
        <w:rPr>
          <w:color w:val="000000" w:themeColor="text1"/>
          <w14:textFill>
            <w14:solidFill>
              <w14:schemeClr w14:val="tx1"/>
            </w14:solidFill>
          </w14:textFill>
        </w:rPr>
        <w:t>办发</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2012</w:t>
      </w:r>
      <w:r>
        <w:rPr>
          <w:rFonts w:hint="eastAsia"/>
          <w:color w:val="000000" w:themeColor="text1"/>
          <w14:textFill>
            <w14:solidFill>
              <w14:schemeClr w14:val="tx1"/>
            </w14:solidFill>
          </w14:textFill>
        </w:rPr>
        <w:t>]142号）</w:t>
      </w:r>
      <w:r>
        <w:rPr>
          <w:bCs/>
          <w:color w:val="000000" w:themeColor="text1"/>
          <w14:textFill>
            <w14:solidFill>
              <w14:schemeClr w14:val="tx1"/>
            </w14:solidFill>
          </w14:textFill>
        </w:rPr>
        <w:t>、《重庆市发展和改革委员会关于印发重庆市产业投资准入工作手册的通知》</w:t>
      </w:r>
      <w:bookmarkStart w:id="187" w:name="_Hlk109889293"/>
      <w:r>
        <w:rPr>
          <w:bCs/>
          <w:color w:val="000000" w:themeColor="text1"/>
          <w14:textFill>
            <w14:solidFill>
              <w14:schemeClr w14:val="tx1"/>
            </w14:solidFill>
          </w14:textFill>
        </w:rPr>
        <w:t>（渝发改投[2018]541号）</w:t>
      </w:r>
      <w:bookmarkEnd w:id="187"/>
      <w:r>
        <w:rPr>
          <w:bCs/>
          <w:color w:val="000000" w:themeColor="text1"/>
          <w14:textFill>
            <w14:solidFill>
              <w14:schemeClr w14:val="tx1"/>
            </w14:solidFill>
          </w14:textFill>
        </w:rPr>
        <w:t>、《关于严格工业布局和准入的通知》（渝发改工[2018]781号）、</w:t>
      </w:r>
      <w:r>
        <w:rPr>
          <w:rFonts w:hint="eastAsia"/>
          <w:bCs/>
          <w:color w:val="000000" w:themeColor="text1"/>
          <w14:textFill>
            <w14:solidFill>
              <w14:schemeClr w14:val="tx1"/>
            </w14:solidFill>
          </w14:textFill>
        </w:rPr>
        <w:t>《四川省、重庆市</w:t>
      </w:r>
      <w:r>
        <w:rPr>
          <w:bCs/>
          <w:color w:val="000000" w:themeColor="text1"/>
          <w14:textFill>
            <w14:solidFill>
              <w14:schemeClr w14:val="tx1"/>
            </w14:solidFill>
          </w14:textFill>
        </w:rPr>
        <w:t>长江经济带发展负面清单</w:t>
      </w:r>
      <w:r>
        <w:rPr>
          <w:rFonts w:hint="eastAsia"/>
          <w:bCs/>
          <w:color w:val="000000" w:themeColor="text1"/>
          <w14:textFill>
            <w14:solidFill>
              <w14:schemeClr w14:val="tx1"/>
            </w14:solidFill>
          </w14:textFill>
        </w:rPr>
        <w:t>实施细则</w:t>
      </w:r>
      <w:r>
        <w:rPr>
          <w:bCs/>
          <w:color w:val="000000" w:themeColor="text1"/>
          <w14:textFill>
            <w14:solidFill>
              <w14:schemeClr w14:val="tx1"/>
            </w14:solidFill>
          </w14:textFill>
        </w:rPr>
        <w:t>（试行，2022年版）</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重庆涪陵工业园区龙桥组团规划调整环境影响报告书</w:t>
      </w:r>
      <w:r>
        <w:rPr>
          <w:bCs/>
          <w:color w:val="000000" w:themeColor="text1"/>
          <w14:textFill>
            <w14:solidFill>
              <w14:schemeClr w14:val="tx1"/>
            </w14:solidFill>
          </w14:textFill>
        </w:rPr>
        <w:t>》及其审查意见的相关要求，满足</w:t>
      </w:r>
      <w:r>
        <w:rPr>
          <w:rFonts w:hint="eastAsia"/>
          <w:bCs/>
          <w:color w:val="000000" w:themeColor="text1"/>
          <w14:textFill>
            <w14:solidFill>
              <w14:schemeClr w14:val="tx1"/>
            </w14:solidFill>
          </w14:textFill>
        </w:rPr>
        <w:t>重庆市及</w:t>
      </w:r>
      <w:r>
        <w:rPr>
          <w:bCs/>
          <w:color w:val="000000" w:themeColor="text1"/>
          <w14:textFill>
            <w14:solidFill>
              <w14:schemeClr w14:val="tx1"/>
            </w14:solidFill>
          </w14:textFill>
        </w:rPr>
        <w:t>涪陵区“三线一单”管控要求。</w:t>
      </w:r>
    </w:p>
    <w:p>
      <w:pPr>
        <w:pStyle w:val="125"/>
        <w:ind w:firstLine="520"/>
        <w:rPr>
          <w:color w:val="000000" w:themeColor="text1"/>
          <w14:textFill>
            <w14:solidFill>
              <w14:schemeClr w14:val="tx1"/>
            </w14:solidFill>
          </w14:textFill>
        </w:rPr>
      </w:pPr>
      <w:r>
        <w:rPr>
          <w:bCs/>
          <w:color w:val="000000" w:themeColor="text1"/>
          <w14:textFill>
            <w14:solidFill>
              <w14:schemeClr w14:val="tx1"/>
            </w14:solidFill>
          </w14:textFill>
        </w:rPr>
        <w:t>本项目位于重庆</w:t>
      </w:r>
      <w:r>
        <w:rPr>
          <w:rFonts w:hint="eastAsia"/>
          <w:color w:val="000000" w:themeColor="text1"/>
          <w14:textFill>
            <w14:solidFill>
              <w14:schemeClr w14:val="tx1"/>
            </w14:solidFill>
          </w14:textFill>
        </w:rPr>
        <w:t>涪陵工业园区龙桥组团</w:t>
      </w:r>
      <w:r>
        <w:rPr>
          <w:bCs/>
          <w:color w:val="000000" w:themeColor="text1"/>
          <w14:textFill>
            <w14:solidFill>
              <w14:schemeClr w14:val="tx1"/>
            </w14:solidFill>
          </w14:textFill>
        </w:rPr>
        <w:t>陕渝临港热电厂内，不新增占地，符合</w:t>
      </w:r>
      <w:r>
        <w:rPr>
          <w:rFonts w:hint="eastAsia"/>
          <w:bCs/>
          <w:color w:val="000000" w:themeColor="text1"/>
          <w14:textFill>
            <w14:solidFill>
              <w14:schemeClr w14:val="tx1"/>
            </w14:solidFill>
          </w14:textFill>
        </w:rPr>
        <w:t>涪陵区</w:t>
      </w:r>
      <w:r>
        <w:rPr>
          <w:bCs/>
          <w:color w:val="000000" w:themeColor="text1"/>
          <w14:textFill>
            <w14:solidFill>
              <w14:schemeClr w14:val="tx1"/>
            </w14:solidFill>
          </w14:textFill>
        </w:rPr>
        <w:t>“三线一单”</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 xml:space="preserve"> 符合</w:t>
      </w:r>
      <w:r>
        <w:rPr>
          <w:rFonts w:hint="eastAsia"/>
          <w:bCs/>
          <w:color w:val="000000" w:themeColor="text1"/>
          <w14:textFill>
            <w14:solidFill>
              <w14:schemeClr w14:val="tx1"/>
            </w14:solidFill>
          </w14:textFill>
        </w:rPr>
        <w:t>重庆涪陵工业园区龙桥组团规划（调整）及规划环评的相关要求</w:t>
      </w:r>
      <w:r>
        <w:rPr>
          <w:bCs/>
          <w:color w:val="000000" w:themeColor="text1"/>
          <w14:textFill>
            <w14:solidFill>
              <w14:schemeClr w14:val="tx1"/>
            </w14:solidFill>
          </w14:textFill>
        </w:rPr>
        <w:t>。项目所在地交通方便，基础设施齐全。项目所在</w:t>
      </w:r>
      <w:r>
        <w:rPr>
          <w:rFonts w:hint="eastAsia"/>
          <w:bCs/>
          <w:color w:val="000000" w:themeColor="text1"/>
          <w14:textFill>
            <w14:solidFill>
              <w14:schemeClr w14:val="tx1"/>
            </w14:solidFill>
          </w14:textFill>
        </w:rPr>
        <w:t>地大气</w:t>
      </w:r>
      <w:r>
        <w:rPr>
          <w:bCs/>
          <w:color w:val="000000" w:themeColor="text1"/>
          <w14:textFill>
            <w14:solidFill>
              <w14:schemeClr w14:val="tx1"/>
            </w14:solidFill>
          </w14:textFill>
        </w:rPr>
        <w:t>环境、地表水环境、地下水环境及声环境</w:t>
      </w:r>
      <w:r>
        <w:rPr>
          <w:rFonts w:hint="eastAsia"/>
          <w:bCs/>
          <w:color w:val="000000" w:themeColor="text1"/>
          <w14:textFill>
            <w14:solidFill>
              <w14:schemeClr w14:val="tx1"/>
            </w14:solidFill>
          </w14:textFill>
        </w:rPr>
        <w:t>等</w:t>
      </w:r>
      <w:r>
        <w:rPr>
          <w:bCs/>
          <w:color w:val="000000" w:themeColor="text1"/>
          <w14:textFill>
            <w14:solidFill>
              <w14:schemeClr w14:val="tx1"/>
            </w14:solidFill>
          </w14:textFill>
        </w:rPr>
        <w:t>质量现状均能满足相应功能区标准要求，区域环境质量现状良好。</w:t>
      </w:r>
      <w:r>
        <w:rPr>
          <w:rFonts w:hint="eastAsia"/>
          <w:color w:val="000000" w:themeColor="text1"/>
          <w14:textFill>
            <w14:solidFill>
              <w14:schemeClr w14:val="tx1"/>
            </w14:solidFill>
          </w14:textFill>
        </w:rPr>
        <w:t>项目不存在重大环境制约因素。</w:t>
      </w:r>
      <w:r>
        <w:rPr>
          <w:bCs/>
          <w:color w:val="000000" w:themeColor="text1"/>
          <w14:textFill>
            <w14:solidFill>
              <w14:schemeClr w14:val="tx1"/>
            </w14:solidFill>
          </w14:textFill>
        </w:rPr>
        <w:t>项目选址合理。</w:t>
      </w:r>
    </w:p>
    <w:p>
      <w:pPr>
        <w:pStyle w:val="4"/>
        <w:rPr>
          <w:color w:val="000000" w:themeColor="text1"/>
          <w14:textFill>
            <w14:solidFill>
              <w14:schemeClr w14:val="tx1"/>
            </w14:solidFill>
          </w14:textFill>
        </w:rPr>
      </w:pPr>
      <w:bookmarkStart w:id="188" w:name="_Toc179897102"/>
      <w:bookmarkStart w:id="189" w:name="_Toc179897502"/>
      <w:bookmarkStart w:id="190" w:name="_Toc179897094"/>
      <w:bookmarkStart w:id="191" w:name="_Toc179897494"/>
      <w:r>
        <w:rPr>
          <w:rFonts w:hint="eastAsia"/>
          <w:color w:val="000000" w:themeColor="text1"/>
          <w14:textFill>
            <w14:solidFill>
              <w14:schemeClr w14:val="tx1"/>
            </w14:solidFill>
          </w14:textFill>
        </w:rPr>
        <w:t>环境质量现状评价结论</w:t>
      </w:r>
      <w:bookmarkEnd w:id="188"/>
      <w:bookmarkEnd w:id="189"/>
    </w:p>
    <w:p>
      <w:pPr>
        <w:pStyle w:val="125"/>
        <w:ind w:firstLine="520"/>
        <w:rPr>
          <w:color w:val="000000" w:themeColor="text1"/>
          <w14:textFill>
            <w14:solidFill>
              <w14:schemeClr w14:val="tx1"/>
            </w14:solidFill>
          </w14:textFill>
        </w:rPr>
      </w:pPr>
      <w:bookmarkStart w:id="192" w:name="_Toc179897505"/>
      <w:bookmarkStart w:id="193" w:name="_Toc179897105"/>
      <w:r>
        <w:rPr>
          <w:color w:val="000000" w:themeColor="text1"/>
          <w14:textFill>
            <w14:solidFill>
              <w14:schemeClr w14:val="tx1"/>
            </w14:solidFill>
          </w14:textFill>
        </w:rPr>
        <w:t>环境空气：</w:t>
      </w:r>
      <w:r>
        <w:rPr>
          <w:rFonts w:hint="eastAsia"/>
          <w:color w:val="000000" w:themeColor="text1"/>
          <w14:textFill>
            <w14:solidFill>
              <w14:schemeClr w14:val="tx1"/>
            </w14:solidFill>
          </w14:textFill>
        </w:rPr>
        <w:t>涪陵区基本污染物均</w:t>
      </w:r>
      <w:r>
        <w:rPr>
          <w:color w:val="000000" w:themeColor="text1"/>
          <w14:textFill>
            <w14:solidFill>
              <w14:schemeClr w14:val="tx1"/>
            </w14:solidFill>
          </w14:textFill>
        </w:rPr>
        <w:t>满足《环境空气质量标准》（GB3095-2012）二级标准</w:t>
      </w:r>
      <w:r>
        <w:rPr>
          <w:rFonts w:hint="eastAsia"/>
          <w:color w:val="000000" w:themeColor="text1"/>
          <w14:textFill>
            <w14:solidFill>
              <w14:schemeClr w14:val="tx1"/>
            </w14:solidFill>
          </w14:textFill>
        </w:rPr>
        <w:t>，属于环境空气达标区，其他污染物也均满足相关环境质量标准的要求，区域</w:t>
      </w:r>
      <w:r>
        <w:rPr>
          <w:color w:val="000000" w:themeColor="text1"/>
          <w14:textFill>
            <w14:solidFill>
              <w14:schemeClr w14:val="tx1"/>
            </w14:solidFill>
          </w14:textFill>
        </w:rPr>
        <w:t>环境空气</w:t>
      </w:r>
      <w:r>
        <w:rPr>
          <w:rFonts w:hint="eastAsia"/>
          <w:color w:val="000000" w:themeColor="text1"/>
          <w14:textFill>
            <w14:solidFill>
              <w14:schemeClr w14:val="tx1"/>
            </w14:solidFill>
          </w14:textFill>
        </w:rPr>
        <w:t>质量现状</w:t>
      </w:r>
      <w:r>
        <w:rPr>
          <w:color w:val="000000" w:themeColor="text1"/>
          <w14:textFill>
            <w14:solidFill>
              <w14:schemeClr w14:val="tx1"/>
            </w14:solidFill>
          </w14:textFill>
        </w:rPr>
        <w:t>良好</w:t>
      </w:r>
      <w:r>
        <w:rPr>
          <w:rFonts w:hint="eastAsia"/>
          <w:color w:val="000000" w:themeColor="text1"/>
          <w14:textFill>
            <w14:solidFill>
              <w14:schemeClr w14:val="tx1"/>
            </w14:solidFill>
          </w14:textFill>
        </w:rPr>
        <w:t>。</w:t>
      </w:r>
    </w:p>
    <w:p>
      <w:pPr>
        <w:pStyle w:val="125"/>
        <w:ind w:firstLine="520"/>
        <w:rPr>
          <w:rFonts w:ascii="宋体" w:hAnsi="宋体"/>
          <w:color w:val="000000" w:themeColor="text1"/>
          <w14:textFill>
            <w14:solidFill>
              <w14:schemeClr w14:val="tx1"/>
            </w14:solidFill>
          </w14:textFill>
        </w:rPr>
      </w:pPr>
      <w:r>
        <w:rPr>
          <w:color w:val="000000" w:themeColor="text1"/>
          <w14:textFill>
            <w14:solidFill>
              <w14:schemeClr w14:val="tx1"/>
            </w14:solidFill>
          </w14:textFill>
        </w:rPr>
        <w:t>地表水：</w:t>
      </w:r>
      <w:r>
        <w:rPr>
          <w:rFonts w:hint="eastAsia"/>
          <w:color w:val="000000" w:themeColor="text1"/>
          <w14:textFill>
            <w14:solidFill>
              <w14:schemeClr w14:val="tx1"/>
            </w14:solidFill>
          </w14:textFill>
        </w:rPr>
        <w:t>根据《202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年重庆市生态环境状况公报》，长江干流重庆段总体水质为优，</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个监测断面水质均达到II类水质。</w:t>
      </w:r>
      <w:r>
        <w:rPr>
          <w:color w:val="000000" w:themeColor="text1"/>
          <w14:textFill>
            <w14:solidFill>
              <w14:schemeClr w14:val="tx1"/>
            </w14:solidFill>
          </w14:textFill>
        </w:rPr>
        <w:t>本评价引用</w:t>
      </w:r>
      <w:r>
        <w:rPr>
          <w:rFonts w:hint="eastAsia"/>
          <w:color w:val="000000" w:themeColor="text1"/>
          <w14:textFill>
            <w14:solidFill>
              <w14:schemeClr w14:val="tx1"/>
            </w14:solidFill>
          </w14:textFill>
        </w:rPr>
        <w:t>《重庆涪陵工业园区龙桥组团规划调整环境影响报告书》中长江干流龙桥下游500m处监测断面的监测数据，证明长江干流龙桥下游500m断面各水质监测断面各监测因子均满足《地表水环境质量标准》（GB3838-2002）III类标准限值。</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地下水：评价引用《重庆涪陵工业园区龙桥组团规划调整环境影响报告书》中南岸浦片区水文地质单元内地下水的监测数据。各监测点位地下水水质满足地下水III类标准，区域地下水质量现状良好。</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土壤环境：由现状布点监测结果可知：</w:t>
      </w:r>
      <w:r>
        <w:rPr>
          <w:rFonts w:hint="eastAsia"/>
          <w:bCs/>
          <w:color w:val="000000" w:themeColor="text1"/>
          <w14:textFill>
            <w14:solidFill>
              <w14:schemeClr w14:val="tx1"/>
            </w14:solidFill>
          </w14:textFill>
        </w:rPr>
        <w:t>龙桥电厂厂区内土壤环境质量现状</w:t>
      </w:r>
      <w:r>
        <w:rPr>
          <w:rFonts w:hint="eastAsia"/>
          <w:color w:val="000000" w:themeColor="text1"/>
          <w14:textFill>
            <w14:solidFill>
              <w14:schemeClr w14:val="tx1"/>
            </w14:solidFill>
          </w14:textFill>
        </w:rPr>
        <w:t>《建设用地土壤污染风险管控标准（试行）》（GB36600-2018）二类用地筛选值标准。</w:t>
      </w:r>
    </w:p>
    <w:p>
      <w:pPr>
        <w:ind w:firstLine="520"/>
        <w:jc w:val="both"/>
        <w:rPr>
          <w:color w:val="000000" w:themeColor="text1"/>
          <w14:textFill>
            <w14:solidFill>
              <w14:schemeClr w14:val="tx1"/>
            </w14:solidFill>
          </w14:textFill>
        </w:rPr>
      </w:pPr>
      <w:r>
        <w:rPr>
          <w:color w:val="000000" w:themeColor="text1"/>
          <w14:textFill>
            <w14:solidFill>
              <w14:schemeClr w14:val="tx1"/>
            </w14:solidFill>
          </w14:textFill>
        </w:rPr>
        <w:t>声环境：项目所处区域昼夜间噪声监测值均能达到《声环境质量标准》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GB3096-2008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中3类标准，区域声环境质量</w:t>
      </w:r>
      <w:r>
        <w:rPr>
          <w:rFonts w:hint="eastAsia"/>
          <w:color w:val="000000" w:themeColor="text1"/>
          <w14:textFill>
            <w14:solidFill>
              <w14:schemeClr w14:val="tx1"/>
            </w14:solidFill>
          </w14:textFill>
        </w:rPr>
        <w:t>现状</w:t>
      </w:r>
      <w:r>
        <w:rPr>
          <w:color w:val="000000" w:themeColor="text1"/>
          <w14:textFill>
            <w14:solidFill>
              <w14:schemeClr w14:val="tx1"/>
            </w14:solidFill>
          </w14:textFill>
        </w:rPr>
        <w:t>良好。</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环境保护措施及环境影响预测结论</w:t>
      </w:r>
    </w:p>
    <w:p>
      <w:pPr>
        <w:pStyle w:val="5"/>
      </w:pPr>
      <w:r>
        <w:rPr>
          <w:rFonts w:hint="eastAsia"/>
        </w:rPr>
        <w:t>废气防治措施及环境影响</w:t>
      </w:r>
    </w:p>
    <w:bookmarkEnd w:id="192"/>
    <w:bookmarkEnd w:id="193"/>
    <w:p>
      <w:pPr>
        <w:pStyle w:val="125"/>
        <w:ind w:firstLine="520"/>
        <w:rPr>
          <w:color w:val="000000" w:themeColor="text1"/>
          <w14:textFill>
            <w14:solidFill>
              <w14:schemeClr w14:val="tx1"/>
            </w14:solidFill>
          </w14:textFill>
        </w:rPr>
      </w:pPr>
      <w:bookmarkStart w:id="194" w:name="_Toc179897106"/>
      <w:bookmarkStart w:id="195" w:name="_Toc179897506"/>
      <w:r>
        <w:rPr>
          <w:rFonts w:hint="eastAsia"/>
          <w:color w:val="000000" w:themeColor="text1"/>
          <w14:textFill>
            <w14:solidFill>
              <w14:schemeClr w14:val="tx1"/>
            </w14:solidFill>
          </w14:textFill>
        </w:rPr>
        <w:t>根据工程分析，本项目实施后不会导致锅炉排放废气中污染物种类和排放量的增加，除氯化氢排放量可能增加外，其他污染因子排放量均会略有减少，但变化量均极小。此外可能增加排放量的氯化氢，现有的烟气湿法脱硫和</w:t>
      </w:r>
      <w:r>
        <w:rPr>
          <w:color w:val="000000" w:themeColor="text1"/>
          <w14:textFill>
            <w14:solidFill>
              <w14:schemeClr w14:val="tx1"/>
            </w14:solidFill>
          </w14:textFill>
        </w:rPr>
        <w:t>SNCR</w:t>
      </w:r>
      <w:r>
        <w:rPr>
          <w:rFonts w:hint="eastAsia"/>
          <w:color w:val="000000" w:themeColor="text1"/>
          <w14:textFill>
            <w14:solidFill>
              <w14:schemeClr w14:val="tx1"/>
            </w14:solidFill>
          </w14:textFill>
        </w:rPr>
        <w:t>脱销均对其有较好的去除效果，因此继续利用原锅炉废气治理措施可行。</w:t>
      </w:r>
    </w:p>
    <w:p>
      <w:pPr>
        <w:pStyle w:val="125"/>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（1）脱硫措施</w:t>
      </w:r>
    </w:p>
    <w:p>
      <w:pPr>
        <w:pStyle w:val="125"/>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1125t/h</w:t>
      </w:r>
      <w:r>
        <w:rPr>
          <w:color w:val="000000" w:themeColor="text1"/>
          <w14:textFill>
            <w14:solidFill>
              <w14:schemeClr w14:val="tx1"/>
            </w14:solidFill>
          </w14:textFill>
        </w:rPr>
        <w:t>循环流化床锅炉采用炉内脱硫+炉后石灰石-石膏湿法脱硫相结合的</w:t>
      </w:r>
      <w:r>
        <w:rPr>
          <w:rFonts w:hint="eastAsia"/>
          <w:color w:val="000000" w:themeColor="text1"/>
          <w14:textFill>
            <w14:solidFill>
              <w14:schemeClr w14:val="tx1"/>
            </w14:solidFill>
          </w14:textFill>
        </w:rPr>
        <w:t>脱硫方案</w:t>
      </w:r>
      <w:r>
        <w:rPr>
          <w:color w:val="000000" w:themeColor="text1"/>
          <w14:textFill>
            <w14:solidFill>
              <w14:schemeClr w14:val="tx1"/>
            </w14:solidFill>
          </w14:textFill>
        </w:rPr>
        <w:t>，脱硫工艺采用北京清新环境技术股份有限公司SPC-3D一体化脱硫除尘深度净化技术，实现脱硫塔出口二氧化硫和颗粒物浓度达到超低排放（炉内脱硫效率60%，脱硫塔脱硫效率 99.42%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总体脱硫效率99.77%</w:t>
      </w:r>
      <w:r>
        <w:rPr>
          <w:rFonts w:hint="eastAsia"/>
          <w:color w:val="000000" w:themeColor="text1"/>
          <w14:textFill>
            <w14:solidFill>
              <w14:schemeClr w14:val="tx1"/>
            </w14:solidFill>
          </w14:textFill>
        </w:rPr>
        <w:t>）</w:t>
      </w:r>
    </w:p>
    <w:p>
      <w:pPr>
        <w:pStyle w:val="125"/>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（2）脱硝措施</w:t>
      </w:r>
    </w:p>
    <w:p>
      <w:pPr>
        <w:pStyle w:val="125"/>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1125t/h</w:t>
      </w:r>
      <w:r>
        <w:rPr>
          <w:color w:val="000000" w:themeColor="text1"/>
          <w14:textFill>
            <w14:solidFill>
              <w14:schemeClr w14:val="tx1"/>
            </w14:solidFill>
          </w14:textFill>
        </w:rPr>
        <w:t>循环流化床锅炉采用SNCR工艺脱硝设备</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还原剂采用尿素，出口氮氧化物浓度＜50mg/Nm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脱硝工艺包括尿素溶液制备系统（包括尿素溶解罐、尿素溶液储罐、 稀释水罐、尿素溶液输送泵等）、机组脱硝系统（稀释和计量分配系统、喷射系统等）及辅助设施。</w:t>
      </w:r>
    </w:p>
    <w:p>
      <w:pPr>
        <w:pStyle w:val="125"/>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（3）除尘措施</w:t>
      </w:r>
    </w:p>
    <w:p>
      <w:pPr>
        <w:pStyle w:val="125"/>
        <w:ind w:firstLine="520"/>
        <w:rPr>
          <w:color w:val="000000" w:themeColor="text1"/>
          <w14:textFill>
            <w14:solidFill>
              <w14:schemeClr w14:val="tx1"/>
            </w14:solidFill>
          </w14:textFill>
        </w:rPr>
      </w:pPr>
      <w:r>
        <w:rPr>
          <w:color w:val="000000" w:themeColor="text1"/>
          <w14:textFill>
            <w14:solidFill>
              <w14:schemeClr w14:val="tx1"/>
            </w14:solidFill>
          </w14:textFill>
        </w:rPr>
        <w:t>锅炉除尘器采用的是布袋除尘器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高铬氧复膜高效布袋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，除尘器分为 A/B 两侧，共 16个灰斗32个滤室，压缩空气+脉冲阀喷吹方式。</w:t>
      </w:r>
    </w:p>
    <w:p>
      <w:pPr>
        <w:pStyle w:val="5"/>
        <w:jc w:val="both"/>
      </w:pPr>
      <w:bookmarkStart w:id="196" w:name="_Toc179897497"/>
      <w:bookmarkStart w:id="197" w:name="_Toc179897097"/>
      <w:r>
        <w:rPr>
          <w:rFonts w:hint="eastAsia"/>
        </w:rPr>
        <w:t>废水防治措施及环境影响</w:t>
      </w:r>
    </w:p>
    <w:p>
      <w:pPr>
        <w:pStyle w:val="159"/>
        <w:ind w:firstLine="520"/>
        <w:rPr>
          <w:color w:val="000000" w:themeColor="text1"/>
          <w14:textFill>
            <w14:solidFill>
              <w14:schemeClr w14:val="tx1"/>
            </w14:solidFill>
          </w14:textFill>
        </w:rPr>
      </w:pPr>
      <w:r>
        <w:rPr>
          <w:rFonts w:hint="eastAsia"/>
          <w:color w:val="000000" w:themeColor="text1"/>
          <w:szCs w:val="26"/>
          <w14:textFill>
            <w14:solidFill>
              <w14:schemeClr w14:val="tx1"/>
            </w14:solidFill>
          </w14:textFill>
        </w:rPr>
        <w:t>每一槽车上料完毕后均需使用高温（9</w:t>
      </w:r>
      <w:r>
        <w:rPr>
          <w:color w:val="000000" w:themeColor="text1"/>
          <w:szCs w:val="26"/>
          <w14:textFill>
            <w14:solidFill>
              <w14:schemeClr w14:val="tx1"/>
            </w14:solidFill>
          </w14:textFill>
        </w:rPr>
        <w:t>0~100℃</w:t>
      </w:r>
      <w:r>
        <w:rPr>
          <w:rFonts w:hint="eastAsia"/>
          <w:color w:val="000000" w:themeColor="text1"/>
          <w:szCs w:val="26"/>
          <w14:textFill>
            <w14:solidFill>
              <w14:schemeClr w14:val="tx1"/>
            </w14:solidFill>
          </w14:textFill>
        </w:rPr>
        <w:t>）热水清洗槽车和上料系统（泵、管道），每次清洗水量</w:t>
      </w:r>
      <w:r>
        <w:rPr>
          <w:color w:val="000000" w:themeColor="text1"/>
          <w:szCs w:val="26"/>
          <w14:textFill>
            <w14:solidFill>
              <w14:schemeClr w14:val="tx1"/>
            </w14:solidFill>
          </w14:textFill>
        </w:rPr>
        <w:t>0.17</w:t>
      </w:r>
      <w:r>
        <w:rPr>
          <w:rFonts w:hint="eastAsia"/>
          <w:color w:val="000000" w:themeColor="text1"/>
          <w:szCs w:val="26"/>
          <w14:textFill>
            <w14:solidFill>
              <w14:schemeClr w14:val="tx1"/>
            </w14:solidFill>
          </w14:textFill>
        </w:rPr>
        <w:t>m³，年用水量</w:t>
      </w:r>
      <w:r>
        <w:rPr>
          <w:color w:val="000000" w:themeColor="text1"/>
          <w:szCs w:val="26"/>
          <w14:textFill>
            <w14:solidFill>
              <w14:schemeClr w14:val="tx1"/>
            </w14:solidFill>
          </w14:textFill>
        </w:rPr>
        <w:t>340</w:t>
      </w:r>
      <w:r>
        <w:rPr>
          <w:rFonts w:hint="eastAsia"/>
          <w:color w:val="000000" w:themeColor="text1"/>
          <w:szCs w:val="26"/>
          <w14:textFill>
            <w14:solidFill>
              <w14:schemeClr w14:val="tx1"/>
            </w14:solidFill>
          </w14:textFill>
        </w:rPr>
        <w:t>m³。冲洗水直接经喷枪喷入锅炉炉膛燃烧转化成水蒸气，无废水排放。</w:t>
      </w:r>
    </w:p>
    <w:p>
      <w:pPr>
        <w:pStyle w:val="5"/>
        <w:jc w:val="both"/>
      </w:pPr>
      <w:r>
        <w:rPr>
          <w:rFonts w:hint="eastAsia"/>
        </w:rPr>
        <w:t>噪声污染防治措施及环境影响</w:t>
      </w:r>
    </w:p>
    <w:p>
      <w:pPr>
        <w:spacing w:before="24"/>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本项目新增噪声源为2台供浆泵（一用一备）</w:t>
      </w:r>
      <w:r>
        <w:rPr>
          <w:color w:val="000000" w:themeColor="text1"/>
          <w14:textFill>
            <w14:solidFill>
              <w14:schemeClr w14:val="tx1"/>
            </w14:solidFill>
          </w14:textFill>
        </w:rPr>
        <w:t>，噪声</w:t>
      </w:r>
      <w:r>
        <w:rPr>
          <w:rFonts w:hint="eastAsia"/>
          <w:color w:val="000000" w:themeColor="text1"/>
          <w14:textFill>
            <w14:solidFill>
              <w14:schemeClr w14:val="tx1"/>
            </w14:solidFill>
          </w14:textFill>
        </w:rPr>
        <w:t>产生</w:t>
      </w:r>
      <w:r>
        <w:rPr>
          <w:color w:val="000000" w:themeColor="text1"/>
          <w14:textFill>
            <w14:solidFill>
              <w14:schemeClr w14:val="tx1"/>
            </w14:solidFill>
          </w14:textFill>
        </w:rPr>
        <w:t>源强约85dB</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通过采取减震基座可降低噪声源强1</w:t>
      </w:r>
      <w:r>
        <w:rPr>
          <w:color w:val="000000" w:themeColor="text1"/>
          <w14:textFill>
            <w14:solidFill>
              <w14:schemeClr w14:val="tx1"/>
            </w14:solidFill>
          </w14:textFill>
        </w:rPr>
        <w:t>5 dB</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)以上。经计算，技改后</w:t>
      </w:r>
      <w:r>
        <w:rPr>
          <w:color w:val="000000" w:themeColor="text1"/>
          <w:szCs w:val="26"/>
          <w14:textFill>
            <w14:solidFill>
              <w14:schemeClr w14:val="tx1"/>
            </w14:solidFill>
          </w14:textFill>
        </w:rPr>
        <w:t>各厂界噪声均可达到《工业企业厂界环境噪声排放标准》（GB12348-2008）</w:t>
      </w:r>
      <w:r>
        <w:rPr>
          <w:rFonts w:hint="eastAsia"/>
          <w:color w:val="000000" w:themeColor="text1"/>
          <w:szCs w:val="26"/>
          <w14:textFill>
            <w14:solidFill>
              <w14:schemeClr w14:val="tx1"/>
            </w14:solidFill>
          </w14:textFill>
        </w:rPr>
        <w:t>3类</w:t>
      </w:r>
      <w:r>
        <w:rPr>
          <w:color w:val="000000" w:themeColor="text1"/>
          <w:szCs w:val="26"/>
          <w14:textFill>
            <w14:solidFill>
              <w14:schemeClr w14:val="tx1"/>
            </w14:solidFill>
          </w14:textFill>
        </w:rPr>
        <w:t>标准。</w:t>
      </w:r>
    </w:p>
    <w:p>
      <w:pPr>
        <w:pStyle w:val="5"/>
        <w:jc w:val="both"/>
      </w:pPr>
      <w:r>
        <w:rPr>
          <w:rFonts w:hint="eastAsia"/>
        </w:rPr>
        <w:t>地下水土壤污染防治措施及环境影响</w:t>
      </w:r>
    </w:p>
    <w:bookmarkEnd w:id="196"/>
    <w:bookmarkEnd w:id="197"/>
    <w:p>
      <w:pPr>
        <w:pStyle w:val="125"/>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上料区地面使用防渗混凝土硬化处理，在阀门所在位置修建容积不小于0.2m³的接收池，池体内壁铺设防渗膜，并采用防渗混凝土硬化。避免散落和泄漏物质中的污染物渗入地下污染土壤和地下水。</w:t>
      </w:r>
    </w:p>
    <w:p>
      <w:pPr>
        <w:pStyle w:val="5"/>
        <w:jc w:val="both"/>
      </w:pPr>
      <w:bookmarkStart w:id="198" w:name="_Toc179897499"/>
      <w:bookmarkStart w:id="199" w:name="_Toc179897099"/>
      <w:r>
        <w:rPr>
          <w:rFonts w:hint="eastAsia"/>
        </w:rPr>
        <w:t>固体废物</w:t>
      </w:r>
      <w:bookmarkEnd w:id="198"/>
      <w:bookmarkEnd w:id="199"/>
      <w:r>
        <w:rPr>
          <w:rFonts w:hint="eastAsia"/>
        </w:rPr>
        <w:t>污染防治措施及环境影响</w:t>
      </w:r>
    </w:p>
    <w:p>
      <w:pPr>
        <w:ind w:firstLine="520"/>
        <w:jc w:val="both"/>
        <w:rPr>
          <w:color w:val="000000" w:themeColor="text1"/>
          <w14:textFill>
            <w14:solidFill>
              <w14:schemeClr w14:val="tx1"/>
            </w14:solidFill>
          </w14:textFill>
        </w:rPr>
      </w:pPr>
      <w:r>
        <w:rPr>
          <w:rFonts w:hint="eastAsia"/>
          <w:color w:val="000000" w:themeColor="text1"/>
          <w:szCs w:val="26"/>
          <w14:textFill>
            <w14:solidFill>
              <w14:schemeClr w14:val="tx1"/>
            </w14:solidFill>
          </w14:textFill>
        </w:rPr>
        <w:t>掺烧醇沉药渣后不会导致固体废物产生量的增加。项目不新增劳动定员，不会导致生活垃圾产生量增加。本技改项目无固体废物产生。</w:t>
      </w:r>
    </w:p>
    <w:p>
      <w:pPr>
        <w:pStyle w:val="5"/>
        <w:jc w:val="both"/>
      </w:pPr>
      <w:r>
        <w:rPr>
          <w:rFonts w:hint="eastAsia"/>
        </w:rPr>
        <w:t>环境风险</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（1）对上料系统定期检修，避免设备故障；每批次上料工作过程设专人值守，若发现物料泄漏及时关闭阀门并检修，检修完好后再继续作业。</w:t>
      </w:r>
    </w:p>
    <w:p>
      <w:pPr>
        <w:ind w:firstLine="5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（2）上料区地面使用防渗混凝土硬化处理，在阀门所在位置修建容积不小于0</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m³的接收池，池体内壁铺设防渗膜，并采用防渗混凝土硬化。若发生泄漏处理不及时的情况，可将泄漏物质全部收集在接收池内，然后转移至厂区内污水处理站处理。</w:t>
      </w:r>
    </w:p>
    <w:bookmarkEnd w:id="190"/>
    <w:bookmarkEnd w:id="191"/>
    <w:bookmarkEnd w:id="194"/>
    <w:bookmarkEnd w:id="195"/>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环境经济损益分析</w:t>
      </w:r>
    </w:p>
    <w:p>
      <w:pPr>
        <w:pStyle w:val="147"/>
        <w:rPr>
          <w:rFonts w:cs="Times New Roman"/>
          <w:color w:val="000000" w:themeColor="text1"/>
          <w:szCs w:val="26"/>
          <w14:textFill>
            <w14:solidFill>
              <w14:schemeClr w14:val="tx1"/>
            </w14:solidFill>
          </w14:textFill>
        </w:rPr>
      </w:pPr>
      <w:r>
        <w:rPr>
          <w:rFonts w:hint="eastAsia" w:cs="Times New Roman"/>
          <w:color w:val="000000" w:themeColor="text1"/>
          <w:szCs w:val="26"/>
          <w14:textFill>
            <w14:solidFill>
              <w14:schemeClr w14:val="tx1"/>
            </w14:solidFill>
          </w14:textFill>
        </w:rPr>
        <w:t>本项目的</w:t>
      </w:r>
      <w:r>
        <w:rPr>
          <w:rFonts w:cs="Times New Roman"/>
          <w:color w:val="000000" w:themeColor="text1"/>
          <w:szCs w:val="26"/>
          <w14:textFill>
            <w14:solidFill>
              <w14:schemeClr w14:val="tx1"/>
            </w14:solidFill>
          </w14:textFill>
        </w:rPr>
        <w:t>建设具有较好的经济-环境效益，</w:t>
      </w:r>
      <w:r>
        <w:rPr>
          <w:rFonts w:hint="eastAsia" w:cs="Times New Roman"/>
          <w:color w:val="000000" w:themeColor="text1"/>
          <w:szCs w:val="26"/>
          <w14:textFill>
            <w14:solidFill>
              <w14:schemeClr w14:val="tx1"/>
            </w14:solidFill>
          </w14:textFill>
        </w:rPr>
        <w:t>项目实施对环境带来的二次污染小，采取措施后可确保污染物达标排放，对环境的影响小。</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环境管理与监测计划</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项目实施后竣工环保验收阶段环境监测增加氯化氢、二噁英的监测，企业例行监测方案按现有监测方案执行。</w:t>
      </w:r>
    </w:p>
    <w:p>
      <w:pPr>
        <w:pStyle w:val="4"/>
        <w:rPr>
          <w:color w:val="000000" w:themeColor="text1"/>
          <w14:textFill>
            <w14:solidFill>
              <w14:schemeClr w14:val="tx1"/>
            </w14:solidFill>
          </w14:textFill>
        </w:rPr>
      </w:pPr>
      <w:bookmarkStart w:id="200" w:name="_Toc478482104"/>
      <w:bookmarkStart w:id="201" w:name="_Toc477891170"/>
      <w:r>
        <w:rPr>
          <w:rFonts w:hint="eastAsia"/>
          <w:color w:val="000000" w:themeColor="text1"/>
          <w14:textFill>
            <w14:solidFill>
              <w14:schemeClr w14:val="tx1"/>
            </w14:solidFill>
          </w14:textFill>
        </w:rPr>
        <w:t>总量控制</w:t>
      </w:r>
    </w:p>
    <w:p>
      <w:pPr>
        <w:pStyle w:val="147"/>
        <w:rPr>
          <w:rFonts w:cs="Times New Roman"/>
          <w:color w:val="000000" w:themeColor="text1"/>
          <w:szCs w:val="26"/>
          <w14:textFill>
            <w14:solidFill>
              <w14:schemeClr w14:val="tx1"/>
            </w14:solidFill>
          </w14:textFill>
        </w:rPr>
      </w:pPr>
      <w:r>
        <w:rPr>
          <w:rFonts w:hint="eastAsia" w:cs="Times New Roman"/>
          <w:color w:val="000000" w:themeColor="text1"/>
          <w:szCs w:val="26"/>
          <w14:textFill>
            <w14:solidFill>
              <w14:schemeClr w14:val="tx1"/>
            </w14:solidFill>
          </w14:textFill>
        </w:rPr>
        <w:t>本项目不增加污染物排放，不需设置总量控制指标。</w:t>
      </w:r>
    </w:p>
    <w:p>
      <w:pPr>
        <w:pStyle w:val="4"/>
        <w:rPr>
          <w:color w:val="000000" w:themeColor="text1"/>
          <w14:textFill>
            <w14:solidFill>
              <w14:schemeClr w14:val="tx1"/>
            </w14:solidFill>
          </w14:textFill>
        </w:rPr>
      </w:pPr>
      <w:r>
        <w:rPr>
          <w:color w:val="000000" w:themeColor="text1"/>
          <w14:textFill>
            <w14:solidFill>
              <w14:schemeClr w14:val="tx1"/>
            </w14:solidFill>
          </w14:textFill>
        </w:rPr>
        <w:t>环境影响可行性结论</w:t>
      </w:r>
      <w:bookmarkEnd w:id="200"/>
      <w:bookmarkEnd w:id="201"/>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项目建设符合国家相关产业政策、环保政策、重庆市工业项目环境准入规定，区域环境质量现状较好。项目采用先进的生产工艺和技术装备协同处置一般工业固体废物，具有显著的经济效益和环境效益，在严格落实本环评提出的预防环境污染和环境风险的措施的情况下，项目对环境的不利影响小。从环境角度分析，本项目建设可行。</w:t>
      </w:r>
    </w:p>
    <w:p>
      <w:pPr>
        <w:pStyle w:val="3"/>
      </w:pPr>
      <w:bookmarkStart w:id="202" w:name="_Toc109888293"/>
      <w:r>
        <w:rPr>
          <w:rFonts w:hint="eastAsia"/>
        </w:rPr>
        <w:t>公众意见采纳情况</w:t>
      </w:r>
      <w:bookmarkEnd w:id="202"/>
    </w:p>
    <w:p>
      <w:pPr>
        <w:pStyle w:val="147"/>
        <w:rPr>
          <w:rFonts w:cs="Times New Roman"/>
          <w:color w:val="000000" w:themeColor="text1"/>
          <w:szCs w:val="26"/>
          <w14:textFill>
            <w14:solidFill>
              <w14:schemeClr w14:val="tx1"/>
            </w14:solidFill>
          </w14:textFill>
        </w:rPr>
      </w:pPr>
      <w:r>
        <w:rPr>
          <w:rFonts w:hint="eastAsia" w:cs="Times New Roman"/>
          <w:color w:val="000000" w:themeColor="text1"/>
          <w:szCs w:val="26"/>
          <w14:textFill>
            <w14:solidFill>
              <w14:schemeClr w14:val="tx1"/>
            </w14:solidFill>
          </w14:textFill>
        </w:rPr>
        <w:t>2</w:t>
      </w:r>
      <w:r>
        <w:rPr>
          <w:rFonts w:cs="Times New Roman"/>
          <w:color w:val="000000" w:themeColor="text1"/>
          <w:szCs w:val="26"/>
          <w14:textFill>
            <w14:solidFill>
              <w14:schemeClr w14:val="tx1"/>
            </w14:solidFill>
          </w14:textFill>
        </w:rPr>
        <w:t>021</w:t>
      </w:r>
      <w:r>
        <w:rPr>
          <w:rFonts w:hint="eastAsia" w:cs="Times New Roman"/>
          <w:color w:val="000000" w:themeColor="text1"/>
          <w:szCs w:val="26"/>
          <w14:textFill>
            <w14:solidFill>
              <w14:schemeClr w14:val="tx1"/>
            </w14:solidFill>
          </w14:textFill>
        </w:rPr>
        <w:t>年1</w:t>
      </w:r>
      <w:r>
        <w:rPr>
          <w:rFonts w:cs="Times New Roman"/>
          <w:color w:val="000000" w:themeColor="text1"/>
          <w:szCs w:val="26"/>
          <w14:textFill>
            <w14:solidFill>
              <w14:schemeClr w14:val="tx1"/>
            </w14:solidFill>
          </w14:textFill>
        </w:rPr>
        <w:t>2</w:t>
      </w:r>
      <w:r>
        <w:rPr>
          <w:rFonts w:hint="eastAsia" w:cs="Times New Roman"/>
          <w:color w:val="000000" w:themeColor="text1"/>
          <w:szCs w:val="26"/>
          <w14:textFill>
            <w14:solidFill>
              <w14:schemeClr w14:val="tx1"/>
            </w14:solidFill>
          </w14:textFill>
        </w:rPr>
        <w:t>月1</w:t>
      </w:r>
      <w:r>
        <w:rPr>
          <w:rFonts w:cs="Times New Roman"/>
          <w:color w:val="000000" w:themeColor="text1"/>
          <w:szCs w:val="26"/>
          <w14:textFill>
            <w14:solidFill>
              <w14:schemeClr w14:val="tx1"/>
            </w14:solidFill>
          </w14:textFill>
        </w:rPr>
        <w:t>7</w:t>
      </w:r>
      <w:r>
        <w:rPr>
          <w:rFonts w:hint="eastAsia" w:cs="Times New Roman"/>
          <w:color w:val="000000" w:themeColor="text1"/>
          <w:szCs w:val="26"/>
          <w14:textFill>
            <w14:solidFill>
              <w14:schemeClr w14:val="tx1"/>
            </w14:solidFill>
          </w14:textFill>
        </w:rPr>
        <w:t>日</w:t>
      </w:r>
      <w:r>
        <w:rPr>
          <w:rFonts w:cs="Times New Roman"/>
          <w:color w:val="000000" w:themeColor="text1"/>
          <w:szCs w:val="26"/>
          <w14:textFill>
            <w14:solidFill>
              <w14:schemeClr w14:val="tx1"/>
            </w14:solidFill>
          </w14:textFill>
        </w:rPr>
        <w:t>至12</w:t>
      </w:r>
      <w:r>
        <w:rPr>
          <w:rFonts w:hint="eastAsia" w:cs="Times New Roman"/>
          <w:color w:val="000000" w:themeColor="text1"/>
          <w:szCs w:val="26"/>
          <w14:textFill>
            <w14:solidFill>
              <w14:schemeClr w14:val="tx1"/>
            </w14:solidFill>
          </w14:textFill>
        </w:rPr>
        <w:t>月</w:t>
      </w:r>
      <w:r>
        <w:rPr>
          <w:rFonts w:cs="Times New Roman"/>
          <w:color w:val="000000" w:themeColor="text1"/>
          <w:szCs w:val="26"/>
          <w14:textFill>
            <w14:solidFill>
              <w14:schemeClr w14:val="tx1"/>
            </w14:solidFill>
          </w14:textFill>
        </w:rPr>
        <w:t>31</w:t>
      </w:r>
      <w:r>
        <w:rPr>
          <w:rFonts w:hint="eastAsia" w:cs="Times New Roman"/>
          <w:color w:val="000000" w:themeColor="text1"/>
          <w:szCs w:val="26"/>
          <w14:textFill>
            <w14:solidFill>
              <w14:schemeClr w14:val="tx1"/>
            </w14:solidFill>
          </w14:textFill>
        </w:rPr>
        <w:t>日，建设单位在当地主流媒体网站涪陵在线（网址</w:t>
      </w:r>
      <w:r>
        <w:rPr>
          <w:rFonts w:cs="Times New Roman"/>
          <w:color w:val="000000" w:themeColor="text1"/>
          <w:szCs w:val="26"/>
          <w14:textFill>
            <w14:solidFill>
              <w14:schemeClr w14:val="tx1"/>
            </w14:solidFill>
          </w14:textFill>
        </w:rPr>
        <w:t>http://wap.fuling.com/wap/thread/view-thread/tid/2446571</w:t>
      </w:r>
      <w:r>
        <w:rPr>
          <w:rFonts w:hint="eastAsia" w:cs="Times New Roman"/>
          <w:color w:val="000000" w:themeColor="text1"/>
          <w:szCs w:val="26"/>
          <w14:textFill>
            <w14:solidFill>
              <w14:schemeClr w14:val="tx1"/>
            </w14:solidFill>
          </w14:textFill>
        </w:rPr>
        <w:t>）进行了本项目环评第一次信息公示，公示期＞1</w:t>
      </w:r>
      <w:r>
        <w:rPr>
          <w:rFonts w:cs="Times New Roman"/>
          <w:color w:val="000000" w:themeColor="text1"/>
          <w:szCs w:val="26"/>
          <w14:textFill>
            <w14:solidFill>
              <w14:schemeClr w14:val="tx1"/>
            </w14:solidFill>
          </w14:textFill>
        </w:rPr>
        <w:t>0</w:t>
      </w:r>
      <w:r>
        <w:rPr>
          <w:rFonts w:hint="eastAsia" w:cs="Times New Roman"/>
          <w:color w:val="000000" w:themeColor="text1"/>
          <w:szCs w:val="26"/>
          <w14:textFill>
            <w14:solidFill>
              <w14:schemeClr w14:val="tx1"/>
            </w14:solidFill>
          </w14:textFill>
        </w:rPr>
        <w:t>个工作日；</w:t>
      </w:r>
    </w:p>
    <w:p>
      <w:pPr>
        <w:pStyle w:val="147"/>
        <w:rPr>
          <w:rFonts w:cs="Times New Roman"/>
          <w:color w:val="000000" w:themeColor="text1"/>
          <w:szCs w:val="26"/>
          <w14:textFill>
            <w14:solidFill>
              <w14:schemeClr w14:val="tx1"/>
            </w14:solidFill>
          </w14:textFill>
        </w:rPr>
      </w:pPr>
      <w:r>
        <w:rPr>
          <w:rFonts w:hint="eastAsia" w:cs="Times New Roman"/>
          <w:color w:val="000000" w:themeColor="text1"/>
          <w:szCs w:val="26"/>
          <w14:textFill>
            <w14:solidFill>
              <w14:schemeClr w14:val="tx1"/>
            </w14:solidFill>
          </w14:textFill>
        </w:rPr>
        <w:t>2</w:t>
      </w:r>
      <w:r>
        <w:rPr>
          <w:rFonts w:cs="Times New Roman"/>
          <w:color w:val="000000" w:themeColor="text1"/>
          <w:szCs w:val="26"/>
          <w14:textFill>
            <w14:solidFill>
              <w14:schemeClr w14:val="tx1"/>
            </w14:solidFill>
          </w14:textFill>
        </w:rPr>
        <w:t>022</w:t>
      </w:r>
      <w:r>
        <w:rPr>
          <w:rFonts w:hint="eastAsia" w:cs="Times New Roman"/>
          <w:color w:val="000000" w:themeColor="text1"/>
          <w:szCs w:val="26"/>
          <w14:textFill>
            <w14:solidFill>
              <w14:schemeClr w14:val="tx1"/>
            </w14:solidFill>
          </w14:textFill>
        </w:rPr>
        <w:t>年7月1</w:t>
      </w:r>
      <w:r>
        <w:rPr>
          <w:rFonts w:cs="Times New Roman"/>
          <w:color w:val="000000" w:themeColor="text1"/>
          <w:szCs w:val="26"/>
          <w14:textFill>
            <w14:solidFill>
              <w14:schemeClr w14:val="tx1"/>
            </w14:solidFill>
          </w14:textFill>
        </w:rPr>
        <w:t>1</w:t>
      </w:r>
      <w:r>
        <w:rPr>
          <w:rFonts w:hint="eastAsia" w:cs="Times New Roman"/>
          <w:color w:val="000000" w:themeColor="text1"/>
          <w:szCs w:val="26"/>
          <w14:textFill>
            <w14:solidFill>
              <w14:schemeClr w14:val="tx1"/>
            </w14:solidFill>
          </w14:textFill>
        </w:rPr>
        <w:t>日起，环评报告初稿编制完成后，建设单位在其官方网站进行了征求意见稿公示，公示期为2</w:t>
      </w:r>
      <w:r>
        <w:rPr>
          <w:rFonts w:cs="Times New Roman"/>
          <w:color w:val="000000" w:themeColor="text1"/>
          <w:szCs w:val="26"/>
          <w14:textFill>
            <w14:solidFill>
              <w14:schemeClr w14:val="tx1"/>
            </w14:solidFill>
          </w14:textFill>
        </w:rPr>
        <w:t>022</w:t>
      </w:r>
      <w:r>
        <w:rPr>
          <w:rFonts w:hint="eastAsia" w:cs="Times New Roman"/>
          <w:color w:val="000000" w:themeColor="text1"/>
          <w:szCs w:val="26"/>
          <w14:textFill>
            <w14:solidFill>
              <w14:schemeClr w14:val="tx1"/>
            </w14:solidFill>
          </w14:textFill>
        </w:rPr>
        <w:t>年7月1</w:t>
      </w:r>
      <w:r>
        <w:rPr>
          <w:rFonts w:cs="Times New Roman"/>
          <w:color w:val="000000" w:themeColor="text1"/>
          <w:szCs w:val="26"/>
          <w14:textFill>
            <w14:solidFill>
              <w14:schemeClr w14:val="tx1"/>
            </w14:solidFill>
          </w14:textFill>
        </w:rPr>
        <w:t>1</w:t>
      </w:r>
      <w:r>
        <w:rPr>
          <w:rFonts w:hint="eastAsia" w:cs="Times New Roman"/>
          <w:color w:val="000000" w:themeColor="text1"/>
          <w:szCs w:val="26"/>
          <w14:textFill>
            <w14:solidFill>
              <w14:schemeClr w14:val="tx1"/>
            </w14:solidFill>
          </w14:textFill>
        </w:rPr>
        <w:t>日至2</w:t>
      </w:r>
      <w:r>
        <w:rPr>
          <w:rFonts w:cs="Times New Roman"/>
          <w:color w:val="000000" w:themeColor="text1"/>
          <w:szCs w:val="26"/>
          <w14:textFill>
            <w14:solidFill>
              <w14:schemeClr w14:val="tx1"/>
            </w14:solidFill>
          </w14:textFill>
        </w:rPr>
        <w:t>022</w:t>
      </w:r>
      <w:r>
        <w:rPr>
          <w:rFonts w:hint="eastAsia" w:cs="Times New Roman"/>
          <w:color w:val="000000" w:themeColor="text1"/>
          <w:szCs w:val="26"/>
          <w14:textFill>
            <w14:solidFill>
              <w14:schemeClr w14:val="tx1"/>
            </w14:solidFill>
          </w14:textFill>
        </w:rPr>
        <w:t>年7月2</w:t>
      </w:r>
      <w:r>
        <w:rPr>
          <w:rFonts w:cs="Times New Roman"/>
          <w:color w:val="000000" w:themeColor="text1"/>
          <w:szCs w:val="26"/>
          <w14:textFill>
            <w14:solidFill>
              <w14:schemeClr w14:val="tx1"/>
            </w14:solidFill>
          </w14:textFill>
        </w:rPr>
        <w:t>7</w:t>
      </w:r>
      <w:r>
        <w:rPr>
          <w:rFonts w:hint="eastAsia" w:cs="Times New Roman"/>
          <w:color w:val="000000" w:themeColor="text1"/>
          <w:szCs w:val="26"/>
          <w14:textFill>
            <w14:solidFill>
              <w14:schemeClr w14:val="tx1"/>
            </w14:solidFill>
          </w14:textFill>
        </w:rPr>
        <w:t>日，公示期＞1</w:t>
      </w:r>
      <w:r>
        <w:rPr>
          <w:rFonts w:cs="Times New Roman"/>
          <w:color w:val="000000" w:themeColor="text1"/>
          <w:szCs w:val="26"/>
          <w14:textFill>
            <w14:solidFill>
              <w14:schemeClr w14:val="tx1"/>
            </w14:solidFill>
          </w14:textFill>
        </w:rPr>
        <w:t>0</w:t>
      </w:r>
      <w:r>
        <w:rPr>
          <w:rFonts w:hint="eastAsia" w:cs="Times New Roman"/>
          <w:color w:val="000000" w:themeColor="text1"/>
          <w:szCs w:val="26"/>
          <w14:textFill>
            <w14:solidFill>
              <w14:schemeClr w14:val="tx1"/>
            </w14:solidFill>
          </w14:textFill>
        </w:rPr>
        <w:t>个工作日；</w:t>
      </w:r>
    </w:p>
    <w:p>
      <w:pPr>
        <w:pStyle w:val="147"/>
        <w:rPr>
          <w:rFonts w:cs="Times New Roman"/>
          <w:color w:val="000000" w:themeColor="text1"/>
          <w:szCs w:val="26"/>
          <w14:textFill>
            <w14:solidFill>
              <w14:schemeClr w14:val="tx1"/>
            </w14:solidFill>
          </w14:textFill>
        </w:rPr>
      </w:pPr>
      <w:bookmarkStart w:id="203" w:name="_Hlk109888680"/>
      <w:r>
        <w:rPr>
          <w:rFonts w:hint="eastAsia" w:cs="Times New Roman"/>
          <w:color w:val="000000" w:themeColor="text1"/>
          <w:szCs w:val="26"/>
          <w14:textFill>
            <w14:solidFill>
              <w14:schemeClr w14:val="tx1"/>
            </w14:solidFill>
          </w14:textFill>
        </w:rPr>
        <w:t>2</w:t>
      </w:r>
      <w:r>
        <w:rPr>
          <w:rFonts w:cs="Times New Roman"/>
          <w:color w:val="000000" w:themeColor="text1"/>
          <w:szCs w:val="26"/>
          <w14:textFill>
            <w14:solidFill>
              <w14:schemeClr w14:val="tx1"/>
            </w14:solidFill>
          </w14:textFill>
        </w:rPr>
        <w:t>022</w:t>
      </w:r>
      <w:r>
        <w:rPr>
          <w:rFonts w:hint="eastAsia" w:cs="Times New Roman"/>
          <w:color w:val="000000" w:themeColor="text1"/>
          <w:szCs w:val="26"/>
          <w14:textFill>
            <w14:solidFill>
              <w14:schemeClr w14:val="tx1"/>
            </w14:solidFill>
          </w14:textFill>
        </w:rPr>
        <w:t>年7月1</w:t>
      </w:r>
      <w:r>
        <w:rPr>
          <w:rFonts w:cs="Times New Roman"/>
          <w:color w:val="000000" w:themeColor="text1"/>
          <w:szCs w:val="26"/>
          <w14:textFill>
            <w14:solidFill>
              <w14:schemeClr w14:val="tx1"/>
            </w14:solidFill>
          </w14:textFill>
        </w:rPr>
        <w:t>9</w:t>
      </w:r>
      <w:r>
        <w:rPr>
          <w:rFonts w:hint="eastAsia" w:cs="Times New Roman"/>
          <w:color w:val="000000" w:themeColor="text1"/>
          <w:szCs w:val="26"/>
          <w14:textFill>
            <w14:solidFill>
              <w14:schemeClr w14:val="tx1"/>
            </w14:solidFill>
          </w14:textFill>
        </w:rPr>
        <w:t>日、2</w:t>
      </w:r>
      <w:r>
        <w:rPr>
          <w:rFonts w:cs="Times New Roman"/>
          <w:color w:val="000000" w:themeColor="text1"/>
          <w:szCs w:val="26"/>
          <w14:textFill>
            <w14:solidFill>
              <w14:schemeClr w14:val="tx1"/>
            </w14:solidFill>
          </w14:textFill>
        </w:rPr>
        <w:t>0</w:t>
      </w:r>
      <w:r>
        <w:rPr>
          <w:rFonts w:hint="eastAsia" w:cs="Times New Roman"/>
          <w:color w:val="000000" w:themeColor="text1"/>
          <w:szCs w:val="26"/>
          <w14:textFill>
            <w14:solidFill>
              <w14:schemeClr w14:val="tx1"/>
            </w14:solidFill>
          </w14:textFill>
        </w:rPr>
        <w:t>日，在重庆晨报</w:t>
      </w:r>
      <w:bookmarkStart w:id="206" w:name="_GoBack"/>
      <w:bookmarkEnd w:id="206"/>
      <w:r>
        <w:rPr>
          <w:rFonts w:hint="eastAsia" w:cs="Times New Roman"/>
          <w:color w:val="000000" w:themeColor="text1"/>
          <w:szCs w:val="26"/>
          <w14:textFill>
            <w14:solidFill>
              <w14:schemeClr w14:val="tx1"/>
            </w14:solidFill>
          </w14:textFill>
        </w:rPr>
        <w:t>连续2天刊登了环评公示信息；</w:t>
      </w:r>
      <w:bookmarkEnd w:id="203"/>
    </w:p>
    <w:p>
      <w:pPr>
        <w:pStyle w:val="147"/>
        <w:rPr>
          <w:rFonts w:cs="Times New Roman"/>
          <w:color w:val="000000" w:themeColor="text1"/>
          <w:szCs w:val="26"/>
          <w14:textFill>
            <w14:solidFill>
              <w14:schemeClr w14:val="tx1"/>
            </w14:solidFill>
          </w14:textFill>
        </w:rPr>
      </w:pPr>
      <w:r>
        <w:rPr>
          <w:rFonts w:hint="eastAsia" w:cs="Times New Roman"/>
          <w:color w:val="000000" w:themeColor="text1"/>
          <w:szCs w:val="26"/>
          <w14:textFill>
            <w14:solidFill>
              <w14:schemeClr w14:val="tx1"/>
            </w14:solidFill>
          </w14:textFill>
        </w:rPr>
        <w:t>2</w:t>
      </w:r>
      <w:r>
        <w:rPr>
          <w:rFonts w:cs="Times New Roman"/>
          <w:color w:val="000000" w:themeColor="text1"/>
          <w:szCs w:val="26"/>
          <w14:textFill>
            <w14:solidFill>
              <w14:schemeClr w14:val="tx1"/>
            </w14:solidFill>
          </w14:textFill>
        </w:rPr>
        <w:t>022</w:t>
      </w:r>
      <w:r>
        <w:rPr>
          <w:rFonts w:hint="eastAsia" w:cs="Times New Roman"/>
          <w:color w:val="000000" w:themeColor="text1"/>
          <w:szCs w:val="26"/>
          <w14:textFill>
            <w14:solidFill>
              <w14:schemeClr w14:val="tx1"/>
            </w14:solidFill>
          </w14:textFill>
        </w:rPr>
        <w:t>年7月2</w:t>
      </w:r>
      <w:r>
        <w:rPr>
          <w:rFonts w:cs="Times New Roman"/>
          <w:color w:val="000000" w:themeColor="text1"/>
          <w:szCs w:val="26"/>
          <w14:textFill>
            <w14:solidFill>
              <w14:schemeClr w14:val="tx1"/>
            </w14:solidFill>
          </w14:textFill>
        </w:rPr>
        <w:t>8</w:t>
      </w:r>
      <w:r>
        <w:rPr>
          <w:rFonts w:hint="eastAsia" w:cs="Times New Roman"/>
          <w:color w:val="000000" w:themeColor="text1"/>
          <w:szCs w:val="26"/>
          <w14:textFill>
            <w14:solidFill>
              <w14:schemeClr w14:val="tx1"/>
            </w14:solidFill>
          </w14:textFill>
        </w:rPr>
        <w:t>日，环评报告送当地主管部门审批前，建设单位在其官方网站进行了审批前公示，公示内容为环评报告（审批前公示稿）和公众参与说明。</w:t>
      </w:r>
    </w:p>
    <w:p>
      <w:pPr>
        <w:pStyle w:val="147"/>
        <w:rPr>
          <w:rFonts w:cs="Times New Roman"/>
          <w:color w:val="000000" w:themeColor="text1"/>
          <w:szCs w:val="26"/>
          <w14:textFill>
            <w14:solidFill>
              <w14:schemeClr w14:val="tx1"/>
            </w14:solidFill>
          </w14:textFill>
        </w:rPr>
      </w:pPr>
      <w:r>
        <w:rPr>
          <w:rFonts w:hint="eastAsia" w:cs="Times New Roman"/>
          <w:color w:val="000000" w:themeColor="text1"/>
          <w:szCs w:val="26"/>
          <w14:textFill>
            <w14:solidFill>
              <w14:schemeClr w14:val="tx1"/>
            </w14:solidFill>
          </w14:textFill>
        </w:rPr>
        <w:t>公示期内无公众及团体反馈调查表，亦未收到电话和电子邮件反馈意见和建议。</w:t>
      </w:r>
    </w:p>
    <w:p>
      <w:pPr>
        <w:pStyle w:val="147"/>
        <w:rPr>
          <w:color w:val="000000" w:themeColor="text1"/>
          <w14:textFill>
            <w14:solidFill>
              <w14:schemeClr w14:val="tx1"/>
            </w14:solidFill>
          </w14:textFill>
        </w:rPr>
      </w:pPr>
      <w:r>
        <w:rPr>
          <w:rFonts w:hint="eastAsia" w:cs="Times New Roman"/>
          <w:color w:val="000000" w:themeColor="text1"/>
          <w:szCs w:val="26"/>
          <w14:textFill>
            <w14:solidFill>
              <w14:schemeClr w14:val="tx1"/>
            </w14:solidFill>
          </w14:textFill>
        </w:rPr>
        <w:t>公示期结束后，项目名称和建设单位名称发生变更，但项目实施内容和规模均不变，因此原公众参与内容有效。在送审前（2</w:t>
      </w:r>
      <w:r>
        <w:rPr>
          <w:rFonts w:cs="Times New Roman"/>
          <w:color w:val="000000" w:themeColor="text1"/>
          <w:szCs w:val="26"/>
          <w14:textFill>
            <w14:solidFill>
              <w14:schemeClr w14:val="tx1"/>
            </w14:solidFill>
          </w14:textFill>
        </w:rPr>
        <w:t>023</w:t>
      </w:r>
      <w:r>
        <w:rPr>
          <w:rFonts w:hint="eastAsia" w:cs="Times New Roman"/>
          <w:color w:val="000000" w:themeColor="text1"/>
          <w:szCs w:val="26"/>
          <w14:textFill>
            <w14:solidFill>
              <w14:schemeClr w14:val="tx1"/>
            </w14:solidFill>
          </w14:textFill>
        </w:rPr>
        <w:t>年6月1</w:t>
      </w:r>
      <w:r>
        <w:rPr>
          <w:rFonts w:cs="Times New Roman"/>
          <w:color w:val="000000" w:themeColor="text1"/>
          <w:szCs w:val="26"/>
          <w14:textFill>
            <w14:solidFill>
              <w14:schemeClr w14:val="tx1"/>
            </w14:solidFill>
          </w14:textFill>
        </w:rPr>
        <w:t>4</w:t>
      </w:r>
      <w:r>
        <w:rPr>
          <w:rFonts w:hint="eastAsia" w:cs="Times New Roman"/>
          <w:color w:val="000000" w:themeColor="text1"/>
          <w:szCs w:val="26"/>
          <w14:textFill>
            <w14:solidFill>
              <w14:schemeClr w14:val="tx1"/>
            </w14:solidFill>
          </w14:textFill>
        </w:rPr>
        <w:t>日起），进行了审批前公示，公示期间未收到反馈意见和建议。</w:t>
      </w:r>
    </w:p>
    <w:p>
      <w:pPr>
        <w:widowControl/>
        <w:adjustRightInd/>
        <w:snapToGrid/>
        <w:spacing w:line="240" w:lineRule="auto"/>
        <w:ind w:firstLine="0" w:firstLineChars="0"/>
        <w:rPr>
          <w:rFonts w:ascii="Calibri" w:hAnsi="Calibri"/>
          <w:color w:val="000000" w:themeColor="text1"/>
          <w:kern w:val="0"/>
          <w:sz w:val="20"/>
          <w:szCs w:val="20"/>
          <w14:textFill>
            <w14:solidFill>
              <w14:schemeClr w14:val="tx1"/>
            </w14:solidFill>
          </w14:textFill>
        </w:rPr>
      </w:pPr>
    </w:p>
    <w:sectPr>
      <w:pgSz w:w="11906" w:h="16838"/>
      <w:pgMar w:top="1701" w:right="1588" w:bottom="1588" w:left="1588" w:header="1191" w:footer="1134"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20"/>
      </w:pPr>
      <w:r>
        <w:separator/>
      </w:r>
    </w:p>
  </w:endnote>
  <w:endnote w:type="continuationSeparator" w:id="1">
    <w:p>
      <w:pPr>
        <w:spacing w:line="240" w:lineRule="auto"/>
        <w:ind w:firstLine="5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71CED4B-1953-490D-B64F-4042C217646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E56C33F9-1944-4CA9-AC80-5413A5A5BF8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embedRegular r:id="rId3" w:fontKey="{5883726C-9AAA-45F5-8CD8-BF7E48F8DCEB}"/>
  </w:font>
  <w:font w:name="方正北魏楷书简体">
    <w:altName w:val="宋体"/>
    <w:panose1 w:val="00000000000000000000"/>
    <w:charset w:val="86"/>
    <w:family w:val="auto"/>
    <w:pitch w:val="default"/>
    <w:sig w:usb0="00000000" w:usb1="00000000" w:usb2="00000000" w:usb3="00000000" w:csb0="00040000" w:csb1="00000000"/>
  </w:font>
  <w:font w:name="Eras Demi ITC">
    <w:altName w:val="Segoe Print"/>
    <w:panose1 w:val="020B0805030504020804"/>
    <w:charset w:val="00"/>
    <w:family w:val="swiss"/>
    <w:pitch w:val="default"/>
    <w:sig w:usb0="00000000" w:usb1="00000000" w:usb2="00000000" w:usb3="00000000" w:csb0="00000001" w:csb1="00000000"/>
  </w:font>
  <w:font w:name="方正仿宋_GBK">
    <w:panose1 w:val="02000000000000000000"/>
    <w:charset w:val="86"/>
    <w:family w:val="script"/>
    <w:pitch w:val="default"/>
    <w:sig w:usb0="A00002BF" w:usb1="38CF7CFA" w:usb2="00082016" w:usb3="00000000" w:csb0="00040001" w:csb1="00000000"/>
    <w:embedRegular r:id="rId4" w:fontKey="{8A30CAC4-7FBE-4C01-BACB-6FBF4D126613}"/>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top w:val="none" w:color="auto" w:sz="0" w:space="0"/>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0"/>
    </w:pPr>
    <w:r>
      <w:t>第</w:t>
    </w:r>
    <w:r>
      <w:fldChar w:fldCharType="begin"/>
    </w:r>
    <w:r>
      <w:instrText xml:space="preserve">PAGE   \* MERGEFORMAT</w:instrText>
    </w:r>
    <w:r>
      <w:fldChar w:fldCharType="separate"/>
    </w:r>
    <w:r>
      <w:rPr>
        <w:lang w:val="zh-CN"/>
      </w:rPr>
      <w:t>46</w:t>
    </w:r>
    <w:r>
      <w:rPr>
        <w:lang w:val="zh-CN"/>
      </w:rPr>
      <w:fldChar w:fldCharType="end"/>
    </w:r>
    <w:r>
      <w:rPr>
        <w:lang w:val="zh-CN"/>
      </w:rPr>
      <w:t>页</w:t>
    </w:r>
    <w:r>
      <w:rPr>
        <w:rFonts w:hint="eastAsia"/>
      </w:rPr>
      <w:t xml:space="preserve">                      中煤科工重庆设计研究院（集团）有限公司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top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rPr>
      <w:t xml:space="preserve">              中煤科工重庆设计研究院（集团）有限公司                   第</w:t>
    </w:r>
    <w:r>
      <w:fldChar w:fldCharType="begin"/>
    </w:r>
    <w:r>
      <w:instrText xml:space="preserve">PAGE   \* MERGEFORMAT</w:instrText>
    </w:r>
    <w:r>
      <w:fldChar w:fldCharType="separate"/>
    </w:r>
    <w:r>
      <w:rPr>
        <w:lang w:val="zh-CN"/>
      </w:rPr>
      <w:t>III</w:t>
    </w:r>
    <w:r>
      <w:rPr>
        <w:lang w:val="zh-CN"/>
      </w:rPr>
      <w:fldChar w:fldCharType="end"/>
    </w:r>
    <w:r>
      <w:rPr>
        <w:lang w:val="zh-CN"/>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0"/>
    </w:pPr>
    <w:r>
      <w:rPr>
        <w:rFonts w:hint="eastAsia"/>
      </w:rPr>
      <w:t xml:space="preserve"> 第</w:t>
    </w:r>
    <w:r>
      <w:fldChar w:fldCharType="begin"/>
    </w:r>
    <w:r>
      <w:instrText xml:space="preserve">PAGE   \* MERGEFORMAT</w:instrText>
    </w:r>
    <w:r>
      <w:fldChar w:fldCharType="separate"/>
    </w:r>
    <w:r>
      <w:rPr>
        <w:lang w:val="zh-CN"/>
      </w:rPr>
      <w:t>II</w:t>
    </w:r>
    <w:r>
      <w:rPr>
        <w:lang w:val="zh-CN"/>
      </w:rPr>
      <w:fldChar w:fldCharType="end"/>
    </w:r>
    <w:r>
      <w:rPr>
        <w:rFonts w:hint="eastAsia"/>
      </w:rPr>
      <w:t xml:space="preserve"> 页                     中煤科工重庆设计研究院（集团）有限公司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rPr>
      <w:t xml:space="preserve">              中煤科工重庆设计研究院（集团）有限公司                   第</w:t>
    </w:r>
    <w:r>
      <w:fldChar w:fldCharType="begin"/>
    </w:r>
    <w:r>
      <w:instrText xml:space="preserve">PAGE   \* MERGEFORMAT</w:instrText>
    </w:r>
    <w:r>
      <w:fldChar w:fldCharType="separate"/>
    </w:r>
    <w:r>
      <w:rPr>
        <w:lang w:val="zh-CN"/>
      </w:rPr>
      <w:t>3</w:t>
    </w:r>
    <w:r>
      <w:rPr>
        <w:lang w:val="zh-CN"/>
      </w:rPr>
      <w:fldChar w:fldCharType="end"/>
    </w:r>
    <w:r>
      <w:rPr>
        <w:lang w:val="zh-CN"/>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0"/>
    </w:pPr>
    <w:r>
      <w:rPr>
        <w:rFonts w:hint="eastAsia"/>
      </w:rPr>
      <w:t xml:space="preserve"> 第</w:t>
    </w:r>
    <w:r>
      <w:fldChar w:fldCharType="begin"/>
    </w:r>
    <w:r>
      <w:instrText xml:space="preserve">PAGE   \* MERGEFORMAT</w:instrText>
    </w:r>
    <w:r>
      <w:fldChar w:fldCharType="separate"/>
    </w:r>
    <w:r>
      <w:rPr>
        <w:lang w:val="zh-CN"/>
      </w:rPr>
      <w:t>32</w:t>
    </w:r>
    <w:r>
      <w:rPr>
        <w:lang w:val="zh-CN"/>
      </w:rPr>
      <w:fldChar w:fldCharType="end"/>
    </w:r>
    <w:r>
      <w:rPr>
        <w:rFonts w:hint="eastAsia"/>
      </w:rPr>
      <w:t xml:space="preserve"> 页                     中煤科工重庆设计研究院（集团）有限公司</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2310" w:firstLineChars="1100"/>
    </w:pPr>
    <w:r>
      <w:rPr>
        <w:rFonts w:hint="eastAsia"/>
      </w:rPr>
      <w:t xml:space="preserve">中煤科工重庆设计研究院（集团）有限公司                </w:t>
    </w:r>
    <w:r>
      <w:t xml:space="preserve"> 第</w:t>
    </w:r>
    <w:r>
      <w:fldChar w:fldCharType="begin"/>
    </w:r>
    <w:r>
      <w:instrText xml:space="preserve">PAGE   \* MERGEFORMAT</w:instrText>
    </w:r>
    <w:r>
      <w:fldChar w:fldCharType="separate"/>
    </w:r>
    <w:r>
      <w:rPr>
        <w:lang w:val="zh-CN"/>
      </w:rPr>
      <w:t>31</w:t>
    </w:r>
    <w:r>
      <w:rPr>
        <w:lang w:val="zh-CN"/>
      </w:rPr>
      <w:fldChar w:fldCharType="end"/>
    </w:r>
    <w:r>
      <w:rPr>
        <w:lang w:val="zh-CN"/>
      </w:rPr>
      <w:t>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top w:val="single" w:color="auto" w:sz="4" w:space="2"/>
      </w:pBdr>
      <w:ind w:firstLine="2310" w:firstLineChars="1100"/>
    </w:pPr>
    <w:r>
      <w:rPr>
        <w:rFonts w:hint="eastAsia"/>
      </w:rPr>
      <w:t xml:space="preserve">中煤科工重庆设计研究院（集团）有限公司               </w:t>
    </w:r>
    <w:r>
      <w:t xml:space="preserve"> 第</w:t>
    </w:r>
    <w:r>
      <w:fldChar w:fldCharType="begin"/>
    </w:r>
    <w:r>
      <w:instrText xml:space="preserve">PAGE   \* MERGEFORMAT</w:instrText>
    </w:r>
    <w:r>
      <w:fldChar w:fldCharType="separate"/>
    </w:r>
    <w:r>
      <w:rPr>
        <w:lang w:val="zh-CN"/>
      </w:rPr>
      <w:t>35</w:t>
    </w:r>
    <w:r>
      <w:rPr>
        <w:lang w:val="zh-CN"/>
      </w:rPr>
      <w:fldChar w:fldCharType="end"/>
    </w:r>
    <w:r>
      <w:rPr>
        <w:lang w:val="zh-CN"/>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20"/>
      </w:pPr>
      <w:r>
        <w:separator/>
      </w:r>
    </w:p>
  </w:footnote>
  <w:footnote w:type="continuationSeparator" w:id="1">
    <w:p>
      <w:pPr>
        <w:spacing w:line="240" w:lineRule="auto"/>
        <w:ind w:firstLine="5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4" w:space="1"/>
      </w:pBdr>
    </w:pPr>
    <w:r>
      <w:rPr>
        <w:rFonts w:hint="eastAsia"/>
        <w:color w:val="000000"/>
      </w:rPr>
      <w:t>涪陵太极制药醇沉药渣焚烧处置项目环境影响报告书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4" w:space="1"/>
      </w:pBdr>
    </w:pPr>
    <w:r>
      <w:rPr>
        <w:rFonts w:hint="eastAsia"/>
        <w:color w:val="000000"/>
      </w:rPr>
      <w:t>涪陵太极制药醇沉药渣焚烧处置项目环境影响报告书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rFonts w:hint="eastAsia"/>
        <w:color w:val="000000"/>
      </w:rPr>
      <w:t>涪陵太极制药醇沉药渣焚烧处置项目环境影响报告书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bookmarkStart w:id="204" w:name="_Hlk134622106"/>
    <w:bookmarkStart w:id="205" w:name="_Hlk108362850"/>
    <w:r>
      <w:rPr>
        <w:rFonts w:hint="eastAsia"/>
        <w:color w:val="000000"/>
      </w:rPr>
      <w:t>涪陵太极制药醇沉药渣焚烧处置项目</w:t>
    </w:r>
    <w:bookmarkEnd w:id="204"/>
    <w:r>
      <w:rPr>
        <w:rFonts w:hint="eastAsia"/>
        <w:color w:val="000000"/>
      </w:rPr>
      <w:t>环境影响报告书</w:t>
    </w:r>
    <w:bookmarkEnd w:id="205"/>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rFonts w:hint="eastAsia"/>
        <w:color w:val="000000"/>
      </w:rPr>
      <w:t>涪陵太极制药醇沉药渣焚烧处置项目环境影响报告书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833"/>
        </w:tabs>
        <w:ind w:left="833" w:hanging="360" w:hangingChars="200"/>
      </w:pPr>
    </w:lvl>
  </w:abstractNum>
  <w:abstractNum w:abstractNumId="2">
    <w:nsid w:val="0FE752DF"/>
    <w:multiLevelType w:val="multilevel"/>
    <w:tmpl w:val="0FE752D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1115CEF"/>
    <w:multiLevelType w:val="multilevel"/>
    <w:tmpl w:val="11115CEF"/>
    <w:lvl w:ilvl="0" w:tentative="0">
      <w:start w:val="1"/>
      <w:numFmt w:val="decimal"/>
      <w:pStyle w:val="217"/>
      <w:suff w:val="nothing"/>
      <w:lvlText w:val="（%1）"/>
      <w:lvlJc w:val="left"/>
      <w:pPr>
        <w:ind w:left="0" w:firstLine="454"/>
      </w:pPr>
      <w:rPr>
        <w:rFonts w:hint="default" w:ascii="Times New Roman" w:hAnsi="Times New Roman" w:eastAsia="宋体"/>
        <w:b w:val="0"/>
        <w:i w:val="0"/>
        <w:strike w:val="0"/>
        <w:dstrike w:val="0"/>
        <w:color w:val="auto"/>
        <w:sz w:val="24"/>
        <w:u w:val="none"/>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EC23F4F"/>
    <w:multiLevelType w:val="multilevel"/>
    <w:tmpl w:val="1EC23F4F"/>
    <w:lvl w:ilvl="0" w:tentative="0">
      <w:start w:val="1"/>
      <w:numFmt w:val="decimal"/>
      <w:lvlText w:val="%1"/>
      <w:lvlJc w:val="left"/>
      <w:pPr>
        <w:ind w:left="2843" w:hanging="432"/>
      </w:pPr>
    </w:lvl>
    <w:lvl w:ilvl="1" w:tentative="0">
      <w:start w:val="1"/>
      <w:numFmt w:val="decimal"/>
      <w:lvlText w:val="%1.%2"/>
      <w:lvlJc w:val="left"/>
      <w:pPr>
        <w:ind w:left="718" w:hanging="576"/>
      </w:pPr>
    </w:lvl>
    <w:lvl w:ilvl="2" w:tentative="0">
      <w:start w:val="1"/>
      <w:numFmt w:val="decimal"/>
      <w:lvlText w:val="%1.%2.%3"/>
      <w:lvlJc w:val="left"/>
      <w:pPr>
        <w:ind w:left="720" w:hanging="720"/>
      </w:pPr>
      <w:rPr>
        <w:sz w:val="24"/>
        <w:szCs w:val="24"/>
      </w:r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5">
    <w:nsid w:val="32EA710C"/>
    <w:multiLevelType w:val="multilevel"/>
    <w:tmpl w:val="32EA710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3E629CB"/>
    <w:multiLevelType w:val="multilevel"/>
    <w:tmpl w:val="33E629C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5DA014B"/>
    <w:multiLevelType w:val="multilevel"/>
    <w:tmpl w:val="45DA014B"/>
    <w:lvl w:ilvl="0" w:tentative="0">
      <w:start w:val="1"/>
      <w:numFmt w:val="decimal"/>
      <w:pStyle w:val="77"/>
      <w:lvlText w:val="（%1）"/>
      <w:lvlJc w:val="left"/>
      <w:pPr>
        <w:ind w:left="620" w:hanging="420"/>
      </w:pPr>
      <w:rPr>
        <w:rFonts w:hint="eastAsia"/>
        <w:snapToGrid w:val="0"/>
        <w:positio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9271AF4"/>
    <w:multiLevelType w:val="multilevel"/>
    <w:tmpl w:val="49271AF4"/>
    <w:lvl w:ilvl="0" w:tentative="0">
      <w:start w:val="1"/>
      <w:numFmt w:val="decimal"/>
      <w:pStyle w:val="193"/>
      <w:suff w:val="nothing"/>
      <w:lvlText w:val="（%1）"/>
      <w:lvlJc w:val="left"/>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8032C83"/>
    <w:multiLevelType w:val="multilevel"/>
    <w:tmpl w:val="58032C83"/>
    <w:lvl w:ilvl="0" w:tentative="0">
      <w:start w:val="1"/>
      <w:numFmt w:val="decimal"/>
      <w:pStyle w:val="186"/>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0">
    <w:nsid w:val="63D3729B"/>
    <w:multiLevelType w:val="multilevel"/>
    <w:tmpl w:val="63D3729B"/>
    <w:lvl w:ilvl="0" w:tentative="0">
      <w:start w:val="1"/>
      <w:numFmt w:val="decimal"/>
      <w:suff w:val="nothing"/>
      <w:lvlText w:val="（%1）"/>
      <w:lvlJc w:val="left"/>
      <w:pPr>
        <w:ind w:left="567" w:hanging="47"/>
      </w:pPr>
      <w:rPr>
        <w:rFonts w:hint="default"/>
      </w:rPr>
    </w:lvl>
    <w:lvl w:ilvl="1" w:tentative="0">
      <w:start w:val="1"/>
      <w:numFmt w:val="lowerLetter"/>
      <w:lvlText w:val="%2)"/>
      <w:lvlJc w:val="left"/>
      <w:pPr>
        <w:ind w:left="1360" w:hanging="420"/>
      </w:pPr>
    </w:lvl>
    <w:lvl w:ilvl="2" w:tentative="0">
      <w:start w:val="1"/>
      <w:numFmt w:val="lowerRoman"/>
      <w:lvlText w:val="%3."/>
      <w:lvlJc w:val="right"/>
      <w:pPr>
        <w:ind w:left="1780" w:hanging="420"/>
      </w:pPr>
    </w:lvl>
    <w:lvl w:ilvl="3" w:tentative="0">
      <w:start w:val="1"/>
      <w:numFmt w:val="decimal"/>
      <w:lvlText w:val="%4."/>
      <w:lvlJc w:val="left"/>
      <w:pPr>
        <w:ind w:left="2200" w:hanging="420"/>
      </w:pPr>
    </w:lvl>
    <w:lvl w:ilvl="4" w:tentative="0">
      <w:start w:val="1"/>
      <w:numFmt w:val="lowerLetter"/>
      <w:lvlText w:val="%5)"/>
      <w:lvlJc w:val="left"/>
      <w:pPr>
        <w:ind w:left="2620" w:hanging="420"/>
      </w:pPr>
    </w:lvl>
    <w:lvl w:ilvl="5" w:tentative="0">
      <w:start w:val="1"/>
      <w:numFmt w:val="lowerRoman"/>
      <w:lvlText w:val="%6."/>
      <w:lvlJc w:val="right"/>
      <w:pPr>
        <w:ind w:left="3040" w:hanging="420"/>
      </w:pPr>
    </w:lvl>
    <w:lvl w:ilvl="6" w:tentative="0">
      <w:start w:val="1"/>
      <w:numFmt w:val="decimal"/>
      <w:lvlText w:val="%7."/>
      <w:lvlJc w:val="left"/>
      <w:pPr>
        <w:ind w:left="3460" w:hanging="420"/>
      </w:pPr>
    </w:lvl>
    <w:lvl w:ilvl="7" w:tentative="0">
      <w:start w:val="1"/>
      <w:numFmt w:val="lowerLetter"/>
      <w:lvlText w:val="%8)"/>
      <w:lvlJc w:val="left"/>
      <w:pPr>
        <w:ind w:left="3880" w:hanging="420"/>
      </w:pPr>
    </w:lvl>
    <w:lvl w:ilvl="8" w:tentative="0">
      <w:start w:val="1"/>
      <w:numFmt w:val="lowerRoman"/>
      <w:lvlText w:val="%9."/>
      <w:lvlJc w:val="right"/>
      <w:pPr>
        <w:ind w:left="4300" w:hanging="420"/>
      </w:pPr>
    </w:lvl>
  </w:abstractNum>
  <w:abstractNum w:abstractNumId="11">
    <w:nsid w:val="67B30F5B"/>
    <w:multiLevelType w:val="multilevel"/>
    <w:tmpl w:val="67B30F5B"/>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color w:val="auto"/>
      </w:rPr>
    </w:lvl>
    <w:lvl w:ilvl="3" w:tentative="0">
      <w:start w:val="1"/>
      <w:numFmt w:val="decimal"/>
      <w:pStyle w:val="127"/>
      <w:lvlText w:val="%1.%2.%3.%4."/>
      <w:lvlJc w:val="left"/>
      <w:pPr>
        <w:tabs>
          <w:tab w:val="left" w:pos="1751"/>
        </w:tabs>
        <w:ind w:left="17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2">
    <w:nsid w:val="69541C4E"/>
    <w:multiLevelType w:val="multilevel"/>
    <w:tmpl w:val="69541C4E"/>
    <w:lvl w:ilvl="0" w:tentative="0">
      <w:start w:val="1"/>
      <w:numFmt w:val="chineseCountingThousand"/>
      <w:suff w:val="nothing"/>
      <w:lvlText w:val="%1、"/>
      <w:lvlJc w:val="left"/>
      <w:pPr>
        <w:ind w:left="987" w:hanging="420"/>
      </w:pPr>
      <w:rPr>
        <w:rFonts w:hint="eastAsia"/>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3">
    <w:nsid w:val="73456D63"/>
    <w:multiLevelType w:val="multilevel"/>
    <w:tmpl w:val="73456D63"/>
    <w:lvl w:ilvl="0" w:tentative="0">
      <w:start w:val="1"/>
      <w:numFmt w:val="decimal"/>
      <w:lvlText w:val="（%1）"/>
      <w:lvlJc w:val="left"/>
      <w:pPr>
        <w:ind w:left="1240" w:hanging="720"/>
      </w:pPr>
      <w:rPr>
        <w:rFonts w:hint="default"/>
      </w:rPr>
    </w:lvl>
    <w:lvl w:ilvl="1" w:tentative="0">
      <w:start w:val="1"/>
      <w:numFmt w:val="decimalEnclosedCircle"/>
      <w:lvlText w:val="%2"/>
      <w:lvlJc w:val="left"/>
      <w:pPr>
        <w:ind w:left="1300" w:hanging="360"/>
      </w:pPr>
      <w:rPr>
        <w:rFonts w:hint="default" w:ascii="宋体" w:hAnsi="宋体"/>
      </w:rPr>
    </w:lvl>
    <w:lvl w:ilvl="2" w:tentative="0">
      <w:start w:val="1"/>
      <w:numFmt w:val="lowerRoman"/>
      <w:lvlText w:val="%3."/>
      <w:lvlJc w:val="right"/>
      <w:pPr>
        <w:ind w:left="1780" w:hanging="420"/>
      </w:pPr>
    </w:lvl>
    <w:lvl w:ilvl="3" w:tentative="0">
      <w:start w:val="1"/>
      <w:numFmt w:val="decimal"/>
      <w:lvlText w:val="%4."/>
      <w:lvlJc w:val="left"/>
      <w:pPr>
        <w:ind w:left="2200" w:hanging="420"/>
      </w:pPr>
    </w:lvl>
    <w:lvl w:ilvl="4" w:tentative="0">
      <w:start w:val="1"/>
      <w:numFmt w:val="lowerLetter"/>
      <w:lvlText w:val="%5)"/>
      <w:lvlJc w:val="left"/>
      <w:pPr>
        <w:ind w:left="2620" w:hanging="420"/>
      </w:pPr>
    </w:lvl>
    <w:lvl w:ilvl="5" w:tentative="0">
      <w:start w:val="1"/>
      <w:numFmt w:val="lowerRoman"/>
      <w:lvlText w:val="%6."/>
      <w:lvlJc w:val="right"/>
      <w:pPr>
        <w:ind w:left="3040" w:hanging="420"/>
      </w:pPr>
    </w:lvl>
    <w:lvl w:ilvl="6" w:tentative="0">
      <w:start w:val="1"/>
      <w:numFmt w:val="decimal"/>
      <w:lvlText w:val="%7."/>
      <w:lvlJc w:val="left"/>
      <w:pPr>
        <w:ind w:left="3460" w:hanging="420"/>
      </w:pPr>
    </w:lvl>
    <w:lvl w:ilvl="7" w:tentative="0">
      <w:start w:val="1"/>
      <w:numFmt w:val="lowerLetter"/>
      <w:lvlText w:val="%8)"/>
      <w:lvlJc w:val="left"/>
      <w:pPr>
        <w:ind w:left="3880" w:hanging="420"/>
      </w:pPr>
    </w:lvl>
    <w:lvl w:ilvl="8" w:tentative="0">
      <w:start w:val="1"/>
      <w:numFmt w:val="lowerRoman"/>
      <w:lvlText w:val="%9."/>
      <w:lvlJc w:val="right"/>
      <w:pPr>
        <w:ind w:left="4300" w:hanging="420"/>
      </w:pPr>
    </w:lvl>
  </w:abstractNum>
  <w:abstractNum w:abstractNumId="14">
    <w:nsid w:val="7B4A2615"/>
    <w:multiLevelType w:val="multilevel"/>
    <w:tmpl w:val="7B4A2615"/>
    <w:lvl w:ilvl="0" w:tentative="0">
      <w:start w:val="1"/>
      <w:numFmt w:val="decimal"/>
      <w:pStyle w:val="2"/>
      <w:lvlText w:val="%1"/>
      <w:lvlJc w:val="left"/>
      <w:pPr>
        <w:ind w:left="0" w:firstLine="0"/>
      </w:pPr>
      <w:rPr>
        <w:rFonts w:hint="eastAsia"/>
      </w:rPr>
    </w:lvl>
    <w:lvl w:ilvl="1" w:tentative="0">
      <w:start w:val="1"/>
      <w:numFmt w:val="decimal"/>
      <w:pStyle w:val="3"/>
      <w:suff w:val="space"/>
      <w:lvlText w:val="%1.%2"/>
      <w:lvlJc w:val="left"/>
      <w:pPr>
        <w:ind w:left="567" w:firstLine="0"/>
      </w:pPr>
      <w:rPr>
        <w:rFonts w:hint="eastAsia"/>
        <w:color w:val="auto"/>
      </w:rPr>
    </w:lvl>
    <w:lvl w:ilvl="2" w:tentative="0">
      <w:start w:val="1"/>
      <w:numFmt w:val="decimal"/>
      <w:pStyle w:val="4"/>
      <w:suff w:val="space"/>
      <w:lvlText w:val="%1.%2.%3"/>
      <w:lvlJc w:val="left"/>
      <w:pPr>
        <w:ind w:left="426" w:firstLine="0"/>
      </w:pPr>
      <w:rPr>
        <w:rFonts w:hint="eastAsia"/>
      </w:rPr>
    </w:lvl>
    <w:lvl w:ilvl="3" w:tentative="0">
      <w:start w:val="1"/>
      <w:numFmt w:val="decimal"/>
      <w:pStyle w:val="5"/>
      <w:suff w:val="space"/>
      <w:lvlText w:val="%1.%2.%3.%4"/>
      <w:lvlJc w:val="left"/>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lvlRestart w:val="2"/>
      <w:pStyle w:val="39"/>
      <w:suff w:val="space"/>
      <w:lvlText w:val="表%1.%2-%5"/>
      <w:lvlJc w:val="center"/>
      <w:pPr>
        <w:ind w:left="3686" w:firstLine="284"/>
      </w:pPr>
      <w:rPr>
        <w:sz w:val="26"/>
        <w:szCs w:val="26"/>
      </w:rPr>
    </w:lvl>
    <w:lvl w:ilvl="5" w:tentative="0">
      <w:start w:val="1"/>
      <w:numFmt w:val="decimal"/>
      <w:pStyle w:val="7"/>
      <w:lvlText w:val="%1.%2.%3.%4.%5.%6"/>
      <w:lvlJc w:val="left"/>
      <w:pPr>
        <w:ind w:left="0" w:firstLine="0"/>
      </w:pPr>
      <w:rPr>
        <w:rFonts w:hint="eastAsia"/>
      </w:rPr>
    </w:lvl>
    <w:lvl w:ilvl="6" w:tentative="0">
      <w:start w:val="1"/>
      <w:numFmt w:val="decimal"/>
      <w:pStyle w:val="8"/>
      <w:lvlText w:val="%1.%2.%3.%4.%5.%6.%7"/>
      <w:lvlJc w:val="left"/>
      <w:pPr>
        <w:ind w:left="0" w:firstLine="0"/>
      </w:pPr>
      <w:rPr>
        <w:rFonts w:hint="eastAsia"/>
      </w:rPr>
    </w:lvl>
    <w:lvl w:ilvl="7" w:tentative="0">
      <w:start w:val="1"/>
      <w:numFmt w:val="decimal"/>
      <w:pStyle w:val="9"/>
      <w:lvlText w:val="%1.%2.%3.%4.%5.%6.%7.%8"/>
      <w:lvlJc w:val="left"/>
      <w:pPr>
        <w:ind w:left="0" w:firstLine="0"/>
      </w:pPr>
      <w:rPr>
        <w:rFonts w:hint="eastAsia"/>
      </w:rPr>
    </w:lvl>
    <w:lvl w:ilvl="8" w:tentative="0">
      <w:start w:val="1"/>
      <w:numFmt w:val="decimal"/>
      <w:pStyle w:val="10"/>
      <w:lvlText w:val="%1.%2.%3.%4.%5.%6.%7.%8.%9"/>
      <w:lvlJc w:val="left"/>
      <w:pPr>
        <w:ind w:left="0" w:firstLine="0"/>
      </w:pPr>
      <w:rPr>
        <w:rFonts w:hint="eastAsia"/>
      </w:rPr>
    </w:lvl>
  </w:abstractNum>
  <w:abstractNum w:abstractNumId="15">
    <w:nsid w:val="7FBE034A"/>
    <w:multiLevelType w:val="multilevel"/>
    <w:tmpl w:val="7FBE034A"/>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14"/>
  </w:num>
  <w:num w:numId="2">
    <w:abstractNumId w:val="15"/>
  </w:num>
  <w:num w:numId="3">
    <w:abstractNumId w:val="0"/>
  </w:num>
  <w:num w:numId="4">
    <w:abstractNumId w:val="1"/>
  </w:num>
  <w:num w:numId="5">
    <w:abstractNumId w:val="7"/>
  </w:num>
  <w:num w:numId="6">
    <w:abstractNumId w:val="11"/>
  </w:num>
  <w:num w:numId="7">
    <w:abstractNumId w:val="9"/>
  </w:num>
  <w:num w:numId="8">
    <w:abstractNumId w:val="8"/>
  </w:num>
  <w:num w:numId="9">
    <w:abstractNumId w:val="3"/>
  </w:num>
  <w:num w:numId="10">
    <w:abstractNumId w:val="12"/>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num>
  <w:num w:numId="13">
    <w:abstractNumId w:val="8"/>
    <w:lvlOverride w:ilvl="0">
      <w:startOverride w:val="1"/>
    </w:lvlOverride>
  </w:num>
  <w:num w:numId="14">
    <w:abstractNumId w:val="10"/>
  </w:num>
  <w:num w:numId="15">
    <w:abstractNumId w:val="13"/>
  </w:num>
  <w:num w:numId="16">
    <w:abstractNumId w:val="2"/>
  </w:num>
  <w:num w:numId="17">
    <w:abstractNumId w:val="6"/>
  </w:num>
  <w:num w:numId="18">
    <w:abstractNumId w:val="5"/>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evenAndOddHeaders w:val="1"/>
  <w:drawingGridHorizontalSpacing w:val="130"/>
  <w:drawingGridVerticalSpacing w:val="177"/>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MyM2VhMjBmM2YyZDY4MGZiMGE2NTg2M2Y4ZjQzMTMifQ=="/>
  </w:docVars>
  <w:rsids>
    <w:rsidRoot w:val="00DD2C54"/>
    <w:rsid w:val="000000A5"/>
    <w:rsid w:val="000017B9"/>
    <w:rsid w:val="00001B82"/>
    <w:rsid w:val="00001DD8"/>
    <w:rsid w:val="00001ECC"/>
    <w:rsid w:val="000023CF"/>
    <w:rsid w:val="0000262F"/>
    <w:rsid w:val="00002BD3"/>
    <w:rsid w:val="000032C8"/>
    <w:rsid w:val="00003696"/>
    <w:rsid w:val="00004131"/>
    <w:rsid w:val="0000414B"/>
    <w:rsid w:val="00004271"/>
    <w:rsid w:val="000049AA"/>
    <w:rsid w:val="000051E8"/>
    <w:rsid w:val="000054D5"/>
    <w:rsid w:val="000055FE"/>
    <w:rsid w:val="000056FB"/>
    <w:rsid w:val="000057A4"/>
    <w:rsid w:val="00005AA4"/>
    <w:rsid w:val="000068A9"/>
    <w:rsid w:val="00006F85"/>
    <w:rsid w:val="0000721D"/>
    <w:rsid w:val="00007E71"/>
    <w:rsid w:val="00010069"/>
    <w:rsid w:val="00010085"/>
    <w:rsid w:val="00010A6A"/>
    <w:rsid w:val="00011333"/>
    <w:rsid w:val="00011F89"/>
    <w:rsid w:val="00012300"/>
    <w:rsid w:val="00013104"/>
    <w:rsid w:val="000139D0"/>
    <w:rsid w:val="00014179"/>
    <w:rsid w:val="000146CB"/>
    <w:rsid w:val="0001499B"/>
    <w:rsid w:val="00014DB7"/>
    <w:rsid w:val="00015C0C"/>
    <w:rsid w:val="00015DB8"/>
    <w:rsid w:val="00015EC0"/>
    <w:rsid w:val="000160A2"/>
    <w:rsid w:val="00016921"/>
    <w:rsid w:val="00016DE3"/>
    <w:rsid w:val="00017003"/>
    <w:rsid w:val="0001772A"/>
    <w:rsid w:val="000208DD"/>
    <w:rsid w:val="00020AF3"/>
    <w:rsid w:val="00020C63"/>
    <w:rsid w:val="00020DAB"/>
    <w:rsid w:val="00020F84"/>
    <w:rsid w:val="0002132C"/>
    <w:rsid w:val="00022006"/>
    <w:rsid w:val="0002240B"/>
    <w:rsid w:val="00022446"/>
    <w:rsid w:val="00022904"/>
    <w:rsid w:val="00022AA9"/>
    <w:rsid w:val="00022E00"/>
    <w:rsid w:val="00023471"/>
    <w:rsid w:val="000237C1"/>
    <w:rsid w:val="00023DFF"/>
    <w:rsid w:val="00023ECD"/>
    <w:rsid w:val="00024258"/>
    <w:rsid w:val="000246C1"/>
    <w:rsid w:val="00024E3C"/>
    <w:rsid w:val="000254DC"/>
    <w:rsid w:val="00025652"/>
    <w:rsid w:val="0002568D"/>
    <w:rsid w:val="000258A2"/>
    <w:rsid w:val="00025978"/>
    <w:rsid w:val="00025E66"/>
    <w:rsid w:val="0002649E"/>
    <w:rsid w:val="0002680E"/>
    <w:rsid w:val="000269F7"/>
    <w:rsid w:val="00026A3F"/>
    <w:rsid w:val="00026C9F"/>
    <w:rsid w:val="000270C4"/>
    <w:rsid w:val="00027226"/>
    <w:rsid w:val="000272AD"/>
    <w:rsid w:val="00027619"/>
    <w:rsid w:val="000277EC"/>
    <w:rsid w:val="00027BA2"/>
    <w:rsid w:val="00027F32"/>
    <w:rsid w:val="0003066B"/>
    <w:rsid w:val="00030840"/>
    <w:rsid w:val="0003096A"/>
    <w:rsid w:val="00031745"/>
    <w:rsid w:val="0003180F"/>
    <w:rsid w:val="00032703"/>
    <w:rsid w:val="0003284E"/>
    <w:rsid w:val="00032980"/>
    <w:rsid w:val="00032A81"/>
    <w:rsid w:val="00032A83"/>
    <w:rsid w:val="00032FD7"/>
    <w:rsid w:val="00033CD8"/>
    <w:rsid w:val="00033EF9"/>
    <w:rsid w:val="0003404D"/>
    <w:rsid w:val="00035217"/>
    <w:rsid w:val="00035A3F"/>
    <w:rsid w:val="0003602E"/>
    <w:rsid w:val="00036652"/>
    <w:rsid w:val="00036A9D"/>
    <w:rsid w:val="00036C69"/>
    <w:rsid w:val="00036D8D"/>
    <w:rsid w:val="00037066"/>
    <w:rsid w:val="00037C84"/>
    <w:rsid w:val="00037E6A"/>
    <w:rsid w:val="0004044F"/>
    <w:rsid w:val="00040511"/>
    <w:rsid w:val="000408F8"/>
    <w:rsid w:val="00040BB2"/>
    <w:rsid w:val="00041320"/>
    <w:rsid w:val="0004152C"/>
    <w:rsid w:val="000415A4"/>
    <w:rsid w:val="00041687"/>
    <w:rsid w:val="00041952"/>
    <w:rsid w:val="00041ECF"/>
    <w:rsid w:val="00041F8D"/>
    <w:rsid w:val="00042ED1"/>
    <w:rsid w:val="00043B70"/>
    <w:rsid w:val="00043E94"/>
    <w:rsid w:val="00043FBD"/>
    <w:rsid w:val="00044393"/>
    <w:rsid w:val="00045C35"/>
    <w:rsid w:val="00045DE3"/>
    <w:rsid w:val="00046436"/>
    <w:rsid w:val="00046E92"/>
    <w:rsid w:val="00047C3E"/>
    <w:rsid w:val="000507D5"/>
    <w:rsid w:val="0005123B"/>
    <w:rsid w:val="0005169B"/>
    <w:rsid w:val="00051798"/>
    <w:rsid w:val="00051ABA"/>
    <w:rsid w:val="0005213A"/>
    <w:rsid w:val="000523D1"/>
    <w:rsid w:val="00052EDB"/>
    <w:rsid w:val="00053441"/>
    <w:rsid w:val="00053D65"/>
    <w:rsid w:val="00053F9E"/>
    <w:rsid w:val="00054AD8"/>
    <w:rsid w:val="00054BE9"/>
    <w:rsid w:val="00055054"/>
    <w:rsid w:val="00055685"/>
    <w:rsid w:val="00055B69"/>
    <w:rsid w:val="00055EBF"/>
    <w:rsid w:val="00055F44"/>
    <w:rsid w:val="00056B2B"/>
    <w:rsid w:val="00057414"/>
    <w:rsid w:val="00060919"/>
    <w:rsid w:val="00060B8A"/>
    <w:rsid w:val="0006118A"/>
    <w:rsid w:val="000613F8"/>
    <w:rsid w:val="0006192E"/>
    <w:rsid w:val="00061DB2"/>
    <w:rsid w:val="0006220D"/>
    <w:rsid w:val="000622DB"/>
    <w:rsid w:val="000639AF"/>
    <w:rsid w:val="00063BE0"/>
    <w:rsid w:val="00063C4A"/>
    <w:rsid w:val="00063EBE"/>
    <w:rsid w:val="000640CA"/>
    <w:rsid w:val="000648FE"/>
    <w:rsid w:val="00065251"/>
    <w:rsid w:val="00065961"/>
    <w:rsid w:val="000659F1"/>
    <w:rsid w:val="00066171"/>
    <w:rsid w:val="00066FAF"/>
    <w:rsid w:val="0006710D"/>
    <w:rsid w:val="000671E1"/>
    <w:rsid w:val="0006725D"/>
    <w:rsid w:val="000673A3"/>
    <w:rsid w:val="0007051A"/>
    <w:rsid w:val="0007068E"/>
    <w:rsid w:val="0007071F"/>
    <w:rsid w:val="00070AFE"/>
    <w:rsid w:val="00070B42"/>
    <w:rsid w:val="00070BFF"/>
    <w:rsid w:val="00070DAF"/>
    <w:rsid w:val="0007108D"/>
    <w:rsid w:val="00071352"/>
    <w:rsid w:val="000714C3"/>
    <w:rsid w:val="00071AB0"/>
    <w:rsid w:val="00071B21"/>
    <w:rsid w:val="000721C8"/>
    <w:rsid w:val="000729A0"/>
    <w:rsid w:val="00072A4F"/>
    <w:rsid w:val="00072DD8"/>
    <w:rsid w:val="00072E2D"/>
    <w:rsid w:val="00072E2F"/>
    <w:rsid w:val="0007376D"/>
    <w:rsid w:val="00073ABD"/>
    <w:rsid w:val="00073B9C"/>
    <w:rsid w:val="00074A99"/>
    <w:rsid w:val="00075654"/>
    <w:rsid w:val="00075866"/>
    <w:rsid w:val="0007591F"/>
    <w:rsid w:val="000759F4"/>
    <w:rsid w:val="00075B96"/>
    <w:rsid w:val="00075C30"/>
    <w:rsid w:val="0007675A"/>
    <w:rsid w:val="00076E53"/>
    <w:rsid w:val="0007713B"/>
    <w:rsid w:val="0007766E"/>
    <w:rsid w:val="00077781"/>
    <w:rsid w:val="000778FA"/>
    <w:rsid w:val="00077B2C"/>
    <w:rsid w:val="000806D7"/>
    <w:rsid w:val="00080821"/>
    <w:rsid w:val="00080BA8"/>
    <w:rsid w:val="00080C74"/>
    <w:rsid w:val="00081137"/>
    <w:rsid w:val="00081A73"/>
    <w:rsid w:val="0008216E"/>
    <w:rsid w:val="0008250A"/>
    <w:rsid w:val="00082881"/>
    <w:rsid w:val="0008296A"/>
    <w:rsid w:val="00082DFD"/>
    <w:rsid w:val="00082F96"/>
    <w:rsid w:val="0008305A"/>
    <w:rsid w:val="0008315B"/>
    <w:rsid w:val="000838CE"/>
    <w:rsid w:val="000838D1"/>
    <w:rsid w:val="00083B1A"/>
    <w:rsid w:val="00083BBB"/>
    <w:rsid w:val="0008419D"/>
    <w:rsid w:val="000844B1"/>
    <w:rsid w:val="00084F70"/>
    <w:rsid w:val="000850DF"/>
    <w:rsid w:val="00085716"/>
    <w:rsid w:val="000858D2"/>
    <w:rsid w:val="00085DFC"/>
    <w:rsid w:val="00085FC4"/>
    <w:rsid w:val="00085FF4"/>
    <w:rsid w:val="00086517"/>
    <w:rsid w:val="000865D6"/>
    <w:rsid w:val="00087782"/>
    <w:rsid w:val="0009011F"/>
    <w:rsid w:val="00090355"/>
    <w:rsid w:val="000904D8"/>
    <w:rsid w:val="000913A4"/>
    <w:rsid w:val="00091868"/>
    <w:rsid w:val="00091F2B"/>
    <w:rsid w:val="00092299"/>
    <w:rsid w:val="00092AC6"/>
    <w:rsid w:val="00092F95"/>
    <w:rsid w:val="00092FD0"/>
    <w:rsid w:val="000930BA"/>
    <w:rsid w:val="000936FB"/>
    <w:rsid w:val="0009387B"/>
    <w:rsid w:val="00093E19"/>
    <w:rsid w:val="00093F2E"/>
    <w:rsid w:val="0009412C"/>
    <w:rsid w:val="00094159"/>
    <w:rsid w:val="000946DE"/>
    <w:rsid w:val="0009478E"/>
    <w:rsid w:val="000948B0"/>
    <w:rsid w:val="00094C7C"/>
    <w:rsid w:val="000953B0"/>
    <w:rsid w:val="0009576F"/>
    <w:rsid w:val="0009741A"/>
    <w:rsid w:val="00097DB4"/>
    <w:rsid w:val="00097F37"/>
    <w:rsid w:val="00097F7D"/>
    <w:rsid w:val="000A000E"/>
    <w:rsid w:val="000A07C5"/>
    <w:rsid w:val="000A1995"/>
    <w:rsid w:val="000A1F0E"/>
    <w:rsid w:val="000A2385"/>
    <w:rsid w:val="000A2645"/>
    <w:rsid w:val="000A2867"/>
    <w:rsid w:val="000A2B94"/>
    <w:rsid w:val="000A3DAE"/>
    <w:rsid w:val="000A4153"/>
    <w:rsid w:val="000A433F"/>
    <w:rsid w:val="000A4566"/>
    <w:rsid w:val="000A4569"/>
    <w:rsid w:val="000A5207"/>
    <w:rsid w:val="000A5358"/>
    <w:rsid w:val="000A591F"/>
    <w:rsid w:val="000A5CC4"/>
    <w:rsid w:val="000A6209"/>
    <w:rsid w:val="000A6493"/>
    <w:rsid w:val="000A652B"/>
    <w:rsid w:val="000A6CDD"/>
    <w:rsid w:val="000B05FF"/>
    <w:rsid w:val="000B11E8"/>
    <w:rsid w:val="000B1BA6"/>
    <w:rsid w:val="000B1BBB"/>
    <w:rsid w:val="000B1DA6"/>
    <w:rsid w:val="000B1E7B"/>
    <w:rsid w:val="000B27E2"/>
    <w:rsid w:val="000B299B"/>
    <w:rsid w:val="000B2A66"/>
    <w:rsid w:val="000B397C"/>
    <w:rsid w:val="000B4C61"/>
    <w:rsid w:val="000B4C91"/>
    <w:rsid w:val="000B4D37"/>
    <w:rsid w:val="000B4FFD"/>
    <w:rsid w:val="000B5065"/>
    <w:rsid w:val="000B5820"/>
    <w:rsid w:val="000B5897"/>
    <w:rsid w:val="000B5D36"/>
    <w:rsid w:val="000B6350"/>
    <w:rsid w:val="000B67B4"/>
    <w:rsid w:val="000B68CE"/>
    <w:rsid w:val="000B69DE"/>
    <w:rsid w:val="000B6C1D"/>
    <w:rsid w:val="000B70D6"/>
    <w:rsid w:val="000B75CF"/>
    <w:rsid w:val="000B781D"/>
    <w:rsid w:val="000C0B29"/>
    <w:rsid w:val="000C0C92"/>
    <w:rsid w:val="000C152F"/>
    <w:rsid w:val="000C1AC8"/>
    <w:rsid w:val="000C1D50"/>
    <w:rsid w:val="000C21DC"/>
    <w:rsid w:val="000C2686"/>
    <w:rsid w:val="000C290D"/>
    <w:rsid w:val="000C2F5F"/>
    <w:rsid w:val="000C3C16"/>
    <w:rsid w:val="000C40B9"/>
    <w:rsid w:val="000C5054"/>
    <w:rsid w:val="000C603A"/>
    <w:rsid w:val="000C60B4"/>
    <w:rsid w:val="000C663E"/>
    <w:rsid w:val="000C67CC"/>
    <w:rsid w:val="000C69F1"/>
    <w:rsid w:val="000D03D7"/>
    <w:rsid w:val="000D07B5"/>
    <w:rsid w:val="000D07FE"/>
    <w:rsid w:val="000D0C38"/>
    <w:rsid w:val="000D10B6"/>
    <w:rsid w:val="000D11DC"/>
    <w:rsid w:val="000D16E4"/>
    <w:rsid w:val="000D1FE7"/>
    <w:rsid w:val="000D2244"/>
    <w:rsid w:val="000D2EBB"/>
    <w:rsid w:val="000D2F4F"/>
    <w:rsid w:val="000D320E"/>
    <w:rsid w:val="000D3819"/>
    <w:rsid w:val="000D3852"/>
    <w:rsid w:val="000D4255"/>
    <w:rsid w:val="000D4413"/>
    <w:rsid w:val="000D4816"/>
    <w:rsid w:val="000D4A9E"/>
    <w:rsid w:val="000D4F0E"/>
    <w:rsid w:val="000D5280"/>
    <w:rsid w:val="000D5A44"/>
    <w:rsid w:val="000D687E"/>
    <w:rsid w:val="000D6C42"/>
    <w:rsid w:val="000D72C4"/>
    <w:rsid w:val="000E0211"/>
    <w:rsid w:val="000E0A8C"/>
    <w:rsid w:val="000E1E99"/>
    <w:rsid w:val="000E1FF4"/>
    <w:rsid w:val="000E20EC"/>
    <w:rsid w:val="000E25EB"/>
    <w:rsid w:val="000E2778"/>
    <w:rsid w:val="000E2B72"/>
    <w:rsid w:val="000E4A0F"/>
    <w:rsid w:val="000E5173"/>
    <w:rsid w:val="000E5BCC"/>
    <w:rsid w:val="000E62FF"/>
    <w:rsid w:val="000E7195"/>
    <w:rsid w:val="000E73E8"/>
    <w:rsid w:val="000F026C"/>
    <w:rsid w:val="000F03E9"/>
    <w:rsid w:val="000F0A57"/>
    <w:rsid w:val="000F2560"/>
    <w:rsid w:val="000F2A41"/>
    <w:rsid w:val="000F2F44"/>
    <w:rsid w:val="000F3BFD"/>
    <w:rsid w:val="000F3E30"/>
    <w:rsid w:val="000F40B0"/>
    <w:rsid w:val="000F4C8D"/>
    <w:rsid w:val="000F50EC"/>
    <w:rsid w:val="000F5302"/>
    <w:rsid w:val="000F552F"/>
    <w:rsid w:val="000F5673"/>
    <w:rsid w:val="000F68B1"/>
    <w:rsid w:val="000F6F0B"/>
    <w:rsid w:val="000F7082"/>
    <w:rsid w:val="000F71BB"/>
    <w:rsid w:val="000F733B"/>
    <w:rsid w:val="000F7B8C"/>
    <w:rsid w:val="0010001B"/>
    <w:rsid w:val="00100193"/>
    <w:rsid w:val="001005A1"/>
    <w:rsid w:val="00100A48"/>
    <w:rsid w:val="00100EBF"/>
    <w:rsid w:val="001011E0"/>
    <w:rsid w:val="001011F1"/>
    <w:rsid w:val="001024FB"/>
    <w:rsid w:val="00102E13"/>
    <w:rsid w:val="00103186"/>
    <w:rsid w:val="00103721"/>
    <w:rsid w:val="00103F1F"/>
    <w:rsid w:val="001047A6"/>
    <w:rsid w:val="0010517C"/>
    <w:rsid w:val="0010535F"/>
    <w:rsid w:val="00105415"/>
    <w:rsid w:val="001064D4"/>
    <w:rsid w:val="00106868"/>
    <w:rsid w:val="00107563"/>
    <w:rsid w:val="00107786"/>
    <w:rsid w:val="001100F2"/>
    <w:rsid w:val="001113EE"/>
    <w:rsid w:val="0011228A"/>
    <w:rsid w:val="001123EC"/>
    <w:rsid w:val="00112463"/>
    <w:rsid w:val="001128DB"/>
    <w:rsid w:val="00112A92"/>
    <w:rsid w:val="00112E8D"/>
    <w:rsid w:val="00113CD2"/>
    <w:rsid w:val="00113D6B"/>
    <w:rsid w:val="00114093"/>
    <w:rsid w:val="00114243"/>
    <w:rsid w:val="00114267"/>
    <w:rsid w:val="0011478A"/>
    <w:rsid w:val="0011507A"/>
    <w:rsid w:val="00115146"/>
    <w:rsid w:val="00115851"/>
    <w:rsid w:val="001158C7"/>
    <w:rsid w:val="00116540"/>
    <w:rsid w:val="001173FE"/>
    <w:rsid w:val="00117BA0"/>
    <w:rsid w:val="0012045D"/>
    <w:rsid w:val="00120B79"/>
    <w:rsid w:val="00122E50"/>
    <w:rsid w:val="001231BE"/>
    <w:rsid w:val="00123626"/>
    <w:rsid w:val="00123983"/>
    <w:rsid w:val="00123F79"/>
    <w:rsid w:val="0012480F"/>
    <w:rsid w:val="00124958"/>
    <w:rsid w:val="001249C0"/>
    <w:rsid w:val="00124A0A"/>
    <w:rsid w:val="001251C3"/>
    <w:rsid w:val="00125241"/>
    <w:rsid w:val="001257B4"/>
    <w:rsid w:val="00125D88"/>
    <w:rsid w:val="00126200"/>
    <w:rsid w:val="00126C37"/>
    <w:rsid w:val="00126EEF"/>
    <w:rsid w:val="001270BB"/>
    <w:rsid w:val="0012727D"/>
    <w:rsid w:val="0012735D"/>
    <w:rsid w:val="00127844"/>
    <w:rsid w:val="00127A91"/>
    <w:rsid w:val="001304BC"/>
    <w:rsid w:val="001309DC"/>
    <w:rsid w:val="00131587"/>
    <w:rsid w:val="00131A2D"/>
    <w:rsid w:val="00131B07"/>
    <w:rsid w:val="001325CF"/>
    <w:rsid w:val="00132E46"/>
    <w:rsid w:val="0013305B"/>
    <w:rsid w:val="001332D0"/>
    <w:rsid w:val="00133DA9"/>
    <w:rsid w:val="00133F0C"/>
    <w:rsid w:val="00133FBA"/>
    <w:rsid w:val="00134185"/>
    <w:rsid w:val="0013437C"/>
    <w:rsid w:val="001346DD"/>
    <w:rsid w:val="00134863"/>
    <w:rsid w:val="00135036"/>
    <w:rsid w:val="001350AA"/>
    <w:rsid w:val="00135732"/>
    <w:rsid w:val="001361F5"/>
    <w:rsid w:val="00140B06"/>
    <w:rsid w:val="00140B80"/>
    <w:rsid w:val="00140E39"/>
    <w:rsid w:val="00141A56"/>
    <w:rsid w:val="00141DD2"/>
    <w:rsid w:val="00142BD4"/>
    <w:rsid w:val="00142C0E"/>
    <w:rsid w:val="00142D8E"/>
    <w:rsid w:val="00143BA4"/>
    <w:rsid w:val="00143DF3"/>
    <w:rsid w:val="0014439B"/>
    <w:rsid w:val="00144458"/>
    <w:rsid w:val="00144B0F"/>
    <w:rsid w:val="00144B67"/>
    <w:rsid w:val="00144C4F"/>
    <w:rsid w:val="00144D7D"/>
    <w:rsid w:val="001458C5"/>
    <w:rsid w:val="00145A94"/>
    <w:rsid w:val="00145C79"/>
    <w:rsid w:val="001465CF"/>
    <w:rsid w:val="00146EC5"/>
    <w:rsid w:val="00146F6A"/>
    <w:rsid w:val="001472C8"/>
    <w:rsid w:val="00147428"/>
    <w:rsid w:val="0014794E"/>
    <w:rsid w:val="00147CBC"/>
    <w:rsid w:val="00147E2D"/>
    <w:rsid w:val="0015072B"/>
    <w:rsid w:val="00150786"/>
    <w:rsid w:val="00151295"/>
    <w:rsid w:val="0015130B"/>
    <w:rsid w:val="001518A5"/>
    <w:rsid w:val="00151DA7"/>
    <w:rsid w:val="0015298F"/>
    <w:rsid w:val="00152BE1"/>
    <w:rsid w:val="00153154"/>
    <w:rsid w:val="001538CF"/>
    <w:rsid w:val="00153C35"/>
    <w:rsid w:val="00154004"/>
    <w:rsid w:val="0015583D"/>
    <w:rsid w:val="0015593A"/>
    <w:rsid w:val="00155A14"/>
    <w:rsid w:val="00155D79"/>
    <w:rsid w:val="001567EB"/>
    <w:rsid w:val="00156C52"/>
    <w:rsid w:val="00156DBA"/>
    <w:rsid w:val="00157331"/>
    <w:rsid w:val="00157664"/>
    <w:rsid w:val="00157811"/>
    <w:rsid w:val="00157E03"/>
    <w:rsid w:val="001600A7"/>
    <w:rsid w:val="00160119"/>
    <w:rsid w:val="0016025B"/>
    <w:rsid w:val="001608ED"/>
    <w:rsid w:val="001608FD"/>
    <w:rsid w:val="0016098B"/>
    <w:rsid w:val="0016112D"/>
    <w:rsid w:val="0016122C"/>
    <w:rsid w:val="001613C6"/>
    <w:rsid w:val="00162203"/>
    <w:rsid w:val="001623A2"/>
    <w:rsid w:val="00162BF5"/>
    <w:rsid w:val="00162C54"/>
    <w:rsid w:val="00162D18"/>
    <w:rsid w:val="00163173"/>
    <w:rsid w:val="0016356F"/>
    <w:rsid w:val="001639C1"/>
    <w:rsid w:val="00163B33"/>
    <w:rsid w:val="00163D49"/>
    <w:rsid w:val="00164645"/>
    <w:rsid w:val="00164954"/>
    <w:rsid w:val="00164DA5"/>
    <w:rsid w:val="00165A21"/>
    <w:rsid w:val="00165E41"/>
    <w:rsid w:val="00165F23"/>
    <w:rsid w:val="00166719"/>
    <w:rsid w:val="001669F6"/>
    <w:rsid w:val="00166A9C"/>
    <w:rsid w:val="0016779D"/>
    <w:rsid w:val="00167934"/>
    <w:rsid w:val="00167B02"/>
    <w:rsid w:val="00167B87"/>
    <w:rsid w:val="00170385"/>
    <w:rsid w:val="00170451"/>
    <w:rsid w:val="00170991"/>
    <w:rsid w:val="00171161"/>
    <w:rsid w:val="00171276"/>
    <w:rsid w:val="001714CD"/>
    <w:rsid w:val="00171796"/>
    <w:rsid w:val="001718A8"/>
    <w:rsid w:val="00171F17"/>
    <w:rsid w:val="00171F48"/>
    <w:rsid w:val="001726BC"/>
    <w:rsid w:val="00172A2A"/>
    <w:rsid w:val="00172DB3"/>
    <w:rsid w:val="00173102"/>
    <w:rsid w:val="001734B9"/>
    <w:rsid w:val="0017374F"/>
    <w:rsid w:val="00173B4C"/>
    <w:rsid w:val="00173B7C"/>
    <w:rsid w:val="00173F57"/>
    <w:rsid w:val="0017499B"/>
    <w:rsid w:val="00174ADD"/>
    <w:rsid w:val="00174FBA"/>
    <w:rsid w:val="0017567E"/>
    <w:rsid w:val="00175D7F"/>
    <w:rsid w:val="0017603F"/>
    <w:rsid w:val="00176495"/>
    <w:rsid w:val="00176F99"/>
    <w:rsid w:val="001774B1"/>
    <w:rsid w:val="00177CB1"/>
    <w:rsid w:val="00177E66"/>
    <w:rsid w:val="001805B8"/>
    <w:rsid w:val="00180956"/>
    <w:rsid w:val="00181495"/>
    <w:rsid w:val="00181A15"/>
    <w:rsid w:val="00181F93"/>
    <w:rsid w:val="001821B8"/>
    <w:rsid w:val="00182457"/>
    <w:rsid w:val="001828A2"/>
    <w:rsid w:val="0018475B"/>
    <w:rsid w:val="001848CD"/>
    <w:rsid w:val="00184B57"/>
    <w:rsid w:val="00186359"/>
    <w:rsid w:val="00186372"/>
    <w:rsid w:val="00186DB7"/>
    <w:rsid w:val="00187619"/>
    <w:rsid w:val="00187D86"/>
    <w:rsid w:val="00190313"/>
    <w:rsid w:val="0019057F"/>
    <w:rsid w:val="0019067C"/>
    <w:rsid w:val="00191158"/>
    <w:rsid w:val="00191241"/>
    <w:rsid w:val="00191280"/>
    <w:rsid w:val="001916D9"/>
    <w:rsid w:val="00191851"/>
    <w:rsid w:val="00191AE8"/>
    <w:rsid w:val="00192E18"/>
    <w:rsid w:val="00193000"/>
    <w:rsid w:val="0019364E"/>
    <w:rsid w:val="00193C51"/>
    <w:rsid w:val="0019460F"/>
    <w:rsid w:val="0019499C"/>
    <w:rsid w:val="00194E1C"/>
    <w:rsid w:val="00194F08"/>
    <w:rsid w:val="00194F79"/>
    <w:rsid w:val="0019531F"/>
    <w:rsid w:val="00195382"/>
    <w:rsid w:val="00195B4F"/>
    <w:rsid w:val="00195C2B"/>
    <w:rsid w:val="00196155"/>
    <w:rsid w:val="00196ABE"/>
    <w:rsid w:val="00196DC8"/>
    <w:rsid w:val="00196E53"/>
    <w:rsid w:val="00196F05"/>
    <w:rsid w:val="001970CF"/>
    <w:rsid w:val="00197873"/>
    <w:rsid w:val="001A0B49"/>
    <w:rsid w:val="001A0C00"/>
    <w:rsid w:val="001A0F07"/>
    <w:rsid w:val="001A1636"/>
    <w:rsid w:val="001A17A5"/>
    <w:rsid w:val="001A1918"/>
    <w:rsid w:val="001A206D"/>
    <w:rsid w:val="001A231D"/>
    <w:rsid w:val="001A2475"/>
    <w:rsid w:val="001A2B34"/>
    <w:rsid w:val="001A2B50"/>
    <w:rsid w:val="001A2F44"/>
    <w:rsid w:val="001A3016"/>
    <w:rsid w:val="001A34E9"/>
    <w:rsid w:val="001A37FD"/>
    <w:rsid w:val="001A3833"/>
    <w:rsid w:val="001A3BA5"/>
    <w:rsid w:val="001A43DC"/>
    <w:rsid w:val="001A4985"/>
    <w:rsid w:val="001A538C"/>
    <w:rsid w:val="001A5ED9"/>
    <w:rsid w:val="001A62A0"/>
    <w:rsid w:val="001A6398"/>
    <w:rsid w:val="001A6C92"/>
    <w:rsid w:val="001A7091"/>
    <w:rsid w:val="001A70A3"/>
    <w:rsid w:val="001A772D"/>
    <w:rsid w:val="001A7759"/>
    <w:rsid w:val="001A7E90"/>
    <w:rsid w:val="001B025A"/>
    <w:rsid w:val="001B11E5"/>
    <w:rsid w:val="001B12AD"/>
    <w:rsid w:val="001B1834"/>
    <w:rsid w:val="001B1A42"/>
    <w:rsid w:val="001B1AF4"/>
    <w:rsid w:val="001B1E70"/>
    <w:rsid w:val="001B2990"/>
    <w:rsid w:val="001B35AB"/>
    <w:rsid w:val="001B3AD8"/>
    <w:rsid w:val="001B3C28"/>
    <w:rsid w:val="001B3CAA"/>
    <w:rsid w:val="001B3E1E"/>
    <w:rsid w:val="001B3F5E"/>
    <w:rsid w:val="001B440D"/>
    <w:rsid w:val="001B44C7"/>
    <w:rsid w:val="001B4838"/>
    <w:rsid w:val="001B48F5"/>
    <w:rsid w:val="001B501C"/>
    <w:rsid w:val="001B51F4"/>
    <w:rsid w:val="001B5419"/>
    <w:rsid w:val="001B58E4"/>
    <w:rsid w:val="001B59F8"/>
    <w:rsid w:val="001B5D71"/>
    <w:rsid w:val="001B6090"/>
    <w:rsid w:val="001B677B"/>
    <w:rsid w:val="001B71BB"/>
    <w:rsid w:val="001B71F9"/>
    <w:rsid w:val="001B7264"/>
    <w:rsid w:val="001B78A3"/>
    <w:rsid w:val="001B79E5"/>
    <w:rsid w:val="001B7CE9"/>
    <w:rsid w:val="001B7DDF"/>
    <w:rsid w:val="001B7F47"/>
    <w:rsid w:val="001C04DE"/>
    <w:rsid w:val="001C18AF"/>
    <w:rsid w:val="001C1A5C"/>
    <w:rsid w:val="001C1AFB"/>
    <w:rsid w:val="001C23FD"/>
    <w:rsid w:val="001C2AA1"/>
    <w:rsid w:val="001C2C19"/>
    <w:rsid w:val="001C2F2B"/>
    <w:rsid w:val="001C306A"/>
    <w:rsid w:val="001C30F5"/>
    <w:rsid w:val="001C38D7"/>
    <w:rsid w:val="001C397E"/>
    <w:rsid w:val="001C3C31"/>
    <w:rsid w:val="001C4085"/>
    <w:rsid w:val="001C4090"/>
    <w:rsid w:val="001C4222"/>
    <w:rsid w:val="001C4335"/>
    <w:rsid w:val="001C4847"/>
    <w:rsid w:val="001C4DCF"/>
    <w:rsid w:val="001C5056"/>
    <w:rsid w:val="001C5C06"/>
    <w:rsid w:val="001C5FCD"/>
    <w:rsid w:val="001C609B"/>
    <w:rsid w:val="001C6850"/>
    <w:rsid w:val="001C68AF"/>
    <w:rsid w:val="001C6BD3"/>
    <w:rsid w:val="001C6D57"/>
    <w:rsid w:val="001C7AEC"/>
    <w:rsid w:val="001C7D4E"/>
    <w:rsid w:val="001D02A0"/>
    <w:rsid w:val="001D02C7"/>
    <w:rsid w:val="001D03F7"/>
    <w:rsid w:val="001D07B1"/>
    <w:rsid w:val="001D0BF3"/>
    <w:rsid w:val="001D1049"/>
    <w:rsid w:val="001D1568"/>
    <w:rsid w:val="001D225D"/>
    <w:rsid w:val="001D34BD"/>
    <w:rsid w:val="001D443A"/>
    <w:rsid w:val="001D449D"/>
    <w:rsid w:val="001D46C8"/>
    <w:rsid w:val="001D4713"/>
    <w:rsid w:val="001D504A"/>
    <w:rsid w:val="001D5B72"/>
    <w:rsid w:val="001D5DD4"/>
    <w:rsid w:val="001D5ECF"/>
    <w:rsid w:val="001D5EEB"/>
    <w:rsid w:val="001D6061"/>
    <w:rsid w:val="001D691B"/>
    <w:rsid w:val="001D6B10"/>
    <w:rsid w:val="001D6EB9"/>
    <w:rsid w:val="001D714C"/>
    <w:rsid w:val="001E1165"/>
    <w:rsid w:val="001E16D3"/>
    <w:rsid w:val="001E1FA8"/>
    <w:rsid w:val="001E2181"/>
    <w:rsid w:val="001E22BA"/>
    <w:rsid w:val="001E250C"/>
    <w:rsid w:val="001E2EC4"/>
    <w:rsid w:val="001E2FB4"/>
    <w:rsid w:val="001E337F"/>
    <w:rsid w:val="001E33C5"/>
    <w:rsid w:val="001E37E3"/>
    <w:rsid w:val="001E3E2F"/>
    <w:rsid w:val="001E40F5"/>
    <w:rsid w:val="001E4609"/>
    <w:rsid w:val="001E4F97"/>
    <w:rsid w:val="001E52E8"/>
    <w:rsid w:val="001E546A"/>
    <w:rsid w:val="001E554E"/>
    <w:rsid w:val="001E580C"/>
    <w:rsid w:val="001E5AEA"/>
    <w:rsid w:val="001E6001"/>
    <w:rsid w:val="001E64A6"/>
    <w:rsid w:val="001E66EF"/>
    <w:rsid w:val="001E6C3E"/>
    <w:rsid w:val="001E6DEE"/>
    <w:rsid w:val="001E7006"/>
    <w:rsid w:val="001E7F33"/>
    <w:rsid w:val="001E7FCA"/>
    <w:rsid w:val="001F01D3"/>
    <w:rsid w:val="001F0309"/>
    <w:rsid w:val="001F0389"/>
    <w:rsid w:val="001F114A"/>
    <w:rsid w:val="001F15DB"/>
    <w:rsid w:val="001F18A9"/>
    <w:rsid w:val="001F217A"/>
    <w:rsid w:val="001F22C5"/>
    <w:rsid w:val="001F2304"/>
    <w:rsid w:val="001F24F1"/>
    <w:rsid w:val="001F2999"/>
    <w:rsid w:val="001F2C80"/>
    <w:rsid w:val="001F40AE"/>
    <w:rsid w:val="001F424B"/>
    <w:rsid w:val="001F465F"/>
    <w:rsid w:val="001F4E03"/>
    <w:rsid w:val="001F5C12"/>
    <w:rsid w:val="001F5FBA"/>
    <w:rsid w:val="001F6ED2"/>
    <w:rsid w:val="001F70A3"/>
    <w:rsid w:val="001F7732"/>
    <w:rsid w:val="001F778B"/>
    <w:rsid w:val="002006AB"/>
    <w:rsid w:val="002007CC"/>
    <w:rsid w:val="00200BFD"/>
    <w:rsid w:val="00200F84"/>
    <w:rsid w:val="002011D2"/>
    <w:rsid w:val="00201279"/>
    <w:rsid w:val="00201B16"/>
    <w:rsid w:val="002020BA"/>
    <w:rsid w:val="00202133"/>
    <w:rsid w:val="00202332"/>
    <w:rsid w:val="002027F5"/>
    <w:rsid w:val="00204121"/>
    <w:rsid w:val="00204BFF"/>
    <w:rsid w:val="00204C53"/>
    <w:rsid w:val="0020526E"/>
    <w:rsid w:val="00205501"/>
    <w:rsid w:val="002055F0"/>
    <w:rsid w:val="00205981"/>
    <w:rsid w:val="00205B3D"/>
    <w:rsid w:val="00205F29"/>
    <w:rsid w:val="0020611F"/>
    <w:rsid w:val="002062B1"/>
    <w:rsid w:val="0020632F"/>
    <w:rsid w:val="0020668A"/>
    <w:rsid w:val="00206C3B"/>
    <w:rsid w:val="00207586"/>
    <w:rsid w:val="00207F87"/>
    <w:rsid w:val="0021019F"/>
    <w:rsid w:val="002103A4"/>
    <w:rsid w:val="00210BF5"/>
    <w:rsid w:val="00210DFE"/>
    <w:rsid w:val="00210E0C"/>
    <w:rsid w:val="002117D5"/>
    <w:rsid w:val="00211C1B"/>
    <w:rsid w:val="00213D6A"/>
    <w:rsid w:val="00213F41"/>
    <w:rsid w:val="0021408F"/>
    <w:rsid w:val="00214159"/>
    <w:rsid w:val="00214492"/>
    <w:rsid w:val="002146A5"/>
    <w:rsid w:val="00214D5C"/>
    <w:rsid w:val="002156DA"/>
    <w:rsid w:val="0021588C"/>
    <w:rsid w:val="00215DB0"/>
    <w:rsid w:val="00215DF3"/>
    <w:rsid w:val="00215E13"/>
    <w:rsid w:val="0021659A"/>
    <w:rsid w:val="00216D59"/>
    <w:rsid w:val="00216FF0"/>
    <w:rsid w:val="002173BA"/>
    <w:rsid w:val="0021781B"/>
    <w:rsid w:val="00217A4B"/>
    <w:rsid w:val="00221C78"/>
    <w:rsid w:val="00221E73"/>
    <w:rsid w:val="002220BC"/>
    <w:rsid w:val="002225EF"/>
    <w:rsid w:val="00222B5F"/>
    <w:rsid w:val="00222E1B"/>
    <w:rsid w:val="00223104"/>
    <w:rsid w:val="00223CA0"/>
    <w:rsid w:val="002242FE"/>
    <w:rsid w:val="00224BD0"/>
    <w:rsid w:val="00225715"/>
    <w:rsid w:val="0022599C"/>
    <w:rsid w:val="002261C9"/>
    <w:rsid w:val="00226327"/>
    <w:rsid w:val="00226431"/>
    <w:rsid w:val="00226754"/>
    <w:rsid w:val="00226BEB"/>
    <w:rsid w:val="00226CC9"/>
    <w:rsid w:val="00226DB0"/>
    <w:rsid w:val="00226E3D"/>
    <w:rsid w:val="00226EBD"/>
    <w:rsid w:val="00227412"/>
    <w:rsid w:val="00227617"/>
    <w:rsid w:val="002301B2"/>
    <w:rsid w:val="00230621"/>
    <w:rsid w:val="00230790"/>
    <w:rsid w:val="00230DAD"/>
    <w:rsid w:val="00231016"/>
    <w:rsid w:val="002313B6"/>
    <w:rsid w:val="002314C2"/>
    <w:rsid w:val="00231859"/>
    <w:rsid w:val="00231DD1"/>
    <w:rsid w:val="00231F89"/>
    <w:rsid w:val="00232203"/>
    <w:rsid w:val="0023249A"/>
    <w:rsid w:val="0023286C"/>
    <w:rsid w:val="00233078"/>
    <w:rsid w:val="00233660"/>
    <w:rsid w:val="00233BF5"/>
    <w:rsid w:val="0023423E"/>
    <w:rsid w:val="00234B9C"/>
    <w:rsid w:val="00234CF7"/>
    <w:rsid w:val="00234E46"/>
    <w:rsid w:val="00235C18"/>
    <w:rsid w:val="00235C4B"/>
    <w:rsid w:val="00235F77"/>
    <w:rsid w:val="00236E5B"/>
    <w:rsid w:val="00237371"/>
    <w:rsid w:val="00237617"/>
    <w:rsid w:val="00237C54"/>
    <w:rsid w:val="00237C68"/>
    <w:rsid w:val="002404F3"/>
    <w:rsid w:val="0024090A"/>
    <w:rsid w:val="00240AD6"/>
    <w:rsid w:val="00241344"/>
    <w:rsid w:val="002414B2"/>
    <w:rsid w:val="00242CDA"/>
    <w:rsid w:val="0024335D"/>
    <w:rsid w:val="00243631"/>
    <w:rsid w:val="002441C1"/>
    <w:rsid w:val="00244524"/>
    <w:rsid w:val="00245139"/>
    <w:rsid w:val="00246211"/>
    <w:rsid w:val="00246327"/>
    <w:rsid w:val="002467E9"/>
    <w:rsid w:val="00247772"/>
    <w:rsid w:val="0025016A"/>
    <w:rsid w:val="00251286"/>
    <w:rsid w:val="0025138B"/>
    <w:rsid w:val="002517D1"/>
    <w:rsid w:val="002520B9"/>
    <w:rsid w:val="00252A40"/>
    <w:rsid w:val="00252AEF"/>
    <w:rsid w:val="00252D02"/>
    <w:rsid w:val="0025311F"/>
    <w:rsid w:val="002543A6"/>
    <w:rsid w:val="002547AB"/>
    <w:rsid w:val="0025499D"/>
    <w:rsid w:val="00254A40"/>
    <w:rsid w:val="002550AD"/>
    <w:rsid w:val="002554C9"/>
    <w:rsid w:val="002567A4"/>
    <w:rsid w:val="00256CBE"/>
    <w:rsid w:val="00256F6A"/>
    <w:rsid w:val="00257419"/>
    <w:rsid w:val="0025767F"/>
    <w:rsid w:val="00257842"/>
    <w:rsid w:val="00257A27"/>
    <w:rsid w:val="00257C5C"/>
    <w:rsid w:val="00257FB4"/>
    <w:rsid w:val="002604F4"/>
    <w:rsid w:val="00260BBC"/>
    <w:rsid w:val="00260D8F"/>
    <w:rsid w:val="00260F26"/>
    <w:rsid w:val="00261119"/>
    <w:rsid w:val="002611BD"/>
    <w:rsid w:val="00261D64"/>
    <w:rsid w:val="002627AD"/>
    <w:rsid w:val="00262F1E"/>
    <w:rsid w:val="00263167"/>
    <w:rsid w:val="00263179"/>
    <w:rsid w:val="00263361"/>
    <w:rsid w:val="0026346B"/>
    <w:rsid w:val="00263517"/>
    <w:rsid w:val="002648B8"/>
    <w:rsid w:val="00264D47"/>
    <w:rsid w:val="00264D64"/>
    <w:rsid w:val="002650F1"/>
    <w:rsid w:val="002651A2"/>
    <w:rsid w:val="00265655"/>
    <w:rsid w:val="00265D47"/>
    <w:rsid w:val="00266205"/>
    <w:rsid w:val="00266B9B"/>
    <w:rsid w:val="00266CBB"/>
    <w:rsid w:val="00266F42"/>
    <w:rsid w:val="00267725"/>
    <w:rsid w:val="002704B8"/>
    <w:rsid w:val="002704E6"/>
    <w:rsid w:val="002706E9"/>
    <w:rsid w:val="002707E2"/>
    <w:rsid w:val="0027109B"/>
    <w:rsid w:val="002720F9"/>
    <w:rsid w:val="00272230"/>
    <w:rsid w:val="002725CA"/>
    <w:rsid w:val="00272EEE"/>
    <w:rsid w:val="00272F53"/>
    <w:rsid w:val="00272FC0"/>
    <w:rsid w:val="002732C8"/>
    <w:rsid w:val="002733FF"/>
    <w:rsid w:val="002734BA"/>
    <w:rsid w:val="0027370D"/>
    <w:rsid w:val="00273BBA"/>
    <w:rsid w:val="00273D72"/>
    <w:rsid w:val="0027423B"/>
    <w:rsid w:val="002747A0"/>
    <w:rsid w:val="00274AA1"/>
    <w:rsid w:val="00275B59"/>
    <w:rsid w:val="00275B5C"/>
    <w:rsid w:val="00275DA8"/>
    <w:rsid w:val="00275E8B"/>
    <w:rsid w:val="00275F82"/>
    <w:rsid w:val="00276191"/>
    <w:rsid w:val="00276447"/>
    <w:rsid w:val="00276BE5"/>
    <w:rsid w:val="0027722F"/>
    <w:rsid w:val="00277996"/>
    <w:rsid w:val="00280D69"/>
    <w:rsid w:val="00281302"/>
    <w:rsid w:val="0028169F"/>
    <w:rsid w:val="00282211"/>
    <w:rsid w:val="00282380"/>
    <w:rsid w:val="00282ABE"/>
    <w:rsid w:val="00282F7C"/>
    <w:rsid w:val="00283202"/>
    <w:rsid w:val="00283607"/>
    <w:rsid w:val="0028387F"/>
    <w:rsid w:val="002849B6"/>
    <w:rsid w:val="00284C73"/>
    <w:rsid w:val="002852B2"/>
    <w:rsid w:val="00285680"/>
    <w:rsid w:val="00285C63"/>
    <w:rsid w:val="00285C6B"/>
    <w:rsid w:val="00285CF4"/>
    <w:rsid w:val="00286ACD"/>
    <w:rsid w:val="00286B50"/>
    <w:rsid w:val="00286E0B"/>
    <w:rsid w:val="00286EA3"/>
    <w:rsid w:val="00286F07"/>
    <w:rsid w:val="002903FE"/>
    <w:rsid w:val="0029056A"/>
    <w:rsid w:val="00290C39"/>
    <w:rsid w:val="002921B0"/>
    <w:rsid w:val="00292F00"/>
    <w:rsid w:val="0029311C"/>
    <w:rsid w:val="0029332E"/>
    <w:rsid w:val="0029361D"/>
    <w:rsid w:val="00293839"/>
    <w:rsid w:val="00294204"/>
    <w:rsid w:val="00294209"/>
    <w:rsid w:val="00295102"/>
    <w:rsid w:val="0029569A"/>
    <w:rsid w:val="00296032"/>
    <w:rsid w:val="002968FF"/>
    <w:rsid w:val="00296A0A"/>
    <w:rsid w:val="00296A75"/>
    <w:rsid w:val="00296B16"/>
    <w:rsid w:val="00296C09"/>
    <w:rsid w:val="00296D9C"/>
    <w:rsid w:val="00297120"/>
    <w:rsid w:val="00297209"/>
    <w:rsid w:val="00297494"/>
    <w:rsid w:val="002974C3"/>
    <w:rsid w:val="00297568"/>
    <w:rsid w:val="002975F1"/>
    <w:rsid w:val="00297B91"/>
    <w:rsid w:val="00297CCE"/>
    <w:rsid w:val="002A0A1F"/>
    <w:rsid w:val="002A0A88"/>
    <w:rsid w:val="002A0AD6"/>
    <w:rsid w:val="002A1FCC"/>
    <w:rsid w:val="002A2603"/>
    <w:rsid w:val="002A296E"/>
    <w:rsid w:val="002A2AE2"/>
    <w:rsid w:val="002A3597"/>
    <w:rsid w:val="002A3A2A"/>
    <w:rsid w:val="002A3B17"/>
    <w:rsid w:val="002A3FA8"/>
    <w:rsid w:val="002A41AF"/>
    <w:rsid w:val="002A46F7"/>
    <w:rsid w:val="002A49C3"/>
    <w:rsid w:val="002A4B20"/>
    <w:rsid w:val="002A4F4E"/>
    <w:rsid w:val="002A6120"/>
    <w:rsid w:val="002A63BC"/>
    <w:rsid w:val="002A70CC"/>
    <w:rsid w:val="002A713F"/>
    <w:rsid w:val="002A7A32"/>
    <w:rsid w:val="002B01B6"/>
    <w:rsid w:val="002B1381"/>
    <w:rsid w:val="002B172F"/>
    <w:rsid w:val="002B1815"/>
    <w:rsid w:val="002B19E1"/>
    <w:rsid w:val="002B1B6E"/>
    <w:rsid w:val="002B2DD2"/>
    <w:rsid w:val="002B3E22"/>
    <w:rsid w:val="002B4401"/>
    <w:rsid w:val="002B52FA"/>
    <w:rsid w:val="002B692A"/>
    <w:rsid w:val="002B72A5"/>
    <w:rsid w:val="002B75B9"/>
    <w:rsid w:val="002B7C24"/>
    <w:rsid w:val="002B7EE0"/>
    <w:rsid w:val="002C087E"/>
    <w:rsid w:val="002C0921"/>
    <w:rsid w:val="002C0F1B"/>
    <w:rsid w:val="002C22F4"/>
    <w:rsid w:val="002C2809"/>
    <w:rsid w:val="002C2E86"/>
    <w:rsid w:val="002C3857"/>
    <w:rsid w:val="002C398C"/>
    <w:rsid w:val="002C4040"/>
    <w:rsid w:val="002C45BE"/>
    <w:rsid w:val="002C4683"/>
    <w:rsid w:val="002C46D5"/>
    <w:rsid w:val="002C47DF"/>
    <w:rsid w:val="002C48E6"/>
    <w:rsid w:val="002C4C9E"/>
    <w:rsid w:val="002C506F"/>
    <w:rsid w:val="002C5134"/>
    <w:rsid w:val="002C5144"/>
    <w:rsid w:val="002C5C53"/>
    <w:rsid w:val="002C5E34"/>
    <w:rsid w:val="002C6B16"/>
    <w:rsid w:val="002C7233"/>
    <w:rsid w:val="002C7391"/>
    <w:rsid w:val="002D00C6"/>
    <w:rsid w:val="002D016E"/>
    <w:rsid w:val="002D0C1C"/>
    <w:rsid w:val="002D0C32"/>
    <w:rsid w:val="002D144D"/>
    <w:rsid w:val="002D1F63"/>
    <w:rsid w:val="002D20C4"/>
    <w:rsid w:val="002D2629"/>
    <w:rsid w:val="002D2AE3"/>
    <w:rsid w:val="002D2D77"/>
    <w:rsid w:val="002D2FAE"/>
    <w:rsid w:val="002D30D8"/>
    <w:rsid w:val="002D3694"/>
    <w:rsid w:val="002D377F"/>
    <w:rsid w:val="002D41F6"/>
    <w:rsid w:val="002D4D7F"/>
    <w:rsid w:val="002D51D0"/>
    <w:rsid w:val="002D5275"/>
    <w:rsid w:val="002D56A3"/>
    <w:rsid w:val="002D5752"/>
    <w:rsid w:val="002D5E74"/>
    <w:rsid w:val="002D69E7"/>
    <w:rsid w:val="002D6B41"/>
    <w:rsid w:val="002D7645"/>
    <w:rsid w:val="002E07AD"/>
    <w:rsid w:val="002E10BC"/>
    <w:rsid w:val="002E13BD"/>
    <w:rsid w:val="002E16A0"/>
    <w:rsid w:val="002E1793"/>
    <w:rsid w:val="002E1C76"/>
    <w:rsid w:val="002E1C84"/>
    <w:rsid w:val="002E1FEA"/>
    <w:rsid w:val="002E27D3"/>
    <w:rsid w:val="002E2863"/>
    <w:rsid w:val="002E2F18"/>
    <w:rsid w:val="002E3B26"/>
    <w:rsid w:val="002E435C"/>
    <w:rsid w:val="002E535A"/>
    <w:rsid w:val="002E57FE"/>
    <w:rsid w:val="002E5AAA"/>
    <w:rsid w:val="002E5D7B"/>
    <w:rsid w:val="002E5F97"/>
    <w:rsid w:val="002E635A"/>
    <w:rsid w:val="002E72F2"/>
    <w:rsid w:val="002E7668"/>
    <w:rsid w:val="002E766B"/>
    <w:rsid w:val="002E76DD"/>
    <w:rsid w:val="002F0F19"/>
    <w:rsid w:val="002F1290"/>
    <w:rsid w:val="002F1E7E"/>
    <w:rsid w:val="002F1EE0"/>
    <w:rsid w:val="002F2A78"/>
    <w:rsid w:val="002F3266"/>
    <w:rsid w:val="002F32A4"/>
    <w:rsid w:val="002F372D"/>
    <w:rsid w:val="002F3DF6"/>
    <w:rsid w:val="002F46DD"/>
    <w:rsid w:val="002F485C"/>
    <w:rsid w:val="002F5787"/>
    <w:rsid w:val="002F60C0"/>
    <w:rsid w:val="002F63A6"/>
    <w:rsid w:val="002F68BD"/>
    <w:rsid w:val="002F68D8"/>
    <w:rsid w:val="002F6EC9"/>
    <w:rsid w:val="002F75C7"/>
    <w:rsid w:val="002F7C08"/>
    <w:rsid w:val="0030028C"/>
    <w:rsid w:val="00300626"/>
    <w:rsid w:val="00300ADD"/>
    <w:rsid w:val="00300BCA"/>
    <w:rsid w:val="00300F87"/>
    <w:rsid w:val="003015DC"/>
    <w:rsid w:val="00301A1D"/>
    <w:rsid w:val="00301F17"/>
    <w:rsid w:val="003029C7"/>
    <w:rsid w:val="00302AA0"/>
    <w:rsid w:val="00302EF8"/>
    <w:rsid w:val="003045FC"/>
    <w:rsid w:val="00304D83"/>
    <w:rsid w:val="00304EE1"/>
    <w:rsid w:val="003074A6"/>
    <w:rsid w:val="00307D05"/>
    <w:rsid w:val="00307ECD"/>
    <w:rsid w:val="00310055"/>
    <w:rsid w:val="0031050E"/>
    <w:rsid w:val="00310596"/>
    <w:rsid w:val="00310948"/>
    <w:rsid w:val="003112D2"/>
    <w:rsid w:val="00311419"/>
    <w:rsid w:val="00311981"/>
    <w:rsid w:val="003133A6"/>
    <w:rsid w:val="00313821"/>
    <w:rsid w:val="00313B2F"/>
    <w:rsid w:val="00313BE7"/>
    <w:rsid w:val="00313C95"/>
    <w:rsid w:val="003140B5"/>
    <w:rsid w:val="00315126"/>
    <w:rsid w:val="00315760"/>
    <w:rsid w:val="003159F4"/>
    <w:rsid w:val="00315BF2"/>
    <w:rsid w:val="00316FF7"/>
    <w:rsid w:val="003178FB"/>
    <w:rsid w:val="00317DF0"/>
    <w:rsid w:val="00317F1E"/>
    <w:rsid w:val="003207E0"/>
    <w:rsid w:val="00320CD7"/>
    <w:rsid w:val="00320E54"/>
    <w:rsid w:val="003211A9"/>
    <w:rsid w:val="003214E4"/>
    <w:rsid w:val="00321F1C"/>
    <w:rsid w:val="00322E55"/>
    <w:rsid w:val="00322E97"/>
    <w:rsid w:val="00323C99"/>
    <w:rsid w:val="003241E6"/>
    <w:rsid w:val="00324331"/>
    <w:rsid w:val="0032477B"/>
    <w:rsid w:val="0032481C"/>
    <w:rsid w:val="00324AD5"/>
    <w:rsid w:val="00324C96"/>
    <w:rsid w:val="00325C33"/>
    <w:rsid w:val="00325E3D"/>
    <w:rsid w:val="00325E9F"/>
    <w:rsid w:val="00326C1C"/>
    <w:rsid w:val="00327704"/>
    <w:rsid w:val="003279FB"/>
    <w:rsid w:val="00327CBC"/>
    <w:rsid w:val="00331774"/>
    <w:rsid w:val="00331EE4"/>
    <w:rsid w:val="0033331F"/>
    <w:rsid w:val="003335F8"/>
    <w:rsid w:val="003339DE"/>
    <w:rsid w:val="00333BB2"/>
    <w:rsid w:val="00333D6D"/>
    <w:rsid w:val="00334D89"/>
    <w:rsid w:val="00335774"/>
    <w:rsid w:val="00335F10"/>
    <w:rsid w:val="003361D0"/>
    <w:rsid w:val="003362E1"/>
    <w:rsid w:val="003368A8"/>
    <w:rsid w:val="00336B05"/>
    <w:rsid w:val="003377E3"/>
    <w:rsid w:val="003378DB"/>
    <w:rsid w:val="00337A3E"/>
    <w:rsid w:val="00340381"/>
    <w:rsid w:val="00340D9C"/>
    <w:rsid w:val="003418E0"/>
    <w:rsid w:val="00342197"/>
    <w:rsid w:val="00342432"/>
    <w:rsid w:val="003425E3"/>
    <w:rsid w:val="00342975"/>
    <w:rsid w:val="00342A10"/>
    <w:rsid w:val="00342EF3"/>
    <w:rsid w:val="00343041"/>
    <w:rsid w:val="003430D8"/>
    <w:rsid w:val="003437FD"/>
    <w:rsid w:val="00343ABE"/>
    <w:rsid w:val="003448F3"/>
    <w:rsid w:val="00344FB2"/>
    <w:rsid w:val="00345023"/>
    <w:rsid w:val="003453D4"/>
    <w:rsid w:val="00345455"/>
    <w:rsid w:val="00345495"/>
    <w:rsid w:val="00345879"/>
    <w:rsid w:val="00345CED"/>
    <w:rsid w:val="00346172"/>
    <w:rsid w:val="00346B11"/>
    <w:rsid w:val="00346B6C"/>
    <w:rsid w:val="00346D83"/>
    <w:rsid w:val="00346DCB"/>
    <w:rsid w:val="00346FF7"/>
    <w:rsid w:val="003472AF"/>
    <w:rsid w:val="00347322"/>
    <w:rsid w:val="0034773E"/>
    <w:rsid w:val="003478BE"/>
    <w:rsid w:val="00347920"/>
    <w:rsid w:val="0035048E"/>
    <w:rsid w:val="0035051F"/>
    <w:rsid w:val="003506E6"/>
    <w:rsid w:val="00350823"/>
    <w:rsid w:val="00350AD6"/>
    <w:rsid w:val="00350C92"/>
    <w:rsid w:val="00351A8C"/>
    <w:rsid w:val="003522B4"/>
    <w:rsid w:val="003525FA"/>
    <w:rsid w:val="00352A55"/>
    <w:rsid w:val="00352CA7"/>
    <w:rsid w:val="003536D5"/>
    <w:rsid w:val="00353792"/>
    <w:rsid w:val="00353B38"/>
    <w:rsid w:val="00354565"/>
    <w:rsid w:val="003547B7"/>
    <w:rsid w:val="00355482"/>
    <w:rsid w:val="00355C77"/>
    <w:rsid w:val="00355D6B"/>
    <w:rsid w:val="003562E2"/>
    <w:rsid w:val="00356359"/>
    <w:rsid w:val="0035641D"/>
    <w:rsid w:val="0035668C"/>
    <w:rsid w:val="00357B2E"/>
    <w:rsid w:val="00360AEC"/>
    <w:rsid w:val="00361016"/>
    <w:rsid w:val="00361A23"/>
    <w:rsid w:val="00362331"/>
    <w:rsid w:val="00362AF2"/>
    <w:rsid w:val="00362F51"/>
    <w:rsid w:val="00363115"/>
    <w:rsid w:val="003632F1"/>
    <w:rsid w:val="0036395A"/>
    <w:rsid w:val="00364A33"/>
    <w:rsid w:val="00364B0C"/>
    <w:rsid w:val="00364DAF"/>
    <w:rsid w:val="00364DF8"/>
    <w:rsid w:val="00365CD5"/>
    <w:rsid w:val="003664DF"/>
    <w:rsid w:val="003668D1"/>
    <w:rsid w:val="00366EE1"/>
    <w:rsid w:val="0036709C"/>
    <w:rsid w:val="0036759A"/>
    <w:rsid w:val="00367B6B"/>
    <w:rsid w:val="00367C62"/>
    <w:rsid w:val="00367DFF"/>
    <w:rsid w:val="003709CA"/>
    <w:rsid w:val="0037106D"/>
    <w:rsid w:val="00371094"/>
    <w:rsid w:val="0037172D"/>
    <w:rsid w:val="00371C97"/>
    <w:rsid w:val="003728DD"/>
    <w:rsid w:val="00372B2A"/>
    <w:rsid w:val="00372CEC"/>
    <w:rsid w:val="003732A5"/>
    <w:rsid w:val="00373FE2"/>
    <w:rsid w:val="003740DF"/>
    <w:rsid w:val="00374295"/>
    <w:rsid w:val="003742F7"/>
    <w:rsid w:val="00375655"/>
    <w:rsid w:val="003757B0"/>
    <w:rsid w:val="00375BDE"/>
    <w:rsid w:val="00375FEC"/>
    <w:rsid w:val="00376057"/>
    <w:rsid w:val="00376A93"/>
    <w:rsid w:val="00376C9B"/>
    <w:rsid w:val="00377038"/>
    <w:rsid w:val="0037708E"/>
    <w:rsid w:val="0037756F"/>
    <w:rsid w:val="00377746"/>
    <w:rsid w:val="00377E0F"/>
    <w:rsid w:val="003800A8"/>
    <w:rsid w:val="003806DE"/>
    <w:rsid w:val="003815B2"/>
    <w:rsid w:val="0038196D"/>
    <w:rsid w:val="00381AF7"/>
    <w:rsid w:val="0038248D"/>
    <w:rsid w:val="003827BD"/>
    <w:rsid w:val="003839B7"/>
    <w:rsid w:val="00383CA1"/>
    <w:rsid w:val="00383F06"/>
    <w:rsid w:val="0038458C"/>
    <w:rsid w:val="003849D3"/>
    <w:rsid w:val="00384AF5"/>
    <w:rsid w:val="00385153"/>
    <w:rsid w:val="003855D8"/>
    <w:rsid w:val="00386148"/>
    <w:rsid w:val="003863EF"/>
    <w:rsid w:val="00386857"/>
    <w:rsid w:val="00387128"/>
    <w:rsid w:val="0038725D"/>
    <w:rsid w:val="00387DC0"/>
    <w:rsid w:val="00391365"/>
    <w:rsid w:val="003913DF"/>
    <w:rsid w:val="0039154F"/>
    <w:rsid w:val="00391C35"/>
    <w:rsid w:val="003923B2"/>
    <w:rsid w:val="00393239"/>
    <w:rsid w:val="00393341"/>
    <w:rsid w:val="00394C01"/>
    <w:rsid w:val="00394E18"/>
    <w:rsid w:val="003966CF"/>
    <w:rsid w:val="003967FD"/>
    <w:rsid w:val="00396AAA"/>
    <w:rsid w:val="00396EFE"/>
    <w:rsid w:val="003977B5"/>
    <w:rsid w:val="00397ED9"/>
    <w:rsid w:val="003A01BE"/>
    <w:rsid w:val="003A088D"/>
    <w:rsid w:val="003A123C"/>
    <w:rsid w:val="003A238E"/>
    <w:rsid w:val="003A2670"/>
    <w:rsid w:val="003A2F03"/>
    <w:rsid w:val="003A3113"/>
    <w:rsid w:val="003A32D6"/>
    <w:rsid w:val="003A371F"/>
    <w:rsid w:val="003A4387"/>
    <w:rsid w:val="003A4416"/>
    <w:rsid w:val="003A4B9C"/>
    <w:rsid w:val="003A4ED9"/>
    <w:rsid w:val="003A518E"/>
    <w:rsid w:val="003A5D81"/>
    <w:rsid w:val="003A6650"/>
    <w:rsid w:val="003A6948"/>
    <w:rsid w:val="003A6A3B"/>
    <w:rsid w:val="003A71E0"/>
    <w:rsid w:val="003A74E8"/>
    <w:rsid w:val="003A78DB"/>
    <w:rsid w:val="003B076D"/>
    <w:rsid w:val="003B0CF0"/>
    <w:rsid w:val="003B0DAB"/>
    <w:rsid w:val="003B1030"/>
    <w:rsid w:val="003B128A"/>
    <w:rsid w:val="003B1A5B"/>
    <w:rsid w:val="003B1C74"/>
    <w:rsid w:val="003B23BD"/>
    <w:rsid w:val="003B4171"/>
    <w:rsid w:val="003B47EE"/>
    <w:rsid w:val="003B4EFD"/>
    <w:rsid w:val="003B5834"/>
    <w:rsid w:val="003B5E21"/>
    <w:rsid w:val="003B65C2"/>
    <w:rsid w:val="003B6BC5"/>
    <w:rsid w:val="003B6EA1"/>
    <w:rsid w:val="003B6FCF"/>
    <w:rsid w:val="003B72C9"/>
    <w:rsid w:val="003B76DD"/>
    <w:rsid w:val="003B77B2"/>
    <w:rsid w:val="003B791C"/>
    <w:rsid w:val="003C0B8C"/>
    <w:rsid w:val="003C0FDD"/>
    <w:rsid w:val="003C15FE"/>
    <w:rsid w:val="003C1A1F"/>
    <w:rsid w:val="003C1BF2"/>
    <w:rsid w:val="003C1D4E"/>
    <w:rsid w:val="003C39F4"/>
    <w:rsid w:val="003C3EB9"/>
    <w:rsid w:val="003C40F5"/>
    <w:rsid w:val="003C410C"/>
    <w:rsid w:val="003C4EC6"/>
    <w:rsid w:val="003C4F59"/>
    <w:rsid w:val="003C5288"/>
    <w:rsid w:val="003C5389"/>
    <w:rsid w:val="003C58E6"/>
    <w:rsid w:val="003C638A"/>
    <w:rsid w:val="003C63C8"/>
    <w:rsid w:val="003C68EC"/>
    <w:rsid w:val="003C6AA4"/>
    <w:rsid w:val="003C724E"/>
    <w:rsid w:val="003D0366"/>
    <w:rsid w:val="003D0856"/>
    <w:rsid w:val="003D0F9D"/>
    <w:rsid w:val="003D1682"/>
    <w:rsid w:val="003D1A3B"/>
    <w:rsid w:val="003D2479"/>
    <w:rsid w:val="003D24CB"/>
    <w:rsid w:val="003D25F8"/>
    <w:rsid w:val="003D38C8"/>
    <w:rsid w:val="003D4402"/>
    <w:rsid w:val="003D5215"/>
    <w:rsid w:val="003D527F"/>
    <w:rsid w:val="003D5654"/>
    <w:rsid w:val="003D5913"/>
    <w:rsid w:val="003D61D1"/>
    <w:rsid w:val="003D6B70"/>
    <w:rsid w:val="003D7A7C"/>
    <w:rsid w:val="003D7C70"/>
    <w:rsid w:val="003D7DC8"/>
    <w:rsid w:val="003E04A4"/>
    <w:rsid w:val="003E06BF"/>
    <w:rsid w:val="003E0731"/>
    <w:rsid w:val="003E0AB1"/>
    <w:rsid w:val="003E0D22"/>
    <w:rsid w:val="003E0E77"/>
    <w:rsid w:val="003E0F14"/>
    <w:rsid w:val="003E138F"/>
    <w:rsid w:val="003E1409"/>
    <w:rsid w:val="003E14D2"/>
    <w:rsid w:val="003E17CE"/>
    <w:rsid w:val="003E1CB8"/>
    <w:rsid w:val="003E2A1C"/>
    <w:rsid w:val="003E2C63"/>
    <w:rsid w:val="003E334F"/>
    <w:rsid w:val="003E3409"/>
    <w:rsid w:val="003E3E36"/>
    <w:rsid w:val="003E40A3"/>
    <w:rsid w:val="003E49BE"/>
    <w:rsid w:val="003E4CF2"/>
    <w:rsid w:val="003E58B9"/>
    <w:rsid w:val="003E5E60"/>
    <w:rsid w:val="003E5FFA"/>
    <w:rsid w:val="003E66CA"/>
    <w:rsid w:val="003E6B15"/>
    <w:rsid w:val="003E6B5C"/>
    <w:rsid w:val="003E6CD2"/>
    <w:rsid w:val="003E7068"/>
    <w:rsid w:val="003E7437"/>
    <w:rsid w:val="003E76F3"/>
    <w:rsid w:val="003F018F"/>
    <w:rsid w:val="003F02F1"/>
    <w:rsid w:val="003F1019"/>
    <w:rsid w:val="003F2822"/>
    <w:rsid w:val="003F340B"/>
    <w:rsid w:val="003F3FDC"/>
    <w:rsid w:val="003F409C"/>
    <w:rsid w:val="003F4494"/>
    <w:rsid w:val="003F458B"/>
    <w:rsid w:val="003F4EB0"/>
    <w:rsid w:val="003F506A"/>
    <w:rsid w:val="003F511E"/>
    <w:rsid w:val="003F5F22"/>
    <w:rsid w:val="003F708B"/>
    <w:rsid w:val="003F74AE"/>
    <w:rsid w:val="003F7BDA"/>
    <w:rsid w:val="00400894"/>
    <w:rsid w:val="004008BF"/>
    <w:rsid w:val="00400E10"/>
    <w:rsid w:val="0040111A"/>
    <w:rsid w:val="004026A9"/>
    <w:rsid w:val="00402833"/>
    <w:rsid w:val="00402A84"/>
    <w:rsid w:val="00403273"/>
    <w:rsid w:val="00403466"/>
    <w:rsid w:val="004035C5"/>
    <w:rsid w:val="00403AA9"/>
    <w:rsid w:val="0040428E"/>
    <w:rsid w:val="00404490"/>
    <w:rsid w:val="00404789"/>
    <w:rsid w:val="0040481B"/>
    <w:rsid w:val="004048E8"/>
    <w:rsid w:val="00405612"/>
    <w:rsid w:val="00405AA3"/>
    <w:rsid w:val="00405EEA"/>
    <w:rsid w:val="0040720B"/>
    <w:rsid w:val="00407598"/>
    <w:rsid w:val="004101B4"/>
    <w:rsid w:val="0041088F"/>
    <w:rsid w:val="00411004"/>
    <w:rsid w:val="004112ED"/>
    <w:rsid w:val="0041211E"/>
    <w:rsid w:val="0041295F"/>
    <w:rsid w:val="00412D7A"/>
    <w:rsid w:val="00412FF6"/>
    <w:rsid w:val="00413979"/>
    <w:rsid w:val="00413FBB"/>
    <w:rsid w:val="00414244"/>
    <w:rsid w:val="00414686"/>
    <w:rsid w:val="00414AAD"/>
    <w:rsid w:val="00414B54"/>
    <w:rsid w:val="004155F1"/>
    <w:rsid w:val="00416992"/>
    <w:rsid w:val="00416FC5"/>
    <w:rsid w:val="00417001"/>
    <w:rsid w:val="00417A3A"/>
    <w:rsid w:val="0042066D"/>
    <w:rsid w:val="00420B2F"/>
    <w:rsid w:val="00420BC9"/>
    <w:rsid w:val="00420FCA"/>
    <w:rsid w:val="00421946"/>
    <w:rsid w:val="0042248E"/>
    <w:rsid w:val="004224B6"/>
    <w:rsid w:val="004226F9"/>
    <w:rsid w:val="00422A8B"/>
    <w:rsid w:val="00422EFA"/>
    <w:rsid w:val="00423FB2"/>
    <w:rsid w:val="00424BA3"/>
    <w:rsid w:val="00424DEC"/>
    <w:rsid w:val="00425577"/>
    <w:rsid w:val="00425746"/>
    <w:rsid w:val="00425F86"/>
    <w:rsid w:val="00426074"/>
    <w:rsid w:val="00426A2B"/>
    <w:rsid w:val="00426DBC"/>
    <w:rsid w:val="00426E60"/>
    <w:rsid w:val="0042713A"/>
    <w:rsid w:val="00427395"/>
    <w:rsid w:val="004275BD"/>
    <w:rsid w:val="00427EB3"/>
    <w:rsid w:val="00430375"/>
    <w:rsid w:val="004303D7"/>
    <w:rsid w:val="0043061E"/>
    <w:rsid w:val="00430826"/>
    <w:rsid w:val="00431002"/>
    <w:rsid w:val="004312B5"/>
    <w:rsid w:val="0043149C"/>
    <w:rsid w:val="00431840"/>
    <w:rsid w:val="00431B20"/>
    <w:rsid w:val="00431C66"/>
    <w:rsid w:val="004334A8"/>
    <w:rsid w:val="00433768"/>
    <w:rsid w:val="0043377C"/>
    <w:rsid w:val="00433821"/>
    <w:rsid w:val="004344BF"/>
    <w:rsid w:val="004347C1"/>
    <w:rsid w:val="004347E7"/>
    <w:rsid w:val="00434F8D"/>
    <w:rsid w:val="004350C9"/>
    <w:rsid w:val="004353B4"/>
    <w:rsid w:val="004357BF"/>
    <w:rsid w:val="00435E81"/>
    <w:rsid w:val="00436B85"/>
    <w:rsid w:val="00436CC3"/>
    <w:rsid w:val="00436F80"/>
    <w:rsid w:val="0043716F"/>
    <w:rsid w:val="004371B2"/>
    <w:rsid w:val="00440426"/>
    <w:rsid w:val="00440B74"/>
    <w:rsid w:val="004411B5"/>
    <w:rsid w:val="00441D2B"/>
    <w:rsid w:val="00441F12"/>
    <w:rsid w:val="00441FB1"/>
    <w:rsid w:val="00442AA9"/>
    <w:rsid w:val="00442C9F"/>
    <w:rsid w:val="00443673"/>
    <w:rsid w:val="00444A25"/>
    <w:rsid w:val="0044568D"/>
    <w:rsid w:val="00445792"/>
    <w:rsid w:val="004457DB"/>
    <w:rsid w:val="0044596F"/>
    <w:rsid w:val="00445A47"/>
    <w:rsid w:val="00445A9A"/>
    <w:rsid w:val="00445DD9"/>
    <w:rsid w:val="00446972"/>
    <w:rsid w:val="00446B39"/>
    <w:rsid w:val="00446E2C"/>
    <w:rsid w:val="00447051"/>
    <w:rsid w:val="00447480"/>
    <w:rsid w:val="004475C2"/>
    <w:rsid w:val="004477DD"/>
    <w:rsid w:val="00447876"/>
    <w:rsid w:val="00447FBF"/>
    <w:rsid w:val="00450B40"/>
    <w:rsid w:val="00450CB0"/>
    <w:rsid w:val="00452709"/>
    <w:rsid w:val="0045281E"/>
    <w:rsid w:val="00452CCD"/>
    <w:rsid w:val="00452E56"/>
    <w:rsid w:val="00452E59"/>
    <w:rsid w:val="00452F2F"/>
    <w:rsid w:val="00454672"/>
    <w:rsid w:val="00454D45"/>
    <w:rsid w:val="00454D9E"/>
    <w:rsid w:val="004555A4"/>
    <w:rsid w:val="00455780"/>
    <w:rsid w:val="00455EC7"/>
    <w:rsid w:val="00456637"/>
    <w:rsid w:val="004568C9"/>
    <w:rsid w:val="00457071"/>
    <w:rsid w:val="0045799F"/>
    <w:rsid w:val="00457BDF"/>
    <w:rsid w:val="00457F95"/>
    <w:rsid w:val="0046049F"/>
    <w:rsid w:val="004608F5"/>
    <w:rsid w:val="00460DBE"/>
    <w:rsid w:val="00460E8A"/>
    <w:rsid w:val="00461581"/>
    <w:rsid w:val="004621C9"/>
    <w:rsid w:val="004623A9"/>
    <w:rsid w:val="00462EA8"/>
    <w:rsid w:val="00463059"/>
    <w:rsid w:val="004630B0"/>
    <w:rsid w:val="004631E4"/>
    <w:rsid w:val="0046345B"/>
    <w:rsid w:val="0046371D"/>
    <w:rsid w:val="00463D30"/>
    <w:rsid w:val="004640BF"/>
    <w:rsid w:val="0046436F"/>
    <w:rsid w:val="00464883"/>
    <w:rsid w:val="00464963"/>
    <w:rsid w:val="00465243"/>
    <w:rsid w:val="00465365"/>
    <w:rsid w:val="00465650"/>
    <w:rsid w:val="00465BD8"/>
    <w:rsid w:val="004661BA"/>
    <w:rsid w:val="00470908"/>
    <w:rsid w:val="0047120D"/>
    <w:rsid w:val="00471753"/>
    <w:rsid w:val="0047190F"/>
    <w:rsid w:val="00472C5F"/>
    <w:rsid w:val="004734AF"/>
    <w:rsid w:val="004735BB"/>
    <w:rsid w:val="0047382D"/>
    <w:rsid w:val="00473988"/>
    <w:rsid w:val="00473C60"/>
    <w:rsid w:val="00473DD5"/>
    <w:rsid w:val="00473FC3"/>
    <w:rsid w:val="00474973"/>
    <w:rsid w:val="00474CE6"/>
    <w:rsid w:val="00475E64"/>
    <w:rsid w:val="004763D1"/>
    <w:rsid w:val="004763E7"/>
    <w:rsid w:val="004766FC"/>
    <w:rsid w:val="0047692A"/>
    <w:rsid w:val="00476E28"/>
    <w:rsid w:val="00477AEF"/>
    <w:rsid w:val="004800FD"/>
    <w:rsid w:val="00480D06"/>
    <w:rsid w:val="004811C6"/>
    <w:rsid w:val="004816DB"/>
    <w:rsid w:val="004819FC"/>
    <w:rsid w:val="00481ABB"/>
    <w:rsid w:val="00481B82"/>
    <w:rsid w:val="00481C87"/>
    <w:rsid w:val="00482A2F"/>
    <w:rsid w:val="00482FDB"/>
    <w:rsid w:val="00483588"/>
    <w:rsid w:val="00483D56"/>
    <w:rsid w:val="00483E0A"/>
    <w:rsid w:val="0048447B"/>
    <w:rsid w:val="00484B83"/>
    <w:rsid w:val="00484D52"/>
    <w:rsid w:val="00485C08"/>
    <w:rsid w:val="0048617A"/>
    <w:rsid w:val="004870DB"/>
    <w:rsid w:val="0048711A"/>
    <w:rsid w:val="00487CD5"/>
    <w:rsid w:val="0049017E"/>
    <w:rsid w:val="00490188"/>
    <w:rsid w:val="004910E9"/>
    <w:rsid w:val="00491EAC"/>
    <w:rsid w:val="00492045"/>
    <w:rsid w:val="004922CA"/>
    <w:rsid w:val="00492CD4"/>
    <w:rsid w:val="00493258"/>
    <w:rsid w:val="00493299"/>
    <w:rsid w:val="004934F3"/>
    <w:rsid w:val="00493672"/>
    <w:rsid w:val="00493858"/>
    <w:rsid w:val="00493A62"/>
    <w:rsid w:val="00493B97"/>
    <w:rsid w:val="00493C24"/>
    <w:rsid w:val="00494484"/>
    <w:rsid w:val="0049475F"/>
    <w:rsid w:val="00494B0A"/>
    <w:rsid w:val="00494C04"/>
    <w:rsid w:val="00495126"/>
    <w:rsid w:val="0049530D"/>
    <w:rsid w:val="0049578D"/>
    <w:rsid w:val="004957D1"/>
    <w:rsid w:val="00495B1C"/>
    <w:rsid w:val="00495E52"/>
    <w:rsid w:val="00496534"/>
    <w:rsid w:val="00496E60"/>
    <w:rsid w:val="00496F42"/>
    <w:rsid w:val="00496F67"/>
    <w:rsid w:val="00496FE4"/>
    <w:rsid w:val="00497020"/>
    <w:rsid w:val="004A0596"/>
    <w:rsid w:val="004A0711"/>
    <w:rsid w:val="004A08C7"/>
    <w:rsid w:val="004A1DB2"/>
    <w:rsid w:val="004A1F2D"/>
    <w:rsid w:val="004A25CE"/>
    <w:rsid w:val="004A2A48"/>
    <w:rsid w:val="004A2B04"/>
    <w:rsid w:val="004A3AA0"/>
    <w:rsid w:val="004A432E"/>
    <w:rsid w:val="004A45DD"/>
    <w:rsid w:val="004A4EC0"/>
    <w:rsid w:val="004A6522"/>
    <w:rsid w:val="004A6538"/>
    <w:rsid w:val="004A65AB"/>
    <w:rsid w:val="004A6CDE"/>
    <w:rsid w:val="004A6D9F"/>
    <w:rsid w:val="004A78BD"/>
    <w:rsid w:val="004A7BE2"/>
    <w:rsid w:val="004A7D0E"/>
    <w:rsid w:val="004B00CC"/>
    <w:rsid w:val="004B00D3"/>
    <w:rsid w:val="004B02C8"/>
    <w:rsid w:val="004B093D"/>
    <w:rsid w:val="004B0D25"/>
    <w:rsid w:val="004B11A2"/>
    <w:rsid w:val="004B1F9B"/>
    <w:rsid w:val="004B238D"/>
    <w:rsid w:val="004B29CB"/>
    <w:rsid w:val="004B2D3C"/>
    <w:rsid w:val="004B2D7C"/>
    <w:rsid w:val="004B3207"/>
    <w:rsid w:val="004B36E6"/>
    <w:rsid w:val="004B4548"/>
    <w:rsid w:val="004B465F"/>
    <w:rsid w:val="004B468A"/>
    <w:rsid w:val="004B4936"/>
    <w:rsid w:val="004B4D35"/>
    <w:rsid w:val="004B52A5"/>
    <w:rsid w:val="004B54C9"/>
    <w:rsid w:val="004B5F44"/>
    <w:rsid w:val="004B5F56"/>
    <w:rsid w:val="004B641A"/>
    <w:rsid w:val="004B72B8"/>
    <w:rsid w:val="004B771B"/>
    <w:rsid w:val="004C01F2"/>
    <w:rsid w:val="004C02BA"/>
    <w:rsid w:val="004C0641"/>
    <w:rsid w:val="004C0824"/>
    <w:rsid w:val="004C096F"/>
    <w:rsid w:val="004C160B"/>
    <w:rsid w:val="004C23B6"/>
    <w:rsid w:val="004C3759"/>
    <w:rsid w:val="004C42CD"/>
    <w:rsid w:val="004C55BA"/>
    <w:rsid w:val="004C56AB"/>
    <w:rsid w:val="004C5859"/>
    <w:rsid w:val="004C5C2C"/>
    <w:rsid w:val="004C5D29"/>
    <w:rsid w:val="004C5D91"/>
    <w:rsid w:val="004C5DE6"/>
    <w:rsid w:val="004C6B4E"/>
    <w:rsid w:val="004C6D65"/>
    <w:rsid w:val="004C7116"/>
    <w:rsid w:val="004C75B1"/>
    <w:rsid w:val="004C77A0"/>
    <w:rsid w:val="004C7E8A"/>
    <w:rsid w:val="004D001C"/>
    <w:rsid w:val="004D0525"/>
    <w:rsid w:val="004D0732"/>
    <w:rsid w:val="004D0ADD"/>
    <w:rsid w:val="004D0AE2"/>
    <w:rsid w:val="004D0B1E"/>
    <w:rsid w:val="004D1007"/>
    <w:rsid w:val="004D1252"/>
    <w:rsid w:val="004D19E2"/>
    <w:rsid w:val="004D1B15"/>
    <w:rsid w:val="004D2627"/>
    <w:rsid w:val="004D2C34"/>
    <w:rsid w:val="004D31A9"/>
    <w:rsid w:val="004D32B2"/>
    <w:rsid w:val="004D339A"/>
    <w:rsid w:val="004D340C"/>
    <w:rsid w:val="004D408C"/>
    <w:rsid w:val="004D4109"/>
    <w:rsid w:val="004D49EB"/>
    <w:rsid w:val="004D4ECD"/>
    <w:rsid w:val="004D5529"/>
    <w:rsid w:val="004D5BF7"/>
    <w:rsid w:val="004D678F"/>
    <w:rsid w:val="004D6A3F"/>
    <w:rsid w:val="004D6FBD"/>
    <w:rsid w:val="004D7018"/>
    <w:rsid w:val="004E1160"/>
    <w:rsid w:val="004E12F8"/>
    <w:rsid w:val="004E1324"/>
    <w:rsid w:val="004E142D"/>
    <w:rsid w:val="004E18BC"/>
    <w:rsid w:val="004E2681"/>
    <w:rsid w:val="004E2C90"/>
    <w:rsid w:val="004E2ED3"/>
    <w:rsid w:val="004E389B"/>
    <w:rsid w:val="004E437E"/>
    <w:rsid w:val="004E48E1"/>
    <w:rsid w:val="004E5803"/>
    <w:rsid w:val="004E5FB5"/>
    <w:rsid w:val="004E658E"/>
    <w:rsid w:val="004E66AC"/>
    <w:rsid w:val="004E67C1"/>
    <w:rsid w:val="004E727D"/>
    <w:rsid w:val="004F1079"/>
    <w:rsid w:val="004F128D"/>
    <w:rsid w:val="004F21D8"/>
    <w:rsid w:val="004F2518"/>
    <w:rsid w:val="004F2E54"/>
    <w:rsid w:val="004F2EFE"/>
    <w:rsid w:val="004F31F1"/>
    <w:rsid w:val="004F3CAF"/>
    <w:rsid w:val="004F4101"/>
    <w:rsid w:val="004F45F2"/>
    <w:rsid w:val="004F486A"/>
    <w:rsid w:val="004F5001"/>
    <w:rsid w:val="004F5099"/>
    <w:rsid w:val="004F53E7"/>
    <w:rsid w:val="004F56B4"/>
    <w:rsid w:val="004F56C0"/>
    <w:rsid w:val="004F5790"/>
    <w:rsid w:val="004F5D6D"/>
    <w:rsid w:val="004F5DA2"/>
    <w:rsid w:val="004F7977"/>
    <w:rsid w:val="004F7A0D"/>
    <w:rsid w:val="004F7F4B"/>
    <w:rsid w:val="004F7F5A"/>
    <w:rsid w:val="00500362"/>
    <w:rsid w:val="0050090A"/>
    <w:rsid w:val="00500E0F"/>
    <w:rsid w:val="0050139C"/>
    <w:rsid w:val="005013AD"/>
    <w:rsid w:val="00501984"/>
    <w:rsid w:val="0050256B"/>
    <w:rsid w:val="00502918"/>
    <w:rsid w:val="0050294B"/>
    <w:rsid w:val="0050367F"/>
    <w:rsid w:val="00503D11"/>
    <w:rsid w:val="00504750"/>
    <w:rsid w:val="005048A6"/>
    <w:rsid w:val="00505007"/>
    <w:rsid w:val="00505937"/>
    <w:rsid w:val="00505D8B"/>
    <w:rsid w:val="005060F6"/>
    <w:rsid w:val="00506936"/>
    <w:rsid w:val="00507212"/>
    <w:rsid w:val="00507457"/>
    <w:rsid w:val="00507B28"/>
    <w:rsid w:val="00510694"/>
    <w:rsid w:val="00510B0E"/>
    <w:rsid w:val="00510EE3"/>
    <w:rsid w:val="005111B8"/>
    <w:rsid w:val="00511419"/>
    <w:rsid w:val="00511824"/>
    <w:rsid w:val="00511FEB"/>
    <w:rsid w:val="00512253"/>
    <w:rsid w:val="0051288D"/>
    <w:rsid w:val="005129D3"/>
    <w:rsid w:val="00512DA4"/>
    <w:rsid w:val="005137DA"/>
    <w:rsid w:val="00513B05"/>
    <w:rsid w:val="00513B49"/>
    <w:rsid w:val="00513F7F"/>
    <w:rsid w:val="0051465E"/>
    <w:rsid w:val="0051470E"/>
    <w:rsid w:val="00514BE1"/>
    <w:rsid w:val="0051524F"/>
    <w:rsid w:val="005159F8"/>
    <w:rsid w:val="00515B91"/>
    <w:rsid w:val="00515C4C"/>
    <w:rsid w:val="00515D24"/>
    <w:rsid w:val="00515DCB"/>
    <w:rsid w:val="00516157"/>
    <w:rsid w:val="005162ED"/>
    <w:rsid w:val="005163CC"/>
    <w:rsid w:val="00516769"/>
    <w:rsid w:val="00516935"/>
    <w:rsid w:val="0051731C"/>
    <w:rsid w:val="00517DBF"/>
    <w:rsid w:val="005200B8"/>
    <w:rsid w:val="00520505"/>
    <w:rsid w:val="00520ED1"/>
    <w:rsid w:val="0052152E"/>
    <w:rsid w:val="005217DC"/>
    <w:rsid w:val="0052183F"/>
    <w:rsid w:val="0052186B"/>
    <w:rsid w:val="00521CA9"/>
    <w:rsid w:val="005221F5"/>
    <w:rsid w:val="00523081"/>
    <w:rsid w:val="00523670"/>
    <w:rsid w:val="00524AF3"/>
    <w:rsid w:val="00524E51"/>
    <w:rsid w:val="00524E65"/>
    <w:rsid w:val="0052504A"/>
    <w:rsid w:val="005250A8"/>
    <w:rsid w:val="00525224"/>
    <w:rsid w:val="0052580E"/>
    <w:rsid w:val="00525A2A"/>
    <w:rsid w:val="0052644D"/>
    <w:rsid w:val="00526BFB"/>
    <w:rsid w:val="00527502"/>
    <w:rsid w:val="005276B1"/>
    <w:rsid w:val="00527B59"/>
    <w:rsid w:val="00527D68"/>
    <w:rsid w:val="00530DC1"/>
    <w:rsid w:val="00530E5C"/>
    <w:rsid w:val="00530EA2"/>
    <w:rsid w:val="00531468"/>
    <w:rsid w:val="00531753"/>
    <w:rsid w:val="00531D8A"/>
    <w:rsid w:val="005324D6"/>
    <w:rsid w:val="005324EC"/>
    <w:rsid w:val="0053260C"/>
    <w:rsid w:val="0053314A"/>
    <w:rsid w:val="00533741"/>
    <w:rsid w:val="00533C07"/>
    <w:rsid w:val="005346FE"/>
    <w:rsid w:val="00534FD8"/>
    <w:rsid w:val="0053592D"/>
    <w:rsid w:val="00535DE7"/>
    <w:rsid w:val="0053671F"/>
    <w:rsid w:val="00537798"/>
    <w:rsid w:val="00537BA0"/>
    <w:rsid w:val="00537BB2"/>
    <w:rsid w:val="005407C6"/>
    <w:rsid w:val="00540C54"/>
    <w:rsid w:val="00541029"/>
    <w:rsid w:val="005411AF"/>
    <w:rsid w:val="00541316"/>
    <w:rsid w:val="005415E7"/>
    <w:rsid w:val="0054365E"/>
    <w:rsid w:val="005438E9"/>
    <w:rsid w:val="00543C0A"/>
    <w:rsid w:val="00544A0D"/>
    <w:rsid w:val="00544A81"/>
    <w:rsid w:val="00545059"/>
    <w:rsid w:val="005455AD"/>
    <w:rsid w:val="005458DE"/>
    <w:rsid w:val="00545B52"/>
    <w:rsid w:val="0054684E"/>
    <w:rsid w:val="0054747C"/>
    <w:rsid w:val="0054792E"/>
    <w:rsid w:val="00547F87"/>
    <w:rsid w:val="005509CB"/>
    <w:rsid w:val="00550A5E"/>
    <w:rsid w:val="00551781"/>
    <w:rsid w:val="005523DF"/>
    <w:rsid w:val="00553B75"/>
    <w:rsid w:val="00554909"/>
    <w:rsid w:val="00554929"/>
    <w:rsid w:val="00554C6F"/>
    <w:rsid w:val="00554ED5"/>
    <w:rsid w:val="00554EEB"/>
    <w:rsid w:val="005551CC"/>
    <w:rsid w:val="005559EC"/>
    <w:rsid w:val="00555DE1"/>
    <w:rsid w:val="00555F06"/>
    <w:rsid w:val="00555FB8"/>
    <w:rsid w:val="00556C7D"/>
    <w:rsid w:val="00556F06"/>
    <w:rsid w:val="005571A3"/>
    <w:rsid w:val="00557461"/>
    <w:rsid w:val="00557F49"/>
    <w:rsid w:val="00557FA3"/>
    <w:rsid w:val="00560493"/>
    <w:rsid w:val="0056050E"/>
    <w:rsid w:val="005606CE"/>
    <w:rsid w:val="00560ACA"/>
    <w:rsid w:val="005612B5"/>
    <w:rsid w:val="0056149D"/>
    <w:rsid w:val="0056175B"/>
    <w:rsid w:val="00561951"/>
    <w:rsid w:val="00562253"/>
    <w:rsid w:val="00562F9C"/>
    <w:rsid w:val="005632F3"/>
    <w:rsid w:val="00563577"/>
    <w:rsid w:val="00563A30"/>
    <w:rsid w:val="00563BE7"/>
    <w:rsid w:val="00563CD4"/>
    <w:rsid w:val="005641FA"/>
    <w:rsid w:val="00566007"/>
    <w:rsid w:val="00566751"/>
    <w:rsid w:val="00566893"/>
    <w:rsid w:val="00566BC7"/>
    <w:rsid w:val="00566EE1"/>
    <w:rsid w:val="00566F4E"/>
    <w:rsid w:val="005672F8"/>
    <w:rsid w:val="0056782D"/>
    <w:rsid w:val="0057039D"/>
    <w:rsid w:val="005712BF"/>
    <w:rsid w:val="0057158E"/>
    <w:rsid w:val="005715C8"/>
    <w:rsid w:val="00571C1B"/>
    <w:rsid w:val="00572D5F"/>
    <w:rsid w:val="00572E3C"/>
    <w:rsid w:val="00573467"/>
    <w:rsid w:val="005736C6"/>
    <w:rsid w:val="00573E78"/>
    <w:rsid w:val="005741C4"/>
    <w:rsid w:val="0057420E"/>
    <w:rsid w:val="00574A1C"/>
    <w:rsid w:val="00574E69"/>
    <w:rsid w:val="00574EB3"/>
    <w:rsid w:val="005751F5"/>
    <w:rsid w:val="005755D8"/>
    <w:rsid w:val="00575A2D"/>
    <w:rsid w:val="00576638"/>
    <w:rsid w:val="00576C62"/>
    <w:rsid w:val="005774E0"/>
    <w:rsid w:val="00577A98"/>
    <w:rsid w:val="0058006D"/>
    <w:rsid w:val="005807E7"/>
    <w:rsid w:val="00580C07"/>
    <w:rsid w:val="005813D6"/>
    <w:rsid w:val="005814C9"/>
    <w:rsid w:val="005821F0"/>
    <w:rsid w:val="005825C1"/>
    <w:rsid w:val="00583259"/>
    <w:rsid w:val="0058344F"/>
    <w:rsid w:val="00583D8A"/>
    <w:rsid w:val="005846C8"/>
    <w:rsid w:val="00584F31"/>
    <w:rsid w:val="00584FFB"/>
    <w:rsid w:val="005856BF"/>
    <w:rsid w:val="00586841"/>
    <w:rsid w:val="00586F67"/>
    <w:rsid w:val="005870A2"/>
    <w:rsid w:val="0058724E"/>
    <w:rsid w:val="00587254"/>
    <w:rsid w:val="005872BA"/>
    <w:rsid w:val="0058732D"/>
    <w:rsid w:val="005875FC"/>
    <w:rsid w:val="0058782C"/>
    <w:rsid w:val="00591468"/>
    <w:rsid w:val="00591B04"/>
    <w:rsid w:val="005925B2"/>
    <w:rsid w:val="0059270E"/>
    <w:rsid w:val="0059272A"/>
    <w:rsid w:val="005930D6"/>
    <w:rsid w:val="00593542"/>
    <w:rsid w:val="0059379A"/>
    <w:rsid w:val="00593912"/>
    <w:rsid w:val="00593D04"/>
    <w:rsid w:val="00593E27"/>
    <w:rsid w:val="00594160"/>
    <w:rsid w:val="0059474C"/>
    <w:rsid w:val="00594C16"/>
    <w:rsid w:val="00594C1D"/>
    <w:rsid w:val="00594CB1"/>
    <w:rsid w:val="00595159"/>
    <w:rsid w:val="00595FAF"/>
    <w:rsid w:val="005962C5"/>
    <w:rsid w:val="00596588"/>
    <w:rsid w:val="0059674D"/>
    <w:rsid w:val="005971CA"/>
    <w:rsid w:val="00597669"/>
    <w:rsid w:val="005977BE"/>
    <w:rsid w:val="00597935"/>
    <w:rsid w:val="00597A39"/>
    <w:rsid w:val="00597FC1"/>
    <w:rsid w:val="005A005E"/>
    <w:rsid w:val="005A1D32"/>
    <w:rsid w:val="005A1F97"/>
    <w:rsid w:val="005A217C"/>
    <w:rsid w:val="005A2C77"/>
    <w:rsid w:val="005A2DD6"/>
    <w:rsid w:val="005A2F58"/>
    <w:rsid w:val="005A3082"/>
    <w:rsid w:val="005A3293"/>
    <w:rsid w:val="005A3BFD"/>
    <w:rsid w:val="005A3CF7"/>
    <w:rsid w:val="005A4009"/>
    <w:rsid w:val="005A4926"/>
    <w:rsid w:val="005A4C43"/>
    <w:rsid w:val="005A4E31"/>
    <w:rsid w:val="005A5679"/>
    <w:rsid w:val="005A59E6"/>
    <w:rsid w:val="005A5A6F"/>
    <w:rsid w:val="005A614A"/>
    <w:rsid w:val="005A67BD"/>
    <w:rsid w:val="005A6F5D"/>
    <w:rsid w:val="005A791D"/>
    <w:rsid w:val="005A7BCB"/>
    <w:rsid w:val="005A7DC6"/>
    <w:rsid w:val="005B029F"/>
    <w:rsid w:val="005B0839"/>
    <w:rsid w:val="005B0ADB"/>
    <w:rsid w:val="005B0E88"/>
    <w:rsid w:val="005B122B"/>
    <w:rsid w:val="005B160F"/>
    <w:rsid w:val="005B192E"/>
    <w:rsid w:val="005B29D9"/>
    <w:rsid w:val="005B301F"/>
    <w:rsid w:val="005B3229"/>
    <w:rsid w:val="005B3308"/>
    <w:rsid w:val="005B365E"/>
    <w:rsid w:val="005B524D"/>
    <w:rsid w:val="005B5EC4"/>
    <w:rsid w:val="005B6B21"/>
    <w:rsid w:val="005B7079"/>
    <w:rsid w:val="005B76DC"/>
    <w:rsid w:val="005B7E18"/>
    <w:rsid w:val="005C02BA"/>
    <w:rsid w:val="005C0664"/>
    <w:rsid w:val="005C0C36"/>
    <w:rsid w:val="005C0C40"/>
    <w:rsid w:val="005C1038"/>
    <w:rsid w:val="005C1386"/>
    <w:rsid w:val="005C1B87"/>
    <w:rsid w:val="005C1C2D"/>
    <w:rsid w:val="005C1F79"/>
    <w:rsid w:val="005C2094"/>
    <w:rsid w:val="005C22A5"/>
    <w:rsid w:val="005C2441"/>
    <w:rsid w:val="005C2471"/>
    <w:rsid w:val="005C2C54"/>
    <w:rsid w:val="005C45B3"/>
    <w:rsid w:val="005C4AA2"/>
    <w:rsid w:val="005C4D91"/>
    <w:rsid w:val="005C4F15"/>
    <w:rsid w:val="005C6D44"/>
    <w:rsid w:val="005C6F63"/>
    <w:rsid w:val="005C74A6"/>
    <w:rsid w:val="005D0023"/>
    <w:rsid w:val="005D0642"/>
    <w:rsid w:val="005D0738"/>
    <w:rsid w:val="005D07D5"/>
    <w:rsid w:val="005D0C05"/>
    <w:rsid w:val="005D0F22"/>
    <w:rsid w:val="005D1E2C"/>
    <w:rsid w:val="005D23F6"/>
    <w:rsid w:val="005D2706"/>
    <w:rsid w:val="005D2931"/>
    <w:rsid w:val="005D29EF"/>
    <w:rsid w:val="005D2E0A"/>
    <w:rsid w:val="005D408E"/>
    <w:rsid w:val="005D4637"/>
    <w:rsid w:val="005D4CBC"/>
    <w:rsid w:val="005D4DE1"/>
    <w:rsid w:val="005D50AA"/>
    <w:rsid w:val="005D5583"/>
    <w:rsid w:val="005D5750"/>
    <w:rsid w:val="005D57A9"/>
    <w:rsid w:val="005D58C9"/>
    <w:rsid w:val="005D5DF5"/>
    <w:rsid w:val="005D64F7"/>
    <w:rsid w:val="005D685E"/>
    <w:rsid w:val="005D68C7"/>
    <w:rsid w:val="005D6A99"/>
    <w:rsid w:val="005D6BC5"/>
    <w:rsid w:val="005D7146"/>
    <w:rsid w:val="005D72DB"/>
    <w:rsid w:val="005D7D66"/>
    <w:rsid w:val="005D7F5A"/>
    <w:rsid w:val="005E0CED"/>
    <w:rsid w:val="005E0F4F"/>
    <w:rsid w:val="005E1E89"/>
    <w:rsid w:val="005E2054"/>
    <w:rsid w:val="005E2131"/>
    <w:rsid w:val="005E29F6"/>
    <w:rsid w:val="005E2A7E"/>
    <w:rsid w:val="005E3B3A"/>
    <w:rsid w:val="005E440B"/>
    <w:rsid w:val="005E46DE"/>
    <w:rsid w:val="005E4EC7"/>
    <w:rsid w:val="005E59B3"/>
    <w:rsid w:val="005E6500"/>
    <w:rsid w:val="005E6B37"/>
    <w:rsid w:val="005E6B3F"/>
    <w:rsid w:val="005F0A8F"/>
    <w:rsid w:val="005F0A96"/>
    <w:rsid w:val="005F0D8C"/>
    <w:rsid w:val="005F141E"/>
    <w:rsid w:val="005F1792"/>
    <w:rsid w:val="005F1943"/>
    <w:rsid w:val="005F1969"/>
    <w:rsid w:val="005F21BF"/>
    <w:rsid w:val="005F2CF0"/>
    <w:rsid w:val="005F40F6"/>
    <w:rsid w:val="005F4414"/>
    <w:rsid w:val="005F4D0B"/>
    <w:rsid w:val="005F5701"/>
    <w:rsid w:val="005F58ED"/>
    <w:rsid w:val="005F59A0"/>
    <w:rsid w:val="005F5A81"/>
    <w:rsid w:val="005F6092"/>
    <w:rsid w:val="005F609A"/>
    <w:rsid w:val="005F68A3"/>
    <w:rsid w:val="005F6BBB"/>
    <w:rsid w:val="005F6C12"/>
    <w:rsid w:val="005F7411"/>
    <w:rsid w:val="005F7DFD"/>
    <w:rsid w:val="00600092"/>
    <w:rsid w:val="006005A9"/>
    <w:rsid w:val="0060063F"/>
    <w:rsid w:val="0060136E"/>
    <w:rsid w:val="00602195"/>
    <w:rsid w:val="00603204"/>
    <w:rsid w:val="006033BD"/>
    <w:rsid w:val="00604245"/>
    <w:rsid w:val="00604645"/>
    <w:rsid w:val="00604717"/>
    <w:rsid w:val="00604C4D"/>
    <w:rsid w:val="00604D88"/>
    <w:rsid w:val="006053B3"/>
    <w:rsid w:val="00605489"/>
    <w:rsid w:val="00605493"/>
    <w:rsid w:val="00605F7A"/>
    <w:rsid w:val="00605FC4"/>
    <w:rsid w:val="00606539"/>
    <w:rsid w:val="00606BA4"/>
    <w:rsid w:val="00607278"/>
    <w:rsid w:val="006072D7"/>
    <w:rsid w:val="006075E7"/>
    <w:rsid w:val="00607D2E"/>
    <w:rsid w:val="00607ED4"/>
    <w:rsid w:val="0061030B"/>
    <w:rsid w:val="006105F8"/>
    <w:rsid w:val="006107EB"/>
    <w:rsid w:val="00610B66"/>
    <w:rsid w:val="00610B79"/>
    <w:rsid w:val="006111BD"/>
    <w:rsid w:val="00611339"/>
    <w:rsid w:val="00611478"/>
    <w:rsid w:val="00611885"/>
    <w:rsid w:val="0061196C"/>
    <w:rsid w:val="006129BC"/>
    <w:rsid w:val="006136AA"/>
    <w:rsid w:val="00613933"/>
    <w:rsid w:val="00613FA0"/>
    <w:rsid w:val="00614321"/>
    <w:rsid w:val="00615151"/>
    <w:rsid w:val="0061571B"/>
    <w:rsid w:val="00615C47"/>
    <w:rsid w:val="00615D30"/>
    <w:rsid w:val="006161D5"/>
    <w:rsid w:val="006168EF"/>
    <w:rsid w:val="00616E36"/>
    <w:rsid w:val="0061743F"/>
    <w:rsid w:val="00617456"/>
    <w:rsid w:val="006174C2"/>
    <w:rsid w:val="00617D7D"/>
    <w:rsid w:val="00617DEA"/>
    <w:rsid w:val="00620D5C"/>
    <w:rsid w:val="006210DA"/>
    <w:rsid w:val="00621335"/>
    <w:rsid w:val="00621893"/>
    <w:rsid w:val="00621BCE"/>
    <w:rsid w:val="00621DCC"/>
    <w:rsid w:val="00621F24"/>
    <w:rsid w:val="006223E6"/>
    <w:rsid w:val="00622CE2"/>
    <w:rsid w:val="006233D6"/>
    <w:rsid w:val="0062417A"/>
    <w:rsid w:val="00624C99"/>
    <w:rsid w:val="00624F9E"/>
    <w:rsid w:val="006252B2"/>
    <w:rsid w:val="006252FF"/>
    <w:rsid w:val="00625594"/>
    <w:rsid w:val="00625771"/>
    <w:rsid w:val="00625798"/>
    <w:rsid w:val="00625D5F"/>
    <w:rsid w:val="00625DA8"/>
    <w:rsid w:val="00626488"/>
    <w:rsid w:val="006264DB"/>
    <w:rsid w:val="00626C6F"/>
    <w:rsid w:val="00626E5B"/>
    <w:rsid w:val="00627894"/>
    <w:rsid w:val="00627F26"/>
    <w:rsid w:val="006309E4"/>
    <w:rsid w:val="006311B3"/>
    <w:rsid w:val="006315F0"/>
    <w:rsid w:val="00632116"/>
    <w:rsid w:val="006323FB"/>
    <w:rsid w:val="0063265E"/>
    <w:rsid w:val="00632C8E"/>
    <w:rsid w:val="00632FAE"/>
    <w:rsid w:val="0063311D"/>
    <w:rsid w:val="00633BEA"/>
    <w:rsid w:val="0063456B"/>
    <w:rsid w:val="00634A1B"/>
    <w:rsid w:val="00634D59"/>
    <w:rsid w:val="00634EB0"/>
    <w:rsid w:val="00634F78"/>
    <w:rsid w:val="006353BC"/>
    <w:rsid w:val="006353CC"/>
    <w:rsid w:val="0063600D"/>
    <w:rsid w:val="00636672"/>
    <w:rsid w:val="00636C24"/>
    <w:rsid w:val="0063707D"/>
    <w:rsid w:val="00637635"/>
    <w:rsid w:val="006378D0"/>
    <w:rsid w:val="00637B5C"/>
    <w:rsid w:val="00637C80"/>
    <w:rsid w:val="0064017E"/>
    <w:rsid w:val="00640A53"/>
    <w:rsid w:val="00640DE4"/>
    <w:rsid w:val="0064132A"/>
    <w:rsid w:val="00641DF4"/>
    <w:rsid w:val="00641EA5"/>
    <w:rsid w:val="00642558"/>
    <w:rsid w:val="00642DC9"/>
    <w:rsid w:val="006431E5"/>
    <w:rsid w:val="00643307"/>
    <w:rsid w:val="00643325"/>
    <w:rsid w:val="00643B82"/>
    <w:rsid w:val="0064422B"/>
    <w:rsid w:val="00644E4D"/>
    <w:rsid w:val="00646560"/>
    <w:rsid w:val="00646BA4"/>
    <w:rsid w:val="00647347"/>
    <w:rsid w:val="0064793E"/>
    <w:rsid w:val="00647D4B"/>
    <w:rsid w:val="0065018B"/>
    <w:rsid w:val="006505F9"/>
    <w:rsid w:val="006506EF"/>
    <w:rsid w:val="006509C9"/>
    <w:rsid w:val="00650AA2"/>
    <w:rsid w:val="00651B9D"/>
    <w:rsid w:val="00651CFF"/>
    <w:rsid w:val="0065285B"/>
    <w:rsid w:val="006529B6"/>
    <w:rsid w:val="00652DC4"/>
    <w:rsid w:val="00653046"/>
    <w:rsid w:val="00653CA3"/>
    <w:rsid w:val="00654861"/>
    <w:rsid w:val="00654917"/>
    <w:rsid w:val="006552EE"/>
    <w:rsid w:val="0065562D"/>
    <w:rsid w:val="00655A72"/>
    <w:rsid w:val="00655DBE"/>
    <w:rsid w:val="00656615"/>
    <w:rsid w:val="006571F0"/>
    <w:rsid w:val="0065743B"/>
    <w:rsid w:val="00657973"/>
    <w:rsid w:val="00660275"/>
    <w:rsid w:val="006603B4"/>
    <w:rsid w:val="0066149B"/>
    <w:rsid w:val="006628D5"/>
    <w:rsid w:val="0066380A"/>
    <w:rsid w:val="00663D2F"/>
    <w:rsid w:val="00663EB3"/>
    <w:rsid w:val="0066408C"/>
    <w:rsid w:val="006645B7"/>
    <w:rsid w:val="00665646"/>
    <w:rsid w:val="00665FD8"/>
    <w:rsid w:val="00666503"/>
    <w:rsid w:val="00666793"/>
    <w:rsid w:val="00666AE4"/>
    <w:rsid w:val="00666D6E"/>
    <w:rsid w:val="00670068"/>
    <w:rsid w:val="00670B29"/>
    <w:rsid w:val="00670C8D"/>
    <w:rsid w:val="00671954"/>
    <w:rsid w:val="00671F14"/>
    <w:rsid w:val="00672572"/>
    <w:rsid w:val="00672DED"/>
    <w:rsid w:val="00673214"/>
    <w:rsid w:val="0067380A"/>
    <w:rsid w:val="0067387B"/>
    <w:rsid w:val="00673CF6"/>
    <w:rsid w:val="00673CFF"/>
    <w:rsid w:val="00673DE8"/>
    <w:rsid w:val="00674941"/>
    <w:rsid w:val="00674974"/>
    <w:rsid w:val="006749CD"/>
    <w:rsid w:val="00674A21"/>
    <w:rsid w:val="00674B9D"/>
    <w:rsid w:val="00674CE4"/>
    <w:rsid w:val="006753C7"/>
    <w:rsid w:val="0067581A"/>
    <w:rsid w:val="00676061"/>
    <w:rsid w:val="006777AA"/>
    <w:rsid w:val="006778B8"/>
    <w:rsid w:val="00677EA0"/>
    <w:rsid w:val="00680419"/>
    <w:rsid w:val="0068090C"/>
    <w:rsid w:val="00680CBC"/>
    <w:rsid w:val="00680D59"/>
    <w:rsid w:val="006811E2"/>
    <w:rsid w:val="006815C4"/>
    <w:rsid w:val="00681B05"/>
    <w:rsid w:val="00681B9B"/>
    <w:rsid w:val="00682028"/>
    <w:rsid w:val="006821D8"/>
    <w:rsid w:val="00682214"/>
    <w:rsid w:val="00682653"/>
    <w:rsid w:val="00682CA8"/>
    <w:rsid w:val="00682F63"/>
    <w:rsid w:val="00683391"/>
    <w:rsid w:val="0068359B"/>
    <w:rsid w:val="006836CC"/>
    <w:rsid w:val="00684814"/>
    <w:rsid w:val="00684DBC"/>
    <w:rsid w:val="006854DD"/>
    <w:rsid w:val="00685962"/>
    <w:rsid w:val="00685DE1"/>
    <w:rsid w:val="006860AB"/>
    <w:rsid w:val="00687CC7"/>
    <w:rsid w:val="00690459"/>
    <w:rsid w:val="006911D2"/>
    <w:rsid w:val="00691D56"/>
    <w:rsid w:val="00691DE2"/>
    <w:rsid w:val="00692C5E"/>
    <w:rsid w:val="006934FD"/>
    <w:rsid w:val="00693B40"/>
    <w:rsid w:val="00693DA2"/>
    <w:rsid w:val="00693DF0"/>
    <w:rsid w:val="00694341"/>
    <w:rsid w:val="006949E8"/>
    <w:rsid w:val="00694CE2"/>
    <w:rsid w:val="00694EF8"/>
    <w:rsid w:val="006956DF"/>
    <w:rsid w:val="00695AD9"/>
    <w:rsid w:val="00695D46"/>
    <w:rsid w:val="00695F9C"/>
    <w:rsid w:val="00695FF7"/>
    <w:rsid w:val="006964D3"/>
    <w:rsid w:val="00696A27"/>
    <w:rsid w:val="006972DC"/>
    <w:rsid w:val="00697353"/>
    <w:rsid w:val="0069785F"/>
    <w:rsid w:val="00697E41"/>
    <w:rsid w:val="00697F68"/>
    <w:rsid w:val="006A0E6C"/>
    <w:rsid w:val="006A0F16"/>
    <w:rsid w:val="006A0F42"/>
    <w:rsid w:val="006A1639"/>
    <w:rsid w:val="006A1649"/>
    <w:rsid w:val="006A1728"/>
    <w:rsid w:val="006A1979"/>
    <w:rsid w:val="006A21C6"/>
    <w:rsid w:val="006A2526"/>
    <w:rsid w:val="006A271C"/>
    <w:rsid w:val="006A2F2F"/>
    <w:rsid w:val="006A309F"/>
    <w:rsid w:val="006A34ED"/>
    <w:rsid w:val="006A4136"/>
    <w:rsid w:val="006A437A"/>
    <w:rsid w:val="006A46D2"/>
    <w:rsid w:val="006A4796"/>
    <w:rsid w:val="006A48D5"/>
    <w:rsid w:val="006A48D7"/>
    <w:rsid w:val="006A51D3"/>
    <w:rsid w:val="006A52ED"/>
    <w:rsid w:val="006A5FE2"/>
    <w:rsid w:val="006A7258"/>
    <w:rsid w:val="006A72F3"/>
    <w:rsid w:val="006B0020"/>
    <w:rsid w:val="006B00B4"/>
    <w:rsid w:val="006B029E"/>
    <w:rsid w:val="006B04F9"/>
    <w:rsid w:val="006B09F2"/>
    <w:rsid w:val="006B0A04"/>
    <w:rsid w:val="006B0E2A"/>
    <w:rsid w:val="006B0F5A"/>
    <w:rsid w:val="006B0FD5"/>
    <w:rsid w:val="006B29D0"/>
    <w:rsid w:val="006B29F3"/>
    <w:rsid w:val="006B2A7D"/>
    <w:rsid w:val="006B2AE5"/>
    <w:rsid w:val="006B49FD"/>
    <w:rsid w:val="006B51FE"/>
    <w:rsid w:val="006B5655"/>
    <w:rsid w:val="006B6DE3"/>
    <w:rsid w:val="006B737D"/>
    <w:rsid w:val="006B75FC"/>
    <w:rsid w:val="006B7745"/>
    <w:rsid w:val="006C10FF"/>
    <w:rsid w:val="006C11C7"/>
    <w:rsid w:val="006C144F"/>
    <w:rsid w:val="006C15DC"/>
    <w:rsid w:val="006C161E"/>
    <w:rsid w:val="006C20B6"/>
    <w:rsid w:val="006C29B7"/>
    <w:rsid w:val="006C2B2C"/>
    <w:rsid w:val="006C348D"/>
    <w:rsid w:val="006C37AD"/>
    <w:rsid w:val="006C3A4A"/>
    <w:rsid w:val="006C3BE2"/>
    <w:rsid w:val="006C403F"/>
    <w:rsid w:val="006C404E"/>
    <w:rsid w:val="006C45B9"/>
    <w:rsid w:val="006C4A85"/>
    <w:rsid w:val="006C50DC"/>
    <w:rsid w:val="006C5824"/>
    <w:rsid w:val="006C5D18"/>
    <w:rsid w:val="006C6543"/>
    <w:rsid w:val="006C6BC4"/>
    <w:rsid w:val="006C6FA9"/>
    <w:rsid w:val="006C7055"/>
    <w:rsid w:val="006C7086"/>
    <w:rsid w:val="006C718F"/>
    <w:rsid w:val="006C7DD1"/>
    <w:rsid w:val="006D0EE0"/>
    <w:rsid w:val="006D1747"/>
    <w:rsid w:val="006D1776"/>
    <w:rsid w:val="006D1E59"/>
    <w:rsid w:val="006D2678"/>
    <w:rsid w:val="006D2742"/>
    <w:rsid w:val="006D2BC9"/>
    <w:rsid w:val="006D2CCF"/>
    <w:rsid w:val="006D31EE"/>
    <w:rsid w:val="006D4FBB"/>
    <w:rsid w:val="006D525A"/>
    <w:rsid w:val="006D5A0D"/>
    <w:rsid w:val="006D5AE2"/>
    <w:rsid w:val="006D5DA3"/>
    <w:rsid w:val="006D602F"/>
    <w:rsid w:val="006D620A"/>
    <w:rsid w:val="006D6521"/>
    <w:rsid w:val="006D6A92"/>
    <w:rsid w:val="006D6A9A"/>
    <w:rsid w:val="006D7007"/>
    <w:rsid w:val="006D759D"/>
    <w:rsid w:val="006D75C0"/>
    <w:rsid w:val="006D76DA"/>
    <w:rsid w:val="006D76DC"/>
    <w:rsid w:val="006D7A51"/>
    <w:rsid w:val="006D7F93"/>
    <w:rsid w:val="006E0859"/>
    <w:rsid w:val="006E0CED"/>
    <w:rsid w:val="006E112E"/>
    <w:rsid w:val="006E1D18"/>
    <w:rsid w:val="006E1E7E"/>
    <w:rsid w:val="006E1FD8"/>
    <w:rsid w:val="006E2D1C"/>
    <w:rsid w:val="006E2E0D"/>
    <w:rsid w:val="006E2F71"/>
    <w:rsid w:val="006E3903"/>
    <w:rsid w:val="006E395A"/>
    <w:rsid w:val="006E3E6D"/>
    <w:rsid w:val="006E3EDB"/>
    <w:rsid w:val="006E4348"/>
    <w:rsid w:val="006E4CF7"/>
    <w:rsid w:val="006E4D9F"/>
    <w:rsid w:val="006E4DFB"/>
    <w:rsid w:val="006E51A7"/>
    <w:rsid w:val="006E51B5"/>
    <w:rsid w:val="006E544D"/>
    <w:rsid w:val="006E5893"/>
    <w:rsid w:val="006E628B"/>
    <w:rsid w:val="006E7274"/>
    <w:rsid w:val="006E751E"/>
    <w:rsid w:val="006E763D"/>
    <w:rsid w:val="006E768F"/>
    <w:rsid w:val="006E7CF1"/>
    <w:rsid w:val="006F011A"/>
    <w:rsid w:val="006F0340"/>
    <w:rsid w:val="006F0DF9"/>
    <w:rsid w:val="006F1080"/>
    <w:rsid w:val="006F117A"/>
    <w:rsid w:val="006F1996"/>
    <w:rsid w:val="006F1DC8"/>
    <w:rsid w:val="006F214A"/>
    <w:rsid w:val="006F2183"/>
    <w:rsid w:val="006F276E"/>
    <w:rsid w:val="006F2D5D"/>
    <w:rsid w:val="006F3358"/>
    <w:rsid w:val="006F35BF"/>
    <w:rsid w:val="006F365E"/>
    <w:rsid w:val="006F3F48"/>
    <w:rsid w:val="006F40F2"/>
    <w:rsid w:val="006F4382"/>
    <w:rsid w:val="006F44CE"/>
    <w:rsid w:val="006F57C3"/>
    <w:rsid w:val="006F62AB"/>
    <w:rsid w:val="006F6344"/>
    <w:rsid w:val="006F642E"/>
    <w:rsid w:val="006F64E0"/>
    <w:rsid w:val="006F6649"/>
    <w:rsid w:val="006F68AD"/>
    <w:rsid w:val="006F6C93"/>
    <w:rsid w:val="006F72A1"/>
    <w:rsid w:val="006F76FB"/>
    <w:rsid w:val="006F7716"/>
    <w:rsid w:val="006F7969"/>
    <w:rsid w:val="007000BD"/>
    <w:rsid w:val="007009D8"/>
    <w:rsid w:val="00701073"/>
    <w:rsid w:val="00701141"/>
    <w:rsid w:val="00701256"/>
    <w:rsid w:val="007012E9"/>
    <w:rsid w:val="00701D37"/>
    <w:rsid w:val="00701D40"/>
    <w:rsid w:val="0070248D"/>
    <w:rsid w:val="0070296D"/>
    <w:rsid w:val="00702E5F"/>
    <w:rsid w:val="00703048"/>
    <w:rsid w:val="007035CD"/>
    <w:rsid w:val="007037F4"/>
    <w:rsid w:val="0070396D"/>
    <w:rsid w:val="00703E7C"/>
    <w:rsid w:val="00703F89"/>
    <w:rsid w:val="007043DE"/>
    <w:rsid w:val="007044C9"/>
    <w:rsid w:val="007044EA"/>
    <w:rsid w:val="00704BC1"/>
    <w:rsid w:val="007051C1"/>
    <w:rsid w:val="007059A4"/>
    <w:rsid w:val="00706E70"/>
    <w:rsid w:val="00706FDD"/>
    <w:rsid w:val="00707AF4"/>
    <w:rsid w:val="00707EF4"/>
    <w:rsid w:val="00710FB6"/>
    <w:rsid w:val="00711045"/>
    <w:rsid w:val="007112D8"/>
    <w:rsid w:val="007116A4"/>
    <w:rsid w:val="007118BF"/>
    <w:rsid w:val="00711EA6"/>
    <w:rsid w:val="00712209"/>
    <w:rsid w:val="0071223B"/>
    <w:rsid w:val="007129FE"/>
    <w:rsid w:val="0071313D"/>
    <w:rsid w:val="00713C28"/>
    <w:rsid w:val="0071439D"/>
    <w:rsid w:val="007148B9"/>
    <w:rsid w:val="0071573C"/>
    <w:rsid w:val="00715808"/>
    <w:rsid w:val="007159DD"/>
    <w:rsid w:val="00715A5C"/>
    <w:rsid w:val="00715CB5"/>
    <w:rsid w:val="00716844"/>
    <w:rsid w:val="00716DB0"/>
    <w:rsid w:val="00716E42"/>
    <w:rsid w:val="00717669"/>
    <w:rsid w:val="0071787E"/>
    <w:rsid w:val="007179C4"/>
    <w:rsid w:val="00717BF4"/>
    <w:rsid w:val="007204D0"/>
    <w:rsid w:val="00720AD6"/>
    <w:rsid w:val="00720F17"/>
    <w:rsid w:val="00721536"/>
    <w:rsid w:val="00721C40"/>
    <w:rsid w:val="00721D37"/>
    <w:rsid w:val="00721D43"/>
    <w:rsid w:val="00721EF6"/>
    <w:rsid w:val="00722111"/>
    <w:rsid w:val="00722F08"/>
    <w:rsid w:val="00723AF1"/>
    <w:rsid w:val="00724B50"/>
    <w:rsid w:val="007259BE"/>
    <w:rsid w:val="00725AC3"/>
    <w:rsid w:val="007260F3"/>
    <w:rsid w:val="0072668D"/>
    <w:rsid w:val="0072669C"/>
    <w:rsid w:val="00726849"/>
    <w:rsid w:val="00727308"/>
    <w:rsid w:val="007274B3"/>
    <w:rsid w:val="00727E7B"/>
    <w:rsid w:val="00730A5F"/>
    <w:rsid w:val="00731D69"/>
    <w:rsid w:val="00731FA0"/>
    <w:rsid w:val="00732142"/>
    <w:rsid w:val="0073248C"/>
    <w:rsid w:val="00732515"/>
    <w:rsid w:val="00732858"/>
    <w:rsid w:val="00732991"/>
    <w:rsid w:val="00732C0C"/>
    <w:rsid w:val="0073303E"/>
    <w:rsid w:val="00734710"/>
    <w:rsid w:val="00734744"/>
    <w:rsid w:val="00734947"/>
    <w:rsid w:val="00735555"/>
    <w:rsid w:val="00735565"/>
    <w:rsid w:val="007357F2"/>
    <w:rsid w:val="007363BD"/>
    <w:rsid w:val="007366B9"/>
    <w:rsid w:val="00737178"/>
    <w:rsid w:val="00737C2B"/>
    <w:rsid w:val="00737C79"/>
    <w:rsid w:val="00737EEF"/>
    <w:rsid w:val="007400E4"/>
    <w:rsid w:val="007406B9"/>
    <w:rsid w:val="007422E1"/>
    <w:rsid w:val="007423AC"/>
    <w:rsid w:val="00742426"/>
    <w:rsid w:val="007428DC"/>
    <w:rsid w:val="007429E1"/>
    <w:rsid w:val="00742AA0"/>
    <w:rsid w:val="00742AC4"/>
    <w:rsid w:val="0074393F"/>
    <w:rsid w:val="007439D2"/>
    <w:rsid w:val="00743A00"/>
    <w:rsid w:val="00743A0F"/>
    <w:rsid w:val="00743EAE"/>
    <w:rsid w:val="00744273"/>
    <w:rsid w:val="00745201"/>
    <w:rsid w:val="00746508"/>
    <w:rsid w:val="00746AB6"/>
    <w:rsid w:val="00746C49"/>
    <w:rsid w:val="00746F46"/>
    <w:rsid w:val="007479B8"/>
    <w:rsid w:val="00747F7C"/>
    <w:rsid w:val="0075024C"/>
    <w:rsid w:val="00750314"/>
    <w:rsid w:val="0075060A"/>
    <w:rsid w:val="007508A7"/>
    <w:rsid w:val="00750A48"/>
    <w:rsid w:val="007513DB"/>
    <w:rsid w:val="00751C56"/>
    <w:rsid w:val="00751F77"/>
    <w:rsid w:val="00752037"/>
    <w:rsid w:val="0075281D"/>
    <w:rsid w:val="007537AE"/>
    <w:rsid w:val="00753884"/>
    <w:rsid w:val="00753CC9"/>
    <w:rsid w:val="00753E28"/>
    <w:rsid w:val="00754090"/>
    <w:rsid w:val="00754AE2"/>
    <w:rsid w:val="00754AF3"/>
    <w:rsid w:val="007552C3"/>
    <w:rsid w:val="00755BE0"/>
    <w:rsid w:val="007563C4"/>
    <w:rsid w:val="007564FC"/>
    <w:rsid w:val="0075653A"/>
    <w:rsid w:val="00756B91"/>
    <w:rsid w:val="00756EE8"/>
    <w:rsid w:val="007577D8"/>
    <w:rsid w:val="007608EF"/>
    <w:rsid w:val="00760DFA"/>
    <w:rsid w:val="00761437"/>
    <w:rsid w:val="00761EA3"/>
    <w:rsid w:val="007624CD"/>
    <w:rsid w:val="007627C4"/>
    <w:rsid w:val="00762A15"/>
    <w:rsid w:val="00762DD5"/>
    <w:rsid w:val="007632EF"/>
    <w:rsid w:val="007635BB"/>
    <w:rsid w:val="00763693"/>
    <w:rsid w:val="00763AD3"/>
    <w:rsid w:val="00763D0C"/>
    <w:rsid w:val="00763EF9"/>
    <w:rsid w:val="007644AC"/>
    <w:rsid w:val="00765511"/>
    <w:rsid w:val="0076588D"/>
    <w:rsid w:val="007658DB"/>
    <w:rsid w:val="00765B40"/>
    <w:rsid w:val="00766D9F"/>
    <w:rsid w:val="00767386"/>
    <w:rsid w:val="00767406"/>
    <w:rsid w:val="007700A2"/>
    <w:rsid w:val="00770119"/>
    <w:rsid w:val="007709EA"/>
    <w:rsid w:val="00770BA1"/>
    <w:rsid w:val="00771042"/>
    <w:rsid w:val="007716BC"/>
    <w:rsid w:val="00771734"/>
    <w:rsid w:val="00771854"/>
    <w:rsid w:val="00772207"/>
    <w:rsid w:val="00772B72"/>
    <w:rsid w:val="0077311A"/>
    <w:rsid w:val="0077339C"/>
    <w:rsid w:val="007734E0"/>
    <w:rsid w:val="00773647"/>
    <w:rsid w:val="0077396D"/>
    <w:rsid w:val="00773AE9"/>
    <w:rsid w:val="00773C2B"/>
    <w:rsid w:val="0077408B"/>
    <w:rsid w:val="007741BB"/>
    <w:rsid w:val="00774400"/>
    <w:rsid w:val="00774703"/>
    <w:rsid w:val="00774923"/>
    <w:rsid w:val="0077518E"/>
    <w:rsid w:val="00775CF7"/>
    <w:rsid w:val="00775D8A"/>
    <w:rsid w:val="00776785"/>
    <w:rsid w:val="0077700A"/>
    <w:rsid w:val="00777477"/>
    <w:rsid w:val="00777AFE"/>
    <w:rsid w:val="00780095"/>
    <w:rsid w:val="00780196"/>
    <w:rsid w:val="007801C4"/>
    <w:rsid w:val="00780609"/>
    <w:rsid w:val="00780B1B"/>
    <w:rsid w:val="00780BD2"/>
    <w:rsid w:val="00780DC3"/>
    <w:rsid w:val="00781A51"/>
    <w:rsid w:val="00782A82"/>
    <w:rsid w:val="007830CF"/>
    <w:rsid w:val="00783117"/>
    <w:rsid w:val="00783336"/>
    <w:rsid w:val="007833D4"/>
    <w:rsid w:val="0078345C"/>
    <w:rsid w:val="00783B2F"/>
    <w:rsid w:val="00783ED9"/>
    <w:rsid w:val="007844D3"/>
    <w:rsid w:val="0078454B"/>
    <w:rsid w:val="00784CC3"/>
    <w:rsid w:val="00785225"/>
    <w:rsid w:val="0078564B"/>
    <w:rsid w:val="0078657A"/>
    <w:rsid w:val="00786A32"/>
    <w:rsid w:val="00786CDF"/>
    <w:rsid w:val="00787015"/>
    <w:rsid w:val="0079027D"/>
    <w:rsid w:val="0079071E"/>
    <w:rsid w:val="00790FCC"/>
    <w:rsid w:val="007913D6"/>
    <w:rsid w:val="00791643"/>
    <w:rsid w:val="007916E3"/>
    <w:rsid w:val="007917C8"/>
    <w:rsid w:val="00791982"/>
    <w:rsid w:val="007921C6"/>
    <w:rsid w:val="00792482"/>
    <w:rsid w:val="00792589"/>
    <w:rsid w:val="00792B4D"/>
    <w:rsid w:val="007933E9"/>
    <w:rsid w:val="007935F2"/>
    <w:rsid w:val="007936FF"/>
    <w:rsid w:val="00793B9F"/>
    <w:rsid w:val="0079495C"/>
    <w:rsid w:val="00794F2D"/>
    <w:rsid w:val="00794F3B"/>
    <w:rsid w:val="007953C2"/>
    <w:rsid w:val="00795853"/>
    <w:rsid w:val="00795D40"/>
    <w:rsid w:val="00796046"/>
    <w:rsid w:val="00796EDC"/>
    <w:rsid w:val="007970D1"/>
    <w:rsid w:val="00797BCA"/>
    <w:rsid w:val="00797D1D"/>
    <w:rsid w:val="007A03E9"/>
    <w:rsid w:val="007A04BB"/>
    <w:rsid w:val="007A04CC"/>
    <w:rsid w:val="007A0FD7"/>
    <w:rsid w:val="007A11BA"/>
    <w:rsid w:val="007A18F2"/>
    <w:rsid w:val="007A1A11"/>
    <w:rsid w:val="007A1A32"/>
    <w:rsid w:val="007A1B83"/>
    <w:rsid w:val="007A1FDA"/>
    <w:rsid w:val="007A20CB"/>
    <w:rsid w:val="007A24CE"/>
    <w:rsid w:val="007A2911"/>
    <w:rsid w:val="007A2AB2"/>
    <w:rsid w:val="007A2F0A"/>
    <w:rsid w:val="007A3483"/>
    <w:rsid w:val="007A394E"/>
    <w:rsid w:val="007A39B8"/>
    <w:rsid w:val="007A46CE"/>
    <w:rsid w:val="007A4A32"/>
    <w:rsid w:val="007A51F4"/>
    <w:rsid w:val="007A533C"/>
    <w:rsid w:val="007A5611"/>
    <w:rsid w:val="007A654D"/>
    <w:rsid w:val="007A6C93"/>
    <w:rsid w:val="007A7188"/>
    <w:rsid w:val="007A7C97"/>
    <w:rsid w:val="007B0353"/>
    <w:rsid w:val="007B1A5E"/>
    <w:rsid w:val="007B1D66"/>
    <w:rsid w:val="007B2149"/>
    <w:rsid w:val="007B237B"/>
    <w:rsid w:val="007B2784"/>
    <w:rsid w:val="007B2AAC"/>
    <w:rsid w:val="007B2E3D"/>
    <w:rsid w:val="007B3C82"/>
    <w:rsid w:val="007B406A"/>
    <w:rsid w:val="007B41E6"/>
    <w:rsid w:val="007B48CB"/>
    <w:rsid w:val="007B4958"/>
    <w:rsid w:val="007B49E6"/>
    <w:rsid w:val="007B4A1A"/>
    <w:rsid w:val="007B4FAD"/>
    <w:rsid w:val="007B5000"/>
    <w:rsid w:val="007B53C8"/>
    <w:rsid w:val="007B5695"/>
    <w:rsid w:val="007B5C1A"/>
    <w:rsid w:val="007B5C6B"/>
    <w:rsid w:val="007B5F83"/>
    <w:rsid w:val="007B6090"/>
    <w:rsid w:val="007B654B"/>
    <w:rsid w:val="007B6B6F"/>
    <w:rsid w:val="007B74D7"/>
    <w:rsid w:val="007C034B"/>
    <w:rsid w:val="007C044A"/>
    <w:rsid w:val="007C0475"/>
    <w:rsid w:val="007C05C6"/>
    <w:rsid w:val="007C0CBF"/>
    <w:rsid w:val="007C0FD6"/>
    <w:rsid w:val="007C1039"/>
    <w:rsid w:val="007C1C16"/>
    <w:rsid w:val="007C1FD5"/>
    <w:rsid w:val="007C2049"/>
    <w:rsid w:val="007C2274"/>
    <w:rsid w:val="007C285F"/>
    <w:rsid w:val="007C2986"/>
    <w:rsid w:val="007C31FA"/>
    <w:rsid w:val="007C439C"/>
    <w:rsid w:val="007C491E"/>
    <w:rsid w:val="007C4991"/>
    <w:rsid w:val="007C49CA"/>
    <w:rsid w:val="007C4DF2"/>
    <w:rsid w:val="007C4F99"/>
    <w:rsid w:val="007C51CB"/>
    <w:rsid w:val="007C5343"/>
    <w:rsid w:val="007C5B2D"/>
    <w:rsid w:val="007C5B34"/>
    <w:rsid w:val="007C63DF"/>
    <w:rsid w:val="007C6D69"/>
    <w:rsid w:val="007C6EAC"/>
    <w:rsid w:val="007C72F0"/>
    <w:rsid w:val="007C740E"/>
    <w:rsid w:val="007C78DC"/>
    <w:rsid w:val="007C797B"/>
    <w:rsid w:val="007C7A32"/>
    <w:rsid w:val="007C7B35"/>
    <w:rsid w:val="007D06E9"/>
    <w:rsid w:val="007D0C79"/>
    <w:rsid w:val="007D18E0"/>
    <w:rsid w:val="007D1F4E"/>
    <w:rsid w:val="007D2305"/>
    <w:rsid w:val="007D2985"/>
    <w:rsid w:val="007D2EC0"/>
    <w:rsid w:val="007D3304"/>
    <w:rsid w:val="007D33B4"/>
    <w:rsid w:val="007D3481"/>
    <w:rsid w:val="007D4397"/>
    <w:rsid w:val="007D4502"/>
    <w:rsid w:val="007D46CC"/>
    <w:rsid w:val="007D4DA0"/>
    <w:rsid w:val="007D4F5F"/>
    <w:rsid w:val="007D5176"/>
    <w:rsid w:val="007D5355"/>
    <w:rsid w:val="007D54A9"/>
    <w:rsid w:val="007D57B3"/>
    <w:rsid w:val="007D673C"/>
    <w:rsid w:val="007D6BFE"/>
    <w:rsid w:val="007D7163"/>
    <w:rsid w:val="007D73F6"/>
    <w:rsid w:val="007D7843"/>
    <w:rsid w:val="007D7E77"/>
    <w:rsid w:val="007E0043"/>
    <w:rsid w:val="007E0868"/>
    <w:rsid w:val="007E0973"/>
    <w:rsid w:val="007E0A3F"/>
    <w:rsid w:val="007E0B24"/>
    <w:rsid w:val="007E0BB4"/>
    <w:rsid w:val="007E1246"/>
    <w:rsid w:val="007E168C"/>
    <w:rsid w:val="007E1A05"/>
    <w:rsid w:val="007E1AFB"/>
    <w:rsid w:val="007E2697"/>
    <w:rsid w:val="007E3102"/>
    <w:rsid w:val="007E4910"/>
    <w:rsid w:val="007E4A75"/>
    <w:rsid w:val="007E4D29"/>
    <w:rsid w:val="007E52C2"/>
    <w:rsid w:val="007E52E4"/>
    <w:rsid w:val="007E5717"/>
    <w:rsid w:val="007E6422"/>
    <w:rsid w:val="007E6B97"/>
    <w:rsid w:val="007E6C7E"/>
    <w:rsid w:val="007E7E8F"/>
    <w:rsid w:val="007F0240"/>
    <w:rsid w:val="007F0926"/>
    <w:rsid w:val="007F19F5"/>
    <w:rsid w:val="007F1DFA"/>
    <w:rsid w:val="007F22B3"/>
    <w:rsid w:val="007F22BB"/>
    <w:rsid w:val="007F2674"/>
    <w:rsid w:val="007F2795"/>
    <w:rsid w:val="007F285E"/>
    <w:rsid w:val="007F2B66"/>
    <w:rsid w:val="007F37B5"/>
    <w:rsid w:val="007F3D44"/>
    <w:rsid w:val="007F44E9"/>
    <w:rsid w:val="007F4AD5"/>
    <w:rsid w:val="007F4DDE"/>
    <w:rsid w:val="007F5B8D"/>
    <w:rsid w:val="007F5F24"/>
    <w:rsid w:val="007F5F91"/>
    <w:rsid w:val="007F5FA1"/>
    <w:rsid w:val="007F6A98"/>
    <w:rsid w:val="007F7372"/>
    <w:rsid w:val="007F7B67"/>
    <w:rsid w:val="0080031E"/>
    <w:rsid w:val="008004C8"/>
    <w:rsid w:val="00800936"/>
    <w:rsid w:val="00801119"/>
    <w:rsid w:val="0080116D"/>
    <w:rsid w:val="00801726"/>
    <w:rsid w:val="0080214A"/>
    <w:rsid w:val="00802809"/>
    <w:rsid w:val="00802950"/>
    <w:rsid w:val="00802AE7"/>
    <w:rsid w:val="00802B22"/>
    <w:rsid w:val="00802E68"/>
    <w:rsid w:val="0080367F"/>
    <w:rsid w:val="00803B29"/>
    <w:rsid w:val="0080486F"/>
    <w:rsid w:val="00805F68"/>
    <w:rsid w:val="008061CF"/>
    <w:rsid w:val="0080666C"/>
    <w:rsid w:val="00806A21"/>
    <w:rsid w:val="00807654"/>
    <w:rsid w:val="00807AF5"/>
    <w:rsid w:val="00810010"/>
    <w:rsid w:val="00810026"/>
    <w:rsid w:val="00810621"/>
    <w:rsid w:val="00810623"/>
    <w:rsid w:val="0081093C"/>
    <w:rsid w:val="008109F4"/>
    <w:rsid w:val="00810ECA"/>
    <w:rsid w:val="008122FF"/>
    <w:rsid w:val="00812638"/>
    <w:rsid w:val="0081278B"/>
    <w:rsid w:val="00812A88"/>
    <w:rsid w:val="00812DE9"/>
    <w:rsid w:val="008132A8"/>
    <w:rsid w:val="008132DD"/>
    <w:rsid w:val="0081348E"/>
    <w:rsid w:val="008134D1"/>
    <w:rsid w:val="00813507"/>
    <w:rsid w:val="00813785"/>
    <w:rsid w:val="008137B5"/>
    <w:rsid w:val="00813C70"/>
    <w:rsid w:val="008142CC"/>
    <w:rsid w:val="008163F2"/>
    <w:rsid w:val="008166F2"/>
    <w:rsid w:val="00816DCB"/>
    <w:rsid w:val="00817108"/>
    <w:rsid w:val="00817270"/>
    <w:rsid w:val="00817EEC"/>
    <w:rsid w:val="0082047F"/>
    <w:rsid w:val="00820AEB"/>
    <w:rsid w:val="00820C63"/>
    <w:rsid w:val="008211E0"/>
    <w:rsid w:val="00821686"/>
    <w:rsid w:val="008219B6"/>
    <w:rsid w:val="00821D25"/>
    <w:rsid w:val="00822374"/>
    <w:rsid w:val="00823663"/>
    <w:rsid w:val="00823805"/>
    <w:rsid w:val="00823A9C"/>
    <w:rsid w:val="008242BB"/>
    <w:rsid w:val="0082519F"/>
    <w:rsid w:val="00825276"/>
    <w:rsid w:val="008252CE"/>
    <w:rsid w:val="00825EDB"/>
    <w:rsid w:val="00827250"/>
    <w:rsid w:val="00827669"/>
    <w:rsid w:val="008303A3"/>
    <w:rsid w:val="008306DF"/>
    <w:rsid w:val="008320D0"/>
    <w:rsid w:val="00832E73"/>
    <w:rsid w:val="00832EAB"/>
    <w:rsid w:val="00832EBE"/>
    <w:rsid w:val="00833317"/>
    <w:rsid w:val="00833A9E"/>
    <w:rsid w:val="008349FE"/>
    <w:rsid w:val="00834A27"/>
    <w:rsid w:val="00834AE2"/>
    <w:rsid w:val="00834CB8"/>
    <w:rsid w:val="00834DB3"/>
    <w:rsid w:val="008352CF"/>
    <w:rsid w:val="008356E8"/>
    <w:rsid w:val="00835FC4"/>
    <w:rsid w:val="00836682"/>
    <w:rsid w:val="00837048"/>
    <w:rsid w:val="008374C6"/>
    <w:rsid w:val="0083776C"/>
    <w:rsid w:val="00840A93"/>
    <w:rsid w:val="00840BD7"/>
    <w:rsid w:val="00840D27"/>
    <w:rsid w:val="0084106A"/>
    <w:rsid w:val="0084143F"/>
    <w:rsid w:val="0084148B"/>
    <w:rsid w:val="008415C1"/>
    <w:rsid w:val="00841664"/>
    <w:rsid w:val="00841A54"/>
    <w:rsid w:val="00841B81"/>
    <w:rsid w:val="00841E8B"/>
    <w:rsid w:val="00841F22"/>
    <w:rsid w:val="008423FE"/>
    <w:rsid w:val="0084249B"/>
    <w:rsid w:val="008427D1"/>
    <w:rsid w:val="00843804"/>
    <w:rsid w:val="0084387E"/>
    <w:rsid w:val="00844721"/>
    <w:rsid w:val="0084477E"/>
    <w:rsid w:val="008449D6"/>
    <w:rsid w:val="008449ED"/>
    <w:rsid w:val="00845402"/>
    <w:rsid w:val="0084553B"/>
    <w:rsid w:val="00845719"/>
    <w:rsid w:val="0084590C"/>
    <w:rsid w:val="00845B0C"/>
    <w:rsid w:val="00845BF0"/>
    <w:rsid w:val="00845E89"/>
    <w:rsid w:val="008465FF"/>
    <w:rsid w:val="00846E32"/>
    <w:rsid w:val="00850589"/>
    <w:rsid w:val="00850DCE"/>
    <w:rsid w:val="008523BC"/>
    <w:rsid w:val="0085268F"/>
    <w:rsid w:val="008526DD"/>
    <w:rsid w:val="0085297F"/>
    <w:rsid w:val="00852CD7"/>
    <w:rsid w:val="008532F4"/>
    <w:rsid w:val="00853C79"/>
    <w:rsid w:val="00853F61"/>
    <w:rsid w:val="00853F64"/>
    <w:rsid w:val="008541B6"/>
    <w:rsid w:val="00854B5F"/>
    <w:rsid w:val="00855CF6"/>
    <w:rsid w:val="0085644C"/>
    <w:rsid w:val="00856579"/>
    <w:rsid w:val="0085659E"/>
    <w:rsid w:val="008571A7"/>
    <w:rsid w:val="0085780F"/>
    <w:rsid w:val="008604E4"/>
    <w:rsid w:val="008606A4"/>
    <w:rsid w:val="00860B5B"/>
    <w:rsid w:val="00860DC0"/>
    <w:rsid w:val="00860ED8"/>
    <w:rsid w:val="008612B5"/>
    <w:rsid w:val="008615DB"/>
    <w:rsid w:val="008621D0"/>
    <w:rsid w:val="0086226A"/>
    <w:rsid w:val="00862348"/>
    <w:rsid w:val="00862C09"/>
    <w:rsid w:val="00862C34"/>
    <w:rsid w:val="00862E2E"/>
    <w:rsid w:val="0086318D"/>
    <w:rsid w:val="00863375"/>
    <w:rsid w:val="00863810"/>
    <w:rsid w:val="008638F9"/>
    <w:rsid w:val="00863AF1"/>
    <w:rsid w:val="00863EFC"/>
    <w:rsid w:val="00864915"/>
    <w:rsid w:val="00864B59"/>
    <w:rsid w:val="0086527F"/>
    <w:rsid w:val="00865C2E"/>
    <w:rsid w:val="00865FF6"/>
    <w:rsid w:val="00866983"/>
    <w:rsid w:val="00866F38"/>
    <w:rsid w:val="0086741F"/>
    <w:rsid w:val="0086772B"/>
    <w:rsid w:val="00867A1D"/>
    <w:rsid w:val="008701D8"/>
    <w:rsid w:val="00870AD6"/>
    <w:rsid w:val="00870E9D"/>
    <w:rsid w:val="00870F0F"/>
    <w:rsid w:val="00871771"/>
    <w:rsid w:val="00871DD7"/>
    <w:rsid w:val="00871F0B"/>
    <w:rsid w:val="008722BA"/>
    <w:rsid w:val="008723B3"/>
    <w:rsid w:val="00872743"/>
    <w:rsid w:val="00872D94"/>
    <w:rsid w:val="00873646"/>
    <w:rsid w:val="00873C5F"/>
    <w:rsid w:val="00873D3B"/>
    <w:rsid w:val="00873F2B"/>
    <w:rsid w:val="00874784"/>
    <w:rsid w:val="00874E70"/>
    <w:rsid w:val="00874F86"/>
    <w:rsid w:val="00875847"/>
    <w:rsid w:val="008760B9"/>
    <w:rsid w:val="00876230"/>
    <w:rsid w:val="008765C8"/>
    <w:rsid w:val="00876CEA"/>
    <w:rsid w:val="00877E85"/>
    <w:rsid w:val="00877F20"/>
    <w:rsid w:val="00880A04"/>
    <w:rsid w:val="00880A28"/>
    <w:rsid w:val="00880E0D"/>
    <w:rsid w:val="0088115A"/>
    <w:rsid w:val="00881B30"/>
    <w:rsid w:val="00881FA7"/>
    <w:rsid w:val="00882063"/>
    <w:rsid w:val="00882453"/>
    <w:rsid w:val="008826C9"/>
    <w:rsid w:val="008826DB"/>
    <w:rsid w:val="00882AE6"/>
    <w:rsid w:val="00882EE3"/>
    <w:rsid w:val="00884134"/>
    <w:rsid w:val="00884501"/>
    <w:rsid w:val="00884717"/>
    <w:rsid w:val="008847D9"/>
    <w:rsid w:val="00884A30"/>
    <w:rsid w:val="00884FDB"/>
    <w:rsid w:val="00885083"/>
    <w:rsid w:val="00885AD5"/>
    <w:rsid w:val="00885BED"/>
    <w:rsid w:val="00885D58"/>
    <w:rsid w:val="008869F9"/>
    <w:rsid w:val="00886D9D"/>
    <w:rsid w:val="00886DD6"/>
    <w:rsid w:val="0088738F"/>
    <w:rsid w:val="0089040F"/>
    <w:rsid w:val="0089090E"/>
    <w:rsid w:val="00891B08"/>
    <w:rsid w:val="008925C3"/>
    <w:rsid w:val="00892619"/>
    <w:rsid w:val="00893308"/>
    <w:rsid w:val="008933FB"/>
    <w:rsid w:val="0089356A"/>
    <w:rsid w:val="00893984"/>
    <w:rsid w:val="00893C5A"/>
    <w:rsid w:val="008946E8"/>
    <w:rsid w:val="00894F2C"/>
    <w:rsid w:val="0089546E"/>
    <w:rsid w:val="00895D9B"/>
    <w:rsid w:val="008963BD"/>
    <w:rsid w:val="0089670C"/>
    <w:rsid w:val="00896BB4"/>
    <w:rsid w:val="00896D2F"/>
    <w:rsid w:val="008970EB"/>
    <w:rsid w:val="008970F3"/>
    <w:rsid w:val="0089733E"/>
    <w:rsid w:val="00897361"/>
    <w:rsid w:val="0089748A"/>
    <w:rsid w:val="008974DF"/>
    <w:rsid w:val="008977E6"/>
    <w:rsid w:val="008A037B"/>
    <w:rsid w:val="008A0644"/>
    <w:rsid w:val="008A0AE6"/>
    <w:rsid w:val="008A150B"/>
    <w:rsid w:val="008A225A"/>
    <w:rsid w:val="008A2963"/>
    <w:rsid w:val="008A2DFB"/>
    <w:rsid w:val="008A38FA"/>
    <w:rsid w:val="008A3A8C"/>
    <w:rsid w:val="008A3AFD"/>
    <w:rsid w:val="008A43F8"/>
    <w:rsid w:val="008A4807"/>
    <w:rsid w:val="008A4A8A"/>
    <w:rsid w:val="008A5928"/>
    <w:rsid w:val="008A5E39"/>
    <w:rsid w:val="008A6281"/>
    <w:rsid w:val="008A639D"/>
    <w:rsid w:val="008A677A"/>
    <w:rsid w:val="008A6ABB"/>
    <w:rsid w:val="008A70D2"/>
    <w:rsid w:val="008A71B1"/>
    <w:rsid w:val="008A7662"/>
    <w:rsid w:val="008A7839"/>
    <w:rsid w:val="008A7934"/>
    <w:rsid w:val="008B0450"/>
    <w:rsid w:val="008B04FB"/>
    <w:rsid w:val="008B09E2"/>
    <w:rsid w:val="008B11FE"/>
    <w:rsid w:val="008B19F7"/>
    <w:rsid w:val="008B20A2"/>
    <w:rsid w:val="008B2578"/>
    <w:rsid w:val="008B2B30"/>
    <w:rsid w:val="008B2DE3"/>
    <w:rsid w:val="008B2DEC"/>
    <w:rsid w:val="008B2FEA"/>
    <w:rsid w:val="008B3281"/>
    <w:rsid w:val="008B3548"/>
    <w:rsid w:val="008B3985"/>
    <w:rsid w:val="008B3D78"/>
    <w:rsid w:val="008B4DC5"/>
    <w:rsid w:val="008B4FB5"/>
    <w:rsid w:val="008B52A6"/>
    <w:rsid w:val="008B53AE"/>
    <w:rsid w:val="008B577C"/>
    <w:rsid w:val="008B5A3B"/>
    <w:rsid w:val="008B5CD7"/>
    <w:rsid w:val="008B5E7E"/>
    <w:rsid w:val="008B6C8D"/>
    <w:rsid w:val="008B6E6A"/>
    <w:rsid w:val="008C03B8"/>
    <w:rsid w:val="008C042D"/>
    <w:rsid w:val="008C096F"/>
    <w:rsid w:val="008C0EEE"/>
    <w:rsid w:val="008C1458"/>
    <w:rsid w:val="008C1757"/>
    <w:rsid w:val="008C258F"/>
    <w:rsid w:val="008C2A97"/>
    <w:rsid w:val="008C2B93"/>
    <w:rsid w:val="008C2FFB"/>
    <w:rsid w:val="008C3666"/>
    <w:rsid w:val="008C3857"/>
    <w:rsid w:val="008C4066"/>
    <w:rsid w:val="008C438E"/>
    <w:rsid w:val="008C4566"/>
    <w:rsid w:val="008C4BE0"/>
    <w:rsid w:val="008C51CB"/>
    <w:rsid w:val="008C533C"/>
    <w:rsid w:val="008C5FF7"/>
    <w:rsid w:val="008C695A"/>
    <w:rsid w:val="008C6AD4"/>
    <w:rsid w:val="008C6C95"/>
    <w:rsid w:val="008C6CD5"/>
    <w:rsid w:val="008C7F30"/>
    <w:rsid w:val="008D02DD"/>
    <w:rsid w:val="008D0E57"/>
    <w:rsid w:val="008D18AB"/>
    <w:rsid w:val="008D1BD3"/>
    <w:rsid w:val="008D1D2B"/>
    <w:rsid w:val="008D1ECD"/>
    <w:rsid w:val="008D21BA"/>
    <w:rsid w:val="008D27FC"/>
    <w:rsid w:val="008D2954"/>
    <w:rsid w:val="008D3C03"/>
    <w:rsid w:val="008D3F1E"/>
    <w:rsid w:val="008D420D"/>
    <w:rsid w:val="008D4314"/>
    <w:rsid w:val="008D476F"/>
    <w:rsid w:val="008D4A94"/>
    <w:rsid w:val="008D4C57"/>
    <w:rsid w:val="008D4D82"/>
    <w:rsid w:val="008D4EF9"/>
    <w:rsid w:val="008D4FED"/>
    <w:rsid w:val="008D4FF9"/>
    <w:rsid w:val="008D68C1"/>
    <w:rsid w:val="008D7004"/>
    <w:rsid w:val="008D7247"/>
    <w:rsid w:val="008D76B7"/>
    <w:rsid w:val="008D76BE"/>
    <w:rsid w:val="008D78F9"/>
    <w:rsid w:val="008D7D4E"/>
    <w:rsid w:val="008D7F06"/>
    <w:rsid w:val="008E02B7"/>
    <w:rsid w:val="008E04F6"/>
    <w:rsid w:val="008E0BD4"/>
    <w:rsid w:val="008E137F"/>
    <w:rsid w:val="008E1A14"/>
    <w:rsid w:val="008E298B"/>
    <w:rsid w:val="008E2FC5"/>
    <w:rsid w:val="008E36DC"/>
    <w:rsid w:val="008E3BE3"/>
    <w:rsid w:val="008E3DD1"/>
    <w:rsid w:val="008E3DDF"/>
    <w:rsid w:val="008E499F"/>
    <w:rsid w:val="008E4F93"/>
    <w:rsid w:val="008E52A9"/>
    <w:rsid w:val="008E5E52"/>
    <w:rsid w:val="008E643E"/>
    <w:rsid w:val="008E6495"/>
    <w:rsid w:val="008E6AD6"/>
    <w:rsid w:val="008E6B97"/>
    <w:rsid w:val="008E6BEF"/>
    <w:rsid w:val="008E6F51"/>
    <w:rsid w:val="008E7007"/>
    <w:rsid w:val="008E70F5"/>
    <w:rsid w:val="008E7349"/>
    <w:rsid w:val="008E7423"/>
    <w:rsid w:val="008F05D3"/>
    <w:rsid w:val="008F0678"/>
    <w:rsid w:val="008F14CC"/>
    <w:rsid w:val="008F1BDD"/>
    <w:rsid w:val="008F20E9"/>
    <w:rsid w:val="008F239A"/>
    <w:rsid w:val="008F243D"/>
    <w:rsid w:val="008F2D7A"/>
    <w:rsid w:val="008F3455"/>
    <w:rsid w:val="008F4EB1"/>
    <w:rsid w:val="008F5567"/>
    <w:rsid w:val="008F55D4"/>
    <w:rsid w:val="008F56B6"/>
    <w:rsid w:val="008F5804"/>
    <w:rsid w:val="008F58C1"/>
    <w:rsid w:val="008F6906"/>
    <w:rsid w:val="008F6E02"/>
    <w:rsid w:val="008F72D6"/>
    <w:rsid w:val="008F7501"/>
    <w:rsid w:val="008F7E1E"/>
    <w:rsid w:val="009001DB"/>
    <w:rsid w:val="00900EC7"/>
    <w:rsid w:val="0090142F"/>
    <w:rsid w:val="00901450"/>
    <w:rsid w:val="00901C3A"/>
    <w:rsid w:val="00901CEE"/>
    <w:rsid w:val="00901F13"/>
    <w:rsid w:val="00901FB1"/>
    <w:rsid w:val="009024D9"/>
    <w:rsid w:val="00902963"/>
    <w:rsid w:val="00902E23"/>
    <w:rsid w:val="0090302B"/>
    <w:rsid w:val="009032C9"/>
    <w:rsid w:val="00903319"/>
    <w:rsid w:val="009036B6"/>
    <w:rsid w:val="009041C7"/>
    <w:rsid w:val="00904808"/>
    <w:rsid w:val="00904B40"/>
    <w:rsid w:val="00904B8F"/>
    <w:rsid w:val="009058A9"/>
    <w:rsid w:val="00905C8E"/>
    <w:rsid w:val="00906177"/>
    <w:rsid w:val="00906AF0"/>
    <w:rsid w:val="00906D9F"/>
    <w:rsid w:val="00907167"/>
    <w:rsid w:val="00907206"/>
    <w:rsid w:val="00907305"/>
    <w:rsid w:val="00907820"/>
    <w:rsid w:val="00907A0E"/>
    <w:rsid w:val="00910390"/>
    <w:rsid w:val="0091075D"/>
    <w:rsid w:val="00910C42"/>
    <w:rsid w:val="00910E28"/>
    <w:rsid w:val="009112E3"/>
    <w:rsid w:val="00911CF0"/>
    <w:rsid w:val="00911D50"/>
    <w:rsid w:val="00912F3D"/>
    <w:rsid w:val="0091373A"/>
    <w:rsid w:val="00913F1D"/>
    <w:rsid w:val="009140E8"/>
    <w:rsid w:val="0091426D"/>
    <w:rsid w:val="009144FF"/>
    <w:rsid w:val="009151E2"/>
    <w:rsid w:val="009162ED"/>
    <w:rsid w:val="00916515"/>
    <w:rsid w:val="009168E8"/>
    <w:rsid w:val="00916A25"/>
    <w:rsid w:val="00917A28"/>
    <w:rsid w:val="00917FDE"/>
    <w:rsid w:val="009204BF"/>
    <w:rsid w:val="00920CDE"/>
    <w:rsid w:val="00920DFC"/>
    <w:rsid w:val="00921499"/>
    <w:rsid w:val="00922342"/>
    <w:rsid w:val="00922758"/>
    <w:rsid w:val="009227F1"/>
    <w:rsid w:val="00924167"/>
    <w:rsid w:val="009251D6"/>
    <w:rsid w:val="009262AB"/>
    <w:rsid w:val="00926967"/>
    <w:rsid w:val="009269EF"/>
    <w:rsid w:val="00926D98"/>
    <w:rsid w:val="00926E48"/>
    <w:rsid w:val="00926EB4"/>
    <w:rsid w:val="00930262"/>
    <w:rsid w:val="009305D0"/>
    <w:rsid w:val="009306E2"/>
    <w:rsid w:val="00931078"/>
    <w:rsid w:val="009312B8"/>
    <w:rsid w:val="009314A7"/>
    <w:rsid w:val="0093201F"/>
    <w:rsid w:val="00932788"/>
    <w:rsid w:val="00932C00"/>
    <w:rsid w:val="009336E7"/>
    <w:rsid w:val="00933918"/>
    <w:rsid w:val="00933F4C"/>
    <w:rsid w:val="00933F9E"/>
    <w:rsid w:val="009342C1"/>
    <w:rsid w:val="00934507"/>
    <w:rsid w:val="00934813"/>
    <w:rsid w:val="00934F68"/>
    <w:rsid w:val="00935565"/>
    <w:rsid w:val="009358D1"/>
    <w:rsid w:val="009365CD"/>
    <w:rsid w:val="00936AEC"/>
    <w:rsid w:val="00936D9E"/>
    <w:rsid w:val="00936FA7"/>
    <w:rsid w:val="00937198"/>
    <w:rsid w:val="009404CD"/>
    <w:rsid w:val="00940BDE"/>
    <w:rsid w:val="00940CCF"/>
    <w:rsid w:val="00941DE5"/>
    <w:rsid w:val="00942D3C"/>
    <w:rsid w:val="009433F0"/>
    <w:rsid w:val="0094368A"/>
    <w:rsid w:val="0094441D"/>
    <w:rsid w:val="009444A9"/>
    <w:rsid w:val="009444F6"/>
    <w:rsid w:val="00944A0A"/>
    <w:rsid w:val="00944BE0"/>
    <w:rsid w:val="0094534C"/>
    <w:rsid w:val="00945A0D"/>
    <w:rsid w:val="00946010"/>
    <w:rsid w:val="0094606D"/>
    <w:rsid w:val="009461BD"/>
    <w:rsid w:val="00947554"/>
    <w:rsid w:val="009478F1"/>
    <w:rsid w:val="009500A1"/>
    <w:rsid w:val="0095020E"/>
    <w:rsid w:val="009502C5"/>
    <w:rsid w:val="00950C9B"/>
    <w:rsid w:val="00950DEA"/>
    <w:rsid w:val="00951691"/>
    <w:rsid w:val="00951A04"/>
    <w:rsid w:val="00952E83"/>
    <w:rsid w:val="00953125"/>
    <w:rsid w:val="00953746"/>
    <w:rsid w:val="009537ED"/>
    <w:rsid w:val="00953955"/>
    <w:rsid w:val="00953C31"/>
    <w:rsid w:val="00954D3B"/>
    <w:rsid w:val="00955045"/>
    <w:rsid w:val="00955A9E"/>
    <w:rsid w:val="00955B2C"/>
    <w:rsid w:val="00955C69"/>
    <w:rsid w:val="00955D3F"/>
    <w:rsid w:val="00955E78"/>
    <w:rsid w:val="009560EE"/>
    <w:rsid w:val="00956211"/>
    <w:rsid w:val="009564B7"/>
    <w:rsid w:val="00956D2D"/>
    <w:rsid w:val="00957BBE"/>
    <w:rsid w:val="009601D9"/>
    <w:rsid w:val="009605FD"/>
    <w:rsid w:val="00961086"/>
    <w:rsid w:val="009611EB"/>
    <w:rsid w:val="009615E9"/>
    <w:rsid w:val="009617F8"/>
    <w:rsid w:val="00961D37"/>
    <w:rsid w:val="00961EF0"/>
    <w:rsid w:val="009620EB"/>
    <w:rsid w:val="00962510"/>
    <w:rsid w:val="00962BAF"/>
    <w:rsid w:val="009632C9"/>
    <w:rsid w:val="00963650"/>
    <w:rsid w:val="00963828"/>
    <w:rsid w:val="00963856"/>
    <w:rsid w:val="009639D9"/>
    <w:rsid w:val="00963E2E"/>
    <w:rsid w:val="00963E55"/>
    <w:rsid w:val="0096415A"/>
    <w:rsid w:val="009643EB"/>
    <w:rsid w:val="009647A5"/>
    <w:rsid w:val="00964D62"/>
    <w:rsid w:val="00965601"/>
    <w:rsid w:val="00965768"/>
    <w:rsid w:val="00965A88"/>
    <w:rsid w:val="0096603A"/>
    <w:rsid w:val="00966112"/>
    <w:rsid w:val="00966F48"/>
    <w:rsid w:val="00966FC1"/>
    <w:rsid w:val="00970E63"/>
    <w:rsid w:val="0097108D"/>
    <w:rsid w:val="0097150B"/>
    <w:rsid w:val="00971776"/>
    <w:rsid w:val="0097213B"/>
    <w:rsid w:val="009724FC"/>
    <w:rsid w:val="009730E8"/>
    <w:rsid w:val="00973940"/>
    <w:rsid w:val="00973DCD"/>
    <w:rsid w:val="0097415E"/>
    <w:rsid w:val="00974723"/>
    <w:rsid w:val="00974983"/>
    <w:rsid w:val="00974B0A"/>
    <w:rsid w:val="0097502E"/>
    <w:rsid w:val="00975D09"/>
    <w:rsid w:val="00975F12"/>
    <w:rsid w:val="00975FBC"/>
    <w:rsid w:val="00976DF5"/>
    <w:rsid w:val="00977C18"/>
    <w:rsid w:val="00977EB6"/>
    <w:rsid w:val="009803D9"/>
    <w:rsid w:val="00980B1F"/>
    <w:rsid w:val="009820C5"/>
    <w:rsid w:val="009825A6"/>
    <w:rsid w:val="00982948"/>
    <w:rsid w:val="00982A23"/>
    <w:rsid w:val="00982F78"/>
    <w:rsid w:val="009830B9"/>
    <w:rsid w:val="00983190"/>
    <w:rsid w:val="00983474"/>
    <w:rsid w:val="00983A94"/>
    <w:rsid w:val="00983F59"/>
    <w:rsid w:val="009848AE"/>
    <w:rsid w:val="00984A23"/>
    <w:rsid w:val="00984B66"/>
    <w:rsid w:val="00984F17"/>
    <w:rsid w:val="00985397"/>
    <w:rsid w:val="0098570D"/>
    <w:rsid w:val="00985C31"/>
    <w:rsid w:val="009866A8"/>
    <w:rsid w:val="009871C1"/>
    <w:rsid w:val="00987FF3"/>
    <w:rsid w:val="009904BF"/>
    <w:rsid w:val="00991731"/>
    <w:rsid w:val="00991E62"/>
    <w:rsid w:val="00992514"/>
    <w:rsid w:val="00992AE2"/>
    <w:rsid w:val="00992D7F"/>
    <w:rsid w:val="00993225"/>
    <w:rsid w:val="009938A2"/>
    <w:rsid w:val="00994222"/>
    <w:rsid w:val="009944A3"/>
    <w:rsid w:val="0099471B"/>
    <w:rsid w:val="0099484B"/>
    <w:rsid w:val="00995697"/>
    <w:rsid w:val="009956A6"/>
    <w:rsid w:val="0099571B"/>
    <w:rsid w:val="009958BA"/>
    <w:rsid w:val="00995B38"/>
    <w:rsid w:val="00995BBB"/>
    <w:rsid w:val="00995BC9"/>
    <w:rsid w:val="00995F52"/>
    <w:rsid w:val="00996333"/>
    <w:rsid w:val="00996C51"/>
    <w:rsid w:val="00996D4A"/>
    <w:rsid w:val="00997036"/>
    <w:rsid w:val="009971AE"/>
    <w:rsid w:val="0099755E"/>
    <w:rsid w:val="009975C9"/>
    <w:rsid w:val="00997773"/>
    <w:rsid w:val="00997C90"/>
    <w:rsid w:val="00997F6A"/>
    <w:rsid w:val="00997FFC"/>
    <w:rsid w:val="009A002B"/>
    <w:rsid w:val="009A036F"/>
    <w:rsid w:val="009A06B7"/>
    <w:rsid w:val="009A0A1A"/>
    <w:rsid w:val="009A1AC1"/>
    <w:rsid w:val="009A1C7F"/>
    <w:rsid w:val="009A1CC1"/>
    <w:rsid w:val="009A1D8A"/>
    <w:rsid w:val="009A212C"/>
    <w:rsid w:val="009A226C"/>
    <w:rsid w:val="009A2392"/>
    <w:rsid w:val="009A252E"/>
    <w:rsid w:val="009A2C1F"/>
    <w:rsid w:val="009A3605"/>
    <w:rsid w:val="009A36E1"/>
    <w:rsid w:val="009A3CC9"/>
    <w:rsid w:val="009A4178"/>
    <w:rsid w:val="009A4AF6"/>
    <w:rsid w:val="009A5570"/>
    <w:rsid w:val="009A598A"/>
    <w:rsid w:val="009A5F80"/>
    <w:rsid w:val="009A621A"/>
    <w:rsid w:val="009A6309"/>
    <w:rsid w:val="009A6685"/>
    <w:rsid w:val="009A68DB"/>
    <w:rsid w:val="009A6B4D"/>
    <w:rsid w:val="009A723B"/>
    <w:rsid w:val="009A7918"/>
    <w:rsid w:val="009B1CAB"/>
    <w:rsid w:val="009B246A"/>
    <w:rsid w:val="009B2C01"/>
    <w:rsid w:val="009B38E5"/>
    <w:rsid w:val="009B3CEA"/>
    <w:rsid w:val="009B3E0C"/>
    <w:rsid w:val="009B40EC"/>
    <w:rsid w:val="009B4165"/>
    <w:rsid w:val="009B448B"/>
    <w:rsid w:val="009B53B9"/>
    <w:rsid w:val="009B5458"/>
    <w:rsid w:val="009B5501"/>
    <w:rsid w:val="009B5910"/>
    <w:rsid w:val="009B5949"/>
    <w:rsid w:val="009B5A8D"/>
    <w:rsid w:val="009B5DF4"/>
    <w:rsid w:val="009B5F37"/>
    <w:rsid w:val="009B6E57"/>
    <w:rsid w:val="009B70E0"/>
    <w:rsid w:val="009B7527"/>
    <w:rsid w:val="009B79D5"/>
    <w:rsid w:val="009B7F0D"/>
    <w:rsid w:val="009C0074"/>
    <w:rsid w:val="009C0580"/>
    <w:rsid w:val="009C063D"/>
    <w:rsid w:val="009C091E"/>
    <w:rsid w:val="009C0F27"/>
    <w:rsid w:val="009C0FB6"/>
    <w:rsid w:val="009C124F"/>
    <w:rsid w:val="009C1AEE"/>
    <w:rsid w:val="009C1DB3"/>
    <w:rsid w:val="009C312B"/>
    <w:rsid w:val="009C4202"/>
    <w:rsid w:val="009C47C9"/>
    <w:rsid w:val="009C4C77"/>
    <w:rsid w:val="009C5058"/>
    <w:rsid w:val="009C5E1D"/>
    <w:rsid w:val="009C605E"/>
    <w:rsid w:val="009C636B"/>
    <w:rsid w:val="009C65E4"/>
    <w:rsid w:val="009C737D"/>
    <w:rsid w:val="009C7416"/>
    <w:rsid w:val="009C75A7"/>
    <w:rsid w:val="009D0336"/>
    <w:rsid w:val="009D081D"/>
    <w:rsid w:val="009D0965"/>
    <w:rsid w:val="009D0BD9"/>
    <w:rsid w:val="009D0DDD"/>
    <w:rsid w:val="009D102F"/>
    <w:rsid w:val="009D119D"/>
    <w:rsid w:val="009D127A"/>
    <w:rsid w:val="009D133C"/>
    <w:rsid w:val="009D229B"/>
    <w:rsid w:val="009D2310"/>
    <w:rsid w:val="009D2DA6"/>
    <w:rsid w:val="009D3334"/>
    <w:rsid w:val="009D385B"/>
    <w:rsid w:val="009D38EE"/>
    <w:rsid w:val="009D39B8"/>
    <w:rsid w:val="009D3E9C"/>
    <w:rsid w:val="009D4C03"/>
    <w:rsid w:val="009D5361"/>
    <w:rsid w:val="009D62D9"/>
    <w:rsid w:val="009D66AE"/>
    <w:rsid w:val="009D6DDB"/>
    <w:rsid w:val="009D732A"/>
    <w:rsid w:val="009D797C"/>
    <w:rsid w:val="009D7B04"/>
    <w:rsid w:val="009D7F6E"/>
    <w:rsid w:val="009E0492"/>
    <w:rsid w:val="009E09B7"/>
    <w:rsid w:val="009E138E"/>
    <w:rsid w:val="009E191D"/>
    <w:rsid w:val="009E1988"/>
    <w:rsid w:val="009E1DB0"/>
    <w:rsid w:val="009E2471"/>
    <w:rsid w:val="009E281C"/>
    <w:rsid w:val="009E29E7"/>
    <w:rsid w:val="009E2B25"/>
    <w:rsid w:val="009E2D2B"/>
    <w:rsid w:val="009E2E10"/>
    <w:rsid w:val="009E3643"/>
    <w:rsid w:val="009E38C2"/>
    <w:rsid w:val="009E4ED2"/>
    <w:rsid w:val="009E5AC2"/>
    <w:rsid w:val="009E64AD"/>
    <w:rsid w:val="009E65C2"/>
    <w:rsid w:val="009E6815"/>
    <w:rsid w:val="009E6923"/>
    <w:rsid w:val="009E697F"/>
    <w:rsid w:val="009E6A95"/>
    <w:rsid w:val="009E6A9F"/>
    <w:rsid w:val="009E6B0F"/>
    <w:rsid w:val="009E7600"/>
    <w:rsid w:val="009F06B3"/>
    <w:rsid w:val="009F07A5"/>
    <w:rsid w:val="009F0A51"/>
    <w:rsid w:val="009F143E"/>
    <w:rsid w:val="009F1461"/>
    <w:rsid w:val="009F1AC2"/>
    <w:rsid w:val="009F1C3B"/>
    <w:rsid w:val="009F20D5"/>
    <w:rsid w:val="009F23E9"/>
    <w:rsid w:val="009F35D3"/>
    <w:rsid w:val="009F3C79"/>
    <w:rsid w:val="009F418B"/>
    <w:rsid w:val="009F446C"/>
    <w:rsid w:val="009F466E"/>
    <w:rsid w:val="009F4CD7"/>
    <w:rsid w:val="009F4D8E"/>
    <w:rsid w:val="009F4DEB"/>
    <w:rsid w:val="009F4FD0"/>
    <w:rsid w:val="009F5923"/>
    <w:rsid w:val="009F5FE3"/>
    <w:rsid w:val="009F692B"/>
    <w:rsid w:val="009F756C"/>
    <w:rsid w:val="009F7CD0"/>
    <w:rsid w:val="00A001E0"/>
    <w:rsid w:val="00A001FB"/>
    <w:rsid w:val="00A00472"/>
    <w:rsid w:val="00A00566"/>
    <w:rsid w:val="00A007C1"/>
    <w:rsid w:val="00A0122B"/>
    <w:rsid w:val="00A012DE"/>
    <w:rsid w:val="00A019EB"/>
    <w:rsid w:val="00A01B5A"/>
    <w:rsid w:val="00A01BDB"/>
    <w:rsid w:val="00A01F83"/>
    <w:rsid w:val="00A02425"/>
    <w:rsid w:val="00A02444"/>
    <w:rsid w:val="00A02A4D"/>
    <w:rsid w:val="00A02F71"/>
    <w:rsid w:val="00A03518"/>
    <w:rsid w:val="00A03572"/>
    <w:rsid w:val="00A03767"/>
    <w:rsid w:val="00A03F22"/>
    <w:rsid w:val="00A04AC2"/>
    <w:rsid w:val="00A0506F"/>
    <w:rsid w:val="00A053D0"/>
    <w:rsid w:val="00A060B8"/>
    <w:rsid w:val="00A0663A"/>
    <w:rsid w:val="00A066A3"/>
    <w:rsid w:val="00A07360"/>
    <w:rsid w:val="00A07991"/>
    <w:rsid w:val="00A07DCA"/>
    <w:rsid w:val="00A10045"/>
    <w:rsid w:val="00A10455"/>
    <w:rsid w:val="00A106E7"/>
    <w:rsid w:val="00A1084D"/>
    <w:rsid w:val="00A109F0"/>
    <w:rsid w:val="00A10B53"/>
    <w:rsid w:val="00A111C8"/>
    <w:rsid w:val="00A1163F"/>
    <w:rsid w:val="00A11E73"/>
    <w:rsid w:val="00A11F34"/>
    <w:rsid w:val="00A12E42"/>
    <w:rsid w:val="00A12FAF"/>
    <w:rsid w:val="00A134BB"/>
    <w:rsid w:val="00A1381E"/>
    <w:rsid w:val="00A139F2"/>
    <w:rsid w:val="00A14018"/>
    <w:rsid w:val="00A14283"/>
    <w:rsid w:val="00A142AF"/>
    <w:rsid w:val="00A146DB"/>
    <w:rsid w:val="00A14863"/>
    <w:rsid w:val="00A14899"/>
    <w:rsid w:val="00A14CDE"/>
    <w:rsid w:val="00A1571E"/>
    <w:rsid w:val="00A15A06"/>
    <w:rsid w:val="00A15A62"/>
    <w:rsid w:val="00A15C12"/>
    <w:rsid w:val="00A16298"/>
    <w:rsid w:val="00A1660B"/>
    <w:rsid w:val="00A166CB"/>
    <w:rsid w:val="00A1675C"/>
    <w:rsid w:val="00A16791"/>
    <w:rsid w:val="00A16C17"/>
    <w:rsid w:val="00A17350"/>
    <w:rsid w:val="00A17893"/>
    <w:rsid w:val="00A20240"/>
    <w:rsid w:val="00A203FD"/>
    <w:rsid w:val="00A2104F"/>
    <w:rsid w:val="00A2145B"/>
    <w:rsid w:val="00A21DEB"/>
    <w:rsid w:val="00A22D4F"/>
    <w:rsid w:val="00A2304F"/>
    <w:rsid w:val="00A23BCB"/>
    <w:rsid w:val="00A23E2B"/>
    <w:rsid w:val="00A2434E"/>
    <w:rsid w:val="00A2455B"/>
    <w:rsid w:val="00A24696"/>
    <w:rsid w:val="00A24EA2"/>
    <w:rsid w:val="00A25CE7"/>
    <w:rsid w:val="00A25D6F"/>
    <w:rsid w:val="00A26BB3"/>
    <w:rsid w:val="00A26DF7"/>
    <w:rsid w:val="00A26DF9"/>
    <w:rsid w:val="00A2711E"/>
    <w:rsid w:val="00A271BA"/>
    <w:rsid w:val="00A2729D"/>
    <w:rsid w:val="00A27568"/>
    <w:rsid w:val="00A27597"/>
    <w:rsid w:val="00A30638"/>
    <w:rsid w:val="00A306DD"/>
    <w:rsid w:val="00A3192C"/>
    <w:rsid w:val="00A31B5C"/>
    <w:rsid w:val="00A31D25"/>
    <w:rsid w:val="00A32F2B"/>
    <w:rsid w:val="00A3328F"/>
    <w:rsid w:val="00A338F3"/>
    <w:rsid w:val="00A33CFB"/>
    <w:rsid w:val="00A33D2A"/>
    <w:rsid w:val="00A34841"/>
    <w:rsid w:val="00A34D5F"/>
    <w:rsid w:val="00A35090"/>
    <w:rsid w:val="00A35F34"/>
    <w:rsid w:val="00A36760"/>
    <w:rsid w:val="00A367D3"/>
    <w:rsid w:val="00A36ADF"/>
    <w:rsid w:val="00A36B91"/>
    <w:rsid w:val="00A36E99"/>
    <w:rsid w:val="00A37065"/>
    <w:rsid w:val="00A37246"/>
    <w:rsid w:val="00A372C5"/>
    <w:rsid w:val="00A37605"/>
    <w:rsid w:val="00A37FFD"/>
    <w:rsid w:val="00A404D4"/>
    <w:rsid w:val="00A4074D"/>
    <w:rsid w:val="00A41210"/>
    <w:rsid w:val="00A41652"/>
    <w:rsid w:val="00A41B11"/>
    <w:rsid w:val="00A41E57"/>
    <w:rsid w:val="00A42725"/>
    <w:rsid w:val="00A42A57"/>
    <w:rsid w:val="00A42BF1"/>
    <w:rsid w:val="00A42DA5"/>
    <w:rsid w:val="00A42F09"/>
    <w:rsid w:val="00A4314A"/>
    <w:rsid w:val="00A4343B"/>
    <w:rsid w:val="00A435AF"/>
    <w:rsid w:val="00A437F3"/>
    <w:rsid w:val="00A4399C"/>
    <w:rsid w:val="00A44561"/>
    <w:rsid w:val="00A44DD2"/>
    <w:rsid w:val="00A457D1"/>
    <w:rsid w:val="00A45C04"/>
    <w:rsid w:val="00A45D58"/>
    <w:rsid w:val="00A45ED6"/>
    <w:rsid w:val="00A46281"/>
    <w:rsid w:val="00A4647B"/>
    <w:rsid w:val="00A464C4"/>
    <w:rsid w:val="00A46A01"/>
    <w:rsid w:val="00A46AD3"/>
    <w:rsid w:val="00A470C4"/>
    <w:rsid w:val="00A47AE7"/>
    <w:rsid w:val="00A50C97"/>
    <w:rsid w:val="00A50CD2"/>
    <w:rsid w:val="00A5126A"/>
    <w:rsid w:val="00A5131C"/>
    <w:rsid w:val="00A5166E"/>
    <w:rsid w:val="00A519B4"/>
    <w:rsid w:val="00A520C4"/>
    <w:rsid w:val="00A52A55"/>
    <w:rsid w:val="00A52F0F"/>
    <w:rsid w:val="00A53665"/>
    <w:rsid w:val="00A54871"/>
    <w:rsid w:val="00A5499C"/>
    <w:rsid w:val="00A54EBB"/>
    <w:rsid w:val="00A551E8"/>
    <w:rsid w:val="00A55226"/>
    <w:rsid w:val="00A557FA"/>
    <w:rsid w:val="00A55970"/>
    <w:rsid w:val="00A55ADE"/>
    <w:rsid w:val="00A55B3B"/>
    <w:rsid w:val="00A55FA9"/>
    <w:rsid w:val="00A56610"/>
    <w:rsid w:val="00A57101"/>
    <w:rsid w:val="00A5725C"/>
    <w:rsid w:val="00A5758E"/>
    <w:rsid w:val="00A576F6"/>
    <w:rsid w:val="00A57853"/>
    <w:rsid w:val="00A6001B"/>
    <w:rsid w:val="00A600DC"/>
    <w:rsid w:val="00A607D7"/>
    <w:rsid w:val="00A60F4E"/>
    <w:rsid w:val="00A6152A"/>
    <w:rsid w:val="00A61609"/>
    <w:rsid w:val="00A61CD8"/>
    <w:rsid w:val="00A62094"/>
    <w:rsid w:val="00A62339"/>
    <w:rsid w:val="00A6251A"/>
    <w:rsid w:val="00A62880"/>
    <w:rsid w:val="00A62932"/>
    <w:rsid w:val="00A634BE"/>
    <w:rsid w:val="00A6586E"/>
    <w:rsid w:val="00A658B4"/>
    <w:rsid w:val="00A663A7"/>
    <w:rsid w:val="00A66D87"/>
    <w:rsid w:val="00A66F61"/>
    <w:rsid w:val="00A670EB"/>
    <w:rsid w:val="00A67D6A"/>
    <w:rsid w:val="00A67F3E"/>
    <w:rsid w:val="00A67FB0"/>
    <w:rsid w:val="00A70399"/>
    <w:rsid w:val="00A70B5C"/>
    <w:rsid w:val="00A70DB9"/>
    <w:rsid w:val="00A71110"/>
    <w:rsid w:val="00A71188"/>
    <w:rsid w:val="00A72515"/>
    <w:rsid w:val="00A7298F"/>
    <w:rsid w:val="00A73437"/>
    <w:rsid w:val="00A749B1"/>
    <w:rsid w:val="00A74A82"/>
    <w:rsid w:val="00A74E73"/>
    <w:rsid w:val="00A75427"/>
    <w:rsid w:val="00A75674"/>
    <w:rsid w:val="00A756A9"/>
    <w:rsid w:val="00A757F3"/>
    <w:rsid w:val="00A75BAE"/>
    <w:rsid w:val="00A76FF1"/>
    <w:rsid w:val="00A77434"/>
    <w:rsid w:val="00A7750E"/>
    <w:rsid w:val="00A77800"/>
    <w:rsid w:val="00A8093A"/>
    <w:rsid w:val="00A80A1E"/>
    <w:rsid w:val="00A80B4E"/>
    <w:rsid w:val="00A82589"/>
    <w:rsid w:val="00A82E18"/>
    <w:rsid w:val="00A83C15"/>
    <w:rsid w:val="00A83CDA"/>
    <w:rsid w:val="00A83F9A"/>
    <w:rsid w:val="00A84B50"/>
    <w:rsid w:val="00A84F28"/>
    <w:rsid w:val="00A85292"/>
    <w:rsid w:val="00A858C9"/>
    <w:rsid w:val="00A86885"/>
    <w:rsid w:val="00A87A15"/>
    <w:rsid w:val="00A87CA9"/>
    <w:rsid w:val="00A87DD6"/>
    <w:rsid w:val="00A9125E"/>
    <w:rsid w:val="00A915A2"/>
    <w:rsid w:val="00A916A1"/>
    <w:rsid w:val="00A91929"/>
    <w:rsid w:val="00A91A49"/>
    <w:rsid w:val="00A921B0"/>
    <w:rsid w:val="00A92D98"/>
    <w:rsid w:val="00A92EB6"/>
    <w:rsid w:val="00A938B7"/>
    <w:rsid w:val="00A93C65"/>
    <w:rsid w:val="00A944DA"/>
    <w:rsid w:val="00A949FF"/>
    <w:rsid w:val="00A94B61"/>
    <w:rsid w:val="00A94C6C"/>
    <w:rsid w:val="00A95044"/>
    <w:rsid w:val="00A95679"/>
    <w:rsid w:val="00A96858"/>
    <w:rsid w:val="00A969BF"/>
    <w:rsid w:val="00A96C02"/>
    <w:rsid w:val="00A96D99"/>
    <w:rsid w:val="00A96E29"/>
    <w:rsid w:val="00A975ED"/>
    <w:rsid w:val="00A97657"/>
    <w:rsid w:val="00AA0071"/>
    <w:rsid w:val="00AA08F2"/>
    <w:rsid w:val="00AA0950"/>
    <w:rsid w:val="00AA0CD8"/>
    <w:rsid w:val="00AA0EF5"/>
    <w:rsid w:val="00AA0F2D"/>
    <w:rsid w:val="00AA176F"/>
    <w:rsid w:val="00AA1908"/>
    <w:rsid w:val="00AA1CBC"/>
    <w:rsid w:val="00AA1CFF"/>
    <w:rsid w:val="00AA2074"/>
    <w:rsid w:val="00AA29FC"/>
    <w:rsid w:val="00AA2AD8"/>
    <w:rsid w:val="00AA2BDC"/>
    <w:rsid w:val="00AA300B"/>
    <w:rsid w:val="00AA3082"/>
    <w:rsid w:val="00AA337A"/>
    <w:rsid w:val="00AA36E7"/>
    <w:rsid w:val="00AA4E2B"/>
    <w:rsid w:val="00AA4E4A"/>
    <w:rsid w:val="00AA5B4C"/>
    <w:rsid w:val="00AA5D39"/>
    <w:rsid w:val="00AA5D6F"/>
    <w:rsid w:val="00AA64D7"/>
    <w:rsid w:val="00AA67E7"/>
    <w:rsid w:val="00AA6C4F"/>
    <w:rsid w:val="00AA7094"/>
    <w:rsid w:val="00AB0D36"/>
    <w:rsid w:val="00AB1198"/>
    <w:rsid w:val="00AB11FE"/>
    <w:rsid w:val="00AB17CF"/>
    <w:rsid w:val="00AB1A0F"/>
    <w:rsid w:val="00AB31CB"/>
    <w:rsid w:val="00AB351E"/>
    <w:rsid w:val="00AB3B75"/>
    <w:rsid w:val="00AB40CF"/>
    <w:rsid w:val="00AB4284"/>
    <w:rsid w:val="00AB4521"/>
    <w:rsid w:val="00AB4CDA"/>
    <w:rsid w:val="00AB54F3"/>
    <w:rsid w:val="00AB5579"/>
    <w:rsid w:val="00AB5689"/>
    <w:rsid w:val="00AB5D0B"/>
    <w:rsid w:val="00AB622F"/>
    <w:rsid w:val="00AB6B60"/>
    <w:rsid w:val="00AB7681"/>
    <w:rsid w:val="00AB77AD"/>
    <w:rsid w:val="00AB7A0A"/>
    <w:rsid w:val="00AB7A11"/>
    <w:rsid w:val="00AC0329"/>
    <w:rsid w:val="00AC06F9"/>
    <w:rsid w:val="00AC228C"/>
    <w:rsid w:val="00AC306E"/>
    <w:rsid w:val="00AC34A8"/>
    <w:rsid w:val="00AC3EC3"/>
    <w:rsid w:val="00AC3F9D"/>
    <w:rsid w:val="00AC40E6"/>
    <w:rsid w:val="00AC483F"/>
    <w:rsid w:val="00AC5362"/>
    <w:rsid w:val="00AC64C1"/>
    <w:rsid w:val="00AC6508"/>
    <w:rsid w:val="00AC6813"/>
    <w:rsid w:val="00AC6EFB"/>
    <w:rsid w:val="00AC7AB8"/>
    <w:rsid w:val="00AD014B"/>
    <w:rsid w:val="00AD0BB2"/>
    <w:rsid w:val="00AD0F2A"/>
    <w:rsid w:val="00AD1151"/>
    <w:rsid w:val="00AD142A"/>
    <w:rsid w:val="00AD1B20"/>
    <w:rsid w:val="00AD1F9A"/>
    <w:rsid w:val="00AD280D"/>
    <w:rsid w:val="00AD296C"/>
    <w:rsid w:val="00AD29A1"/>
    <w:rsid w:val="00AD2AB1"/>
    <w:rsid w:val="00AD2C91"/>
    <w:rsid w:val="00AD2DBC"/>
    <w:rsid w:val="00AD30AD"/>
    <w:rsid w:val="00AD3820"/>
    <w:rsid w:val="00AD4208"/>
    <w:rsid w:val="00AD4395"/>
    <w:rsid w:val="00AD45FD"/>
    <w:rsid w:val="00AD49CC"/>
    <w:rsid w:val="00AD4A8D"/>
    <w:rsid w:val="00AD4ACB"/>
    <w:rsid w:val="00AD4C7F"/>
    <w:rsid w:val="00AD5095"/>
    <w:rsid w:val="00AD5C6C"/>
    <w:rsid w:val="00AD6871"/>
    <w:rsid w:val="00AD689C"/>
    <w:rsid w:val="00AD6AE8"/>
    <w:rsid w:val="00AD6DC8"/>
    <w:rsid w:val="00AD74CB"/>
    <w:rsid w:val="00AD7EF4"/>
    <w:rsid w:val="00AE01ED"/>
    <w:rsid w:val="00AE12BF"/>
    <w:rsid w:val="00AE156C"/>
    <w:rsid w:val="00AE1BFD"/>
    <w:rsid w:val="00AE2117"/>
    <w:rsid w:val="00AE3279"/>
    <w:rsid w:val="00AE347D"/>
    <w:rsid w:val="00AE3716"/>
    <w:rsid w:val="00AE3B57"/>
    <w:rsid w:val="00AE3E67"/>
    <w:rsid w:val="00AE4971"/>
    <w:rsid w:val="00AE49D8"/>
    <w:rsid w:val="00AE513E"/>
    <w:rsid w:val="00AE5844"/>
    <w:rsid w:val="00AE593A"/>
    <w:rsid w:val="00AE5C6C"/>
    <w:rsid w:val="00AE5D00"/>
    <w:rsid w:val="00AE60AB"/>
    <w:rsid w:val="00AE6B2B"/>
    <w:rsid w:val="00AE6D6E"/>
    <w:rsid w:val="00AE7862"/>
    <w:rsid w:val="00AE7D04"/>
    <w:rsid w:val="00AF0157"/>
    <w:rsid w:val="00AF03B6"/>
    <w:rsid w:val="00AF0DEC"/>
    <w:rsid w:val="00AF2475"/>
    <w:rsid w:val="00AF25A9"/>
    <w:rsid w:val="00AF2A87"/>
    <w:rsid w:val="00AF33E7"/>
    <w:rsid w:val="00AF378B"/>
    <w:rsid w:val="00AF3856"/>
    <w:rsid w:val="00AF3BAF"/>
    <w:rsid w:val="00AF4F47"/>
    <w:rsid w:val="00AF4F8E"/>
    <w:rsid w:val="00AF50D2"/>
    <w:rsid w:val="00AF513B"/>
    <w:rsid w:val="00AF5447"/>
    <w:rsid w:val="00AF58E5"/>
    <w:rsid w:val="00AF63CB"/>
    <w:rsid w:val="00AF6CBB"/>
    <w:rsid w:val="00AF7006"/>
    <w:rsid w:val="00AF74A8"/>
    <w:rsid w:val="00AF7539"/>
    <w:rsid w:val="00B0003B"/>
    <w:rsid w:val="00B005DF"/>
    <w:rsid w:val="00B00980"/>
    <w:rsid w:val="00B00A85"/>
    <w:rsid w:val="00B00F88"/>
    <w:rsid w:val="00B012CE"/>
    <w:rsid w:val="00B01A00"/>
    <w:rsid w:val="00B01DF0"/>
    <w:rsid w:val="00B02891"/>
    <w:rsid w:val="00B030D4"/>
    <w:rsid w:val="00B0321B"/>
    <w:rsid w:val="00B0359A"/>
    <w:rsid w:val="00B0392E"/>
    <w:rsid w:val="00B03A10"/>
    <w:rsid w:val="00B03F7A"/>
    <w:rsid w:val="00B04046"/>
    <w:rsid w:val="00B043EA"/>
    <w:rsid w:val="00B045C7"/>
    <w:rsid w:val="00B049C0"/>
    <w:rsid w:val="00B05355"/>
    <w:rsid w:val="00B055EF"/>
    <w:rsid w:val="00B0573A"/>
    <w:rsid w:val="00B058AC"/>
    <w:rsid w:val="00B05950"/>
    <w:rsid w:val="00B05C67"/>
    <w:rsid w:val="00B06810"/>
    <w:rsid w:val="00B06A4D"/>
    <w:rsid w:val="00B06AD9"/>
    <w:rsid w:val="00B06D98"/>
    <w:rsid w:val="00B06EBA"/>
    <w:rsid w:val="00B070B6"/>
    <w:rsid w:val="00B072BF"/>
    <w:rsid w:val="00B0767A"/>
    <w:rsid w:val="00B07823"/>
    <w:rsid w:val="00B07A39"/>
    <w:rsid w:val="00B10603"/>
    <w:rsid w:val="00B10F02"/>
    <w:rsid w:val="00B11719"/>
    <w:rsid w:val="00B1282A"/>
    <w:rsid w:val="00B12F4A"/>
    <w:rsid w:val="00B13150"/>
    <w:rsid w:val="00B131C2"/>
    <w:rsid w:val="00B132E8"/>
    <w:rsid w:val="00B1334D"/>
    <w:rsid w:val="00B133AB"/>
    <w:rsid w:val="00B13C8F"/>
    <w:rsid w:val="00B1427F"/>
    <w:rsid w:val="00B14A09"/>
    <w:rsid w:val="00B151FF"/>
    <w:rsid w:val="00B15B17"/>
    <w:rsid w:val="00B15F69"/>
    <w:rsid w:val="00B16641"/>
    <w:rsid w:val="00B16EC3"/>
    <w:rsid w:val="00B173C5"/>
    <w:rsid w:val="00B17AEA"/>
    <w:rsid w:val="00B17AEE"/>
    <w:rsid w:val="00B17C20"/>
    <w:rsid w:val="00B2151E"/>
    <w:rsid w:val="00B21A13"/>
    <w:rsid w:val="00B21F17"/>
    <w:rsid w:val="00B222C4"/>
    <w:rsid w:val="00B22B71"/>
    <w:rsid w:val="00B23327"/>
    <w:rsid w:val="00B2360C"/>
    <w:rsid w:val="00B236C1"/>
    <w:rsid w:val="00B23A64"/>
    <w:rsid w:val="00B23C44"/>
    <w:rsid w:val="00B23EAB"/>
    <w:rsid w:val="00B23F0D"/>
    <w:rsid w:val="00B24677"/>
    <w:rsid w:val="00B2501C"/>
    <w:rsid w:val="00B2537F"/>
    <w:rsid w:val="00B25C9E"/>
    <w:rsid w:val="00B26051"/>
    <w:rsid w:val="00B260F5"/>
    <w:rsid w:val="00B2631C"/>
    <w:rsid w:val="00B26532"/>
    <w:rsid w:val="00B26659"/>
    <w:rsid w:val="00B267A7"/>
    <w:rsid w:val="00B26A9C"/>
    <w:rsid w:val="00B272B1"/>
    <w:rsid w:val="00B27824"/>
    <w:rsid w:val="00B27AD4"/>
    <w:rsid w:val="00B30079"/>
    <w:rsid w:val="00B3061A"/>
    <w:rsid w:val="00B30C1C"/>
    <w:rsid w:val="00B30F38"/>
    <w:rsid w:val="00B31009"/>
    <w:rsid w:val="00B32553"/>
    <w:rsid w:val="00B32DE4"/>
    <w:rsid w:val="00B32E21"/>
    <w:rsid w:val="00B338A2"/>
    <w:rsid w:val="00B3392F"/>
    <w:rsid w:val="00B34AAE"/>
    <w:rsid w:val="00B35466"/>
    <w:rsid w:val="00B35F25"/>
    <w:rsid w:val="00B3639B"/>
    <w:rsid w:val="00B36B32"/>
    <w:rsid w:val="00B36BEF"/>
    <w:rsid w:val="00B36C6F"/>
    <w:rsid w:val="00B37930"/>
    <w:rsid w:val="00B37D1E"/>
    <w:rsid w:val="00B37EC2"/>
    <w:rsid w:val="00B402C8"/>
    <w:rsid w:val="00B4042B"/>
    <w:rsid w:val="00B416B6"/>
    <w:rsid w:val="00B42288"/>
    <w:rsid w:val="00B422E7"/>
    <w:rsid w:val="00B425FB"/>
    <w:rsid w:val="00B43129"/>
    <w:rsid w:val="00B431F0"/>
    <w:rsid w:val="00B440C5"/>
    <w:rsid w:val="00B44331"/>
    <w:rsid w:val="00B443AA"/>
    <w:rsid w:val="00B44828"/>
    <w:rsid w:val="00B449F0"/>
    <w:rsid w:val="00B44A72"/>
    <w:rsid w:val="00B459C2"/>
    <w:rsid w:val="00B45F23"/>
    <w:rsid w:val="00B47003"/>
    <w:rsid w:val="00B470C0"/>
    <w:rsid w:val="00B47678"/>
    <w:rsid w:val="00B47782"/>
    <w:rsid w:val="00B477EB"/>
    <w:rsid w:val="00B47A6C"/>
    <w:rsid w:val="00B47CF5"/>
    <w:rsid w:val="00B47DC3"/>
    <w:rsid w:val="00B50041"/>
    <w:rsid w:val="00B5108F"/>
    <w:rsid w:val="00B51E74"/>
    <w:rsid w:val="00B51EBA"/>
    <w:rsid w:val="00B520CB"/>
    <w:rsid w:val="00B52745"/>
    <w:rsid w:val="00B52E69"/>
    <w:rsid w:val="00B5414C"/>
    <w:rsid w:val="00B54487"/>
    <w:rsid w:val="00B5448E"/>
    <w:rsid w:val="00B545F2"/>
    <w:rsid w:val="00B54B5D"/>
    <w:rsid w:val="00B54EA5"/>
    <w:rsid w:val="00B553E6"/>
    <w:rsid w:val="00B56115"/>
    <w:rsid w:val="00B5653F"/>
    <w:rsid w:val="00B57A10"/>
    <w:rsid w:val="00B57D1D"/>
    <w:rsid w:val="00B6043A"/>
    <w:rsid w:val="00B6054A"/>
    <w:rsid w:val="00B60C96"/>
    <w:rsid w:val="00B6141B"/>
    <w:rsid w:val="00B61438"/>
    <w:rsid w:val="00B61DC2"/>
    <w:rsid w:val="00B62454"/>
    <w:rsid w:val="00B62A35"/>
    <w:rsid w:val="00B62B89"/>
    <w:rsid w:val="00B62BBC"/>
    <w:rsid w:val="00B65D66"/>
    <w:rsid w:val="00B65FAB"/>
    <w:rsid w:val="00B66322"/>
    <w:rsid w:val="00B66550"/>
    <w:rsid w:val="00B668A4"/>
    <w:rsid w:val="00B66E8C"/>
    <w:rsid w:val="00B6726D"/>
    <w:rsid w:val="00B6782F"/>
    <w:rsid w:val="00B67A2D"/>
    <w:rsid w:val="00B67C7F"/>
    <w:rsid w:val="00B67F84"/>
    <w:rsid w:val="00B700BA"/>
    <w:rsid w:val="00B701E9"/>
    <w:rsid w:val="00B702E8"/>
    <w:rsid w:val="00B703D2"/>
    <w:rsid w:val="00B7056D"/>
    <w:rsid w:val="00B70EF7"/>
    <w:rsid w:val="00B7144C"/>
    <w:rsid w:val="00B71842"/>
    <w:rsid w:val="00B718DC"/>
    <w:rsid w:val="00B719B3"/>
    <w:rsid w:val="00B71A0D"/>
    <w:rsid w:val="00B720DA"/>
    <w:rsid w:val="00B72515"/>
    <w:rsid w:val="00B72E67"/>
    <w:rsid w:val="00B732A3"/>
    <w:rsid w:val="00B735B4"/>
    <w:rsid w:val="00B7365C"/>
    <w:rsid w:val="00B73672"/>
    <w:rsid w:val="00B73712"/>
    <w:rsid w:val="00B738D4"/>
    <w:rsid w:val="00B742DA"/>
    <w:rsid w:val="00B746E0"/>
    <w:rsid w:val="00B753B3"/>
    <w:rsid w:val="00B7568D"/>
    <w:rsid w:val="00B764D9"/>
    <w:rsid w:val="00B769A2"/>
    <w:rsid w:val="00B76D97"/>
    <w:rsid w:val="00B770A9"/>
    <w:rsid w:val="00B77411"/>
    <w:rsid w:val="00B775A4"/>
    <w:rsid w:val="00B80182"/>
    <w:rsid w:val="00B8039C"/>
    <w:rsid w:val="00B8068A"/>
    <w:rsid w:val="00B8094D"/>
    <w:rsid w:val="00B80B8D"/>
    <w:rsid w:val="00B81457"/>
    <w:rsid w:val="00B83040"/>
    <w:rsid w:val="00B84605"/>
    <w:rsid w:val="00B8542B"/>
    <w:rsid w:val="00B857C4"/>
    <w:rsid w:val="00B85AB2"/>
    <w:rsid w:val="00B85E54"/>
    <w:rsid w:val="00B86DF2"/>
    <w:rsid w:val="00B86F40"/>
    <w:rsid w:val="00B870BB"/>
    <w:rsid w:val="00B8722F"/>
    <w:rsid w:val="00B90214"/>
    <w:rsid w:val="00B9041A"/>
    <w:rsid w:val="00B90437"/>
    <w:rsid w:val="00B905BF"/>
    <w:rsid w:val="00B907EE"/>
    <w:rsid w:val="00B90A79"/>
    <w:rsid w:val="00B90AC0"/>
    <w:rsid w:val="00B90F9F"/>
    <w:rsid w:val="00B916CE"/>
    <w:rsid w:val="00B91869"/>
    <w:rsid w:val="00B9195D"/>
    <w:rsid w:val="00B93126"/>
    <w:rsid w:val="00B93411"/>
    <w:rsid w:val="00B934EC"/>
    <w:rsid w:val="00B93F06"/>
    <w:rsid w:val="00B94025"/>
    <w:rsid w:val="00B944E2"/>
    <w:rsid w:val="00B94DE3"/>
    <w:rsid w:val="00B95025"/>
    <w:rsid w:val="00B95BF1"/>
    <w:rsid w:val="00B95D49"/>
    <w:rsid w:val="00B95E3C"/>
    <w:rsid w:val="00B960BF"/>
    <w:rsid w:val="00B962C8"/>
    <w:rsid w:val="00B96B73"/>
    <w:rsid w:val="00B96E25"/>
    <w:rsid w:val="00B97022"/>
    <w:rsid w:val="00B9721A"/>
    <w:rsid w:val="00B9753E"/>
    <w:rsid w:val="00B97712"/>
    <w:rsid w:val="00B97C50"/>
    <w:rsid w:val="00BA09D7"/>
    <w:rsid w:val="00BA1238"/>
    <w:rsid w:val="00BA1DA6"/>
    <w:rsid w:val="00BA1FF8"/>
    <w:rsid w:val="00BA2C30"/>
    <w:rsid w:val="00BA2C88"/>
    <w:rsid w:val="00BA2F6E"/>
    <w:rsid w:val="00BA3466"/>
    <w:rsid w:val="00BA3C03"/>
    <w:rsid w:val="00BA3C2E"/>
    <w:rsid w:val="00BA49CF"/>
    <w:rsid w:val="00BA4A9F"/>
    <w:rsid w:val="00BA4CD2"/>
    <w:rsid w:val="00BA532F"/>
    <w:rsid w:val="00BA5B95"/>
    <w:rsid w:val="00BA5F03"/>
    <w:rsid w:val="00BA60CF"/>
    <w:rsid w:val="00BA6420"/>
    <w:rsid w:val="00BA6561"/>
    <w:rsid w:val="00BA6568"/>
    <w:rsid w:val="00BA6C11"/>
    <w:rsid w:val="00BA7631"/>
    <w:rsid w:val="00BB129B"/>
    <w:rsid w:val="00BB1922"/>
    <w:rsid w:val="00BB3B82"/>
    <w:rsid w:val="00BB420D"/>
    <w:rsid w:val="00BB45AD"/>
    <w:rsid w:val="00BB4E0F"/>
    <w:rsid w:val="00BB5BB5"/>
    <w:rsid w:val="00BB5D35"/>
    <w:rsid w:val="00BB67C7"/>
    <w:rsid w:val="00BB67DA"/>
    <w:rsid w:val="00BB72F8"/>
    <w:rsid w:val="00BB74E3"/>
    <w:rsid w:val="00BB7741"/>
    <w:rsid w:val="00BB7B1F"/>
    <w:rsid w:val="00BC005F"/>
    <w:rsid w:val="00BC0119"/>
    <w:rsid w:val="00BC01FD"/>
    <w:rsid w:val="00BC0553"/>
    <w:rsid w:val="00BC0AFE"/>
    <w:rsid w:val="00BC17FE"/>
    <w:rsid w:val="00BC2574"/>
    <w:rsid w:val="00BC2575"/>
    <w:rsid w:val="00BC35A3"/>
    <w:rsid w:val="00BC3716"/>
    <w:rsid w:val="00BC379F"/>
    <w:rsid w:val="00BC3A63"/>
    <w:rsid w:val="00BC3B04"/>
    <w:rsid w:val="00BC4167"/>
    <w:rsid w:val="00BC45EA"/>
    <w:rsid w:val="00BC486B"/>
    <w:rsid w:val="00BC4AB5"/>
    <w:rsid w:val="00BC4C55"/>
    <w:rsid w:val="00BC4C62"/>
    <w:rsid w:val="00BC4EFC"/>
    <w:rsid w:val="00BC50C2"/>
    <w:rsid w:val="00BC5389"/>
    <w:rsid w:val="00BC777D"/>
    <w:rsid w:val="00BD05A7"/>
    <w:rsid w:val="00BD084C"/>
    <w:rsid w:val="00BD095C"/>
    <w:rsid w:val="00BD09AA"/>
    <w:rsid w:val="00BD0BF1"/>
    <w:rsid w:val="00BD0C8A"/>
    <w:rsid w:val="00BD0DC6"/>
    <w:rsid w:val="00BD0F69"/>
    <w:rsid w:val="00BD100B"/>
    <w:rsid w:val="00BD1678"/>
    <w:rsid w:val="00BD18C2"/>
    <w:rsid w:val="00BD1C7C"/>
    <w:rsid w:val="00BD2692"/>
    <w:rsid w:val="00BD3003"/>
    <w:rsid w:val="00BD358C"/>
    <w:rsid w:val="00BD369D"/>
    <w:rsid w:val="00BD3CD2"/>
    <w:rsid w:val="00BD457F"/>
    <w:rsid w:val="00BD495A"/>
    <w:rsid w:val="00BD5BA6"/>
    <w:rsid w:val="00BD5FE2"/>
    <w:rsid w:val="00BD6184"/>
    <w:rsid w:val="00BD636A"/>
    <w:rsid w:val="00BD6377"/>
    <w:rsid w:val="00BD665E"/>
    <w:rsid w:val="00BD6975"/>
    <w:rsid w:val="00BD6980"/>
    <w:rsid w:val="00BD6AFE"/>
    <w:rsid w:val="00BD6FFF"/>
    <w:rsid w:val="00BD7300"/>
    <w:rsid w:val="00BD7444"/>
    <w:rsid w:val="00BE031A"/>
    <w:rsid w:val="00BE0C6B"/>
    <w:rsid w:val="00BE121B"/>
    <w:rsid w:val="00BE1AE0"/>
    <w:rsid w:val="00BE20B8"/>
    <w:rsid w:val="00BE256B"/>
    <w:rsid w:val="00BE2713"/>
    <w:rsid w:val="00BE36E5"/>
    <w:rsid w:val="00BE3C41"/>
    <w:rsid w:val="00BE3FD7"/>
    <w:rsid w:val="00BE41CF"/>
    <w:rsid w:val="00BE43E1"/>
    <w:rsid w:val="00BE4C63"/>
    <w:rsid w:val="00BE5F8B"/>
    <w:rsid w:val="00BE6629"/>
    <w:rsid w:val="00BE680A"/>
    <w:rsid w:val="00BE687B"/>
    <w:rsid w:val="00BE6960"/>
    <w:rsid w:val="00BE698A"/>
    <w:rsid w:val="00BE716C"/>
    <w:rsid w:val="00BE72A7"/>
    <w:rsid w:val="00BE7747"/>
    <w:rsid w:val="00BE7882"/>
    <w:rsid w:val="00BF0460"/>
    <w:rsid w:val="00BF11C3"/>
    <w:rsid w:val="00BF1425"/>
    <w:rsid w:val="00BF18A0"/>
    <w:rsid w:val="00BF19A8"/>
    <w:rsid w:val="00BF1FBB"/>
    <w:rsid w:val="00BF20FD"/>
    <w:rsid w:val="00BF2842"/>
    <w:rsid w:val="00BF28C7"/>
    <w:rsid w:val="00BF2B95"/>
    <w:rsid w:val="00BF2BF9"/>
    <w:rsid w:val="00BF3938"/>
    <w:rsid w:val="00BF4097"/>
    <w:rsid w:val="00BF43F9"/>
    <w:rsid w:val="00BF4A4E"/>
    <w:rsid w:val="00BF4E49"/>
    <w:rsid w:val="00BF4F99"/>
    <w:rsid w:val="00BF55D9"/>
    <w:rsid w:val="00BF587E"/>
    <w:rsid w:val="00BF58C9"/>
    <w:rsid w:val="00BF5E99"/>
    <w:rsid w:val="00BF61FA"/>
    <w:rsid w:val="00BF659A"/>
    <w:rsid w:val="00BF709B"/>
    <w:rsid w:val="00BF737E"/>
    <w:rsid w:val="00BF738E"/>
    <w:rsid w:val="00BF7590"/>
    <w:rsid w:val="00BF787E"/>
    <w:rsid w:val="00C00894"/>
    <w:rsid w:val="00C01E44"/>
    <w:rsid w:val="00C01F5C"/>
    <w:rsid w:val="00C029EE"/>
    <w:rsid w:val="00C02D55"/>
    <w:rsid w:val="00C02F2B"/>
    <w:rsid w:val="00C03063"/>
    <w:rsid w:val="00C03284"/>
    <w:rsid w:val="00C03C88"/>
    <w:rsid w:val="00C041BC"/>
    <w:rsid w:val="00C04722"/>
    <w:rsid w:val="00C04E78"/>
    <w:rsid w:val="00C04F46"/>
    <w:rsid w:val="00C074A1"/>
    <w:rsid w:val="00C075D9"/>
    <w:rsid w:val="00C077F8"/>
    <w:rsid w:val="00C10702"/>
    <w:rsid w:val="00C10AD0"/>
    <w:rsid w:val="00C10DAC"/>
    <w:rsid w:val="00C10EC7"/>
    <w:rsid w:val="00C11798"/>
    <w:rsid w:val="00C118D9"/>
    <w:rsid w:val="00C11992"/>
    <w:rsid w:val="00C11E4C"/>
    <w:rsid w:val="00C11FDC"/>
    <w:rsid w:val="00C120E2"/>
    <w:rsid w:val="00C12199"/>
    <w:rsid w:val="00C122E9"/>
    <w:rsid w:val="00C128E5"/>
    <w:rsid w:val="00C12980"/>
    <w:rsid w:val="00C12B85"/>
    <w:rsid w:val="00C133A9"/>
    <w:rsid w:val="00C144D3"/>
    <w:rsid w:val="00C14B89"/>
    <w:rsid w:val="00C14EFB"/>
    <w:rsid w:val="00C15058"/>
    <w:rsid w:val="00C15C6D"/>
    <w:rsid w:val="00C1620E"/>
    <w:rsid w:val="00C1639E"/>
    <w:rsid w:val="00C165CF"/>
    <w:rsid w:val="00C168D5"/>
    <w:rsid w:val="00C16A67"/>
    <w:rsid w:val="00C16B7D"/>
    <w:rsid w:val="00C1787A"/>
    <w:rsid w:val="00C1795B"/>
    <w:rsid w:val="00C201D2"/>
    <w:rsid w:val="00C20394"/>
    <w:rsid w:val="00C219EB"/>
    <w:rsid w:val="00C21BC7"/>
    <w:rsid w:val="00C21DCD"/>
    <w:rsid w:val="00C22D28"/>
    <w:rsid w:val="00C23E1F"/>
    <w:rsid w:val="00C23F41"/>
    <w:rsid w:val="00C24087"/>
    <w:rsid w:val="00C24BC8"/>
    <w:rsid w:val="00C250BF"/>
    <w:rsid w:val="00C2515E"/>
    <w:rsid w:val="00C25303"/>
    <w:rsid w:val="00C2531D"/>
    <w:rsid w:val="00C2577F"/>
    <w:rsid w:val="00C2578C"/>
    <w:rsid w:val="00C25824"/>
    <w:rsid w:val="00C25A39"/>
    <w:rsid w:val="00C25FA1"/>
    <w:rsid w:val="00C265A1"/>
    <w:rsid w:val="00C26604"/>
    <w:rsid w:val="00C26FB4"/>
    <w:rsid w:val="00C30BB8"/>
    <w:rsid w:val="00C30E29"/>
    <w:rsid w:val="00C30E78"/>
    <w:rsid w:val="00C3175A"/>
    <w:rsid w:val="00C3192A"/>
    <w:rsid w:val="00C31942"/>
    <w:rsid w:val="00C31F71"/>
    <w:rsid w:val="00C326D4"/>
    <w:rsid w:val="00C32783"/>
    <w:rsid w:val="00C32D3E"/>
    <w:rsid w:val="00C3334D"/>
    <w:rsid w:val="00C3344D"/>
    <w:rsid w:val="00C334CB"/>
    <w:rsid w:val="00C33849"/>
    <w:rsid w:val="00C33D4A"/>
    <w:rsid w:val="00C342F4"/>
    <w:rsid w:val="00C3448C"/>
    <w:rsid w:val="00C34817"/>
    <w:rsid w:val="00C34CB7"/>
    <w:rsid w:val="00C34DFD"/>
    <w:rsid w:val="00C34E10"/>
    <w:rsid w:val="00C34F2B"/>
    <w:rsid w:val="00C34F80"/>
    <w:rsid w:val="00C351FF"/>
    <w:rsid w:val="00C352A8"/>
    <w:rsid w:val="00C36463"/>
    <w:rsid w:val="00C3679C"/>
    <w:rsid w:val="00C36B6A"/>
    <w:rsid w:val="00C37E45"/>
    <w:rsid w:val="00C40670"/>
    <w:rsid w:val="00C40781"/>
    <w:rsid w:val="00C4095C"/>
    <w:rsid w:val="00C40A0B"/>
    <w:rsid w:val="00C40BB4"/>
    <w:rsid w:val="00C40EDA"/>
    <w:rsid w:val="00C40F90"/>
    <w:rsid w:val="00C418CC"/>
    <w:rsid w:val="00C42055"/>
    <w:rsid w:val="00C42A3C"/>
    <w:rsid w:val="00C42B9F"/>
    <w:rsid w:val="00C42D4D"/>
    <w:rsid w:val="00C43833"/>
    <w:rsid w:val="00C439E5"/>
    <w:rsid w:val="00C43B2D"/>
    <w:rsid w:val="00C43BD2"/>
    <w:rsid w:val="00C43C5A"/>
    <w:rsid w:val="00C44259"/>
    <w:rsid w:val="00C44486"/>
    <w:rsid w:val="00C447F5"/>
    <w:rsid w:val="00C44A30"/>
    <w:rsid w:val="00C44AAB"/>
    <w:rsid w:val="00C44B29"/>
    <w:rsid w:val="00C44B4F"/>
    <w:rsid w:val="00C44C92"/>
    <w:rsid w:val="00C457DE"/>
    <w:rsid w:val="00C46A8F"/>
    <w:rsid w:val="00C46DD1"/>
    <w:rsid w:val="00C47105"/>
    <w:rsid w:val="00C47381"/>
    <w:rsid w:val="00C475EA"/>
    <w:rsid w:val="00C47F91"/>
    <w:rsid w:val="00C47FB4"/>
    <w:rsid w:val="00C50ACC"/>
    <w:rsid w:val="00C50ED5"/>
    <w:rsid w:val="00C50EE7"/>
    <w:rsid w:val="00C50FE2"/>
    <w:rsid w:val="00C51076"/>
    <w:rsid w:val="00C511D2"/>
    <w:rsid w:val="00C515F5"/>
    <w:rsid w:val="00C51656"/>
    <w:rsid w:val="00C5220F"/>
    <w:rsid w:val="00C523C7"/>
    <w:rsid w:val="00C523DF"/>
    <w:rsid w:val="00C52577"/>
    <w:rsid w:val="00C52A66"/>
    <w:rsid w:val="00C52C81"/>
    <w:rsid w:val="00C52D9A"/>
    <w:rsid w:val="00C52FF8"/>
    <w:rsid w:val="00C533FB"/>
    <w:rsid w:val="00C535C0"/>
    <w:rsid w:val="00C53B0F"/>
    <w:rsid w:val="00C53E94"/>
    <w:rsid w:val="00C54054"/>
    <w:rsid w:val="00C54324"/>
    <w:rsid w:val="00C543B3"/>
    <w:rsid w:val="00C54498"/>
    <w:rsid w:val="00C54ADD"/>
    <w:rsid w:val="00C552B0"/>
    <w:rsid w:val="00C5534B"/>
    <w:rsid w:val="00C55E69"/>
    <w:rsid w:val="00C564AF"/>
    <w:rsid w:val="00C56877"/>
    <w:rsid w:val="00C56D51"/>
    <w:rsid w:val="00C57696"/>
    <w:rsid w:val="00C57DD1"/>
    <w:rsid w:val="00C61481"/>
    <w:rsid w:val="00C61630"/>
    <w:rsid w:val="00C617C6"/>
    <w:rsid w:val="00C62473"/>
    <w:rsid w:val="00C62817"/>
    <w:rsid w:val="00C628DB"/>
    <w:rsid w:val="00C62942"/>
    <w:rsid w:val="00C62C4F"/>
    <w:rsid w:val="00C62C55"/>
    <w:rsid w:val="00C62E7F"/>
    <w:rsid w:val="00C63261"/>
    <w:rsid w:val="00C6557C"/>
    <w:rsid w:val="00C65710"/>
    <w:rsid w:val="00C65AC0"/>
    <w:rsid w:val="00C6673A"/>
    <w:rsid w:val="00C66893"/>
    <w:rsid w:val="00C66FC1"/>
    <w:rsid w:val="00C67339"/>
    <w:rsid w:val="00C674A7"/>
    <w:rsid w:val="00C675B3"/>
    <w:rsid w:val="00C67CDC"/>
    <w:rsid w:val="00C67FF7"/>
    <w:rsid w:val="00C70AF0"/>
    <w:rsid w:val="00C72453"/>
    <w:rsid w:val="00C7284A"/>
    <w:rsid w:val="00C729C6"/>
    <w:rsid w:val="00C72A4D"/>
    <w:rsid w:val="00C72B95"/>
    <w:rsid w:val="00C739C9"/>
    <w:rsid w:val="00C739E1"/>
    <w:rsid w:val="00C7400B"/>
    <w:rsid w:val="00C740B8"/>
    <w:rsid w:val="00C7466F"/>
    <w:rsid w:val="00C7495B"/>
    <w:rsid w:val="00C74AC9"/>
    <w:rsid w:val="00C7505B"/>
    <w:rsid w:val="00C75DE5"/>
    <w:rsid w:val="00C76362"/>
    <w:rsid w:val="00C76994"/>
    <w:rsid w:val="00C76A07"/>
    <w:rsid w:val="00C76AB1"/>
    <w:rsid w:val="00C76FFE"/>
    <w:rsid w:val="00C77C86"/>
    <w:rsid w:val="00C77FFB"/>
    <w:rsid w:val="00C80158"/>
    <w:rsid w:val="00C80401"/>
    <w:rsid w:val="00C80550"/>
    <w:rsid w:val="00C80C80"/>
    <w:rsid w:val="00C81004"/>
    <w:rsid w:val="00C81190"/>
    <w:rsid w:val="00C815C7"/>
    <w:rsid w:val="00C81914"/>
    <w:rsid w:val="00C82214"/>
    <w:rsid w:val="00C82454"/>
    <w:rsid w:val="00C8317E"/>
    <w:rsid w:val="00C83264"/>
    <w:rsid w:val="00C838F0"/>
    <w:rsid w:val="00C8411C"/>
    <w:rsid w:val="00C84E1F"/>
    <w:rsid w:val="00C85888"/>
    <w:rsid w:val="00C85961"/>
    <w:rsid w:val="00C86431"/>
    <w:rsid w:val="00C86FB9"/>
    <w:rsid w:val="00C87786"/>
    <w:rsid w:val="00C87BAC"/>
    <w:rsid w:val="00C91048"/>
    <w:rsid w:val="00C9118C"/>
    <w:rsid w:val="00C9193D"/>
    <w:rsid w:val="00C920FE"/>
    <w:rsid w:val="00C92143"/>
    <w:rsid w:val="00C92FD5"/>
    <w:rsid w:val="00C93818"/>
    <w:rsid w:val="00C93C3C"/>
    <w:rsid w:val="00C93D43"/>
    <w:rsid w:val="00C94867"/>
    <w:rsid w:val="00C94961"/>
    <w:rsid w:val="00C94A08"/>
    <w:rsid w:val="00C94B26"/>
    <w:rsid w:val="00C951E1"/>
    <w:rsid w:val="00C9586F"/>
    <w:rsid w:val="00C95882"/>
    <w:rsid w:val="00C95A95"/>
    <w:rsid w:val="00C95D05"/>
    <w:rsid w:val="00C96C8E"/>
    <w:rsid w:val="00C96ED7"/>
    <w:rsid w:val="00C974DF"/>
    <w:rsid w:val="00C9760B"/>
    <w:rsid w:val="00C976CF"/>
    <w:rsid w:val="00C97DE7"/>
    <w:rsid w:val="00CA048E"/>
    <w:rsid w:val="00CA04CE"/>
    <w:rsid w:val="00CA104F"/>
    <w:rsid w:val="00CA1471"/>
    <w:rsid w:val="00CA159B"/>
    <w:rsid w:val="00CA18C4"/>
    <w:rsid w:val="00CA1985"/>
    <w:rsid w:val="00CA1D63"/>
    <w:rsid w:val="00CA1EBD"/>
    <w:rsid w:val="00CA24AC"/>
    <w:rsid w:val="00CA2504"/>
    <w:rsid w:val="00CA2F34"/>
    <w:rsid w:val="00CA3464"/>
    <w:rsid w:val="00CA351A"/>
    <w:rsid w:val="00CA3707"/>
    <w:rsid w:val="00CA3FCA"/>
    <w:rsid w:val="00CA43AF"/>
    <w:rsid w:val="00CA46BD"/>
    <w:rsid w:val="00CA4A8B"/>
    <w:rsid w:val="00CA51EA"/>
    <w:rsid w:val="00CA552A"/>
    <w:rsid w:val="00CA57F9"/>
    <w:rsid w:val="00CA5B13"/>
    <w:rsid w:val="00CA5D04"/>
    <w:rsid w:val="00CA61C2"/>
    <w:rsid w:val="00CA65E4"/>
    <w:rsid w:val="00CA6C01"/>
    <w:rsid w:val="00CA731E"/>
    <w:rsid w:val="00CB05DF"/>
    <w:rsid w:val="00CB05FC"/>
    <w:rsid w:val="00CB0883"/>
    <w:rsid w:val="00CB0893"/>
    <w:rsid w:val="00CB138C"/>
    <w:rsid w:val="00CB1ECD"/>
    <w:rsid w:val="00CB22AC"/>
    <w:rsid w:val="00CB2EC5"/>
    <w:rsid w:val="00CB3007"/>
    <w:rsid w:val="00CB3388"/>
    <w:rsid w:val="00CB36FA"/>
    <w:rsid w:val="00CB43A8"/>
    <w:rsid w:val="00CB46AB"/>
    <w:rsid w:val="00CB46F6"/>
    <w:rsid w:val="00CB6438"/>
    <w:rsid w:val="00CB684A"/>
    <w:rsid w:val="00CB6A16"/>
    <w:rsid w:val="00CB7C4D"/>
    <w:rsid w:val="00CC05EC"/>
    <w:rsid w:val="00CC06AB"/>
    <w:rsid w:val="00CC0B85"/>
    <w:rsid w:val="00CC12A8"/>
    <w:rsid w:val="00CC156C"/>
    <w:rsid w:val="00CC175A"/>
    <w:rsid w:val="00CC1817"/>
    <w:rsid w:val="00CC2BA4"/>
    <w:rsid w:val="00CC32B2"/>
    <w:rsid w:val="00CC3414"/>
    <w:rsid w:val="00CC37AE"/>
    <w:rsid w:val="00CC3D4F"/>
    <w:rsid w:val="00CC4B15"/>
    <w:rsid w:val="00CC4B38"/>
    <w:rsid w:val="00CC4CB1"/>
    <w:rsid w:val="00CC5373"/>
    <w:rsid w:val="00CC61E2"/>
    <w:rsid w:val="00CC650E"/>
    <w:rsid w:val="00CC655D"/>
    <w:rsid w:val="00CC6809"/>
    <w:rsid w:val="00CC6E22"/>
    <w:rsid w:val="00CC6EED"/>
    <w:rsid w:val="00CC70A4"/>
    <w:rsid w:val="00CC7268"/>
    <w:rsid w:val="00CC728C"/>
    <w:rsid w:val="00CD05D3"/>
    <w:rsid w:val="00CD0B1C"/>
    <w:rsid w:val="00CD0B63"/>
    <w:rsid w:val="00CD0E3E"/>
    <w:rsid w:val="00CD1E15"/>
    <w:rsid w:val="00CD2325"/>
    <w:rsid w:val="00CD2AAB"/>
    <w:rsid w:val="00CD2CB5"/>
    <w:rsid w:val="00CD2F3F"/>
    <w:rsid w:val="00CD34CA"/>
    <w:rsid w:val="00CD39AD"/>
    <w:rsid w:val="00CD3EF7"/>
    <w:rsid w:val="00CD4365"/>
    <w:rsid w:val="00CD4AFF"/>
    <w:rsid w:val="00CD501C"/>
    <w:rsid w:val="00CD5B38"/>
    <w:rsid w:val="00CD6653"/>
    <w:rsid w:val="00CD6671"/>
    <w:rsid w:val="00CD74FC"/>
    <w:rsid w:val="00CD768D"/>
    <w:rsid w:val="00CD7804"/>
    <w:rsid w:val="00CD7887"/>
    <w:rsid w:val="00CD7CEA"/>
    <w:rsid w:val="00CE1059"/>
    <w:rsid w:val="00CE1062"/>
    <w:rsid w:val="00CE1084"/>
    <w:rsid w:val="00CE10FF"/>
    <w:rsid w:val="00CE136B"/>
    <w:rsid w:val="00CE1D2B"/>
    <w:rsid w:val="00CE212D"/>
    <w:rsid w:val="00CE2378"/>
    <w:rsid w:val="00CE23C3"/>
    <w:rsid w:val="00CE424D"/>
    <w:rsid w:val="00CE447C"/>
    <w:rsid w:val="00CE5B93"/>
    <w:rsid w:val="00CE5F14"/>
    <w:rsid w:val="00CE62A5"/>
    <w:rsid w:val="00CE6920"/>
    <w:rsid w:val="00CE6CB1"/>
    <w:rsid w:val="00CE6DB6"/>
    <w:rsid w:val="00CE75C2"/>
    <w:rsid w:val="00CE778F"/>
    <w:rsid w:val="00CF009F"/>
    <w:rsid w:val="00CF0435"/>
    <w:rsid w:val="00CF0814"/>
    <w:rsid w:val="00CF085A"/>
    <w:rsid w:val="00CF0870"/>
    <w:rsid w:val="00CF0E60"/>
    <w:rsid w:val="00CF0FF3"/>
    <w:rsid w:val="00CF186B"/>
    <w:rsid w:val="00CF1AC6"/>
    <w:rsid w:val="00CF292C"/>
    <w:rsid w:val="00CF336F"/>
    <w:rsid w:val="00CF39F1"/>
    <w:rsid w:val="00CF3BA2"/>
    <w:rsid w:val="00CF47E2"/>
    <w:rsid w:val="00CF492C"/>
    <w:rsid w:val="00CF499A"/>
    <w:rsid w:val="00CF4CE2"/>
    <w:rsid w:val="00CF4F27"/>
    <w:rsid w:val="00CF56DE"/>
    <w:rsid w:val="00CF587F"/>
    <w:rsid w:val="00CF6179"/>
    <w:rsid w:val="00CF68A9"/>
    <w:rsid w:val="00CF6D28"/>
    <w:rsid w:val="00CF7AB4"/>
    <w:rsid w:val="00D001D6"/>
    <w:rsid w:val="00D0058B"/>
    <w:rsid w:val="00D00E63"/>
    <w:rsid w:val="00D0110F"/>
    <w:rsid w:val="00D02458"/>
    <w:rsid w:val="00D025F2"/>
    <w:rsid w:val="00D028B4"/>
    <w:rsid w:val="00D02FBA"/>
    <w:rsid w:val="00D03165"/>
    <w:rsid w:val="00D03977"/>
    <w:rsid w:val="00D03BFC"/>
    <w:rsid w:val="00D03EC6"/>
    <w:rsid w:val="00D04252"/>
    <w:rsid w:val="00D04C87"/>
    <w:rsid w:val="00D04CED"/>
    <w:rsid w:val="00D04CF4"/>
    <w:rsid w:val="00D04DE3"/>
    <w:rsid w:val="00D05784"/>
    <w:rsid w:val="00D0673B"/>
    <w:rsid w:val="00D06E7F"/>
    <w:rsid w:val="00D0757A"/>
    <w:rsid w:val="00D10224"/>
    <w:rsid w:val="00D1046E"/>
    <w:rsid w:val="00D10694"/>
    <w:rsid w:val="00D10AEC"/>
    <w:rsid w:val="00D113A2"/>
    <w:rsid w:val="00D1169A"/>
    <w:rsid w:val="00D118ED"/>
    <w:rsid w:val="00D124BB"/>
    <w:rsid w:val="00D129B6"/>
    <w:rsid w:val="00D12CD1"/>
    <w:rsid w:val="00D130D1"/>
    <w:rsid w:val="00D13421"/>
    <w:rsid w:val="00D1354D"/>
    <w:rsid w:val="00D137EF"/>
    <w:rsid w:val="00D13A4A"/>
    <w:rsid w:val="00D14068"/>
    <w:rsid w:val="00D14072"/>
    <w:rsid w:val="00D141C7"/>
    <w:rsid w:val="00D141E2"/>
    <w:rsid w:val="00D14AF4"/>
    <w:rsid w:val="00D14C78"/>
    <w:rsid w:val="00D14EBE"/>
    <w:rsid w:val="00D14F4F"/>
    <w:rsid w:val="00D1509C"/>
    <w:rsid w:val="00D15934"/>
    <w:rsid w:val="00D15B7C"/>
    <w:rsid w:val="00D1634E"/>
    <w:rsid w:val="00D16B52"/>
    <w:rsid w:val="00D170D6"/>
    <w:rsid w:val="00D1712D"/>
    <w:rsid w:val="00D179D1"/>
    <w:rsid w:val="00D201AB"/>
    <w:rsid w:val="00D209A7"/>
    <w:rsid w:val="00D20F24"/>
    <w:rsid w:val="00D217E8"/>
    <w:rsid w:val="00D2189A"/>
    <w:rsid w:val="00D2189D"/>
    <w:rsid w:val="00D21F53"/>
    <w:rsid w:val="00D220CD"/>
    <w:rsid w:val="00D226EF"/>
    <w:rsid w:val="00D22736"/>
    <w:rsid w:val="00D22831"/>
    <w:rsid w:val="00D22850"/>
    <w:rsid w:val="00D23AE9"/>
    <w:rsid w:val="00D23CC8"/>
    <w:rsid w:val="00D23D47"/>
    <w:rsid w:val="00D23EE6"/>
    <w:rsid w:val="00D2484F"/>
    <w:rsid w:val="00D24C00"/>
    <w:rsid w:val="00D250AC"/>
    <w:rsid w:val="00D250C7"/>
    <w:rsid w:val="00D25BDC"/>
    <w:rsid w:val="00D25C24"/>
    <w:rsid w:val="00D26474"/>
    <w:rsid w:val="00D265DD"/>
    <w:rsid w:val="00D267EA"/>
    <w:rsid w:val="00D26C5A"/>
    <w:rsid w:val="00D27117"/>
    <w:rsid w:val="00D27481"/>
    <w:rsid w:val="00D27D7C"/>
    <w:rsid w:val="00D27F13"/>
    <w:rsid w:val="00D307F2"/>
    <w:rsid w:val="00D30A5D"/>
    <w:rsid w:val="00D30AF4"/>
    <w:rsid w:val="00D30F32"/>
    <w:rsid w:val="00D3141D"/>
    <w:rsid w:val="00D32987"/>
    <w:rsid w:val="00D32DAB"/>
    <w:rsid w:val="00D33657"/>
    <w:rsid w:val="00D341F9"/>
    <w:rsid w:val="00D3434A"/>
    <w:rsid w:val="00D34530"/>
    <w:rsid w:val="00D3476C"/>
    <w:rsid w:val="00D347D3"/>
    <w:rsid w:val="00D35058"/>
    <w:rsid w:val="00D35493"/>
    <w:rsid w:val="00D35811"/>
    <w:rsid w:val="00D36DFB"/>
    <w:rsid w:val="00D36FAF"/>
    <w:rsid w:val="00D37291"/>
    <w:rsid w:val="00D378C8"/>
    <w:rsid w:val="00D379FD"/>
    <w:rsid w:val="00D37A78"/>
    <w:rsid w:val="00D37C41"/>
    <w:rsid w:val="00D40316"/>
    <w:rsid w:val="00D404DD"/>
    <w:rsid w:val="00D405E0"/>
    <w:rsid w:val="00D411CC"/>
    <w:rsid w:val="00D41491"/>
    <w:rsid w:val="00D41976"/>
    <w:rsid w:val="00D424B2"/>
    <w:rsid w:val="00D424EB"/>
    <w:rsid w:val="00D43338"/>
    <w:rsid w:val="00D43A8F"/>
    <w:rsid w:val="00D44019"/>
    <w:rsid w:val="00D446DE"/>
    <w:rsid w:val="00D4493E"/>
    <w:rsid w:val="00D44AF6"/>
    <w:rsid w:val="00D44B4B"/>
    <w:rsid w:val="00D45896"/>
    <w:rsid w:val="00D45A02"/>
    <w:rsid w:val="00D45AD8"/>
    <w:rsid w:val="00D46066"/>
    <w:rsid w:val="00D468CA"/>
    <w:rsid w:val="00D4712F"/>
    <w:rsid w:val="00D47E6C"/>
    <w:rsid w:val="00D5058D"/>
    <w:rsid w:val="00D50DD3"/>
    <w:rsid w:val="00D50FD6"/>
    <w:rsid w:val="00D516C0"/>
    <w:rsid w:val="00D5189D"/>
    <w:rsid w:val="00D51C88"/>
    <w:rsid w:val="00D51F4E"/>
    <w:rsid w:val="00D5333F"/>
    <w:rsid w:val="00D53C77"/>
    <w:rsid w:val="00D54333"/>
    <w:rsid w:val="00D5439C"/>
    <w:rsid w:val="00D54648"/>
    <w:rsid w:val="00D54654"/>
    <w:rsid w:val="00D55BFC"/>
    <w:rsid w:val="00D5643F"/>
    <w:rsid w:val="00D568CC"/>
    <w:rsid w:val="00D573D5"/>
    <w:rsid w:val="00D57474"/>
    <w:rsid w:val="00D5750B"/>
    <w:rsid w:val="00D57E90"/>
    <w:rsid w:val="00D60571"/>
    <w:rsid w:val="00D60729"/>
    <w:rsid w:val="00D60D98"/>
    <w:rsid w:val="00D60DE3"/>
    <w:rsid w:val="00D61649"/>
    <w:rsid w:val="00D61878"/>
    <w:rsid w:val="00D6262A"/>
    <w:rsid w:val="00D62D27"/>
    <w:rsid w:val="00D62D82"/>
    <w:rsid w:val="00D62E4C"/>
    <w:rsid w:val="00D637FA"/>
    <w:rsid w:val="00D63B68"/>
    <w:rsid w:val="00D642B7"/>
    <w:rsid w:val="00D64A29"/>
    <w:rsid w:val="00D651BC"/>
    <w:rsid w:val="00D657A2"/>
    <w:rsid w:val="00D678DF"/>
    <w:rsid w:val="00D67BA2"/>
    <w:rsid w:val="00D67CA0"/>
    <w:rsid w:val="00D67F8C"/>
    <w:rsid w:val="00D7029C"/>
    <w:rsid w:val="00D705CC"/>
    <w:rsid w:val="00D70B1D"/>
    <w:rsid w:val="00D70CBE"/>
    <w:rsid w:val="00D71B3A"/>
    <w:rsid w:val="00D724B7"/>
    <w:rsid w:val="00D72CEF"/>
    <w:rsid w:val="00D73055"/>
    <w:rsid w:val="00D736BC"/>
    <w:rsid w:val="00D73A6E"/>
    <w:rsid w:val="00D73B68"/>
    <w:rsid w:val="00D73E71"/>
    <w:rsid w:val="00D73F07"/>
    <w:rsid w:val="00D741C8"/>
    <w:rsid w:val="00D74659"/>
    <w:rsid w:val="00D747BF"/>
    <w:rsid w:val="00D75AFF"/>
    <w:rsid w:val="00D75BF0"/>
    <w:rsid w:val="00D75E15"/>
    <w:rsid w:val="00D761AB"/>
    <w:rsid w:val="00D76549"/>
    <w:rsid w:val="00D77A11"/>
    <w:rsid w:val="00D77AC7"/>
    <w:rsid w:val="00D77E42"/>
    <w:rsid w:val="00D77FF4"/>
    <w:rsid w:val="00D807E5"/>
    <w:rsid w:val="00D815A7"/>
    <w:rsid w:val="00D82108"/>
    <w:rsid w:val="00D827AF"/>
    <w:rsid w:val="00D851A5"/>
    <w:rsid w:val="00D8527D"/>
    <w:rsid w:val="00D853DC"/>
    <w:rsid w:val="00D8586A"/>
    <w:rsid w:val="00D85C34"/>
    <w:rsid w:val="00D86070"/>
    <w:rsid w:val="00D864E2"/>
    <w:rsid w:val="00D86D4C"/>
    <w:rsid w:val="00D86EA4"/>
    <w:rsid w:val="00D86FA8"/>
    <w:rsid w:val="00D877B4"/>
    <w:rsid w:val="00D87FB8"/>
    <w:rsid w:val="00D900D3"/>
    <w:rsid w:val="00D901B1"/>
    <w:rsid w:val="00D908FB"/>
    <w:rsid w:val="00D90909"/>
    <w:rsid w:val="00D90C49"/>
    <w:rsid w:val="00D916FF"/>
    <w:rsid w:val="00D91D21"/>
    <w:rsid w:val="00D91FCA"/>
    <w:rsid w:val="00D92875"/>
    <w:rsid w:val="00D92963"/>
    <w:rsid w:val="00D92B3F"/>
    <w:rsid w:val="00D92B93"/>
    <w:rsid w:val="00D93E98"/>
    <w:rsid w:val="00D93F4E"/>
    <w:rsid w:val="00D94343"/>
    <w:rsid w:val="00D945C5"/>
    <w:rsid w:val="00D94A45"/>
    <w:rsid w:val="00D94D28"/>
    <w:rsid w:val="00D9557D"/>
    <w:rsid w:val="00D96226"/>
    <w:rsid w:val="00D96710"/>
    <w:rsid w:val="00D96D85"/>
    <w:rsid w:val="00D97629"/>
    <w:rsid w:val="00D97DBB"/>
    <w:rsid w:val="00DA0BD9"/>
    <w:rsid w:val="00DA1056"/>
    <w:rsid w:val="00DA1123"/>
    <w:rsid w:val="00DA17F9"/>
    <w:rsid w:val="00DA1AE3"/>
    <w:rsid w:val="00DA1B81"/>
    <w:rsid w:val="00DA2915"/>
    <w:rsid w:val="00DA31B9"/>
    <w:rsid w:val="00DA333B"/>
    <w:rsid w:val="00DA378B"/>
    <w:rsid w:val="00DA3D00"/>
    <w:rsid w:val="00DA3F79"/>
    <w:rsid w:val="00DA4631"/>
    <w:rsid w:val="00DA4827"/>
    <w:rsid w:val="00DA4868"/>
    <w:rsid w:val="00DA49D7"/>
    <w:rsid w:val="00DA4CAE"/>
    <w:rsid w:val="00DA4D44"/>
    <w:rsid w:val="00DA5162"/>
    <w:rsid w:val="00DA547C"/>
    <w:rsid w:val="00DA57D9"/>
    <w:rsid w:val="00DA5E2F"/>
    <w:rsid w:val="00DA5E39"/>
    <w:rsid w:val="00DA658C"/>
    <w:rsid w:val="00DA673A"/>
    <w:rsid w:val="00DA7127"/>
    <w:rsid w:val="00DA7B76"/>
    <w:rsid w:val="00DA7F96"/>
    <w:rsid w:val="00DB04AE"/>
    <w:rsid w:val="00DB08C3"/>
    <w:rsid w:val="00DB1F51"/>
    <w:rsid w:val="00DB3812"/>
    <w:rsid w:val="00DB397A"/>
    <w:rsid w:val="00DB4374"/>
    <w:rsid w:val="00DB461B"/>
    <w:rsid w:val="00DB47BD"/>
    <w:rsid w:val="00DB4A53"/>
    <w:rsid w:val="00DB4BC9"/>
    <w:rsid w:val="00DB4C09"/>
    <w:rsid w:val="00DB4FCE"/>
    <w:rsid w:val="00DB50AE"/>
    <w:rsid w:val="00DB58C3"/>
    <w:rsid w:val="00DB5BE4"/>
    <w:rsid w:val="00DB5C61"/>
    <w:rsid w:val="00DB60CB"/>
    <w:rsid w:val="00DB6283"/>
    <w:rsid w:val="00DB6AB8"/>
    <w:rsid w:val="00DB6F56"/>
    <w:rsid w:val="00DB7038"/>
    <w:rsid w:val="00DB7CA9"/>
    <w:rsid w:val="00DC0029"/>
    <w:rsid w:val="00DC072D"/>
    <w:rsid w:val="00DC141B"/>
    <w:rsid w:val="00DC236B"/>
    <w:rsid w:val="00DC2728"/>
    <w:rsid w:val="00DC313E"/>
    <w:rsid w:val="00DC3465"/>
    <w:rsid w:val="00DC355E"/>
    <w:rsid w:val="00DC3D0F"/>
    <w:rsid w:val="00DC3E7D"/>
    <w:rsid w:val="00DC41CC"/>
    <w:rsid w:val="00DC4F0A"/>
    <w:rsid w:val="00DC5886"/>
    <w:rsid w:val="00DC5BCF"/>
    <w:rsid w:val="00DC6078"/>
    <w:rsid w:val="00DC62C5"/>
    <w:rsid w:val="00DC6C2B"/>
    <w:rsid w:val="00DC7083"/>
    <w:rsid w:val="00DC74A9"/>
    <w:rsid w:val="00DC7597"/>
    <w:rsid w:val="00DC7DA8"/>
    <w:rsid w:val="00DC7F60"/>
    <w:rsid w:val="00DC7F70"/>
    <w:rsid w:val="00DD0BE5"/>
    <w:rsid w:val="00DD1028"/>
    <w:rsid w:val="00DD1509"/>
    <w:rsid w:val="00DD16EC"/>
    <w:rsid w:val="00DD1818"/>
    <w:rsid w:val="00DD1BB1"/>
    <w:rsid w:val="00DD1EE8"/>
    <w:rsid w:val="00DD22CC"/>
    <w:rsid w:val="00DD287B"/>
    <w:rsid w:val="00DD2C54"/>
    <w:rsid w:val="00DD433F"/>
    <w:rsid w:val="00DD48F9"/>
    <w:rsid w:val="00DD4A04"/>
    <w:rsid w:val="00DD4D4D"/>
    <w:rsid w:val="00DD54D7"/>
    <w:rsid w:val="00DD5704"/>
    <w:rsid w:val="00DD5A2D"/>
    <w:rsid w:val="00DD5A3E"/>
    <w:rsid w:val="00DD5F00"/>
    <w:rsid w:val="00DD644A"/>
    <w:rsid w:val="00DD6912"/>
    <w:rsid w:val="00DD6A45"/>
    <w:rsid w:val="00DD6F4A"/>
    <w:rsid w:val="00DD73F5"/>
    <w:rsid w:val="00DD7464"/>
    <w:rsid w:val="00DD7536"/>
    <w:rsid w:val="00DD763C"/>
    <w:rsid w:val="00DD7CA7"/>
    <w:rsid w:val="00DE04A6"/>
    <w:rsid w:val="00DE086A"/>
    <w:rsid w:val="00DE15FF"/>
    <w:rsid w:val="00DE1757"/>
    <w:rsid w:val="00DE186E"/>
    <w:rsid w:val="00DE21D9"/>
    <w:rsid w:val="00DE23FD"/>
    <w:rsid w:val="00DE27C5"/>
    <w:rsid w:val="00DE2AFA"/>
    <w:rsid w:val="00DE30E8"/>
    <w:rsid w:val="00DE3739"/>
    <w:rsid w:val="00DE391D"/>
    <w:rsid w:val="00DE39AB"/>
    <w:rsid w:val="00DE3B96"/>
    <w:rsid w:val="00DE407C"/>
    <w:rsid w:val="00DE40D0"/>
    <w:rsid w:val="00DE44DC"/>
    <w:rsid w:val="00DE49FB"/>
    <w:rsid w:val="00DE4C2C"/>
    <w:rsid w:val="00DE4EC2"/>
    <w:rsid w:val="00DE53D9"/>
    <w:rsid w:val="00DE55E2"/>
    <w:rsid w:val="00DE59E3"/>
    <w:rsid w:val="00DE5A4E"/>
    <w:rsid w:val="00DE699A"/>
    <w:rsid w:val="00DE77E5"/>
    <w:rsid w:val="00DF03DD"/>
    <w:rsid w:val="00DF0695"/>
    <w:rsid w:val="00DF095E"/>
    <w:rsid w:val="00DF0B1D"/>
    <w:rsid w:val="00DF0D1E"/>
    <w:rsid w:val="00DF15F2"/>
    <w:rsid w:val="00DF2BB7"/>
    <w:rsid w:val="00DF3013"/>
    <w:rsid w:val="00DF3155"/>
    <w:rsid w:val="00DF37AC"/>
    <w:rsid w:val="00DF3C02"/>
    <w:rsid w:val="00DF4057"/>
    <w:rsid w:val="00DF47B7"/>
    <w:rsid w:val="00DF4F9B"/>
    <w:rsid w:val="00DF5604"/>
    <w:rsid w:val="00DF5A10"/>
    <w:rsid w:val="00DF5B2E"/>
    <w:rsid w:val="00DF6080"/>
    <w:rsid w:val="00DF62E2"/>
    <w:rsid w:val="00DF6A68"/>
    <w:rsid w:val="00DF6E8C"/>
    <w:rsid w:val="00DF7720"/>
    <w:rsid w:val="00DF78A6"/>
    <w:rsid w:val="00DF7CBB"/>
    <w:rsid w:val="00DF7F92"/>
    <w:rsid w:val="00DF7FBA"/>
    <w:rsid w:val="00E001A7"/>
    <w:rsid w:val="00E01004"/>
    <w:rsid w:val="00E01ACA"/>
    <w:rsid w:val="00E0211D"/>
    <w:rsid w:val="00E0257A"/>
    <w:rsid w:val="00E02EC8"/>
    <w:rsid w:val="00E030E3"/>
    <w:rsid w:val="00E03847"/>
    <w:rsid w:val="00E04331"/>
    <w:rsid w:val="00E04509"/>
    <w:rsid w:val="00E046E6"/>
    <w:rsid w:val="00E05000"/>
    <w:rsid w:val="00E0512F"/>
    <w:rsid w:val="00E056D4"/>
    <w:rsid w:val="00E06477"/>
    <w:rsid w:val="00E06626"/>
    <w:rsid w:val="00E06AB8"/>
    <w:rsid w:val="00E06CC3"/>
    <w:rsid w:val="00E06F66"/>
    <w:rsid w:val="00E0780C"/>
    <w:rsid w:val="00E07890"/>
    <w:rsid w:val="00E10001"/>
    <w:rsid w:val="00E10354"/>
    <w:rsid w:val="00E105D7"/>
    <w:rsid w:val="00E105E7"/>
    <w:rsid w:val="00E106A4"/>
    <w:rsid w:val="00E1070D"/>
    <w:rsid w:val="00E10FA8"/>
    <w:rsid w:val="00E110BD"/>
    <w:rsid w:val="00E1193D"/>
    <w:rsid w:val="00E11BC6"/>
    <w:rsid w:val="00E1248D"/>
    <w:rsid w:val="00E127E2"/>
    <w:rsid w:val="00E12D13"/>
    <w:rsid w:val="00E12F9D"/>
    <w:rsid w:val="00E13140"/>
    <w:rsid w:val="00E133F1"/>
    <w:rsid w:val="00E134C0"/>
    <w:rsid w:val="00E134F0"/>
    <w:rsid w:val="00E13CB5"/>
    <w:rsid w:val="00E13EBB"/>
    <w:rsid w:val="00E15110"/>
    <w:rsid w:val="00E15134"/>
    <w:rsid w:val="00E1543C"/>
    <w:rsid w:val="00E1566C"/>
    <w:rsid w:val="00E15A9C"/>
    <w:rsid w:val="00E15DA5"/>
    <w:rsid w:val="00E15E37"/>
    <w:rsid w:val="00E15EDA"/>
    <w:rsid w:val="00E1640C"/>
    <w:rsid w:val="00E1707A"/>
    <w:rsid w:val="00E17DDF"/>
    <w:rsid w:val="00E2008B"/>
    <w:rsid w:val="00E20170"/>
    <w:rsid w:val="00E20245"/>
    <w:rsid w:val="00E2035D"/>
    <w:rsid w:val="00E20408"/>
    <w:rsid w:val="00E205D4"/>
    <w:rsid w:val="00E20808"/>
    <w:rsid w:val="00E20A01"/>
    <w:rsid w:val="00E20B6A"/>
    <w:rsid w:val="00E20CDF"/>
    <w:rsid w:val="00E214BE"/>
    <w:rsid w:val="00E21C57"/>
    <w:rsid w:val="00E21E49"/>
    <w:rsid w:val="00E220EA"/>
    <w:rsid w:val="00E23015"/>
    <w:rsid w:val="00E23047"/>
    <w:rsid w:val="00E23868"/>
    <w:rsid w:val="00E23A1B"/>
    <w:rsid w:val="00E23DFA"/>
    <w:rsid w:val="00E2449B"/>
    <w:rsid w:val="00E24644"/>
    <w:rsid w:val="00E2480D"/>
    <w:rsid w:val="00E24836"/>
    <w:rsid w:val="00E24B5F"/>
    <w:rsid w:val="00E25087"/>
    <w:rsid w:val="00E251DD"/>
    <w:rsid w:val="00E264CE"/>
    <w:rsid w:val="00E26835"/>
    <w:rsid w:val="00E2746F"/>
    <w:rsid w:val="00E27BFF"/>
    <w:rsid w:val="00E3034D"/>
    <w:rsid w:val="00E303D6"/>
    <w:rsid w:val="00E3109B"/>
    <w:rsid w:val="00E31A81"/>
    <w:rsid w:val="00E320B2"/>
    <w:rsid w:val="00E32227"/>
    <w:rsid w:val="00E32BD8"/>
    <w:rsid w:val="00E33B1D"/>
    <w:rsid w:val="00E33B68"/>
    <w:rsid w:val="00E3424F"/>
    <w:rsid w:val="00E349D6"/>
    <w:rsid w:val="00E34C57"/>
    <w:rsid w:val="00E35185"/>
    <w:rsid w:val="00E3556C"/>
    <w:rsid w:val="00E35CB5"/>
    <w:rsid w:val="00E35EC8"/>
    <w:rsid w:val="00E36419"/>
    <w:rsid w:val="00E36EB5"/>
    <w:rsid w:val="00E37758"/>
    <w:rsid w:val="00E4036E"/>
    <w:rsid w:val="00E40EBE"/>
    <w:rsid w:val="00E41368"/>
    <w:rsid w:val="00E415AF"/>
    <w:rsid w:val="00E41A1B"/>
    <w:rsid w:val="00E440DD"/>
    <w:rsid w:val="00E4499F"/>
    <w:rsid w:val="00E449BB"/>
    <w:rsid w:val="00E44F14"/>
    <w:rsid w:val="00E45498"/>
    <w:rsid w:val="00E4597A"/>
    <w:rsid w:val="00E459EF"/>
    <w:rsid w:val="00E45ACD"/>
    <w:rsid w:val="00E45B79"/>
    <w:rsid w:val="00E465A4"/>
    <w:rsid w:val="00E4698F"/>
    <w:rsid w:val="00E46DFB"/>
    <w:rsid w:val="00E47736"/>
    <w:rsid w:val="00E477BE"/>
    <w:rsid w:val="00E50A9B"/>
    <w:rsid w:val="00E50F64"/>
    <w:rsid w:val="00E5189C"/>
    <w:rsid w:val="00E518F1"/>
    <w:rsid w:val="00E51F4A"/>
    <w:rsid w:val="00E53E92"/>
    <w:rsid w:val="00E543F4"/>
    <w:rsid w:val="00E54A6E"/>
    <w:rsid w:val="00E54C7B"/>
    <w:rsid w:val="00E54D39"/>
    <w:rsid w:val="00E54EA4"/>
    <w:rsid w:val="00E54EBA"/>
    <w:rsid w:val="00E552B2"/>
    <w:rsid w:val="00E55360"/>
    <w:rsid w:val="00E557D5"/>
    <w:rsid w:val="00E5585C"/>
    <w:rsid w:val="00E5589C"/>
    <w:rsid w:val="00E55BFF"/>
    <w:rsid w:val="00E56DFB"/>
    <w:rsid w:val="00E571D1"/>
    <w:rsid w:val="00E572D3"/>
    <w:rsid w:val="00E57668"/>
    <w:rsid w:val="00E60E89"/>
    <w:rsid w:val="00E6296E"/>
    <w:rsid w:val="00E63BC3"/>
    <w:rsid w:val="00E63C91"/>
    <w:rsid w:val="00E63D41"/>
    <w:rsid w:val="00E6409B"/>
    <w:rsid w:val="00E64CC0"/>
    <w:rsid w:val="00E64E29"/>
    <w:rsid w:val="00E65258"/>
    <w:rsid w:val="00E65A56"/>
    <w:rsid w:val="00E65D24"/>
    <w:rsid w:val="00E65FA1"/>
    <w:rsid w:val="00E66C76"/>
    <w:rsid w:val="00E674F6"/>
    <w:rsid w:val="00E67798"/>
    <w:rsid w:val="00E678BA"/>
    <w:rsid w:val="00E678BB"/>
    <w:rsid w:val="00E711D0"/>
    <w:rsid w:val="00E711EA"/>
    <w:rsid w:val="00E71291"/>
    <w:rsid w:val="00E71D6E"/>
    <w:rsid w:val="00E72046"/>
    <w:rsid w:val="00E7221D"/>
    <w:rsid w:val="00E724DD"/>
    <w:rsid w:val="00E72E84"/>
    <w:rsid w:val="00E731DA"/>
    <w:rsid w:val="00E73425"/>
    <w:rsid w:val="00E73619"/>
    <w:rsid w:val="00E740DE"/>
    <w:rsid w:val="00E740E9"/>
    <w:rsid w:val="00E74D3A"/>
    <w:rsid w:val="00E751DA"/>
    <w:rsid w:val="00E752D7"/>
    <w:rsid w:val="00E76C16"/>
    <w:rsid w:val="00E77023"/>
    <w:rsid w:val="00E778E4"/>
    <w:rsid w:val="00E77B2B"/>
    <w:rsid w:val="00E809FC"/>
    <w:rsid w:val="00E819EF"/>
    <w:rsid w:val="00E81A86"/>
    <w:rsid w:val="00E83009"/>
    <w:rsid w:val="00E83F2F"/>
    <w:rsid w:val="00E8420D"/>
    <w:rsid w:val="00E84386"/>
    <w:rsid w:val="00E84910"/>
    <w:rsid w:val="00E85024"/>
    <w:rsid w:val="00E86100"/>
    <w:rsid w:val="00E862F8"/>
    <w:rsid w:val="00E87345"/>
    <w:rsid w:val="00E87376"/>
    <w:rsid w:val="00E873CA"/>
    <w:rsid w:val="00E87BFD"/>
    <w:rsid w:val="00E9151E"/>
    <w:rsid w:val="00E91546"/>
    <w:rsid w:val="00E91D59"/>
    <w:rsid w:val="00E91EB8"/>
    <w:rsid w:val="00E91EE7"/>
    <w:rsid w:val="00E925D5"/>
    <w:rsid w:val="00E93446"/>
    <w:rsid w:val="00E93D19"/>
    <w:rsid w:val="00E94F8E"/>
    <w:rsid w:val="00E95E22"/>
    <w:rsid w:val="00E95FAA"/>
    <w:rsid w:val="00E9607E"/>
    <w:rsid w:val="00E96113"/>
    <w:rsid w:val="00E96212"/>
    <w:rsid w:val="00E96429"/>
    <w:rsid w:val="00E9685D"/>
    <w:rsid w:val="00E9738D"/>
    <w:rsid w:val="00E9750B"/>
    <w:rsid w:val="00E97851"/>
    <w:rsid w:val="00E97ECF"/>
    <w:rsid w:val="00EA007A"/>
    <w:rsid w:val="00EA0115"/>
    <w:rsid w:val="00EA01BD"/>
    <w:rsid w:val="00EA028F"/>
    <w:rsid w:val="00EA02E2"/>
    <w:rsid w:val="00EA0401"/>
    <w:rsid w:val="00EA04A0"/>
    <w:rsid w:val="00EA074F"/>
    <w:rsid w:val="00EA0761"/>
    <w:rsid w:val="00EA08A5"/>
    <w:rsid w:val="00EA09B5"/>
    <w:rsid w:val="00EA09FA"/>
    <w:rsid w:val="00EA0E5A"/>
    <w:rsid w:val="00EA11CE"/>
    <w:rsid w:val="00EA134D"/>
    <w:rsid w:val="00EA1ACE"/>
    <w:rsid w:val="00EA1C73"/>
    <w:rsid w:val="00EA1E5C"/>
    <w:rsid w:val="00EA205E"/>
    <w:rsid w:val="00EA243F"/>
    <w:rsid w:val="00EA2CC5"/>
    <w:rsid w:val="00EA2E0B"/>
    <w:rsid w:val="00EA366E"/>
    <w:rsid w:val="00EA3813"/>
    <w:rsid w:val="00EA3991"/>
    <w:rsid w:val="00EA3A7D"/>
    <w:rsid w:val="00EA40C2"/>
    <w:rsid w:val="00EA4A05"/>
    <w:rsid w:val="00EA5151"/>
    <w:rsid w:val="00EA51AD"/>
    <w:rsid w:val="00EA5420"/>
    <w:rsid w:val="00EA6224"/>
    <w:rsid w:val="00EA6534"/>
    <w:rsid w:val="00EA6740"/>
    <w:rsid w:val="00EA7ED2"/>
    <w:rsid w:val="00EB0110"/>
    <w:rsid w:val="00EB02AB"/>
    <w:rsid w:val="00EB05B3"/>
    <w:rsid w:val="00EB1363"/>
    <w:rsid w:val="00EB197A"/>
    <w:rsid w:val="00EB1FEA"/>
    <w:rsid w:val="00EB2406"/>
    <w:rsid w:val="00EB2426"/>
    <w:rsid w:val="00EB2DAF"/>
    <w:rsid w:val="00EB3309"/>
    <w:rsid w:val="00EB34F5"/>
    <w:rsid w:val="00EB39D2"/>
    <w:rsid w:val="00EB3D7C"/>
    <w:rsid w:val="00EB52C8"/>
    <w:rsid w:val="00EB53BD"/>
    <w:rsid w:val="00EB5B73"/>
    <w:rsid w:val="00EB6268"/>
    <w:rsid w:val="00EB63DE"/>
    <w:rsid w:val="00EB6DD6"/>
    <w:rsid w:val="00EB72D0"/>
    <w:rsid w:val="00EC0EC0"/>
    <w:rsid w:val="00EC0F86"/>
    <w:rsid w:val="00EC1BB3"/>
    <w:rsid w:val="00EC285E"/>
    <w:rsid w:val="00EC2BB1"/>
    <w:rsid w:val="00EC3057"/>
    <w:rsid w:val="00EC32F1"/>
    <w:rsid w:val="00EC338F"/>
    <w:rsid w:val="00EC3C00"/>
    <w:rsid w:val="00EC3D10"/>
    <w:rsid w:val="00EC44D1"/>
    <w:rsid w:val="00EC46F3"/>
    <w:rsid w:val="00EC5821"/>
    <w:rsid w:val="00EC6029"/>
    <w:rsid w:val="00EC6298"/>
    <w:rsid w:val="00EC6A63"/>
    <w:rsid w:val="00EC6D86"/>
    <w:rsid w:val="00EC7C2B"/>
    <w:rsid w:val="00EC7DAA"/>
    <w:rsid w:val="00EC7DFD"/>
    <w:rsid w:val="00EC7FA8"/>
    <w:rsid w:val="00ED060A"/>
    <w:rsid w:val="00ED0844"/>
    <w:rsid w:val="00ED0887"/>
    <w:rsid w:val="00ED1772"/>
    <w:rsid w:val="00ED1E13"/>
    <w:rsid w:val="00ED2119"/>
    <w:rsid w:val="00ED2487"/>
    <w:rsid w:val="00ED2A4A"/>
    <w:rsid w:val="00ED2A9A"/>
    <w:rsid w:val="00ED329C"/>
    <w:rsid w:val="00ED37A2"/>
    <w:rsid w:val="00ED3FFB"/>
    <w:rsid w:val="00ED4AB7"/>
    <w:rsid w:val="00ED4B8D"/>
    <w:rsid w:val="00ED4BBE"/>
    <w:rsid w:val="00ED4C13"/>
    <w:rsid w:val="00ED4C1E"/>
    <w:rsid w:val="00ED51B2"/>
    <w:rsid w:val="00ED5AD0"/>
    <w:rsid w:val="00ED5AE8"/>
    <w:rsid w:val="00ED5D84"/>
    <w:rsid w:val="00ED6166"/>
    <w:rsid w:val="00ED6283"/>
    <w:rsid w:val="00ED6AD0"/>
    <w:rsid w:val="00ED6D40"/>
    <w:rsid w:val="00ED7209"/>
    <w:rsid w:val="00ED7453"/>
    <w:rsid w:val="00ED74CC"/>
    <w:rsid w:val="00ED7E90"/>
    <w:rsid w:val="00EE03FC"/>
    <w:rsid w:val="00EE050D"/>
    <w:rsid w:val="00EE0679"/>
    <w:rsid w:val="00EE0745"/>
    <w:rsid w:val="00EE0B42"/>
    <w:rsid w:val="00EE157D"/>
    <w:rsid w:val="00EE166F"/>
    <w:rsid w:val="00EE171A"/>
    <w:rsid w:val="00EE1C40"/>
    <w:rsid w:val="00EE2636"/>
    <w:rsid w:val="00EE27D8"/>
    <w:rsid w:val="00EE2885"/>
    <w:rsid w:val="00EE41C5"/>
    <w:rsid w:val="00EE48AB"/>
    <w:rsid w:val="00EE495B"/>
    <w:rsid w:val="00EE4F64"/>
    <w:rsid w:val="00EE52A0"/>
    <w:rsid w:val="00EE52C2"/>
    <w:rsid w:val="00EE6395"/>
    <w:rsid w:val="00EE68A6"/>
    <w:rsid w:val="00EE6D52"/>
    <w:rsid w:val="00EE6DE3"/>
    <w:rsid w:val="00EE7010"/>
    <w:rsid w:val="00EE735D"/>
    <w:rsid w:val="00EE75F1"/>
    <w:rsid w:val="00EE787B"/>
    <w:rsid w:val="00EE7932"/>
    <w:rsid w:val="00EE7998"/>
    <w:rsid w:val="00EF07A6"/>
    <w:rsid w:val="00EF0D20"/>
    <w:rsid w:val="00EF1B31"/>
    <w:rsid w:val="00EF1D5C"/>
    <w:rsid w:val="00EF21F2"/>
    <w:rsid w:val="00EF338F"/>
    <w:rsid w:val="00EF3841"/>
    <w:rsid w:val="00EF3F5C"/>
    <w:rsid w:val="00EF4674"/>
    <w:rsid w:val="00EF4904"/>
    <w:rsid w:val="00EF5149"/>
    <w:rsid w:val="00EF516F"/>
    <w:rsid w:val="00EF53F4"/>
    <w:rsid w:val="00EF5662"/>
    <w:rsid w:val="00EF579C"/>
    <w:rsid w:val="00EF58B0"/>
    <w:rsid w:val="00EF6322"/>
    <w:rsid w:val="00EF6961"/>
    <w:rsid w:val="00EF6B50"/>
    <w:rsid w:val="00EF6E21"/>
    <w:rsid w:val="00EF7444"/>
    <w:rsid w:val="00EF768E"/>
    <w:rsid w:val="00EF793F"/>
    <w:rsid w:val="00EF7BB7"/>
    <w:rsid w:val="00EF7F61"/>
    <w:rsid w:val="00F00097"/>
    <w:rsid w:val="00F0028E"/>
    <w:rsid w:val="00F0028F"/>
    <w:rsid w:val="00F006B2"/>
    <w:rsid w:val="00F006C2"/>
    <w:rsid w:val="00F00BD1"/>
    <w:rsid w:val="00F00FB0"/>
    <w:rsid w:val="00F01C9A"/>
    <w:rsid w:val="00F021D8"/>
    <w:rsid w:val="00F0278E"/>
    <w:rsid w:val="00F0352D"/>
    <w:rsid w:val="00F0361C"/>
    <w:rsid w:val="00F0369A"/>
    <w:rsid w:val="00F03704"/>
    <w:rsid w:val="00F03884"/>
    <w:rsid w:val="00F03B3E"/>
    <w:rsid w:val="00F03E0F"/>
    <w:rsid w:val="00F05BEA"/>
    <w:rsid w:val="00F05BF8"/>
    <w:rsid w:val="00F05E4C"/>
    <w:rsid w:val="00F061DF"/>
    <w:rsid w:val="00F06C31"/>
    <w:rsid w:val="00F06CA7"/>
    <w:rsid w:val="00F074A7"/>
    <w:rsid w:val="00F075E0"/>
    <w:rsid w:val="00F1036E"/>
    <w:rsid w:val="00F10AA6"/>
    <w:rsid w:val="00F1113F"/>
    <w:rsid w:val="00F112AF"/>
    <w:rsid w:val="00F117B7"/>
    <w:rsid w:val="00F11E26"/>
    <w:rsid w:val="00F11FD9"/>
    <w:rsid w:val="00F12146"/>
    <w:rsid w:val="00F1354B"/>
    <w:rsid w:val="00F13832"/>
    <w:rsid w:val="00F13B19"/>
    <w:rsid w:val="00F13EBA"/>
    <w:rsid w:val="00F14073"/>
    <w:rsid w:val="00F14390"/>
    <w:rsid w:val="00F14BD4"/>
    <w:rsid w:val="00F14C67"/>
    <w:rsid w:val="00F14FEB"/>
    <w:rsid w:val="00F165AF"/>
    <w:rsid w:val="00F168D9"/>
    <w:rsid w:val="00F1708D"/>
    <w:rsid w:val="00F1714B"/>
    <w:rsid w:val="00F1714D"/>
    <w:rsid w:val="00F17B81"/>
    <w:rsid w:val="00F17BF5"/>
    <w:rsid w:val="00F20194"/>
    <w:rsid w:val="00F2033E"/>
    <w:rsid w:val="00F206E7"/>
    <w:rsid w:val="00F21EDB"/>
    <w:rsid w:val="00F226D7"/>
    <w:rsid w:val="00F2277D"/>
    <w:rsid w:val="00F240B1"/>
    <w:rsid w:val="00F24257"/>
    <w:rsid w:val="00F2448A"/>
    <w:rsid w:val="00F24A5F"/>
    <w:rsid w:val="00F24F0A"/>
    <w:rsid w:val="00F254B7"/>
    <w:rsid w:val="00F259B0"/>
    <w:rsid w:val="00F264F3"/>
    <w:rsid w:val="00F26D5C"/>
    <w:rsid w:val="00F26E80"/>
    <w:rsid w:val="00F26F63"/>
    <w:rsid w:val="00F2797D"/>
    <w:rsid w:val="00F30169"/>
    <w:rsid w:val="00F303FA"/>
    <w:rsid w:val="00F306B1"/>
    <w:rsid w:val="00F30BB3"/>
    <w:rsid w:val="00F31575"/>
    <w:rsid w:val="00F3190A"/>
    <w:rsid w:val="00F3196E"/>
    <w:rsid w:val="00F31BB5"/>
    <w:rsid w:val="00F326AC"/>
    <w:rsid w:val="00F32C31"/>
    <w:rsid w:val="00F33290"/>
    <w:rsid w:val="00F33631"/>
    <w:rsid w:val="00F339A8"/>
    <w:rsid w:val="00F34014"/>
    <w:rsid w:val="00F3413B"/>
    <w:rsid w:val="00F34D87"/>
    <w:rsid w:val="00F34FA2"/>
    <w:rsid w:val="00F3584D"/>
    <w:rsid w:val="00F35A74"/>
    <w:rsid w:val="00F35C45"/>
    <w:rsid w:val="00F3762E"/>
    <w:rsid w:val="00F402F4"/>
    <w:rsid w:val="00F40755"/>
    <w:rsid w:val="00F40CB6"/>
    <w:rsid w:val="00F41261"/>
    <w:rsid w:val="00F41440"/>
    <w:rsid w:val="00F4148D"/>
    <w:rsid w:val="00F4184B"/>
    <w:rsid w:val="00F4188B"/>
    <w:rsid w:val="00F418C9"/>
    <w:rsid w:val="00F42B7F"/>
    <w:rsid w:val="00F42D84"/>
    <w:rsid w:val="00F42E88"/>
    <w:rsid w:val="00F4330A"/>
    <w:rsid w:val="00F446CB"/>
    <w:rsid w:val="00F44B1F"/>
    <w:rsid w:val="00F44FE6"/>
    <w:rsid w:val="00F452C9"/>
    <w:rsid w:val="00F46089"/>
    <w:rsid w:val="00F463FD"/>
    <w:rsid w:val="00F4677D"/>
    <w:rsid w:val="00F46D15"/>
    <w:rsid w:val="00F46FB9"/>
    <w:rsid w:val="00F47284"/>
    <w:rsid w:val="00F47C97"/>
    <w:rsid w:val="00F47F43"/>
    <w:rsid w:val="00F50D65"/>
    <w:rsid w:val="00F5190E"/>
    <w:rsid w:val="00F5197C"/>
    <w:rsid w:val="00F51A5B"/>
    <w:rsid w:val="00F51B38"/>
    <w:rsid w:val="00F524B5"/>
    <w:rsid w:val="00F52F57"/>
    <w:rsid w:val="00F530A9"/>
    <w:rsid w:val="00F5327A"/>
    <w:rsid w:val="00F542C5"/>
    <w:rsid w:val="00F544B8"/>
    <w:rsid w:val="00F54520"/>
    <w:rsid w:val="00F548BE"/>
    <w:rsid w:val="00F54A84"/>
    <w:rsid w:val="00F55B64"/>
    <w:rsid w:val="00F55D24"/>
    <w:rsid w:val="00F55DB6"/>
    <w:rsid w:val="00F55F95"/>
    <w:rsid w:val="00F56373"/>
    <w:rsid w:val="00F56A80"/>
    <w:rsid w:val="00F56B6A"/>
    <w:rsid w:val="00F56E97"/>
    <w:rsid w:val="00F56EC1"/>
    <w:rsid w:val="00F57B62"/>
    <w:rsid w:val="00F57BDA"/>
    <w:rsid w:val="00F60072"/>
    <w:rsid w:val="00F60112"/>
    <w:rsid w:val="00F60577"/>
    <w:rsid w:val="00F607F4"/>
    <w:rsid w:val="00F60AA2"/>
    <w:rsid w:val="00F61732"/>
    <w:rsid w:val="00F6187C"/>
    <w:rsid w:val="00F61F5E"/>
    <w:rsid w:val="00F62125"/>
    <w:rsid w:val="00F62B6E"/>
    <w:rsid w:val="00F631FB"/>
    <w:rsid w:val="00F63214"/>
    <w:rsid w:val="00F63C04"/>
    <w:rsid w:val="00F63D8E"/>
    <w:rsid w:val="00F63DED"/>
    <w:rsid w:val="00F63EE8"/>
    <w:rsid w:val="00F63FA2"/>
    <w:rsid w:val="00F642C8"/>
    <w:rsid w:val="00F643AA"/>
    <w:rsid w:val="00F64786"/>
    <w:rsid w:val="00F64BF4"/>
    <w:rsid w:val="00F64F68"/>
    <w:rsid w:val="00F65773"/>
    <w:rsid w:val="00F65A05"/>
    <w:rsid w:val="00F662B8"/>
    <w:rsid w:val="00F668AD"/>
    <w:rsid w:val="00F66A56"/>
    <w:rsid w:val="00F672C1"/>
    <w:rsid w:val="00F6734A"/>
    <w:rsid w:val="00F67EBF"/>
    <w:rsid w:val="00F70F91"/>
    <w:rsid w:val="00F71402"/>
    <w:rsid w:val="00F7160E"/>
    <w:rsid w:val="00F71639"/>
    <w:rsid w:val="00F71E8D"/>
    <w:rsid w:val="00F721CC"/>
    <w:rsid w:val="00F722F5"/>
    <w:rsid w:val="00F72F5A"/>
    <w:rsid w:val="00F732F9"/>
    <w:rsid w:val="00F733EC"/>
    <w:rsid w:val="00F7348C"/>
    <w:rsid w:val="00F73664"/>
    <w:rsid w:val="00F74810"/>
    <w:rsid w:val="00F74811"/>
    <w:rsid w:val="00F74B53"/>
    <w:rsid w:val="00F74D10"/>
    <w:rsid w:val="00F74E88"/>
    <w:rsid w:val="00F76326"/>
    <w:rsid w:val="00F76970"/>
    <w:rsid w:val="00F7712C"/>
    <w:rsid w:val="00F7749B"/>
    <w:rsid w:val="00F77FB4"/>
    <w:rsid w:val="00F77FC8"/>
    <w:rsid w:val="00F80A0B"/>
    <w:rsid w:val="00F80AAD"/>
    <w:rsid w:val="00F813A7"/>
    <w:rsid w:val="00F815B5"/>
    <w:rsid w:val="00F816C6"/>
    <w:rsid w:val="00F832F6"/>
    <w:rsid w:val="00F839A0"/>
    <w:rsid w:val="00F83A35"/>
    <w:rsid w:val="00F848B0"/>
    <w:rsid w:val="00F84967"/>
    <w:rsid w:val="00F855B3"/>
    <w:rsid w:val="00F85767"/>
    <w:rsid w:val="00F85785"/>
    <w:rsid w:val="00F85834"/>
    <w:rsid w:val="00F86850"/>
    <w:rsid w:val="00F878C4"/>
    <w:rsid w:val="00F87962"/>
    <w:rsid w:val="00F904BC"/>
    <w:rsid w:val="00F90714"/>
    <w:rsid w:val="00F90853"/>
    <w:rsid w:val="00F90D74"/>
    <w:rsid w:val="00F90E8D"/>
    <w:rsid w:val="00F91953"/>
    <w:rsid w:val="00F91BF3"/>
    <w:rsid w:val="00F923A7"/>
    <w:rsid w:val="00F93347"/>
    <w:rsid w:val="00F93CB1"/>
    <w:rsid w:val="00F94019"/>
    <w:rsid w:val="00F945FF"/>
    <w:rsid w:val="00F94870"/>
    <w:rsid w:val="00F94D3A"/>
    <w:rsid w:val="00F94E01"/>
    <w:rsid w:val="00F95729"/>
    <w:rsid w:val="00F95C12"/>
    <w:rsid w:val="00F96A5E"/>
    <w:rsid w:val="00F96CB4"/>
    <w:rsid w:val="00F97534"/>
    <w:rsid w:val="00F97AF9"/>
    <w:rsid w:val="00F97D5A"/>
    <w:rsid w:val="00FA04B6"/>
    <w:rsid w:val="00FA0888"/>
    <w:rsid w:val="00FA117B"/>
    <w:rsid w:val="00FA1184"/>
    <w:rsid w:val="00FA13FA"/>
    <w:rsid w:val="00FA1536"/>
    <w:rsid w:val="00FA15BA"/>
    <w:rsid w:val="00FA1768"/>
    <w:rsid w:val="00FA2082"/>
    <w:rsid w:val="00FA221B"/>
    <w:rsid w:val="00FA23B1"/>
    <w:rsid w:val="00FA2E1B"/>
    <w:rsid w:val="00FA2EDE"/>
    <w:rsid w:val="00FA323C"/>
    <w:rsid w:val="00FA332B"/>
    <w:rsid w:val="00FA36EA"/>
    <w:rsid w:val="00FA391A"/>
    <w:rsid w:val="00FA409A"/>
    <w:rsid w:val="00FA4BB1"/>
    <w:rsid w:val="00FA4E2B"/>
    <w:rsid w:val="00FA59E4"/>
    <w:rsid w:val="00FA6569"/>
    <w:rsid w:val="00FA6A56"/>
    <w:rsid w:val="00FA6DCE"/>
    <w:rsid w:val="00FA6EB2"/>
    <w:rsid w:val="00FA710D"/>
    <w:rsid w:val="00FA730C"/>
    <w:rsid w:val="00FA7886"/>
    <w:rsid w:val="00FA7F68"/>
    <w:rsid w:val="00FB0737"/>
    <w:rsid w:val="00FB0891"/>
    <w:rsid w:val="00FB0CA4"/>
    <w:rsid w:val="00FB1077"/>
    <w:rsid w:val="00FB10C9"/>
    <w:rsid w:val="00FB1A17"/>
    <w:rsid w:val="00FB1B4B"/>
    <w:rsid w:val="00FB1DFA"/>
    <w:rsid w:val="00FB1FD0"/>
    <w:rsid w:val="00FB2247"/>
    <w:rsid w:val="00FB2337"/>
    <w:rsid w:val="00FB26FC"/>
    <w:rsid w:val="00FB2954"/>
    <w:rsid w:val="00FB301A"/>
    <w:rsid w:val="00FB3900"/>
    <w:rsid w:val="00FB6552"/>
    <w:rsid w:val="00FB6760"/>
    <w:rsid w:val="00FB6D44"/>
    <w:rsid w:val="00FB701A"/>
    <w:rsid w:val="00FB7155"/>
    <w:rsid w:val="00FB7362"/>
    <w:rsid w:val="00FB799A"/>
    <w:rsid w:val="00FB7C20"/>
    <w:rsid w:val="00FB7CA6"/>
    <w:rsid w:val="00FB7F67"/>
    <w:rsid w:val="00FC04D5"/>
    <w:rsid w:val="00FC0AA8"/>
    <w:rsid w:val="00FC1027"/>
    <w:rsid w:val="00FC1407"/>
    <w:rsid w:val="00FC1AC2"/>
    <w:rsid w:val="00FC1CEC"/>
    <w:rsid w:val="00FC1DC0"/>
    <w:rsid w:val="00FC1E1B"/>
    <w:rsid w:val="00FC2188"/>
    <w:rsid w:val="00FC2247"/>
    <w:rsid w:val="00FC22F5"/>
    <w:rsid w:val="00FC23DF"/>
    <w:rsid w:val="00FC26E9"/>
    <w:rsid w:val="00FC27FA"/>
    <w:rsid w:val="00FC2A31"/>
    <w:rsid w:val="00FC3075"/>
    <w:rsid w:val="00FC30D2"/>
    <w:rsid w:val="00FC332F"/>
    <w:rsid w:val="00FC35F5"/>
    <w:rsid w:val="00FC37AD"/>
    <w:rsid w:val="00FC3935"/>
    <w:rsid w:val="00FC396C"/>
    <w:rsid w:val="00FC3A0A"/>
    <w:rsid w:val="00FC3DA5"/>
    <w:rsid w:val="00FC3EEB"/>
    <w:rsid w:val="00FC40D3"/>
    <w:rsid w:val="00FC4C96"/>
    <w:rsid w:val="00FC4CF1"/>
    <w:rsid w:val="00FC4D01"/>
    <w:rsid w:val="00FC55BF"/>
    <w:rsid w:val="00FC578F"/>
    <w:rsid w:val="00FC59D6"/>
    <w:rsid w:val="00FC5EAF"/>
    <w:rsid w:val="00FC5EEA"/>
    <w:rsid w:val="00FC682F"/>
    <w:rsid w:val="00FC6934"/>
    <w:rsid w:val="00FC7039"/>
    <w:rsid w:val="00FC742F"/>
    <w:rsid w:val="00FD0449"/>
    <w:rsid w:val="00FD0FE2"/>
    <w:rsid w:val="00FD121A"/>
    <w:rsid w:val="00FD4033"/>
    <w:rsid w:val="00FD4A8A"/>
    <w:rsid w:val="00FD4C71"/>
    <w:rsid w:val="00FD566E"/>
    <w:rsid w:val="00FD568D"/>
    <w:rsid w:val="00FD6153"/>
    <w:rsid w:val="00FD680A"/>
    <w:rsid w:val="00FD6AF8"/>
    <w:rsid w:val="00FD6C36"/>
    <w:rsid w:val="00FD7031"/>
    <w:rsid w:val="00FD722A"/>
    <w:rsid w:val="00FD735B"/>
    <w:rsid w:val="00FD758E"/>
    <w:rsid w:val="00FD75AA"/>
    <w:rsid w:val="00FD7731"/>
    <w:rsid w:val="00FD774F"/>
    <w:rsid w:val="00FE0050"/>
    <w:rsid w:val="00FE0357"/>
    <w:rsid w:val="00FE0762"/>
    <w:rsid w:val="00FE0B5E"/>
    <w:rsid w:val="00FE0BCE"/>
    <w:rsid w:val="00FE0DAD"/>
    <w:rsid w:val="00FE15B5"/>
    <w:rsid w:val="00FE168B"/>
    <w:rsid w:val="00FE19CE"/>
    <w:rsid w:val="00FE1F45"/>
    <w:rsid w:val="00FE20F0"/>
    <w:rsid w:val="00FE23D8"/>
    <w:rsid w:val="00FE2B5D"/>
    <w:rsid w:val="00FE336D"/>
    <w:rsid w:val="00FE36C9"/>
    <w:rsid w:val="00FE3D54"/>
    <w:rsid w:val="00FE4860"/>
    <w:rsid w:val="00FE4C44"/>
    <w:rsid w:val="00FE524C"/>
    <w:rsid w:val="00FE5F90"/>
    <w:rsid w:val="00FE6A96"/>
    <w:rsid w:val="00FE6E81"/>
    <w:rsid w:val="00FE6EC4"/>
    <w:rsid w:val="00FE70DF"/>
    <w:rsid w:val="00FF000C"/>
    <w:rsid w:val="00FF032B"/>
    <w:rsid w:val="00FF1AA4"/>
    <w:rsid w:val="00FF1B2C"/>
    <w:rsid w:val="00FF1ED6"/>
    <w:rsid w:val="00FF21E1"/>
    <w:rsid w:val="00FF245C"/>
    <w:rsid w:val="00FF2EE8"/>
    <w:rsid w:val="00FF3669"/>
    <w:rsid w:val="00FF3AF4"/>
    <w:rsid w:val="00FF3B87"/>
    <w:rsid w:val="00FF44EF"/>
    <w:rsid w:val="00FF6862"/>
    <w:rsid w:val="00FF75A4"/>
    <w:rsid w:val="00FF76F2"/>
    <w:rsid w:val="01973B44"/>
    <w:rsid w:val="01C54B55"/>
    <w:rsid w:val="027E7BD9"/>
    <w:rsid w:val="03327FC8"/>
    <w:rsid w:val="033E7E08"/>
    <w:rsid w:val="03667C72"/>
    <w:rsid w:val="038D5CB6"/>
    <w:rsid w:val="03CD6CDE"/>
    <w:rsid w:val="044C50BA"/>
    <w:rsid w:val="04A96E3E"/>
    <w:rsid w:val="0506170D"/>
    <w:rsid w:val="063858F6"/>
    <w:rsid w:val="06C15845"/>
    <w:rsid w:val="06DA075B"/>
    <w:rsid w:val="07966D78"/>
    <w:rsid w:val="07D63618"/>
    <w:rsid w:val="07F91BE6"/>
    <w:rsid w:val="08132064"/>
    <w:rsid w:val="08362309"/>
    <w:rsid w:val="09364775"/>
    <w:rsid w:val="095A6502"/>
    <w:rsid w:val="098C12B2"/>
    <w:rsid w:val="09A42C53"/>
    <w:rsid w:val="09A96E7F"/>
    <w:rsid w:val="09D122E9"/>
    <w:rsid w:val="09D81050"/>
    <w:rsid w:val="0ABA2D7D"/>
    <w:rsid w:val="0AEC6CAF"/>
    <w:rsid w:val="0B9D1E65"/>
    <w:rsid w:val="0BF814B6"/>
    <w:rsid w:val="0C256F4E"/>
    <w:rsid w:val="0C623B2D"/>
    <w:rsid w:val="0C7C2D9A"/>
    <w:rsid w:val="0CB452A5"/>
    <w:rsid w:val="0DC12675"/>
    <w:rsid w:val="0DD759F4"/>
    <w:rsid w:val="0E0A401C"/>
    <w:rsid w:val="0E9C09EC"/>
    <w:rsid w:val="0FCE1079"/>
    <w:rsid w:val="101051ED"/>
    <w:rsid w:val="11067C6E"/>
    <w:rsid w:val="11250349"/>
    <w:rsid w:val="113849FC"/>
    <w:rsid w:val="116C4054"/>
    <w:rsid w:val="11D1012D"/>
    <w:rsid w:val="125F245C"/>
    <w:rsid w:val="12D2261E"/>
    <w:rsid w:val="15A22D8C"/>
    <w:rsid w:val="15E44D75"/>
    <w:rsid w:val="15EF3B2C"/>
    <w:rsid w:val="16A668AC"/>
    <w:rsid w:val="17EC1DCA"/>
    <w:rsid w:val="182061EA"/>
    <w:rsid w:val="195D140C"/>
    <w:rsid w:val="1A0F4768"/>
    <w:rsid w:val="1A1C0B59"/>
    <w:rsid w:val="1A472154"/>
    <w:rsid w:val="1A9576C6"/>
    <w:rsid w:val="1AE71DCF"/>
    <w:rsid w:val="1B4149B1"/>
    <w:rsid w:val="1C146361"/>
    <w:rsid w:val="1C422BD3"/>
    <w:rsid w:val="1CBE3DFF"/>
    <w:rsid w:val="1CC164CC"/>
    <w:rsid w:val="1D1A508E"/>
    <w:rsid w:val="1D6C556E"/>
    <w:rsid w:val="1D9C27B6"/>
    <w:rsid w:val="1DD254D4"/>
    <w:rsid w:val="1E9D14F7"/>
    <w:rsid w:val="1EEA12FF"/>
    <w:rsid w:val="1F29007A"/>
    <w:rsid w:val="1F6862A6"/>
    <w:rsid w:val="1F797D4F"/>
    <w:rsid w:val="1F917194"/>
    <w:rsid w:val="1FBC6AC6"/>
    <w:rsid w:val="20245651"/>
    <w:rsid w:val="20BE6F68"/>
    <w:rsid w:val="20F326ED"/>
    <w:rsid w:val="216B2BCB"/>
    <w:rsid w:val="21E53677"/>
    <w:rsid w:val="221F4E51"/>
    <w:rsid w:val="23694EE9"/>
    <w:rsid w:val="23A74120"/>
    <w:rsid w:val="23AD74CB"/>
    <w:rsid w:val="245F009A"/>
    <w:rsid w:val="249E0BC2"/>
    <w:rsid w:val="24A924E8"/>
    <w:rsid w:val="24FC6471"/>
    <w:rsid w:val="250B24B3"/>
    <w:rsid w:val="250E5D48"/>
    <w:rsid w:val="25836D81"/>
    <w:rsid w:val="25DA6269"/>
    <w:rsid w:val="26D658CC"/>
    <w:rsid w:val="2734580E"/>
    <w:rsid w:val="276E6F72"/>
    <w:rsid w:val="27870033"/>
    <w:rsid w:val="281C5B48"/>
    <w:rsid w:val="2833573F"/>
    <w:rsid w:val="28475DF4"/>
    <w:rsid w:val="2877751D"/>
    <w:rsid w:val="288E5774"/>
    <w:rsid w:val="28CE2F70"/>
    <w:rsid w:val="2919115F"/>
    <w:rsid w:val="2AED6D57"/>
    <w:rsid w:val="2AEF2177"/>
    <w:rsid w:val="2C1C51EE"/>
    <w:rsid w:val="2C3818FC"/>
    <w:rsid w:val="2DDF5DB8"/>
    <w:rsid w:val="2EE11E23"/>
    <w:rsid w:val="2F8D1F5F"/>
    <w:rsid w:val="2FF559E0"/>
    <w:rsid w:val="303D5733"/>
    <w:rsid w:val="308F7DB7"/>
    <w:rsid w:val="32081D71"/>
    <w:rsid w:val="329479E3"/>
    <w:rsid w:val="32EC1EA1"/>
    <w:rsid w:val="339935C8"/>
    <w:rsid w:val="3569211C"/>
    <w:rsid w:val="359F479A"/>
    <w:rsid w:val="360F36CE"/>
    <w:rsid w:val="364315C9"/>
    <w:rsid w:val="36730100"/>
    <w:rsid w:val="36A858D0"/>
    <w:rsid w:val="36B3082E"/>
    <w:rsid w:val="371A4D02"/>
    <w:rsid w:val="37C70117"/>
    <w:rsid w:val="37D45922"/>
    <w:rsid w:val="38095EC6"/>
    <w:rsid w:val="38366842"/>
    <w:rsid w:val="39067CAE"/>
    <w:rsid w:val="39CD5D7A"/>
    <w:rsid w:val="3A303FDC"/>
    <w:rsid w:val="3AD84570"/>
    <w:rsid w:val="3B8D0D14"/>
    <w:rsid w:val="3BE63123"/>
    <w:rsid w:val="3D204412"/>
    <w:rsid w:val="3D8C7CFA"/>
    <w:rsid w:val="3DB60089"/>
    <w:rsid w:val="3DF60FF8"/>
    <w:rsid w:val="3E943FD2"/>
    <w:rsid w:val="3F0B2EA0"/>
    <w:rsid w:val="400A4A12"/>
    <w:rsid w:val="417912E9"/>
    <w:rsid w:val="42313785"/>
    <w:rsid w:val="43032C78"/>
    <w:rsid w:val="432F53AF"/>
    <w:rsid w:val="44022AC4"/>
    <w:rsid w:val="444035EC"/>
    <w:rsid w:val="44F84986"/>
    <w:rsid w:val="452A7DB3"/>
    <w:rsid w:val="45417EEB"/>
    <w:rsid w:val="4627366A"/>
    <w:rsid w:val="46B7454B"/>
    <w:rsid w:val="479F5C81"/>
    <w:rsid w:val="47C87B80"/>
    <w:rsid w:val="47F646ED"/>
    <w:rsid w:val="48F17699"/>
    <w:rsid w:val="49551ADA"/>
    <w:rsid w:val="49804081"/>
    <w:rsid w:val="498F1FC1"/>
    <w:rsid w:val="49ED66B8"/>
    <w:rsid w:val="4C082C41"/>
    <w:rsid w:val="4D1675E0"/>
    <w:rsid w:val="4E04112A"/>
    <w:rsid w:val="4E374CD8"/>
    <w:rsid w:val="4E453CD9"/>
    <w:rsid w:val="4F336D94"/>
    <w:rsid w:val="4FA42C81"/>
    <w:rsid w:val="50724B2D"/>
    <w:rsid w:val="51136310"/>
    <w:rsid w:val="512C3913"/>
    <w:rsid w:val="51B82A14"/>
    <w:rsid w:val="51BD002A"/>
    <w:rsid w:val="52814BEE"/>
    <w:rsid w:val="5359168B"/>
    <w:rsid w:val="53BA1776"/>
    <w:rsid w:val="5472378C"/>
    <w:rsid w:val="54943759"/>
    <w:rsid w:val="55FC0C25"/>
    <w:rsid w:val="57D239E2"/>
    <w:rsid w:val="57D60097"/>
    <w:rsid w:val="587D279C"/>
    <w:rsid w:val="594458FF"/>
    <w:rsid w:val="59C74DF5"/>
    <w:rsid w:val="59F92CC7"/>
    <w:rsid w:val="5A5C0D28"/>
    <w:rsid w:val="5ACD5D58"/>
    <w:rsid w:val="5AF50835"/>
    <w:rsid w:val="5B6B6D49"/>
    <w:rsid w:val="5C7B2FBB"/>
    <w:rsid w:val="5CA02A22"/>
    <w:rsid w:val="5D0B05B0"/>
    <w:rsid w:val="5D526412"/>
    <w:rsid w:val="5E487B9F"/>
    <w:rsid w:val="5E9A03DB"/>
    <w:rsid w:val="608E38DA"/>
    <w:rsid w:val="60E47381"/>
    <w:rsid w:val="60EF5D26"/>
    <w:rsid w:val="61487A3F"/>
    <w:rsid w:val="615B6A89"/>
    <w:rsid w:val="61CE1DDF"/>
    <w:rsid w:val="62483940"/>
    <w:rsid w:val="62965FA7"/>
    <w:rsid w:val="637F4016"/>
    <w:rsid w:val="64C64FF0"/>
    <w:rsid w:val="64D37E39"/>
    <w:rsid w:val="657C36C6"/>
    <w:rsid w:val="659155FE"/>
    <w:rsid w:val="659D3FA3"/>
    <w:rsid w:val="65D61F37"/>
    <w:rsid w:val="662621EA"/>
    <w:rsid w:val="67000C8D"/>
    <w:rsid w:val="671900E5"/>
    <w:rsid w:val="68212C69"/>
    <w:rsid w:val="690C03A7"/>
    <w:rsid w:val="69F61271"/>
    <w:rsid w:val="6B2C6AB4"/>
    <w:rsid w:val="6B910106"/>
    <w:rsid w:val="6BB7073C"/>
    <w:rsid w:val="6C7153D0"/>
    <w:rsid w:val="6D061F06"/>
    <w:rsid w:val="6DE42EE7"/>
    <w:rsid w:val="6E4771A1"/>
    <w:rsid w:val="6E513061"/>
    <w:rsid w:val="6ECF032C"/>
    <w:rsid w:val="6F0E01E9"/>
    <w:rsid w:val="6F230042"/>
    <w:rsid w:val="6F2C6ECA"/>
    <w:rsid w:val="6F34478A"/>
    <w:rsid w:val="6F6551A2"/>
    <w:rsid w:val="702A0683"/>
    <w:rsid w:val="70787AE6"/>
    <w:rsid w:val="70832599"/>
    <w:rsid w:val="70B935B0"/>
    <w:rsid w:val="710A7074"/>
    <w:rsid w:val="710B6BF2"/>
    <w:rsid w:val="712E63F7"/>
    <w:rsid w:val="71771B4C"/>
    <w:rsid w:val="71A212BE"/>
    <w:rsid w:val="71DE7D41"/>
    <w:rsid w:val="73092C77"/>
    <w:rsid w:val="73B7001D"/>
    <w:rsid w:val="748C3B60"/>
    <w:rsid w:val="7590086B"/>
    <w:rsid w:val="761249DC"/>
    <w:rsid w:val="761C7166"/>
    <w:rsid w:val="76257DC8"/>
    <w:rsid w:val="766A7ED1"/>
    <w:rsid w:val="778D3920"/>
    <w:rsid w:val="77CD5F88"/>
    <w:rsid w:val="780F5B42"/>
    <w:rsid w:val="78717E3D"/>
    <w:rsid w:val="78EF476E"/>
    <w:rsid w:val="79AD60AB"/>
    <w:rsid w:val="7A1A09FF"/>
    <w:rsid w:val="7A1A5319"/>
    <w:rsid w:val="7A6020CD"/>
    <w:rsid w:val="7A67251D"/>
    <w:rsid w:val="7A8363CF"/>
    <w:rsid w:val="7AF06EE6"/>
    <w:rsid w:val="7B642733"/>
    <w:rsid w:val="7BD86976"/>
    <w:rsid w:val="7C4D1E27"/>
    <w:rsid w:val="7D4E475C"/>
    <w:rsid w:val="7E3822AE"/>
    <w:rsid w:val="7F565D15"/>
    <w:rsid w:val="7F8867BB"/>
    <w:rsid w:val="7FB621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iPriority="99"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nhideWhenUsed="0" w:uiPriority="0" w:semiHidden="0"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qFormat="1"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0" w:semiHidden="0" w:name="Body Text First Indent"/>
    <w:lsdException w:uiPriority="99" w:name="Body Text First Indent 2"/>
    <w:lsdException w:uiPriority="99" w:name="Note Heading"/>
    <w:lsdException w:qFormat="1" w:uiPriority="99"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5"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460" w:lineRule="exact"/>
      <w:ind w:firstLine="200" w:firstLineChars="200"/>
    </w:pPr>
    <w:rPr>
      <w:rFonts w:ascii="Times New Roman" w:hAnsi="Times New Roman" w:eastAsia="宋体" w:cs="Times New Roman"/>
      <w:kern w:val="2"/>
      <w:sz w:val="26"/>
      <w:szCs w:val="22"/>
      <w:lang w:val="en-US" w:eastAsia="zh-CN" w:bidi="ar-SA"/>
    </w:rPr>
  </w:style>
  <w:style w:type="paragraph" w:styleId="2">
    <w:name w:val="heading 1"/>
    <w:next w:val="1"/>
    <w:link w:val="54"/>
    <w:qFormat/>
    <w:uiPriority w:val="0"/>
    <w:pPr>
      <w:numPr>
        <w:ilvl w:val="0"/>
        <w:numId w:val="1"/>
      </w:numPr>
      <w:tabs>
        <w:tab w:val="left" w:pos="0"/>
      </w:tabs>
      <w:adjustRightInd w:val="0"/>
      <w:snapToGrid w:val="0"/>
      <w:spacing w:before="120" w:after="240" w:line="560" w:lineRule="exact"/>
      <w:jc w:val="center"/>
      <w:outlineLvl w:val="0"/>
    </w:pPr>
    <w:rPr>
      <w:rFonts w:ascii="Times New Roman" w:hAnsi="Times New Roman" w:eastAsia="黑体" w:cs="Times New Roman"/>
      <w:b/>
      <w:bCs/>
      <w:snapToGrid w:val="0"/>
      <w:color w:val="000000" w:themeColor="text1"/>
      <w:kern w:val="44"/>
      <w:sz w:val="36"/>
      <w:szCs w:val="44"/>
      <w:lang w:val="en-US" w:eastAsia="zh-CN" w:bidi="ar-SA"/>
      <w14:textFill>
        <w14:solidFill>
          <w14:schemeClr w14:val="tx1"/>
        </w14:solidFill>
      </w14:textFill>
    </w:rPr>
  </w:style>
  <w:style w:type="paragraph" w:styleId="3">
    <w:name w:val="heading 2"/>
    <w:next w:val="1"/>
    <w:link w:val="55"/>
    <w:unhideWhenUsed/>
    <w:qFormat/>
    <w:uiPriority w:val="0"/>
    <w:pPr>
      <w:numPr>
        <w:ilvl w:val="1"/>
        <w:numId w:val="1"/>
      </w:numPr>
      <w:tabs>
        <w:tab w:val="left" w:pos="0"/>
      </w:tabs>
      <w:adjustRightInd w:val="0"/>
      <w:snapToGrid w:val="0"/>
      <w:spacing w:before="120" w:after="60" w:line="460" w:lineRule="exact"/>
      <w:ind w:left="0"/>
      <w:outlineLvl w:val="1"/>
    </w:pPr>
    <w:rPr>
      <w:rFonts w:ascii="Times New Roman" w:hAnsi="Times New Roman" w:eastAsia="黑体" w:cs="Times New Roman"/>
      <w:b/>
      <w:bCs/>
      <w:snapToGrid w:val="0"/>
      <w:color w:val="000000" w:themeColor="text1"/>
      <w:kern w:val="2"/>
      <w:sz w:val="28"/>
      <w:szCs w:val="32"/>
      <w:lang w:val="en-US" w:eastAsia="zh-CN" w:bidi="ar-SA"/>
      <w14:textFill>
        <w14:solidFill>
          <w14:schemeClr w14:val="tx1"/>
        </w14:solidFill>
      </w14:textFill>
    </w:rPr>
  </w:style>
  <w:style w:type="paragraph" w:styleId="4">
    <w:name w:val="heading 3"/>
    <w:next w:val="1"/>
    <w:link w:val="56"/>
    <w:unhideWhenUsed/>
    <w:qFormat/>
    <w:uiPriority w:val="0"/>
    <w:pPr>
      <w:numPr>
        <w:ilvl w:val="2"/>
        <w:numId w:val="1"/>
      </w:numPr>
      <w:tabs>
        <w:tab w:val="left" w:pos="0"/>
      </w:tabs>
      <w:adjustRightInd w:val="0"/>
      <w:snapToGrid w:val="0"/>
      <w:spacing w:before="60" w:after="60" w:line="460" w:lineRule="exact"/>
      <w:ind w:left="0"/>
      <w:outlineLvl w:val="2"/>
    </w:pPr>
    <w:rPr>
      <w:rFonts w:ascii="Times New Roman" w:hAnsi="Times New Roman" w:eastAsia="宋体" w:cs="Times New Roman"/>
      <w:b/>
      <w:bCs/>
      <w:snapToGrid w:val="0"/>
      <w:kern w:val="2"/>
      <w:sz w:val="26"/>
      <w:szCs w:val="32"/>
      <w:lang w:val="en-US" w:eastAsia="zh-CN" w:bidi="ar-SA"/>
    </w:rPr>
  </w:style>
  <w:style w:type="paragraph" w:styleId="5">
    <w:name w:val="heading 4"/>
    <w:next w:val="1"/>
    <w:link w:val="58"/>
    <w:unhideWhenUsed/>
    <w:qFormat/>
    <w:uiPriority w:val="0"/>
    <w:pPr>
      <w:numPr>
        <w:ilvl w:val="3"/>
        <w:numId w:val="1"/>
      </w:numPr>
      <w:tabs>
        <w:tab w:val="left" w:pos="0"/>
      </w:tabs>
      <w:adjustRightInd w:val="0"/>
      <w:snapToGrid w:val="0"/>
      <w:spacing w:line="460" w:lineRule="exact"/>
      <w:outlineLvl w:val="3"/>
    </w:pPr>
    <w:rPr>
      <w:rFonts w:ascii="Times New Roman" w:hAnsi="Times New Roman" w:eastAsia="宋体" w:cs="Times New Roman"/>
      <w:bCs/>
      <w:snapToGrid w:val="0"/>
      <w:color w:val="000000" w:themeColor="text1"/>
      <w:kern w:val="2"/>
      <w:sz w:val="26"/>
      <w:szCs w:val="28"/>
      <w:lang w:val="en-US" w:eastAsia="zh-CN" w:bidi="ar-SA"/>
      <w14:textFill>
        <w14:solidFill>
          <w14:schemeClr w14:val="tx1"/>
        </w14:solidFill>
      </w14:textFill>
    </w:rPr>
  </w:style>
  <w:style w:type="paragraph" w:styleId="6">
    <w:name w:val="heading 5"/>
    <w:basedOn w:val="1"/>
    <w:next w:val="1"/>
    <w:link w:val="59"/>
    <w:unhideWhenUsed/>
    <w:qFormat/>
    <w:uiPriority w:val="0"/>
    <w:pPr>
      <w:numPr>
        <w:ilvl w:val="4"/>
        <w:numId w:val="2"/>
      </w:numPr>
      <w:ind w:firstLine="0" w:firstLineChars="0"/>
      <w:outlineLvl w:val="4"/>
    </w:pPr>
    <w:rPr>
      <w:bCs/>
      <w:szCs w:val="28"/>
    </w:rPr>
  </w:style>
  <w:style w:type="paragraph" w:styleId="7">
    <w:name w:val="heading 6"/>
    <w:basedOn w:val="1"/>
    <w:next w:val="1"/>
    <w:link w:val="60"/>
    <w:unhideWhenUsed/>
    <w:qFormat/>
    <w:uiPriority w:val="0"/>
    <w:pPr>
      <w:keepNext/>
      <w:keepLines/>
      <w:numPr>
        <w:ilvl w:val="5"/>
        <w:numId w:val="1"/>
      </w:numPr>
      <w:spacing w:before="240" w:after="64" w:line="320" w:lineRule="atLeast"/>
      <w:ind w:firstLineChars="0"/>
      <w:outlineLvl w:val="5"/>
    </w:pPr>
    <w:rPr>
      <w:rFonts w:ascii="Cambria" w:hAnsi="Cambria"/>
      <w:b/>
      <w:bCs/>
      <w:sz w:val="24"/>
    </w:rPr>
  </w:style>
  <w:style w:type="paragraph" w:styleId="8">
    <w:name w:val="heading 7"/>
    <w:basedOn w:val="1"/>
    <w:next w:val="1"/>
    <w:link w:val="61"/>
    <w:unhideWhenUsed/>
    <w:qFormat/>
    <w:uiPriority w:val="0"/>
    <w:pPr>
      <w:keepNext/>
      <w:keepLines/>
      <w:numPr>
        <w:ilvl w:val="6"/>
        <w:numId w:val="1"/>
      </w:numPr>
      <w:spacing w:before="240" w:after="64" w:line="320" w:lineRule="atLeast"/>
      <w:ind w:firstLineChars="0"/>
      <w:outlineLvl w:val="6"/>
    </w:pPr>
    <w:rPr>
      <w:b/>
      <w:bCs/>
      <w:sz w:val="24"/>
    </w:rPr>
  </w:style>
  <w:style w:type="paragraph" w:styleId="9">
    <w:name w:val="heading 8"/>
    <w:basedOn w:val="1"/>
    <w:next w:val="1"/>
    <w:link w:val="62"/>
    <w:unhideWhenUsed/>
    <w:qFormat/>
    <w:uiPriority w:val="0"/>
    <w:pPr>
      <w:keepNext/>
      <w:keepLines/>
      <w:numPr>
        <w:ilvl w:val="7"/>
        <w:numId w:val="1"/>
      </w:numPr>
      <w:spacing w:before="240" w:after="64" w:line="320" w:lineRule="atLeast"/>
      <w:ind w:firstLineChars="0"/>
      <w:outlineLvl w:val="7"/>
    </w:pPr>
    <w:rPr>
      <w:rFonts w:ascii="Cambria" w:hAnsi="Cambria"/>
      <w:sz w:val="24"/>
    </w:rPr>
  </w:style>
  <w:style w:type="paragraph" w:styleId="10">
    <w:name w:val="heading 9"/>
    <w:basedOn w:val="1"/>
    <w:next w:val="1"/>
    <w:link w:val="63"/>
    <w:unhideWhenUsed/>
    <w:qFormat/>
    <w:uiPriority w:val="0"/>
    <w:pPr>
      <w:keepNext/>
      <w:keepLines/>
      <w:numPr>
        <w:ilvl w:val="8"/>
        <w:numId w:val="1"/>
      </w:numPr>
      <w:spacing w:before="240" w:after="64" w:line="320" w:lineRule="atLeast"/>
      <w:ind w:firstLineChars="0"/>
      <w:outlineLvl w:val="8"/>
    </w:pPr>
    <w:rPr>
      <w:rFonts w:ascii="Cambria" w:hAnsi="Cambria"/>
      <w:sz w:val="21"/>
      <w:szCs w:val="21"/>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adjustRightInd/>
      <w:snapToGrid/>
      <w:spacing w:line="240" w:lineRule="auto"/>
      <w:ind w:left="2520" w:leftChars="1200" w:firstLine="0" w:firstLineChars="0"/>
      <w:jc w:val="both"/>
    </w:pPr>
    <w:rPr>
      <w:rFonts w:ascii="Calibri" w:hAnsi="Calibri"/>
      <w:sz w:val="21"/>
    </w:rPr>
  </w:style>
  <w:style w:type="paragraph" w:styleId="12">
    <w:name w:val="List Number 2"/>
    <w:basedOn w:val="1"/>
    <w:qFormat/>
    <w:uiPriority w:val="0"/>
    <w:pPr>
      <w:numPr>
        <w:ilvl w:val="0"/>
        <w:numId w:val="3"/>
      </w:numPr>
      <w:spacing w:beforeLines="10" w:line="460" w:lineRule="atLeast"/>
      <w:jc w:val="both"/>
    </w:pPr>
    <w:rPr>
      <w:rFonts w:eastAsiaTheme="minorEastAsia"/>
      <w:snapToGrid w:val="0"/>
      <w:kern w:val="0"/>
      <w:szCs w:val="24"/>
    </w:rPr>
  </w:style>
  <w:style w:type="paragraph" w:styleId="13">
    <w:name w:val="List Number"/>
    <w:basedOn w:val="1"/>
    <w:qFormat/>
    <w:uiPriority w:val="99"/>
    <w:pPr>
      <w:numPr>
        <w:ilvl w:val="0"/>
        <w:numId w:val="4"/>
      </w:numPr>
      <w:spacing w:beforeLines="10"/>
      <w:jc w:val="both"/>
    </w:pPr>
    <w:rPr>
      <w:snapToGrid w:val="0"/>
      <w:kern w:val="0"/>
      <w:sz w:val="24"/>
      <w:szCs w:val="24"/>
    </w:rPr>
  </w:style>
  <w:style w:type="paragraph" w:styleId="14">
    <w:name w:val="Normal Indent"/>
    <w:basedOn w:val="1"/>
    <w:link w:val="145"/>
    <w:qFormat/>
    <w:uiPriority w:val="0"/>
    <w:pPr>
      <w:adjustRightInd/>
      <w:snapToGrid/>
      <w:ind w:firstLine="0" w:firstLineChars="0"/>
      <w:jc w:val="center"/>
    </w:pPr>
    <w:rPr>
      <w:b/>
      <w:color w:val="000000"/>
      <w:kern w:val="0"/>
      <w:sz w:val="24"/>
      <w:szCs w:val="24"/>
    </w:rPr>
  </w:style>
  <w:style w:type="paragraph" w:styleId="15">
    <w:name w:val="caption"/>
    <w:basedOn w:val="1"/>
    <w:next w:val="1"/>
    <w:link w:val="103"/>
    <w:unhideWhenUsed/>
    <w:qFormat/>
    <w:uiPriority w:val="99"/>
    <w:rPr>
      <w:rFonts w:ascii="Cambria" w:hAnsi="Cambria" w:eastAsia="黑体"/>
      <w:sz w:val="20"/>
      <w:szCs w:val="20"/>
    </w:rPr>
  </w:style>
  <w:style w:type="paragraph" w:styleId="16">
    <w:name w:val="Document Map"/>
    <w:basedOn w:val="1"/>
    <w:link w:val="85"/>
    <w:semiHidden/>
    <w:unhideWhenUsed/>
    <w:qFormat/>
    <w:uiPriority w:val="99"/>
    <w:rPr>
      <w:rFonts w:ascii="宋体"/>
      <w:sz w:val="18"/>
      <w:szCs w:val="18"/>
    </w:rPr>
  </w:style>
  <w:style w:type="paragraph" w:styleId="17">
    <w:name w:val="annotation text"/>
    <w:basedOn w:val="1"/>
    <w:link w:val="93"/>
    <w:unhideWhenUsed/>
    <w:qFormat/>
    <w:uiPriority w:val="0"/>
  </w:style>
  <w:style w:type="paragraph" w:styleId="18">
    <w:name w:val="Body Text"/>
    <w:basedOn w:val="1"/>
    <w:link w:val="86"/>
    <w:qFormat/>
    <w:uiPriority w:val="0"/>
    <w:pPr>
      <w:spacing w:beforeLines="10"/>
      <w:ind w:firstLine="0" w:firstLineChars="0"/>
      <w:jc w:val="both"/>
    </w:pPr>
    <w:rPr>
      <w:snapToGrid w:val="0"/>
      <w:kern w:val="0"/>
      <w:sz w:val="24"/>
      <w:szCs w:val="24"/>
    </w:rPr>
  </w:style>
  <w:style w:type="paragraph" w:styleId="19">
    <w:name w:val="Body Text Indent"/>
    <w:basedOn w:val="1"/>
    <w:link w:val="115"/>
    <w:semiHidden/>
    <w:unhideWhenUsed/>
    <w:qFormat/>
    <w:uiPriority w:val="99"/>
    <w:pPr>
      <w:adjustRightInd/>
      <w:snapToGrid/>
      <w:spacing w:after="120"/>
      <w:ind w:left="420" w:leftChars="200"/>
      <w:jc w:val="both"/>
    </w:pPr>
  </w:style>
  <w:style w:type="paragraph" w:styleId="20">
    <w:name w:val="toc 5"/>
    <w:basedOn w:val="1"/>
    <w:next w:val="1"/>
    <w:unhideWhenUsed/>
    <w:qFormat/>
    <w:uiPriority w:val="39"/>
    <w:pPr>
      <w:adjustRightInd/>
      <w:snapToGrid/>
      <w:spacing w:line="240" w:lineRule="auto"/>
      <w:ind w:left="1680" w:leftChars="800" w:firstLine="0" w:firstLineChars="0"/>
      <w:jc w:val="both"/>
    </w:pPr>
    <w:rPr>
      <w:rFonts w:ascii="Calibri" w:hAnsi="Calibri"/>
      <w:sz w:val="21"/>
    </w:rPr>
  </w:style>
  <w:style w:type="paragraph" w:styleId="21">
    <w:name w:val="toc 3"/>
    <w:basedOn w:val="1"/>
    <w:next w:val="1"/>
    <w:unhideWhenUsed/>
    <w:qFormat/>
    <w:uiPriority w:val="39"/>
    <w:pPr>
      <w:ind w:left="840" w:leftChars="400"/>
    </w:pPr>
  </w:style>
  <w:style w:type="paragraph" w:styleId="22">
    <w:name w:val="Plain Text"/>
    <w:basedOn w:val="1"/>
    <w:link w:val="97"/>
    <w:qFormat/>
    <w:uiPriority w:val="0"/>
    <w:pPr>
      <w:adjustRightInd/>
      <w:snapToGrid/>
      <w:spacing w:line="240" w:lineRule="auto"/>
      <w:ind w:firstLine="0" w:firstLineChars="0"/>
      <w:jc w:val="both"/>
    </w:pPr>
    <w:rPr>
      <w:rFonts w:ascii="宋体" w:hAnsi="Courier New"/>
      <w:sz w:val="21"/>
      <w:szCs w:val="21"/>
    </w:rPr>
  </w:style>
  <w:style w:type="paragraph" w:styleId="23">
    <w:name w:val="toc 8"/>
    <w:basedOn w:val="1"/>
    <w:next w:val="1"/>
    <w:unhideWhenUsed/>
    <w:qFormat/>
    <w:uiPriority w:val="39"/>
    <w:pPr>
      <w:adjustRightInd/>
      <w:snapToGrid/>
      <w:spacing w:line="240" w:lineRule="auto"/>
      <w:ind w:left="2940" w:leftChars="1400" w:firstLine="0" w:firstLineChars="0"/>
      <w:jc w:val="both"/>
    </w:pPr>
    <w:rPr>
      <w:rFonts w:ascii="Calibri" w:hAnsi="Calibri"/>
      <w:sz w:val="21"/>
    </w:rPr>
  </w:style>
  <w:style w:type="paragraph" w:styleId="24">
    <w:name w:val="Body Text Indent 2"/>
    <w:basedOn w:val="1"/>
    <w:link w:val="160"/>
    <w:semiHidden/>
    <w:unhideWhenUsed/>
    <w:qFormat/>
    <w:uiPriority w:val="99"/>
    <w:pPr>
      <w:spacing w:after="120" w:line="480" w:lineRule="auto"/>
      <w:ind w:left="420" w:leftChars="200"/>
    </w:pPr>
  </w:style>
  <w:style w:type="paragraph" w:styleId="25">
    <w:name w:val="endnote text"/>
    <w:basedOn w:val="1"/>
    <w:semiHidden/>
    <w:unhideWhenUsed/>
    <w:qFormat/>
    <w:uiPriority w:val="99"/>
  </w:style>
  <w:style w:type="paragraph" w:styleId="26">
    <w:name w:val="Balloon Text"/>
    <w:basedOn w:val="1"/>
    <w:link w:val="95"/>
    <w:semiHidden/>
    <w:unhideWhenUsed/>
    <w:qFormat/>
    <w:uiPriority w:val="99"/>
    <w:pPr>
      <w:spacing w:line="240" w:lineRule="auto"/>
    </w:pPr>
    <w:rPr>
      <w:sz w:val="18"/>
      <w:szCs w:val="18"/>
    </w:rPr>
  </w:style>
  <w:style w:type="paragraph" w:styleId="27">
    <w:name w:val="footer"/>
    <w:basedOn w:val="1"/>
    <w:link w:val="53"/>
    <w:unhideWhenUsed/>
    <w:qFormat/>
    <w:uiPriority w:val="0"/>
    <w:pPr>
      <w:pBdr>
        <w:top w:val="single" w:color="auto" w:sz="4" w:space="1"/>
      </w:pBdr>
      <w:tabs>
        <w:tab w:val="center" w:pos="4153"/>
        <w:tab w:val="right" w:pos="8306"/>
      </w:tabs>
      <w:spacing w:line="240" w:lineRule="auto"/>
      <w:ind w:firstLine="520" w:firstLineChars="0"/>
    </w:pPr>
    <w:rPr>
      <w:sz w:val="21"/>
      <w:szCs w:val="18"/>
    </w:rPr>
  </w:style>
  <w:style w:type="paragraph" w:styleId="28">
    <w:name w:val="header"/>
    <w:basedOn w:val="1"/>
    <w:link w:val="52"/>
    <w:unhideWhenUsed/>
    <w:qFormat/>
    <w:uiPriority w:val="0"/>
    <w:pPr>
      <w:pBdr>
        <w:bottom w:val="single" w:color="auto" w:sz="6" w:space="1"/>
      </w:pBdr>
      <w:tabs>
        <w:tab w:val="center" w:pos="4153"/>
        <w:tab w:val="right" w:pos="8306"/>
      </w:tabs>
      <w:spacing w:line="240" w:lineRule="auto"/>
      <w:ind w:firstLine="0" w:firstLineChars="0"/>
      <w:jc w:val="center"/>
    </w:pPr>
    <w:rPr>
      <w:sz w:val="21"/>
      <w:szCs w:val="18"/>
    </w:rPr>
  </w:style>
  <w:style w:type="paragraph" w:styleId="29">
    <w:name w:val="toc 1"/>
    <w:basedOn w:val="1"/>
    <w:next w:val="1"/>
    <w:unhideWhenUsed/>
    <w:qFormat/>
    <w:uiPriority w:val="39"/>
    <w:pPr>
      <w:tabs>
        <w:tab w:val="left" w:pos="260"/>
        <w:tab w:val="left" w:pos="520"/>
        <w:tab w:val="right" w:leader="dot" w:pos="8494"/>
      </w:tabs>
      <w:spacing w:before="120" w:after="120"/>
      <w:ind w:firstLine="0" w:firstLineChars="0"/>
    </w:pPr>
    <w:rPr>
      <w:b/>
    </w:rPr>
  </w:style>
  <w:style w:type="paragraph" w:styleId="30">
    <w:name w:val="toc 4"/>
    <w:basedOn w:val="1"/>
    <w:next w:val="1"/>
    <w:unhideWhenUsed/>
    <w:qFormat/>
    <w:uiPriority w:val="39"/>
    <w:pPr>
      <w:adjustRightInd/>
      <w:snapToGrid/>
      <w:spacing w:line="240" w:lineRule="auto"/>
      <w:ind w:left="1260" w:leftChars="600" w:firstLine="0" w:firstLineChars="0"/>
      <w:jc w:val="both"/>
    </w:pPr>
    <w:rPr>
      <w:rFonts w:ascii="Calibri" w:hAnsi="Calibri"/>
      <w:sz w:val="21"/>
    </w:rPr>
  </w:style>
  <w:style w:type="paragraph" w:styleId="31">
    <w:name w:val="Subtitle"/>
    <w:basedOn w:val="1"/>
    <w:next w:val="1"/>
    <w:link w:val="64"/>
    <w:qFormat/>
    <w:uiPriority w:val="11"/>
    <w:pPr>
      <w:spacing w:before="240" w:after="60" w:line="312" w:lineRule="atLeast"/>
      <w:jc w:val="center"/>
      <w:outlineLvl w:val="1"/>
    </w:pPr>
    <w:rPr>
      <w:rFonts w:ascii="Cambria" w:hAnsi="Cambria"/>
      <w:b/>
      <w:bCs/>
      <w:kern w:val="28"/>
      <w:sz w:val="32"/>
      <w:szCs w:val="32"/>
    </w:rPr>
  </w:style>
  <w:style w:type="paragraph" w:styleId="32">
    <w:name w:val="toc 6"/>
    <w:basedOn w:val="1"/>
    <w:next w:val="1"/>
    <w:unhideWhenUsed/>
    <w:qFormat/>
    <w:uiPriority w:val="39"/>
    <w:pPr>
      <w:adjustRightInd/>
      <w:snapToGrid/>
      <w:spacing w:line="240" w:lineRule="auto"/>
      <w:ind w:left="2100" w:leftChars="1000" w:firstLine="0" w:firstLineChars="0"/>
      <w:jc w:val="both"/>
    </w:pPr>
    <w:rPr>
      <w:rFonts w:ascii="Calibri" w:hAnsi="Calibri"/>
      <w:sz w:val="21"/>
    </w:rPr>
  </w:style>
  <w:style w:type="paragraph" w:styleId="33">
    <w:name w:val="toc 2"/>
    <w:basedOn w:val="1"/>
    <w:next w:val="1"/>
    <w:unhideWhenUsed/>
    <w:qFormat/>
    <w:uiPriority w:val="39"/>
    <w:pPr>
      <w:tabs>
        <w:tab w:val="right" w:leader="dot" w:pos="8494"/>
      </w:tabs>
      <w:spacing w:line="240" w:lineRule="auto"/>
    </w:pPr>
  </w:style>
  <w:style w:type="paragraph" w:styleId="34">
    <w:name w:val="toc 9"/>
    <w:basedOn w:val="1"/>
    <w:next w:val="1"/>
    <w:unhideWhenUsed/>
    <w:qFormat/>
    <w:uiPriority w:val="39"/>
    <w:pPr>
      <w:adjustRightInd/>
      <w:snapToGrid/>
      <w:spacing w:line="240" w:lineRule="auto"/>
      <w:ind w:left="3360" w:leftChars="1600" w:firstLine="0" w:firstLineChars="0"/>
      <w:jc w:val="both"/>
    </w:pPr>
    <w:rPr>
      <w:rFonts w:ascii="Calibri" w:hAnsi="Calibri"/>
      <w:sz w:val="21"/>
    </w:rPr>
  </w:style>
  <w:style w:type="paragraph" w:styleId="35">
    <w:name w:val="Body Text 2"/>
    <w:basedOn w:val="1"/>
    <w:link w:val="161"/>
    <w:semiHidden/>
    <w:unhideWhenUsed/>
    <w:qFormat/>
    <w:uiPriority w:val="99"/>
    <w:pPr>
      <w:spacing w:after="120" w:line="480" w:lineRule="auto"/>
    </w:pPr>
  </w:style>
  <w:style w:type="paragraph" w:styleId="36">
    <w:name w:val="HTML Preformatted"/>
    <w:basedOn w:val="1"/>
    <w:link w:val="13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240" w:lineRule="auto"/>
      <w:ind w:firstLine="0" w:firstLineChars="0"/>
    </w:pPr>
    <w:rPr>
      <w:rFonts w:ascii="宋体" w:hAnsi="宋体" w:cs="宋体"/>
      <w:kern w:val="0"/>
      <w:sz w:val="24"/>
      <w:szCs w:val="24"/>
    </w:rPr>
  </w:style>
  <w:style w:type="paragraph" w:styleId="37">
    <w:name w:val="Normal (Web)"/>
    <w:basedOn w:val="1"/>
    <w:qFormat/>
    <w:uiPriority w:val="99"/>
    <w:pPr>
      <w:widowControl/>
      <w:adjustRightInd/>
      <w:snapToGrid/>
      <w:spacing w:beforeAutospacing="1" w:after="100" w:afterAutospacing="1" w:line="240" w:lineRule="auto"/>
      <w:ind w:firstLine="0" w:firstLineChars="0"/>
    </w:pPr>
    <w:rPr>
      <w:rFonts w:ascii="宋体" w:hAnsi="宋体"/>
      <w:kern w:val="0"/>
      <w:sz w:val="24"/>
      <w:szCs w:val="24"/>
    </w:rPr>
  </w:style>
  <w:style w:type="paragraph" w:styleId="38">
    <w:name w:val="List Continue 3"/>
    <w:basedOn w:val="1"/>
    <w:semiHidden/>
    <w:unhideWhenUsed/>
    <w:qFormat/>
    <w:uiPriority w:val="99"/>
    <w:pPr>
      <w:spacing w:after="120"/>
      <w:ind w:left="1260" w:leftChars="600"/>
      <w:contextualSpacing/>
    </w:pPr>
  </w:style>
  <w:style w:type="paragraph" w:styleId="39">
    <w:name w:val="Title"/>
    <w:basedOn w:val="1"/>
    <w:next w:val="1"/>
    <w:link w:val="57"/>
    <w:qFormat/>
    <w:uiPriority w:val="0"/>
    <w:pPr>
      <w:numPr>
        <w:ilvl w:val="4"/>
        <w:numId w:val="1"/>
      </w:numPr>
      <w:spacing w:line="440" w:lineRule="exact"/>
      <w:ind w:left="0" w:firstLine="0" w:firstLineChars="0"/>
      <w:jc w:val="center"/>
    </w:pPr>
    <w:rPr>
      <w:b/>
      <w:bCs/>
      <w:spacing w:val="8"/>
      <w:kern w:val="0"/>
      <w:szCs w:val="24"/>
    </w:rPr>
  </w:style>
  <w:style w:type="paragraph" w:styleId="40">
    <w:name w:val="annotation subject"/>
    <w:basedOn w:val="17"/>
    <w:next w:val="17"/>
    <w:link w:val="94"/>
    <w:semiHidden/>
    <w:unhideWhenUsed/>
    <w:qFormat/>
    <w:uiPriority w:val="99"/>
    <w:rPr>
      <w:b/>
      <w:bCs/>
    </w:rPr>
  </w:style>
  <w:style w:type="paragraph" w:styleId="41">
    <w:name w:val="Body Text First Indent"/>
    <w:basedOn w:val="18"/>
    <w:unhideWhenUsed/>
    <w:qFormat/>
    <w:uiPriority w:val="0"/>
    <w:pPr>
      <w:ind w:firstLine="420" w:firstLineChars="100"/>
    </w:pPr>
  </w:style>
  <w:style w:type="table" w:styleId="43">
    <w:name w:val="Table Grid"/>
    <w:basedOn w:val="42"/>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uiPriority w:val="0"/>
    <w:rPr>
      <w:b/>
      <w:bCs/>
    </w:rPr>
  </w:style>
  <w:style w:type="character" w:styleId="46">
    <w:name w:val="endnote reference"/>
    <w:basedOn w:val="44"/>
    <w:semiHidden/>
    <w:unhideWhenUsed/>
    <w:qFormat/>
    <w:uiPriority w:val="99"/>
    <w:rPr>
      <w:vertAlign w:val="superscript"/>
    </w:rPr>
  </w:style>
  <w:style w:type="character" w:styleId="47">
    <w:name w:val="page number"/>
    <w:qFormat/>
    <w:uiPriority w:val="0"/>
    <w:rPr>
      <w:rFonts w:eastAsia="宋体"/>
      <w:sz w:val="18"/>
    </w:rPr>
  </w:style>
  <w:style w:type="character" w:styleId="48">
    <w:name w:val="FollowedHyperlink"/>
    <w:semiHidden/>
    <w:unhideWhenUsed/>
    <w:qFormat/>
    <w:uiPriority w:val="99"/>
    <w:rPr>
      <w:color w:val="954F72"/>
      <w:u w:val="single"/>
    </w:rPr>
  </w:style>
  <w:style w:type="character" w:styleId="49">
    <w:name w:val="Emphasis"/>
    <w:qFormat/>
    <w:uiPriority w:val="20"/>
    <w:rPr>
      <w:i/>
      <w:iCs/>
    </w:rPr>
  </w:style>
  <w:style w:type="character" w:styleId="50">
    <w:name w:val="Hyperlink"/>
    <w:unhideWhenUsed/>
    <w:qFormat/>
    <w:uiPriority w:val="99"/>
    <w:rPr>
      <w:color w:val="0000FF"/>
      <w:u w:val="single"/>
    </w:rPr>
  </w:style>
  <w:style w:type="character" w:styleId="51">
    <w:name w:val="annotation reference"/>
    <w:unhideWhenUsed/>
    <w:qFormat/>
    <w:uiPriority w:val="0"/>
    <w:rPr>
      <w:sz w:val="21"/>
      <w:szCs w:val="21"/>
    </w:rPr>
  </w:style>
  <w:style w:type="character" w:customStyle="1" w:styleId="52">
    <w:name w:val="页眉 字符"/>
    <w:link w:val="28"/>
    <w:qFormat/>
    <w:uiPriority w:val="0"/>
    <w:rPr>
      <w:rFonts w:ascii="Times New Roman" w:hAnsi="Times New Roman" w:eastAsia="宋体" w:cs="Times New Roman"/>
      <w:szCs w:val="18"/>
    </w:rPr>
  </w:style>
  <w:style w:type="character" w:customStyle="1" w:styleId="53">
    <w:name w:val="页脚 字符"/>
    <w:link w:val="27"/>
    <w:qFormat/>
    <w:uiPriority w:val="0"/>
    <w:rPr>
      <w:rFonts w:ascii="Times New Roman" w:hAnsi="Times New Roman"/>
      <w:kern w:val="2"/>
      <w:sz w:val="21"/>
      <w:szCs w:val="18"/>
    </w:rPr>
  </w:style>
  <w:style w:type="character" w:customStyle="1" w:styleId="54">
    <w:name w:val="标题 1 字符"/>
    <w:link w:val="2"/>
    <w:qFormat/>
    <w:uiPriority w:val="0"/>
    <w:rPr>
      <w:rFonts w:ascii="Times New Roman" w:hAnsi="Times New Roman" w:eastAsia="黑体"/>
      <w:b/>
      <w:bCs/>
      <w:snapToGrid w:val="0"/>
      <w:color w:val="000000" w:themeColor="text1"/>
      <w:kern w:val="44"/>
      <w:sz w:val="36"/>
      <w:szCs w:val="44"/>
      <w14:textFill>
        <w14:solidFill>
          <w14:schemeClr w14:val="tx1"/>
        </w14:solidFill>
      </w14:textFill>
    </w:rPr>
  </w:style>
  <w:style w:type="character" w:customStyle="1" w:styleId="55">
    <w:name w:val="标题 2 字符"/>
    <w:link w:val="3"/>
    <w:qFormat/>
    <w:uiPriority w:val="0"/>
    <w:rPr>
      <w:rFonts w:ascii="Times New Roman" w:hAnsi="Times New Roman" w:eastAsia="黑体"/>
      <w:b/>
      <w:bCs/>
      <w:snapToGrid w:val="0"/>
      <w:color w:val="000000" w:themeColor="text1"/>
      <w:kern w:val="2"/>
      <w:sz w:val="28"/>
      <w:szCs w:val="32"/>
      <w14:textFill>
        <w14:solidFill>
          <w14:schemeClr w14:val="tx1"/>
        </w14:solidFill>
      </w14:textFill>
    </w:rPr>
  </w:style>
  <w:style w:type="character" w:customStyle="1" w:styleId="56">
    <w:name w:val="标题 3 字符"/>
    <w:link w:val="4"/>
    <w:qFormat/>
    <w:uiPriority w:val="0"/>
    <w:rPr>
      <w:rFonts w:ascii="Times New Roman" w:hAnsi="Times New Roman" w:eastAsia="宋体" w:cs="Times New Roman"/>
      <w:b/>
      <w:bCs/>
      <w:snapToGrid w:val="0"/>
      <w:kern w:val="2"/>
      <w:sz w:val="26"/>
      <w:szCs w:val="32"/>
    </w:rPr>
  </w:style>
  <w:style w:type="character" w:customStyle="1" w:styleId="57">
    <w:name w:val="标题 字符"/>
    <w:link w:val="39"/>
    <w:qFormat/>
    <w:uiPriority w:val="0"/>
    <w:rPr>
      <w:rFonts w:ascii="Times New Roman" w:hAnsi="Times New Roman"/>
      <w:b/>
      <w:bCs/>
      <w:spacing w:val="8"/>
      <w:sz w:val="26"/>
      <w:szCs w:val="24"/>
    </w:rPr>
  </w:style>
  <w:style w:type="character" w:customStyle="1" w:styleId="58">
    <w:name w:val="标题 4 字符"/>
    <w:link w:val="5"/>
    <w:qFormat/>
    <w:uiPriority w:val="0"/>
    <w:rPr>
      <w:rFonts w:ascii="Times New Roman" w:hAnsi="Times New Roman"/>
      <w:bCs/>
      <w:snapToGrid w:val="0"/>
      <w:color w:val="000000" w:themeColor="text1"/>
      <w:kern w:val="2"/>
      <w:sz w:val="26"/>
      <w:szCs w:val="28"/>
      <w14:textFill>
        <w14:solidFill>
          <w14:schemeClr w14:val="tx1"/>
        </w14:solidFill>
      </w14:textFill>
    </w:rPr>
  </w:style>
  <w:style w:type="character" w:customStyle="1" w:styleId="59">
    <w:name w:val="标题 5 字符"/>
    <w:link w:val="6"/>
    <w:qFormat/>
    <w:uiPriority w:val="0"/>
    <w:rPr>
      <w:rFonts w:ascii="Times New Roman" w:hAnsi="Times New Roman"/>
      <w:bCs/>
      <w:kern w:val="2"/>
      <w:sz w:val="26"/>
      <w:szCs w:val="28"/>
    </w:rPr>
  </w:style>
  <w:style w:type="character" w:customStyle="1" w:styleId="60">
    <w:name w:val="标题 6 字符"/>
    <w:link w:val="7"/>
    <w:qFormat/>
    <w:uiPriority w:val="9"/>
    <w:rPr>
      <w:rFonts w:ascii="Cambria" w:hAnsi="Cambria"/>
      <w:b/>
      <w:bCs/>
      <w:kern w:val="2"/>
      <w:sz w:val="24"/>
      <w:szCs w:val="22"/>
    </w:rPr>
  </w:style>
  <w:style w:type="character" w:customStyle="1" w:styleId="61">
    <w:name w:val="标题 7 字符"/>
    <w:link w:val="8"/>
    <w:qFormat/>
    <w:uiPriority w:val="9"/>
    <w:rPr>
      <w:rFonts w:ascii="Times New Roman" w:hAnsi="Times New Roman"/>
      <w:b/>
      <w:bCs/>
      <w:kern w:val="2"/>
      <w:sz w:val="24"/>
      <w:szCs w:val="22"/>
    </w:rPr>
  </w:style>
  <w:style w:type="character" w:customStyle="1" w:styleId="62">
    <w:name w:val="标题 8 字符"/>
    <w:link w:val="9"/>
    <w:qFormat/>
    <w:uiPriority w:val="9"/>
    <w:rPr>
      <w:rFonts w:ascii="Cambria" w:hAnsi="Cambria"/>
      <w:kern w:val="2"/>
      <w:sz w:val="24"/>
      <w:szCs w:val="22"/>
    </w:rPr>
  </w:style>
  <w:style w:type="character" w:customStyle="1" w:styleId="63">
    <w:name w:val="标题 9 字符"/>
    <w:link w:val="10"/>
    <w:qFormat/>
    <w:uiPriority w:val="9"/>
    <w:rPr>
      <w:rFonts w:ascii="Cambria" w:hAnsi="Cambria"/>
      <w:kern w:val="2"/>
      <w:sz w:val="21"/>
      <w:szCs w:val="21"/>
    </w:rPr>
  </w:style>
  <w:style w:type="character" w:customStyle="1" w:styleId="64">
    <w:name w:val="副标题 字符"/>
    <w:link w:val="31"/>
    <w:qFormat/>
    <w:uiPriority w:val="11"/>
    <w:rPr>
      <w:rFonts w:ascii="Cambria" w:hAnsi="Cambria" w:eastAsia="宋体" w:cs="Times New Roman"/>
      <w:b/>
      <w:bCs/>
      <w:kern w:val="28"/>
      <w:sz w:val="32"/>
      <w:szCs w:val="32"/>
    </w:rPr>
  </w:style>
  <w:style w:type="paragraph" w:styleId="65">
    <w:name w:val="No Spacing"/>
    <w:link w:val="149"/>
    <w:qFormat/>
    <w:uiPriority w:val="5"/>
    <w:pPr>
      <w:widowControl w:val="0"/>
      <w:adjustRightInd w:val="0"/>
      <w:snapToGrid w:val="0"/>
      <w:spacing w:line="480" w:lineRule="exact"/>
      <w:ind w:firstLine="200" w:firstLineChars="200"/>
    </w:pPr>
    <w:rPr>
      <w:rFonts w:ascii="Times New Roman" w:hAnsi="Times New Roman" w:eastAsia="宋体" w:cs="Times New Roman"/>
      <w:kern w:val="2"/>
      <w:sz w:val="26"/>
      <w:szCs w:val="22"/>
      <w:lang w:val="en-US" w:eastAsia="zh-CN" w:bidi="ar-SA"/>
    </w:rPr>
  </w:style>
  <w:style w:type="paragraph" w:styleId="66">
    <w:name w:val="List Paragraph"/>
    <w:basedOn w:val="1"/>
    <w:qFormat/>
    <w:uiPriority w:val="34"/>
    <w:pPr>
      <w:ind w:firstLine="420"/>
    </w:pPr>
  </w:style>
  <w:style w:type="paragraph" w:styleId="67">
    <w:name w:val="Quote"/>
    <w:basedOn w:val="1"/>
    <w:next w:val="1"/>
    <w:link w:val="68"/>
    <w:qFormat/>
    <w:uiPriority w:val="29"/>
    <w:rPr>
      <w:i/>
      <w:iCs/>
      <w:color w:val="000000"/>
    </w:rPr>
  </w:style>
  <w:style w:type="character" w:customStyle="1" w:styleId="68">
    <w:name w:val="引用 字符"/>
    <w:link w:val="67"/>
    <w:qFormat/>
    <w:uiPriority w:val="29"/>
    <w:rPr>
      <w:rFonts w:ascii="Times New Roman" w:hAnsi="Times New Roman" w:eastAsia="宋体"/>
      <w:i/>
      <w:iCs/>
      <w:color w:val="000000"/>
      <w:sz w:val="26"/>
    </w:rPr>
  </w:style>
  <w:style w:type="paragraph" w:styleId="69">
    <w:name w:val="Intense Quote"/>
    <w:basedOn w:val="1"/>
    <w:next w:val="1"/>
    <w:link w:val="70"/>
    <w:qFormat/>
    <w:uiPriority w:val="30"/>
    <w:pPr>
      <w:pBdr>
        <w:bottom w:val="single" w:color="4F81BD" w:sz="4" w:space="4"/>
      </w:pBdr>
      <w:spacing w:before="200" w:after="280"/>
      <w:ind w:left="936" w:right="936"/>
    </w:pPr>
    <w:rPr>
      <w:b/>
      <w:bCs/>
      <w:i/>
      <w:iCs/>
      <w:color w:val="4F81BD"/>
    </w:rPr>
  </w:style>
  <w:style w:type="character" w:customStyle="1" w:styleId="70">
    <w:name w:val="明显引用 字符"/>
    <w:link w:val="69"/>
    <w:qFormat/>
    <w:uiPriority w:val="30"/>
    <w:rPr>
      <w:rFonts w:ascii="Times New Roman" w:hAnsi="Times New Roman" w:eastAsia="宋体"/>
      <w:b/>
      <w:bCs/>
      <w:i/>
      <w:iCs/>
      <w:color w:val="4F81BD"/>
      <w:sz w:val="26"/>
    </w:rPr>
  </w:style>
  <w:style w:type="character" w:customStyle="1" w:styleId="71">
    <w:name w:val="不明显强调1"/>
    <w:qFormat/>
    <w:uiPriority w:val="19"/>
    <w:rPr>
      <w:i/>
      <w:iCs/>
      <w:color w:val="808080"/>
    </w:rPr>
  </w:style>
  <w:style w:type="character" w:customStyle="1" w:styleId="72">
    <w:name w:val="明显强调1"/>
    <w:qFormat/>
    <w:uiPriority w:val="21"/>
    <w:rPr>
      <w:b/>
      <w:bCs/>
      <w:i/>
      <w:iCs/>
      <w:color w:val="4F81BD"/>
    </w:rPr>
  </w:style>
  <w:style w:type="character" w:customStyle="1" w:styleId="73">
    <w:name w:val="不明显参考1"/>
    <w:qFormat/>
    <w:uiPriority w:val="31"/>
    <w:rPr>
      <w:smallCaps/>
      <w:color w:val="C0504D"/>
      <w:u w:val="single"/>
    </w:rPr>
  </w:style>
  <w:style w:type="character" w:customStyle="1" w:styleId="74">
    <w:name w:val="明显参考1"/>
    <w:qFormat/>
    <w:uiPriority w:val="32"/>
    <w:rPr>
      <w:b/>
      <w:bCs/>
      <w:smallCaps/>
      <w:color w:val="C0504D"/>
      <w:spacing w:val="5"/>
      <w:u w:val="single"/>
    </w:rPr>
  </w:style>
  <w:style w:type="character" w:customStyle="1" w:styleId="75">
    <w:name w:val="书籍标题1"/>
    <w:qFormat/>
    <w:uiPriority w:val="33"/>
    <w:rPr>
      <w:b/>
      <w:bCs/>
      <w:smallCaps/>
      <w:spacing w:val="5"/>
    </w:rPr>
  </w:style>
  <w:style w:type="paragraph" w:customStyle="1" w:styleId="76">
    <w:name w:val="TOC 标题1"/>
    <w:basedOn w:val="2"/>
    <w:next w:val="1"/>
    <w:semiHidden/>
    <w:unhideWhenUsed/>
    <w:qFormat/>
    <w:uiPriority w:val="39"/>
    <w:pPr>
      <w:keepNext/>
      <w:keepLines/>
      <w:spacing w:line="578" w:lineRule="atLeast"/>
      <w:ind w:firstLine="200" w:firstLineChars="200"/>
      <w:jc w:val="left"/>
      <w:outlineLvl w:val="9"/>
    </w:pPr>
    <w:rPr>
      <w:rFonts w:eastAsia="宋体"/>
      <w:snapToGrid/>
    </w:rPr>
  </w:style>
  <w:style w:type="paragraph" w:customStyle="1" w:styleId="77">
    <w:name w:val="正编号"/>
    <w:basedOn w:val="1"/>
    <w:next w:val="1"/>
    <w:link w:val="78"/>
    <w:qFormat/>
    <w:uiPriority w:val="0"/>
    <w:pPr>
      <w:numPr>
        <w:ilvl w:val="0"/>
        <w:numId w:val="5"/>
      </w:numPr>
      <w:tabs>
        <w:tab w:val="left" w:pos="0"/>
      </w:tabs>
      <w:ind w:firstLine="0" w:firstLineChars="0"/>
    </w:pPr>
  </w:style>
  <w:style w:type="character" w:customStyle="1" w:styleId="78">
    <w:name w:val="正编号 Char"/>
    <w:link w:val="77"/>
    <w:qFormat/>
    <w:uiPriority w:val="0"/>
    <w:rPr>
      <w:rFonts w:ascii="Times New Roman" w:hAnsi="Times New Roman"/>
      <w:kern w:val="2"/>
      <w:sz w:val="26"/>
      <w:szCs w:val="22"/>
    </w:rPr>
  </w:style>
  <w:style w:type="paragraph" w:customStyle="1" w:styleId="79">
    <w:name w:val="页眉x"/>
    <w:basedOn w:val="1"/>
    <w:qFormat/>
    <w:uiPriority w:val="0"/>
    <w:pPr>
      <w:spacing w:line="240" w:lineRule="auto"/>
      <w:ind w:firstLine="0" w:firstLineChars="0"/>
      <w:jc w:val="center"/>
    </w:pPr>
    <w:rPr>
      <w:rFonts w:ascii="宋体" w:hAnsi="宋体" w:cs="宋体"/>
      <w:kern w:val="0"/>
      <w:sz w:val="21"/>
    </w:rPr>
  </w:style>
  <w:style w:type="paragraph" w:customStyle="1" w:styleId="80">
    <w:name w:val="表头格式"/>
    <w:basedOn w:val="81"/>
    <w:qFormat/>
    <w:uiPriority w:val="0"/>
    <w:pPr>
      <w:spacing w:line="240" w:lineRule="auto"/>
      <w:ind w:firstLine="0" w:firstLineChars="0"/>
      <w:jc w:val="left"/>
    </w:pPr>
    <w:rPr>
      <w:color w:val="000000" w:themeColor="text1"/>
      <w:szCs w:val="36"/>
      <w14:textFill>
        <w14:solidFill>
          <w14:schemeClr w14:val="tx1"/>
        </w14:solidFill>
      </w14:textFill>
    </w:rPr>
  </w:style>
  <w:style w:type="paragraph" w:customStyle="1" w:styleId="81">
    <w:name w:val="【正文】"/>
    <w:basedOn w:val="1"/>
    <w:link w:val="176"/>
    <w:qFormat/>
    <w:uiPriority w:val="0"/>
    <w:pPr>
      <w:adjustRightInd/>
      <w:snapToGrid/>
      <w:spacing w:line="440" w:lineRule="exact"/>
      <w:ind w:firstLine="544"/>
      <w:jc w:val="both"/>
    </w:pPr>
    <w:rPr>
      <w:sz w:val="24"/>
      <w:szCs w:val="20"/>
      <w:lang w:val="zh-CN"/>
    </w:rPr>
  </w:style>
  <w:style w:type="paragraph" w:customStyle="1" w:styleId="82">
    <w:name w:val="页眉msy"/>
    <w:qFormat/>
    <w:uiPriority w:val="0"/>
    <w:pPr>
      <w:pBdr>
        <w:bottom w:val="single" w:color="auto" w:sz="4" w:space="1"/>
      </w:pBdr>
      <w:adjustRightInd w:val="0"/>
      <w:snapToGrid w:val="0"/>
      <w:jc w:val="center"/>
    </w:pPr>
    <w:rPr>
      <w:rFonts w:ascii="Times New Roman" w:hAnsi="Times New Roman" w:eastAsia="宋体" w:cs="Times New Roman"/>
      <w:kern w:val="2"/>
      <w:sz w:val="22"/>
      <w:szCs w:val="22"/>
      <w:lang w:val="en-US" w:eastAsia="zh-CN" w:bidi="ar-SA"/>
    </w:rPr>
  </w:style>
  <w:style w:type="paragraph" w:customStyle="1" w:styleId="83">
    <w:name w:val="页脚msy"/>
    <w:qFormat/>
    <w:uiPriority w:val="0"/>
    <w:pPr>
      <w:pBdr>
        <w:top w:val="single" w:color="auto" w:sz="4" w:space="1"/>
      </w:pBdr>
      <w:adjustRightInd w:val="0"/>
      <w:snapToGrid w:val="0"/>
      <w:jc w:val="center"/>
    </w:pPr>
    <w:rPr>
      <w:rFonts w:ascii="Times New Roman" w:hAnsi="Times New Roman" w:eastAsia="宋体" w:cs="Times New Roman"/>
      <w:kern w:val="2"/>
      <w:sz w:val="22"/>
      <w:szCs w:val="22"/>
      <w:lang w:val="en-US" w:eastAsia="zh-CN" w:bidi="ar-SA"/>
    </w:rPr>
  </w:style>
  <w:style w:type="paragraph" w:customStyle="1" w:styleId="84">
    <w:name w:val="表格"/>
    <w:link w:val="92"/>
    <w:qFormat/>
    <w:uiPriority w:val="0"/>
    <w:pPr>
      <w:adjustRightInd w:val="0"/>
      <w:snapToGrid w:val="0"/>
      <w:spacing w:line="320" w:lineRule="exact"/>
    </w:pPr>
    <w:rPr>
      <w:rFonts w:ascii="Times New Roman" w:hAnsi="Times New Roman" w:eastAsia="宋体" w:cs="Times New Roman"/>
      <w:kern w:val="2"/>
      <w:sz w:val="22"/>
      <w:szCs w:val="22"/>
      <w:lang w:val="en-US" w:eastAsia="zh-CN" w:bidi="ar-SA"/>
    </w:rPr>
  </w:style>
  <w:style w:type="character" w:customStyle="1" w:styleId="85">
    <w:name w:val="文档结构图 字符"/>
    <w:link w:val="16"/>
    <w:semiHidden/>
    <w:qFormat/>
    <w:uiPriority w:val="99"/>
    <w:rPr>
      <w:rFonts w:ascii="宋体" w:hAnsi="Times New Roman" w:eastAsia="宋体" w:cs="Times New Roman"/>
      <w:sz w:val="18"/>
      <w:szCs w:val="18"/>
    </w:rPr>
  </w:style>
  <w:style w:type="character" w:customStyle="1" w:styleId="86">
    <w:name w:val="正文文本 字符"/>
    <w:link w:val="18"/>
    <w:qFormat/>
    <w:uiPriority w:val="0"/>
    <w:rPr>
      <w:rFonts w:ascii="Times New Roman" w:hAnsi="Times New Roman"/>
      <w:snapToGrid w:val="0"/>
      <w:sz w:val="24"/>
      <w:szCs w:val="24"/>
    </w:rPr>
  </w:style>
  <w:style w:type="paragraph" w:customStyle="1" w:styleId="87">
    <w:name w:val="表格标题"/>
    <w:basedOn w:val="1"/>
    <w:link w:val="88"/>
    <w:qFormat/>
    <w:uiPriority w:val="0"/>
    <w:pPr>
      <w:spacing w:beforeLines="50"/>
      <w:ind w:firstLine="0" w:firstLineChars="0"/>
      <w:jc w:val="center"/>
    </w:pPr>
    <w:rPr>
      <w:b/>
      <w:snapToGrid w:val="0"/>
      <w:kern w:val="0"/>
      <w:sz w:val="24"/>
      <w:szCs w:val="24"/>
    </w:rPr>
  </w:style>
  <w:style w:type="character" w:customStyle="1" w:styleId="88">
    <w:name w:val="表格标题 Char"/>
    <w:link w:val="87"/>
    <w:qFormat/>
    <w:uiPriority w:val="0"/>
    <w:rPr>
      <w:rFonts w:ascii="Times New Roman" w:hAnsi="Times New Roman"/>
      <w:b/>
      <w:snapToGrid w:val="0"/>
      <w:sz w:val="24"/>
      <w:szCs w:val="24"/>
    </w:rPr>
  </w:style>
  <w:style w:type="paragraph" w:customStyle="1" w:styleId="89">
    <w:name w:val="表格文字-hao-居中"/>
    <w:link w:val="90"/>
    <w:qFormat/>
    <w:uiPriority w:val="0"/>
    <w:pPr>
      <w:widowControl w:val="0"/>
      <w:adjustRightInd w:val="0"/>
      <w:snapToGrid w:val="0"/>
      <w:jc w:val="center"/>
      <w:textAlignment w:val="center"/>
    </w:pPr>
    <w:rPr>
      <w:rFonts w:ascii="Times New Roman" w:hAnsi="宋体" w:eastAsia="宋体" w:cs="Times New Roman"/>
      <w:color w:val="000000"/>
      <w:kern w:val="2"/>
      <w:sz w:val="18"/>
      <w:szCs w:val="18"/>
      <w:lang w:val="en-US" w:eastAsia="zh-CN" w:bidi="ar-SA"/>
    </w:rPr>
  </w:style>
  <w:style w:type="character" w:customStyle="1" w:styleId="90">
    <w:name w:val="表格文字-hao-居中 Char"/>
    <w:link w:val="89"/>
    <w:qFormat/>
    <w:uiPriority w:val="0"/>
    <w:rPr>
      <w:rFonts w:ascii="Times New Roman" w:hAnsi="宋体"/>
      <w:color w:val="000000"/>
      <w:kern w:val="2"/>
      <w:sz w:val="18"/>
      <w:szCs w:val="18"/>
    </w:rPr>
  </w:style>
  <w:style w:type="paragraph" w:customStyle="1" w:styleId="91">
    <w:name w:val="表格文字1"/>
    <w:basedOn w:val="39"/>
    <w:qFormat/>
    <w:uiPriority w:val="0"/>
    <w:pPr>
      <w:spacing w:line="348" w:lineRule="auto"/>
      <w:textAlignment w:val="baseline"/>
    </w:pPr>
    <w:rPr>
      <w:bCs w:val="0"/>
      <w:snapToGrid w:val="0"/>
      <w:kern w:val="72"/>
      <w:sz w:val="21"/>
      <w:szCs w:val="72"/>
    </w:rPr>
  </w:style>
  <w:style w:type="character" w:customStyle="1" w:styleId="92">
    <w:name w:val="表格 Char"/>
    <w:link w:val="84"/>
    <w:qFormat/>
    <w:uiPriority w:val="0"/>
    <w:rPr>
      <w:rFonts w:ascii="Times New Roman" w:hAnsi="Times New Roman"/>
      <w:kern w:val="2"/>
      <w:sz w:val="22"/>
      <w:szCs w:val="22"/>
    </w:rPr>
  </w:style>
  <w:style w:type="character" w:customStyle="1" w:styleId="93">
    <w:name w:val="批注文字 字符"/>
    <w:link w:val="17"/>
    <w:qFormat/>
    <w:uiPriority w:val="0"/>
    <w:rPr>
      <w:rFonts w:ascii="Times New Roman" w:hAnsi="Times New Roman"/>
      <w:kern w:val="2"/>
      <w:sz w:val="26"/>
      <w:szCs w:val="22"/>
    </w:rPr>
  </w:style>
  <w:style w:type="character" w:customStyle="1" w:styleId="94">
    <w:name w:val="批注主题 字符"/>
    <w:link w:val="40"/>
    <w:semiHidden/>
    <w:qFormat/>
    <w:uiPriority w:val="99"/>
    <w:rPr>
      <w:rFonts w:ascii="Times New Roman" w:hAnsi="Times New Roman"/>
      <w:b/>
      <w:bCs/>
      <w:kern w:val="2"/>
      <w:sz w:val="26"/>
      <w:szCs w:val="22"/>
    </w:rPr>
  </w:style>
  <w:style w:type="character" w:customStyle="1" w:styleId="95">
    <w:name w:val="批注框文本 字符"/>
    <w:link w:val="26"/>
    <w:semiHidden/>
    <w:qFormat/>
    <w:uiPriority w:val="99"/>
    <w:rPr>
      <w:rFonts w:ascii="Times New Roman" w:hAnsi="Times New Roman"/>
      <w:kern w:val="2"/>
      <w:sz w:val="18"/>
      <w:szCs w:val="18"/>
    </w:rPr>
  </w:style>
  <w:style w:type="paragraph" w:customStyle="1" w:styleId="96">
    <w:name w:val="Char"/>
    <w:basedOn w:val="1"/>
    <w:semiHidden/>
    <w:qFormat/>
    <w:uiPriority w:val="0"/>
    <w:pPr>
      <w:adjustRightInd/>
      <w:snapToGrid/>
      <w:spacing w:line="240" w:lineRule="auto"/>
      <w:ind w:firstLine="0" w:firstLineChars="0"/>
      <w:jc w:val="both"/>
    </w:pPr>
    <w:rPr>
      <w:sz w:val="21"/>
      <w:szCs w:val="24"/>
    </w:rPr>
  </w:style>
  <w:style w:type="character" w:customStyle="1" w:styleId="97">
    <w:name w:val="纯文本 字符"/>
    <w:link w:val="22"/>
    <w:qFormat/>
    <w:uiPriority w:val="0"/>
    <w:rPr>
      <w:rFonts w:ascii="宋体" w:hAnsi="Courier New"/>
      <w:kern w:val="2"/>
      <w:sz w:val="21"/>
      <w:szCs w:val="21"/>
    </w:rPr>
  </w:style>
  <w:style w:type="paragraph" w:customStyle="1" w:styleId="98">
    <w:name w:val="表头-hao2"/>
    <w:qFormat/>
    <w:uiPriority w:val="0"/>
    <w:pPr>
      <w:adjustRightInd w:val="0"/>
      <w:snapToGrid w:val="0"/>
      <w:spacing w:line="348" w:lineRule="auto"/>
      <w:jc w:val="center"/>
    </w:pPr>
    <w:rPr>
      <w:rFonts w:ascii="Times New Roman" w:hAnsi="宋体" w:eastAsia="宋体" w:cs="Times New Roman"/>
      <w:b/>
      <w:color w:val="0000FF"/>
      <w:kern w:val="2"/>
      <w:sz w:val="24"/>
      <w:szCs w:val="24"/>
      <w:lang w:val="en-US" w:eastAsia="zh-CN" w:bidi="ar-SA"/>
    </w:rPr>
  </w:style>
  <w:style w:type="paragraph" w:customStyle="1" w:styleId="99">
    <w:name w:val="表头4"/>
    <w:basedOn w:val="1"/>
    <w:qFormat/>
    <w:uiPriority w:val="0"/>
    <w:pPr>
      <w:spacing w:line="348" w:lineRule="auto"/>
      <w:jc w:val="center"/>
      <w:textAlignment w:val="baseline"/>
    </w:pPr>
    <w:rPr>
      <w:b/>
      <w:kern w:val="72"/>
      <w:sz w:val="24"/>
      <w:szCs w:val="72"/>
    </w:rPr>
  </w:style>
  <w:style w:type="paragraph" w:customStyle="1" w:styleId="100">
    <w:name w:val="表格文字4"/>
    <w:basedOn w:val="39"/>
    <w:qFormat/>
    <w:uiPriority w:val="0"/>
    <w:pPr>
      <w:spacing w:line="348" w:lineRule="auto"/>
      <w:textAlignment w:val="baseline"/>
    </w:pPr>
    <w:rPr>
      <w:bCs w:val="0"/>
      <w:snapToGrid w:val="0"/>
      <w:kern w:val="72"/>
      <w:sz w:val="21"/>
      <w:szCs w:val="72"/>
    </w:rPr>
  </w:style>
  <w:style w:type="character" w:customStyle="1" w:styleId="101">
    <w:name w:val="fontstyle01"/>
    <w:qFormat/>
    <w:uiPriority w:val="0"/>
    <w:rPr>
      <w:rFonts w:hint="eastAsia" w:ascii="宋体" w:hAnsi="宋体" w:eastAsia="宋体"/>
      <w:color w:val="000000"/>
      <w:sz w:val="24"/>
      <w:szCs w:val="24"/>
    </w:rPr>
  </w:style>
  <w:style w:type="character" w:customStyle="1" w:styleId="102">
    <w:name w:val="fontstyle21"/>
    <w:qFormat/>
    <w:uiPriority w:val="0"/>
    <w:rPr>
      <w:rFonts w:hint="default" w:ascii="Times New Roman" w:hAnsi="Times New Roman" w:cs="Times New Roman"/>
      <w:color w:val="000000"/>
      <w:sz w:val="24"/>
      <w:szCs w:val="24"/>
    </w:rPr>
  </w:style>
  <w:style w:type="character" w:customStyle="1" w:styleId="103">
    <w:name w:val="题注 字符"/>
    <w:link w:val="15"/>
    <w:qFormat/>
    <w:uiPriority w:val="99"/>
    <w:rPr>
      <w:rFonts w:ascii="Cambria" w:hAnsi="Cambria" w:eastAsia="黑体"/>
      <w:kern w:val="2"/>
    </w:rPr>
  </w:style>
  <w:style w:type="paragraph" w:customStyle="1" w:styleId="10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05">
    <w:name w:val="t1"/>
    <w:qFormat/>
    <w:uiPriority w:val="0"/>
  </w:style>
  <w:style w:type="paragraph" w:customStyle="1" w:styleId="106">
    <w:name w:val="正文样式 Char"/>
    <w:basedOn w:val="1"/>
    <w:link w:val="107"/>
    <w:qFormat/>
    <w:uiPriority w:val="0"/>
    <w:pPr>
      <w:jc w:val="both"/>
    </w:pPr>
    <w:rPr>
      <w:color w:val="000000"/>
      <w:szCs w:val="26"/>
    </w:rPr>
  </w:style>
  <w:style w:type="character" w:customStyle="1" w:styleId="107">
    <w:name w:val="正文样式 Char Char"/>
    <w:link w:val="106"/>
    <w:qFormat/>
    <w:uiPriority w:val="0"/>
    <w:rPr>
      <w:rFonts w:ascii="Times New Roman" w:hAnsi="Times New Roman"/>
      <w:color w:val="000000"/>
      <w:kern w:val="2"/>
      <w:sz w:val="26"/>
      <w:szCs w:val="26"/>
    </w:rPr>
  </w:style>
  <w:style w:type="paragraph" w:customStyle="1" w:styleId="108">
    <w:name w:val="样式 左 首行缩进:  1.01 厘米"/>
    <w:basedOn w:val="1"/>
    <w:link w:val="109"/>
    <w:qFormat/>
    <w:uiPriority w:val="0"/>
    <w:pPr>
      <w:jc w:val="both"/>
    </w:pPr>
    <w:rPr>
      <w:rFonts w:cs="宋体"/>
      <w:szCs w:val="26"/>
    </w:rPr>
  </w:style>
  <w:style w:type="character" w:customStyle="1" w:styleId="109">
    <w:name w:val="样式 左 首行缩进:  1.01 厘米 Char"/>
    <w:link w:val="108"/>
    <w:qFormat/>
    <w:uiPriority w:val="0"/>
    <w:rPr>
      <w:rFonts w:ascii="Times New Roman" w:hAnsi="Times New Roman" w:cs="宋体"/>
      <w:kern w:val="2"/>
      <w:sz w:val="26"/>
      <w:szCs w:val="26"/>
    </w:rPr>
  </w:style>
  <w:style w:type="table" w:customStyle="1" w:styleId="110">
    <w:name w:val="Table Normal"/>
    <w:semiHidden/>
    <w:unhideWhenUsed/>
    <w:qFormat/>
    <w:uiPriority w:val="0"/>
    <w:pPr>
      <w:widowControl w:val="0"/>
    </w:pPr>
    <w:rPr>
      <w:sz w:val="22"/>
      <w:szCs w:val="22"/>
      <w:lang w:eastAsia="en-US"/>
    </w:rPr>
    <w:tblPr>
      <w:tblCellMar>
        <w:top w:w="0" w:type="dxa"/>
        <w:left w:w="0" w:type="dxa"/>
        <w:bottom w:w="0" w:type="dxa"/>
        <w:right w:w="0" w:type="dxa"/>
      </w:tblCellMar>
    </w:tblPr>
  </w:style>
  <w:style w:type="paragraph" w:customStyle="1" w:styleId="111">
    <w:name w:val="表格内容格式"/>
    <w:basedOn w:val="1"/>
    <w:next w:val="18"/>
    <w:qFormat/>
    <w:uiPriority w:val="1"/>
    <w:pPr>
      <w:adjustRightInd/>
      <w:snapToGrid/>
      <w:spacing w:line="240" w:lineRule="auto"/>
      <w:ind w:firstLine="0" w:firstLineChars="0"/>
      <w:jc w:val="center"/>
    </w:pPr>
    <w:rPr>
      <w:kern w:val="0"/>
      <w:sz w:val="22"/>
      <w:lang w:eastAsia="en-US"/>
    </w:rPr>
  </w:style>
  <w:style w:type="table" w:customStyle="1" w:styleId="112">
    <w:name w:val="lg"/>
    <w:basedOn w:val="42"/>
    <w:qFormat/>
    <w:uiPriority w:val="99"/>
    <w:pPr>
      <w:jc w:val="center"/>
      <w:textAlignment w:val="center"/>
    </w:pPr>
    <w:rPr>
      <w:rFonts w:ascii="Times New Roman" w:hAnsi="Times New Roman"/>
      <w:kern w:val="2"/>
      <w:sz w:val="22"/>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vAlign w:val="center"/>
    </w:tcPr>
  </w:style>
  <w:style w:type="paragraph" w:customStyle="1" w:styleId="113">
    <w:name w:val="Table Paragraph"/>
    <w:basedOn w:val="1"/>
    <w:qFormat/>
    <w:uiPriority w:val="1"/>
    <w:pPr>
      <w:adjustRightInd/>
      <w:snapToGrid/>
      <w:spacing w:line="240" w:lineRule="auto"/>
      <w:ind w:firstLine="0" w:firstLineChars="0"/>
    </w:pPr>
    <w:rPr>
      <w:rFonts w:ascii="Calibri" w:hAnsi="Calibri"/>
      <w:kern w:val="0"/>
      <w:sz w:val="22"/>
      <w:lang w:eastAsia="en-US"/>
    </w:rPr>
  </w:style>
  <w:style w:type="character" w:customStyle="1" w:styleId="114">
    <w:name w:val="纯文本 Char2"/>
    <w:qFormat/>
    <w:uiPriority w:val="0"/>
    <w:rPr>
      <w:rFonts w:ascii="宋体" w:hAnsi="Courier New" w:eastAsia="宋体" w:cs="Times New Roman"/>
      <w:szCs w:val="20"/>
    </w:rPr>
  </w:style>
  <w:style w:type="character" w:customStyle="1" w:styleId="115">
    <w:name w:val="正文文本缩进 字符"/>
    <w:link w:val="19"/>
    <w:semiHidden/>
    <w:qFormat/>
    <w:uiPriority w:val="99"/>
    <w:rPr>
      <w:rFonts w:ascii="Times New Roman" w:hAnsi="Times New Roman"/>
      <w:kern w:val="2"/>
      <w:sz w:val="26"/>
      <w:szCs w:val="22"/>
    </w:rPr>
  </w:style>
  <w:style w:type="character" w:customStyle="1" w:styleId="116">
    <w:name w:val="表格 Char Char"/>
    <w:qFormat/>
    <w:uiPriority w:val="0"/>
    <w:rPr>
      <w:rFonts w:eastAsia="宋体"/>
      <w:spacing w:val="10"/>
    </w:rPr>
  </w:style>
  <w:style w:type="paragraph" w:customStyle="1" w:styleId="117">
    <w:name w:val="修订1"/>
    <w:hidden/>
    <w:semiHidden/>
    <w:qFormat/>
    <w:uiPriority w:val="99"/>
    <w:rPr>
      <w:rFonts w:ascii="Times New Roman" w:hAnsi="Times New Roman" w:eastAsia="宋体" w:cs="Times New Roman"/>
      <w:kern w:val="2"/>
      <w:sz w:val="26"/>
      <w:szCs w:val="22"/>
      <w:lang w:val="en-US" w:eastAsia="zh-CN" w:bidi="ar-SA"/>
    </w:rPr>
  </w:style>
  <w:style w:type="paragraph" w:customStyle="1" w:styleId="118">
    <w:name w:val="样式1"/>
    <w:basedOn w:val="1"/>
    <w:link w:val="119"/>
    <w:qFormat/>
    <w:uiPriority w:val="0"/>
    <w:pPr>
      <w:ind w:firstLine="520"/>
      <w:jc w:val="both"/>
    </w:pPr>
    <w:rPr>
      <w:szCs w:val="26"/>
    </w:rPr>
  </w:style>
  <w:style w:type="character" w:customStyle="1" w:styleId="119">
    <w:name w:val="样式1 Char"/>
    <w:link w:val="118"/>
    <w:qFormat/>
    <w:uiPriority w:val="0"/>
    <w:rPr>
      <w:rFonts w:ascii="Times New Roman" w:hAnsi="Times New Roman"/>
      <w:kern w:val="2"/>
      <w:sz w:val="26"/>
      <w:szCs w:val="26"/>
    </w:rPr>
  </w:style>
  <w:style w:type="paragraph" w:customStyle="1" w:styleId="120">
    <w:name w:val="03表格文本"/>
    <w:basedOn w:val="1"/>
    <w:link w:val="121"/>
    <w:qFormat/>
    <w:uiPriority w:val="0"/>
    <w:pPr>
      <w:spacing w:line="360" w:lineRule="exact"/>
      <w:ind w:firstLine="0" w:firstLineChars="0"/>
      <w:jc w:val="center"/>
    </w:pPr>
    <w:rPr>
      <w:sz w:val="22"/>
    </w:rPr>
  </w:style>
  <w:style w:type="character" w:customStyle="1" w:styleId="121">
    <w:name w:val="03表格文本 Char"/>
    <w:link w:val="120"/>
    <w:qFormat/>
    <w:uiPriority w:val="0"/>
    <w:rPr>
      <w:rFonts w:ascii="Times New Roman" w:hAnsi="Times New Roman"/>
      <w:kern w:val="2"/>
      <w:sz w:val="22"/>
      <w:szCs w:val="22"/>
    </w:rPr>
  </w:style>
  <w:style w:type="paragraph" w:customStyle="1" w:styleId="122">
    <w:name w:val="表格内居中文字"/>
    <w:basedOn w:val="1"/>
    <w:qFormat/>
    <w:uiPriority w:val="0"/>
    <w:pPr>
      <w:adjustRightInd/>
      <w:snapToGrid/>
      <w:spacing w:line="240" w:lineRule="auto"/>
      <w:ind w:firstLine="0" w:firstLineChars="0"/>
      <w:jc w:val="center"/>
    </w:pPr>
    <w:rPr>
      <w:sz w:val="22"/>
      <w:szCs w:val="24"/>
    </w:rPr>
  </w:style>
  <w:style w:type="paragraph" w:customStyle="1" w:styleId="123">
    <w:name w:val="1正文"/>
    <w:basedOn w:val="1"/>
    <w:link w:val="124"/>
    <w:qFormat/>
    <w:uiPriority w:val="0"/>
    <w:pPr>
      <w:ind w:firstLine="520"/>
      <w:jc w:val="both"/>
    </w:pPr>
    <w:rPr>
      <w:rFonts w:hAnsi="宋体"/>
      <w:szCs w:val="26"/>
    </w:rPr>
  </w:style>
  <w:style w:type="character" w:customStyle="1" w:styleId="124">
    <w:name w:val="1正文 Char"/>
    <w:link w:val="123"/>
    <w:qFormat/>
    <w:uiPriority w:val="0"/>
    <w:rPr>
      <w:rFonts w:ascii="Times New Roman" w:hAnsi="宋体"/>
      <w:kern w:val="2"/>
      <w:sz w:val="26"/>
      <w:szCs w:val="26"/>
    </w:rPr>
  </w:style>
  <w:style w:type="paragraph" w:customStyle="1" w:styleId="125">
    <w:name w:val="0正文"/>
    <w:basedOn w:val="1"/>
    <w:link w:val="126"/>
    <w:qFormat/>
    <w:uiPriority w:val="0"/>
    <w:pPr>
      <w:jc w:val="both"/>
    </w:pPr>
    <w:rPr>
      <w:color w:val="000000"/>
      <w:szCs w:val="26"/>
    </w:rPr>
  </w:style>
  <w:style w:type="character" w:customStyle="1" w:styleId="126">
    <w:name w:val="0正文 Char"/>
    <w:link w:val="125"/>
    <w:qFormat/>
    <w:uiPriority w:val="0"/>
    <w:rPr>
      <w:rFonts w:ascii="Times New Roman" w:hAnsi="Times New Roman"/>
      <w:color w:val="000000"/>
      <w:kern w:val="2"/>
      <w:sz w:val="26"/>
      <w:szCs w:val="26"/>
    </w:rPr>
  </w:style>
  <w:style w:type="paragraph" w:customStyle="1" w:styleId="127">
    <w:name w:val="样式4"/>
    <w:basedOn w:val="1"/>
    <w:link w:val="163"/>
    <w:qFormat/>
    <w:uiPriority w:val="0"/>
    <w:pPr>
      <w:numPr>
        <w:ilvl w:val="3"/>
        <w:numId w:val="6"/>
      </w:numPr>
      <w:adjustRightInd/>
      <w:snapToGrid/>
      <w:spacing w:line="360" w:lineRule="auto"/>
      <w:ind w:left="200" w:hanging="200" w:hangingChars="200"/>
      <w:outlineLvl w:val="3"/>
    </w:pPr>
    <w:rPr>
      <w:rFonts w:cs="宋体"/>
      <w:b/>
      <w:color w:val="000000"/>
      <w:kern w:val="0"/>
      <w:szCs w:val="24"/>
    </w:rPr>
  </w:style>
  <w:style w:type="paragraph" w:customStyle="1" w:styleId="128">
    <w:name w:val="正文01"/>
    <w:basedOn w:val="1"/>
    <w:qFormat/>
    <w:uiPriority w:val="0"/>
    <w:pPr>
      <w:adjustRightInd/>
      <w:snapToGrid/>
      <w:spacing w:before="60"/>
      <w:jc w:val="both"/>
    </w:pPr>
    <w:rPr>
      <w:bCs/>
      <w:sz w:val="24"/>
      <w:szCs w:val="24"/>
    </w:rPr>
  </w:style>
  <w:style w:type="paragraph" w:customStyle="1" w:styleId="129">
    <w:name w:val="Char2"/>
    <w:basedOn w:val="1"/>
    <w:semiHidden/>
    <w:qFormat/>
    <w:uiPriority w:val="0"/>
    <w:pPr>
      <w:adjustRightInd/>
      <w:snapToGrid/>
      <w:spacing w:line="360" w:lineRule="auto"/>
      <w:jc w:val="both"/>
    </w:pPr>
    <w:rPr>
      <w:rFonts w:ascii="宋体" w:hAnsi="宋体" w:cs="宋体"/>
      <w:sz w:val="24"/>
      <w:szCs w:val="26"/>
    </w:rPr>
  </w:style>
  <w:style w:type="paragraph" w:customStyle="1" w:styleId="130">
    <w:name w:val="01正文"/>
    <w:basedOn w:val="1"/>
    <w:link w:val="131"/>
    <w:qFormat/>
    <w:uiPriority w:val="0"/>
    <w:pPr>
      <w:ind w:firstLine="520"/>
      <w:jc w:val="both"/>
    </w:pPr>
    <w:rPr>
      <w:szCs w:val="26"/>
    </w:rPr>
  </w:style>
  <w:style w:type="character" w:customStyle="1" w:styleId="131">
    <w:name w:val="01正文 Char"/>
    <w:link w:val="130"/>
    <w:qFormat/>
    <w:uiPriority w:val="0"/>
    <w:rPr>
      <w:rFonts w:ascii="Times New Roman" w:hAnsi="Times New Roman"/>
      <w:kern w:val="2"/>
      <w:sz w:val="26"/>
      <w:szCs w:val="26"/>
    </w:rPr>
  </w:style>
  <w:style w:type="character" w:customStyle="1" w:styleId="132">
    <w:name w:val="apple-converted-space"/>
    <w:basedOn w:val="44"/>
    <w:qFormat/>
    <w:uiPriority w:val="0"/>
  </w:style>
  <w:style w:type="paragraph" w:customStyle="1" w:styleId="133">
    <w:name w:val="Char1"/>
    <w:basedOn w:val="1"/>
    <w:semiHidden/>
    <w:qFormat/>
    <w:uiPriority w:val="0"/>
    <w:pPr>
      <w:adjustRightInd/>
      <w:snapToGrid/>
      <w:spacing w:line="360" w:lineRule="auto"/>
      <w:jc w:val="both"/>
    </w:pPr>
    <w:rPr>
      <w:rFonts w:ascii="宋体" w:hAnsi="宋体" w:cs="宋体"/>
      <w:sz w:val="24"/>
      <w:szCs w:val="26"/>
    </w:rPr>
  </w:style>
  <w:style w:type="paragraph" w:customStyle="1" w:styleId="134">
    <w:name w:val="插图标题"/>
    <w:basedOn w:val="1"/>
    <w:link w:val="135"/>
    <w:qFormat/>
    <w:uiPriority w:val="0"/>
    <w:pPr>
      <w:spacing w:beforeLines="10"/>
      <w:ind w:firstLine="0" w:firstLineChars="0"/>
      <w:jc w:val="center"/>
    </w:pPr>
    <w:rPr>
      <w:b/>
      <w:snapToGrid w:val="0"/>
      <w:kern w:val="0"/>
      <w:sz w:val="24"/>
      <w:szCs w:val="24"/>
    </w:rPr>
  </w:style>
  <w:style w:type="character" w:customStyle="1" w:styleId="135">
    <w:name w:val="插图标题 Char"/>
    <w:link w:val="134"/>
    <w:qFormat/>
    <w:uiPriority w:val="0"/>
    <w:rPr>
      <w:rFonts w:ascii="Times New Roman" w:hAnsi="Times New Roman"/>
      <w:b/>
      <w:snapToGrid w:val="0"/>
      <w:sz w:val="24"/>
      <w:szCs w:val="24"/>
    </w:rPr>
  </w:style>
  <w:style w:type="character" w:customStyle="1" w:styleId="136">
    <w:name w:val="HTML 预设格式 字符"/>
    <w:link w:val="36"/>
    <w:qFormat/>
    <w:uiPriority w:val="0"/>
    <w:rPr>
      <w:rFonts w:ascii="宋体" w:hAnsi="宋体" w:cs="宋体"/>
      <w:sz w:val="24"/>
      <w:szCs w:val="24"/>
    </w:rPr>
  </w:style>
  <w:style w:type="paragraph" w:customStyle="1" w:styleId="137">
    <w:name w:val="表格样式"/>
    <w:basedOn w:val="1"/>
    <w:link w:val="138"/>
    <w:qFormat/>
    <w:uiPriority w:val="0"/>
    <w:pPr>
      <w:adjustRightInd/>
      <w:snapToGrid/>
      <w:spacing w:line="320" w:lineRule="exact"/>
      <w:ind w:firstLine="0" w:firstLineChars="0"/>
      <w:contextualSpacing/>
      <w:jc w:val="both"/>
    </w:pPr>
    <w:rPr>
      <w:sz w:val="22"/>
      <w:szCs w:val="24"/>
    </w:rPr>
  </w:style>
  <w:style w:type="character" w:customStyle="1" w:styleId="138">
    <w:name w:val="表格样式 Char"/>
    <w:link w:val="137"/>
    <w:qFormat/>
    <w:uiPriority w:val="0"/>
    <w:rPr>
      <w:rFonts w:ascii="Times New Roman" w:hAnsi="Times New Roman"/>
      <w:kern w:val="2"/>
      <w:sz w:val="22"/>
      <w:szCs w:val="24"/>
    </w:rPr>
  </w:style>
  <w:style w:type="paragraph" w:customStyle="1" w:styleId="139">
    <w:name w:val="表"/>
    <w:basedOn w:val="1"/>
    <w:link w:val="140"/>
    <w:qFormat/>
    <w:uiPriority w:val="0"/>
    <w:pPr>
      <w:adjustRightInd/>
      <w:snapToGrid/>
      <w:spacing w:line="240" w:lineRule="auto"/>
      <w:ind w:firstLine="0" w:firstLineChars="0"/>
      <w:jc w:val="both"/>
    </w:pPr>
    <w:rPr>
      <w:kern w:val="0"/>
      <w:szCs w:val="20"/>
    </w:rPr>
  </w:style>
  <w:style w:type="character" w:customStyle="1" w:styleId="140">
    <w:name w:val="表 Char"/>
    <w:link w:val="139"/>
    <w:qFormat/>
    <w:uiPriority w:val="0"/>
    <w:rPr>
      <w:rFonts w:ascii="Times New Roman" w:hAnsi="Times New Roman"/>
      <w:sz w:val="26"/>
    </w:rPr>
  </w:style>
  <w:style w:type="paragraph" w:customStyle="1" w:styleId="141">
    <w:name w:val="流程图"/>
    <w:basedOn w:val="1"/>
    <w:qFormat/>
    <w:uiPriority w:val="0"/>
    <w:pPr>
      <w:tabs>
        <w:tab w:val="left" w:pos="0"/>
      </w:tabs>
      <w:autoSpaceDE w:val="0"/>
      <w:autoSpaceDN w:val="0"/>
      <w:snapToGrid/>
      <w:spacing w:line="240" w:lineRule="atLeast"/>
      <w:jc w:val="center"/>
      <w:textAlignment w:val="bottom"/>
    </w:pPr>
    <w:rPr>
      <w:rFonts w:ascii="宋体"/>
      <w:sz w:val="21"/>
      <w:szCs w:val="20"/>
    </w:rPr>
  </w:style>
  <w:style w:type="paragraph" w:customStyle="1" w:styleId="142">
    <w:name w:val="正文四号"/>
    <w:basedOn w:val="1"/>
    <w:link w:val="143"/>
    <w:qFormat/>
    <w:uiPriority w:val="0"/>
    <w:pPr>
      <w:spacing w:line="360" w:lineRule="auto"/>
      <w:jc w:val="both"/>
    </w:pPr>
    <w:rPr>
      <w:rFonts w:cs="宋体"/>
      <w:sz w:val="24"/>
      <w:szCs w:val="24"/>
    </w:rPr>
  </w:style>
  <w:style w:type="character" w:customStyle="1" w:styleId="143">
    <w:name w:val="正文四号 Char"/>
    <w:link w:val="142"/>
    <w:qFormat/>
    <w:uiPriority w:val="0"/>
    <w:rPr>
      <w:rFonts w:ascii="Times New Roman" w:hAnsi="Times New Roman" w:cs="宋体"/>
      <w:kern w:val="2"/>
      <w:sz w:val="24"/>
      <w:szCs w:val="24"/>
    </w:rPr>
  </w:style>
  <w:style w:type="paragraph" w:customStyle="1" w:styleId="144">
    <w:name w:val="样式20"/>
    <w:basedOn w:val="1"/>
    <w:qFormat/>
    <w:uiPriority w:val="0"/>
    <w:pPr>
      <w:spacing w:line="320" w:lineRule="exact"/>
      <w:ind w:firstLine="0" w:firstLineChars="0"/>
      <w:jc w:val="center"/>
    </w:pPr>
    <w:rPr>
      <w:rFonts w:ascii="宋体" w:hAnsi="宋体"/>
      <w:sz w:val="22"/>
    </w:rPr>
  </w:style>
  <w:style w:type="character" w:customStyle="1" w:styleId="145">
    <w:name w:val="正文缩进 字符"/>
    <w:link w:val="14"/>
    <w:qFormat/>
    <w:uiPriority w:val="0"/>
    <w:rPr>
      <w:rFonts w:ascii="Times New Roman" w:hAnsi="Times New Roman"/>
      <w:b/>
      <w:color w:val="000000"/>
      <w:sz w:val="24"/>
      <w:szCs w:val="24"/>
    </w:rPr>
  </w:style>
  <w:style w:type="paragraph" w:customStyle="1" w:styleId="146">
    <w:name w:val="图表"/>
    <w:basedOn w:val="1"/>
    <w:qFormat/>
    <w:uiPriority w:val="0"/>
    <w:pPr>
      <w:autoSpaceDE w:val="0"/>
      <w:autoSpaceDN w:val="0"/>
      <w:jc w:val="center"/>
    </w:pPr>
    <w:rPr>
      <w:kern w:val="0"/>
      <w:szCs w:val="24"/>
    </w:rPr>
  </w:style>
  <w:style w:type="paragraph" w:customStyle="1" w:styleId="147">
    <w:name w:val="样式 13 磅 行距: 固定值 23 磅 首行缩进:  2 字符"/>
    <w:basedOn w:val="1"/>
    <w:link w:val="148"/>
    <w:qFormat/>
    <w:uiPriority w:val="0"/>
    <w:pPr>
      <w:ind w:firstLine="520"/>
      <w:jc w:val="both"/>
    </w:pPr>
    <w:rPr>
      <w:rFonts w:cs="宋体"/>
      <w:szCs w:val="20"/>
    </w:rPr>
  </w:style>
  <w:style w:type="character" w:customStyle="1" w:styleId="148">
    <w:name w:val="样式 13 磅 行距: 固定值 23 磅 首行缩进:  2 字符 Char"/>
    <w:link w:val="147"/>
    <w:qFormat/>
    <w:uiPriority w:val="0"/>
    <w:rPr>
      <w:rFonts w:ascii="Times New Roman" w:hAnsi="Times New Roman" w:cs="宋体"/>
      <w:kern w:val="2"/>
      <w:sz w:val="26"/>
    </w:rPr>
  </w:style>
  <w:style w:type="character" w:customStyle="1" w:styleId="149">
    <w:name w:val="无间隔 字符"/>
    <w:link w:val="65"/>
    <w:qFormat/>
    <w:uiPriority w:val="5"/>
    <w:rPr>
      <w:rFonts w:ascii="Times New Roman" w:hAnsi="Times New Roman"/>
      <w:kern w:val="2"/>
      <w:sz w:val="26"/>
      <w:szCs w:val="22"/>
    </w:rPr>
  </w:style>
  <w:style w:type="character" w:customStyle="1" w:styleId="150">
    <w:name w:val="fontstyle31"/>
    <w:qFormat/>
    <w:uiPriority w:val="0"/>
    <w:rPr>
      <w:rFonts w:hint="default" w:ascii="Times New Roman" w:hAnsi="Times New Roman" w:cs="Times New Roman"/>
      <w:color w:val="000000"/>
      <w:sz w:val="26"/>
      <w:szCs w:val="26"/>
    </w:rPr>
  </w:style>
  <w:style w:type="character" w:customStyle="1" w:styleId="151">
    <w:name w:val="fontstyle11"/>
    <w:qFormat/>
    <w:uiPriority w:val="0"/>
    <w:rPr>
      <w:rFonts w:hint="default" w:ascii="Times New Roman" w:hAnsi="Times New Roman" w:cs="Times New Roman"/>
      <w:color w:val="000000"/>
      <w:sz w:val="22"/>
      <w:szCs w:val="22"/>
    </w:rPr>
  </w:style>
  <w:style w:type="character" w:customStyle="1" w:styleId="152">
    <w:name w:val="表格（10号字） Char"/>
    <w:link w:val="153"/>
    <w:qFormat/>
    <w:uiPriority w:val="0"/>
    <w:rPr>
      <w:rFonts w:hAnsi="宋体" w:cs="宋体"/>
      <w:color w:val="000000"/>
    </w:rPr>
  </w:style>
  <w:style w:type="paragraph" w:customStyle="1" w:styleId="153">
    <w:name w:val="表格（10号字）"/>
    <w:basedOn w:val="1"/>
    <w:link w:val="152"/>
    <w:qFormat/>
    <w:uiPriority w:val="0"/>
    <w:pPr>
      <w:spacing w:beforeLines="5" w:afterLines="5" w:line="240" w:lineRule="auto"/>
      <w:ind w:firstLine="0" w:firstLineChars="0"/>
      <w:jc w:val="center"/>
      <w:textAlignment w:val="center"/>
    </w:pPr>
    <w:rPr>
      <w:rFonts w:ascii="Calibri" w:hAnsi="宋体" w:cs="宋体"/>
      <w:color w:val="000000"/>
      <w:kern w:val="0"/>
      <w:sz w:val="20"/>
      <w:szCs w:val="20"/>
    </w:rPr>
  </w:style>
  <w:style w:type="paragraph" w:customStyle="1" w:styleId="154">
    <w:name w:val="正文 首行缩进:  2 字符"/>
    <w:basedOn w:val="1"/>
    <w:qFormat/>
    <w:uiPriority w:val="0"/>
    <w:pPr>
      <w:adjustRightInd/>
      <w:snapToGrid/>
      <w:spacing w:line="240" w:lineRule="auto"/>
      <w:ind w:firstLine="579"/>
      <w:jc w:val="both"/>
    </w:pPr>
    <w:rPr>
      <w:sz w:val="28"/>
      <w:szCs w:val="20"/>
    </w:rPr>
  </w:style>
  <w:style w:type="paragraph" w:customStyle="1" w:styleId="155">
    <w:name w:val="表格序号"/>
    <w:basedOn w:val="1"/>
    <w:qFormat/>
    <w:uiPriority w:val="0"/>
    <w:pPr>
      <w:widowControl/>
      <w:adjustRightInd/>
      <w:snapToGrid/>
      <w:spacing w:beforeLines="50"/>
      <w:ind w:firstLine="0" w:firstLineChars="0"/>
      <w:jc w:val="center"/>
    </w:pPr>
    <w:rPr>
      <w:b/>
      <w:color w:val="000000"/>
      <w:szCs w:val="24"/>
    </w:rPr>
  </w:style>
  <w:style w:type="paragraph" w:customStyle="1" w:styleId="156">
    <w:name w:val="样式5"/>
    <w:basedOn w:val="127"/>
    <w:qFormat/>
    <w:uiPriority w:val="0"/>
    <w:pPr>
      <w:numPr>
        <w:ilvl w:val="0"/>
        <w:numId w:val="0"/>
      </w:numPr>
      <w:adjustRightInd w:val="0"/>
      <w:snapToGrid w:val="0"/>
      <w:spacing w:before="50" w:beforeLines="50" w:line="480" w:lineRule="atLeast"/>
      <w:jc w:val="center"/>
      <w:outlineLvl w:val="4"/>
    </w:pPr>
    <w:rPr>
      <w:rFonts w:cs="Times New Roman"/>
      <w:b w:val="0"/>
      <w:kern w:val="2"/>
      <w:szCs w:val="26"/>
    </w:rPr>
  </w:style>
  <w:style w:type="paragraph" w:customStyle="1" w:styleId="157">
    <w:name w:val="标题1"/>
    <w:basedOn w:val="1"/>
    <w:qFormat/>
    <w:uiPriority w:val="0"/>
    <w:pPr>
      <w:widowControl/>
      <w:adjustRightInd/>
      <w:spacing w:before="156" w:beforeLines="50" w:after="156" w:afterLines="50" w:line="500" w:lineRule="atLeast"/>
      <w:ind w:firstLine="0" w:firstLineChars="0"/>
      <w:jc w:val="center"/>
      <w:outlineLvl w:val="0"/>
    </w:pPr>
    <w:rPr>
      <w:b/>
      <w:kern w:val="0"/>
      <w:sz w:val="36"/>
      <w:szCs w:val="26"/>
    </w:rPr>
  </w:style>
  <w:style w:type="paragraph" w:customStyle="1" w:styleId="158">
    <w:name w:val="_Style 589"/>
    <w:basedOn w:val="1"/>
    <w:qFormat/>
    <w:uiPriority w:val="0"/>
    <w:pPr>
      <w:adjustRightInd/>
      <w:snapToGrid/>
      <w:spacing w:line="240" w:lineRule="auto"/>
      <w:ind w:firstLine="0" w:firstLineChars="0"/>
      <w:jc w:val="both"/>
    </w:pPr>
    <w:rPr>
      <w:kern w:val="0"/>
      <w:sz w:val="20"/>
      <w:szCs w:val="20"/>
    </w:rPr>
  </w:style>
  <w:style w:type="paragraph" w:customStyle="1" w:styleId="159">
    <w:name w:val="样式 13 磅 行距: 固定值 24 磅1"/>
    <w:basedOn w:val="1"/>
    <w:qFormat/>
    <w:uiPriority w:val="0"/>
    <w:pPr>
      <w:adjustRightInd/>
      <w:snapToGrid/>
      <w:jc w:val="both"/>
    </w:pPr>
    <w:rPr>
      <w:rFonts w:cs="宋体"/>
      <w:szCs w:val="20"/>
    </w:rPr>
  </w:style>
  <w:style w:type="character" w:customStyle="1" w:styleId="160">
    <w:name w:val="正文文本缩进 2 字符"/>
    <w:link w:val="24"/>
    <w:semiHidden/>
    <w:qFormat/>
    <w:uiPriority w:val="99"/>
    <w:rPr>
      <w:rFonts w:ascii="Times New Roman" w:hAnsi="Times New Roman"/>
      <w:kern w:val="2"/>
      <w:sz w:val="26"/>
      <w:szCs w:val="22"/>
    </w:rPr>
  </w:style>
  <w:style w:type="character" w:customStyle="1" w:styleId="161">
    <w:name w:val="正文文本 2 字符"/>
    <w:link w:val="35"/>
    <w:semiHidden/>
    <w:qFormat/>
    <w:uiPriority w:val="99"/>
    <w:rPr>
      <w:rFonts w:ascii="Times New Roman" w:hAnsi="Times New Roman"/>
      <w:kern w:val="2"/>
      <w:sz w:val="26"/>
      <w:szCs w:val="22"/>
    </w:rPr>
  </w:style>
  <w:style w:type="paragraph" w:customStyle="1" w:styleId="162">
    <w:name w:val="02表格标题"/>
    <w:basedOn w:val="1"/>
    <w:qFormat/>
    <w:uiPriority w:val="0"/>
    <w:pPr>
      <w:spacing w:before="156" w:beforeLines="50"/>
      <w:ind w:firstLine="0" w:firstLineChars="0"/>
      <w:jc w:val="center"/>
      <w:outlineLvl w:val="4"/>
    </w:pPr>
    <w:rPr>
      <w:szCs w:val="26"/>
    </w:rPr>
  </w:style>
  <w:style w:type="character" w:customStyle="1" w:styleId="163">
    <w:name w:val="样式4 Char"/>
    <w:link w:val="127"/>
    <w:qFormat/>
    <w:uiPriority w:val="0"/>
    <w:rPr>
      <w:rFonts w:ascii="Times New Roman" w:hAnsi="Times New Roman" w:eastAsia="宋体" w:cs="宋体"/>
      <w:b/>
      <w:color w:val="000000"/>
      <w:sz w:val="26"/>
      <w:szCs w:val="24"/>
    </w:rPr>
  </w:style>
  <w:style w:type="paragraph" w:customStyle="1" w:styleId="164">
    <w:name w:val="样式10"/>
    <w:basedOn w:val="1"/>
    <w:qFormat/>
    <w:uiPriority w:val="0"/>
    <w:pPr>
      <w:ind w:firstLine="520"/>
      <w:jc w:val="both"/>
    </w:pPr>
    <w:rPr>
      <w:rFonts w:hAnsi="宋体"/>
      <w:szCs w:val="26"/>
    </w:rPr>
  </w:style>
  <w:style w:type="paragraph" w:customStyle="1" w:styleId="165">
    <w:name w:val="新格式表"/>
    <w:basedOn w:val="1"/>
    <w:link w:val="166"/>
    <w:qFormat/>
    <w:uiPriority w:val="0"/>
    <w:pPr>
      <w:adjustRightInd/>
      <w:snapToGrid/>
      <w:spacing w:line="240" w:lineRule="auto"/>
      <w:ind w:firstLine="0" w:firstLineChars="0"/>
      <w:jc w:val="center"/>
    </w:pPr>
    <w:rPr>
      <w:b/>
      <w:color w:val="000000"/>
      <w:sz w:val="21"/>
      <w:szCs w:val="21"/>
      <w:lang w:val="zh-CN"/>
    </w:rPr>
  </w:style>
  <w:style w:type="character" w:customStyle="1" w:styleId="166">
    <w:name w:val="新格式表 Char"/>
    <w:link w:val="165"/>
    <w:qFormat/>
    <w:uiPriority w:val="0"/>
    <w:rPr>
      <w:rFonts w:ascii="Times New Roman" w:hAnsi="Times New Roman"/>
      <w:b/>
      <w:color w:val="000000"/>
      <w:kern w:val="2"/>
      <w:sz w:val="21"/>
      <w:szCs w:val="21"/>
      <w:lang w:val="zh-CN" w:eastAsia="zh-CN"/>
    </w:rPr>
  </w:style>
  <w:style w:type="paragraph" w:customStyle="1" w:styleId="167">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168">
    <w:name w:val="宗兴正文 Char Char"/>
    <w:link w:val="169"/>
    <w:qFormat/>
    <w:uiPriority w:val="0"/>
    <w:rPr>
      <w:kern w:val="2"/>
      <w:sz w:val="24"/>
      <w:szCs w:val="24"/>
    </w:rPr>
  </w:style>
  <w:style w:type="paragraph" w:customStyle="1" w:styleId="169">
    <w:name w:val="宗兴正文"/>
    <w:basedOn w:val="1"/>
    <w:link w:val="168"/>
    <w:qFormat/>
    <w:uiPriority w:val="0"/>
    <w:pPr>
      <w:adjustRightInd/>
      <w:snapToGrid/>
      <w:spacing w:before="93" w:after="93" w:line="360" w:lineRule="auto"/>
      <w:ind w:firstLine="480"/>
    </w:pPr>
    <w:rPr>
      <w:rFonts w:ascii="Calibri" w:hAnsi="Calibri"/>
      <w:sz w:val="24"/>
      <w:szCs w:val="24"/>
    </w:rPr>
  </w:style>
  <w:style w:type="character" w:customStyle="1" w:styleId="170">
    <w:name w:val="正文（天安） Char Char"/>
    <w:link w:val="171"/>
    <w:qFormat/>
    <w:uiPriority w:val="0"/>
    <w:rPr>
      <w:kern w:val="2"/>
      <w:sz w:val="24"/>
      <w:szCs w:val="24"/>
    </w:rPr>
  </w:style>
  <w:style w:type="paragraph" w:customStyle="1" w:styleId="171">
    <w:name w:val="正文（天安）"/>
    <w:basedOn w:val="1"/>
    <w:link w:val="170"/>
    <w:qFormat/>
    <w:uiPriority w:val="0"/>
    <w:pPr>
      <w:overflowPunct w:val="0"/>
      <w:autoSpaceDE w:val="0"/>
      <w:autoSpaceDN w:val="0"/>
      <w:spacing w:before="93" w:beforeLines="30" w:after="93" w:afterLines="30" w:line="360" w:lineRule="auto"/>
      <w:jc w:val="both"/>
      <w:textAlignment w:val="baseline"/>
    </w:pPr>
    <w:rPr>
      <w:rFonts w:ascii="Calibri" w:hAnsi="Calibri"/>
      <w:sz w:val="24"/>
      <w:szCs w:val="24"/>
    </w:rPr>
  </w:style>
  <w:style w:type="paragraph" w:customStyle="1" w:styleId="172">
    <w:name w:val="图名格式"/>
    <w:basedOn w:val="1"/>
    <w:qFormat/>
    <w:uiPriority w:val="0"/>
    <w:pPr>
      <w:spacing w:before="50" w:beforeLines="50" w:after="50" w:afterLines="50" w:line="360" w:lineRule="auto"/>
      <w:ind w:firstLine="0" w:firstLineChars="0"/>
      <w:jc w:val="center"/>
    </w:pPr>
    <w:rPr>
      <w:b/>
    </w:rPr>
  </w:style>
  <w:style w:type="character" w:customStyle="1" w:styleId="173">
    <w:name w:val="表标题 Char"/>
    <w:link w:val="174"/>
    <w:qFormat/>
    <w:uiPriority w:val="0"/>
    <w:rPr>
      <w:rFonts w:ascii="仿宋_GB2312" w:hAnsi="宋体"/>
      <w:spacing w:val="21"/>
      <w:sz w:val="28"/>
    </w:rPr>
  </w:style>
  <w:style w:type="paragraph" w:customStyle="1" w:styleId="174">
    <w:name w:val="表标题"/>
    <w:basedOn w:val="1"/>
    <w:link w:val="173"/>
    <w:qFormat/>
    <w:uiPriority w:val="0"/>
    <w:pPr>
      <w:adjustRightInd/>
      <w:snapToGrid/>
      <w:spacing w:line="400" w:lineRule="atLeast"/>
      <w:ind w:firstLine="644" w:firstLineChars="0"/>
      <w:jc w:val="center"/>
    </w:pPr>
    <w:rPr>
      <w:rFonts w:ascii="仿宋_GB2312" w:hAnsi="宋体"/>
      <w:spacing w:val="21"/>
      <w:kern w:val="0"/>
      <w:sz w:val="28"/>
      <w:szCs w:val="20"/>
    </w:rPr>
  </w:style>
  <w:style w:type="paragraph" w:customStyle="1" w:styleId="175">
    <w:name w:val="列出段落2"/>
    <w:basedOn w:val="1"/>
    <w:qFormat/>
    <w:uiPriority w:val="34"/>
    <w:pPr>
      <w:adjustRightInd/>
      <w:snapToGrid/>
      <w:spacing w:line="240" w:lineRule="auto"/>
      <w:ind w:firstLine="420"/>
      <w:jc w:val="both"/>
    </w:pPr>
    <w:rPr>
      <w:rFonts w:ascii="Calibri" w:hAnsi="Calibri"/>
      <w:sz w:val="21"/>
    </w:rPr>
  </w:style>
  <w:style w:type="character" w:customStyle="1" w:styleId="176">
    <w:name w:val="【正文】 Char"/>
    <w:link w:val="81"/>
    <w:qFormat/>
    <w:uiPriority w:val="0"/>
    <w:rPr>
      <w:rFonts w:ascii="Times New Roman" w:hAnsi="Times New Roman"/>
      <w:kern w:val="2"/>
      <w:sz w:val="24"/>
      <w:lang w:val="zh-CN" w:eastAsia="zh-CN"/>
    </w:rPr>
  </w:style>
  <w:style w:type="paragraph" w:customStyle="1" w:styleId="177">
    <w:name w:val="yyp"/>
    <w:basedOn w:val="1"/>
    <w:link w:val="178"/>
    <w:qFormat/>
    <w:uiPriority w:val="0"/>
    <w:pPr>
      <w:adjustRightInd/>
      <w:snapToGrid/>
      <w:spacing w:after="120" w:line="360" w:lineRule="auto"/>
      <w:ind w:firstLine="480"/>
    </w:pPr>
    <w:rPr>
      <w:rFonts w:ascii="Calibri" w:hAnsi="Calibri"/>
      <w:kern w:val="0"/>
      <w:sz w:val="24"/>
      <w:szCs w:val="20"/>
      <w:lang w:val="zh-CN"/>
    </w:rPr>
  </w:style>
  <w:style w:type="character" w:customStyle="1" w:styleId="178">
    <w:name w:val="yyp Char"/>
    <w:link w:val="177"/>
    <w:qFormat/>
    <w:uiPriority w:val="0"/>
    <w:rPr>
      <w:sz w:val="24"/>
      <w:lang w:val="zh-CN" w:eastAsia="zh-CN"/>
    </w:rPr>
  </w:style>
  <w:style w:type="paragraph" w:customStyle="1" w:styleId="179">
    <w:name w:val="Char4 Char Char Char"/>
    <w:basedOn w:val="1"/>
    <w:semiHidden/>
    <w:qFormat/>
    <w:uiPriority w:val="0"/>
    <w:pPr>
      <w:spacing w:afterLines="50" w:line="360" w:lineRule="auto"/>
      <w:jc w:val="both"/>
    </w:pPr>
    <w:rPr>
      <w:rFonts w:ascii="宋体" w:hAnsi="宋体" w:cs="宋体"/>
      <w:sz w:val="24"/>
      <w:szCs w:val="26"/>
    </w:rPr>
  </w:style>
  <w:style w:type="paragraph" w:customStyle="1" w:styleId="180">
    <w:name w:val="默认段落字体 Para Char Char Char Char"/>
    <w:basedOn w:val="1"/>
    <w:qFormat/>
    <w:uiPriority w:val="0"/>
    <w:pPr>
      <w:adjustRightInd/>
      <w:snapToGrid/>
      <w:spacing w:beforeLines="100" w:afterLines="50" w:line="600" w:lineRule="exact"/>
      <w:jc w:val="both"/>
    </w:pPr>
    <w:rPr>
      <w:rFonts w:eastAsia="黑体"/>
      <w:sz w:val="28"/>
      <w:szCs w:val="24"/>
    </w:rPr>
  </w:style>
  <w:style w:type="paragraph" w:customStyle="1" w:styleId="181">
    <w:name w:val="xl26"/>
    <w:basedOn w:val="1"/>
    <w:qFormat/>
    <w:uiPriority w:val="0"/>
    <w:pPr>
      <w:widowControl/>
      <w:pBdr>
        <w:left w:val="single" w:color="auto" w:sz="4" w:space="0"/>
        <w:bottom w:val="single" w:color="auto" w:sz="4" w:space="0"/>
        <w:right w:val="single" w:color="auto" w:sz="4" w:space="0"/>
      </w:pBdr>
      <w:adjustRightInd/>
      <w:snapToGrid/>
      <w:spacing w:before="100" w:after="100" w:line="560" w:lineRule="exact"/>
      <w:ind w:firstLine="0" w:firstLineChars="0"/>
      <w:jc w:val="center"/>
      <w:textAlignment w:val="center"/>
    </w:pPr>
    <w:rPr>
      <w:kern w:val="0"/>
      <w:sz w:val="24"/>
      <w:szCs w:val="24"/>
    </w:rPr>
  </w:style>
  <w:style w:type="character" w:customStyle="1" w:styleId="182">
    <w:name w:val="111111111正文 Char"/>
    <w:link w:val="183"/>
    <w:qFormat/>
    <w:uiPriority w:val="0"/>
    <w:rPr>
      <w:bCs/>
      <w:kern w:val="2"/>
      <w:sz w:val="26"/>
      <w:szCs w:val="26"/>
    </w:rPr>
  </w:style>
  <w:style w:type="paragraph" w:customStyle="1" w:styleId="183">
    <w:name w:val="111111111正文"/>
    <w:basedOn w:val="1"/>
    <w:link w:val="182"/>
    <w:qFormat/>
    <w:uiPriority w:val="0"/>
    <w:pPr>
      <w:adjustRightInd/>
      <w:snapToGrid/>
      <w:ind w:firstLine="520"/>
      <w:jc w:val="center"/>
    </w:pPr>
    <w:rPr>
      <w:rFonts w:ascii="Calibri" w:hAnsi="Calibri"/>
      <w:bCs/>
      <w:szCs w:val="26"/>
    </w:rPr>
  </w:style>
  <w:style w:type="paragraph" w:customStyle="1" w:styleId="184">
    <w:name w:val="表格体"/>
    <w:basedOn w:val="65"/>
    <w:link w:val="185"/>
    <w:qFormat/>
    <w:uiPriority w:val="0"/>
    <w:pPr>
      <w:adjustRightInd/>
      <w:snapToGrid/>
      <w:spacing w:line="240" w:lineRule="auto"/>
      <w:ind w:firstLine="0" w:firstLineChars="0"/>
      <w:jc w:val="center"/>
    </w:pPr>
    <w:rPr>
      <w:sz w:val="21"/>
    </w:rPr>
  </w:style>
  <w:style w:type="character" w:customStyle="1" w:styleId="185">
    <w:name w:val="表格体 Char"/>
    <w:link w:val="184"/>
    <w:qFormat/>
    <w:uiPriority w:val="0"/>
    <w:rPr>
      <w:rFonts w:ascii="Times New Roman" w:hAnsi="Times New Roman"/>
      <w:kern w:val="2"/>
      <w:sz w:val="21"/>
      <w:szCs w:val="22"/>
    </w:rPr>
  </w:style>
  <w:style w:type="paragraph" w:customStyle="1" w:styleId="186">
    <w:name w:val="TOC 标题11"/>
    <w:basedOn w:val="2"/>
    <w:next w:val="1"/>
    <w:qFormat/>
    <w:uiPriority w:val="39"/>
    <w:pPr>
      <w:keepNext/>
      <w:keepLines/>
      <w:numPr>
        <w:numId w:val="7"/>
      </w:numPr>
      <w:tabs>
        <w:tab w:val="clear" w:pos="0"/>
      </w:tabs>
      <w:adjustRightInd/>
      <w:snapToGrid/>
      <w:spacing w:before="480" w:line="276" w:lineRule="auto"/>
      <w:jc w:val="left"/>
      <w:outlineLvl w:val="9"/>
    </w:pPr>
    <w:rPr>
      <w:rFonts w:ascii="Cambria" w:hAnsi="Cambria" w:eastAsia="宋体"/>
      <w:snapToGrid/>
      <w:color w:val="365F91"/>
      <w:kern w:val="0"/>
      <w:sz w:val="28"/>
      <w:szCs w:val="28"/>
      <w:lang w:val="zh-CN"/>
    </w:rPr>
  </w:style>
  <w:style w:type="paragraph" w:customStyle="1" w:styleId="187">
    <w:name w:val="Char Char Char Char"/>
    <w:basedOn w:val="1"/>
    <w:qFormat/>
    <w:uiPriority w:val="0"/>
    <w:pPr>
      <w:widowControl/>
      <w:snapToGrid/>
      <w:spacing w:after="160" w:line="240" w:lineRule="exact"/>
      <w:ind w:firstLine="0" w:firstLineChars="0"/>
      <w:textAlignment w:val="baseline"/>
    </w:pPr>
    <w:rPr>
      <w:sz w:val="21"/>
      <w:szCs w:val="24"/>
    </w:rPr>
  </w:style>
  <w:style w:type="paragraph" w:customStyle="1" w:styleId="188">
    <w:name w:val="注释格式"/>
    <w:basedOn w:val="1"/>
    <w:next w:val="1"/>
    <w:qFormat/>
    <w:uiPriority w:val="0"/>
    <w:pPr>
      <w:spacing w:line="240" w:lineRule="auto"/>
      <w:ind w:firstLine="0" w:firstLineChars="0"/>
    </w:pPr>
    <w:rPr>
      <w:b/>
      <w:sz w:val="21"/>
    </w:rPr>
  </w:style>
  <w:style w:type="paragraph" w:customStyle="1" w:styleId="189">
    <w:name w:val="CM66"/>
    <w:basedOn w:val="104"/>
    <w:next w:val="104"/>
    <w:qFormat/>
    <w:uiPriority w:val="0"/>
    <w:pPr>
      <w:spacing w:line="500" w:lineRule="atLeast"/>
    </w:pPr>
    <w:rPr>
      <w:rFonts w:ascii="黑体" w:eastAsia="黑体" w:cs="Times New Roman"/>
      <w:color w:val="auto"/>
    </w:rPr>
  </w:style>
  <w:style w:type="character" w:customStyle="1" w:styleId="190">
    <w:name w:val="H表头 Char"/>
    <w:link w:val="191"/>
    <w:qFormat/>
    <w:uiPriority w:val="0"/>
    <w:rPr>
      <w:kern w:val="2"/>
      <w:sz w:val="26"/>
      <w:szCs w:val="24"/>
    </w:rPr>
  </w:style>
  <w:style w:type="paragraph" w:customStyle="1" w:styleId="191">
    <w:name w:val="H表头"/>
    <w:basedOn w:val="1"/>
    <w:link w:val="190"/>
    <w:qFormat/>
    <w:uiPriority w:val="0"/>
    <w:pPr>
      <w:adjustRightInd/>
      <w:snapToGrid/>
      <w:spacing w:before="177" w:beforeLines="50"/>
      <w:ind w:firstLine="0" w:firstLineChars="0"/>
      <w:jc w:val="center"/>
    </w:pPr>
    <w:rPr>
      <w:rFonts w:ascii="Calibri" w:hAnsi="Calibri"/>
      <w:szCs w:val="24"/>
    </w:rPr>
  </w:style>
  <w:style w:type="paragraph" w:customStyle="1" w:styleId="192">
    <w:name w:val="H正文"/>
    <w:basedOn w:val="1"/>
    <w:qFormat/>
    <w:uiPriority w:val="0"/>
    <w:pPr>
      <w:adjustRightInd/>
      <w:snapToGrid/>
      <w:jc w:val="both"/>
    </w:pPr>
    <w:rPr>
      <w:color w:val="000000"/>
      <w:szCs w:val="30"/>
    </w:rPr>
  </w:style>
  <w:style w:type="paragraph" w:customStyle="1" w:styleId="193">
    <w:name w:val="编制依据"/>
    <w:basedOn w:val="1"/>
    <w:link w:val="194"/>
    <w:qFormat/>
    <w:uiPriority w:val="0"/>
    <w:pPr>
      <w:numPr>
        <w:ilvl w:val="0"/>
        <w:numId w:val="8"/>
      </w:numPr>
      <w:jc w:val="both"/>
    </w:pPr>
    <w:rPr>
      <w:color w:val="000000" w:themeColor="text1"/>
      <w14:textFill>
        <w14:solidFill>
          <w14:schemeClr w14:val="tx1"/>
        </w14:solidFill>
      </w14:textFill>
    </w:rPr>
  </w:style>
  <w:style w:type="character" w:customStyle="1" w:styleId="194">
    <w:name w:val="编制依据 字符"/>
    <w:basedOn w:val="44"/>
    <w:link w:val="193"/>
    <w:qFormat/>
    <w:uiPriority w:val="0"/>
    <w:rPr>
      <w:rFonts w:ascii="Times New Roman" w:hAnsi="Times New Roman"/>
      <w:color w:val="000000" w:themeColor="text1"/>
      <w:kern w:val="2"/>
      <w:sz w:val="26"/>
      <w:szCs w:val="22"/>
      <w14:textFill>
        <w14:solidFill>
          <w14:schemeClr w14:val="tx1"/>
        </w14:solidFill>
      </w14:textFill>
    </w:rPr>
  </w:style>
  <w:style w:type="paragraph" w:customStyle="1" w:styleId="195">
    <w:name w:val="0A正文"/>
    <w:basedOn w:val="1"/>
    <w:link w:val="196"/>
    <w:qFormat/>
    <w:uiPriority w:val="0"/>
    <w:pPr>
      <w:jc w:val="both"/>
    </w:pPr>
    <w:rPr>
      <w:color w:val="000000"/>
      <w:szCs w:val="26"/>
    </w:rPr>
  </w:style>
  <w:style w:type="character" w:customStyle="1" w:styleId="196">
    <w:name w:val="0A正文 字符"/>
    <w:link w:val="195"/>
    <w:qFormat/>
    <w:uiPriority w:val="0"/>
    <w:rPr>
      <w:rFonts w:ascii="Times New Roman" w:hAnsi="Times New Roman"/>
      <w:color w:val="000000"/>
      <w:kern w:val="2"/>
      <w:sz w:val="26"/>
      <w:szCs w:val="26"/>
    </w:rPr>
  </w:style>
  <w:style w:type="character" w:customStyle="1" w:styleId="197">
    <w:name w:val="表内字体111 Char"/>
    <w:link w:val="198"/>
    <w:qFormat/>
    <w:uiPriority w:val="0"/>
    <w:rPr>
      <w:rFonts w:eastAsiaTheme="minorEastAsia"/>
      <w:sz w:val="22"/>
      <w:szCs w:val="24"/>
    </w:rPr>
  </w:style>
  <w:style w:type="paragraph" w:customStyle="1" w:styleId="198">
    <w:name w:val="表内字体111"/>
    <w:basedOn w:val="1"/>
    <w:link w:val="197"/>
    <w:qFormat/>
    <w:uiPriority w:val="0"/>
    <w:pPr>
      <w:spacing w:line="240" w:lineRule="auto"/>
      <w:ind w:firstLine="0" w:firstLineChars="0"/>
      <w:jc w:val="center"/>
    </w:pPr>
    <w:rPr>
      <w:rFonts w:ascii="Calibri" w:hAnsi="Calibri" w:eastAsiaTheme="minorEastAsia"/>
      <w:kern w:val="0"/>
      <w:sz w:val="22"/>
      <w:szCs w:val="24"/>
    </w:rPr>
  </w:style>
  <w:style w:type="character" w:customStyle="1" w:styleId="199">
    <w:name w:val="标题 Char2"/>
    <w:qFormat/>
    <w:uiPriority w:val="0"/>
    <w:rPr>
      <w:rFonts w:ascii="Times New Roman" w:hAnsi="Times New Roman"/>
      <w:bCs/>
      <w:snapToGrid w:val="0"/>
      <w:spacing w:val="-8"/>
      <w:sz w:val="26"/>
      <w:szCs w:val="26"/>
    </w:rPr>
  </w:style>
  <w:style w:type="paragraph" w:customStyle="1" w:styleId="200">
    <w:name w:val="A表内字"/>
    <w:basedOn w:val="1"/>
    <w:link w:val="201"/>
    <w:qFormat/>
    <w:uiPriority w:val="0"/>
    <w:pPr>
      <w:spacing w:line="320" w:lineRule="atLeast"/>
      <w:ind w:firstLine="0" w:firstLineChars="0"/>
      <w:jc w:val="center"/>
    </w:pPr>
    <w:rPr>
      <w:sz w:val="22"/>
      <w:szCs w:val="21"/>
    </w:rPr>
  </w:style>
  <w:style w:type="character" w:customStyle="1" w:styleId="201">
    <w:name w:val="A表内字 字符"/>
    <w:link w:val="200"/>
    <w:qFormat/>
    <w:uiPriority w:val="0"/>
    <w:rPr>
      <w:rFonts w:ascii="Times New Roman" w:hAnsi="Times New Roman"/>
      <w:kern w:val="2"/>
      <w:sz w:val="22"/>
      <w:szCs w:val="21"/>
    </w:rPr>
  </w:style>
  <w:style w:type="paragraph" w:customStyle="1" w:styleId="202">
    <w:name w:val="A表格内居中文字"/>
    <w:basedOn w:val="1"/>
    <w:link w:val="203"/>
    <w:qFormat/>
    <w:uiPriority w:val="0"/>
    <w:pPr>
      <w:spacing w:line="320" w:lineRule="atLeast"/>
      <w:ind w:firstLine="0" w:firstLineChars="0"/>
      <w:jc w:val="center"/>
    </w:pPr>
    <w:rPr>
      <w:sz w:val="22"/>
      <w:szCs w:val="24"/>
    </w:rPr>
  </w:style>
  <w:style w:type="character" w:customStyle="1" w:styleId="203">
    <w:name w:val="A表格内居中文字 字符"/>
    <w:basedOn w:val="44"/>
    <w:link w:val="202"/>
    <w:qFormat/>
    <w:uiPriority w:val="0"/>
    <w:rPr>
      <w:rFonts w:ascii="Times New Roman" w:hAnsi="Times New Roman"/>
      <w:kern w:val="2"/>
      <w:sz w:val="22"/>
      <w:szCs w:val="24"/>
    </w:rPr>
  </w:style>
  <w:style w:type="paragraph" w:customStyle="1" w:styleId="204">
    <w:name w:val="Char4 Char Char Char1"/>
    <w:basedOn w:val="1"/>
    <w:semiHidden/>
    <w:qFormat/>
    <w:uiPriority w:val="0"/>
    <w:pPr>
      <w:spacing w:line="360" w:lineRule="auto"/>
      <w:jc w:val="both"/>
    </w:pPr>
    <w:rPr>
      <w:rFonts w:ascii="宋体" w:hAnsi="宋体" w:cs="宋体"/>
      <w:sz w:val="24"/>
      <w:szCs w:val="26"/>
    </w:rPr>
  </w:style>
  <w:style w:type="table" w:customStyle="1" w:styleId="205">
    <w:name w:val="Table Normal1"/>
    <w:semiHidden/>
    <w:unhideWhenUsed/>
    <w:qFormat/>
    <w:uiPriority w:val="0"/>
    <w:rPr>
      <w:rFonts w:ascii="Arial" w:hAnsi="Arial" w:cs="Arial"/>
      <w:snapToGrid w:val="0"/>
      <w:color w:val="000000"/>
      <w:sz w:val="21"/>
      <w:szCs w:val="21"/>
    </w:rPr>
    <w:tblPr>
      <w:tblCellMar>
        <w:top w:w="0" w:type="dxa"/>
        <w:left w:w="0" w:type="dxa"/>
        <w:bottom w:w="0" w:type="dxa"/>
        <w:right w:w="0" w:type="dxa"/>
      </w:tblCellMar>
    </w:tblPr>
  </w:style>
  <w:style w:type="table" w:customStyle="1" w:styleId="206">
    <w:name w:val="Table Normal2"/>
    <w:semiHidden/>
    <w:unhideWhenUsed/>
    <w:qFormat/>
    <w:uiPriority w:val="0"/>
    <w:rPr>
      <w:rFonts w:ascii="Arial" w:hAnsi="Arial" w:eastAsia="等线" w:cs="Arial"/>
      <w:snapToGrid w:val="0"/>
      <w:color w:val="000000"/>
      <w:sz w:val="21"/>
      <w:szCs w:val="21"/>
    </w:rPr>
    <w:tblPr>
      <w:tblCellMar>
        <w:top w:w="0" w:type="dxa"/>
        <w:left w:w="0" w:type="dxa"/>
        <w:bottom w:w="0" w:type="dxa"/>
        <w:right w:w="0" w:type="dxa"/>
      </w:tblCellMar>
    </w:tblPr>
  </w:style>
  <w:style w:type="table" w:customStyle="1" w:styleId="207">
    <w:name w:val="Table Normal3"/>
    <w:semiHidden/>
    <w:unhideWhenUsed/>
    <w:qFormat/>
    <w:uiPriority w:val="0"/>
    <w:rPr>
      <w:rFonts w:ascii="Arial" w:hAnsi="Arial" w:eastAsia="等线" w:cs="Arial"/>
      <w:snapToGrid w:val="0"/>
      <w:color w:val="000000"/>
      <w:sz w:val="21"/>
      <w:szCs w:val="21"/>
    </w:rPr>
    <w:tblPr>
      <w:tblCellMar>
        <w:top w:w="0" w:type="dxa"/>
        <w:left w:w="0" w:type="dxa"/>
        <w:bottom w:w="0" w:type="dxa"/>
        <w:right w:w="0" w:type="dxa"/>
      </w:tblCellMar>
    </w:tblPr>
  </w:style>
  <w:style w:type="paragraph" w:customStyle="1" w:styleId="208">
    <w:name w:val="注解"/>
    <w:basedOn w:val="17"/>
    <w:qFormat/>
    <w:uiPriority w:val="0"/>
    <w:pPr>
      <w:spacing w:line="240" w:lineRule="auto"/>
      <w:ind w:firstLine="0" w:firstLineChars="0"/>
    </w:pPr>
    <w:rPr>
      <w:b/>
      <w:snapToGrid w:val="0"/>
      <w:kern w:val="0"/>
      <w:sz w:val="21"/>
      <w:szCs w:val="24"/>
    </w:rPr>
  </w:style>
  <w:style w:type="paragraph" w:customStyle="1" w:styleId="209">
    <w:name w:val="报告正文"/>
    <w:link w:val="210"/>
    <w:qFormat/>
    <w:uiPriority w:val="0"/>
    <w:pPr>
      <w:spacing w:line="460" w:lineRule="atLeast"/>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210">
    <w:name w:val="报告正文 字符"/>
    <w:link w:val="209"/>
    <w:qFormat/>
    <w:uiPriority w:val="0"/>
    <w:rPr>
      <w:rFonts w:ascii="Times New Roman" w:hAnsi="Times New Roman"/>
      <w:kern w:val="2"/>
      <w:sz w:val="24"/>
      <w:szCs w:val="24"/>
    </w:rPr>
  </w:style>
  <w:style w:type="character" w:customStyle="1" w:styleId="211">
    <w:name w:val="样式6565656 Char"/>
    <w:link w:val="212"/>
    <w:qFormat/>
    <w:uiPriority w:val="0"/>
    <w:rPr>
      <w:rFonts w:hAnsi="宋体"/>
      <w:bCs/>
      <w:kern w:val="2"/>
      <w:sz w:val="24"/>
      <w:szCs w:val="24"/>
    </w:rPr>
  </w:style>
  <w:style w:type="paragraph" w:customStyle="1" w:styleId="212">
    <w:name w:val="样式6565656"/>
    <w:basedOn w:val="1"/>
    <w:link w:val="211"/>
    <w:qFormat/>
    <w:uiPriority w:val="0"/>
    <w:pPr>
      <w:spacing w:line="460" w:lineRule="atLeast"/>
      <w:ind w:firstLine="480"/>
    </w:pPr>
    <w:rPr>
      <w:rFonts w:ascii="Calibri" w:hAnsi="宋体"/>
      <w:bCs/>
      <w:sz w:val="24"/>
      <w:szCs w:val="24"/>
    </w:rPr>
  </w:style>
  <w:style w:type="paragraph" w:customStyle="1" w:styleId="213">
    <w:name w:val="表格内容谢谢"/>
    <w:basedOn w:val="1"/>
    <w:qFormat/>
    <w:uiPriority w:val="0"/>
    <w:pPr>
      <w:widowControl/>
      <w:adjustRightInd/>
      <w:spacing w:before="10" w:line="240" w:lineRule="atLeast"/>
      <w:ind w:firstLine="0" w:firstLineChars="0"/>
      <w:jc w:val="center"/>
    </w:pPr>
    <w:rPr>
      <w:rFonts w:hAnsi="宋体"/>
      <w:color w:val="000000"/>
      <w:kern w:val="0"/>
      <w:sz w:val="21"/>
      <w:szCs w:val="21"/>
    </w:rPr>
  </w:style>
  <w:style w:type="table" w:customStyle="1" w:styleId="214">
    <w:name w:val="Table Normal4"/>
    <w:semiHidden/>
    <w:unhideWhenUsed/>
    <w:qFormat/>
    <w:uiPriority w:val="0"/>
    <w:rPr>
      <w:rFonts w:ascii="Arial" w:hAnsi="Arial" w:cs="Arial"/>
      <w:snapToGrid w:val="0"/>
      <w:color w:val="000000"/>
      <w:sz w:val="21"/>
      <w:szCs w:val="21"/>
    </w:rPr>
    <w:tblPr>
      <w:tblCellMar>
        <w:top w:w="0" w:type="dxa"/>
        <w:left w:w="0" w:type="dxa"/>
        <w:bottom w:w="0" w:type="dxa"/>
        <w:right w:w="0" w:type="dxa"/>
      </w:tblCellMar>
    </w:tblPr>
  </w:style>
  <w:style w:type="character" w:customStyle="1" w:styleId="215">
    <w:name w:val="未处理的提及1"/>
    <w:basedOn w:val="44"/>
    <w:semiHidden/>
    <w:unhideWhenUsed/>
    <w:qFormat/>
    <w:uiPriority w:val="99"/>
    <w:rPr>
      <w:color w:val="605E5C"/>
      <w:shd w:val="clear" w:color="auto" w:fill="E1DFDD"/>
    </w:rPr>
  </w:style>
  <w:style w:type="paragraph" w:customStyle="1" w:styleId="216">
    <w:name w:val="1"/>
    <w:basedOn w:val="1"/>
    <w:semiHidden/>
    <w:qFormat/>
    <w:uiPriority w:val="0"/>
    <w:pPr>
      <w:spacing w:line="360" w:lineRule="auto"/>
      <w:jc w:val="both"/>
    </w:pPr>
    <w:rPr>
      <w:rFonts w:ascii="宋体" w:hAnsi="宋体" w:cs="宋体"/>
      <w:sz w:val="24"/>
      <w:szCs w:val="26"/>
    </w:rPr>
  </w:style>
  <w:style w:type="paragraph" w:customStyle="1" w:styleId="217">
    <w:name w:val="编制依据-L"/>
    <w:basedOn w:val="1"/>
    <w:qFormat/>
    <w:uiPriority w:val="0"/>
    <w:pPr>
      <w:numPr>
        <w:ilvl w:val="0"/>
        <w:numId w:val="9"/>
      </w:numPr>
      <w:spacing w:line="440" w:lineRule="exact"/>
      <w:ind w:firstLine="0" w:firstLineChars="0"/>
      <w:jc w:val="both"/>
    </w:pPr>
    <w:rPr>
      <w:rFonts w:cstheme="minorBidi"/>
      <w:sz w:val="24"/>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5" Type="http://schemas.openxmlformats.org/officeDocument/2006/relationships/fontTable" Target="fontTable.xml"/><Relationship Id="rId54" Type="http://schemas.openxmlformats.org/officeDocument/2006/relationships/customXml" Target="../customXml/item1.xml"/><Relationship Id="rId53" Type="http://schemas.openxmlformats.org/officeDocument/2006/relationships/numbering" Target="numbering.xml"/><Relationship Id="rId52" Type="http://schemas.openxmlformats.org/officeDocument/2006/relationships/image" Target="media/image18.png"/><Relationship Id="rId51" Type="http://schemas.openxmlformats.org/officeDocument/2006/relationships/image" Target="media/image17.png"/><Relationship Id="rId50" Type="http://schemas.openxmlformats.org/officeDocument/2006/relationships/image" Target="media/image16.png"/><Relationship Id="rId5" Type="http://schemas.openxmlformats.org/officeDocument/2006/relationships/header" Target="header1.xml"/><Relationship Id="rId49" Type="http://schemas.openxmlformats.org/officeDocument/2006/relationships/image" Target="media/image15.png"/><Relationship Id="rId48" Type="http://schemas.openxmlformats.org/officeDocument/2006/relationships/image" Target="media/image14.png"/><Relationship Id="rId47" Type="http://schemas.openxmlformats.org/officeDocument/2006/relationships/image" Target="media/image13.wmf"/><Relationship Id="rId46" Type="http://schemas.openxmlformats.org/officeDocument/2006/relationships/oleObject" Target="embeddings/oleObject7.bin"/><Relationship Id="rId45" Type="http://schemas.openxmlformats.org/officeDocument/2006/relationships/image" Target="media/image12.wmf"/><Relationship Id="rId44" Type="http://schemas.openxmlformats.org/officeDocument/2006/relationships/oleObject" Target="embeddings/oleObject6.bin"/><Relationship Id="rId43" Type="http://schemas.openxmlformats.org/officeDocument/2006/relationships/image" Target="media/image11.wmf"/><Relationship Id="rId42" Type="http://schemas.openxmlformats.org/officeDocument/2006/relationships/oleObject" Target="embeddings/oleObject5.bin"/><Relationship Id="rId41" Type="http://schemas.openxmlformats.org/officeDocument/2006/relationships/image" Target="media/image10.wmf"/><Relationship Id="rId40" Type="http://schemas.openxmlformats.org/officeDocument/2006/relationships/oleObject" Target="embeddings/oleObject4.bin"/><Relationship Id="rId4" Type="http://schemas.openxmlformats.org/officeDocument/2006/relationships/endnotes" Target="endnotes.xml"/><Relationship Id="rId39" Type="http://schemas.openxmlformats.org/officeDocument/2006/relationships/image" Target="media/image9.wmf"/><Relationship Id="rId38" Type="http://schemas.openxmlformats.org/officeDocument/2006/relationships/oleObject" Target="embeddings/oleObject3.bin"/><Relationship Id="rId37" Type="http://schemas.openxmlformats.org/officeDocument/2006/relationships/image" Target="media/image8.wmf"/><Relationship Id="rId36" Type="http://schemas.openxmlformats.org/officeDocument/2006/relationships/oleObject" Target="embeddings/oleObject2.bin"/><Relationship Id="rId35" Type="http://schemas.openxmlformats.org/officeDocument/2006/relationships/image" Target="media/image7.wmf"/><Relationship Id="rId34" Type="http://schemas.openxmlformats.org/officeDocument/2006/relationships/oleObject" Target="embeddings/oleObject1.bin"/><Relationship Id="rId33" Type="http://schemas.openxmlformats.org/officeDocument/2006/relationships/image" Target="media/image6.emf"/><Relationship Id="rId32" Type="http://schemas.openxmlformats.org/officeDocument/2006/relationships/image" Target="media/image5.png"/><Relationship Id="rId31" Type="http://schemas.openxmlformats.org/officeDocument/2006/relationships/image" Target="media/image4.jpeg"/><Relationship Id="rId30" Type="http://schemas.openxmlformats.org/officeDocument/2006/relationships/image" Target="media/image3.jpeg"/><Relationship Id="rId3" Type="http://schemas.openxmlformats.org/officeDocument/2006/relationships/footnotes" Target="footnotes.xml"/><Relationship Id="rId29" Type="http://schemas.openxmlformats.org/officeDocument/2006/relationships/image" Target="media/image2.jpe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2.xml"/><Relationship Id="rId25" Type="http://schemas.openxmlformats.org/officeDocument/2006/relationships/header" Target="header10.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header" Target="header9.xml"/><Relationship Id="rId21" Type="http://schemas.openxmlformats.org/officeDocument/2006/relationships/footer" Target="foot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BA831-71CA-491F-BA1B-90903E538263}">
  <ds:schemaRefs/>
</ds:datastoreItem>
</file>

<file path=docProps/app.xml><?xml version="1.0" encoding="utf-8"?>
<Properties xmlns="http://schemas.openxmlformats.org/officeDocument/2006/extended-properties" xmlns:vt="http://schemas.openxmlformats.org/officeDocument/2006/docPropsVTypes">
  <Template>Normal</Template>
  <Company>wimxt.com</Company>
  <Pages>116</Pages>
  <Words>15466</Words>
  <Characters>88159</Characters>
  <Lines>734</Lines>
  <Paragraphs>206</Paragraphs>
  <TotalTime>25</TotalTime>
  <ScaleCrop>false</ScaleCrop>
  <LinksUpToDate>false</LinksUpToDate>
  <CharactersWithSpaces>103419</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2022-08-31T09:21:00Z</dcterms:created>
  <dc:creator>Dell</dc:creator>
  <cp:lastModifiedBy>彬</cp:lastModifiedBy>
  <cp:lastPrinted>2023-07-03T00:38:00Z</cp:lastPrinted>
  <dcterms:modified xsi:type="dcterms:W3CDTF">2023-07-18T06:26:42Z</dcterms:modified>
  <cp:revision>267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9E6B14C242C343E0885E044E9B9A196A_13</vt:lpwstr>
  </property>
</Properties>
</file>