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0" w:beforeAutospacing="0" w:after="0" w:afterAutospacing="0" w:line="240" w:lineRule="exact"/>
        <w:textAlignment w:val="baseline"/>
        <w:rPr>
          <w:rFonts w:ascii="微软雅黑" w:eastAsia="微软雅黑" w:cs="仿宋"/>
          <w:color w:val="333333"/>
          <w:shd w:val="clear" w:color="auto" w:fill="FFFFFF"/>
        </w:rPr>
      </w:pPr>
    </w:p>
    <w:p>
      <w:pPr>
        <w:pStyle w:val="6"/>
        <w:widowControl/>
        <w:shd w:val="clear" w:color="auto" w:fill="FFFFFF"/>
        <w:spacing w:before="0" w:beforeAutospacing="0" w:after="0" w:afterAutospacing="0" w:line="440" w:lineRule="exact"/>
        <w:ind w:firstLine="480" w:firstLineChars="200"/>
        <w:textAlignment w:val="baseline"/>
        <w:rPr>
          <w:rFonts w:ascii="微软雅黑" w:eastAsia="微软雅黑" w:cs="仿宋"/>
          <w:color w:val="333333"/>
          <w:shd w:val="clear" w:color="auto" w:fill="FFFFFF"/>
        </w:rPr>
      </w:pPr>
      <w:r>
        <w:rPr>
          <w:rFonts w:hint="eastAsia" w:ascii="微软雅黑" w:eastAsia="微软雅黑" w:cs="仿宋"/>
          <w:color w:val="333333"/>
          <w:shd w:val="clear" w:color="auto" w:fill="FFFFFF"/>
        </w:rPr>
        <w:t>重庆市涪陵区生态环境局审查以下建设项目环评文件，现公告有关环评信息，接受社会监督。公示期为2025年7月11日—2025年7月17日。环评文件查询方式http://www.fl.gov.cn/bm/sthjj/。</w:t>
      </w:r>
    </w:p>
    <w:p>
      <w:pPr>
        <w:pStyle w:val="6"/>
        <w:widowControl/>
        <w:shd w:val="clear" w:color="auto" w:fill="FFFFFF"/>
        <w:spacing w:before="0" w:beforeAutospacing="0" w:after="0" w:afterAutospacing="0" w:line="440" w:lineRule="exact"/>
        <w:ind w:firstLine="480" w:firstLineChars="200"/>
        <w:textAlignment w:val="baseline"/>
        <w:rPr>
          <w:rFonts w:ascii="微软雅黑" w:eastAsia="微软雅黑" w:cs="仿宋"/>
          <w:color w:val="333333"/>
          <w:shd w:val="clear" w:color="auto" w:fill="FFFFFF"/>
        </w:rPr>
      </w:pPr>
      <w:r>
        <w:rPr>
          <w:rFonts w:hint="eastAsia" w:ascii="微软雅黑" w:eastAsia="微软雅黑" w:cs="仿宋"/>
          <w:color w:val="333333"/>
          <w:shd w:val="clear" w:color="auto" w:fill="FFFFFF"/>
        </w:rPr>
        <w:t>反馈意见受理方式为电子邮箱：FL72899987@163.com，传真：023-72899967。通信地址：重庆市涪陵区太白大道3号，邮编：408102。申请人和利害关系人可自公示起5个工作日内以书面形式向我局提出听证申请。</w:t>
      </w:r>
      <w:bookmarkStart w:id="2" w:name="_GoBack"/>
      <w:bookmarkEnd w:id="2"/>
    </w:p>
    <w:p>
      <w:pPr>
        <w:pStyle w:val="6"/>
        <w:widowControl/>
        <w:shd w:val="clear" w:color="auto" w:fill="FFFFFF"/>
        <w:spacing w:before="0" w:beforeAutospacing="0" w:after="0" w:afterAutospacing="0" w:line="440" w:lineRule="exact"/>
        <w:ind w:firstLine="480"/>
        <w:textAlignment w:val="baseline"/>
        <w:rPr>
          <w:rFonts w:ascii="微软雅黑" w:eastAsia="微软雅黑" w:cs="仿宋"/>
          <w:color w:val="333333"/>
          <w:shd w:val="clear" w:color="auto" w:fill="FFFFFF"/>
        </w:rPr>
      </w:pPr>
    </w:p>
    <w:tbl>
      <w:tblPr>
        <w:tblStyle w:val="7"/>
        <w:tblW w:w="15136"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20"/>
        <w:gridCol w:w="717"/>
        <w:gridCol w:w="844"/>
        <w:gridCol w:w="773"/>
        <w:gridCol w:w="1134"/>
        <w:gridCol w:w="3926"/>
        <w:gridCol w:w="732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3" w:hRule="atLeast"/>
          <w:jc w:val="center"/>
        </w:trPr>
        <w:tc>
          <w:tcPr>
            <w:tcW w:w="420"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6"/>
              <w:widowControl/>
              <w:spacing w:before="0" w:beforeAutospacing="0" w:after="0" w:afterAutospacing="0" w:line="320" w:lineRule="exact"/>
              <w:jc w:val="center"/>
              <w:rPr>
                <w:rFonts w:ascii="方正黑体_GBK" w:eastAsia="方正黑体_GBK" w:cs="仿宋"/>
                <w:color w:val="333333"/>
                <w:sz w:val="24"/>
                <w:szCs w:val="24"/>
                <w:shd w:val="clear" w:color="auto" w:fill="FFFFFF"/>
              </w:rPr>
            </w:pPr>
            <w:r>
              <w:rPr>
                <w:rFonts w:hint="eastAsia" w:ascii="方正黑体_GBK" w:eastAsia="方正黑体_GBK" w:cs="仿宋"/>
                <w:color w:val="333333"/>
                <w:sz w:val="24"/>
                <w:szCs w:val="24"/>
                <w:shd w:val="clear" w:color="auto" w:fill="FFFFFF"/>
              </w:rPr>
              <w:t>序号</w:t>
            </w:r>
          </w:p>
        </w:tc>
        <w:tc>
          <w:tcPr>
            <w:tcW w:w="717"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pStyle w:val="6"/>
              <w:widowControl/>
              <w:spacing w:before="0" w:beforeAutospacing="0" w:after="0" w:afterAutospacing="0" w:line="320" w:lineRule="exact"/>
              <w:jc w:val="center"/>
              <w:rPr>
                <w:rFonts w:ascii="方正黑体_GBK" w:eastAsia="方正黑体_GBK" w:cs="仿宋"/>
                <w:color w:val="333333"/>
                <w:sz w:val="24"/>
                <w:szCs w:val="24"/>
                <w:shd w:val="clear" w:color="auto" w:fill="FFFFFF"/>
              </w:rPr>
            </w:pPr>
            <w:r>
              <w:rPr>
                <w:rFonts w:hint="eastAsia" w:ascii="方正黑体_GBK" w:eastAsia="方正黑体_GBK" w:cs="仿宋"/>
                <w:color w:val="333333"/>
                <w:sz w:val="24"/>
                <w:szCs w:val="24"/>
                <w:shd w:val="clear" w:color="auto" w:fill="FFFFFF"/>
              </w:rPr>
              <w:t>项目名称</w:t>
            </w:r>
          </w:p>
        </w:tc>
        <w:tc>
          <w:tcPr>
            <w:tcW w:w="844"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pStyle w:val="6"/>
              <w:widowControl/>
              <w:spacing w:before="0" w:beforeAutospacing="0" w:after="0" w:afterAutospacing="0" w:line="320" w:lineRule="exact"/>
              <w:jc w:val="center"/>
              <w:rPr>
                <w:rFonts w:ascii="方正黑体_GBK" w:eastAsia="方正黑体_GBK" w:cs="仿宋"/>
                <w:color w:val="333333"/>
                <w:sz w:val="24"/>
                <w:szCs w:val="24"/>
                <w:shd w:val="clear" w:color="auto" w:fill="FFFFFF"/>
              </w:rPr>
            </w:pPr>
            <w:r>
              <w:rPr>
                <w:rFonts w:hint="eastAsia" w:ascii="方正黑体_GBK" w:eastAsia="方正黑体_GBK" w:cs="仿宋"/>
                <w:color w:val="333333"/>
                <w:sz w:val="24"/>
                <w:szCs w:val="24"/>
                <w:shd w:val="clear" w:color="auto" w:fill="FFFFFF"/>
              </w:rPr>
              <w:t xml:space="preserve">建设 </w:t>
            </w:r>
          </w:p>
          <w:p>
            <w:pPr>
              <w:pStyle w:val="6"/>
              <w:widowControl/>
              <w:spacing w:before="0" w:beforeAutospacing="0" w:after="0" w:afterAutospacing="0" w:line="320" w:lineRule="exact"/>
              <w:jc w:val="center"/>
              <w:rPr>
                <w:rFonts w:ascii="方正黑体_GBK" w:eastAsia="方正黑体_GBK" w:cs="仿宋"/>
                <w:color w:val="333333"/>
                <w:sz w:val="24"/>
                <w:szCs w:val="24"/>
                <w:shd w:val="clear" w:color="auto" w:fill="FFFFFF"/>
              </w:rPr>
            </w:pPr>
            <w:r>
              <w:rPr>
                <w:rFonts w:hint="eastAsia" w:ascii="方正黑体_GBK" w:eastAsia="方正黑体_GBK" w:cs="仿宋"/>
                <w:color w:val="333333"/>
                <w:sz w:val="24"/>
                <w:szCs w:val="24"/>
                <w:shd w:val="clear" w:color="auto" w:fill="FFFFFF"/>
              </w:rPr>
              <w:t>地点</w:t>
            </w:r>
          </w:p>
        </w:tc>
        <w:tc>
          <w:tcPr>
            <w:tcW w:w="773"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pStyle w:val="6"/>
              <w:widowControl/>
              <w:spacing w:before="0" w:beforeAutospacing="0" w:after="0" w:afterAutospacing="0" w:line="320" w:lineRule="exact"/>
              <w:jc w:val="center"/>
              <w:rPr>
                <w:rFonts w:ascii="方正黑体_GBK" w:eastAsia="方正黑体_GBK" w:cs="仿宋"/>
                <w:color w:val="333333"/>
                <w:sz w:val="24"/>
                <w:szCs w:val="24"/>
                <w:shd w:val="clear" w:color="auto" w:fill="FFFFFF"/>
              </w:rPr>
            </w:pPr>
            <w:r>
              <w:rPr>
                <w:rFonts w:hint="eastAsia" w:ascii="方正黑体_GBK" w:eastAsia="方正黑体_GBK" w:cs="仿宋"/>
                <w:color w:val="333333"/>
                <w:sz w:val="24"/>
                <w:szCs w:val="24"/>
                <w:shd w:val="clear" w:color="auto" w:fill="FFFFFF"/>
              </w:rPr>
              <w:t xml:space="preserve">建设 </w:t>
            </w:r>
          </w:p>
          <w:p>
            <w:pPr>
              <w:pStyle w:val="6"/>
              <w:widowControl/>
              <w:spacing w:before="0" w:beforeAutospacing="0" w:after="0" w:afterAutospacing="0" w:line="320" w:lineRule="exact"/>
              <w:jc w:val="center"/>
              <w:rPr>
                <w:rFonts w:ascii="方正黑体_GBK" w:eastAsia="方正黑体_GBK" w:cs="仿宋"/>
                <w:color w:val="333333"/>
                <w:sz w:val="24"/>
                <w:szCs w:val="24"/>
                <w:shd w:val="clear" w:color="auto" w:fill="FFFFFF"/>
              </w:rPr>
            </w:pPr>
            <w:r>
              <w:rPr>
                <w:rFonts w:hint="eastAsia" w:ascii="方正黑体_GBK" w:eastAsia="方正黑体_GBK" w:cs="仿宋"/>
                <w:color w:val="333333"/>
                <w:sz w:val="24"/>
                <w:szCs w:val="24"/>
                <w:shd w:val="clear" w:color="auto" w:fill="FFFFFF"/>
              </w:rPr>
              <w:t>单位</w:t>
            </w:r>
          </w:p>
        </w:tc>
        <w:tc>
          <w:tcPr>
            <w:tcW w:w="1134"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pStyle w:val="6"/>
              <w:widowControl/>
              <w:spacing w:before="0" w:beforeAutospacing="0" w:after="0" w:afterAutospacing="0" w:line="320" w:lineRule="exact"/>
              <w:jc w:val="center"/>
              <w:rPr>
                <w:rFonts w:ascii="方正黑体_GBK" w:eastAsia="方正黑体_GBK" w:cs="仿宋"/>
                <w:color w:val="333333"/>
                <w:sz w:val="24"/>
                <w:szCs w:val="24"/>
                <w:shd w:val="clear" w:color="auto" w:fill="FFFFFF"/>
              </w:rPr>
            </w:pPr>
            <w:r>
              <w:rPr>
                <w:rFonts w:hint="eastAsia" w:ascii="方正黑体_GBK" w:eastAsia="方正黑体_GBK" w:cs="仿宋"/>
                <w:color w:val="333333"/>
                <w:sz w:val="24"/>
                <w:szCs w:val="24"/>
                <w:shd w:val="clear" w:color="auto" w:fill="FFFFFF"/>
              </w:rPr>
              <w:t>环境影响评价机构</w:t>
            </w:r>
          </w:p>
        </w:tc>
        <w:tc>
          <w:tcPr>
            <w:tcW w:w="3926"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pStyle w:val="6"/>
              <w:widowControl/>
              <w:spacing w:before="0" w:beforeAutospacing="0" w:after="0" w:afterAutospacing="0" w:line="320" w:lineRule="exact"/>
              <w:jc w:val="center"/>
              <w:rPr>
                <w:rFonts w:ascii="方正黑体_GBK" w:eastAsia="方正黑体_GBK" w:cs="仿宋"/>
                <w:color w:val="333333"/>
                <w:sz w:val="24"/>
                <w:szCs w:val="24"/>
                <w:shd w:val="clear" w:color="auto" w:fill="FFFFFF"/>
              </w:rPr>
            </w:pPr>
            <w:r>
              <w:rPr>
                <w:rFonts w:hint="eastAsia" w:ascii="方正黑体_GBK" w:eastAsia="方正黑体_GBK" w:cs="仿宋"/>
                <w:color w:val="333333"/>
                <w:sz w:val="24"/>
                <w:szCs w:val="24"/>
                <w:shd w:val="clear" w:color="auto" w:fill="FFFFFF"/>
              </w:rPr>
              <w:t>项目概况</w:t>
            </w:r>
          </w:p>
        </w:tc>
        <w:tc>
          <w:tcPr>
            <w:tcW w:w="7322"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pStyle w:val="6"/>
              <w:widowControl/>
              <w:spacing w:before="0" w:beforeAutospacing="0" w:after="0" w:afterAutospacing="0" w:line="320" w:lineRule="exact"/>
              <w:jc w:val="center"/>
              <w:rPr>
                <w:rFonts w:ascii="方正黑体_GBK" w:eastAsia="方正黑体_GBK" w:cs="仿宋"/>
                <w:color w:val="333333"/>
                <w:sz w:val="24"/>
                <w:szCs w:val="24"/>
                <w:shd w:val="clear" w:color="auto" w:fill="FFFFFF"/>
              </w:rPr>
            </w:pPr>
            <w:r>
              <w:rPr>
                <w:rFonts w:hint="eastAsia" w:ascii="方正黑体_GBK" w:eastAsia="方正黑体_GBK" w:cs="仿宋"/>
                <w:color w:val="333333"/>
                <w:sz w:val="24"/>
                <w:szCs w:val="24"/>
                <w:shd w:val="clear" w:color="auto" w:fill="FFFFFF"/>
              </w:rPr>
              <w:t>主要环境影响和环境保护对策与措施</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95" w:hRule="atLeast"/>
          <w:jc w:val="center"/>
        </w:trPr>
        <w:tc>
          <w:tcPr>
            <w:tcW w:w="420" w:type="dxa"/>
            <w:tcBorders>
              <w:top w:val="nil"/>
              <w:left w:val="single" w:color="auto" w:sz="6" w:space="0"/>
              <w:bottom w:val="single" w:color="auto" w:sz="4" w:space="0"/>
              <w:right w:val="single" w:color="auto" w:sz="6" w:space="0"/>
            </w:tcBorders>
            <w:shd w:val="clear" w:color="auto" w:fill="FFFFFF"/>
            <w:noWrap/>
            <w:tcMar>
              <w:left w:w="105" w:type="dxa"/>
              <w:right w:w="105" w:type="dxa"/>
            </w:tcMar>
            <w:vAlign w:val="center"/>
          </w:tcPr>
          <w:p>
            <w:pPr>
              <w:pStyle w:val="6"/>
              <w:widowControl/>
              <w:spacing w:before="0" w:beforeAutospacing="0" w:after="0" w:afterAutospacing="0" w:line="320" w:lineRule="exact"/>
              <w:jc w:val="center"/>
              <w:rPr>
                <w:rFonts w:ascii="方正仿宋_GBK" w:eastAsia="方正仿宋_GBK" w:cs="仿宋"/>
                <w:sz w:val="24"/>
                <w:szCs w:val="24"/>
                <w:shd w:val="clear" w:color="auto" w:fill="FFFFFF"/>
              </w:rPr>
            </w:pPr>
            <w:r>
              <w:rPr>
                <w:rFonts w:hint="eastAsia" w:ascii="方正仿宋_GBK" w:eastAsia="方正仿宋_GBK" w:cs="仿宋"/>
                <w:sz w:val="24"/>
                <w:szCs w:val="24"/>
                <w:shd w:val="clear" w:color="auto" w:fill="FFFFFF"/>
              </w:rPr>
              <w:t>1</w:t>
            </w:r>
          </w:p>
        </w:tc>
        <w:tc>
          <w:tcPr>
            <w:tcW w:w="717" w:type="dxa"/>
            <w:tcBorders>
              <w:top w:val="nil"/>
              <w:left w:val="nil"/>
              <w:bottom w:val="single" w:color="auto" w:sz="4" w:space="0"/>
              <w:right w:val="single" w:color="auto" w:sz="6" w:space="0"/>
            </w:tcBorders>
            <w:shd w:val="clear" w:color="auto" w:fill="FFFFFF"/>
            <w:noWrap/>
            <w:tcMar>
              <w:left w:w="105" w:type="dxa"/>
              <w:right w:w="105" w:type="dxa"/>
            </w:tcMar>
            <w:vAlign w:val="center"/>
          </w:tcPr>
          <w:p>
            <w:pPr>
              <w:pStyle w:val="6"/>
              <w:widowControl/>
              <w:spacing w:before="0" w:beforeAutospacing="0" w:after="0" w:afterAutospacing="0" w:line="320" w:lineRule="exact"/>
              <w:jc w:val="center"/>
              <w:rPr>
                <w:rFonts w:ascii="方正仿宋_GBK" w:eastAsia="方正仿宋_GBK" w:cs="仿宋"/>
                <w:sz w:val="24"/>
                <w:szCs w:val="24"/>
                <w:shd w:val="clear" w:color="auto" w:fill="FFFFFF"/>
              </w:rPr>
            </w:pPr>
            <w:r>
              <w:rPr>
                <w:rFonts w:hint="eastAsia" w:ascii="方正仿宋_GBK" w:eastAsia="方正仿宋_GBK" w:cs="仿宋"/>
                <w:sz w:val="24"/>
                <w:szCs w:val="24"/>
                <w:shd w:val="clear" w:color="auto" w:fill="FFFFFF"/>
              </w:rPr>
              <w:t>重庆市涪陵区宏升医院建设项目</w:t>
            </w:r>
          </w:p>
        </w:tc>
        <w:tc>
          <w:tcPr>
            <w:tcW w:w="844" w:type="dxa"/>
            <w:tcBorders>
              <w:top w:val="nil"/>
              <w:left w:val="nil"/>
              <w:bottom w:val="single" w:color="auto" w:sz="4" w:space="0"/>
              <w:right w:val="single" w:color="auto" w:sz="6" w:space="0"/>
            </w:tcBorders>
            <w:shd w:val="clear" w:color="auto" w:fill="FFFFFF"/>
            <w:noWrap/>
            <w:tcMar>
              <w:left w:w="105" w:type="dxa"/>
              <w:right w:w="105" w:type="dxa"/>
            </w:tcMar>
            <w:vAlign w:val="center"/>
          </w:tcPr>
          <w:p>
            <w:pPr>
              <w:pStyle w:val="6"/>
              <w:widowControl/>
              <w:spacing w:before="0" w:beforeAutospacing="0" w:after="0" w:afterAutospacing="0" w:line="320" w:lineRule="exact"/>
              <w:jc w:val="both"/>
              <w:rPr>
                <w:rFonts w:ascii="方正仿宋_GBK" w:eastAsia="方正仿宋_GBK" w:cs="仿宋"/>
                <w:sz w:val="24"/>
                <w:szCs w:val="24"/>
                <w:shd w:val="clear" w:color="auto" w:fill="FFFFFF"/>
              </w:rPr>
            </w:pPr>
            <w:r>
              <w:rPr>
                <w:rFonts w:hint="eastAsia" w:ascii="方正仿宋_GBK" w:eastAsia="方正仿宋_GBK" w:cs="仿宋"/>
                <w:sz w:val="24"/>
                <w:szCs w:val="24"/>
                <w:shd w:val="clear" w:color="auto" w:fill="FFFFFF"/>
              </w:rPr>
              <w:t>重庆市涪陵区敦仁街道八一路1号御景江都B3栋</w:t>
            </w:r>
          </w:p>
        </w:tc>
        <w:tc>
          <w:tcPr>
            <w:tcW w:w="773" w:type="dxa"/>
            <w:tcBorders>
              <w:top w:val="nil"/>
              <w:left w:val="nil"/>
              <w:bottom w:val="single" w:color="auto" w:sz="4" w:space="0"/>
              <w:right w:val="single" w:color="auto" w:sz="6" w:space="0"/>
            </w:tcBorders>
            <w:shd w:val="clear" w:color="auto" w:fill="FFFFFF"/>
            <w:noWrap/>
            <w:tcMar>
              <w:left w:w="105" w:type="dxa"/>
              <w:right w:w="105" w:type="dxa"/>
            </w:tcMar>
            <w:vAlign w:val="center"/>
          </w:tcPr>
          <w:p>
            <w:pPr>
              <w:pStyle w:val="6"/>
              <w:widowControl/>
              <w:spacing w:before="0" w:beforeAutospacing="0" w:after="0" w:afterAutospacing="0" w:line="320" w:lineRule="exact"/>
              <w:jc w:val="center"/>
              <w:rPr>
                <w:rFonts w:ascii="方正仿宋_GBK" w:eastAsia="方正仿宋_GBK" w:cs="仿宋"/>
                <w:sz w:val="24"/>
                <w:szCs w:val="24"/>
                <w:shd w:val="clear" w:color="auto" w:fill="FFFFFF"/>
              </w:rPr>
            </w:pPr>
            <w:r>
              <w:rPr>
                <w:rFonts w:hint="eastAsia" w:ascii="方正仿宋_GBK" w:eastAsia="方正仿宋_GBK" w:cs="仿宋"/>
                <w:sz w:val="24"/>
                <w:szCs w:val="24"/>
                <w:shd w:val="clear" w:color="auto" w:fill="FFFFFF"/>
              </w:rPr>
              <w:t>重庆市涪陵区宏升医院有限责任公司</w:t>
            </w:r>
          </w:p>
        </w:tc>
        <w:tc>
          <w:tcPr>
            <w:tcW w:w="1134" w:type="dxa"/>
            <w:tcBorders>
              <w:top w:val="nil"/>
              <w:left w:val="nil"/>
              <w:bottom w:val="single" w:color="auto" w:sz="4" w:space="0"/>
              <w:right w:val="single" w:color="auto" w:sz="6" w:space="0"/>
            </w:tcBorders>
            <w:shd w:val="clear" w:color="auto" w:fill="FFFFFF"/>
            <w:noWrap/>
            <w:tcMar>
              <w:left w:w="105" w:type="dxa"/>
              <w:right w:w="105" w:type="dxa"/>
            </w:tcMar>
            <w:vAlign w:val="center"/>
          </w:tcPr>
          <w:p>
            <w:pPr>
              <w:pStyle w:val="6"/>
              <w:widowControl/>
              <w:spacing w:before="0" w:beforeAutospacing="0" w:after="0" w:afterAutospacing="0" w:line="320" w:lineRule="exact"/>
              <w:jc w:val="center"/>
              <w:rPr>
                <w:rFonts w:ascii="方正仿宋_GBK" w:eastAsia="方正仿宋_GBK" w:cs="仿宋"/>
                <w:sz w:val="24"/>
                <w:szCs w:val="24"/>
                <w:shd w:val="clear" w:color="auto" w:fill="FFFFFF"/>
              </w:rPr>
            </w:pPr>
            <w:r>
              <w:rPr>
                <w:rFonts w:hint="eastAsia" w:ascii="方正仿宋_GBK" w:eastAsia="方正仿宋_GBK" w:cs="仿宋"/>
                <w:sz w:val="24"/>
                <w:szCs w:val="24"/>
                <w:shd w:val="clear" w:color="auto" w:fill="FFFFFF"/>
              </w:rPr>
              <w:t>重庆市涪陵区拓源环境治理有限公司</w:t>
            </w:r>
          </w:p>
        </w:tc>
        <w:tc>
          <w:tcPr>
            <w:tcW w:w="3926" w:type="dxa"/>
            <w:tcBorders>
              <w:top w:val="nil"/>
              <w:left w:val="nil"/>
              <w:bottom w:val="single" w:color="auto" w:sz="4" w:space="0"/>
              <w:right w:val="single" w:color="auto" w:sz="6" w:space="0"/>
            </w:tcBorders>
            <w:shd w:val="clear" w:color="auto" w:fill="FFFFFF"/>
            <w:noWrap/>
            <w:tcMar>
              <w:left w:w="105" w:type="dxa"/>
              <w:right w:w="105" w:type="dxa"/>
            </w:tcMar>
            <w:vAlign w:val="center"/>
          </w:tcPr>
          <w:p>
            <w:pPr>
              <w:pStyle w:val="6"/>
              <w:widowControl/>
              <w:spacing w:before="0" w:beforeAutospacing="0" w:after="0" w:afterAutospacing="0" w:line="320" w:lineRule="exact"/>
              <w:jc w:val="both"/>
              <w:rPr>
                <w:rFonts w:ascii="方正仿宋_GBK" w:eastAsia="方正仿宋_GBK" w:cs="仿宋"/>
                <w:sz w:val="24"/>
                <w:szCs w:val="24"/>
                <w:shd w:val="clear" w:color="auto" w:fill="FFFFFF"/>
              </w:rPr>
            </w:pPr>
            <w:r>
              <w:rPr>
                <w:rFonts w:hint="eastAsia" w:ascii="方正仿宋_GBK" w:eastAsia="方正仿宋_GBK" w:cs="仿宋"/>
                <w:sz w:val="24"/>
                <w:szCs w:val="24"/>
                <w:shd w:val="clear" w:color="auto" w:fill="FFFFFF"/>
              </w:rPr>
              <w:t>本项目租赁已建构筑物建设综合医院，</w:t>
            </w:r>
            <w:bookmarkStart w:id="0" w:name="OLE_LINK7"/>
            <w:r>
              <w:rPr>
                <w:rFonts w:hint="eastAsia" w:ascii="方正仿宋_GBK" w:eastAsia="方正仿宋_GBK" w:cs="仿宋"/>
                <w:sz w:val="24"/>
                <w:szCs w:val="24"/>
                <w:shd w:val="clear" w:color="auto" w:fill="FFFFFF"/>
              </w:rPr>
              <w:t>总建筑面积5412m</w:t>
            </w:r>
            <w:r>
              <w:rPr>
                <w:rFonts w:hint="eastAsia" w:ascii="方正仿宋_GBK" w:eastAsia="方正仿宋_GBK" w:cs="仿宋"/>
                <w:sz w:val="24"/>
                <w:szCs w:val="24"/>
                <w:shd w:val="clear" w:color="auto" w:fill="FFFFFF"/>
                <w:vertAlign w:val="superscript"/>
              </w:rPr>
              <w:t>2</w:t>
            </w:r>
            <w:r>
              <w:rPr>
                <w:rFonts w:hint="eastAsia" w:ascii="方正仿宋_GBK" w:eastAsia="方正仿宋_GBK" w:cs="仿宋"/>
                <w:sz w:val="24"/>
                <w:szCs w:val="24"/>
                <w:shd w:val="clear" w:color="auto" w:fill="FFFFFF"/>
              </w:rPr>
              <w:t>，设置住院床位100张，设急诊科、内科、外科、麻醉科、中医科、妇产科、儿科、皮肤科、眼科、耳鼻咽喉科、口腔科、美容科、检验科、药剂科、放射科、手术室、理疗科、消毒供应室、病案室、超声科等科室</w:t>
            </w:r>
            <w:bookmarkEnd w:id="0"/>
            <w:r>
              <w:rPr>
                <w:rFonts w:hint="eastAsia" w:ascii="方正仿宋_GBK" w:eastAsia="方正仿宋_GBK" w:cs="仿宋"/>
                <w:sz w:val="24"/>
                <w:szCs w:val="24"/>
                <w:shd w:val="clear" w:color="auto" w:fill="FFFFFF"/>
              </w:rPr>
              <w:t>，配套建设辅助工程、储运工程、公用工程，及污水处理设施、医疗废物暂存间等环保工程。</w:t>
            </w:r>
          </w:p>
        </w:tc>
        <w:tc>
          <w:tcPr>
            <w:tcW w:w="7322" w:type="dxa"/>
            <w:tcBorders>
              <w:top w:val="nil"/>
              <w:left w:val="nil"/>
              <w:bottom w:val="single" w:color="auto" w:sz="4" w:space="0"/>
              <w:right w:val="single" w:color="auto" w:sz="6" w:space="0"/>
            </w:tcBorders>
            <w:shd w:val="clear" w:color="auto" w:fill="FFFFFF"/>
            <w:noWrap/>
            <w:tcMar>
              <w:left w:w="105" w:type="dxa"/>
              <w:right w:w="105" w:type="dxa"/>
            </w:tcMar>
            <w:vAlign w:val="center"/>
          </w:tcPr>
          <w:p>
            <w:pPr>
              <w:pStyle w:val="6"/>
              <w:widowControl/>
              <w:spacing w:before="0" w:beforeAutospacing="0" w:after="0" w:afterAutospacing="0" w:line="320" w:lineRule="exact"/>
              <w:jc w:val="both"/>
              <w:rPr>
                <w:rFonts w:ascii="方正仿宋_GBK" w:hAnsi="方正仿宋_GBK" w:eastAsia="方正仿宋_GBK" w:cs="方正仿宋_GBK"/>
                <w:sz w:val="24"/>
                <w:szCs w:val="24"/>
                <w:shd w:val="clear" w:color="auto" w:fill="FFFFFF"/>
              </w:rPr>
            </w:pPr>
            <w:r>
              <w:rPr>
                <w:rFonts w:hint="eastAsia" w:ascii="方正仿宋_GBK" w:hAnsi="方正仿宋_GBK" w:eastAsia="方正仿宋_GBK" w:cs="方正仿宋_GBK"/>
                <w:sz w:val="24"/>
                <w:szCs w:val="24"/>
                <w:shd w:val="clear" w:color="auto" w:fill="FFFFFF"/>
              </w:rPr>
              <w:t>废水：医疗废水、生活污水经一体化污水处理设施处理达标后通过市政污水管网排入涪陵城区污水处理厂进行深度处理。</w:t>
            </w:r>
          </w:p>
          <w:p>
            <w:pPr>
              <w:pStyle w:val="6"/>
              <w:widowControl/>
              <w:spacing w:before="0" w:beforeAutospacing="0" w:after="0" w:afterAutospacing="0" w:line="320" w:lineRule="exact"/>
              <w:jc w:val="both"/>
              <w:rPr>
                <w:rFonts w:ascii="方正仿宋_GBK" w:hAnsi="方正仿宋_GBK" w:eastAsia="方正仿宋_GBK" w:cs="方正仿宋_GBK"/>
                <w:sz w:val="24"/>
                <w:szCs w:val="24"/>
                <w:shd w:val="clear" w:color="auto" w:fill="FFFFFF"/>
              </w:rPr>
            </w:pPr>
            <w:r>
              <w:rPr>
                <w:rFonts w:hint="eastAsia" w:ascii="方正仿宋_GBK" w:hAnsi="方正仿宋_GBK" w:eastAsia="方正仿宋_GBK" w:cs="方正仿宋_GBK"/>
                <w:sz w:val="24"/>
                <w:szCs w:val="24"/>
                <w:shd w:val="clear" w:color="auto" w:fill="FFFFFF"/>
              </w:rPr>
              <w:t>废气：污水处理设施臭气经活性炭装置吸附处理后通过26m高排气筒引至</w:t>
            </w:r>
            <w:bookmarkStart w:id="1" w:name="OLE_LINK4"/>
            <w:r>
              <w:rPr>
                <w:rFonts w:hint="eastAsia" w:ascii="方正仿宋_GBK" w:hAnsi="方正仿宋_GBK" w:eastAsia="方正仿宋_GBK" w:cs="方正仿宋_GBK"/>
                <w:sz w:val="24"/>
                <w:szCs w:val="24"/>
                <w:shd w:val="clear" w:color="auto" w:fill="FFFFFF"/>
              </w:rPr>
              <w:t>楼顶</w:t>
            </w:r>
            <w:bookmarkEnd w:id="1"/>
            <w:r>
              <w:rPr>
                <w:rFonts w:hint="eastAsia" w:ascii="方正仿宋_GBK" w:hAnsi="方正仿宋_GBK" w:eastAsia="方正仿宋_GBK" w:cs="方正仿宋_GBK"/>
                <w:sz w:val="24"/>
                <w:szCs w:val="24"/>
                <w:shd w:val="clear" w:color="auto" w:fill="FFFFFF"/>
              </w:rPr>
              <w:t>排放。检验废气</w:t>
            </w:r>
            <w:r>
              <w:rPr>
                <w:rFonts w:hint="eastAsia" w:ascii="方正仿宋_GBK" w:hAnsi="方正仿宋_GBK" w:eastAsia="方正仿宋_GBK" w:cs="方正仿宋_GBK"/>
                <w:sz w:val="24"/>
                <w:szCs w:val="24"/>
                <w:shd w:val="clear" w:color="auto" w:fill="FFFFFF"/>
                <w:lang w:eastAsia="zh-CN"/>
              </w:rPr>
              <w:t>经</w:t>
            </w:r>
            <w:r>
              <w:rPr>
                <w:rFonts w:hint="eastAsia" w:ascii="方正仿宋_GBK" w:hAnsi="方正仿宋_GBK" w:eastAsia="方正仿宋_GBK" w:cs="方正仿宋_GBK"/>
                <w:sz w:val="24"/>
                <w:szCs w:val="24"/>
                <w:shd w:val="clear" w:color="auto" w:fill="FFFFFF"/>
              </w:rPr>
              <w:t>生物安全柜过滤，煎药臭气经活性炭装置吸附处理引至楼顶排放。柴油发电机废气经专用烟道引至楼顶排放。医疗废物暂存间采取紫外消毒、密闭贮存、及时清运等措施减少臭气产生。</w:t>
            </w:r>
          </w:p>
          <w:p>
            <w:pPr>
              <w:snapToGrid w:val="0"/>
              <w:rPr>
                <w:rFonts w:ascii="方正仿宋_GBK" w:eastAsia="方正仿宋_GBK" w:cs="仿宋"/>
                <w:sz w:val="24"/>
                <w:szCs w:val="24"/>
                <w:shd w:val="clear" w:color="auto" w:fill="FFFFFF"/>
              </w:rPr>
            </w:pPr>
            <w:r>
              <w:rPr>
                <w:rFonts w:hint="eastAsia" w:ascii="方正仿宋_GBK" w:hAnsi="方正仿宋_GBK" w:eastAsia="方正仿宋_GBK" w:cs="方正仿宋_GBK"/>
                <w:kern w:val="0"/>
                <w:sz w:val="24"/>
                <w:szCs w:val="24"/>
                <w:shd w:val="clear" w:color="auto" w:fill="FFFFFF"/>
              </w:rPr>
              <w:t>噪声</w:t>
            </w:r>
            <w:r>
              <w:rPr>
                <w:rFonts w:hint="eastAsia" w:ascii="方正仿宋_GBK" w:eastAsia="方正仿宋_GBK" w:cs="仿宋"/>
                <w:sz w:val="24"/>
                <w:szCs w:val="24"/>
                <w:shd w:val="clear" w:color="auto" w:fill="FFFFFF"/>
              </w:rPr>
              <w:t>：选用低噪声设备，并采取基础减振、建筑隔声、设置隔音板等降噪措施。</w:t>
            </w:r>
          </w:p>
          <w:p>
            <w:pPr>
              <w:snapToGrid w:val="0"/>
              <w:rPr>
                <w:rFonts w:ascii="方正仿宋_GBK" w:eastAsia="方正仿宋_GBK" w:cs="仿宋"/>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固废</w:t>
            </w:r>
            <w:r>
              <w:rPr>
                <w:rFonts w:hint="eastAsia" w:ascii="方正仿宋_GBK" w:hAnsi="方正仿宋_GBK" w:eastAsia="方正仿宋_GBK" w:cs="方正仿宋_GBK"/>
                <w:sz w:val="24"/>
                <w:szCs w:val="24"/>
                <w:shd w:val="clear" w:color="auto" w:fill="FFFFFF"/>
              </w:rPr>
              <w:t>：医疗废物、检验废液、废紫外灯管、废活性炭</w:t>
            </w:r>
            <w:r>
              <w:rPr>
                <w:rFonts w:hint="eastAsia" w:ascii="方正仿宋_GBK" w:hAnsi="方正仿宋_GBK" w:eastAsia="方正仿宋_GBK" w:cs="方正仿宋_GBK"/>
                <w:kern w:val="0"/>
                <w:sz w:val="24"/>
                <w:szCs w:val="24"/>
                <w:shd w:val="clear" w:color="auto" w:fill="FFFFFF"/>
              </w:rPr>
              <w:t>用专用容器</w:t>
            </w:r>
            <w:r>
              <w:rPr>
                <w:rFonts w:hint="eastAsia" w:ascii="方正仿宋_GBK" w:hAnsi="方正仿宋_GBK" w:eastAsia="方正仿宋_GBK" w:cs="方正仿宋_GBK"/>
                <w:sz w:val="24"/>
                <w:szCs w:val="24"/>
                <w:shd w:val="clear" w:color="auto" w:fill="FFFFFF"/>
              </w:rPr>
              <w:t>分类单独收集后暂存于医疗废物暂存间，定期交由有相应资质单位收运处置。未被污染的一次性输液袋/瓶消毒后，与废离子树脂、废滤芯、制氧机废分子筛暂存于一般固废暂存间，定期交由有处理能力单位</w:t>
            </w:r>
            <w:r>
              <w:rPr>
                <w:rFonts w:hint="eastAsia" w:ascii="方正仿宋_GBK" w:hAnsi="方正仿宋_GBK" w:eastAsia="方正仿宋_GBK" w:cs="方正仿宋_GBK"/>
                <w:kern w:val="0"/>
                <w:sz w:val="24"/>
                <w:szCs w:val="24"/>
                <w:shd w:val="clear" w:color="auto" w:fill="FFFFFF"/>
              </w:rPr>
              <w:t>回收利用</w:t>
            </w:r>
            <w:r>
              <w:rPr>
                <w:rFonts w:hint="eastAsia" w:ascii="方正仿宋_GBK" w:hAnsi="方正仿宋_GBK" w:eastAsia="方正仿宋_GBK" w:cs="方正仿宋_GBK"/>
                <w:sz w:val="24"/>
                <w:szCs w:val="24"/>
                <w:shd w:val="clear" w:color="auto" w:fill="FFFFFF"/>
              </w:rPr>
              <w:t>。污水处理设施污泥委托专业单位定期清掏并化学消毒后带走处置。废中药渣密封收集，与生活垃圾交环卫部门处置。</w:t>
            </w:r>
          </w:p>
        </w:tc>
      </w:tr>
    </w:tbl>
    <w:p/>
    <w:sectPr>
      <w:pgSz w:w="16838" w:h="11906" w:orient="landscape"/>
      <w:pgMar w:top="1134" w:right="1020" w:bottom="1134"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80F3C52"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2"/>
  </w:compat>
  <w:rsids>
    <w:rsidRoot w:val="005031B8"/>
    <w:rsid w:val="000721D9"/>
    <w:rsid w:val="005031B8"/>
    <w:rsid w:val="00650B11"/>
    <w:rsid w:val="008A5446"/>
    <w:rsid w:val="009D7F95"/>
    <w:rsid w:val="00D57614"/>
    <w:rsid w:val="00DF3A65"/>
    <w:rsid w:val="3F6BC644"/>
    <w:rsid w:val="5FFD931D"/>
    <w:rsid w:val="7D3B55E7"/>
    <w:rsid w:val="7EEC1348"/>
    <w:rsid w:val="7EFAA9C6"/>
    <w:rsid w:val="7F77CD42"/>
    <w:rsid w:val="7FF7A2A8"/>
    <w:rsid w:val="87BAAD63"/>
    <w:rsid w:val="8EDDC53B"/>
    <w:rsid w:val="AEBD3EA2"/>
    <w:rsid w:val="CE3F03D0"/>
    <w:rsid w:val="D5DE78D3"/>
    <w:rsid w:val="DFEFA119"/>
    <w:rsid w:val="EDFF95E2"/>
    <w:rsid w:val="F6EB058F"/>
    <w:rsid w:val="F6F7913C"/>
    <w:rsid w:val="FBEF1E17"/>
    <w:rsid w:val="FDED1E6F"/>
    <w:rsid w:val="FDFFAC17"/>
    <w:rsid w:val="FFFFD8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widowControl/>
      <w:snapToGrid w:val="0"/>
      <w:spacing w:before="60" w:after="160" w:line="259" w:lineRule="auto"/>
      <w:ind w:right="113"/>
    </w:pPr>
    <w:rPr>
      <w:kern w:val="0"/>
      <w:sz w:val="1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bCs/>
    </w:rPr>
  </w:style>
  <w:style w:type="character" w:styleId="10">
    <w:name w:val="Emphasis"/>
    <w:basedOn w:val="8"/>
    <w:qFormat/>
    <w:uiPriority w:val="0"/>
    <w:rPr>
      <w:i/>
      <w:i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171</Words>
  <Characters>981</Characters>
  <Lines>8</Lines>
  <Paragraphs>2</Paragraphs>
  <TotalTime>24</TotalTime>
  <ScaleCrop>false</ScaleCrop>
  <LinksUpToDate>false</LinksUpToDate>
  <CharactersWithSpaces>1150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2022-09-18T03:30:00Z</dcterms:created>
  <dc:creator>Windows User</dc:creator>
  <cp:lastModifiedBy>苏娟</cp:lastModifiedBy>
  <dcterms:modified xsi:type="dcterms:W3CDTF">2025-07-11T16:21:25Z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D1784CCF9E6ADE76F8887E669145DAB6</vt:lpwstr>
  </property>
</Properties>
</file>