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240" w:line="320" w:lineRule="exact"/>
        <w:ind w:firstLine="480" w:firstLineChars="200"/>
        <w:rPr>
          <w:rFonts w:ascii="微软雅黑" w:hAnsi="微软雅黑" w:eastAsia="微软雅黑" w:cs="宋体"/>
          <w:kern w:val="0"/>
          <w:sz w:val="24"/>
          <w:szCs w:val="24"/>
        </w:rPr>
      </w:pPr>
      <w:r>
        <w:rPr>
          <w:rFonts w:hint="eastAsia" w:ascii="微软雅黑" w:hAnsi="微软雅黑" w:eastAsia="微软雅黑" w:cs="宋体"/>
          <w:kern w:val="0"/>
          <w:sz w:val="24"/>
          <w:szCs w:val="24"/>
        </w:rPr>
        <w:t>重庆市涪陵区生态环境局审查以下建设项目环评文件，现公告有关环评信息，接受社会监督。公示期为2025年12月</w:t>
      </w:r>
      <w:r>
        <w:rPr>
          <w:rFonts w:hint="eastAsia" w:ascii="微软雅黑" w:hAnsi="微软雅黑" w:eastAsia="微软雅黑" w:cs="宋体"/>
          <w:kern w:val="0"/>
          <w:sz w:val="24"/>
          <w:szCs w:val="24"/>
          <w:lang w:val="en-US" w:eastAsia="zh-CN"/>
        </w:rPr>
        <w:t>17日</w:t>
      </w:r>
      <w:r>
        <w:rPr>
          <w:rFonts w:hint="eastAsia" w:ascii="微软雅黑" w:hAnsi="微软雅黑" w:eastAsia="微软雅黑" w:cs="宋体"/>
          <w:kern w:val="0"/>
          <w:sz w:val="24"/>
          <w:szCs w:val="24"/>
        </w:rPr>
        <w:t>—2025年12月</w:t>
      </w:r>
      <w:r>
        <w:rPr>
          <w:rFonts w:hint="eastAsia" w:ascii="微软雅黑" w:hAnsi="微软雅黑" w:eastAsia="微软雅黑" w:cs="宋体"/>
          <w:kern w:val="0"/>
          <w:sz w:val="24"/>
          <w:szCs w:val="24"/>
          <w:lang w:val="en-US" w:eastAsia="zh-CN"/>
        </w:rPr>
        <w:t>23</w:t>
      </w:r>
      <w:r>
        <w:rPr>
          <w:rFonts w:hint="eastAsia" w:ascii="微软雅黑" w:hAnsi="微软雅黑" w:eastAsia="微软雅黑" w:cs="宋体"/>
          <w:kern w:val="0"/>
          <w:sz w:val="24"/>
          <w:szCs w:val="24"/>
        </w:rPr>
        <w:t>日。</w:t>
      </w:r>
    </w:p>
    <w:p>
      <w:pPr>
        <w:widowControl/>
        <w:spacing w:line="320" w:lineRule="exact"/>
        <w:ind w:firstLine="480" w:firstLineChars="200"/>
        <w:rPr>
          <w:rFonts w:ascii="微软雅黑" w:hAnsi="微软雅黑" w:eastAsia="微软雅黑" w:cs="宋体"/>
          <w:kern w:val="0"/>
          <w:sz w:val="24"/>
          <w:szCs w:val="24"/>
        </w:rPr>
      </w:pPr>
      <w:r>
        <w:rPr>
          <w:rFonts w:hint="eastAsia" w:ascii="微软雅黑" w:hAnsi="微软雅黑" w:eastAsia="微软雅黑" w:cs="宋体"/>
          <w:kern w:val="0"/>
          <w:sz w:val="24"/>
          <w:szCs w:val="24"/>
        </w:rPr>
        <w:t>反馈意见受理方式为电子邮箱：FL72899987@163.com，传真：0</w:t>
      </w:r>
      <w:r>
        <w:rPr>
          <w:rFonts w:ascii="微软雅黑" w:hAnsi="微软雅黑" w:eastAsia="微软雅黑" w:cs="宋体"/>
          <w:kern w:val="0"/>
          <w:sz w:val="24"/>
          <w:szCs w:val="24"/>
        </w:rPr>
        <w:t>23</w:t>
      </w:r>
      <w:r>
        <w:rPr>
          <w:rFonts w:hint="eastAsia" w:ascii="微软雅黑" w:hAnsi="微软雅黑" w:eastAsia="微软雅黑" w:cs="宋体"/>
          <w:kern w:val="0"/>
          <w:sz w:val="24"/>
          <w:szCs w:val="24"/>
        </w:rPr>
        <w:t>-72899967。通信地址：重庆市涪陵区太白大道3号，邮编：408102。申请人和利害关系人可自公示起5个工作日内以书面形式向我局提出听证申请。</w:t>
      </w:r>
    </w:p>
    <w:tbl>
      <w:tblPr>
        <w:tblStyle w:val="11"/>
        <w:tblW w:w="15866" w:type="dxa"/>
        <w:jc w:val="center"/>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fixed"/>
        <w:tblCellMar>
          <w:top w:w="75" w:type="dxa"/>
          <w:left w:w="150" w:type="dxa"/>
          <w:bottom w:w="75" w:type="dxa"/>
          <w:right w:w="150" w:type="dxa"/>
        </w:tblCellMar>
      </w:tblPr>
      <w:tblGrid>
        <w:gridCol w:w="481"/>
        <w:gridCol w:w="834"/>
        <w:gridCol w:w="1225"/>
        <w:gridCol w:w="737"/>
        <w:gridCol w:w="1225"/>
        <w:gridCol w:w="2338"/>
        <w:gridCol w:w="9026"/>
      </w:tblGrid>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jc w:val="center"/>
        </w:trPr>
        <w:tc>
          <w:tcPr>
            <w:tcW w:w="481" w:type="dxa"/>
            <w:tcBorders>
              <w:top w:val="single" w:color="auto" w:sz="6" w:space="0"/>
              <w:left w:val="single" w:color="auto" w:sz="6" w:space="0"/>
              <w:bottom w:val="single" w:color="auto" w:sz="4" w:space="0"/>
              <w:right w:val="single" w:color="auto" w:sz="6" w:space="0"/>
            </w:tcBorders>
            <w:noWrap/>
            <w:tcMar>
              <w:top w:w="0" w:type="dxa"/>
              <w:left w:w="105" w:type="dxa"/>
              <w:bottom w:w="0" w:type="dxa"/>
              <w:right w:w="105" w:type="dxa"/>
            </w:tcMar>
            <w:vAlign w:val="center"/>
          </w:tcPr>
          <w:p>
            <w:pPr>
              <w:widowControl/>
              <w:spacing w:line="280" w:lineRule="exact"/>
              <w:jc w:val="center"/>
              <w:rPr>
                <w:rFonts w:ascii="微软雅黑" w:hAnsi="微软雅黑" w:eastAsia="微软雅黑" w:cs="宋体"/>
                <w:b/>
                <w:kern w:val="0"/>
                <w:szCs w:val="21"/>
              </w:rPr>
            </w:pPr>
            <w:r>
              <w:rPr>
                <w:rFonts w:hint="eastAsia" w:ascii="微软雅黑" w:hAnsi="微软雅黑" w:eastAsia="微软雅黑" w:cs="宋体"/>
                <w:b/>
                <w:color w:val="000000"/>
                <w:kern w:val="0"/>
                <w:szCs w:val="21"/>
              </w:rPr>
              <w:t>序号</w:t>
            </w:r>
          </w:p>
        </w:tc>
        <w:tc>
          <w:tcPr>
            <w:tcW w:w="834" w:type="dxa"/>
            <w:tcBorders>
              <w:top w:val="single" w:color="auto" w:sz="6" w:space="0"/>
              <w:left w:val="nil"/>
              <w:bottom w:val="single" w:color="auto" w:sz="4" w:space="0"/>
              <w:right w:val="single" w:color="auto" w:sz="6" w:space="0"/>
            </w:tcBorders>
            <w:noWrap/>
            <w:tcMar>
              <w:top w:w="0" w:type="dxa"/>
              <w:left w:w="105" w:type="dxa"/>
              <w:bottom w:w="0" w:type="dxa"/>
              <w:right w:w="105" w:type="dxa"/>
            </w:tcMar>
            <w:vAlign w:val="center"/>
          </w:tcPr>
          <w:p>
            <w:pPr>
              <w:widowControl/>
              <w:spacing w:line="280" w:lineRule="exact"/>
              <w:jc w:val="center"/>
              <w:rPr>
                <w:rFonts w:ascii="微软雅黑" w:hAnsi="微软雅黑" w:eastAsia="微软雅黑" w:cs="宋体"/>
                <w:b/>
                <w:kern w:val="0"/>
                <w:szCs w:val="21"/>
              </w:rPr>
            </w:pPr>
            <w:r>
              <w:rPr>
                <w:rFonts w:hint="eastAsia" w:ascii="微软雅黑" w:hAnsi="微软雅黑" w:eastAsia="微软雅黑" w:cs="宋体"/>
                <w:b/>
                <w:color w:val="000000"/>
                <w:kern w:val="0"/>
                <w:szCs w:val="21"/>
              </w:rPr>
              <w:t>项目名称</w:t>
            </w:r>
          </w:p>
        </w:tc>
        <w:tc>
          <w:tcPr>
            <w:tcW w:w="1225" w:type="dxa"/>
            <w:tcBorders>
              <w:top w:val="single" w:color="auto" w:sz="6" w:space="0"/>
              <w:left w:val="nil"/>
              <w:bottom w:val="single" w:color="auto" w:sz="4" w:space="0"/>
              <w:right w:val="single" w:color="auto" w:sz="6" w:space="0"/>
            </w:tcBorders>
            <w:noWrap/>
            <w:tcMar>
              <w:top w:w="0" w:type="dxa"/>
              <w:left w:w="105" w:type="dxa"/>
              <w:bottom w:w="0" w:type="dxa"/>
              <w:right w:w="105" w:type="dxa"/>
            </w:tcMar>
            <w:vAlign w:val="center"/>
          </w:tcPr>
          <w:p>
            <w:pPr>
              <w:widowControl/>
              <w:spacing w:line="280" w:lineRule="exact"/>
              <w:jc w:val="center"/>
              <w:rPr>
                <w:rFonts w:ascii="微软雅黑" w:hAnsi="微软雅黑" w:eastAsia="微软雅黑" w:cs="宋体"/>
                <w:b/>
                <w:kern w:val="0"/>
                <w:szCs w:val="21"/>
              </w:rPr>
            </w:pPr>
            <w:r>
              <w:rPr>
                <w:rFonts w:hint="eastAsia" w:ascii="微软雅黑" w:hAnsi="微软雅黑" w:eastAsia="微软雅黑" w:cs="宋体"/>
                <w:b/>
                <w:color w:val="000000"/>
                <w:kern w:val="0"/>
                <w:szCs w:val="21"/>
              </w:rPr>
              <w:t>建设地点</w:t>
            </w:r>
          </w:p>
        </w:tc>
        <w:tc>
          <w:tcPr>
            <w:tcW w:w="737" w:type="dxa"/>
            <w:tcBorders>
              <w:top w:val="single" w:color="auto" w:sz="6" w:space="0"/>
              <w:left w:val="nil"/>
              <w:bottom w:val="single" w:color="auto" w:sz="4" w:space="0"/>
              <w:right w:val="single" w:color="auto" w:sz="6" w:space="0"/>
            </w:tcBorders>
            <w:noWrap/>
            <w:tcMar>
              <w:top w:w="0" w:type="dxa"/>
              <w:left w:w="105" w:type="dxa"/>
              <w:bottom w:w="0" w:type="dxa"/>
              <w:right w:w="105" w:type="dxa"/>
            </w:tcMar>
            <w:vAlign w:val="center"/>
          </w:tcPr>
          <w:p>
            <w:pPr>
              <w:widowControl/>
              <w:spacing w:line="280" w:lineRule="exact"/>
              <w:jc w:val="center"/>
              <w:rPr>
                <w:rFonts w:ascii="微软雅黑" w:hAnsi="微软雅黑" w:eastAsia="微软雅黑" w:cs="宋体"/>
                <w:b/>
                <w:kern w:val="0"/>
                <w:szCs w:val="21"/>
              </w:rPr>
            </w:pPr>
            <w:r>
              <w:rPr>
                <w:rFonts w:hint="eastAsia" w:ascii="微软雅黑" w:hAnsi="微软雅黑" w:eastAsia="微软雅黑" w:cs="宋体"/>
                <w:b/>
                <w:color w:val="000000"/>
                <w:kern w:val="0"/>
                <w:szCs w:val="21"/>
              </w:rPr>
              <w:t>建设单位</w:t>
            </w:r>
          </w:p>
        </w:tc>
        <w:tc>
          <w:tcPr>
            <w:tcW w:w="1225" w:type="dxa"/>
            <w:tcBorders>
              <w:top w:val="single" w:color="auto" w:sz="6" w:space="0"/>
              <w:left w:val="nil"/>
              <w:bottom w:val="single" w:color="auto" w:sz="4" w:space="0"/>
              <w:right w:val="single" w:color="auto" w:sz="6" w:space="0"/>
            </w:tcBorders>
            <w:noWrap/>
            <w:tcMar>
              <w:top w:w="0" w:type="dxa"/>
              <w:left w:w="105" w:type="dxa"/>
              <w:bottom w:w="0" w:type="dxa"/>
              <w:right w:w="105" w:type="dxa"/>
            </w:tcMar>
            <w:vAlign w:val="center"/>
          </w:tcPr>
          <w:p>
            <w:pPr>
              <w:widowControl/>
              <w:spacing w:line="280" w:lineRule="exact"/>
              <w:jc w:val="center"/>
              <w:rPr>
                <w:rFonts w:ascii="微软雅黑" w:hAnsi="微软雅黑" w:eastAsia="微软雅黑" w:cs="宋体"/>
                <w:b/>
                <w:kern w:val="0"/>
                <w:szCs w:val="21"/>
              </w:rPr>
            </w:pPr>
            <w:r>
              <w:rPr>
                <w:rFonts w:hint="eastAsia" w:ascii="微软雅黑" w:hAnsi="微软雅黑" w:eastAsia="微软雅黑" w:cs="宋体"/>
                <w:b/>
                <w:color w:val="000000"/>
                <w:kern w:val="0"/>
                <w:szCs w:val="21"/>
              </w:rPr>
              <w:t>环境影响评价机构</w:t>
            </w:r>
          </w:p>
        </w:tc>
        <w:tc>
          <w:tcPr>
            <w:tcW w:w="2338" w:type="dxa"/>
            <w:tcBorders>
              <w:top w:val="single" w:color="auto" w:sz="6" w:space="0"/>
              <w:left w:val="nil"/>
              <w:bottom w:val="single" w:color="auto" w:sz="4" w:space="0"/>
              <w:right w:val="single" w:color="auto" w:sz="6" w:space="0"/>
            </w:tcBorders>
            <w:noWrap/>
            <w:tcMar>
              <w:top w:w="0" w:type="dxa"/>
              <w:left w:w="105" w:type="dxa"/>
              <w:bottom w:w="0" w:type="dxa"/>
              <w:right w:w="105" w:type="dxa"/>
            </w:tcMar>
            <w:vAlign w:val="center"/>
          </w:tcPr>
          <w:p>
            <w:pPr>
              <w:widowControl/>
              <w:spacing w:line="280" w:lineRule="exact"/>
              <w:jc w:val="center"/>
              <w:rPr>
                <w:rFonts w:ascii="微软雅黑" w:hAnsi="微软雅黑" w:eastAsia="微软雅黑" w:cs="宋体"/>
                <w:b/>
                <w:kern w:val="0"/>
                <w:szCs w:val="21"/>
              </w:rPr>
            </w:pPr>
            <w:r>
              <w:rPr>
                <w:rFonts w:hint="eastAsia" w:ascii="微软雅黑" w:hAnsi="微软雅黑" w:eastAsia="微软雅黑" w:cs="宋体"/>
                <w:b/>
                <w:color w:val="000000"/>
                <w:kern w:val="0"/>
                <w:szCs w:val="21"/>
              </w:rPr>
              <w:t>项目概况</w:t>
            </w:r>
          </w:p>
        </w:tc>
        <w:tc>
          <w:tcPr>
            <w:tcW w:w="9026" w:type="dxa"/>
            <w:tcBorders>
              <w:top w:val="single" w:color="auto" w:sz="6" w:space="0"/>
              <w:left w:val="nil"/>
              <w:bottom w:val="single" w:color="auto" w:sz="4" w:space="0"/>
              <w:right w:val="single" w:color="auto" w:sz="6" w:space="0"/>
            </w:tcBorders>
            <w:noWrap/>
            <w:tcMar>
              <w:top w:w="0" w:type="dxa"/>
              <w:left w:w="105" w:type="dxa"/>
              <w:bottom w:w="0" w:type="dxa"/>
              <w:right w:w="105" w:type="dxa"/>
            </w:tcMar>
            <w:vAlign w:val="center"/>
          </w:tcPr>
          <w:p>
            <w:pPr>
              <w:widowControl/>
              <w:spacing w:line="280" w:lineRule="exact"/>
              <w:jc w:val="center"/>
              <w:rPr>
                <w:rFonts w:ascii="微软雅黑" w:hAnsi="微软雅黑" w:eastAsia="微软雅黑" w:cs="宋体"/>
                <w:b/>
                <w:kern w:val="0"/>
                <w:szCs w:val="21"/>
              </w:rPr>
            </w:pPr>
            <w:r>
              <w:rPr>
                <w:rFonts w:hint="eastAsia" w:ascii="微软雅黑" w:hAnsi="微软雅黑" w:eastAsia="微软雅黑" w:cs="宋体"/>
                <w:b/>
                <w:color w:val="000000"/>
                <w:kern w:val="0"/>
                <w:szCs w:val="21"/>
              </w:rPr>
              <w:t>主要环境影响和环境保护对策与措施</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1686" w:hRule="atLeast"/>
          <w:jc w:val="center"/>
        </w:trPr>
        <w:tc>
          <w:tcPr>
            <w:tcW w:w="481"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widowControl/>
              <w:spacing w:line="280" w:lineRule="exact"/>
              <w:jc w:val="center"/>
              <w:rPr>
                <w:rFonts w:ascii="微软雅黑" w:hAnsi="微软雅黑" w:eastAsia="微软雅黑" w:cs="宋体"/>
                <w:kern w:val="0"/>
                <w:szCs w:val="21"/>
              </w:rPr>
            </w:pPr>
            <w:r>
              <w:rPr>
                <w:rFonts w:hint="eastAsia" w:ascii="微软雅黑" w:hAnsi="微软雅黑" w:eastAsia="微软雅黑" w:cs="宋体"/>
                <w:kern w:val="0"/>
                <w:szCs w:val="21"/>
              </w:rPr>
              <w:t>1</w:t>
            </w:r>
          </w:p>
        </w:tc>
        <w:tc>
          <w:tcPr>
            <w:tcW w:w="834"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widowControl/>
              <w:spacing w:line="280" w:lineRule="exact"/>
              <w:jc w:val="center"/>
              <w:rPr>
                <w:rFonts w:ascii="微软雅黑" w:hAnsi="微软雅黑" w:eastAsia="微软雅黑" w:cs="宋体"/>
                <w:kern w:val="0"/>
                <w:szCs w:val="21"/>
              </w:rPr>
            </w:pPr>
            <w:r>
              <w:rPr>
                <w:rFonts w:ascii="微软雅黑" w:hAnsi="微软雅黑" w:eastAsia="微软雅黑" w:cs="宋体"/>
                <w:kern w:val="0"/>
                <w:szCs w:val="21"/>
                <w:lang w:val="en-US" w:eastAsia="zh-CN"/>
              </w:rPr>
              <w:t>气门扩建二期工程项目</w:t>
            </w:r>
          </w:p>
        </w:tc>
        <w:tc>
          <w:tcPr>
            <w:tcW w:w="122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widowControl/>
              <w:spacing w:line="280" w:lineRule="exact"/>
              <w:rPr>
                <w:rFonts w:hint="default" w:ascii="微软雅黑" w:hAnsi="微软雅黑" w:eastAsia="微软雅黑" w:cs="宋体"/>
                <w:kern w:val="0"/>
                <w:szCs w:val="21"/>
                <w:lang w:val="en-US" w:eastAsia="zh-CN"/>
              </w:rPr>
            </w:pPr>
            <w:r>
              <w:rPr>
                <w:rFonts w:hint="default" w:ascii="微软雅黑" w:hAnsi="微软雅黑" w:eastAsia="微软雅黑" w:cs="宋体"/>
                <w:kern w:val="0"/>
                <w:szCs w:val="21"/>
                <w:lang w:val="en-US" w:eastAsia="zh-CN"/>
              </w:rPr>
              <w:t>涪陵区聚源大道 189 号</w:t>
            </w:r>
          </w:p>
        </w:tc>
        <w:tc>
          <w:tcPr>
            <w:tcW w:w="737"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widowControl/>
              <w:spacing w:line="280" w:lineRule="exact"/>
              <w:rPr>
                <w:rFonts w:ascii="微软雅黑" w:hAnsi="微软雅黑" w:eastAsia="微软雅黑" w:cs="宋体"/>
                <w:kern w:val="0"/>
                <w:szCs w:val="21"/>
              </w:rPr>
            </w:pPr>
            <w:r>
              <w:rPr>
                <w:rFonts w:ascii="微软雅黑" w:hAnsi="微软雅黑" w:eastAsia="微软雅黑" w:cs="宋体"/>
                <w:kern w:val="0"/>
                <w:szCs w:val="21"/>
                <w:lang w:val="en-US" w:eastAsia="zh-CN"/>
              </w:rPr>
              <w:t>重庆三爱海陵实业有限责任公司</w:t>
            </w:r>
          </w:p>
        </w:tc>
        <w:tc>
          <w:tcPr>
            <w:tcW w:w="122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widowControl/>
              <w:spacing w:line="280" w:lineRule="exact"/>
              <w:rPr>
                <w:rFonts w:ascii="微软雅黑" w:hAnsi="微软雅黑" w:eastAsia="微软雅黑" w:cs="宋体"/>
                <w:kern w:val="0"/>
                <w:szCs w:val="21"/>
              </w:rPr>
            </w:pPr>
            <w:r>
              <w:rPr>
                <w:rFonts w:ascii="微软雅黑" w:hAnsi="微软雅黑" w:eastAsia="微软雅黑" w:cs="宋体"/>
                <w:kern w:val="0"/>
                <w:szCs w:val="21"/>
                <w:lang w:val="en-US" w:eastAsia="zh-CN"/>
              </w:rPr>
              <w:t>中煤科工重庆设计研究院（集团）有限公司</w:t>
            </w:r>
          </w:p>
        </w:tc>
        <w:tc>
          <w:tcPr>
            <w:tcW w:w="233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微软雅黑" w:hAnsi="微软雅黑" w:eastAsia="微软雅黑" w:cs="宋体"/>
                <w:kern w:val="0"/>
                <w:szCs w:val="21"/>
              </w:rPr>
            </w:pPr>
            <w:r>
              <w:rPr>
                <w:rFonts w:ascii="微软雅黑" w:hAnsi="微软雅黑" w:eastAsia="微软雅黑" w:cs="宋体"/>
                <w:kern w:val="0"/>
                <w:szCs w:val="21"/>
                <w:lang w:val="en-US" w:eastAsia="zh-CN"/>
              </w:rPr>
              <w:t>新增</w:t>
            </w:r>
            <w:r>
              <w:rPr>
                <w:rFonts w:hint="default" w:ascii="微软雅黑" w:hAnsi="微软雅黑" w:eastAsia="微软雅黑" w:cs="宋体"/>
                <w:kern w:val="0"/>
                <w:szCs w:val="21"/>
                <w:lang w:val="en-US" w:eastAsia="zh-CN"/>
              </w:rPr>
              <w:t>20</w:t>
            </w:r>
            <w:r>
              <w:rPr>
                <w:rFonts w:ascii="微软雅黑" w:hAnsi="微软雅黑" w:eastAsia="微软雅黑" w:cs="宋体"/>
                <w:kern w:val="0"/>
                <w:szCs w:val="21"/>
                <w:lang w:val="en-US" w:eastAsia="zh-CN"/>
              </w:rPr>
              <w:t>条机加工生产线。建成后新增进排气门</w:t>
            </w:r>
            <w:r>
              <w:rPr>
                <w:rFonts w:hint="default" w:ascii="微软雅黑" w:hAnsi="微软雅黑" w:eastAsia="微软雅黑" w:cs="宋体"/>
                <w:kern w:val="0"/>
                <w:szCs w:val="21"/>
                <w:lang w:val="en-US" w:eastAsia="zh-CN"/>
              </w:rPr>
              <w:t>7000万只/年</w:t>
            </w:r>
          </w:p>
        </w:tc>
        <w:tc>
          <w:tcPr>
            <w:tcW w:w="902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微软雅黑" w:hAnsi="微软雅黑" w:eastAsia="微软雅黑" w:cs="宋体"/>
                <w:kern w:val="0"/>
                <w:szCs w:val="21"/>
                <w:lang w:val="en-US" w:eastAsia="zh-CN"/>
              </w:rPr>
            </w:pPr>
            <w:r>
              <w:rPr>
                <w:rFonts w:hint="eastAsia" w:ascii="微软雅黑" w:hAnsi="微软雅黑" w:eastAsia="微软雅黑" w:cs="宋体"/>
                <w:kern w:val="0"/>
                <w:szCs w:val="21"/>
                <w:lang w:val="en-US" w:eastAsia="zh-CN"/>
              </w:rPr>
              <w:t>废水：项目产生的生活污水、生产废水依托厂区现有污水处理设施处理达标后经市政污水管网排入大耍坝污水处理厂。</w:t>
            </w:r>
          </w:p>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微软雅黑" w:hAnsi="微软雅黑" w:eastAsia="微软雅黑" w:cs="宋体"/>
                <w:kern w:val="0"/>
                <w:szCs w:val="21"/>
                <w:lang w:val="en-US" w:eastAsia="zh-CN"/>
              </w:rPr>
            </w:pPr>
            <w:r>
              <w:rPr>
                <w:rFonts w:hint="eastAsia" w:ascii="微软雅黑" w:hAnsi="微软雅黑" w:eastAsia="微软雅黑" w:cs="宋体"/>
                <w:kern w:val="0"/>
                <w:szCs w:val="21"/>
                <w:lang w:val="en-US" w:eastAsia="zh-CN"/>
              </w:rPr>
              <w:t>废气：下料、坯料工段新增、现有磨杆废气经布袋除尘器处理后通过15m高排气筒排放。热处理工段抛丸废气经布袋除尘器处理后通过15m高排气筒排放。粗加工工段抛丸废气经布袋除尘器处理后通过1根15m高排气筒排放。氮化喷砂工段抛丸废气经布袋除尘器处理后通过1根15m高排气筒排放。淬火废气经1套水喷淋处理设施处理后通过15m高排气筒排放；回火废气依托现有静电除尘设施处理后通过15m高排气筒排放。氮化废气经“三级碱洗+NaClO氧化喷淋净化系统”处理通过25m高排气筒排放。锅炉天然气采用低氮燃烧技术，燃烧废气通过8m高排气筒排放。</w:t>
            </w:r>
          </w:p>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微软雅黑" w:hAnsi="微软雅黑" w:eastAsia="微软雅黑" w:cs="宋体"/>
                <w:kern w:val="0"/>
                <w:szCs w:val="21"/>
                <w:lang w:val="en-US" w:eastAsia="zh-CN"/>
              </w:rPr>
            </w:pPr>
            <w:r>
              <w:rPr>
                <w:rFonts w:hint="eastAsia" w:ascii="微软雅黑" w:hAnsi="微软雅黑" w:eastAsia="微软雅黑" w:cs="宋体"/>
                <w:kern w:val="0"/>
                <w:szCs w:val="21"/>
                <w:lang w:val="en-US" w:eastAsia="zh-CN"/>
              </w:rPr>
              <w:t>噪声：选用低噪声设备，采取基础减振等措施。</w:t>
            </w:r>
          </w:p>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微软雅黑" w:hAnsi="微软雅黑" w:eastAsia="微软雅黑" w:cs="宋体"/>
                <w:kern w:val="0"/>
                <w:szCs w:val="21"/>
                <w:lang w:val="en-US" w:eastAsia="zh-CN"/>
              </w:rPr>
            </w:pPr>
            <w:r>
              <w:rPr>
                <w:rFonts w:hint="eastAsia" w:ascii="微软雅黑" w:hAnsi="微软雅黑" w:eastAsia="微软雅黑" w:cs="宋体"/>
                <w:kern w:val="0"/>
                <w:szCs w:val="21"/>
                <w:lang w:val="en-US" w:eastAsia="zh-CN"/>
              </w:rPr>
              <w:t>固废：依托现有一般工业固废间和危废贮存库；废金属、废金属料等一般工业固废交由有能力单位处置，废切削液等危险废物交由有资质单位处置；生活垃圾交由环卫部门清运。</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18" w:hRule="atLeast"/>
          <w:jc w:val="center"/>
        </w:trPr>
        <w:tc>
          <w:tcPr>
            <w:tcW w:w="481"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widowControl/>
              <w:spacing w:line="280" w:lineRule="exact"/>
              <w:jc w:val="center"/>
              <w:rPr>
                <w:rFonts w:hint="eastAsia" w:ascii="微软雅黑" w:hAnsi="微软雅黑" w:eastAsia="微软雅黑" w:cs="宋体"/>
                <w:kern w:val="0"/>
                <w:szCs w:val="21"/>
                <w:lang w:val="en-US" w:eastAsia="zh-CN"/>
              </w:rPr>
            </w:pPr>
            <w:r>
              <w:rPr>
                <w:rFonts w:hint="eastAsia" w:ascii="微软雅黑" w:hAnsi="微软雅黑" w:eastAsia="微软雅黑" w:cs="宋体"/>
                <w:kern w:val="0"/>
                <w:szCs w:val="21"/>
                <w:lang w:val="en-US" w:eastAsia="zh-CN"/>
              </w:rPr>
              <w:t>2</w:t>
            </w:r>
          </w:p>
        </w:tc>
        <w:tc>
          <w:tcPr>
            <w:tcW w:w="834"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widowControl/>
              <w:spacing w:line="280" w:lineRule="exact"/>
              <w:jc w:val="center"/>
              <w:rPr>
                <w:rFonts w:hint="eastAsia" w:ascii="微软雅黑" w:hAnsi="微软雅黑" w:eastAsia="微软雅黑" w:cs="宋体"/>
                <w:kern w:val="0"/>
                <w:szCs w:val="21"/>
                <w:lang w:val="en-US" w:eastAsia="zh-CN"/>
              </w:rPr>
            </w:pPr>
            <w:r>
              <w:rPr>
                <w:rFonts w:hint="eastAsia" w:ascii="微软雅黑" w:hAnsi="微软雅黑" w:eastAsia="微软雅黑" w:cs="宋体"/>
                <w:kern w:val="0"/>
                <w:szCs w:val="21"/>
                <w:lang w:val="en-US" w:eastAsia="zh-CN"/>
              </w:rPr>
              <w:t>同丰农业生猪定点屠宰场升级改造扩建项目</w:t>
            </w:r>
          </w:p>
        </w:tc>
        <w:tc>
          <w:tcPr>
            <w:tcW w:w="122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widowControl/>
              <w:spacing w:line="280" w:lineRule="exact"/>
              <w:rPr>
                <w:rFonts w:hint="eastAsia" w:ascii="微软雅黑" w:hAnsi="微软雅黑" w:eastAsia="微软雅黑" w:cs="宋体"/>
                <w:kern w:val="0"/>
                <w:szCs w:val="21"/>
                <w:lang w:val="en-US" w:eastAsia="zh-CN"/>
              </w:rPr>
            </w:pPr>
            <w:r>
              <w:rPr>
                <w:rFonts w:hint="eastAsia" w:ascii="微软雅黑" w:hAnsi="微软雅黑" w:eastAsia="微软雅黑" w:cs="宋体"/>
                <w:kern w:val="0"/>
                <w:szCs w:val="21"/>
                <w:lang w:val="en-US" w:eastAsia="zh-CN"/>
              </w:rPr>
              <w:t>龙潭镇龙腾居委五组</w:t>
            </w:r>
          </w:p>
        </w:tc>
        <w:tc>
          <w:tcPr>
            <w:tcW w:w="737"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widowControl/>
              <w:spacing w:line="280" w:lineRule="exact"/>
              <w:rPr>
                <w:rFonts w:hint="eastAsia" w:ascii="微软雅黑" w:hAnsi="微软雅黑" w:eastAsia="微软雅黑" w:cs="宋体"/>
                <w:kern w:val="0"/>
                <w:szCs w:val="21"/>
                <w:lang w:eastAsia="zh-CN"/>
              </w:rPr>
            </w:pPr>
            <w:r>
              <w:rPr>
                <w:rFonts w:hint="eastAsia" w:ascii="微软雅黑" w:hAnsi="微软雅黑" w:eastAsia="微软雅黑" w:cs="宋体"/>
                <w:kern w:val="0"/>
                <w:szCs w:val="21"/>
                <w:lang w:val="en-US" w:eastAsia="zh-CN"/>
              </w:rPr>
              <w:t>重庆市同丰农业开发有限公司</w:t>
            </w:r>
          </w:p>
        </w:tc>
        <w:tc>
          <w:tcPr>
            <w:tcW w:w="122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widowControl/>
              <w:spacing w:line="280" w:lineRule="exact"/>
              <w:rPr>
                <w:rFonts w:hint="eastAsia" w:ascii="微软雅黑" w:hAnsi="微软雅黑" w:eastAsia="微软雅黑" w:cs="宋体"/>
                <w:kern w:val="0"/>
                <w:szCs w:val="21"/>
                <w:lang w:val="en-US" w:eastAsia="zh-CN"/>
              </w:rPr>
            </w:pPr>
            <w:r>
              <w:rPr>
                <w:rFonts w:hint="eastAsia" w:ascii="微软雅黑" w:hAnsi="微软雅黑" w:eastAsia="微软雅黑" w:cs="宋体"/>
                <w:kern w:val="0"/>
                <w:szCs w:val="21"/>
                <w:lang w:val="en-US" w:eastAsia="zh-CN"/>
              </w:rPr>
              <w:t>重庆沅青环保科技有限公司</w:t>
            </w:r>
          </w:p>
        </w:tc>
        <w:tc>
          <w:tcPr>
            <w:tcW w:w="233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微软雅黑" w:hAnsi="微软雅黑" w:eastAsia="微软雅黑" w:cs="宋体"/>
                <w:kern w:val="0"/>
                <w:szCs w:val="21"/>
              </w:rPr>
            </w:pPr>
            <w:r>
              <w:rPr>
                <w:rFonts w:hint="eastAsia" w:ascii="微软雅黑" w:hAnsi="微软雅黑" w:eastAsia="微软雅黑" w:cs="宋体"/>
                <w:kern w:val="0"/>
                <w:szCs w:val="21"/>
                <w:lang w:val="en-US" w:eastAsia="zh-CN"/>
              </w:rPr>
              <w:t>对现有生猪定点屠宰场厂房改造，占地面积约为3660平方米，新增占地面积1796平方米，新增一条宰线及其配套设施，升级改造待宰圈舍、赶猪通道及屠宰车间，建成规范化屠宰场，建成后年屠宰能力达15万头。</w:t>
            </w:r>
          </w:p>
        </w:tc>
        <w:tc>
          <w:tcPr>
            <w:tcW w:w="902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微软雅黑" w:hAnsi="微软雅黑" w:eastAsia="微软雅黑" w:cs="宋体"/>
                <w:kern w:val="0"/>
                <w:szCs w:val="21"/>
                <w:lang w:val="en-US" w:eastAsia="zh-CN"/>
              </w:rPr>
            </w:pPr>
            <w:r>
              <w:rPr>
                <w:rFonts w:hint="eastAsia" w:ascii="微软雅黑" w:hAnsi="微软雅黑" w:eastAsia="微软雅黑" w:cs="宋体"/>
                <w:kern w:val="0"/>
                <w:szCs w:val="21"/>
                <w:lang w:val="en-US" w:eastAsia="zh-CN"/>
              </w:rPr>
              <w:t>废气：待宰圈采用干清粪工艺，及时清运，厂区四周种植吸臭植物；待宰圈、屠宰车间、污水处理站分区密闭，采用抽排风系统集中收集，通过收集经除臭设施处理后经15m高排气筒排放。</w:t>
            </w:r>
          </w:p>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微软雅黑" w:hAnsi="微软雅黑" w:eastAsia="微软雅黑" w:cs="宋体"/>
                <w:kern w:val="0"/>
                <w:szCs w:val="21"/>
                <w:lang w:val="en-US" w:eastAsia="zh-CN"/>
              </w:rPr>
            </w:pPr>
            <w:r>
              <w:rPr>
                <w:rFonts w:hint="eastAsia" w:ascii="微软雅黑" w:hAnsi="微软雅黑" w:eastAsia="微软雅黑" w:cs="宋体"/>
                <w:kern w:val="0"/>
                <w:szCs w:val="21"/>
                <w:lang w:val="en-US" w:eastAsia="zh-CN"/>
              </w:rPr>
              <w:t>废水：在厂区西侧新增污水处理站，采用“隔油调节+固液分离+气浮+水解酸化+缺氧+生物接触氧化+沉淀+消毒”，厂区废水经厂区污水处理站处理达标后排入龙潭污水处理厂处理。</w:t>
            </w:r>
          </w:p>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微软雅黑" w:hAnsi="微软雅黑" w:eastAsia="微软雅黑" w:cs="宋体"/>
                <w:kern w:val="0"/>
                <w:szCs w:val="21"/>
                <w:lang w:val="en-US" w:eastAsia="zh-CN"/>
              </w:rPr>
            </w:pPr>
            <w:r>
              <w:rPr>
                <w:rFonts w:hint="eastAsia" w:ascii="微软雅黑" w:hAnsi="微软雅黑" w:eastAsia="微软雅黑" w:cs="宋体"/>
                <w:kern w:val="0"/>
                <w:szCs w:val="21"/>
                <w:lang w:val="en-US" w:eastAsia="zh-CN"/>
              </w:rPr>
              <w:t>噪声：选用低噪声设备，合理布置机械设备，屠宰全部在屠宰车间内进行，采取隔声、减振等措施。</w:t>
            </w:r>
          </w:p>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微软雅黑" w:hAnsi="微软雅黑" w:eastAsia="微软雅黑" w:cs="宋体"/>
                <w:kern w:val="0"/>
                <w:szCs w:val="21"/>
                <w:lang w:eastAsia="zh-CN"/>
              </w:rPr>
            </w:pPr>
            <w:r>
              <w:rPr>
                <w:rFonts w:hint="eastAsia" w:ascii="微软雅黑" w:hAnsi="微软雅黑" w:eastAsia="微软雅黑" w:cs="宋体"/>
                <w:kern w:val="0"/>
                <w:szCs w:val="21"/>
                <w:lang w:val="en-US" w:eastAsia="zh-CN"/>
              </w:rPr>
              <w:t>固废：病死动物及检验不合格的废弃动物组织在场区病体暂存间暂存，交由重庆市正羽环保科技有限公司处置；猪毛和猪血经分别收集后，暂存于集血间和猪毛收集间，作为副产品外售利用。生猪产生的粪便和肠胃内容物，分离后的废水进入污水处理站，固体废物用于农肥。生活垃圾交由市政环卫部门处理。</w:t>
            </w:r>
          </w:p>
        </w:tc>
      </w:tr>
    </w:tbl>
    <w:p>
      <w:pPr>
        <w:widowControl/>
        <w:spacing w:before="100" w:beforeAutospacing="1" w:after="100" w:afterAutospacing="1" w:line="240" w:lineRule="exact"/>
        <w:textAlignment w:val="baseline"/>
        <w:rPr>
          <w:rFonts w:ascii="微软雅黑" w:hAnsi="微软雅黑" w:eastAsia="微软雅黑" w:cs="宋体"/>
          <w:kern w:val="0"/>
          <w:sz w:val="24"/>
          <w:szCs w:val="24"/>
        </w:rPr>
      </w:pPr>
    </w:p>
    <w:p>
      <w:bookmarkStart w:id="0" w:name="_GoBack"/>
      <w:bookmarkEnd w:id="0"/>
    </w:p>
    <w:sectPr>
      <w:pgSz w:w="16838" w:h="11906" w:orient="landscape"/>
      <w:pgMar w:top="567" w:right="1020" w:bottom="567" w:left="1020"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00007A87" w:usb1="80000000" w:usb2="00000008" w:usb3="00000000" w:csb0="400001FF" w:csb1="FFFF0000"/>
  </w:font>
  <w:font w:name="宋体">
    <w:altName w:val="方正书宋_GBK"/>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Dutch801 Rm BT">
    <w:altName w:val="Times New Roman"/>
    <w:panose1 w:val="00000000000000000000"/>
    <w:charset w:val="00"/>
    <w:family w:val="roman"/>
    <w:pitch w:val="default"/>
    <w:sig w:usb0="00000000" w:usb1="00000000" w:usb2="00000000" w:usb3="00000000" w:csb0="00000000" w:csb1="00000000"/>
  </w:font>
  <w:font w:name="仿宋">
    <w:altName w:val="微软雅黑"/>
    <w:panose1 w:val="02010609060101010101"/>
    <w:charset w:val="86"/>
    <w:family w:val="modern"/>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HorizontalSpacing w:val="105"/>
  <w:drawingGridVerticalSpacing w:val="160"/>
  <w:displayHorizontalDrawingGridEvery w:val="1"/>
  <w:displayVerticalDrawingGridEvery w:val="1"/>
  <w:noPunctuationKerning w:val="true"/>
  <w:characterSpacingControl w:val="compressPunctuation"/>
  <w:compat>
    <w:spaceForUL/>
    <w:balanceSingleByteDoubleByteWidth/>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8A9"/>
    <w:rsid w:val="005B38A9"/>
    <w:rsid w:val="00C2320F"/>
    <w:rsid w:val="02707FEE"/>
    <w:rsid w:val="045B5B6C"/>
    <w:rsid w:val="0B92228B"/>
    <w:rsid w:val="0C8F657A"/>
    <w:rsid w:val="0E86353F"/>
    <w:rsid w:val="156D3E9E"/>
    <w:rsid w:val="25C81489"/>
    <w:rsid w:val="2D9278B4"/>
    <w:rsid w:val="2F4D344F"/>
    <w:rsid w:val="377D2853"/>
    <w:rsid w:val="3D340877"/>
    <w:rsid w:val="40722530"/>
    <w:rsid w:val="472D3FB0"/>
    <w:rsid w:val="4BE33E88"/>
    <w:rsid w:val="51755B6E"/>
    <w:rsid w:val="52113CF0"/>
    <w:rsid w:val="54724B97"/>
    <w:rsid w:val="5AA02E1C"/>
    <w:rsid w:val="67A86720"/>
    <w:rsid w:val="6901010B"/>
    <w:rsid w:val="6DBC0E84"/>
    <w:rsid w:val="6EF572C9"/>
    <w:rsid w:val="75F69918"/>
    <w:rsid w:val="76562BBD"/>
    <w:rsid w:val="76CA6CD4"/>
    <w:rsid w:val="778B0BBD"/>
    <w:rsid w:val="77C42F7F"/>
    <w:rsid w:val="7E565AF4"/>
    <w:rsid w:val="7FFD7A38"/>
    <w:rsid w:val="B7F71B30"/>
    <w:rsid w:val="EEFF9BC2"/>
    <w:rsid w:val="F75D9AFF"/>
    <w:rsid w:val="FB7E255A"/>
    <w:rsid w:val="FED1A4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cs="宋体"/>
      <w:b/>
      <w:bCs/>
      <w:kern w:val="36"/>
      <w:sz w:val="48"/>
      <w:szCs w:val="48"/>
    </w:rPr>
  </w:style>
  <w:style w:type="paragraph" w:styleId="3">
    <w:name w:val="heading 4"/>
    <w:basedOn w:val="1"/>
    <w:next w:val="1"/>
    <w:qFormat/>
    <w:uiPriority w:val="0"/>
    <w:pPr>
      <w:keepNext/>
      <w:keepLines/>
      <w:spacing w:before="280" w:after="290" w:line="377" w:lineRule="auto"/>
      <w:ind w:firstLine="200" w:firstLineChars="200"/>
      <w:jc w:val="left"/>
      <w:outlineLvl w:val="3"/>
    </w:pPr>
    <w:rPr>
      <w:rFonts w:ascii="Cambria" w:hAnsi="Cambria"/>
      <w:b/>
      <w:bCs/>
      <w:kern w:val="0"/>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widowControl/>
      <w:jc w:val="left"/>
    </w:pPr>
    <w:rPr>
      <w:rFonts w:eastAsia="宋体" w:cs="Times New Roman"/>
      <w:kern w:val="0"/>
      <w:sz w:val="24"/>
      <w:szCs w:val="24"/>
    </w:rPr>
  </w:style>
  <w:style w:type="paragraph" w:styleId="5">
    <w:name w:val="Body Text"/>
    <w:basedOn w:val="1"/>
    <w:next w:val="6"/>
    <w:qFormat/>
    <w:uiPriority w:val="0"/>
    <w:pPr>
      <w:widowControl/>
      <w:snapToGrid w:val="0"/>
      <w:spacing w:before="60" w:after="160" w:line="259" w:lineRule="auto"/>
      <w:ind w:right="113"/>
    </w:pPr>
    <w:rPr>
      <w:kern w:val="0"/>
      <w:sz w:val="18"/>
      <w:szCs w:val="20"/>
    </w:rPr>
  </w:style>
  <w:style w:type="paragraph" w:customStyle="1" w:styleId="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7">
    <w:name w:val="Plain Text"/>
    <w:basedOn w:val="1"/>
    <w:next w:val="1"/>
    <w:qFormat/>
    <w:uiPriority w:val="99"/>
    <w:pPr>
      <w:spacing w:line="440" w:lineRule="exact"/>
      <w:ind w:firstLine="200" w:firstLineChars="200"/>
    </w:pPr>
    <w:rPr>
      <w:rFonts w:ascii="宋体" w:hAnsi="Courier New" w:cs="Dutch801 Rm BT"/>
      <w:sz w:val="24"/>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character" w:styleId="15">
    <w:name w:val="Emphasis"/>
    <w:basedOn w:val="13"/>
    <w:qFormat/>
    <w:uiPriority w:val="0"/>
    <w:rPr>
      <w:i/>
      <w:iCs/>
    </w:rPr>
  </w:style>
  <w:style w:type="paragraph" w:styleId="16">
    <w:name w:val="No Spacing"/>
    <w:qFormat/>
    <w:uiPriority w:val="0"/>
    <w:pPr>
      <w:widowControl w:val="0"/>
      <w:jc w:val="center"/>
    </w:pPr>
    <w:rPr>
      <w:rFonts w:ascii="Times New Roman" w:hAnsi="Times New Roman" w:eastAsia="宋体" w:cstheme="minorBidi"/>
      <w:kern w:val="2"/>
      <w:sz w:val="21"/>
      <w:szCs w:val="22"/>
      <w:lang w:val="en-US" w:eastAsia="zh-CN" w:bidi="ar-SA"/>
    </w:rPr>
  </w:style>
  <w:style w:type="paragraph" w:customStyle="1" w:styleId="17">
    <w:name w:val="文本1"/>
    <w:basedOn w:val="1"/>
    <w:qFormat/>
    <w:uiPriority w:val="0"/>
    <w:pPr>
      <w:spacing w:line="360" w:lineRule="auto"/>
      <w:ind w:firstLine="200" w:firstLineChars="200"/>
    </w:pPr>
    <w:rPr>
      <w:rFonts w:cs="宋体"/>
      <w:bCs/>
      <w:szCs w:val="21"/>
    </w:rPr>
  </w:style>
  <w:style w:type="paragraph" w:customStyle="1" w:styleId="18">
    <w:name w:val="表格1"/>
    <w:basedOn w:val="1"/>
    <w:qFormat/>
    <w:uiPriority w:val="0"/>
    <w:pPr>
      <w:autoSpaceDE w:val="0"/>
      <w:autoSpaceDN w:val="0"/>
      <w:jc w:val="center"/>
    </w:pPr>
    <w:rPr>
      <w:rFonts w:cs="仿宋"/>
      <w:kern w:val="0"/>
      <w:sz w:val="21"/>
      <w:szCs w:val="30"/>
    </w:rPr>
  </w:style>
  <w:style w:type="paragraph" w:styleId="19">
    <w:name w:val="List Paragraph"/>
    <w:basedOn w:val="1"/>
    <w:qFormat/>
    <w:uiPriority w:val="34"/>
    <w:pPr>
      <w:jc w:val="center"/>
    </w:pPr>
    <w:rPr>
      <w:kern w:val="2"/>
      <w:sz w:val="21"/>
      <w:lang w:val="en-US" w:eastAsia="zh-CN" w:bidi="ar-SA"/>
    </w:rPr>
  </w:style>
  <w:style w:type="table" w:customStyle="1" w:styleId="2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Pages>
  <Words>1961</Words>
  <Characters>2089</Characters>
  <Lines>10</Lines>
  <Paragraphs>3</Paragraphs>
  <TotalTime>17</TotalTime>
  <ScaleCrop>false</ScaleCrop>
  <LinksUpToDate>false</LinksUpToDate>
  <CharactersWithSpaces>2089</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2022-09-18T19:30:00Z</dcterms:created>
  <dc:creator>Windows User</dc:creator>
  <cp:lastModifiedBy>苏娟</cp:lastModifiedBy>
  <cp:lastPrinted>2025-06-20T11:06:00Z</cp:lastPrinted>
  <dcterms:modified xsi:type="dcterms:W3CDTF">2025-12-17T18:02:19Z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69073C7E04F80E9151E33B6918D85735_43</vt:lpwstr>
  </property>
  <property fmtid="{D5CDD505-2E9C-101B-9397-08002B2CF9AE}" pid="4" name="KSOTemplateDocerSaveRecord">
    <vt:lpwstr>eyJoZGlkIjoiMTMyM2VhMjBmM2YyZDY4MGZiMGE2NTg2M2Y4ZjQzMTMiLCJ1c2VySWQiOiIzMDg0ODQ5NDgifQ==</vt:lpwstr>
  </property>
</Properties>
</file>