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43A6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仿宋_GBK" w:eastAsia="方正小标宋_GBK" w:cs="方正仿宋_GBK"/>
          <w:sz w:val="44"/>
          <w:szCs w:val="44"/>
        </w:rPr>
      </w:pPr>
    </w:p>
    <w:p w14:paraId="4D31AB0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仿宋_GBK" w:eastAsia="方正小标宋_GBK" w:cs="方正仿宋_GBK"/>
          <w:sz w:val="44"/>
          <w:szCs w:val="44"/>
        </w:rPr>
      </w:pPr>
    </w:p>
    <w:p w14:paraId="59CA9C0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rPr>
        <w:t>重庆市涪陵区商务委员会</w:t>
      </w:r>
    </w:p>
    <w:p w14:paraId="54CAC2C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仿宋_GBK" w:eastAsia="方正小标宋_GBK" w:cs="方正仿宋_GBK"/>
          <w:color w:val="000000"/>
          <w:sz w:val="44"/>
          <w:szCs w:val="44"/>
        </w:rPr>
      </w:pPr>
      <w:r>
        <w:rPr>
          <w:rFonts w:hint="eastAsia" w:ascii="方正小标宋_GBK" w:hAnsi="方正仿宋_GBK" w:eastAsia="方正小标宋_GBK" w:cs="方正仿宋_GBK"/>
          <w:color w:val="000000"/>
          <w:sz w:val="44"/>
          <w:szCs w:val="44"/>
        </w:rPr>
        <w:t>关于废止部分</w:t>
      </w:r>
      <w:r>
        <w:rPr>
          <w:rFonts w:hint="eastAsia" w:ascii="方正小标宋_GBK" w:hAnsi="方正仿宋_GBK" w:eastAsia="方正小标宋_GBK" w:cs="方正仿宋_GBK"/>
          <w:color w:val="000000"/>
          <w:sz w:val="44"/>
          <w:szCs w:val="44"/>
          <w:lang w:eastAsia="zh-CN"/>
        </w:rPr>
        <w:t>行政</w:t>
      </w:r>
      <w:r>
        <w:rPr>
          <w:rFonts w:hint="eastAsia" w:ascii="方正小标宋_GBK" w:hAnsi="方正仿宋_GBK" w:eastAsia="方正小标宋_GBK" w:cs="方正仿宋_GBK"/>
          <w:color w:val="000000"/>
          <w:sz w:val="44"/>
          <w:szCs w:val="44"/>
        </w:rPr>
        <w:t>规范性文件的决定</w:t>
      </w:r>
    </w:p>
    <w:p w14:paraId="2340E3C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rPr>
      </w:pPr>
      <w:r>
        <w:rPr>
          <w:rFonts w:hint="eastAsia" w:ascii="方正仿宋_GBK" w:eastAsia="方正仿宋_GBK"/>
          <w:sz w:val="32"/>
          <w:szCs w:val="32"/>
        </w:rPr>
        <w:t>涪陵商务发〔2025〕42号</w:t>
      </w:r>
    </w:p>
    <w:p w14:paraId="5056AEC2">
      <w:pPr>
        <w:pStyle w:val="3"/>
        <w:keepNext w:val="0"/>
        <w:keepLines w:val="0"/>
        <w:pageBreakBefore w:val="0"/>
        <w:widowControl w:val="0"/>
        <w:kinsoku/>
        <w:wordWrap/>
        <w:topLinePunct w:val="0"/>
        <w:bidi w:val="0"/>
        <w:spacing w:line="560" w:lineRule="exact"/>
        <w:rPr>
          <w:rFonts w:hint="eastAsia"/>
          <w:lang w:eastAsia="zh-CN"/>
        </w:rPr>
      </w:pPr>
    </w:p>
    <w:p w14:paraId="28B7722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8"/>
        <w:textAlignment w:val="baseline"/>
        <w:rPr>
          <w:rFonts w:ascii="方正仿宋_GBK" w:hAnsi="方正仿宋_GBK" w:eastAsia="方正仿宋_GBK" w:cs="方正仿宋_GBK"/>
          <w:snapToGrid w:val="0"/>
          <w:color w:val="000000"/>
          <w:spacing w:val="-1"/>
          <w:kern w:val="0"/>
          <w:sz w:val="31"/>
          <w:szCs w:val="31"/>
        </w:rPr>
      </w:pPr>
      <w:r>
        <w:rPr>
          <w:rFonts w:ascii="方正仿宋_GBK" w:hAnsi="方正仿宋_GBK" w:eastAsia="方正仿宋_GBK" w:cs="方正仿宋_GBK"/>
          <w:snapToGrid w:val="0"/>
          <w:color w:val="000000"/>
          <w:spacing w:val="1"/>
          <w:kern w:val="0"/>
          <w:sz w:val="31"/>
          <w:szCs w:val="31"/>
        </w:rPr>
        <w:t>涪陵高新区（</w:t>
      </w:r>
      <w:r>
        <w:rPr>
          <w:rFonts w:ascii="方正仿宋_GBK" w:hAnsi="方正仿宋_GBK" w:eastAsia="方正仿宋_GBK" w:cs="方正仿宋_GBK"/>
          <w:snapToGrid w:val="0"/>
          <w:color w:val="000000"/>
          <w:spacing w:val="-33"/>
          <w:kern w:val="0"/>
          <w:sz w:val="31"/>
          <w:szCs w:val="31"/>
        </w:rPr>
        <w:t xml:space="preserve"> </w:t>
      </w:r>
      <w:r>
        <w:rPr>
          <w:rFonts w:ascii="方正仿宋_GBK" w:hAnsi="方正仿宋_GBK" w:eastAsia="方正仿宋_GBK" w:cs="方正仿宋_GBK"/>
          <w:snapToGrid w:val="0"/>
          <w:color w:val="000000"/>
          <w:spacing w:val="1"/>
          <w:kern w:val="0"/>
          <w:sz w:val="31"/>
          <w:szCs w:val="31"/>
        </w:rPr>
        <w:t>涪陵综保区）管委会</w:t>
      </w:r>
      <w:r>
        <w:rPr>
          <w:rFonts w:ascii="方正仿宋_GBK" w:hAnsi="方正仿宋_GBK" w:eastAsia="方正仿宋_GBK" w:cs="方正仿宋_GBK"/>
          <w:snapToGrid w:val="0"/>
          <w:color w:val="000000"/>
          <w:spacing w:val="-39"/>
          <w:kern w:val="0"/>
          <w:sz w:val="31"/>
          <w:szCs w:val="31"/>
        </w:rPr>
        <w:t xml:space="preserve"> </w:t>
      </w:r>
      <w:r>
        <w:rPr>
          <w:rFonts w:hint="eastAsia" w:ascii="方正仿宋_GBK" w:hAnsi="方正仿宋_GBK" w:eastAsia="方正仿宋_GBK" w:cs="方正仿宋_GBK"/>
          <w:snapToGrid w:val="0"/>
          <w:color w:val="000000"/>
          <w:spacing w:val="1"/>
          <w:kern w:val="0"/>
          <w:sz w:val="31"/>
          <w:szCs w:val="31"/>
        </w:rPr>
        <w:t>，</w:t>
      </w:r>
      <w:r>
        <w:rPr>
          <w:rFonts w:ascii="方正仿宋_GBK" w:hAnsi="方正仿宋_GBK" w:eastAsia="方正仿宋_GBK" w:cs="方正仿宋_GBK"/>
          <w:snapToGrid w:val="0"/>
          <w:color w:val="000000"/>
          <w:spacing w:val="1"/>
          <w:kern w:val="0"/>
          <w:sz w:val="31"/>
          <w:szCs w:val="31"/>
        </w:rPr>
        <w:t>各镇人民政府</w:t>
      </w:r>
      <w:r>
        <w:rPr>
          <w:rFonts w:ascii="方正仿宋_GBK" w:hAnsi="方正仿宋_GBK" w:eastAsia="方正仿宋_GBK" w:cs="方正仿宋_GBK"/>
          <w:snapToGrid w:val="0"/>
          <w:color w:val="000000"/>
          <w:spacing w:val="-40"/>
          <w:kern w:val="0"/>
          <w:sz w:val="31"/>
          <w:szCs w:val="31"/>
        </w:rPr>
        <w:t xml:space="preserve"> </w:t>
      </w:r>
      <w:r>
        <w:rPr>
          <w:rFonts w:ascii="方正仿宋_GBK" w:hAnsi="方正仿宋_GBK" w:eastAsia="方正仿宋_GBK" w:cs="方正仿宋_GBK"/>
          <w:snapToGrid w:val="0"/>
          <w:color w:val="000000"/>
          <w:spacing w:val="1"/>
          <w:kern w:val="0"/>
          <w:sz w:val="31"/>
          <w:szCs w:val="31"/>
        </w:rPr>
        <w:t>、街道办</w:t>
      </w:r>
      <w:r>
        <w:rPr>
          <w:rFonts w:ascii="方正仿宋_GBK" w:hAnsi="方正仿宋_GBK" w:eastAsia="方正仿宋_GBK" w:cs="方正仿宋_GBK"/>
          <w:snapToGrid w:val="0"/>
          <w:color w:val="000000"/>
          <w:spacing w:val="-1"/>
          <w:kern w:val="0"/>
          <w:sz w:val="31"/>
          <w:szCs w:val="31"/>
        </w:rPr>
        <w:t>事处</w:t>
      </w:r>
      <w:r>
        <w:rPr>
          <w:rFonts w:ascii="方正仿宋_GBK" w:hAnsi="方正仿宋_GBK" w:eastAsia="方正仿宋_GBK" w:cs="方正仿宋_GBK"/>
          <w:snapToGrid w:val="0"/>
          <w:color w:val="000000"/>
          <w:spacing w:val="-38"/>
          <w:kern w:val="0"/>
          <w:sz w:val="31"/>
          <w:szCs w:val="31"/>
        </w:rPr>
        <w:t xml:space="preserve"> </w:t>
      </w:r>
      <w:r>
        <w:rPr>
          <w:rFonts w:hint="eastAsia" w:ascii="方正仿宋_GBK" w:hAnsi="方正仿宋_GBK" w:eastAsia="方正仿宋_GBK" w:cs="方正仿宋_GBK"/>
          <w:snapToGrid w:val="0"/>
          <w:color w:val="000000"/>
          <w:spacing w:val="-1"/>
          <w:kern w:val="0"/>
          <w:sz w:val="31"/>
          <w:szCs w:val="31"/>
        </w:rPr>
        <w:t>，</w:t>
      </w:r>
      <w:r>
        <w:rPr>
          <w:rFonts w:ascii="方正仿宋_GBK" w:hAnsi="方正仿宋_GBK" w:eastAsia="方正仿宋_GBK" w:cs="方正仿宋_GBK"/>
          <w:snapToGrid w:val="0"/>
          <w:color w:val="000000"/>
          <w:spacing w:val="-1"/>
          <w:kern w:val="0"/>
          <w:sz w:val="31"/>
          <w:szCs w:val="31"/>
        </w:rPr>
        <w:t xml:space="preserve"> 区政府各部门，</w:t>
      </w:r>
      <w:r>
        <w:rPr>
          <w:rFonts w:ascii="方正仿宋_GBK" w:hAnsi="方正仿宋_GBK" w:eastAsia="方正仿宋_GBK" w:cs="方正仿宋_GBK"/>
          <w:snapToGrid w:val="0"/>
          <w:color w:val="000000"/>
          <w:spacing w:val="-37"/>
          <w:kern w:val="0"/>
          <w:sz w:val="31"/>
          <w:szCs w:val="31"/>
        </w:rPr>
        <w:t xml:space="preserve"> </w:t>
      </w:r>
      <w:r>
        <w:rPr>
          <w:rFonts w:ascii="方正仿宋_GBK" w:hAnsi="方正仿宋_GBK" w:eastAsia="方正仿宋_GBK" w:cs="方正仿宋_GBK"/>
          <w:snapToGrid w:val="0"/>
          <w:color w:val="000000"/>
          <w:spacing w:val="-1"/>
          <w:kern w:val="0"/>
          <w:sz w:val="31"/>
          <w:szCs w:val="31"/>
        </w:rPr>
        <w:t>有关单位：</w:t>
      </w:r>
    </w:p>
    <w:p w14:paraId="29EA057E">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hAnsi="方正仿宋_GBK" w:eastAsia="方正仿宋_GBK" w:cs="方正仿宋_GBK"/>
          <w:color w:val="000000"/>
          <w:sz w:val="32"/>
          <w:szCs w:val="32"/>
        </w:rPr>
      </w:pPr>
      <w:r>
        <w:rPr>
          <w:rFonts w:eastAsia="方正仿宋_GBK" w:cs="方正仿宋_GBK"/>
          <w:sz w:val="32"/>
          <w:szCs w:val="32"/>
        </w:rPr>
        <w:t xml:space="preserve">    </w:t>
      </w:r>
      <w:r>
        <w:rPr>
          <w:rFonts w:hAnsi="方正仿宋_GBK" w:eastAsia="方正仿宋_GBK" w:cs="方正仿宋_GBK"/>
          <w:sz w:val="32"/>
          <w:szCs w:val="32"/>
        </w:rPr>
        <w:t>根据《重庆市行政规范性文件管理办法》（重庆市人民政府令第</w:t>
      </w:r>
      <w:r>
        <w:rPr>
          <w:rFonts w:eastAsia="方正仿宋_GBK" w:cs="方正仿宋_GBK"/>
          <w:sz w:val="32"/>
          <w:szCs w:val="32"/>
        </w:rPr>
        <w:t xml:space="preserve"> 329</w:t>
      </w:r>
      <w:r>
        <w:rPr>
          <w:rFonts w:hAnsi="方正仿宋_GBK" w:eastAsia="方正仿宋_GBK" w:cs="方正仿宋_GBK"/>
          <w:sz w:val="32"/>
          <w:szCs w:val="32"/>
        </w:rPr>
        <w:t>号）规定，经研究，决定对《</w:t>
      </w:r>
      <w:r>
        <w:rPr>
          <w:rFonts w:hint="eastAsia" w:hAnsi="方正仿宋_GBK" w:eastAsia="方正仿宋_GBK" w:cs="方正仿宋_GBK"/>
          <w:sz w:val="32"/>
          <w:szCs w:val="32"/>
        </w:rPr>
        <w:t>重庆市涪陵区商务局 重庆市涪陵区财政局</w:t>
      </w:r>
      <w:r>
        <w:rPr>
          <w:rFonts w:hAnsi="方正仿宋_GBK" w:eastAsia="方正仿宋_GBK" w:cs="方正仿宋_GBK"/>
          <w:sz w:val="32"/>
          <w:szCs w:val="32"/>
        </w:rPr>
        <w:t>关于印发重庆市涪陵区外贸稳增长专项资金管理实施细则的通知》（涪商务发〔</w:t>
      </w:r>
      <w:r>
        <w:rPr>
          <w:rFonts w:eastAsia="方正仿宋_GBK" w:cs="方正仿宋_GBK"/>
          <w:sz w:val="32"/>
          <w:szCs w:val="32"/>
        </w:rPr>
        <w:t>2018</w:t>
      </w:r>
      <w:r>
        <w:rPr>
          <w:rFonts w:hAnsi="方正仿宋_GBK" w:eastAsia="方正仿宋_GBK" w:cs="方正仿宋_GBK"/>
          <w:sz w:val="32"/>
          <w:szCs w:val="32"/>
        </w:rPr>
        <w:t>〕</w:t>
      </w:r>
      <w:r>
        <w:rPr>
          <w:rFonts w:eastAsia="方正仿宋_GBK" w:cs="方正仿宋_GBK"/>
          <w:sz w:val="32"/>
          <w:szCs w:val="32"/>
        </w:rPr>
        <w:t>70</w:t>
      </w:r>
      <w:r>
        <w:rPr>
          <w:rFonts w:hAnsi="方正仿宋_GBK" w:eastAsia="方正仿宋_GBK" w:cs="方正仿宋_GBK"/>
          <w:sz w:val="32"/>
          <w:szCs w:val="32"/>
        </w:rPr>
        <w:t>号）、《</w:t>
      </w:r>
      <w:r>
        <w:rPr>
          <w:rFonts w:hint="eastAsia" w:hAnsi="方正仿宋_GBK" w:eastAsia="方正仿宋_GBK" w:cs="方正仿宋_GBK"/>
          <w:sz w:val="32"/>
          <w:szCs w:val="32"/>
        </w:rPr>
        <w:t>重庆市涪陵区商务委员会 重庆市涪陵区财政局</w:t>
      </w:r>
      <w:r>
        <w:rPr>
          <w:rFonts w:hAnsi="方正仿宋_GBK" w:eastAsia="方正仿宋_GBK" w:cs="方正仿宋_GBK"/>
          <w:sz w:val="32"/>
          <w:szCs w:val="32"/>
        </w:rPr>
        <w:t>关于印发重庆市涪陵区承接加工贸易梯度转移专项资金实施细则的通知》（涪商务发〔</w:t>
      </w:r>
      <w:r>
        <w:rPr>
          <w:rFonts w:eastAsia="方正仿宋_GBK" w:cs="方正仿宋_GBK"/>
          <w:sz w:val="32"/>
          <w:szCs w:val="32"/>
        </w:rPr>
        <w:t>2020</w:t>
      </w:r>
      <w:r>
        <w:rPr>
          <w:rFonts w:hAnsi="方正仿宋_GBK" w:eastAsia="方正仿宋_GBK" w:cs="方正仿宋_GBK"/>
          <w:sz w:val="32"/>
          <w:szCs w:val="32"/>
        </w:rPr>
        <w:t>〕</w:t>
      </w:r>
      <w:r>
        <w:rPr>
          <w:rFonts w:eastAsia="方正仿宋_GBK" w:cs="方正仿宋_GBK"/>
          <w:sz w:val="32"/>
          <w:szCs w:val="32"/>
        </w:rPr>
        <w:t>46</w:t>
      </w:r>
      <w:r>
        <w:rPr>
          <w:rFonts w:hAnsi="方正仿宋_GBK" w:eastAsia="方正仿宋_GBK" w:cs="方正仿宋_GBK"/>
          <w:sz w:val="32"/>
          <w:szCs w:val="32"/>
        </w:rPr>
        <w:t>号）、《</w:t>
      </w:r>
      <w:r>
        <w:rPr>
          <w:rFonts w:hint="eastAsia" w:hAnsi="方正仿宋_GBK" w:eastAsia="方正仿宋_GBK" w:cs="方正仿宋_GBK"/>
          <w:sz w:val="32"/>
          <w:szCs w:val="32"/>
        </w:rPr>
        <w:t>重庆市涪陵区商务委员会 重庆市涪陵区财政局</w:t>
      </w:r>
      <w:r>
        <w:rPr>
          <w:rFonts w:hAnsi="方正仿宋_GBK" w:eastAsia="方正仿宋_GBK" w:cs="方正仿宋_GBK"/>
          <w:sz w:val="32"/>
          <w:szCs w:val="32"/>
        </w:rPr>
        <w:t>关于印发</w:t>
      </w:r>
      <w:r>
        <w:rPr>
          <w:rFonts w:hint="eastAsia" w:ascii="方正仿宋_GBK" w:eastAsia="方正仿宋_GBK"/>
          <w:sz w:val="32"/>
          <w:szCs w:val="32"/>
        </w:rPr>
        <w:t>〈</w:t>
      </w:r>
      <w:r>
        <w:rPr>
          <w:rFonts w:hAnsi="方正仿宋_GBK" w:eastAsia="方正仿宋_GBK" w:cs="方正仿宋_GBK"/>
          <w:sz w:val="32"/>
          <w:szCs w:val="32"/>
        </w:rPr>
        <w:t>重庆市涪陵区国际服务贸易创新发展资金暂行管理实施细则</w:t>
      </w:r>
      <w:r>
        <w:rPr>
          <w:rFonts w:hint="eastAsia" w:ascii="方正仿宋_GBK" w:eastAsia="方正仿宋_GBK"/>
          <w:sz w:val="32"/>
          <w:szCs w:val="32"/>
        </w:rPr>
        <w:t>〉</w:t>
      </w:r>
      <w:r>
        <w:rPr>
          <w:rFonts w:hAnsi="方正仿宋_GBK" w:eastAsia="方正仿宋_GBK" w:cs="方正仿宋_GBK"/>
          <w:sz w:val="32"/>
          <w:szCs w:val="32"/>
        </w:rPr>
        <w:t>的通知》（涪商务发〔</w:t>
      </w:r>
      <w:r>
        <w:rPr>
          <w:rFonts w:eastAsia="方正仿宋_GBK" w:cs="方正仿宋_GBK"/>
          <w:sz w:val="32"/>
          <w:szCs w:val="32"/>
        </w:rPr>
        <w:t>2020</w:t>
      </w:r>
      <w:r>
        <w:rPr>
          <w:rFonts w:hAnsi="方正仿宋_GBK" w:eastAsia="方正仿宋_GBK" w:cs="方正仿宋_GBK"/>
          <w:sz w:val="32"/>
          <w:szCs w:val="32"/>
        </w:rPr>
        <w:t>〕</w:t>
      </w:r>
      <w:r>
        <w:rPr>
          <w:rFonts w:eastAsia="方正仿宋_GBK" w:cs="方正仿宋_GBK"/>
          <w:sz w:val="32"/>
          <w:szCs w:val="32"/>
        </w:rPr>
        <w:t>158</w:t>
      </w:r>
      <w:r>
        <w:rPr>
          <w:rFonts w:hAnsi="方正仿宋_GBK" w:eastAsia="方正仿宋_GBK" w:cs="方正仿宋_GBK"/>
          <w:sz w:val="32"/>
          <w:szCs w:val="32"/>
        </w:rPr>
        <w:t>号）</w:t>
      </w:r>
      <w:r>
        <w:rPr>
          <w:rFonts w:eastAsia="方正仿宋_GBK" w:cs="方正仿宋_GBK"/>
          <w:sz w:val="32"/>
          <w:szCs w:val="32"/>
        </w:rPr>
        <w:t>3</w:t>
      </w:r>
      <w:r>
        <w:rPr>
          <w:rFonts w:hAnsi="方正仿宋_GBK" w:eastAsia="方正仿宋_GBK" w:cs="方正仿宋_GBK"/>
          <w:sz w:val="32"/>
          <w:szCs w:val="32"/>
        </w:rPr>
        <w:t>件</w:t>
      </w:r>
      <w:r>
        <w:rPr>
          <w:rFonts w:hint="eastAsia" w:hAnsi="方正仿宋_GBK" w:eastAsia="方正仿宋_GBK" w:cs="方正仿宋_GBK"/>
          <w:sz w:val="32"/>
          <w:szCs w:val="32"/>
          <w:lang w:eastAsia="zh-CN"/>
        </w:rPr>
        <w:t>行政</w:t>
      </w:r>
      <w:r>
        <w:rPr>
          <w:rFonts w:hAnsi="方正仿宋_GBK" w:eastAsia="方正仿宋_GBK" w:cs="方正仿宋_GBK"/>
          <w:sz w:val="32"/>
          <w:szCs w:val="32"/>
        </w:rPr>
        <w:t>规范性文</w:t>
      </w:r>
      <w:r>
        <w:rPr>
          <w:rFonts w:hAnsi="方正仿宋_GBK" w:eastAsia="方正仿宋_GBK" w:cs="方正仿宋_GBK"/>
          <w:color w:val="000000"/>
          <w:sz w:val="32"/>
          <w:szCs w:val="32"/>
        </w:rPr>
        <w:t>件予以废止</w:t>
      </w:r>
      <w:r>
        <w:rPr>
          <w:rFonts w:hint="eastAsia" w:hAnsi="方正仿宋_GBK" w:eastAsia="方正仿宋_GBK" w:cs="方正仿宋_GBK"/>
          <w:color w:val="000000"/>
          <w:sz w:val="32"/>
          <w:szCs w:val="32"/>
        </w:rPr>
        <w:t>。</w:t>
      </w:r>
    </w:p>
    <w:p w14:paraId="655C010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color w:val="333333"/>
          <w:sz w:val="32"/>
          <w:szCs w:val="32"/>
          <w:shd w:val="clear" w:color="auto" w:fill="FFFFFF"/>
        </w:rPr>
        <w:t>本决定自公布之日起施行。</w:t>
      </w:r>
    </w:p>
    <w:p w14:paraId="2E239375">
      <w:pPr>
        <w:pStyle w:val="2"/>
        <w:rPr>
          <w:rFonts w:hint="eastAsia"/>
        </w:rPr>
      </w:pPr>
      <w:bookmarkStart w:id="0" w:name="_GoBack"/>
      <w:bookmarkEnd w:id="0"/>
    </w:p>
    <w:p w14:paraId="0013C76B">
      <w:pPr>
        <w:pStyle w:val="8"/>
        <w:keepNext w:val="0"/>
        <w:keepLines w:val="0"/>
        <w:pageBreakBefore w:val="0"/>
        <w:widowControl/>
        <w:tabs>
          <w:tab w:val="left" w:pos="7655"/>
        </w:tabs>
        <w:kinsoku/>
        <w:wordWrap w:val="0"/>
        <w:overflowPunct/>
        <w:topLinePunct w:val="0"/>
        <w:autoSpaceDE/>
        <w:autoSpaceDN/>
        <w:bidi w:val="0"/>
        <w:adjustRightInd/>
        <w:snapToGrid/>
        <w:spacing w:line="520" w:lineRule="exact"/>
        <w:textAlignment w:val="auto"/>
        <w:rPr>
          <w:rFonts w:hint="default" w:ascii="Times New Roman" w:hAnsi="Times New Roman" w:eastAsia="方正仿宋_GBK" w:cs="方正仿宋_GBK"/>
          <w:sz w:val="32"/>
          <w:szCs w:val="32"/>
        </w:rPr>
      </w:pPr>
      <w:r>
        <w:rPr>
          <w:rFonts w:ascii="方正仿宋_GBK" w:hAnsi="方正仿宋_GBK" w:eastAsia="方正仿宋_GBK" w:cs="方正仿宋_GBK"/>
          <w:sz w:val="32"/>
          <w:szCs w:val="32"/>
        </w:rPr>
        <w:t xml:space="preserve">                         </w:t>
      </w:r>
      <w:r>
        <w:rPr>
          <w:rFonts w:ascii="Times New Roman" w:hAnsi="Times New Roman" w:eastAsia="方正仿宋_GBK" w:cs="方正仿宋_GBK"/>
          <w:sz w:val="32"/>
          <w:szCs w:val="32"/>
        </w:rPr>
        <w:t xml:space="preserve"> </w:t>
      </w:r>
      <w:r>
        <w:rPr>
          <w:rFonts w:ascii="Times New Roman" w:hAnsi="方正仿宋_GBK" w:eastAsia="方正仿宋_GBK" w:cs="方正仿宋_GBK"/>
          <w:sz w:val="32"/>
          <w:szCs w:val="32"/>
        </w:rPr>
        <w:t>重庆市涪陵区商务委员会</w:t>
      </w:r>
    </w:p>
    <w:p w14:paraId="56134C14">
      <w:pPr>
        <w:pStyle w:val="8"/>
        <w:keepNext w:val="0"/>
        <w:keepLines w:val="0"/>
        <w:pageBreakBefore w:val="0"/>
        <w:widowControl/>
        <w:tabs>
          <w:tab w:val="left" w:pos="7655"/>
        </w:tabs>
        <w:kinsoku/>
        <w:overflowPunct/>
        <w:topLinePunct w:val="0"/>
        <w:autoSpaceDE/>
        <w:autoSpaceDN/>
        <w:bidi w:val="0"/>
        <w:adjustRightInd/>
        <w:snapToGrid/>
        <w:spacing w:line="520" w:lineRule="exact"/>
        <w:textAlignment w:val="auto"/>
        <w:rPr>
          <w:rFonts w:ascii="Times New Roman" w:hAnsi="方正仿宋_GBK" w:eastAsia="方正仿宋_GBK" w:cs="方正仿宋_GBK"/>
          <w:sz w:val="32"/>
          <w:szCs w:val="32"/>
        </w:rPr>
      </w:pPr>
      <w:r>
        <w:rPr>
          <w:rFonts w:ascii="Times New Roman" w:hAnsi="Times New Roman" w:eastAsia="方正仿宋_GBK" w:cs="方正仿宋_GBK"/>
          <w:sz w:val="32"/>
          <w:szCs w:val="32"/>
        </w:rPr>
        <w:t xml:space="preserve">                             2025</w:t>
      </w:r>
      <w:r>
        <w:rPr>
          <w:rFonts w:ascii="Times New Roman" w:hAnsi="方正仿宋_GBK" w:eastAsia="方正仿宋_GBK" w:cs="方正仿宋_GBK"/>
          <w:sz w:val="32"/>
          <w:szCs w:val="32"/>
        </w:rPr>
        <w:t>年</w:t>
      </w:r>
      <w:r>
        <w:rPr>
          <w:rFonts w:ascii="Times New Roman" w:hAnsi="Times New Roman" w:eastAsia="方正仿宋_GBK" w:cs="方正仿宋_GBK"/>
          <w:sz w:val="32"/>
          <w:szCs w:val="32"/>
        </w:rPr>
        <w:t>9</w:t>
      </w:r>
      <w:r>
        <w:rPr>
          <w:rFonts w:ascii="Times New Roman" w:hAnsi="方正仿宋_GBK" w:eastAsia="方正仿宋_GBK" w:cs="方正仿宋_GBK"/>
          <w:sz w:val="32"/>
          <w:szCs w:val="32"/>
        </w:rPr>
        <w:t>月</w:t>
      </w:r>
      <w:r>
        <w:rPr>
          <w:rFonts w:ascii="Times New Roman" w:hAnsi="Times New Roman" w:eastAsia="方正仿宋_GBK" w:cs="方正仿宋_GBK"/>
          <w:sz w:val="32"/>
          <w:szCs w:val="32"/>
        </w:rPr>
        <w:t>17</w:t>
      </w:r>
      <w:r>
        <w:rPr>
          <w:rFonts w:ascii="Times New Roman" w:hAnsi="方正仿宋_GBK" w:eastAsia="方正仿宋_GBK" w:cs="方正仿宋_GBK"/>
          <w:sz w:val="32"/>
          <w:szCs w:val="32"/>
        </w:rPr>
        <w:t>日</w:t>
      </w:r>
    </w:p>
    <w:p w14:paraId="0BB28F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Theme="minorEastAsia"/>
          <w:lang w:eastAsia="zh-CN"/>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sectPr>
      <w:headerReference r:id="rId3" w:type="default"/>
      <w:footerReference r:id="rId4" w:type="default"/>
      <w:pgSz w:w="11906" w:h="16838"/>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CC9F">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5098415</wp:posOffset>
              </wp:positionH>
              <wp:positionV relativeFrom="paragraph">
                <wp:posOffset>-114935</wp:posOffset>
              </wp:positionV>
              <wp:extent cx="518160" cy="2901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8160"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A47BE">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1.45pt;margin-top:-9.05pt;height:22.85pt;width:40.8pt;mso-position-horizontal-relative:margin;z-index:251661312;mso-width-relative:page;mso-height-relative:page;" filled="f" stroked="f" coordsize="21600,21600" o:gfxdata="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MNYzTZAAAACgEAAA8AAAAAAAAAAQAgAAAAIgAAAGRycy9kb3du&#10;cmV2LnhtbFBLAQIUABQAAAAIAIdO4kCb6yWrNwIAAGEEAAAOAAAAAAAAAAEAIAAAACgBAABkcnMv&#10;ZTJvRG9jLnhtbFBLBQYAAAAABgAGAFkBAADRBQAAAAA=&#10;">
              <v:fill on="f" focussize="0,0"/>
              <v:stroke on="f" weight="0.5pt"/>
              <v:imagedata o:title=""/>
              <o:lock v:ext="edit" aspectratio="f"/>
              <v:textbox inset="0mm,0mm,0mm,0mm">
                <w:txbxContent>
                  <w:p w14:paraId="556A47BE">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160020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2.6pt;height:0.15pt;width:442.25pt;z-index:251660288;mso-width-relative:page;mso-height-relative:page;" filled="f" stroked="t" coordsize="21600,21600" o:gfxdata="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T6GaLW&#10;AAAACA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r>
      <w:rPr>
        <w:rFonts w:hint="default" w:ascii="宋体" w:hAnsi="宋体" w:eastAsia="宋体" w:cs="宋体"/>
        <w:b/>
        <w:bCs/>
        <w:color w:val="005192"/>
        <w:sz w:val="28"/>
        <w:szCs w:val="44"/>
        <w:lang w:eastAsia="zh-Hans"/>
      </w:rPr>
      <w:t>X</w:t>
    </w:r>
    <w:r>
      <w:rPr>
        <w:rFonts w:hint="eastAsia" w:ascii="宋体" w:hAnsi="宋体" w:cs="宋体"/>
        <w:b/>
        <w:bCs/>
        <w:color w:val="005192"/>
        <w:sz w:val="28"/>
        <w:szCs w:val="44"/>
        <w:lang w:eastAsia="zh-CN"/>
      </w:rPr>
      <w:t>重庆市涪陵区商务委员会</w:t>
    </w:r>
    <w:r>
      <w:rPr>
        <w:rFonts w:hint="eastAsia" w:ascii="宋体" w:hAnsi="宋体" w:eastAsia="宋体" w:cs="宋体"/>
        <w:b/>
        <w:bCs/>
        <w:color w:val="005192"/>
        <w:sz w:val="28"/>
        <w:szCs w:val="44"/>
        <w:lang w:val="en-US" w:eastAsia="zh-CN"/>
      </w:rPr>
      <w:t xml:space="preserve">发布    </w:t>
    </w:r>
  </w:p>
  <w:p w14:paraId="74D00D0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C1E5A">
    <w:pPr>
      <w:pStyle w:val="5"/>
      <w:rPr>
        <w:rFonts w:hint="eastAsia" w:ascii="宋体" w:hAnsi="宋体" w:eastAsia="宋体" w:cs="宋体"/>
        <w:b/>
        <w:bCs/>
        <w:color w:val="005192"/>
        <w:sz w:val="32"/>
      </w:rPr>
    </w:pPr>
  </w:p>
  <w:p w14:paraId="1EB8445B">
    <w:pPr>
      <w:pStyle w:val="5"/>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重庆市涪陵区商务委员会行政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426720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3.6pt;height:0pt;width:442.55pt;z-index:251659264;mso-width-relative:page;mso-height-relative:page;" filled="f" stroked="t" coordsize="21600,21600" o:gfxdata="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FnlFhm8MJvvv76&#10;8+X77e9vuN78/EHOkkiDhxpzL+02TDvw25AYH2Qw6Y9cyCELezwJKw6RcHQuzqv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bjKI0wAAAAYB&#10;AAAPAAAAAAAAAAEAIAAAACIAAABkcnMvZG93bnJldi54bWxQSwECFAAUAAAACACHTuJAsNGj1ucB&#10;AACyAwAADgAAAAAAAAABACAAAAAiAQAAZHJzL2Uyb0RvYy54bWxQSwUGAAAAAAYABgBZAQAAewUA&#10;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E2DD7"/>
    <w:rsid w:val="1B462F59"/>
    <w:rsid w:val="4AAE2DD7"/>
    <w:rsid w:val="5EA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rPr>
  </w:style>
  <w:style w:type="paragraph" w:customStyle="1" w:styleId="3">
    <w:name w:val="正文文本缩进1"/>
    <w:basedOn w:val="1"/>
    <w:qFormat/>
    <w:uiPriority w:val="0"/>
    <w:pPr>
      <w:ind w:firstLine="64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默认"/>
    <w:unhideWhenUsed/>
    <w:qFormat/>
    <w:uiPriority w:val="99"/>
    <w:rPr>
      <w:rFonts w:hint="eastAsia" w:ascii="Helvetica" w:hAnsi="Helvetica" w:eastAsia="宋体" w:cs="Times New Roman"/>
      <w:color w:val="000000"/>
      <w:sz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359</Words>
  <Characters>382</Characters>
  <Lines>0</Lines>
  <Paragraphs>0</Paragraphs>
  <TotalTime>1</TotalTime>
  <ScaleCrop>false</ScaleCrop>
  <LinksUpToDate>false</LinksUpToDate>
  <CharactersWithSpaces>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2025-09-29T03:23:00Z</dcterms:created>
  <dc:creator>L</dc:creator>
  <cp:lastModifiedBy>L</cp:lastModifiedBy>
  <dcterms:modified xsi:type="dcterms:W3CDTF">2025-10-10T00:21:13Z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63FB63F9C1724359A6C17327B1476EBD_11</vt:lpwstr>
  </property>
  <property fmtid="{D5CDD505-2E9C-101B-9397-08002B2CF9AE}" pid="4" name="KSOTemplateDocerSaveRecord">
    <vt:lpwstr>eyJoZGlkIjoiM2U1OTE3YzIwZTdkOGZkNDg4ZjlhN2ZlNGNhZGZhMDUiLCJ1c2VySWQiOiIxOTYzMDgxNzcifQ==</vt:lpwstr>
  </property>
</Properties>
</file>