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关于重庆金岛诊所管理</w:t>
      </w:r>
      <w:bookmarkStart w:id="0" w:name="_GoBack"/>
      <w:bookmarkEnd w:id="0"/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连锁有限公司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重庆金岛诊所管理连锁有限公司涪陵新妙力帆路诊所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重庆金岛诊所管理连锁有限公司涪陵新妙力帆路诊所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中医（综合）诊所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吴娱/文雯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MAKCKAGA450010217D2222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重庆市涪陵区新妙镇力帆路72号附8、9、10号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kYzFkNzRmY2IyNjg0NzUzNjBhZDQ5ODc1Njg3YTkifQ=="/>
  </w:docVars>
  <w:rsids>
    <w:rsidRoot w:val="00643EB0"/>
    <w:rsid w:val="00643EB0"/>
    <w:rsid w:val="007224C7"/>
    <w:rsid w:val="00891D78"/>
    <w:rsid w:val="00BC4852"/>
    <w:rsid w:val="00C90635"/>
    <w:rsid w:val="00DB2308"/>
    <w:rsid w:val="0521081D"/>
    <w:rsid w:val="08D44045"/>
    <w:rsid w:val="0E790514"/>
    <w:rsid w:val="153035EF"/>
    <w:rsid w:val="20E82A67"/>
    <w:rsid w:val="278F7BF6"/>
    <w:rsid w:val="38F1177A"/>
    <w:rsid w:val="3F28260E"/>
    <w:rsid w:val="4CB53F62"/>
    <w:rsid w:val="63B93F48"/>
    <w:rsid w:val="64797E5A"/>
    <w:rsid w:val="6979560A"/>
    <w:rsid w:val="78EB4905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210</Words>
  <Characters>237</Characters>
  <Lines>5</Lines>
  <Paragraphs>1</Paragraphs>
  <TotalTime>83</TotalTime>
  <ScaleCrop>false</ScaleCrop>
  <LinksUpToDate>false</LinksUpToDate>
  <CharactersWithSpaces>242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Administrator</cp:lastModifiedBy>
  <cp:lastPrinted>2026-05-11T03:07:20Z</cp:lastPrinted>
  <dcterms:modified xsi:type="dcterms:W3CDTF">2026-05-11T03:08:10Z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5CA1B095AE4B4509AD7EAF0F5646CE59</vt:lpwstr>
  </property>
</Properties>
</file>