
<file path=[Content_Types].xml><?xml version="1.0" encoding="utf-8"?>
<Types xmlns="http://schemas.openxmlformats.org/package/2006/content-types">
  <Default Extension="xml" ContentType="application/xml"/>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eastAsia="仿宋_GB2312"/>
        </w:rPr>
      </w:pPr>
    </w:p>
    <w:p>
      <w:pPr>
        <w:spacing w:line="400" w:lineRule="exact"/>
        <w:jc w:val="center"/>
        <w:rPr>
          <w:rFonts w:hint="eastAsia" w:ascii="方正小标宋_GBK" w:eastAsia="方正小标宋_GBK"/>
          <w:color w:val="FF0000"/>
          <w:spacing w:val="-14"/>
          <w:w w:val="42"/>
        </w:rPr>
      </w:pPr>
    </w:p>
    <w:p>
      <w:pPr>
        <w:spacing w:line="400" w:lineRule="exact"/>
        <w:jc w:val="center"/>
        <w:rPr>
          <w:rFonts w:hint="eastAsia" w:ascii="方正小标宋_GBK" w:eastAsia="方正小标宋_GBK"/>
          <w:color w:val="FF0000"/>
          <w:spacing w:val="-14"/>
          <w:w w:val="42"/>
        </w:rPr>
      </w:pPr>
    </w:p>
    <w:p>
      <w:pPr>
        <w:jc w:val="center"/>
        <w:rPr>
          <w:rFonts w:hint="eastAsia" w:ascii="方正小标宋_GBK" w:hAnsi="新宋体" w:eastAsia="方正小标宋_GBK"/>
          <w:w w:val="52"/>
          <w:sz w:val="130"/>
          <w:szCs w:val="130"/>
        </w:rPr>
      </w:pPr>
      <w:r>
        <w:rPr>
          <w:rFonts w:hint="eastAsia" w:ascii="方正小标宋_GBK" w:hAnsi="新宋体" w:eastAsia="方正小标宋_GBK"/>
          <w:color w:val="FF0000"/>
          <w:w w:val="52"/>
          <w:sz w:val="130"/>
          <w:szCs w:val="130"/>
        </w:rPr>
        <w:t>重庆市涪陵区应急管理局文件</w:t>
      </w:r>
    </w:p>
    <w:p>
      <w:pPr>
        <w:spacing w:line="360" w:lineRule="exact"/>
        <w:jc w:val="center"/>
        <w:rPr>
          <w:rFonts w:hint="eastAsia" w:ascii="仿宋_GB2312"/>
        </w:rPr>
      </w:pPr>
    </w:p>
    <w:p>
      <w:pPr>
        <w:spacing w:line="360" w:lineRule="exact"/>
        <w:jc w:val="center"/>
        <w:rPr>
          <w:rFonts w:hint="eastAsia" w:ascii="仿宋_GB2312"/>
        </w:rPr>
      </w:pPr>
    </w:p>
    <w:p>
      <w:pPr>
        <w:tabs>
          <w:tab w:val="left" w:pos="316"/>
        </w:tabs>
        <w:jc w:val="center"/>
        <w:rPr>
          <w:rFonts w:hint="eastAsia" w:ascii="方正仿宋_GBK"/>
        </w:rPr>
      </w:pPr>
      <w:r>
        <w:rPr>
          <w:rFonts w:hint="eastAsia" w:ascii="方正仿宋_GBK"/>
        </w:rPr>
        <w:t>涪应急发〔</w:t>
      </w:r>
      <w:r>
        <w:rPr>
          <w:rFonts w:ascii="方正仿宋_GBK"/>
        </w:rPr>
        <w:t>2021</w:t>
      </w:r>
      <w:r>
        <w:rPr>
          <w:rFonts w:hint="eastAsia" w:ascii="方正仿宋_GBK"/>
        </w:rPr>
        <w:t>〕</w:t>
      </w:r>
      <w:r>
        <w:rPr>
          <w:rFonts w:ascii="方正仿宋_GBK"/>
        </w:rPr>
        <w:t>3</w:t>
      </w:r>
      <w:r>
        <w:rPr>
          <w:rFonts w:hint="eastAsia" w:ascii="方正仿宋_GBK"/>
        </w:rPr>
        <w:t>号</w:t>
      </w:r>
    </w:p>
    <w:p>
      <w:pPr>
        <w:spacing w:line="480" w:lineRule="exact"/>
        <w:jc w:val="center"/>
        <w:rPr>
          <w:rFonts w:hint="eastAsia" w:ascii="方正仿宋_GBK"/>
        </w:rPr>
      </w:pPr>
      <w:r>
        <w:rPr>
          <w:rFonts w:hint="eastAsia" w:ascii="方正仿宋_GBK"/>
          <w:sz w:val="20"/>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68580</wp:posOffset>
                </wp:positionV>
                <wp:extent cx="5615940" cy="0"/>
                <wp:effectExtent l="0" t="13970" r="7620" b="16510"/>
                <wp:wrapSquare wrapText="bothSides"/>
                <wp:docPr id="1" name="直线 2"/>
                <wp:cNvGraphicFramePr/>
                <a:graphic xmlns:a="http://schemas.openxmlformats.org/drawingml/2006/main">
                  <a:graphicData uri="http://schemas.microsoft.com/office/word/2010/wordprocessingShape">
                    <wps:wsp>
                      <wps:cNvCnPr/>
                      <wps:spPr>
                        <a:xfrm>
                          <a:off x="0" y="0"/>
                          <a:ext cx="5615940" cy="0"/>
                        </a:xfrm>
                        <a:prstGeom prst="line">
                          <a:avLst/>
                        </a:prstGeom>
                        <a:ln w="28575" cap="flat" cmpd="sng">
                          <a:solidFill>
                            <a:srgbClr val="FF0000"/>
                          </a:solidFill>
                          <a:prstDash val="solid"/>
                          <a:headEnd type="none" w="med" len="med"/>
                          <a:tailEnd type="none" w="med" len="med"/>
                        </a:ln>
                      </wps:spPr>
                      <wps:bodyPr upright="true"/>
                    </wps:wsp>
                  </a:graphicData>
                </a:graphic>
              </wp:anchor>
            </w:drawing>
          </mc:Choice>
          <mc:Fallback>
            <w:pict>
              <v:line id="直线 2" o:spid="_x0000_s1026" o:spt="20" style="position:absolute;left:0pt;margin-left:0.1pt;margin-top:5.4pt;height:0pt;width:442.2pt;mso-wrap-distance-bottom:0pt;mso-wrap-distance-left:9pt;mso-wrap-distance-right:9pt;mso-wrap-distance-top:0pt;z-index:251659264;mso-width-relative:page;mso-height-relative:page;" filled="f" stroked="t" coordsize="21600,21600" o:gfxdata="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PG/qYTRAAAABgEA&#10;AA8AAAAAAAAAAQAgAAAAOAAAAGRycy9kb3ducmV2LnhtbFBLAQIUABQAAAAIAIdO4kCPkUzR0gEA&#10;AJEDAAAOAAAAAAAAAAEAIAAAADYBAABkcnMvZTJvRG9jLnhtbFBLBQYAAAAABgAGAFkBAAB6BQAA&#10;AAA=&#10;">
                <v:fill on="f" focussize="0,0"/>
                <v:stroke weight="2.25pt" color="#FF0000" joinstyle="round"/>
                <v:imagedata o:title=""/>
                <o:lock v:ext="edit" aspectratio="f"/>
                <w10:wrap type="square"/>
              </v:line>
            </w:pict>
          </mc:Fallback>
        </mc:AlternateContent>
      </w:r>
    </w:p>
    <w:p>
      <w:pPr>
        <w:spacing w:line="480" w:lineRule="exact"/>
        <w:rPr>
          <w:rFonts w:hint="eastAsia" w:ascii="方正仿宋_GBK"/>
          <w:szCs w:val="32"/>
        </w:rPr>
      </w:pPr>
    </w:p>
    <w:p>
      <w:pPr>
        <w:spacing w:line="520" w:lineRule="exact"/>
        <w:jc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重庆市涪陵区应急管理局</w:t>
      </w:r>
    </w:p>
    <w:p>
      <w:pPr>
        <w:snapToGrid w:val="0"/>
        <w:spacing w:line="520" w:lineRule="exact"/>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关于印发</w:t>
      </w:r>
      <w:r>
        <w:rPr>
          <w:rFonts w:hint="eastAsia" w:ascii="方正仿宋_GBK" w:hAnsi="方正仿宋_GBK" w:cs="方正仿宋_GBK"/>
          <w:szCs w:val="32"/>
        </w:rPr>
        <w:t>《</w:t>
      </w:r>
      <w:r>
        <w:rPr>
          <w:rFonts w:hint="eastAsia" w:ascii="方正小标宋_GBK" w:hAnsi="方正小标宋_GBK" w:eastAsia="方正小标宋_GBK" w:cs="方正小标宋_GBK"/>
          <w:color w:val="000000"/>
          <w:sz w:val="44"/>
          <w:szCs w:val="44"/>
        </w:rPr>
        <w:t>非煤矿山安全生产专项检查</w:t>
      </w:r>
    </w:p>
    <w:p>
      <w:pPr>
        <w:snapToGrid w:val="0"/>
        <w:spacing w:line="520" w:lineRule="exact"/>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工作方案</w:t>
      </w:r>
      <w:r>
        <w:rPr>
          <w:rFonts w:hint="eastAsia" w:ascii="方正仿宋_GBK" w:hAnsi="方正仿宋_GBK" w:cs="方正仿宋_GBK"/>
          <w:szCs w:val="32"/>
        </w:rPr>
        <w:t>》</w:t>
      </w:r>
      <w:r>
        <w:rPr>
          <w:rFonts w:hint="eastAsia" w:ascii="方正小标宋_GBK" w:hAnsi="方正小标宋_GBK" w:eastAsia="方正小标宋_GBK" w:cs="方正小标宋_GBK"/>
          <w:color w:val="000000"/>
          <w:sz w:val="44"/>
          <w:szCs w:val="44"/>
        </w:rPr>
        <w:t>的通知</w:t>
      </w:r>
    </w:p>
    <w:p>
      <w:pPr>
        <w:rPr>
          <w:rFonts w:hint="eastAsia" w:ascii="方正仿宋_GBK" w:hAnsi="方正仿宋_GBK" w:eastAsia="宋体" w:cs="方正仿宋_GBK"/>
          <w:sz w:val="21"/>
          <w:szCs w:val="32"/>
        </w:rPr>
      </w:pPr>
    </w:p>
    <w:p>
      <w:pPr>
        <w:rPr>
          <w:rFonts w:hint="eastAsia" w:ascii="方正仿宋_GBK" w:cs="方正仿宋_GBK"/>
          <w:szCs w:val="32"/>
        </w:rPr>
      </w:pPr>
      <w:r>
        <w:rPr>
          <w:rFonts w:hint="eastAsia" w:ascii="方正仿宋_GBK" w:hAnsi="方正仿宋_GBK" w:cs="方正仿宋_GBK"/>
          <w:szCs w:val="32"/>
        </w:rPr>
        <w:t>各乡镇、街道安全监管部门，各矿山企业：</w:t>
      </w:r>
    </w:p>
    <w:p>
      <w:pPr>
        <w:ind w:firstLine="632" w:firstLineChars="200"/>
        <w:rPr>
          <w:rFonts w:hint="eastAsia" w:ascii="方正仿宋_GBK"/>
          <w:color w:val="000000"/>
          <w:kern w:val="0"/>
          <w:szCs w:val="32"/>
        </w:rPr>
      </w:pPr>
      <w:r>
        <w:rPr>
          <w:rFonts w:hint="eastAsia" w:ascii="方正仿宋_GBK" w:hAnsi="方正仿宋_GBK" w:cs="方正仿宋_GBK"/>
          <w:szCs w:val="32"/>
        </w:rPr>
        <w:t>现将《涪陵区非煤矿山安全生产专项检查工作方案》印发给你们，请认真贯彻执行。</w:t>
      </w:r>
    </w:p>
    <w:p>
      <w:pPr>
        <w:jc w:val="left"/>
        <w:rPr>
          <w:rFonts w:hint="eastAsia" w:ascii="方正仿宋_GBK" w:cs="方正仿宋_GBK"/>
          <w:szCs w:val="32"/>
        </w:rPr>
      </w:pPr>
    </w:p>
    <w:p>
      <w:pPr>
        <w:jc w:val="left"/>
        <w:rPr>
          <w:rFonts w:hint="eastAsia" w:ascii="方正仿宋_GBK" w:cs="方正仿宋_GBK"/>
          <w:szCs w:val="32"/>
        </w:rPr>
      </w:pPr>
    </w:p>
    <w:p>
      <w:pPr>
        <w:ind w:firstLine="3002" w:firstLineChars="950"/>
        <w:jc w:val="center"/>
        <w:rPr>
          <w:rFonts w:hint="eastAsia" w:ascii="方正仿宋_GBK" w:hAnsi="方正仿宋_GBK" w:cs="方正仿宋_GBK"/>
          <w:szCs w:val="32"/>
        </w:rPr>
      </w:pPr>
      <w:r>
        <w:rPr>
          <w:rFonts w:hint="eastAsia" w:ascii="方正仿宋_GBK"/>
          <w:color w:val="000000"/>
          <w:kern w:val="0"/>
          <w:szCs w:val="32"/>
        </w:rPr>
        <w:t xml:space="preserve">   </w:t>
      </w:r>
      <w:r>
        <w:rPr>
          <w:rFonts w:hint="eastAsia" w:ascii="方正仿宋_GBK" w:hAnsi="方正仿宋_GBK" w:cs="方正仿宋_GBK"/>
          <w:szCs w:val="32"/>
        </w:rPr>
        <w:t>重庆市涪陵</w:t>
      </w:r>
      <w:r>
        <w:rPr>
          <w:rFonts w:hint="eastAsia" w:ascii="方正仿宋_GBK" w:hAnsi="方正仿宋_GBK" w:cs="方正仿宋_GBK"/>
          <w:szCs w:val="32"/>
        </w:rPr>
        <w:pict>
          <v:shape id="_x0000_s1030" o:spid="_x0000_s1030" o:spt="201" type="#_x0000_t201" style="position:absolute;left:0pt;margin-left:240.35pt;margin-top:606.9pt;height:119.25pt;width:119.25pt;mso-position-vertical-relative:page;z-index:-251656192;mso-width-relative:page;mso-height-relative:page;" o:ole="t" filled="f" stroked="f" coordsize="21600,21600">
            <v:path/>
            <v:fill on="f" focussize="0,0"/>
            <v:stroke on="f"/>
            <v:imagedata r:id="rId13" o:title=""/>
            <o:lock v:ext="edit"/>
          </v:shape>
          <w:control r:id="rId12" w:name="SignatureCtrl1" w:shapeid="_x0000_s1030"/>
        </w:pict>
      </w:r>
      <w:r>
        <w:rPr>
          <w:rFonts w:hint="eastAsia" w:ascii="方正仿宋_GBK" w:hAnsi="方正仿宋_GBK" w:cs="方正仿宋_GBK"/>
          <w:szCs w:val="32"/>
        </w:rPr>
        <w:t>区应急管理局</w:t>
      </w:r>
    </w:p>
    <w:p>
      <w:pPr>
        <w:ind w:right="-3" w:firstLine="3002" w:firstLineChars="950"/>
        <w:jc w:val="center"/>
        <w:rPr>
          <w:rFonts w:hint="eastAsia" w:ascii="方正仿宋_GBK" w:hAnsi="方正仿宋_GBK" w:cs="方正仿宋_GBK"/>
          <w:szCs w:val="32"/>
        </w:rPr>
      </w:pPr>
      <w:r>
        <w:rPr>
          <w:rFonts w:hint="eastAsia" w:ascii="方正仿宋_GBK" w:hAnsi="方正仿宋_GBK" w:cs="方正仿宋_GBK"/>
          <w:szCs w:val="32"/>
        </w:rPr>
        <w:t xml:space="preserve">   2021年1月21日</w:t>
      </w:r>
    </w:p>
    <w:p>
      <w:pPr>
        <w:keepNext w:val="0"/>
        <w:keepLines w:val="0"/>
        <w:pageBreakBefore w:val="0"/>
        <w:widowControl w:val="0"/>
        <w:kinsoku/>
        <w:wordWrap/>
        <w:overflowPunct/>
        <w:topLinePunct w:val="0"/>
        <w:autoSpaceDE/>
        <w:autoSpaceDN/>
        <w:bidi w:val="0"/>
        <w:adjustRightInd/>
        <w:snapToGrid/>
        <w:ind w:right="1264" w:rightChars="400" w:firstLine="632" w:firstLineChars="200"/>
        <w:textAlignment w:val="auto"/>
        <w:rPr>
          <w:rFonts w:hint="eastAsia" w:ascii="方正仿宋_GBK" w:hAnsi="方正仿宋_GBK" w:eastAsia="方正仿宋_GBK" w:cs="方正仿宋_GBK"/>
          <w:szCs w:val="32"/>
          <w:lang w:eastAsia="zh-CN"/>
        </w:rPr>
      </w:pPr>
      <w:r>
        <w:rPr>
          <w:rFonts w:hint="eastAsia" w:ascii="方正仿宋_GBK" w:hAnsi="方正仿宋_GBK" w:cs="方正仿宋_GBK"/>
          <w:szCs w:val="32"/>
          <w:lang w:eastAsia="zh-CN"/>
        </w:rPr>
        <w:t>（</w:t>
      </w:r>
      <w:r>
        <w:rPr>
          <w:rFonts w:hint="eastAsia" w:ascii="方正仿宋_GBK" w:hAnsi="方正仿宋_GBK" w:cs="方正仿宋_GBK"/>
          <w:szCs w:val="32"/>
          <w:lang w:val="en-US" w:eastAsia="zh-CN"/>
        </w:rPr>
        <w:t>此件公开发布</w:t>
      </w:r>
      <w:r>
        <w:rPr>
          <w:rFonts w:hint="eastAsia" w:ascii="方正仿宋_GBK" w:hAnsi="方正仿宋_GBK" w:cs="方正仿宋_GBK"/>
          <w:szCs w:val="32"/>
          <w:lang w:eastAsia="zh-CN"/>
        </w:rPr>
        <w:t>）</w:t>
      </w:r>
    </w:p>
    <w:p>
      <w:pPr>
        <w:ind w:right="-3"/>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非煤矿山安全生产专项检查工作方案</w:t>
      </w:r>
    </w:p>
    <w:p>
      <w:pPr>
        <w:ind w:firstLine="632" w:firstLineChars="200"/>
        <w:rPr>
          <w:rFonts w:hint="eastAsia" w:ascii="方正仿宋_GBK"/>
          <w:szCs w:val="32"/>
        </w:rPr>
      </w:pPr>
    </w:p>
    <w:p>
      <w:pPr>
        <w:ind w:firstLine="632" w:firstLineChars="200"/>
        <w:rPr>
          <w:rFonts w:hint="eastAsia" w:ascii="方正仿宋_GBK"/>
          <w:szCs w:val="32"/>
        </w:rPr>
      </w:pPr>
      <w:r>
        <w:rPr>
          <w:rFonts w:hint="eastAsia" w:ascii="方正仿宋_GBK"/>
          <w:szCs w:val="32"/>
        </w:rPr>
        <w:t>为深刻汲取綦江松藻煤矿“9.27”重大事故、永川吊水洞煤矿“12.4”重大事故、山东烟台五彩龙金矿“1.10”爆炸事故教训，根据国家矿山安全</w:t>
      </w:r>
      <w:r>
        <w:rPr>
          <w:rFonts w:hint="eastAsia" w:ascii="方正仿宋_GBK"/>
          <w:szCs w:val="32"/>
          <w:lang w:eastAsia="zh-CN"/>
        </w:rPr>
        <w:t>监察</w:t>
      </w:r>
      <w:r>
        <w:rPr>
          <w:rFonts w:hint="eastAsia" w:ascii="方正仿宋_GBK"/>
          <w:szCs w:val="32"/>
        </w:rPr>
        <w:t>局《关于开展非煤矿山安全生产专项检查的通知》（矿安〔2021〕5号）及市应急管理局《关于印发非煤矿山安全生产专项检查工作方案的通知》（应急发〔2021〕6号）要求，切实强化安全责任落实、提升安全风险防控意识，特制定本方案。</w:t>
      </w:r>
    </w:p>
    <w:p>
      <w:pPr>
        <w:autoSpaceDN w:val="0"/>
        <w:ind w:firstLine="632" w:firstLineChars="200"/>
        <w:jc w:val="left"/>
        <w:rPr>
          <w:rFonts w:hint="eastAsia" w:ascii="方正黑体_GBK" w:hAnsi="方正黑体_GBK" w:eastAsia="方正黑体_GBK" w:cs="方正黑体_GBK"/>
          <w:color w:val="000000"/>
          <w:kern w:val="0"/>
          <w:szCs w:val="32"/>
        </w:rPr>
      </w:pPr>
      <w:r>
        <w:rPr>
          <w:rFonts w:hint="eastAsia" w:ascii="方正黑体_GBK" w:hAnsi="方正黑体_GBK" w:eastAsia="方正黑体_GBK" w:cs="方正黑体_GBK"/>
          <w:color w:val="000000"/>
          <w:kern w:val="0"/>
          <w:szCs w:val="32"/>
        </w:rPr>
        <w:t>一、工作目标</w:t>
      </w:r>
    </w:p>
    <w:p>
      <w:pPr>
        <w:autoSpaceDN w:val="0"/>
        <w:ind w:firstLine="640"/>
        <w:jc w:val="left"/>
        <w:rPr>
          <w:rFonts w:hint="eastAsia" w:ascii="方正仿宋_GBK" w:hAnsi="方正仿宋_GBK" w:cs="方正仿宋_GBK"/>
          <w:color w:val="000000"/>
          <w:kern w:val="0"/>
          <w:szCs w:val="32"/>
        </w:rPr>
      </w:pPr>
      <w:r>
        <w:rPr>
          <w:rFonts w:hint="eastAsia" w:ascii="方正仿宋_GBK" w:hAnsi="方正仿宋_GBK" w:cs="方正仿宋_GBK"/>
          <w:color w:val="000000"/>
          <w:kern w:val="0"/>
          <w:szCs w:val="32"/>
        </w:rPr>
        <w:t>紧紧围绕控风险、除隐患、防事故，从即日起到3月底，以严防矿山边坡垮塌事故为重点，对所有非煤矿山进行全面检查，集中消除一批事故隐患，集中曝光一批严重违法失信企业，集中解决一批突出问题，推动企业落实主体责任，消除监管盲区漏洞，坚决有效防范和遏制矿山事故，确保今年工作开好局起好步。</w:t>
      </w:r>
    </w:p>
    <w:p>
      <w:pPr>
        <w:autoSpaceDN w:val="0"/>
        <w:ind w:firstLine="632" w:firstLineChars="200"/>
        <w:jc w:val="left"/>
        <w:rPr>
          <w:rFonts w:hint="eastAsia" w:ascii="方正黑体_GBK" w:hAnsi="方正黑体_GBK" w:eastAsia="方正黑体_GBK" w:cs="方正黑体_GBK"/>
          <w:color w:val="000000"/>
          <w:kern w:val="0"/>
          <w:szCs w:val="32"/>
        </w:rPr>
      </w:pPr>
      <w:r>
        <w:rPr>
          <w:rFonts w:hint="eastAsia" w:ascii="方正黑体_GBK" w:hAnsi="方正黑体_GBK" w:eastAsia="方正黑体_GBK" w:cs="方正黑体_GBK"/>
          <w:color w:val="000000"/>
          <w:kern w:val="0"/>
          <w:szCs w:val="32"/>
        </w:rPr>
        <w:t>二、专项检查重点内容</w:t>
      </w:r>
    </w:p>
    <w:p>
      <w:pPr>
        <w:autoSpaceDN w:val="0"/>
        <w:ind w:firstLine="632" w:firstLineChars="200"/>
        <w:jc w:val="left"/>
        <w:rPr>
          <w:rFonts w:hint="eastAsia" w:ascii="方正楷体_GBK" w:hAnsi="方正楷体_GBK" w:eastAsia="方正楷体_GBK" w:cs="方正楷体_GBK"/>
          <w:color w:val="000000"/>
          <w:kern w:val="0"/>
          <w:szCs w:val="32"/>
        </w:rPr>
      </w:pPr>
      <w:r>
        <w:rPr>
          <w:rFonts w:hint="eastAsia" w:ascii="方正楷体_GBK" w:hAnsi="方正楷体_GBK" w:eastAsia="方正楷体_GBK" w:cs="方正楷体_GBK"/>
          <w:color w:val="000000"/>
          <w:kern w:val="0"/>
          <w:szCs w:val="32"/>
        </w:rPr>
        <w:t>（一）防范露天矿山边坡垮塌事故措施落实情况。</w:t>
      </w:r>
    </w:p>
    <w:p>
      <w:pPr>
        <w:autoSpaceDN w:val="0"/>
        <w:ind w:firstLine="632" w:firstLineChars="200"/>
        <w:jc w:val="left"/>
        <w:rPr>
          <w:rFonts w:hint="eastAsia" w:ascii="方正仿宋_GBK" w:hAnsi="方正仿宋_GBK" w:cs="方正仿宋_GBK"/>
          <w:color w:val="000000"/>
          <w:kern w:val="0"/>
          <w:szCs w:val="32"/>
        </w:rPr>
      </w:pPr>
      <w:r>
        <w:rPr>
          <w:rFonts w:hint="eastAsia" w:ascii="方正仿宋_GBK" w:hAnsi="方正仿宋_GBK" w:cs="方正仿宋_GBK"/>
          <w:color w:val="000000"/>
          <w:kern w:val="0"/>
          <w:szCs w:val="32"/>
        </w:rPr>
        <w:t>1. 是否建立健全边坡管理和检查制度；作业前是否对工作面进行检查，清除危岩和其他危险物体；是否对边坡重点部位和有潜在滑坡危险的地段采取有效的防治措施。</w:t>
      </w:r>
    </w:p>
    <w:p>
      <w:pPr>
        <w:autoSpaceDN w:val="0"/>
        <w:ind w:firstLine="632" w:firstLineChars="200"/>
        <w:jc w:val="left"/>
        <w:rPr>
          <w:rFonts w:hint="eastAsia" w:ascii="方正仿宋_GBK" w:hAnsi="方正仿宋_GBK" w:cs="方正仿宋_GBK"/>
          <w:color w:val="000000"/>
          <w:kern w:val="0"/>
          <w:szCs w:val="32"/>
        </w:rPr>
      </w:pPr>
      <w:r>
        <w:rPr>
          <w:rFonts w:hint="eastAsia" w:ascii="方正仿宋_GBK" w:hAnsi="方正仿宋_GBK" w:cs="方正仿宋_GBK"/>
          <w:color w:val="000000"/>
          <w:kern w:val="0"/>
          <w:szCs w:val="32"/>
        </w:rPr>
        <w:t>2. 是否查清开采境界内的采空区和溶洞，设置明显的警示标志，超前进行处理；节理、裂隙等地质构造发育、容易引起边坡垮塌事故的，是否采取人工加固措施治理边坡。</w:t>
      </w:r>
    </w:p>
    <w:p>
      <w:pPr>
        <w:autoSpaceDN w:val="0"/>
        <w:ind w:firstLine="632" w:firstLineChars="200"/>
        <w:jc w:val="left"/>
        <w:rPr>
          <w:rFonts w:hint="eastAsia" w:ascii="方正仿宋_GBK" w:hAnsi="方正仿宋_GBK" w:cs="方正仿宋_GBK"/>
          <w:color w:val="000000"/>
          <w:kern w:val="0"/>
          <w:szCs w:val="32"/>
        </w:rPr>
      </w:pPr>
      <w:r>
        <w:rPr>
          <w:rFonts w:hint="eastAsia" w:ascii="方正仿宋_GBK" w:hAnsi="方正仿宋_GBK" w:cs="方正仿宋_GBK"/>
          <w:color w:val="000000"/>
          <w:kern w:val="0"/>
          <w:szCs w:val="32"/>
        </w:rPr>
        <w:t>3. 是否采用自上而下、分台阶或分层的方式进行开采。</w:t>
      </w:r>
    </w:p>
    <w:p>
      <w:pPr>
        <w:autoSpaceDN w:val="0"/>
        <w:ind w:firstLine="632" w:firstLineChars="200"/>
        <w:jc w:val="left"/>
        <w:rPr>
          <w:rFonts w:hint="eastAsia" w:ascii="方正仿宋_GBK" w:hAnsi="方正仿宋_GBK" w:cs="方正仿宋_GBK"/>
          <w:color w:val="000000"/>
          <w:kern w:val="0"/>
          <w:szCs w:val="32"/>
        </w:rPr>
      </w:pPr>
      <w:r>
        <w:rPr>
          <w:rFonts w:hint="eastAsia" w:ascii="方正仿宋_GBK" w:hAnsi="方正仿宋_GBK" w:cs="方正仿宋_GBK"/>
          <w:color w:val="000000"/>
          <w:kern w:val="0"/>
          <w:szCs w:val="32"/>
        </w:rPr>
        <w:t>4. 工作帮坡角是否大于设计工作帮坡角，台阶（分层）高度是否超过设计高度。</w:t>
      </w:r>
    </w:p>
    <w:p>
      <w:pPr>
        <w:autoSpaceDN w:val="0"/>
        <w:ind w:firstLine="632" w:firstLineChars="200"/>
        <w:jc w:val="left"/>
        <w:rPr>
          <w:rFonts w:hint="eastAsia" w:ascii="方正仿宋_GBK" w:hAnsi="方正仿宋_GBK" w:cs="方正仿宋_GBK"/>
          <w:color w:val="000000"/>
          <w:kern w:val="0"/>
          <w:szCs w:val="32"/>
        </w:rPr>
      </w:pPr>
      <w:r>
        <w:rPr>
          <w:rFonts w:hint="eastAsia" w:ascii="方正仿宋_GBK" w:hAnsi="方正仿宋_GBK" w:cs="方正仿宋_GBK"/>
          <w:color w:val="000000"/>
          <w:kern w:val="0"/>
          <w:szCs w:val="32"/>
        </w:rPr>
        <w:t>5. 是否擅自开采或破坏设计规定保留的矿柱、岩柱和挂帮矿体。</w:t>
      </w:r>
    </w:p>
    <w:p>
      <w:pPr>
        <w:autoSpaceDN w:val="0"/>
        <w:ind w:firstLine="632" w:firstLineChars="200"/>
        <w:jc w:val="left"/>
        <w:rPr>
          <w:rFonts w:hint="eastAsia" w:ascii="方正仿宋_GBK" w:hAnsi="方正仿宋_GBK" w:cs="方正仿宋_GBK"/>
          <w:color w:val="000000"/>
          <w:kern w:val="0"/>
          <w:szCs w:val="32"/>
        </w:rPr>
      </w:pPr>
      <w:r>
        <w:rPr>
          <w:rFonts w:hint="eastAsia" w:ascii="方正仿宋_GBK" w:hAnsi="方正仿宋_GBK" w:cs="方正仿宋_GBK"/>
          <w:color w:val="000000"/>
          <w:kern w:val="0"/>
          <w:szCs w:val="32"/>
        </w:rPr>
        <w:t>6. 是否按照国家标准、行业标准对采场边坡、排土场稳定性进行评估。</w:t>
      </w:r>
    </w:p>
    <w:p>
      <w:pPr>
        <w:autoSpaceDN w:val="0"/>
        <w:ind w:firstLine="632" w:firstLineChars="200"/>
        <w:jc w:val="left"/>
        <w:rPr>
          <w:rFonts w:hint="eastAsia" w:ascii="方正仿宋_GBK" w:hAnsi="方正仿宋_GBK" w:cs="方正仿宋_GBK"/>
          <w:color w:val="000000"/>
          <w:kern w:val="0"/>
          <w:szCs w:val="32"/>
        </w:rPr>
      </w:pPr>
      <w:r>
        <w:rPr>
          <w:rFonts w:hint="eastAsia" w:ascii="方正仿宋_GBK" w:hAnsi="方正仿宋_GBK" w:cs="方正仿宋_GBK"/>
          <w:color w:val="000000"/>
          <w:kern w:val="0"/>
          <w:szCs w:val="32"/>
        </w:rPr>
        <w:t>7. 是否对高度200米及以上边坡或排土场进行在线监测；边坡是否存在滑移现象。</w:t>
      </w:r>
    </w:p>
    <w:p>
      <w:pPr>
        <w:autoSpaceDN w:val="0"/>
        <w:ind w:firstLine="632" w:firstLineChars="200"/>
        <w:jc w:val="left"/>
        <w:rPr>
          <w:rFonts w:hint="eastAsia" w:ascii="方正仿宋_GBK" w:hAnsi="方正仿宋_GBK" w:cs="方正仿宋_GBK"/>
          <w:color w:val="000000"/>
          <w:kern w:val="0"/>
          <w:szCs w:val="32"/>
        </w:rPr>
      </w:pPr>
      <w:r>
        <w:rPr>
          <w:rFonts w:hint="eastAsia" w:ascii="方正仿宋_GBK" w:hAnsi="方正仿宋_GBK" w:cs="方正仿宋_GBK"/>
          <w:color w:val="000000"/>
          <w:kern w:val="0"/>
          <w:szCs w:val="32"/>
        </w:rPr>
        <w:t>8. 是否有在排土场捡拾矿石的情况。</w:t>
      </w:r>
    </w:p>
    <w:p>
      <w:pPr>
        <w:autoSpaceDN w:val="0"/>
        <w:ind w:firstLine="632" w:firstLineChars="200"/>
        <w:jc w:val="left"/>
        <w:rPr>
          <w:rFonts w:hint="eastAsia" w:ascii="方正楷体_GBK" w:hAnsi="方正楷体_GBK" w:eastAsia="方正楷体_GBK" w:cs="方正楷体_GBK"/>
          <w:color w:val="000000"/>
          <w:kern w:val="0"/>
          <w:szCs w:val="32"/>
        </w:rPr>
      </w:pPr>
      <w:r>
        <w:rPr>
          <w:rFonts w:hint="eastAsia" w:ascii="方正楷体_GBK" w:hAnsi="方正楷体_GBK" w:eastAsia="方正楷体_GBK" w:cs="方正楷体_GBK"/>
          <w:color w:val="000000"/>
          <w:kern w:val="0"/>
          <w:szCs w:val="32"/>
        </w:rPr>
        <w:t>（二）淘汰落后工艺与设备情况。</w:t>
      </w:r>
    </w:p>
    <w:p>
      <w:pPr>
        <w:autoSpaceDN w:val="0"/>
        <w:ind w:firstLine="632" w:firstLineChars="200"/>
        <w:jc w:val="left"/>
        <w:rPr>
          <w:rFonts w:hint="eastAsia" w:ascii="方正仿宋_GBK" w:hAnsi="方正仿宋_GBK" w:cs="方正仿宋_GBK"/>
          <w:color w:val="000000"/>
          <w:kern w:val="0"/>
          <w:szCs w:val="32"/>
        </w:rPr>
      </w:pPr>
      <w:r>
        <w:rPr>
          <w:rFonts w:hint="eastAsia" w:ascii="方正仿宋_GBK" w:hAnsi="方正仿宋_GBK" w:cs="方正仿宋_GBK"/>
          <w:color w:val="000000"/>
          <w:kern w:val="0"/>
          <w:szCs w:val="32"/>
        </w:rPr>
        <w:t>是否按照原国家安全监管总局《金属非金属矿山禁止使用的设备及工艺目录（第一批）》（安监总管一〔2013〕101号）、《金属非金属矿山禁止使用的设备及工艺目录（第二批）》（安监总管一〔2015〕13号）要求，强制淘汰报废改装车辆及掏底开采等落后工艺及设备。</w:t>
      </w:r>
    </w:p>
    <w:p>
      <w:pPr>
        <w:autoSpaceDN w:val="0"/>
        <w:ind w:firstLine="632" w:firstLineChars="200"/>
        <w:jc w:val="left"/>
        <w:rPr>
          <w:rFonts w:hint="eastAsia" w:ascii="方正仿宋_GBK" w:hAnsi="方正仿宋_GBK" w:cs="方正仿宋_GBK"/>
          <w:color w:val="000000"/>
          <w:kern w:val="0"/>
          <w:szCs w:val="32"/>
        </w:rPr>
      </w:pPr>
      <w:r>
        <w:rPr>
          <w:rFonts w:hint="eastAsia" w:ascii="方正楷体_GBK" w:hAnsi="方正楷体_GBK" w:eastAsia="方正楷体_GBK" w:cs="方正楷体_GBK"/>
          <w:color w:val="000000"/>
          <w:kern w:val="0"/>
          <w:szCs w:val="32"/>
        </w:rPr>
        <w:t>（三）建设矿山安全管理措施落实情况。</w:t>
      </w:r>
    </w:p>
    <w:p>
      <w:pPr>
        <w:autoSpaceDN w:val="0"/>
        <w:ind w:firstLine="632" w:firstLineChars="200"/>
        <w:jc w:val="left"/>
        <w:rPr>
          <w:rFonts w:hint="eastAsia" w:ascii="方正仿宋_GBK" w:hAnsi="方正仿宋_GBK" w:cs="方正仿宋_GBK"/>
          <w:color w:val="000000"/>
          <w:kern w:val="0"/>
          <w:szCs w:val="32"/>
        </w:rPr>
      </w:pPr>
      <w:r>
        <w:rPr>
          <w:rFonts w:hint="eastAsia" w:ascii="方正仿宋_GBK" w:hAnsi="方正仿宋_GBK" w:cs="方正仿宋_GBK"/>
          <w:color w:val="000000"/>
          <w:kern w:val="0"/>
          <w:szCs w:val="32"/>
        </w:rPr>
        <w:t>1. 建设项目“三同时”手续是否完备；是否存在未批先建、不按设计建设施工等违法违规行为。</w:t>
      </w:r>
    </w:p>
    <w:p>
      <w:pPr>
        <w:autoSpaceDN w:val="0"/>
        <w:ind w:firstLine="632" w:firstLineChars="200"/>
        <w:jc w:val="left"/>
        <w:rPr>
          <w:rFonts w:hint="eastAsia" w:ascii="方正仿宋_GBK" w:hAnsi="方正仿宋_GBK" w:cs="方正仿宋_GBK"/>
          <w:color w:val="000000"/>
          <w:kern w:val="0"/>
          <w:szCs w:val="32"/>
        </w:rPr>
      </w:pPr>
      <w:r>
        <w:rPr>
          <w:rFonts w:hint="eastAsia" w:ascii="方正仿宋_GBK" w:hAnsi="方正仿宋_GBK" w:cs="方正仿宋_GBK"/>
          <w:color w:val="000000"/>
          <w:kern w:val="0"/>
          <w:szCs w:val="32"/>
        </w:rPr>
        <w:t>2. 设计、施工单位是否具备相应资质。</w:t>
      </w:r>
    </w:p>
    <w:p>
      <w:pPr>
        <w:autoSpaceDN w:val="0"/>
        <w:ind w:firstLine="632" w:firstLineChars="200"/>
        <w:jc w:val="left"/>
        <w:rPr>
          <w:rFonts w:hint="eastAsia" w:ascii="方正仿宋_GBK" w:hAnsi="方正仿宋_GBK" w:cs="方正仿宋_GBK"/>
          <w:color w:val="000000"/>
          <w:kern w:val="0"/>
          <w:szCs w:val="32"/>
        </w:rPr>
      </w:pPr>
      <w:r>
        <w:rPr>
          <w:rFonts w:hint="eastAsia" w:ascii="方正仿宋_GBK" w:hAnsi="方正仿宋_GBK" w:cs="方正仿宋_GBK"/>
          <w:color w:val="000000"/>
          <w:kern w:val="0"/>
          <w:szCs w:val="32"/>
        </w:rPr>
        <w:t>3. 是否压缩工期，编制的进度计划是否符合实际情况。</w:t>
      </w:r>
    </w:p>
    <w:p>
      <w:pPr>
        <w:autoSpaceDN w:val="0"/>
        <w:ind w:firstLine="632" w:firstLineChars="200"/>
        <w:jc w:val="left"/>
        <w:rPr>
          <w:rFonts w:hint="eastAsia" w:ascii="方正仿宋_GBK" w:hAnsi="方正仿宋_GBK" w:cs="方正仿宋_GBK"/>
          <w:color w:val="000000"/>
          <w:kern w:val="0"/>
          <w:szCs w:val="32"/>
        </w:rPr>
      </w:pPr>
      <w:r>
        <w:rPr>
          <w:rFonts w:hint="eastAsia" w:ascii="方正仿宋_GBK" w:hAnsi="方正仿宋_GBK" w:cs="方正仿宋_GBK"/>
          <w:color w:val="000000"/>
          <w:kern w:val="0"/>
          <w:szCs w:val="32"/>
        </w:rPr>
        <w:t>4. 建设单位是否组织设计、施工单位进行工程技术交底。</w:t>
      </w:r>
    </w:p>
    <w:p>
      <w:pPr>
        <w:autoSpaceDN w:val="0"/>
        <w:ind w:firstLine="632" w:firstLineChars="200"/>
        <w:jc w:val="left"/>
        <w:rPr>
          <w:rFonts w:hint="eastAsia" w:ascii="方正仿宋_GBK" w:hAnsi="方正仿宋_GBK" w:cs="方正仿宋_GBK"/>
          <w:color w:val="000000"/>
          <w:kern w:val="0"/>
          <w:szCs w:val="32"/>
        </w:rPr>
      </w:pPr>
      <w:r>
        <w:rPr>
          <w:rFonts w:hint="eastAsia" w:ascii="方正仿宋_GBK" w:hAnsi="方正仿宋_GBK" w:cs="方正仿宋_GBK"/>
          <w:color w:val="000000"/>
          <w:kern w:val="0"/>
          <w:szCs w:val="32"/>
        </w:rPr>
        <w:t>5. 施工单位是否编制施工组织设计；现场人员、设备、设施等是否与施工组织设计一致；是否严格按施工组织设计进行施工。</w:t>
      </w:r>
    </w:p>
    <w:p>
      <w:pPr>
        <w:autoSpaceDN w:val="0"/>
        <w:ind w:firstLine="632" w:firstLineChars="200"/>
        <w:jc w:val="left"/>
        <w:rPr>
          <w:rFonts w:hint="eastAsia" w:ascii="方正仿宋_GBK" w:hAnsi="方正仿宋_GBK" w:cs="方正仿宋_GBK"/>
          <w:color w:val="000000"/>
          <w:kern w:val="0"/>
          <w:szCs w:val="32"/>
        </w:rPr>
      </w:pPr>
      <w:r>
        <w:rPr>
          <w:rFonts w:hint="eastAsia" w:ascii="方正仿宋_GBK" w:hAnsi="方正仿宋_GBK" w:cs="方正仿宋_GBK"/>
          <w:color w:val="000000"/>
          <w:kern w:val="0"/>
          <w:szCs w:val="32"/>
        </w:rPr>
        <w:t>6. 施工单位是否存在将采掘工程违法分包或者转包的行为。</w:t>
      </w:r>
    </w:p>
    <w:p>
      <w:pPr>
        <w:autoSpaceDN w:val="0"/>
        <w:ind w:firstLine="632" w:firstLineChars="200"/>
        <w:jc w:val="left"/>
        <w:rPr>
          <w:rFonts w:hint="eastAsia" w:ascii="方正仿宋_GBK" w:hAnsi="方正仿宋_GBK" w:cs="方正仿宋_GBK"/>
          <w:color w:val="000000"/>
          <w:kern w:val="0"/>
          <w:szCs w:val="32"/>
        </w:rPr>
      </w:pPr>
      <w:r>
        <w:rPr>
          <w:rFonts w:hint="eastAsia" w:ascii="方正仿宋_GBK" w:hAnsi="方正仿宋_GBK" w:cs="方正仿宋_GBK"/>
          <w:color w:val="000000"/>
          <w:kern w:val="0"/>
          <w:szCs w:val="32"/>
        </w:rPr>
        <w:t>7. 施工单位是否设立安全生产管理机构、配备专职安全生产管理人员；是否建立隐患排查治理制度。</w:t>
      </w:r>
    </w:p>
    <w:p>
      <w:pPr>
        <w:autoSpaceDN w:val="0"/>
        <w:ind w:firstLine="632" w:firstLineChars="200"/>
        <w:jc w:val="left"/>
        <w:rPr>
          <w:rFonts w:hint="eastAsia" w:ascii="方正仿宋_GBK" w:hAnsi="方正仿宋_GBK" w:cs="方正仿宋_GBK"/>
          <w:color w:val="000000"/>
          <w:kern w:val="0"/>
          <w:szCs w:val="32"/>
        </w:rPr>
      </w:pPr>
      <w:r>
        <w:rPr>
          <w:rFonts w:hint="eastAsia" w:ascii="方正仿宋_GBK" w:hAnsi="方正仿宋_GBK" w:cs="方正仿宋_GBK"/>
          <w:color w:val="000000"/>
          <w:kern w:val="0"/>
          <w:szCs w:val="32"/>
        </w:rPr>
        <w:t>8. 施工单位是否编制应急救援预案，并定期进行演练。</w:t>
      </w:r>
    </w:p>
    <w:p>
      <w:pPr>
        <w:autoSpaceDN w:val="0"/>
        <w:ind w:firstLine="632" w:firstLineChars="200"/>
        <w:jc w:val="left"/>
        <w:rPr>
          <w:rFonts w:hint="eastAsia" w:ascii="方正楷体_GBK" w:hAnsi="方正楷体_GBK" w:eastAsia="方正楷体_GBK" w:cs="方正楷体_GBK"/>
          <w:color w:val="000000"/>
          <w:kern w:val="0"/>
          <w:szCs w:val="32"/>
        </w:rPr>
      </w:pPr>
      <w:r>
        <w:rPr>
          <w:rFonts w:hint="eastAsia" w:ascii="方正楷体_GBK" w:hAnsi="方正楷体_GBK" w:eastAsia="方正楷体_GBK" w:cs="方正楷体_GBK"/>
          <w:color w:val="000000"/>
          <w:kern w:val="0"/>
          <w:szCs w:val="32"/>
        </w:rPr>
        <w:t>（四）生产矿山采掘施工单位安全管理措施落实情况。</w:t>
      </w:r>
    </w:p>
    <w:p>
      <w:pPr>
        <w:autoSpaceDN w:val="0"/>
        <w:ind w:firstLine="632" w:firstLineChars="200"/>
        <w:jc w:val="left"/>
        <w:rPr>
          <w:rFonts w:hint="eastAsia" w:ascii="方正仿宋_GBK" w:hAnsi="方正仿宋_GBK" w:cs="方正仿宋_GBK"/>
          <w:color w:val="000000"/>
          <w:kern w:val="0"/>
          <w:szCs w:val="32"/>
        </w:rPr>
      </w:pPr>
      <w:r>
        <w:rPr>
          <w:rFonts w:hint="eastAsia" w:ascii="方正仿宋_GBK" w:hAnsi="方正仿宋_GBK" w:cs="方正仿宋_GBK"/>
          <w:color w:val="000000"/>
          <w:kern w:val="0"/>
          <w:szCs w:val="32"/>
        </w:rPr>
        <w:t>1. 采掘施工单位是否具备非煤矿山施工作业资质。</w:t>
      </w:r>
    </w:p>
    <w:p>
      <w:pPr>
        <w:autoSpaceDN w:val="0"/>
        <w:ind w:firstLine="632" w:firstLineChars="200"/>
        <w:jc w:val="left"/>
        <w:rPr>
          <w:rFonts w:hint="eastAsia" w:ascii="方正仿宋_GBK" w:hAnsi="方正仿宋_GBK" w:cs="方正仿宋_GBK"/>
          <w:color w:val="000000"/>
          <w:kern w:val="0"/>
          <w:szCs w:val="32"/>
        </w:rPr>
      </w:pPr>
      <w:r>
        <w:rPr>
          <w:rFonts w:hint="eastAsia" w:ascii="方正仿宋_GBK" w:hAnsi="方正仿宋_GBK" w:cs="方正仿宋_GBK"/>
          <w:color w:val="000000"/>
          <w:kern w:val="0"/>
          <w:szCs w:val="32"/>
        </w:rPr>
        <w:t>2．矿山企业是否与采掘施工单位签订安全管理协议。</w:t>
      </w:r>
    </w:p>
    <w:p>
      <w:pPr>
        <w:autoSpaceDN w:val="0"/>
        <w:ind w:firstLine="632" w:firstLineChars="200"/>
        <w:jc w:val="left"/>
        <w:rPr>
          <w:rFonts w:hint="eastAsia" w:ascii="方正仿宋_GBK" w:hAnsi="方正仿宋_GBK" w:cs="方正仿宋_GBK"/>
          <w:color w:val="000000"/>
          <w:kern w:val="0"/>
          <w:szCs w:val="32"/>
        </w:rPr>
      </w:pPr>
      <w:r>
        <w:rPr>
          <w:rFonts w:hint="eastAsia" w:ascii="方正仿宋_GBK" w:hAnsi="方正仿宋_GBK" w:cs="方正仿宋_GBK"/>
          <w:color w:val="000000"/>
          <w:kern w:val="0"/>
          <w:szCs w:val="32"/>
        </w:rPr>
        <w:t>3. 矿山企业是否把所有采掘施工单位纳入统一安全管理，是否定期对采掘施工队伍安全管理工作进行检查，是否存在以包代管、包而不管的情况。</w:t>
      </w:r>
    </w:p>
    <w:p>
      <w:pPr>
        <w:autoSpaceDN w:val="0"/>
        <w:ind w:firstLine="632" w:firstLineChars="200"/>
        <w:jc w:val="left"/>
        <w:rPr>
          <w:rFonts w:hint="eastAsia" w:ascii="方正仿宋_GBK" w:hAnsi="方正仿宋_GBK" w:cs="方正仿宋_GBK"/>
          <w:color w:val="000000"/>
          <w:kern w:val="0"/>
          <w:szCs w:val="32"/>
        </w:rPr>
      </w:pPr>
      <w:r>
        <w:rPr>
          <w:rFonts w:hint="eastAsia" w:ascii="方正仿宋_GBK" w:hAnsi="方正仿宋_GBK" w:cs="方正仿宋_GBK"/>
          <w:color w:val="000000"/>
          <w:kern w:val="0"/>
          <w:szCs w:val="32"/>
        </w:rPr>
        <w:t>4. 矿山企业应急救援方案是否与各个采掘施工单位应急救援预案有效衔接，是否定期组织包括采掘施工单位的联合应急演练。</w:t>
      </w:r>
    </w:p>
    <w:p>
      <w:pPr>
        <w:autoSpaceDN w:val="0"/>
        <w:ind w:firstLine="632" w:firstLineChars="200"/>
        <w:jc w:val="left"/>
        <w:rPr>
          <w:rFonts w:hint="eastAsia" w:ascii="方正仿宋_GBK" w:hAnsi="方正仿宋_GBK" w:cs="方正仿宋_GBK"/>
          <w:color w:val="000000"/>
          <w:kern w:val="0"/>
          <w:szCs w:val="32"/>
        </w:rPr>
      </w:pPr>
      <w:r>
        <w:rPr>
          <w:rFonts w:hint="eastAsia" w:ascii="方正仿宋_GBK" w:hAnsi="方正仿宋_GBK" w:cs="方正仿宋_GBK"/>
          <w:color w:val="000000"/>
          <w:kern w:val="0"/>
          <w:szCs w:val="32"/>
        </w:rPr>
        <w:t>5. 采掘施工单位是否按照要求对从业人员进行安全培训；矿山企业是否对采掘施工单位从业人员统一组织安全培训。</w:t>
      </w:r>
    </w:p>
    <w:p>
      <w:pPr>
        <w:autoSpaceDN w:val="0"/>
        <w:ind w:firstLine="632" w:firstLineChars="200"/>
        <w:jc w:val="left"/>
        <w:rPr>
          <w:rFonts w:hint="eastAsia" w:ascii="方正仿宋_GBK" w:hAnsi="方正仿宋_GBK" w:cs="方正仿宋_GBK"/>
          <w:color w:val="000000"/>
          <w:kern w:val="0"/>
          <w:szCs w:val="32"/>
        </w:rPr>
      </w:pPr>
      <w:r>
        <w:rPr>
          <w:rFonts w:hint="eastAsia" w:ascii="方正仿宋_GBK" w:hAnsi="方正仿宋_GBK" w:cs="方正仿宋_GBK"/>
          <w:color w:val="000000"/>
          <w:kern w:val="0"/>
          <w:szCs w:val="32"/>
        </w:rPr>
        <w:t>6. 采掘施工单位“三项岗位”人员是否持证上岗。</w:t>
      </w:r>
    </w:p>
    <w:p>
      <w:pPr>
        <w:autoSpaceDN w:val="0"/>
        <w:ind w:firstLine="632" w:firstLineChars="200"/>
        <w:jc w:val="left"/>
        <w:rPr>
          <w:rFonts w:hint="eastAsia" w:ascii="方正黑体_GBK" w:hAnsi="方正黑体_GBK" w:eastAsia="方正黑体_GBK" w:cs="方正黑体_GBK"/>
          <w:color w:val="000000"/>
          <w:kern w:val="0"/>
          <w:szCs w:val="32"/>
        </w:rPr>
      </w:pPr>
      <w:r>
        <w:rPr>
          <w:rFonts w:hint="eastAsia" w:ascii="方正黑体_GBK" w:hAnsi="方正黑体_GBK" w:eastAsia="方正黑体_GBK" w:cs="方正黑体_GBK"/>
          <w:color w:val="000000"/>
          <w:kern w:val="0"/>
          <w:szCs w:val="32"/>
        </w:rPr>
        <w:t>三、工作步骤</w:t>
      </w:r>
    </w:p>
    <w:p>
      <w:pPr>
        <w:ind w:firstLine="632" w:firstLineChars="200"/>
        <w:jc w:val="left"/>
        <w:rPr>
          <w:rFonts w:hint="eastAsia" w:ascii="方正楷体_GBK" w:hAnsi="方正仿宋_GBK" w:eastAsia="方正楷体_GBK" w:cs="方正仿宋_GBK"/>
          <w:color w:val="000000"/>
          <w:kern w:val="0"/>
          <w:szCs w:val="32"/>
        </w:rPr>
      </w:pPr>
      <w:r>
        <w:rPr>
          <w:rFonts w:hint="eastAsia" w:ascii="方正楷体_GBK" w:hAnsi="方正仿宋_GBK" w:eastAsia="方正楷体_GBK" w:cs="方正仿宋_GBK"/>
          <w:color w:val="000000"/>
          <w:kern w:val="0"/>
          <w:szCs w:val="32"/>
        </w:rPr>
        <w:t>（一）提高认识，自查自改（即日起至1月31日）。</w:t>
      </w:r>
    </w:p>
    <w:p>
      <w:pPr>
        <w:ind w:firstLine="632" w:firstLineChars="200"/>
        <w:jc w:val="left"/>
        <w:rPr>
          <w:rFonts w:hint="eastAsia" w:ascii="方正仿宋_GBK" w:hAnsi="方正仿宋_GBK" w:cs="方正仿宋_GBK"/>
          <w:color w:val="000000"/>
          <w:kern w:val="0"/>
          <w:szCs w:val="32"/>
        </w:rPr>
      </w:pPr>
      <w:r>
        <w:rPr>
          <w:rFonts w:hint="eastAsia" w:ascii="方正仿宋_GBK" w:hAnsi="方正仿宋_GBK" w:cs="方正仿宋_GBK"/>
          <w:color w:val="000000"/>
          <w:kern w:val="0"/>
          <w:szCs w:val="32"/>
        </w:rPr>
        <w:t xml:space="preserve">各非煤矿山企业要充分认识专项检查工作的重要性，立即对照检查内容，对所有生产系统、工艺环节、作业岗位安全生产情况进行不间断自查自改。对查出的事故隐患，要建立台账，逐项落实整改措施、整改时限和责任人，确保及时整改到位。对符合《金属非金属矿山重大安全事故隐患判定标准（试行）》的48类重大事故隐患，整改前无法保证安全的，要立即停产整改；重大隐患要逐项建立档案，确保整改、验收、销号的闭环管理，及时向从业人员通报，同时报告区应急局。各非煤矿山企业于2月1日前形成书面自查自改报告后送辖区安全监管部门并统一汇总交至区应急局矿山科，同时要加强工作调度和督促检查，组织、督促辖区内非煤矿山企业立即开展自查自改。发现非煤矿山企业自查自改不认真、走过场的，要责成其重新开展自查自改，推动专项检查取得实实在在的成效。 </w:t>
      </w:r>
    </w:p>
    <w:p>
      <w:pPr>
        <w:ind w:firstLine="632" w:firstLineChars="200"/>
        <w:jc w:val="left"/>
        <w:rPr>
          <w:rFonts w:hint="eastAsia" w:ascii="方正楷体_GBK" w:hAnsi="方正仿宋_GBK" w:eastAsia="方正楷体_GBK" w:cs="方正仿宋_GBK"/>
          <w:color w:val="000000"/>
          <w:kern w:val="0"/>
          <w:szCs w:val="32"/>
        </w:rPr>
      </w:pPr>
      <w:r>
        <w:rPr>
          <w:rFonts w:hint="eastAsia" w:ascii="方正楷体_GBK" w:hAnsi="方正仿宋_GBK" w:eastAsia="方正楷体_GBK" w:cs="方正仿宋_GBK"/>
          <w:color w:val="000000"/>
          <w:kern w:val="0"/>
          <w:szCs w:val="32"/>
        </w:rPr>
        <w:t>（二）严格督查，确保效果（2月1日至3月31日）。</w:t>
      </w:r>
    </w:p>
    <w:p>
      <w:pPr>
        <w:ind w:firstLine="632" w:firstLineChars="200"/>
        <w:jc w:val="left"/>
        <w:rPr>
          <w:rFonts w:hint="eastAsia" w:ascii="方正仿宋_GBK" w:hAnsi="方正仿宋_GBK" w:cs="方正仿宋_GBK"/>
          <w:color w:val="000000"/>
          <w:kern w:val="0"/>
          <w:szCs w:val="32"/>
        </w:rPr>
      </w:pPr>
      <w:r>
        <w:rPr>
          <w:rFonts w:hint="eastAsia" w:ascii="方正仿宋_GBK" w:hAnsi="方正仿宋_GBK" w:cs="方正仿宋_GBK"/>
          <w:color w:val="000000"/>
          <w:kern w:val="0"/>
          <w:szCs w:val="32"/>
        </w:rPr>
        <w:t>各乡镇、街道安全监管部门要对照检查内容，对辖区内非煤矿山企业进行全覆盖专项检查，重点检查露天矿山高陡边坡、建设矿山和有采掘外包的生产矿山。对检查中企业存在事故隐患的要依法作出处理决定。区应急局通过抽查企业倒查辖区安全监管部门工作情况，实现层层传导压力、层层落实责任的良好效果。</w:t>
      </w:r>
    </w:p>
    <w:p>
      <w:pPr>
        <w:ind w:firstLine="632" w:firstLineChars="200"/>
        <w:jc w:val="left"/>
        <w:rPr>
          <w:rFonts w:hint="eastAsia" w:ascii="方正楷体_GBK" w:hAnsi="方正仿宋_GBK" w:eastAsia="方正楷体_GBK" w:cs="方正仿宋_GBK"/>
          <w:color w:val="000000"/>
          <w:kern w:val="0"/>
          <w:szCs w:val="32"/>
        </w:rPr>
      </w:pPr>
      <w:r>
        <w:rPr>
          <w:rFonts w:hint="eastAsia" w:ascii="方正楷体_GBK" w:hAnsi="方正仿宋_GBK" w:eastAsia="方正楷体_GBK" w:cs="方正仿宋_GBK"/>
          <w:color w:val="000000"/>
          <w:kern w:val="0"/>
          <w:szCs w:val="32"/>
        </w:rPr>
        <w:t>（三）巩固深化，形成长效（2021年3月以后）。</w:t>
      </w:r>
    </w:p>
    <w:p>
      <w:pPr>
        <w:ind w:firstLine="632" w:firstLineChars="200"/>
        <w:jc w:val="left"/>
        <w:rPr>
          <w:rFonts w:hint="eastAsia" w:ascii="方正仿宋_GBK" w:hAnsi="方正仿宋_GBK" w:cs="方正仿宋_GBK"/>
          <w:color w:val="000000"/>
          <w:kern w:val="0"/>
          <w:szCs w:val="32"/>
        </w:rPr>
      </w:pPr>
      <w:r>
        <w:rPr>
          <w:rFonts w:hint="eastAsia" w:ascii="方正仿宋_GBK" w:hAnsi="方正仿宋_GBK" w:cs="方正仿宋_GBK"/>
          <w:color w:val="000000"/>
          <w:kern w:val="0"/>
          <w:szCs w:val="32"/>
        </w:rPr>
        <w:t>非煤矿山专项检查工作要常抓不懈，在全面完成辖区内企业检查的基础上，要建立长效机制，充分运用各种手段，保持对矿山企业专项检查常态化，杜绝企业带病生产，提升企业安全生产本质水平。</w:t>
      </w:r>
    </w:p>
    <w:p>
      <w:pPr>
        <w:numPr>
          <w:ilvl w:val="0"/>
          <w:numId w:val="1"/>
          <w:numberingChange w:id="0" w:author="秦侨穗" w:date="2021-01-21T11:37:00Z" w:original="%1:4:37:、"/>
        </w:numPr>
        <w:autoSpaceDN w:val="0"/>
        <w:ind w:firstLine="632" w:firstLineChars="200"/>
        <w:jc w:val="left"/>
        <w:rPr>
          <w:rFonts w:hint="eastAsia" w:ascii="方正黑体_GBK" w:hAnsi="方正仿宋_GBK" w:eastAsia="方正黑体_GBK" w:cs="方正仿宋_GBK"/>
          <w:color w:val="000000"/>
          <w:kern w:val="0"/>
          <w:szCs w:val="32"/>
        </w:rPr>
      </w:pPr>
      <w:r>
        <w:rPr>
          <w:rFonts w:hint="eastAsia" w:ascii="方正黑体_GBK" w:hAnsi="方正仿宋_GBK" w:eastAsia="方正黑体_GBK" w:cs="方正仿宋_GBK"/>
          <w:color w:val="000000"/>
          <w:kern w:val="0"/>
          <w:szCs w:val="32"/>
        </w:rPr>
        <w:t>具体要求</w:t>
      </w:r>
    </w:p>
    <w:p>
      <w:pPr>
        <w:ind w:firstLine="632" w:firstLineChars="200"/>
        <w:jc w:val="left"/>
        <w:rPr>
          <w:rFonts w:hint="eastAsia" w:ascii="方正仿宋_GBK" w:hAnsi="方正仿宋_GBK" w:cs="方正仿宋_GBK"/>
          <w:color w:val="000000"/>
          <w:kern w:val="0"/>
          <w:szCs w:val="32"/>
        </w:rPr>
      </w:pPr>
      <w:r>
        <w:rPr>
          <w:rFonts w:hint="eastAsia" w:ascii="方正楷体_GBK" w:hAnsi="方正仿宋_GBK" w:eastAsia="方正楷体_GBK" w:cs="方正仿宋_GBK"/>
          <w:color w:val="000000"/>
          <w:kern w:val="0"/>
          <w:szCs w:val="32"/>
        </w:rPr>
        <w:t>（一）</w:t>
      </w:r>
      <w:r>
        <w:rPr>
          <w:rFonts w:hint="eastAsia" w:ascii="方正仿宋_GBK" w:hAnsi="方正仿宋_GBK" w:cs="方正仿宋_GBK"/>
          <w:color w:val="000000"/>
          <w:kern w:val="0"/>
          <w:szCs w:val="32"/>
        </w:rPr>
        <w:t>各乡镇、街道安全监管部门要认真落实应急管理部、国家矿山</w:t>
      </w:r>
      <w:r>
        <w:rPr>
          <w:rFonts w:hint="eastAsia" w:ascii="方正仿宋_GBK" w:hAnsi="方正仿宋_GBK" w:cs="方正仿宋_GBK"/>
          <w:color w:val="000000"/>
          <w:kern w:val="0"/>
          <w:szCs w:val="32"/>
          <w:lang w:eastAsia="zh-CN"/>
        </w:rPr>
        <w:t>安全监察</w:t>
      </w:r>
      <w:bookmarkStart w:id="0" w:name="_GoBack"/>
      <w:bookmarkEnd w:id="0"/>
      <w:r>
        <w:rPr>
          <w:rFonts w:hint="eastAsia" w:ascii="方正仿宋_GBK" w:hAnsi="方正仿宋_GBK" w:cs="方正仿宋_GBK"/>
          <w:color w:val="000000"/>
          <w:kern w:val="0"/>
          <w:szCs w:val="32"/>
        </w:rPr>
        <w:t>局、市政府、市应急局的系列会议要求，统筹推进当前各项工作。本轮专项检查中，长期停产停建企业暂不纳入检查。</w:t>
      </w:r>
    </w:p>
    <w:p>
      <w:pPr>
        <w:ind w:firstLine="632" w:firstLineChars="200"/>
        <w:jc w:val="left"/>
        <w:rPr>
          <w:rFonts w:hint="eastAsia" w:ascii="方正仿宋_GBK" w:hAnsi="方正仿宋_GBK" w:cs="方正仿宋_GBK"/>
          <w:color w:val="000000"/>
          <w:kern w:val="0"/>
          <w:szCs w:val="32"/>
        </w:rPr>
      </w:pPr>
      <w:r>
        <w:rPr>
          <w:rFonts w:ascii="方正仿宋_GBK" w:hAnsi="方正仿宋_GBK" w:cs="方正仿宋_GBK"/>
          <w:color w:val="000000"/>
          <w:kern w:val="0"/>
          <w:szCs w:val="32"/>
        </w:rPr>
        <w:fldChar w:fldCharType="begin"/>
      </w:r>
      <w:r>
        <w:rPr>
          <w:rFonts w:ascii="方正仿宋_GBK" w:hAnsi="方正仿宋_GBK" w:cs="方正仿宋_GBK"/>
          <w:color w:val="000000"/>
          <w:kern w:val="0"/>
          <w:szCs w:val="32"/>
        </w:rPr>
        <w:instrText xml:space="preserve"> HYPERLINK "mailto:（一）自1月22日起，各区县应急局要于每周五12时前将本地区非煤矿山企业自查自改情况汇总表（见附件1）、非煤矿山安全监管部门专项检查情况汇总表（见附件2）、非煤矿山重大隐患明细表（见附件3）报送至市应急局非煤处邮箱（aj_1c@163.com）。" </w:instrText>
      </w:r>
      <w:r>
        <w:rPr>
          <w:rFonts w:ascii="方正仿宋_GBK" w:hAnsi="方正仿宋_GBK" w:cs="方正仿宋_GBK"/>
          <w:color w:val="000000"/>
          <w:kern w:val="0"/>
          <w:szCs w:val="32"/>
        </w:rPr>
        <w:fldChar w:fldCharType="separate"/>
      </w:r>
      <w:r>
        <w:rPr>
          <w:rFonts w:hint="eastAsia" w:ascii="方正仿宋_GBK" w:hAnsi="方正仿宋_GBK" w:cs="方正仿宋_GBK"/>
          <w:color w:val="000000"/>
          <w:kern w:val="0"/>
          <w:szCs w:val="32"/>
        </w:rPr>
        <w:t>（二）自1月22日起，各乡镇、街道安全监管部门于每周五10时前将本辖区非煤矿山企业自查自改情况汇总表（见附件1）、非煤矿山安全监管部门专项检查情况汇总表（见附件2）、非煤矿山重大隐患明细表（见附件3）报送至区应急局矿山科邮箱（243562157@qq.com）。</w:t>
      </w:r>
      <w:r>
        <w:rPr>
          <w:rFonts w:ascii="方正仿宋_GBK" w:hAnsi="方正仿宋_GBK" w:cs="方正仿宋_GBK"/>
          <w:color w:val="000000"/>
          <w:kern w:val="0"/>
          <w:szCs w:val="32"/>
        </w:rPr>
        <w:fldChar w:fldCharType="end"/>
      </w:r>
    </w:p>
    <w:p>
      <w:pPr>
        <w:autoSpaceDN w:val="0"/>
        <w:ind w:firstLine="640"/>
        <w:jc w:val="left"/>
        <w:rPr>
          <w:rFonts w:hint="eastAsia" w:ascii="方正仿宋_GBK" w:hAnsi="方正仿宋_GBK" w:cs="方正仿宋_GBK"/>
          <w:color w:val="000000"/>
          <w:kern w:val="0"/>
          <w:szCs w:val="32"/>
        </w:rPr>
      </w:pPr>
      <w:r>
        <w:rPr>
          <w:rFonts w:hint="eastAsia" w:ascii="方正仿宋_GBK" w:hAnsi="方正仿宋_GBK" w:cs="方正仿宋_GBK"/>
          <w:color w:val="000000"/>
          <w:kern w:val="0"/>
          <w:szCs w:val="32"/>
        </w:rPr>
        <w:t>（三）3月30日前，各乡镇、街道安全监管部门要将专项检查工作总结报送至区应急局矿山科。</w:t>
      </w:r>
    </w:p>
    <w:p>
      <w:pPr>
        <w:autoSpaceDN w:val="0"/>
        <w:ind w:firstLine="640"/>
        <w:jc w:val="left"/>
        <w:rPr>
          <w:rFonts w:hint="eastAsia" w:ascii="方正仿宋_GBK" w:hAnsi="方正仿宋_GBK" w:cs="方正仿宋_GBK"/>
          <w:color w:val="000000"/>
          <w:kern w:val="0"/>
          <w:szCs w:val="32"/>
        </w:rPr>
      </w:pPr>
      <w:r>
        <w:rPr>
          <w:rFonts w:hint="eastAsia" w:ascii="方正仿宋_GBK" w:hAnsi="方正仿宋_GBK" w:cs="方正仿宋_GBK"/>
          <w:color w:val="000000"/>
          <w:kern w:val="0"/>
          <w:szCs w:val="32"/>
        </w:rPr>
        <w:t>联系人及电话：古孟林，18323204367。</w:t>
      </w:r>
    </w:p>
    <w:p>
      <w:pPr>
        <w:autoSpaceDN w:val="0"/>
        <w:ind w:firstLine="640"/>
        <w:jc w:val="left"/>
        <w:rPr>
          <w:rFonts w:hint="eastAsia" w:ascii="方正仿宋_GBK" w:hAnsi="方正仿宋_GBK" w:cs="方正仿宋_GBK"/>
          <w:color w:val="000000"/>
          <w:kern w:val="0"/>
          <w:szCs w:val="32"/>
        </w:rPr>
      </w:pPr>
    </w:p>
    <w:p>
      <w:pPr>
        <w:autoSpaceDN w:val="0"/>
        <w:ind w:firstLine="632" w:firstLineChars="200"/>
        <w:jc w:val="left"/>
        <w:rPr>
          <w:rFonts w:hint="eastAsia" w:ascii="方正仿宋_GBK" w:hAnsi="方正仿宋_GBK" w:cs="方正仿宋_GBK"/>
          <w:color w:val="000000"/>
          <w:kern w:val="0"/>
          <w:szCs w:val="32"/>
        </w:rPr>
      </w:pPr>
      <w:r>
        <w:rPr>
          <w:rFonts w:hint="eastAsia" w:ascii="方正仿宋_GBK" w:hAnsi="方正仿宋_GBK" w:cs="方正仿宋_GBK"/>
          <w:color w:val="000000"/>
          <w:kern w:val="0"/>
          <w:szCs w:val="32"/>
        </w:rPr>
        <w:t>附件：1. 非煤矿山企业自查自改情况汇总表</w:t>
      </w:r>
    </w:p>
    <w:p>
      <w:pPr>
        <w:autoSpaceDN w:val="0"/>
        <w:ind w:firstLine="1580" w:firstLineChars="500"/>
        <w:jc w:val="left"/>
        <w:rPr>
          <w:rFonts w:hint="eastAsia" w:ascii="方正仿宋_GBK" w:hAnsi="方正仿宋_GBK" w:cs="方正仿宋_GBK"/>
          <w:color w:val="000000"/>
          <w:kern w:val="0"/>
          <w:szCs w:val="32"/>
        </w:rPr>
      </w:pPr>
      <w:r>
        <w:rPr>
          <w:rFonts w:hint="eastAsia" w:ascii="方正仿宋_GBK" w:hAnsi="方正仿宋_GBK" w:cs="方正仿宋_GBK"/>
          <w:color w:val="000000"/>
          <w:kern w:val="0"/>
          <w:szCs w:val="32"/>
        </w:rPr>
        <w:t>2. 非煤矿山安全监管部门专项检查情况汇总表</w:t>
      </w:r>
    </w:p>
    <w:p>
      <w:pPr>
        <w:autoSpaceDN w:val="0"/>
        <w:ind w:firstLine="1580" w:firstLineChars="500"/>
        <w:jc w:val="left"/>
        <w:rPr>
          <w:rFonts w:hint="eastAsia" w:ascii="方正仿宋_GBK" w:hAnsi="方正仿宋_GBK" w:cs="方正仿宋_GBK"/>
          <w:color w:val="000000"/>
          <w:kern w:val="0"/>
          <w:szCs w:val="32"/>
        </w:rPr>
      </w:pPr>
      <w:r>
        <w:rPr>
          <w:rFonts w:hint="eastAsia" w:ascii="方正仿宋_GBK" w:hAnsi="方正仿宋_GBK" w:cs="方正仿宋_GBK"/>
          <w:color w:val="000000"/>
          <w:kern w:val="0"/>
          <w:szCs w:val="32"/>
        </w:rPr>
        <w:t>3. 非煤矿山重大隐患明细表</w:t>
      </w:r>
    </w:p>
    <w:p>
      <w:pPr>
        <w:autoSpaceDN w:val="0"/>
        <w:adjustRightInd w:val="0"/>
        <w:spacing w:line="592" w:lineRule="exact"/>
        <w:ind w:firstLine="4740" w:firstLineChars="1500"/>
        <w:jc w:val="left"/>
        <w:rPr>
          <w:rFonts w:hint="eastAsia" w:ascii="方正仿宋_GBK" w:hAnsi="方正仿宋_GBK" w:cs="方正仿宋_GBK"/>
          <w:color w:val="000000"/>
          <w:kern w:val="0"/>
          <w:szCs w:val="32"/>
        </w:rPr>
      </w:pPr>
    </w:p>
    <w:p>
      <w:pPr>
        <w:widowControl/>
        <w:jc w:val="left"/>
        <w:rPr>
          <w:rFonts w:ascii="黑体" w:hAnsi="黑体" w:eastAsia="黑体"/>
          <w:color w:val="000000"/>
          <w:kern w:val="0"/>
          <w:szCs w:val="32"/>
        </w:rPr>
        <w:sectPr>
          <w:footerReference r:id="rId3" w:type="default"/>
          <w:footerReference r:id="rId4" w:type="even"/>
          <w:pgSz w:w="11906" w:h="16838"/>
          <w:pgMar w:top="2098" w:right="1474" w:bottom="1984" w:left="1587" w:header="851" w:footer="1474" w:gutter="0"/>
          <w:cols w:space="720" w:num="1"/>
          <w:docGrid w:type="linesAndChars" w:linePitch="579" w:charSpace="-842"/>
        </w:sectPr>
      </w:pPr>
    </w:p>
    <w:p>
      <w:pPr>
        <w:spacing w:line="600" w:lineRule="exact"/>
        <w:rPr>
          <w:rFonts w:hint="eastAsia" w:ascii="方正黑体_GBK" w:hAnsi="方正黑体_GBK" w:eastAsia="方正黑体_GBK" w:cs="方正黑体_GBK"/>
          <w:color w:val="000000"/>
          <w:szCs w:val="32"/>
        </w:rPr>
      </w:pPr>
      <w:r>
        <w:rPr>
          <w:rFonts w:hint="eastAsia" w:ascii="方正黑体_GBK" w:hAnsi="方正黑体_GBK" w:eastAsia="方正黑体_GBK" w:cs="方正黑体_GBK"/>
          <w:color w:val="000000"/>
          <w:szCs w:val="32"/>
        </w:rPr>
        <w:t>附件1</w:t>
      </w:r>
    </w:p>
    <w:p>
      <w:pPr>
        <w:spacing w:line="600" w:lineRule="exact"/>
        <w:rPr>
          <w:rFonts w:hint="eastAsia" w:ascii="黑体" w:hAnsi="黑体" w:eastAsia="黑体"/>
          <w:color w:val="000000"/>
          <w:sz w:val="21"/>
          <w:szCs w:val="32"/>
        </w:rPr>
      </w:pPr>
    </w:p>
    <w:p>
      <w:pPr>
        <w:snapToGrid w:val="0"/>
        <w:spacing w:line="640" w:lineRule="exact"/>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非煤矿山企业自查自改情况汇总表</w:t>
      </w:r>
    </w:p>
    <w:p>
      <w:pPr>
        <w:spacing w:line="600" w:lineRule="exact"/>
        <w:jc w:val="center"/>
        <w:rPr>
          <w:rFonts w:hint="eastAsia" w:ascii="华文中宋" w:hAnsi="华文中宋" w:eastAsia="华文中宋" w:cs="宋体"/>
          <w:b/>
          <w:color w:val="000000"/>
          <w:kern w:val="0"/>
          <w:sz w:val="40"/>
          <w:szCs w:val="40"/>
        </w:rPr>
      </w:pPr>
    </w:p>
    <w:p>
      <w:pPr>
        <w:spacing w:line="600" w:lineRule="exact"/>
        <w:ind w:firstLine="280" w:firstLineChars="100"/>
        <w:jc w:val="left"/>
        <w:rPr>
          <w:rFonts w:hint="eastAsia" w:ascii="方正仿宋_GBK" w:eastAsia="宋体" w:cs="方正仿宋_GBK"/>
          <w:color w:val="000000"/>
          <w:kern w:val="0"/>
          <w:sz w:val="28"/>
          <w:szCs w:val="28"/>
        </w:rPr>
      </w:pPr>
      <w:r>
        <w:rPr>
          <w:rFonts w:hint="eastAsia" w:ascii="方正仿宋_GBK" w:hAnsi="方正仿宋_GBK" w:eastAsia="宋体" w:cs="方正仿宋_GBK"/>
          <w:color w:val="000000"/>
          <w:kern w:val="0"/>
          <w:sz w:val="28"/>
          <w:szCs w:val="28"/>
        </w:rPr>
        <w:t>填报单位：                                                            截至日期：  年   月  日</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2"/>
        <w:gridCol w:w="3402"/>
        <w:gridCol w:w="3402"/>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4" w:hRule="atLeast"/>
        </w:trPr>
        <w:tc>
          <w:tcPr>
            <w:tcW w:w="340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方正黑体_GBK" w:hAnsi="方正黑体_GBK" w:eastAsia="方正黑体_GBK" w:cs="方正黑体_GBK"/>
                <w:color w:val="000000"/>
                <w:kern w:val="0"/>
                <w:sz w:val="28"/>
                <w:szCs w:val="28"/>
              </w:rPr>
            </w:pPr>
            <w:r>
              <w:rPr>
                <w:rFonts w:hint="eastAsia" w:ascii="方正黑体_GBK" w:hAnsi="方正黑体_GBK" w:eastAsia="方正黑体_GBK" w:cs="方正黑体_GBK"/>
                <w:color w:val="000000"/>
                <w:kern w:val="0"/>
                <w:sz w:val="28"/>
                <w:szCs w:val="28"/>
              </w:rPr>
              <w:t>辖区内</w:t>
            </w:r>
          </w:p>
          <w:p>
            <w:pPr>
              <w:snapToGrid w:val="0"/>
              <w:jc w:val="center"/>
              <w:rPr>
                <w:rFonts w:ascii="方正黑体_GBK" w:hAnsi="方正黑体_GBK" w:eastAsia="方正黑体_GBK" w:cs="方正黑体_GBK"/>
                <w:color w:val="000000"/>
                <w:kern w:val="0"/>
                <w:sz w:val="28"/>
                <w:szCs w:val="28"/>
              </w:rPr>
            </w:pPr>
            <w:r>
              <w:rPr>
                <w:rFonts w:hint="eastAsia" w:ascii="方正黑体_GBK" w:hAnsi="方正黑体_GBK" w:eastAsia="方正黑体_GBK" w:cs="方正黑体_GBK"/>
                <w:color w:val="000000"/>
                <w:kern w:val="0"/>
                <w:sz w:val="28"/>
                <w:szCs w:val="28"/>
              </w:rPr>
              <w:t>非煤矿山数量</w:t>
            </w:r>
          </w:p>
        </w:tc>
        <w:tc>
          <w:tcPr>
            <w:tcW w:w="340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方正黑体_GBK" w:hAnsi="方正黑体_GBK" w:eastAsia="方正黑体_GBK" w:cs="方正黑体_GBK"/>
                <w:color w:val="000000"/>
                <w:kern w:val="0"/>
                <w:sz w:val="28"/>
                <w:szCs w:val="28"/>
              </w:rPr>
            </w:pPr>
            <w:r>
              <w:rPr>
                <w:rFonts w:hint="eastAsia" w:ascii="方正黑体_GBK" w:hAnsi="方正黑体_GBK" w:eastAsia="方正黑体_GBK" w:cs="方正黑体_GBK"/>
                <w:color w:val="000000"/>
                <w:kern w:val="0"/>
                <w:sz w:val="28"/>
                <w:szCs w:val="28"/>
              </w:rPr>
              <w:t>已完成自查</w:t>
            </w:r>
          </w:p>
          <w:p>
            <w:pPr>
              <w:snapToGrid w:val="0"/>
              <w:jc w:val="center"/>
              <w:rPr>
                <w:rFonts w:ascii="方正黑体_GBK" w:hAnsi="方正黑体_GBK" w:eastAsia="方正黑体_GBK" w:cs="方正黑体_GBK"/>
                <w:color w:val="000000"/>
                <w:kern w:val="0"/>
                <w:sz w:val="28"/>
                <w:szCs w:val="28"/>
              </w:rPr>
            </w:pPr>
            <w:r>
              <w:rPr>
                <w:rFonts w:hint="eastAsia" w:ascii="方正黑体_GBK" w:hAnsi="方正黑体_GBK" w:eastAsia="方正黑体_GBK" w:cs="方正黑体_GBK"/>
                <w:color w:val="000000"/>
                <w:kern w:val="0"/>
                <w:sz w:val="28"/>
                <w:szCs w:val="28"/>
              </w:rPr>
              <w:t>非煤矿山数量</w:t>
            </w:r>
          </w:p>
        </w:tc>
        <w:tc>
          <w:tcPr>
            <w:tcW w:w="340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方正黑体_GBK" w:hAnsi="方正黑体_GBK" w:eastAsia="方正黑体_GBK" w:cs="方正黑体_GBK"/>
                <w:color w:val="000000"/>
                <w:kern w:val="0"/>
                <w:sz w:val="28"/>
                <w:szCs w:val="28"/>
              </w:rPr>
            </w:pPr>
            <w:r>
              <w:rPr>
                <w:rFonts w:hint="eastAsia" w:ascii="方正黑体_GBK" w:hAnsi="方正黑体_GBK" w:eastAsia="方正黑体_GBK" w:cs="方正黑体_GBK"/>
                <w:color w:val="000000"/>
                <w:kern w:val="0"/>
                <w:sz w:val="28"/>
                <w:szCs w:val="28"/>
              </w:rPr>
              <w:t>企业自查发现</w:t>
            </w:r>
          </w:p>
          <w:p>
            <w:pPr>
              <w:snapToGrid w:val="0"/>
              <w:jc w:val="center"/>
              <w:rPr>
                <w:rFonts w:ascii="方正黑体_GBK" w:hAnsi="方正黑体_GBK" w:eastAsia="方正黑体_GBK" w:cs="方正黑体_GBK"/>
                <w:color w:val="000000"/>
                <w:kern w:val="0"/>
                <w:sz w:val="28"/>
                <w:szCs w:val="28"/>
              </w:rPr>
            </w:pPr>
            <w:r>
              <w:rPr>
                <w:rFonts w:hint="eastAsia" w:ascii="方正黑体_GBK" w:hAnsi="方正黑体_GBK" w:eastAsia="方正黑体_GBK" w:cs="方正黑体_GBK"/>
                <w:color w:val="000000"/>
                <w:kern w:val="0"/>
                <w:sz w:val="28"/>
                <w:szCs w:val="28"/>
              </w:rPr>
              <w:t>一般隐患数量</w:t>
            </w:r>
          </w:p>
        </w:tc>
        <w:tc>
          <w:tcPr>
            <w:tcW w:w="340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方正黑体_GBK" w:hAnsi="方正黑体_GBK" w:eastAsia="方正黑体_GBK" w:cs="方正黑体_GBK"/>
                <w:color w:val="000000"/>
                <w:kern w:val="0"/>
                <w:sz w:val="28"/>
                <w:szCs w:val="28"/>
              </w:rPr>
            </w:pPr>
            <w:r>
              <w:rPr>
                <w:rFonts w:hint="eastAsia" w:ascii="方正黑体_GBK" w:hAnsi="方正黑体_GBK" w:eastAsia="方正黑体_GBK" w:cs="方正黑体_GBK"/>
                <w:color w:val="000000"/>
                <w:kern w:val="0"/>
                <w:sz w:val="28"/>
                <w:szCs w:val="28"/>
              </w:rPr>
              <w:t>企业自查发现</w:t>
            </w:r>
          </w:p>
          <w:p>
            <w:pPr>
              <w:snapToGrid w:val="0"/>
              <w:jc w:val="center"/>
              <w:rPr>
                <w:rFonts w:ascii="方正黑体_GBK" w:hAnsi="方正黑体_GBK" w:eastAsia="方正黑体_GBK" w:cs="方正黑体_GBK"/>
                <w:color w:val="000000"/>
                <w:kern w:val="0"/>
                <w:sz w:val="28"/>
                <w:szCs w:val="28"/>
              </w:rPr>
            </w:pPr>
            <w:r>
              <w:rPr>
                <w:rFonts w:hint="eastAsia" w:ascii="方正黑体_GBK" w:hAnsi="方正黑体_GBK" w:eastAsia="方正黑体_GBK" w:cs="方正黑体_GBK"/>
                <w:color w:val="000000"/>
                <w:kern w:val="0"/>
                <w:sz w:val="28"/>
                <w:szCs w:val="28"/>
              </w:rPr>
              <w:t>重大隐患数量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3402"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黑体" w:hAnsi="黑体" w:eastAsia="黑体"/>
                <w:b/>
                <w:color w:val="000000"/>
                <w:sz w:val="21"/>
                <w:szCs w:val="32"/>
              </w:rPr>
            </w:pPr>
          </w:p>
        </w:tc>
        <w:tc>
          <w:tcPr>
            <w:tcW w:w="3402"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黑体" w:hAnsi="黑体" w:eastAsia="黑体"/>
                <w:b/>
                <w:color w:val="000000"/>
                <w:sz w:val="21"/>
                <w:szCs w:val="32"/>
              </w:rPr>
            </w:pPr>
          </w:p>
        </w:tc>
        <w:tc>
          <w:tcPr>
            <w:tcW w:w="3402"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黑体" w:hAnsi="黑体" w:eastAsia="黑体"/>
                <w:b/>
                <w:color w:val="000000"/>
                <w:sz w:val="21"/>
                <w:szCs w:val="32"/>
              </w:rPr>
            </w:pPr>
          </w:p>
        </w:tc>
        <w:tc>
          <w:tcPr>
            <w:tcW w:w="3402"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黑体" w:hAnsi="黑体" w:eastAsia="黑体"/>
                <w:b/>
                <w:color w:val="000000"/>
                <w:sz w:val="21"/>
                <w:szCs w:val="32"/>
              </w:rPr>
            </w:pPr>
          </w:p>
        </w:tc>
      </w:tr>
    </w:tbl>
    <w:p>
      <w:pPr>
        <w:spacing w:line="600" w:lineRule="exact"/>
        <w:ind w:firstLine="280" w:firstLineChars="100"/>
        <w:jc w:val="left"/>
        <w:rPr>
          <w:rFonts w:hint="eastAsia" w:ascii="方正仿宋_GBK" w:eastAsia="宋体" w:cs="方正仿宋_GBK"/>
          <w:color w:val="000000"/>
          <w:kern w:val="0"/>
          <w:sz w:val="28"/>
          <w:szCs w:val="28"/>
        </w:rPr>
      </w:pPr>
      <w:r>
        <w:rPr>
          <w:rFonts w:hint="eastAsia" w:ascii="方正仿宋_GBK" w:hAnsi="方正仿宋_GBK" w:eastAsia="宋体" w:cs="方正仿宋_GBK"/>
          <w:color w:val="000000"/>
          <w:kern w:val="0"/>
          <w:sz w:val="28"/>
          <w:szCs w:val="28"/>
        </w:rPr>
        <w:t>填报人：                                                               联系电话：</w:t>
      </w:r>
    </w:p>
    <w:p>
      <w:pPr>
        <w:spacing w:line="600" w:lineRule="exact"/>
        <w:ind w:firstLine="280" w:firstLineChars="100"/>
        <w:jc w:val="left"/>
        <w:rPr>
          <w:rFonts w:hint="eastAsia" w:ascii="方正仿宋_GBK" w:eastAsia="宋体" w:cs="方正仿宋_GBK"/>
          <w:color w:val="000000"/>
          <w:kern w:val="0"/>
          <w:sz w:val="28"/>
          <w:szCs w:val="28"/>
        </w:rPr>
      </w:pPr>
    </w:p>
    <w:p>
      <w:pPr>
        <w:spacing w:line="600" w:lineRule="exact"/>
        <w:ind w:firstLine="280" w:firstLineChars="100"/>
        <w:jc w:val="left"/>
        <w:rPr>
          <w:rFonts w:hint="eastAsia" w:ascii="方正仿宋_GBK" w:eastAsia="宋体" w:cs="方正仿宋_GBK"/>
          <w:color w:val="000000"/>
          <w:kern w:val="0"/>
          <w:sz w:val="28"/>
          <w:szCs w:val="28"/>
        </w:rPr>
      </w:pPr>
      <w:r>
        <w:rPr>
          <w:rFonts w:hint="eastAsia" w:ascii="方正仿宋_GBK" w:hAnsi="方正仿宋_GBK" w:eastAsia="宋体" w:cs="方正仿宋_GBK"/>
          <w:color w:val="000000"/>
          <w:kern w:val="0"/>
          <w:sz w:val="28"/>
          <w:szCs w:val="28"/>
        </w:rPr>
        <w:t>注：填报数据为累计数据。</w:t>
      </w:r>
    </w:p>
    <w:p>
      <w:pPr>
        <w:spacing w:line="600" w:lineRule="exact"/>
        <w:jc w:val="left"/>
        <w:rPr>
          <w:rFonts w:hint="eastAsia" w:ascii="方正仿宋_GBK" w:eastAsia="宋体" w:cs="方正仿宋_GBK"/>
          <w:color w:val="000000"/>
          <w:kern w:val="0"/>
          <w:sz w:val="28"/>
          <w:szCs w:val="28"/>
        </w:rPr>
      </w:pPr>
    </w:p>
    <w:p>
      <w:pPr>
        <w:spacing w:line="600" w:lineRule="exact"/>
        <w:jc w:val="left"/>
        <w:rPr>
          <w:rFonts w:hint="eastAsia" w:ascii="方正仿宋_GBK" w:eastAsia="宋体" w:cs="方正仿宋_GBK"/>
          <w:color w:val="000000"/>
          <w:kern w:val="0"/>
          <w:sz w:val="28"/>
          <w:szCs w:val="28"/>
        </w:rPr>
      </w:pPr>
    </w:p>
    <w:p>
      <w:pPr>
        <w:spacing w:line="600" w:lineRule="exact"/>
        <w:rPr>
          <w:rFonts w:hint="eastAsia" w:ascii="方正黑体_GBK" w:hAnsi="方正黑体_GBK" w:eastAsia="方正黑体_GBK" w:cs="方正黑体_GBK"/>
          <w:color w:val="000000"/>
          <w:szCs w:val="32"/>
        </w:rPr>
      </w:pPr>
      <w:r>
        <w:rPr>
          <w:rFonts w:hint="eastAsia" w:ascii="方正黑体_GBK" w:hAnsi="方正黑体_GBK" w:eastAsia="方正黑体_GBK" w:cs="方正黑体_GBK"/>
          <w:color w:val="000000"/>
          <w:szCs w:val="32"/>
        </w:rPr>
        <w:t>附件2</w:t>
      </w:r>
    </w:p>
    <w:p>
      <w:pPr>
        <w:spacing w:line="600" w:lineRule="exact"/>
        <w:rPr>
          <w:rFonts w:hint="eastAsia" w:ascii="黑体" w:hAnsi="黑体" w:eastAsia="黑体"/>
          <w:color w:val="000000"/>
          <w:sz w:val="21"/>
          <w:szCs w:val="32"/>
        </w:rPr>
      </w:pPr>
    </w:p>
    <w:p>
      <w:pPr>
        <w:snapToGrid w:val="0"/>
        <w:spacing w:line="640" w:lineRule="exact"/>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非煤矿山安全监管部门专项检查情况汇总表</w:t>
      </w:r>
    </w:p>
    <w:p>
      <w:pPr>
        <w:spacing w:line="600" w:lineRule="exact"/>
        <w:jc w:val="center"/>
        <w:rPr>
          <w:rFonts w:hint="eastAsia" w:ascii="华文中宋" w:hAnsi="华文中宋" w:eastAsia="华文中宋" w:cs="宋体"/>
          <w:b/>
          <w:color w:val="000000"/>
          <w:kern w:val="0"/>
          <w:sz w:val="40"/>
          <w:szCs w:val="40"/>
        </w:rPr>
      </w:pPr>
    </w:p>
    <w:p>
      <w:pPr>
        <w:spacing w:line="600" w:lineRule="exact"/>
        <w:ind w:firstLine="280" w:firstLineChars="100"/>
        <w:jc w:val="left"/>
        <w:rPr>
          <w:rFonts w:hint="eastAsia" w:ascii="方正仿宋_GBK" w:eastAsia="宋体" w:cs="方正仿宋_GBK"/>
          <w:color w:val="000000"/>
          <w:kern w:val="0"/>
          <w:sz w:val="28"/>
          <w:szCs w:val="28"/>
        </w:rPr>
      </w:pPr>
      <w:r>
        <w:rPr>
          <w:rFonts w:hint="eastAsia" w:ascii="方正仿宋_GBK" w:hAnsi="方正仿宋_GBK" w:eastAsia="宋体" w:cs="方正仿宋_GBK"/>
          <w:color w:val="000000"/>
          <w:kern w:val="0"/>
          <w:sz w:val="28"/>
          <w:szCs w:val="28"/>
        </w:rPr>
        <w:t>填报单位：                                                             截至日期：  年   月  日</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1077"/>
        <w:gridCol w:w="1077"/>
        <w:gridCol w:w="1077"/>
        <w:gridCol w:w="1077"/>
        <w:gridCol w:w="1077"/>
        <w:gridCol w:w="1077"/>
        <w:gridCol w:w="1077"/>
        <w:gridCol w:w="1077"/>
        <w:gridCol w:w="1077"/>
        <w:gridCol w:w="1077"/>
        <w:gridCol w:w="1077"/>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trPr>
        <w:tc>
          <w:tcPr>
            <w:tcW w:w="107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方正黑体_GBK" w:hAnsi="方正黑体_GBK" w:eastAsia="方正黑体_GBK" w:cs="方正黑体_GBK"/>
                <w:color w:val="000000"/>
                <w:kern w:val="0"/>
                <w:sz w:val="28"/>
                <w:szCs w:val="28"/>
              </w:rPr>
            </w:pPr>
            <w:r>
              <w:rPr>
                <w:rFonts w:hint="eastAsia" w:ascii="方正黑体_GBK" w:hAnsi="方正黑体_GBK" w:eastAsia="方正黑体_GBK" w:cs="方正黑体_GBK"/>
                <w:color w:val="000000"/>
                <w:kern w:val="0"/>
                <w:sz w:val="28"/>
                <w:szCs w:val="28"/>
              </w:rPr>
              <w:t>检查矿山企业 数量（矿次）</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方正黑体_GBK" w:hAnsi="方正黑体_GBK" w:eastAsia="方正黑体_GBK" w:cs="方正黑体_GBK"/>
                <w:color w:val="000000"/>
                <w:kern w:val="0"/>
                <w:sz w:val="28"/>
                <w:szCs w:val="28"/>
              </w:rPr>
            </w:pPr>
            <w:r>
              <w:rPr>
                <w:rFonts w:hint="eastAsia" w:ascii="方正黑体_GBK" w:hAnsi="方正黑体_GBK" w:eastAsia="方正黑体_GBK" w:cs="方正黑体_GBK"/>
                <w:color w:val="000000"/>
                <w:kern w:val="0"/>
                <w:sz w:val="28"/>
                <w:szCs w:val="28"/>
              </w:rPr>
              <w:t>检查发现一般隐患数量（项）</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方正黑体_GBK" w:hAnsi="方正黑体_GBK" w:eastAsia="方正黑体_GBK" w:cs="方正黑体_GBK"/>
                <w:color w:val="000000"/>
                <w:kern w:val="0"/>
                <w:sz w:val="28"/>
                <w:szCs w:val="28"/>
              </w:rPr>
            </w:pPr>
            <w:r>
              <w:rPr>
                <w:rFonts w:hint="eastAsia" w:ascii="方正黑体_GBK" w:hAnsi="方正黑体_GBK" w:eastAsia="方正黑体_GBK" w:cs="方正黑体_GBK"/>
                <w:color w:val="000000"/>
                <w:kern w:val="0"/>
                <w:sz w:val="28"/>
                <w:szCs w:val="28"/>
              </w:rPr>
              <w:t>检查发现重大隐患数量（项）</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方正黑体_GBK" w:hAnsi="方正黑体_GBK" w:eastAsia="方正黑体_GBK" w:cs="方正黑体_GBK"/>
                <w:color w:val="000000"/>
                <w:kern w:val="0"/>
                <w:sz w:val="28"/>
                <w:szCs w:val="28"/>
              </w:rPr>
            </w:pPr>
            <w:r>
              <w:rPr>
                <w:rFonts w:hint="eastAsia" w:ascii="方正黑体_GBK" w:hAnsi="方正黑体_GBK" w:eastAsia="方正黑体_GBK" w:cs="方正黑体_GBK"/>
                <w:color w:val="000000"/>
                <w:kern w:val="0"/>
                <w:sz w:val="28"/>
                <w:szCs w:val="28"/>
              </w:rPr>
              <w:t>下达执法文书(份)</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方正黑体_GBK" w:hAnsi="方正黑体_GBK" w:eastAsia="方正黑体_GBK" w:cs="方正黑体_GBK"/>
                <w:color w:val="000000"/>
                <w:kern w:val="0"/>
                <w:sz w:val="28"/>
                <w:szCs w:val="28"/>
              </w:rPr>
            </w:pPr>
            <w:r>
              <w:rPr>
                <w:rFonts w:hint="eastAsia" w:ascii="方正黑体_GBK" w:hAnsi="方正黑体_GBK" w:eastAsia="方正黑体_GBK" w:cs="方正黑体_GBK"/>
                <w:color w:val="000000"/>
                <w:kern w:val="0"/>
                <w:sz w:val="28"/>
                <w:szCs w:val="28"/>
              </w:rPr>
              <w:t>行政处罚(次)</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方正黑体_GBK" w:hAnsi="方正黑体_GBK" w:eastAsia="方正黑体_GBK" w:cs="方正黑体_GBK"/>
                <w:color w:val="000000"/>
                <w:kern w:val="0"/>
                <w:sz w:val="28"/>
                <w:szCs w:val="28"/>
              </w:rPr>
            </w:pPr>
            <w:r>
              <w:rPr>
                <w:rFonts w:hint="eastAsia" w:ascii="方正黑体_GBK" w:hAnsi="方正黑体_GBK" w:eastAsia="方正黑体_GBK" w:cs="方正黑体_GBK"/>
                <w:color w:val="000000"/>
                <w:kern w:val="0"/>
                <w:sz w:val="28"/>
                <w:szCs w:val="28"/>
              </w:rPr>
              <w:t>罚款(万元)</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方正黑体_GBK" w:hAnsi="方正黑体_GBK" w:eastAsia="方正黑体_GBK" w:cs="方正黑体_GBK"/>
                <w:color w:val="000000"/>
                <w:kern w:val="0"/>
                <w:sz w:val="28"/>
                <w:szCs w:val="28"/>
              </w:rPr>
            </w:pPr>
            <w:r>
              <w:rPr>
                <w:rFonts w:hint="eastAsia" w:ascii="方正黑体_GBK" w:hAnsi="方正黑体_GBK" w:eastAsia="方正黑体_GBK" w:cs="方正黑体_GBK"/>
                <w:color w:val="000000"/>
                <w:kern w:val="0"/>
                <w:sz w:val="28"/>
                <w:szCs w:val="28"/>
              </w:rPr>
              <w:t>责令停产整顿(矿次)</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方正黑体_GBK" w:hAnsi="方正黑体_GBK" w:eastAsia="方正黑体_GBK" w:cs="方正黑体_GBK"/>
                <w:color w:val="000000"/>
                <w:kern w:val="0"/>
                <w:sz w:val="28"/>
                <w:szCs w:val="28"/>
              </w:rPr>
            </w:pPr>
            <w:r>
              <w:rPr>
                <w:rFonts w:hint="eastAsia" w:ascii="方正黑体_GBK" w:hAnsi="方正黑体_GBK" w:eastAsia="方正黑体_GBK" w:cs="方正黑体_GBK"/>
                <w:color w:val="000000"/>
                <w:kern w:val="0"/>
                <w:sz w:val="28"/>
                <w:szCs w:val="28"/>
              </w:rPr>
              <w:t>责令停止使用相关设施、设备(台、套)</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方正黑体_GBK" w:hAnsi="方正黑体_GBK" w:eastAsia="方正黑体_GBK" w:cs="方正黑体_GBK"/>
                <w:color w:val="000000"/>
                <w:kern w:val="0"/>
                <w:sz w:val="28"/>
                <w:szCs w:val="28"/>
              </w:rPr>
            </w:pPr>
            <w:r>
              <w:rPr>
                <w:rFonts w:hint="eastAsia" w:ascii="方正黑体_GBK" w:hAnsi="方正黑体_GBK" w:eastAsia="方正黑体_GBK" w:cs="方正黑体_GBK"/>
                <w:color w:val="000000"/>
                <w:kern w:val="0"/>
                <w:sz w:val="28"/>
                <w:szCs w:val="28"/>
              </w:rPr>
              <w:t>暂扣安全生产许可证(个)</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方正黑体_GBK" w:hAnsi="方正黑体_GBK" w:eastAsia="方正黑体_GBK" w:cs="方正黑体_GBK"/>
                <w:color w:val="000000"/>
                <w:kern w:val="0"/>
                <w:sz w:val="28"/>
                <w:szCs w:val="28"/>
              </w:rPr>
            </w:pPr>
            <w:r>
              <w:rPr>
                <w:rFonts w:hint="eastAsia" w:ascii="方正黑体_GBK" w:hAnsi="方正黑体_GBK" w:eastAsia="方正黑体_GBK" w:cs="方正黑体_GBK"/>
                <w:color w:val="000000"/>
                <w:kern w:val="0"/>
                <w:sz w:val="28"/>
                <w:szCs w:val="28"/>
              </w:rPr>
              <w:t>吊销安全生产许可证(个)</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方正黑体_GBK" w:hAnsi="方正黑体_GBK" w:eastAsia="方正黑体_GBK" w:cs="方正黑体_GBK"/>
                <w:color w:val="000000"/>
                <w:kern w:val="0"/>
                <w:sz w:val="28"/>
                <w:szCs w:val="28"/>
              </w:rPr>
            </w:pPr>
            <w:r>
              <w:rPr>
                <w:rFonts w:hint="eastAsia" w:ascii="方正黑体_GBK" w:hAnsi="方正黑体_GBK" w:eastAsia="方正黑体_GBK" w:cs="方正黑体_GBK"/>
                <w:color w:val="000000"/>
                <w:kern w:val="0"/>
                <w:sz w:val="28"/>
                <w:szCs w:val="28"/>
              </w:rPr>
              <w:t>纳入“黑名单”(矿次)</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方正黑体_GBK" w:hAnsi="方正黑体_GBK" w:eastAsia="方正黑体_GBK" w:cs="方正黑体_GBK"/>
                <w:color w:val="000000"/>
                <w:kern w:val="0"/>
                <w:sz w:val="28"/>
                <w:szCs w:val="28"/>
              </w:rPr>
            </w:pPr>
            <w:r>
              <w:rPr>
                <w:rFonts w:hint="eastAsia" w:ascii="方正黑体_GBK" w:hAnsi="方正黑体_GBK" w:eastAsia="方正黑体_GBK" w:cs="方正黑体_GBK"/>
                <w:color w:val="000000"/>
                <w:kern w:val="0"/>
                <w:sz w:val="28"/>
                <w:szCs w:val="28"/>
              </w:rPr>
              <w:t>提请关闭矿山数量(个)</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方正黑体_GBK" w:hAnsi="方正黑体_GBK" w:eastAsia="方正黑体_GBK" w:cs="方正黑体_GBK"/>
                <w:color w:val="000000"/>
                <w:kern w:val="0"/>
                <w:sz w:val="28"/>
                <w:szCs w:val="28"/>
              </w:rPr>
            </w:pPr>
            <w:r>
              <w:rPr>
                <w:rFonts w:hint="eastAsia" w:ascii="方正黑体_GBK" w:hAnsi="方正黑体_GBK" w:eastAsia="方正黑体_GBK" w:cs="方正黑体_GBK"/>
                <w:color w:val="000000"/>
                <w:kern w:val="0"/>
                <w:sz w:val="28"/>
                <w:szCs w:val="28"/>
              </w:rPr>
              <w:t>媒体曝光(次)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left"/>
              <w:rPr>
                <w:rFonts w:ascii="??_GB2312" w:hAnsi="宋体" w:eastAsia="Times New Roman" w:cs="宋体"/>
                <w:color w:val="000000"/>
                <w:kern w:val="0"/>
                <w:sz w:val="24"/>
              </w:rPr>
            </w:pP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left"/>
              <w:rPr>
                <w:rFonts w:ascii="??_GB2312" w:hAnsi="宋体" w:eastAsia="Times New Roman" w:cs="宋体"/>
                <w:color w:val="000000"/>
                <w:kern w:val="0"/>
                <w:sz w:val="24"/>
              </w:rPr>
            </w:pP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left"/>
              <w:rPr>
                <w:rFonts w:ascii="??_GB2312" w:hAnsi="宋体" w:eastAsia="Times New Roman" w:cs="宋体"/>
                <w:color w:val="000000"/>
                <w:kern w:val="0"/>
                <w:sz w:val="24"/>
              </w:rPr>
            </w:pP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left"/>
              <w:rPr>
                <w:rFonts w:ascii="??_GB2312" w:hAnsi="宋体" w:eastAsia="Times New Roman" w:cs="宋体"/>
                <w:color w:val="000000"/>
                <w:kern w:val="0"/>
                <w:sz w:val="24"/>
              </w:rPr>
            </w:pP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left"/>
              <w:rPr>
                <w:rFonts w:ascii="??_GB2312" w:hAnsi="宋体" w:eastAsia="Times New Roman" w:cs="宋体"/>
                <w:color w:val="000000"/>
                <w:kern w:val="0"/>
                <w:sz w:val="24"/>
              </w:rPr>
            </w:pP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left"/>
              <w:rPr>
                <w:rFonts w:ascii="??_GB2312" w:hAnsi="宋体" w:eastAsia="Times New Roman" w:cs="宋体"/>
                <w:color w:val="000000"/>
                <w:kern w:val="0"/>
                <w:sz w:val="24"/>
              </w:rPr>
            </w:pP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left"/>
              <w:rPr>
                <w:rFonts w:ascii="??_GB2312" w:hAnsi="宋体" w:eastAsia="Times New Roman" w:cs="宋体"/>
                <w:color w:val="000000"/>
                <w:kern w:val="0"/>
                <w:sz w:val="24"/>
              </w:rPr>
            </w:pP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left"/>
              <w:rPr>
                <w:rFonts w:ascii="??_GB2312" w:hAnsi="宋体" w:eastAsia="Times New Roman" w:cs="宋体"/>
                <w:color w:val="000000"/>
                <w:kern w:val="0"/>
                <w:sz w:val="24"/>
              </w:rPr>
            </w:pP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left"/>
              <w:rPr>
                <w:rFonts w:ascii="??_GB2312" w:hAnsi="宋体" w:eastAsia="Times New Roman" w:cs="宋体"/>
                <w:color w:val="000000"/>
                <w:kern w:val="0"/>
                <w:sz w:val="24"/>
              </w:rPr>
            </w:pP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left"/>
              <w:rPr>
                <w:rFonts w:ascii="??_GB2312" w:hAnsi="宋体" w:eastAsia="Times New Roman" w:cs="宋体"/>
                <w:color w:val="000000"/>
                <w:kern w:val="0"/>
                <w:sz w:val="24"/>
              </w:rPr>
            </w:pP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left"/>
              <w:rPr>
                <w:rFonts w:ascii="??_GB2312" w:hAnsi="宋体" w:eastAsia="Times New Roman" w:cs="宋体"/>
                <w:color w:val="000000"/>
                <w:kern w:val="0"/>
                <w:sz w:val="24"/>
              </w:rPr>
            </w:pP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left"/>
              <w:rPr>
                <w:rFonts w:ascii="??_GB2312" w:hAnsi="宋体" w:eastAsia="Times New Roman" w:cs="宋体"/>
                <w:color w:val="000000"/>
                <w:kern w:val="0"/>
                <w:sz w:val="24"/>
              </w:rPr>
            </w:pP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left"/>
              <w:rPr>
                <w:rFonts w:ascii="??_GB2312" w:hAnsi="宋体" w:eastAsia="Times New Roman" w:cs="宋体"/>
                <w:color w:val="000000"/>
                <w:kern w:val="0"/>
                <w:sz w:val="24"/>
              </w:rPr>
            </w:pPr>
          </w:p>
        </w:tc>
      </w:tr>
    </w:tbl>
    <w:p>
      <w:pPr>
        <w:spacing w:line="600" w:lineRule="exact"/>
        <w:ind w:firstLine="280" w:firstLineChars="100"/>
        <w:jc w:val="left"/>
        <w:rPr>
          <w:rFonts w:hint="eastAsia" w:ascii="方正仿宋_GBK" w:eastAsia="宋体" w:cs="方正仿宋_GBK"/>
          <w:color w:val="000000"/>
          <w:kern w:val="0"/>
          <w:sz w:val="24"/>
        </w:rPr>
      </w:pPr>
      <w:r>
        <w:rPr>
          <w:rFonts w:hint="eastAsia" w:ascii="方正仿宋_GBK" w:hAnsi="方正仿宋_GBK" w:eastAsia="宋体" w:cs="方正仿宋_GBK"/>
          <w:color w:val="000000"/>
          <w:kern w:val="0"/>
          <w:sz w:val="28"/>
          <w:szCs w:val="28"/>
        </w:rPr>
        <w:t>填报人：                                                               联系电话：</w:t>
      </w:r>
      <w:r>
        <w:rPr>
          <w:rFonts w:hint="eastAsia" w:ascii="方正仿宋_GBK" w:hAnsi="方正仿宋_GBK" w:eastAsia="宋体" w:cs="方正仿宋_GBK"/>
          <w:color w:val="000000"/>
          <w:kern w:val="0"/>
          <w:sz w:val="24"/>
        </w:rPr>
        <w:t xml:space="preserve">                                                                          </w:t>
      </w:r>
    </w:p>
    <w:p>
      <w:pPr>
        <w:spacing w:line="600" w:lineRule="exact"/>
        <w:ind w:firstLine="280" w:firstLineChars="100"/>
        <w:jc w:val="left"/>
        <w:rPr>
          <w:rFonts w:hint="eastAsia" w:ascii="方正仿宋_GBK" w:eastAsia="宋体" w:cs="方正仿宋_GBK"/>
          <w:color w:val="000000"/>
          <w:kern w:val="0"/>
          <w:sz w:val="28"/>
          <w:szCs w:val="28"/>
        </w:rPr>
      </w:pPr>
      <w:r>
        <w:rPr>
          <w:rFonts w:hint="eastAsia" w:ascii="方正仿宋_GBK" w:hAnsi="方正仿宋_GBK" w:eastAsia="宋体" w:cs="方正仿宋_GBK"/>
          <w:color w:val="000000"/>
          <w:kern w:val="0"/>
          <w:sz w:val="28"/>
          <w:szCs w:val="28"/>
        </w:rPr>
        <w:t>注：填报数据为累计数据</w:t>
      </w:r>
    </w:p>
    <w:p>
      <w:pPr>
        <w:spacing w:line="600" w:lineRule="exact"/>
        <w:jc w:val="left"/>
        <w:rPr>
          <w:rFonts w:hint="eastAsia" w:ascii="??_GB2312" w:hAnsi="宋体" w:eastAsia="Times New Roman" w:cs="宋体"/>
          <w:color w:val="000000"/>
          <w:kern w:val="0"/>
          <w:szCs w:val="32"/>
        </w:rPr>
      </w:pPr>
      <w:r>
        <w:rPr>
          <w:rFonts w:ascii="??_GB2312" w:hAnsi="宋体" w:eastAsia="Times New Roman" w:cs="宋体"/>
          <w:color w:val="000000"/>
          <w:kern w:val="0"/>
          <w:sz w:val="28"/>
          <w:szCs w:val="28"/>
        </w:rPr>
        <w:br w:type="page"/>
      </w:r>
      <w:r>
        <w:rPr>
          <w:rFonts w:hint="eastAsia" w:ascii="方正黑体_GBK" w:hAnsi="方正黑体_GBK" w:eastAsia="方正黑体_GBK" w:cs="方正黑体_GBK"/>
          <w:color w:val="000000"/>
          <w:szCs w:val="32"/>
        </w:rPr>
        <w:t>附件3</w:t>
      </w:r>
    </w:p>
    <w:p>
      <w:pPr>
        <w:snapToGrid w:val="0"/>
        <w:spacing w:line="640" w:lineRule="exact"/>
        <w:jc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非煤矿山重大隐患明细表</w:t>
      </w:r>
    </w:p>
    <w:p>
      <w:pPr>
        <w:spacing w:line="600" w:lineRule="exact"/>
        <w:ind w:firstLine="280" w:firstLineChars="100"/>
        <w:jc w:val="left"/>
        <w:rPr>
          <w:rFonts w:hint="eastAsia" w:ascii="方正仿宋_GBK" w:eastAsia="宋体" w:cs="方正仿宋_GBK"/>
          <w:color w:val="000000"/>
          <w:kern w:val="0"/>
          <w:sz w:val="28"/>
          <w:szCs w:val="28"/>
        </w:rPr>
      </w:pPr>
      <w:r>
        <w:rPr>
          <w:rFonts w:hint="eastAsia" w:ascii="方正仿宋_GBK" w:hAnsi="方正仿宋_GBK" w:eastAsia="宋体" w:cs="方正仿宋_GBK"/>
          <w:color w:val="000000"/>
          <w:kern w:val="0"/>
          <w:sz w:val="28"/>
          <w:szCs w:val="28"/>
        </w:rPr>
        <w:t>填报单位：                                                             截至日期：  年   月  日</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195"/>
        <w:gridCol w:w="1356"/>
        <w:gridCol w:w="2835"/>
        <w:gridCol w:w="1843"/>
        <w:gridCol w:w="2835"/>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9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方正黑体_GBK" w:hAnsi="方正黑体_GBK" w:eastAsia="方正黑体_GBK" w:cs="方正黑体_GBK"/>
                <w:color w:val="000000"/>
                <w:kern w:val="0"/>
                <w:sz w:val="28"/>
                <w:szCs w:val="28"/>
              </w:rPr>
            </w:pPr>
            <w:r>
              <w:rPr>
                <w:rFonts w:hint="eastAsia" w:ascii="方正黑体_GBK" w:hAnsi="方正黑体_GBK" w:eastAsia="方正黑体_GBK" w:cs="方正黑体_GBK"/>
                <w:color w:val="000000"/>
                <w:kern w:val="0"/>
                <w:sz w:val="28"/>
                <w:szCs w:val="28"/>
              </w:rPr>
              <w:t>序号</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方正黑体_GBK" w:hAnsi="方正黑体_GBK" w:eastAsia="方正黑体_GBK" w:cs="方正黑体_GBK"/>
                <w:color w:val="000000"/>
                <w:kern w:val="0"/>
                <w:sz w:val="28"/>
                <w:szCs w:val="28"/>
              </w:rPr>
            </w:pPr>
            <w:r>
              <w:rPr>
                <w:rFonts w:hint="eastAsia" w:ascii="方正黑体_GBK" w:hAnsi="方正黑体_GBK" w:eastAsia="方正黑体_GBK" w:cs="方正黑体_GBK"/>
                <w:color w:val="000000"/>
                <w:kern w:val="0"/>
                <w:sz w:val="28"/>
                <w:szCs w:val="28"/>
              </w:rPr>
              <w:t>地市</w:t>
            </w:r>
          </w:p>
        </w:tc>
        <w:tc>
          <w:tcPr>
            <w:tcW w:w="135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方正黑体_GBK" w:hAnsi="方正黑体_GBK" w:eastAsia="方正黑体_GBK" w:cs="方正黑体_GBK"/>
                <w:color w:val="000000"/>
                <w:kern w:val="0"/>
                <w:sz w:val="28"/>
                <w:szCs w:val="28"/>
              </w:rPr>
            </w:pPr>
            <w:r>
              <w:rPr>
                <w:rFonts w:hint="eastAsia" w:ascii="方正黑体_GBK" w:hAnsi="方正黑体_GBK" w:eastAsia="方正黑体_GBK" w:cs="方正黑体_GBK"/>
                <w:color w:val="000000"/>
                <w:kern w:val="0"/>
                <w:sz w:val="28"/>
                <w:szCs w:val="28"/>
              </w:rPr>
              <w:t>非煤矿</w:t>
            </w:r>
          </w:p>
          <w:p>
            <w:pPr>
              <w:snapToGrid w:val="0"/>
              <w:jc w:val="center"/>
              <w:rPr>
                <w:rFonts w:ascii="方正黑体_GBK" w:hAnsi="方正黑体_GBK" w:eastAsia="方正黑体_GBK" w:cs="方正黑体_GBK"/>
                <w:color w:val="000000"/>
                <w:kern w:val="0"/>
                <w:sz w:val="28"/>
                <w:szCs w:val="28"/>
              </w:rPr>
            </w:pPr>
            <w:r>
              <w:rPr>
                <w:rFonts w:hint="eastAsia" w:ascii="方正黑体_GBK" w:hAnsi="方正黑体_GBK" w:eastAsia="方正黑体_GBK" w:cs="方正黑体_GBK"/>
                <w:color w:val="000000"/>
                <w:kern w:val="0"/>
                <w:sz w:val="28"/>
                <w:szCs w:val="28"/>
              </w:rPr>
              <w:t>山名称</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方正黑体_GBK" w:hAnsi="方正黑体_GBK" w:eastAsia="方正黑体_GBK" w:cs="方正黑体_GBK"/>
                <w:color w:val="000000"/>
                <w:kern w:val="0"/>
                <w:sz w:val="28"/>
                <w:szCs w:val="28"/>
              </w:rPr>
            </w:pPr>
            <w:r>
              <w:rPr>
                <w:rFonts w:hint="eastAsia" w:ascii="方正黑体_GBK" w:hAnsi="方正黑体_GBK" w:eastAsia="方正黑体_GBK" w:cs="方正黑体_GBK"/>
                <w:color w:val="000000"/>
                <w:kern w:val="0"/>
                <w:sz w:val="28"/>
                <w:szCs w:val="28"/>
              </w:rPr>
              <w:t>重大隐患内容</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方正黑体_GBK" w:hAnsi="方正黑体_GBK" w:eastAsia="方正黑体_GBK" w:cs="方正黑体_GBK"/>
                <w:color w:val="000000"/>
                <w:kern w:val="0"/>
                <w:sz w:val="28"/>
                <w:szCs w:val="28"/>
              </w:rPr>
            </w:pPr>
            <w:r>
              <w:rPr>
                <w:rFonts w:hint="eastAsia" w:ascii="方正黑体_GBK" w:hAnsi="方正黑体_GBK" w:eastAsia="方正黑体_GBK" w:cs="方正黑体_GBK"/>
                <w:color w:val="000000"/>
                <w:kern w:val="0"/>
                <w:sz w:val="28"/>
                <w:szCs w:val="28"/>
              </w:rPr>
              <w:t>挂牌督</w:t>
            </w:r>
          </w:p>
          <w:p>
            <w:pPr>
              <w:snapToGrid w:val="0"/>
              <w:jc w:val="center"/>
              <w:rPr>
                <w:rFonts w:ascii="方正黑体_GBK" w:hAnsi="方正黑体_GBK" w:eastAsia="方正黑体_GBK" w:cs="方正黑体_GBK"/>
                <w:color w:val="000000"/>
                <w:kern w:val="0"/>
                <w:sz w:val="28"/>
                <w:szCs w:val="28"/>
              </w:rPr>
            </w:pPr>
            <w:r>
              <w:rPr>
                <w:rFonts w:hint="eastAsia" w:ascii="方正黑体_GBK" w:hAnsi="方正黑体_GBK" w:eastAsia="方正黑体_GBK" w:cs="方正黑体_GBK"/>
                <w:color w:val="000000"/>
                <w:kern w:val="0"/>
                <w:sz w:val="28"/>
                <w:szCs w:val="28"/>
              </w:rPr>
              <w:t>办单位</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方正黑体_GBK" w:hAnsi="方正黑体_GBK" w:eastAsia="方正黑体_GBK" w:cs="方正黑体_GBK"/>
                <w:color w:val="000000"/>
                <w:kern w:val="0"/>
                <w:sz w:val="28"/>
                <w:szCs w:val="28"/>
              </w:rPr>
            </w:pPr>
            <w:r>
              <w:rPr>
                <w:rFonts w:hint="eastAsia" w:ascii="方正黑体_GBK" w:hAnsi="方正黑体_GBK" w:eastAsia="方正黑体_GBK" w:cs="方正黑体_GBK"/>
                <w:color w:val="000000"/>
                <w:kern w:val="0"/>
                <w:sz w:val="28"/>
                <w:szCs w:val="28"/>
              </w:rPr>
              <w:t>整改情况        （已整改/正在整改）</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方正黑体_GBK" w:hAnsi="方正黑体_GBK" w:eastAsia="方正黑体_GBK" w:cs="方正黑体_GBK"/>
                <w:color w:val="000000"/>
                <w:kern w:val="0"/>
                <w:sz w:val="28"/>
                <w:szCs w:val="28"/>
              </w:rPr>
            </w:pPr>
            <w:r>
              <w:rPr>
                <w:rFonts w:hint="eastAsia" w:ascii="方正黑体_GBK" w:hAnsi="方正黑体_GBK" w:eastAsia="方正黑体_GBK" w:cs="方正黑体_GBK"/>
                <w:color w:val="000000"/>
                <w:kern w:val="0"/>
                <w:sz w:val="28"/>
                <w:szCs w:val="28"/>
              </w:rPr>
              <w:t>采取的主要防范措施</w:t>
            </w:r>
          </w:p>
          <w:p>
            <w:pPr>
              <w:snapToGrid w:val="0"/>
              <w:jc w:val="center"/>
              <w:rPr>
                <w:rFonts w:ascii="方正黑体_GBK" w:hAnsi="方正黑体_GBK" w:eastAsia="方正黑体_GBK" w:cs="方正黑体_GBK"/>
                <w:color w:val="000000"/>
                <w:kern w:val="0"/>
                <w:sz w:val="28"/>
                <w:szCs w:val="28"/>
              </w:rPr>
            </w:pPr>
            <w:r>
              <w:rPr>
                <w:rFonts w:hint="eastAsia" w:ascii="方正黑体_GBK" w:hAnsi="方正黑体_GBK" w:eastAsia="方正黑体_GBK" w:cs="方正黑体_GBK"/>
                <w:color w:val="000000"/>
                <w:kern w:val="0"/>
                <w:sz w:val="28"/>
                <w:szCs w:val="28"/>
              </w:rPr>
              <w:t>（正在整改的填写）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trPr>
        <w:tc>
          <w:tcPr>
            <w:tcW w:w="959"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left"/>
              <w:rPr>
                <w:rFonts w:ascii="宋体" w:eastAsia="宋体" w:cs="宋体"/>
                <w:color w:val="000000"/>
                <w:kern w:val="0"/>
                <w:sz w:val="22"/>
              </w:rPr>
            </w:pPr>
            <w:r>
              <w:rPr>
                <w:rFonts w:hint="eastAsia" w:ascii="宋体" w:hAnsi="宋体" w:eastAsia="宋体" w:cs="宋体"/>
                <w:color w:val="000000"/>
                <w:kern w:val="0"/>
                <w:sz w:val="22"/>
              </w:rPr>
              <w:t>　</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left"/>
              <w:rPr>
                <w:rFonts w:ascii="宋体" w:eastAsia="宋体" w:cs="宋体"/>
                <w:color w:val="000000"/>
                <w:kern w:val="0"/>
                <w:sz w:val="22"/>
              </w:rPr>
            </w:pPr>
            <w:r>
              <w:rPr>
                <w:rFonts w:hint="eastAsia" w:ascii="宋体" w:hAnsi="宋体" w:eastAsia="宋体" w:cs="宋体"/>
                <w:color w:val="000000"/>
                <w:kern w:val="0"/>
                <w:sz w:val="22"/>
              </w:rPr>
              <w:t>　</w:t>
            </w:r>
          </w:p>
        </w:tc>
        <w:tc>
          <w:tcPr>
            <w:tcW w:w="1356"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eastAsia="宋体" w:cs="宋体"/>
                <w:color w:val="000000"/>
                <w:kern w:val="0"/>
                <w:sz w:val="22"/>
              </w:rPr>
            </w:pPr>
            <w:r>
              <w:rPr>
                <w:rFonts w:hint="eastAsia" w:ascii="宋体" w:hAnsi="宋体" w:eastAsia="宋体" w:cs="宋体"/>
                <w:color w:val="000000"/>
                <w:kern w:val="0"/>
                <w:sz w:val="22"/>
              </w:rPr>
              <w:t>　</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eastAsia="宋体" w:cs="宋体"/>
                <w:color w:val="000000"/>
                <w:kern w:val="0"/>
                <w:sz w:val="22"/>
              </w:rPr>
            </w:pPr>
            <w:r>
              <w:rPr>
                <w:rFonts w:hint="eastAsia" w:ascii="宋体" w:hAnsi="宋体" w:eastAsia="宋体" w:cs="宋体"/>
                <w:color w:val="000000"/>
                <w:kern w:val="0"/>
                <w:sz w:val="22"/>
              </w:rPr>
              <w:t>　</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eastAsia="宋体" w:cs="宋体"/>
                <w:color w:val="000000"/>
                <w:kern w:val="0"/>
                <w:sz w:val="22"/>
              </w:rPr>
            </w:pPr>
            <w:r>
              <w:rPr>
                <w:rFonts w:hint="eastAsia" w:ascii="宋体" w:hAnsi="宋体" w:eastAsia="宋体" w:cs="宋体"/>
                <w:color w:val="000000"/>
                <w:kern w:val="0"/>
                <w:sz w:val="22"/>
              </w:rPr>
              <w:t>　</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eastAsia="宋体" w:cs="宋体"/>
                <w:color w:val="000000"/>
                <w:kern w:val="0"/>
                <w:sz w:val="22"/>
              </w:rPr>
            </w:pPr>
            <w:r>
              <w:rPr>
                <w:rFonts w:hint="eastAsia" w:ascii="宋体" w:hAnsi="宋体" w:eastAsia="宋体" w:cs="宋体"/>
                <w:color w:val="000000"/>
                <w:kern w:val="0"/>
                <w:sz w:val="22"/>
              </w:rPr>
              <w:t>　</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59"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left"/>
              <w:rPr>
                <w:rFonts w:ascii="宋体" w:eastAsia="宋体" w:cs="宋体"/>
                <w:color w:val="000000"/>
                <w:kern w:val="0"/>
                <w:sz w:val="22"/>
              </w:rPr>
            </w:pPr>
          </w:p>
        </w:tc>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left"/>
              <w:rPr>
                <w:rFonts w:ascii="宋体" w:eastAsia="宋体" w:cs="宋体"/>
                <w:color w:val="000000"/>
                <w:kern w:val="0"/>
                <w:sz w:val="22"/>
              </w:rPr>
            </w:pPr>
          </w:p>
        </w:tc>
        <w:tc>
          <w:tcPr>
            <w:tcW w:w="1356"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eastAsia="宋体" w:cs="宋体"/>
                <w:color w:val="000000"/>
                <w:kern w:val="0"/>
                <w:sz w:val="22"/>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eastAsia="宋体" w:cs="宋体"/>
                <w:color w:val="000000"/>
                <w:kern w:val="0"/>
                <w:sz w:val="22"/>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eastAsia="宋体" w:cs="宋体"/>
                <w:color w:val="000000"/>
                <w:kern w:val="0"/>
                <w:sz w:val="22"/>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eastAsia="宋体" w:cs="宋体"/>
                <w:color w:val="000000"/>
                <w:kern w:val="0"/>
                <w:sz w:val="22"/>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trPr>
        <w:tc>
          <w:tcPr>
            <w:tcW w:w="959"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left"/>
              <w:rPr>
                <w:rFonts w:ascii="宋体" w:eastAsia="宋体" w:cs="宋体"/>
                <w:color w:val="000000"/>
                <w:kern w:val="0"/>
                <w:sz w:val="22"/>
              </w:rPr>
            </w:pPr>
            <w:r>
              <w:rPr>
                <w:rFonts w:hint="eastAsia" w:ascii="宋体" w:hAnsi="宋体" w:eastAsia="宋体" w:cs="宋体"/>
                <w:color w:val="000000"/>
                <w:kern w:val="0"/>
                <w:sz w:val="22"/>
              </w:rPr>
              <w:t>　</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left"/>
              <w:rPr>
                <w:rFonts w:ascii="宋体" w:eastAsia="宋体" w:cs="宋体"/>
                <w:color w:val="000000"/>
                <w:kern w:val="0"/>
                <w:sz w:val="22"/>
              </w:rPr>
            </w:pPr>
            <w:r>
              <w:rPr>
                <w:rFonts w:hint="eastAsia" w:ascii="宋体" w:hAnsi="宋体" w:eastAsia="宋体" w:cs="宋体"/>
                <w:color w:val="000000"/>
                <w:kern w:val="0"/>
                <w:sz w:val="22"/>
              </w:rPr>
              <w:t>　</w:t>
            </w:r>
          </w:p>
        </w:tc>
        <w:tc>
          <w:tcPr>
            <w:tcW w:w="1356"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eastAsia="宋体" w:cs="宋体"/>
                <w:color w:val="000000"/>
                <w:kern w:val="0"/>
                <w:sz w:val="22"/>
              </w:rPr>
            </w:pPr>
            <w:r>
              <w:rPr>
                <w:rFonts w:hint="eastAsia" w:ascii="宋体" w:hAnsi="宋体" w:eastAsia="宋体" w:cs="宋体"/>
                <w:color w:val="000000"/>
                <w:kern w:val="0"/>
                <w:sz w:val="22"/>
              </w:rPr>
              <w:t>　</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eastAsia="宋体" w:cs="宋体"/>
                <w:color w:val="000000"/>
                <w:kern w:val="0"/>
                <w:sz w:val="22"/>
              </w:rPr>
            </w:pPr>
            <w:r>
              <w:rPr>
                <w:rFonts w:hint="eastAsia" w:ascii="宋体" w:hAnsi="宋体" w:eastAsia="宋体" w:cs="宋体"/>
                <w:color w:val="000000"/>
                <w:kern w:val="0"/>
                <w:sz w:val="22"/>
              </w:rPr>
              <w:t>　</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eastAsia="宋体" w:cs="宋体"/>
                <w:color w:val="000000"/>
                <w:kern w:val="0"/>
                <w:sz w:val="22"/>
              </w:rPr>
            </w:pPr>
            <w:r>
              <w:rPr>
                <w:rFonts w:hint="eastAsia" w:ascii="宋体" w:hAnsi="宋体" w:eastAsia="宋体" w:cs="宋体"/>
                <w:color w:val="000000"/>
                <w:kern w:val="0"/>
                <w:sz w:val="22"/>
              </w:rPr>
              <w:t>　</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eastAsia="宋体" w:cs="宋体"/>
                <w:color w:val="000000"/>
                <w:kern w:val="0"/>
                <w:sz w:val="22"/>
              </w:rPr>
            </w:pPr>
            <w:r>
              <w:rPr>
                <w:rFonts w:hint="eastAsia" w:ascii="宋体" w:hAnsi="宋体" w:eastAsia="宋体" w:cs="宋体"/>
                <w:color w:val="000000"/>
                <w:kern w:val="0"/>
                <w:sz w:val="22"/>
              </w:rPr>
              <w:t>　</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59"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left"/>
              <w:rPr>
                <w:rFonts w:ascii="宋体" w:eastAsia="宋体" w:cs="宋体"/>
                <w:color w:val="000000"/>
                <w:kern w:val="0"/>
                <w:sz w:val="22"/>
              </w:rPr>
            </w:pPr>
          </w:p>
        </w:tc>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left"/>
              <w:rPr>
                <w:rFonts w:ascii="宋体" w:eastAsia="宋体" w:cs="宋体"/>
                <w:color w:val="000000"/>
                <w:kern w:val="0"/>
                <w:sz w:val="22"/>
              </w:rPr>
            </w:pPr>
          </w:p>
        </w:tc>
        <w:tc>
          <w:tcPr>
            <w:tcW w:w="1356"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eastAsia="宋体" w:cs="宋体"/>
                <w:color w:val="000000"/>
                <w:kern w:val="0"/>
                <w:sz w:val="22"/>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eastAsia="宋体" w:cs="宋体"/>
                <w:color w:val="000000"/>
                <w:kern w:val="0"/>
                <w:sz w:val="22"/>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eastAsia="宋体" w:cs="宋体"/>
                <w:color w:val="000000"/>
                <w:kern w:val="0"/>
                <w:sz w:val="22"/>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eastAsia="宋体" w:cs="宋体"/>
                <w:color w:val="000000"/>
                <w:kern w:val="0"/>
                <w:sz w:val="22"/>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trPr>
        <w:tc>
          <w:tcPr>
            <w:tcW w:w="959"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left"/>
              <w:rPr>
                <w:rFonts w:ascii="宋体" w:eastAsia="宋体" w:cs="宋体"/>
                <w:color w:val="000000"/>
                <w:kern w:val="0"/>
                <w:sz w:val="22"/>
              </w:rPr>
            </w:pPr>
            <w:r>
              <w:rPr>
                <w:rFonts w:hint="eastAsia" w:ascii="宋体" w:hAnsi="宋体" w:eastAsia="宋体" w:cs="宋体"/>
                <w:color w:val="000000"/>
                <w:kern w:val="0"/>
                <w:sz w:val="22"/>
              </w:rPr>
              <w:t>　</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left"/>
              <w:rPr>
                <w:rFonts w:ascii="宋体" w:eastAsia="宋体" w:cs="宋体"/>
                <w:color w:val="000000"/>
                <w:kern w:val="0"/>
                <w:sz w:val="22"/>
              </w:rPr>
            </w:pPr>
            <w:r>
              <w:rPr>
                <w:rFonts w:hint="eastAsia" w:ascii="宋体" w:hAnsi="宋体" w:eastAsia="宋体" w:cs="宋体"/>
                <w:color w:val="000000"/>
                <w:kern w:val="0"/>
                <w:sz w:val="22"/>
              </w:rPr>
              <w:t>　</w:t>
            </w:r>
          </w:p>
        </w:tc>
        <w:tc>
          <w:tcPr>
            <w:tcW w:w="1356"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eastAsia="宋体" w:cs="宋体"/>
                <w:color w:val="000000"/>
                <w:kern w:val="0"/>
                <w:sz w:val="22"/>
              </w:rPr>
            </w:pPr>
            <w:r>
              <w:rPr>
                <w:rFonts w:hint="eastAsia" w:ascii="宋体" w:hAnsi="宋体" w:eastAsia="宋体" w:cs="宋体"/>
                <w:color w:val="000000"/>
                <w:kern w:val="0"/>
                <w:sz w:val="22"/>
              </w:rPr>
              <w:t>　</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eastAsia="宋体" w:cs="宋体"/>
                <w:color w:val="000000"/>
                <w:kern w:val="0"/>
                <w:sz w:val="22"/>
              </w:rPr>
            </w:pPr>
            <w:r>
              <w:rPr>
                <w:rFonts w:hint="eastAsia" w:ascii="宋体" w:hAnsi="宋体" w:eastAsia="宋体" w:cs="宋体"/>
                <w:color w:val="000000"/>
                <w:kern w:val="0"/>
                <w:sz w:val="22"/>
              </w:rPr>
              <w:t>　</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eastAsia="宋体" w:cs="宋体"/>
                <w:color w:val="000000"/>
                <w:kern w:val="0"/>
                <w:sz w:val="22"/>
              </w:rPr>
            </w:pPr>
            <w:r>
              <w:rPr>
                <w:rFonts w:hint="eastAsia" w:ascii="宋体" w:hAnsi="宋体" w:eastAsia="宋体" w:cs="宋体"/>
                <w:color w:val="000000"/>
                <w:kern w:val="0"/>
                <w:sz w:val="22"/>
              </w:rPr>
              <w:t>　</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eastAsia="宋体" w:cs="宋体"/>
                <w:color w:val="000000"/>
                <w:kern w:val="0"/>
                <w:sz w:val="22"/>
              </w:rPr>
            </w:pPr>
            <w:r>
              <w:rPr>
                <w:rFonts w:hint="eastAsia" w:ascii="宋体" w:hAnsi="宋体" w:eastAsia="宋体" w:cs="宋体"/>
                <w:color w:val="000000"/>
                <w:kern w:val="0"/>
                <w:sz w:val="22"/>
              </w:rPr>
              <w:t>　</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eastAsia="宋体" w:cs="宋体"/>
                <w:color w:val="000000"/>
                <w:kern w:val="0"/>
                <w:sz w:val="22"/>
              </w:rPr>
            </w:pPr>
            <w:r>
              <w:rPr>
                <w:rFonts w:hint="eastAsia" w:ascii="宋体" w:hAnsi="宋体" w:eastAsia="宋体" w:cs="宋体"/>
                <w:color w:val="000000"/>
                <w:kern w:val="0"/>
                <w:sz w:val="22"/>
              </w:rPr>
              <w:t>　</w:t>
            </w:r>
          </w:p>
        </w:tc>
      </w:tr>
    </w:tbl>
    <w:p>
      <w:pPr>
        <w:spacing w:line="600" w:lineRule="exact"/>
        <w:ind w:firstLine="280" w:firstLineChars="100"/>
        <w:jc w:val="left"/>
        <w:rPr>
          <w:rFonts w:hint="eastAsia" w:ascii="方正仿宋_GBK" w:eastAsia="宋体" w:cs="方正仿宋_GBK"/>
          <w:color w:val="000000"/>
          <w:kern w:val="0"/>
          <w:sz w:val="24"/>
        </w:rPr>
      </w:pPr>
      <w:r>
        <w:rPr>
          <w:rFonts w:hint="eastAsia" w:ascii="方正仿宋_GBK" w:hAnsi="方正仿宋_GBK" w:eastAsia="宋体" w:cs="方正仿宋_GBK"/>
          <w:color w:val="000000"/>
          <w:kern w:val="0"/>
          <w:sz w:val="28"/>
          <w:szCs w:val="28"/>
        </w:rPr>
        <w:t>填报人：                                                               联系电话：</w:t>
      </w:r>
      <w:r>
        <w:rPr>
          <w:rFonts w:hint="eastAsia" w:ascii="方正仿宋_GBK" w:hAnsi="方正仿宋_GBK" w:eastAsia="宋体" w:cs="方正仿宋_GBK"/>
          <w:color w:val="000000"/>
          <w:kern w:val="0"/>
          <w:sz w:val="24"/>
        </w:rPr>
        <w:t xml:space="preserve">                                                                          </w:t>
      </w:r>
    </w:p>
    <w:p>
      <w:pPr>
        <w:spacing w:line="600" w:lineRule="exact"/>
        <w:ind w:firstLine="280" w:firstLineChars="100"/>
        <w:jc w:val="left"/>
        <w:rPr>
          <w:rFonts w:hint="eastAsia" w:ascii="方正仿宋_GBK" w:eastAsia="宋体" w:cs="方正仿宋_GBK"/>
          <w:color w:val="000000"/>
          <w:kern w:val="0"/>
          <w:sz w:val="28"/>
          <w:szCs w:val="28"/>
        </w:rPr>
      </w:pPr>
      <w:r>
        <w:rPr>
          <w:rFonts w:hint="eastAsia" w:ascii="方正仿宋_GBK" w:hAnsi="方正仿宋_GBK" w:eastAsia="宋体" w:cs="方正仿宋_GBK"/>
          <w:color w:val="000000"/>
          <w:kern w:val="0"/>
          <w:sz w:val="28"/>
          <w:szCs w:val="28"/>
        </w:rPr>
        <w:t>注：1.</w:t>
      </w:r>
      <w:r>
        <w:rPr>
          <w:rFonts w:hint="eastAsia" w:ascii="方正仿宋_GBK" w:hAnsi="方正仿宋_GBK" w:eastAsia="宋体" w:cs="方正仿宋_GBK"/>
          <w:sz w:val="21"/>
        </w:rPr>
        <w:t xml:space="preserve"> </w:t>
      </w:r>
      <w:r>
        <w:rPr>
          <w:rFonts w:hint="eastAsia" w:ascii="方正仿宋_GBK" w:hAnsi="方正仿宋_GBK" w:eastAsia="宋体" w:cs="方正仿宋_GBK"/>
          <w:color w:val="000000"/>
          <w:kern w:val="0"/>
          <w:sz w:val="28"/>
          <w:szCs w:val="28"/>
        </w:rPr>
        <w:t>重大隐患应根据《金属非金属矿山重大生产安全事故隐患判定标准》（试行）进行判定。</w:t>
      </w:r>
    </w:p>
    <w:p>
      <w:pPr>
        <w:numPr>
          <w:ilvl w:val="0"/>
          <w:numId w:val="2"/>
          <w:numberingChange w:id="1" w:author="秦侨穗" w:date="2021-01-21T11:37:00Z" w:original="%1:2:0:."/>
        </w:numPr>
        <w:spacing w:line="600" w:lineRule="exact"/>
        <w:jc w:val="left"/>
        <w:rPr>
          <w:rFonts w:hint="eastAsia" w:ascii="方正仿宋_GBK" w:eastAsia="宋体" w:cs="方正仿宋_GBK"/>
          <w:color w:val="000000"/>
          <w:kern w:val="0"/>
          <w:sz w:val="28"/>
          <w:szCs w:val="28"/>
        </w:rPr>
      </w:pPr>
      <w:r>
        <w:rPr>
          <w:rFonts w:hint="eastAsia" w:ascii="方正仿宋_GBK" w:hAnsi="方正仿宋_GBK" w:eastAsia="宋体" w:cs="方正仿宋_GBK"/>
          <w:color w:val="000000"/>
          <w:kern w:val="0"/>
          <w:sz w:val="28"/>
          <w:szCs w:val="28"/>
        </w:rPr>
        <w:t>填报内容包括企业自查上报和监管部门检查发现的所有重大隐患。</w:t>
      </w:r>
    </w:p>
    <w:p>
      <w:pPr>
        <w:widowControl/>
        <w:jc w:val="left"/>
        <w:rPr>
          <w:rFonts w:ascii="方正仿宋_GBK" w:eastAsia="宋体" w:cs="方正仿宋_GBK"/>
          <w:color w:val="000000"/>
          <w:kern w:val="0"/>
          <w:sz w:val="28"/>
          <w:szCs w:val="28"/>
        </w:rPr>
        <w:sectPr>
          <w:pgSz w:w="16838" w:h="11906" w:orient="landscape"/>
          <w:pgMar w:top="1800" w:right="1440" w:bottom="1800" w:left="1440" w:header="851" w:footer="992" w:gutter="0"/>
          <w:cols w:space="720" w:num="1"/>
          <w:docGrid w:type="lines" w:linePitch="312" w:charSpace="0"/>
        </w:sectPr>
      </w:pPr>
    </w:p>
    <w:p>
      <w:pPr>
        <w:ind w:right="1264" w:rightChars="400"/>
        <w:rPr>
          <w:rFonts w:hint="eastAsia" w:ascii="方正仿宋_GBK" w:hAnsi="方正仿宋_GBK" w:cs="方正仿宋_GBK"/>
          <w:szCs w:val="32"/>
        </w:rPr>
      </w:pPr>
    </w:p>
    <w:p>
      <w:pPr>
        <w:ind w:right="1264" w:rightChars="400"/>
        <w:rPr>
          <w:rFonts w:hint="eastAsia" w:ascii="方正仿宋_GBK" w:hAnsi="方正仿宋_GBK" w:cs="方正仿宋_GBK"/>
          <w:szCs w:val="32"/>
        </w:rPr>
      </w:pPr>
    </w:p>
    <w:p>
      <w:pPr>
        <w:ind w:right="1264" w:rightChars="400"/>
        <w:rPr>
          <w:rFonts w:hint="eastAsia" w:ascii="方正仿宋_GBK" w:hAnsi="方正仿宋_GBK" w:cs="方正仿宋_GBK"/>
          <w:szCs w:val="32"/>
        </w:rPr>
      </w:pPr>
    </w:p>
    <w:p>
      <w:pPr>
        <w:ind w:right="1264" w:rightChars="400"/>
        <w:rPr>
          <w:rFonts w:hint="eastAsia" w:ascii="方正仿宋_GBK" w:hAnsi="方正仿宋_GBK" w:cs="方正仿宋_GBK"/>
          <w:szCs w:val="32"/>
        </w:rPr>
      </w:pPr>
    </w:p>
    <w:p>
      <w:pPr>
        <w:ind w:right="1264" w:rightChars="400"/>
        <w:rPr>
          <w:rFonts w:hint="eastAsia" w:ascii="方正仿宋_GBK" w:hAnsi="方正仿宋_GBK" w:cs="方正仿宋_GBK"/>
          <w:szCs w:val="32"/>
        </w:rPr>
      </w:pPr>
    </w:p>
    <w:p>
      <w:pPr>
        <w:ind w:right="1264" w:rightChars="400"/>
        <w:rPr>
          <w:rFonts w:hint="eastAsia" w:ascii="方正仿宋_GBK" w:hAnsi="方正仿宋_GBK" w:cs="方正仿宋_GBK"/>
          <w:szCs w:val="32"/>
        </w:rPr>
      </w:pPr>
    </w:p>
    <w:p>
      <w:pPr>
        <w:ind w:right="1264" w:rightChars="400"/>
        <w:rPr>
          <w:rFonts w:hint="eastAsia" w:ascii="方正仿宋_GBK" w:hAnsi="方正仿宋_GBK" w:cs="方正仿宋_GBK"/>
          <w:szCs w:val="32"/>
        </w:rPr>
      </w:pPr>
    </w:p>
    <w:p>
      <w:pPr>
        <w:ind w:right="1264" w:rightChars="400"/>
        <w:rPr>
          <w:rFonts w:hint="eastAsia" w:ascii="方正仿宋_GBK" w:hAnsi="方正仿宋_GBK" w:cs="方正仿宋_GBK"/>
          <w:szCs w:val="32"/>
        </w:rPr>
      </w:pPr>
    </w:p>
    <w:p>
      <w:pPr>
        <w:ind w:right="1264" w:rightChars="400"/>
        <w:rPr>
          <w:rFonts w:hint="eastAsia" w:ascii="方正仿宋_GBK" w:hAnsi="方正仿宋_GBK" w:cs="方正仿宋_GBK"/>
          <w:szCs w:val="32"/>
        </w:rPr>
      </w:pPr>
    </w:p>
    <w:p>
      <w:pPr>
        <w:ind w:right="1264" w:rightChars="400"/>
        <w:rPr>
          <w:rFonts w:hint="eastAsia" w:ascii="方正仿宋_GBK" w:hAnsi="方正仿宋_GBK" w:cs="方正仿宋_GBK"/>
          <w:szCs w:val="32"/>
        </w:rPr>
      </w:pPr>
    </w:p>
    <w:p>
      <w:pPr>
        <w:ind w:right="1264" w:rightChars="400"/>
        <w:rPr>
          <w:rFonts w:hint="eastAsia" w:ascii="方正仿宋_GBK" w:hAnsi="方正仿宋_GBK" w:cs="方正仿宋_GBK"/>
          <w:szCs w:val="32"/>
        </w:rPr>
      </w:pPr>
    </w:p>
    <w:p>
      <w:pPr>
        <w:ind w:right="1264" w:rightChars="400"/>
        <w:rPr>
          <w:rFonts w:hint="eastAsia" w:ascii="方正仿宋_GBK" w:hAnsi="方正仿宋_GBK" w:cs="方正仿宋_GBK"/>
          <w:szCs w:val="32"/>
        </w:rPr>
      </w:pPr>
    </w:p>
    <w:p>
      <w:pPr>
        <w:ind w:right="1264" w:rightChars="400"/>
        <w:rPr>
          <w:rFonts w:hint="eastAsia" w:ascii="方正仿宋_GBK" w:hAnsi="方正仿宋_GBK" w:cs="方正仿宋_GBK"/>
          <w:szCs w:val="32"/>
        </w:rPr>
      </w:pPr>
    </w:p>
    <w:p>
      <w:pPr>
        <w:ind w:right="1264" w:rightChars="400"/>
        <w:rPr>
          <w:rFonts w:hint="eastAsia" w:ascii="方正仿宋_GBK" w:hAnsi="方正仿宋_GBK" w:cs="方正仿宋_GBK"/>
          <w:szCs w:val="32"/>
        </w:rPr>
      </w:pPr>
    </w:p>
    <w:p>
      <w:pPr>
        <w:ind w:right="1264" w:rightChars="400"/>
        <w:rPr>
          <w:rFonts w:hint="eastAsia" w:ascii="方正仿宋_GBK" w:hAnsi="方正仿宋_GBK" w:cs="方正仿宋_GBK"/>
          <w:szCs w:val="32"/>
        </w:rPr>
      </w:pPr>
    </w:p>
    <w:p>
      <w:pPr>
        <w:ind w:right="1264" w:rightChars="400"/>
        <w:rPr>
          <w:rFonts w:hint="eastAsia" w:ascii="方正仿宋_GBK" w:hAnsi="方正仿宋_GBK" w:cs="方正仿宋_GBK"/>
          <w:szCs w:val="32"/>
        </w:rPr>
      </w:pPr>
    </w:p>
    <w:p>
      <w:pPr>
        <w:ind w:right="1264" w:rightChars="400"/>
        <w:rPr>
          <w:rFonts w:hint="eastAsia" w:ascii="方正仿宋_GBK" w:hAnsi="方正仿宋_GBK" w:cs="方正仿宋_GBK"/>
          <w:szCs w:val="32"/>
        </w:rPr>
      </w:pPr>
    </w:p>
    <w:p>
      <w:pPr>
        <w:ind w:right="1264" w:rightChars="400"/>
        <w:rPr>
          <w:rFonts w:hint="eastAsia" w:ascii="方正仿宋_GBK" w:hAnsi="方正仿宋_GBK" w:cs="方正仿宋_GBK"/>
          <w:szCs w:val="32"/>
        </w:rPr>
      </w:pPr>
    </w:p>
    <w:tbl>
      <w:tblPr>
        <w:tblStyle w:val="5"/>
        <w:tblW w:w="0" w:type="auto"/>
        <w:tblInd w:w="108" w:type="dxa"/>
        <w:shd w:val="clear" w:color="auto" w:fill="FFFFFF"/>
        <w:tblLayout w:type="autofit"/>
        <w:tblCellMar>
          <w:top w:w="0" w:type="dxa"/>
          <w:left w:w="0" w:type="dxa"/>
          <w:bottom w:w="0" w:type="dxa"/>
          <w:right w:w="0" w:type="dxa"/>
        </w:tblCellMar>
      </w:tblPr>
      <w:tblGrid>
        <w:gridCol w:w="8848"/>
      </w:tblGrid>
      <w:tr>
        <w:tblPrEx>
          <w:tblCellMar>
            <w:top w:w="0" w:type="dxa"/>
            <w:left w:w="0" w:type="dxa"/>
            <w:bottom w:w="0" w:type="dxa"/>
            <w:right w:w="0" w:type="dxa"/>
          </w:tblCellMar>
        </w:tblPrEx>
        <w:tc>
          <w:tcPr>
            <w:tcW w:w="8848" w:type="dxa"/>
            <w:tcBorders>
              <w:top w:val="single" w:color="auto" w:sz="8" w:space="0"/>
              <w:left w:val="nil"/>
              <w:bottom w:val="single" w:color="auto" w:sz="8" w:space="0"/>
              <w:right w:val="nil"/>
            </w:tcBorders>
            <w:shd w:val="clear" w:color="auto" w:fill="FFFFFF"/>
            <w:noWrap w:val="0"/>
            <w:tcMar>
              <w:top w:w="0" w:type="dxa"/>
              <w:left w:w="108" w:type="dxa"/>
              <w:bottom w:w="0" w:type="dxa"/>
              <w:right w:w="108" w:type="dxa"/>
            </w:tcMar>
            <w:vAlign w:val="top"/>
          </w:tcPr>
          <w:p>
            <w:pPr>
              <w:widowControl/>
              <w:spacing w:line="500" w:lineRule="atLeast"/>
              <w:ind w:left="1106" w:leftChars="88" w:hanging="828" w:hangingChars="300"/>
              <w:rPr>
                <w:rFonts w:eastAsia="宋体"/>
                <w:color w:val="000000"/>
                <w:kern w:val="0"/>
                <w:szCs w:val="32"/>
              </w:rPr>
            </w:pPr>
            <w:r>
              <w:rPr>
                <w:rFonts w:hint="eastAsia" w:ascii="方正仿宋_GBK"/>
                <w:color w:val="000000"/>
                <w:kern w:val="0"/>
                <w:sz w:val="28"/>
                <w:szCs w:val="28"/>
              </w:rPr>
              <w:t>抄送：区政府办公室，区发改委、公安局、规资局、生态环境局、水利局、林业局、市场监管局、气象局。</w:t>
            </w:r>
          </w:p>
        </w:tc>
      </w:tr>
      <w:tr>
        <w:tblPrEx>
          <w:shd w:val="clear" w:color="auto" w:fill="FFFFFF"/>
          <w:tblCellMar>
            <w:top w:w="0" w:type="dxa"/>
            <w:left w:w="0" w:type="dxa"/>
            <w:bottom w:w="0" w:type="dxa"/>
            <w:right w:w="0" w:type="dxa"/>
          </w:tblCellMar>
        </w:tblPrEx>
        <w:tc>
          <w:tcPr>
            <w:tcW w:w="8848" w:type="dxa"/>
            <w:tcBorders>
              <w:top w:val="nil"/>
              <w:left w:val="nil"/>
              <w:bottom w:val="single" w:color="auto" w:sz="8" w:space="0"/>
              <w:right w:val="nil"/>
            </w:tcBorders>
            <w:shd w:val="clear" w:color="auto" w:fill="FFFFFF"/>
            <w:noWrap w:val="0"/>
            <w:tcMar>
              <w:top w:w="0" w:type="dxa"/>
              <w:left w:w="108" w:type="dxa"/>
              <w:bottom w:w="0" w:type="dxa"/>
              <w:right w:w="108" w:type="dxa"/>
            </w:tcMar>
            <w:vAlign w:val="top"/>
          </w:tcPr>
          <w:p>
            <w:pPr>
              <w:widowControl/>
              <w:spacing w:line="500" w:lineRule="atLeast"/>
              <w:ind w:firstLine="276" w:firstLineChars="100"/>
              <w:rPr>
                <w:rFonts w:eastAsia="宋体"/>
                <w:color w:val="000000"/>
                <w:kern w:val="0"/>
                <w:szCs w:val="32"/>
              </w:rPr>
            </w:pPr>
            <w:r>
              <w:rPr>
                <w:rFonts w:hint="eastAsia" w:ascii="方正仿宋_GBK"/>
                <w:color w:val="000000"/>
                <w:kern w:val="0"/>
                <w:sz w:val="28"/>
                <w:szCs w:val="28"/>
              </w:rPr>
              <w:t>重庆市涪陵区应急管理局办公室</w:t>
            </w:r>
            <w:r>
              <w:rPr>
                <w:rFonts w:ascii="方正仿宋_GBK"/>
                <w:color w:val="000000"/>
                <w:kern w:val="0"/>
                <w:sz w:val="28"/>
                <w:szCs w:val="28"/>
              </w:rPr>
              <w:t>   </w:t>
            </w:r>
            <w:r>
              <w:rPr>
                <w:rFonts w:hint="eastAsia" w:ascii="方正仿宋_GBK"/>
                <w:color w:val="000000"/>
                <w:kern w:val="0"/>
                <w:sz w:val="28"/>
                <w:szCs w:val="28"/>
              </w:rPr>
              <w:t xml:space="preserve">          2021年1月21日印发</w:t>
            </w:r>
          </w:p>
        </w:tc>
      </w:tr>
    </w:tbl>
    <w:p>
      <w:pPr>
        <w:rPr>
          <w:rFonts w:hint="eastAsia"/>
        </w:rPr>
      </w:pPr>
    </w:p>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5" w:left="1588" w:header="851" w:footer="1701"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小标宋_GBK">
    <w:panose1 w:val="02000000000000000000"/>
    <w:charset w:val="86"/>
    <w:family w:val="script"/>
    <w:pitch w:val="default"/>
    <w:sig w:usb0="00000001" w:usb1="08000000" w:usb2="00000000" w:usb3="00000000" w:csb0="00040000" w:csb1="00000000"/>
  </w:font>
  <w:font w:name="新宋体">
    <w:altName w:val="方正书宋_GBK"/>
    <w:panose1 w:val="02010609030101010101"/>
    <w:charset w:val="86"/>
    <w:family w:val="modern"/>
    <w:pitch w:val="default"/>
    <w:sig w:usb0="00000000" w:usb1="00000000" w:usb2="00000006" w:usb3="00000000" w:csb0="00040001"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_GB2312">
    <w:altName w:val="汉仪叶叶相思体简"/>
    <w:panose1 w:val="00000000000000000000"/>
    <w:charset w:val="00"/>
    <w:family w:val="auto"/>
    <w:pitch w:val="default"/>
    <w:sig w:usb0="00000000" w:usb1="00000000" w:usb2="00000000" w:usb3="00000000" w:csb0="0000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汉仪叶叶相思体简">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hint="eastAsia"/>
        <w:sz w:val="28"/>
        <w:szCs w:val="28"/>
      </w:rPr>
    </w:pPr>
    <w:r>
      <w:rPr>
        <w:rStyle w:val="7"/>
        <w:rFonts w:hint="eastAsia"/>
        <w:sz w:val="28"/>
        <w:szCs w:val="28"/>
      </w:rPr>
      <w:t>—</w:t>
    </w:r>
    <w:r>
      <w:rPr>
        <w:rStyle w:val="7"/>
        <w:sz w:val="28"/>
        <w:szCs w:val="28"/>
      </w:rPr>
      <w:fldChar w:fldCharType="begin"/>
    </w:r>
    <w:r>
      <w:rPr>
        <w:rStyle w:val="7"/>
        <w:sz w:val="28"/>
        <w:szCs w:val="28"/>
      </w:rPr>
      <w:instrText xml:space="preserve">PAGE  </w:instrText>
    </w:r>
    <w:r>
      <w:rPr>
        <w:rStyle w:val="7"/>
        <w:sz w:val="28"/>
        <w:szCs w:val="28"/>
      </w:rPr>
      <w:fldChar w:fldCharType="separate"/>
    </w:r>
    <w:r>
      <w:rPr>
        <w:rStyle w:val="7"/>
        <w:sz w:val="28"/>
        <w:szCs w:val="28"/>
      </w:rPr>
      <w:t>1</w:t>
    </w:r>
    <w:r>
      <w:rPr>
        <w:rStyle w:val="7"/>
        <w:sz w:val="28"/>
        <w:szCs w:val="28"/>
      </w:rPr>
      <w:fldChar w:fldCharType="end"/>
    </w:r>
    <w:r>
      <w:rPr>
        <w:rStyle w:val="7"/>
        <w:rFonts w:hint="eastAsia"/>
        <w:sz w:val="28"/>
        <w:szCs w:val="28"/>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hint="eastAsia" w:ascii="方正仿宋_GBK"/>
        <w:sz w:val="28"/>
        <w:szCs w:val="28"/>
      </w:rPr>
    </w:pPr>
    <w:r>
      <w:rPr>
        <w:rStyle w:val="7"/>
        <w:rFonts w:hint="eastAsia" w:ascii="方正仿宋_GBK"/>
        <w:sz w:val="28"/>
        <w:szCs w:val="28"/>
      </w:rPr>
      <w:t>—</w:t>
    </w:r>
    <w:r>
      <w:rPr>
        <w:rStyle w:val="7"/>
        <w:rFonts w:hint="eastAsia" w:ascii="方正仿宋_GBK"/>
        <w:sz w:val="28"/>
        <w:szCs w:val="28"/>
      </w:rPr>
      <w:fldChar w:fldCharType="begin"/>
    </w:r>
    <w:r>
      <w:rPr>
        <w:rStyle w:val="7"/>
        <w:rFonts w:hint="eastAsia" w:ascii="方正仿宋_GBK"/>
        <w:sz w:val="28"/>
        <w:szCs w:val="28"/>
      </w:rPr>
      <w:instrText xml:space="preserve">PAGE  </w:instrText>
    </w:r>
    <w:r>
      <w:rPr>
        <w:rStyle w:val="7"/>
        <w:rFonts w:hint="eastAsia" w:ascii="方正仿宋_GBK"/>
        <w:sz w:val="28"/>
        <w:szCs w:val="28"/>
      </w:rPr>
      <w:fldChar w:fldCharType="separate"/>
    </w:r>
    <w:r>
      <w:rPr>
        <w:rStyle w:val="7"/>
        <w:rFonts w:ascii="方正仿宋_GBK"/>
        <w:sz w:val="28"/>
        <w:szCs w:val="28"/>
      </w:rPr>
      <w:t>10</w:t>
    </w:r>
    <w:r>
      <w:rPr>
        <w:rStyle w:val="7"/>
        <w:rFonts w:hint="eastAsia" w:ascii="方正仿宋_GBK"/>
        <w:sz w:val="28"/>
        <w:szCs w:val="28"/>
      </w:rPr>
      <w:fldChar w:fldCharType="end"/>
    </w:r>
    <w:r>
      <w:rPr>
        <w:rStyle w:val="7"/>
        <w:rFonts w:hint="eastAsia" w:ascii="方正仿宋_GBK"/>
        <w:sz w:val="28"/>
        <w:szCs w:val="28"/>
      </w:rPr>
      <w:t>—</w:t>
    </w:r>
  </w:p>
  <w:p>
    <w:pPr>
      <w:pStyle w:val="3"/>
      <w:ind w:right="360" w:firstLine="360"/>
      <w:rPr>
        <w:rFonts w:hint="eastAsia"/>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rPr>
        <w:rFonts w:hint="eastAsia"/>
      </w:rPr>
    </w:pPr>
    <w:r>
      <w:rPr>
        <w:rFonts w:hint="eastAsia"/>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311495"/>
    <w:multiLevelType w:val="singleLevel"/>
    <w:tmpl w:val="E4311495"/>
    <w:lvl w:ilvl="0" w:tentative="0">
      <w:start w:val="2"/>
      <w:numFmt w:val="decimal"/>
      <w:suff w:val="space"/>
      <w:lvlText w:val="%1."/>
      <w:lvlJc w:val="left"/>
      <w:pPr>
        <w:ind w:left="840" w:firstLine="0"/>
      </w:pPr>
      <w:rPr>
        <w:rFonts w:cs="Times New Roman"/>
      </w:rPr>
    </w:lvl>
  </w:abstractNum>
  <w:abstractNum w:abstractNumId="1">
    <w:nsid w:val="60054032"/>
    <w:multiLevelType w:val="singleLevel"/>
    <w:tmpl w:val="60054032"/>
    <w:lvl w:ilvl="0" w:tentative="0">
      <w:start w:val="4"/>
      <w:numFmt w:val="chineseCounting"/>
      <w:suff w:val="nothing"/>
      <w:lvlText w:val="%1、"/>
      <w:lvlJc w:val="left"/>
      <w:pPr>
        <w:ind w:left="0" w:firstLine="0"/>
      </w:pPr>
      <w:rPr>
        <w:rFonts w:cs="Times New Roman"/>
      </w:rPr>
    </w:lvl>
  </w:abstractNum>
  <w:num w:numId="1">
    <w:abstractNumId w:val="1"/>
    <w:lvlOverride w:ilvl="0">
      <w:startOverride w:val="4"/>
    </w:lvlOverride>
  </w:num>
  <w:num w:numId="2">
    <w:abstractNumId w:val="0"/>
    <w:lvlOverride w:ilvl="0">
      <w:startOverride w:val="2"/>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秦侨穗">
    <w15:presenceInfo w15:providerId="None" w15:userId="秦侨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58"/>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C95EFCE-E155-43B4-BFD2-99CF70CE7FD2}" w:val="2Ff6MX5pOwPJZctRGThjxB/I=Ez3s0Sm8unNyavk1AKiCrUdoYH7bLVD4QeqWlg9+"/>
    <w:docVar w:name="commondata" w:val="eyJoZGlkIjoiNTEzN2U0MmQ3NDcxOGFjM2NiOGFhNTQzZDU4NzliMTcifQ=="/>
    <w:docVar w:name="DocumentID" w:val="{249720FE-32A0-4E81-945E-688B08CFD578}"/>
  </w:docVars>
  <w:rsids>
    <w:rsidRoot w:val="006D28BC"/>
    <w:rsid w:val="00031A59"/>
    <w:rsid w:val="000445E1"/>
    <w:rsid w:val="00083D69"/>
    <w:rsid w:val="00087C2B"/>
    <w:rsid w:val="000A0637"/>
    <w:rsid w:val="000A2982"/>
    <w:rsid w:val="000B3D36"/>
    <w:rsid w:val="000C30D2"/>
    <w:rsid w:val="00110315"/>
    <w:rsid w:val="00133B1F"/>
    <w:rsid w:val="001545B8"/>
    <w:rsid w:val="00196DF7"/>
    <w:rsid w:val="001979BE"/>
    <w:rsid w:val="001A549B"/>
    <w:rsid w:val="001B4C6B"/>
    <w:rsid w:val="001B668B"/>
    <w:rsid w:val="001D6014"/>
    <w:rsid w:val="001F4611"/>
    <w:rsid w:val="00206128"/>
    <w:rsid w:val="00254AD3"/>
    <w:rsid w:val="00274D84"/>
    <w:rsid w:val="00275428"/>
    <w:rsid w:val="002A1F47"/>
    <w:rsid w:val="002A55C2"/>
    <w:rsid w:val="002A7983"/>
    <w:rsid w:val="002C35BA"/>
    <w:rsid w:val="002C3C7B"/>
    <w:rsid w:val="002C7D29"/>
    <w:rsid w:val="00300F12"/>
    <w:rsid w:val="00330135"/>
    <w:rsid w:val="003505DA"/>
    <w:rsid w:val="00363B06"/>
    <w:rsid w:val="00364E48"/>
    <w:rsid w:val="00390889"/>
    <w:rsid w:val="003B7D7D"/>
    <w:rsid w:val="003C1666"/>
    <w:rsid w:val="003E0DC6"/>
    <w:rsid w:val="003E16D4"/>
    <w:rsid w:val="003E4655"/>
    <w:rsid w:val="00410C7E"/>
    <w:rsid w:val="004264B3"/>
    <w:rsid w:val="0044680E"/>
    <w:rsid w:val="00456151"/>
    <w:rsid w:val="00471806"/>
    <w:rsid w:val="004A7EB6"/>
    <w:rsid w:val="004B2FE9"/>
    <w:rsid w:val="004E49A7"/>
    <w:rsid w:val="004E5785"/>
    <w:rsid w:val="00521DE6"/>
    <w:rsid w:val="005236DD"/>
    <w:rsid w:val="00527775"/>
    <w:rsid w:val="00530F38"/>
    <w:rsid w:val="005314A8"/>
    <w:rsid w:val="00555EDE"/>
    <w:rsid w:val="00573A10"/>
    <w:rsid w:val="00592D4A"/>
    <w:rsid w:val="005A26E6"/>
    <w:rsid w:val="005A3F09"/>
    <w:rsid w:val="005A3F92"/>
    <w:rsid w:val="005A5E7C"/>
    <w:rsid w:val="005B6220"/>
    <w:rsid w:val="005C3AAC"/>
    <w:rsid w:val="005F2637"/>
    <w:rsid w:val="00612072"/>
    <w:rsid w:val="00625585"/>
    <w:rsid w:val="00634086"/>
    <w:rsid w:val="00644058"/>
    <w:rsid w:val="00663108"/>
    <w:rsid w:val="00684711"/>
    <w:rsid w:val="006C491C"/>
    <w:rsid w:val="006D28BC"/>
    <w:rsid w:val="006F5F89"/>
    <w:rsid w:val="00703AD8"/>
    <w:rsid w:val="00713DBB"/>
    <w:rsid w:val="00743623"/>
    <w:rsid w:val="007501BB"/>
    <w:rsid w:val="007567A7"/>
    <w:rsid w:val="00785F60"/>
    <w:rsid w:val="00786AFB"/>
    <w:rsid w:val="00790E58"/>
    <w:rsid w:val="0079169D"/>
    <w:rsid w:val="00794114"/>
    <w:rsid w:val="007A65B7"/>
    <w:rsid w:val="007B205C"/>
    <w:rsid w:val="008122AB"/>
    <w:rsid w:val="00820503"/>
    <w:rsid w:val="00835FCC"/>
    <w:rsid w:val="00846105"/>
    <w:rsid w:val="00865988"/>
    <w:rsid w:val="008661AB"/>
    <w:rsid w:val="008823F2"/>
    <w:rsid w:val="00884938"/>
    <w:rsid w:val="008B46F5"/>
    <w:rsid w:val="008C7544"/>
    <w:rsid w:val="008D132E"/>
    <w:rsid w:val="008E0C6F"/>
    <w:rsid w:val="008E1E15"/>
    <w:rsid w:val="00925C7C"/>
    <w:rsid w:val="00931718"/>
    <w:rsid w:val="00993850"/>
    <w:rsid w:val="009C08BB"/>
    <w:rsid w:val="009F34F8"/>
    <w:rsid w:val="009F3C19"/>
    <w:rsid w:val="00A02D4B"/>
    <w:rsid w:val="00A12E1D"/>
    <w:rsid w:val="00A20AB2"/>
    <w:rsid w:val="00A5647B"/>
    <w:rsid w:val="00A6441F"/>
    <w:rsid w:val="00AA11BD"/>
    <w:rsid w:val="00AE49C5"/>
    <w:rsid w:val="00AF43D0"/>
    <w:rsid w:val="00B223C1"/>
    <w:rsid w:val="00B25C5E"/>
    <w:rsid w:val="00B36704"/>
    <w:rsid w:val="00B448EF"/>
    <w:rsid w:val="00B71805"/>
    <w:rsid w:val="00BD4BDF"/>
    <w:rsid w:val="00BE3707"/>
    <w:rsid w:val="00C12592"/>
    <w:rsid w:val="00C216C5"/>
    <w:rsid w:val="00C31342"/>
    <w:rsid w:val="00C47757"/>
    <w:rsid w:val="00C6160B"/>
    <w:rsid w:val="00C72A21"/>
    <w:rsid w:val="00CA59A3"/>
    <w:rsid w:val="00CC43CA"/>
    <w:rsid w:val="00CD0F68"/>
    <w:rsid w:val="00CD35CF"/>
    <w:rsid w:val="00CD45B9"/>
    <w:rsid w:val="00CD526C"/>
    <w:rsid w:val="00CE00E9"/>
    <w:rsid w:val="00D13CF8"/>
    <w:rsid w:val="00D3656C"/>
    <w:rsid w:val="00D56792"/>
    <w:rsid w:val="00D877C2"/>
    <w:rsid w:val="00D90E55"/>
    <w:rsid w:val="00DE193F"/>
    <w:rsid w:val="00DE451A"/>
    <w:rsid w:val="00DF6449"/>
    <w:rsid w:val="00E143AA"/>
    <w:rsid w:val="00E1442B"/>
    <w:rsid w:val="00E33592"/>
    <w:rsid w:val="00E35B2A"/>
    <w:rsid w:val="00E52310"/>
    <w:rsid w:val="00E52681"/>
    <w:rsid w:val="00E564B0"/>
    <w:rsid w:val="00E66003"/>
    <w:rsid w:val="00E83FD8"/>
    <w:rsid w:val="00EC35C8"/>
    <w:rsid w:val="00ED3086"/>
    <w:rsid w:val="00EE03A1"/>
    <w:rsid w:val="00EF42D1"/>
    <w:rsid w:val="00EF4910"/>
    <w:rsid w:val="00F1162A"/>
    <w:rsid w:val="00F271FA"/>
    <w:rsid w:val="00F315E8"/>
    <w:rsid w:val="00F40F74"/>
    <w:rsid w:val="00F41029"/>
    <w:rsid w:val="00F46580"/>
    <w:rsid w:val="00F56200"/>
    <w:rsid w:val="00F75640"/>
    <w:rsid w:val="00F843F7"/>
    <w:rsid w:val="00F85C90"/>
    <w:rsid w:val="00FC1A83"/>
    <w:rsid w:val="00FC4502"/>
    <w:rsid w:val="00FD6B82"/>
    <w:rsid w:val="00FF7F0D"/>
    <w:rsid w:val="3F5A0E6A"/>
    <w:rsid w:val="57FF391E"/>
    <w:rsid w:val="F76B669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8">
    <w:name w:val=" Char4 Char Char Char"/>
    <w:basedOn w:val="1"/>
    <w:qFormat/>
    <w:uiPriority w:val="0"/>
    <w:pPr>
      <w:adjustRightInd w:val="0"/>
      <w:snapToGrid w:val="0"/>
      <w:spacing w:line="360" w:lineRule="auto"/>
      <w:ind w:firstLine="200" w:firstLineChars="200"/>
    </w:pPr>
    <w:rPr>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wmf"/><Relationship Id="rId12" Type="http://schemas.openxmlformats.org/officeDocument/2006/relationships/control" Target="activeX/activeX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CDCDCDCD-CDCD-CDCD-CDCD-CDCDCDCDCDCD}" r:id="rId1" ax:persistence="persistStorag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2953</Words>
  <Characters>3049</Characters>
  <Lines>28</Lines>
  <Paragraphs>8</Paragraphs>
  <TotalTime>2</TotalTime>
  <ScaleCrop>false</ScaleCrop>
  <LinksUpToDate>false</LinksUpToDate>
  <CharactersWithSpaces>3664</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2022-11-02T09:07:00Z</dcterms:created>
  <dc:creator>系统管理员</dc:creator>
  <cp:lastModifiedBy>夏银吟</cp:lastModifiedBy>
  <cp:lastPrinted>2021-01-21T11:37:00Z</cp:lastPrinted>
  <dcterms:modified xsi:type="dcterms:W3CDTF">2023-12-01T10:42:58Z</dcterms:modified>
  <dc:title>重庆市涪陵区南沱镇人民政府文件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1935E314162746DBB330B977A0EE9433</vt:lpwstr>
  </property>
</Properties>
</file>