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A01A7">
      <w:pPr>
        <w:spacing w:line="254" w:lineRule="auto"/>
        <w:rPr>
          <w:rFonts w:ascii="Arial"/>
          <w:sz w:val="21"/>
        </w:rPr>
      </w:pPr>
    </w:p>
    <w:p w14:paraId="246D3176">
      <w:pPr>
        <w:spacing w:line="254" w:lineRule="auto"/>
        <w:rPr>
          <w:rFonts w:ascii="Arial"/>
          <w:sz w:val="21"/>
        </w:rPr>
      </w:pPr>
    </w:p>
    <w:p w14:paraId="66863FD1">
      <w:pPr>
        <w:spacing w:line="254" w:lineRule="auto"/>
        <w:rPr>
          <w:rFonts w:ascii="Arial"/>
          <w:sz w:val="21"/>
        </w:rPr>
      </w:pPr>
    </w:p>
    <w:p w14:paraId="0617437C">
      <w:pPr>
        <w:spacing w:line="254" w:lineRule="auto"/>
        <w:rPr>
          <w:rFonts w:ascii="Arial"/>
          <w:sz w:val="21"/>
        </w:rPr>
      </w:pPr>
    </w:p>
    <w:p w14:paraId="779A7CB4">
      <w:pPr>
        <w:spacing w:line="255" w:lineRule="auto"/>
        <w:rPr>
          <w:rFonts w:ascii="Arial"/>
          <w:sz w:val="21"/>
        </w:rPr>
      </w:pPr>
    </w:p>
    <w:p w14:paraId="5A419C39">
      <w:pPr>
        <w:spacing w:line="255" w:lineRule="auto"/>
        <w:rPr>
          <w:rFonts w:ascii="Arial"/>
          <w:sz w:val="21"/>
        </w:rPr>
      </w:pPr>
    </w:p>
    <w:p w14:paraId="664198F6">
      <w:pPr>
        <w:widowControl/>
        <w:kinsoku w:val="0"/>
        <w:autoSpaceDE w:val="0"/>
        <w:autoSpaceDN w:val="0"/>
        <w:adjustRightInd w:val="0"/>
        <w:snapToGrid w:val="0"/>
        <w:spacing w:before="422" w:line="219" w:lineRule="auto"/>
        <w:jc w:val="center"/>
        <w:textAlignment w:val="baseline"/>
        <w:outlineLvl w:val="0"/>
        <w:rPr>
          <w:rFonts w:hint="eastAsia" w:ascii="方正小标宋_GBK" w:hAnsi="黑体" w:eastAsia="方正小标宋_GBK" w:cs="黑体"/>
          <w:snapToGrid w:val="0"/>
          <w:color w:val="FF0000"/>
          <w:spacing w:val="-74"/>
          <w:w w:val="55"/>
          <w:kern w:val="0"/>
          <w:sz w:val="130"/>
          <w:szCs w:val="130"/>
          <w:lang w:val="en-US" w:eastAsia="zh-CN" w:bidi="ar-SA"/>
        </w:rPr>
      </w:pPr>
      <w:r>
        <w:rPr>
          <w:rFonts w:hint="eastAsia" w:ascii="方正小标宋_GBK" w:hAnsi="黑体" w:eastAsia="方正小标宋_GBK" w:cs="黑体"/>
          <w:snapToGrid w:val="0"/>
          <w:color w:val="FF0000"/>
          <w:spacing w:val="-74"/>
          <w:w w:val="55"/>
          <w:kern w:val="0"/>
          <w:sz w:val="130"/>
          <w:szCs w:val="130"/>
          <w:lang w:val="en-US" w:eastAsia="zh-CN" w:bidi="ar-SA"/>
        </w:rPr>
        <w:t>重庆市涪陵区应急管理局文件</w:t>
      </w:r>
    </w:p>
    <w:p w14:paraId="7F1F1B64">
      <w:pPr>
        <w:spacing w:line="326" w:lineRule="auto"/>
        <w:rPr>
          <w:rFonts w:ascii="Arial"/>
          <w:sz w:val="21"/>
        </w:rPr>
      </w:pPr>
    </w:p>
    <w:p w14:paraId="37551369">
      <w:pPr>
        <w:spacing w:line="326" w:lineRule="auto"/>
        <w:rPr>
          <w:rFonts w:ascii="Arial"/>
          <w:sz w:val="21"/>
        </w:rPr>
      </w:pPr>
    </w:p>
    <w:p w14:paraId="30D9999D">
      <w:pPr>
        <w:spacing w:before="133" w:line="207" w:lineRule="auto"/>
        <w:ind w:left="285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0"/>
          <w:sz w:val="32"/>
          <w:szCs w:val="32"/>
        </w:rPr>
        <w:t>涪</w:t>
      </w:r>
      <w:r>
        <w:rPr>
          <w:rFonts w:hint="eastAsia" w:ascii="方正仿宋_GBK" w:hAnsi="方正仿宋_GBK" w:eastAsia="方正仿宋_GBK" w:cs="方正仿宋_GBK"/>
          <w:spacing w:val="-10"/>
          <w:sz w:val="32"/>
          <w:szCs w:val="32"/>
        </w:rPr>
        <w:t>应急发〔2022〕26 号</w:t>
      </w:r>
    </w:p>
    <w:p w14:paraId="72B212B5">
      <w:pPr>
        <w:spacing w:line="243" w:lineRule="auto"/>
        <w:rPr>
          <w:rFonts w:ascii="Arial"/>
          <w:sz w:val="21"/>
        </w:rPr>
      </w:pPr>
    </w:p>
    <w:p w14:paraId="3F3AE7EF">
      <w:pPr>
        <w:spacing w:line="45" w:lineRule="exact"/>
        <w:textAlignment w:val="center"/>
      </w:pPr>
      <w:r>
        <w:drawing>
          <wp:inline distT="0" distB="0" distL="0" distR="0">
            <wp:extent cx="5615305" cy="2794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5615847" cy="28573"/>
                    </a:xfrm>
                    <a:prstGeom prst="rect">
                      <a:avLst/>
                    </a:prstGeom>
                  </pic:spPr>
                </pic:pic>
              </a:graphicData>
            </a:graphic>
          </wp:inline>
        </w:drawing>
      </w:r>
    </w:p>
    <w:p w14:paraId="3CE8A11B">
      <w:pPr>
        <w:spacing w:line="281" w:lineRule="auto"/>
        <w:rPr>
          <w:rFonts w:ascii="Arial"/>
          <w:sz w:val="21"/>
        </w:rPr>
      </w:pPr>
    </w:p>
    <w:p w14:paraId="442DCBE1">
      <w:pPr>
        <w:spacing w:line="281" w:lineRule="auto"/>
        <w:rPr>
          <w:rFonts w:ascii="Arial"/>
          <w:sz w:val="21"/>
        </w:rPr>
      </w:pPr>
    </w:p>
    <w:p w14:paraId="576FE787">
      <w:pPr>
        <w:spacing w:line="282" w:lineRule="auto"/>
        <w:rPr>
          <w:rFonts w:ascii="Arial"/>
          <w:sz w:val="21"/>
        </w:rPr>
      </w:pPr>
    </w:p>
    <w:p w14:paraId="1ACE29C1">
      <w:pPr>
        <w:widowControl/>
        <w:shd w:val="clear" w:color="auto" w:fill="FFFFFF"/>
        <w:kinsoku/>
        <w:autoSpaceDE/>
        <w:autoSpaceDN/>
        <w:adjustRightInd/>
        <w:snapToGrid/>
        <w:spacing w:line="640" w:lineRule="exact"/>
        <w:jc w:val="center"/>
        <w:textAlignment w:val="auto"/>
        <w:outlineLvl w:val="0"/>
        <w:rPr>
          <w:rFonts w:ascii="方正小标宋_GBK" w:hAnsi="Calibri" w:eastAsia="方正小标宋_GBK" w:cs="Calibri"/>
          <w:snapToGrid/>
          <w:color w:val="000000"/>
          <w:kern w:val="36"/>
          <w:sz w:val="44"/>
          <w:szCs w:val="44"/>
          <w:lang w:val="en-US" w:eastAsia="zh-CN" w:bidi="ar-SA"/>
        </w:rPr>
      </w:pPr>
      <w:r>
        <w:rPr>
          <w:rFonts w:ascii="方正小标宋_GBK" w:hAnsi="Calibri" w:eastAsia="方正小标宋_GBK" w:cs="Calibri"/>
          <w:snapToGrid/>
          <w:color w:val="000000"/>
          <w:kern w:val="36"/>
          <w:sz w:val="44"/>
          <w:szCs w:val="44"/>
          <w:lang w:val="en-US" w:eastAsia="zh-CN" w:bidi="ar-SA"/>
        </w:rPr>
        <w:t>重庆市涪陵区应急管理局</w:t>
      </w:r>
    </w:p>
    <w:p w14:paraId="30FF23E2">
      <w:pPr>
        <w:widowControl/>
        <w:shd w:val="clear" w:color="auto" w:fill="FFFFFF"/>
        <w:kinsoku/>
        <w:autoSpaceDE/>
        <w:autoSpaceDN/>
        <w:adjustRightInd/>
        <w:snapToGrid/>
        <w:spacing w:line="640" w:lineRule="exact"/>
        <w:jc w:val="center"/>
        <w:textAlignment w:val="auto"/>
        <w:outlineLvl w:val="0"/>
        <w:rPr>
          <w:rFonts w:ascii="方正小标宋_GBK" w:hAnsi="Calibri" w:eastAsia="方正小标宋_GBK" w:cs="Calibri"/>
          <w:snapToGrid/>
          <w:color w:val="000000"/>
          <w:kern w:val="36"/>
          <w:sz w:val="44"/>
          <w:szCs w:val="44"/>
          <w:lang w:val="en-US" w:eastAsia="zh-CN" w:bidi="ar-SA"/>
        </w:rPr>
      </w:pPr>
      <w:r>
        <w:rPr>
          <w:rFonts w:ascii="方正小标宋_GBK" w:hAnsi="Calibri" w:eastAsia="方正小标宋_GBK" w:cs="Calibri"/>
          <w:snapToGrid/>
          <w:color w:val="000000"/>
          <w:kern w:val="36"/>
          <w:sz w:val="44"/>
          <w:szCs w:val="44"/>
          <w:lang w:val="en-US" w:eastAsia="zh-CN" w:bidi="ar-SA"/>
        </w:rPr>
        <w:t>关于印发《重庆市涪陵区应急管理局</w:t>
      </w:r>
    </w:p>
    <w:p w14:paraId="6DA4F30D">
      <w:pPr>
        <w:widowControl/>
        <w:shd w:val="clear" w:color="auto" w:fill="FFFFFF"/>
        <w:kinsoku/>
        <w:autoSpaceDE/>
        <w:autoSpaceDN/>
        <w:adjustRightInd/>
        <w:snapToGrid/>
        <w:spacing w:line="640" w:lineRule="exact"/>
        <w:jc w:val="center"/>
        <w:textAlignment w:val="auto"/>
        <w:outlineLvl w:val="0"/>
        <w:rPr>
          <w:rFonts w:ascii="方正小标宋_GBK" w:hAnsi="Calibri" w:eastAsia="方正小标宋_GBK" w:cs="Calibri"/>
          <w:snapToGrid/>
          <w:color w:val="000000"/>
          <w:kern w:val="36"/>
          <w:sz w:val="44"/>
          <w:szCs w:val="44"/>
          <w:lang w:val="en-US" w:eastAsia="zh-CN" w:bidi="ar-SA"/>
        </w:rPr>
      </w:pPr>
      <w:r>
        <w:rPr>
          <w:rFonts w:ascii="方正小标宋_GBK" w:hAnsi="Calibri" w:eastAsia="方正小标宋_GBK" w:cs="Calibri"/>
          <w:snapToGrid/>
          <w:color w:val="000000"/>
          <w:kern w:val="36"/>
          <w:sz w:val="44"/>
          <w:szCs w:val="44"/>
          <w:lang w:val="en-US" w:eastAsia="zh-CN" w:bidi="ar-SA"/>
        </w:rPr>
        <w:t>安全生产违法案件审理委员会</w:t>
      </w:r>
    </w:p>
    <w:p w14:paraId="69C5CA94">
      <w:pPr>
        <w:widowControl/>
        <w:shd w:val="clear" w:color="auto" w:fill="FFFFFF"/>
        <w:kinsoku/>
        <w:autoSpaceDE/>
        <w:autoSpaceDN/>
        <w:adjustRightInd/>
        <w:snapToGrid/>
        <w:spacing w:line="640" w:lineRule="exact"/>
        <w:jc w:val="center"/>
        <w:textAlignment w:val="auto"/>
        <w:outlineLvl w:val="0"/>
        <w:rPr>
          <w:rFonts w:ascii="方正小标宋_GBK" w:hAnsi="Calibri" w:eastAsia="方正小标宋_GBK" w:cs="Calibri"/>
          <w:snapToGrid/>
          <w:color w:val="000000"/>
          <w:kern w:val="36"/>
          <w:sz w:val="44"/>
          <w:szCs w:val="44"/>
          <w:lang w:val="en-US" w:eastAsia="zh-CN" w:bidi="ar-SA"/>
        </w:rPr>
      </w:pPr>
      <w:r>
        <w:rPr>
          <w:rFonts w:ascii="方正小标宋_GBK" w:hAnsi="Calibri" w:eastAsia="方正小标宋_GBK" w:cs="Calibri"/>
          <w:snapToGrid/>
          <w:color w:val="000000"/>
          <w:kern w:val="36"/>
          <w:sz w:val="44"/>
          <w:szCs w:val="44"/>
          <w:lang w:val="en-US" w:eastAsia="zh-CN" w:bidi="ar-SA"/>
        </w:rPr>
        <w:t>工作规则》的通知</w:t>
      </w:r>
    </w:p>
    <w:p w14:paraId="0C32E56F">
      <w:pPr>
        <w:spacing w:line="349" w:lineRule="auto"/>
        <w:rPr>
          <w:rFonts w:ascii="Arial"/>
          <w:sz w:val="21"/>
        </w:rPr>
      </w:pPr>
    </w:p>
    <w:p w14:paraId="16076ED6">
      <w:pPr>
        <w:keepNext w:val="0"/>
        <w:keepLines w:val="0"/>
        <w:pageBreakBefore w:val="0"/>
        <w:widowControl/>
        <w:kinsoku w:val="0"/>
        <w:wordWrap/>
        <w:overflowPunct/>
        <w:topLinePunct w:val="0"/>
        <w:autoSpaceDE w:val="0"/>
        <w:autoSpaceDN w:val="0"/>
        <w:bidi w:val="0"/>
        <w:adjustRightInd w:val="0"/>
        <w:snapToGrid w:val="0"/>
        <w:spacing w:before="133" w:line="580" w:lineRule="exact"/>
        <w:jc w:val="both"/>
        <w:textAlignment w:val="baseline"/>
        <w:outlineLvl w:val="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局机关各科室、局属各单位：</w:t>
      </w:r>
    </w:p>
    <w:p w14:paraId="59C6C2B4">
      <w:pPr>
        <w:keepNext w:val="0"/>
        <w:keepLines w:val="0"/>
        <w:pageBreakBefore w:val="0"/>
        <w:widowControl/>
        <w:kinsoku w:val="0"/>
        <w:wordWrap/>
        <w:overflowPunct/>
        <w:topLinePunct w:val="0"/>
        <w:autoSpaceDE w:val="0"/>
        <w:autoSpaceDN w:val="0"/>
        <w:bidi w:val="0"/>
        <w:adjustRightInd w:val="0"/>
        <w:snapToGrid w:val="0"/>
        <w:spacing w:before="133" w:line="580" w:lineRule="exact"/>
        <w:ind w:firstLine="600" w:firstLineChars="200"/>
        <w:jc w:val="both"/>
        <w:textAlignment w:val="baseline"/>
        <w:outlineLvl w:val="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《重庆市涪陵区应急管理局安全生产违法案件审理委员会 工作规则》已经局党委同意，现印发给你们，请认真遵照执行。</w:t>
      </w:r>
    </w:p>
    <w:p w14:paraId="3E5849F3">
      <w:pPr>
        <w:spacing w:before="133" w:line="207" w:lineRule="auto"/>
        <w:jc w:val="both"/>
        <w:outlineLvl w:val="0"/>
        <w:rPr>
          <w:rFonts w:hint="eastAsia" w:ascii="方正仿宋_GBK" w:hAnsi="方正仿宋_GBK" w:eastAsia="方正仿宋_GBK" w:cs="方正仿宋_GBK"/>
          <w:spacing w:val="-10"/>
          <w:sz w:val="32"/>
          <w:szCs w:val="32"/>
        </w:rPr>
      </w:pPr>
    </w:p>
    <w:p w14:paraId="08F86346">
      <w:pPr>
        <w:spacing w:before="133" w:line="207" w:lineRule="auto"/>
        <w:jc w:val="right"/>
        <w:outlineLvl w:val="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重庆市涪陵区应急管理局</w:t>
      </w:r>
    </w:p>
    <w:p w14:paraId="16EAF280">
      <w:pPr>
        <w:wordWrap w:val="0"/>
        <w:spacing w:before="133" w:line="207" w:lineRule="auto"/>
        <w:jc w:val="right"/>
        <w:outlineLvl w:val="0"/>
        <w:rPr>
          <w:rFonts w:hint="eastAsia" w:ascii="方正仿宋_GBK" w:hAnsi="方正仿宋_GBK" w:eastAsia="方正仿宋_GBK" w:cs="方正仿宋_GBK"/>
          <w:spacing w:val="-10"/>
          <w:sz w:val="32"/>
          <w:szCs w:val="32"/>
          <w:lang w:val="en-US" w:eastAsia="zh-CN"/>
        </w:rPr>
      </w:pPr>
      <w:r>
        <w:rPr>
          <w:rFonts w:hint="eastAsia" w:ascii="方正仿宋_GBK" w:hAnsi="方正仿宋_GBK" w:eastAsia="方正仿宋_GBK" w:cs="方正仿宋_GBK"/>
          <w:spacing w:val="-10"/>
          <w:sz w:val="32"/>
          <w:szCs w:val="32"/>
        </w:rPr>
        <w:t>2022 年 7 月 26 日</w:t>
      </w:r>
      <w:r>
        <w:rPr>
          <w:rFonts w:hint="eastAsia" w:ascii="方正仿宋_GBK" w:hAnsi="方正仿宋_GBK" w:eastAsia="方正仿宋_GBK" w:cs="方正仿宋_GBK"/>
          <w:spacing w:val="-10"/>
          <w:sz w:val="32"/>
          <w:szCs w:val="32"/>
          <w:lang w:val="en-US" w:eastAsia="zh-CN"/>
        </w:rPr>
        <w:t xml:space="preserve">      </w:t>
      </w:r>
    </w:p>
    <w:p w14:paraId="145608FA">
      <w:pPr>
        <w:keepNext w:val="0"/>
        <w:keepLines w:val="0"/>
        <w:pageBreakBefore w:val="0"/>
        <w:widowControl/>
        <w:kinsoku w:val="0"/>
        <w:wordWrap/>
        <w:overflowPunct/>
        <w:topLinePunct w:val="0"/>
        <w:autoSpaceDE w:val="0"/>
        <w:autoSpaceDN w:val="0"/>
        <w:bidi w:val="0"/>
        <w:adjustRightInd w:val="0"/>
        <w:snapToGrid w:val="0"/>
        <w:spacing w:before="133" w:line="580" w:lineRule="exact"/>
        <w:ind w:firstLine="600" w:firstLineChars="200"/>
        <w:jc w:val="both"/>
        <w:textAlignment w:val="baseline"/>
        <w:outlineLvl w:val="0"/>
        <w:rPr>
          <w:rFonts w:hint="default" w:ascii="方正仿宋_GBK" w:hAnsi="方正仿宋_GBK" w:eastAsia="方正仿宋_GBK" w:cs="方正仿宋_GBK"/>
          <w:spacing w:val="-10"/>
          <w:sz w:val="32"/>
          <w:szCs w:val="32"/>
          <w:lang w:val="en-US" w:eastAsia="zh-CN"/>
        </w:rPr>
      </w:pPr>
      <w:r>
        <w:rPr>
          <w:rFonts w:hint="eastAsia" w:ascii="方正仿宋_GBK" w:hAnsi="方正仿宋_GBK" w:eastAsia="方正仿宋_GBK" w:cs="方正仿宋_GBK"/>
          <w:spacing w:val="-10"/>
          <w:sz w:val="32"/>
          <w:szCs w:val="32"/>
          <w:lang w:val="en-US" w:eastAsia="zh-CN"/>
        </w:rPr>
        <w:t xml:space="preserve">（此件公开发布）  </w:t>
      </w:r>
    </w:p>
    <w:p w14:paraId="0D82B882">
      <w:pPr>
        <w:rPr>
          <w:rFonts w:hint="eastAsia" w:eastAsia="宋体"/>
          <w:lang w:val="en-US" w:eastAsia="zh-CN"/>
        </w:rPr>
        <w:sectPr>
          <w:footerReference r:id="rId5" w:type="default"/>
          <w:pgSz w:w="11906" w:h="16838"/>
          <w:pgMar w:top="1431" w:right="1442" w:bottom="1106" w:left="1588" w:header="0" w:footer="781" w:gutter="0"/>
          <w:cols w:space="720" w:num="1"/>
        </w:sectPr>
      </w:pPr>
      <w:r>
        <w:rPr>
          <w:rFonts w:hint="eastAsia" w:eastAsia="宋体"/>
          <w:lang w:val="en-US" w:eastAsia="zh-CN"/>
        </w:rPr>
        <w:t xml:space="preserve"> </w:t>
      </w:r>
    </w:p>
    <w:p w14:paraId="5A20F697">
      <w:pPr>
        <w:spacing w:line="277" w:lineRule="auto"/>
        <w:rPr>
          <w:rFonts w:ascii="Arial"/>
          <w:sz w:val="21"/>
        </w:rPr>
      </w:pPr>
    </w:p>
    <w:p w14:paraId="0AAB3F54">
      <w:pPr>
        <w:spacing w:line="277" w:lineRule="auto"/>
        <w:rPr>
          <w:rFonts w:ascii="Arial"/>
          <w:sz w:val="21"/>
        </w:rPr>
      </w:pPr>
    </w:p>
    <w:p w14:paraId="48789854">
      <w:pPr>
        <w:widowControl/>
        <w:shd w:val="clear" w:color="auto" w:fill="FFFFFF"/>
        <w:kinsoku/>
        <w:autoSpaceDE/>
        <w:autoSpaceDN/>
        <w:adjustRightInd/>
        <w:snapToGrid/>
        <w:spacing w:line="640" w:lineRule="exact"/>
        <w:jc w:val="center"/>
        <w:textAlignment w:val="auto"/>
        <w:outlineLvl w:val="0"/>
        <w:rPr>
          <w:rFonts w:ascii="方正小标宋_GBK" w:hAnsi="Calibri" w:eastAsia="方正小标宋_GBK" w:cs="Calibri"/>
          <w:snapToGrid/>
          <w:color w:val="000000"/>
          <w:kern w:val="36"/>
          <w:sz w:val="44"/>
          <w:szCs w:val="44"/>
          <w:lang w:val="en-US" w:eastAsia="zh-CN" w:bidi="ar-SA"/>
        </w:rPr>
      </w:pPr>
      <w:r>
        <w:rPr>
          <w:rFonts w:ascii="方正小标宋_GBK" w:hAnsi="Calibri" w:eastAsia="方正小标宋_GBK" w:cs="Calibri"/>
          <w:snapToGrid/>
          <w:color w:val="000000"/>
          <w:kern w:val="36"/>
          <w:sz w:val="44"/>
          <w:szCs w:val="44"/>
          <w:lang w:val="en-US" w:eastAsia="zh-CN" w:bidi="ar-SA"/>
        </w:rPr>
        <w:t>重庆市涪陵区应急管理局</w:t>
      </w:r>
    </w:p>
    <w:p w14:paraId="5CCE6B7F">
      <w:pPr>
        <w:widowControl/>
        <w:shd w:val="clear" w:color="auto" w:fill="FFFFFF"/>
        <w:kinsoku/>
        <w:autoSpaceDE/>
        <w:autoSpaceDN/>
        <w:adjustRightInd/>
        <w:snapToGrid/>
        <w:spacing w:line="640" w:lineRule="exact"/>
        <w:jc w:val="center"/>
        <w:textAlignment w:val="auto"/>
        <w:outlineLvl w:val="0"/>
        <w:rPr>
          <w:rFonts w:ascii="方正小标宋_GBK" w:hAnsi="Calibri" w:eastAsia="方正小标宋_GBK" w:cs="Calibri"/>
          <w:snapToGrid/>
          <w:color w:val="000000"/>
          <w:kern w:val="36"/>
          <w:sz w:val="44"/>
          <w:szCs w:val="44"/>
          <w:lang w:val="en-US" w:eastAsia="zh-CN" w:bidi="ar-SA"/>
        </w:rPr>
      </w:pPr>
      <w:r>
        <w:rPr>
          <w:rFonts w:ascii="方正小标宋_GBK" w:hAnsi="Calibri" w:eastAsia="方正小标宋_GBK" w:cs="Calibri"/>
          <w:snapToGrid/>
          <w:color w:val="000000"/>
          <w:kern w:val="36"/>
          <w:sz w:val="44"/>
          <w:szCs w:val="44"/>
          <w:lang w:val="en-US" w:eastAsia="zh-CN" w:bidi="ar-SA"/>
        </w:rPr>
        <w:t>安全生产违法案件审理委员会</w:t>
      </w:r>
    </w:p>
    <w:p w14:paraId="687E789A">
      <w:pPr>
        <w:widowControl/>
        <w:shd w:val="clear" w:color="auto" w:fill="FFFFFF"/>
        <w:kinsoku/>
        <w:autoSpaceDE/>
        <w:autoSpaceDN/>
        <w:adjustRightInd/>
        <w:snapToGrid/>
        <w:spacing w:line="640" w:lineRule="exact"/>
        <w:jc w:val="center"/>
        <w:textAlignment w:val="auto"/>
        <w:outlineLvl w:val="0"/>
        <w:rPr>
          <w:rFonts w:ascii="微软雅黑" w:hAnsi="微软雅黑" w:eastAsia="微软雅黑" w:cs="微软雅黑"/>
          <w:sz w:val="43"/>
          <w:szCs w:val="43"/>
        </w:rPr>
      </w:pPr>
      <w:r>
        <w:rPr>
          <w:rFonts w:ascii="方正小标宋_GBK" w:hAnsi="Calibri" w:eastAsia="方正小标宋_GBK" w:cs="Calibri"/>
          <w:snapToGrid/>
          <w:color w:val="000000"/>
          <w:kern w:val="36"/>
          <w:sz w:val="44"/>
          <w:szCs w:val="44"/>
          <w:lang w:val="en-US" w:eastAsia="zh-CN" w:bidi="ar-SA"/>
        </w:rPr>
        <w:t>工作规则</w:t>
      </w:r>
    </w:p>
    <w:p w14:paraId="2EF308F2">
      <w:pPr>
        <w:spacing w:line="244" w:lineRule="auto"/>
        <w:rPr>
          <w:rFonts w:ascii="Arial"/>
          <w:sz w:val="21"/>
        </w:rPr>
      </w:pPr>
    </w:p>
    <w:p w14:paraId="7A70B906">
      <w:pPr>
        <w:spacing w:line="245" w:lineRule="auto"/>
        <w:rPr>
          <w:rFonts w:ascii="Arial"/>
          <w:sz w:val="21"/>
        </w:rPr>
      </w:pPr>
    </w:p>
    <w:p w14:paraId="63FDC1CA">
      <w:pPr>
        <w:spacing w:before="133" w:line="253" w:lineRule="auto"/>
        <w:ind w:left="16" w:firstLine="633"/>
        <w:jc w:val="both"/>
        <w:rPr>
          <w:rFonts w:ascii="微软雅黑" w:hAnsi="微软雅黑" w:eastAsia="微软雅黑" w:cs="微软雅黑"/>
          <w:sz w:val="31"/>
          <w:szCs w:val="31"/>
        </w:rPr>
      </w:pPr>
      <w:r>
        <w:rPr>
          <w:rFonts w:ascii="方正黑体_GBK" w:hAnsi="方正黑体_GBK" w:eastAsia="方正黑体_GBK" w:cs="方正黑体_GBK"/>
          <w:spacing w:val="-1"/>
          <w:sz w:val="32"/>
          <w:szCs w:val="32"/>
        </w:rPr>
        <w:t xml:space="preserve">第一条 </w:t>
      </w:r>
      <w:r>
        <w:rPr>
          <w:rFonts w:ascii="方正黑体_GBK" w:hAnsi="方正黑体_GBK" w:eastAsia="方正黑体_GBK" w:cs="方正黑体_GBK"/>
          <w:spacing w:val="-1"/>
          <w:sz w:val="31"/>
          <w:szCs w:val="31"/>
        </w:rPr>
        <w:t xml:space="preserve"> </w:t>
      </w:r>
      <w:r>
        <w:rPr>
          <w:rFonts w:hint="eastAsia" w:ascii="方正仿宋_GBK" w:hAnsi="方正仿宋_GBK" w:eastAsia="方正仿宋_GBK" w:cs="方正仿宋_GBK"/>
          <w:spacing w:val="-1"/>
          <w:sz w:val="32"/>
          <w:szCs w:val="32"/>
        </w:rPr>
        <w:t>为进一步规范我局行</w:t>
      </w:r>
      <w:r>
        <w:rPr>
          <w:rFonts w:hint="eastAsia" w:ascii="方正仿宋_GBK" w:hAnsi="方正仿宋_GBK" w:eastAsia="方正仿宋_GBK" w:cs="方正仿宋_GBK"/>
          <w:sz w:val="32"/>
          <w:szCs w:val="32"/>
        </w:rPr>
        <w:t xml:space="preserve">政执法行为，加强执法监督，保 </w:t>
      </w:r>
      <w:r>
        <w:rPr>
          <w:rFonts w:hint="eastAsia" w:ascii="方正仿宋_GBK" w:hAnsi="方正仿宋_GBK" w:eastAsia="方正仿宋_GBK" w:cs="方正仿宋_GBK"/>
          <w:spacing w:val="-1"/>
          <w:sz w:val="32"/>
          <w:szCs w:val="32"/>
        </w:rPr>
        <w:t>护公民、法人和其他组织的合法权益，  确保对重大违法</w:t>
      </w:r>
      <w:r>
        <w:rPr>
          <w:rFonts w:hint="eastAsia" w:ascii="方正仿宋_GBK" w:hAnsi="方正仿宋_GBK" w:eastAsia="方正仿宋_GBK" w:cs="方正仿宋_GBK"/>
          <w:sz w:val="32"/>
          <w:szCs w:val="32"/>
        </w:rPr>
        <w:t xml:space="preserve">行为或疑 </w:t>
      </w:r>
      <w:r>
        <w:rPr>
          <w:rFonts w:hint="eastAsia" w:ascii="方正仿宋_GBK" w:hAnsi="方正仿宋_GBK" w:eastAsia="方正仿宋_GBK" w:cs="方正仿宋_GBK"/>
          <w:spacing w:val="-1"/>
          <w:sz w:val="32"/>
          <w:szCs w:val="32"/>
        </w:rPr>
        <w:t xml:space="preserve">难复杂案件实施行政处罚的合法性、合理性和公正性，  </w:t>
      </w:r>
      <w:r>
        <w:rPr>
          <w:rFonts w:hint="eastAsia" w:ascii="方正仿宋_GBK" w:hAnsi="方正仿宋_GBK" w:eastAsia="方正仿宋_GBK" w:cs="方正仿宋_GBK"/>
          <w:sz w:val="32"/>
          <w:szCs w:val="32"/>
        </w:rPr>
        <w:t xml:space="preserve">根据《中 </w:t>
      </w:r>
      <w:r>
        <w:rPr>
          <w:rFonts w:hint="eastAsia" w:ascii="方正仿宋_GBK" w:hAnsi="方正仿宋_GBK" w:eastAsia="方正仿宋_GBK" w:cs="方正仿宋_GBK"/>
          <w:spacing w:val="-30"/>
          <w:sz w:val="32"/>
          <w:szCs w:val="32"/>
        </w:rPr>
        <w:t>华</w:t>
      </w:r>
      <w:r>
        <w:rPr>
          <w:rFonts w:hint="eastAsia" w:ascii="方正仿宋_GBK" w:hAnsi="方正仿宋_GBK" w:eastAsia="方正仿宋_GBK" w:cs="方正仿宋_GBK"/>
          <w:spacing w:val="-18"/>
          <w:sz w:val="32"/>
          <w:szCs w:val="32"/>
        </w:rPr>
        <w:t>人</w:t>
      </w:r>
      <w:r>
        <w:rPr>
          <w:rFonts w:hint="eastAsia" w:ascii="方正仿宋_GBK" w:hAnsi="方正仿宋_GBK" w:eastAsia="方正仿宋_GBK" w:cs="方正仿宋_GBK"/>
          <w:spacing w:val="-15"/>
          <w:sz w:val="32"/>
          <w:szCs w:val="32"/>
        </w:rPr>
        <w:t>民共和国行政处罚法》《安全生产违法行为行政处罚办法》《重</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0"/>
          <w:sz w:val="32"/>
          <w:szCs w:val="32"/>
        </w:rPr>
        <w:t>庆市安</w:t>
      </w:r>
      <w:r>
        <w:rPr>
          <w:rFonts w:hint="eastAsia" w:ascii="方正仿宋_GBK" w:hAnsi="方正仿宋_GBK" w:eastAsia="方正仿宋_GBK" w:cs="方正仿宋_GBK"/>
          <w:spacing w:val="8"/>
          <w:sz w:val="32"/>
          <w:szCs w:val="32"/>
        </w:rPr>
        <w:t>全</w:t>
      </w:r>
      <w:r>
        <w:rPr>
          <w:rFonts w:hint="eastAsia" w:ascii="方正仿宋_GBK" w:hAnsi="方正仿宋_GBK" w:eastAsia="方正仿宋_GBK" w:cs="方正仿宋_GBK"/>
          <w:spacing w:val="5"/>
          <w:sz w:val="32"/>
          <w:szCs w:val="32"/>
        </w:rPr>
        <w:t>生产行政处罚案件审核工作规定》等法律、法规、规章</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2"/>
          <w:sz w:val="32"/>
          <w:szCs w:val="32"/>
        </w:rPr>
        <w:t>和规</w:t>
      </w:r>
      <w:r>
        <w:rPr>
          <w:rFonts w:hint="eastAsia" w:ascii="方正仿宋_GBK" w:hAnsi="方正仿宋_GBK" w:eastAsia="方正仿宋_GBK" w:cs="方正仿宋_GBK"/>
          <w:spacing w:val="-11"/>
          <w:sz w:val="32"/>
          <w:szCs w:val="32"/>
        </w:rPr>
        <w:t>范</w:t>
      </w:r>
      <w:r>
        <w:rPr>
          <w:rFonts w:hint="eastAsia" w:ascii="方正仿宋_GBK" w:hAnsi="方正仿宋_GBK" w:eastAsia="方正仿宋_GBK" w:cs="方正仿宋_GBK"/>
          <w:spacing w:val="-6"/>
          <w:sz w:val="32"/>
          <w:szCs w:val="32"/>
        </w:rPr>
        <w:t>性文件要求，  结合我局实际，  特设立安全生产违法案件审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理委员会(以下</w:t>
      </w:r>
      <w:r>
        <w:rPr>
          <w:rFonts w:hint="eastAsia" w:ascii="方正仿宋_GBK" w:hAnsi="方正仿宋_GBK" w:eastAsia="方正仿宋_GBK" w:cs="方正仿宋_GBK"/>
          <w:spacing w:val="1"/>
          <w:sz w:val="32"/>
          <w:szCs w:val="32"/>
        </w:rPr>
        <w:t>简称“案审委”)，  并制定本规则。</w:t>
      </w:r>
    </w:p>
    <w:p w14:paraId="4AD1523B">
      <w:pPr>
        <w:spacing w:before="1" w:line="242" w:lineRule="auto"/>
        <w:ind w:left="647"/>
        <w:rPr>
          <w:rFonts w:ascii="方正黑体_GBK" w:hAnsi="方正黑体_GBK" w:eastAsia="方正黑体_GBK" w:cs="方正黑体_GBK"/>
          <w:sz w:val="31"/>
          <w:szCs w:val="31"/>
        </w:rPr>
      </w:pPr>
      <w:r>
        <w:rPr>
          <w:rFonts w:ascii="方正黑体_GBK" w:hAnsi="方正黑体_GBK" w:eastAsia="方正黑体_GBK" w:cs="方正黑体_GBK"/>
          <w:spacing w:val="-1"/>
          <w:sz w:val="32"/>
          <w:szCs w:val="32"/>
        </w:rPr>
        <w:t>第二条  案审委组成</w:t>
      </w:r>
    </w:p>
    <w:p w14:paraId="6C7A04D6">
      <w:pPr>
        <w:spacing w:before="96" w:line="562" w:lineRule="exact"/>
        <w:ind w:left="64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position w:val="17"/>
          <w:sz w:val="32"/>
          <w:szCs w:val="32"/>
        </w:rPr>
        <w:t>主</w:t>
      </w:r>
      <w:r>
        <w:rPr>
          <w:rFonts w:hint="eastAsia" w:ascii="方正仿宋_GBK" w:hAnsi="方正仿宋_GBK" w:eastAsia="方正仿宋_GBK" w:cs="方正仿宋_GBK"/>
          <w:spacing w:val="6"/>
          <w:position w:val="17"/>
          <w:sz w:val="32"/>
          <w:szCs w:val="32"/>
        </w:rPr>
        <w:t xml:space="preserve">   </w:t>
      </w:r>
      <w:r>
        <w:rPr>
          <w:rFonts w:hint="eastAsia" w:ascii="方正仿宋_GBK" w:hAnsi="方正仿宋_GBK" w:eastAsia="方正仿宋_GBK" w:cs="方正仿宋_GBK"/>
          <w:spacing w:val="6"/>
          <w:position w:val="17"/>
          <w:sz w:val="32"/>
          <w:szCs w:val="32"/>
          <w:lang w:val="en-US" w:eastAsia="zh-CN"/>
        </w:rPr>
        <w:t xml:space="preserve"> </w:t>
      </w:r>
      <w:r>
        <w:rPr>
          <w:rFonts w:hint="eastAsia" w:ascii="方正仿宋_GBK" w:hAnsi="方正仿宋_GBK" w:eastAsia="方正仿宋_GBK" w:cs="方正仿宋_GBK"/>
          <w:spacing w:val="6"/>
          <w:position w:val="17"/>
          <w:sz w:val="32"/>
          <w:szCs w:val="32"/>
        </w:rPr>
        <w:t>任：袁   闯( 区应急局党委书记、局长)</w:t>
      </w:r>
    </w:p>
    <w:p w14:paraId="78C29EF7">
      <w:pPr>
        <w:spacing w:line="202" w:lineRule="auto"/>
        <w:ind w:left="66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副</w:t>
      </w:r>
      <w:r>
        <w:rPr>
          <w:rFonts w:hint="eastAsia" w:ascii="方正仿宋_GBK" w:hAnsi="方正仿宋_GBK" w:eastAsia="方正仿宋_GBK" w:cs="方正仿宋_GBK"/>
          <w:spacing w:val="5"/>
          <w:sz w:val="32"/>
          <w:szCs w:val="32"/>
        </w:rPr>
        <w:t>主</w:t>
      </w:r>
      <w:r>
        <w:rPr>
          <w:rFonts w:hint="eastAsia" w:ascii="方正仿宋_GBK" w:hAnsi="方正仿宋_GBK" w:eastAsia="方正仿宋_GBK" w:cs="方正仿宋_GBK"/>
          <w:spacing w:val="3"/>
          <w:sz w:val="32"/>
          <w:szCs w:val="32"/>
        </w:rPr>
        <w:t>任：王天明( 区应急局党委委员)</w:t>
      </w:r>
    </w:p>
    <w:p w14:paraId="2D71810A">
      <w:pPr>
        <w:spacing w:before="109" w:line="253" w:lineRule="auto"/>
        <w:ind w:left="1920" w:right="1574" w:hanging="1"/>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8"/>
          <w:sz w:val="32"/>
          <w:szCs w:val="32"/>
        </w:rPr>
        <w:t>卢</w:t>
      </w:r>
      <w:r>
        <w:rPr>
          <w:rFonts w:hint="eastAsia" w:ascii="方正仿宋_GBK" w:hAnsi="方正仿宋_GBK" w:eastAsia="方正仿宋_GBK" w:cs="方正仿宋_GBK"/>
          <w:spacing w:val="14"/>
          <w:sz w:val="32"/>
          <w:szCs w:val="32"/>
        </w:rPr>
        <w:t>文峰( 区应急局党委委员、副局长)</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3"/>
          <w:sz w:val="32"/>
          <w:szCs w:val="32"/>
        </w:rPr>
        <w:t>陶</w:t>
      </w:r>
      <w:r>
        <w:rPr>
          <w:rFonts w:hint="eastAsia" w:ascii="方正仿宋_GBK" w:hAnsi="方正仿宋_GBK" w:eastAsia="方正仿宋_GBK" w:cs="方正仿宋_GBK"/>
          <w:spacing w:val="14"/>
          <w:sz w:val="32"/>
          <w:szCs w:val="32"/>
        </w:rPr>
        <w:t xml:space="preserve">   华( 区应急局党委委员、副局长)</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7"/>
          <w:sz w:val="32"/>
          <w:szCs w:val="32"/>
        </w:rPr>
        <w:t>安</w:t>
      </w:r>
      <w:r>
        <w:rPr>
          <w:rFonts w:hint="eastAsia" w:ascii="方正仿宋_GBK" w:hAnsi="方正仿宋_GBK" w:eastAsia="方正仿宋_GBK" w:cs="方正仿宋_GBK"/>
          <w:spacing w:val="14"/>
          <w:sz w:val="32"/>
          <w:szCs w:val="32"/>
        </w:rPr>
        <w:t>素军( 区应急局党委委员、副局长)</w:t>
      </w:r>
    </w:p>
    <w:p w14:paraId="02FD8792">
      <w:pPr>
        <w:spacing w:before="4" w:line="252" w:lineRule="auto"/>
        <w:ind w:left="3176" w:right="7" w:hanging="126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
          <w:sz w:val="32"/>
          <w:szCs w:val="32"/>
        </w:rPr>
        <w:t xml:space="preserve">周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rPr>
        <w:t>斌( 区应急局党委委员、  区应急管理综合行</w:t>
      </w:r>
      <w:r>
        <w:rPr>
          <w:rFonts w:hint="eastAsia" w:ascii="方正仿宋_GBK" w:hAnsi="方正仿宋_GBK" w:eastAsia="方正仿宋_GBK" w:cs="方正仿宋_GBK"/>
          <w:spacing w:val="2"/>
          <w:sz w:val="32"/>
          <w:szCs w:val="32"/>
        </w:rPr>
        <w:t>政</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3"/>
          <w:sz w:val="32"/>
          <w:szCs w:val="32"/>
        </w:rPr>
        <w:t>执</w:t>
      </w:r>
      <w:r>
        <w:rPr>
          <w:rFonts w:hint="eastAsia" w:ascii="方正仿宋_GBK" w:hAnsi="方正仿宋_GBK" w:eastAsia="方正仿宋_GBK" w:cs="方正仿宋_GBK"/>
          <w:spacing w:val="11"/>
          <w:sz w:val="32"/>
          <w:szCs w:val="32"/>
        </w:rPr>
        <w:t>法支队支队长)</w:t>
      </w:r>
    </w:p>
    <w:p w14:paraId="25B633E0">
      <w:pPr>
        <w:spacing w:before="2" w:line="252" w:lineRule="auto"/>
        <w:ind w:left="3218" w:right="7" w:hanging="1273"/>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 xml:space="preserve">陈   </w:t>
      </w:r>
      <w:r>
        <w:rPr>
          <w:rFonts w:hint="eastAsia" w:ascii="方正仿宋_GBK" w:hAnsi="方正仿宋_GBK" w:eastAsia="方正仿宋_GBK" w:cs="方正仿宋_GBK"/>
          <w:spacing w:val="2"/>
          <w:sz w:val="32"/>
          <w:szCs w:val="32"/>
          <w:lang w:val="en-US" w:eastAsia="zh-CN"/>
        </w:rPr>
        <w:t xml:space="preserve"> </w:t>
      </w:r>
      <w:r>
        <w:rPr>
          <w:rFonts w:hint="eastAsia" w:ascii="方正仿宋_GBK" w:hAnsi="方正仿宋_GBK" w:eastAsia="方正仿宋_GBK" w:cs="方正仿宋_GBK"/>
          <w:spacing w:val="2"/>
          <w:sz w:val="32"/>
          <w:szCs w:val="32"/>
        </w:rPr>
        <w:t>伟( 区应急局党委委员、  区应</w:t>
      </w:r>
      <w:r>
        <w:rPr>
          <w:rFonts w:hint="eastAsia" w:ascii="方正仿宋_GBK" w:hAnsi="方正仿宋_GBK" w:eastAsia="方正仿宋_GBK" w:cs="方正仿宋_GBK"/>
          <w:spacing w:val="1"/>
          <w:sz w:val="32"/>
          <w:szCs w:val="32"/>
        </w:rPr>
        <w:t>急指挥信息保障</w:t>
      </w:r>
      <w:r>
        <w:rPr>
          <w:rFonts w:hint="eastAsia" w:ascii="方正仿宋_GBK" w:hAnsi="方正仿宋_GBK" w:eastAsia="方正仿宋_GBK" w:cs="方正仿宋_GBK"/>
          <w:spacing w:val="6"/>
          <w:sz w:val="32"/>
          <w:szCs w:val="32"/>
        </w:rPr>
        <w:t>中心主任)</w:t>
      </w:r>
    </w:p>
    <w:p w14:paraId="19888136">
      <w:pPr>
        <w:spacing w:line="202" w:lineRule="auto"/>
        <w:ind w:left="1938"/>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6"/>
          <w:sz w:val="32"/>
          <w:szCs w:val="32"/>
        </w:rPr>
        <w:t>熊</w:t>
      </w:r>
      <w:r>
        <w:rPr>
          <w:rFonts w:hint="eastAsia" w:ascii="方正仿宋_GBK" w:hAnsi="方正仿宋_GBK" w:eastAsia="方正仿宋_GBK" w:cs="方正仿宋_GBK"/>
          <w:spacing w:val="12"/>
          <w:sz w:val="32"/>
          <w:szCs w:val="32"/>
        </w:rPr>
        <w:t>青云( 区应急管理综合行政执法支队政委)</w:t>
      </w:r>
    </w:p>
    <w:p w14:paraId="188FF51D">
      <w:pPr>
        <w:rPr>
          <w:rFonts w:hint="eastAsia" w:ascii="方正仿宋_GBK" w:hAnsi="方正仿宋_GBK" w:eastAsia="方正仿宋_GBK" w:cs="方正仿宋_GBK"/>
          <w:sz w:val="32"/>
          <w:szCs w:val="32"/>
        </w:rPr>
        <w:sectPr>
          <w:footerReference r:id="rId6" w:type="default"/>
          <w:pgSz w:w="11906" w:h="16838"/>
          <w:pgMar w:top="1431" w:right="1464" w:bottom="1108" w:left="1586" w:header="0" w:footer="781" w:gutter="0"/>
          <w:cols w:space="720" w:num="1"/>
        </w:sectPr>
      </w:pPr>
    </w:p>
    <w:p w14:paraId="1B2D22D7">
      <w:pPr>
        <w:spacing w:line="347" w:lineRule="auto"/>
        <w:rPr>
          <w:rFonts w:hint="eastAsia" w:ascii="方正仿宋_GBK" w:hAnsi="方正仿宋_GBK" w:eastAsia="方正仿宋_GBK" w:cs="方正仿宋_GBK"/>
          <w:sz w:val="32"/>
          <w:szCs w:val="32"/>
        </w:rPr>
      </w:pPr>
    </w:p>
    <w:p w14:paraId="1E15E24A">
      <w:pPr>
        <w:spacing w:line="347" w:lineRule="auto"/>
        <w:rPr>
          <w:rFonts w:hint="eastAsia" w:ascii="方正仿宋_GBK" w:hAnsi="方正仿宋_GBK" w:eastAsia="方正仿宋_GBK" w:cs="方正仿宋_GBK"/>
          <w:sz w:val="32"/>
          <w:szCs w:val="32"/>
        </w:rPr>
      </w:pPr>
    </w:p>
    <w:p w14:paraId="1C78A621">
      <w:pPr>
        <w:spacing w:before="133" w:line="202" w:lineRule="auto"/>
        <w:ind w:left="647"/>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31"/>
          <w:sz w:val="32"/>
          <w:szCs w:val="32"/>
        </w:rPr>
        <w:t>委</w:t>
      </w:r>
      <w:r>
        <w:rPr>
          <w:rFonts w:hint="eastAsia" w:ascii="方正仿宋_GBK" w:hAnsi="方正仿宋_GBK" w:eastAsia="方正仿宋_GBK" w:cs="方正仿宋_GBK"/>
          <w:spacing w:val="22"/>
          <w:sz w:val="32"/>
          <w:szCs w:val="32"/>
        </w:rPr>
        <w:t xml:space="preserve">   员：相关科室(队)科长(大队长)或负责人</w:t>
      </w:r>
    </w:p>
    <w:p w14:paraId="30DBE1DF">
      <w:pPr>
        <w:spacing w:before="114" w:line="251" w:lineRule="auto"/>
        <w:ind w:left="24" w:right="101" w:firstLine="64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案审委下设办公室，办公室设在政策法规和宣传教育科，</w:t>
      </w:r>
      <w:r>
        <w:rPr>
          <w:rFonts w:hint="eastAsia" w:ascii="方正仿宋_GBK" w:hAnsi="方正仿宋_GBK" w:eastAsia="方正仿宋_GBK" w:cs="方正仿宋_GBK"/>
          <w:spacing w:val="-7"/>
          <w:sz w:val="32"/>
          <w:szCs w:val="32"/>
        </w:rPr>
        <w:t>具</w:t>
      </w:r>
      <w:r>
        <w:rPr>
          <w:rFonts w:hint="eastAsia" w:ascii="方正仿宋_GBK" w:hAnsi="方正仿宋_GBK" w:eastAsia="方正仿宋_GBK" w:cs="方正仿宋_GBK"/>
          <w:spacing w:val="8"/>
          <w:sz w:val="32"/>
          <w:szCs w:val="32"/>
        </w:rPr>
        <w:t>体</w:t>
      </w:r>
      <w:r>
        <w:rPr>
          <w:rFonts w:hint="eastAsia" w:ascii="方正仿宋_GBK" w:hAnsi="方正仿宋_GBK" w:eastAsia="方正仿宋_GBK" w:cs="方正仿宋_GBK"/>
          <w:spacing w:val="6"/>
          <w:sz w:val="32"/>
          <w:szCs w:val="32"/>
        </w:rPr>
        <w:t>负</w:t>
      </w:r>
      <w:r>
        <w:rPr>
          <w:rFonts w:hint="eastAsia" w:ascii="方正仿宋_GBK" w:hAnsi="方正仿宋_GBK" w:eastAsia="方正仿宋_GBK" w:cs="方正仿宋_GBK"/>
          <w:spacing w:val="4"/>
          <w:sz w:val="32"/>
          <w:szCs w:val="32"/>
        </w:rPr>
        <w:t>责案审委日常工作。</w:t>
      </w:r>
    </w:p>
    <w:p w14:paraId="71A1E427">
      <w:pPr>
        <w:spacing w:line="242" w:lineRule="auto"/>
        <w:ind w:left="659"/>
        <w:rPr>
          <w:rFonts w:hint="eastAsia" w:ascii="方正黑体_GBK" w:hAnsi="方正黑体_GBK" w:eastAsia="方正黑体_GBK" w:cs="方正黑体_GBK"/>
          <w:spacing w:val="3"/>
          <w:sz w:val="32"/>
          <w:szCs w:val="32"/>
        </w:rPr>
      </w:pPr>
      <w:r>
        <w:rPr>
          <w:rFonts w:hint="eastAsia" w:ascii="方正黑体_GBK" w:hAnsi="方正黑体_GBK" w:eastAsia="方正黑体_GBK" w:cs="方正黑体_GBK"/>
          <w:spacing w:val="6"/>
          <w:sz w:val="32"/>
          <w:szCs w:val="32"/>
        </w:rPr>
        <w:t>第三</w:t>
      </w:r>
      <w:r>
        <w:rPr>
          <w:rFonts w:hint="eastAsia" w:ascii="方正黑体_GBK" w:hAnsi="方正黑体_GBK" w:eastAsia="方正黑体_GBK" w:cs="方正黑体_GBK"/>
          <w:spacing w:val="4"/>
          <w:sz w:val="32"/>
          <w:szCs w:val="32"/>
        </w:rPr>
        <w:t>条</w:t>
      </w:r>
      <w:r>
        <w:rPr>
          <w:rFonts w:hint="eastAsia" w:ascii="方正黑体_GBK" w:hAnsi="方正黑体_GBK" w:eastAsia="方正黑体_GBK" w:cs="方正黑体_GBK"/>
          <w:spacing w:val="3"/>
          <w:sz w:val="32"/>
          <w:szCs w:val="32"/>
        </w:rPr>
        <w:t xml:space="preserve">  案审委职责</w:t>
      </w:r>
    </w:p>
    <w:p w14:paraId="5675552C">
      <w:pPr>
        <w:spacing w:line="242" w:lineRule="auto"/>
        <w:ind w:left="65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7"/>
          <w:sz w:val="32"/>
          <w:szCs w:val="32"/>
          <w:lang w:eastAsia="zh-CN"/>
        </w:rPr>
        <w:t>(一)</w:t>
      </w:r>
      <w:r>
        <w:rPr>
          <w:rFonts w:hint="eastAsia" w:ascii="方正仿宋_GBK" w:hAnsi="方正仿宋_GBK" w:eastAsia="方正仿宋_GBK" w:cs="方正仿宋_GBK"/>
          <w:spacing w:val="12"/>
          <w:sz w:val="32"/>
          <w:szCs w:val="32"/>
        </w:rPr>
        <w:t>负责我局重大、疑难复杂案件办理方案的审理；</w:t>
      </w:r>
    </w:p>
    <w:p w14:paraId="5E0024A8">
      <w:pPr>
        <w:keepNext w:val="0"/>
        <w:keepLines w:val="0"/>
        <w:pageBreakBefore w:val="0"/>
        <w:widowControl/>
        <w:tabs>
          <w:tab w:val="left" w:pos="788"/>
        </w:tabs>
        <w:kinsoku w:val="0"/>
        <w:wordWrap/>
        <w:overflowPunct/>
        <w:topLinePunct w:val="0"/>
        <w:autoSpaceDE w:val="0"/>
        <w:autoSpaceDN w:val="0"/>
        <w:bidi w:val="0"/>
        <w:adjustRightInd w:val="0"/>
        <w:snapToGrid w:val="0"/>
        <w:spacing w:before="111" w:line="202" w:lineRule="auto"/>
        <w:ind w:firstLine="708"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7"/>
          <w:sz w:val="32"/>
          <w:szCs w:val="32"/>
          <w:lang w:eastAsia="zh-CN"/>
        </w:rPr>
        <w:t>(二)</w:t>
      </w:r>
      <w:r>
        <w:rPr>
          <w:rFonts w:hint="eastAsia" w:ascii="方正仿宋_GBK" w:hAnsi="方正仿宋_GBK" w:eastAsia="方正仿宋_GBK" w:cs="方正仿宋_GBK"/>
          <w:spacing w:val="13"/>
          <w:sz w:val="32"/>
          <w:szCs w:val="32"/>
        </w:rPr>
        <w:t>负责对案件办理的合规性进行监督检查；</w:t>
      </w:r>
    </w:p>
    <w:p w14:paraId="4DA8C20D">
      <w:pPr>
        <w:keepNext w:val="0"/>
        <w:keepLines w:val="0"/>
        <w:pageBreakBefore w:val="0"/>
        <w:widowControl/>
        <w:tabs>
          <w:tab w:val="left" w:pos="788"/>
        </w:tabs>
        <w:kinsoku w:val="0"/>
        <w:wordWrap/>
        <w:overflowPunct/>
        <w:topLinePunct w:val="0"/>
        <w:autoSpaceDE w:val="0"/>
        <w:autoSpaceDN w:val="0"/>
        <w:bidi w:val="0"/>
        <w:adjustRightInd w:val="0"/>
        <w:snapToGrid w:val="0"/>
        <w:spacing w:before="112" w:line="202" w:lineRule="auto"/>
        <w:ind w:firstLine="708"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7"/>
          <w:sz w:val="32"/>
          <w:szCs w:val="32"/>
          <w:lang w:eastAsia="zh-CN"/>
        </w:rPr>
        <w:t>(三)</w:t>
      </w:r>
      <w:r>
        <w:rPr>
          <w:rFonts w:hint="eastAsia" w:ascii="方正仿宋_GBK" w:hAnsi="方正仿宋_GBK" w:eastAsia="方正仿宋_GBK" w:cs="方正仿宋_GBK"/>
          <w:spacing w:val="13"/>
          <w:sz w:val="32"/>
          <w:szCs w:val="32"/>
        </w:rPr>
        <w:t>负责决定安全生产重大违法行为的行政处罚</w:t>
      </w:r>
      <w:r>
        <w:rPr>
          <w:rFonts w:hint="eastAsia" w:ascii="方正仿宋_GBK" w:hAnsi="方正仿宋_GBK" w:eastAsia="方正仿宋_GBK" w:cs="方正仿宋_GBK"/>
          <w:spacing w:val="11"/>
          <w:sz w:val="32"/>
          <w:szCs w:val="32"/>
        </w:rPr>
        <w:t>；</w:t>
      </w:r>
    </w:p>
    <w:p w14:paraId="39B4FB32">
      <w:pPr>
        <w:keepNext w:val="0"/>
        <w:keepLines w:val="0"/>
        <w:pageBreakBefore w:val="0"/>
        <w:widowControl/>
        <w:tabs>
          <w:tab w:val="left" w:pos="788"/>
        </w:tabs>
        <w:kinsoku w:val="0"/>
        <w:wordWrap/>
        <w:overflowPunct/>
        <w:topLinePunct w:val="0"/>
        <w:autoSpaceDE w:val="0"/>
        <w:autoSpaceDN w:val="0"/>
        <w:bidi w:val="0"/>
        <w:adjustRightInd w:val="0"/>
        <w:snapToGrid w:val="0"/>
        <w:spacing w:before="112" w:line="248" w:lineRule="auto"/>
        <w:ind w:left="319" w:leftChars="152" w:right="142" w:firstLine="354" w:firstLineChars="100"/>
        <w:textAlignment w:val="baseline"/>
        <w:rPr>
          <w:rFonts w:ascii="微软雅黑" w:hAnsi="微软雅黑" w:eastAsia="微软雅黑" w:cs="微软雅黑"/>
          <w:sz w:val="32"/>
          <w:szCs w:val="32"/>
        </w:rPr>
      </w:pPr>
      <w:r>
        <w:rPr>
          <w:rFonts w:hint="eastAsia" w:ascii="方正仿宋_GBK" w:hAnsi="方正仿宋_GBK" w:eastAsia="方正仿宋_GBK" w:cs="方正仿宋_GBK"/>
          <w:spacing w:val="17"/>
          <w:sz w:val="32"/>
          <w:szCs w:val="32"/>
          <w:lang w:eastAsia="zh-CN"/>
        </w:rPr>
        <w:t>(四)</w:t>
      </w:r>
      <w:r>
        <w:rPr>
          <w:rFonts w:hint="eastAsia" w:ascii="方正仿宋_GBK" w:hAnsi="方正仿宋_GBK" w:eastAsia="方正仿宋_GBK" w:cs="方正仿宋_GBK"/>
          <w:spacing w:val="10"/>
          <w:sz w:val="32"/>
          <w:szCs w:val="32"/>
        </w:rPr>
        <w:t>负责应对安全生产违法案件的行政诉讼和行政复议。</w:t>
      </w:r>
    </w:p>
    <w:p w14:paraId="1C688887">
      <w:pPr>
        <w:spacing w:line="242" w:lineRule="auto"/>
        <w:ind w:left="659"/>
        <w:rPr>
          <w:rFonts w:hint="eastAsia" w:ascii="方正黑体_GBK" w:hAnsi="方正黑体_GBK" w:eastAsia="方正黑体_GBK" w:cs="方正黑体_GBK"/>
          <w:spacing w:val="3"/>
          <w:sz w:val="32"/>
          <w:szCs w:val="32"/>
        </w:rPr>
      </w:pPr>
      <w:r>
        <w:rPr>
          <w:rFonts w:hint="eastAsia" w:ascii="方正黑体_GBK" w:hAnsi="方正黑体_GBK" w:eastAsia="方正黑体_GBK" w:cs="方正黑体_GBK"/>
          <w:spacing w:val="3"/>
          <w:sz w:val="32"/>
          <w:szCs w:val="32"/>
        </w:rPr>
        <w:t>第四条  案审委审理案件范围</w:t>
      </w:r>
    </w:p>
    <w:p w14:paraId="3C0CF7E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(一)处罚金额符合《重庆市行政处罚听证程序规定》所规定的较大数额罚款的行政处罚案件；</w:t>
      </w:r>
    </w:p>
    <w:p w14:paraId="551DD2E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(二)违法事实涉及</w:t>
      </w:r>
      <w:bookmarkStart w:id="0" w:name="_GoBack"/>
      <w:bookmarkEnd w:id="0"/>
      <w:r>
        <w:rPr>
          <w:rFonts w:hint="eastAsia" w:ascii="方正仿宋_GBK" w:hAnsi="方正仿宋_GBK" w:eastAsia="方正仿宋_GBK" w:cs="方正仿宋_GBK"/>
          <w:spacing w:val="17"/>
          <w:sz w:val="32"/>
          <w:szCs w:val="32"/>
          <w:lang w:eastAsia="zh-CN"/>
        </w:rPr>
        <w:t>多行业及多个法律关系的重大疑难复杂案件；</w:t>
      </w:r>
    </w:p>
    <w:p w14:paraId="332DB11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(三)拟给予暂扣或吊销许可证的案件；</w:t>
      </w:r>
    </w:p>
    <w:p w14:paraId="385640D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(四)拟给予查封或扣押的案件；</w:t>
      </w:r>
    </w:p>
    <w:p w14:paraId="5AAD1F65">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(五)拟给予暂停或者撤销有关执业资格、岗位证书的案件；</w:t>
      </w:r>
    </w:p>
    <w:p w14:paraId="0DA9B6EB">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(六)拟提请区政府责令关闭的行政处罚案件；</w:t>
      </w:r>
    </w:p>
    <w:p w14:paraId="55D36FC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(七)需移交区纪委监委机关涉及处级以上干部处理的案 件；</w:t>
      </w:r>
    </w:p>
    <w:p w14:paraId="4C81D7DE">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(八)政策法规和宣传教育科对案件法制审核时与办案科室(队)争议较大,需要提交案审委讨论的行政处罚案件；</w:t>
      </w:r>
    </w:p>
    <w:p w14:paraId="5A02A82C">
      <w:pPr>
        <w:keepNext w:val="0"/>
        <w:keepLines w:val="0"/>
        <w:pageBreakBefore w:val="0"/>
        <w:widowControl/>
        <w:tabs>
          <w:tab w:val="left" w:pos="8029"/>
        </w:tabs>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eastAsia="宋体"/>
          <w:lang w:eastAsia="zh-CN"/>
        </w:rPr>
        <w:sectPr>
          <w:footerReference r:id="rId7" w:type="default"/>
          <w:pgSz w:w="11906" w:h="16838"/>
          <w:pgMar w:top="1431" w:right="1369" w:bottom="1108" w:left="1577" w:header="0" w:footer="782" w:gutter="0"/>
          <w:cols w:space="720" w:num="1"/>
        </w:sectPr>
      </w:pPr>
      <w:r>
        <w:rPr>
          <w:rFonts w:hint="eastAsia" w:ascii="方正仿宋_GBK" w:hAnsi="方正仿宋_GBK" w:eastAsia="方正仿宋_GBK" w:cs="方正仿宋_GBK"/>
          <w:spacing w:val="17"/>
          <w:sz w:val="32"/>
          <w:szCs w:val="32"/>
          <w:lang w:eastAsia="zh-CN"/>
        </w:rPr>
        <w:t>(九)需要提交案审委讨论决定的其他案件。</w:t>
      </w:r>
    </w:p>
    <w:p w14:paraId="7782B2E0">
      <w:pPr>
        <w:spacing w:line="353" w:lineRule="auto"/>
        <w:rPr>
          <w:rFonts w:ascii="Arial"/>
          <w:sz w:val="21"/>
        </w:rPr>
      </w:pPr>
    </w:p>
    <w:p w14:paraId="44DA6C6D">
      <w:pPr>
        <w:spacing w:before="116" w:line="467" w:lineRule="exact"/>
        <w:ind w:left="649"/>
        <w:rPr>
          <w:rFonts w:ascii="方正黑体_GBK" w:hAnsi="方正黑体_GBK" w:eastAsia="方正黑体_GBK" w:cs="方正黑体_GBK"/>
          <w:sz w:val="32"/>
          <w:szCs w:val="32"/>
        </w:rPr>
      </w:pPr>
      <w:r>
        <w:rPr>
          <w:rFonts w:ascii="方正黑体_GBK" w:hAnsi="方正黑体_GBK" w:eastAsia="方正黑体_GBK" w:cs="方正黑体_GBK"/>
          <w:spacing w:val="7"/>
          <w:position w:val="3"/>
          <w:sz w:val="32"/>
          <w:szCs w:val="32"/>
        </w:rPr>
        <w:t>第</w:t>
      </w:r>
      <w:r>
        <w:rPr>
          <w:rFonts w:ascii="方正黑体_GBK" w:hAnsi="方正黑体_GBK" w:eastAsia="方正黑体_GBK" w:cs="方正黑体_GBK"/>
          <w:spacing w:val="4"/>
          <w:position w:val="3"/>
          <w:sz w:val="32"/>
          <w:szCs w:val="32"/>
        </w:rPr>
        <w:t>五条  案审委工作流程</w:t>
      </w:r>
    </w:p>
    <w:p w14:paraId="4879EB9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(一)办案科室(队)向案审委办公室提交案件审理申请(应当附送案件相关材料及案情简介)。</w:t>
      </w:r>
    </w:p>
    <w:p w14:paraId="3DFF5B99">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(二)案审委办公室审核并确定是否需案审委审理，需要的应在收审申请后2个工作日内提请分管案件的案审委副主任批准，由分管的案审委副主任召集并主持案审委会议。必要时可邀 请区纪委监委驻交通局纪检组相关负责人参加。</w:t>
      </w:r>
    </w:p>
    <w:p w14:paraId="1735C8AD">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(三)政策法规和宣传教育科应在会议召开前1个工作日通知相关人员参会并将案件相关资料分发各参会人员。</w:t>
      </w:r>
    </w:p>
    <w:p w14:paraId="5D06F52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(四)案审委会议议程</w:t>
      </w:r>
    </w:p>
    <w:p w14:paraId="45F42A9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1.办案科室(队) 或政策法规和宣传教育科汇报案情并提出 案件审理事项。</w:t>
      </w:r>
    </w:p>
    <w:p w14:paraId="5FBDD127">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2.参会人员就案件的相关问题逐一、独立地发表意见和建议，对案件疑点可直接向参会的办案科室(队)、政策法规和宣传教育科有关人员询问。</w:t>
      </w:r>
    </w:p>
    <w:p w14:paraId="3C06231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3.主持人汇总参会各方意见，集体表决，作出最终决定。</w:t>
      </w:r>
    </w:p>
    <w:p w14:paraId="24BCCBEC">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4.政策法规和宣传教育科负责会议记录，参会人员在会议记录上签字确认。</w:t>
      </w:r>
    </w:p>
    <w:p w14:paraId="63A6E03A">
      <w:pPr>
        <w:spacing w:before="2" w:line="241" w:lineRule="auto"/>
        <w:ind w:left="649"/>
        <w:rPr>
          <w:rFonts w:ascii="方正黑体_GBK" w:hAnsi="方正黑体_GBK" w:eastAsia="方正黑体_GBK" w:cs="方正黑体_GBK"/>
          <w:sz w:val="32"/>
          <w:szCs w:val="32"/>
        </w:rPr>
      </w:pPr>
      <w:r>
        <w:rPr>
          <w:rFonts w:ascii="方正黑体_GBK" w:hAnsi="方正黑体_GBK" w:eastAsia="方正黑体_GBK" w:cs="方正黑体_GBK"/>
          <w:spacing w:val="7"/>
          <w:sz w:val="32"/>
          <w:szCs w:val="32"/>
        </w:rPr>
        <w:t>第</w:t>
      </w:r>
      <w:r>
        <w:rPr>
          <w:rFonts w:ascii="方正黑体_GBK" w:hAnsi="方正黑体_GBK" w:eastAsia="方正黑体_GBK" w:cs="方正黑体_GBK"/>
          <w:spacing w:val="4"/>
          <w:sz w:val="32"/>
          <w:szCs w:val="32"/>
        </w:rPr>
        <w:t>六条  案审委会议制度</w:t>
      </w:r>
    </w:p>
    <w:p w14:paraId="55DC1B1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(一)参加案审委会议人员应按要求参加会议，  无故不得迟到、缺席，原则上要有案审委二分之一以上(含本数) 组成人员出席方可召开。案审委人员若有特殊情况不能参会须向主任或主持会议的副主任请假，获批准后可委托其他人参会。</w:t>
      </w:r>
    </w:p>
    <w:p w14:paraId="333147B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(二)案审委人员拥有表决权，采取举手表决方式对会议中提出的各项决定、意见进行表决，最终形成的决定、意见事项要有参会人员三分之二以上(含本数)的赞成方可通过。</w:t>
      </w:r>
    </w:p>
    <w:p w14:paraId="546530E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textAlignment w:val="baseline"/>
        <w:rPr>
          <w:rFonts w:hint="eastAsia" w:ascii="方正仿宋_GBK" w:hAnsi="方正仿宋_GBK" w:eastAsia="方正仿宋_GBK" w:cs="方正仿宋_GBK"/>
          <w:spacing w:val="17"/>
          <w:sz w:val="32"/>
          <w:szCs w:val="32"/>
          <w:lang w:eastAsia="zh-CN"/>
        </w:rPr>
      </w:pPr>
      <w:r>
        <w:rPr>
          <w:rFonts w:hint="eastAsia" w:ascii="方正仿宋_GBK" w:hAnsi="方正仿宋_GBK" w:eastAsia="方正仿宋_GBK" w:cs="方正仿宋_GBK"/>
          <w:spacing w:val="17"/>
          <w:sz w:val="32"/>
          <w:szCs w:val="32"/>
          <w:lang w:eastAsia="zh-CN"/>
        </w:rPr>
        <w:t>(三)经过案审委决定的事项，作为案件办理执行依据，办案科室(队)必须严格执行。</w:t>
      </w:r>
    </w:p>
    <w:p w14:paraId="23F3478E">
      <w:pPr>
        <w:spacing w:line="480" w:lineRule="exact"/>
        <w:rPr>
          <w:rFonts w:hint="eastAsia" w:cs="方正仿宋_GBK"/>
          <w:szCs w:val="32"/>
        </w:rPr>
      </w:pPr>
      <w:r>
        <w:rPr>
          <w:rFonts w:hint="eastAsia" w:ascii="方正仿宋_GBK" w:hAnsi="方正仿宋_GBK" w:eastAsia="方正仿宋_GBK" w:cs="方正仿宋_GBK"/>
          <w:spacing w:val="17"/>
          <w:sz w:val="32"/>
          <w:szCs w:val="32"/>
          <w:lang w:eastAsia="zh-CN"/>
        </w:rPr>
        <w:t>(四)严格保密规定，所有参会人员，不得对外泄露案件审理的相关内容。</w:t>
      </w:r>
    </w:p>
    <w:p w14:paraId="42689B05">
      <w:pPr>
        <w:rPr>
          <w:rFonts w:hint="eastAsia" w:cs="方正仿宋_GBK"/>
          <w:szCs w:val="32"/>
        </w:rPr>
      </w:pPr>
      <w:r>
        <w:rPr>
          <w:rFonts w:hint="eastAsia" w:cs="方正仿宋_GBK"/>
          <w:szCs w:val="32"/>
        </w:rPr>
        <w:br w:type="page"/>
      </w:r>
    </w:p>
    <w:p w14:paraId="2F74A080">
      <w:pPr>
        <w:spacing w:line="480" w:lineRule="exact"/>
        <w:rPr>
          <w:rFonts w:hint="eastAsia" w:cs="方正仿宋_GBK"/>
          <w:szCs w:val="32"/>
        </w:rPr>
      </w:pPr>
    </w:p>
    <w:p w14:paraId="41670DE4">
      <w:pPr>
        <w:spacing w:line="480" w:lineRule="exact"/>
        <w:rPr>
          <w:rFonts w:hint="eastAsia" w:cs="方正仿宋_GBK"/>
          <w:szCs w:val="32"/>
        </w:rPr>
      </w:pPr>
    </w:p>
    <w:p w14:paraId="5D0FE60E">
      <w:pPr>
        <w:spacing w:line="480" w:lineRule="exact"/>
        <w:rPr>
          <w:rFonts w:hint="eastAsia" w:cs="方正仿宋_GBK"/>
          <w:szCs w:val="32"/>
        </w:rPr>
      </w:pPr>
    </w:p>
    <w:p w14:paraId="0E50EB72">
      <w:pPr>
        <w:spacing w:line="480" w:lineRule="exact"/>
        <w:rPr>
          <w:rFonts w:hint="eastAsia" w:cs="方正仿宋_GBK"/>
          <w:szCs w:val="32"/>
        </w:rPr>
      </w:pPr>
    </w:p>
    <w:p w14:paraId="6B0B212A">
      <w:pPr>
        <w:spacing w:line="480" w:lineRule="exact"/>
        <w:rPr>
          <w:rFonts w:hint="eastAsia" w:cs="方正仿宋_GBK"/>
          <w:szCs w:val="32"/>
        </w:rPr>
      </w:pPr>
    </w:p>
    <w:p w14:paraId="176DF1BD">
      <w:pPr>
        <w:spacing w:line="480" w:lineRule="exact"/>
        <w:rPr>
          <w:rFonts w:hint="eastAsia" w:cs="方正仿宋_GBK"/>
          <w:szCs w:val="32"/>
        </w:rPr>
      </w:pPr>
    </w:p>
    <w:p w14:paraId="7E1A7623">
      <w:pPr>
        <w:spacing w:line="480" w:lineRule="exact"/>
        <w:rPr>
          <w:rFonts w:hint="eastAsia" w:cs="方正仿宋_GBK"/>
          <w:szCs w:val="32"/>
        </w:rPr>
      </w:pPr>
    </w:p>
    <w:p w14:paraId="2F2E4779">
      <w:pPr>
        <w:spacing w:line="480" w:lineRule="exact"/>
        <w:rPr>
          <w:rFonts w:hint="eastAsia" w:cs="方正仿宋_GBK"/>
          <w:szCs w:val="32"/>
        </w:rPr>
      </w:pPr>
    </w:p>
    <w:p w14:paraId="54D69A5E">
      <w:pPr>
        <w:spacing w:line="480" w:lineRule="exact"/>
        <w:rPr>
          <w:rFonts w:hint="eastAsia" w:cs="方正仿宋_GBK"/>
          <w:szCs w:val="32"/>
        </w:rPr>
      </w:pPr>
    </w:p>
    <w:p w14:paraId="327E6E23">
      <w:pPr>
        <w:spacing w:line="480" w:lineRule="exact"/>
        <w:rPr>
          <w:rFonts w:hint="eastAsia" w:cs="方正仿宋_GBK"/>
          <w:szCs w:val="32"/>
        </w:rPr>
      </w:pPr>
    </w:p>
    <w:p w14:paraId="0F00D43C">
      <w:pPr>
        <w:spacing w:line="480" w:lineRule="exact"/>
        <w:rPr>
          <w:rFonts w:hint="eastAsia" w:cs="方正仿宋_GBK"/>
          <w:szCs w:val="32"/>
        </w:rPr>
      </w:pPr>
    </w:p>
    <w:p w14:paraId="5C08AE1E">
      <w:pPr>
        <w:spacing w:line="480" w:lineRule="exact"/>
        <w:rPr>
          <w:rFonts w:hint="eastAsia" w:cs="方正仿宋_GBK"/>
          <w:szCs w:val="32"/>
        </w:rPr>
      </w:pPr>
    </w:p>
    <w:p w14:paraId="35F30040">
      <w:pPr>
        <w:spacing w:line="480" w:lineRule="exact"/>
        <w:rPr>
          <w:rFonts w:hint="eastAsia" w:cs="方正仿宋_GBK"/>
          <w:szCs w:val="32"/>
        </w:rPr>
      </w:pPr>
    </w:p>
    <w:p w14:paraId="571D55DB">
      <w:pPr>
        <w:spacing w:line="480" w:lineRule="exact"/>
        <w:rPr>
          <w:rFonts w:hint="eastAsia" w:cs="方正仿宋_GBK"/>
          <w:szCs w:val="32"/>
        </w:rPr>
      </w:pPr>
    </w:p>
    <w:p w14:paraId="0181BB66">
      <w:pPr>
        <w:spacing w:line="480" w:lineRule="exact"/>
        <w:rPr>
          <w:rFonts w:hint="eastAsia" w:cs="方正仿宋_GBK"/>
          <w:szCs w:val="32"/>
        </w:rPr>
      </w:pPr>
    </w:p>
    <w:p w14:paraId="3E5F9A21">
      <w:pPr>
        <w:spacing w:line="480" w:lineRule="exact"/>
        <w:rPr>
          <w:rFonts w:hint="eastAsia" w:cs="方正仿宋_GBK"/>
          <w:szCs w:val="32"/>
        </w:rPr>
      </w:pPr>
    </w:p>
    <w:p w14:paraId="3F1803D6">
      <w:pPr>
        <w:spacing w:line="480" w:lineRule="exact"/>
        <w:rPr>
          <w:rFonts w:hint="eastAsia" w:cs="方正仿宋_GBK"/>
          <w:szCs w:val="32"/>
        </w:rPr>
      </w:pPr>
    </w:p>
    <w:p w14:paraId="1D305213">
      <w:pPr>
        <w:spacing w:line="480" w:lineRule="exact"/>
        <w:rPr>
          <w:rFonts w:hint="eastAsia" w:cs="方正仿宋_GBK"/>
          <w:szCs w:val="32"/>
        </w:rPr>
      </w:pPr>
    </w:p>
    <w:p w14:paraId="2D40EE11">
      <w:pPr>
        <w:spacing w:line="480" w:lineRule="exact"/>
        <w:rPr>
          <w:rFonts w:hint="eastAsia" w:cs="方正仿宋_GBK"/>
          <w:szCs w:val="32"/>
        </w:rPr>
      </w:pPr>
    </w:p>
    <w:p w14:paraId="325F10E9">
      <w:pPr>
        <w:spacing w:line="480" w:lineRule="exact"/>
        <w:rPr>
          <w:rFonts w:hint="eastAsia" w:cs="方正仿宋_GBK"/>
          <w:szCs w:val="32"/>
        </w:rPr>
      </w:pPr>
    </w:p>
    <w:p w14:paraId="3A48496D">
      <w:pPr>
        <w:spacing w:line="480" w:lineRule="exact"/>
        <w:rPr>
          <w:rFonts w:hint="eastAsia" w:cs="方正仿宋_GBK"/>
          <w:szCs w:val="32"/>
        </w:rPr>
      </w:pPr>
    </w:p>
    <w:p w14:paraId="1CF34972">
      <w:pPr>
        <w:spacing w:line="480" w:lineRule="exact"/>
        <w:rPr>
          <w:rFonts w:hint="eastAsia" w:cs="方正仿宋_GBK"/>
          <w:szCs w:val="32"/>
        </w:rPr>
      </w:pPr>
    </w:p>
    <w:p w14:paraId="673BA0BB">
      <w:pPr>
        <w:spacing w:line="480" w:lineRule="exact"/>
        <w:rPr>
          <w:rFonts w:hint="eastAsia" w:cs="方正仿宋_GBK"/>
          <w:szCs w:val="32"/>
        </w:rPr>
      </w:pPr>
    </w:p>
    <w:p w14:paraId="76C7F2E8">
      <w:pPr>
        <w:spacing w:line="480" w:lineRule="exact"/>
        <w:rPr>
          <w:rFonts w:hint="eastAsia" w:cs="方正仿宋_GBK"/>
          <w:szCs w:val="32"/>
        </w:rPr>
      </w:pPr>
    </w:p>
    <w:p w14:paraId="5BD1E91F">
      <w:pPr>
        <w:spacing w:line="480" w:lineRule="exact"/>
        <w:rPr>
          <w:rFonts w:hint="eastAsia" w:cs="方正仿宋_GBK"/>
          <w:szCs w:val="32"/>
        </w:rPr>
      </w:pPr>
    </w:p>
    <w:p w14:paraId="173536E7">
      <w:pPr>
        <w:spacing w:line="480" w:lineRule="exact"/>
        <w:rPr>
          <w:rFonts w:hint="eastAsia" w:cs="方正仿宋_GBK"/>
          <w:szCs w:val="32"/>
        </w:rPr>
      </w:pPr>
    </w:p>
    <w:p w14:paraId="7122A56A">
      <w:pPr>
        <w:spacing w:line="480" w:lineRule="exact"/>
        <w:rPr>
          <w:rFonts w:cs="方正仿宋_GBK"/>
          <w:szCs w:val="32"/>
        </w:rPr>
      </w:pPr>
    </w:p>
    <w:p w14:paraId="6B4C27E9">
      <w:pPr>
        <w:widowControl w:val="0"/>
        <w:pBdr>
          <w:top w:val="single" w:color="auto" w:sz="4" w:space="0"/>
          <w:bottom w:val="single" w:color="auto" w:sz="4" w:space="0"/>
        </w:pBdr>
        <w:kinsoku/>
        <w:autoSpaceDE/>
        <w:autoSpaceDN/>
        <w:adjustRightInd/>
        <w:snapToGrid/>
        <w:spacing w:line="480" w:lineRule="exact"/>
        <w:ind w:firstLine="280" w:firstLineChars="100"/>
        <w:jc w:val="both"/>
        <w:textAlignment w:val="auto"/>
        <w:rPr>
          <w:rFonts w:hint="eastAsia" w:ascii="方正仿宋_GBK" w:hAnsi="Times New Roman" w:eastAsia="方正仿宋_GBK" w:cs="Times New Roman"/>
          <w:snapToGrid/>
          <w:kern w:val="2"/>
          <w:sz w:val="28"/>
          <w:szCs w:val="28"/>
          <w:lang w:val="en-US" w:eastAsia="zh-CN" w:bidi="ar-SA"/>
        </w:rPr>
      </w:pPr>
      <w:r>
        <w:rPr>
          <w:rFonts w:hint="eastAsia" w:ascii="方正仿宋_GBK" w:hAnsi="Times New Roman" w:eastAsia="方正仿宋_GBK" w:cs="Times New Roman"/>
          <w:snapToGrid/>
          <w:kern w:val="2"/>
          <w:sz w:val="28"/>
          <w:szCs w:val="28"/>
          <w:lang w:val="en-US" w:eastAsia="zh-CN" w:bidi="ar-SA"/>
        </w:rPr>
        <w:t>重庆市涪陵区应急管理局办公室                      2022年7月26日印发</w:t>
      </w:r>
    </w:p>
    <w:p w14:paraId="407342EB">
      <w:pPr>
        <w:spacing w:line="40" w:lineRule="exact"/>
        <w:rPr>
          <w:rFonts w:hint="eastAsia"/>
        </w:rPr>
      </w:pPr>
    </w:p>
    <w:p w14:paraId="5C3773B4">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708" w:firstLineChars="200"/>
        <w:jc w:val="both"/>
        <w:textAlignment w:val="baseline"/>
        <w:rPr>
          <w:rFonts w:hint="eastAsia" w:ascii="方正仿宋_GBK" w:hAnsi="方正仿宋_GBK" w:eastAsia="方正仿宋_GBK" w:cs="方正仿宋_GBK"/>
          <w:spacing w:val="17"/>
          <w:sz w:val="32"/>
          <w:szCs w:val="32"/>
          <w:lang w:eastAsia="zh-CN"/>
        </w:rPr>
      </w:pPr>
    </w:p>
    <w:sectPr>
      <w:footerReference r:id="rId8" w:type="default"/>
      <w:pgSz w:w="11906" w:h="16838"/>
      <w:pgMar w:top="1431" w:right="1464" w:bottom="1106" w:left="1602" w:header="0" w:footer="7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3C46">
    <w:pPr>
      <w:spacing w:line="162" w:lineRule="auto"/>
      <w:ind w:right="7"/>
      <w:jc w:val="right"/>
      <w:rPr>
        <w:rFonts w:ascii="微软雅黑" w:hAnsi="微软雅黑" w:eastAsia="微软雅黑" w:cs="微软雅黑"/>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2134">
    <w:pPr>
      <w:spacing w:before="1" w:line="163" w:lineRule="auto"/>
      <w:rPr>
        <w:rFonts w:ascii="微软雅黑" w:hAnsi="微软雅黑" w:eastAsia="微软雅黑" w:cs="微软雅黑"/>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8876">
    <w:pPr>
      <w:spacing w:line="163" w:lineRule="auto"/>
      <w:ind w:right="81"/>
      <w:jc w:val="right"/>
      <w:rPr>
        <w:rFonts w:ascii="微软雅黑" w:hAnsi="微软雅黑" w:eastAsia="微软雅黑" w:cs="微软雅黑"/>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07D1">
    <w:pPr>
      <w:spacing w:before="1" w:line="161" w:lineRule="auto"/>
      <w:jc w:val="right"/>
      <w:rPr>
        <w:rFonts w:ascii="微软雅黑" w:hAnsi="微软雅黑" w:eastAsia="微软雅黑" w:cs="微软雅黑"/>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EzN2U0MmQ3NDcxOGFjM2NiOGFhNTQzZDU4NzliMTcifQ=="/>
  </w:docVars>
  <w:rsids>
    <w:rsidRoot w:val="00000000"/>
    <w:rsid w:val="0B495BA4"/>
    <w:rsid w:val="3C46389D"/>
    <w:rsid w:val="46755060"/>
    <w:rsid w:val="48A16F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1627</Words>
  <Characters>1643</Characters>
  <TotalTime>2</TotalTime>
  <ScaleCrop>false</ScaleCrop>
  <LinksUpToDate>false</LinksUpToDate>
  <CharactersWithSpaces>1752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2022-09-23T11:03:00Z</dcterms:created>
  <dc:creator>WPS_1641525517</dc:creator>
  <cp:lastModifiedBy>136****7475</cp:lastModifiedBy>
  <dcterms:modified xsi:type="dcterms:W3CDTF">2025-04-16T06:58:16Z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2023-05-22T12:53:20Z</vt:filetime>
  </property>
  <property fmtid="{D5CDD505-2E9C-101B-9397-08002B2CF9AE}" pid="4" name="KSOProductBuildVer">
    <vt:lpwstr>2052-12.1.0.20784</vt:lpwstr>
  </property>
  <property fmtid="{D5CDD505-2E9C-101B-9397-08002B2CF9AE}" pid="5" name="ICV">
    <vt:lpwstr>C10E9C01AE604E56BA1C3C8619AF3C24</vt:lpwstr>
  </property>
  <property fmtid="{D5CDD505-2E9C-101B-9397-08002B2CF9AE}" pid="6" name="KSOTemplateDocerSaveRecord">
    <vt:lpwstr>eyJoZGlkIjoiZDA3OTUzOWQ5M2M0ZDQ0MTFjZGVkOWE2MTUxNjBjZWQiLCJ1c2VySWQiOiI2MzY3NzI1MDYifQ==</vt:lpwstr>
  </property>
</Properties>
</file>