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eastAsia="方正小标宋_GBK" w:cs="Times New Roman" w:hAnsi="Times New Roman"/>
          <w:kern w:val="0"/>
          <w:sz w:val="44"/>
          <w:szCs w:val="44"/>
        </w:rPr>
      </w:pPr>
      <w:r>
        <w:rPr>
          <w:rFonts w:ascii="Times New Roman" w:eastAsia="方正小标宋_GBK" w:cs="Times New Roman" w:hAnsi="Times New Roman"/>
          <w:kern w:val="0"/>
          <w:sz w:val="44"/>
          <w:szCs w:val="44"/>
        </w:rPr>
        <w:t>重庆市涪陵区住房和城乡建设委员会</w:t>
      </w:r>
    </w:p>
    <w:p>
      <w:pPr>
        <w:spacing w:line="600" w:lineRule="exact"/>
        <w:jc w:val="center"/>
        <w:rPr>
          <w:rFonts w:ascii="Times New Roman" w:eastAsia="方正小标宋_GBK" w:cs="Times New Roman" w:hAnsi="Times New Roman"/>
          <w:kern w:val="0"/>
          <w:sz w:val="44"/>
          <w:szCs w:val="44"/>
        </w:rPr>
      </w:pPr>
      <w:r>
        <w:rPr>
          <w:rFonts w:ascii="Times New Roman" w:eastAsia="方正小标宋_GBK" w:cs="Times New Roman" w:hAnsi="Times New Roman"/>
          <w:kern w:val="0"/>
          <w:sz w:val="44"/>
          <w:szCs w:val="44"/>
        </w:rPr>
        <w:t>关于涪陵区202</w:t>
      </w:r>
      <w:r>
        <w:rPr>
          <w:rFonts w:ascii="Times New Roman" w:eastAsia="方正小标宋_GBK" w:cs="Times New Roman" w:hAnsi="Times New Roman"/>
          <w:kern w:val="0"/>
          <w:sz w:val="44"/>
          <w:szCs w:val="44"/>
          <w:lang w:val="en-US"/>
        </w:rPr>
        <w:t>5</w:t>
      </w:r>
      <w:r>
        <w:rPr>
          <w:rFonts w:ascii="Times New Roman" w:eastAsia="方正小标宋_GBK" w:cs="Times New Roman" w:hAnsi="Times New Roman"/>
          <w:kern w:val="0"/>
          <w:sz w:val="44"/>
          <w:szCs w:val="44"/>
        </w:rPr>
        <w:t>年度建筑施工企业资质</w:t>
      </w:r>
    </w:p>
    <w:p>
      <w:pPr>
        <w:spacing w:line="60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kern w:val="0"/>
          <w:sz w:val="44"/>
          <w:szCs w:val="44"/>
          <w:lang w:eastAsia="zh-CN"/>
        </w:rPr>
        <w:t>“</w:t>
      </w:r>
      <w:r>
        <w:rPr>
          <w:rFonts w:ascii="Times New Roman" w:eastAsia="方正小标宋_GBK" w:cs="Times New Roman" w:hAnsi="Times New Roman"/>
          <w:kern w:val="0"/>
          <w:sz w:val="44"/>
          <w:szCs w:val="44"/>
        </w:rPr>
        <w:t>双随机、一公开</w:t>
      </w:r>
      <w:r>
        <w:rPr>
          <w:rFonts w:ascii="Times New Roman" w:eastAsia="方正小标宋_GBK" w:cs="Times New Roman" w:hAnsi="Times New Roman" w:hint="eastAsia"/>
          <w:kern w:val="0"/>
          <w:sz w:val="44"/>
          <w:szCs w:val="44"/>
          <w:lang w:eastAsia="zh-CN"/>
        </w:rPr>
        <w:t>”</w:t>
      </w:r>
      <w:r>
        <w:rPr>
          <w:rFonts w:ascii="Times New Roman" w:eastAsia="方正小标宋_GBK" w:cs="Times New Roman" w:hAnsi="Times New Roman"/>
          <w:kern w:val="0"/>
          <w:sz w:val="44"/>
          <w:szCs w:val="44"/>
        </w:rPr>
        <w:t>检查整改情况的通报</w:t>
      </w:r>
    </w:p>
    <w:p>
      <w:pPr>
        <w:spacing w:line="600" w:lineRule="exact"/>
        <w:ind w:left="0"/>
        <w:jc w:val="center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涪陵住建发〔202</w:t>
      </w:r>
      <w:r>
        <w:rPr>
          <w:rFonts w:ascii="Times New Roman" w:eastAsia="方正仿宋_GBK" w:cs="Times New Roman" w:hAnsi="Times New Roman"/>
          <w:sz w:val="32"/>
          <w:szCs w:val="32"/>
          <w:lang w:val="en-US"/>
        </w:rPr>
        <w:t>6</w:t>
      </w:r>
      <w:r>
        <w:rPr>
          <w:rFonts w:ascii="Times New Roman" w:eastAsia="方正仿宋_GBK" w:cs="Times New Roman" w:hAnsi="Times New Roman"/>
          <w:sz w:val="32"/>
          <w:szCs w:val="32"/>
        </w:rPr>
        <w:t>〕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48</w:t>
      </w:r>
      <w:r>
        <w:rPr>
          <w:rFonts w:ascii="Times New Roman" w:eastAsia="方正仿宋_GBK" w:cs="Times New Roman" w:hAnsi="Times New Roman"/>
          <w:sz w:val="32"/>
          <w:szCs w:val="32"/>
        </w:rPr>
        <w:t>号</w:t>
      </w:r>
    </w:p>
    <w:p>
      <w:pPr>
        <w:spacing w:line="600" w:lineRule="exact"/>
        <w:ind w:left="0"/>
        <w:jc w:val="center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spacing w:line="600" w:lineRule="exac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区属各建筑施工企业：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根据重庆市住建委《重庆市本市建设工程企业资质和市外企业入渝信息动态监管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eastAsia="zh-CN"/>
        </w:rPr>
        <w:t>操作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规则》（渝建管〔202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〕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 w:eastAsia="zh-CN"/>
        </w:rPr>
        <w:t>82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号）文件，我委对涪陵区202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年度建筑施工企业资质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  <w:lang w:eastAsia="zh-CN"/>
        </w:rPr>
        <w:t>“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双随机、一公开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  <w:lang w:eastAsia="zh-CN"/>
        </w:rPr>
        <w:t>”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检查中存在问题的企业整改情况进行了核查，现将核查结果予以公布（详情见附件），特此通报。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附件：涪陵区202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/>
        </w:rPr>
        <w:t>5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年度建筑施工企业资质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  <w:lang w:eastAsia="zh-CN"/>
        </w:rPr>
        <w:t>“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双随机、一公</w:t>
      </w:r>
    </w:p>
    <w:p>
      <w:pPr>
        <w:spacing w:line="600" w:lineRule="exact"/>
        <w:ind w:firstLineChars="500" w:firstLine="1600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开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  <w:lang w:eastAsia="zh-CN"/>
        </w:rPr>
        <w:t>”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检查整改情况汇总表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 xml:space="preserve">重庆市涪陵区住房和城乡建设委员会    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 xml:space="preserve">                        202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/>
        </w:rPr>
        <w:t>6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 xml:space="preserve">年 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/>
        </w:rPr>
        <w:t>6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月</w:t>
      </w:r>
      <w:r>
        <w:rPr>
          <w:rFonts w:ascii="Times New Roman" w:eastAsia="方正仿宋_GBK" w:cs="Times New Roman" w:hAnsi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 xml:space="preserve">日  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（此件公开发布）</w:t>
      </w:r>
    </w:p>
    <w:p>
      <w:pPr>
        <w:tabs>
          <w:tab w:val="left" w:pos="5098"/>
        </w:tabs>
        <w:jc w:val="left"/>
        <w:rPr>
          <w:rFonts w:ascii="Times New Roman" w:eastAsia="方正黑体_GBK" w:cs="Times New Roman" w:hAnsi="Times New Roman"/>
          <w:bCs/>
          <w:sz w:val="28"/>
          <w:szCs w:val="28"/>
        </w:rPr>
      </w:pPr>
      <w:r>
        <w:rPr>
          <w:rFonts w:ascii="Times New Roman" w:eastAsia="方正黑体_GBK" w:cs="Times New Roman" w:hAnsi="Times New Roman"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涪陵区202</w:t>
      </w:r>
      <w:r>
        <w:rPr>
          <w:rFonts w:ascii="Times New Roman" w:eastAsia="方正小标宋_GBK" w:cs="Times New Roman" w:hAnsi="Times New Roman"/>
          <w:sz w:val="44"/>
          <w:szCs w:val="44"/>
          <w:lang w:val="en-US"/>
        </w:rPr>
        <w:t>5</w:t>
      </w:r>
      <w:r>
        <w:rPr>
          <w:rFonts w:ascii="Times New Roman" w:eastAsia="方正小标宋_GBK" w:cs="Times New Roman" w:hAnsi="Times New Roman"/>
          <w:sz w:val="44"/>
          <w:szCs w:val="44"/>
        </w:rPr>
        <w:t>年度建筑施工企业资质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600" w:lineRule="exact"/>
        <w:jc w:val="center"/>
        <w:textAlignment w:val="auto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sz w:val="44"/>
          <w:szCs w:val="44"/>
          <w:lang w:eastAsia="zh-CN"/>
        </w:rPr>
        <w:t>“</w:t>
      </w:r>
      <w:r>
        <w:rPr>
          <w:rFonts w:ascii="Times New Roman" w:eastAsia="方正小标宋_GBK" w:cs="Times New Roman" w:hAnsi="Times New Roman"/>
          <w:sz w:val="44"/>
          <w:szCs w:val="44"/>
        </w:rPr>
        <w:t>双随机、一公开</w:t>
      </w:r>
      <w:r>
        <w:rPr>
          <w:rFonts w:ascii="Times New Roman" w:eastAsia="方正小标宋_GBK" w:cs="Times New Roman" w:hAnsi="Times New Roman" w:hint="eastAsia"/>
          <w:sz w:val="44"/>
          <w:szCs w:val="44"/>
          <w:lang w:eastAsia="zh-CN"/>
        </w:rPr>
        <w:t>”</w:t>
      </w:r>
      <w:r>
        <w:rPr>
          <w:rFonts w:ascii="Times New Roman" w:eastAsia="方正小标宋_GBK" w:cs="Times New Roman" w:hAnsi="Times New Roman"/>
          <w:sz w:val="44"/>
          <w:szCs w:val="44"/>
        </w:rPr>
        <w:t>检查整改情况汇总表</w:t>
      </w:r>
    </w:p>
    <w:tbl>
      <w:tblPr>
        <w:jc w:val="center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3"/>
        <w:gridCol w:w="656"/>
        <w:gridCol w:w="2848"/>
        <w:gridCol w:w="3276"/>
        <w:gridCol w:w="853"/>
        <w:gridCol w:w="1752"/>
      </w:tblGrid>
      <w:tr>
        <w:trPr>
          <w:trHeight w:val="941"/>
          <w:tblHeader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企业类型</w:t>
            </w: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27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受检资质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检查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cs="Times New Roman" w:hAnsi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860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Hlk195516543"/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2"/>
              </w:rPr>
              <w:t>市内建筑施工企业</w:t>
            </w: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重庆市聚科科技有限公司</w:t>
            </w:r>
          </w:p>
        </w:tc>
        <w:tc>
          <w:tcPr>
            <w:tcW w:w="3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专业承包电子与智能化工程二级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rPr>
          <w:trHeight w:val="860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cs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重庆贞亮科技有限公司</w:t>
            </w:r>
          </w:p>
        </w:tc>
        <w:tc>
          <w:tcPr>
            <w:tcW w:w="327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专业承包电子与智能化工程二级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ind w:firstLineChars="100" w:firstLine="22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未提交资料</w:t>
            </w:r>
          </w:p>
        </w:tc>
      </w:tr>
    </w:tbl>
    <w:p>
      <w:pPr>
        <w:rPr>
          <w:rFonts w:ascii="Times New Roman" w:cs="Times New Roman" w:hAnsi="Times New Roman"/>
        </w:rPr>
      </w:pPr>
      <w:bookmarkEnd w:id="0"/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  <w:bookmarkStart w:id="1" w:name="_GoBack"/>
      <w:bookmarkEnd w:id="1"/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p>
      <w:pPr>
        <w:pBdr>
          <w:top w:val="single" w:sz="8" w:space="1" w:color="auto"/>
          <w:bottom w:val="single" w:sz="8" w:space="1" w:color="auto"/>
        </w:pBdr>
        <w:spacing w:line="560" w:lineRule="exact"/>
        <w:ind w:firstLineChars="100" w:firstLine="264"/>
        <w:rPr>
          <w:rFonts w:ascii="Times New Roman" w:cs="Times New Roman" w:hAnsi="Times New Roman"/>
        </w:rPr>
      </w:pPr>
      <w:r>
        <w:rPr>
          <w:rFonts w:ascii="Times New Roman" w:eastAsia="方正仿宋_GBK" w:cs="Times New Roman" w:hAnsi="Times New Roman"/>
          <w:spacing w:val="-8"/>
          <w:sz w:val="28"/>
          <w:szCs w:val="28"/>
        </w:rPr>
        <w:t>重庆市涪陵区住房和城乡建设委员会办公室     202</w:t>
      </w:r>
      <w:r>
        <w:rPr>
          <w:rFonts w:ascii="Times New Roman" w:eastAsia="方正仿宋_GBK" w:cs="Times New Roman" w:hAnsi="Times New Roman"/>
          <w:spacing w:val="-8"/>
          <w:sz w:val="28"/>
          <w:szCs w:val="28"/>
          <w:lang w:val="en-US" w:eastAsia="zh-CN"/>
        </w:rPr>
        <w:t>6</w:t>
      </w:r>
      <w:r>
        <w:rPr>
          <w:rFonts w:ascii="Times New Roman" w:eastAsia="方正仿宋_GBK" w:cs="Times New Roman" w:hAnsi="Times New Roman"/>
          <w:spacing w:val="-8"/>
          <w:sz w:val="28"/>
          <w:szCs w:val="28"/>
        </w:rPr>
        <w:t>年</w:t>
      </w:r>
      <w:r>
        <w:rPr>
          <w:rFonts w:ascii="Times New Roman" w:eastAsia="方正仿宋_GBK" w:cs="Times New Roman" w:hAnsi="Times New Roman"/>
          <w:spacing w:val="-8"/>
          <w:sz w:val="28"/>
          <w:szCs w:val="28"/>
          <w:lang w:val="en-US" w:eastAsia="zh-CN"/>
        </w:rPr>
        <w:t>6</w:t>
      </w:r>
      <w:r>
        <w:rPr>
          <w:rFonts w:ascii="Times New Roman" w:eastAsia="方正仿宋_GBK" w:cs="Times New Roman" w:hAnsi="Times New Roman"/>
          <w:spacing w:val="-8"/>
          <w:sz w:val="28"/>
          <w:szCs w:val="28"/>
        </w:rPr>
        <w:t>月</w:t>
      </w:r>
      <w:r>
        <w:rPr>
          <w:rFonts w:ascii="Times New Roman" w:eastAsia="方正仿宋_GBK" w:cs="Times New Roman" w:hAnsi="Times New Roman"/>
          <w:spacing w:val="-8"/>
          <w:sz w:val="28"/>
          <w:szCs w:val="28"/>
          <w:lang w:val="en-US" w:eastAsia="zh-CN"/>
        </w:rPr>
        <w:t>9</w:t>
      </w:r>
      <w:r>
        <w:rPr>
          <w:rFonts w:ascii="Times New Roman" w:eastAsia="方正仿宋_GBK" w:cs="Times New Roman" w:hAnsi="Times New Roman"/>
          <w:spacing w:val="-8"/>
          <w:sz w:val="28"/>
          <w:szCs w:val="28"/>
        </w:rPr>
        <w:t>日印发</w:t>
      </w:r>
    </w:p>
    <w:sectPr>
      <w:footerReference w:type="default" r:id="rId2"/>
      <w:pgSz w:w="11906" w:h="16838"/>
      <w:pgMar w:top="2098" w:right="1474" w:bottom="1984" w:left="1587" w:header="851" w:footer="1417" w:gutter="0"/>
      <w:pgNumType w:chapStyle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04647"/>
              <wp:effectExtent l="0" t="0" r="0" b="0"/>
              <wp:wrapNone/>
              <wp:docPr id="1" name="文本框 1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1 3" o:spid="_x0000_s3" filled="f" stroked="f" style="position:absolute;margin-left:0.0pt;margin-top:0.0pt;width:48.99997pt;height:16.113997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mirrorMargins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600" w:lineRule="exact"/>
      <w:jc w:val="center"/>
      <w:outlineLvl w:val="0"/>
    </w:pPr>
    <w:rPr>
      <w:rFonts w:ascii="Times New Roman" w:eastAsia="方正小标宋_GBK" w:hAnsi="Times New Roman"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7061237-67CE-46D4-B386-86515EAAE0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15165787</TotalTime>
  <Application>Yozo_Office27021597764231179</Application>
  <Pages>3</Pages>
  <Words>0</Words>
  <Characters>426</Characters>
  <Lines>0</Lines>
  <Paragraphs>79</Paragraphs>
  <CharactersWithSpaces>568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yq</cp:lastModifiedBy>
  <cp:revision>3</cp:revision>
  <cp:lastPrinted>2026-06-10T09:07:00Z</cp:lastPrinted>
  <dcterms:created xsi:type="dcterms:W3CDTF">2025-04-14T19:24:00Z</dcterms:created>
  <dcterms:modified xsi:type="dcterms:W3CDTF">2026-06-10T09:32:13Z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</Properties>
</file>