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方正小标宋_GBK" w:eastAsia="方正小标宋_GBK"/>
          <w:b/>
          <w:bCs/>
        </w:rPr>
      </w:pPr>
    </w:p>
    <w:p>
      <w:pPr>
        <w:spacing w:line="400" w:lineRule="exact"/>
        <w:rPr>
          <w:rFonts w:hint="eastAsia" w:ascii="方正小标宋_GBK" w:eastAsia="方正小标宋_GBK"/>
          <w:spacing w:val="-14"/>
          <w:w w:val="42"/>
        </w:rPr>
      </w:pPr>
      <w:r>
        <w:rPr>
          <w:rFonts w:ascii="方正小标宋_GBK" w:eastAsia="方正小标宋_GBK"/>
          <w:b/>
          <w:bCs/>
          <w:sz w:val="20"/>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186055</wp:posOffset>
                </wp:positionV>
                <wp:extent cx="635" cy="0"/>
                <wp:effectExtent l="0" t="12700" r="18415" b="15875"/>
                <wp:wrapTight wrapText="bothSides">
                  <wp:wrapPolygon>
                    <wp:start x="0" y="0"/>
                    <wp:lineTo x="0" y="0"/>
                    <wp:lineTo x="0" y="0"/>
                    <wp:lineTo x="0" y="0"/>
                    <wp:lineTo x="0" y="0"/>
                  </wp:wrapPolygon>
                </wp:wrapTight>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2540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top:14.65pt;height:0pt;width:0.05pt;mso-position-horizontal:center;mso-wrap-distance-left:9pt;mso-wrap-distance-right:9pt;z-index:251658240;mso-width-relative:page;mso-height-relative:page;" filled="f" stroked="t" coordsize="21600,21600" wrapcoords="0 0 0 0 0 0 0 0 0 0" o:gfxdata="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8bKD40QAAAAMBAAAPAAAA&#10;AAAAAAEAIAAAADgAAABkcnMvZG93bnJldi54bWxQSwECFAAUAAAACACHTuJAotp1Vc0BAACNAwAA&#10;DgAAAAAAAAABACAAAAA2AQAAZHJzL2Uyb0RvYy54bWxQSwUGAAAAAAYABgBZAQAAdQUAAAAA&#10;">
                <v:fill on="f" focussize="0,0"/>
                <v:stroke weight="2pt" color="#000000" joinstyle="round"/>
                <v:imagedata o:title=""/>
                <o:lock v:ext="edit" aspectratio="f"/>
                <w10:wrap type="tight"/>
              </v:line>
            </w:pict>
          </mc:Fallback>
        </mc:AlternateContent>
      </w:r>
    </w:p>
    <w:p>
      <w:pPr>
        <w:spacing w:line="400" w:lineRule="exact"/>
        <w:rPr>
          <w:rFonts w:hint="eastAsia" w:ascii="方正小标宋_GBK" w:eastAsia="方正小标宋_GBK"/>
          <w:spacing w:val="-14"/>
          <w:w w:val="42"/>
        </w:rPr>
      </w:pPr>
    </w:p>
    <w:p>
      <w:pPr>
        <w:tabs>
          <w:tab w:val="left" w:pos="8690"/>
        </w:tabs>
        <w:spacing w:line="1180" w:lineRule="exact"/>
        <w:jc w:val="center"/>
        <w:rPr>
          <w:rFonts w:hint="eastAsia" w:ascii="方正小标宋_GBK" w:eastAsia="方正小标宋_GBK"/>
          <w:b/>
          <w:bCs/>
          <w:color w:val="FF0000"/>
          <w:spacing w:val="-14"/>
          <w:w w:val="54"/>
          <w:sz w:val="108"/>
          <w:szCs w:val="108"/>
        </w:rPr>
      </w:pPr>
      <w:r>
        <w:rPr>
          <w:rFonts w:hint="eastAsia" w:ascii="方正小标宋_GBK" w:eastAsia="方正小标宋_GBK"/>
          <w:b/>
          <w:bCs/>
          <w:color w:val="FF0000"/>
          <w:spacing w:val="-14"/>
          <w:w w:val="54"/>
          <w:sz w:val="108"/>
          <w:szCs w:val="108"/>
        </w:rPr>
        <w:t>重庆市涪陵区百胜镇人民政府文件</w:t>
      </w:r>
    </w:p>
    <w:p>
      <w:pPr>
        <w:spacing w:line="460" w:lineRule="exact"/>
        <w:rPr>
          <w:rFonts w:hint="eastAsia" w:ascii="仿宋_GB2312"/>
        </w:rPr>
      </w:pPr>
    </w:p>
    <w:p>
      <w:pPr>
        <w:tabs>
          <w:tab w:val="left" w:pos="316"/>
        </w:tabs>
        <w:jc w:val="center"/>
        <w:rPr>
          <w:rFonts w:hint="eastAsia"/>
        </w:rPr>
      </w:pPr>
      <w:r>
        <w:rPr>
          <w:rFonts w:hint="eastAsia"/>
        </w:rPr>
        <w:t xml:space="preserve">涪百府发〔2010〕44号                 </w:t>
      </w:r>
    </w:p>
    <w:p>
      <w:pPr>
        <w:jc w:val="center"/>
        <w:rPr>
          <w:rFonts w:hint="eastAsia"/>
        </w:rPr>
      </w:pPr>
      <w:r>
        <w:rPr>
          <w:rFonts w:ascii="黑体" w:eastAsia="黑体"/>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6pt;height:0pt;width:442.2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sjgwE1AAA&#10;AAYBAAAPAAAAAAAAAAEAIAAAADgAAABkcnMvZG93bnJldi54bWxQSwECFAAUAAAACACHTuJAeolt&#10;2tMBAACRAwAADgAAAAAAAAABACAAAAA5AQAAZHJzL2Uyb0RvYy54bWxQSwUGAAAAAAYABgBZAQAA&#10;fgUAAAAA&#10;">
                <v:fill on="f" focussize="0,0"/>
                <v:stroke weight="2.25pt" color="#FF0000" joinstyle="round"/>
                <v:imagedata o:title=""/>
                <o:lock v:ext="edit" aspectratio="f"/>
                <w10:wrap type="square"/>
              </v:line>
            </w:pict>
          </mc:Fallback>
        </mc:AlternateContent>
      </w:r>
    </w:p>
    <w:p>
      <w:pPr>
        <w:spacing w:line="700" w:lineRule="exact"/>
        <w:jc w:val="center"/>
        <w:rPr>
          <w:rFonts w:hint="eastAsia" w:ascii="方正小标宋_GBK" w:eastAsia="方正小标宋_GBK"/>
          <w:bCs/>
          <w:sz w:val="44"/>
          <w:szCs w:val="44"/>
        </w:rPr>
      </w:pPr>
      <w:r>
        <w:rPr>
          <w:rFonts w:hint="eastAsia" w:ascii="方正小标宋_GBK" w:eastAsia="方正小标宋_GBK"/>
          <w:bCs/>
          <w:sz w:val="44"/>
          <w:szCs w:val="44"/>
        </w:rPr>
        <w:t>重庆市涪陵区百胜镇人民政府</w:t>
      </w:r>
    </w:p>
    <w:p>
      <w:pPr>
        <w:pStyle w:val="15"/>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关于印发重庆市涪陵区百胜镇畜禽养殖域</w:t>
      </w:r>
    </w:p>
    <w:p>
      <w:pPr>
        <w:pStyle w:val="15"/>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划分方案的通知</w:t>
      </w:r>
    </w:p>
    <w:p>
      <w:pPr>
        <w:pStyle w:val="15"/>
        <w:rPr>
          <w:rFonts w:hint="eastAsia"/>
        </w:rPr>
      </w:pPr>
    </w:p>
    <w:p>
      <w:pPr>
        <w:pStyle w:val="8"/>
        <w:shd w:val="clear" w:color="auto" w:fill="FFFFFF"/>
        <w:spacing w:before="240" w:beforeAutospacing="0" w:after="0" w:afterAutospacing="0" w:line="420" w:lineRule="atLeast"/>
        <w:jc w:val="both"/>
        <w:rPr>
          <w:rFonts w:hint="eastAsia" w:ascii="方正仿宋_GBK" w:hAnsi="微软雅黑" w:eastAsia="方正仿宋_GBK"/>
          <w:color w:val="333333"/>
          <w:sz w:val="32"/>
          <w:szCs w:val="32"/>
        </w:rPr>
      </w:pPr>
      <w:r>
        <w:rPr>
          <w:rFonts w:hint="eastAsia" w:ascii="方正仿宋_GBK" w:hAnsi="微软雅黑" w:eastAsia="方正仿宋_GBK"/>
          <w:color w:val="333333"/>
          <w:sz w:val="32"/>
          <w:szCs w:val="32"/>
        </w:rPr>
        <w:t>各村（居）民委员会、镇属各部门：</w:t>
      </w:r>
    </w:p>
    <w:p>
      <w:pPr>
        <w:pStyle w:val="8"/>
        <w:shd w:val="clear" w:color="auto" w:fill="FFFFFF"/>
        <w:spacing w:before="0" w:beforeAutospacing="0" w:after="0" w:afterAutospacing="0" w:line="420" w:lineRule="atLeast"/>
        <w:ind w:firstLine="632" w:firstLineChars="200"/>
        <w:jc w:val="both"/>
        <w:rPr>
          <w:rFonts w:hint="eastAsia" w:ascii="方正仿宋_GBK" w:hAnsi="微软雅黑" w:eastAsia="方正仿宋_GBK"/>
          <w:color w:val="333333"/>
          <w:sz w:val="32"/>
          <w:szCs w:val="32"/>
        </w:rPr>
      </w:pPr>
      <w:r>
        <w:rPr>
          <w:rFonts w:hint="eastAsia" w:ascii="方正仿宋_GBK" w:hAnsi="微软雅黑" w:eastAsia="方正仿宋_GBK"/>
          <w:color w:val="333333"/>
          <w:sz w:val="32"/>
          <w:szCs w:val="32"/>
        </w:rPr>
        <w:t>现将《重庆市涪陵区百胜镇畜禽养殖区域划分方案》印发给你们，请认真遵照执行。</w:t>
      </w:r>
    </w:p>
    <w:p>
      <w:pPr>
        <w:pStyle w:val="8"/>
        <w:shd w:val="clear" w:color="auto" w:fill="FFFFFF"/>
        <w:spacing w:before="0" w:beforeAutospacing="0" w:after="0" w:afterAutospacing="0" w:line="420" w:lineRule="atLeast"/>
        <w:jc w:val="both"/>
        <w:rPr>
          <w:rFonts w:hint="eastAsia" w:ascii="方正仿宋_GBK" w:hAnsi="微软雅黑" w:eastAsia="方正仿宋_GBK"/>
          <w:color w:val="333333"/>
          <w:sz w:val="32"/>
          <w:szCs w:val="32"/>
        </w:rPr>
      </w:pPr>
    </w:p>
    <w:p>
      <w:pPr>
        <w:pStyle w:val="15"/>
        <w:spacing w:line="560" w:lineRule="atLeast"/>
        <w:ind w:firstLine="4149" w:firstLineChars="1313"/>
        <w:jc w:val="left"/>
        <w:rPr>
          <w:rFonts w:hint="eastAsia" w:ascii="方正仿宋_GBK" w:eastAsia="方正仿宋_GBK"/>
          <w:sz w:val="32"/>
          <w:szCs w:val="32"/>
        </w:rPr>
      </w:pPr>
      <w:r>
        <w:rPr>
          <w:rFonts w:hint="eastAsia" w:ascii="方正仿宋_GBK" w:eastAsia="方正仿宋_GBK"/>
          <w:sz w:val="32"/>
          <w:szCs w:val="32"/>
        </w:rPr>
        <w:t>重庆市涪陵区百胜镇人民政府</w:t>
      </w:r>
    </w:p>
    <w:p>
      <w:pPr>
        <w:pStyle w:val="15"/>
        <w:spacing w:line="560" w:lineRule="atLeast"/>
        <w:ind w:firstLine="630"/>
        <w:jc w:val="left"/>
        <w:rPr>
          <w:rFonts w:hint="eastAsia" w:ascii="方正仿宋_GBK" w:eastAsia="方正仿宋_GBK"/>
          <w:sz w:val="32"/>
          <w:szCs w:val="32"/>
        </w:rPr>
      </w:pPr>
      <w:r>
        <w:rPr>
          <w:rFonts w:hint="eastAsia" w:ascii="方正仿宋_GBK" w:eastAsia="方正仿宋_GBK"/>
          <w:sz w:val="32"/>
          <w:szCs w:val="32"/>
        </w:rPr>
        <w:t xml:space="preserve">                             2010年3月2日</w:t>
      </w:r>
    </w:p>
    <w:p>
      <w:pPr>
        <w:pBdr>
          <w:bottom w:val="single" w:color="auto" w:sz="6" w:space="1"/>
        </w:pBdr>
        <w:rPr>
          <w:rFonts w:hint="eastAsia" w:hAnsi="方正仿宋_GBK" w:cs="方正仿宋_GBK"/>
        </w:rPr>
      </w:pPr>
      <w:r>
        <w:rPr>
          <w:rFonts w:hint="eastAsia" w:ascii="方正黑体_GBK" w:hAnsi="方正仿宋_GBK" w:eastAsia="方正黑体_GBK" w:cs="方正仿宋_GBK"/>
        </w:rPr>
        <w:t>主题词：</w:t>
      </w:r>
      <w:r>
        <w:rPr>
          <w:rFonts w:hint="eastAsia" w:hAnsi="方正仿宋_GBK" w:cs="方正仿宋_GBK"/>
        </w:rPr>
        <w:t>畜牧业  养殖  方案  通知</w:t>
      </w:r>
    </w:p>
    <w:p>
      <w:pPr>
        <w:rPr>
          <w:rFonts w:hint="eastAsia" w:hAnsi="方正仿宋_GBK" w:cs="方正仿宋_GBK"/>
        </w:rPr>
      </w:pPr>
      <w:r>
        <w:rPr>
          <w:rFonts w:hint="eastAsia" w:hAnsi="方正仿宋_GBK" w:cs="方正仿宋_GBK"/>
        </w:rPr>
        <w:t xml:space="preserve">  抄送：区畜牧局，区环保局</w:t>
      </w:r>
    </w:p>
    <w:p>
      <w:pPr>
        <w:pBdr>
          <w:top w:val="single" w:color="auto" w:sz="4" w:space="1"/>
          <w:bottom w:val="single" w:color="auto" w:sz="4" w:space="1"/>
        </w:pBdr>
        <w:spacing w:line="600" w:lineRule="exact"/>
        <w:ind w:firstLine="316" w:firstLineChars="100"/>
        <w:rPr>
          <w:rFonts w:hAnsi="方正仿宋_GBK" w:cs="方正仿宋_GBK"/>
        </w:rPr>
      </w:pPr>
      <w:r>
        <w:rPr>
          <w:rFonts w:hint="eastAsia" w:hAnsi="方正仿宋_GBK" w:cs="方正仿宋_GBK"/>
        </w:rPr>
        <w:t>重庆市涪陵区百胜镇党政办公室      2010年3月4日印</w:t>
      </w:r>
    </w:p>
    <w:p>
      <w:pPr>
        <w:rPr>
          <w:rFonts w:hint="eastAsia"/>
        </w:rPr>
      </w:pPr>
      <w:r>
        <w:rPr>
          <w:rFonts w:hint="eastAsia" w:ascii="方正小标宋_GBK" w:eastAsia="方正小标宋_GBK"/>
          <w:sz w:val="44"/>
          <w:szCs w:val="44"/>
        </w:rPr>
        <w:t>重庆市涪陵区百胜镇畜禽养殖区域划分方案</w:t>
      </w:r>
      <w:r>
        <w:rPr>
          <w:rFonts w:hint="eastAsia" w:ascii="方正小标宋_GBK" w:eastAsia="方正小标宋_GBK"/>
          <w:sz w:val="44"/>
          <w:szCs w:val="44"/>
        </w:rPr>
        <w:br w:type="textWrapping"/>
      </w:r>
      <w:r>
        <w:br w:type="textWrapping"/>
      </w:r>
      <w:r>
        <w:rPr>
          <w:rFonts w:hint="eastAsia"/>
        </w:rPr>
        <w:t xml:space="preserve">    </w:t>
      </w:r>
      <w:r>
        <w:t>为有效防治畜禽养殖污染，促进畜禽养殖业持续健康发展，保护人民群众身体健康和生态环境安全，根据国家有关法律、法规和《重庆市涪陵区人民政府关于印发重庆市涪陵区畜禽养殖区域划分方案的通知》</w:t>
      </w:r>
      <w:r>
        <w:rPr>
          <w:rFonts w:hint="eastAsia"/>
        </w:rPr>
        <w:t>（</w:t>
      </w:r>
      <w:r>
        <w:t>涪府发</w:t>
      </w:r>
      <w:r>
        <w:rPr>
          <w:rFonts w:hint="eastAsia"/>
        </w:rPr>
        <w:t>〔2009〕</w:t>
      </w:r>
      <w:r>
        <w:t>92 号</w:t>
      </w:r>
      <w:r>
        <w:rPr>
          <w:rFonts w:hint="eastAsia"/>
        </w:rPr>
        <w:t>）</w:t>
      </w:r>
      <w:r>
        <w:t>的规定及要求，结合百胜镇的实际，特制定本方案。</w:t>
      </w:r>
      <w:r>
        <w:br w:type="textWrapping"/>
      </w:r>
      <w:r>
        <w:rPr>
          <w:rFonts w:hint="eastAsia"/>
        </w:rPr>
        <w:t xml:space="preserve">    </w:t>
      </w:r>
      <w:r>
        <w:rPr>
          <w:rFonts w:hint="eastAsia" w:ascii="方正黑体_GBK" w:eastAsia="方正黑体_GBK"/>
        </w:rPr>
        <w:t>一、畜禽养殖区域划分依据</w:t>
      </w:r>
      <w:r>
        <w:br w:type="textWrapping"/>
      </w:r>
      <w:r>
        <w:rPr>
          <w:rFonts w:hint="eastAsia"/>
        </w:rPr>
        <w:t xml:space="preserve">    </w:t>
      </w:r>
      <w:r>
        <w:t>《中华人民共和国水污染防治法》</w:t>
      </w:r>
      <w:r>
        <w:rPr>
          <w:rFonts w:hint="eastAsia"/>
        </w:rPr>
        <w:t>、</w:t>
      </w:r>
      <w:r>
        <w:t>《中华人民共和国水污染防治法实施细则》</w:t>
      </w:r>
      <w:r>
        <w:rPr>
          <w:rFonts w:hint="eastAsia"/>
        </w:rPr>
        <w:t>、</w:t>
      </w:r>
      <w:r>
        <w:t>《城市市容和环境卫生管理条例》、《畜禽养殖污染防治管理办法》</w:t>
      </w:r>
      <w:r>
        <w:rPr>
          <w:rFonts w:hint="eastAsia"/>
        </w:rPr>
        <w:t>（</w:t>
      </w:r>
      <w:r>
        <w:t>国家环保总局2001 年9号令</w:t>
      </w:r>
      <w:r>
        <w:rPr>
          <w:rFonts w:hint="eastAsia"/>
        </w:rPr>
        <w:t>）、</w:t>
      </w:r>
      <w:r>
        <w:t>《重庆市环境保护条例》、《重庆市长江三峡库区流域水污染防治条例》</w:t>
      </w:r>
      <w:r>
        <w:rPr>
          <w:rFonts w:hint="eastAsia"/>
        </w:rPr>
        <w:t>、</w:t>
      </w:r>
      <w:r>
        <w:t>《重庆市市容环境卫生管理条例》</w:t>
      </w:r>
      <w:r>
        <w:rPr>
          <w:rFonts w:hint="eastAsia"/>
        </w:rPr>
        <w:t>、</w:t>
      </w:r>
      <w:r>
        <w:t>《重庆市风景名胜区管理条例》</w:t>
      </w:r>
      <w:r>
        <w:rPr>
          <w:rFonts w:hint="eastAsia"/>
        </w:rPr>
        <w:t>、</w:t>
      </w:r>
      <w:r>
        <w:t>《重庆市饮用水源污染防治管理办法》</w:t>
      </w:r>
      <w:r>
        <w:rPr>
          <w:rFonts w:hint="eastAsia"/>
        </w:rPr>
        <w:t>、</w:t>
      </w:r>
      <w:r>
        <w:t>《畜禽养殖业污染物排放标准》( GB18596- 2001 )、《地表水环境质量标准》( GB3838- 2002 )、《重庆市旅游条例》、《重庆市畜禽养殖区城划分管理规定》等法律、法规及相关规定。</w:t>
      </w:r>
      <w:r>
        <w:br w:type="textWrapping"/>
      </w:r>
      <w:r>
        <w:rPr>
          <w:rFonts w:hint="eastAsia" w:ascii="方正黑体_GBK" w:eastAsia="方正黑体_GBK"/>
        </w:rPr>
        <w:t xml:space="preserve">    二、畜禽养殖区域划分范围</w:t>
      </w:r>
      <w:r>
        <w:br w:type="textWrapping"/>
      </w:r>
      <w:r>
        <w:rPr>
          <w:rFonts w:hint="eastAsia" w:ascii="方正楷体_GBK" w:eastAsia="方正楷体_GBK"/>
        </w:rPr>
        <w:t xml:space="preserve">    （一）畜禽禁养区范围</w:t>
      </w:r>
      <w:r>
        <w:rPr>
          <w:rFonts w:hint="eastAsia" w:ascii="方正楷体_GBK" w:eastAsia="方正楷体_GBK"/>
        </w:rPr>
        <w:br w:type="textWrapping"/>
      </w:r>
      <w:r>
        <w:br w:type="textWrapping"/>
      </w:r>
      <w:r>
        <w:rPr>
          <w:rFonts w:hint="eastAsia"/>
        </w:rPr>
        <w:t xml:space="preserve">    </w:t>
      </w:r>
      <w:r>
        <w:t>百胜镇场镇规划区</w:t>
      </w:r>
      <w:r>
        <w:rPr>
          <w:rFonts w:hint="eastAsia"/>
        </w:rPr>
        <w:t>；</w:t>
      </w:r>
      <w:r>
        <w:t>集中式饮用水源保护区的一级保护区</w:t>
      </w:r>
      <w:r>
        <w:rPr>
          <w:rFonts w:hint="eastAsia"/>
        </w:rPr>
        <w:t>；</w:t>
      </w:r>
      <w:r>
        <w:t>执行I类、II类水质标准的水域及其200米内的陆域</w:t>
      </w:r>
      <w:r>
        <w:rPr>
          <w:rFonts w:hint="eastAsia"/>
        </w:rPr>
        <w:t>；</w:t>
      </w:r>
      <w:r>
        <w:t>自然保护区、</w:t>
      </w:r>
      <w:r>
        <w:rPr>
          <w:rFonts w:hint="eastAsia"/>
          <w:lang w:eastAsia="zh-CN"/>
        </w:rPr>
        <w:t>风</w:t>
      </w:r>
      <w:bookmarkStart w:id="0" w:name="_GoBack"/>
      <w:bookmarkEnd w:id="0"/>
      <w:r>
        <w:t>景名胜区、拟定旅游区，国家森林</w:t>
      </w:r>
      <w:r>
        <w:rPr>
          <w:rFonts w:hint="eastAsia"/>
        </w:rPr>
        <w:t>；</w:t>
      </w:r>
      <w:r>
        <w:t>长江沿岸以及百胜镇辖区内的溪流</w:t>
      </w:r>
      <w:r>
        <w:rPr>
          <w:rFonts w:hint="eastAsia"/>
        </w:rPr>
        <w:t>；</w:t>
      </w:r>
      <w:r>
        <w:t>已经达到养殖饱和密度的区域</w:t>
      </w:r>
      <w:r>
        <w:rPr>
          <w:rFonts w:hint="eastAsia"/>
        </w:rPr>
        <w:t>；</w:t>
      </w:r>
      <w:r>
        <w:t>法律、法规规定需特殊保护的其他区域。</w:t>
      </w:r>
      <w:r>
        <w:br w:type="textWrapping"/>
      </w:r>
      <w:r>
        <w:rPr>
          <w:rFonts w:hint="eastAsia"/>
        </w:rPr>
        <w:t xml:space="preserve">    （二）</w:t>
      </w:r>
      <w:r>
        <w:t>畜禽限养区范围</w:t>
      </w:r>
      <w:r>
        <w:br w:type="textWrapping"/>
      </w:r>
      <w:r>
        <w:rPr>
          <w:rFonts w:hint="eastAsia"/>
        </w:rPr>
        <w:t xml:space="preserve">    </w:t>
      </w:r>
      <w:r>
        <w:t>已经建成多个养殖规模场的区域</w:t>
      </w:r>
      <w:r>
        <w:rPr>
          <w:rFonts w:hint="eastAsia"/>
        </w:rPr>
        <w:t>；</w:t>
      </w:r>
      <w:r>
        <w:t>居民集中区、医疗区、文教科研区、工业园区</w:t>
      </w:r>
      <w:r>
        <w:rPr>
          <w:rFonts w:hint="eastAsia"/>
        </w:rPr>
        <w:t>；</w:t>
      </w:r>
      <w:r>
        <w:t>集中式饮用水源保护区的准保护区和二级保护区</w:t>
      </w:r>
      <w:r>
        <w:rPr>
          <w:rFonts w:hint="eastAsia"/>
        </w:rPr>
        <w:t>；</w:t>
      </w:r>
      <w:r>
        <w:t>执行皿类水质标准的水域及其200米内的陆域</w:t>
      </w:r>
      <w:r>
        <w:rPr>
          <w:rFonts w:hint="eastAsia"/>
        </w:rPr>
        <w:t>；</w:t>
      </w:r>
      <w:r>
        <w:t>政府规定适养的区域。</w:t>
      </w:r>
      <w:r>
        <w:br w:type="textWrapping"/>
      </w:r>
      <w:r>
        <w:rPr>
          <w:rFonts w:hint="eastAsia"/>
        </w:rPr>
        <w:t xml:space="preserve">    （三）</w:t>
      </w:r>
      <w:r>
        <w:t>畜禽适荞区范围</w:t>
      </w:r>
      <w:r>
        <w:br w:type="textWrapping"/>
      </w:r>
      <w:r>
        <w:rPr>
          <w:rFonts w:hint="eastAsia"/>
        </w:rPr>
        <w:t xml:space="preserve">    </w:t>
      </w:r>
      <w:r>
        <w:t>畜禽禁养区、限养区以外的区域为畜禽适养区</w:t>
      </w:r>
      <w:r>
        <w:rPr>
          <w:rFonts w:hint="eastAsia"/>
        </w:rPr>
        <w:t>。</w:t>
      </w:r>
      <w:r>
        <w:br w:type="textWrapping"/>
      </w:r>
      <w:r>
        <w:rPr>
          <w:rFonts w:hint="eastAsia"/>
        </w:rPr>
        <w:t xml:space="preserve">    </w:t>
      </w:r>
      <w:r>
        <w:rPr>
          <w:rFonts w:hint="eastAsia" w:ascii="方正黑体_GBK" w:eastAsia="方正黑体_GBK"/>
        </w:rPr>
        <w:t>三、畜禽养殖区域管理</w:t>
      </w:r>
    </w:p>
    <w:p>
      <w:pPr>
        <w:ind w:firstLine="632" w:firstLineChars="200"/>
        <w:rPr>
          <w:rFonts w:hint="eastAsia"/>
        </w:rPr>
      </w:pPr>
      <w:r>
        <w:rPr>
          <w:rFonts w:hint="eastAsia"/>
        </w:rPr>
        <w:t>（一）</w:t>
      </w:r>
      <w:r>
        <w:t> 畜禽禁养区内禁止新建、扩建、改建畜禽养殖场。已建的畜禽养殖场必须按照规定在限期内关闭或搬迁。</w:t>
      </w:r>
    </w:p>
    <w:p>
      <w:pPr>
        <w:ind w:firstLine="632" w:firstLineChars="200"/>
        <w:rPr>
          <w:rFonts w:hint="eastAsia" w:hAnsi="方正仿宋_GBK" w:cs="方正仿宋_GBK"/>
        </w:rPr>
      </w:pPr>
      <w:r>
        <w:rPr>
          <w:rFonts w:hint="eastAsia"/>
        </w:rPr>
        <w:t>（二）</w:t>
      </w:r>
      <w:r>
        <w:t>畜禽限葬区实行畜禽养殖存栏总量控制</w:t>
      </w:r>
      <w:r>
        <w:rPr>
          <w:rFonts w:hint="eastAsia"/>
        </w:rPr>
        <w:t>。</w:t>
      </w:r>
      <w:r>
        <w:t>畜禽养殖存栏总量超过畜禽养殖存栏控制总量的，不得新建、扩建畜禽养殖场。养殖经营活动必须遵守国家有关畜禽养殖场环境管理规定和畜禽废渣综合利用规定。畜禽养殖存栏控制总量由区畜牧行政主管部门会同环保部门等根据区域</w:t>
      </w:r>
      <w:r>
        <w:rPr>
          <w:rFonts w:hint="eastAsia"/>
        </w:rPr>
        <w:t>（</w:t>
      </w:r>
      <w:r>
        <w:t>流域</w:t>
      </w:r>
      <w:r>
        <w:rPr>
          <w:rFonts w:hint="eastAsia"/>
        </w:rPr>
        <w:t>）</w:t>
      </w:r>
      <w:r>
        <w:t>的环境承载能力确定。</w:t>
      </w:r>
      <w:r>
        <w:br w:type="textWrapping"/>
      </w:r>
      <w:r>
        <w:rPr>
          <w:rFonts w:hint="eastAsia"/>
        </w:rPr>
        <w:t xml:space="preserve">    （三）</w:t>
      </w:r>
      <w:r>
        <w:t>畜禽适养区内发展畜禽养殖，应当符合全区畜禽养殖发展规划。</w:t>
      </w:r>
      <w:r>
        <w:br w:type="textWrapping"/>
      </w:r>
      <w:r>
        <w:rPr>
          <w:rFonts w:hint="eastAsia"/>
        </w:rPr>
        <w:t xml:space="preserve">    （四）</w:t>
      </w:r>
      <w:r>
        <w:t>新建、扩建、改建畜禽养殖场，必须遵守建设项目环境保护管理规定，并采取有效措施防治畜禽养殖污染。</w:t>
      </w:r>
    </w:p>
    <w:p>
      <w:pPr>
        <w:ind w:firstLine="632" w:firstLineChars="200"/>
        <w:rPr>
          <w:rFonts w:hint="eastAsia" w:ascii="方正黑体_GBK" w:eastAsia="方正黑体_GBK"/>
        </w:rPr>
      </w:pPr>
      <w:r>
        <w:rPr>
          <w:rFonts w:hint="eastAsia" w:ascii="方正黑体_GBK" w:eastAsia="方正黑体_GBK"/>
        </w:rPr>
        <w:t>四、禁养区、限养区、适养区的划分</w:t>
      </w:r>
    </w:p>
    <w:p>
      <w:pPr>
        <w:ind w:firstLine="632" w:firstLineChars="200"/>
        <w:rPr>
          <w:rFonts w:hint="eastAsia" w:ascii="方正楷体_GBK" w:eastAsia="方正楷体_GBK"/>
        </w:rPr>
      </w:pPr>
      <w:r>
        <w:rPr>
          <w:rFonts w:hint="eastAsia" w:ascii="方正楷体_GBK" w:eastAsia="方正楷体_GBK"/>
        </w:rPr>
        <w:t>（一）禁养区的划分</w:t>
      </w:r>
    </w:p>
    <w:p>
      <w:pPr>
        <w:ind w:firstLine="632" w:firstLineChars="200"/>
        <w:rPr>
          <w:rFonts w:hint="eastAsia"/>
        </w:rPr>
      </w:pPr>
      <w:r>
        <w:t>场镇及人口集居地</w:t>
      </w:r>
      <w:r>
        <w:rPr>
          <w:rFonts w:hint="eastAsia"/>
        </w:rPr>
        <w:t>：</w:t>
      </w:r>
      <w:r>
        <w:t>百胜居委以及百胜场镇、永安场、双河场、丛林场。</w:t>
      </w:r>
      <w:r>
        <w:br w:type="textWrapping"/>
      </w:r>
      <w:r>
        <w:rPr>
          <w:rFonts w:hint="eastAsia"/>
        </w:rPr>
        <w:t xml:space="preserve">    </w:t>
      </w:r>
      <w:r>
        <w:t>水源保护区</w:t>
      </w:r>
      <w:r>
        <w:rPr>
          <w:rFonts w:hint="eastAsia"/>
        </w:rPr>
        <w:t>：</w:t>
      </w:r>
      <w:r>
        <w:t>长江沿岸的广辐村1社，八卦村1、2、3社，紫竹村1、8社</w:t>
      </w:r>
      <w:r>
        <w:rPr>
          <w:rFonts w:hint="eastAsia"/>
        </w:rPr>
        <w:t>；</w:t>
      </w:r>
      <w:r>
        <w:t>百胜水库水源保护区隆兴村2、3、7、9、12社</w:t>
      </w:r>
      <w:r>
        <w:rPr>
          <w:rFonts w:hint="eastAsia"/>
        </w:rPr>
        <w:t>；</w:t>
      </w:r>
      <w:r>
        <w:t>紫竹河流域及其200米内的陆域</w:t>
      </w:r>
      <w:r>
        <w:rPr>
          <w:rFonts w:hint="eastAsia"/>
        </w:rPr>
        <w:t>（</w:t>
      </w:r>
      <w:r>
        <w:t>紫竹村2、3、5社，新河村1、3社</w:t>
      </w:r>
      <w:r>
        <w:rPr>
          <w:rFonts w:hint="eastAsia"/>
        </w:rPr>
        <w:t>）；</w:t>
      </w:r>
      <w:r>
        <w:t>珍溪河流域及其200米内的陆域</w:t>
      </w:r>
      <w:r>
        <w:rPr>
          <w:rFonts w:hint="eastAsia"/>
        </w:rPr>
        <w:t>（</w:t>
      </w:r>
      <w:r>
        <w:t>太平市村1、2、3、6社，花庙村2、4社，双河场村1、2、3、6、7社，三台村1、4、5社</w:t>
      </w:r>
      <w:r>
        <w:rPr>
          <w:rFonts w:hint="eastAsia"/>
        </w:rPr>
        <w:t>）。</w:t>
      </w:r>
      <w:r>
        <w:br w:type="textWrapping"/>
      </w:r>
      <w:r>
        <w:rPr>
          <w:rFonts w:hint="eastAsia"/>
        </w:rPr>
        <w:t xml:space="preserve">    </w:t>
      </w:r>
      <w:r>
        <w:t>森林植被及旅游保护区</w:t>
      </w:r>
      <w:r>
        <w:rPr>
          <w:rFonts w:hint="eastAsia"/>
        </w:rPr>
        <w:t>：</w:t>
      </w:r>
      <w:r>
        <w:t>中心村7、8、9社。</w:t>
      </w:r>
      <w:r>
        <w:br w:type="textWrapping"/>
      </w:r>
      <w:r>
        <w:rPr>
          <w:rFonts w:hint="eastAsia"/>
        </w:rPr>
        <w:t xml:space="preserve">    </w:t>
      </w:r>
      <w:r>
        <w:rPr>
          <w:rFonts w:hint="eastAsia" w:ascii="方正楷体_GBK" w:eastAsia="方正楷体_GBK"/>
        </w:rPr>
        <w:t>（二）限养区的划分</w:t>
      </w:r>
      <w:r>
        <w:br w:type="textWrapping"/>
      </w:r>
      <w:r>
        <w:rPr>
          <w:rFonts w:hint="eastAsia"/>
        </w:rPr>
        <w:t xml:space="preserve">    </w:t>
      </w:r>
      <w:r>
        <w:t>已经建成多个养殖规模场的区域</w:t>
      </w:r>
      <w:r>
        <w:rPr>
          <w:rFonts w:hint="eastAsia"/>
        </w:rPr>
        <w:t>：</w:t>
      </w:r>
      <w:r>
        <w:t>中心村、桂花村、回龙村。</w:t>
      </w:r>
      <w:r>
        <w:rPr>
          <w:rFonts w:hint="eastAsia"/>
        </w:rPr>
        <w:t xml:space="preserve">  </w:t>
      </w:r>
    </w:p>
    <w:p>
      <w:pPr>
        <w:ind w:firstLine="632" w:firstLineChars="200"/>
        <w:rPr>
          <w:rFonts w:hint="eastAsia"/>
        </w:rPr>
      </w:pPr>
      <w:r>
        <w:t>居民集中区、医疗区、文教科研区、工业园区</w:t>
      </w:r>
      <w:r>
        <w:rPr>
          <w:rFonts w:hint="eastAsia"/>
        </w:rPr>
        <w:t>：</w:t>
      </w:r>
      <w:r>
        <w:t>紫竹村、新河村、太平市村、齐曲村</w:t>
      </w:r>
      <w:r>
        <w:rPr>
          <w:rFonts w:hint="eastAsia"/>
        </w:rPr>
        <w:t>。</w:t>
      </w:r>
      <w:r>
        <w:br w:type="textWrapping"/>
      </w:r>
      <w:r>
        <w:rPr>
          <w:rFonts w:hint="eastAsia"/>
        </w:rPr>
        <w:t xml:space="preserve">   </w:t>
      </w:r>
      <w:r>
        <w:rPr>
          <w:rFonts w:hint="eastAsia" w:ascii="方正楷体_GBK" w:eastAsia="方正楷体_GBK"/>
        </w:rPr>
        <w:t xml:space="preserve"> （三）适养区的划分</w:t>
      </w:r>
      <w:r>
        <w:br w:type="textWrapping"/>
      </w:r>
      <w:r>
        <w:rPr>
          <w:rFonts w:hint="eastAsia"/>
        </w:rPr>
        <w:t xml:space="preserve">    </w:t>
      </w:r>
      <w:r>
        <w:t>除畜禽禁养区、限养区以外的区域为畜禽适养区</w:t>
      </w:r>
      <w:r>
        <w:rPr>
          <w:rFonts w:hint="eastAsia"/>
        </w:rPr>
        <w:t>。</w:t>
      </w:r>
      <w:r>
        <w:br w:type="textWrapping"/>
      </w:r>
      <w:r>
        <w:br w:type="textWrapping"/>
      </w:r>
      <w:r>
        <w:rPr>
          <w:rFonts w:hint="eastAsia"/>
        </w:rPr>
        <w:t xml:space="preserve">    </w:t>
      </w:r>
      <w:r>
        <w:t>附件</w:t>
      </w:r>
      <w:r>
        <w:rPr>
          <w:rFonts w:hint="eastAsia"/>
        </w:rPr>
        <w:t>：</w:t>
      </w:r>
      <w:r>
        <w:t>涪陵区百胜镇畜禽规模养殖三区规划表</w:t>
      </w: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ind w:firstLine="632" w:firstLineChars="200"/>
        <w:rPr>
          <w:rFonts w:hint="eastAsia"/>
        </w:rPr>
      </w:pPr>
    </w:p>
    <w:p>
      <w:pPr>
        <w:jc w:val="center"/>
        <w:rPr>
          <w:rFonts w:hint="eastAsia" w:hAnsi="方正仿宋_GBK" w:cs="方正仿宋_GBK"/>
        </w:rPr>
      </w:pPr>
    </w:p>
    <w:p>
      <w:pPr>
        <w:jc w:val="center"/>
        <w:rPr>
          <w:rFonts w:hint="eastAsia" w:hAnsi="方正仿宋_GBK" w:cs="方正仿宋_GBK"/>
        </w:rPr>
      </w:pPr>
    </w:p>
    <w:p>
      <w:pPr>
        <w:jc w:val="left"/>
        <w:rPr>
          <w:rFonts w:hint="eastAsia" w:ascii="黑体" w:hAnsi="黑体" w:eastAsia="黑体" w:cs="方正仿宋_GBK"/>
        </w:rPr>
      </w:pPr>
      <w:r>
        <w:rPr>
          <w:rFonts w:hint="eastAsia" w:ascii="黑体" w:hAnsi="黑体" w:eastAsia="黑体" w:cs="方正仿宋_GBK"/>
        </w:rPr>
        <w:t>附件</w:t>
      </w:r>
    </w:p>
    <w:p>
      <w:pPr>
        <w:jc w:val="center"/>
        <w:rPr>
          <w:rFonts w:hint="eastAsia" w:ascii="方正小标宋_GBK" w:hAnsi="黑体" w:eastAsia="方正小标宋_GBK" w:cs="方正仿宋_GBK"/>
          <w:sz w:val="44"/>
          <w:szCs w:val="44"/>
        </w:rPr>
      </w:pPr>
      <w:r>
        <w:rPr>
          <w:rFonts w:hint="eastAsia" w:ascii="方正小标宋_GBK" w:hAnsi="黑体" w:eastAsia="方正小标宋_GBK" w:cs="方正仿宋_GBK"/>
          <w:sz w:val="44"/>
          <w:szCs w:val="44"/>
        </w:rPr>
        <w:t>涪陵区百胜镇畜禽规模养殖三区规划表</w:t>
      </w:r>
    </w:p>
    <w:p>
      <w:pPr>
        <w:jc w:val="right"/>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单位：个、亩</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410"/>
        <w:gridCol w:w="2268"/>
        <w:gridCol w:w="297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noWrap w:val="0"/>
            <w:vAlign w:val="center"/>
          </w:tcPr>
          <w:p>
            <w:pPr>
              <w:spacing w:line="360" w:lineRule="exact"/>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村（居）委</w:t>
            </w:r>
          </w:p>
        </w:tc>
        <w:tc>
          <w:tcPr>
            <w:tcW w:w="2410" w:type="dxa"/>
            <w:noWrap w:val="0"/>
            <w:vAlign w:val="center"/>
          </w:tcPr>
          <w:p>
            <w:pPr>
              <w:spacing w:line="360" w:lineRule="exact"/>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禁养区农业社</w:t>
            </w:r>
          </w:p>
        </w:tc>
        <w:tc>
          <w:tcPr>
            <w:tcW w:w="2268" w:type="dxa"/>
            <w:noWrap w:val="0"/>
            <w:vAlign w:val="center"/>
          </w:tcPr>
          <w:p>
            <w:pPr>
              <w:spacing w:line="360" w:lineRule="exact"/>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限养区农业社</w:t>
            </w:r>
          </w:p>
        </w:tc>
        <w:tc>
          <w:tcPr>
            <w:tcW w:w="2976" w:type="dxa"/>
            <w:noWrap w:val="0"/>
            <w:vAlign w:val="center"/>
          </w:tcPr>
          <w:p>
            <w:pPr>
              <w:spacing w:line="360" w:lineRule="exact"/>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适养区农业社</w:t>
            </w:r>
          </w:p>
        </w:tc>
        <w:tc>
          <w:tcPr>
            <w:tcW w:w="993" w:type="dxa"/>
            <w:noWrap w:val="0"/>
            <w:vAlign w:val="center"/>
          </w:tcPr>
          <w:p>
            <w:pPr>
              <w:spacing w:line="360" w:lineRule="exact"/>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可规划可用地面积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百胜居委</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w:t>
            </w: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葛亮</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1、2、3、4、5、6、7、8</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齐曲</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4、5、6、7、8、9</w:t>
            </w: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太平市</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1、2、3、6</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4、5、7</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大石</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隆兴</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2、3、7、9、10、12</w:t>
            </w: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1、4、5、6、8、11</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红花</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1、2、3、4、5、6、7、8</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八卦</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4、5</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紫竹</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1、2、3、5、8</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4、6、7</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新河</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1、3</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2、4、5、6、7</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广福</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w:t>
            </w: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2、3、4、5、6、7、8</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三台</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1、4、5</w:t>
            </w: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2、3</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观音</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1、2、3、4、5、6、7</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花庙</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2、4</w:t>
            </w: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1、3</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双河场</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1、2、3、6、7</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4、5</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紫微</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1、2、3、4、5、6、7</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中心</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7、8、9</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回龙</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桂花</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w:t>
            </w:r>
          </w:p>
        </w:tc>
        <w:tc>
          <w:tcPr>
            <w:tcW w:w="2976" w:type="dxa"/>
            <w:noWrap w:val="0"/>
            <w:vAlign w:val="center"/>
          </w:tcPr>
          <w:p>
            <w:pPr>
              <w:jc w:val="center"/>
              <w:rPr>
                <w:rFonts w:hint="eastAsia" w:ascii="微软雅黑" w:hAnsi="微软雅黑" w:eastAsia="微软雅黑" w:cs="方正仿宋_GBK"/>
                <w:sz w:val="24"/>
                <w:szCs w:val="24"/>
              </w:rPr>
            </w:pP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百兴</w:t>
            </w:r>
          </w:p>
        </w:tc>
        <w:tc>
          <w:tcPr>
            <w:tcW w:w="2410" w:type="dxa"/>
            <w:noWrap w:val="0"/>
            <w:vAlign w:val="center"/>
          </w:tcPr>
          <w:p>
            <w:pPr>
              <w:jc w:val="center"/>
              <w:rPr>
                <w:rFonts w:hint="eastAsia" w:ascii="微软雅黑" w:hAnsi="微软雅黑" w:eastAsia="微软雅黑" w:cs="方正仿宋_GBK"/>
                <w:sz w:val="24"/>
                <w:szCs w:val="24"/>
              </w:rPr>
            </w:pPr>
          </w:p>
        </w:tc>
        <w:tc>
          <w:tcPr>
            <w:tcW w:w="2268" w:type="dxa"/>
            <w:noWrap w:val="0"/>
            <w:vAlign w:val="center"/>
          </w:tcPr>
          <w:p>
            <w:pPr>
              <w:jc w:val="center"/>
              <w:rPr>
                <w:rFonts w:hint="eastAsia" w:ascii="微软雅黑" w:hAnsi="微软雅黑" w:eastAsia="微软雅黑" w:cs="方正仿宋_GBK"/>
                <w:sz w:val="24"/>
                <w:szCs w:val="24"/>
              </w:rPr>
            </w:pP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1、2、3、4、5、6、7、8</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合计</w:t>
            </w:r>
          </w:p>
        </w:tc>
        <w:tc>
          <w:tcPr>
            <w:tcW w:w="2410"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38</w:t>
            </w:r>
          </w:p>
        </w:tc>
        <w:tc>
          <w:tcPr>
            <w:tcW w:w="2268"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39</w:t>
            </w:r>
          </w:p>
        </w:tc>
        <w:tc>
          <w:tcPr>
            <w:tcW w:w="2976"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62</w:t>
            </w:r>
          </w:p>
        </w:tc>
        <w:tc>
          <w:tcPr>
            <w:tcW w:w="993" w:type="dxa"/>
            <w:noWrap w:val="0"/>
            <w:vAlign w:val="center"/>
          </w:tcPr>
          <w:p>
            <w:pPr>
              <w:jc w:val="center"/>
              <w:rPr>
                <w:rFonts w:hint="eastAsia" w:ascii="微软雅黑" w:hAnsi="微软雅黑" w:eastAsia="微软雅黑" w:cs="方正仿宋_GBK"/>
                <w:sz w:val="24"/>
                <w:szCs w:val="24"/>
              </w:rPr>
            </w:pPr>
            <w:r>
              <w:rPr>
                <w:rFonts w:hint="eastAsia" w:ascii="微软雅黑" w:hAnsi="微软雅黑" w:eastAsia="微软雅黑" w:cs="方正仿宋_GBK"/>
                <w:sz w:val="24"/>
                <w:szCs w:val="24"/>
              </w:rPr>
              <w:t>310</w:t>
            </w:r>
          </w:p>
        </w:tc>
      </w:tr>
    </w:tbl>
    <w:p>
      <w:pPr>
        <w:rPr>
          <w:rFonts w:hint="eastAsia" w:ascii="方正小标宋_GBK" w:hAnsi="黑体" w:eastAsia="方正小标宋_GBK" w:cs="方正仿宋_GBK"/>
          <w:sz w:val="44"/>
          <w:szCs w:val="44"/>
        </w:rPr>
      </w:pPr>
    </w:p>
    <w:sectPr>
      <w:headerReference r:id="rId3" w:type="default"/>
      <w:footerReference r:id="rId4" w:type="default"/>
      <w:footerReference r:id="rId5" w:type="even"/>
      <w:pgSz w:w="11906" w:h="16838"/>
      <w:pgMar w:top="2098" w:right="1474" w:bottom="1984" w:left="1587" w:header="851" w:footer="1701" w:gutter="0"/>
      <w:cols w:space="72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hint="eastAsia"/>
        <w:sz w:val="28"/>
        <w:szCs w:val="28"/>
      </w:rPr>
    </w:pPr>
    <w:r>
      <w:rPr>
        <w:rStyle w:val="12"/>
        <w:rFonts w:hint="eastAsia"/>
        <w:sz w:val="28"/>
        <w:szCs w:val="28"/>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Style w:val="12"/>
        <w:rFonts w:hint="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37D17198-E239-463D-AE67-B07A9C24BE5A}" w:val="qFNselY2VU43zZ/ExmBobt1j8inAP6RkHpO=wag5cGS+QMDX9uyWdKhJT0fLICr7v"/>
    <w:docVar w:name="{4A4DC5A1-C609-4E59-86C6-A16D6AC42985}" w:val="qFNselY2VU43zZ/ExmBobt1j8inAP6RkHpO=wag5cGS+QMDX9uyWdKhJT0fLICr7v"/>
    <w:docVar w:name="{DFE3DDD8-E417-4141-A609-9C06A748B4A9}" w:val="2yG1zuD4am+0OMLtHbrk75FUXYRVBCdSfljhiKTE=ZqQwvPep9ogAxWcNn6J3/Is8"/>
    <w:docVar w:name="DocumentID" w:val="{586A88D3-4DA6-4C9D-9B76-C90113AA0813}"/>
  </w:docVars>
  <w:rsids>
    <w:rsidRoot w:val="00172A27"/>
    <w:rsid w:val="00010F44"/>
    <w:rsid w:val="000E23E5"/>
    <w:rsid w:val="001044F2"/>
    <w:rsid w:val="00192774"/>
    <w:rsid w:val="001B52DA"/>
    <w:rsid w:val="001F008B"/>
    <w:rsid w:val="001F6E58"/>
    <w:rsid w:val="00210E47"/>
    <w:rsid w:val="0021661E"/>
    <w:rsid w:val="0023310C"/>
    <w:rsid w:val="00251F4C"/>
    <w:rsid w:val="003B0C93"/>
    <w:rsid w:val="004B1645"/>
    <w:rsid w:val="004B19A6"/>
    <w:rsid w:val="004F47BB"/>
    <w:rsid w:val="00514C13"/>
    <w:rsid w:val="00565147"/>
    <w:rsid w:val="005B0A33"/>
    <w:rsid w:val="00647D39"/>
    <w:rsid w:val="00743AD3"/>
    <w:rsid w:val="007863F8"/>
    <w:rsid w:val="007D4630"/>
    <w:rsid w:val="00812B33"/>
    <w:rsid w:val="00861F62"/>
    <w:rsid w:val="00875391"/>
    <w:rsid w:val="00891988"/>
    <w:rsid w:val="00907F40"/>
    <w:rsid w:val="009B44E8"/>
    <w:rsid w:val="00A344B6"/>
    <w:rsid w:val="00A359AA"/>
    <w:rsid w:val="00AF21FD"/>
    <w:rsid w:val="00AF2477"/>
    <w:rsid w:val="00B321EB"/>
    <w:rsid w:val="00BC4BFA"/>
    <w:rsid w:val="00CB5F2A"/>
    <w:rsid w:val="00D267AC"/>
    <w:rsid w:val="00D60F62"/>
    <w:rsid w:val="00E54B73"/>
    <w:rsid w:val="00E71BD3"/>
    <w:rsid w:val="00E74A9B"/>
    <w:rsid w:val="00FC2038"/>
    <w:rsid w:val="00FD7B29"/>
    <w:rsid w:val="6CF87F24"/>
    <w:rsid w:val="78F9E155"/>
    <w:rsid w:val="7BDFA601"/>
    <w:rsid w:val="CFF7F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character" w:default="1" w:styleId="11">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eastAsia="方正小标宋简体"/>
      <w:sz w:val="44"/>
    </w:rPr>
  </w:style>
  <w:style w:type="paragraph" w:styleId="3">
    <w:name w:val="Date"/>
    <w:basedOn w:val="1"/>
    <w:next w:val="1"/>
    <w:uiPriority w:val="0"/>
    <w:pPr>
      <w:ind w:left="100" w:leftChars="2500"/>
    </w:pPr>
    <w:rPr>
      <w:rFonts w:ascii="仿宋_GB2312" w:hAnsi="宋体" w:eastAsia="仿宋_GB2312"/>
      <w:sz w:val="30"/>
      <w:szCs w:val="32"/>
    </w:rPr>
  </w:style>
  <w:style w:type="paragraph" w:styleId="4">
    <w:name w:val="Body Text Indent 2"/>
    <w:basedOn w:val="1"/>
    <w:uiPriority w:val="0"/>
    <w:pPr>
      <w:spacing w:line="560" w:lineRule="exact"/>
      <w:ind w:firstLine="658" w:firstLineChars="200"/>
    </w:pPr>
    <w:rPr>
      <w:rFonts w:ascii="黑体" w:eastAsia="黑体"/>
      <w:b/>
      <w:sz w:val="32"/>
      <w:szCs w:val="3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uiPriority w:val="0"/>
    <w:pPr>
      <w:spacing w:line="560" w:lineRule="exact"/>
      <w:ind w:right="420" w:firstLine="640" w:firstLineChars="200"/>
    </w:pPr>
    <w:rPr>
      <w:rFonts w:ascii="黑体" w:hAnsi="仿宋_GB2312" w:eastAsia="黑体"/>
      <w:bCs/>
      <w:color w:val="000000"/>
      <w:sz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paragraph" w:customStyle="1" w:styleId="13">
    <w:name w:val=" Char4 Char Char Char"/>
    <w:basedOn w:val="1"/>
    <w:uiPriority w:val="0"/>
    <w:pPr>
      <w:adjustRightInd w:val="0"/>
      <w:snapToGrid w:val="0"/>
      <w:spacing w:line="360" w:lineRule="auto"/>
      <w:ind w:firstLine="200" w:firstLineChars="200"/>
    </w:pPr>
  </w:style>
  <w:style w:type="paragraph" w:customStyle="1" w:styleId="14">
    <w:name w:val=" Char Char Char1 Char Char Char Char Char Char Char Char Char Char"/>
    <w:basedOn w:val="1"/>
    <w:qFormat/>
    <w:uiPriority w:val="0"/>
    <w:pPr>
      <w:adjustRightInd w:val="0"/>
      <w:snapToGrid w:val="0"/>
      <w:spacing w:line="360" w:lineRule="auto"/>
      <w:ind w:firstLine="200" w:firstLineChars="200"/>
    </w:pPr>
    <w:rPr>
      <w:rFonts w:ascii="宋体" w:hAnsi="宋体" w:eastAsia="宋体" w:cs="宋体"/>
      <w:sz w:val="24"/>
      <w:szCs w:val="26"/>
    </w:rPr>
  </w:style>
  <w:style w:type="paragraph" w:customStyle="1" w:styleId="15">
    <w:name w:val="p0"/>
    <w:basedOn w:val="1"/>
    <w:qFormat/>
    <w:uiPriority w:val="0"/>
    <w:pPr>
      <w:widowControl/>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339</Words>
  <Characters>1938</Characters>
  <Lines>16</Lines>
  <Paragraphs>4</Paragraphs>
  <TotalTime>2</TotalTime>
  <ScaleCrop>false</ScaleCrop>
  <LinksUpToDate>false</LinksUpToDate>
  <CharactersWithSpaces>2273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2023-02-02T22:52:00Z</dcterms:created>
  <dc:creator>系统管理员</dc:creator>
  <cp:lastModifiedBy>user</cp:lastModifiedBy>
  <cp:lastPrinted>2013-04-16T07:33:00Z</cp:lastPrinted>
  <dcterms:modified xsi:type="dcterms:W3CDTF">2025-11-17T11:38:32Z</dcterms:modified>
  <dc:title>重庆市涪陵区人民政府文件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